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FD5633" w14:textId="77777777" w:rsidR="00B33153" w:rsidRDefault="00B33153">
      <w:pPr>
        <w:spacing w:line="360" w:lineRule="auto"/>
        <w:jc w:val="center"/>
        <w:rPr>
          <w:rFonts w:ascii="宋体" w:hAnsi="宋体"/>
          <w:b/>
          <w:sz w:val="48"/>
          <w:szCs w:val="48"/>
        </w:rPr>
      </w:pPr>
    </w:p>
    <w:p w14:paraId="48E0A537" w14:textId="77777777" w:rsidR="00B33153" w:rsidRDefault="00B33153">
      <w:pPr>
        <w:spacing w:line="360" w:lineRule="auto"/>
        <w:jc w:val="center"/>
        <w:rPr>
          <w:rFonts w:ascii="宋体" w:hAnsi="宋体"/>
          <w:b/>
          <w:sz w:val="48"/>
          <w:szCs w:val="48"/>
        </w:rPr>
      </w:pPr>
    </w:p>
    <w:p w14:paraId="6D2EFBC8" w14:textId="77777777" w:rsidR="00B33153" w:rsidRDefault="00B33153">
      <w:pPr>
        <w:spacing w:line="360" w:lineRule="auto"/>
        <w:jc w:val="center"/>
        <w:rPr>
          <w:rFonts w:ascii="宋体" w:hAnsi="宋体"/>
          <w:b/>
          <w:sz w:val="48"/>
          <w:szCs w:val="48"/>
        </w:rPr>
      </w:pPr>
    </w:p>
    <w:p w14:paraId="3E7E0877" w14:textId="77777777" w:rsidR="00B33153" w:rsidRDefault="00B33153">
      <w:pPr>
        <w:spacing w:line="360" w:lineRule="auto"/>
        <w:jc w:val="center"/>
        <w:rPr>
          <w:rFonts w:ascii="宋体" w:hAnsi="宋体"/>
          <w:b/>
          <w:sz w:val="48"/>
          <w:szCs w:val="48"/>
        </w:rPr>
      </w:pPr>
    </w:p>
    <w:p w14:paraId="04178AC9" w14:textId="77777777" w:rsidR="00B33153" w:rsidRDefault="00B33153" w:rsidP="00557B70">
      <w:pPr>
        <w:spacing w:line="800" w:lineRule="exact"/>
        <w:jc w:val="center"/>
        <w:rPr>
          <w:rFonts w:ascii="宋体" w:hAnsi="宋体"/>
          <w:b/>
          <w:sz w:val="48"/>
          <w:szCs w:val="48"/>
        </w:rPr>
      </w:pPr>
      <w:r>
        <w:rPr>
          <w:rFonts w:ascii="宋体" w:hAnsi="宋体" w:hint="eastAsia"/>
          <w:b/>
          <w:sz w:val="48"/>
          <w:szCs w:val="48"/>
        </w:rPr>
        <w:t>富荣富兴纯债债券型证券投资基金</w:t>
      </w:r>
    </w:p>
    <w:p w14:paraId="1633F46C" w14:textId="77777777" w:rsidR="00B33153" w:rsidRDefault="00B33153" w:rsidP="00557B70">
      <w:pPr>
        <w:spacing w:line="800" w:lineRule="exact"/>
        <w:jc w:val="center"/>
        <w:rPr>
          <w:rFonts w:ascii="宋体" w:hAnsi="宋体"/>
          <w:b/>
          <w:sz w:val="48"/>
          <w:szCs w:val="48"/>
        </w:rPr>
      </w:pPr>
      <w:r>
        <w:rPr>
          <w:rFonts w:ascii="宋体" w:hAnsi="宋体" w:hint="eastAsia"/>
          <w:b/>
          <w:sz w:val="48"/>
          <w:szCs w:val="48"/>
        </w:rPr>
        <w:t>托管协议</w:t>
      </w:r>
      <w:bookmarkStart w:id="0" w:name="_GoBack"/>
      <w:bookmarkEnd w:id="0"/>
    </w:p>
    <w:p w14:paraId="62349DF0" w14:textId="2E880570" w:rsidR="00B33153" w:rsidRDefault="00B33153" w:rsidP="00557B70">
      <w:pPr>
        <w:spacing w:line="800" w:lineRule="exact"/>
        <w:jc w:val="center"/>
        <w:rPr>
          <w:rFonts w:ascii="宋体" w:hAnsi="宋体"/>
          <w:b/>
          <w:sz w:val="48"/>
          <w:szCs w:val="48"/>
        </w:rPr>
      </w:pPr>
    </w:p>
    <w:p w14:paraId="179BDDB3" w14:textId="77777777" w:rsidR="00B33153" w:rsidRDefault="00B33153">
      <w:pPr>
        <w:spacing w:line="360" w:lineRule="auto"/>
        <w:jc w:val="center"/>
        <w:rPr>
          <w:rFonts w:ascii="宋体" w:hAnsi="宋体"/>
          <w:b/>
          <w:sz w:val="48"/>
          <w:szCs w:val="48"/>
        </w:rPr>
      </w:pPr>
    </w:p>
    <w:p w14:paraId="5194E9E1" w14:textId="77777777" w:rsidR="00B33153" w:rsidRDefault="00B33153">
      <w:pPr>
        <w:spacing w:line="360" w:lineRule="auto"/>
        <w:jc w:val="center"/>
        <w:rPr>
          <w:rFonts w:ascii="宋体" w:hAnsi="宋体"/>
          <w:b/>
          <w:sz w:val="48"/>
          <w:szCs w:val="48"/>
        </w:rPr>
      </w:pPr>
    </w:p>
    <w:p w14:paraId="58DD2C03" w14:textId="77777777" w:rsidR="00B33153" w:rsidRDefault="00B33153">
      <w:pPr>
        <w:spacing w:line="360" w:lineRule="auto"/>
        <w:jc w:val="center"/>
        <w:rPr>
          <w:rFonts w:ascii="宋体" w:hAnsi="宋体"/>
          <w:b/>
          <w:sz w:val="48"/>
          <w:szCs w:val="48"/>
        </w:rPr>
      </w:pPr>
    </w:p>
    <w:p w14:paraId="37EE4FAC" w14:textId="77777777" w:rsidR="00B33153" w:rsidRDefault="00B33153">
      <w:pPr>
        <w:spacing w:line="360" w:lineRule="auto"/>
        <w:jc w:val="center"/>
        <w:rPr>
          <w:rFonts w:ascii="宋体" w:hAnsi="宋体"/>
          <w:b/>
          <w:sz w:val="48"/>
          <w:szCs w:val="48"/>
        </w:rPr>
      </w:pPr>
    </w:p>
    <w:p w14:paraId="4C73587E" w14:textId="77777777" w:rsidR="00B33153" w:rsidRDefault="00B33153">
      <w:pPr>
        <w:spacing w:line="360" w:lineRule="auto"/>
        <w:jc w:val="center"/>
        <w:rPr>
          <w:rFonts w:ascii="宋体" w:hAnsi="宋体"/>
          <w:b/>
          <w:sz w:val="48"/>
          <w:szCs w:val="48"/>
        </w:rPr>
      </w:pPr>
    </w:p>
    <w:p w14:paraId="0016BFE8" w14:textId="77777777" w:rsidR="00B33153" w:rsidRDefault="00B33153">
      <w:pPr>
        <w:spacing w:line="360" w:lineRule="auto"/>
        <w:jc w:val="center"/>
        <w:rPr>
          <w:rFonts w:ascii="宋体" w:hAnsi="宋体"/>
          <w:b/>
          <w:sz w:val="36"/>
          <w:szCs w:val="36"/>
        </w:rPr>
      </w:pPr>
      <w:r>
        <w:rPr>
          <w:rFonts w:ascii="宋体" w:hAnsi="宋体" w:hint="eastAsia"/>
          <w:b/>
          <w:sz w:val="36"/>
          <w:szCs w:val="36"/>
        </w:rPr>
        <w:t>基金管理人：富荣基金管理有限公司</w:t>
      </w:r>
    </w:p>
    <w:p w14:paraId="03CCCA80" w14:textId="77777777" w:rsidR="00B33153" w:rsidRDefault="00B33153">
      <w:pPr>
        <w:spacing w:line="360" w:lineRule="auto"/>
        <w:jc w:val="center"/>
        <w:rPr>
          <w:rFonts w:ascii="宋体" w:hAnsi="宋体"/>
          <w:b/>
          <w:sz w:val="36"/>
          <w:szCs w:val="36"/>
        </w:rPr>
      </w:pPr>
      <w:r>
        <w:rPr>
          <w:rFonts w:ascii="宋体" w:hAnsi="宋体" w:hint="eastAsia"/>
          <w:b/>
          <w:sz w:val="36"/>
          <w:szCs w:val="36"/>
        </w:rPr>
        <w:t>基金托管人：包商银行股份有限公司</w:t>
      </w:r>
    </w:p>
    <w:p w14:paraId="62815236" w14:textId="77777777" w:rsidR="00B33153" w:rsidRDefault="00B33153">
      <w:pPr>
        <w:spacing w:line="360" w:lineRule="auto"/>
        <w:ind w:firstLineChars="200" w:firstLine="602"/>
        <w:rPr>
          <w:rFonts w:ascii="宋体" w:hAnsi="宋体"/>
          <w:b/>
          <w:sz w:val="30"/>
          <w:szCs w:val="30"/>
        </w:rPr>
      </w:pPr>
    </w:p>
    <w:p w14:paraId="163BD494" w14:textId="63B1E399" w:rsidR="00B33153" w:rsidRDefault="00B33153">
      <w:pPr>
        <w:spacing w:line="360" w:lineRule="auto"/>
        <w:jc w:val="center"/>
        <w:rPr>
          <w:rFonts w:ascii="宋体" w:hAnsi="宋体"/>
          <w:b/>
          <w:sz w:val="30"/>
          <w:szCs w:val="30"/>
        </w:rPr>
      </w:pPr>
      <w:r>
        <w:rPr>
          <w:rFonts w:ascii="宋体" w:hAnsi="宋体" w:hint="eastAsia"/>
          <w:b/>
          <w:sz w:val="30"/>
          <w:szCs w:val="30"/>
        </w:rPr>
        <w:t>二零一</w:t>
      </w:r>
      <w:r w:rsidR="00CD791D">
        <w:rPr>
          <w:rFonts w:ascii="宋体" w:hAnsi="宋体" w:hint="eastAsia"/>
          <w:b/>
          <w:sz w:val="30"/>
          <w:szCs w:val="30"/>
        </w:rPr>
        <w:t>八</w:t>
      </w:r>
      <w:r>
        <w:rPr>
          <w:rFonts w:ascii="宋体" w:hAnsi="宋体" w:hint="eastAsia"/>
          <w:b/>
          <w:sz w:val="30"/>
          <w:szCs w:val="30"/>
        </w:rPr>
        <w:t>年</w:t>
      </w:r>
      <w:r w:rsidR="00ED1DD1">
        <w:rPr>
          <w:rFonts w:ascii="宋体" w:hAnsi="宋体" w:hint="eastAsia"/>
          <w:b/>
          <w:sz w:val="30"/>
          <w:szCs w:val="30"/>
        </w:rPr>
        <w:t>三月</w:t>
      </w:r>
    </w:p>
    <w:p w14:paraId="1056F5CE" w14:textId="77777777" w:rsidR="00B33153" w:rsidRDefault="00B33153">
      <w:pPr>
        <w:spacing w:line="360" w:lineRule="auto"/>
        <w:ind w:firstLineChars="200" w:firstLine="480"/>
        <w:rPr>
          <w:rFonts w:ascii="宋体" w:hAnsi="宋体"/>
          <w:sz w:val="24"/>
          <w:szCs w:val="24"/>
        </w:rPr>
      </w:pPr>
    </w:p>
    <w:p w14:paraId="7320909D" w14:textId="77777777" w:rsidR="00B33153" w:rsidRDefault="00B33153">
      <w:pPr>
        <w:spacing w:line="360" w:lineRule="auto"/>
        <w:ind w:firstLineChars="200" w:firstLine="480"/>
        <w:rPr>
          <w:rFonts w:ascii="宋体" w:hAnsi="宋体"/>
          <w:sz w:val="24"/>
          <w:szCs w:val="24"/>
        </w:rPr>
      </w:pPr>
    </w:p>
    <w:p w14:paraId="4358BA64" w14:textId="77777777" w:rsidR="00B33153" w:rsidRDefault="00B33153">
      <w:pPr>
        <w:spacing w:line="360" w:lineRule="auto"/>
        <w:ind w:firstLineChars="200" w:firstLine="480"/>
        <w:rPr>
          <w:rFonts w:ascii="宋体" w:hAnsi="宋体"/>
          <w:sz w:val="24"/>
          <w:szCs w:val="24"/>
        </w:rPr>
        <w:sectPr w:rsidR="00B33153" w:rsidSect="00D57835">
          <w:headerReference w:type="default" r:id="rId9"/>
          <w:footerReference w:type="default" r:id="rId10"/>
          <w:headerReference w:type="first" r:id="rId11"/>
          <w:pgSz w:w="11906" w:h="16838"/>
          <w:pgMar w:top="1440" w:right="1800" w:bottom="1440" w:left="1800" w:header="851" w:footer="992" w:gutter="0"/>
          <w:pgNumType w:start="0"/>
          <w:cols w:space="425"/>
          <w:docGrid w:type="lines" w:linePitch="312"/>
        </w:sectPr>
      </w:pPr>
    </w:p>
    <w:p w14:paraId="3DF362C6" w14:textId="77777777" w:rsidR="00B33153" w:rsidRDefault="00B33153">
      <w:pPr>
        <w:spacing w:line="360" w:lineRule="auto"/>
        <w:jc w:val="center"/>
        <w:rPr>
          <w:rFonts w:ascii="宋体" w:hAnsi="宋体"/>
          <w:b/>
          <w:sz w:val="30"/>
          <w:szCs w:val="30"/>
        </w:rPr>
      </w:pPr>
      <w:r>
        <w:rPr>
          <w:rFonts w:ascii="宋体" w:hAnsi="宋体" w:hint="eastAsia"/>
          <w:b/>
          <w:sz w:val="30"/>
          <w:szCs w:val="30"/>
        </w:rPr>
        <w:lastRenderedPageBreak/>
        <w:t>目    录</w:t>
      </w:r>
    </w:p>
    <w:p w14:paraId="3D21149B" w14:textId="77777777" w:rsidR="00B33153" w:rsidRDefault="009D22CB">
      <w:pPr>
        <w:pStyle w:val="10"/>
        <w:tabs>
          <w:tab w:val="right" w:leader="dot" w:pos="8302"/>
        </w:tabs>
        <w:spacing w:after="0" w:line="360" w:lineRule="auto"/>
        <w:jc w:val="center"/>
        <w:rPr>
          <w:rFonts w:ascii="宋体" w:hAnsi="宋体"/>
          <w:noProof/>
          <w:kern w:val="2"/>
          <w:sz w:val="24"/>
          <w:szCs w:val="24"/>
        </w:rPr>
      </w:pPr>
      <w:r>
        <w:rPr>
          <w:rFonts w:ascii="宋体" w:hAnsi="宋体"/>
          <w:sz w:val="24"/>
          <w:szCs w:val="24"/>
        </w:rPr>
        <w:fldChar w:fldCharType="begin"/>
      </w:r>
      <w:r w:rsidR="00B33153">
        <w:rPr>
          <w:rFonts w:ascii="宋体" w:hAnsi="宋体"/>
          <w:sz w:val="24"/>
          <w:szCs w:val="24"/>
        </w:rPr>
        <w:instrText xml:space="preserve"> TOC \o "1-1" \h \z \u </w:instrText>
      </w:r>
      <w:r>
        <w:rPr>
          <w:rFonts w:ascii="宋体" w:hAnsi="宋体"/>
          <w:sz w:val="24"/>
          <w:szCs w:val="24"/>
        </w:rPr>
        <w:fldChar w:fldCharType="separate"/>
      </w:r>
      <w:hyperlink w:anchor="_Toc440289529" w:history="1">
        <w:r w:rsidR="00B33153">
          <w:rPr>
            <w:rStyle w:val="a6"/>
            <w:rFonts w:ascii="宋体" w:hAnsi="宋体" w:hint="eastAsia"/>
            <w:noProof/>
            <w:sz w:val="24"/>
            <w:szCs w:val="24"/>
          </w:rPr>
          <w:t>一、基金托管协议当事人</w:t>
        </w:r>
        <w:r w:rsidR="00B33153">
          <w:rPr>
            <w:rFonts w:ascii="宋体" w:hAnsi="宋体"/>
            <w:noProof/>
            <w:sz w:val="24"/>
            <w:szCs w:val="24"/>
          </w:rPr>
          <w:tab/>
        </w:r>
        <w:r>
          <w:rPr>
            <w:rFonts w:ascii="宋体" w:hAnsi="宋体"/>
            <w:noProof/>
            <w:sz w:val="24"/>
            <w:szCs w:val="24"/>
          </w:rPr>
          <w:fldChar w:fldCharType="begin"/>
        </w:r>
        <w:r w:rsidR="00B33153">
          <w:rPr>
            <w:rFonts w:ascii="宋体" w:hAnsi="宋体"/>
            <w:noProof/>
            <w:sz w:val="24"/>
            <w:szCs w:val="24"/>
          </w:rPr>
          <w:instrText xml:space="preserve"> PAGEREF _Toc440289529 \h </w:instrText>
        </w:r>
        <w:r>
          <w:rPr>
            <w:rFonts w:ascii="宋体" w:hAnsi="宋体"/>
            <w:noProof/>
            <w:sz w:val="24"/>
            <w:szCs w:val="24"/>
          </w:rPr>
        </w:r>
        <w:r>
          <w:rPr>
            <w:rFonts w:ascii="宋体" w:hAnsi="宋体"/>
            <w:noProof/>
            <w:sz w:val="24"/>
            <w:szCs w:val="24"/>
          </w:rPr>
          <w:fldChar w:fldCharType="separate"/>
        </w:r>
        <w:r w:rsidR="004A36F0">
          <w:rPr>
            <w:rFonts w:ascii="宋体" w:hAnsi="宋体"/>
            <w:noProof/>
            <w:sz w:val="24"/>
            <w:szCs w:val="24"/>
          </w:rPr>
          <w:t>3</w:t>
        </w:r>
        <w:r>
          <w:rPr>
            <w:rFonts w:ascii="宋体" w:hAnsi="宋体"/>
            <w:noProof/>
            <w:sz w:val="24"/>
            <w:szCs w:val="24"/>
          </w:rPr>
          <w:fldChar w:fldCharType="end"/>
        </w:r>
      </w:hyperlink>
    </w:p>
    <w:p w14:paraId="39204D82"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30" w:history="1">
        <w:r w:rsidR="00B33153">
          <w:rPr>
            <w:rStyle w:val="a6"/>
            <w:rFonts w:ascii="宋体" w:hAnsi="宋体" w:hint="eastAsia"/>
            <w:noProof/>
            <w:sz w:val="24"/>
            <w:szCs w:val="24"/>
          </w:rPr>
          <w:t>二、基金托管协议的依据、目的、原则和解释</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_Toc440289530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5</w:t>
        </w:r>
        <w:r w:rsidR="009D22CB">
          <w:rPr>
            <w:rFonts w:ascii="宋体" w:hAnsi="宋体"/>
            <w:noProof/>
            <w:sz w:val="24"/>
            <w:szCs w:val="24"/>
          </w:rPr>
          <w:fldChar w:fldCharType="end"/>
        </w:r>
      </w:hyperlink>
    </w:p>
    <w:p w14:paraId="274A4DD8"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31" w:history="1">
        <w:r w:rsidR="00B33153">
          <w:rPr>
            <w:rStyle w:val="a6"/>
            <w:rFonts w:ascii="宋体" w:hAnsi="宋体" w:hint="eastAsia"/>
            <w:noProof/>
            <w:sz w:val="24"/>
            <w:szCs w:val="24"/>
          </w:rPr>
          <w:t>三、基金托管人对基金管理人的业务监督和核查</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_Toc440289531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6</w:t>
        </w:r>
        <w:r w:rsidR="009D22CB">
          <w:rPr>
            <w:rFonts w:ascii="宋体" w:hAnsi="宋体"/>
            <w:noProof/>
            <w:sz w:val="24"/>
            <w:szCs w:val="24"/>
          </w:rPr>
          <w:fldChar w:fldCharType="end"/>
        </w:r>
      </w:hyperlink>
    </w:p>
    <w:p w14:paraId="6899143C"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32" w:history="1">
        <w:r w:rsidR="00B33153">
          <w:rPr>
            <w:rStyle w:val="a6"/>
            <w:rFonts w:ascii="宋体" w:hAnsi="宋体" w:hint="eastAsia"/>
            <w:noProof/>
            <w:sz w:val="24"/>
            <w:szCs w:val="24"/>
          </w:rPr>
          <w:t>四、基金管理人对基金托管人的业务核查</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_Toc440289532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12</w:t>
        </w:r>
        <w:r w:rsidR="009D22CB">
          <w:rPr>
            <w:rFonts w:ascii="宋体" w:hAnsi="宋体"/>
            <w:noProof/>
            <w:sz w:val="24"/>
            <w:szCs w:val="24"/>
          </w:rPr>
          <w:fldChar w:fldCharType="end"/>
        </w:r>
      </w:hyperlink>
    </w:p>
    <w:p w14:paraId="53AA278C"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33" w:history="1">
        <w:r w:rsidR="00B33153">
          <w:rPr>
            <w:rStyle w:val="a6"/>
            <w:rFonts w:ascii="宋体" w:hAnsi="宋体" w:hint="eastAsia"/>
            <w:noProof/>
            <w:sz w:val="24"/>
            <w:szCs w:val="24"/>
          </w:rPr>
          <w:t>五、基金财产的保管</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_Toc440289533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13</w:t>
        </w:r>
        <w:r w:rsidR="009D22CB">
          <w:rPr>
            <w:rFonts w:ascii="宋体" w:hAnsi="宋体"/>
            <w:noProof/>
            <w:sz w:val="24"/>
            <w:szCs w:val="24"/>
          </w:rPr>
          <w:fldChar w:fldCharType="end"/>
        </w:r>
      </w:hyperlink>
    </w:p>
    <w:p w14:paraId="41BC1953"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34" w:history="1">
        <w:r w:rsidR="00B33153">
          <w:rPr>
            <w:rStyle w:val="a6"/>
            <w:rFonts w:ascii="宋体" w:hAnsi="宋体" w:hint="eastAsia"/>
            <w:noProof/>
            <w:sz w:val="24"/>
            <w:szCs w:val="24"/>
          </w:rPr>
          <w:t>六、指令的发送、确认及执行</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_Toc440289534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16</w:t>
        </w:r>
        <w:r w:rsidR="009D22CB">
          <w:rPr>
            <w:rFonts w:ascii="宋体" w:hAnsi="宋体"/>
            <w:noProof/>
            <w:sz w:val="24"/>
            <w:szCs w:val="24"/>
          </w:rPr>
          <w:fldChar w:fldCharType="end"/>
        </w:r>
      </w:hyperlink>
    </w:p>
    <w:p w14:paraId="68245B78"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35" w:history="1">
        <w:r w:rsidR="00B33153">
          <w:rPr>
            <w:rStyle w:val="a6"/>
            <w:rFonts w:ascii="宋体" w:hAnsi="宋体" w:hint="eastAsia"/>
            <w:noProof/>
            <w:sz w:val="24"/>
            <w:szCs w:val="24"/>
          </w:rPr>
          <w:t>七、交易及清算交收安排</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_Toc440289535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19</w:t>
        </w:r>
        <w:r w:rsidR="009D22CB">
          <w:rPr>
            <w:rFonts w:ascii="宋体" w:hAnsi="宋体"/>
            <w:noProof/>
            <w:sz w:val="24"/>
            <w:szCs w:val="24"/>
          </w:rPr>
          <w:fldChar w:fldCharType="end"/>
        </w:r>
      </w:hyperlink>
    </w:p>
    <w:p w14:paraId="55D5EE06"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36" w:history="1">
        <w:r w:rsidR="00B33153">
          <w:rPr>
            <w:rStyle w:val="a6"/>
            <w:rFonts w:ascii="宋体" w:hAnsi="宋体" w:hint="eastAsia"/>
            <w:noProof/>
            <w:sz w:val="24"/>
            <w:szCs w:val="24"/>
          </w:rPr>
          <w:t>八、基金资产净值计算和会计核算</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_Toc440289536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24</w:t>
        </w:r>
        <w:r w:rsidR="009D22CB">
          <w:rPr>
            <w:rFonts w:ascii="宋体" w:hAnsi="宋体"/>
            <w:noProof/>
            <w:sz w:val="24"/>
            <w:szCs w:val="24"/>
          </w:rPr>
          <w:fldChar w:fldCharType="end"/>
        </w:r>
      </w:hyperlink>
    </w:p>
    <w:p w14:paraId="0B193772"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38" w:history="1">
        <w:r w:rsidR="00B33153">
          <w:rPr>
            <w:rStyle w:val="a6"/>
            <w:rFonts w:ascii="宋体" w:hAnsi="宋体" w:hint="eastAsia"/>
            <w:noProof/>
            <w:sz w:val="24"/>
            <w:szCs w:val="24"/>
          </w:rPr>
          <w:t>九、基金收益分配</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_Toc440289538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29</w:t>
        </w:r>
        <w:r w:rsidR="009D22CB">
          <w:rPr>
            <w:rFonts w:ascii="宋体" w:hAnsi="宋体"/>
            <w:noProof/>
            <w:sz w:val="24"/>
            <w:szCs w:val="24"/>
          </w:rPr>
          <w:fldChar w:fldCharType="end"/>
        </w:r>
      </w:hyperlink>
    </w:p>
    <w:p w14:paraId="6170CD08"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39" w:history="1">
        <w:r w:rsidR="00B33153">
          <w:rPr>
            <w:rStyle w:val="a6"/>
            <w:rFonts w:ascii="宋体" w:hAnsi="宋体" w:hint="eastAsia"/>
            <w:noProof/>
            <w:sz w:val="24"/>
            <w:szCs w:val="24"/>
          </w:rPr>
          <w:t>十、基金信息披露</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_Toc440289539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31</w:t>
        </w:r>
        <w:r w:rsidR="009D22CB">
          <w:rPr>
            <w:rFonts w:ascii="宋体" w:hAnsi="宋体"/>
            <w:noProof/>
            <w:sz w:val="24"/>
            <w:szCs w:val="24"/>
          </w:rPr>
          <w:fldChar w:fldCharType="end"/>
        </w:r>
      </w:hyperlink>
    </w:p>
    <w:p w14:paraId="3F7683B9"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41" w:history="1">
        <w:r w:rsidR="00B33153">
          <w:rPr>
            <w:rStyle w:val="a6"/>
            <w:rFonts w:ascii="宋体" w:hAnsi="宋体" w:hint="eastAsia"/>
            <w:noProof/>
            <w:sz w:val="24"/>
            <w:szCs w:val="24"/>
          </w:rPr>
          <w:t>十一、基金费用</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_Toc440289541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33</w:t>
        </w:r>
        <w:r w:rsidR="009D22CB">
          <w:rPr>
            <w:rFonts w:ascii="宋体" w:hAnsi="宋体"/>
            <w:noProof/>
            <w:sz w:val="24"/>
            <w:szCs w:val="24"/>
          </w:rPr>
          <w:fldChar w:fldCharType="end"/>
        </w:r>
      </w:hyperlink>
    </w:p>
    <w:p w14:paraId="40A8258D"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42" w:history="1">
        <w:r w:rsidR="00B33153">
          <w:rPr>
            <w:rStyle w:val="a6"/>
            <w:rFonts w:ascii="宋体" w:hAnsi="宋体" w:hint="eastAsia"/>
            <w:noProof/>
            <w:sz w:val="24"/>
            <w:szCs w:val="24"/>
          </w:rPr>
          <w:t>十二、基金份额持有人名册的保管</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_Toc440289542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35</w:t>
        </w:r>
        <w:r w:rsidR="009D22CB">
          <w:rPr>
            <w:rFonts w:ascii="宋体" w:hAnsi="宋体"/>
            <w:noProof/>
            <w:sz w:val="24"/>
            <w:szCs w:val="24"/>
          </w:rPr>
          <w:fldChar w:fldCharType="end"/>
        </w:r>
      </w:hyperlink>
    </w:p>
    <w:p w14:paraId="0DB567CB"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43" w:history="1">
        <w:r w:rsidR="00B33153">
          <w:rPr>
            <w:rStyle w:val="a6"/>
            <w:rFonts w:ascii="宋体" w:hAnsi="宋体" w:hint="eastAsia"/>
            <w:noProof/>
            <w:sz w:val="24"/>
            <w:szCs w:val="24"/>
          </w:rPr>
          <w:t>十三、基金有关文件档案的保存</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_Toc440289543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36</w:t>
        </w:r>
        <w:r w:rsidR="009D22CB">
          <w:rPr>
            <w:rFonts w:ascii="宋体" w:hAnsi="宋体"/>
            <w:noProof/>
            <w:sz w:val="24"/>
            <w:szCs w:val="24"/>
          </w:rPr>
          <w:fldChar w:fldCharType="end"/>
        </w:r>
      </w:hyperlink>
    </w:p>
    <w:p w14:paraId="035B9ADC"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44" w:history="1">
        <w:r w:rsidR="00B33153">
          <w:rPr>
            <w:rStyle w:val="a6"/>
            <w:rFonts w:ascii="宋体" w:hAnsi="宋体" w:hint="eastAsia"/>
            <w:noProof/>
            <w:sz w:val="24"/>
            <w:szCs w:val="24"/>
          </w:rPr>
          <w:t>十四、基金管理人和基金托管人的更换</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_Toc440289544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37</w:t>
        </w:r>
        <w:r w:rsidR="009D22CB">
          <w:rPr>
            <w:rFonts w:ascii="宋体" w:hAnsi="宋体"/>
            <w:noProof/>
            <w:sz w:val="24"/>
            <w:szCs w:val="24"/>
          </w:rPr>
          <w:fldChar w:fldCharType="end"/>
        </w:r>
      </w:hyperlink>
    </w:p>
    <w:p w14:paraId="6C50A1AB"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46" w:history="1">
        <w:r w:rsidR="00B33153">
          <w:rPr>
            <w:rStyle w:val="a6"/>
            <w:rFonts w:ascii="宋体" w:hAnsi="宋体" w:hint="eastAsia"/>
            <w:noProof/>
            <w:sz w:val="24"/>
            <w:szCs w:val="24"/>
          </w:rPr>
          <w:t>十五、禁止行为</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_Toc440289546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40</w:t>
        </w:r>
        <w:r w:rsidR="009D22CB">
          <w:rPr>
            <w:rFonts w:ascii="宋体" w:hAnsi="宋体"/>
            <w:noProof/>
            <w:sz w:val="24"/>
            <w:szCs w:val="24"/>
          </w:rPr>
          <w:fldChar w:fldCharType="end"/>
        </w:r>
      </w:hyperlink>
    </w:p>
    <w:p w14:paraId="6C56FC5A"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48" w:history="1">
        <w:r w:rsidR="00B33153">
          <w:rPr>
            <w:rStyle w:val="a6"/>
            <w:rFonts w:ascii="宋体" w:hAnsi="宋体" w:hint="eastAsia"/>
            <w:noProof/>
            <w:sz w:val="24"/>
            <w:szCs w:val="24"/>
          </w:rPr>
          <w:t>十六、托管协议的变更、终止与基金财产的清算</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_Toc440289548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42</w:t>
        </w:r>
        <w:r w:rsidR="009D22CB">
          <w:rPr>
            <w:rFonts w:ascii="宋体" w:hAnsi="宋体"/>
            <w:noProof/>
            <w:sz w:val="24"/>
            <w:szCs w:val="24"/>
          </w:rPr>
          <w:fldChar w:fldCharType="end"/>
        </w:r>
      </w:hyperlink>
    </w:p>
    <w:p w14:paraId="601C03CD"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50" w:history="1">
        <w:r w:rsidR="00B33153">
          <w:rPr>
            <w:rStyle w:val="a6"/>
            <w:rFonts w:ascii="宋体" w:hAnsi="宋体" w:hint="eastAsia"/>
            <w:noProof/>
            <w:sz w:val="24"/>
            <w:szCs w:val="24"/>
          </w:rPr>
          <w:t>十七、违约责任</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_Toc440289550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44</w:t>
        </w:r>
        <w:r w:rsidR="009D22CB">
          <w:rPr>
            <w:rFonts w:ascii="宋体" w:hAnsi="宋体"/>
            <w:noProof/>
            <w:sz w:val="24"/>
            <w:szCs w:val="24"/>
          </w:rPr>
          <w:fldChar w:fldCharType="end"/>
        </w:r>
      </w:hyperlink>
    </w:p>
    <w:p w14:paraId="2DCABA19"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52" w:history="1">
        <w:r w:rsidR="00B33153">
          <w:rPr>
            <w:rStyle w:val="a6"/>
            <w:rFonts w:ascii="宋体" w:hAnsi="宋体" w:hint="eastAsia"/>
            <w:noProof/>
            <w:sz w:val="24"/>
            <w:szCs w:val="24"/>
          </w:rPr>
          <w:t>十八、争议解决方式</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_Toc440289552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45</w:t>
        </w:r>
        <w:r w:rsidR="009D22CB">
          <w:rPr>
            <w:rFonts w:ascii="宋体" w:hAnsi="宋体"/>
            <w:noProof/>
            <w:sz w:val="24"/>
            <w:szCs w:val="24"/>
          </w:rPr>
          <w:fldChar w:fldCharType="end"/>
        </w:r>
      </w:hyperlink>
    </w:p>
    <w:p w14:paraId="555216C4"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53" w:history="1">
        <w:r w:rsidR="00B33153">
          <w:rPr>
            <w:rStyle w:val="a6"/>
            <w:rFonts w:ascii="宋体" w:hAnsi="宋体" w:hint="eastAsia"/>
            <w:noProof/>
            <w:sz w:val="24"/>
            <w:szCs w:val="24"/>
          </w:rPr>
          <w:t>十九、托管协议的效力</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_Toc440289553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46</w:t>
        </w:r>
        <w:r w:rsidR="009D22CB">
          <w:rPr>
            <w:rFonts w:ascii="宋体" w:hAnsi="宋体"/>
            <w:noProof/>
            <w:sz w:val="24"/>
            <w:szCs w:val="24"/>
          </w:rPr>
          <w:fldChar w:fldCharType="end"/>
        </w:r>
      </w:hyperlink>
    </w:p>
    <w:p w14:paraId="49403432"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55" w:history="1">
        <w:r w:rsidR="00B33153">
          <w:rPr>
            <w:rStyle w:val="a6"/>
            <w:rFonts w:ascii="宋体" w:hAnsi="宋体" w:hint="eastAsia"/>
            <w:noProof/>
            <w:sz w:val="24"/>
            <w:szCs w:val="24"/>
          </w:rPr>
          <w:t>二十、其他事项</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_Toc440289555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47</w:t>
        </w:r>
        <w:r w:rsidR="009D22CB">
          <w:rPr>
            <w:rFonts w:ascii="宋体" w:hAnsi="宋体"/>
            <w:noProof/>
            <w:sz w:val="24"/>
            <w:szCs w:val="24"/>
          </w:rPr>
          <w:fldChar w:fldCharType="end"/>
        </w:r>
      </w:hyperlink>
    </w:p>
    <w:p w14:paraId="3F1F3795" w14:textId="77777777" w:rsidR="00B33153" w:rsidRDefault="00E87CA6">
      <w:pPr>
        <w:pStyle w:val="10"/>
        <w:tabs>
          <w:tab w:val="right" w:leader="dot" w:pos="8302"/>
        </w:tabs>
        <w:spacing w:after="0" w:line="360" w:lineRule="auto"/>
        <w:jc w:val="center"/>
        <w:rPr>
          <w:rFonts w:ascii="宋体" w:hAnsi="宋体"/>
          <w:noProof/>
          <w:kern w:val="2"/>
          <w:sz w:val="24"/>
          <w:szCs w:val="24"/>
        </w:rPr>
      </w:pPr>
      <w:hyperlink w:anchor="_Toc440289557" w:history="1">
        <w:r w:rsidR="00B33153">
          <w:rPr>
            <w:rStyle w:val="a6"/>
            <w:rFonts w:ascii="宋体" w:hAnsi="宋体" w:hint="eastAsia"/>
            <w:noProof/>
            <w:sz w:val="24"/>
            <w:szCs w:val="24"/>
          </w:rPr>
          <w:t>二十一、托管协议的签订</w:t>
        </w:r>
        <w:r w:rsidR="00B33153">
          <w:rPr>
            <w:rFonts w:ascii="宋体" w:hAnsi="宋体"/>
            <w:noProof/>
            <w:sz w:val="24"/>
            <w:szCs w:val="24"/>
          </w:rPr>
          <w:tab/>
        </w:r>
        <w:r w:rsidR="009D22CB">
          <w:rPr>
            <w:rFonts w:ascii="宋体" w:hAnsi="宋体"/>
            <w:noProof/>
            <w:sz w:val="24"/>
            <w:szCs w:val="24"/>
          </w:rPr>
          <w:fldChar w:fldCharType="begin"/>
        </w:r>
        <w:r w:rsidR="00B33153">
          <w:rPr>
            <w:rFonts w:ascii="宋体" w:hAnsi="宋体"/>
            <w:noProof/>
            <w:sz w:val="24"/>
            <w:szCs w:val="24"/>
          </w:rPr>
          <w:instrText xml:space="preserve"> PAGEREF _Toc440289557 \h </w:instrText>
        </w:r>
        <w:r w:rsidR="009D22CB">
          <w:rPr>
            <w:rFonts w:ascii="宋体" w:hAnsi="宋体"/>
            <w:noProof/>
            <w:sz w:val="24"/>
            <w:szCs w:val="24"/>
          </w:rPr>
        </w:r>
        <w:r w:rsidR="009D22CB">
          <w:rPr>
            <w:rFonts w:ascii="宋体" w:hAnsi="宋体"/>
            <w:noProof/>
            <w:sz w:val="24"/>
            <w:szCs w:val="24"/>
          </w:rPr>
          <w:fldChar w:fldCharType="separate"/>
        </w:r>
        <w:r w:rsidR="004A36F0">
          <w:rPr>
            <w:rFonts w:ascii="宋体" w:hAnsi="宋体"/>
            <w:noProof/>
            <w:sz w:val="24"/>
            <w:szCs w:val="24"/>
          </w:rPr>
          <w:t>48</w:t>
        </w:r>
        <w:r w:rsidR="009D22CB">
          <w:rPr>
            <w:rFonts w:ascii="宋体" w:hAnsi="宋体"/>
            <w:noProof/>
            <w:sz w:val="24"/>
            <w:szCs w:val="24"/>
          </w:rPr>
          <w:fldChar w:fldCharType="end"/>
        </w:r>
      </w:hyperlink>
    </w:p>
    <w:p w14:paraId="2BA42BAB" w14:textId="77777777" w:rsidR="00B33153" w:rsidRDefault="009D22CB">
      <w:pPr>
        <w:spacing w:line="360" w:lineRule="auto"/>
        <w:jc w:val="center"/>
        <w:rPr>
          <w:rFonts w:ascii="宋体" w:hAnsi="宋体"/>
          <w:sz w:val="24"/>
          <w:szCs w:val="24"/>
        </w:rPr>
      </w:pPr>
      <w:r>
        <w:rPr>
          <w:rFonts w:ascii="宋体" w:hAnsi="宋体"/>
          <w:kern w:val="0"/>
          <w:sz w:val="24"/>
          <w:szCs w:val="24"/>
        </w:rPr>
        <w:fldChar w:fldCharType="end"/>
      </w:r>
    </w:p>
    <w:p w14:paraId="542BFF1C" w14:textId="77777777" w:rsidR="00B33153" w:rsidRDefault="00B33153">
      <w:pPr>
        <w:spacing w:line="360" w:lineRule="auto"/>
        <w:ind w:firstLineChars="200" w:firstLine="480"/>
        <w:rPr>
          <w:rFonts w:ascii="宋体" w:hAnsi="宋体"/>
          <w:sz w:val="24"/>
          <w:szCs w:val="24"/>
        </w:rPr>
      </w:pPr>
    </w:p>
    <w:p w14:paraId="36E6B3A8" w14:textId="77777777" w:rsidR="00B33153" w:rsidRDefault="00B33153">
      <w:pPr>
        <w:spacing w:line="360" w:lineRule="auto"/>
        <w:ind w:firstLineChars="200" w:firstLine="480"/>
        <w:rPr>
          <w:rFonts w:ascii="宋体" w:hAnsi="宋体"/>
          <w:sz w:val="24"/>
          <w:szCs w:val="24"/>
        </w:rPr>
        <w:sectPr w:rsidR="00B33153">
          <w:headerReference w:type="default" r:id="rId12"/>
          <w:footerReference w:type="default" r:id="rId13"/>
          <w:headerReference w:type="first" r:id="rId14"/>
          <w:footerReference w:type="first" r:id="rId15"/>
          <w:pgSz w:w="11906" w:h="16838"/>
          <w:pgMar w:top="1440" w:right="1797" w:bottom="1440" w:left="1797" w:header="851" w:footer="992" w:gutter="0"/>
          <w:cols w:space="720"/>
          <w:docGrid w:type="lines" w:linePitch="312"/>
        </w:sectPr>
      </w:pPr>
    </w:p>
    <w:p w14:paraId="4B870FBE" w14:textId="77777777" w:rsidR="00B33153" w:rsidRDefault="00B33153">
      <w:pPr>
        <w:spacing w:line="360" w:lineRule="auto"/>
        <w:ind w:firstLineChars="200" w:firstLine="480"/>
        <w:rPr>
          <w:rFonts w:ascii="宋体" w:hAnsi="宋体"/>
          <w:sz w:val="24"/>
          <w:szCs w:val="24"/>
        </w:rPr>
      </w:pPr>
    </w:p>
    <w:p w14:paraId="1773D27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鉴于富荣基金管理有限公司系一家依照中国法律合法成立并有效存续的有限责任公司，按照相关法律法规的规定具备担任基金管理人的资格和能力，拟募集发行富荣富兴纯债债券型证券投资基金；</w:t>
      </w:r>
    </w:p>
    <w:p w14:paraId="515D6B3B"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鉴于包商银行股份有限公司系一家依照中国法律合法成立并有效存续的银行，按照相关法律法规的规定具备担任基金托管人的资格和能力；</w:t>
      </w:r>
    </w:p>
    <w:p w14:paraId="07E78E07"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鉴于富荣基金管理有限公司拟担任富荣富兴纯债债券型证券投资基金的基金管理人，包商银行股份有限公司拟担任富荣富兴纯债债券型证券投资基金的基金托管人；</w:t>
      </w:r>
    </w:p>
    <w:p w14:paraId="594062FB"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为明确富荣富兴纯债债券型证券投资基金的基金管理人和基金托管人之间的权利义务关系，特制订本托管协议；</w:t>
      </w:r>
    </w:p>
    <w:p w14:paraId="1622191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除非另有约定，《富荣富兴纯债债券型证券投资基金基金合同》(以下简称“基金合同”)中定义的术语在用于本托管协议时应具有相同的含义；若有抵触应以基金合同为准，并依其条款解释。</w:t>
      </w:r>
    </w:p>
    <w:p w14:paraId="352A56E3" w14:textId="77777777" w:rsidR="00B33153" w:rsidRDefault="00B33153" w:rsidP="00C51254">
      <w:pPr>
        <w:spacing w:afterLines="100" w:after="312" w:line="360" w:lineRule="auto"/>
        <w:jc w:val="center"/>
        <w:outlineLvl w:val="0"/>
      </w:pPr>
      <w:r>
        <w:rPr>
          <w:rFonts w:ascii="宋体" w:hAnsi="宋体"/>
          <w:sz w:val="24"/>
          <w:szCs w:val="24"/>
        </w:rPr>
        <w:br w:type="page"/>
      </w:r>
      <w:bookmarkStart w:id="1" w:name="_Toc440289529"/>
      <w:r>
        <w:rPr>
          <w:rFonts w:hint="eastAsia"/>
          <w:b/>
          <w:sz w:val="30"/>
          <w:szCs w:val="30"/>
        </w:rPr>
        <w:lastRenderedPageBreak/>
        <w:t>一、基金托管协议当事人</w:t>
      </w:r>
      <w:bookmarkEnd w:id="1"/>
    </w:p>
    <w:p w14:paraId="345404C7"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（一）基金管理人</w:t>
      </w:r>
    </w:p>
    <w:p w14:paraId="1648169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66987A72"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029E597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办公地址：深圳市福田区深南大道2012号深圳证券交易所广场3501室</w:t>
      </w:r>
    </w:p>
    <w:p w14:paraId="0FDAA28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邮政编码：518038</w:t>
      </w:r>
    </w:p>
    <w:p w14:paraId="51996098"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法定代表人：刘志军</w:t>
      </w:r>
    </w:p>
    <w:p w14:paraId="041B925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30CAF03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批准设立机关及批准设立文号：中国证券监督管理委员会、证监许可[2015]3118号</w:t>
      </w:r>
    </w:p>
    <w:p w14:paraId="746F816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74C3D7BB"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注册资本： 2亿元人民币</w:t>
      </w:r>
    </w:p>
    <w:p w14:paraId="18380B42"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3914B33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经营范围：基金募集、基金销售、资产管理、特定客户资产管理和中国证监会许可的其他业务</w:t>
      </w:r>
    </w:p>
    <w:p w14:paraId="6A2C8026" w14:textId="77777777" w:rsidR="00B33153" w:rsidRPr="00D57835" w:rsidRDefault="00B33153" w:rsidP="00C51254">
      <w:pPr>
        <w:spacing w:beforeLines="50" w:before="156" w:afterLines="50" w:after="156" w:line="440" w:lineRule="exact"/>
        <w:ind w:firstLineChars="200" w:firstLine="480"/>
        <w:rPr>
          <w:rFonts w:ascii="宋体" w:hAnsi="宋体"/>
          <w:sz w:val="24"/>
          <w:szCs w:val="24"/>
        </w:rPr>
      </w:pPr>
      <w:r w:rsidRPr="00D57835">
        <w:rPr>
          <w:rFonts w:ascii="宋体" w:hAnsi="宋体" w:hint="eastAsia"/>
          <w:sz w:val="24"/>
          <w:szCs w:val="24"/>
        </w:rPr>
        <w:t>电话</w:t>
      </w:r>
      <w:r w:rsidRPr="00D57835">
        <w:rPr>
          <w:rFonts w:ascii="宋体" w:hAnsi="宋体"/>
          <w:sz w:val="24"/>
          <w:szCs w:val="24"/>
        </w:rPr>
        <w:t>：</w:t>
      </w:r>
      <w:r w:rsidR="00314265" w:rsidRPr="00D57835">
        <w:rPr>
          <w:rFonts w:ascii="宋体" w:hAnsi="宋体" w:hint="eastAsia"/>
          <w:sz w:val="24"/>
          <w:szCs w:val="24"/>
        </w:rPr>
        <w:t>0755-84356635</w:t>
      </w:r>
    </w:p>
    <w:p w14:paraId="483D27F7" w14:textId="77777777" w:rsidR="006B0660" w:rsidRPr="00D57835" w:rsidRDefault="00B33153" w:rsidP="00C51254">
      <w:pPr>
        <w:spacing w:beforeLines="50" w:before="156" w:afterLines="50" w:after="156" w:line="440" w:lineRule="exact"/>
        <w:ind w:firstLineChars="200" w:firstLine="480"/>
        <w:rPr>
          <w:rFonts w:ascii="宋体" w:hAnsi="宋体"/>
          <w:sz w:val="24"/>
          <w:szCs w:val="24"/>
        </w:rPr>
      </w:pPr>
      <w:r w:rsidRPr="00D57835">
        <w:rPr>
          <w:rFonts w:ascii="宋体" w:hAnsi="宋体" w:hint="eastAsia"/>
          <w:sz w:val="24"/>
          <w:szCs w:val="24"/>
        </w:rPr>
        <w:t>传真</w:t>
      </w:r>
      <w:r w:rsidRPr="00D57835">
        <w:rPr>
          <w:rFonts w:ascii="宋体" w:hAnsi="宋体"/>
          <w:sz w:val="24"/>
          <w:szCs w:val="24"/>
        </w:rPr>
        <w:t>：</w:t>
      </w:r>
      <w:r w:rsidR="00314265" w:rsidRPr="00D57835">
        <w:rPr>
          <w:rFonts w:ascii="宋体" w:hAnsi="宋体" w:hint="eastAsia"/>
          <w:sz w:val="24"/>
          <w:szCs w:val="24"/>
        </w:rPr>
        <w:t>0755-83230787</w:t>
      </w:r>
    </w:p>
    <w:p w14:paraId="6D3319BA" w14:textId="77777777" w:rsidR="00B33153" w:rsidRDefault="00B33153" w:rsidP="002F3785">
      <w:pPr>
        <w:spacing w:line="360" w:lineRule="auto"/>
        <w:ind w:firstLineChars="200" w:firstLine="480"/>
        <w:rPr>
          <w:rFonts w:ascii="宋体" w:hAnsi="宋体"/>
          <w:sz w:val="24"/>
          <w:szCs w:val="24"/>
        </w:rPr>
      </w:pPr>
      <w:r>
        <w:rPr>
          <w:rFonts w:ascii="宋体" w:hAnsi="宋体" w:hint="eastAsia"/>
          <w:sz w:val="24"/>
          <w:szCs w:val="24"/>
        </w:rPr>
        <w:t>（二）基金托管人</w:t>
      </w:r>
    </w:p>
    <w:p w14:paraId="5C6EDD18"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名称：包商银行股份有限公司</w:t>
      </w:r>
    </w:p>
    <w:p w14:paraId="2424CA8C"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注册地址：包头市青山区钢铁大街 6号</w:t>
      </w:r>
    </w:p>
    <w:p w14:paraId="327B14C2"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办公地址：深圳市福田区金田路3038号现代国际大厦2805</w:t>
      </w:r>
    </w:p>
    <w:p w14:paraId="36D81D49"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邮政编码：</w:t>
      </w:r>
      <w:r>
        <w:rPr>
          <w:rFonts w:ascii="宋体" w:hAnsi="宋体"/>
          <w:sz w:val="24"/>
          <w:szCs w:val="24"/>
        </w:rPr>
        <w:t xml:space="preserve"> </w:t>
      </w:r>
      <w:r>
        <w:rPr>
          <w:rFonts w:ascii="宋体" w:hAnsi="宋体" w:hint="eastAsia"/>
          <w:sz w:val="24"/>
          <w:szCs w:val="24"/>
        </w:rPr>
        <w:t>518033</w:t>
      </w:r>
    </w:p>
    <w:p w14:paraId="1BE845F3"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法定代表人：李镇西</w:t>
      </w:r>
    </w:p>
    <w:p w14:paraId="38D0393E" w14:textId="054BEBB8" w:rsidR="00B33153" w:rsidRDefault="00B33153">
      <w:pPr>
        <w:spacing w:line="360" w:lineRule="auto"/>
        <w:ind w:firstLineChars="200" w:firstLine="480"/>
        <w:rPr>
          <w:rFonts w:ascii="宋体" w:hAnsi="宋体"/>
          <w:sz w:val="24"/>
          <w:szCs w:val="24"/>
        </w:rPr>
      </w:pPr>
      <w:r>
        <w:rPr>
          <w:rFonts w:ascii="宋体" w:hAnsi="宋体" w:hint="eastAsia"/>
          <w:sz w:val="24"/>
          <w:szCs w:val="24"/>
        </w:rPr>
        <w:t>成立日期：1998年12月</w:t>
      </w:r>
      <w:r w:rsidR="00832A1C">
        <w:rPr>
          <w:rFonts w:ascii="宋体" w:hAnsi="宋体"/>
          <w:sz w:val="24"/>
          <w:szCs w:val="24"/>
        </w:rPr>
        <w:t>16</w:t>
      </w:r>
      <w:r>
        <w:rPr>
          <w:rFonts w:ascii="宋体" w:hAnsi="宋体" w:hint="eastAsia"/>
          <w:sz w:val="24"/>
          <w:szCs w:val="24"/>
        </w:rPr>
        <w:t>日</w:t>
      </w:r>
      <w:r>
        <w:rPr>
          <w:rFonts w:ascii="宋体" w:hAnsi="宋体"/>
          <w:sz w:val="24"/>
          <w:szCs w:val="24"/>
        </w:rPr>
        <w:t xml:space="preserve"> </w:t>
      </w:r>
    </w:p>
    <w:p w14:paraId="2730E1A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组织形式：</w:t>
      </w:r>
      <w:r>
        <w:rPr>
          <w:rFonts w:hint="eastAsia"/>
          <w:bCs/>
          <w:sz w:val="24"/>
        </w:rPr>
        <w:t>股份有限公司</w:t>
      </w:r>
    </w:p>
    <w:p w14:paraId="194EA81B" w14:textId="2E85FC2B" w:rsidR="00B33153" w:rsidRDefault="00B33153">
      <w:pPr>
        <w:spacing w:line="360" w:lineRule="auto"/>
        <w:ind w:firstLineChars="200" w:firstLine="480"/>
        <w:rPr>
          <w:rFonts w:ascii="宋体" w:hAnsi="宋体"/>
          <w:sz w:val="24"/>
          <w:szCs w:val="24"/>
        </w:rPr>
      </w:pPr>
      <w:r>
        <w:rPr>
          <w:rFonts w:ascii="宋体" w:hAnsi="宋体" w:hint="eastAsia"/>
          <w:sz w:val="24"/>
          <w:szCs w:val="24"/>
        </w:rPr>
        <w:t>注册资本：</w:t>
      </w:r>
      <w:r w:rsidR="00DF69A9">
        <w:rPr>
          <w:rFonts w:ascii="宋体" w:hAnsi="宋体" w:hint="eastAsia"/>
          <w:sz w:val="24"/>
          <w:szCs w:val="24"/>
        </w:rPr>
        <w:t>43.</w:t>
      </w:r>
      <w:r w:rsidR="00DF69A9">
        <w:rPr>
          <w:rFonts w:ascii="宋体" w:hAnsi="宋体"/>
          <w:sz w:val="24"/>
          <w:szCs w:val="24"/>
        </w:rPr>
        <w:t>00771898</w:t>
      </w:r>
      <w:r>
        <w:rPr>
          <w:rFonts w:ascii="宋体" w:hAnsi="宋体" w:hint="eastAsia"/>
          <w:sz w:val="24"/>
          <w:szCs w:val="24"/>
        </w:rPr>
        <w:t>亿元人民币</w:t>
      </w:r>
    </w:p>
    <w:p w14:paraId="7993C9C1"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存续期间：</w:t>
      </w:r>
      <w:r>
        <w:rPr>
          <w:rFonts w:hint="eastAsia"/>
          <w:bCs/>
          <w:sz w:val="24"/>
        </w:rPr>
        <w:t>持续经营</w:t>
      </w:r>
    </w:p>
    <w:p w14:paraId="35AFE8ED" w14:textId="77777777" w:rsidR="00B33153" w:rsidRDefault="00B33153">
      <w:pPr>
        <w:spacing w:line="360" w:lineRule="auto"/>
        <w:ind w:firstLineChars="200" w:firstLine="480"/>
        <w:rPr>
          <w:rFonts w:ascii="宋体" w:hAnsi="宋体"/>
          <w:sz w:val="24"/>
          <w:szCs w:val="24"/>
        </w:rPr>
      </w:pPr>
      <w:r>
        <w:rPr>
          <w:rFonts w:ascii="宋体" w:hAnsi="宋体"/>
          <w:sz w:val="24"/>
          <w:szCs w:val="24"/>
        </w:rPr>
        <w:t>电话：</w:t>
      </w:r>
      <w:r>
        <w:rPr>
          <w:rFonts w:ascii="宋体" w:hAnsi="宋体" w:hint="eastAsia"/>
          <w:sz w:val="24"/>
          <w:szCs w:val="24"/>
        </w:rPr>
        <w:t xml:space="preserve"> 0755-33352055</w:t>
      </w:r>
    </w:p>
    <w:p w14:paraId="388790A8" w14:textId="77777777" w:rsidR="00B33153" w:rsidRDefault="00B33153">
      <w:pPr>
        <w:tabs>
          <w:tab w:val="left" w:pos="3765"/>
        </w:tabs>
        <w:spacing w:line="360" w:lineRule="auto"/>
        <w:ind w:firstLineChars="200" w:firstLine="480"/>
        <w:rPr>
          <w:rFonts w:ascii="宋体" w:hAnsi="宋体"/>
          <w:sz w:val="24"/>
          <w:szCs w:val="24"/>
        </w:rPr>
      </w:pPr>
      <w:r>
        <w:rPr>
          <w:rFonts w:ascii="宋体" w:hAnsi="宋体"/>
          <w:sz w:val="24"/>
          <w:szCs w:val="24"/>
        </w:rPr>
        <w:lastRenderedPageBreak/>
        <w:t>传真：</w:t>
      </w:r>
      <w:r>
        <w:rPr>
          <w:rFonts w:ascii="宋体" w:hAnsi="宋体" w:hint="eastAsia"/>
          <w:sz w:val="24"/>
          <w:szCs w:val="24"/>
        </w:rPr>
        <w:t xml:space="preserve"> 0755-33352053</w:t>
      </w:r>
      <w:r>
        <w:rPr>
          <w:rFonts w:ascii="宋体" w:hAnsi="宋体"/>
          <w:sz w:val="24"/>
          <w:szCs w:val="24"/>
        </w:rPr>
        <w:tab/>
      </w:r>
    </w:p>
    <w:p w14:paraId="43C55E97" w14:textId="77777777" w:rsidR="00B33153" w:rsidRDefault="00B33153" w:rsidP="00C51254">
      <w:pPr>
        <w:spacing w:afterLines="100" w:after="312" w:line="360" w:lineRule="auto"/>
        <w:jc w:val="center"/>
        <w:outlineLvl w:val="0"/>
      </w:pPr>
      <w:r>
        <w:rPr>
          <w:rFonts w:ascii="宋体" w:hAnsi="宋体"/>
          <w:sz w:val="24"/>
          <w:szCs w:val="24"/>
        </w:rPr>
        <w:br w:type="page"/>
      </w:r>
      <w:bookmarkStart w:id="2" w:name="_Toc440289530"/>
      <w:r>
        <w:rPr>
          <w:rFonts w:hint="eastAsia"/>
          <w:b/>
          <w:sz w:val="30"/>
          <w:szCs w:val="30"/>
        </w:rPr>
        <w:lastRenderedPageBreak/>
        <w:t>二、基金托管协议的依据、目的、原则和解释</w:t>
      </w:r>
      <w:bookmarkEnd w:id="2"/>
    </w:p>
    <w:p w14:paraId="05CA8D5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（一）订立托管协议的依据</w:t>
      </w:r>
    </w:p>
    <w:p w14:paraId="469DFFB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本协议依据《中华人民共和国合同法》、《中华人民共和国证券投资基金法》(以下简称“《基金法》”) 《公开募集证券投资基金运作管理办法》（以下称“《运作办法》”）、《证券投资基金信息披露管理办法》（以下称“《信息披露管理办法》”）等有关法律法规、《富荣富兴纯债债券型证券投资基金基金合同》（以下称“基金合同”）及其他有关规定制订。</w:t>
      </w:r>
    </w:p>
    <w:p w14:paraId="36676AD7"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（二）订立托管协议的目的</w:t>
      </w:r>
    </w:p>
    <w:p w14:paraId="387A9AC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订立本协议的目的是明确基金管理人与基金托管人之间在基金财产的保管、投资运作、净值计算、收益分配、信息披露及相互监督等相关事宜中的权利义务及职责，确保基金财产的安全，保护基金份额持有人的合法权益。</w:t>
      </w:r>
    </w:p>
    <w:p w14:paraId="529010D1"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（三）订立托管协议的原则</w:t>
      </w:r>
    </w:p>
    <w:p w14:paraId="7BE203E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基金管理人和基金托管人本着平等自愿、诚实信用、充分保护基金份额持有人合法权益的原则，经协商一致，签订本协议。</w:t>
      </w:r>
    </w:p>
    <w:p w14:paraId="28BDB1C8"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（四）解释</w:t>
      </w:r>
    </w:p>
    <w:p w14:paraId="105A03ED"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除非文义另有所指，本托管协议的所有术语与基金合同的相应术语具有相同含义。</w:t>
      </w:r>
    </w:p>
    <w:p w14:paraId="68554C66" w14:textId="77777777" w:rsidR="00B33153" w:rsidRDefault="00B33153" w:rsidP="00C51254">
      <w:pPr>
        <w:spacing w:afterLines="100" w:after="312" w:line="360" w:lineRule="auto"/>
        <w:jc w:val="center"/>
        <w:outlineLvl w:val="0"/>
      </w:pPr>
      <w:r>
        <w:rPr>
          <w:rFonts w:ascii="宋体" w:hAnsi="宋体"/>
          <w:sz w:val="24"/>
          <w:szCs w:val="24"/>
        </w:rPr>
        <w:br w:type="page"/>
      </w:r>
      <w:bookmarkStart w:id="3" w:name="_Toc440289531"/>
      <w:r>
        <w:rPr>
          <w:rFonts w:hint="eastAsia"/>
          <w:b/>
          <w:sz w:val="30"/>
          <w:szCs w:val="30"/>
        </w:rPr>
        <w:lastRenderedPageBreak/>
        <w:t>三、基金托管人对基金管理人的业务监督和核查</w:t>
      </w:r>
      <w:bookmarkEnd w:id="3"/>
    </w:p>
    <w:p w14:paraId="2B60D2D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（一）基金托管人根据有关法律法规的规定及基金合同的约定，对基金投资范围、投资对象进行监督。</w:t>
      </w:r>
    </w:p>
    <w:p w14:paraId="3C84C677"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4CBE8697" w14:textId="1ED84536" w:rsidR="00B33153" w:rsidRDefault="00B33153">
      <w:pPr>
        <w:spacing w:line="360" w:lineRule="auto"/>
        <w:ind w:firstLineChars="200" w:firstLine="480"/>
        <w:rPr>
          <w:rFonts w:ascii="Times New Roman" w:hAnsi="Times New Roman"/>
          <w:sz w:val="24"/>
        </w:rPr>
      </w:pPr>
      <w:r>
        <w:rPr>
          <w:rFonts w:ascii="Times New Roman" w:hAnsi="Times New Roman" w:hint="eastAsia"/>
          <w:sz w:val="24"/>
        </w:rPr>
        <w:t>本基金的投资范围主要为具有良好流动性的</w:t>
      </w:r>
      <w:r w:rsidR="005B2F02" w:rsidRPr="007A7A77">
        <w:rPr>
          <w:rFonts w:ascii="Times New Roman" w:hAnsi="Times New Roman" w:hint="eastAsia"/>
          <w:sz w:val="24"/>
        </w:rPr>
        <w:t>金融工具</w:t>
      </w:r>
      <w:r>
        <w:rPr>
          <w:rFonts w:ascii="Times New Roman" w:hAnsi="Times New Roman" w:hint="eastAsia"/>
          <w:sz w:val="24"/>
        </w:rPr>
        <w:t>，包括国债、金融债、企业债、公司债、央行票据、中期票据、短期融资券、中小企业私募债</w:t>
      </w:r>
      <w:r w:rsidR="004554E1">
        <w:rPr>
          <w:rFonts w:ascii="Times New Roman" w:hAnsi="Times New Roman" w:hint="eastAsia"/>
          <w:sz w:val="24"/>
        </w:rPr>
        <w:t>券</w:t>
      </w:r>
      <w:r>
        <w:rPr>
          <w:rFonts w:ascii="Times New Roman" w:hAnsi="Times New Roman" w:hint="eastAsia"/>
          <w:sz w:val="24"/>
        </w:rPr>
        <w:t>、资产支持证券、次级债、可分离交易可转债的纯债部分、债券回购、银行存款等法律法规或中国证监会允许基金投资的其他金融工具（但须符合中国证监会的相关规定）。</w:t>
      </w:r>
    </w:p>
    <w:p w14:paraId="443E3402" w14:textId="133D915B" w:rsidR="00B33153" w:rsidRDefault="00B33153">
      <w:pPr>
        <w:spacing w:line="360" w:lineRule="auto"/>
        <w:ind w:firstLineChars="200" w:firstLine="480"/>
        <w:rPr>
          <w:rFonts w:ascii="Times New Roman" w:hAnsi="Times New Roman"/>
          <w:sz w:val="24"/>
        </w:rPr>
      </w:pPr>
      <w:r>
        <w:rPr>
          <w:rFonts w:ascii="Times New Roman" w:hAnsi="Times New Roman" w:hint="eastAsia"/>
          <w:sz w:val="24"/>
        </w:rPr>
        <w:t>本基金不投资于股票</w:t>
      </w:r>
      <w:r w:rsidR="005B2F02">
        <w:rPr>
          <w:rFonts w:ascii="Times New Roman" w:hAnsi="Times New Roman" w:hint="eastAsia"/>
          <w:sz w:val="24"/>
        </w:rPr>
        <w:t>和</w:t>
      </w:r>
      <w:r>
        <w:rPr>
          <w:rFonts w:ascii="Times New Roman" w:hAnsi="Times New Roman" w:hint="eastAsia"/>
          <w:sz w:val="24"/>
        </w:rPr>
        <w:t>权证，也不投资于可转换债券（可分离交易可转债的纯债部分除外）、可交换债券。</w:t>
      </w:r>
    </w:p>
    <w:p w14:paraId="215E12CF" w14:textId="15063141" w:rsidR="00B33153" w:rsidRDefault="00B33153">
      <w:pPr>
        <w:spacing w:line="360" w:lineRule="auto"/>
        <w:ind w:firstLineChars="200" w:firstLine="480"/>
        <w:rPr>
          <w:rFonts w:ascii="Times New Roman" w:hAnsi="Times New Roman"/>
          <w:sz w:val="24"/>
        </w:rPr>
      </w:pPr>
      <w:r>
        <w:rPr>
          <w:rFonts w:ascii="Times New Roman" w:hAnsi="Times New Roman" w:hint="eastAsia"/>
          <w:sz w:val="24"/>
        </w:rPr>
        <w:t>基金的投资组合比例为：本基金对债券的投资比例不低于基金资产的</w:t>
      </w:r>
      <w:r>
        <w:rPr>
          <w:rFonts w:ascii="Times New Roman" w:hAnsi="Times New Roman" w:hint="eastAsia"/>
          <w:sz w:val="24"/>
        </w:rPr>
        <w:t>80</w:t>
      </w:r>
      <w:r>
        <w:rPr>
          <w:rFonts w:ascii="Times New Roman" w:hAnsi="Times New Roman" w:hint="eastAsia"/>
          <w:sz w:val="24"/>
        </w:rPr>
        <w:t>％；本基金持有现金或者到期日在一年以内的政府债券投资比例不低于基金资产净值的</w:t>
      </w:r>
      <w:r>
        <w:rPr>
          <w:rFonts w:ascii="Times New Roman" w:hAnsi="Times New Roman" w:hint="eastAsia"/>
          <w:sz w:val="24"/>
        </w:rPr>
        <w:t>5%</w:t>
      </w:r>
      <w:r w:rsidR="00844AC1" w:rsidRPr="00844AC1">
        <w:rPr>
          <w:rFonts w:ascii="Times New Roman" w:hAnsi="Times New Roman" w:hint="eastAsia"/>
          <w:sz w:val="24"/>
        </w:rPr>
        <w:t>，其中，现金不包括结算备付金、存出保证金、应收申购款</w:t>
      </w:r>
      <w:r>
        <w:rPr>
          <w:rFonts w:ascii="Times New Roman" w:hAnsi="Times New Roman" w:hint="eastAsia"/>
          <w:sz w:val="24"/>
        </w:rPr>
        <w:t>。</w:t>
      </w:r>
    </w:p>
    <w:p w14:paraId="3104601F" w14:textId="77777777" w:rsidR="00B33153" w:rsidRDefault="00B33153">
      <w:pPr>
        <w:spacing w:line="360" w:lineRule="auto"/>
        <w:ind w:firstLineChars="200" w:firstLine="480"/>
        <w:rPr>
          <w:bCs/>
          <w:sz w:val="24"/>
        </w:rPr>
      </w:pPr>
      <w:r>
        <w:rPr>
          <w:rFonts w:ascii="Times New Roman" w:hAnsi="Times New Roman" w:hint="eastAsia"/>
          <w:sz w:val="24"/>
        </w:rPr>
        <w:t>如法律法规或监管机构以后允许基金投资的其他品种，基金管理人在履行适当程序后，可以将其纳入投资范围。</w:t>
      </w:r>
    </w:p>
    <w:p w14:paraId="0FE865B3"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（二）基金托管人根据有关法律法规的规定及基金合同的约定，对基金投资、融资比例进行监督。基金托管人按下述比例和调整期限进行监督：</w:t>
      </w:r>
    </w:p>
    <w:p w14:paraId="61922EBC" w14:textId="77777777" w:rsidR="00B33153" w:rsidRDefault="00B33153">
      <w:pPr>
        <w:spacing w:line="360" w:lineRule="auto"/>
        <w:ind w:firstLineChars="200" w:firstLine="480"/>
        <w:rPr>
          <w:rFonts w:ascii="宋体" w:hAnsi="宋体"/>
          <w:sz w:val="24"/>
        </w:rPr>
      </w:pPr>
      <w:r>
        <w:rPr>
          <w:rFonts w:ascii="宋体" w:hAnsi="宋体" w:hint="eastAsia"/>
          <w:sz w:val="24"/>
        </w:rPr>
        <w:t>（1）本基金对债券的投资比例不低于基金资产的80%；</w:t>
      </w:r>
    </w:p>
    <w:p w14:paraId="4017D0AB" w14:textId="496707D5" w:rsidR="00B33153" w:rsidRDefault="00B33153">
      <w:pPr>
        <w:spacing w:line="360" w:lineRule="auto"/>
        <w:ind w:firstLineChars="200" w:firstLine="480"/>
        <w:rPr>
          <w:rFonts w:ascii="宋体" w:hAnsi="宋体"/>
          <w:sz w:val="24"/>
        </w:rPr>
      </w:pPr>
      <w:r>
        <w:rPr>
          <w:rFonts w:ascii="宋体" w:hAnsi="宋体" w:hint="eastAsia"/>
          <w:sz w:val="24"/>
        </w:rPr>
        <w:t>（2）本基金持有现金或者到期日在一年以内的政府债券投资比例合计不低于基金资产净值的5%</w:t>
      </w:r>
      <w:r w:rsidR="00844AC1" w:rsidRPr="00844AC1">
        <w:rPr>
          <w:rFonts w:ascii="宋体" w:hAnsi="宋体" w:hint="eastAsia"/>
          <w:sz w:val="24"/>
        </w:rPr>
        <w:t>，其中，现金不包括结算备付金、存出保证金、应收申购款</w:t>
      </w:r>
      <w:r>
        <w:rPr>
          <w:rFonts w:ascii="宋体" w:hAnsi="宋体" w:hint="eastAsia"/>
          <w:sz w:val="24"/>
        </w:rPr>
        <w:t>；</w:t>
      </w:r>
    </w:p>
    <w:p w14:paraId="6CACF8F3" w14:textId="77777777" w:rsidR="00B33153" w:rsidRDefault="00B33153">
      <w:pPr>
        <w:spacing w:line="360" w:lineRule="auto"/>
        <w:ind w:firstLineChars="200" w:firstLine="480"/>
        <w:rPr>
          <w:rFonts w:ascii="宋体" w:hAnsi="宋体"/>
          <w:sz w:val="24"/>
        </w:rPr>
      </w:pPr>
      <w:r>
        <w:rPr>
          <w:rFonts w:ascii="宋体" w:hAnsi="宋体" w:hint="eastAsia"/>
          <w:sz w:val="24"/>
        </w:rPr>
        <w:t>（3）本基金持有一家公司发行的证券，其市值不超过基金资产净值的10％；</w:t>
      </w:r>
    </w:p>
    <w:p w14:paraId="42D77165" w14:textId="77777777" w:rsidR="00B33153" w:rsidRDefault="00B33153">
      <w:pPr>
        <w:spacing w:line="360" w:lineRule="auto"/>
        <w:ind w:firstLineChars="200" w:firstLine="480"/>
        <w:rPr>
          <w:rFonts w:ascii="宋体" w:hAnsi="宋体"/>
          <w:sz w:val="24"/>
        </w:rPr>
      </w:pPr>
      <w:r>
        <w:rPr>
          <w:rFonts w:ascii="宋体" w:hAnsi="宋体" w:hint="eastAsia"/>
          <w:sz w:val="24"/>
        </w:rPr>
        <w:t>（4）本基金管理人管理的全部基金持有一家公司发行的证券，不超过该证券的10％；</w:t>
      </w:r>
    </w:p>
    <w:p w14:paraId="5E2617EA" w14:textId="77777777" w:rsidR="00B33153" w:rsidRDefault="00B33153">
      <w:pPr>
        <w:spacing w:line="360" w:lineRule="auto"/>
        <w:ind w:firstLineChars="200" w:firstLine="480"/>
        <w:rPr>
          <w:rFonts w:ascii="宋体" w:hAnsi="宋体"/>
          <w:sz w:val="24"/>
        </w:rPr>
      </w:pPr>
      <w:r>
        <w:rPr>
          <w:rFonts w:ascii="宋体" w:hAnsi="宋体" w:hint="eastAsia"/>
          <w:sz w:val="24"/>
        </w:rPr>
        <w:lastRenderedPageBreak/>
        <w:t>（5）本基金进入全国银行间同业市场进行债券回购的资金余额不得超过基金资产净值的40%；在全国银行间同业市场中的债券回购最长期限为1年，债券回购到期后不展期；</w:t>
      </w:r>
    </w:p>
    <w:p w14:paraId="76705F3F" w14:textId="77777777" w:rsidR="00B33153" w:rsidRDefault="00B33153">
      <w:pPr>
        <w:spacing w:line="360" w:lineRule="auto"/>
        <w:ind w:firstLineChars="200" w:firstLine="480"/>
        <w:rPr>
          <w:rFonts w:ascii="宋体" w:hAnsi="宋体"/>
          <w:sz w:val="24"/>
        </w:rPr>
      </w:pPr>
      <w:r>
        <w:rPr>
          <w:rFonts w:ascii="宋体" w:hAnsi="宋体" w:hint="eastAsia"/>
          <w:sz w:val="24"/>
        </w:rPr>
        <w:t>（6）本基金投资于同一原始权益人的各类资产支持证券的比例，不得超过基金资产净值的10％；</w:t>
      </w:r>
    </w:p>
    <w:p w14:paraId="5002DBA9" w14:textId="77777777" w:rsidR="00B33153" w:rsidRDefault="00B33153">
      <w:pPr>
        <w:spacing w:line="360" w:lineRule="auto"/>
        <w:ind w:firstLineChars="200" w:firstLine="480"/>
        <w:rPr>
          <w:rFonts w:ascii="宋体" w:hAnsi="宋体"/>
          <w:sz w:val="24"/>
        </w:rPr>
      </w:pPr>
      <w:r>
        <w:rPr>
          <w:rFonts w:ascii="宋体" w:hAnsi="宋体" w:hint="eastAsia"/>
          <w:sz w:val="24"/>
        </w:rPr>
        <w:t>（7）本基金持有的全部资产支持证券，其市值不得超过基金资产净值的20％；</w:t>
      </w:r>
    </w:p>
    <w:p w14:paraId="18B1D244" w14:textId="77777777" w:rsidR="00B33153" w:rsidRDefault="00B33153">
      <w:pPr>
        <w:spacing w:line="360" w:lineRule="auto"/>
        <w:ind w:firstLineChars="200" w:firstLine="480"/>
        <w:rPr>
          <w:rFonts w:ascii="宋体" w:hAnsi="宋体"/>
          <w:sz w:val="24"/>
        </w:rPr>
      </w:pPr>
      <w:r>
        <w:rPr>
          <w:rFonts w:ascii="宋体" w:hAnsi="宋体" w:hint="eastAsia"/>
          <w:sz w:val="24"/>
        </w:rPr>
        <w:t>（8）本基金持有的同一(指同一信用级别)资产支持证券的比例，不得超过该资产支持证券规模的10％；</w:t>
      </w:r>
    </w:p>
    <w:p w14:paraId="78DC3572" w14:textId="77777777" w:rsidR="00B33153" w:rsidRDefault="00B33153">
      <w:pPr>
        <w:spacing w:line="360" w:lineRule="auto"/>
        <w:ind w:firstLineChars="200" w:firstLine="480"/>
        <w:rPr>
          <w:rFonts w:ascii="宋体" w:hAnsi="宋体"/>
          <w:sz w:val="24"/>
        </w:rPr>
      </w:pPr>
      <w:r>
        <w:rPr>
          <w:rFonts w:ascii="宋体" w:hAnsi="宋体" w:hint="eastAsia"/>
          <w:sz w:val="24"/>
        </w:rPr>
        <w:t>（9）本基金管理人管理的全部基金投资于同一原始权益人的各类资产支持证券，不得超过其各类资产支持证券合计规模的10％；</w:t>
      </w:r>
    </w:p>
    <w:p w14:paraId="32FB3FD7" w14:textId="77777777" w:rsidR="00B33153" w:rsidRDefault="00B33153">
      <w:pPr>
        <w:spacing w:line="360" w:lineRule="auto"/>
        <w:ind w:firstLineChars="200" w:firstLine="480"/>
        <w:rPr>
          <w:rFonts w:ascii="宋体" w:hAnsi="宋体"/>
          <w:sz w:val="24"/>
        </w:rPr>
      </w:pPr>
      <w:r>
        <w:rPr>
          <w:rFonts w:ascii="宋体" w:hAnsi="宋体" w:hint="eastAsia"/>
          <w:sz w:val="24"/>
        </w:rPr>
        <w:t>（10）本基金应投资于信用级别评级为BBB以上(含BBB)的资产支持证券。基金持有资产支持证券期间，如果其信用等级下降、不再符合投资标准，应在评级报告发布之日起3个月内予以全部卖出；</w:t>
      </w:r>
    </w:p>
    <w:p w14:paraId="6BCCE475" w14:textId="77777777" w:rsidR="00B33153" w:rsidRDefault="00B33153">
      <w:pPr>
        <w:spacing w:line="360" w:lineRule="auto"/>
        <w:ind w:firstLineChars="200" w:firstLine="480"/>
        <w:rPr>
          <w:rFonts w:ascii="宋体" w:hAnsi="宋体"/>
          <w:sz w:val="24"/>
        </w:rPr>
      </w:pPr>
      <w:r>
        <w:rPr>
          <w:rFonts w:ascii="宋体" w:hAnsi="宋体" w:hint="eastAsia"/>
          <w:sz w:val="24"/>
        </w:rPr>
        <w:t>（11）本基金投资于中小企业私募债券比例合计不高于基金资产的10%；</w:t>
      </w:r>
    </w:p>
    <w:p w14:paraId="2E65560A" w14:textId="77777777" w:rsidR="00B33153" w:rsidRDefault="00B33153">
      <w:pPr>
        <w:spacing w:line="360" w:lineRule="auto"/>
        <w:ind w:firstLineChars="200" w:firstLine="480"/>
        <w:rPr>
          <w:rFonts w:ascii="宋体" w:hAnsi="宋体"/>
          <w:sz w:val="24"/>
        </w:rPr>
      </w:pPr>
      <w:r>
        <w:rPr>
          <w:rFonts w:ascii="宋体" w:hAnsi="宋体" w:hint="eastAsia"/>
          <w:sz w:val="24"/>
        </w:rPr>
        <w:t>（12）基金资产总值不得超过基金资产净值的140%；</w:t>
      </w:r>
    </w:p>
    <w:p w14:paraId="163E67D8" w14:textId="4FDF585B" w:rsidR="00844AC1" w:rsidRDefault="00844AC1">
      <w:pPr>
        <w:spacing w:line="360" w:lineRule="auto"/>
        <w:ind w:firstLineChars="200" w:firstLine="480"/>
        <w:rPr>
          <w:rFonts w:ascii="宋体" w:hAnsi="宋体"/>
          <w:sz w:val="24"/>
        </w:rPr>
      </w:pPr>
      <w:r>
        <w:rPr>
          <w:rFonts w:ascii="宋体" w:hAnsi="宋体" w:hint="eastAsia"/>
          <w:sz w:val="24"/>
        </w:rPr>
        <w:t>（13）</w:t>
      </w:r>
      <w:r w:rsidRPr="00844AC1">
        <w:rPr>
          <w:rFonts w:ascii="宋体" w:hAnsi="宋体" w:hint="eastAsia"/>
          <w:sz w:val="24"/>
        </w:rPr>
        <w:t>本基金主动投资于流动性受限资产的市值合计不得超过基金资产净值的15%；</w:t>
      </w:r>
    </w:p>
    <w:p w14:paraId="464D7B6B" w14:textId="5970DBAC" w:rsidR="00844AC1" w:rsidRDefault="00844AC1" w:rsidP="00844AC1">
      <w:pPr>
        <w:spacing w:line="360" w:lineRule="auto"/>
        <w:ind w:firstLineChars="200" w:firstLine="480"/>
        <w:rPr>
          <w:rFonts w:ascii="宋体" w:hAnsi="宋体"/>
          <w:sz w:val="24"/>
        </w:rPr>
      </w:pPr>
      <w:r w:rsidRPr="00844AC1">
        <w:rPr>
          <w:rFonts w:ascii="宋体" w:hAnsi="宋体" w:hint="eastAsia"/>
          <w:sz w:val="24"/>
        </w:rPr>
        <w:t>因证券市场波动、基金规模变动等基金管理人之外的因素致使基金不符合前款所规定比例限制的，基金管理人不得主动新增流动性受限资产的投资</w:t>
      </w:r>
      <w:r>
        <w:rPr>
          <w:rFonts w:ascii="宋体" w:hAnsi="宋体" w:hint="eastAsia"/>
          <w:sz w:val="24"/>
        </w:rPr>
        <w:t>；</w:t>
      </w:r>
    </w:p>
    <w:p w14:paraId="258481FA" w14:textId="7A8CB533" w:rsidR="00844AC1" w:rsidRDefault="00844AC1">
      <w:pPr>
        <w:spacing w:line="360" w:lineRule="auto"/>
        <w:ind w:firstLineChars="200" w:firstLine="480"/>
        <w:rPr>
          <w:rFonts w:ascii="宋体" w:hAnsi="宋体"/>
          <w:sz w:val="24"/>
        </w:rPr>
      </w:pPr>
      <w:r>
        <w:rPr>
          <w:rFonts w:ascii="宋体" w:hAnsi="宋体" w:hint="eastAsia"/>
          <w:sz w:val="24"/>
        </w:rPr>
        <w:t>（14）</w:t>
      </w:r>
      <w:r w:rsidRPr="00844AC1">
        <w:rPr>
          <w:rFonts w:ascii="宋体" w:hAnsi="宋体" w:hint="eastAsia"/>
          <w:sz w:val="24"/>
        </w:rPr>
        <w:t>本基金与私募类证券资管产品及中国证监会认定的其他主体为交易对手开展逆回购交易的，可接受质押品的资质要求应当与基金合同约定的投资范围保持一致</w:t>
      </w:r>
      <w:r>
        <w:rPr>
          <w:rFonts w:ascii="宋体" w:hAnsi="宋体" w:hint="eastAsia"/>
          <w:sz w:val="24"/>
        </w:rPr>
        <w:t>；</w:t>
      </w:r>
    </w:p>
    <w:p w14:paraId="00A28917" w14:textId="3F784071" w:rsidR="00B33153" w:rsidRDefault="00B33153">
      <w:pPr>
        <w:spacing w:line="360" w:lineRule="auto"/>
        <w:ind w:firstLineChars="200" w:firstLine="480"/>
        <w:rPr>
          <w:rFonts w:ascii="宋体" w:hAnsi="宋体"/>
          <w:sz w:val="24"/>
        </w:rPr>
      </w:pPr>
      <w:r>
        <w:rPr>
          <w:rFonts w:ascii="宋体" w:hAnsi="宋体" w:hint="eastAsia"/>
          <w:sz w:val="24"/>
        </w:rPr>
        <w:t>（1</w:t>
      </w:r>
      <w:r w:rsidR="00844AC1">
        <w:rPr>
          <w:rFonts w:ascii="宋体" w:hAnsi="宋体" w:hint="eastAsia"/>
          <w:sz w:val="24"/>
        </w:rPr>
        <w:t>5</w:t>
      </w:r>
      <w:r>
        <w:rPr>
          <w:rFonts w:ascii="宋体" w:hAnsi="宋体" w:hint="eastAsia"/>
          <w:sz w:val="24"/>
        </w:rPr>
        <w:t>）法律法规及中国证监会规定的和《基金合同》约定的其他投资限制。</w:t>
      </w:r>
    </w:p>
    <w:p w14:paraId="7671E775" w14:textId="5A975D39" w:rsidR="00B33153" w:rsidRDefault="002E6011" w:rsidP="002E6011">
      <w:pPr>
        <w:spacing w:line="360" w:lineRule="auto"/>
        <w:ind w:firstLineChars="200" w:firstLine="480"/>
        <w:rPr>
          <w:rFonts w:ascii="宋体" w:hAnsi="宋体"/>
          <w:sz w:val="24"/>
        </w:rPr>
      </w:pPr>
      <w:r w:rsidRPr="002E6011">
        <w:rPr>
          <w:rFonts w:ascii="宋体" w:hAnsi="宋体" w:hint="eastAsia"/>
          <w:sz w:val="24"/>
        </w:rPr>
        <w:t>除上述第（2）、（10）、（13）、（14）条外</w:t>
      </w:r>
      <w:r>
        <w:rPr>
          <w:rFonts w:ascii="宋体" w:hAnsi="宋体" w:hint="eastAsia"/>
          <w:sz w:val="24"/>
        </w:rPr>
        <w:t>，</w:t>
      </w:r>
      <w:r w:rsidR="00B33153">
        <w:rPr>
          <w:rFonts w:ascii="宋体" w:hAnsi="宋体" w:hint="eastAsia"/>
          <w:sz w:val="24"/>
        </w:rPr>
        <w:t>因证券市场波动、证券发行人合并、基金规模变动等基金管理人之外的因素致使基金投资比例不符合上述规定投资比例的，基金管理人应当在10个交易日内进行调整，但中国证监会规定的特殊情形除外。</w:t>
      </w:r>
      <w:r w:rsidR="00D03322" w:rsidRPr="00D03322">
        <w:rPr>
          <w:rFonts w:ascii="宋体" w:hAnsi="宋体" w:hint="eastAsia"/>
          <w:sz w:val="24"/>
        </w:rPr>
        <w:t>法律法规或监管机构另有规定的，从其规定</w:t>
      </w:r>
      <w:r w:rsidR="00D03322">
        <w:rPr>
          <w:rFonts w:ascii="宋体" w:hAnsi="宋体" w:hint="eastAsia"/>
          <w:sz w:val="24"/>
        </w:rPr>
        <w:t>。</w:t>
      </w:r>
    </w:p>
    <w:p w14:paraId="0AC964E0" w14:textId="77777777" w:rsidR="00B33153" w:rsidRDefault="00B33153">
      <w:pPr>
        <w:spacing w:line="360" w:lineRule="auto"/>
        <w:ind w:firstLineChars="200" w:firstLine="480"/>
        <w:rPr>
          <w:rFonts w:ascii="宋体" w:hAnsi="宋体"/>
          <w:sz w:val="24"/>
        </w:rPr>
      </w:pPr>
      <w:r>
        <w:rPr>
          <w:rFonts w:ascii="宋体" w:hAnsi="宋体" w:hint="eastAsia"/>
          <w:sz w:val="24"/>
        </w:rPr>
        <w:t>基金管理人应当自基金合同生效之日起6个月内使基金的投资组合比例符合基金合同的有关约定。在上述期间内，本基金的投资范围、投资策略应当符合</w:t>
      </w:r>
      <w:r>
        <w:rPr>
          <w:rFonts w:ascii="宋体" w:hAnsi="宋体" w:hint="eastAsia"/>
          <w:sz w:val="24"/>
        </w:rPr>
        <w:lastRenderedPageBreak/>
        <w:t>基金合同的约定。基金托管人对基金的投资的监督与检查自基金合同生效之日起开始。</w:t>
      </w:r>
    </w:p>
    <w:p w14:paraId="6B2F9DA5" w14:textId="77777777" w:rsidR="00B33153" w:rsidRDefault="00B33153">
      <w:pPr>
        <w:spacing w:line="360" w:lineRule="auto"/>
        <w:ind w:firstLineChars="200" w:firstLine="480"/>
        <w:rPr>
          <w:rFonts w:ascii="Times New Roman" w:hAnsi="Times New Roman"/>
          <w:sz w:val="24"/>
        </w:rPr>
      </w:pPr>
      <w:r>
        <w:rPr>
          <w:rFonts w:ascii="宋体" w:hAnsi="宋体" w:hint="eastAsia"/>
          <w:sz w:val="24"/>
        </w:rPr>
        <w:t>法律法规或监管部门取消或调整上述限制，如适用于本基金，基金管理人在履行适当程序后，则本基金投资不再受相关限制或按调整后的规定执行。</w:t>
      </w:r>
    </w:p>
    <w:p w14:paraId="1CBFAC98" w14:textId="77777777" w:rsidR="00B33153" w:rsidRDefault="00B33153">
      <w:pPr>
        <w:spacing w:line="360" w:lineRule="auto"/>
        <w:ind w:firstLineChars="200" w:firstLine="480"/>
        <w:rPr>
          <w:bCs/>
          <w:sz w:val="24"/>
        </w:rPr>
      </w:pP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04CFB32"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（三）基金托管人根据有关法律法规的规定及基金合同的约定，对本托管协议第十五条第九款基金投资禁止行为进行监督。</w:t>
      </w:r>
    </w:p>
    <w:p w14:paraId="244D5494" w14:textId="77777777" w:rsidR="00B33153" w:rsidRDefault="00B33153">
      <w:pPr>
        <w:spacing w:line="360" w:lineRule="auto"/>
        <w:ind w:firstLineChars="200" w:firstLine="480"/>
        <w:rPr>
          <w:rFonts w:ascii="Times New Roman" w:hAnsi="Times New Roman"/>
          <w:sz w:val="24"/>
        </w:rPr>
      </w:pPr>
      <w:r>
        <w:rPr>
          <w:rFonts w:ascii="Times New Roman" w:hAnsi="Times New Roman" w:hint="eastAsia"/>
          <w:sz w:val="24"/>
        </w:rPr>
        <w:t>为维护基金份额持有人的合法权益，基金财产不得用于下列投资或者活动：</w:t>
      </w:r>
    </w:p>
    <w:p w14:paraId="45B27A13" w14:textId="77777777" w:rsidR="00B33153" w:rsidRDefault="00B33153">
      <w:pPr>
        <w:spacing w:line="360" w:lineRule="auto"/>
        <w:ind w:firstLineChars="200" w:firstLine="480"/>
        <w:rPr>
          <w:rFonts w:ascii="Times New Roman" w:hAnsi="Times New Roman"/>
          <w:sz w:val="24"/>
        </w:rPr>
      </w:pPr>
      <w:r>
        <w:rPr>
          <w:rFonts w:ascii="宋体" w:hAnsi="宋体" w:hint="eastAsia"/>
          <w:sz w:val="24"/>
        </w:rPr>
        <w:t>（</w:t>
      </w:r>
      <w:r>
        <w:rPr>
          <w:rFonts w:ascii="宋体" w:hAnsi="宋体"/>
          <w:sz w:val="24"/>
        </w:rPr>
        <w:t>1</w:t>
      </w:r>
      <w:r>
        <w:rPr>
          <w:rFonts w:ascii="宋体" w:hAnsi="宋体" w:hint="eastAsia"/>
          <w:sz w:val="24"/>
        </w:rPr>
        <w:t>）</w:t>
      </w:r>
      <w:r>
        <w:rPr>
          <w:rFonts w:ascii="Times New Roman" w:hAnsi="Times New Roman" w:hint="eastAsia"/>
          <w:sz w:val="24"/>
        </w:rPr>
        <w:t>承销证券；</w:t>
      </w:r>
    </w:p>
    <w:p w14:paraId="6B01F7A0" w14:textId="77777777" w:rsidR="00B33153" w:rsidRDefault="00B33153">
      <w:pPr>
        <w:spacing w:line="360" w:lineRule="auto"/>
        <w:ind w:firstLineChars="200" w:firstLine="480"/>
        <w:rPr>
          <w:rFonts w:ascii="Times New Roman" w:hAnsi="Times New Roman"/>
          <w:sz w:val="24"/>
        </w:rPr>
      </w:pPr>
      <w:r>
        <w:rPr>
          <w:rFonts w:ascii="宋体" w:hAnsi="宋体" w:hint="eastAsia"/>
          <w:sz w:val="24"/>
        </w:rPr>
        <w:t>（</w:t>
      </w:r>
      <w:r>
        <w:rPr>
          <w:rFonts w:ascii="宋体" w:hAnsi="宋体"/>
          <w:sz w:val="24"/>
        </w:rPr>
        <w:t>2</w:t>
      </w:r>
      <w:r>
        <w:rPr>
          <w:rFonts w:ascii="宋体" w:hAnsi="宋体" w:hint="eastAsia"/>
          <w:sz w:val="24"/>
        </w:rPr>
        <w:t>）</w:t>
      </w:r>
      <w:r>
        <w:rPr>
          <w:rFonts w:ascii="Times New Roman" w:hAnsi="Times New Roman" w:hint="eastAsia"/>
          <w:bCs/>
          <w:sz w:val="24"/>
          <w:szCs w:val="20"/>
        </w:rPr>
        <w:t>违反规定</w:t>
      </w:r>
      <w:r>
        <w:rPr>
          <w:rFonts w:ascii="Times New Roman" w:hAnsi="Times New Roman" w:hint="eastAsia"/>
          <w:sz w:val="24"/>
        </w:rPr>
        <w:t>向他人贷款或者提供担保；</w:t>
      </w:r>
    </w:p>
    <w:p w14:paraId="4585B554" w14:textId="77777777" w:rsidR="00B33153" w:rsidRDefault="00B33153">
      <w:pPr>
        <w:spacing w:line="360" w:lineRule="auto"/>
        <w:ind w:firstLineChars="200" w:firstLine="480"/>
        <w:rPr>
          <w:rFonts w:ascii="Times New Roman" w:hAnsi="Times New Roman"/>
          <w:sz w:val="24"/>
        </w:rPr>
      </w:pPr>
      <w:r>
        <w:rPr>
          <w:rFonts w:ascii="宋体" w:hAnsi="宋体" w:hint="eastAsia"/>
          <w:sz w:val="24"/>
        </w:rPr>
        <w:t>（</w:t>
      </w:r>
      <w:r>
        <w:rPr>
          <w:rFonts w:ascii="宋体" w:hAnsi="宋体"/>
          <w:sz w:val="24"/>
        </w:rPr>
        <w:t>3</w:t>
      </w:r>
      <w:r>
        <w:rPr>
          <w:rFonts w:ascii="宋体" w:hAnsi="宋体" w:hint="eastAsia"/>
          <w:sz w:val="24"/>
        </w:rPr>
        <w:t>）</w:t>
      </w:r>
      <w:r>
        <w:rPr>
          <w:rFonts w:ascii="Times New Roman" w:hAnsi="Times New Roman" w:hint="eastAsia"/>
          <w:sz w:val="24"/>
        </w:rPr>
        <w:t>从事承担无限责任的投资；</w:t>
      </w:r>
    </w:p>
    <w:p w14:paraId="358A2943" w14:textId="77777777" w:rsidR="00B33153" w:rsidRDefault="00B33153">
      <w:pPr>
        <w:spacing w:line="360" w:lineRule="auto"/>
        <w:ind w:firstLineChars="200" w:firstLine="480"/>
        <w:rPr>
          <w:rFonts w:ascii="Times New Roman" w:hAnsi="Times New Roman"/>
          <w:sz w:val="24"/>
        </w:rPr>
      </w:pPr>
      <w:r>
        <w:rPr>
          <w:rFonts w:ascii="宋体" w:hAnsi="宋体" w:hint="eastAsia"/>
          <w:sz w:val="24"/>
        </w:rPr>
        <w:t>（</w:t>
      </w:r>
      <w:r>
        <w:rPr>
          <w:rFonts w:ascii="宋体" w:hAnsi="宋体"/>
          <w:sz w:val="24"/>
        </w:rPr>
        <w:t>4</w:t>
      </w:r>
      <w:r>
        <w:rPr>
          <w:rFonts w:ascii="宋体" w:hAnsi="宋体" w:hint="eastAsia"/>
          <w:sz w:val="24"/>
        </w:rPr>
        <w:t>）</w:t>
      </w:r>
      <w:r>
        <w:rPr>
          <w:rFonts w:ascii="Times New Roman" w:hAnsi="Times New Roman" w:hint="eastAsia"/>
          <w:sz w:val="24"/>
        </w:rPr>
        <w:t>买卖其他基金份额，但是</w:t>
      </w:r>
      <w:r>
        <w:rPr>
          <w:rFonts w:ascii="Times New Roman" w:hAnsi="Times New Roman" w:hint="eastAsia"/>
          <w:bCs/>
          <w:sz w:val="24"/>
          <w:szCs w:val="20"/>
        </w:rPr>
        <w:t>中国证监会</w:t>
      </w:r>
      <w:r>
        <w:rPr>
          <w:rFonts w:ascii="Times New Roman" w:hAnsi="Times New Roman" w:hint="eastAsia"/>
          <w:sz w:val="24"/>
        </w:rPr>
        <w:t>另有规定的除外；</w:t>
      </w:r>
    </w:p>
    <w:p w14:paraId="105DCFB3" w14:textId="77777777" w:rsidR="00B33153" w:rsidRDefault="00B33153">
      <w:pPr>
        <w:spacing w:line="360" w:lineRule="auto"/>
        <w:ind w:firstLineChars="200" w:firstLine="480"/>
        <w:rPr>
          <w:rFonts w:ascii="Times New Roman" w:hAnsi="Times New Roman"/>
          <w:sz w:val="24"/>
        </w:rPr>
      </w:pPr>
      <w:r>
        <w:rPr>
          <w:rFonts w:ascii="宋体" w:hAnsi="宋体" w:hint="eastAsia"/>
          <w:sz w:val="24"/>
        </w:rPr>
        <w:t>（</w:t>
      </w:r>
      <w:r>
        <w:rPr>
          <w:rFonts w:ascii="宋体" w:hAnsi="宋体"/>
          <w:sz w:val="24"/>
        </w:rPr>
        <w:t>5</w:t>
      </w:r>
      <w:r>
        <w:rPr>
          <w:rFonts w:ascii="宋体" w:hAnsi="宋体" w:hint="eastAsia"/>
          <w:sz w:val="24"/>
        </w:rPr>
        <w:t>）</w:t>
      </w:r>
      <w:r>
        <w:rPr>
          <w:rFonts w:ascii="Times New Roman" w:hAnsi="Times New Roman" w:hint="eastAsia"/>
          <w:sz w:val="24"/>
        </w:rPr>
        <w:t>向其基金管理人、基金托管人出资；</w:t>
      </w:r>
    </w:p>
    <w:p w14:paraId="79F5D021" w14:textId="77777777" w:rsidR="00B33153" w:rsidRDefault="00B33153">
      <w:pPr>
        <w:spacing w:line="360" w:lineRule="auto"/>
        <w:ind w:firstLineChars="200" w:firstLine="480"/>
        <w:rPr>
          <w:rFonts w:ascii="Times New Roman" w:hAnsi="Times New Roman"/>
          <w:sz w:val="24"/>
        </w:rPr>
      </w:pPr>
      <w:r>
        <w:rPr>
          <w:rFonts w:ascii="宋体" w:hAnsi="宋体" w:hint="eastAsia"/>
          <w:sz w:val="24"/>
        </w:rPr>
        <w:t>（</w:t>
      </w:r>
      <w:r>
        <w:rPr>
          <w:rFonts w:ascii="宋体" w:hAnsi="宋体"/>
          <w:sz w:val="24"/>
        </w:rPr>
        <w:t>6</w:t>
      </w:r>
      <w:r>
        <w:rPr>
          <w:rFonts w:ascii="宋体" w:hAnsi="宋体" w:hint="eastAsia"/>
          <w:sz w:val="24"/>
        </w:rPr>
        <w:t>）</w:t>
      </w:r>
      <w:r>
        <w:rPr>
          <w:rFonts w:ascii="Times New Roman" w:hAnsi="Times New Roman" w:hint="eastAsia"/>
          <w:sz w:val="24"/>
        </w:rPr>
        <w:t>从事内幕交易、操纵证券交易价格及其他不正当的证券交易活动；</w:t>
      </w:r>
    </w:p>
    <w:p w14:paraId="663E747A" w14:textId="77777777" w:rsidR="00B33153" w:rsidRDefault="00B33153">
      <w:pPr>
        <w:spacing w:line="360" w:lineRule="auto"/>
        <w:ind w:firstLineChars="200" w:firstLine="480"/>
        <w:rPr>
          <w:rFonts w:ascii="Times New Roman" w:hAnsi="Times New Roman"/>
          <w:sz w:val="24"/>
        </w:rPr>
      </w:pPr>
      <w:r>
        <w:rPr>
          <w:rFonts w:ascii="宋体" w:hAnsi="宋体" w:hint="eastAsia"/>
          <w:sz w:val="24"/>
        </w:rPr>
        <w:t>（</w:t>
      </w:r>
      <w:r>
        <w:rPr>
          <w:rFonts w:ascii="宋体" w:hAnsi="宋体" w:hint="eastAsia"/>
          <w:bCs/>
          <w:sz w:val="24"/>
          <w:szCs w:val="20"/>
        </w:rPr>
        <w:t>7</w:t>
      </w:r>
      <w:r>
        <w:rPr>
          <w:rFonts w:ascii="宋体" w:hAnsi="宋体"/>
          <w:bCs/>
          <w:sz w:val="24"/>
          <w:szCs w:val="20"/>
        </w:rPr>
        <w:t>）</w:t>
      </w:r>
      <w:r>
        <w:rPr>
          <w:rFonts w:ascii="Times New Roman" w:hAnsi="Times New Roman" w:hint="eastAsia"/>
          <w:sz w:val="24"/>
        </w:rPr>
        <w:t>法律</w:t>
      </w:r>
      <w:r>
        <w:rPr>
          <w:rFonts w:ascii="Times New Roman" w:hAnsi="Times New Roman" w:hint="eastAsia"/>
          <w:bCs/>
          <w:sz w:val="24"/>
          <w:szCs w:val="20"/>
        </w:rPr>
        <w:t>、行政</w:t>
      </w:r>
      <w:r>
        <w:rPr>
          <w:rFonts w:ascii="Times New Roman" w:hAnsi="Times New Roman" w:hint="eastAsia"/>
          <w:sz w:val="24"/>
        </w:rPr>
        <w:t>法规</w:t>
      </w:r>
      <w:r>
        <w:rPr>
          <w:rFonts w:ascii="Times New Roman" w:hAnsi="Times New Roman" w:hint="eastAsia"/>
          <w:bCs/>
          <w:sz w:val="24"/>
          <w:szCs w:val="20"/>
        </w:rPr>
        <w:t>和</w:t>
      </w:r>
      <w:r>
        <w:rPr>
          <w:rFonts w:ascii="Times New Roman" w:hAnsi="Times New Roman" w:hint="eastAsia"/>
          <w:sz w:val="24"/>
        </w:rPr>
        <w:t>中国证监会规定禁止的其他活动。</w:t>
      </w:r>
    </w:p>
    <w:p w14:paraId="05075B25" w14:textId="77777777" w:rsidR="00B33153" w:rsidRDefault="00B33153">
      <w:pPr>
        <w:spacing w:line="360" w:lineRule="auto"/>
        <w:ind w:firstLineChars="200" w:firstLine="480"/>
        <w:rPr>
          <w:rFonts w:ascii="Times New Roman" w:hAnsi="Times New Roman"/>
          <w:bCs/>
          <w:sz w:val="24"/>
          <w:szCs w:val="20"/>
        </w:rPr>
      </w:pPr>
      <w:r>
        <w:rPr>
          <w:rFonts w:ascii="Times New Roman" w:hAnsi="Times New Roman" w:hint="eastAsia"/>
          <w:bCs/>
          <w:sz w:val="24"/>
          <w:szCs w:val="20"/>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w:t>
      </w:r>
    </w:p>
    <w:p w14:paraId="0640405C" w14:textId="77777777" w:rsidR="004554E1" w:rsidRDefault="004554E1" w:rsidP="004554E1">
      <w:pPr>
        <w:spacing w:line="360" w:lineRule="auto"/>
        <w:ind w:firstLineChars="200" w:firstLine="480"/>
        <w:rPr>
          <w:rFonts w:ascii="Times New Roman" w:hAnsi="Times New Roman"/>
          <w:bCs/>
          <w:sz w:val="24"/>
          <w:szCs w:val="20"/>
        </w:rPr>
      </w:pPr>
      <w:r w:rsidRPr="004554E1">
        <w:rPr>
          <w:rFonts w:ascii="Times New Roman" w:hAnsi="Times New Roman" w:hint="eastAsia"/>
          <w:bCs/>
          <w:sz w:val="24"/>
          <w:szCs w:val="20"/>
        </w:rPr>
        <w:t>法律、行政法规或监管部门取消或变更上述禁止性规定，如适用于本基金，基金管理人在履行适当程序后，则本基金投资不再受相关限制或按变更后的规定</w:t>
      </w:r>
      <w:r w:rsidRPr="004554E1">
        <w:rPr>
          <w:rFonts w:ascii="Times New Roman" w:hAnsi="Times New Roman" w:hint="eastAsia"/>
          <w:bCs/>
          <w:sz w:val="24"/>
          <w:szCs w:val="20"/>
        </w:rPr>
        <w:lastRenderedPageBreak/>
        <w:t>执行。</w:t>
      </w:r>
    </w:p>
    <w:p w14:paraId="69F1B973" w14:textId="77777777" w:rsidR="00B33153" w:rsidRDefault="00B33153" w:rsidP="004554E1">
      <w:pPr>
        <w:spacing w:line="360" w:lineRule="auto"/>
        <w:ind w:firstLineChars="200" w:firstLine="480"/>
        <w:rPr>
          <w:rFonts w:ascii="Times New Roman" w:hAnsi="Times New Roman"/>
          <w:bCs/>
          <w:sz w:val="24"/>
          <w:szCs w:val="20"/>
        </w:rPr>
      </w:pPr>
      <w:r>
        <w:rPr>
          <w:rFonts w:ascii="Times New Roman" w:hAnsi="Times New Roman" w:hint="eastAsia"/>
          <w:bCs/>
          <w:sz w:val="24"/>
          <w:szCs w:val="20"/>
        </w:rPr>
        <w:t>根据法律法规有关基金从事的关联交易的规定，基金管理人和基金托管人应事先相互提供与本机构有控股关系的股东、实际控制人或者与其有其他重大利害关系的公司名单及有关关联方发行的证券名单，加盖公章并书面提交，并确保所提供的关联交易名单的真实性、完整性、全面性。基金管理人有责任保管真实、完整、全面的关联交易名单，并负责及时更新该名单。名单变更后基金管理人应及时发送基金托管人，基金托管人于</w:t>
      </w:r>
      <w:r>
        <w:rPr>
          <w:rFonts w:ascii="Times New Roman" w:hAnsi="Times New Roman" w:hint="eastAsia"/>
          <w:bCs/>
          <w:sz w:val="24"/>
          <w:szCs w:val="20"/>
        </w:rPr>
        <w:t>2</w:t>
      </w:r>
      <w:r>
        <w:rPr>
          <w:rFonts w:ascii="Times New Roman" w:hAnsi="Times New Roman" w:hint="eastAsia"/>
          <w:bCs/>
          <w:sz w:val="24"/>
          <w:szCs w:val="20"/>
        </w:rPr>
        <w:t>个工作日内进行回函确认已知名单的变更。基金管理人收到基金托管人书面确认后，新的关联交易名单开始生效。</w:t>
      </w:r>
    </w:p>
    <w:p w14:paraId="79645B2C" w14:textId="77777777" w:rsidR="00B33153" w:rsidRPr="00D35067" w:rsidRDefault="00B33153" w:rsidP="00C51254">
      <w:pPr>
        <w:autoSpaceDE w:val="0"/>
        <w:autoSpaceDN w:val="0"/>
        <w:adjustRightInd w:val="0"/>
        <w:spacing w:beforeLines="50" w:before="156" w:afterLines="50" w:after="156" w:line="440" w:lineRule="exact"/>
        <w:ind w:firstLineChars="200" w:firstLine="480"/>
        <w:jc w:val="left"/>
        <w:rPr>
          <w:rFonts w:ascii="Times New Roman" w:hAnsi="Times New Roman"/>
          <w:bCs/>
          <w:sz w:val="24"/>
          <w:szCs w:val="20"/>
        </w:rPr>
      </w:pPr>
      <w:r w:rsidRPr="00D35067">
        <w:rPr>
          <w:rFonts w:ascii="Times New Roman" w:hAnsi="Times New Roman" w:hint="eastAsia"/>
          <w:bCs/>
          <w:sz w:val="24"/>
          <w:szCs w:val="20"/>
        </w:rPr>
        <w:t>基金托管人履行了监督职责，基金管理人仍违反法律法规规定或基金合同约</w:t>
      </w:r>
      <w:r w:rsidRPr="00D35067">
        <w:rPr>
          <w:rFonts w:ascii="Times New Roman" w:hAnsi="Times New Roman"/>
          <w:bCs/>
          <w:sz w:val="24"/>
          <w:szCs w:val="20"/>
        </w:rPr>
        <w:t xml:space="preserve"> </w:t>
      </w:r>
      <w:r w:rsidRPr="00D35067">
        <w:rPr>
          <w:rFonts w:ascii="Times New Roman" w:hAnsi="Times New Roman" w:hint="eastAsia"/>
          <w:bCs/>
          <w:sz w:val="24"/>
          <w:szCs w:val="20"/>
        </w:rPr>
        <w:t>定的投资禁止行为而造成基金财产损失的，由基金管理人承担责任，基金托管人不承担任何责任。</w:t>
      </w:r>
    </w:p>
    <w:p w14:paraId="1A0AA47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（四）基金托管人根据有关法律法规的规定及基金合同的约定，对基金管理人参与银行间债券市场进行监督。</w:t>
      </w:r>
    </w:p>
    <w:p w14:paraId="255532D8"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508C3D5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或交易方式进行交易时，基金托管人应及时提醒基金管理人，基金托管人不承担由此造成的任何损失和责任。</w:t>
      </w:r>
    </w:p>
    <w:p w14:paraId="2F1B2221"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（五）基金托管人根据有关法律法规的规定及基金合同的约定，对基金资产</w:t>
      </w:r>
      <w:r>
        <w:rPr>
          <w:rFonts w:ascii="宋体" w:hAnsi="宋体" w:hint="eastAsia"/>
          <w:sz w:val="24"/>
          <w:szCs w:val="24"/>
        </w:rPr>
        <w:lastRenderedPageBreak/>
        <w:t>净值计算、基金份额净值计算、应收资金到账、基金费用开支及收入确定、基金收益分配、相关信息披露、基金宣传推介材料中登载基金业绩表现数据等进行监督和核查。</w:t>
      </w:r>
    </w:p>
    <w:p w14:paraId="3EF923C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六）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76DF6B2D"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七）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741F9947" w14:textId="77777777" w:rsidR="00B33153" w:rsidRDefault="00B33153">
      <w:pPr>
        <w:pStyle w:val="20"/>
        <w:ind w:firstLine="480"/>
        <w:rPr>
          <w:rFonts w:ascii="宋体" w:hAnsi="宋体"/>
        </w:rPr>
      </w:pPr>
      <w:r>
        <w:rPr>
          <w:rFonts w:ascii="宋体" w:hAnsi="宋体" w:hint="eastAsia"/>
        </w:rPr>
        <w:t>（八）基金管理人投资中小企业私募债应符合相关法律法规约定。基金管理人应根据本协议的规定与基金托管人签订投资中小企业私募债风险控制补充协议。基金管理人在投资中小企业私募债前，应向基金托管人提供经资产管理人董事会批准的投资中小企业私募债券的相关制度。在投资中小企业私募债券的过程中，基金管理人应合理控制投资中小企业私募债的比例。基金托管人按照补充协议中的约定对相关投资进行监督和审核。</w:t>
      </w:r>
    </w:p>
    <w:p w14:paraId="7B48236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九）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198385A2"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（十）基金托管人发现基金管理人的上述事项及投资指令或实际投资运作违反法律法规、基金合同和本托管协议的规定，应及时以电话提醒或书面提示等方式通知基金管理人限期纠正。</w:t>
      </w:r>
    </w:p>
    <w:p w14:paraId="65AA4F85"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应积极配合和协助基金托管人的监督和核查。基金管理人收到书面通知后应在下一工作日前及时核对并以书面形式给基金托管人发出回函，就基金托管人的疑义进行解释或举证，说明违规原因及纠正期限，并保证在规定期限</w:t>
      </w:r>
      <w:r>
        <w:rPr>
          <w:rFonts w:ascii="宋体" w:hAnsi="宋体" w:hint="eastAsia"/>
          <w:sz w:val="24"/>
          <w:szCs w:val="24"/>
        </w:rPr>
        <w:lastRenderedPageBreak/>
        <w:t>内及时改正。在上述规定期限内，基金托管人有权随时对通知事项进行复查，督促基金管理人改正。基金管理人对基金托管人通知的违规事项未能在限期内纠正的，基金托管人应报告中国证监会。</w:t>
      </w:r>
    </w:p>
    <w:p w14:paraId="51B99FF2"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（十一）基金管理人有义务配合和协助基金托管人依照法律法规、基金合同和本托管协议对基金业务执行核查。</w:t>
      </w:r>
    </w:p>
    <w:p w14:paraId="5939DFB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1C47DF99"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（十二）若基金托管人发现基金管理人依据交易程序已经生效的指令违反法律、行政法规和其他有关规定，或者违反基金合同约定的，应当立即通知基金管理人。</w:t>
      </w:r>
    </w:p>
    <w:p w14:paraId="0C59B6F1"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（十三）基金托管人发现基金管理人有重大违规行为，有权报告中国证监会，同时通知基金管理人限期纠正，并将纠正结果报告中国证监会。</w:t>
      </w:r>
    </w:p>
    <w:p w14:paraId="68CC0487"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75D6AC18" w14:textId="77777777" w:rsidR="00B33153" w:rsidRDefault="00B33153" w:rsidP="00C51254">
      <w:pPr>
        <w:spacing w:afterLines="100" w:after="312" w:line="360" w:lineRule="auto"/>
        <w:jc w:val="center"/>
        <w:outlineLvl w:val="0"/>
      </w:pPr>
      <w:r>
        <w:rPr>
          <w:rFonts w:ascii="宋体" w:hAnsi="宋体"/>
          <w:sz w:val="24"/>
          <w:szCs w:val="24"/>
        </w:rPr>
        <w:br w:type="page"/>
      </w:r>
      <w:bookmarkStart w:id="4" w:name="_Toc440289532"/>
      <w:r>
        <w:rPr>
          <w:rFonts w:hint="eastAsia"/>
          <w:b/>
          <w:sz w:val="30"/>
          <w:szCs w:val="30"/>
        </w:rPr>
        <w:lastRenderedPageBreak/>
        <w:t>四、基金管理人对基金托管人的业务核查</w:t>
      </w:r>
      <w:bookmarkEnd w:id="4"/>
    </w:p>
    <w:p w14:paraId="47951AFD"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和证券账户、复核基金管理人计算的基金资产净值和基金份额净值、根据基金管理人指令办理清算交收、相关信息披露和监督基金投资运作等行为。</w:t>
      </w:r>
    </w:p>
    <w:p w14:paraId="3E3948E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36AFB751"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0E1864A3"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（三）基金管理人发现基金托管人有重大违规行为，应及时报告中国证监会，同时通知基金托管人限期纠正，并将纠正结果报告中国证监会。</w:t>
      </w:r>
    </w:p>
    <w:p w14:paraId="58D97C42"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2A80CEEA" w14:textId="77777777" w:rsidR="00B33153" w:rsidRDefault="00B33153" w:rsidP="00C51254">
      <w:pPr>
        <w:spacing w:afterLines="100" w:after="312" w:line="360" w:lineRule="auto"/>
        <w:jc w:val="center"/>
        <w:outlineLvl w:val="0"/>
      </w:pPr>
      <w:r>
        <w:rPr>
          <w:rFonts w:ascii="宋体" w:hAnsi="宋体"/>
          <w:sz w:val="24"/>
          <w:szCs w:val="24"/>
        </w:rPr>
        <w:br w:type="page"/>
      </w:r>
      <w:bookmarkStart w:id="5" w:name="_Toc440289533"/>
      <w:r>
        <w:rPr>
          <w:rFonts w:hint="eastAsia"/>
          <w:b/>
          <w:sz w:val="30"/>
          <w:szCs w:val="30"/>
        </w:rPr>
        <w:lastRenderedPageBreak/>
        <w:t>五、基金财产的保管</w:t>
      </w:r>
      <w:bookmarkEnd w:id="5"/>
    </w:p>
    <w:p w14:paraId="2A8E9FC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（一）基金财产保管的原则</w:t>
      </w:r>
    </w:p>
    <w:p w14:paraId="3C956F8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1．基金财产应独立于基金管理人、基金托管人的固有财产；</w:t>
      </w:r>
    </w:p>
    <w:p w14:paraId="4BE4C278"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2．基金托管人应安全保管基金财产；</w:t>
      </w:r>
    </w:p>
    <w:p w14:paraId="22055E6C" w14:textId="2FB6D4D3" w:rsidR="00B33153" w:rsidRDefault="00B33153">
      <w:pPr>
        <w:spacing w:line="360" w:lineRule="auto"/>
        <w:ind w:firstLineChars="200" w:firstLine="480"/>
        <w:rPr>
          <w:rFonts w:ascii="宋体" w:hAnsi="宋体"/>
          <w:sz w:val="24"/>
          <w:szCs w:val="24"/>
        </w:rPr>
      </w:pPr>
      <w:r>
        <w:rPr>
          <w:rFonts w:ascii="宋体" w:hAnsi="宋体" w:hint="eastAsia"/>
          <w:sz w:val="24"/>
          <w:szCs w:val="24"/>
        </w:rPr>
        <w:t>3．基金托管人按照规定开设基金财产的资金账户</w:t>
      </w:r>
      <w:r w:rsidR="004554E1">
        <w:rPr>
          <w:rFonts w:ascii="宋体" w:hAnsi="宋体" w:hint="eastAsia"/>
          <w:sz w:val="24"/>
          <w:szCs w:val="24"/>
        </w:rPr>
        <w:t>、</w:t>
      </w:r>
      <w:r>
        <w:rPr>
          <w:rFonts w:ascii="宋体" w:hAnsi="宋体" w:hint="eastAsia"/>
          <w:sz w:val="24"/>
          <w:szCs w:val="24"/>
        </w:rPr>
        <w:t>证券账户</w:t>
      </w:r>
      <w:r w:rsidR="004554E1" w:rsidRPr="004554E1">
        <w:rPr>
          <w:rFonts w:ascii="宋体" w:hAnsi="宋体" w:hint="eastAsia"/>
          <w:bCs/>
          <w:sz w:val="24"/>
          <w:szCs w:val="24"/>
        </w:rPr>
        <w:t>等投资所需账户</w:t>
      </w:r>
      <w:r>
        <w:rPr>
          <w:rFonts w:ascii="宋体" w:hAnsi="宋体" w:hint="eastAsia"/>
          <w:sz w:val="24"/>
          <w:szCs w:val="24"/>
        </w:rPr>
        <w:t>；</w:t>
      </w:r>
    </w:p>
    <w:p w14:paraId="43040D22"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 xml:space="preserve">4．基金托管人对所托管的不同基金财产分别设置账户，确保基金财产的完整与独立； </w:t>
      </w:r>
    </w:p>
    <w:p w14:paraId="0D78982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5．基金托管人根据基金管理人的指令，按照基金合同和本协议的约定保管基金财产，如有特殊情况双方可另行协商解决；</w:t>
      </w:r>
    </w:p>
    <w:p w14:paraId="66722952"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w:t>
      </w:r>
    </w:p>
    <w:p w14:paraId="44A8131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7．除依据法律法规和基金合同的规定外，基金托管人不得委托第三人托管基金财产。</w:t>
      </w:r>
    </w:p>
    <w:p w14:paraId="7EF2480D"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（二）基金募集期间及募集资金的验资</w:t>
      </w:r>
    </w:p>
    <w:p w14:paraId="2FC318F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1．基金募集期间募集的资金应存于基金管理人在基金托管人的营业机构开立的“基金募集专户”，该账户由基金管理人委托的登记机构开立并管理。</w:t>
      </w:r>
    </w:p>
    <w:p w14:paraId="6AA20B3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为本基金开立的基金托管专户，同时在规定时间内，聘请具有从事证券相关业务资格的会计师事务所进行验资，出具验资报告。出具的验资报告由参加验资的2名或2名以上中国注册会计师签字方为有效。</w:t>
      </w:r>
    </w:p>
    <w:p w14:paraId="6594C8AB"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3．若基金募集期限届满，未能达到基金合同生效的条件，由基金管理人按规定办理退款等事宜。</w:t>
      </w:r>
    </w:p>
    <w:p w14:paraId="17E32ED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（三）</w:t>
      </w:r>
      <w:r>
        <w:rPr>
          <w:rFonts w:ascii="宋体" w:hAnsi="宋体" w:cs="宋体" w:hint="eastAsia"/>
          <w:sz w:val="24"/>
          <w:szCs w:val="24"/>
        </w:rPr>
        <w:t>基金托管专户</w:t>
      </w:r>
      <w:r>
        <w:rPr>
          <w:rFonts w:ascii="宋体" w:hAnsi="宋体" w:hint="eastAsia"/>
          <w:sz w:val="24"/>
          <w:szCs w:val="24"/>
        </w:rPr>
        <w:t>的开立和管理</w:t>
      </w:r>
    </w:p>
    <w:p w14:paraId="018915CD"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lastRenderedPageBreak/>
        <w:t>基金托管专户的名称：富荣富兴纯债债券型证券投资基金</w:t>
      </w:r>
    </w:p>
    <w:p w14:paraId="0315FA38" w14:textId="5BB51BCC" w:rsidR="00B33153" w:rsidRDefault="00B33153">
      <w:pPr>
        <w:spacing w:line="360" w:lineRule="auto"/>
        <w:ind w:firstLineChars="200" w:firstLine="480"/>
        <w:rPr>
          <w:rFonts w:ascii="宋体" w:hAnsi="宋体"/>
          <w:sz w:val="24"/>
          <w:szCs w:val="24"/>
        </w:rPr>
      </w:pPr>
      <w:r>
        <w:rPr>
          <w:rFonts w:ascii="宋体" w:hAnsi="宋体" w:hint="eastAsia"/>
          <w:sz w:val="24"/>
          <w:szCs w:val="24"/>
        </w:rPr>
        <w:t>托管账户开户行：包商银行</w:t>
      </w:r>
      <w:r w:rsidR="00D35067">
        <w:rPr>
          <w:rFonts w:ascii="宋体" w:hAnsi="宋体" w:hint="eastAsia"/>
          <w:sz w:val="24"/>
          <w:szCs w:val="24"/>
        </w:rPr>
        <w:t>深圳</w:t>
      </w:r>
      <w:r>
        <w:rPr>
          <w:rFonts w:ascii="宋体" w:hAnsi="宋体" w:hint="eastAsia"/>
          <w:sz w:val="24"/>
          <w:szCs w:val="24"/>
        </w:rPr>
        <w:t>分行营业部</w:t>
      </w:r>
    </w:p>
    <w:p w14:paraId="7D2CF847"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p>
    <w:p w14:paraId="413DC180"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793526D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3．基金托管专户的开立和管理应符合有关法律法规以及银行业监督管理机构的其他有关规定。</w:t>
      </w:r>
    </w:p>
    <w:p w14:paraId="071FC9B2"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（四）基金证券账户和结算备付金账户的开立和管理</w:t>
      </w:r>
    </w:p>
    <w:p w14:paraId="69895F25"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1．基金托管人在中国证券登记结算有限责任公司上海分公司、深圳分公司为基金开立基金托管人与本基金联名的证券账户。</w:t>
      </w:r>
    </w:p>
    <w:p w14:paraId="5613F218"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63B72E3"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3．基金证券账户的开立和证券账户卡的保管由基金托管人负责，账户资产的管理和运用由基金管理人负责。</w:t>
      </w:r>
    </w:p>
    <w:p w14:paraId="41B34515"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4．基金托管人以基金托管人的名义在中国证券登记结算有限责任公司开立结算备付金账户，并代表本基金完成与中国证券登记结算有限责任公司的一级法人清算工作，基金管理人应予以积极协助。结算备付金、交收价差资金等的收取按照中国证券登记结算有限责任公司的规定执行。</w:t>
      </w:r>
    </w:p>
    <w:p w14:paraId="156E0F92"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5．若中国证监会或其他监管机构在本托管协议订立日之后允许基金从事其他投资品种的投资业务，涉及相关账户的开立、使用的，若无相关规定，则基金托管人比照上述关于账户开立、使用的规定执行。</w:t>
      </w:r>
    </w:p>
    <w:p w14:paraId="3A581ED1"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（五）银行间债券托管专户的开设和管理</w:t>
      </w:r>
    </w:p>
    <w:p w14:paraId="61A31C67"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合同生效后，基金管理人负责以本基金的名义申请并取得进入全国银行间同业拆借市场的交易资格，并代表本基金进行交易；基金托管人负责以本基金的名义在中央国债登记结算有限责任公司开设银行间债券市场债券托管账户，并</w:t>
      </w:r>
      <w:r>
        <w:rPr>
          <w:rFonts w:ascii="宋体" w:hAnsi="宋体" w:hint="eastAsia"/>
          <w:sz w:val="24"/>
          <w:szCs w:val="24"/>
        </w:rPr>
        <w:lastRenderedPageBreak/>
        <w:t>代表基金进行银行间市场债券的结算。基金管理人和基金托管人共同代表本基金签订全国银行间债券市场债券回购主协议，基金托管人保管协议正本，基金管理人保存协议副本。</w:t>
      </w:r>
    </w:p>
    <w:p w14:paraId="49858B83"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（六）其他账户的开立和管理</w:t>
      </w:r>
    </w:p>
    <w:p w14:paraId="2345F03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D1E3138"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（七）基金财产投资的有关有价凭证等的保管</w:t>
      </w:r>
    </w:p>
    <w:p w14:paraId="1A53221D"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0250742D"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（八）与基金财产有关的重大合同的保管</w:t>
      </w:r>
    </w:p>
    <w:p w14:paraId="63859A51"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177E0992" w14:textId="77777777" w:rsidR="00B33153" w:rsidRDefault="00B33153" w:rsidP="00C51254">
      <w:pPr>
        <w:spacing w:afterLines="100" w:after="312" w:line="360" w:lineRule="auto"/>
        <w:jc w:val="center"/>
        <w:outlineLvl w:val="0"/>
      </w:pPr>
      <w:r>
        <w:rPr>
          <w:rFonts w:ascii="宋体" w:hAnsi="宋体"/>
          <w:sz w:val="24"/>
          <w:szCs w:val="24"/>
        </w:rPr>
        <w:br w:type="page"/>
      </w:r>
      <w:bookmarkStart w:id="6" w:name="_Toc440289534"/>
      <w:r>
        <w:rPr>
          <w:rFonts w:hint="eastAsia"/>
          <w:b/>
          <w:sz w:val="30"/>
          <w:szCs w:val="30"/>
        </w:rPr>
        <w:lastRenderedPageBreak/>
        <w:t>六、指令的发送、确认及执行</w:t>
      </w:r>
      <w:bookmarkEnd w:id="6"/>
    </w:p>
    <w:p w14:paraId="5941DEFC"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基金管理人在运用基金财产时向基金托管人发送资金划拨及其他款项付款指令，基金托管人执行基金管理人的指令、办理基金名下的资金往来等有关事项。</w:t>
      </w:r>
    </w:p>
    <w:p w14:paraId="4F14452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（一）基金管理人对发送指令人员的书面授权</w:t>
      </w:r>
    </w:p>
    <w:p w14:paraId="57AEFB88"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1．基金管理人应指定专人向基金托管人发送指令。</w:t>
      </w:r>
    </w:p>
    <w:p w14:paraId="6EF479F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2．基金管理人应向基金托管人提供书面授权文件，内容包括被授权人名单、预留印鉴及被授权人签字样本，授权文件应注明被授权人相应的权限。</w:t>
      </w:r>
    </w:p>
    <w:p w14:paraId="33F86967"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3．基金托管人在收到授权文件原件并经基金管理人电话确认后，授权文件即生效。</w:t>
      </w:r>
    </w:p>
    <w:p w14:paraId="5BF05860"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4．基金管理人和基金托管人对授权文件负有保密义务，其内容不得向被授权人及相关操作人员以外的任何人泄漏。但法律法规规定或有权机关要求的除外。</w:t>
      </w:r>
    </w:p>
    <w:p w14:paraId="2E7B516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（二）指令的内容</w:t>
      </w:r>
    </w:p>
    <w:p w14:paraId="4BEF109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1．指令包括赎回、分红付款指令、回购到期付款指令、与投资有关的付款指令、实物债券出入库指令以及其他资金划拨指令等。</w:t>
      </w:r>
    </w:p>
    <w:p w14:paraId="2D5D77A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2．基金管理人发给基金托管人的指令应写明款项事由、支付时间、到账时间、金额、账户等，加盖预留印鉴并由被授权人签字或盖章。</w:t>
      </w:r>
    </w:p>
    <w:p w14:paraId="75C538D5"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（三）指令的发送、确认及执行的时间和程序</w:t>
      </w:r>
    </w:p>
    <w:p w14:paraId="2A222F6D"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1．指令的发送</w:t>
      </w:r>
    </w:p>
    <w:p w14:paraId="7C823FBC"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基金管理人发送指令应采用深证通或托管网银电子指令或传真的方式向资产托管人发送。</w:t>
      </w:r>
    </w:p>
    <w:p w14:paraId="2BD4190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应按照法律法规和基金合同的规定，在其合法的经营权限和交易权限内发送指令；被授权人应严格按照其授权权限发送指令。对于被授权人依约定程序发出的指令，基金管理人不得否认其效力。但如果基金管理人已经撤销或更改对交易指令发送人员的授权，并且基金托管人根据本协议确认后，则对于此后该交易指令发送人员无权发送的指令，或超权限发送的指令，基金管理人不承担责任，授权已更改但未经基金托管人确认的情况除外。</w:t>
      </w:r>
    </w:p>
    <w:p w14:paraId="02D082E7"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指令发出后，基金管理人应及时以电话方式向基金托管人确认。</w:t>
      </w:r>
    </w:p>
    <w:p w14:paraId="143A803B"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基金管理人应在交易结束后将银行间同业市场债券交易成交单加盖预留印</w:t>
      </w:r>
      <w:r>
        <w:rPr>
          <w:rFonts w:ascii="宋体" w:hAnsi="宋体" w:hint="eastAsia"/>
          <w:sz w:val="24"/>
          <w:szCs w:val="24"/>
        </w:rPr>
        <w:lastRenderedPageBreak/>
        <w:t>鉴后及时传真给基金托管人，并电话确认。如果银行间簿记系统已经生成的交易需要取消或终止，基金管理人要书面通知基金托管人。</w:t>
      </w:r>
    </w:p>
    <w:p w14:paraId="235626A3" w14:textId="069749E5"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基金管理人应于划款前一日向基金托管人发送投资划款指令并确认，如需在划款当日下达投资划款指令，在发送指令时，应为基金托管人留出执行指令所必需的时间</w:t>
      </w:r>
      <w:r>
        <w:rPr>
          <w:rFonts w:ascii="宋体" w:hAnsi="宋体" w:hint="eastAsia"/>
          <w:sz w:val="24"/>
        </w:rPr>
        <w:t>（该必需的时间不长于正常情况下基金托管人日常处理该指令所用的平均时间）</w:t>
      </w:r>
      <w:r>
        <w:rPr>
          <w:rFonts w:ascii="宋体" w:hAnsi="宋体" w:hint="eastAsia"/>
          <w:sz w:val="24"/>
          <w:szCs w:val="24"/>
        </w:rPr>
        <w:t>。基金管理人发送有效指令（包括原指令被撤销、变更后再次发送的新指令）的截止时间为当天的15:00。如基金管理人要求当天某一时点到账，则交易结算指令需提前2个工作小时发送，并进行电话确认。指令传输不及时、未能留出足够的划款时间，致使资金未能及时到账所造成的损失由基金管理人承担。</w:t>
      </w:r>
    </w:p>
    <w:p w14:paraId="3B150578"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2．指令的确认</w:t>
      </w:r>
    </w:p>
    <w:p w14:paraId="307FA6A9" w14:textId="57770A1B" w:rsidR="00B33153" w:rsidRDefault="00B33153">
      <w:pPr>
        <w:spacing w:line="360" w:lineRule="auto"/>
        <w:ind w:firstLineChars="200" w:firstLine="480"/>
        <w:rPr>
          <w:rFonts w:ascii="宋体" w:hAnsi="宋体"/>
          <w:sz w:val="24"/>
          <w:szCs w:val="24"/>
        </w:rPr>
      </w:pPr>
      <w:r>
        <w:rPr>
          <w:rFonts w:ascii="宋体" w:hAnsi="宋体" w:hint="eastAsia"/>
          <w:sz w:val="24"/>
          <w:szCs w:val="24"/>
        </w:rPr>
        <w:t>基金托管人应指定专人接收基金管理人的指令，预先通知基金管理人其名单，并与基金管理人商定指令发送和接收方式。指令到达基金托管人后，基金托管人应指定专人立即对有关内容及印鉴和签名进行表面一致性审查，如有疑问必须及时通知基金管理人。</w:t>
      </w:r>
    </w:p>
    <w:p w14:paraId="2C29619C"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3．指令的时间和执行</w:t>
      </w:r>
    </w:p>
    <w:p w14:paraId="4A926AB3"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基金托管人对指令验证后，应及时办理。指令执行完毕后，基金托管人应及时通知基金管理人。</w:t>
      </w:r>
    </w:p>
    <w:p w14:paraId="6E142460"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向基金托管人下达指令时，应确保基金资金账户有足够的资金余额，对基金管理人在没有充足资金的情况下向基金托管人发出的投资指令、赎回、分红资金等的划拨指令，基金托管人可不予执行，但应立即通知基金管理人，由基金管理人审核、查明原因，出具书面文件确认此交易指令无效。基金托管人不承担因未执行该指令造成损失的责任。</w:t>
      </w:r>
    </w:p>
    <w:p w14:paraId="15C45E6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（四）基金管理人发送错误指令的情形和处理程序</w:t>
      </w:r>
    </w:p>
    <w:p w14:paraId="296756A3"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基金管理人发送错误指令的情形包括指令违反法律法规和基金合同，指令发送人员无权或超越权限发送指令。</w:t>
      </w:r>
    </w:p>
    <w:p w14:paraId="7C737949"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基金托管人在履行监督职能时，发现基金管理人的指令错误时，有权拒绝执行，并及时通知基金管理人改正。如需撤销指令，基金管理人应出具书面说明，并加盖业务用章。</w:t>
      </w:r>
    </w:p>
    <w:p w14:paraId="7500F00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（五）基金托管人依照法律法规暂缓、拒绝执行指令的情形和处理程序</w:t>
      </w:r>
    </w:p>
    <w:p w14:paraId="40066A1B"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lastRenderedPageBreak/>
        <w:t>若基金托管人发现基金管理人的指令违反法律法规，或者违反基金合同约定的，应当拒绝执行，立即通知基金管理人。</w:t>
      </w:r>
    </w:p>
    <w:p w14:paraId="512174FC"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（六）基金托管人未按照基金管理人指令执行的处理方法</w:t>
      </w:r>
    </w:p>
    <w:p w14:paraId="0B91C5F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基金托管人由于自身原因，未按照基金管理人发送的指令执行并对基金财产或投资人造成的</w:t>
      </w:r>
      <w:r w:rsidR="006B0660" w:rsidRPr="00D57835">
        <w:rPr>
          <w:rFonts w:ascii="宋体" w:hAnsi="宋体" w:hint="eastAsia"/>
          <w:sz w:val="24"/>
          <w:szCs w:val="24"/>
        </w:rPr>
        <w:t>直接经济</w:t>
      </w:r>
      <w:r>
        <w:rPr>
          <w:rFonts w:ascii="宋体" w:hAnsi="宋体" w:hint="eastAsia"/>
          <w:sz w:val="24"/>
          <w:szCs w:val="24"/>
        </w:rPr>
        <w:t>损失，由基金托管人承担相应的责任。</w:t>
      </w:r>
    </w:p>
    <w:p w14:paraId="72641CB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（七）更换被授权人员的程序</w:t>
      </w:r>
    </w:p>
    <w:p w14:paraId="05AFB5F0"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更换被授权人、更改或终止对被授权人的授权，应当至少提前一个工作日通知基金托管人，同时基金管理人向基金托管人提供新的被授权人的姓名、权限、预留印鉴和签字样本。基金托管人在收到授权文件原件并经电话与基金管理人确认后，授权文件即生效。被授权人变更通知生效前，基金托管人仍应按原约定执行指令，基金管理人不得否认其效力。</w:t>
      </w:r>
    </w:p>
    <w:p w14:paraId="40E3770D"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基金托管人更换接受基金管理人指令的人员，应提前书面通知基金管理人。</w:t>
      </w:r>
    </w:p>
    <w:p w14:paraId="715B16C5"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（八）其他事项</w:t>
      </w:r>
    </w:p>
    <w:p w14:paraId="4E8576BB"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托管人在接收指令时，应对指令的要素是否齐全、印鉴与被授权人是否与预留的授权文件内容相符进行检查，如发现问题，应及时报告基金管理人。基金托管人对执行基金管理人的合法指令对基金财产造成的损失不承担赔偿责任；基金托管人未执行或未及时执行基金管理人的合法指令，导致基金财产遭受损失的，由基金托管人赔偿由此造成的直接</w:t>
      </w:r>
      <w:r w:rsidR="006B0660" w:rsidRPr="00D57835">
        <w:rPr>
          <w:rFonts w:ascii="宋体" w:hAnsi="宋体" w:hint="eastAsia"/>
          <w:sz w:val="24"/>
          <w:szCs w:val="24"/>
        </w:rPr>
        <w:t>经济</w:t>
      </w:r>
      <w:r>
        <w:rPr>
          <w:rFonts w:ascii="宋体" w:hAnsi="宋体" w:hint="eastAsia"/>
          <w:sz w:val="24"/>
          <w:szCs w:val="24"/>
        </w:rPr>
        <w:t>损失。</w:t>
      </w:r>
    </w:p>
    <w:p w14:paraId="7128C4D0" w14:textId="77777777" w:rsidR="00B33153" w:rsidRDefault="00B33153" w:rsidP="00C51254">
      <w:pPr>
        <w:spacing w:afterLines="100" w:after="312" w:line="360" w:lineRule="auto"/>
        <w:jc w:val="center"/>
        <w:outlineLvl w:val="0"/>
      </w:pPr>
      <w:r>
        <w:rPr>
          <w:rFonts w:ascii="宋体" w:hAnsi="宋体"/>
          <w:sz w:val="24"/>
          <w:szCs w:val="24"/>
        </w:rPr>
        <w:br w:type="page"/>
      </w:r>
      <w:bookmarkStart w:id="7" w:name="_Toc440289535"/>
      <w:r>
        <w:rPr>
          <w:rFonts w:hint="eastAsia"/>
          <w:b/>
          <w:sz w:val="30"/>
          <w:szCs w:val="30"/>
        </w:rPr>
        <w:lastRenderedPageBreak/>
        <w:t>七、交易及清算交收安排</w:t>
      </w:r>
      <w:bookmarkEnd w:id="7"/>
    </w:p>
    <w:p w14:paraId="44135A72" w14:textId="2B57CFBA" w:rsidR="00B33153" w:rsidRDefault="00B33153">
      <w:pPr>
        <w:spacing w:line="360" w:lineRule="auto"/>
        <w:ind w:firstLineChars="200" w:firstLine="480"/>
        <w:rPr>
          <w:rFonts w:ascii="宋体" w:hAnsi="宋体"/>
          <w:sz w:val="24"/>
          <w:szCs w:val="24"/>
        </w:rPr>
      </w:pPr>
      <w:r>
        <w:rPr>
          <w:rFonts w:ascii="宋体" w:hAnsi="宋体" w:hint="eastAsia"/>
          <w:sz w:val="24"/>
          <w:szCs w:val="24"/>
        </w:rPr>
        <w:t>（一）选择代理证券买卖的证券经营机构</w:t>
      </w:r>
    </w:p>
    <w:p w14:paraId="35819D0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应设计选择代理证券买卖的证券经营机构的标准和程序。基金管理人负责选择证券经营机构，租用其交易单元作为基金的交易单元。基金管理人和被选中的证券经营机构签订委托协议，基金管理人应提前通知基金托管人，并将被选中证券经营机构提供的《基金用户交易单位变更申请书》及时送达基金托管人，确保基金托管人申请接收结算数据。交易单元保证金由被选中的证券经营机构交付。基金管理人应根据有关规定，在基金的半年度报告和年度报告中将所选证券经营机构的有关情况、基金通过该证券经营机构买卖证券的成交量、回购成交量和支付的佣金等予以披露，并将该等情况及基金交易单元号、佣金费率等基本信息以及变更情况及时以书面形式通知基金托管人。</w:t>
      </w:r>
    </w:p>
    <w:p w14:paraId="622E073D"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由于交易结算报告的记载事项出现与实际交易结果和权益不符造成本产品估值计算错误的，应由基金管理人负责向数据发送方追偿，基金托管人不承担责任。</w:t>
      </w:r>
    </w:p>
    <w:p w14:paraId="1AD89F7B"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（二）基金投资证券后的清算交收安排</w:t>
      </w:r>
    </w:p>
    <w:p w14:paraId="036AEFE1"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1．清算与交割</w:t>
      </w:r>
    </w:p>
    <w:p w14:paraId="38813513" w14:textId="77777777" w:rsidR="00B33153" w:rsidRDefault="00B33153">
      <w:pPr>
        <w:pStyle w:val="20"/>
        <w:ind w:firstLine="480"/>
      </w:pPr>
      <w:r>
        <w:rPr>
          <w:rFonts w:hint="eastAsia"/>
        </w:rPr>
        <w:t>根据《中国证券登记结算有限责任公司结算备付金管理办法》，在每</w:t>
      </w:r>
      <w:r>
        <w:rPr>
          <w:rFonts w:ascii="宋体" w:hAnsi="宋体" w:hint="eastAsia"/>
        </w:rPr>
        <w:t>月前2个工作日内，中国证券登记结算有限责任公司对结算参与人的最低结算备付金限额进行重新核算、调整。托管人在中国证券登记结算有限责任公司调整最低结算</w:t>
      </w:r>
      <w:r>
        <w:rPr>
          <w:rFonts w:hint="eastAsia"/>
        </w:rPr>
        <w:t>备付金当日，在资金流量表中反映最低备付金调整的情况。管理人应预留最低备付金，并根据中国证券登记结算有限责任公司确定的实际下月最低备付金数据为依据安排资金运作，调整所需的现金头寸。</w:t>
      </w:r>
    </w:p>
    <w:p w14:paraId="4FDDE56E" w14:textId="77777777" w:rsidR="00B33153" w:rsidRDefault="00B33153">
      <w:pPr>
        <w:pStyle w:val="20"/>
        <w:ind w:firstLine="480"/>
      </w:pPr>
      <w:r>
        <w:rPr>
          <w:rFonts w:hint="eastAsia"/>
        </w:rPr>
        <w:t>根据《中国证券登记结算有限责任公司证券结算保证金管理办法》，在每月</w:t>
      </w:r>
      <w:r>
        <w:rPr>
          <w:rFonts w:ascii="宋体" w:hAnsi="宋体" w:hint="eastAsia"/>
        </w:rPr>
        <w:t>前2个工</w:t>
      </w:r>
      <w:r>
        <w:rPr>
          <w:rFonts w:hint="eastAsia"/>
        </w:rPr>
        <w:t>作日内，中国证券登记结算有限责任公司对结算参与人的结算保证金进行调整，基金托管人在调整当日，在资金流量表中反映结算保证金的调整情况，基金管理人应预留足够头寸。</w:t>
      </w:r>
    </w:p>
    <w:p w14:paraId="0EB78A6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基金托管人负责基金买卖证券的清算交收。场内资金结算由基金托管人根据中国证券登记结算有限责任公司结算数据办理；场外资金汇划由基金托管人根据</w:t>
      </w:r>
      <w:r>
        <w:rPr>
          <w:rFonts w:ascii="宋体" w:hAnsi="宋体" w:hint="eastAsia"/>
          <w:sz w:val="24"/>
          <w:szCs w:val="24"/>
        </w:rPr>
        <w:lastRenderedPageBreak/>
        <w:t>基金管理人的交易划款指令具体办理。</w:t>
      </w:r>
    </w:p>
    <w:p w14:paraId="324531F0" w14:textId="77777777" w:rsidR="00B33153" w:rsidRDefault="00B33153">
      <w:pPr>
        <w:spacing w:line="360" w:lineRule="auto"/>
        <w:ind w:firstLine="480"/>
        <w:rPr>
          <w:rFonts w:ascii="宋体" w:hAnsi="宋体"/>
          <w:sz w:val="24"/>
          <w:szCs w:val="24"/>
        </w:rPr>
      </w:pPr>
      <w:r>
        <w:rPr>
          <w:rFonts w:ascii="宋体" w:hAnsi="宋体" w:hint="eastAsia"/>
          <w:sz w:val="24"/>
          <w:szCs w:val="24"/>
        </w:rPr>
        <w:t>如果因为基金托管人自身原因在清算上造成基金财产的损失，应由基金托管人负责赔偿；</w:t>
      </w:r>
      <w:r>
        <w:rPr>
          <w:rFonts w:ascii="宋体" w:hAnsi="宋体"/>
          <w:sz w:val="24"/>
          <w:szCs w:val="24"/>
        </w:rPr>
        <w:t>如果因为基金管理人未事先通知基金托管人增加交易单元等事宜，致使基金托管人接收数据不完整，造成清算差错的责任由基金管理人承担；如果因为基金管理人未事先通知需要单独结算的交易，造成基金资产损失的由基金管理人承担；如果由于基金管理人违反市场操作规则的规定进行超买、超卖等原因造成基金投资清算困难和风险的，基金托管人发现后应立即通知基金管理人，由基金管理人负责解决</w:t>
      </w:r>
      <w:r>
        <w:rPr>
          <w:rFonts w:ascii="宋体" w:hAnsi="宋体" w:hint="eastAsia"/>
          <w:sz w:val="24"/>
          <w:szCs w:val="24"/>
        </w:rPr>
        <w:t>。</w:t>
      </w:r>
      <w:r>
        <w:rPr>
          <w:rFonts w:ascii="Arial" w:hAnsi="Arial" w:cs="Arial"/>
          <w:sz w:val="24"/>
        </w:rPr>
        <w:t>基金管理人应</w:t>
      </w:r>
      <w:r>
        <w:rPr>
          <w:rFonts w:ascii="宋体" w:hAnsi="宋体" w:cs="Arial"/>
          <w:sz w:val="24"/>
        </w:rPr>
        <w:t>在T＋1日中登公司规定的清算时间11</w:t>
      </w:r>
      <w:r>
        <w:rPr>
          <w:rFonts w:ascii="宋体" w:hAnsi="宋体" w:cs="Arial" w:hint="eastAsia"/>
          <w:sz w:val="24"/>
        </w:rPr>
        <w:t>:</w:t>
      </w:r>
      <w:r>
        <w:rPr>
          <w:rFonts w:ascii="宋体" w:hAnsi="宋体" w:cs="Arial"/>
          <w:sz w:val="24"/>
        </w:rPr>
        <w:t>00</w:t>
      </w:r>
      <w:r>
        <w:rPr>
          <w:rFonts w:ascii="Arial" w:hAnsi="Arial" w:cs="Arial"/>
          <w:sz w:val="24"/>
        </w:rPr>
        <w:t>之前将透支款及时划入该</w:t>
      </w:r>
      <w:r>
        <w:rPr>
          <w:rFonts w:ascii="Arial" w:hAnsi="Arial" w:cs="Arial" w:hint="eastAsia"/>
          <w:sz w:val="24"/>
        </w:rPr>
        <w:t>基金</w:t>
      </w:r>
      <w:r>
        <w:rPr>
          <w:rFonts w:ascii="Arial" w:hAnsi="Arial" w:cs="Arial"/>
          <w:sz w:val="24"/>
        </w:rPr>
        <w:t>财产托管账户，并及时补足欠库券。在完成交割清算后，基金托管人根据基金管理人的指令，在不损害本</w:t>
      </w:r>
      <w:r>
        <w:rPr>
          <w:rFonts w:ascii="Arial" w:hAnsi="Arial" w:cs="Arial" w:hint="eastAsia"/>
          <w:sz w:val="24"/>
        </w:rPr>
        <w:t>基金</w:t>
      </w:r>
      <w:r>
        <w:rPr>
          <w:rFonts w:ascii="Arial" w:hAnsi="Arial" w:cs="Arial"/>
          <w:sz w:val="24"/>
        </w:rPr>
        <w:t>财产利益的前提下将基金管理人垫支的透支款或欠库券取回并退回基金管理人</w:t>
      </w:r>
      <w:r>
        <w:rPr>
          <w:rFonts w:ascii="Arial" w:hAnsi="Arial" w:cs="Arial" w:hint="eastAsia"/>
          <w:sz w:val="24"/>
        </w:rPr>
        <w:t>，</w:t>
      </w:r>
      <w:r>
        <w:rPr>
          <w:rFonts w:ascii="宋体" w:hAnsi="宋体"/>
          <w:sz w:val="24"/>
          <w:szCs w:val="24"/>
        </w:rPr>
        <w:t>由此给基金托管人、本基金造成的直接损失由基金管理人承担。</w:t>
      </w:r>
    </w:p>
    <w:p w14:paraId="2399979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中国证券登记结算有限责任公司上海分公司目前实行T＋0预交收制度，因此基金管理人须于T日15:30之前备足当日上海市场交易担保交收需支付的资金头寸， 以便基金托管人履行T＋0预交收职责；若有大宗交易，基金管理人还需于T日15:30之前通知基金托管人交易金额。若由于基金管理人的原因导致预交收失败，由此引起的后果由基金管理人承担。基金管理人应采取合理措施，确保在T日日终有足够的资金头寸用于T＋1日中国证券登记结算有限责任公司上海分公司和深圳分公司的资金结算。若由于管理人的原因导致托管人交收失败，由此引起的后果由管理人承担。若结算机构的交收规则发生变化，托管人和管理人应根据新的交收规则作出相应变动，管理人应配合托管人为完成交收提供必要的帮助。</w:t>
      </w:r>
    </w:p>
    <w:p w14:paraId="56590F5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应保证基金托管人在执行基金管理人发送的划款指令时，基金托管专户或资金交收账户（除登记公司收保或冻结资金外）上有充足的资金。基金的资金头寸不足时，基金托管人有权拒绝基金管理人发送的划款指令。基金管理人在发送划款指令时应充分考虑基金托管人的划款处理时间</w:t>
      </w:r>
      <w:r>
        <w:rPr>
          <w:rFonts w:ascii="宋体" w:hAnsi="宋体" w:hint="eastAsia"/>
          <w:sz w:val="24"/>
        </w:rPr>
        <w:t>（该必需的时间不长于正常情况下基金托管人日常处理该指令所用的平均时间）</w:t>
      </w:r>
      <w:r>
        <w:rPr>
          <w:rFonts w:ascii="宋体" w:hAnsi="宋体" w:hint="eastAsia"/>
          <w:sz w:val="24"/>
          <w:szCs w:val="24"/>
        </w:rPr>
        <w:t>。在基金资金头寸充足的情况下，基金托管人对基金管理人符合法律法规、基金合同、本协议的指令不得拖延或拒绝执行。</w:t>
      </w:r>
    </w:p>
    <w:p w14:paraId="31AE38C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lastRenderedPageBreak/>
        <w:t>2．交易记录、资金和证券账目核对的时间和方式</w:t>
      </w:r>
    </w:p>
    <w:p w14:paraId="03C4D84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（1）交易记录的核对</w:t>
      </w:r>
    </w:p>
    <w:p w14:paraId="31AAC9A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与基金托管人按日进行交易记录的核对。对外披露净值之前，必须保证所有实际交易记录与基金会计账簿上的交易记录完全一致。如果实际交易记录与会计账簿记录不一致，造成基金会计核算不完整或不真实，由此导致的损失由责任方承担。</w:t>
      </w:r>
    </w:p>
    <w:p w14:paraId="0007EB89"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（2）资金账目的核对</w:t>
      </w:r>
    </w:p>
    <w:p w14:paraId="4AE399A5"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资金账目按日核实。</w:t>
      </w:r>
    </w:p>
    <w:p w14:paraId="188A3599"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（3）证券账目的核对</w:t>
      </w:r>
    </w:p>
    <w:p w14:paraId="0936E9DB"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基金管理人和基金托管人每交易日结束后核对基金证券账目，确保双方账目相符。基金管理人和基金托管人每月月末核对实物证券账目。</w:t>
      </w:r>
    </w:p>
    <w:p w14:paraId="1AB61DAC"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（三）基金申购和赎回业务处理的基本规定</w:t>
      </w:r>
    </w:p>
    <w:p w14:paraId="579D2247"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1．基金份额申购、赎回的确认、清算由基金管理人或其委托的登记机构负责。</w:t>
      </w:r>
    </w:p>
    <w:p w14:paraId="4238F2FB"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基金管理人应将每个开放日的申购、赎回、转换开放式基金的数据传送给基金托管人。基金管理人应对传递的申购、赎回、转换开放式基金的数据真实性负责。基金托管人应及时查收申购及转入资金的到账情况并根据基金管理人指令及时划付赎回及转出款项。</w:t>
      </w:r>
    </w:p>
    <w:p w14:paraId="1DCE6452"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3．基金管理人应保证本基金的登记机构每个工作日15:00前向基金托管人发送前一开放日上述有关数据，并保证相关数据的准确、完整。</w:t>
      </w:r>
    </w:p>
    <w:p w14:paraId="11EB6F2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4．基金管理人或其委托登记机构应通过与基金托管人建立的数据传输系统发送有关数据（包括电子数据和盖章生效的纸制清算汇总表），如因各种原因，该系统无法正常发送，双方可协商解决处理方式。基金管理人向基金托管人发送的数据，双方各自按有关规定保存。</w:t>
      </w:r>
    </w:p>
    <w:p w14:paraId="10145BC7"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5．如基金管理人委托其他机构办理本基金的登记业务，应保证上述相关事宜按时进行。否则，由基金管理人承担相应的责任。</w:t>
      </w:r>
    </w:p>
    <w:p w14:paraId="781199A3"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6．关于清算专用账户的设立和管理</w:t>
      </w:r>
    </w:p>
    <w:p w14:paraId="563FF2D5"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为满足申购、赎回及分红资金汇划的需要，由基金管理人开立资金清算的专用账户，该账户由登记机构管理。</w:t>
      </w:r>
    </w:p>
    <w:p w14:paraId="6E53AF8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lastRenderedPageBreak/>
        <w:t>7．对于基金申购过程中产生的应收款，应由基金管理人负责与有关当事人确定到账日期并通知基金托管人，到账日应收款没有到达基金资金账户的，基金托管人应及时通知基金管理人采取措施进行催收，由此造成基金损失的，基金管理人应负责向有关当事人追偿基金的损失。</w:t>
      </w:r>
    </w:p>
    <w:p w14:paraId="1B814880"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8．赎回和分红资金划拨规定</w:t>
      </w:r>
    </w:p>
    <w:p w14:paraId="49C71F8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拨付赎回款或进行基金分红时，如基金资金账户有足够的资金，基金托管人应按时拨付；因基金资金账户没有足够的资金，导致基金托管人不能按时拨付，</w:t>
      </w:r>
      <w:r>
        <w:rPr>
          <w:rFonts w:ascii="宋体" w:hAnsi="宋体"/>
          <w:sz w:val="24"/>
          <w:szCs w:val="24"/>
        </w:rPr>
        <w:t>如系基金管理人的原因造成，</w:t>
      </w:r>
      <w:r>
        <w:rPr>
          <w:rFonts w:ascii="宋体" w:hAnsi="宋体" w:hint="eastAsia"/>
          <w:sz w:val="24"/>
          <w:szCs w:val="24"/>
        </w:rPr>
        <w:t>基金托管人不承担垫款义务。</w:t>
      </w:r>
    </w:p>
    <w:p w14:paraId="7712683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9．资金指令</w:t>
      </w:r>
    </w:p>
    <w:p w14:paraId="183614AD"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除申购款项到达基金资金账户需双方按约定方式对账外，回购到期付款和与投资有关的付款、赎回和分红资金划拨时，基金管理人需向基金托管人下达指令。</w:t>
      </w:r>
    </w:p>
    <w:p w14:paraId="6DC3F7F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资金指令的格式、内容、发送、接收和确认方式等与投资指令相同。</w:t>
      </w:r>
    </w:p>
    <w:p w14:paraId="120C33F2"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（四）申赎净额结算</w:t>
      </w:r>
    </w:p>
    <w:p w14:paraId="7931786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托管账户与“清算账户”间的资金结算遵循“全额清算、净额交收”的原则，每日按照托管账户应收资金与应付资金的差额来确定托管账户净应收额或净应付额，以此确定资金交收额。当存在托管账户净应收额时，基金管理人应在T＋2日15:00之前从基金清算账户划到基金托管账户，基金托管人在资金到账后应立即通知基金管理人，并将有关书面凭证传真给基金管理人进行账务管理；当存在托管账户净应付额时，基金管理人应在T＋1日将划款指令发送给基金托管人，基金托管人按基金管理人的划款指令将托管账户净应付额在T＋2日12:00之前划往基金清算账户，基金托管人在资金划出后立即通知基金管理人，并将有关书面凭证交给基金管理人进行账务管理。</w:t>
      </w:r>
    </w:p>
    <w:p w14:paraId="79E49E58"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当存在托管账户净应付额时，如基金托管专户有足够的资金，基金托管人应按时拨付；因基金托管专户没有足够的资金，导致基金托管人不能按时拨付，基金托管人应及时通知基金管理人，如系基金管理人的原因造成的，基金托管人不承担垫款义务。</w:t>
      </w:r>
    </w:p>
    <w:p w14:paraId="529B8649"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（五）基金转换</w:t>
      </w:r>
    </w:p>
    <w:p w14:paraId="337B832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1．在本基金与基金管理人管理的其它基金开展转换业务之前，基金管理人应函告基金托管人并就相关事宜进行协商。</w:t>
      </w:r>
    </w:p>
    <w:p w14:paraId="24632079"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lastRenderedPageBreak/>
        <w:t>2．基金托管人将根据基金管理人传送的基金转换数据进行账务处理，具体资金清算和数据传递的时间、程序及托管协议当事人承担的权责按基金管理人届时的公告执行。</w:t>
      </w:r>
    </w:p>
    <w:p w14:paraId="09E1895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3．本基金开展基金转换业务应按相关法律法规规定及基金合同的约定进行公告。</w:t>
      </w:r>
    </w:p>
    <w:p w14:paraId="2C5F9299"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（六）基金现金分红</w:t>
      </w:r>
    </w:p>
    <w:p w14:paraId="6987BAF1"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1．基金管理人确定分红方案通知基金托管人，双方核定后依照《信息披露办法》的有关规定在中国证监会指定媒介上公告并报中国证监会备案。</w:t>
      </w:r>
    </w:p>
    <w:p w14:paraId="171B94B5"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2．基金托管人和基金管理人对基金分红进行账务处理并核对后，基金管理人向基金托管人发送现金红利的划款指令，基金托管人应及时将资金划入专用账户。</w:t>
      </w:r>
    </w:p>
    <w:p w14:paraId="4FB17A11" w14:textId="77777777" w:rsidR="00CA6880" w:rsidRDefault="00B33153">
      <w:pPr>
        <w:spacing w:line="360" w:lineRule="auto"/>
        <w:ind w:firstLineChars="200" w:firstLine="480"/>
        <w:rPr>
          <w:rFonts w:ascii="宋体" w:hAnsi="宋体"/>
          <w:sz w:val="24"/>
          <w:szCs w:val="24"/>
        </w:rPr>
        <w:sectPr w:rsidR="00CA6880" w:rsidSect="00801652">
          <w:headerReference w:type="default" r:id="rId16"/>
          <w:headerReference w:type="first" r:id="rId17"/>
          <w:footerReference w:type="first" r:id="rId18"/>
          <w:pgSz w:w="11906" w:h="16838"/>
          <w:pgMar w:top="1440" w:right="1797" w:bottom="1440" w:left="1797" w:header="851" w:footer="992" w:gutter="0"/>
          <w:cols w:space="720"/>
          <w:titlePg/>
          <w:docGrid w:type="lines" w:linePitch="312"/>
        </w:sectPr>
      </w:pPr>
      <w:r>
        <w:rPr>
          <w:rFonts w:ascii="宋体" w:hAnsi="宋体" w:hint="eastAsia"/>
          <w:sz w:val="24"/>
          <w:szCs w:val="24"/>
        </w:rPr>
        <w:t>3．基金管理人在下达指令时，应给基金托管人留出必需的划款时间。</w:t>
      </w:r>
    </w:p>
    <w:p w14:paraId="5006B5E1" w14:textId="4E69E54C" w:rsidR="00B33153" w:rsidRDefault="00B33153" w:rsidP="00C51254">
      <w:pPr>
        <w:spacing w:afterLines="100" w:after="312" w:line="360" w:lineRule="auto"/>
        <w:jc w:val="center"/>
        <w:outlineLvl w:val="0"/>
      </w:pPr>
      <w:bookmarkStart w:id="8" w:name="_Toc440289062"/>
      <w:bookmarkStart w:id="9" w:name="_Toc440289536"/>
      <w:bookmarkStart w:id="10" w:name="_Toc440289537"/>
      <w:r>
        <w:rPr>
          <w:rFonts w:hint="eastAsia"/>
          <w:b/>
          <w:sz w:val="30"/>
          <w:szCs w:val="30"/>
        </w:rPr>
        <w:lastRenderedPageBreak/>
        <w:t>八、基金资产净值计算和会计核算</w:t>
      </w:r>
      <w:bookmarkEnd w:id="8"/>
      <w:bookmarkEnd w:id="9"/>
      <w:bookmarkEnd w:id="10"/>
    </w:p>
    <w:p w14:paraId="2C7C592C"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（一）基金资产净值的计算、复核与完成的时间及程序</w:t>
      </w:r>
    </w:p>
    <w:p w14:paraId="3975BE0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1．基金资产净值</w:t>
      </w:r>
    </w:p>
    <w:p w14:paraId="75090D7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基金资产净值是指基金资产总值减去负债后的价值。</w:t>
      </w:r>
    </w:p>
    <w:p w14:paraId="77560A55" w14:textId="1BC625D7" w:rsidR="00B33153" w:rsidRDefault="00B33153">
      <w:pPr>
        <w:spacing w:line="360" w:lineRule="auto"/>
        <w:ind w:firstLineChars="200" w:firstLine="480"/>
        <w:rPr>
          <w:rFonts w:ascii="宋体" w:hAnsi="宋体"/>
          <w:sz w:val="24"/>
          <w:szCs w:val="24"/>
        </w:rPr>
      </w:pPr>
      <w:r>
        <w:rPr>
          <w:rFonts w:ascii="Times New Roman" w:hAnsi="Times New Roman" w:hint="eastAsia"/>
          <w:sz w:val="24"/>
        </w:rPr>
        <w:t>基金份额净值是按照每个工作日闭市后，基金资产净值除以当日基金份额的余额数量计算，精确</w:t>
      </w:r>
      <w:r w:rsidRPr="007A7A77">
        <w:rPr>
          <w:rFonts w:ascii="宋体" w:hAnsi="宋体" w:hint="eastAsia"/>
          <w:sz w:val="24"/>
        </w:rPr>
        <w:t>到</w:t>
      </w:r>
      <w:r w:rsidRPr="007A7A77">
        <w:rPr>
          <w:rFonts w:ascii="宋体" w:hAnsi="宋体"/>
          <w:bCs/>
          <w:sz w:val="24"/>
          <w:szCs w:val="20"/>
        </w:rPr>
        <w:t>0.00</w:t>
      </w:r>
      <w:r w:rsidR="005B2F02" w:rsidRPr="007A7A77">
        <w:rPr>
          <w:rFonts w:ascii="宋体" w:hAnsi="宋体"/>
          <w:bCs/>
          <w:sz w:val="24"/>
          <w:szCs w:val="20"/>
        </w:rPr>
        <w:t>0</w:t>
      </w:r>
      <w:r w:rsidRPr="007A7A77">
        <w:rPr>
          <w:rFonts w:ascii="宋体" w:hAnsi="宋体"/>
          <w:bCs/>
          <w:sz w:val="24"/>
          <w:szCs w:val="20"/>
        </w:rPr>
        <w:t>1</w:t>
      </w:r>
      <w:r w:rsidRPr="007A7A77">
        <w:rPr>
          <w:rFonts w:ascii="宋体" w:hAnsi="宋体" w:hint="eastAsia"/>
          <w:sz w:val="24"/>
        </w:rPr>
        <w:t>元，小数点后</w:t>
      </w:r>
      <w:r w:rsidR="005B2F02" w:rsidRPr="007A7A77">
        <w:rPr>
          <w:rFonts w:ascii="宋体" w:hAnsi="宋体" w:hint="eastAsia"/>
          <w:sz w:val="24"/>
        </w:rPr>
        <w:t>第</w:t>
      </w:r>
      <w:r w:rsidR="005B2F02" w:rsidRPr="007A7A77">
        <w:rPr>
          <w:rFonts w:ascii="宋体" w:hAnsi="宋体"/>
          <w:bCs/>
          <w:sz w:val="24"/>
          <w:szCs w:val="20"/>
        </w:rPr>
        <w:t>5</w:t>
      </w:r>
      <w:r>
        <w:rPr>
          <w:rFonts w:ascii="宋体" w:hAnsi="宋体" w:hint="eastAsia"/>
          <w:sz w:val="24"/>
        </w:rPr>
        <w:t>位四舍五入。</w:t>
      </w:r>
      <w:r>
        <w:rPr>
          <w:rFonts w:ascii="Times New Roman" w:hAnsi="Times New Roman" w:hint="eastAsia"/>
          <w:sz w:val="24"/>
        </w:rPr>
        <w:t>国家另有规定的，从其规定</w:t>
      </w:r>
      <w:r>
        <w:rPr>
          <w:rFonts w:ascii="宋体" w:hAnsi="宋体" w:hint="eastAsia"/>
          <w:sz w:val="24"/>
          <w:szCs w:val="24"/>
        </w:rPr>
        <w:t>。</w:t>
      </w:r>
    </w:p>
    <w:p w14:paraId="3AD74E00" w14:textId="454376C6"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基金管理人每个工作日计算基金资产净值及基金份额净值，经基金托管人复核，按规定公告。</w:t>
      </w:r>
      <w:r>
        <w:rPr>
          <w:rFonts w:ascii="宋体" w:hAnsi="宋体"/>
          <w:bCs/>
          <w:sz w:val="24"/>
          <w:szCs w:val="24"/>
        </w:rPr>
        <w:t>但基金管理人根据法律法规或基金合同的规定暂停估值时除外</w:t>
      </w:r>
      <w:r>
        <w:rPr>
          <w:rFonts w:ascii="宋体" w:hAnsi="宋体" w:hint="eastAsia"/>
          <w:bCs/>
          <w:sz w:val="24"/>
          <w:szCs w:val="24"/>
        </w:rPr>
        <w:t>。</w:t>
      </w:r>
    </w:p>
    <w:p w14:paraId="70D817DC"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2．复核程序</w:t>
      </w:r>
    </w:p>
    <w:p w14:paraId="2D18462A" w14:textId="483069C3"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基金管理人每工作日对基金资产进行估值后，将基金份额净值结果发送基金托管人，经基金托管人复核无误后，由基金管理人</w:t>
      </w:r>
      <w:r>
        <w:rPr>
          <w:rFonts w:hint="eastAsia"/>
          <w:bCs/>
          <w:sz w:val="24"/>
        </w:rPr>
        <w:t>按规定</w:t>
      </w:r>
      <w:r>
        <w:rPr>
          <w:rFonts w:ascii="宋体" w:hAnsi="宋体" w:hint="eastAsia"/>
          <w:sz w:val="24"/>
          <w:szCs w:val="24"/>
        </w:rPr>
        <w:t>对外公布。</w:t>
      </w:r>
    </w:p>
    <w:p w14:paraId="17487AD3"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529CA1A8"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（二）基金资产估值方法和特殊情形的处理</w:t>
      </w:r>
    </w:p>
    <w:p w14:paraId="5DF27BED"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1．估值对象</w:t>
      </w:r>
    </w:p>
    <w:p w14:paraId="3A892165" w14:textId="77777777" w:rsidR="00B33153" w:rsidRDefault="00B33153">
      <w:pPr>
        <w:spacing w:line="360" w:lineRule="auto"/>
        <w:ind w:firstLineChars="200" w:firstLine="480"/>
        <w:rPr>
          <w:rFonts w:ascii="Times New Roman" w:hAnsi="Times New Roman"/>
          <w:sz w:val="24"/>
        </w:rPr>
      </w:pPr>
      <w:r>
        <w:rPr>
          <w:rFonts w:ascii="Times New Roman" w:hAnsi="Times New Roman" w:hint="eastAsia"/>
          <w:sz w:val="24"/>
        </w:rPr>
        <w:t>基金所拥有的债券和银行存款本息、应收款项及其它投资等资产及负债。</w:t>
      </w:r>
    </w:p>
    <w:p w14:paraId="39D2E18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2．估值方法</w:t>
      </w:r>
    </w:p>
    <w:p w14:paraId="6A23D17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（1）证券交易所上市的有价证券的估值</w:t>
      </w:r>
    </w:p>
    <w:p w14:paraId="7B2783A4" w14:textId="045643E5" w:rsidR="00B33153" w:rsidRDefault="00B33153">
      <w:pPr>
        <w:spacing w:line="360" w:lineRule="auto"/>
        <w:ind w:firstLineChars="200" w:firstLine="480"/>
        <w:rPr>
          <w:rFonts w:ascii="Times New Roman" w:hAnsi="Times New Roman"/>
          <w:sz w:val="24"/>
        </w:rPr>
      </w:pPr>
      <w:r>
        <w:rPr>
          <w:rFonts w:ascii="宋体" w:hAnsi="宋体"/>
          <w:sz w:val="24"/>
        </w:rPr>
        <w:t>1</w:t>
      </w:r>
      <w:r>
        <w:rPr>
          <w:rFonts w:ascii="宋体" w:hAnsi="宋体" w:hint="eastAsia"/>
          <w:sz w:val="24"/>
        </w:rPr>
        <w:t>）除本部分另有约定的品种外，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r>
        <w:rPr>
          <w:rFonts w:ascii="Times New Roman" w:hAnsi="Times New Roman" w:hint="eastAsia"/>
          <w:bCs/>
          <w:sz w:val="24"/>
          <w:szCs w:val="20"/>
        </w:rPr>
        <w:t>；</w:t>
      </w:r>
    </w:p>
    <w:p w14:paraId="35F21A5F" w14:textId="7C776ACD" w:rsidR="00B33153" w:rsidRDefault="00B33153">
      <w:pPr>
        <w:spacing w:line="360" w:lineRule="auto"/>
        <w:ind w:firstLineChars="200" w:firstLine="480"/>
        <w:rPr>
          <w:rFonts w:ascii="Times New Roman" w:hAnsi="Times New Roman"/>
          <w:sz w:val="24"/>
        </w:rPr>
      </w:pPr>
      <w:r>
        <w:rPr>
          <w:rFonts w:ascii="宋体" w:hAnsi="宋体" w:hint="eastAsia"/>
          <w:sz w:val="24"/>
        </w:rPr>
        <w:t>2）交易所上市交易或挂牌转让的固定收益品种（</w:t>
      </w:r>
      <w:r w:rsidR="00C92FDC">
        <w:rPr>
          <w:rFonts w:ascii="宋体" w:hAnsi="宋体" w:hint="eastAsia"/>
          <w:sz w:val="24"/>
        </w:rPr>
        <w:t>基金</w:t>
      </w:r>
      <w:r>
        <w:rPr>
          <w:rFonts w:ascii="宋体" w:hAnsi="宋体" w:hint="eastAsia"/>
          <w:sz w:val="24"/>
        </w:rPr>
        <w:t>合同另有规定的除外），</w:t>
      </w:r>
      <w:r>
        <w:rPr>
          <w:rFonts w:ascii="宋体" w:hAnsi="宋体" w:hint="eastAsia"/>
          <w:sz w:val="24"/>
        </w:rPr>
        <w:lastRenderedPageBreak/>
        <w:t>选取估值日第三方估值机构提供的相应品种对应的估值净价估值，具体估值机构由基金管理人与托管人另行协商约定</w:t>
      </w:r>
      <w:r>
        <w:rPr>
          <w:rFonts w:ascii="Times New Roman" w:hAnsi="Times New Roman" w:hint="eastAsia"/>
          <w:sz w:val="24"/>
        </w:rPr>
        <w:t>；</w:t>
      </w:r>
    </w:p>
    <w:p w14:paraId="23EA88A7" w14:textId="77777777" w:rsidR="00B33153" w:rsidRDefault="00B33153">
      <w:pPr>
        <w:spacing w:line="360" w:lineRule="auto"/>
        <w:ind w:firstLineChars="200" w:firstLine="480"/>
        <w:rPr>
          <w:rFonts w:ascii="宋体" w:hAnsi="宋体"/>
          <w:sz w:val="24"/>
        </w:rPr>
      </w:pPr>
      <w:r>
        <w:rPr>
          <w:rFonts w:ascii="宋体" w:hAnsi="宋体" w:hint="eastAsia"/>
          <w:sz w:val="24"/>
        </w:rPr>
        <w:t>3）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778935D9" w14:textId="77777777" w:rsidR="00B33153" w:rsidRDefault="00B33153">
      <w:pPr>
        <w:spacing w:line="360" w:lineRule="auto"/>
        <w:ind w:firstLineChars="200" w:firstLine="480"/>
        <w:rPr>
          <w:rFonts w:ascii="Times New Roman" w:hAnsi="Times New Roman"/>
          <w:bCs/>
          <w:sz w:val="24"/>
          <w:szCs w:val="20"/>
        </w:rPr>
      </w:pPr>
      <w:r>
        <w:rPr>
          <w:rFonts w:ascii="Times New Roman" w:hAnsi="Times New Roman" w:hint="eastAsia"/>
          <w:sz w:val="24"/>
        </w:rPr>
        <w:t>4</w:t>
      </w:r>
      <w:r>
        <w:rPr>
          <w:rFonts w:ascii="Times New Roman" w:hAnsi="Times New Roman" w:hint="eastAsia"/>
          <w:sz w:val="24"/>
        </w:rPr>
        <w:t>）交易所上市不存在活跃市场的有价证券，采用估值技术确定公允价值。交易所上市的资产支持证券，采用估值技术确定公允价值，在估值技术难以可靠计量公允价值的情况下，按成本估值。</w:t>
      </w:r>
    </w:p>
    <w:p w14:paraId="65E3B519" w14:textId="77777777" w:rsidR="00B33153" w:rsidRDefault="00B33153">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）首次公开发行未上市的债券，采用估值技术确定公允价值，在估值技术难以可靠计量公允价值的情况下，按成本估值；</w:t>
      </w:r>
    </w:p>
    <w:p w14:paraId="6BA7763E" w14:textId="77777777" w:rsidR="00B33153" w:rsidRDefault="00B33153">
      <w:pPr>
        <w:spacing w:line="360" w:lineRule="auto"/>
        <w:ind w:firstLineChars="200" w:firstLine="480"/>
        <w:rPr>
          <w:rFonts w:ascii="宋体" w:hAnsi="宋体"/>
          <w:sz w:val="24"/>
        </w:rPr>
      </w:pPr>
      <w:r>
        <w:rPr>
          <w:rFonts w:ascii="宋体" w:hAnsi="宋体" w:hint="eastAsia"/>
          <w:sz w:val="24"/>
        </w:rPr>
        <w:t>（3）全国银行间债券市场交易的债券、资产支持证券等固定收益品种，采用估值技术确定公允价值。</w:t>
      </w:r>
    </w:p>
    <w:p w14:paraId="12701386" w14:textId="77777777" w:rsidR="00B33153" w:rsidRDefault="00B33153">
      <w:pPr>
        <w:spacing w:line="360" w:lineRule="auto"/>
        <w:ind w:firstLineChars="200" w:firstLine="480"/>
        <w:rPr>
          <w:rFonts w:ascii="宋体" w:hAnsi="宋体"/>
          <w:sz w:val="24"/>
        </w:rPr>
      </w:pPr>
      <w:r>
        <w:rPr>
          <w:rFonts w:ascii="宋体" w:hAnsi="宋体" w:hint="eastAsia"/>
          <w:sz w:val="24"/>
        </w:rPr>
        <w:t>（4）同一债券同时在两个或两个以上市场交易的，按债券所处的市场分别估值。</w:t>
      </w:r>
    </w:p>
    <w:p w14:paraId="70A9BDD7" w14:textId="77777777" w:rsidR="00B33153" w:rsidRDefault="00B33153">
      <w:pPr>
        <w:spacing w:line="360" w:lineRule="auto"/>
        <w:ind w:firstLineChars="200" w:firstLine="480"/>
        <w:rPr>
          <w:rFonts w:ascii="宋体" w:hAnsi="宋体"/>
          <w:sz w:val="24"/>
        </w:rPr>
      </w:pPr>
      <w:r>
        <w:rPr>
          <w:rFonts w:ascii="宋体" w:hAnsi="宋体" w:hint="eastAsia"/>
          <w:sz w:val="24"/>
        </w:rPr>
        <w:t>（5）中小企业私募债券，采用估值技术确定公允价值。在估值技术难以可靠计量公允价值的情况下，按成本估值。</w:t>
      </w:r>
    </w:p>
    <w:p w14:paraId="3AE4C9DB" w14:textId="77777777" w:rsidR="00B33153" w:rsidRDefault="00B33153">
      <w:pPr>
        <w:spacing w:line="360" w:lineRule="auto"/>
        <w:ind w:firstLineChars="200" w:firstLine="480"/>
        <w:rPr>
          <w:rFonts w:ascii="宋体" w:hAnsi="宋体"/>
          <w:sz w:val="24"/>
        </w:rPr>
      </w:pPr>
      <w:r>
        <w:rPr>
          <w:rFonts w:ascii="宋体" w:hAnsi="宋体" w:hint="eastAsia"/>
          <w:sz w:val="24"/>
        </w:rPr>
        <w:t>（6）如有确凿证据表明按上述方法进行估值不能客观反映其公允价值的，基金管理人可根据具体情况与基金托管人商定后，按最能反映公允价值的价格估值。</w:t>
      </w:r>
    </w:p>
    <w:p w14:paraId="7620ADFF" w14:textId="034CFA35" w:rsidR="00B33153" w:rsidRDefault="00B33153">
      <w:pPr>
        <w:spacing w:line="360" w:lineRule="auto"/>
        <w:ind w:firstLineChars="200" w:firstLine="480"/>
        <w:rPr>
          <w:rFonts w:ascii="宋体" w:hAnsi="宋体"/>
          <w:sz w:val="24"/>
        </w:rPr>
      </w:pPr>
      <w:r>
        <w:rPr>
          <w:rFonts w:ascii="宋体" w:hAnsi="宋体" w:hint="eastAsia"/>
          <w:sz w:val="24"/>
        </w:rPr>
        <w:t>（</w:t>
      </w:r>
      <w:r w:rsidR="00DF7731">
        <w:rPr>
          <w:rFonts w:ascii="宋体" w:hAnsi="宋体" w:hint="eastAsia"/>
          <w:sz w:val="24"/>
        </w:rPr>
        <w:t>7</w:t>
      </w:r>
      <w:r>
        <w:rPr>
          <w:rFonts w:ascii="宋体" w:hAnsi="宋体" w:hint="eastAsia"/>
          <w:sz w:val="24"/>
        </w:rPr>
        <w:t>）相关法律法规以及监管部门有强制规定的，从其规定。如有新增事项，按国家最新规定估值。</w:t>
      </w:r>
    </w:p>
    <w:p w14:paraId="5EC00EDD" w14:textId="77777777" w:rsidR="00B33153" w:rsidRDefault="00B33153">
      <w:pPr>
        <w:spacing w:line="360" w:lineRule="auto"/>
        <w:ind w:firstLineChars="200" w:firstLine="480"/>
        <w:rPr>
          <w:rFonts w:ascii="宋体" w:hAnsi="宋体"/>
          <w:sz w:val="24"/>
        </w:rPr>
      </w:pPr>
      <w:r>
        <w:rPr>
          <w:rFonts w:ascii="宋体" w:hAnsi="宋体"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9071E9D" w14:textId="77777777" w:rsidR="00B33153" w:rsidRDefault="00B33153">
      <w:pPr>
        <w:spacing w:line="360" w:lineRule="auto"/>
        <w:ind w:firstLineChars="200" w:firstLine="480"/>
        <w:rPr>
          <w:rFonts w:ascii="宋体" w:hAnsi="宋体"/>
          <w:sz w:val="24"/>
          <w:szCs w:val="24"/>
        </w:rPr>
      </w:pPr>
      <w:r>
        <w:rPr>
          <w:rFonts w:ascii="宋体" w:hAnsi="宋体"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w:t>
      </w:r>
      <w:r>
        <w:rPr>
          <w:rFonts w:ascii="宋体" w:hAnsi="宋体" w:hint="eastAsia"/>
          <w:sz w:val="24"/>
        </w:rPr>
        <w:lastRenderedPageBreak/>
        <w:t>基金管理人对基金资产净值的计算结果对外予以公布。</w:t>
      </w:r>
    </w:p>
    <w:p w14:paraId="712E16D8" w14:textId="77777777" w:rsidR="00B33153" w:rsidRDefault="00B33153">
      <w:pPr>
        <w:tabs>
          <w:tab w:val="left" w:pos="3375"/>
          <w:tab w:val="left" w:pos="4920"/>
        </w:tabs>
        <w:spacing w:line="360" w:lineRule="auto"/>
        <w:ind w:firstLineChars="200" w:firstLine="480"/>
        <w:rPr>
          <w:rFonts w:ascii="宋体" w:hAnsi="宋体"/>
          <w:sz w:val="24"/>
          <w:szCs w:val="24"/>
        </w:rPr>
      </w:pPr>
      <w:r>
        <w:rPr>
          <w:rFonts w:ascii="宋体" w:hAnsi="宋体" w:hint="eastAsia"/>
          <w:sz w:val="24"/>
          <w:szCs w:val="24"/>
        </w:rPr>
        <w:t>3．特殊情形的处理</w:t>
      </w:r>
      <w:r>
        <w:rPr>
          <w:rFonts w:ascii="宋体" w:hAnsi="宋体"/>
          <w:sz w:val="24"/>
          <w:szCs w:val="24"/>
        </w:rPr>
        <w:tab/>
      </w:r>
      <w:r>
        <w:rPr>
          <w:rFonts w:ascii="宋体" w:hAnsi="宋体"/>
          <w:sz w:val="24"/>
          <w:szCs w:val="24"/>
        </w:rPr>
        <w:tab/>
      </w:r>
    </w:p>
    <w:p w14:paraId="102F43F3" w14:textId="77777777" w:rsidR="00B33153" w:rsidRDefault="00B33153">
      <w:pPr>
        <w:spacing w:line="360" w:lineRule="auto"/>
        <w:ind w:firstLineChars="200" w:firstLine="480"/>
        <w:rPr>
          <w:rFonts w:ascii="Times New Roman" w:hAnsi="Times New Roman"/>
          <w:bCs/>
          <w:sz w:val="24"/>
          <w:szCs w:val="20"/>
        </w:rPr>
      </w:pPr>
      <w:r>
        <w:rPr>
          <w:rFonts w:ascii="宋体" w:hAnsi="宋体" w:hint="eastAsia"/>
          <w:sz w:val="24"/>
          <w:szCs w:val="24"/>
        </w:rPr>
        <w:t>基金管理人、基金托管人</w:t>
      </w:r>
      <w:r>
        <w:rPr>
          <w:rFonts w:ascii="Times New Roman" w:hAnsi="Times New Roman" w:hint="eastAsia"/>
          <w:bCs/>
          <w:sz w:val="24"/>
          <w:szCs w:val="20"/>
        </w:rPr>
        <w:t>按估值方法的第</w:t>
      </w:r>
      <w:r>
        <w:rPr>
          <w:rFonts w:ascii="宋体" w:hAnsi="宋体"/>
          <w:bCs/>
          <w:sz w:val="24"/>
          <w:szCs w:val="20"/>
        </w:rPr>
        <w:t>（6</w:t>
      </w:r>
      <w:r>
        <w:rPr>
          <w:rFonts w:ascii="宋体" w:hAnsi="宋体" w:hint="eastAsia"/>
          <w:bCs/>
          <w:sz w:val="24"/>
          <w:szCs w:val="20"/>
        </w:rPr>
        <w:t>）</w:t>
      </w:r>
      <w:r>
        <w:rPr>
          <w:rFonts w:ascii="Times New Roman" w:hAnsi="Times New Roman" w:hint="eastAsia"/>
          <w:bCs/>
          <w:sz w:val="24"/>
          <w:szCs w:val="20"/>
        </w:rPr>
        <w:t>项条款进行估值时，所造成的误差不作为基金份额净值错误处理。</w:t>
      </w:r>
    </w:p>
    <w:p w14:paraId="004E6EEA" w14:textId="6D5D530C" w:rsidR="00B33153" w:rsidRDefault="00B33153">
      <w:pPr>
        <w:spacing w:line="360" w:lineRule="auto"/>
        <w:ind w:firstLineChars="200" w:firstLine="480"/>
        <w:rPr>
          <w:rFonts w:ascii="Times New Roman" w:hAnsi="Times New Roman"/>
          <w:bCs/>
          <w:sz w:val="24"/>
          <w:szCs w:val="20"/>
        </w:rPr>
      </w:pPr>
      <w:r>
        <w:rPr>
          <w:rFonts w:ascii="Times New Roman" w:hAnsi="Times New Roman" w:hint="eastAsia"/>
          <w:bCs/>
          <w:sz w:val="24"/>
          <w:szCs w:val="20"/>
        </w:rPr>
        <w:t>由于不可抗力原因，或由于证券交易所、登记结算公司、存款银行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p>
    <w:p w14:paraId="5C01ABD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（三）基金份额净值错误的处理方式</w:t>
      </w:r>
    </w:p>
    <w:p w14:paraId="472B71F0" w14:textId="7B464CCD" w:rsidR="00B33153" w:rsidRDefault="00B33153">
      <w:pPr>
        <w:spacing w:line="360" w:lineRule="auto"/>
        <w:ind w:firstLineChars="200" w:firstLine="480"/>
        <w:rPr>
          <w:rFonts w:ascii="宋体" w:hAnsi="宋体"/>
          <w:sz w:val="24"/>
          <w:szCs w:val="24"/>
        </w:rPr>
      </w:pPr>
      <w:r>
        <w:rPr>
          <w:rFonts w:ascii="宋体" w:hAnsi="宋体" w:hint="eastAsia"/>
          <w:sz w:val="24"/>
          <w:szCs w:val="24"/>
        </w:rPr>
        <w:t>1．当基金份额净值小数点</w:t>
      </w:r>
      <w:r w:rsidRPr="007A7A77">
        <w:rPr>
          <w:rFonts w:ascii="宋体" w:hAnsi="宋体" w:hint="eastAsia"/>
          <w:sz w:val="24"/>
          <w:szCs w:val="24"/>
        </w:rPr>
        <w:t>后</w:t>
      </w:r>
      <w:r w:rsidR="005B2F02" w:rsidRPr="007A7A77">
        <w:rPr>
          <w:rFonts w:ascii="宋体" w:hAnsi="宋体"/>
          <w:sz w:val="24"/>
          <w:szCs w:val="24"/>
        </w:rPr>
        <w:t>4</w:t>
      </w:r>
      <w:r w:rsidRPr="007A7A77">
        <w:rPr>
          <w:rFonts w:ascii="宋体" w:hAnsi="宋体" w:hint="eastAsia"/>
          <w:sz w:val="24"/>
          <w:szCs w:val="24"/>
        </w:rPr>
        <w:t>位以内（含</w:t>
      </w:r>
      <w:r w:rsidR="005B2F02" w:rsidRPr="007A7A77">
        <w:rPr>
          <w:rFonts w:ascii="宋体" w:hAnsi="宋体" w:hint="eastAsia"/>
          <w:sz w:val="24"/>
          <w:szCs w:val="24"/>
        </w:rPr>
        <w:t>第</w:t>
      </w:r>
      <w:r w:rsidR="005B2F02" w:rsidRPr="007A7A77">
        <w:rPr>
          <w:rFonts w:ascii="宋体" w:hAnsi="宋体"/>
          <w:sz w:val="24"/>
          <w:szCs w:val="24"/>
        </w:rPr>
        <w:t>4</w:t>
      </w:r>
      <w:r w:rsidRPr="007A7A77">
        <w:rPr>
          <w:rFonts w:ascii="宋体" w:hAnsi="宋体" w:hint="eastAsia"/>
          <w:sz w:val="24"/>
          <w:szCs w:val="24"/>
        </w:rPr>
        <w:t>位）</w:t>
      </w:r>
      <w:r>
        <w:rPr>
          <w:rFonts w:ascii="宋体" w:hAnsi="宋体" w:hint="eastAsia"/>
          <w:sz w:val="24"/>
          <w:szCs w:val="24"/>
        </w:rPr>
        <w:t>发生差错时，视为基金份额净值错误；基金份额净值出现错误时，基金管理人应当立即予以纠正，通报基金托管人，并采取合理的措施防止损失进一步扩大；错误偏差达到基金份额净值的0.25%时，基金管理人应当通报基金托管人并报中国证监会备案；错误偏差达到基金份额净值的0.50%时，基金管理人和基金托管人应当公告，并报中国证监会备案；当发生净值计算错误时，由基金管理人负责处理，由此给基金份额持有人和基金造成损失的，应由基金管理人先行赔付，基金管理人按差错情形，有权向其他当事人追偿。</w:t>
      </w:r>
    </w:p>
    <w:p w14:paraId="68BEE9F0" w14:textId="77777777" w:rsidR="00B33153" w:rsidRDefault="00B33153">
      <w:pPr>
        <w:spacing w:line="360" w:lineRule="auto"/>
        <w:ind w:firstLineChars="200" w:firstLine="480"/>
        <w:rPr>
          <w:rFonts w:ascii="宋体" w:hAnsi="宋体"/>
          <w:sz w:val="24"/>
          <w:szCs w:val="24"/>
        </w:rPr>
      </w:pPr>
      <w:r>
        <w:rPr>
          <w:rFonts w:ascii="宋体" w:hAnsi="宋体"/>
          <w:sz w:val="24"/>
          <w:szCs w:val="24"/>
        </w:rPr>
        <w:t xml:space="preserve">2. </w:t>
      </w:r>
      <w:r>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7F218FA6" w14:textId="77777777" w:rsidR="00B33153" w:rsidRDefault="00B33153">
      <w:pPr>
        <w:spacing w:line="360" w:lineRule="auto"/>
        <w:ind w:firstLineChars="200" w:firstLine="480"/>
        <w:rPr>
          <w:bCs/>
          <w:sz w:val="24"/>
        </w:rPr>
      </w:pPr>
      <w:r>
        <w:rPr>
          <w:rFonts w:ascii="宋体" w:hAnsi="宋体" w:hint="eastAsia"/>
          <w:bCs/>
          <w:sz w:val="24"/>
        </w:rPr>
        <w:t>（1</w:t>
      </w:r>
      <w:r>
        <w:rPr>
          <w:rFonts w:ascii="宋体" w:hAnsi="宋体"/>
          <w:bCs/>
          <w:sz w:val="24"/>
        </w:rPr>
        <w:t>）</w:t>
      </w:r>
      <w:r>
        <w:rPr>
          <w:rFonts w:hint="eastAsia"/>
          <w:bCs/>
          <w:sz w:val="24"/>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4590CFFC" w14:textId="77777777" w:rsidR="00B33153" w:rsidRDefault="00B33153">
      <w:pPr>
        <w:spacing w:line="360" w:lineRule="auto"/>
        <w:ind w:right="28" w:firstLineChars="200" w:firstLine="480"/>
        <w:rPr>
          <w:rFonts w:ascii="宋体" w:hAnsi="宋体"/>
          <w:sz w:val="24"/>
          <w:szCs w:val="24"/>
        </w:rPr>
      </w:pPr>
      <w:r>
        <w:rPr>
          <w:rFonts w:ascii="宋体" w:hAnsi="宋体" w:hint="eastAsia"/>
          <w:bCs/>
          <w:sz w:val="24"/>
        </w:rPr>
        <w:t>（2</w:t>
      </w:r>
      <w:r>
        <w:rPr>
          <w:rFonts w:ascii="宋体" w:hAnsi="宋体"/>
          <w:bCs/>
          <w:sz w:val="24"/>
        </w:rPr>
        <w:t>）</w:t>
      </w:r>
      <w:r>
        <w:rPr>
          <w:rFonts w:hint="eastAsia"/>
          <w:bCs/>
          <w:sz w:val="24"/>
        </w:rPr>
        <w:t>若基金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r>
        <w:rPr>
          <w:rFonts w:ascii="宋体" w:hAnsi="宋体" w:hint="eastAsia"/>
          <w:sz w:val="24"/>
        </w:rPr>
        <w:t>基金管理人和基金托管人有权向获得不当得利之主体主张返还不当得利。</w:t>
      </w:r>
    </w:p>
    <w:p w14:paraId="5F87D9FA" w14:textId="77777777" w:rsidR="00B33153" w:rsidRDefault="00B33153">
      <w:pPr>
        <w:spacing w:line="360" w:lineRule="auto"/>
        <w:ind w:firstLineChars="200" w:firstLine="480"/>
        <w:rPr>
          <w:bCs/>
          <w:sz w:val="24"/>
        </w:rPr>
      </w:pPr>
      <w:r>
        <w:rPr>
          <w:rFonts w:ascii="宋体" w:hAnsi="宋体" w:hint="eastAsia"/>
          <w:bCs/>
          <w:sz w:val="24"/>
        </w:rPr>
        <w:lastRenderedPageBreak/>
        <w:t>（3</w:t>
      </w:r>
      <w:r>
        <w:rPr>
          <w:rFonts w:ascii="宋体" w:hAnsi="宋体"/>
          <w:bCs/>
          <w:sz w:val="24"/>
        </w:rPr>
        <w:t>）</w:t>
      </w:r>
      <w:r>
        <w:rPr>
          <w:rFonts w:hint="eastAsia"/>
          <w:bCs/>
          <w:sz w:val="24"/>
        </w:rPr>
        <w:t>如基金管理人和基金托管人对基金份额净值的计算结果，虽然多次重新计算和核对或对基金管理人采用的估值方法，尚不能达成一致时，为避免不能按时公布基金份额净值的情形，以基金管理人的计算结果对外公布，由此给基金份额持有人和基金造成的损失，由基金管理人负责赔付</w:t>
      </w:r>
      <w:r w:rsidR="006B0660" w:rsidRPr="00D57835">
        <w:rPr>
          <w:rFonts w:hint="eastAsia"/>
          <w:bCs/>
          <w:sz w:val="24"/>
        </w:rPr>
        <w:t>，基金托管人不承担任何责任。</w:t>
      </w:r>
    </w:p>
    <w:p w14:paraId="79C22714" w14:textId="77777777" w:rsidR="00B33153" w:rsidRDefault="00B33153">
      <w:pPr>
        <w:spacing w:line="360" w:lineRule="auto"/>
        <w:ind w:firstLineChars="200" w:firstLine="480"/>
        <w:rPr>
          <w:bCs/>
          <w:sz w:val="24"/>
        </w:rPr>
      </w:pPr>
      <w:r>
        <w:rPr>
          <w:rFonts w:ascii="宋体" w:hAnsi="宋体" w:hint="eastAsia"/>
          <w:bCs/>
          <w:sz w:val="24"/>
        </w:rPr>
        <w:t>（4</w:t>
      </w:r>
      <w:r>
        <w:rPr>
          <w:rFonts w:ascii="宋体" w:hAnsi="宋体"/>
          <w:bCs/>
          <w:sz w:val="24"/>
        </w:rPr>
        <w:t>）</w:t>
      </w:r>
      <w:r>
        <w:rPr>
          <w:rFonts w:hint="eastAsia"/>
          <w:bCs/>
          <w:sz w:val="24"/>
        </w:rPr>
        <w:t>由于基金管理人提供的信息错误（包括但不限于基金申购或赎回金额等），进而导致基金份额净值计算错误而引起的基金份额持有人和基金财产的损失，由基金管理人负责赔付。</w:t>
      </w:r>
    </w:p>
    <w:p w14:paraId="2862339C" w14:textId="77777777" w:rsidR="00B33153" w:rsidRDefault="00B33153">
      <w:pPr>
        <w:spacing w:line="360" w:lineRule="auto"/>
        <w:ind w:firstLineChars="200" w:firstLine="480"/>
        <w:rPr>
          <w:bCs/>
          <w:sz w:val="24"/>
        </w:rPr>
      </w:pPr>
      <w:r>
        <w:rPr>
          <w:rFonts w:ascii="宋体" w:hAnsi="宋体" w:hint="eastAsia"/>
          <w:sz w:val="24"/>
          <w:szCs w:val="24"/>
        </w:rPr>
        <w:t>3</w:t>
      </w:r>
      <w:r>
        <w:rPr>
          <w:rFonts w:ascii="宋体" w:hAnsi="宋体"/>
          <w:sz w:val="24"/>
          <w:szCs w:val="24"/>
        </w:rPr>
        <w:t>.</w:t>
      </w:r>
      <w:r>
        <w:rPr>
          <w:bCs/>
          <w:sz w:val="24"/>
        </w:rPr>
        <w:t xml:space="preserve"> </w:t>
      </w:r>
      <w:r>
        <w:rPr>
          <w:rFonts w:hint="eastAsia"/>
          <w:bCs/>
          <w:sz w:val="24"/>
        </w:rPr>
        <w:t>基金管理人和基金托管人由于各自技术系统设置而产生的净值计算尾差，以基金管理人计算结果为准。</w:t>
      </w:r>
    </w:p>
    <w:p w14:paraId="5A62BF90" w14:textId="77777777" w:rsidR="00B33153" w:rsidRDefault="00B33153">
      <w:pPr>
        <w:spacing w:line="360" w:lineRule="auto"/>
        <w:ind w:firstLineChars="200" w:firstLine="480"/>
        <w:rPr>
          <w:bCs/>
          <w:sz w:val="24"/>
        </w:rPr>
      </w:pPr>
      <w:r>
        <w:rPr>
          <w:rFonts w:ascii="宋体" w:hAnsi="宋体" w:hint="eastAsia"/>
          <w:sz w:val="24"/>
          <w:szCs w:val="24"/>
        </w:rPr>
        <w:t>4</w:t>
      </w:r>
      <w:r>
        <w:rPr>
          <w:rFonts w:ascii="宋体" w:hAnsi="宋体"/>
          <w:sz w:val="24"/>
          <w:szCs w:val="24"/>
        </w:rPr>
        <w:t>.</w:t>
      </w:r>
      <w:r>
        <w:rPr>
          <w:rFonts w:ascii="Times New Roman" w:hAnsi="Times New Roman" w:hint="eastAsia"/>
          <w:sz w:val="24"/>
        </w:rPr>
        <w:t>前述内容如法律法规</w:t>
      </w:r>
      <w:r>
        <w:rPr>
          <w:rFonts w:ascii="Times New Roman" w:hAnsi="Times New Roman"/>
          <w:bCs/>
          <w:sz w:val="24"/>
          <w:szCs w:val="20"/>
        </w:rPr>
        <w:t>或</w:t>
      </w:r>
      <w:r>
        <w:rPr>
          <w:rFonts w:ascii="Times New Roman" w:hAnsi="Times New Roman" w:hint="eastAsia"/>
          <w:sz w:val="24"/>
        </w:rPr>
        <w:t>监管</w:t>
      </w:r>
      <w:r>
        <w:rPr>
          <w:rFonts w:ascii="Times New Roman" w:hAnsi="Times New Roman"/>
          <w:bCs/>
          <w:sz w:val="24"/>
          <w:szCs w:val="20"/>
        </w:rPr>
        <w:t>机关</w:t>
      </w:r>
      <w:r>
        <w:rPr>
          <w:rFonts w:ascii="Times New Roman" w:hAnsi="Times New Roman" w:hint="eastAsia"/>
          <w:sz w:val="24"/>
        </w:rPr>
        <w:t>另有规定的，从其规定</w:t>
      </w:r>
      <w:r>
        <w:rPr>
          <w:rFonts w:ascii="Times New Roman" w:hAnsi="Times New Roman"/>
          <w:bCs/>
          <w:sz w:val="24"/>
          <w:szCs w:val="20"/>
        </w:rPr>
        <w:t>处理</w:t>
      </w:r>
      <w:r>
        <w:rPr>
          <w:rFonts w:ascii="Times New Roman" w:hAnsi="Times New Roman" w:hint="eastAsia"/>
          <w:sz w:val="24"/>
        </w:rPr>
        <w:t>。</w:t>
      </w:r>
      <w:r>
        <w:rPr>
          <w:rFonts w:hint="eastAsia"/>
          <w:bCs/>
          <w:sz w:val="24"/>
        </w:rPr>
        <w:t>如果行业另有通行做法，双方当事人应本着平等和保护基金份额持有人利益的原则进行协商。</w:t>
      </w:r>
    </w:p>
    <w:p w14:paraId="195BD3A0" w14:textId="0CCB9750" w:rsidR="00B33153" w:rsidRDefault="00B33153">
      <w:pPr>
        <w:spacing w:line="360" w:lineRule="auto"/>
        <w:ind w:firstLineChars="200" w:firstLine="480"/>
        <w:rPr>
          <w:rFonts w:ascii="宋体" w:hAnsi="宋体"/>
          <w:sz w:val="24"/>
          <w:szCs w:val="24"/>
        </w:rPr>
      </w:pPr>
      <w:r>
        <w:rPr>
          <w:rFonts w:ascii="宋体" w:hAnsi="宋体" w:hint="eastAsia"/>
          <w:sz w:val="24"/>
          <w:szCs w:val="24"/>
        </w:rPr>
        <w:t>（四）暂停估值的情形</w:t>
      </w:r>
    </w:p>
    <w:p w14:paraId="72D27292" w14:textId="0B4827DD" w:rsidR="00B33153" w:rsidRDefault="00B33153">
      <w:pPr>
        <w:spacing w:line="360" w:lineRule="auto"/>
        <w:ind w:firstLineChars="200" w:firstLine="480"/>
        <w:rPr>
          <w:rFonts w:ascii="Times New Roman" w:hAnsi="Times New Roman"/>
          <w:sz w:val="24"/>
        </w:rPr>
      </w:pPr>
      <w:r>
        <w:rPr>
          <w:rFonts w:ascii="宋体" w:hAnsi="宋体" w:hint="eastAsia"/>
          <w:sz w:val="24"/>
          <w:szCs w:val="24"/>
        </w:rPr>
        <w:t>1</w:t>
      </w:r>
      <w:r>
        <w:rPr>
          <w:rFonts w:ascii="宋体" w:hAnsi="宋体"/>
          <w:sz w:val="24"/>
          <w:szCs w:val="24"/>
        </w:rPr>
        <w:t>.</w:t>
      </w:r>
      <w:r>
        <w:rPr>
          <w:rFonts w:ascii="Times New Roman" w:hAnsi="Times New Roman" w:hint="eastAsia"/>
          <w:sz w:val="24"/>
        </w:rPr>
        <w:t>基金投资所涉及的证券交易市场遇法定节假日或因其他原因暂停营业时；</w:t>
      </w:r>
    </w:p>
    <w:p w14:paraId="0E8235E4" w14:textId="77777777" w:rsidR="00B33153" w:rsidRDefault="00B33153">
      <w:pPr>
        <w:spacing w:line="360" w:lineRule="auto"/>
        <w:ind w:firstLineChars="200" w:firstLine="480"/>
        <w:rPr>
          <w:rFonts w:ascii="Times New Roman" w:hAnsi="Times New Roman"/>
          <w:sz w:val="24"/>
        </w:rPr>
      </w:pPr>
      <w:r>
        <w:rPr>
          <w:rFonts w:ascii="宋体" w:hAnsi="宋体"/>
          <w:sz w:val="24"/>
          <w:szCs w:val="24"/>
        </w:rPr>
        <w:t>2.</w:t>
      </w:r>
      <w:r>
        <w:rPr>
          <w:rFonts w:ascii="Times New Roman" w:hAnsi="Times New Roman" w:hint="eastAsia"/>
          <w:sz w:val="24"/>
        </w:rPr>
        <w:t>因不可抗力致使基金管理人、基金托管人无法准确评估基金资产价值时；</w:t>
      </w:r>
    </w:p>
    <w:p w14:paraId="48258F16" w14:textId="61E82680" w:rsidR="005F3FB3" w:rsidRDefault="005F3FB3">
      <w:pPr>
        <w:spacing w:line="360" w:lineRule="auto"/>
        <w:ind w:firstLineChars="200" w:firstLine="480"/>
        <w:rPr>
          <w:rFonts w:ascii="Times New Roman" w:hAnsi="Times New Roman"/>
          <w:sz w:val="24"/>
        </w:rPr>
      </w:pPr>
      <w:r>
        <w:rPr>
          <w:rFonts w:ascii="Times New Roman" w:hAnsi="Times New Roman" w:hint="eastAsia"/>
          <w:sz w:val="24"/>
        </w:rPr>
        <w:t>3</w:t>
      </w:r>
      <w:r>
        <w:rPr>
          <w:rFonts w:ascii="宋体" w:hAnsi="宋体"/>
          <w:sz w:val="24"/>
          <w:szCs w:val="24"/>
        </w:rPr>
        <w:t>.</w:t>
      </w:r>
      <w:r w:rsidRPr="005F3FB3">
        <w:rPr>
          <w:rFonts w:ascii="Times New Roman" w:hAnsi="Times New Roman" w:hint="eastAsia"/>
          <w:sz w:val="24"/>
        </w:rPr>
        <w:t>当前一估值日基金资产净值</w:t>
      </w:r>
      <w:r w:rsidRPr="005F3FB3">
        <w:rPr>
          <w:rFonts w:ascii="Times New Roman" w:hAnsi="Times New Roman" w:hint="eastAsia"/>
          <w:sz w:val="24"/>
        </w:rPr>
        <w:t>50%</w:t>
      </w:r>
      <w:r w:rsidRPr="005F3FB3">
        <w:rPr>
          <w:rFonts w:ascii="Times New Roman" w:hAnsi="Times New Roman" w:hint="eastAsia"/>
          <w:sz w:val="24"/>
        </w:rPr>
        <w:t>以上的资产出现无可参考的活跃市场价格且采用估值技术仍导致公允价值存在重大不确定性</w:t>
      </w:r>
      <w:r>
        <w:rPr>
          <w:rFonts w:ascii="Times New Roman" w:hAnsi="Times New Roman" w:hint="eastAsia"/>
          <w:sz w:val="24"/>
        </w:rPr>
        <w:t>，</w:t>
      </w:r>
      <w:r w:rsidRPr="005F3FB3">
        <w:rPr>
          <w:rFonts w:ascii="Times New Roman" w:hAnsi="Times New Roman" w:hint="eastAsia"/>
          <w:sz w:val="24"/>
        </w:rPr>
        <w:t>经与基金托管人协商一致时</w:t>
      </w:r>
      <w:r>
        <w:rPr>
          <w:rFonts w:ascii="Times New Roman" w:hAnsi="Times New Roman" w:hint="eastAsia"/>
          <w:sz w:val="24"/>
        </w:rPr>
        <w:t>；</w:t>
      </w:r>
    </w:p>
    <w:p w14:paraId="345A2034" w14:textId="3B277DD9" w:rsidR="00B33153" w:rsidRDefault="005F3FB3">
      <w:pPr>
        <w:spacing w:line="360" w:lineRule="auto"/>
        <w:ind w:firstLineChars="200" w:firstLine="480"/>
        <w:rPr>
          <w:rFonts w:ascii="Times New Roman" w:hAnsi="Times New Roman"/>
          <w:sz w:val="24"/>
        </w:rPr>
      </w:pPr>
      <w:r>
        <w:rPr>
          <w:rFonts w:ascii="宋体" w:hAnsi="宋体" w:hint="eastAsia"/>
          <w:sz w:val="24"/>
          <w:szCs w:val="24"/>
        </w:rPr>
        <w:t>4</w:t>
      </w:r>
      <w:r w:rsidR="00B33153">
        <w:rPr>
          <w:rFonts w:ascii="宋体" w:hAnsi="宋体"/>
          <w:sz w:val="24"/>
          <w:szCs w:val="24"/>
        </w:rPr>
        <w:t>.</w:t>
      </w:r>
      <w:r w:rsidR="00B33153">
        <w:rPr>
          <w:rFonts w:ascii="Times New Roman" w:hAnsi="Times New Roman" w:hint="eastAsia"/>
          <w:sz w:val="24"/>
        </w:rPr>
        <w:t>中国证监会和基金合同认定的其它情形。</w:t>
      </w:r>
    </w:p>
    <w:p w14:paraId="0092437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（五）基金会计制度</w:t>
      </w:r>
    </w:p>
    <w:p w14:paraId="0632ADC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按国家有关部门规定的会计制度执行。</w:t>
      </w:r>
    </w:p>
    <w:p w14:paraId="61428A8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（六）基金账册的建立</w:t>
      </w:r>
    </w:p>
    <w:p w14:paraId="50CA634D"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7F506945"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（七）基金财务报表与报告的编制和复核</w:t>
      </w:r>
    </w:p>
    <w:p w14:paraId="4AE3764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1．财务报表的编制</w:t>
      </w:r>
    </w:p>
    <w:p w14:paraId="133D3F2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基金财务报表由基金管理人编制，基金托管人复核。</w:t>
      </w:r>
    </w:p>
    <w:p w14:paraId="2FACD8AB"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lastRenderedPageBreak/>
        <w:t>2．报表复核</w:t>
      </w:r>
    </w:p>
    <w:p w14:paraId="1500EA9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14:paraId="5F3588B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3．财务报表的编制与复核时间安排</w:t>
      </w:r>
    </w:p>
    <w:p w14:paraId="23CA9BBD"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（1）报表的编制</w:t>
      </w:r>
    </w:p>
    <w:p w14:paraId="2EC57189"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应当在每月结束后5个工作日内完成月度报表的编制；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14:paraId="67A1605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（2）报表的复核</w:t>
      </w:r>
    </w:p>
    <w:p w14:paraId="34FB00EB"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1C5EFA22"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基金管理人应留足充分的时间，便于基金托管人复核相关报表及报告。</w:t>
      </w:r>
    </w:p>
    <w:p w14:paraId="02AEBE20" w14:textId="77777777" w:rsidR="00B33153" w:rsidRDefault="00B33153">
      <w:pPr>
        <w:spacing w:line="360" w:lineRule="auto"/>
        <w:ind w:firstLineChars="200" w:firstLine="480"/>
        <w:rPr>
          <w:rFonts w:ascii="宋体" w:hAnsi="宋体"/>
          <w:sz w:val="24"/>
          <w:szCs w:val="24"/>
        </w:rPr>
      </w:pPr>
    </w:p>
    <w:p w14:paraId="04C087F4" w14:textId="77777777" w:rsidR="00B33153" w:rsidRDefault="00B33153" w:rsidP="00C51254">
      <w:pPr>
        <w:spacing w:afterLines="100" w:after="312" w:line="360" w:lineRule="auto"/>
        <w:jc w:val="center"/>
        <w:outlineLvl w:val="0"/>
        <w:rPr>
          <w:b/>
          <w:sz w:val="30"/>
          <w:szCs w:val="30"/>
        </w:rPr>
      </w:pPr>
      <w:r>
        <w:rPr>
          <w:rFonts w:ascii="宋体" w:hAnsi="宋体"/>
          <w:sz w:val="24"/>
          <w:szCs w:val="24"/>
        </w:rPr>
        <w:br w:type="page"/>
      </w:r>
      <w:bookmarkStart w:id="11" w:name="_Toc440289538"/>
      <w:r>
        <w:rPr>
          <w:rFonts w:hint="eastAsia"/>
          <w:b/>
          <w:sz w:val="30"/>
          <w:szCs w:val="30"/>
        </w:rPr>
        <w:lastRenderedPageBreak/>
        <w:t>九、基金收益分配</w:t>
      </w:r>
      <w:bookmarkEnd w:id="11"/>
    </w:p>
    <w:p w14:paraId="692C433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基金收益分配是指按规定将基金的可分配收益按基金份额进行比例分配。</w:t>
      </w:r>
    </w:p>
    <w:p w14:paraId="621B0F20"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（一）基金利润的构成</w:t>
      </w:r>
    </w:p>
    <w:p w14:paraId="43202919"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基金利润指基金利息收入、投资收益、公允价值变动收益和其他收入扣除相关费用后的余额，基金已实现收益指基金利润减去公允价值变动收益后的余额。</w:t>
      </w:r>
    </w:p>
    <w:p w14:paraId="43D58231"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（二）基金可供分配利润</w:t>
      </w:r>
    </w:p>
    <w:p w14:paraId="70F07108"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基金可供分配利润指截至收益分配基准日基金未分配利润与未分配利润中已实现收益的孰低数。</w:t>
      </w:r>
    </w:p>
    <w:p w14:paraId="532D3AF0"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sz w:val="24"/>
          <w:szCs w:val="24"/>
        </w:rPr>
        <w:t>三）</w:t>
      </w:r>
      <w:r>
        <w:rPr>
          <w:rFonts w:ascii="宋体" w:hAnsi="宋体" w:hint="eastAsia"/>
          <w:sz w:val="24"/>
          <w:szCs w:val="24"/>
        </w:rPr>
        <w:t>基金收益分配的原则</w:t>
      </w:r>
    </w:p>
    <w:p w14:paraId="093AECEC" w14:textId="77777777" w:rsidR="00B33153" w:rsidRDefault="00B33153">
      <w:pPr>
        <w:spacing w:line="360" w:lineRule="auto"/>
        <w:ind w:firstLineChars="200" w:firstLine="480"/>
        <w:rPr>
          <w:rFonts w:ascii="Times New Roman" w:hAnsi="Times New Roman"/>
          <w:bCs/>
          <w:sz w:val="24"/>
          <w:szCs w:val="20"/>
        </w:rPr>
      </w:pPr>
      <w:r>
        <w:rPr>
          <w:rFonts w:ascii="宋体" w:hAnsi="宋体" w:hint="eastAsia"/>
          <w:bCs/>
          <w:sz w:val="24"/>
          <w:szCs w:val="20"/>
        </w:rPr>
        <w:t>1．</w:t>
      </w:r>
      <w:r>
        <w:rPr>
          <w:rFonts w:ascii="Times New Roman" w:hAnsi="Times New Roman" w:hint="eastAsia"/>
          <w:bCs/>
          <w:sz w:val="24"/>
          <w:szCs w:val="20"/>
        </w:rPr>
        <w:t>本基金收益分配方式分两种：现金分红与红利再投资，投资者可选择现金红利或将现金红利自动转为基金份额进行再投资；若投资者不选择，本基金默认的收益分配方式是现金分红；</w:t>
      </w:r>
    </w:p>
    <w:p w14:paraId="349FC425" w14:textId="77777777" w:rsidR="00B33153" w:rsidRDefault="00B33153">
      <w:pPr>
        <w:spacing w:line="360" w:lineRule="auto"/>
        <w:ind w:firstLineChars="200" w:firstLine="480"/>
        <w:rPr>
          <w:rFonts w:ascii="Times New Roman" w:hAnsi="Times New Roman"/>
          <w:bCs/>
          <w:sz w:val="24"/>
          <w:szCs w:val="20"/>
        </w:rPr>
      </w:pPr>
      <w:r>
        <w:rPr>
          <w:rFonts w:ascii="宋体" w:hAnsi="宋体"/>
          <w:bCs/>
          <w:sz w:val="24"/>
          <w:szCs w:val="20"/>
        </w:rPr>
        <w:t>2</w:t>
      </w:r>
      <w:r>
        <w:rPr>
          <w:rFonts w:ascii="Times New Roman" w:hAnsi="Times New Roman" w:hint="eastAsia"/>
          <w:bCs/>
          <w:sz w:val="24"/>
          <w:szCs w:val="20"/>
        </w:rPr>
        <w:t>．基金收益分配后基金份额净值不能低于面值，即基金收益分配基准日的基金份额净值减去每单位基金份额收益分配金额后不能低于面值；</w:t>
      </w:r>
    </w:p>
    <w:p w14:paraId="703491EF" w14:textId="00E7BAC9" w:rsidR="00B33153" w:rsidRDefault="00B33153">
      <w:pPr>
        <w:spacing w:line="360" w:lineRule="auto"/>
        <w:ind w:firstLineChars="200" w:firstLine="480"/>
        <w:rPr>
          <w:rFonts w:ascii="Times New Roman" w:hAnsi="Times New Roman"/>
          <w:bCs/>
          <w:sz w:val="24"/>
          <w:szCs w:val="20"/>
        </w:rPr>
      </w:pPr>
      <w:r>
        <w:rPr>
          <w:rFonts w:ascii="宋体" w:hAnsi="宋体"/>
          <w:bCs/>
          <w:sz w:val="24"/>
          <w:szCs w:val="20"/>
        </w:rPr>
        <w:t>3</w:t>
      </w:r>
      <w:r>
        <w:rPr>
          <w:rFonts w:ascii="宋体" w:hAnsi="宋体" w:hint="eastAsia"/>
          <w:bCs/>
          <w:sz w:val="24"/>
          <w:szCs w:val="20"/>
        </w:rPr>
        <w:t>．</w:t>
      </w:r>
      <w:r>
        <w:rPr>
          <w:rFonts w:ascii="Times New Roman" w:hAnsi="Times New Roman" w:hint="eastAsia"/>
          <w:bCs/>
          <w:sz w:val="24"/>
          <w:szCs w:val="20"/>
        </w:rPr>
        <w:t>每一基金份额享有同等分配权；</w:t>
      </w:r>
    </w:p>
    <w:p w14:paraId="2BCF7D81" w14:textId="77777777" w:rsidR="00B33153" w:rsidRDefault="00B33153">
      <w:pPr>
        <w:spacing w:line="360" w:lineRule="auto"/>
        <w:ind w:firstLineChars="200" w:firstLine="480"/>
        <w:rPr>
          <w:rFonts w:ascii="Times New Roman" w:hAnsi="Times New Roman"/>
          <w:bCs/>
          <w:sz w:val="24"/>
          <w:szCs w:val="20"/>
        </w:rPr>
      </w:pPr>
      <w:r>
        <w:rPr>
          <w:rFonts w:ascii="宋体" w:hAnsi="宋体"/>
          <w:bCs/>
          <w:sz w:val="24"/>
          <w:szCs w:val="20"/>
        </w:rPr>
        <w:t>4</w:t>
      </w:r>
      <w:r>
        <w:rPr>
          <w:rFonts w:ascii="Times New Roman" w:hAnsi="Times New Roman" w:hint="eastAsia"/>
          <w:bCs/>
          <w:sz w:val="24"/>
          <w:szCs w:val="20"/>
        </w:rPr>
        <w:t>．法律法规或监管机关另有规定的，从其规定。</w:t>
      </w:r>
    </w:p>
    <w:p w14:paraId="520E851F" w14:textId="77777777" w:rsidR="00B33153" w:rsidRDefault="00B33153">
      <w:pPr>
        <w:spacing w:line="360" w:lineRule="auto"/>
        <w:ind w:firstLineChars="200" w:firstLine="480"/>
        <w:rPr>
          <w:rFonts w:ascii="Times New Roman" w:hAnsi="Times New Roman"/>
          <w:bCs/>
          <w:sz w:val="24"/>
          <w:szCs w:val="20"/>
        </w:rPr>
      </w:pPr>
      <w:r>
        <w:rPr>
          <w:rFonts w:ascii="Times New Roman" w:hAnsi="Times New Roman" w:hint="eastAsia"/>
          <w:bCs/>
          <w:sz w:val="24"/>
          <w:szCs w:val="20"/>
        </w:rPr>
        <w:t>在符合法律法规及基金合同约定，并对基金份额持有人利益无实质不利影响的前提下，基金管理人可对基金收益分配原则和支付方式进行调整，不需召开基金份额持有人大会。</w:t>
      </w:r>
    </w:p>
    <w:p w14:paraId="1215C623"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（四）收益分配方案</w:t>
      </w:r>
    </w:p>
    <w:p w14:paraId="685EF851"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基金收益分配方案中应载明截止收益分配基准日的可供分配利润、基金收益分配对象、分配时间、分配数额及比例、分配方式等内容。</w:t>
      </w:r>
    </w:p>
    <w:p w14:paraId="1E691FD5"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（五）收益分配方案的确定、公告与实施</w:t>
      </w:r>
    </w:p>
    <w:p w14:paraId="41F6F12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本基金收益分配方案由基金管理人拟定，并由基金托管人复核，依据相关规定进行公告并报中国证监会备案。</w:t>
      </w:r>
    </w:p>
    <w:p w14:paraId="398DC5D9"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基金红利发放日距离收益分配基准日（即可供分配利润计算截止日）的时间不得超过15个工作日。</w:t>
      </w:r>
    </w:p>
    <w:p w14:paraId="0EEBF28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（六）基金收益分配中发生的费用</w:t>
      </w:r>
    </w:p>
    <w:p w14:paraId="0CC3A63F" w14:textId="54F55296" w:rsidR="00B33153" w:rsidRDefault="00B33153">
      <w:pPr>
        <w:spacing w:line="360" w:lineRule="auto"/>
        <w:ind w:firstLineChars="200" w:firstLine="480"/>
        <w:rPr>
          <w:rFonts w:ascii="宋体" w:hAnsi="宋体"/>
          <w:sz w:val="24"/>
          <w:szCs w:val="24"/>
        </w:rPr>
      </w:pPr>
      <w:r>
        <w:rPr>
          <w:rFonts w:ascii="宋体" w:hAnsi="宋体" w:hint="eastAsia"/>
          <w:sz w:val="24"/>
          <w:szCs w:val="24"/>
        </w:rPr>
        <w:lastRenderedPageBreak/>
        <w:t>基金收益分配时所发生的银行转账或其他手续费用由投资者自行承担。当投资者的现金红利小于一定金额，不足</w:t>
      </w:r>
      <w:r w:rsidR="00C92FDC">
        <w:rPr>
          <w:rFonts w:ascii="宋体" w:hAnsi="宋体" w:hint="eastAsia"/>
          <w:sz w:val="24"/>
          <w:szCs w:val="24"/>
        </w:rPr>
        <w:t>以</w:t>
      </w:r>
      <w:r>
        <w:rPr>
          <w:rFonts w:ascii="宋体" w:hAnsi="宋体" w:hint="eastAsia"/>
          <w:sz w:val="24"/>
          <w:szCs w:val="24"/>
        </w:rPr>
        <w:t>支付银行转账或其他手续费用时，基金登记机构可将基金份额持有人的现金红利自动转为基金份额。红利再投资的计算方法，依照《业务规则》执行。</w:t>
      </w:r>
    </w:p>
    <w:p w14:paraId="48CD6EC4" w14:textId="77777777" w:rsidR="00B33153" w:rsidRDefault="00B33153" w:rsidP="00C51254">
      <w:pPr>
        <w:spacing w:afterLines="100" w:after="312" w:line="360" w:lineRule="auto"/>
        <w:jc w:val="center"/>
        <w:outlineLvl w:val="0"/>
        <w:rPr>
          <w:b/>
          <w:sz w:val="30"/>
          <w:szCs w:val="30"/>
        </w:rPr>
      </w:pPr>
      <w:r>
        <w:rPr>
          <w:rFonts w:ascii="宋体" w:hAnsi="宋体"/>
          <w:sz w:val="24"/>
          <w:szCs w:val="24"/>
        </w:rPr>
        <w:br w:type="page"/>
      </w:r>
      <w:bookmarkStart w:id="12" w:name="_Toc440289539"/>
      <w:r>
        <w:rPr>
          <w:rFonts w:hint="eastAsia"/>
          <w:b/>
          <w:sz w:val="30"/>
          <w:szCs w:val="30"/>
        </w:rPr>
        <w:lastRenderedPageBreak/>
        <w:t>十、基金信息披露</w:t>
      </w:r>
      <w:bookmarkEnd w:id="12"/>
    </w:p>
    <w:p w14:paraId="0C1F31AB"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（一）保密义务</w:t>
      </w:r>
    </w:p>
    <w:p w14:paraId="23C12625"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托管人和基金管理人应按法律法规、基金合同的有关规定进行信息披露，拟公开披露的信息在公开披露之前应予保密。除按《基金法》、基金合同、《信息披露办法》及其他有关规定进行信息披露外，基金管理人和基金托管人对基金运作中产生的信息以及从对方获得的业务信息应予保密。但是，如下情况不应视为基金管理人或基金托管人违反保密义务：</w:t>
      </w:r>
    </w:p>
    <w:p w14:paraId="43E115A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1．非因基金管理人和基金托管人的原因导致保密信息被披露、泄露或公开；</w:t>
      </w:r>
    </w:p>
    <w:p w14:paraId="2D09B5E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2．基金管理人和基金托管人为遵守和服从法院判决或裁定、仲裁裁决或中国证监会等监管机构的命令、决定所做出的信息披露或公开。</w:t>
      </w:r>
    </w:p>
    <w:p w14:paraId="68949597"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（二）信息披露的内容</w:t>
      </w:r>
    </w:p>
    <w:p w14:paraId="273BBBEA" w14:textId="626E2CB8"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的信息披露内容主要包括基金招募说明书、基金合同、托管协议、基金份额发售公告、基金合同生效公告、基金资产净值、基金份额净值、基金份额申购、赎回价格、基金定期报告（包括基金年度报告、基金半年度报告和基金季度报告）、临时报告、澄清公告、基金份额持有人大会决议、中国证监会规定的其他信息。基金年度报告需经具有从事证券相关业务资格的会计师事务所审计后，方可披露。</w:t>
      </w:r>
    </w:p>
    <w:p w14:paraId="39A4D5B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（三）基金托管人和基金管理人在信息披露中的职责和信息披露程序</w:t>
      </w:r>
    </w:p>
    <w:p w14:paraId="03A8129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1．职责</w:t>
      </w:r>
    </w:p>
    <w:p w14:paraId="61DF0D4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托管人和基金管理人在信息披露过程中应以保护基金份额持有人利益为宗旨，诚实信用，严守秘密。基金管理人负责办理与基金有关的信息披露事宜，基金托管人应当按照相关法律法规和基金合同的约定，对于本章第（二）条规定的应由基金托管人复核的事项进行复核，基金托管人复核无误后，由基金管理人予以公布。</w:t>
      </w:r>
    </w:p>
    <w:p w14:paraId="450CC9B0"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对于不需要基金托管人（或基金管理人）复核的信息，基金管理人（或基金托管人）在公告前应告知基金托管人（或基金管理人）。</w:t>
      </w:r>
    </w:p>
    <w:p w14:paraId="16A23291"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基金管理人和基金托管人应积极配合、互相监督，保证按照法定方式和时限履行信息披露义务。</w:t>
      </w:r>
    </w:p>
    <w:p w14:paraId="677A9F0B"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lastRenderedPageBreak/>
        <w:t>基金管理人应当在中国证监会规定的时间内，将应予披露的基金信息通过中国证监会指定的媒介和基金管理人的互联网网站等媒介披露。根据法律法规应由基金托管人公开披露的信息，基金托管人将通过指定媒介或基金托管人的互联网网站公开披露。</w:t>
      </w:r>
    </w:p>
    <w:p w14:paraId="663455F1"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当出现下述情况时，基金管理人和基金托管人可暂停或延迟披露基金相关信息：</w:t>
      </w:r>
    </w:p>
    <w:p w14:paraId="00D1DC71" w14:textId="6BA155D5" w:rsidR="00B33153" w:rsidRDefault="00B33153">
      <w:pPr>
        <w:spacing w:line="360" w:lineRule="auto"/>
        <w:ind w:firstLineChars="200" w:firstLine="480"/>
        <w:rPr>
          <w:rFonts w:ascii="宋体" w:hAnsi="宋体"/>
          <w:sz w:val="24"/>
          <w:szCs w:val="24"/>
        </w:rPr>
      </w:pPr>
      <w:r>
        <w:rPr>
          <w:rFonts w:ascii="宋体" w:hAnsi="宋体" w:hint="eastAsia"/>
          <w:sz w:val="24"/>
          <w:szCs w:val="24"/>
        </w:rPr>
        <w:t>（1）基金投资所涉及的证券交易所遇法定节假日或因其他原因暂停营业时；</w:t>
      </w:r>
    </w:p>
    <w:p w14:paraId="0E027F05"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（2）因不可抗力致使基金管理人、基金托管人无法准确评估基金资产价值时；</w:t>
      </w:r>
    </w:p>
    <w:p w14:paraId="10CF9D7D"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sz w:val="24"/>
          <w:szCs w:val="24"/>
        </w:rPr>
        <w:t>3</w:t>
      </w:r>
      <w:r>
        <w:rPr>
          <w:rFonts w:ascii="宋体" w:hAnsi="宋体" w:hint="eastAsia"/>
          <w:sz w:val="24"/>
          <w:szCs w:val="24"/>
        </w:rPr>
        <w:t>）法律法规、基金合同或中国证监会规定的情况。</w:t>
      </w:r>
    </w:p>
    <w:p w14:paraId="07D98C02"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2．程序</w:t>
      </w:r>
    </w:p>
    <w:p w14:paraId="3FDCDE6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按有关规定须经基金托管人复核的信息披露文件，由基金管理人起草、并经基金托管人复核后由基金管理人公告。发生基金合同中规定需要披露的事项时，按基金合同规定公布。</w:t>
      </w:r>
    </w:p>
    <w:p w14:paraId="174D54C0"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3．信息文本的存放</w:t>
      </w:r>
    </w:p>
    <w:p w14:paraId="3043A2EA" w14:textId="77777777" w:rsidR="00CA6880" w:rsidRDefault="00B33153">
      <w:pPr>
        <w:spacing w:line="360" w:lineRule="auto"/>
        <w:ind w:firstLineChars="200" w:firstLine="480"/>
        <w:rPr>
          <w:rFonts w:ascii="宋体" w:hAnsi="宋体"/>
          <w:sz w:val="24"/>
          <w:szCs w:val="24"/>
        </w:rPr>
        <w:sectPr w:rsidR="00CA6880" w:rsidSect="00801652">
          <w:pgSz w:w="11906" w:h="16838"/>
          <w:pgMar w:top="1440" w:right="1797" w:bottom="1440" w:left="1797" w:header="851" w:footer="992" w:gutter="0"/>
          <w:cols w:space="720"/>
          <w:titlePg/>
          <w:docGrid w:type="lines" w:linePitch="312"/>
        </w:sectPr>
      </w:pPr>
      <w:r>
        <w:rPr>
          <w:rFonts w:ascii="宋体" w:hAnsi="宋体" w:hint="eastAsia"/>
          <w:sz w:val="24"/>
          <w:szCs w:val="24"/>
        </w:rPr>
        <w:t>予以披露的信息文本，存放在基金管理人/基金托管人处，投资者可以免费查阅。在支付工本费后可在合理时间获得上述文件的复制件或复印件。基金管理人和基金托管人应保证文本的内容与所公告的内容完全一致。</w:t>
      </w:r>
    </w:p>
    <w:p w14:paraId="31ABF6AA" w14:textId="54BA1BA8" w:rsidR="00B33153" w:rsidRDefault="00B33153" w:rsidP="00C51254">
      <w:pPr>
        <w:spacing w:afterLines="100" w:after="312" w:line="360" w:lineRule="auto"/>
        <w:jc w:val="center"/>
        <w:outlineLvl w:val="0"/>
      </w:pPr>
      <w:bookmarkStart w:id="13" w:name="_Toc440289540"/>
      <w:bookmarkStart w:id="14" w:name="_Toc440289541"/>
      <w:r>
        <w:rPr>
          <w:rFonts w:hint="eastAsia"/>
          <w:b/>
          <w:sz w:val="30"/>
          <w:szCs w:val="30"/>
        </w:rPr>
        <w:lastRenderedPageBreak/>
        <w:t>十一、基金费用</w:t>
      </w:r>
      <w:bookmarkEnd w:id="13"/>
      <w:bookmarkEnd w:id="14"/>
    </w:p>
    <w:p w14:paraId="2D229D98"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（一）基金管理费的计提比例和计提方法</w:t>
      </w:r>
    </w:p>
    <w:p w14:paraId="24048EC9" w14:textId="2766AB77" w:rsidR="00B33153" w:rsidRDefault="00B33153">
      <w:pPr>
        <w:spacing w:line="360" w:lineRule="auto"/>
        <w:ind w:firstLineChars="200" w:firstLine="480"/>
        <w:rPr>
          <w:rFonts w:ascii="Times New Roman" w:hAnsi="Times New Roman"/>
          <w:sz w:val="24"/>
        </w:rPr>
      </w:pPr>
      <w:r>
        <w:rPr>
          <w:rFonts w:ascii="Times New Roman" w:hAnsi="Times New Roman" w:hint="eastAsia"/>
          <w:sz w:val="24"/>
        </w:rPr>
        <w:t>本基金的管理费按前一日基金资产净</w:t>
      </w:r>
      <w:r>
        <w:rPr>
          <w:rFonts w:ascii="宋体" w:hAnsi="宋体" w:hint="eastAsia"/>
          <w:sz w:val="24"/>
        </w:rPr>
        <w:t>值的</w:t>
      </w:r>
      <w:r>
        <w:rPr>
          <w:rFonts w:ascii="宋体" w:hAnsi="宋体"/>
          <w:bCs/>
          <w:sz w:val="24"/>
          <w:szCs w:val="20"/>
        </w:rPr>
        <w:t>0.</w:t>
      </w:r>
      <w:r w:rsidR="0081624D">
        <w:rPr>
          <w:rFonts w:ascii="宋体" w:hAnsi="宋体"/>
          <w:bCs/>
          <w:sz w:val="24"/>
          <w:szCs w:val="20"/>
        </w:rPr>
        <w:t>30</w:t>
      </w:r>
      <w:r>
        <w:rPr>
          <w:rFonts w:ascii="宋体" w:hAnsi="宋体"/>
          <w:sz w:val="24"/>
        </w:rPr>
        <w:t>%</w:t>
      </w:r>
      <w:r>
        <w:rPr>
          <w:rFonts w:ascii="宋体" w:hAnsi="宋体" w:hint="eastAsia"/>
          <w:sz w:val="24"/>
        </w:rPr>
        <w:t>年费</w:t>
      </w:r>
      <w:r>
        <w:rPr>
          <w:rFonts w:ascii="Times New Roman" w:hAnsi="Times New Roman" w:hint="eastAsia"/>
          <w:sz w:val="24"/>
        </w:rPr>
        <w:t>率计提。管理费的计算方法如下：</w:t>
      </w:r>
    </w:p>
    <w:p w14:paraId="5DE68232" w14:textId="28CCBB0A" w:rsidR="00B33153" w:rsidRDefault="00B33153">
      <w:pPr>
        <w:spacing w:line="360" w:lineRule="auto"/>
        <w:ind w:firstLineChars="200" w:firstLine="480"/>
        <w:rPr>
          <w:rFonts w:ascii="Times New Roman" w:hAnsi="Times New Roman"/>
          <w:sz w:val="24"/>
        </w:rPr>
      </w:pPr>
      <w:r>
        <w:rPr>
          <w:rFonts w:ascii="Times New Roman" w:hAnsi="Times New Roman"/>
          <w:sz w:val="24"/>
        </w:rPr>
        <w:t>H</w:t>
      </w:r>
      <w:r>
        <w:rPr>
          <w:rFonts w:ascii="Times New Roman" w:hAnsi="Times New Roman" w:hint="eastAsia"/>
          <w:sz w:val="24"/>
        </w:rPr>
        <w:t>＝</w:t>
      </w:r>
      <w:r>
        <w:rPr>
          <w:rFonts w:ascii="Times New Roman" w:hAnsi="Times New Roman"/>
          <w:sz w:val="24"/>
        </w:rPr>
        <w:t>E</w:t>
      </w:r>
      <w:r>
        <w:rPr>
          <w:rFonts w:ascii="宋体" w:hAnsi="宋体"/>
          <w:sz w:val="24"/>
        </w:rPr>
        <w:t>×</w:t>
      </w:r>
      <w:r>
        <w:rPr>
          <w:rFonts w:ascii="宋体" w:hAnsi="宋体"/>
          <w:bCs/>
          <w:sz w:val="24"/>
          <w:szCs w:val="20"/>
        </w:rPr>
        <w:t>0.</w:t>
      </w:r>
      <w:r w:rsidR="0081624D">
        <w:rPr>
          <w:rFonts w:ascii="宋体" w:hAnsi="宋体"/>
          <w:bCs/>
          <w:sz w:val="24"/>
          <w:szCs w:val="20"/>
        </w:rPr>
        <w:t>30</w:t>
      </w:r>
      <w:r>
        <w:rPr>
          <w:rFonts w:ascii="宋体" w:hAnsi="宋体"/>
          <w:sz w:val="24"/>
        </w:rPr>
        <w:t>%÷</w:t>
      </w:r>
      <w:r>
        <w:rPr>
          <w:rFonts w:ascii="Times New Roman" w:hAnsi="Times New Roman" w:hint="eastAsia"/>
          <w:sz w:val="24"/>
        </w:rPr>
        <w:t>当年天数</w:t>
      </w:r>
    </w:p>
    <w:p w14:paraId="6F1D9572" w14:textId="77777777" w:rsidR="00B33153" w:rsidRDefault="00B33153">
      <w:pPr>
        <w:spacing w:line="360" w:lineRule="auto"/>
        <w:ind w:firstLineChars="200" w:firstLine="480"/>
        <w:rPr>
          <w:rFonts w:ascii="Times New Roman" w:hAnsi="Times New Roman"/>
          <w:sz w:val="24"/>
        </w:rPr>
      </w:pPr>
      <w:r>
        <w:rPr>
          <w:rFonts w:ascii="Times New Roman" w:hAnsi="Times New Roman"/>
          <w:sz w:val="24"/>
        </w:rPr>
        <w:t>H</w:t>
      </w:r>
      <w:r>
        <w:rPr>
          <w:rFonts w:ascii="Times New Roman" w:hAnsi="Times New Roman" w:hint="eastAsia"/>
          <w:sz w:val="24"/>
        </w:rPr>
        <w:t>为每日应计提的基金管理费</w:t>
      </w:r>
    </w:p>
    <w:p w14:paraId="5CFB3C16" w14:textId="77777777" w:rsidR="00B33153" w:rsidRDefault="00B33153">
      <w:pPr>
        <w:spacing w:line="360" w:lineRule="auto"/>
        <w:ind w:firstLineChars="200" w:firstLine="480"/>
        <w:rPr>
          <w:rFonts w:ascii="Times New Roman" w:hAnsi="Times New Roman"/>
          <w:sz w:val="24"/>
        </w:rPr>
      </w:pPr>
      <w:r>
        <w:rPr>
          <w:rFonts w:ascii="Times New Roman" w:hAnsi="Times New Roman"/>
          <w:sz w:val="24"/>
        </w:rPr>
        <w:t>E</w:t>
      </w:r>
      <w:r>
        <w:rPr>
          <w:rFonts w:ascii="Times New Roman" w:hAnsi="Times New Roman" w:hint="eastAsia"/>
          <w:sz w:val="24"/>
        </w:rPr>
        <w:t>为前一日的基金资产净值</w:t>
      </w:r>
    </w:p>
    <w:p w14:paraId="2D3CF3A2" w14:textId="77777777" w:rsidR="00B33153" w:rsidRDefault="00B33153">
      <w:pPr>
        <w:spacing w:line="360" w:lineRule="auto"/>
        <w:ind w:firstLineChars="200" w:firstLine="480"/>
        <w:rPr>
          <w:rFonts w:ascii="Times New Roman" w:hAnsi="Times New Roman"/>
          <w:sz w:val="24"/>
        </w:rPr>
      </w:pPr>
      <w:r>
        <w:rPr>
          <w:rFonts w:ascii="Times New Roman" w:hAnsi="Times New Roman" w:hint="eastAsia"/>
          <w:sz w:val="24"/>
        </w:rPr>
        <w:t>管理费</w:t>
      </w:r>
      <w:r>
        <w:rPr>
          <w:rFonts w:ascii="Times New Roman" w:hAnsi="Times New Roman"/>
          <w:sz w:val="24"/>
        </w:rPr>
        <w:t>收入账户：</w:t>
      </w:r>
    </w:p>
    <w:p w14:paraId="165B46F3" w14:textId="77777777" w:rsidR="00B33153" w:rsidRDefault="00B33153">
      <w:pPr>
        <w:spacing w:line="360" w:lineRule="auto"/>
        <w:ind w:firstLineChars="200" w:firstLine="480"/>
        <w:rPr>
          <w:rFonts w:ascii="Times New Roman" w:hAnsi="Times New Roman"/>
          <w:sz w:val="24"/>
        </w:rPr>
      </w:pPr>
      <w:r>
        <w:rPr>
          <w:rFonts w:ascii="Times New Roman" w:hAnsi="Times New Roman" w:hint="eastAsia"/>
          <w:sz w:val="24"/>
        </w:rPr>
        <w:t>户名：富荣基金</w:t>
      </w:r>
      <w:r>
        <w:rPr>
          <w:rFonts w:ascii="Times New Roman" w:hAnsi="Times New Roman"/>
          <w:sz w:val="24"/>
        </w:rPr>
        <w:t>管理有限公司</w:t>
      </w:r>
    </w:p>
    <w:p w14:paraId="46BD9B7D" w14:textId="77777777" w:rsidR="00B33153" w:rsidRDefault="00B33153">
      <w:pPr>
        <w:spacing w:line="360" w:lineRule="auto"/>
        <w:ind w:firstLineChars="200" w:firstLine="480"/>
        <w:rPr>
          <w:rFonts w:ascii="Times New Roman" w:hAnsi="Times New Roman"/>
          <w:sz w:val="24"/>
        </w:rPr>
      </w:pPr>
      <w:r>
        <w:rPr>
          <w:rFonts w:ascii="Times New Roman" w:hAnsi="Times New Roman" w:hint="eastAsia"/>
          <w:sz w:val="24"/>
        </w:rPr>
        <w:t>账号</w:t>
      </w:r>
      <w:r>
        <w:rPr>
          <w:rFonts w:ascii="Times New Roman" w:hAnsi="Times New Roman"/>
          <w:sz w:val="24"/>
        </w:rPr>
        <w:t>：</w:t>
      </w:r>
      <w:r>
        <w:rPr>
          <w:rFonts w:ascii="Times New Roman" w:hAnsi="Times New Roman" w:hint="eastAsia"/>
          <w:sz w:val="24"/>
          <w:u w:val="single"/>
        </w:rPr>
        <w:t>3893-01-88-0001726-35</w:t>
      </w:r>
    </w:p>
    <w:p w14:paraId="7302E1A0" w14:textId="77777777" w:rsidR="00B33153" w:rsidRDefault="00B33153">
      <w:pPr>
        <w:spacing w:line="360" w:lineRule="auto"/>
        <w:ind w:firstLineChars="200" w:firstLine="480"/>
        <w:rPr>
          <w:rFonts w:ascii="Times New Roman" w:hAnsi="Times New Roman"/>
          <w:sz w:val="24"/>
        </w:rPr>
      </w:pPr>
      <w:r>
        <w:rPr>
          <w:rFonts w:ascii="Times New Roman" w:hAnsi="Times New Roman" w:hint="eastAsia"/>
          <w:sz w:val="24"/>
        </w:rPr>
        <w:t>开户银行</w:t>
      </w:r>
      <w:r>
        <w:rPr>
          <w:rFonts w:ascii="Times New Roman" w:hAnsi="Times New Roman"/>
          <w:sz w:val="24"/>
        </w:rPr>
        <w:t>：</w:t>
      </w:r>
      <w:r>
        <w:rPr>
          <w:rFonts w:ascii="Times New Roman" w:hAnsi="Times New Roman" w:hint="eastAsia"/>
          <w:sz w:val="24"/>
        </w:rPr>
        <w:t>包商银行深圳深南支行</w:t>
      </w:r>
    </w:p>
    <w:p w14:paraId="5096A173"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（二）基金托管费的计提比例和计提方法</w:t>
      </w:r>
    </w:p>
    <w:p w14:paraId="3DBC8907" w14:textId="77777777" w:rsidR="00B33153" w:rsidRDefault="00B33153">
      <w:pPr>
        <w:spacing w:line="360" w:lineRule="auto"/>
        <w:ind w:firstLineChars="200" w:firstLine="480"/>
        <w:rPr>
          <w:rFonts w:ascii="宋体" w:hAnsi="宋体"/>
          <w:sz w:val="24"/>
        </w:rPr>
      </w:pPr>
      <w:r>
        <w:rPr>
          <w:rFonts w:ascii="宋体" w:hAnsi="宋体" w:hint="eastAsia"/>
          <w:sz w:val="24"/>
        </w:rPr>
        <w:t>本基金的托管费按前一日基金资产净值的</w:t>
      </w:r>
      <w:r>
        <w:rPr>
          <w:rFonts w:ascii="宋体" w:hAnsi="宋体" w:hint="eastAsia"/>
          <w:bCs/>
          <w:sz w:val="24"/>
          <w:szCs w:val="20"/>
        </w:rPr>
        <w:t>0.</w:t>
      </w:r>
      <w:r>
        <w:rPr>
          <w:rFonts w:ascii="宋体" w:hAnsi="宋体"/>
          <w:bCs/>
          <w:sz w:val="24"/>
          <w:szCs w:val="20"/>
        </w:rPr>
        <w:t>10</w:t>
      </w:r>
      <w:r>
        <w:rPr>
          <w:rFonts w:ascii="宋体" w:hAnsi="宋体"/>
          <w:sz w:val="24"/>
        </w:rPr>
        <w:t>%</w:t>
      </w:r>
      <w:r>
        <w:rPr>
          <w:rFonts w:ascii="宋体" w:hAnsi="宋体" w:hint="eastAsia"/>
          <w:sz w:val="24"/>
        </w:rPr>
        <w:t>的年费率计提。托管费的计算方法如下：</w:t>
      </w:r>
    </w:p>
    <w:p w14:paraId="04E199A1" w14:textId="77777777" w:rsidR="00B33153" w:rsidRDefault="00B33153">
      <w:pPr>
        <w:spacing w:line="360" w:lineRule="auto"/>
        <w:ind w:firstLineChars="200" w:firstLine="480"/>
        <w:rPr>
          <w:rFonts w:ascii="宋体" w:hAnsi="宋体"/>
          <w:sz w:val="24"/>
        </w:rPr>
      </w:pPr>
      <w:r>
        <w:rPr>
          <w:rFonts w:ascii="宋体" w:hAnsi="宋体"/>
          <w:sz w:val="24"/>
        </w:rPr>
        <w:t>H</w:t>
      </w:r>
      <w:r>
        <w:rPr>
          <w:rFonts w:ascii="宋体" w:hAnsi="宋体" w:hint="eastAsia"/>
          <w:sz w:val="24"/>
        </w:rPr>
        <w:t>＝</w:t>
      </w:r>
      <w:r>
        <w:rPr>
          <w:rFonts w:ascii="宋体" w:hAnsi="宋体"/>
          <w:sz w:val="24"/>
        </w:rPr>
        <w:t>E×</w:t>
      </w:r>
      <w:r>
        <w:rPr>
          <w:rFonts w:ascii="宋体" w:hAnsi="宋体" w:hint="eastAsia"/>
          <w:bCs/>
          <w:sz w:val="24"/>
          <w:szCs w:val="20"/>
        </w:rPr>
        <w:t>0.</w:t>
      </w:r>
      <w:r>
        <w:rPr>
          <w:rFonts w:ascii="宋体" w:hAnsi="宋体"/>
          <w:bCs/>
          <w:sz w:val="24"/>
          <w:szCs w:val="20"/>
        </w:rPr>
        <w:t>10</w:t>
      </w:r>
      <w:r>
        <w:rPr>
          <w:rFonts w:ascii="宋体" w:hAnsi="宋体"/>
          <w:sz w:val="24"/>
        </w:rPr>
        <w:t>%÷</w:t>
      </w:r>
      <w:r>
        <w:rPr>
          <w:rFonts w:ascii="宋体" w:hAnsi="宋体" w:hint="eastAsia"/>
          <w:sz w:val="24"/>
        </w:rPr>
        <w:t>当年天数</w:t>
      </w:r>
    </w:p>
    <w:p w14:paraId="5DCF5EEC" w14:textId="77777777" w:rsidR="00B33153" w:rsidRDefault="00B33153">
      <w:pPr>
        <w:spacing w:line="360" w:lineRule="auto"/>
        <w:ind w:firstLineChars="200" w:firstLine="480"/>
        <w:rPr>
          <w:rFonts w:ascii="宋体" w:hAnsi="宋体"/>
          <w:sz w:val="24"/>
        </w:rPr>
      </w:pPr>
      <w:r>
        <w:rPr>
          <w:rFonts w:ascii="宋体" w:hAnsi="宋体"/>
          <w:sz w:val="24"/>
        </w:rPr>
        <w:t>H</w:t>
      </w:r>
      <w:r>
        <w:rPr>
          <w:rFonts w:ascii="宋体" w:hAnsi="宋体" w:hint="eastAsia"/>
          <w:sz w:val="24"/>
        </w:rPr>
        <w:t>为每日应计提的基金托管费</w:t>
      </w:r>
    </w:p>
    <w:p w14:paraId="77796EBB" w14:textId="77777777" w:rsidR="00B33153" w:rsidRDefault="00B33153">
      <w:pPr>
        <w:spacing w:line="360" w:lineRule="auto"/>
        <w:ind w:firstLineChars="200" w:firstLine="480"/>
        <w:rPr>
          <w:rFonts w:ascii="宋体" w:hAnsi="宋体"/>
          <w:sz w:val="24"/>
        </w:rPr>
      </w:pPr>
      <w:r>
        <w:rPr>
          <w:rFonts w:ascii="宋体" w:hAnsi="宋体"/>
          <w:sz w:val="24"/>
        </w:rPr>
        <w:t>E</w:t>
      </w:r>
      <w:r>
        <w:rPr>
          <w:rFonts w:ascii="宋体" w:hAnsi="宋体" w:hint="eastAsia"/>
          <w:sz w:val="24"/>
        </w:rPr>
        <w:t>为前一日的基金资产净值</w:t>
      </w:r>
    </w:p>
    <w:p w14:paraId="0899E47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托管费收入账户</w:t>
      </w:r>
    </w:p>
    <w:p w14:paraId="12DE4555"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户  名：单位托管和年金业务收入</w:t>
      </w:r>
    </w:p>
    <w:p w14:paraId="741685C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帐  号：5002060100</w:t>
      </w:r>
    </w:p>
    <w:p w14:paraId="1F16EA1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开户行：包商银行总行清算中心</w:t>
      </w:r>
    </w:p>
    <w:p w14:paraId="4D1FB3F2" w14:textId="77777777" w:rsidR="00B33153" w:rsidRDefault="00B33153">
      <w:pPr>
        <w:spacing w:line="360" w:lineRule="auto"/>
        <w:ind w:firstLineChars="200" w:firstLine="480"/>
        <w:rPr>
          <w:rFonts w:ascii="宋体" w:hAnsi="宋体"/>
          <w:sz w:val="24"/>
          <w:szCs w:val="24"/>
        </w:rPr>
      </w:pPr>
      <w:r>
        <w:rPr>
          <w:rFonts w:ascii="宋体" w:hAnsi="宋体"/>
          <w:sz w:val="24"/>
          <w:szCs w:val="24"/>
        </w:rPr>
        <w:t>（三）</w:t>
      </w:r>
      <w:r>
        <w:rPr>
          <w:rFonts w:hint="eastAsia"/>
          <w:bCs/>
          <w:sz w:val="24"/>
        </w:rPr>
        <w:t>证券账户开户费经基金管理人与基金托管人核对无误后，自本基金成立一个月内由</w:t>
      </w:r>
      <w:r w:rsidR="002F3785">
        <w:rPr>
          <w:rFonts w:hint="eastAsia"/>
          <w:bCs/>
          <w:sz w:val="24"/>
        </w:rPr>
        <w:t>基金管理人向基金托管人出具划款指令，</w:t>
      </w:r>
      <w:r>
        <w:rPr>
          <w:rFonts w:hint="eastAsia"/>
          <w:bCs/>
          <w:sz w:val="24"/>
        </w:rPr>
        <w:t>基金托管人从基金财产中划付，如基金财产余额不足支付该开户费用，由基金管理人于本基金成立一个月后</w:t>
      </w:r>
      <w:r>
        <w:rPr>
          <w:rFonts w:ascii="宋体" w:hAnsi="宋体" w:hint="eastAsia"/>
          <w:bCs/>
          <w:sz w:val="24"/>
        </w:rPr>
        <w:t>的5个工</w:t>
      </w:r>
      <w:r>
        <w:rPr>
          <w:rFonts w:hint="eastAsia"/>
          <w:bCs/>
          <w:sz w:val="24"/>
        </w:rPr>
        <w:t>作日内进行垫付，基金托管人不承担垫付开户费用义务。</w:t>
      </w:r>
    </w:p>
    <w:p w14:paraId="54473636" w14:textId="51303B0F" w:rsidR="00B33153" w:rsidRDefault="00B33153">
      <w:pPr>
        <w:spacing w:line="360" w:lineRule="auto"/>
        <w:ind w:firstLineChars="200" w:firstLine="480"/>
        <w:rPr>
          <w:rFonts w:ascii="宋体" w:hAnsi="宋体"/>
          <w:sz w:val="24"/>
          <w:szCs w:val="24"/>
        </w:rPr>
      </w:pPr>
      <w:r>
        <w:rPr>
          <w:rFonts w:ascii="宋体" w:hAnsi="宋体" w:hint="eastAsia"/>
          <w:sz w:val="24"/>
          <w:szCs w:val="24"/>
        </w:rPr>
        <w:t>（四</w:t>
      </w:r>
      <w:r>
        <w:rPr>
          <w:rFonts w:ascii="宋体" w:hAnsi="宋体"/>
          <w:sz w:val="24"/>
          <w:szCs w:val="24"/>
        </w:rPr>
        <w:t>）</w:t>
      </w:r>
      <w:r>
        <w:rPr>
          <w:rFonts w:ascii="宋体" w:hAnsi="宋体" w:hint="eastAsia"/>
          <w:sz w:val="24"/>
          <w:szCs w:val="24"/>
        </w:rPr>
        <w:t>证券账户开户费用、证券交易费用、基金财产划拨支付的银行费用、银行账户维护费、基金合同生效后的信息披露费用、基金份额持有人大会费用、基金合同生效后与基金有关的会计师费、律师费</w:t>
      </w:r>
      <w:r w:rsidR="00AC25ED">
        <w:rPr>
          <w:rFonts w:ascii="宋体" w:hAnsi="宋体" w:hint="eastAsia"/>
          <w:sz w:val="24"/>
          <w:szCs w:val="24"/>
        </w:rPr>
        <w:t>、</w:t>
      </w:r>
      <w:r>
        <w:rPr>
          <w:rFonts w:ascii="宋体" w:hAnsi="宋体" w:hint="eastAsia"/>
          <w:sz w:val="24"/>
          <w:szCs w:val="24"/>
        </w:rPr>
        <w:t>诉讼费</w:t>
      </w:r>
      <w:r w:rsidR="00AC25ED">
        <w:rPr>
          <w:rFonts w:ascii="宋体" w:hAnsi="宋体" w:hint="eastAsia"/>
          <w:sz w:val="24"/>
          <w:szCs w:val="24"/>
        </w:rPr>
        <w:t>和仲裁费</w:t>
      </w:r>
      <w:r>
        <w:rPr>
          <w:rFonts w:ascii="宋体" w:hAnsi="宋体" w:hint="eastAsia"/>
          <w:sz w:val="24"/>
          <w:szCs w:val="24"/>
        </w:rPr>
        <w:t>等根据有关法</w:t>
      </w:r>
      <w:r>
        <w:rPr>
          <w:rFonts w:ascii="宋体" w:hAnsi="宋体" w:hint="eastAsia"/>
          <w:sz w:val="24"/>
          <w:szCs w:val="24"/>
        </w:rPr>
        <w:lastRenderedPageBreak/>
        <w:t>律法规、基金合同及相应协议的规定，列入当期基金费用。</w:t>
      </w:r>
    </w:p>
    <w:p w14:paraId="4AF793A7"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（五）不列入基金费用的项目</w:t>
      </w:r>
    </w:p>
    <w:p w14:paraId="16E845F0"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合同生效前的律师费、会计师费、信息披露费用以及其他费用不得从基金财产中列支。基金管理人与基金托管人因未履行或未完全履行义务导致的费用支出或基金财产的损失，以及处理与基金运作无关的事项发生的费用等不列入基金费用。</w:t>
      </w:r>
    </w:p>
    <w:p w14:paraId="03779CE3" w14:textId="58AAE53C" w:rsidR="00B33153" w:rsidRDefault="00B33153">
      <w:pPr>
        <w:spacing w:line="360" w:lineRule="auto"/>
        <w:ind w:firstLineChars="200" w:firstLine="480"/>
        <w:rPr>
          <w:rFonts w:ascii="宋体" w:hAnsi="宋体"/>
          <w:sz w:val="24"/>
          <w:szCs w:val="24"/>
        </w:rPr>
      </w:pPr>
      <w:r>
        <w:rPr>
          <w:rFonts w:ascii="宋体" w:hAnsi="宋体" w:hint="eastAsia"/>
          <w:sz w:val="24"/>
          <w:szCs w:val="24"/>
        </w:rPr>
        <w:t>（</w:t>
      </w:r>
      <w:r w:rsidR="00AC25ED">
        <w:rPr>
          <w:rFonts w:ascii="宋体" w:hAnsi="宋体" w:hint="eastAsia"/>
          <w:sz w:val="24"/>
          <w:szCs w:val="24"/>
        </w:rPr>
        <w:t>六</w:t>
      </w:r>
      <w:r>
        <w:rPr>
          <w:rFonts w:ascii="宋体" w:hAnsi="宋体" w:hint="eastAsia"/>
          <w:sz w:val="24"/>
          <w:szCs w:val="24"/>
        </w:rPr>
        <w:t>）基金管理费、基金托管费的复核程序、支付方式和时间</w:t>
      </w:r>
    </w:p>
    <w:p w14:paraId="1ECA531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1．复核程序</w:t>
      </w:r>
    </w:p>
    <w:p w14:paraId="52E22352" w14:textId="2F291D78" w:rsidR="00B33153" w:rsidRDefault="00B33153">
      <w:pPr>
        <w:spacing w:line="360" w:lineRule="auto"/>
        <w:ind w:firstLineChars="200" w:firstLine="480"/>
        <w:rPr>
          <w:rFonts w:ascii="宋体" w:hAnsi="宋体"/>
          <w:sz w:val="24"/>
          <w:szCs w:val="24"/>
        </w:rPr>
      </w:pPr>
      <w:r>
        <w:rPr>
          <w:rFonts w:ascii="宋体" w:hAnsi="宋体" w:hint="eastAsia"/>
          <w:sz w:val="24"/>
          <w:szCs w:val="24"/>
        </w:rPr>
        <w:t>基金托管人对基金管理人计提的基金管理费、基金托管费等，根据本托管协议和基金合同的有关规定进行复核。</w:t>
      </w:r>
    </w:p>
    <w:p w14:paraId="4871E0B2"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2．支付方式和时间</w:t>
      </w:r>
    </w:p>
    <w:p w14:paraId="53C5F9AF" w14:textId="0980A976" w:rsidR="00B33153" w:rsidRDefault="00B33153">
      <w:pPr>
        <w:spacing w:line="360" w:lineRule="auto"/>
        <w:ind w:firstLineChars="200" w:firstLine="480"/>
        <w:rPr>
          <w:bCs/>
          <w:sz w:val="24"/>
        </w:rPr>
      </w:pPr>
      <w:r>
        <w:rPr>
          <w:rFonts w:ascii="宋体" w:hAnsi="宋体" w:hint="eastAsia"/>
          <w:sz w:val="24"/>
          <w:szCs w:val="24"/>
        </w:rPr>
        <w:t>基金管理费、基金托管费</w:t>
      </w:r>
      <w:r>
        <w:rPr>
          <w:rFonts w:ascii="Times New Roman" w:hAnsi="Times New Roman" w:hint="eastAsia"/>
          <w:sz w:val="24"/>
        </w:rPr>
        <w:t>每日计算，逐日累计至每月月末，按月支付。</w:t>
      </w:r>
      <w:r w:rsidR="00AC25ED" w:rsidRPr="00AC25ED">
        <w:rPr>
          <w:rFonts w:ascii="Times New Roman" w:hAnsi="Times New Roman"/>
          <w:bCs/>
          <w:sz w:val="24"/>
        </w:rPr>
        <w:t>由基金管理人</w:t>
      </w:r>
      <w:r w:rsidR="00AC25ED" w:rsidRPr="00AC25ED">
        <w:rPr>
          <w:rFonts w:ascii="Times New Roman" w:hAnsi="Times New Roman" w:hint="eastAsia"/>
          <w:bCs/>
          <w:sz w:val="24"/>
        </w:rPr>
        <w:t>与</w:t>
      </w:r>
      <w:r w:rsidR="00AC25ED" w:rsidRPr="00AC25ED">
        <w:rPr>
          <w:rFonts w:ascii="Times New Roman" w:hAnsi="Times New Roman"/>
          <w:bCs/>
          <w:sz w:val="24"/>
        </w:rPr>
        <w:t>基金托管人</w:t>
      </w:r>
      <w:r w:rsidR="00AC25ED" w:rsidRPr="00AC25ED">
        <w:rPr>
          <w:rFonts w:ascii="Times New Roman" w:hAnsi="Times New Roman" w:hint="eastAsia"/>
          <w:bCs/>
          <w:sz w:val="24"/>
        </w:rPr>
        <w:t>核对一致后</w:t>
      </w:r>
      <w:r w:rsidR="00AC25ED" w:rsidRPr="00AC25ED">
        <w:rPr>
          <w:rFonts w:ascii="Times New Roman" w:hAnsi="Times New Roman"/>
          <w:bCs/>
          <w:sz w:val="24"/>
        </w:rPr>
        <w:t>，</w:t>
      </w:r>
      <w:r>
        <w:rPr>
          <w:rFonts w:ascii="宋体" w:hAnsi="宋体" w:hint="eastAsia"/>
          <w:sz w:val="24"/>
          <w:szCs w:val="24"/>
        </w:rPr>
        <w:t>由基金管理人向基金托管人发送基金管理费、基金托管费划付指令,</w:t>
      </w:r>
      <w:r>
        <w:rPr>
          <w:rFonts w:hint="eastAsia"/>
          <w:bCs/>
          <w:sz w:val="24"/>
        </w:rPr>
        <w:t>基金托管人</w:t>
      </w:r>
      <w:r>
        <w:rPr>
          <w:bCs/>
          <w:sz w:val="24"/>
        </w:rPr>
        <w:t>于次月</w:t>
      </w:r>
      <w:r>
        <w:rPr>
          <w:rFonts w:ascii="宋体" w:hAnsi="宋体"/>
          <w:bCs/>
          <w:sz w:val="24"/>
        </w:rPr>
        <w:t>前</w:t>
      </w:r>
      <w:r>
        <w:rPr>
          <w:rFonts w:ascii="宋体" w:hAnsi="宋体" w:hint="eastAsia"/>
          <w:bCs/>
          <w:sz w:val="24"/>
        </w:rPr>
        <w:t>5</w:t>
      </w:r>
      <w:r>
        <w:rPr>
          <w:rFonts w:ascii="宋体" w:hAnsi="宋体"/>
          <w:bCs/>
          <w:sz w:val="24"/>
        </w:rPr>
        <w:t>个</w:t>
      </w:r>
      <w:r>
        <w:rPr>
          <w:bCs/>
          <w:sz w:val="24"/>
        </w:rPr>
        <w:t>工作日内从基金财产中一次性</w:t>
      </w:r>
      <w:r>
        <w:rPr>
          <w:rFonts w:hint="eastAsia"/>
          <w:bCs/>
          <w:sz w:val="24"/>
        </w:rPr>
        <w:t>支付</w:t>
      </w:r>
      <w:r>
        <w:rPr>
          <w:rFonts w:ascii="宋体" w:hAnsi="宋体" w:hint="eastAsia"/>
          <w:sz w:val="24"/>
          <w:szCs w:val="24"/>
        </w:rPr>
        <w:t>给基金管理人和基金托管人</w:t>
      </w:r>
      <w:r>
        <w:rPr>
          <w:bCs/>
          <w:sz w:val="24"/>
        </w:rPr>
        <w:t>。</w:t>
      </w:r>
    </w:p>
    <w:p w14:paraId="6D08936D" w14:textId="77777777" w:rsidR="00B33153" w:rsidRDefault="00B33153">
      <w:pPr>
        <w:spacing w:line="360" w:lineRule="auto"/>
        <w:ind w:firstLineChars="200" w:firstLine="480"/>
        <w:rPr>
          <w:rFonts w:ascii="宋体" w:hAnsi="宋体"/>
          <w:sz w:val="24"/>
          <w:szCs w:val="24"/>
        </w:rPr>
      </w:pPr>
      <w:r>
        <w:rPr>
          <w:rFonts w:ascii="宋体" w:hAnsi="宋体" w:hint="eastAsia"/>
          <w:sz w:val="24"/>
        </w:rPr>
        <w:t>若遇法定节假日、公</w:t>
      </w:r>
      <w:r>
        <w:rPr>
          <w:rFonts w:ascii="宋体" w:hAnsi="宋体" w:hint="eastAsia"/>
          <w:bCs/>
          <w:sz w:val="24"/>
          <w:szCs w:val="20"/>
        </w:rPr>
        <w:t>休日</w:t>
      </w:r>
      <w:r>
        <w:rPr>
          <w:rFonts w:ascii="宋体" w:hAnsi="宋体" w:hint="eastAsia"/>
          <w:sz w:val="24"/>
        </w:rPr>
        <w:t>等，支付日期顺延。</w:t>
      </w:r>
    </w:p>
    <w:p w14:paraId="7D0CA92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（八）违规处理方式</w:t>
      </w:r>
    </w:p>
    <w:p w14:paraId="69C2B81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基金托管人发现基金管理人违反《基金法》、基金合同、《运作办法》及其他有关规定从基金财产中列支费用时，基金托管人可要求基金管理人予以说明解释，如基金管理人无正当理由，基金托管人可拒绝支付。</w:t>
      </w:r>
    </w:p>
    <w:p w14:paraId="6E1DA36C" w14:textId="77777777" w:rsidR="00B33153" w:rsidRDefault="00B33153" w:rsidP="00C51254">
      <w:pPr>
        <w:spacing w:afterLines="100" w:after="312" w:line="360" w:lineRule="auto"/>
        <w:jc w:val="center"/>
        <w:outlineLvl w:val="0"/>
        <w:rPr>
          <w:b/>
          <w:sz w:val="30"/>
          <w:szCs w:val="30"/>
        </w:rPr>
      </w:pPr>
      <w:r>
        <w:rPr>
          <w:rFonts w:ascii="宋体" w:hAnsi="宋体"/>
          <w:sz w:val="24"/>
          <w:szCs w:val="24"/>
        </w:rPr>
        <w:br w:type="page"/>
      </w:r>
      <w:bookmarkStart w:id="15" w:name="_Toc440289542"/>
      <w:r>
        <w:rPr>
          <w:rFonts w:hint="eastAsia"/>
          <w:b/>
          <w:sz w:val="30"/>
          <w:szCs w:val="30"/>
        </w:rPr>
        <w:lastRenderedPageBreak/>
        <w:t>十二、基金份额持有人名册的保管</w:t>
      </w:r>
      <w:bookmarkEnd w:id="15"/>
    </w:p>
    <w:p w14:paraId="0213483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基金份额持有人名册至少应包括基金份额持有人的名称和持有的基金份额。基金份额持有人名册由基金登记机构根据基金管理人的指令编制和保管.基金管理人应定期向基金托管人提供基金份额持有人名册，</w:t>
      </w:r>
      <w:r>
        <w:rPr>
          <w:rFonts w:ascii="Arial" w:hAnsi="Arial" w:cs="Arial"/>
          <w:sz w:val="24"/>
          <w:szCs w:val="24"/>
        </w:rPr>
        <w:t>基金托管人</w:t>
      </w:r>
      <w:r>
        <w:rPr>
          <w:rFonts w:ascii="Arial" w:hAnsi="Arial" w:cs="Arial" w:hint="eastAsia"/>
          <w:sz w:val="24"/>
          <w:szCs w:val="24"/>
        </w:rPr>
        <w:t>得到基金管理人提供的</w:t>
      </w:r>
      <w:r>
        <w:rPr>
          <w:rFonts w:ascii="Arial" w:hAnsi="Arial" w:cs="Arial"/>
          <w:sz w:val="24"/>
          <w:szCs w:val="24"/>
        </w:rPr>
        <w:t>持有人名册</w:t>
      </w:r>
      <w:r>
        <w:rPr>
          <w:rFonts w:ascii="Arial" w:hAnsi="Arial" w:cs="Arial" w:hint="eastAsia"/>
          <w:sz w:val="24"/>
          <w:szCs w:val="24"/>
        </w:rPr>
        <w:t>后与基金管理人</w:t>
      </w:r>
      <w:r>
        <w:rPr>
          <w:rFonts w:ascii="宋体" w:hAnsi="宋体" w:hint="eastAsia"/>
          <w:sz w:val="24"/>
          <w:szCs w:val="24"/>
        </w:rPr>
        <w:t>分别进行保管。保管方式可以采用电子或文档的形式，保存期不少于15年。如不能妥善保管，则按相关法规承担责任。</w:t>
      </w:r>
    </w:p>
    <w:p w14:paraId="38C73C7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4E67F8E0" w14:textId="77777777" w:rsidR="00B33153" w:rsidRDefault="00B33153" w:rsidP="00C51254">
      <w:pPr>
        <w:spacing w:afterLines="100" w:after="312" w:line="360" w:lineRule="auto"/>
        <w:jc w:val="center"/>
        <w:outlineLvl w:val="0"/>
        <w:rPr>
          <w:b/>
          <w:sz w:val="30"/>
          <w:szCs w:val="30"/>
        </w:rPr>
      </w:pPr>
      <w:r>
        <w:rPr>
          <w:rFonts w:ascii="宋体" w:hAnsi="宋体"/>
          <w:sz w:val="24"/>
          <w:szCs w:val="24"/>
        </w:rPr>
        <w:br w:type="page"/>
      </w:r>
      <w:bookmarkStart w:id="16" w:name="_Toc440289543"/>
      <w:r>
        <w:rPr>
          <w:rFonts w:hint="eastAsia"/>
          <w:b/>
          <w:sz w:val="30"/>
          <w:szCs w:val="30"/>
        </w:rPr>
        <w:lastRenderedPageBreak/>
        <w:t>十三、基金有关文件档案的保存</w:t>
      </w:r>
      <w:bookmarkEnd w:id="16"/>
    </w:p>
    <w:p w14:paraId="05C3911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（一）档案保存</w:t>
      </w:r>
    </w:p>
    <w:p w14:paraId="3AA16EB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应保存基金财产管理业务活动的记录、账册、报表和其他相关资料。基金托管人应保存基金托管业务活动的记录、账册、报表和其他相关资料。基金管理人和基金托管人都应当按规定的期限保管。保存期限不少于15 年。</w:t>
      </w:r>
    </w:p>
    <w:p w14:paraId="5E21B3D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（二）合同档案的建立</w:t>
      </w:r>
    </w:p>
    <w:p w14:paraId="4DFCB930"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1．基金管理人签署重大合同文本后，应及时将合同文本正本送达基金托管人处。</w:t>
      </w:r>
    </w:p>
    <w:p w14:paraId="735932DD"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2．基金管理人应及时将与本基金账务处理、资金划拨等有关的合同、协议传真基金托管人。</w:t>
      </w:r>
    </w:p>
    <w:p w14:paraId="40012C9D"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（三）变更与协助</w:t>
      </w:r>
    </w:p>
    <w:p w14:paraId="08196545"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若基金管理人/基金托管人发生变更，未变更的一方有义务协助变更后的接任人接收相应文件。</w:t>
      </w:r>
    </w:p>
    <w:p w14:paraId="05D8112A" w14:textId="77777777" w:rsidR="00CA6880" w:rsidRDefault="00B33153">
      <w:pPr>
        <w:spacing w:line="360" w:lineRule="auto"/>
        <w:ind w:firstLineChars="200" w:firstLine="480"/>
        <w:rPr>
          <w:rFonts w:ascii="宋体" w:hAnsi="宋体"/>
          <w:sz w:val="24"/>
          <w:szCs w:val="24"/>
        </w:rPr>
        <w:sectPr w:rsidR="00CA6880" w:rsidSect="00801652">
          <w:pgSz w:w="11906" w:h="16838"/>
          <w:pgMar w:top="1440" w:right="1797" w:bottom="1440" w:left="1797" w:header="851" w:footer="992" w:gutter="0"/>
          <w:cols w:space="720"/>
          <w:titlePg/>
          <w:docGrid w:type="lines" w:linePitch="312"/>
        </w:sectPr>
      </w:pPr>
      <w:r>
        <w:rPr>
          <w:rFonts w:ascii="宋体" w:hAnsi="宋体" w:hint="eastAsia"/>
          <w:sz w:val="24"/>
          <w:szCs w:val="24"/>
        </w:rPr>
        <w:t>（四）基金管理人和基金托管人应按各自职责完整保存原始凭证、记账凭证、基金账册、交易记录和重要合同等，承担保密义务并保存至少15年以上。</w:t>
      </w:r>
    </w:p>
    <w:p w14:paraId="553E2C81" w14:textId="7EB207F6" w:rsidR="00B33153" w:rsidRDefault="00B33153" w:rsidP="00C51254">
      <w:pPr>
        <w:spacing w:afterLines="100" w:after="312" w:line="360" w:lineRule="auto"/>
        <w:jc w:val="center"/>
        <w:outlineLvl w:val="0"/>
        <w:rPr>
          <w:b/>
          <w:sz w:val="30"/>
          <w:szCs w:val="30"/>
        </w:rPr>
      </w:pPr>
      <w:bookmarkStart w:id="17" w:name="_Toc440289544"/>
      <w:bookmarkStart w:id="18" w:name="_Toc440289545"/>
      <w:r>
        <w:rPr>
          <w:rFonts w:hint="eastAsia"/>
          <w:b/>
          <w:sz w:val="30"/>
          <w:szCs w:val="30"/>
        </w:rPr>
        <w:lastRenderedPageBreak/>
        <w:t>十四、基金管理人和基金托管人的更换</w:t>
      </w:r>
      <w:bookmarkEnd w:id="17"/>
      <w:bookmarkEnd w:id="18"/>
    </w:p>
    <w:p w14:paraId="4D3E22A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（一）基金管理人的更换</w:t>
      </w:r>
    </w:p>
    <w:p w14:paraId="63C57AE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1．基金管理人的更换条件</w:t>
      </w:r>
    </w:p>
    <w:p w14:paraId="2A08B5E7"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有下列情形之一的，基金管理人职责终止：</w:t>
      </w:r>
    </w:p>
    <w:p w14:paraId="2B372B6C" w14:textId="77777777" w:rsidR="00B33153" w:rsidRDefault="00B33153">
      <w:pPr>
        <w:spacing w:line="360" w:lineRule="auto"/>
        <w:ind w:firstLineChars="200" w:firstLine="480"/>
        <w:rPr>
          <w:rFonts w:ascii="Times New Roman" w:hAnsi="Times New Roman"/>
          <w:sz w:val="24"/>
        </w:rPr>
      </w:pPr>
      <w:r>
        <w:rPr>
          <w:rFonts w:ascii="Times New Roman" w:hAnsi="Times New Roman" w:hint="eastAsia"/>
          <w:sz w:val="24"/>
        </w:rPr>
        <w:t>（</w:t>
      </w:r>
      <w:r>
        <w:rPr>
          <w:rFonts w:ascii="Times New Roman" w:hAnsi="Times New Roman"/>
          <w:sz w:val="24"/>
        </w:rPr>
        <w:t>1</w:t>
      </w:r>
      <w:r>
        <w:rPr>
          <w:rFonts w:ascii="Times New Roman" w:hAnsi="Times New Roman" w:hint="eastAsia"/>
          <w:sz w:val="24"/>
        </w:rPr>
        <w:t>）被依法取消基金管理资格；</w:t>
      </w:r>
    </w:p>
    <w:p w14:paraId="7E89932A" w14:textId="77777777" w:rsidR="00B33153" w:rsidRDefault="00B33153">
      <w:pPr>
        <w:spacing w:line="360" w:lineRule="auto"/>
        <w:ind w:firstLineChars="200" w:firstLine="480"/>
        <w:rPr>
          <w:rFonts w:ascii="Times New Roman" w:hAnsi="Times New Roman"/>
          <w:sz w:val="24"/>
        </w:rPr>
      </w:pPr>
      <w:r>
        <w:rPr>
          <w:rFonts w:ascii="Times New Roman" w:hAnsi="Times New Roman" w:hint="eastAsia"/>
          <w:sz w:val="24"/>
        </w:rPr>
        <w:t>（</w:t>
      </w:r>
      <w:r>
        <w:rPr>
          <w:rFonts w:ascii="Times New Roman" w:hAnsi="Times New Roman"/>
          <w:sz w:val="24"/>
        </w:rPr>
        <w:t>2</w:t>
      </w:r>
      <w:r>
        <w:rPr>
          <w:rFonts w:ascii="Times New Roman" w:hAnsi="Times New Roman" w:hint="eastAsia"/>
          <w:sz w:val="24"/>
        </w:rPr>
        <w:t>）被基金份额持有人大会解任；</w:t>
      </w:r>
    </w:p>
    <w:p w14:paraId="7EDFB6A7" w14:textId="77777777" w:rsidR="00B33153" w:rsidRDefault="00B33153">
      <w:pPr>
        <w:spacing w:line="360" w:lineRule="auto"/>
        <w:ind w:firstLineChars="200" w:firstLine="480"/>
        <w:rPr>
          <w:rFonts w:ascii="Times New Roman" w:hAnsi="Times New Roman"/>
          <w:sz w:val="24"/>
        </w:rPr>
      </w:pPr>
      <w:r>
        <w:rPr>
          <w:rFonts w:ascii="Times New Roman" w:hAnsi="Times New Roman" w:hint="eastAsia"/>
          <w:sz w:val="24"/>
        </w:rPr>
        <w:t>（</w:t>
      </w:r>
      <w:r>
        <w:rPr>
          <w:rFonts w:ascii="Times New Roman" w:hAnsi="Times New Roman"/>
          <w:sz w:val="24"/>
        </w:rPr>
        <w:t>3</w:t>
      </w:r>
      <w:r>
        <w:rPr>
          <w:rFonts w:ascii="Times New Roman" w:hAnsi="Times New Roman" w:hint="eastAsia"/>
          <w:sz w:val="24"/>
        </w:rPr>
        <w:t>）依法解散、被依法撤销或被依法宣告破产；</w:t>
      </w:r>
    </w:p>
    <w:p w14:paraId="676F235F" w14:textId="77777777" w:rsidR="00B33153" w:rsidRDefault="00B33153">
      <w:pPr>
        <w:spacing w:line="360" w:lineRule="auto"/>
        <w:ind w:firstLineChars="200" w:firstLine="480"/>
        <w:rPr>
          <w:rFonts w:ascii="Times New Roman" w:hAnsi="Times New Roman"/>
          <w:sz w:val="24"/>
        </w:rPr>
      </w:pPr>
      <w:r>
        <w:rPr>
          <w:rFonts w:ascii="Times New Roman" w:hAnsi="Times New Roman" w:hint="eastAsia"/>
          <w:sz w:val="24"/>
        </w:rPr>
        <w:t>（</w:t>
      </w:r>
      <w:r>
        <w:rPr>
          <w:rFonts w:ascii="Times New Roman" w:hAnsi="Times New Roman"/>
          <w:sz w:val="24"/>
        </w:rPr>
        <w:t>4</w:t>
      </w:r>
      <w:r>
        <w:rPr>
          <w:rFonts w:ascii="Times New Roman" w:hAnsi="Times New Roman" w:hint="eastAsia"/>
          <w:sz w:val="24"/>
        </w:rPr>
        <w:t>）法律法规及中国证监会规定的和《基金合同》约定的其他情形。</w:t>
      </w:r>
    </w:p>
    <w:p w14:paraId="2DACD359"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2．基金管理人的更换程序</w:t>
      </w:r>
    </w:p>
    <w:p w14:paraId="5A34BD05"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更换基金管理人必须依照如下程序进行：</w:t>
      </w:r>
    </w:p>
    <w:p w14:paraId="344451CB" w14:textId="77777777" w:rsidR="00B33153" w:rsidRDefault="00B33153">
      <w:pPr>
        <w:spacing w:line="360" w:lineRule="auto"/>
        <w:ind w:firstLineChars="200" w:firstLine="480"/>
        <w:rPr>
          <w:rFonts w:ascii="宋体" w:hAnsi="宋体"/>
          <w:sz w:val="24"/>
        </w:rPr>
      </w:pPr>
      <w:r>
        <w:rPr>
          <w:rFonts w:ascii="Times New Roman" w:hAnsi="Times New Roman" w:hint="eastAsia"/>
          <w:sz w:val="24"/>
        </w:rPr>
        <w:t>（</w:t>
      </w:r>
      <w:r>
        <w:rPr>
          <w:rFonts w:ascii="Times New Roman" w:hAnsi="Times New Roman"/>
          <w:sz w:val="24"/>
        </w:rPr>
        <w:t>1</w:t>
      </w:r>
      <w:r>
        <w:rPr>
          <w:rFonts w:ascii="Times New Roman" w:hAnsi="Times New Roman" w:hint="eastAsia"/>
          <w:sz w:val="24"/>
        </w:rPr>
        <w:t>）提名：新任基金管理人由基金托管人或由单独或合计持</w:t>
      </w:r>
      <w:r>
        <w:rPr>
          <w:rFonts w:ascii="宋体" w:hAnsi="宋体" w:hint="eastAsia"/>
          <w:sz w:val="24"/>
        </w:rPr>
        <w:t>有</w:t>
      </w:r>
      <w:r>
        <w:rPr>
          <w:rFonts w:ascii="宋体" w:hAnsi="宋体"/>
          <w:bCs/>
          <w:sz w:val="24"/>
          <w:szCs w:val="20"/>
        </w:rPr>
        <w:t>10%</w:t>
      </w:r>
      <w:r>
        <w:rPr>
          <w:rFonts w:ascii="宋体" w:hAnsi="宋体" w:hint="eastAsia"/>
          <w:sz w:val="24"/>
        </w:rPr>
        <w:t>以上（含</w:t>
      </w:r>
      <w:r>
        <w:rPr>
          <w:rFonts w:ascii="宋体" w:hAnsi="宋体"/>
          <w:bCs/>
          <w:sz w:val="24"/>
          <w:szCs w:val="20"/>
        </w:rPr>
        <w:t>10%</w:t>
      </w:r>
      <w:r>
        <w:rPr>
          <w:rFonts w:ascii="宋体" w:hAnsi="宋体" w:hint="eastAsia"/>
          <w:sz w:val="24"/>
        </w:rPr>
        <w:t>）基金份额的基金份额持有人提名；</w:t>
      </w:r>
    </w:p>
    <w:p w14:paraId="3C029E94" w14:textId="77777777" w:rsidR="00B33153" w:rsidRDefault="00B33153">
      <w:pPr>
        <w:spacing w:line="360" w:lineRule="auto"/>
        <w:ind w:firstLineChars="200" w:firstLine="480"/>
        <w:rPr>
          <w:rFonts w:ascii="Times New Roman" w:hAnsi="Times New Roman"/>
          <w:sz w:val="24"/>
        </w:rPr>
      </w:pPr>
      <w:r>
        <w:rPr>
          <w:rFonts w:ascii="宋体" w:hAnsi="宋体" w:hint="eastAsia"/>
          <w:sz w:val="24"/>
        </w:rPr>
        <w:t>（</w:t>
      </w:r>
      <w:r>
        <w:rPr>
          <w:rFonts w:ascii="宋体" w:hAnsi="宋体"/>
          <w:sz w:val="24"/>
        </w:rPr>
        <w:t>2</w:t>
      </w:r>
      <w:r>
        <w:rPr>
          <w:rFonts w:ascii="宋体" w:hAnsi="宋体" w:hint="eastAsia"/>
          <w:sz w:val="24"/>
        </w:rPr>
        <w:t>）决议：基金份额持有人大会在基金管理人职责终止后</w:t>
      </w:r>
      <w:r>
        <w:rPr>
          <w:rFonts w:ascii="宋体" w:hAnsi="宋体"/>
          <w:bCs/>
          <w:sz w:val="24"/>
          <w:szCs w:val="20"/>
        </w:rPr>
        <w:t>6</w:t>
      </w:r>
      <w:r>
        <w:rPr>
          <w:rFonts w:ascii="宋体" w:hAnsi="宋体" w:hint="eastAsia"/>
          <w:sz w:val="24"/>
        </w:rPr>
        <w:t>个月内对被</w:t>
      </w:r>
      <w:r>
        <w:rPr>
          <w:rFonts w:ascii="Times New Roman" w:hAnsi="Times New Roman" w:hint="eastAsia"/>
          <w:sz w:val="24"/>
        </w:rPr>
        <w:t>提名的基金管理人形成决议，该决议需经参加大会的基金份额持有人所持表决权的</w:t>
      </w:r>
      <w:r>
        <w:rPr>
          <w:rFonts w:ascii="Times New Roman" w:hAnsi="Times New Roman" w:hint="eastAsia"/>
          <w:bCs/>
          <w:sz w:val="24"/>
          <w:szCs w:val="20"/>
        </w:rPr>
        <w:t>三分之二</w:t>
      </w:r>
      <w:r>
        <w:rPr>
          <w:rFonts w:ascii="Times New Roman" w:hAnsi="Times New Roman" w:hint="eastAsia"/>
          <w:sz w:val="24"/>
        </w:rPr>
        <w:t>以上（含</w:t>
      </w:r>
      <w:r>
        <w:rPr>
          <w:rFonts w:ascii="Times New Roman" w:hAnsi="Times New Roman" w:hint="eastAsia"/>
          <w:bCs/>
          <w:sz w:val="24"/>
          <w:szCs w:val="20"/>
        </w:rPr>
        <w:t>三分之二</w:t>
      </w:r>
      <w:r>
        <w:rPr>
          <w:rFonts w:ascii="Times New Roman" w:hAnsi="Times New Roman" w:hint="eastAsia"/>
          <w:sz w:val="24"/>
        </w:rPr>
        <w:t>）表决通过；</w:t>
      </w:r>
    </w:p>
    <w:p w14:paraId="4B8A78B2" w14:textId="77777777" w:rsidR="00B33153" w:rsidRDefault="00B33153">
      <w:pPr>
        <w:spacing w:line="360" w:lineRule="auto"/>
        <w:ind w:firstLineChars="200" w:firstLine="480"/>
        <w:rPr>
          <w:rFonts w:ascii="Times New Roman" w:hAnsi="Times New Roman"/>
          <w:sz w:val="24"/>
        </w:rPr>
      </w:pPr>
      <w:r>
        <w:rPr>
          <w:rFonts w:ascii="Times New Roman" w:hAnsi="Times New Roman" w:hint="eastAsia"/>
          <w:sz w:val="24"/>
        </w:rPr>
        <w:t>（</w:t>
      </w:r>
      <w:r>
        <w:rPr>
          <w:rFonts w:ascii="Times New Roman" w:hAnsi="Times New Roman"/>
          <w:sz w:val="24"/>
        </w:rPr>
        <w:t>3</w:t>
      </w:r>
      <w:r>
        <w:rPr>
          <w:rFonts w:ascii="Times New Roman" w:hAnsi="Times New Roman" w:hint="eastAsia"/>
          <w:sz w:val="24"/>
        </w:rPr>
        <w:t>）临时基金管理人：新任基金管理人产生之前，由中国证监会指定临时基金管理人；</w:t>
      </w:r>
    </w:p>
    <w:p w14:paraId="1A4511D8" w14:textId="77777777" w:rsidR="00B33153" w:rsidRDefault="00B33153">
      <w:pPr>
        <w:spacing w:line="360" w:lineRule="auto"/>
        <w:ind w:firstLineChars="200" w:firstLine="480"/>
        <w:rPr>
          <w:rFonts w:ascii="Times New Roman" w:hAnsi="Times New Roman"/>
          <w:sz w:val="24"/>
        </w:rPr>
      </w:pPr>
      <w:r>
        <w:rPr>
          <w:rFonts w:ascii="Times New Roman" w:hAnsi="Times New Roman" w:hint="eastAsia"/>
          <w:sz w:val="24"/>
        </w:rPr>
        <w:t>（</w:t>
      </w:r>
      <w:r>
        <w:rPr>
          <w:rFonts w:ascii="Times New Roman" w:hAnsi="Times New Roman"/>
          <w:sz w:val="24"/>
        </w:rPr>
        <w:t>4</w:t>
      </w:r>
      <w:r>
        <w:rPr>
          <w:rFonts w:ascii="Times New Roman" w:hAnsi="Times New Roman" w:hint="eastAsia"/>
          <w:sz w:val="24"/>
        </w:rPr>
        <w:t>）</w:t>
      </w:r>
      <w:r>
        <w:rPr>
          <w:rFonts w:ascii="Times New Roman" w:hAnsi="Times New Roman" w:hint="eastAsia"/>
          <w:bCs/>
          <w:sz w:val="24"/>
          <w:szCs w:val="20"/>
        </w:rPr>
        <w:t>备案</w:t>
      </w:r>
      <w:r>
        <w:rPr>
          <w:rFonts w:ascii="Times New Roman" w:hAnsi="Times New Roman" w:hint="eastAsia"/>
          <w:sz w:val="24"/>
        </w:rPr>
        <w:t>：基金份额持有人大会选任基金管理人的决议须经中国证监会</w:t>
      </w:r>
      <w:r>
        <w:rPr>
          <w:rFonts w:ascii="Times New Roman" w:hAnsi="Times New Roman" w:hint="eastAsia"/>
          <w:bCs/>
          <w:sz w:val="24"/>
          <w:szCs w:val="20"/>
        </w:rPr>
        <w:t>备案</w:t>
      </w:r>
      <w:r>
        <w:rPr>
          <w:rFonts w:ascii="Times New Roman" w:hAnsi="Times New Roman" w:hint="eastAsia"/>
          <w:sz w:val="24"/>
        </w:rPr>
        <w:t>；</w:t>
      </w:r>
    </w:p>
    <w:p w14:paraId="66CA4264" w14:textId="77777777" w:rsidR="00B33153" w:rsidRDefault="00B33153">
      <w:pPr>
        <w:spacing w:line="360" w:lineRule="auto"/>
        <w:ind w:firstLineChars="200" w:firstLine="480"/>
        <w:rPr>
          <w:rFonts w:ascii="Times New Roman" w:hAnsi="Times New Roman"/>
          <w:sz w:val="24"/>
        </w:rPr>
      </w:pPr>
      <w:r>
        <w:rPr>
          <w:rFonts w:ascii="Times New Roman" w:hAnsi="Times New Roman" w:hint="eastAsia"/>
          <w:sz w:val="24"/>
        </w:rPr>
        <w:t>（</w:t>
      </w:r>
      <w:r>
        <w:rPr>
          <w:rFonts w:ascii="Times New Roman" w:hAnsi="Times New Roman"/>
          <w:sz w:val="24"/>
        </w:rPr>
        <w:t>5</w:t>
      </w:r>
      <w:r>
        <w:rPr>
          <w:rFonts w:ascii="Times New Roman" w:hAnsi="Times New Roman" w:hint="eastAsia"/>
          <w:sz w:val="24"/>
        </w:rPr>
        <w:t>）公告：基金管理人更换后，由基金托管人在</w:t>
      </w:r>
      <w:r>
        <w:rPr>
          <w:rFonts w:ascii="Times New Roman" w:hAnsi="Times New Roman" w:hint="eastAsia"/>
          <w:bCs/>
          <w:sz w:val="24"/>
          <w:szCs w:val="20"/>
        </w:rPr>
        <w:t>更换基金管理人的基金份额持有人大会决议生效</w:t>
      </w:r>
      <w:r>
        <w:rPr>
          <w:rFonts w:ascii="宋体" w:hAnsi="宋体" w:hint="eastAsia"/>
          <w:sz w:val="24"/>
        </w:rPr>
        <w:t>后</w:t>
      </w:r>
      <w:r>
        <w:rPr>
          <w:rFonts w:ascii="宋体" w:hAnsi="宋体"/>
          <w:sz w:val="24"/>
        </w:rPr>
        <w:t>2</w:t>
      </w:r>
      <w:r>
        <w:rPr>
          <w:rFonts w:ascii="宋体" w:hAnsi="宋体" w:hint="eastAsia"/>
          <w:sz w:val="24"/>
        </w:rPr>
        <w:t>个</w:t>
      </w:r>
      <w:r>
        <w:rPr>
          <w:rFonts w:ascii="宋体" w:hAnsi="宋体"/>
          <w:sz w:val="24"/>
        </w:rPr>
        <w:t>工作</w:t>
      </w:r>
      <w:r>
        <w:rPr>
          <w:rFonts w:ascii="宋体" w:hAnsi="宋体" w:hint="eastAsia"/>
          <w:sz w:val="24"/>
        </w:rPr>
        <w:t>日</w:t>
      </w:r>
      <w:r>
        <w:rPr>
          <w:rFonts w:ascii="Times New Roman" w:hAnsi="Times New Roman" w:hint="eastAsia"/>
          <w:sz w:val="24"/>
        </w:rPr>
        <w:t>内在指定</w:t>
      </w:r>
      <w:r>
        <w:rPr>
          <w:rFonts w:ascii="Times New Roman" w:hAnsi="Times New Roman" w:hint="eastAsia"/>
          <w:bCs/>
          <w:sz w:val="24"/>
          <w:szCs w:val="20"/>
        </w:rPr>
        <w:t>媒介</w:t>
      </w:r>
      <w:r>
        <w:rPr>
          <w:rFonts w:ascii="Times New Roman" w:hAnsi="Times New Roman" w:hint="eastAsia"/>
          <w:sz w:val="24"/>
        </w:rPr>
        <w:t>公告</w:t>
      </w:r>
      <w:r>
        <w:rPr>
          <w:rFonts w:ascii="Times New Roman" w:hAnsi="Times New Roman" w:hint="eastAsia"/>
          <w:bCs/>
          <w:sz w:val="24"/>
          <w:szCs w:val="20"/>
        </w:rPr>
        <w:t>；</w:t>
      </w:r>
    </w:p>
    <w:p w14:paraId="7861D5A2" w14:textId="77777777" w:rsidR="00B33153" w:rsidRDefault="00B33153">
      <w:pPr>
        <w:spacing w:line="360" w:lineRule="auto"/>
        <w:ind w:firstLineChars="200" w:firstLine="480"/>
        <w:rPr>
          <w:rFonts w:ascii="Times New Roman" w:hAnsi="Times New Roman"/>
          <w:sz w:val="24"/>
        </w:rPr>
      </w:pPr>
      <w:r>
        <w:rPr>
          <w:rFonts w:ascii="Times New Roman" w:hAnsi="Times New Roman" w:hint="eastAsia"/>
          <w:sz w:val="24"/>
        </w:rPr>
        <w:t>（</w:t>
      </w:r>
      <w:r>
        <w:rPr>
          <w:rFonts w:ascii="Times New Roman" w:hAnsi="Times New Roman"/>
          <w:sz w:val="24"/>
        </w:rPr>
        <w:t>6</w:t>
      </w:r>
      <w:r>
        <w:rPr>
          <w:rFonts w:ascii="Times New Roman" w:hAnsi="Times New Roman" w:hint="eastAsia"/>
          <w:sz w:val="24"/>
        </w:rPr>
        <w:t>）交接：基金管理人职责终止的，基金管理人应妥善保管基金管理业务资料，及时向临时基金管理人或新任基金管理人办理基金管理业务的移交手续，临时基金管理人或新任基金管理人应及时接收。新任基金管理人应与基金托管人核对基金资产总值</w:t>
      </w:r>
      <w:r>
        <w:rPr>
          <w:rFonts w:ascii="Times New Roman" w:hAnsi="Times New Roman" w:hint="eastAsia"/>
          <w:bCs/>
          <w:sz w:val="24"/>
          <w:szCs w:val="20"/>
        </w:rPr>
        <w:t>和净值</w:t>
      </w:r>
      <w:r>
        <w:rPr>
          <w:rFonts w:ascii="Times New Roman" w:hAnsi="Times New Roman" w:hint="eastAsia"/>
          <w:sz w:val="24"/>
        </w:rPr>
        <w:t>；</w:t>
      </w:r>
    </w:p>
    <w:p w14:paraId="5C4DA9DA" w14:textId="77777777" w:rsidR="00B33153" w:rsidRDefault="00B33153">
      <w:pPr>
        <w:spacing w:line="360" w:lineRule="auto"/>
        <w:ind w:firstLineChars="200" w:firstLine="480"/>
        <w:rPr>
          <w:rFonts w:ascii="Times New Roman" w:hAnsi="Times New Roman"/>
          <w:sz w:val="24"/>
        </w:rPr>
      </w:pPr>
      <w:r>
        <w:rPr>
          <w:rFonts w:ascii="Times New Roman" w:hAnsi="Times New Roman" w:hint="eastAsia"/>
          <w:sz w:val="24"/>
        </w:rPr>
        <w:t>（</w:t>
      </w:r>
      <w:r>
        <w:rPr>
          <w:rFonts w:ascii="Times New Roman" w:hAnsi="Times New Roman"/>
          <w:sz w:val="24"/>
        </w:rPr>
        <w:t>7</w:t>
      </w:r>
      <w:r>
        <w:rPr>
          <w:rFonts w:ascii="Times New Roman" w:hAnsi="Times New Roman" w:hint="eastAsia"/>
          <w:sz w:val="24"/>
        </w:rPr>
        <w:t>）审计：基金管理人职责终止的，应当按照法律法规规定聘请会计师事务所对基金财产进行审计，并将审计结果予以公告，同时报中国证监会备案；</w:t>
      </w:r>
    </w:p>
    <w:p w14:paraId="2A79EFBB" w14:textId="77777777" w:rsidR="00B33153" w:rsidRDefault="00B33153">
      <w:pPr>
        <w:spacing w:line="360" w:lineRule="auto"/>
        <w:ind w:firstLineChars="200" w:firstLine="480"/>
        <w:rPr>
          <w:rFonts w:ascii="宋体" w:hAnsi="宋体"/>
          <w:sz w:val="24"/>
          <w:szCs w:val="24"/>
        </w:rPr>
      </w:pPr>
      <w:r>
        <w:rPr>
          <w:rFonts w:ascii="Times New Roman" w:hAnsi="Times New Roman" w:hint="eastAsia"/>
          <w:sz w:val="24"/>
        </w:rPr>
        <w:t>（</w:t>
      </w:r>
      <w:r>
        <w:rPr>
          <w:rFonts w:ascii="Times New Roman" w:hAnsi="Times New Roman"/>
          <w:sz w:val="24"/>
        </w:rPr>
        <w:t>8</w:t>
      </w:r>
      <w:r>
        <w:rPr>
          <w:rFonts w:ascii="Times New Roman" w:hAnsi="Times New Roman" w:hint="eastAsia"/>
          <w:sz w:val="24"/>
        </w:rPr>
        <w:t>）基金名称变更：基金管理人更换后，如果原任或新任基金管理人要求，</w:t>
      </w:r>
      <w:r>
        <w:rPr>
          <w:rFonts w:ascii="Times New Roman" w:hAnsi="Times New Roman" w:hint="eastAsia"/>
          <w:sz w:val="24"/>
        </w:rPr>
        <w:lastRenderedPageBreak/>
        <w:t>应按其要求替换或删除基金名称中与原基金管理人有关的名称字样</w:t>
      </w:r>
      <w:r>
        <w:rPr>
          <w:bCs/>
          <w:sz w:val="24"/>
        </w:rPr>
        <w:t>。</w:t>
      </w:r>
    </w:p>
    <w:p w14:paraId="22EEA31D"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（二）基金托管人的更换</w:t>
      </w:r>
    </w:p>
    <w:p w14:paraId="37F462A2"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1．基金托管人的更换条件</w:t>
      </w:r>
    </w:p>
    <w:p w14:paraId="3578A530"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有下列情形之一的，基金托管人职责终止：</w:t>
      </w:r>
    </w:p>
    <w:p w14:paraId="7065EF16" w14:textId="77777777" w:rsidR="00B33153" w:rsidRDefault="00B33153">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）被依法取消基金托管资格；</w:t>
      </w:r>
    </w:p>
    <w:p w14:paraId="1192183B" w14:textId="77777777" w:rsidR="00B33153" w:rsidRDefault="00B33153">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）被基金份额持有人大会解任；</w:t>
      </w:r>
    </w:p>
    <w:p w14:paraId="2CB83F04" w14:textId="77777777" w:rsidR="00B33153" w:rsidRDefault="00B33153">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）依法解散、被依法撤销或被依法宣告破产；</w:t>
      </w:r>
    </w:p>
    <w:p w14:paraId="33563D0B" w14:textId="77777777" w:rsidR="00B33153" w:rsidRDefault="00B33153">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）法律法规及中国证监会规定的和《基金合同》约定的其他情形。</w:t>
      </w:r>
    </w:p>
    <w:p w14:paraId="0E709881"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2．基金托管人的更换程序</w:t>
      </w:r>
    </w:p>
    <w:p w14:paraId="1097479C" w14:textId="77777777" w:rsidR="00B33153" w:rsidRDefault="00B33153">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）提名：新任基金托管人由基金管理人或由单独或合计持有</w:t>
      </w:r>
      <w:r>
        <w:rPr>
          <w:rFonts w:ascii="宋体" w:hAnsi="宋体" w:hint="eastAsia"/>
          <w:bCs/>
          <w:sz w:val="24"/>
          <w:szCs w:val="20"/>
        </w:rPr>
        <w:t>10%</w:t>
      </w:r>
      <w:r>
        <w:rPr>
          <w:rFonts w:ascii="宋体" w:hAnsi="宋体" w:hint="eastAsia"/>
          <w:sz w:val="24"/>
        </w:rPr>
        <w:t>以上（含</w:t>
      </w:r>
      <w:r>
        <w:rPr>
          <w:rFonts w:ascii="宋体" w:hAnsi="宋体" w:hint="eastAsia"/>
          <w:bCs/>
          <w:sz w:val="24"/>
          <w:szCs w:val="20"/>
        </w:rPr>
        <w:t>10%</w:t>
      </w:r>
      <w:r>
        <w:rPr>
          <w:rFonts w:ascii="宋体" w:hAnsi="宋体" w:hint="eastAsia"/>
          <w:sz w:val="24"/>
        </w:rPr>
        <w:t>）基金份额的基金</w:t>
      </w:r>
      <w:r>
        <w:rPr>
          <w:rFonts w:ascii="宋体" w:hAnsi="宋体" w:hint="eastAsia"/>
          <w:bCs/>
          <w:sz w:val="24"/>
          <w:szCs w:val="20"/>
        </w:rPr>
        <w:t>份额</w:t>
      </w:r>
      <w:r>
        <w:rPr>
          <w:rFonts w:ascii="宋体" w:hAnsi="宋体" w:hint="eastAsia"/>
          <w:sz w:val="24"/>
        </w:rPr>
        <w:t>持有人提名；</w:t>
      </w:r>
    </w:p>
    <w:p w14:paraId="16A2EEBC" w14:textId="77777777" w:rsidR="00B33153" w:rsidRDefault="00B33153">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）决议：基金份额持有人大会在基金托管人职责终止后</w:t>
      </w:r>
      <w:r>
        <w:rPr>
          <w:rFonts w:ascii="宋体" w:hAnsi="宋体" w:hint="eastAsia"/>
          <w:bCs/>
          <w:sz w:val="24"/>
          <w:szCs w:val="20"/>
        </w:rPr>
        <w:t>6</w:t>
      </w:r>
      <w:r>
        <w:rPr>
          <w:rFonts w:ascii="宋体" w:hAnsi="宋体" w:hint="eastAsia"/>
          <w:sz w:val="24"/>
        </w:rPr>
        <w:t>个月内对被提名的基金托管人形成决议，该决议需经参加大会的基金份额持有人所持表决权的</w:t>
      </w:r>
      <w:r>
        <w:rPr>
          <w:rFonts w:ascii="宋体" w:hAnsi="宋体" w:hint="eastAsia"/>
          <w:bCs/>
          <w:sz w:val="24"/>
          <w:szCs w:val="20"/>
        </w:rPr>
        <w:t>三分之二</w:t>
      </w:r>
      <w:r>
        <w:rPr>
          <w:rFonts w:ascii="宋体" w:hAnsi="宋体" w:hint="eastAsia"/>
          <w:sz w:val="24"/>
        </w:rPr>
        <w:t>以上（含</w:t>
      </w:r>
      <w:r>
        <w:rPr>
          <w:rFonts w:ascii="宋体" w:hAnsi="宋体" w:hint="eastAsia"/>
          <w:bCs/>
          <w:sz w:val="24"/>
          <w:szCs w:val="20"/>
        </w:rPr>
        <w:t>三分之二</w:t>
      </w:r>
      <w:r>
        <w:rPr>
          <w:rFonts w:ascii="宋体" w:hAnsi="宋体" w:hint="eastAsia"/>
          <w:sz w:val="24"/>
        </w:rPr>
        <w:t>）表决通过；</w:t>
      </w:r>
    </w:p>
    <w:p w14:paraId="03AD6B95" w14:textId="77777777" w:rsidR="00B33153" w:rsidRDefault="00B33153">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）临时基金托管人：新任基金托管人产生之前，由中国证监会指定临时基金托管人；</w:t>
      </w:r>
    </w:p>
    <w:p w14:paraId="2F04D8F8" w14:textId="77777777" w:rsidR="00B33153" w:rsidRDefault="00B33153">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w:t>
      </w:r>
      <w:r>
        <w:rPr>
          <w:rFonts w:ascii="宋体" w:hAnsi="宋体" w:hint="eastAsia"/>
          <w:bCs/>
          <w:sz w:val="24"/>
          <w:szCs w:val="20"/>
        </w:rPr>
        <w:t>备案</w:t>
      </w:r>
      <w:r>
        <w:rPr>
          <w:rFonts w:ascii="宋体" w:hAnsi="宋体" w:hint="eastAsia"/>
          <w:sz w:val="24"/>
        </w:rPr>
        <w:t>：基金份额持有人大会更换基金托管人的决议须经中国证监会</w:t>
      </w:r>
      <w:r>
        <w:rPr>
          <w:rFonts w:ascii="宋体" w:hAnsi="宋体" w:hint="eastAsia"/>
          <w:bCs/>
          <w:sz w:val="24"/>
          <w:szCs w:val="20"/>
        </w:rPr>
        <w:t>备案</w:t>
      </w:r>
      <w:r>
        <w:rPr>
          <w:rFonts w:ascii="宋体" w:hAnsi="宋体" w:hint="eastAsia"/>
          <w:sz w:val="24"/>
        </w:rPr>
        <w:t>；</w:t>
      </w:r>
    </w:p>
    <w:p w14:paraId="68047184" w14:textId="27F1D728" w:rsidR="00B33153" w:rsidRDefault="00B33153">
      <w:pPr>
        <w:spacing w:line="360" w:lineRule="auto"/>
        <w:ind w:firstLineChars="200"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）公告：基金托管人更换后，由基金管理人在</w:t>
      </w:r>
      <w:r>
        <w:rPr>
          <w:rFonts w:ascii="宋体" w:hAnsi="宋体" w:hint="eastAsia"/>
          <w:bCs/>
          <w:sz w:val="24"/>
          <w:szCs w:val="20"/>
        </w:rPr>
        <w:t>更换基金托管人的基金份额持有人大会决议生效</w:t>
      </w:r>
      <w:r>
        <w:rPr>
          <w:rFonts w:ascii="宋体" w:hAnsi="宋体" w:hint="eastAsia"/>
          <w:sz w:val="24"/>
        </w:rPr>
        <w:t>后</w:t>
      </w:r>
      <w:r>
        <w:rPr>
          <w:rFonts w:ascii="宋体" w:hAnsi="宋体"/>
          <w:bCs/>
          <w:sz w:val="24"/>
          <w:szCs w:val="20"/>
        </w:rPr>
        <w:t>2</w:t>
      </w:r>
      <w:r>
        <w:rPr>
          <w:rFonts w:ascii="宋体" w:hAnsi="宋体" w:hint="eastAsia"/>
          <w:bCs/>
          <w:sz w:val="24"/>
          <w:szCs w:val="20"/>
        </w:rPr>
        <w:t>个</w:t>
      </w:r>
      <w:r>
        <w:rPr>
          <w:rFonts w:ascii="宋体" w:hAnsi="宋体"/>
          <w:bCs/>
          <w:sz w:val="24"/>
          <w:szCs w:val="20"/>
        </w:rPr>
        <w:t>工作日</w:t>
      </w:r>
      <w:r>
        <w:rPr>
          <w:rFonts w:ascii="宋体" w:hAnsi="宋体" w:hint="eastAsia"/>
          <w:sz w:val="24"/>
        </w:rPr>
        <w:t>内在指定</w:t>
      </w:r>
      <w:r>
        <w:rPr>
          <w:rFonts w:ascii="宋体" w:hAnsi="宋体" w:hint="eastAsia"/>
          <w:bCs/>
          <w:sz w:val="24"/>
          <w:szCs w:val="20"/>
        </w:rPr>
        <w:t>媒介</w:t>
      </w:r>
      <w:r>
        <w:rPr>
          <w:rFonts w:ascii="宋体" w:hAnsi="宋体" w:hint="eastAsia"/>
          <w:sz w:val="24"/>
        </w:rPr>
        <w:t>公告</w:t>
      </w:r>
      <w:r>
        <w:rPr>
          <w:rFonts w:ascii="宋体" w:hAnsi="宋体" w:hint="eastAsia"/>
          <w:bCs/>
          <w:sz w:val="24"/>
          <w:szCs w:val="20"/>
        </w:rPr>
        <w:t>；</w:t>
      </w:r>
    </w:p>
    <w:p w14:paraId="0D83C37A" w14:textId="77777777" w:rsidR="00B33153" w:rsidRDefault="00B33153">
      <w:pPr>
        <w:spacing w:line="360" w:lineRule="auto"/>
        <w:ind w:firstLineChars="200" w:firstLine="480"/>
        <w:rPr>
          <w:rFonts w:ascii="宋体" w:hAnsi="宋体"/>
          <w:sz w:val="24"/>
        </w:rPr>
      </w:pPr>
      <w:r>
        <w:rPr>
          <w:rFonts w:ascii="宋体" w:hAnsi="宋体" w:hint="eastAsia"/>
          <w:sz w:val="24"/>
        </w:rPr>
        <w:t>（</w:t>
      </w:r>
      <w:r>
        <w:rPr>
          <w:rFonts w:ascii="宋体" w:hAnsi="宋体"/>
          <w:sz w:val="24"/>
        </w:rPr>
        <w:t>6</w:t>
      </w:r>
      <w:r>
        <w:rPr>
          <w:rFonts w:ascii="宋体" w:hAnsi="宋体" w:hint="eastAsia"/>
          <w:sz w:val="24"/>
        </w:rPr>
        <w:t>）交接：基金托管人职责终止的，应当妥善保管基金财产和基金托管业务资料，及时办理基金财产和基金托管业务的移交手续，新任基金托管人或者临时基金托管人应当及时接收。新任基金托管人与基金管理人核对基金资产总值</w:t>
      </w:r>
      <w:r>
        <w:rPr>
          <w:rFonts w:ascii="宋体" w:hAnsi="宋体" w:hint="eastAsia"/>
          <w:bCs/>
          <w:sz w:val="24"/>
          <w:szCs w:val="20"/>
        </w:rPr>
        <w:t>和净值</w:t>
      </w:r>
      <w:r>
        <w:rPr>
          <w:rFonts w:ascii="宋体" w:hAnsi="宋体" w:hint="eastAsia"/>
          <w:sz w:val="24"/>
        </w:rPr>
        <w:t>；</w:t>
      </w:r>
      <w:r>
        <w:rPr>
          <w:rFonts w:ascii="宋体" w:hAnsi="宋体"/>
          <w:sz w:val="24"/>
        </w:rPr>
        <w:t xml:space="preserve"> </w:t>
      </w:r>
    </w:p>
    <w:p w14:paraId="12EECFBA" w14:textId="77777777" w:rsidR="00B33153" w:rsidRDefault="00B33153">
      <w:pPr>
        <w:spacing w:line="360" w:lineRule="auto"/>
        <w:ind w:firstLineChars="200" w:firstLine="480"/>
        <w:rPr>
          <w:rFonts w:ascii="宋体" w:hAnsi="宋体"/>
          <w:sz w:val="24"/>
        </w:rPr>
      </w:pPr>
      <w:r>
        <w:rPr>
          <w:rFonts w:ascii="宋体" w:hAnsi="宋体" w:hint="eastAsia"/>
          <w:sz w:val="24"/>
        </w:rPr>
        <w:t>（</w:t>
      </w:r>
      <w:r>
        <w:rPr>
          <w:rFonts w:ascii="宋体" w:hAnsi="宋体"/>
          <w:sz w:val="24"/>
        </w:rPr>
        <w:t>7</w:t>
      </w:r>
      <w:r>
        <w:rPr>
          <w:rFonts w:ascii="宋体" w:hAnsi="宋体" w:hint="eastAsia"/>
          <w:sz w:val="24"/>
        </w:rPr>
        <w:t>）审计：基金托管人职责终止的，应当按照法律法规规定聘请会计师事务所对基金财产进行审计，并将审计结果予以公告，同时报中国证监会备案。</w:t>
      </w:r>
    </w:p>
    <w:p w14:paraId="6EA3D315"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（三）基金管理人与基金托管人同时更换</w:t>
      </w:r>
    </w:p>
    <w:p w14:paraId="1DE5B588" w14:textId="77777777" w:rsidR="00B33153" w:rsidRDefault="00B33153">
      <w:pPr>
        <w:spacing w:line="360" w:lineRule="auto"/>
        <w:ind w:firstLineChars="200" w:firstLine="480"/>
        <w:rPr>
          <w:rFonts w:ascii="宋体" w:hAnsi="宋体"/>
          <w:sz w:val="24"/>
        </w:rPr>
      </w:pPr>
      <w:r>
        <w:rPr>
          <w:rFonts w:ascii="宋体" w:hAnsi="宋体"/>
          <w:sz w:val="24"/>
        </w:rPr>
        <w:t>1</w:t>
      </w:r>
      <w:r>
        <w:rPr>
          <w:rFonts w:ascii="宋体" w:hAnsi="宋体" w:hint="eastAsia"/>
          <w:sz w:val="24"/>
        </w:rPr>
        <w:t>．提名：如果基金管理人和基金托管人同时更换，由单独或合计持有基金总份额</w:t>
      </w:r>
      <w:r>
        <w:rPr>
          <w:rFonts w:ascii="宋体" w:hAnsi="宋体"/>
          <w:bCs/>
          <w:sz w:val="24"/>
          <w:szCs w:val="20"/>
        </w:rPr>
        <w:t>10%</w:t>
      </w:r>
      <w:r>
        <w:rPr>
          <w:rFonts w:ascii="宋体" w:hAnsi="宋体" w:hint="eastAsia"/>
          <w:sz w:val="24"/>
        </w:rPr>
        <w:t>以上（含</w:t>
      </w:r>
      <w:r>
        <w:rPr>
          <w:rFonts w:ascii="宋体" w:hAnsi="宋体"/>
          <w:bCs/>
          <w:sz w:val="24"/>
          <w:szCs w:val="20"/>
        </w:rPr>
        <w:t>10%</w:t>
      </w:r>
      <w:r>
        <w:rPr>
          <w:rFonts w:ascii="宋体" w:hAnsi="宋体" w:hint="eastAsia"/>
          <w:sz w:val="24"/>
        </w:rPr>
        <w:t>）的基金份额持有人提名新的基金管理人和基金托管人；</w:t>
      </w:r>
    </w:p>
    <w:p w14:paraId="1071E146" w14:textId="77777777" w:rsidR="00B33153" w:rsidRDefault="00B33153">
      <w:pPr>
        <w:spacing w:line="360" w:lineRule="auto"/>
        <w:ind w:firstLineChars="200" w:firstLine="480"/>
        <w:rPr>
          <w:rFonts w:ascii="宋体" w:hAnsi="宋体"/>
          <w:sz w:val="24"/>
        </w:rPr>
      </w:pPr>
      <w:r>
        <w:rPr>
          <w:rFonts w:ascii="宋体" w:hAnsi="宋体"/>
          <w:sz w:val="24"/>
        </w:rPr>
        <w:lastRenderedPageBreak/>
        <w:t>2</w:t>
      </w:r>
      <w:r>
        <w:rPr>
          <w:rFonts w:ascii="宋体" w:hAnsi="宋体" w:hint="eastAsia"/>
          <w:sz w:val="24"/>
        </w:rPr>
        <w:t>．基金管理人和基金托管人的更换分别按上述程序进行；</w:t>
      </w:r>
    </w:p>
    <w:p w14:paraId="7BDBFD1D" w14:textId="77777777" w:rsidR="00B33153" w:rsidRDefault="00B33153">
      <w:pPr>
        <w:spacing w:line="360" w:lineRule="auto"/>
        <w:ind w:firstLineChars="200" w:firstLine="480"/>
        <w:rPr>
          <w:rFonts w:ascii="宋体" w:hAnsi="宋体"/>
          <w:sz w:val="24"/>
          <w:szCs w:val="24"/>
        </w:rPr>
      </w:pPr>
      <w:r>
        <w:rPr>
          <w:rFonts w:ascii="宋体" w:hAnsi="宋体"/>
          <w:sz w:val="24"/>
        </w:rPr>
        <w:t>3</w:t>
      </w:r>
      <w:r>
        <w:rPr>
          <w:rFonts w:ascii="宋体" w:hAnsi="宋体" w:hint="eastAsia"/>
          <w:sz w:val="24"/>
        </w:rPr>
        <w:t>．公告：新任基金管理人和新任基金托管人应在更换基金管理人和基金托管人的基金份额持有人大会决议</w:t>
      </w:r>
      <w:r>
        <w:rPr>
          <w:rFonts w:ascii="宋体" w:hAnsi="宋体" w:hint="eastAsia"/>
          <w:bCs/>
          <w:sz w:val="24"/>
          <w:szCs w:val="20"/>
        </w:rPr>
        <w:t>生效</w:t>
      </w:r>
      <w:r>
        <w:rPr>
          <w:rFonts w:ascii="宋体" w:hAnsi="宋体" w:hint="eastAsia"/>
          <w:sz w:val="24"/>
        </w:rPr>
        <w:t>后</w:t>
      </w:r>
      <w:r>
        <w:rPr>
          <w:rFonts w:ascii="宋体" w:hAnsi="宋体"/>
          <w:sz w:val="24"/>
        </w:rPr>
        <w:t>2</w:t>
      </w:r>
      <w:r>
        <w:rPr>
          <w:rFonts w:ascii="宋体" w:hAnsi="宋体" w:hint="eastAsia"/>
          <w:sz w:val="24"/>
        </w:rPr>
        <w:t>个</w:t>
      </w:r>
      <w:r>
        <w:rPr>
          <w:rFonts w:ascii="宋体" w:hAnsi="宋体"/>
          <w:sz w:val="24"/>
        </w:rPr>
        <w:t>工作</w:t>
      </w:r>
      <w:r>
        <w:rPr>
          <w:rFonts w:ascii="宋体" w:hAnsi="宋体" w:hint="eastAsia"/>
          <w:sz w:val="24"/>
        </w:rPr>
        <w:t>日内在指定</w:t>
      </w:r>
      <w:r>
        <w:rPr>
          <w:rFonts w:ascii="宋体" w:hAnsi="宋体"/>
          <w:bCs/>
          <w:sz w:val="24"/>
          <w:szCs w:val="20"/>
        </w:rPr>
        <w:t>媒介</w:t>
      </w:r>
      <w:r>
        <w:rPr>
          <w:rFonts w:ascii="宋体" w:hAnsi="宋体" w:hint="eastAsia"/>
          <w:sz w:val="24"/>
        </w:rPr>
        <w:t>上联合公告。</w:t>
      </w:r>
    </w:p>
    <w:p w14:paraId="4CDFC5B4" w14:textId="77777777" w:rsidR="00A373B5" w:rsidRDefault="00B33153">
      <w:pPr>
        <w:spacing w:line="360" w:lineRule="auto"/>
        <w:ind w:firstLineChars="200" w:firstLine="480"/>
        <w:rPr>
          <w:rFonts w:ascii="宋体" w:hAnsi="宋体"/>
          <w:sz w:val="24"/>
          <w:szCs w:val="24"/>
        </w:rPr>
        <w:sectPr w:rsidR="00A373B5" w:rsidSect="00801652">
          <w:pgSz w:w="11906" w:h="16838"/>
          <w:pgMar w:top="1440" w:right="1797" w:bottom="1440" w:left="1797" w:header="851" w:footer="992" w:gutter="0"/>
          <w:cols w:space="720"/>
          <w:titlePg/>
          <w:docGrid w:type="lines" w:linePitch="312"/>
        </w:sectPr>
      </w:pPr>
      <w:r>
        <w:rPr>
          <w:rFonts w:ascii="宋体" w:hAnsi="宋体" w:hint="eastAsia"/>
          <w:sz w:val="24"/>
          <w:szCs w:val="24"/>
        </w:rPr>
        <w:t>（四）新基金管理人接收基金管理业务或新基金托管人接收基金财产和基金托管业务前，原基金管理人或原基金托管人应继续履行相关职责，并保证不做出对基金份额持有人的利益造成损害的行为。</w:t>
      </w:r>
    </w:p>
    <w:p w14:paraId="6E1497E8" w14:textId="11C6C271" w:rsidR="00B33153" w:rsidRDefault="00B33153" w:rsidP="00C51254">
      <w:pPr>
        <w:spacing w:afterLines="100" w:after="312" w:line="360" w:lineRule="auto"/>
        <w:jc w:val="center"/>
        <w:outlineLvl w:val="0"/>
        <w:rPr>
          <w:b/>
          <w:sz w:val="30"/>
          <w:szCs w:val="30"/>
        </w:rPr>
      </w:pPr>
      <w:bookmarkStart w:id="19" w:name="_Toc440289546"/>
      <w:bookmarkStart w:id="20" w:name="_Toc440289547"/>
      <w:r>
        <w:rPr>
          <w:rFonts w:hint="eastAsia"/>
          <w:b/>
          <w:sz w:val="30"/>
          <w:szCs w:val="30"/>
        </w:rPr>
        <w:lastRenderedPageBreak/>
        <w:t>十五、禁止行为</w:t>
      </w:r>
      <w:bookmarkEnd w:id="19"/>
      <w:bookmarkEnd w:id="20"/>
    </w:p>
    <w:p w14:paraId="27149A2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本协议当事人禁止从事的行为，包括但不限于：</w:t>
      </w:r>
    </w:p>
    <w:p w14:paraId="5C6B12E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（一）基金管理人、基金托管人将其固有财产或者他人财产混同于基金财产从事证券投资。</w:t>
      </w:r>
    </w:p>
    <w:p w14:paraId="12C0F300"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（二）基金管理人不公平地对待其管理的不同基金财产，基金托管人不公平地对待其托管的不同基金财产。</w:t>
      </w:r>
    </w:p>
    <w:p w14:paraId="0F36FAA1"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（三）基金管理人、基金托管人利用基金财产为基金份额持有人以外的第三人牟取利益。</w:t>
      </w:r>
    </w:p>
    <w:p w14:paraId="4B39ABBC" w14:textId="77777777" w:rsidR="00B33153" w:rsidRDefault="00B33153">
      <w:pPr>
        <w:spacing w:line="360" w:lineRule="auto"/>
        <w:ind w:firstLineChars="200" w:firstLine="480"/>
        <w:rPr>
          <w:rFonts w:ascii="宋体" w:hAnsi="宋体"/>
          <w:sz w:val="24"/>
          <w:szCs w:val="24"/>
        </w:rPr>
      </w:pPr>
      <w:r>
        <w:rPr>
          <w:rFonts w:ascii="宋体" w:hAnsi="宋体"/>
          <w:sz w:val="24"/>
          <w:szCs w:val="24"/>
        </w:rPr>
        <w:t>（四）基金管理人、基金托管人向基金份额持有人违规承诺收益或者承担损失。</w:t>
      </w:r>
    </w:p>
    <w:p w14:paraId="7E7E1C71"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（五）基金管理人、基金托管人对他人泄漏基金运作和管理过程中任何尚未按法律法规规定的方式公开披露的信息。</w:t>
      </w:r>
    </w:p>
    <w:p w14:paraId="47161063"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（六）基金管理人在没有充足资金的情况下向基金托管人发出投资指令和赎回、分红资金的划拨指令，或违规向基金托管人发出指令。</w:t>
      </w:r>
    </w:p>
    <w:p w14:paraId="347F9130" w14:textId="77777777" w:rsidR="00B33153" w:rsidRDefault="00B33153">
      <w:pPr>
        <w:spacing w:line="360" w:lineRule="auto"/>
        <w:ind w:firstLineChars="200" w:firstLine="480"/>
        <w:rPr>
          <w:rFonts w:ascii="宋体" w:hAnsi="宋体"/>
          <w:sz w:val="24"/>
          <w:szCs w:val="24"/>
        </w:rPr>
      </w:pPr>
      <w:r>
        <w:rPr>
          <w:rFonts w:ascii="宋体" w:hAnsi="宋体"/>
          <w:sz w:val="24"/>
          <w:szCs w:val="24"/>
        </w:rPr>
        <w:t>（七）基金管理人、基金托管人高级管理人员和其他从业人员相互兼职。</w:t>
      </w:r>
    </w:p>
    <w:p w14:paraId="1CF1B582"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（八）基金托管人私自动用或处分基金财产，根据基金管理人的合法指令、基金合同或托管协议的规定进行处分的除外。</w:t>
      </w:r>
    </w:p>
    <w:p w14:paraId="7FCCF23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（九）基金财产用于下列投资或者活动：</w:t>
      </w:r>
    </w:p>
    <w:p w14:paraId="747659A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（1）承销证券；</w:t>
      </w:r>
    </w:p>
    <w:p w14:paraId="7B5AB57B"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w:t>
      </w:r>
      <w:r>
        <w:rPr>
          <w:rFonts w:hint="eastAsia"/>
          <w:bCs/>
          <w:sz w:val="24"/>
        </w:rPr>
        <w:t>违反规定</w:t>
      </w:r>
      <w:r>
        <w:rPr>
          <w:rFonts w:ascii="宋体" w:hAnsi="宋体" w:hint="eastAsia"/>
          <w:sz w:val="24"/>
          <w:szCs w:val="24"/>
        </w:rPr>
        <w:t>向他人贷款或者提供担保；</w:t>
      </w:r>
    </w:p>
    <w:p w14:paraId="61F13115"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（3）从事承担无限责任的投资；</w:t>
      </w:r>
    </w:p>
    <w:p w14:paraId="7CF4E72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（4）买卖其他基金份额，但是中国证监会另有规定的除外；</w:t>
      </w:r>
    </w:p>
    <w:p w14:paraId="5A543B39"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sz w:val="24"/>
          <w:szCs w:val="24"/>
        </w:rPr>
        <w:t>5</w:t>
      </w:r>
      <w:r>
        <w:rPr>
          <w:rFonts w:ascii="宋体" w:hAnsi="宋体" w:hint="eastAsia"/>
          <w:sz w:val="24"/>
          <w:szCs w:val="24"/>
        </w:rPr>
        <w:t>）向其基金管理人、基金托管人出资；</w:t>
      </w:r>
    </w:p>
    <w:p w14:paraId="6C70F051"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sz w:val="24"/>
          <w:szCs w:val="24"/>
        </w:rPr>
        <w:t>6</w:t>
      </w:r>
      <w:r>
        <w:rPr>
          <w:rFonts w:ascii="宋体" w:hAnsi="宋体" w:hint="eastAsia"/>
          <w:sz w:val="24"/>
          <w:szCs w:val="24"/>
        </w:rPr>
        <w:t>）从事内幕交易、操纵证券交易价格及其他不正当的证券交易活动；</w:t>
      </w:r>
    </w:p>
    <w:p w14:paraId="43C041D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sz w:val="24"/>
          <w:szCs w:val="24"/>
        </w:rPr>
        <w:t>7</w:t>
      </w:r>
      <w:r>
        <w:rPr>
          <w:rFonts w:ascii="宋体" w:hAnsi="宋体" w:hint="eastAsia"/>
          <w:sz w:val="24"/>
          <w:szCs w:val="24"/>
        </w:rPr>
        <w:t>）法律、行政法规和</w:t>
      </w:r>
      <w:r>
        <w:rPr>
          <w:rFonts w:hint="eastAsia"/>
          <w:bCs/>
          <w:sz w:val="24"/>
        </w:rPr>
        <w:t>中国证监会</w:t>
      </w:r>
      <w:r>
        <w:rPr>
          <w:rFonts w:ascii="宋体" w:hAnsi="宋体" w:hint="eastAsia"/>
          <w:sz w:val="24"/>
          <w:szCs w:val="24"/>
        </w:rPr>
        <w:t>规定禁止的其他活动。</w:t>
      </w:r>
    </w:p>
    <w:p w14:paraId="41ABD7F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w:t>
      </w:r>
      <w:r>
        <w:rPr>
          <w:rFonts w:ascii="宋体" w:hAnsi="宋体" w:hint="eastAsia"/>
          <w:sz w:val="24"/>
          <w:szCs w:val="24"/>
        </w:rPr>
        <w:lastRenderedPageBreak/>
        <w:t>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888CAE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法律、行政法规或监管部门取消或变更上述禁止性规定，如适用于本基金，基金管理人在履行适当程序后，则本基金投资不再受相关限制或按变更后的规定执行。</w:t>
      </w:r>
    </w:p>
    <w:p w14:paraId="0779AE3D" w14:textId="77777777" w:rsidR="00A373B5" w:rsidRDefault="00B33153">
      <w:pPr>
        <w:spacing w:line="360" w:lineRule="auto"/>
        <w:ind w:firstLineChars="200" w:firstLine="480"/>
        <w:rPr>
          <w:rFonts w:ascii="宋体" w:hAnsi="宋体"/>
          <w:sz w:val="24"/>
          <w:szCs w:val="24"/>
        </w:rPr>
        <w:sectPr w:rsidR="00A373B5" w:rsidSect="00801652">
          <w:pgSz w:w="11906" w:h="16838"/>
          <w:pgMar w:top="1440" w:right="1797" w:bottom="1440" w:left="1797" w:header="851" w:footer="992" w:gutter="0"/>
          <w:cols w:space="720"/>
          <w:titlePg/>
          <w:docGrid w:type="lines" w:linePitch="312"/>
        </w:sectPr>
      </w:pPr>
      <w:r>
        <w:rPr>
          <w:rFonts w:ascii="宋体" w:hAnsi="宋体" w:hint="eastAsia"/>
          <w:sz w:val="24"/>
          <w:szCs w:val="24"/>
        </w:rPr>
        <w:t>（十）法律法规和基金合同禁止的其他行为，以及依照法律、行政法规有关规定，由</w:t>
      </w:r>
      <w:r>
        <w:rPr>
          <w:rFonts w:hint="eastAsia"/>
          <w:bCs/>
          <w:sz w:val="24"/>
        </w:rPr>
        <w:t>中国证监会</w:t>
      </w:r>
      <w:r>
        <w:rPr>
          <w:rFonts w:ascii="宋体" w:hAnsi="宋体" w:hint="eastAsia"/>
          <w:sz w:val="24"/>
          <w:szCs w:val="24"/>
        </w:rPr>
        <w:t>规定禁止基金管理人、基金托管人从事的其他行为。</w:t>
      </w:r>
    </w:p>
    <w:p w14:paraId="124F9A2C" w14:textId="7BB87FA6" w:rsidR="00B33153" w:rsidRDefault="00B33153" w:rsidP="00C51254">
      <w:pPr>
        <w:spacing w:afterLines="100" w:after="312" w:line="360" w:lineRule="auto"/>
        <w:jc w:val="center"/>
        <w:outlineLvl w:val="0"/>
        <w:rPr>
          <w:b/>
          <w:sz w:val="30"/>
          <w:szCs w:val="30"/>
        </w:rPr>
      </w:pPr>
      <w:bookmarkStart w:id="21" w:name="_Toc440289548"/>
      <w:bookmarkStart w:id="22" w:name="_Toc440289549"/>
      <w:r>
        <w:rPr>
          <w:rFonts w:hint="eastAsia"/>
          <w:b/>
          <w:sz w:val="30"/>
          <w:szCs w:val="30"/>
        </w:rPr>
        <w:lastRenderedPageBreak/>
        <w:t>十六、托管协议的变更、终止与基金财产的清算</w:t>
      </w:r>
      <w:bookmarkEnd w:id="21"/>
      <w:bookmarkEnd w:id="22"/>
    </w:p>
    <w:p w14:paraId="12DA3AD7"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（一）托管协议的变更程序</w:t>
      </w:r>
    </w:p>
    <w:p w14:paraId="59100E10"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本协议双方当事人经协商一致，可以对协议进行修改。修改后的新协议，其内容不得与基金合同的规定有任何冲突。基金托管协议的变更报中国证监会备案。</w:t>
      </w:r>
    </w:p>
    <w:p w14:paraId="57F87259"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（二）基金托管协议终止出现的情形</w:t>
      </w:r>
    </w:p>
    <w:p w14:paraId="7147A7C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1．基金合同终止；</w:t>
      </w:r>
    </w:p>
    <w:p w14:paraId="64FD841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2．基金托管人解散、依法被撤销、破产或由其他基金托管人接管基金资产；</w:t>
      </w:r>
    </w:p>
    <w:p w14:paraId="6CC25D85"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3．基金管理人解散、依法被撤销、破产或由其他基金管理人接管基金管理权；</w:t>
      </w:r>
    </w:p>
    <w:p w14:paraId="778AA35C"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4．发生法律法规或基金合同规定的终止事项。</w:t>
      </w:r>
    </w:p>
    <w:p w14:paraId="1CA9FDE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407F5087"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1．基金财产清算</w:t>
      </w:r>
      <w:r>
        <w:rPr>
          <w:rFonts w:ascii="宋体" w:hAnsi="宋体" w:hint="eastAsia"/>
          <w:kern w:val="0"/>
          <w:sz w:val="24"/>
        </w:rPr>
        <w:t>小</w:t>
      </w:r>
      <w:r>
        <w:rPr>
          <w:rFonts w:ascii="宋体" w:hAnsi="宋体" w:hint="eastAsia"/>
          <w:sz w:val="24"/>
          <w:szCs w:val="24"/>
        </w:rPr>
        <w:t>组：自出现基金合同终止事由之日起30个工作日内成立清算</w:t>
      </w:r>
      <w:r>
        <w:rPr>
          <w:rFonts w:ascii="宋体" w:hAnsi="宋体" w:hint="eastAsia"/>
          <w:kern w:val="0"/>
          <w:sz w:val="24"/>
        </w:rPr>
        <w:t>小</w:t>
      </w:r>
      <w:r>
        <w:rPr>
          <w:rFonts w:ascii="宋体" w:hAnsi="宋体" w:hint="eastAsia"/>
          <w:sz w:val="24"/>
          <w:szCs w:val="24"/>
        </w:rPr>
        <w:t>组，基金管理人组织基金财产清算</w:t>
      </w:r>
      <w:r>
        <w:rPr>
          <w:rFonts w:ascii="宋体" w:hAnsi="宋体" w:hint="eastAsia"/>
          <w:kern w:val="0"/>
          <w:sz w:val="24"/>
        </w:rPr>
        <w:t>小</w:t>
      </w:r>
      <w:r>
        <w:rPr>
          <w:rFonts w:ascii="宋体" w:hAnsi="宋体" w:hint="eastAsia"/>
          <w:sz w:val="24"/>
          <w:szCs w:val="24"/>
        </w:rPr>
        <w:t>组在中国证监会的监督下进行基金清算。</w:t>
      </w:r>
    </w:p>
    <w:p w14:paraId="6F41264E"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sz w:val="24"/>
          <w:szCs w:val="24"/>
        </w:rPr>
        <w:t xml:space="preserve">. </w:t>
      </w:r>
      <w:r>
        <w:rPr>
          <w:rFonts w:ascii="宋体" w:hAnsi="宋体" w:hint="eastAsia"/>
          <w:sz w:val="24"/>
          <w:szCs w:val="24"/>
        </w:rPr>
        <w:t>基金财产清算小组组成：基金财产清算</w:t>
      </w:r>
      <w:r>
        <w:rPr>
          <w:rFonts w:ascii="宋体" w:hAnsi="宋体" w:hint="eastAsia"/>
          <w:kern w:val="0"/>
          <w:sz w:val="24"/>
        </w:rPr>
        <w:t>小</w:t>
      </w:r>
      <w:r>
        <w:rPr>
          <w:rFonts w:ascii="宋体" w:hAnsi="宋体" w:hint="eastAsia"/>
          <w:sz w:val="24"/>
          <w:szCs w:val="24"/>
        </w:rPr>
        <w:t>组成员由基金管理人、基金托管人、具有从事证券相关业务资格的注册会计师、律师以及中国证监会指定的人员组成。基金财产清算</w:t>
      </w:r>
      <w:r>
        <w:rPr>
          <w:rFonts w:ascii="宋体" w:hAnsi="宋体" w:hint="eastAsia"/>
          <w:kern w:val="0"/>
          <w:sz w:val="24"/>
        </w:rPr>
        <w:t>小</w:t>
      </w:r>
      <w:r>
        <w:rPr>
          <w:rFonts w:ascii="宋体" w:hAnsi="宋体" w:hint="eastAsia"/>
          <w:sz w:val="24"/>
          <w:szCs w:val="24"/>
        </w:rPr>
        <w:t>组可以聘用必要的工作人员。</w:t>
      </w:r>
    </w:p>
    <w:p w14:paraId="31676151"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3</w:t>
      </w:r>
      <w:r>
        <w:rPr>
          <w:rFonts w:ascii="宋体" w:hAnsi="宋体"/>
          <w:sz w:val="24"/>
          <w:szCs w:val="24"/>
        </w:rPr>
        <w:t xml:space="preserve">. </w:t>
      </w:r>
      <w:r>
        <w:rPr>
          <w:rFonts w:ascii="宋体" w:hAnsi="宋体" w:hint="eastAsia"/>
          <w:sz w:val="24"/>
          <w:szCs w:val="24"/>
        </w:rPr>
        <w:t>基金财产清算小组职责：基金财产清算</w:t>
      </w:r>
      <w:r>
        <w:rPr>
          <w:rFonts w:ascii="宋体" w:hAnsi="宋体" w:hint="eastAsia"/>
          <w:kern w:val="0"/>
          <w:sz w:val="24"/>
        </w:rPr>
        <w:t>小</w:t>
      </w:r>
      <w:r>
        <w:rPr>
          <w:rFonts w:ascii="宋体" w:hAnsi="宋体" w:hint="eastAsia"/>
          <w:sz w:val="24"/>
          <w:szCs w:val="24"/>
        </w:rPr>
        <w:t>组负责基金财产的保管、清理、估价、变现和分配。基金财产清算</w:t>
      </w:r>
      <w:r>
        <w:rPr>
          <w:rFonts w:ascii="宋体" w:hAnsi="宋体" w:hint="eastAsia"/>
          <w:kern w:val="0"/>
          <w:sz w:val="24"/>
        </w:rPr>
        <w:t>小</w:t>
      </w:r>
      <w:r>
        <w:rPr>
          <w:rFonts w:ascii="宋体" w:hAnsi="宋体" w:hint="eastAsia"/>
          <w:sz w:val="24"/>
          <w:szCs w:val="24"/>
        </w:rPr>
        <w:t>组可以依法进行必要的民事活动。</w:t>
      </w:r>
    </w:p>
    <w:p w14:paraId="660D3851" w14:textId="77777777" w:rsidR="00B33153" w:rsidRDefault="00B33153">
      <w:pPr>
        <w:spacing w:line="360" w:lineRule="auto"/>
        <w:ind w:firstLineChars="200" w:firstLine="480"/>
        <w:rPr>
          <w:rFonts w:ascii="宋体" w:hAnsi="宋体"/>
          <w:sz w:val="24"/>
          <w:szCs w:val="24"/>
        </w:rPr>
      </w:pPr>
      <w:r>
        <w:rPr>
          <w:rFonts w:ascii="宋体" w:hAnsi="宋体"/>
          <w:sz w:val="24"/>
          <w:szCs w:val="24"/>
        </w:rPr>
        <w:t>4</w:t>
      </w:r>
      <w:r>
        <w:rPr>
          <w:rFonts w:ascii="宋体" w:hAnsi="宋体" w:hint="eastAsia"/>
          <w:sz w:val="24"/>
          <w:szCs w:val="24"/>
        </w:rPr>
        <w:t>．基金财产清算程序</w:t>
      </w:r>
    </w:p>
    <w:p w14:paraId="243657BD" w14:textId="77777777" w:rsidR="00B33153" w:rsidRDefault="00B33153">
      <w:pPr>
        <w:spacing w:line="360" w:lineRule="auto"/>
        <w:ind w:firstLineChars="200" w:firstLine="480"/>
        <w:rPr>
          <w:bCs/>
          <w:sz w:val="24"/>
        </w:rPr>
      </w:pPr>
      <w:r>
        <w:rPr>
          <w:rFonts w:ascii="宋体" w:hAnsi="宋体"/>
          <w:bCs/>
          <w:sz w:val="24"/>
        </w:rPr>
        <w:t>（1）</w:t>
      </w:r>
      <w:r>
        <w:rPr>
          <w:bCs/>
          <w:sz w:val="24"/>
        </w:rPr>
        <w:t>《基金合同》终止情形出现时，由基金财产清算小组统一接管基金；</w:t>
      </w:r>
    </w:p>
    <w:p w14:paraId="53D0BF1B" w14:textId="77777777" w:rsidR="00B33153" w:rsidRDefault="00B33153">
      <w:pPr>
        <w:spacing w:line="360" w:lineRule="auto"/>
        <w:ind w:firstLineChars="200" w:firstLine="480"/>
        <w:rPr>
          <w:bCs/>
          <w:sz w:val="24"/>
        </w:rPr>
      </w:pPr>
      <w:r>
        <w:rPr>
          <w:rFonts w:ascii="宋体" w:hAnsi="宋体"/>
          <w:bCs/>
          <w:sz w:val="24"/>
        </w:rPr>
        <w:t>（2）对</w:t>
      </w:r>
      <w:r>
        <w:rPr>
          <w:bCs/>
          <w:sz w:val="24"/>
        </w:rPr>
        <w:t>基金财产和债权债务进行清理和确认；</w:t>
      </w:r>
    </w:p>
    <w:p w14:paraId="0A4059A9" w14:textId="77777777" w:rsidR="00B33153" w:rsidRDefault="00B33153">
      <w:pPr>
        <w:spacing w:line="360" w:lineRule="auto"/>
        <w:ind w:firstLineChars="200" w:firstLine="480"/>
        <w:rPr>
          <w:bCs/>
          <w:sz w:val="24"/>
        </w:rPr>
      </w:pPr>
      <w:r>
        <w:rPr>
          <w:rFonts w:ascii="宋体" w:hAnsi="宋体"/>
          <w:bCs/>
          <w:sz w:val="24"/>
        </w:rPr>
        <w:t>（3）</w:t>
      </w:r>
      <w:r>
        <w:rPr>
          <w:bCs/>
          <w:sz w:val="24"/>
        </w:rPr>
        <w:t>对基金财产进行估值和变现；</w:t>
      </w:r>
    </w:p>
    <w:p w14:paraId="61BC5C9E" w14:textId="77777777" w:rsidR="00B33153" w:rsidRDefault="00B33153">
      <w:pPr>
        <w:spacing w:line="360" w:lineRule="auto"/>
        <w:ind w:firstLineChars="200" w:firstLine="480"/>
        <w:rPr>
          <w:bCs/>
          <w:sz w:val="24"/>
        </w:rPr>
      </w:pPr>
      <w:r>
        <w:rPr>
          <w:rFonts w:ascii="宋体" w:hAnsi="宋体"/>
          <w:bCs/>
          <w:sz w:val="24"/>
        </w:rPr>
        <w:t>（4）</w:t>
      </w:r>
      <w:r>
        <w:rPr>
          <w:bCs/>
          <w:sz w:val="24"/>
        </w:rPr>
        <w:t>制作清算报告；</w:t>
      </w:r>
    </w:p>
    <w:p w14:paraId="123A0A65" w14:textId="77777777" w:rsidR="00B33153" w:rsidRDefault="00B33153">
      <w:pPr>
        <w:spacing w:line="360" w:lineRule="auto"/>
        <w:ind w:firstLineChars="200" w:firstLine="480"/>
        <w:rPr>
          <w:bCs/>
          <w:sz w:val="24"/>
        </w:rPr>
      </w:pPr>
      <w:r>
        <w:rPr>
          <w:rFonts w:ascii="宋体" w:hAnsi="宋体"/>
          <w:bCs/>
          <w:sz w:val="24"/>
        </w:rPr>
        <w:t>（5）聘</w:t>
      </w:r>
      <w:r>
        <w:rPr>
          <w:bCs/>
          <w:sz w:val="24"/>
        </w:rPr>
        <w:t>请会计师事务所对清算报告进行外部审计，聘请律师事务所对清算报告出具法律意见书；</w:t>
      </w:r>
    </w:p>
    <w:p w14:paraId="57AD74DF" w14:textId="77777777" w:rsidR="00B33153" w:rsidRDefault="00B33153">
      <w:pPr>
        <w:spacing w:line="360" w:lineRule="auto"/>
        <w:ind w:firstLineChars="200" w:firstLine="480"/>
        <w:rPr>
          <w:rFonts w:ascii="宋体" w:hAnsi="宋体"/>
          <w:bCs/>
          <w:sz w:val="24"/>
        </w:rPr>
      </w:pPr>
      <w:r>
        <w:rPr>
          <w:rFonts w:ascii="宋体" w:hAnsi="宋体"/>
          <w:bCs/>
          <w:sz w:val="24"/>
        </w:rPr>
        <w:t>（6）将清算报告报中国证监会备案并公告</w:t>
      </w:r>
      <w:r>
        <w:rPr>
          <w:rFonts w:ascii="宋体" w:hAnsi="宋体" w:hint="eastAsia"/>
          <w:bCs/>
          <w:sz w:val="24"/>
        </w:rPr>
        <w:t>；</w:t>
      </w:r>
    </w:p>
    <w:p w14:paraId="346960FC" w14:textId="77777777" w:rsidR="00B33153" w:rsidRDefault="00B33153">
      <w:pPr>
        <w:spacing w:line="360" w:lineRule="auto"/>
        <w:ind w:firstLineChars="200" w:firstLine="480"/>
        <w:rPr>
          <w:rFonts w:ascii="宋体" w:hAnsi="宋体"/>
          <w:sz w:val="24"/>
          <w:szCs w:val="24"/>
        </w:rPr>
      </w:pPr>
      <w:r>
        <w:rPr>
          <w:rFonts w:ascii="宋体" w:hAnsi="宋体"/>
          <w:bCs/>
          <w:sz w:val="24"/>
        </w:rPr>
        <w:t>（7）对基</w:t>
      </w:r>
      <w:r>
        <w:rPr>
          <w:bCs/>
          <w:sz w:val="24"/>
        </w:rPr>
        <w:t>金</w:t>
      </w:r>
      <w:r>
        <w:rPr>
          <w:rFonts w:hint="eastAsia"/>
          <w:bCs/>
          <w:sz w:val="24"/>
        </w:rPr>
        <w:t>剩余</w:t>
      </w:r>
      <w:r>
        <w:rPr>
          <w:bCs/>
          <w:sz w:val="24"/>
        </w:rPr>
        <w:t>财产进行分配</w:t>
      </w:r>
      <w:r>
        <w:rPr>
          <w:rFonts w:hint="eastAsia"/>
          <w:bCs/>
          <w:sz w:val="24"/>
        </w:rPr>
        <w:t>。</w:t>
      </w:r>
    </w:p>
    <w:p w14:paraId="49BA7272" w14:textId="77777777" w:rsidR="00B33153" w:rsidRDefault="00B33153">
      <w:pPr>
        <w:spacing w:line="360" w:lineRule="auto"/>
        <w:ind w:firstLineChars="200" w:firstLine="480"/>
        <w:rPr>
          <w:bCs/>
          <w:sz w:val="24"/>
        </w:rPr>
      </w:pPr>
      <w:r>
        <w:rPr>
          <w:rFonts w:ascii="宋体" w:hAnsi="宋体"/>
          <w:sz w:val="24"/>
          <w:szCs w:val="24"/>
        </w:rPr>
        <w:lastRenderedPageBreak/>
        <w:t>5</w:t>
      </w:r>
      <w:r>
        <w:rPr>
          <w:rFonts w:ascii="宋体" w:hAnsi="宋体" w:hint="eastAsia"/>
          <w:sz w:val="24"/>
          <w:szCs w:val="24"/>
        </w:rPr>
        <w:t>．</w:t>
      </w:r>
      <w:r>
        <w:rPr>
          <w:bCs/>
          <w:sz w:val="24"/>
        </w:rPr>
        <w:t>基金财产清算的期限为</w:t>
      </w:r>
      <w:r>
        <w:rPr>
          <w:rFonts w:hint="eastAsia"/>
          <w:bCs/>
          <w:sz w:val="24"/>
        </w:rPr>
        <w:t>6</w:t>
      </w:r>
      <w:r>
        <w:rPr>
          <w:bCs/>
          <w:sz w:val="24"/>
        </w:rPr>
        <w:t>个月</w:t>
      </w:r>
      <w:r>
        <w:rPr>
          <w:rFonts w:ascii="Times New Roman" w:hAnsi="Times New Roman" w:hint="eastAsia"/>
          <w:sz w:val="24"/>
        </w:rPr>
        <w:t>。</w:t>
      </w:r>
    </w:p>
    <w:p w14:paraId="10C56385" w14:textId="77777777" w:rsidR="00B33153" w:rsidRDefault="00B33153">
      <w:pPr>
        <w:spacing w:line="360" w:lineRule="auto"/>
        <w:ind w:firstLineChars="200" w:firstLine="480"/>
        <w:rPr>
          <w:rFonts w:ascii="宋体" w:hAnsi="宋体"/>
          <w:sz w:val="24"/>
          <w:szCs w:val="24"/>
        </w:rPr>
      </w:pPr>
      <w:r>
        <w:rPr>
          <w:bCs/>
          <w:sz w:val="24"/>
        </w:rPr>
        <w:t>6</w:t>
      </w:r>
      <w:r>
        <w:rPr>
          <w:rFonts w:hint="eastAsia"/>
          <w:bCs/>
          <w:sz w:val="24"/>
        </w:rPr>
        <w:t xml:space="preserve">. </w:t>
      </w:r>
      <w:r>
        <w:rPr>
          <w:rFonts w:ascii="宋体" w:hAnsi="宋体" w:hint="eastAsia"/>
          <w:sz w:val="24"/>
          <w:szCs w:val="24"/>
        </w:rPr>
        <w:t>清算费用</w:t>
      </w:r>
    </w:p>
    <w:p w14:paraId="7F87B290"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清算费用是指基金财产清算</w:t>
      </w:r>
      <w:r>
        <w:rPr>
          <w:rFonts w:ascii="宋体" w:hAnsi="宋体" w:hint="eastAsia"/>
          <w:kern w:val="0"/>
          <w:sz w:val="24"/>
        </w:rPr>
        <w:t>小</w:t>
      </w:r>
      <w:r>
        <w:rPr>
          <w:rFonts w:ascii="宋体" w:hAnsi="宋体" w:hint="eastAsia"/>
          <w:sz w:val="24"/>
          <w:szCs w:val="24"/>
        </w:rPr>
        <w:t>组在进行基金财产清算过程中发生的所有合理费用，清算费用由基金财产清算</w:t>
      </w:r>
      <w:r>
        <w:rPr>
          <w:rFonts w:ascii="宋体" w:hAnsi="宋体" w:hint="eastAsia"/>
          <w:kern w:val="0"/>
          <w:sz w:val="24"/>
        </w:rPr>
        <w:t>小</w:t>
      </w:r>
      <w:r>
        <w:rPr>
          <w:rFonts w:ascii="宋体" w:hAnsi="宋体" w:hint="eastAsia"/>
          <w:sz w:val="24"/>
          <w:szCs w:val="24"/>
        </w:rPr>
        <w:t>组优先从基金财产中支付。</w:t>
      </w:r>
    </w:p>
    <w:p w14:paraId="13DA48EF" w14:textId="77777777" w:rsidR="00B33153" w:rsidRDefault="00B33153">
      <w:pPr>
        <w:spacing w:line="360" w:lineRule="auto"/>
        <w:ind w:firstLineChars="200" w:firstLine="480"/>
        <w:rPr>
          <w:rFonts w:ascii="宋体" w:hAnsi="宋体"/>
          <w:sz w:val="24"/>
          <w:szCs w:val="24"/>
        </w:rPr>
      </w:pPr>
      <w:r>
        <w:rPr>
          <w:rFonts w:ascii="宋体" w:hAnsi="宋体"/>
          <w:sz w:val="24"/>
          <w:szCs w:val="24"/>
        </w:rPr>
        <w:t>7</w:t>
      </w:r>
      <w:r>
        <w:rPr>
          <w:rFonts w:ascii="宋体" w:hAnsi="宋体" w:hint="eastAsia"/>
          <w:sz w:val="24"/>
          <w:szCs w:val="24"/>
        </w:rPr>
        <w:t>．基金财产清算剩余资产的分配</w:t>
      </w:r>
    </w:p>
    <w:p w14:paraId="382CADCD"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2514550F" w14:textId="77777777" w:rsidR="00B33153" w:rsidRDefault="00B33153">
      <w:pPr>
        <w:spacing w:line="360" w:lineRule="auto"/>
        <w:ind w:firstLineChars="200" w:firstLine="480"/>
        <w:rPr>
          <w:rFonts w:ascii="宋体" w:hAnsi="宋体"/>
          <w:sz w:val="24"/>
          <w:szCs w:val="24"/>
        </w:rPr>
      </w:pPr>
      <w:r>
        <w:rPr>
          <w:rFonts w:ascii="宋体" w:hAnsi="宋体"/>
          <w:sz w:val="24"/>
          <w:szCs w:val="24"/>
        </w:rPr>
        <w:t>8</w:t>
      </w:r>
      <w:r>
        <w:rPr>
          <w:rFonts w:ascii="宋体" w:hAnsi="宋体" w:hint="eastAsia"/>
          <w:sz w:val="24"/>
          <w:szCs w:val="24"/>
        </w:rPr>
        <w:t>．基金财产清算的公告</w:t>
      </w:r>
    </w:p>
    <w:p w14:paraId="180FF426"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清算过程中的有关重大事项须及时公告；基金财产清算报告经会计师事务所审计并由律师事务所出具法律意见书后报中国证监会备案并公告。基金财产清算公告于基金财产清算报告报中国证监会备案后5个工作日内由基金财产清算小组进行公告。</w:t>
      </w:r>
    </w:p>
    <w:p w14:paraId="37160529" w14:textId="77777777" w:rsidR="00B33153" w:rsidRDefault="00B33153">
      <w:pPr>
        <w:spacing w:line="360" w:lineRule="auto"/>
        <w:ind w:firstLineChars="200" w:firstLine="480"/>
        <w:rPr>
          <w:rFonts w:ascii="宋体" w:hAnsi="宋体"/>
          <w:sz w:val="24"/>
          <w:szCs w:val="24"/>
        </w:rPr>
      </w:pPr>
      <w:r>
        <w:rPr>
          <w:rFonts w:ascii="宋体" w:hAnsi="宋体"/>
          <w:sz w:val="24"/>
          <w:szCs w:val="24"/>
        </w:rPr>
        <w:t>9</w:t>
      </w:r>
      <w:r>
        <w:rPr>
          <w:rFonts w:ascii="宋体" w:hAnsi="宋体" w:hint="eastAsia"/>
          <w:sz w:val="24"/>
          <w:szCs w:val="24"/>
        </w:rPr>
        <w:t>．基金财产清算账册及文件的保存</w:t>
      </w:r>
    </w:p>
    <w:p w14:paraId="3942731F" w14:textId="77777777" w:rsidR="00A373B5" w:rsidRDefault="00B33153">
      <w:pPr>
        <w:spacing w:line="360" w:lineRule="auto"/>
        <w:ind w:firstLineChars="200" w:firstLine="480"/>
        <w:rPr>
          <w:rFonts w:ascii="宋体" w:hAnsi="宋体"/>
          <w:sz w:val="24"/>
          <w:szCs w:val="24"/>
        </w:rPr>
        <w:sectPr w:rsidR="00A373B5" w:rsidSect="00801652">
          <w:pgSz w:w="11906" w:h="16838"/>
          <w:pgMar w:top="1440" w:right="1797" w:bottom="1440" w:left="1797" w:header="851" w:footer="992" w:gutter="0"/>
          <w:cols w:space="720"/>
          <w:titlePg/>
          <w:docGrid w:type="lines" w:linePitch="312"/>
        </w:sectPr>
      </w:pPr>
      <w:r>
        <w:rPr>
          <w:rFonts w:ascii="宋体" w:hAnsi="宋体" w:hint="eastAsia"/>
          <w:sz w:val="24"/>
          <w:szCs w:val="24"/>
        </w:rPr>
        <w:t>基金财产清算账册及有关文件由基金托管人保存15年以上。</w:t>
      </w:r>
    </w:p>
    <w:p w14:paraId="7E933E6A" w14:textId="1EFD3E7F" w:rsidR="00B33153" w:rsidRDefault="00B33153" w:rsidP="00C51254">
      <w:pPr>
        <w:spacing w:afterLines="100" w:after="312" w:line="360" w:lineRule="auto"/>
        <w:jc w:val="center"/>
        <w:outlineLvl w:val="0"/>
        <w:rPr>
          <w:b/>
          <w:sz w:val="30"/>
          <w:szCs w:val="30"/>
        </w:rPr>
      </w:pPr>
      <w:bookmarkStart w:id="23" w:name="_Toc440289550"/>
      <w:bookmarkStart w:id="24" w:name="_Toc440289551"/>
      <w:r>
        <w:rPr>
          <w:rFonts w:hint="eastAsia"/>
          <w:b/>
          <w:sz w:val="30"/>
          <w:szCs w:val="30"/>
        </w:rPr>
        <w:lastRenderedPageBreak/>
        <w:t>十七、违约责任</w:t>
      </w:r>
      <w:bookmarkEnd w:id="23"/>
      <w:bookmarkEnd w:id="24"/>
    </w:p>
    <w:p w14:paraId="71CE6EDA"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但是发生下列情况的，当事人免责：</w:t>
      </w:r>
    </w:p>
    <w:p w14:paraId="177F9543"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1．不可抗力；</w:t>
      </w:r>
    </w:p>
    <w:p w14:paraId="148DECC1"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2．基金管理人、基金托管人按照当时有效的法律法规或中国证监会的规定作为或不作为而造成的损失等；</w:t>
      </w:r>
    </w:p>
    <w:p w14:paraId="23C0718C"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3．基金管理人由于按照基金合同规定的投资原则投资或不投资造成的损失。</w:t>
      </w:r>
    </w:p>
    <w:p w14:paraId="28D0BBA3"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就扩大的损失要求赔偿。守约方因防止损失扩大而支出的合理费用由违约方承担。</w:t>
      </w:r>
    </w:p>
    <w:p w14:paraId="6ABB2365"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或减轻由此造成的影响。</w:t>
      </w:r>
    </w:p>
    <w:p w14:paraId="2849C8F6" w14:textId="77777777" w:rsidR="00B33153" w:rsidRDefault="00B33153" w:rsidP="00C51254">
      <w:pPr>
        <w:spacing w:afterLines="100" w:after="312" w:line="360" w:lineRule="auto"/>
        <w:jc w:val="center"/>
        <w:outlineLvl w:val="0"/>
      </w:pPr>
      <w:r>
        <w:rPr>
          <w:rFonts w:ascii="宋体" w:hAnsi="宋体"/>
          <w:sz w:val="24"/>
          <w:szCs w:val="24"/>
        </w:rPr>
        <w:br w:type="page"/>
      </w:r>
      <w:bookmarkStart w:id="25" w:name="_Toc440289552"/>
      <w:r>
        <w:rPr>
          <w:rFonts w:hint="eastAsia"/>
          <w:b/>
          <w:sz w:val="30"/>
          <w:szCs w:val="30"/>
        </w:rPr>
        <w:lastRenderedPageBreak/>
        <w:t>十八、争议解决方式</w:t>
      </w:r>
      <w:bookmarkEnd w:id="25"/>
    </w:p>
    <w:p w14:paraId="31AF5518" w14:textId="05C3F46F" w:rsidR="00B33153" w:rsidRPr="00A373B5" w:rsidRDefault="00B33153" w:rsidP="00A373B5">
      <w:pPr>
        <w:spacing w:line="360" w:lineRule="auto"/>
        <w:ind w:firstLineChars="200" w:firstLine="480"/>
        <w:rPr>
          <w:rFonts w:ascii="宋体" w:hAnsi="宋体"/>
          <w:sz w:val="24"/>
          <w:szCs w:val="24"/>
        </w:rPr>
      </w:pPr>
      <w:r w:rsidRPr="00A373B5">
        <w:rPr>
          <w:rFonts w:ascii="宋体" w:hAnsi="宋体" w:hint="eastAsia"/>
          <w:sz w:val="24"/>
          <w:szCs w:val="24"/>
        </w:rPr>
        <w:t>各方当事人同意，因《基金合同》而产生的或与《基金合同》有关的一切争议，如不愿或者不能通过协商、调解解决的，任何一方均有权将争议提交华南国际经济贸易仲裁委员会，按照该会届时有效的仲裁规则进行仲裁。仲裁地点为深圳市。仲裁裁决是终局的，对各方当事人均有约束力。仲裁费用由败诉方承担。</w:t>
      </w:r>
    </w:p>
    <w:p w14:paraId="6294430F" w14:textId="77777777" w:rsidR="007D44DF" w:rsidRDefault="00B33153">
      <w:pPr>
        <w:spacing w:line="360" w:lineRule="auto"/>
        <w:ind w:firstLineChars="200" w:firstLine="480"/>
        <w:rPr>
          <w:bCs/>
          <w:sz w:val="24"/>
        </w:rPr>
        <w:sectPr w:rsidR="007D44DF" w:rsidSect="00801652">
          <w:pgSz w:w="11906" w:h="16838"/>
          <w:pgMar w:top="1440" w:right="1797" w:bottom="1440" w:left="1797" w:header="851" w:footer="992" w:gutter="0"/>
          <w:cols w:space="720"/>
          <w:titlePg/>
          <w:docGrid w:type="lines" w:linePitch="312"/>
        </w:sectPr>
      </w:pPr>
      <w:r w:rsidRPr="00A373B5">
        <w:rPr>
          <w:rFonts w:ascii="宋体" w:hAnsi="宋体" w:hint="eastAsia"/>
          <w:sz w:val="24"/>
          <w:szCs w:val="24"/>
        </w:rPr>
        <w:t>《基金合同》适用</w:t>
      </w:r>
      <w:r w:rsidR="006B0660" w:rsidRPr="00A373B5">
        <w:rPr>
          <w:rFonts w:ascii="宋体" w:hAnsi="宋体" w:hint="eastAsia"/>
          <w:sz w:val="24"/>
          <w:szCs w:val="24"/>
        </w:rPr>
        <w:t>中华人民共和国法律及其解释</w:t>
      </w:r>
      <w:r w:rsidR="006B0660" w:rsidRPr="00D57835">
        <w:rPr>
          <w:rFonts w:hint="eastAsia"/>
          <w:bCs/>
          <w:sz w:val="24"/>
        </w:rPr>
        <w:t>。</w:t>
      </w:r>
    </w:p>
    <w:p w14:paraId="3C399740" w14:textId="440BDA63" w:rsidR="00B33153" w:rsidRDefault="00B33153" w:rsidP="00C51254">
      <w:pPr>
        <w:spacing w:afterLines="100" w:after="312" w:line="360" w:lineRule="auto"/>
        <w:jc w:val="center"/>
        <w:outlineLvl w:val="0"/>
        <w:rPr>
          <w:b/>
          <w:sz w:val="30"/>
          <w:szCs w:val="30"/>
        </w:rPr>
      </w:pPr>
      <w:bookmarkStart w:id="26" w:name="_Toc440289553"/>
      <w:bookmarkStart w:id="27" w:name="_Toc440289554"/>
      <w:r>
        <w:rPr>
          <w:rFonts w:hint="eastAsia"/>
          <w:b/>
          <w:sz w:val="30"/>
          <w:szCs w:val="30"/>
        </w:rPr>
        <w:lastRenderedPageBreak/>
        <w:t>十九、托管协议的效力</w:t>
      </w:r>
      <w:bookmarkEnd w:id="26"/>
      <w:bookmarkEnd w:id="27"/>
    </w:p>
    <w:p w14:paraId="086C344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双方对托管协议的效力约定如下：</w:t>
      </w:r>
    </w:p>
    <w:p w14:paraId="3A1DC927"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一）基金管理人在向中国证监会申请发售基金份额时提交的托管协议草案，应经托管协议当事人双方盖章以及双方法定代表人或授权代表签字，协议当事人双方根据中国证监会的意见修改托管协议草案。托管协议以中国证监会注册的文本为正式文本。</w:t>
      </w:r>
    </w:p>
    <w:p w14:paraId="23BABCB4"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（二）托管协议自基金合同生效之日起生效。托管协议的有效期自其生效之日起至基金财产清算结果报中国证监会备案并公告之日止。</w:t>
      </w:r>
    </w:p>
    <w:p w14:paraId="4DE60F92"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（三）托管协议自生效之日起对托管协议当事人具有同等的法律约束力。</w:t>
      </w:r>
    </w:p>
    <w:p w14:paraId="04DB5BDC" w14:textId="77777777" w:rsidR="007D44DF" w:rsidRDefault="00B33153">
      <w:pPr>
        <w:spacing w:line="360" w:lineRule="auto"/>
        <w:ind w:firstLineChars="200" w:firstLine="480"/>
        <w:rPr>
          <w:rFonts w:ascii="宋体" w:hAnsi="宋体"/>
          <w:sz w:val="24"/>
          <w:szCs w:val="24"/>
        </w:rPr>
        <w:sectPr w:rsidR="007D44DF" w:rsidSect="00801652">
          <w:pgSz w:w="11906" w:h="16838"/>
          <w:pgMar w:top="1440" w:right="1797" w:bottom="1440" w:left="1797" w:header="851" w:footer="992" w:gutter="0"/>
          <w:cols w:space="720"/>
          <w:titlePg/>
          <w:docGrid w:type="lines" w:linePitch="312"/>
        </w:sectPr>
      </w:pPr>
      <w:r>
        <w:rPr>
          <w:rFonts w:ascii="宋体" w:hAnsi="宋体" w:hint="eastAsia"/>
          <w:sz w:val="24"/>
          <w:szCs w:val="24"/>
        </w:rPr>
        <w:t>（四）本协议一式六份，协议双方各持二份，上报中国证监会和银行业监督管理机构各一份，每份具有同等法律效力。</w:t>
      </w:r>
    </w:p>
    <w:p w14:paraId="511A2E0C" w14:textId="365A5981" w:rsidR="00B33153" w:rsidRDefault="00B33153" w:rsidP="00C51254">
      <w:pPr>
        <w:spacing w:afterLines="100" w:after="312" w:line="360" w:lineRule="auto"/>
        <w:jc w:val="center"/>
        <w:outlineLvl w:val="0"/>
        <w:rPr>
          <w:b/>
          <w:sz w:val="30"/>
          <w:szCs w:val="30"/>
        </w:rPr>
      </w:pPr>
      <w:bookmarkStart w:id="28" w:name="_Toc440289555"/>
      <w:bookmarkStart w:id="29" w:name="_Toc440289556"/>
      <w:r>
        <w:rPr>
          <w:rFonts w:hint="eastAsia"/>
          <w:b/>
          <w:sz w:val="30"/>
          <w:szCs w:val="30"/>
        </w:rPr>
        <w:lastRenderedPageBreak/>
        <w:t>二十、其他事项</w:t>
      </w:r>
      <w:bookmarkEnd w:id="28"/>
      <w:bookmarkEnd w:id="29"/>
    </w:p>
    <w:p w14:paraId="7465755F" w14:textId="77777777" w:rsidR="00B33153" w:rsidRDefault="00B33153">
      <w:pPr>
        <w:spacing w:line="360" w:lineRule="auto"/>
        <w:ind w:firstLineChars="200" w:firstLine="480"/>
        <w:rPr>
          <w:rFonts w:ascii="宋体" w:hAnsi="宋体"/>
          <w:sz w:val="24"/>
          <w:szCs w:val="24"/>
        </w:rPr>
      </w:pPr>
      <w:r>
        <w:rPr>
          <w:rFonts w:ascii="宋体" w:hAnsi="宋体" w:hint="eastAsia"/>
          <w:sz w:val="24"/>
          <w:szCs w:val="24"/>
        </w:rPr>
        <w:t>如发生有权司法机关依法冻结基金份额持有人的基金份额时，基金管理人应予以配合，承担司法协助义务。</w:t>
      </w:r>
    </w:p>
    <w:p w14:paraId="4CC6BD23" w14:textId="77777777" w:rsidR="007D44DF" w:rsidRDefault="00B33153">
      <w:pPr>
        <w:spacing w:line="360" w:lineRule="auto"/>
        <w:ind w:firstLineChars="200" w:firstLine="480"/>
        <w:rPr>
          <w:rFonts w:ascii="宋体" w:hAnsi="宋体"/>
          <w:sz w:val="24"/>
          <w:szCs w:val="24"/>
        </w:rPr>
        <w:sectPr w:rsidR="007D44DF" w:rsidSect="00801652">
          <w:pgSz w:w="11906" w:h="16838"/>
          <w:pgMar w:top="1440" w:right="1797" w:bottom="1440" w:left="1797" w:header="851" w:footer="992" w:gutter="0"/>
          <w:cols w:space="720"/>
          <w:titlePg/>
          <w:docGrid w:type="lines" w:linePitch="312"/>
        </w:sectPr>
      </w:pPr>
      <w:r>
        <w:rPr>
          <w:rFonts w:ascii="宋体" w:hAnsi="宋体" w:hint="eastAsia"/>
          <w:sz w:val="24"/>
          <w:szCs w:val="24"/>
        </w:rPr>
        <w:t>除本协议有明确定义外，本协议的用语定义适用基金合同的约定。本协议未尽事宜，当事人依据基金合同、有关法律法规等规定协商办理。</w:t>
      </w:r>
    </w:p>
    <w:p w14:paraId="13F39355" w14:textId="06607D58" w:rsidR="00B33153" w:rsidRDefault="00B33153" w:rsidP="00C51254">
      <w:pPr>
        <w:spacing w:afterLines="100" w:after="312" w:line="360" w:lineRule="auto"/>
        <w:jc w:val="center"/>
        <w:outlineLvl w:val="0"/>
        <w:rPr>
          <w:b/>
          <w:sz w:val="30"/>
          <w:szCs w:val="30"/>
        </w:rPr>
      </w:pPr>
      <w:r>
        <w:rPr>
          <w:rFonts w:ascii="宋体" w:hAnsi="宋体"/>
          <w:sz w:val="24"/>
          <w:szCs w:val="24"/>
        </w:rPr>
        <w:lastRenderedPageBreak/>
        <w:t xml:space="preserve"> </w:t>
      </w:r>
      <w:bookmarkStart w:id="30" w:name="_Toc440289557"/>
      <w:bookmarkStart w:id="31" w:name="_Toc440289558"/>
      <w:r>
        <w:rPr>
          <w:rFonts w:hint="eastAsia"/>
          <w:b/>
          <w:sz w:val="30"/>
          <w:szCs w:val="30"/>
        </w:rPr>
        <w:t>二十一、托管协议的签订</w:t>
      </w:r>
      <w:bookmarkEnd w:id="30"/>
      <w:bookmarkEnd w:id="31"/>
    </w:p>
    <w:p w14:paraId="1640B796" w14:textId="446F7DDF" w:rsidR="00DD02AF" w:rsidRPr="00B33153" w:rsidRDefault="00B33153" w:rsidP="00F35276">
      <w:pPr>
        <w:spacing w:line="360" w:lineRule="auto"/>
        <w:ind w:firstLineChars="200" w:firstLine="480"/>
      </w:pPr>
      <w:r>
        <w:rPr>
          <w:rFonts w:ascii="宋体" w:hAnsi="宋体" w:hint="eastAsia"/>
          <w:sz w:val="24"/>
        </w:rPr>
        <w:t>本托管协议经基金管理人和基金托管人认可后，由该双方当事人在基金托管协议上盖章，并由各自的法定代表人或授权代表签署，并注明基金托管协议的签订地点和签订日期。</w:t>
      </w:r>
    </w:p>
    <w:sectPr w:rsidR="00DD02AF" w:rsidRPr="00B33153" w:rsidSect="004E721C">
      <w:headerReference w:type="default" r:id="rId19"/>
      <w:footerReference w:type="default" r:id="rId20"/>
      <w:headerReference w:type="first" r:id="rId21"/>
      <w:footerReference w:type="first" r:id="rId22"/>
      <w:pgSz w:w="11906" w:h="16838"/>
      <w:pgMar w:top="1440" w:right="1797" w:bottom="1440" w:left="1797" w:header="851" w:footer="992" w:gutter="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0B2E72" w14:textId="77777777" w:rsidR="00336A2B" w:rsidRDefault="00336A2B" w:rsidP="002F3785">
      <w:r>
        <w:separator/>
      </w:r>
    </w:p>
  </w:endnote>
  <w:endnote w:type="continuationSeparator" w:id="0">
    <w:p w14:paraId="2EE4F57B" w14:textId="77777777" w:rsidR="00336A2B" w:rsidRDefault="00336A2B" w:rsidP="002F37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楷体_GB2312">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A0097B" w14:textId="77777777" w:rsidR="004D7C3E" w:rsidRDefault="004D7C3E">
    <w:pPr>
      <w:pStyle w:val="a9"/>
      <w:jc w:val="center"/>
      <w:rPr>
        <w:rFonts w:ascii="宋体" w:hAns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4334FC" w14:textId="1E75DD24" w:rsidR="004D7C3E" w:rsidRDefault="00E87CA6">
    <w:pPr>
      <w:pStyle w:val="a9"/>
      <w:jc w:val="center"/>
    </w:pPr>
    <w:sdt>
      <w:sdtPr>
        <w:id w:val="124817355"/>
        <w:docPartObj>
          <w:docPartGallery w:val="Page Numbers (Bottom of Page)"/>
          <w:docPartUnique/>
        </w:docPartObj>
      </w:sdtPr>
      <w:sdtEndPr/>
      <w:sdtContent>
        <w:r w:rsidR="004D7C3E">
          <w:fldChar w:fldCharType="begin"/>
        </w:r>
        <w:r w:rsidR="004D7C3E">
          <w:instrText>PAGE   \* MERGEFORMAT</w:instrText>
        </w:r>
        <w:r w:rsidR="004D7C3E">
          <w:fldChar w:fldCharType="separate"/>
        </w:r>
        <w:r w:rsidRPr="00E87CA6">
          <w:rPr>
            <w:noProof/>
            <w:lang w:val="zh-CN"/>
          </w:rPr>
          <w:t>45</w:t>
        </w:r>
        <w:r w:rsidR="004D7C3E">
          <w:fldChar w:fldCharType="end"/>
        </w:r>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698F10" w14:textId="77777777" w:rsidR="004D7C3E" w:rsidRDefault="004D7C3E">
    <w:pPr>
      <w:pStyle w:val="a9"/>
      <w:jc w:val="center"/>
    </w:pPr>
    <w:r>
      <w:fldChar w:fldCharType="begin"/>
    </w:r>
    <w:r>
      <w:instrText xml:space="preserve"> PAGE   \* MERGEFORMAT </w:instrText>
    </w:r>
    <w:r>
      <w:fldChar w:fldCharType="separate"/>
    </w:r>
    <w:r>
      <w:rPr>
        <w:lang w:val="zh-CN"/>
      </w:rPr>
      <w:t>1</w:t>
    </w:r>
    <w:r>
      <w:rPr>
        <w:lang w:val="zh-CN"/>
      </w:rPr>
      <w:fldChar w:fldCharType="end"/>
    </w:r>
  </w:p>
  <w:p w14:paraId="10A2490F" w14:textId="77777777" w:rsidR="004D7C3E" w:rsidRDefault="004D7C3E">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A2872B" w14:textId="75CF6A06" w:rsidR="004D7C3E" w:rsidRDefault="00E87CA6">
    <w:pPr>
      <w:pStyle w:val="a9"/>
      <w:jc w:val="center"/>
    </w:pPr>
    <w:sdt>
      <w:sdtPr>
        <w:id w:val="1061519017"/>
        <w:docPartObj>
          <w:docPartGallery w:val="Page Numbers (Bottom of Page)"/>
          <w:docPartUnique/>
        </w:docPartObj>
      </w:sdtPr>
      <w:sdtEndPr/>
      <w:sdtContent>
        <w:r w:rsidR="004D7C3E">
          <w:fldChar w:fldCharType="begin"/>
        </w:r>
        <w:r w:rsidR="004D7C3E">
          <w:instrText>PAGE   \* MERGEFORMAT</w:instrText>
        </w:r>
        <w:r w:rsidR="004D7C3E">
          <w:fldChar w:fldCharType="separate"/>
        </w:r>
        <w:r w:rsidRPr="00E87CA6">
          <w:rPr>
            <w:noProof/>
            <w:lang w:val="zh-CN"/>
          </w:rPr>
          <w:t>47</w:t>
        </w:r>
        <w:r w:rsidR="004D7C3E">
          <w:fldChar w:fldCharType="end"/>
        </w:r>
      </w:sdtContent>
    </w:sdt>
  </w:p>
  <w:p w14:paraId="4FA918F1" w14:textId="77777777" w:rsidR="004D7C3E" w:rsidRDefault="004D7C3E">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43C19F" w14:textId="5FE53696" w:rsidR="004D7C3E" w:rsidRDefault="004D7C3E">
    <w:pPr>
      <w:pStyle w:val="a9"/>
      <w:jc w:val="center"/>
    </w:pPr>
  </w:p>
  <w:p w14:paraId="0567C489" w14:textId="77777777" w:rsidR="004D7C3E" w:rsidRDefault="004D7C3E">
    <w:pPr>
      <w:pStyle w:val="a9"/>
      <w:jc w:val="center"/>
      <w:rPr>
        <w:rFonts w:ascii="宋体" w:hAnsi="宋体"/>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1715001"/>
      <w:docPartObj>
        <w:docPartGallery w:val="Page Numbers (Bottom of Page)"/>
        <w:docPartUnique/>
      </w:docPartObj>
    </w:sdtPr>
    <w:sdtEndPr/>
    <w:sdtContent>
      <w:p w14:paraId="601AC4F2" w14:textId="3B96B8CF" w:rsidR="00ED5B09" w:rsidRDefault="00ED5B09">
        <w:pPr>
          <w:pStyle w:val="a9"/>
          <w:jc w:val="center"/>
        </w:pPr>
        <w:r>
          <w:fldChar w:fldCharType="begin"/>
        </w:r>
        <w:r>
          <w:instrText>PAGE   \* MERGEFORMAT</w:instrText>
        </w:r>
        <w:r>
          <w:fldChar w:fldCharType="separate"/>
        </w:r>
        <w:r w:rsidR="00E87CA6" w:rsidRPr="00E87CA6">
          <w:rPr>
            <w:noProof/>
            <w:lang w:val="zh-CN"/>
          </w:rPr>
          <w:t>48</w:t>
        </w:r>
        <w:r>
          <w:fldChar w:fldCharType="end"/>
        </w:r>
      </w:p>
    </w:sdtContent>
  </w:sdt>
  <w:p w14:paraId="5A1B90B8" w14:textId="0EA4B75B" w:rsidR="004D7C3E" w:rsidRDefault="004D7C3E" w:rsidP="00AB6150">
    <w:pPr>
      <w:pStyle w:val="a9"/>
      <w:tabs>
        <w:tab w:val="clear" w:pos="4153"/>
        <w:tab w:val="clear" w:pos="8306"/>
        <w:tab w:val="center" w:pos="4156"/>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0E9A62" w14:textId="77777777" w:rsidR="00336A2B" w:rsidRDefault="00336A2B" w:rsidP="002F3785">
      <w:r>
        <w:separator/>
      </w:r>
    </w:p>
  </w:footnote>
  <w:footnote w:type="continuationSeparator" w:id="0">
    <w:p w14:paraId="5D978478" w14:textId="77777777" w:rsidR="00336A2B" w:rsidRDefault="00336A2B" w:rsidP="002F37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9F0176" w14:textId="77777777" w:rsidR="004D7C3E" w:rsidRDefault="004D7C3E">
    <w:pPr>
      <w:pStyle w:val="a7"/>
      <w:pBdr>
        <w:bottom w:val="none" w:sz="0" w:space="1" w:color="auto"/>
      </w:pBdr>
      <w:tabs>
        <w:tab w:val="clear" w:pos="8306"/>
        <w:tab w:val="right" w:pos="8312"/>
      </w:tabs>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F282E6" w14:textId="77777777" w:rsidR="004D7C3E" w:rsidRDefault="004D7C3E">
    <w:pPr>
      <w:pStyle w:val="a7"/>
      <w:pBdr>
        <w:bottom w:val="none" w:sz="0" w:space="1" w:color="auto"/>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2A9278" w14:textId="2E930F62" w:rsidR="004D7C3E" w:rsidRDefault="004D7C3E" w:rsidP="00557B70">
    <w:pPr>
      <w:pStyle w:val="a7"/>
    </w:pPr>
    <w:r>
      <w:rPr>
        <w:rFonts w:hint="eastAsia"/>
      </w:rPr>
      <w:t>富荣富兴纯债</w:t>
    </w:r>
    <w:r>
      <w:t>债券型</w:t>
    </w:r>
    <w:r>
      <w:rPr>
        <w:rFonts w:hint="eastAsia"/>
      </w:rPr>
      <w:t>证券投资基金</w:t>
    </w:r>
    <w:r>
      <w:rPr>
        <w:rFonts w:hint="eastAsia"/>
      </w:rPr>
      <w:t xml:space="preserve">               </w:t>
    </w:r>
    <w:r>
      <w:t xml:space="preserve">              </w:t>
    </w:r>
    <w:r w:rsidR="003525E8">
      <w:t xml:space="preserve">                      </w:t>
    </w:r>
    <w:r>
      <w:t xml:space="preserve">  </w:t>
    </w:r>
    <w:r w:rsidR="003525E8">
      <w:rPr>
        <w:rFonts w:hint="eastAsia"/>
      </w:rPr>
      <w:t>托管协议</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DF2860" w14:textId="77777777" w:rsidR="004D7C3E" w:rsidRDefault="004D7C3E">
    <w:pPr>
      <w:pStyle w:val="a7"/>
      <w:pBdr>
        <w:bottom w:val="none" w:sz="0" w:space="1" w:color="auto"/>
      </w:pBdr>
      <w:jc w:val="both"/>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A894DB" w14:textId="77777777" w:rsidR="004D7C3E" w:rsidRDefault="004D7C3E" w:rsidP="004F45E2">
    <w:pPr>
      <w:pStyle w:val="a7"/>
    </w:pPr>
    <w:r>
      <w:rPr>
        <w:rFonts w:hint="eastAsia"/>
      </w:rPr>
      <w:t>富荣富兴纯债</w:t>
    </w:r>
    <w:r>
      <w:t>债券型</w:t>
    </w:r>
    <w:r>
      <w:rPr>
        <w:rFonts w:hint="eastAsia"/>
      </w:rPr>
      <w:t>证券投资基金</w:t>
    </w:r>
    <w:r>
      <w:rPr>
        <w:rFonts w:hint="eastAsia"/>
      </w:rPr>
      <w:t xml:space="preserve">               </w:t>
    </w:r>
    <w:r>
      <w:t xml:space="preserve">                </w:t>
    </w:r>
    <w:r>
      <w:rPr>
        <w:rFonts w:hint="eastAsia"/>
      </w:rPr>
      <w:t xml:space="preserve"> </w:t>
    </w:r>
    <w:r>
      <w:rPr>
        <w:rFonts w:hint="eastAsia"/>
      </w:rPr>
      <w:t>募集申请材料－托管协议（草案）</w:t>
    </w:r>
  </w:p>
  <w:p w14:paraId="7E700A0B" w14:textId="77777777" w:rsidR="004D7C3E" w:rsidRPr="004F45E2" w:rsidRDefault="004D7C3E">
    <w:pPr>
      <w:pStyle w:val="a7"/>
      <w:pBdr>
        <w:bottom w:val="none" w:sz="0" w:space="1" w:color="auto"/>
      </w:pBdr>
      <w:tabs>
        <w:tab w:val="clear" w:pos="8306"/>
        <w:tab w:val="right" w:pos="8312"/>
      </w:tabs>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36996B" w14:textId="543427DF" w:rsidR="004D7C3E" w:rsidRDefault="004D7C3E" w:rsidP="004F45E2">
    <w:pPr>
      <w:pStyle w:val="a7"/>
    </w:pPr>
    <w:r>
      <w:rPr>
        <w:rFonts w:hint="eastAsia"/>
      </w:rPr>
      <w:t>富荣富兴纯债</w:t>
    </w:r>
    <w:r>
      <w:t>债券型</w:t>
    </w:r>
    <w:r>
      <w:rPr>
        <w:rFonts w:hint="eastAsia"/>
      </w:rPr>
      <w:t>证券投资基金</w:t>
    </w:r>
    <w:r>
      <w:rPr>
        <w:rFonts w:hint="eastAsia"/>
      </w:rPr>
      <w:t xml:space="preserve">               </w:t>
    </w:r>
    <w:r w:rsidR="003525E8">
      <w:t xml:space="preserve">                           </w:t>
    </w:r>
    <w:r>
      <w:t xml:space="preserve">          </w:t>
    </w:r>
    <w:r>
      <w:rPr>
        <w:rFonts w:hint="eastAsia"/>
      </w:rPr>
      <w:t>托管协议</w:t>
    </w:r>
    <w:r w:rsidR="003525E8">
      <w:rPr>
        <w:rFonts w:hint="eastAsia"/>
      </w:rPr>
      <w:t xml:space="preserve"> </w:t>
    </w:r>
  </w:p>
  <w:p w14:paraId="39E40871" w14:textId="77777777" w:rsidR="004D7C3E" w:rsidRPr="004F45E2" w:rsidRDefault="004D7C3E">
    <w:pPr>
      <w:pStyle w:val="a7"/>
      <w:pBdr>
        <w:bottom w:val="none" w:sz="0" w:space="1" w:color="auto"/>
      </w:pBdr>
      <w:jc w:val="both"/>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F6933B" w14:textId="77777777" w:rsidR="004D7C3E" w:rsidRDefault="004D7C3E" w:rsidP="004F45E2">
    <w:pPr>
      <w:pStyle w:val="a7"/>
    </w:pPr>
    <w:r>
      <w:rPr>
        <w:rFonts w:hint="eastAsia"/>
      </w:rPr>
      <w:t>富荣富兴纯债</w:t>
    </w:r>
    <w:r>
      <w:t>债券型</w:t>
    </w:r>
    <w:r>
      <w:rPr>
        <w:rFonts w:hint="eastAsia"/>
      </w:rPr>
      <w:t>证券投资基金</w:t>
    </w:r>
    <w:r>
      <w:rPr>
        <w:rFonts w:hint="eastAsia"/>
      </w:rPr>
      <w:t xml:space="preserve">               </w:t>
    </w:r>
    <w:r>
      <w:t xml:space="preserve">                </w:t>
    </w:r>
    <w:r>
      <w:rPr>
        <w:rFonts w:hint="eastAsia"/>
      </w:rPr>
      <w:t xml:space="preserve"> </w:t>
    </w:r>
    <w:r>
      <w:rPr>
        <w:rFonts w:hint="eastAsia"/>
      </w:rPr>
      <w:t>募集申请材料－托管协议（草案）</w:t>
    </w:r>
  </w:p>
  <w:p w14:paraId="737B17F8" w14:textId="77777777" w:rsidR="004D7C3E" w:rsidRPr="004F45E2" w:rsidRDefault="004D7C3E">
    <w:pPr>
      <w:pStyle w:val="a7"/>
      <w:pBdr>
        <w:bottom w:val="none" w:sz="0" w:space="1" w:color="auto"/>
      </w:pBdr>
      <w:tabs>
        <w:tab w:val="clear" w:pos="8306"/>
        <w:tab w:val="right" w:pos="8312"/>
      </w:tabs>
      <w:jc w:val="lef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160216" w14:textId="3FFF5EB3" w:rsidR="004D7C3E" w:rsidRPr="003525E8" w:rsidRDefault="003525E8" w:rsidP="003525E8">
    <w:pPr>
      <w:pStyle w:val="a7"/>
    </w:pPr>
    <w:r>
      <w:rPr>
        <w:rFonts w:hint="eastAsia"/>
      </w:rPr>
      <w:t>富荣富兴纯债</w:t>
    </w:r>
    <w:r>
      <w:t>债券型</w:t>
    </w:r>
    <w:r>
      <w:rPr>
        <w:rFonts w:hint="eastAsia"/>
      </w:rPr>
      <w:t>证券投资基金</w:t>
    </w:r>
    <w:r>
      <w:rPr>
        <w:rFonts w:hint="eastAsia"/>
      </w:rPr>
      <w:t xml:space="preserve">               </w:t>
    </w:r>
    <w:r>
      <w:t xml:space="preserve">                                       </w:t>
    </w:r>
    <w:r>
      <w:rPr>
        <w:rFonts w:hint="eastAsia"/>
      </w:rPr>
      <w:t>托管协议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5440FB"/>
    <w:multiLevelType w:val="hybridMultilevel"/>
    <w:tmpl w:val="F718D6EC"/>
    <w:lvl w:ilvl="0" w:tplc="436E33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revisionView w:markup="0"/>
  <w:defaultTabStop w:val="420"/>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153"/>
    <w:rsid w:val="000175A1"/>
    <w:rsid w:val="000610AA"/>
    <w:rsid w:val="000F3002"/>
    <w:rsid w:val="00133EFC"/>
    <w:rsid w:val="00220717"/>
    <w:rsid w:val="00277467"/>
    <w:rsid w:val="00294BCC"/>
    <w:rsid w:val="002E6011"/>
    <w:rsid w:val="002F3785"/>
    <w:rsid w:val="00314265"/>
    <w:rsid w:val="00336A2B"/>
    <w:rsid w:val="003525E8"/>
    <w:rsid w:val="00395F34"/>
    <w:rsid w:val="00414CCB"/>
    <w:rsid w:val="0042793A"/>
    <w:rsid w:val="004554E1"/>
    <w:rsid w:val="00492BF7"/>
    <w:rsid w:val="004A36F0"/>
    <w:rsid w:val="004D7C3E"/>
    <w:rsid w:val="004E721C"/>
    <w:rsid w:val="004E7B55"/>
    <w:rsid w:val="004F45E2"/>
    <w:rsid w:val="00537C0F"/>
    <w:rsid w:val="00557B70"/>
    <w:rsid w:val="00583939"/>
    <w:rsid w:val="00583E23"/>
    <w:rsid w:val="005B2F02"/>
    <w:rsid w:val="005F3FB3"/>
    <w:rsid w:val="0061178D"/>
    <w:rsid w:val="00637B20"/>
    <w:rsid w:val="0065526A"/>
    <w:rsid w:val="00695199"/>
    <w:rsid w:val="006A0F38"/>
    <w:rsid w:val="006B0660"/>
    <w:rsid w:val="007300EE"/>
    <w:rsid w:val="007823D8"/>
    <w:rsid w:val="00791709"/>
    <w:rsid w:val="007A7A77"/>
    <w:rsid w:val="007D44DF"/>
    <w:rsid w:val="007D5FD4"/>
    <w:rsid w:val="007E5342"/>
    <w:rsid w:val="007F0168"/>
    <w:rsid w:val="00801652"/>
    <w:rsid w:val="0081624D"/>
    <w:rsid w:val="00832A1C"/>
    <w:rsid w:val="00844AC1"/>
    <w:rsid w:val="008C07DB"/>
    <w:rsid w:val="008E0DC1"/>
    <w:rsid w:val="00904195"/>
    <w:rsid w:val="009145F9"/>
    <w:rsid w:val="00942A5A"/>
    <w:rsid w:val="009431D7"/>
    <w:rsid w:val="009D22CB"/>
    <w:rsid w:val="00A03D93"/>
    <w:rsid w:val="00A373B5"/>
    <w:rsid w:val="00AB6150"/>
    <w:rsid w:val="00AC25ED"/>
    <w:rsid w:val="00B33153"/>
    <w:rsid w:val="00B4062B"/>
    <w:rsid w:val="00BC5ECC"/>
    <w:rsid w:val="00C51254"/>
    <w:rsid w:val="00C553F2"/>
    <w:rsid w:val="00C92FDC"/>
    <w:rsid w:val="00CA13A5"/>
    <w:rsid w:val="00CA5D6D"/>
    <w:rsid w:val="00CA6880"/>
    <w:rsid w:val="00CB6BE6"/>
    <w:rsid w:val="00CD791D"/>
    <w:rsid w:val="00D03322"/>
    <w:rsid w:val="00D05C9F"/>
    <w:rsid w:val="00D221BE"/>
    <w:rsid w:val="00D35067"/>
    <w:rsid w:val="00D57835"/>
    <w:rsid w:val="00DD02AF"/>
    <w:rsid w:val="00DF69A9"/>
    <w:rsid w:val="00DF7731"/>
    <w:rsid w:val="00E01DDD"/>
    <w:rsid w:val="00E87CA6"/>
    <w:rsid w:val="00ED1DD1"/>
    <w:rsid w:val="00ED5B09"/>
    <w:rsid w:val="00EE672D"/>
    <w:rsid w:val="00EF710A"/>
    <w:rsid w:val="00F35276"/>
    <w:rsid w:val="00F749D3"/>
    <w:rsid w:val="00FC685F"/>
    <w:rsid w:val="00FF50A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B618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qFormat/>
    <w:rsid w:val="00DD02AF"/>
    <w:pPr>
      <w:widowControl w:val="0"/>
      <w:jc w:val="both"/>
    </w:pPr>
  </w:style>
  <w:style w:type="paragraph" w:styleId="1">
    <w:name w:val="heading 1"/>
    <w:basedOn w:val="a"/>
    <w:next w:val="a"/>
    <w:link w:val="1Char"/>
    <w:qFormat/>
    <w:rsid w:val="00B33153"/>
    <w:pPr>
      <w:keepNext/>
      <w:keepLines/>
      <w:spacing w:line="360" w:lineRule="auto"/>
      <w:outlineLvl w:val="0"/>
    </w:pPr>
    <w:rPr>
      <w:rFonts w:ascii="Calibri" w:eastAsia="宋体" w:hAnsi="Calibri" w:cs="Times New Roman"/>
      <w:b/>
      <w:bCs/>
      <w:kern w:val="44"/>
      <w:sz w:val="28"/>
      <w:szCs w:val="44"/>
    </w:rPr>
  </w:style>
  <w:style w:type="paragraph" w:styleId="2">
    <w:name w:val="heading 2"/>
    <w:basedOn w:val="a"/>
    <w:next w:val="a"/>
    <w:link w:val="2Char"/>
    <w:qFormat/>
    <w:rsid w:val="00B33153"/>
    <w:pPr>
      <w:keepNext/>
      <w:keepLines/>
      <w:spacing w:before="260" w:after="260" w:line="416" w:lineRule="auto"/>
      <w:outlineLvl w:val="1"/>
    </w:pPr>
    <w:rPr>
      <w:rFonts w:ascii="Cambria" w:eastAsia="宋体" w:hAnsi="Cambria" w:cs="Times New Roman"/>
      <w:b/>
      <w:bCs/>
      <w:sz w:val="32"/>
      <w:szCs w:val="32"/>
    </w:rPr>
  </w:style>
  <w:style w:type="paragraph" w:styleId="3">
    <w:name w:val="heading 3"/>
    <w:basedOn w:val="a"/>
    <w:next w:val="a"/>
    <w:link w:val="3Char"/>
    <w:qFormat/>
    <w:rsid w:val="00B33153"/>
    <w:pPr>
      <w:keepNext/>
      <w:keepLines/>
      <w:spacing w:before="260" w:after="260" w:line="416" w:lineRule="auto"/>
      <w:outlineLvl w:val="2"/>
    </w:pPr>
    <w:rPr>
      <w:rFonts w:ascii="Calibri" w:eastAsia="宋体" w:hAnsi="Calibri"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B33153"/>
    <w:rPr>
      <w:rFonts w:ascii="Calibri" w:eastAsia="宋体" w:hAnsi="Calibri" w:cs="Times New Roman"/>
      <w:b/>
      <w:bCs/>
      <w:kern w:val="44"/>
      <w:sz w:val="28"/>
      <w:szCs w:val="44"/>
    </w:rPr>
  </w:style>
  <w:style w:type="character" w:customStyle="1" w:styleId="2Char">
    <w:name w:val="标题 2 Char"/>
    <w:basedOn w:val="a0"/>
    <w:link w:val="2"/>
    <w:rsid w:val="00B33153"/>
    <w:rPr>
      <w:rFonts w:ascii="Cambria" w:eastAsia="宋体" w:hAnsi="Cambria" w:cs="Times New Roman"/>
      <w:b/>
      <w:bCs/>
      <w:sz w:val="32"/>
      <w:szCs w:val="32"/>
    </w:rPr>
  </w:style>
  <w:style w:type="character" w:customStyle="1" w:styleId="3Char">
    <w:name w:val="标题 3 Char"/>
    <w:basedOn w:val="a0"/>
    <w:link w:val="3"/>
    <w:rsid w:val="00B33153"/>
    <w:rPr>
      <w:rFonts w:ascii="Calibri" w:eastAsia="宋体" w:hAnsi="Calibri" w:cs="Times New Roman"/>
      <w:b/>
      <w:bCs/>
      <w:sz w:val="32"/>
      <w:szCs w:val="32"/>
    </w:rPr>
  </w:style>
  <w:style w:type="character" w:customStyle="1" w:styleId="Char">
    <w:name w:val="纯文本 Char"/>
    <w:link w:val="a3"/>
    <w:rsid w:val="00B33153"/>
    <w:rPr>
      <w:rFonts w:ascii="宋体" w:hAnsi="Courier New" w:cs="楷体_GB2312"/>
      <w:szCs w:val="21"/>
    </w:rPr>
  </w:style>
  <w:style w:type="character" w:customStyle="1" w:styleId="Char0">
    <w:name w:val="批注框文本 Char"/>
    <w:link w:val="a4"/>
    <w:rsid w:val="00B33153"/>
    <w:rPr>
      <w:rFonts w:ascii="Calibri" w:eastAsia="宋体" w:hAnsi="Calibri"/>
      <w:sz w:val="18"/>
      <w:szCs w:val="18"/>
    </w:rPr>
  </w:style>
  <w:style w:type="character" w:styleId="a5">
    <w:name w:val="FollowedHyperlink"/>
    <w:rsid w:val="00B33153"/>
    <w:rPr>
      <w:color w:val="800080"/>
      <w:u w:val="single"/>
    </w:rPr>
  </w:style>
  <w:style w:type="character" w:styleId="a6">
    <w:name w:val="Hyperlink"/>
    <w:uiPriority w:val="99"/>
    <w:unhideWhenUsed/>
    <w:rsid w:val="00B33153"/>
    <w:rPr>
      <w:color w:val="0000FF"/>
      <w:u w:val="single"/>
    </w:rPr>
  </w:style>
  <w:style w:type="character" w:customStyle="1" w:styleId="Char1">
    <w:name w:val="页眉 Char"/>
    <w:link w:val="a7"/>
    <w:uiPriority w:val="99"/>
    <w:rsid w:val="00B33153"/>
    <w:rPr>
      <w:rFonts w:ascii="Calibri" w:eastAsia="宋体" w:hAnsi="Calibri"/>
      <w:sz w:val="18"/>
      <w:szCs w:val="18"/>
    </w:rPr>
  </w:style>
  <w:style w:type="character" w:customStyle="1" w:styleId="Char2">
    <w:name w:val="批注文字 Char"/>
    <w:rsid w:val="00B33153"/>
    <w:rPr>
      <w:rFonts w:ascii="Calibri" w:eastAsia="宋体" w:hAnsi="Calibri"/>
      <w:kern w:val="2"/>
      <w:sz w:val="21"/>
      <w:szCs w:val="22"/>
      <w:lang w:val="en-US" w:eastAsia="zh-CN" w:bidi="ar-SA"/>
    </w:rPr>
  </w:style>
  <w:style w:type="character" w:styleId="a8">
    <w:name w:val="annotation reference"/>
    <w:uiPriority w:val="99"/>
    <w:unhideWhenUsed/>
    <w:rsid w:val="00B33153"/>
    <w:rPr>
      <w:sz w:val="21"/>
      <w:szCs w:val="21"/>
    </w:rPr>
  </w:style>
  <w:style w:type="character" w:customStyle="1" w:styleId="Char3">
    <w:name w:val="页脚 Char"/>
    <w:link w:val="a9"/>
    <w:uiPriority w:val="99"/>
    <w:rsid w:val="00B33153"/>
    <w:rPr>
      <w:rFonts w:ascii="Calibri" w:eastAsia="宋体" w:hAnsi="Calibri"/>
      <w:sz w:val="18"/>
      <w:szCs w:val="18"/>
    </w:rPr>
  </w:style>
  <w:style w:type="character" w:customStyle="1" w:styleId="Char4">
    <w:name w:val="文档结构图 Char"/>
    <w:link w:val="aa"/>
    <w:rsid w:val="00B33153"/>
    <w:rPr>
      <w:rFonts w:ascii="宋体" w:eastAsia="宋体" w:hAnsi="Calibri"/>
      <w:sz w:val="18"/>
      <w:szCs w:val="18"/>
    </w:rPr>
  </w:style>
  <w:style w:type="character" w:customStyle="1" w:styleId="Char5">
    <w:name w:val="正文文本缩进 Char"/>
    <w:link w:val="ab"/>
    <w:rsid w:val="00B33153"/>
    <w:rPr>
      <w:rFonts w:ascii="Calibri" w:hAnsi="Calibri"/>
    </w:rPr>
  </w:style>
  <w:style w:type="character" w:customStyle="1" w:styleId="Char6">
    <w:name w:val="批注主题 Char"/>
    <w:link w:val="ac"/>
    <w:rsid w:val="00B33153"/>
    <w:rPr>
      <w:rFonts w:ascii="Calibri" w:eastAsia="宋体" w:hAnsi="Calibri"/>
      <w:b/>
      <w:bCs/>
    </w:rPr>
  </w:style>
  <w:style w:type="paragraph" w:styleId="ad">
    <w:name w:val="annotation text"/>
    <w:basedOn w:val="a"/>
    <w:link w:val="Char10"/>
    <w:unhideWhenUsed/>
    <w:rsid w:val="00B33153"/>
    <w:pPr>
      <w:jc w:val="left"/>
    </w:pPr>
  </w:style>
  <w:style w:type="character" w:customStyle="1" w:styleId="Char10">
    <w:name w:val="批注文字 Char1"/>
    <w:basedOn w:val="a0"/>
    <w:link w:val="ad"/>
    <w:uiPriority w:val="99"/>
    <w:semiHidden/>
    <w:rsid w:val="00B33153"/>
  </w:style>
  <w:style w:type="paragraph" w:styleId="ac">
    <w:name w:val="annotation subject"/>
    <w:basedOn w:val="ad"/>
    <w:next w:val="ad"/>
    <w:link w:val="Char6"/>
    <w:unhideWhenUsed/>
    <w:rsid w:val="00B33153"/>
    <w:rPr>
      <w:rFonts w:ascii="Calibri" w:eastAsia="宋体" w:hAnsi="Calibri"/>
      <w:b/>
      <w:bCs/>
    </w:rPr>
  </w:style>
  <w:style w:type="character" w:customStyle="1" w:styleId="Char11">
    <w:name w:val="批注主题 Char1"/>
    <w:basedOn w:val="Char10"/>
    <w:uiPriority w:val="99"/>
    <w:semiHidden/>
    <w:rsid w:val="00B33153"/>
    <w:rPr>
      <w:b/>
      <w:bCs/>
    </w:rPr>
  </w:style>
  <w:style w:type="paragraph" w:styleId="TOC">
    <w:name w:val="TOC Heading"/>
    <w:basedOn w:val="1"/>
    <w:next w:val="a"/>
    <w:qFormat/>
    <w:rsid w:val="00B33153"/>
    <w:pPr>
      <w:widowControl/>
      <w:spacing w:before="480" w:line="276" w:lineRule="auto"/>
      <w:jc w:val="left"/>
      <w:outlineLvl w:val="9"/>
    </w:pPr>
    <w:rPr>
      <w:rFonts w:ascii="Cambria" w:hAnsi="Cambria"/>
      <w:color w:val="365F91"/>
      <w:kern w:val="0"/>
      <w:szCs w:val="28"/>
    </w:rPr>
  </w:style>
  <w:style w:type="paragraph" w:styleId="a3">
    <w:name w:val="Plain Text"/>
    <w:basedOn w:val="a"/>
    <w:link w:val="Char"/>
    <w:rsid w:val="00B33153"/>
    <w:rPr>
      <w:rFonts w:ascii="宋体" w:hAnsi="Courier New" w:cs="楷体_GB2312"/>
      <w:szCs w:val="21"/>
    </w:rPr>
  </w:style>
  <w:style w:type="character" w:customStyle="1" w:styleId="Char12">
    <w:name w:val="纯文本 Char1"/>
    <w:basedOn w:val="a0"/>
    <w:uiPriority w:val="99"/>
    <w:semiHidden/>
    <w:rsid w:val="00B33153"/>
    <w:rPr>
      <w:rFonts w:ascii="宋体" w:eastAsia="宋体" w:hAnsi="Courier New" w:cs="Courier New"/>
      <w:szCs w:val="21"/>
    </w:rPr>
  </w:style>
  <w:style w:type="paragraph" w:styleId="a9">
    <w:name w:val="footer"/>
    <w:basedOn w:val="a"/>
    <w:link w:val="Char3"/>
    <w:uiPriority w:val="99"/>
    <w:unhideWhenUsed/>
    <w:rsid w:val="00B33153"/>
    <w:pPr>
      <w:tabs>
        <w:tab w:val="center" w:pos="4153"/>
        <w:tab w:val="right" w:pos="8306"/>
      </w:tabs>
      <w:snapToGrid w:val="0"/>
      <w:jc w:val="left"/>
    </w:pPr>
    <w:rPr>
      <w:rFonts w:ascii="Calibri" w:eastAsia="宋体" w:hAnsi="Calibri"/>
      <w:sz w:val="18"/>
      <w:szCs w:val="18"/>
    </w:rPr>
  </w:style>
  <w:style w:type="character" w:customStyle="1" w:styleId="Char13">
    <w:name w:val="页脚 Char1"/>
    <w:basedOn w:val="a0"/>
    <w:uiPriority w:val="99"/>
    <w:semiHidden/>
    <w:rsid w:val="00B33153"/>
    <w:rPr>
      <w:sz w:val="18"/>
      <w:szCs w:val="18"/>
    </w:rPr>
  </w:style>
  <w:style w:type="paragraph" w:styleId="ab">
    <w:name w:val="Body Text Indent"/>
    <w:basedOn w:val="a"/>
    <w:link w:val="Char5"/>
    <w:rsid w:val="00B33153"/>
    <w:pPr>
      <w:spacing w:after="120"/>
      <w:ind w:leftChars="200" w:left="420"/>
    </w:pPr>
    <w:rPr>
      <w:rFonts w:ascii="Calibri" w:hAnsi="Calibri"/>
    </w:rPr>
  </w:style>
  <w:style w:type="character" w:customStyle="1" w:styleId="Char14">
    <w:name w:val="正文文本缩进 Char1"/>
    <w:basedOn w:val="a0"/>
    <w:uiPriority w:val="99"/>
    <w:semiHidden/>
    <w:rsid w:val="00B33153"/>
  </w:style>
  <w:style w:type="paragraph" w:styleId="a7">
    <w:name w:val="header"/>
    <w:basedOn w:val="a"/>
    <w:link w:val="Char1"/>
    <w:uiPriority w:val="99"/>
    <w:unhideWhenUsed/>
    <w:rsid w:val="00B33153"/>
    <w:pPr>
      <w:pBdr>
        <w:bottom w:val="single" w:sz="6" w:space="1" w:color="auto"/>
      </w:pBdr>
      <w:tabs>
        <w:tab w:val="center" w:pos="4153"/>
        <w:tab w:val="right" w:pos="8306"/>
      </w:tabs>
      <w:snapToGrid w:val="0"/>
      <w:jc w:val="center"/>
    </w:pPr>
    <w:rPr>
      <w:rFonts w:ascii="Calibri" w:eastAsia="宋体" w:hAnsi="Calibri"/>
      <w:sz w:val="18"/>
      <w:szCs w:val="18"/>
    </w:rPr>
  </w:style>
  <w:style w:type="character" w:customStyle="1" w:styleId="Char15">
    <w:name w:val="页眉 Char1"/>
    <w:basedOn w:val="a0"/>
    <w:uiPriority w:val="99"/>
    <w:semiHidden/>
    <w:rsid w:val="00B33153"/>
    <w:rPr>
      <w:sz w:val="18"/>
      <w:szCs w:val="18"/>
    </w:rPr>
  </w:style>
  <w:style w:type="paragraph" w:styleId="a4">
    <w:name w:val="Balloon Text"/>
    <w:basedOn w:val="a"/>
    <w:link w:val="Char0"/>
    <w:unhideWhenUsed/>
    <w:rsid w:val="00B33153"/>
    <w:rPr>
      <w:rFonts w:ascii="Calibri" w:eastAsia="宋体" w:hAnsi="Calibri"/>
      <w:sz w:val="18"/>
      <w:szCs w:val="18"/>
    </w:rPr>
  </w:style>
  <w:style w:type="character" w:customStyle="1" w:styleId="Char16">
    <w:name w:val="批注框文本 Char1"/>
    <w:basedOn w:val="a0"/>
    <w:uiPriority w:val="99"/>
    <w:semiHidden/>
    <w:rsid w:val="00B33153"/>
    <w:rPr>
      <w:sz w:val="18"/>
      <w:szCs w:val="18"/>
    </w:rPr>
  </w:style>
  <w:style w:type="paragraph" w:styleId="aa">
    <w:name w:val="Document Map"/>
    <w:basedOn w:val="a"/>
    <w:link w:val="Char4"/>
    <w:unhideWhenUsed/>
    <w:rsid w:val="00B33153"/>
    <w:rPr>
      <w:rFonts w:ascii="宋体" w:eastAsia="宋体" w:hAnsi="Calibri"/>
      <w:sz w:val="18"/>
      <w:szCs w:val="18"/>
    </w:rPr>
  </w:style>
  <w:style w:type="character" w:customStyle="1" w:styleId="Char17">
    <w:name w:val="文档结构图 Char1"/>
    <w:basedOn w:val="a0"/>
    <w:uiPriority w:val="99"/>
    <w:semiHidden/>
    <w:rsid w:val="00B33153"/>
    <w:rPr>
      <w:rFonts w:ascii="宋体" w:eastAsia="宋体"/>
      <w:sz w:val="18"/>
      <w:szCs w:val="18"/>
    </w:rPr>
  </w:style>
  <w:style w:type="paragraph" w:styleId="10">
    <w:name w:val="toc 1"/>
    <w:basedOn w:val="a"/>
    <w:next w:val="a"/>
    <w:uiPriority w:val="39"/>
    <w:unhideWhenUsed/>
    <w:qFormat/>
    <w:rsid w:val="00B33153"/>
    <w:pPr>
      <w:widowControl/>
      <w:spacing w:after="100" w:line="276" w:lineRule="auto"/>
      <w:jc w:val="left"/>
    </w:pPr>
    <w:rPr>
      <w:rFonts w:ascii="Calibri" w:eastAsia="宋体" w:hAnsi="Calibri" w:cs="Times New Roman"/>
      <w:kern w:val="0"/>
      <w:sz w:val="22"/>
    </w:rPr>
  </w:style>
  <w:style w:type="paragraph" w:styleId="30">
    <w:name w:val="Body Text Indent 3"/>
    <w:basedOn w:val="a"/>
    <w:link w:val="3Char0"/>
    <w:rsid w:val="00B33153"/>
    <w:pPr>
      <w:spacing w:after="120"/>
      <w:ind w:leftChars="200" w:left="420"/>
    </w:pPr>
    <w:rPr>
      <w:rFonts w:ascii="Times New Roman" w:eastAsia="宋体" w:hAnsi="Times New Roman" w:cs="Times New Roman"/>
      <w:sz w:val="16"/>
      <w:szCs w:val="16"/>
    </w:rPr>
  </w:style>
  <w:style w:type="character" w:customStyle="1" w:styleId="3Char0">
    <w:name w:val="正文文本缩进 3 Char"/>
    <w:basedOn w:val="a0"/>
    <w:link w:val="30"/>
    <w:rsid w:val="00B33153"/>
    <w:rPr>
      <w:rFonts w:ascii="Times New Roman" w:eastAsia="宋体" w:hAnsi="Times New Roman" w:cs="Times New Roman"/>
      <w:sz w:val="16"/>
      <w:szCs w:val="16"/>
    </w:rPr>
  </w:style>
  <w:style w:type="paragraph" w:customStyle="1" w:styleId="Web">
    <w:name w:val="普通 (Web)"/>
    <w:basedOn w:val="a"/>
    <w:rsid w:val="00B33153"/>
    <w:pPr>
      <w:widowControl/>
      <w:spacing w:before="100" w:beforeAutospacing="1" w:after="100" w:afterAutospacing="1"/>
      <w:jc w:val="left"/>
    </w:pPr>
    <w:rPr>
      <w:rFonts w:ascii="宋体" w:eastAsia="宋体" w:hAnsi="宋体" w:cs="Times New Roman"/>
      <w:kern w:val="0"/>
      <w:sz w:val="24"/>
      <w:szCs w:val="24"/>
    </w:rPr>
  </w:style>
  <w:style w:type="paragraph" w:styleId="ae">
    <w:name w:val="List Paragraph"/>
    <w:basedOn w:val="a"/>
    <w:uiPriority w:val="34"/>
    <w:qFormat/>
    <w:rsid w:val="00B33153"/>
    <w:pPr>
      <w:ind w:firstLineChars="200" w:firstLine="420"/>
    </w:pPr>
    <w:rPr>
      <w:rFonts w:ascii="Times New Roman" w:eastAsia="宋体" w:hAnsi="Times New Roman" w:cs="Times New Roman"/>
      <w:szCs w:val="24"/>
    </w:rPr>
  </w:style>
  <w:style w:type="paragraph" w:customStyle="1" w:styleId="20">
    <w:name w:val="！正文缩进2字符"/>
    <w:basedOn w:val="a"/>
    <w:uiPriority w:val="99"/>
    <w:rsid w:val="00B33153"/>
    <w:pPr>
      <w:widowControl/>
      <w:spacing w:line="360" w:lineRule="auto"/>
      <w:ind w:firstLineChars="200" w:firstLine="200"/>
    </w:pPr>
    <w:rPr>
      <w:rFonts w:ascii="Times New Roman" w:eastAsia="宋体" w:hAnsi="Times New Roman" w:cs="Times New Roman"/>
      <w:sz w:val="24"/>
      <w:szCs w:val="24"/>
    </w:rPr>
  </w:style>
  <w:style w:type="paragraph" w:customStyle="1" w:styleId="Default">
    <w:name w:val="Default"/>
    <w:rsid w:val="00B33153"/>
    <w:pPr>
      <w:widowControl w:val="0"/>
      <w:autoSpaceDE w:val="0"/>
      <w:autoSpaceDN w:val="0"/>
      <w:adjustRightInd w:val="0"/>
    </w:pPr>
    <w:rPr>
      <w:rFonts w:ascii="仿宋" w:eastAsia="宋体" w:hAnsi="仿宋" w:cs="仿宋"/>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qFormat/>
    <w:rsid w:val="00DD02AF"/>
    <w:pPr>
      <w:widowControl w:val="0"/>
      <w:jc w:val="both"/>
    </w:pPr>
  </w:style>
  <w:style w:type="paragraph" w:styleId="1">
    <w:name w:val="heading 1"/>
    <w:basedOn w:val="a"/>
    <w:next w:val="a"/>
    <w:link w:val="1Char"/>
    <w:qFormat/>
    <w:rsid w:val="00B33153"/>
    <w:pPr>
      <w:keepNext/>
      <w:keepLines/>
      <w:spacing w:line="360" w:lineRule="auto"/>
      <w:outlineLvl w:val="0"/>
    </w:pPr>
    <w:rPr>
      <w:rFonts w:ascii="Calibri" w:eastAsia="宋体" w:hAnsi="Calibri" w:cs="Times New Roman"/>
      <w:b/>
      <w:bCs/>
      <w:kern w:val="44"/>
      <w:sz w:val="28"/>
      <w:szCs w:val="44"/>
    </w:rPr>
  </w:style>
  <w:style w:type="paragraph" w:styleId="2">
    <w:name w:val="heading 2"/>
    <w:basedOn w:val="a"/>
    <w:next w:val="a"/>
    <w:link w:val="2Char"/>
    <w:qFormat/>
    <w:rsid w:val="00B33153"/>
    <w:pPr>
      <w:keepNext/>
      <w:keepLines/>
      <w:spacing w:before="260" w:after="260" w:line="416" w:lineRule="auto"/>
      <w:outlineLvl w:val="1"/>
    </w:pPr>
    <w:rPr>
      <w:rFonts w:ascii="Cambria" w:eastAsia="宋体" w:hAnsi="Cambria" w:cs="Times New Roman"/>
      <w:b/>
      <w:bCs/>
      <w:sz w:val="32"/>
      <w:szCs w:val="32"/>
    </w:rPr>
  </w:style>
  <w:style w:type="paragraph" w:styleId="3">
    <w:name w:val="heading 3"/>
    <w:basedOn w:val="a"/>
    <w:next w:val="a"/>
    <w:link w:val="3Char"/>
    <w:qFormat/>
    <w:rsid w:val="00B33153"/>
    <w:pPr>
      <w:keepNext/>
      <w:keepLines/>
      <w:spacing w:before="260" w:after="260" w:line="416" w:lineRule="auto"/>
      <w:outlineLvl w:val="2"/>
    </w:pPr>
    <w:rPr>
      <w:rFonts w:ascii="Calibri" w:eastAsia="宋体" w:hAnsi="Calibri"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B33153"/>
    <w:rPr>
      <w:rFonts w:ascii="Calibri" w:eastAsia="宋体" w:hAnsi="Calibri" w:cs="Times New Roman"/>
      <w:b/>
      <w:bCs/>
      <w:kern w:val="44"/>
      <w:sz w:val="28"/>
      <w:szCs w:val="44"/>
    </w:rPr>
  </w:style>
  <w:style w:type="character" w:customStyle="1" w:styleId="2Char">
    <w:name w:val="标题 2 Char"/>
    <w:basedOn w:val="a0"/>
    <w:link w:val="2"/>
    <w:rsid w:val="00B33153"/>
    <w:rPr>
      <w:rFonts w:ascii="Cambria" w:eastAsia="宋体" w:hAnsi="Cambria" w:cs="Times New Roman"/>
      <w:b/>
      <w:bCs/>
      <w:sz w:val="32"/>
      <w:szCs w:val="32"/>
    </w:rPr>
  </w:style>
  <w:style w:type="character" w:customStyle="1" w:styleId="3Char">
    <w:name w:val="标题 3 Char"/>
    <w:basedOn w:val="a0"/>
    <w:link w:val="3"/>
    <w:rsid w:val="00B33153"/>
    <w:rPr>
      <w:rFonts w:ascii="Calibri" w:eastAsia="宋体" w:hAnsi="Calibri" w:cs="Times New Roman"/>
      <w:b/>
      <w:bCs/>
      <w:sz w:val="32"/>
      <w:szCs w:val="32"/>
    </w:rPr>
  </w:style>
  <w:style w:type="character" w:customStyle="1" w:styleId="Char">
    <w:name w:val="纯文本 Char"/>
    <w:link w:val="a3"/>
    <w:rsid w:val="00B33153"/>
    <w:rPr>
      <w:rFonts w:ascii="宋体" w:hAnsi="Courier New" w:cs="楷体_GB2312"/>
      <w:szCs w:val="21"/>
    </w:rPr>
  </w:style>
  <w:style w:type="character" w:customStyle="1" w:styleId="Char0">
    <w:name w:val="批注框文本 Char"/>
    <w:link w:val="a4"/>
    <w:rsid w:val="00B33153"/>
    <w:rPr>
      <w:rFonts w:ascii="Calibri" w:eastAsia="宋体" w:hAnsi="Calibri"/>
      <w:sz w:val="18"/>
      <w:szCs w:val="18"/>
    </w:rPr>
  </w:style>
  <w:style w:type="character" w:styleId="a5">
    <w:name w:val="FollowedHyperlink"/>
    <w:rsid w:val="00B33153"/>
    <w:rPr>
      <w:color w:val="800080"/>
      <w:u w:val="single"/>
    </w:rPr>
  </w:style>
  <w:style w:type="character" w:styleId="a6">
    <w:name w:val="Hyperlink"/>
    <w:uiPriority w:val="99"/>
    <w:unhideWhenUsed/>
    <w:rsid w:val="00B33153"/>
    <w:rPr>
      <w:color w:val="0000FF"/>
      <w:u w:val="single"/>
    </w:rPr>
  </w:style>
  <w:style w:type="character" w:customStyle="1" w:styleId="Char1">
    <w:name w:val="页眉 Char"/>
    <w:link w:val="a7"/>
    <w:uiPriority w:val="99"/>
    <w:rsid w:val="00B33153"/>
    <w:rPr>
      <w:rFonts w:ascii="Calibri" w:eastAsia="宋体" w:hAnsi="Calibri"/>
      <w:sz w:val="18"/>
      <w:szCs w:val="18"/>
    </w:rPr>
  </w:style>
  <w:style w:type="character" w:customStyle="1" w:styleId="Char2">
    <w:name w:val="批注文字 Char"/>
    <w:rsid w:val="00B33153"/>
    <w:rPr>
      <w:rFonts w:ascii="Calibri" w:eastAsia="宋体" w:hAnsi="Calibri"/>
      <w:kern w:val="2"/>
      <w:sz w:val="21"/>
      <w:szCs w:val="22"/>
      <w:lang w:val="en-US" w:eastAsia="zh-CN" w:bidi="ar-SA"/>
    </w:rPr>
  </w:style>
  <w:style w:type="character" w:styleId="a8">
    <w:name w:val="annotation reference"/>
    <w:uiPriority w:val="99"/>
    <w:unhideWhenUsed/>
    <w:rsid w:val="00B33153"/>
    <w:rPr>
      <w:sz w:val="21"/>
      <w:szCs w:val="21"/>
    </w:rPr>
  </w:style>
  <w:style w:type="character" w:customStyle="1" w:styleId="Char3">
    <w:name w:val="页脚 Char"/>
    <w:link w:val="a9"/>
    <w:uiPriority w:val="99"/>
    <w:rsid w:val="00B33153"/>
    <w:rPr>
      <w:rFonts w:ascii="Calibri" w:eastAsia="宋体" w:hAnsi="Calibri"/>
      <w:sz w:val="18"/>
      <w:szCs w:val="18"/>
    </w:rPr>
  </w:style>
  <w:style w:type="character" w:customStyle="1" w:styleId="Char4">
    <w:name w:val="文档结构图 Char"/>
    <w:link w:val="aa"/>
    <w:rsid w:val="00B33153"/>
    <w:rPr>
      <w:rFonts w:ascii="宋体" w:eastAsia="宋体" w:hAnsi="Calibri"/>
      <w:sz w:val="18"/>
      <w:szCs w:val="18"/>
    </w:rPr>
  </w:style>
  <w:style w:type="character" w:customStyle="1" w:styleId="Char5">
    <w:name w:val="正文文本缩进 Char"/>
    <w:link w:val="ab"/>
    <w:rsid w:val="00B33153"/>
    <w:rPr>
      <w:rFonts w:ascii="Calibri" w:hAnsi="Calibri"/>
    </w:rPr>
  </w:style>
  <w:style w:type="character" w:customStyle="1" w:styleId="Char6">
    <w:name w:val="批注主题 Char"/>
    <w:link w:val="ac"/>
    <w:rsid w:val="00B33153"/>
    <w:rPr>
      <w:rFonts w:ascii="Calibri" w:eastAsia="宋体" w:hAnsi="Calibri"/>
      <w:b/>
      <w:bCs/>
    </w:rPr>
  </w:style>
  <w:style w:type="paragraph" w:styleId="ad">
    <w:name w:val="annotation text"/>
    <w:basedOn w:val="a"/>
    <w:link w:val="Char10"/>
    <w:unhideWhenUsed/>
    <w:rsid w:val="00B33153"/>
    <w:pPr>
      <w:jc w:val="left"/>
    </w:pPr>
  </w:style>
  <w:style w:type="character" w:customStyle="1" w:styleId="Char10">
    <w:name w:val="批注文字 Char1"/>
    <w:basedOn w:val="a0"/>
    <w:link w:val="ad"/>
    <w:uiPriority w:val="99"/>
    <w:semiHidden/>
    <w:rsid w:val="00B33153"/>
  </w:style>
  <w:style w:type="paragraph" w:styleId="ac">
    <w:name w:val="annotation subject"/>
    <w:basedOn w:val="ad"/>
    <w:next w:val="ad"/>
    <w:link w:val="Char6"/>
    <w:unhideWhenUsed/>
    <w:rsid w:val="00B33153"/>
    <w:rPr>
      <w:rFonts w:ascii="Calibri" w:eastAsia="宋体" w:hAnsi="Calibri"/>
      <w:b/>
      <w:bCs/>
    </w:rPr>
  </w:style>
  <w:style w:type="character" w:customStyle="1" w:styleId="Char11">
    <w:name w:val="批注主题 Char1"/>
    <w:basedOn w:val="Char10"/>
    <w:uiPriority w:val="99"/>
    <w:semiHidden/>
    <w:rsid w:val="00B33153"/>
    <w:rPr>
      <w:b/>
      <w:bCs/>
    </w:rPr>
  </w:style>
  <w:style w:type="paragraph" w:styleId="TOC">
    <w:name w:val="TOC Heading"/>
    <w:basedOn w:val="1"/>
    <w:next w:val="a"/>
    <w:qFormat/>
    <w:rsid w:val="00B33153"/>
    <w:pPr>
      <w:widowControl/>
      <w:spacing w:before="480" w:line="276" w:lineRule="auto"/>
      <w:jc w:val="left"/>
      <w:outlineLvl w:val="9"/>
    </w:pPr>
    <w:rPr>
      <w:rFonts w:ascii="Cambria" w:hAnsi="Cambria"/>
      <w:color w:val="365F91"/>
      <w:kern w:val="0"/>
      <w:szCs w:val="28"/>
    </w:rPr>
  </w:style>
  <w:style w:type="paragraph" w:styleId="a3">
    <w:name w:val="Plain Text"/>
    <w:basedOn w:val="a"/>
    <w:link w:val="Char"/>
    <w:rsid w:val="00B33153"/>
    <w:rPr>
      <w:rFonts w:ascii="宋体" w:hAnsi="Courier New" w:cs="楷体_GB2312"/>
      <w:szCs w:val="21"/>
    </w:rPr>
  </w:style>
  <w:style w:type="character" w:customStyle="1" w:styleId="Char12">
    <w:name w:val="纯文本 Char1"/>
    <w:basedOn w:val="a0"/>
    <w:uiPriority w:val="99"/>
    <w:semiHidden/>
    <w:rsid w:val="00B33153"/>
    <w:rPr>
      <w:rFonts w:ascii="宋体" w:eastAsia="宋体" w:hAnsi="Courier New" w:cs="Courier New"/>
      <w:szCs w:val="21"/>
    </w:rPr>
  </w:style>
  <w:style w:type="paragraph" w:styleId="a9">
    <w:name w:val="footer"/>
    <w:basedOn w:val="a"/>
    <w:link w:val="Char3"/>
    <w:uiPriority w:val="99"/>
    <w:unhideWhenUsed/>
    <w:rsid w:val="00B33153"/>
    <w:pPr>
      <w:tabs>
        <w:tab w:val="center" w:pos="4153"/>
        <w:tab w:val="right" w:pos="8306"/>
      </w:tabs>
      <w:snapToGrid w:val="0"/>
      <w:jc w:val="left"/>
    </w:pPr>
    <w:rPr>
      <w:rFonts w:ascii="Calibri" w:eastAsia="宋体" w:hAnsi="Calibri"/>
      <w:sz w:val="18"/>
      <w:szCs w:val="18"/>
    </w:rPr>
  </w:style>
  <w:style w:type="character" w:customStyle="1" w:styleId="Char13">
    <w:name w:val="页脚 Char1"/>
    <w:basedOn w:val="a0"/>
    <w:uiPriority w:val="99"/>
    <w:semiHidden/>
    <w:rsid w:val="00B33153"/>
    <w:rPr>
      <w:sz w:val="18"/>
      <w:szCs w:val="18"/>
    </w:rPr>
  </w:style>
  <w:style w:type="paragraph" w:styleId="ab">
    <w:name w:val="Body Text Indent"/>
    <w:basedOn w:val="a"/>
    <w:link w:val="Char5"/>
    <w:rsid w:val="00B33153"/>
    <w:pPr>
      <w:spacing w:after="120"/>
      <w:ind w:leftChars="200" w:left="420"/>
    </w:pPr>
    <w:rPr>
      <w:rFonts w:ascii="Calibri" w:hAnsi="Calibri"/>
    </w:rPr>
  </w:style>
  <w:style w:type="character" w:customStyle="1" w:styleId="Char14">
    <w:name w:val="正文文本缩进 Char1"/>
    <w:basedOn w:val="a0"/>
    <w:uiPriority w:val="99"/>
    <w:semiHidden/>
    <w:rsid w:val="00B33153"/>
  </w:style>
  <w:style w:type="paragraph" w:styleId="a7">
    <w:name w:val="header"/>
    <w:basedOn w:val="a"/>
    <w:link w:val="Char1"/>
    <w:uiPriority w:val="99"/>
    <w:unhideWhenUsed/>
    <w:rsid w:val="00B33153"/>
    <w:pPr>
      <w:pBdr>
        <w:bottom w:val="single" w:sz="6" w:space="1" w:color="auto"/>
      </w:pBdr>
      <w:tabs>
        <w:tab w:val="center" w:pos="4153"/>
        <w:tab w:val="right" w:pos="8306"/>
      </w:tabs>
      <w:snapToGrid w:val="0"/>
      <w:jc w:val="center"/>
    </w:pPr>
    <w:rPr>
      <w:rFonts w:ascii="Calibri" w:eastAsia="宋体" w:hAnsi="Calibri"/>
      <w:sz w:val="18"/>
      <w:szCs w:val="18"/>
    </w:rPr>
  </w:style>
  <w:style w:type="character" w:customStyle="1" w:styleId="Char15">
    <w:name w:val="页眉 Char1"/>
    <w:basedOn w:val="a0"/>
    <w:uiPriority w:val="99"/>
    <w:semiHidden/>
    <w:rsid w:val="00B33153"/>
    <w:rPr>
      <w:sz w:val="18"/>
      <w:szCs w:val="18"/>
    </w:rPr>
  </w:style>
  <w:style w:type="paragraph" w:styleId="a4">
    <w:name w:val="Balloon Text"/>
    <w:basedOn w:val="a"/>
    <w:link w:val="Char0"/>
    <w:unhideWhenUsed/>
    <w:rsid w:val="00B33153"/>
    <w:rPr>
      <w:rFonts w:ascii="Calibri" w:eastAsia="宋体" w:hAnsi="Calibri"/>
      <w:sz w:val="18"/>
      <w:szCs w:val="18"/>
    </w:rPr>
  </w:style>
  <w:style w:type="character" w:customStyle="1" w:styleId="Char16">
    <w:name w:val="批注框文本 Char1"/>
    <w:basedOn w:val="a0"/>
    <w:uiPriority w:val="99"/>
    <w:semiHidden/>
    <w:rsid w:val="00B33153"/>
    <w:rPr>
      <w:sz w:val="18"/>
      <w:szCs w:val="18"/>
    </w:rPr>
  </w:style>
  <w:style w:type="paragraph" w:styleId="aa">
    <w:name w:val="Document Map"/>
    <w:basedOn w:val="a"/>
    <w:link w:val="Char4"/>
    <w:unhideWhenUsed/>
    <w:rsid w:val="00B33153"/>
    <w:rPr>
      <w:rFonts w:ascii="宋体" w:eastAsia="宋体" w:hAnsi="Calibri"/>
      <w:sz w:val="18"/>
      <w:szCs w:val="18"/>
    </w:rPr>
  </w:style>
  <w:style w:type="character" w:customStyle="1" w:styleId="Char17">
    <w:name w:val="文档结构图 Char1"/>
    <w:basedOn w:val="a0"/>
    <w:uiPriority w:val="99"/>
    <w:semiHidden/>
    <w:rsid w:val="00B33153"/>
    <w:rPr>
      <w:rFonts w:ascii="宋体" w:eastAsia="宋体"/>
      <w:sz w:val="18"/>
      <w:szCs w:val="18"/>
    </w:rPr>
  </w:style>
  <w:style w:type="paragraph" w:styleId="10">
    <w:name w:val="toc 1"/>
    <w:basedOn w:val="a"/>
    <w:next w:val="a"/>
    <w:uiPriority w:val="39"/>
    <w:unhideWhenUsed/>
    <w:qFormat/>
    <w:rsid w:val="00B33153"/>
    <w:pPr>
      <w:widowControl/>
      <w:spacing w:after="100" w:line="276" w:lineRule="auto"/>
      <w:jc w:val="left"/>
    </w:pPr>
    <w:rPr>
      <w:rFonts w:ascii="Calibri" w:eastAsia="宋体" w:hAnsi="Calibri" w:cs="Times New Roman"/>
      <w:kern w:val="0"/>
      <w:sz w:val="22"/>
    </w:rPr>
  </w:style>
  <w:style w:type="paragraph" w:styleId="30">
    <w:name w:val="Body Text Indent 3"/>
    <w:basedOn w:val="a"/>
    <w:link w:val="3Char0"/>
    <w:rsid w:val="00B33153"/>
    <w:pPr>
      <w:spacing w:after="120"/>
      <w:ind w:leftChars="200" w:left="420"/>
    </w:pPr>
    <w:rPr>
      <w:rFonts w:ascii="Times New Roman" w:eastAsia="宋体" w:hAnsi="Times New Roman" w:cs="Times New Roman"/>
      <w:sz w:val="16"/>
      <w:szCs w:val="16"/>
    </w:rPr>
  </w:style>
  <w:style w:type="character" w:customStyle="1" w:styleId="3Char0">
    <w:name w:val="正文文本缩进 3 Char"/>
    <w:basedOn w:val="a0"/>
    <w:link w:val="30"/>
    <w:rsid w:val="00B33153"/>
    <w:rPr>
      <w:rFonts w:ascii="Times New Roman" w:eastAsia="宋体" w:hAnsi="Times New Roman" w:cs="Times New Roman"/>
      <w:sz w:val="16"/>
      <w:szCs w:val="16"/>
    </w:rPr>
  </w:style>
  <w:style w:type="paragraph" w:customStyle="1" w:styleId="Web">
    <w:name w:val="普通 (Web)"/>
    <w:basedOn w:val="a"/>
    <w:rsid w:val="00B33153"/>
    <w:pPr>
      <w:widowControl/>
      <w:spacing w:before="100" w:beforeAutospacing="1" w:after="100" w:afterAutospacing="1"/>
      <w:jc w:val="left"/>
    </w:pPr>
    <w:rPr>
      <w:rFonts w:ascii="宋体" w:eastAsia="宋体" w:hAnsi="宋体" w:cs="Times New Roman"/>
      <w:kern w:val="0"/>
      <w:sz w:val="24"/>
      <w:szCs w:val="24"/>
    </w:rPr>
  </w:style>
  <w:style w:type="paragraph" w:styleId="ae">
    <w:name w:val="List Paragraph"/>
    <w:basedOn w:val="a"/>
    <w:uiPriority w:val="34"/>
    <w:qFormat/>
    <w:rsid w:val="00B33153"/>
    <w:pPr>
      <w:ind w:firstLineChars="200" w:firstLine="420"/>
    </w:pPr>
    <w:rPr>
      <w:rFonts w:ascii="Times New Roman" w:eastAsia="宋体" w:hAnsi="Times New Roman" w:cs="Times New Roman"/>
      <w:szCs w:val="24"/>
    </w:rPr>
  </w:style>
  <w:style w:type="paragraph" w:customStyle="1" w:styleId="20">
    <w:name w:val="！正文缩进2字符"/>
    <w:basedOn w:val="a"/>
    <w:uiPriority w:val="99"/>
    <w:rsid w:val="00B33153"/>
    <w:pPr>
      <w:widowControl/>
      <w:spacing w:line="360" w:lineRule="auto"/>
      <w:ind w:firstLineChars="200" w:firstLine="200"/>
    </w:pPr>
    <w:rPr>
      <w:rFonts w:ascii="Times New Roman" w:eastAsia="宋体" w:hAnsi="Times New Roman" w:cs="Times New Roman"/>
      <w:sz w:val="24"/>
      <w:szCs w:val="24"/>
    </w:rPr>
  </w:style>
  <w:style w:type="paragraph" w:customStyle="1" w:styleId="Default">
    <w:name w:val="Default"/>
    <w:rsid w:val="00B33153"/>
    <w:pPr>
      <w:widowControl w:val="0"/>
      <w:autoSpaceDE w:val="0"/>
      <w:autoSpaceDN w:val="0"/>
      <w:adjustRightInd w:val="0"/>
    </w:pPr>
    <w:rPr>
      <w:rFonts w:ascii="仿宋" w:eastAsia="宋体" w:hAnsi="仿宋" w:cs="仿宋"/>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header" Target="header8.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eader" Target="header7.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footer" Target="footer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3D04A3-A9A6-43D2-812E-E45E863503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49</Pages>
  <Words>4205</Words>
  <Characters>23975</Characters>
  <Application>Microsoft Office Word</Application>
  <DocSecurity>0</DocSecurity>
  <Lines>199</Lines>
  <Paragraphs>56</Paragraphs>
  <ScaleCrop>false</ScaleCrop>
  <Company>CHINA</Company>
  <LinksUpToDate>false</LinksUpToDate>
  <CharactersWithSpaces>28124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dc:creator>
  <cp:lastModifiedBy>路亭</cp:lastModifiedBy>
  <cp:revision>20</cp:revision>
  <cp:lastPrinted>2016-08-04T06:08:00Z</cp:lastPrinted>
  <dcterms:created xsi:type="dcterms:W3CDTF">2016-09-26T06:05:00Z</dcterms:created>
  <dcterms:modified xsi:type="dcterms:W3CDTF">2018-03-26T02:24:00Z</dcterms:modified>
</cp:coreProperties>
</file>