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0650" w:rsidRDefault="00D978E4" w:rsidP="00D978E4">
      <w:pPr>
        <w:jc w:val="center"/>
        <w:rPr>
          <w:b/>
          <w:sz w:val="28"/>
          <w:szCs w:val="28"/>
        </w:rPr>
      </w:pPr>
      <w:r>
        <w:rPr>
          <w:rFonts w:hint="eastAsia"/>
          <w:b/>
          <w:sz w:val="28"/>
          <w:szCs w:val="28"/>
        </w:rPr>
        <w:t>富荣基金管理有限公司</w:t>
      </w:r>
      <w:r w:rsidR="006A35EE">
        <w:rPr>
          <w:rFonts w:hint="eastAsia"/>
          <w:b/>
          <w:sz w:val="28"/>
          <w:szCs w:val="28"/>
        </w:rPr>
        <w:t>关于</w:t>
      </w:r>
      <w:r>
        <w:rPr>
          <w:rFonts w:hint="eastAsia"/>
          <w:b/>
          <w:sz w:val="28"/>
          <w:szCs w:val="28"/>
        </w:rPr>
        <w:t>旗下部分开放式基金</w:t>
      </w:r>
    </w:p>
    <w:p w:rsidR="003066C9" w:rsidRPr="00D978E4" w:rsidRDefault="00514E03" w:rsidP="00D978E4">
      <w:pPr>
        <w:jc w:val="center"/>
        <w:rPr>
          <w:b/>
          <w:sz w:val="28"/>
          <w:szCs w:val="28"/>
        </w:rPr>
      </w:pPr>
      <w:r>
        <w:rPr>
          <w:rFonts w:hint="eastAsia"/>
          <w:b/>
          <w:sz w:val="28"/>
          <w:szCs w:val="28"/>
        </w:rPr>
        <w:t>增加</w:t>
      </w:r>
      <w:r w:rsidR="00460650">
        <w:rPr>
          <w:rFonts w:hint="eastAsia"/>
          <w:b/>
          <w:sz w:val="28"/>
          <w:szCs w:val="28"/>
        </w:rPr>
        <w:t>大泰金石</w:t>
      </w:r>
      <w:r w:rsidR="006A35EE">
        <w:rPr>
          <w:rFonts w:hint="eastAsia"/>
          <w:b/>
          <w:sz w:val="28"/>
          <w:szCs w:val="28"/>
        </w:rPr>
        <w:t>为代销机构</w:t>
      </w:r>
      <w:r w:rsidR="00D978E4">
        <w:rPr>
          <w:rFonts w:hint="eastAsia"/>
          <w:b/>
          <w:sz w:val="28"/>
          <w:szCs w:val="28"/>
        </w:rPr>
        <w:t>的公告</w:t>
      </w:r>
    </w:p>
    <w:p w:rsidR="003066C9" w:rsidRPr="00D978E4" w:rsidRDefault="003066C9">
      <w:pPr>
        <w:rPr>
          <w:rFonts w:ascii="楷体_GB2312" w:eastAsia="楷体_GB2312"/>
          <w:sz w:val="28"/>
          <w:szCs w:val="28"/>
        </w:rPr>
      </w:pPr>
    </w:p>
    <w:p w:rsidR="003066C9" w:rsidRDefault="006A35EE">
      <w:pPr>
        <w:snapToGrid w:val="0"/>
        <w:spacing w:line="360" w:lineRule="auto"/>
        <w:ind w:firstLine="560"/>
        <w:jc w:val="left"/>
        <w:rPr>
          <w:rFonts w:ascii="宋体" w:hAnsi="宋体"/>
          <w:sz w:val="28"/>
          <w:szCs w:val="28"/>
        </w:rPr>
      </w:pPr>
      <w:r>
        <w:rPr>
          <w:rFonts w:ascii="宋体" w:hAnsi="宋体" w:hint="eastAsia"/>
          <w:sz w:val="28"/>
          <w:szCs w:val="28"/>
        </w:rPr>
        <w:t>根据富荣基金管理有限公司（以下简称</w:t>
      </w:r>
      <w:r>
        <w:rPr>
          <w:rFonts w:ascii="宋体" w:hAnsi="宋体" w:cs="Arial"/>
          <w:sz w:val="28"/>
          <w:szCs w:val="28"/>
        </w:rPr>
        <w:t>“</w:t>
      </w:r>
      <w:r>
        <w:rPr>
          <w:rFonts w:ascii="宋体" w:hAnsi="宋体" w:hint="eastAsia"/>
          <w:sz w:val="28"/>
          <w:szCs w:val="28"/>
        </w:rPr>
        <w:t>本公司</w:t>
      </w:r>
      <w:r>
        <w:rPr>
          <w:rFonts w:ascii="宋体" w:hAnsi="宋体" w:cs="Arial"/>
          <w:sz w:val="28"/>
          <w:szCs w:val="28"/>
        </w:rPr>
        <w:t>”</w:t>
      </w:r>
      <w:r>
        <w:rPr>
          <w:rFonts w:ascii="宋体" w:hAnsi="宋体" w:hint="eastAsia"/>
          <w:sz w:val="28"/>
          <w:szCs w:val="28"/>
        </w:rPr>
        <w:t>）与</w:t>
      </w:r>
      <w:r w:rsidR="00550D0E">
        <w:rPr>
          <w:rFonts w:ascii="宋体" w:hAnsi="宋体" w:hint="eastAsia"/>
          <w:sz w:val="28"/>
          <w:szCs w:val="28"/>
        </w:rPr>
        <w:t>大泰金石基金销售有限公司</w:t>
      </w:r>
      <w:r w:rsidR="00D978E4" w:rsidRPr="00D978E4">
        <w:rPr>
          <w:rFonts w:ascii="宋体" w:hAnsi="宋体" w:hint="eastAsia"/>
          <w:sz w:val="28"/>
          <w:szCs w:val="28"/>
        </w:rPr>
        <w:t>（以下简称“</w:t>
      </w:r>
      <w:r w:rsidR="00550D0E">
        <w:rPr>
          <w:rFonts w:ascii="宋体" w:hAnsi="宋体" w:hint="eastAsia"/>
          <w:sz w:val="28"/>
          <w:szCs w:val="28"/>
        </w:rPr>
        <w:t>大泰金石</w:t>
      </w:r>
      <w:r w:rsidR="00D978E4" w:rsidRPr="00D978E4">
        <w:rPr>
          <w:rFonts w:ascii="宋体" w:hAnsi="宋体" w:hint="eastAsia"/>
          <w:sz w:val="28"/>
          <w:szCs w:val="28"/>
        </w:rPr>
        <w:t>”）</w:t>
      </w:r>
      <w:r>
        <w:rPr>
          <w:rFonts w:ascii="宋体" w:hAnsi="宋体" w:hint="eastAsia"/>
          <w:sz w:val="28"/>
          <w:szCs w:val="28"/>
        </w:rPr>
        <w:t>签署的代理销售服务协议：</w:t>
      </w:r>
    </w:p>
    <w:p w:rsidR="00514E03" w:rsidRPr="00514E03" w:rsidRDefault="006A35EE" w:rsidP="00514E03">
      <w:pPr>
        <w:snapToGrid w:val="0"/>
        <w:spacing w:line="360" w:lineRule="auto"/>
        <w:ind w:firstLine="560"/>
        <w:jc w:val="left"/>
        <w:rPr>
          <w:rFonts w:ascii="宋体" w:hAnsi="宋体"/>
          <w:sz w:val="28"/>
          <w:szCs w:val="28"/>
        </w:rPr>
      </w:pPr>
      <w:r>
        <w:rPr>
          <w:rFonts w:ascii="宋体" w:hAnsi="宋体" w:hint="eastAsia"/>
          <w:sz w:val="28"/>
          <w:szCs w:val="28"/>
        </w:rPr>
        <w:t>自2017年</w:t>
      </w:r>
      <w:r w:rsidR="00D978E4">
        <w:rPr>
          <w:rFonts w:ascii="宋体" w:hAnsi="宋体" w:hint="eastAsia"/>
          <w:sz w:val="28"/>
          <w:szCs w:val="28"/>
        </w:rPr>
        <w:t>11</w:t>
      </w:r>
      <w:r>
        <w:rPr>
          <w:rFonts w:ascii="宋体" w:hAnsi="宋体" w:hint="eastAsia"/>
          <w:sz w:val="28"/>
          <w:szCs w:val="28"/>
        </w:rPr>
        <w:t>月</w:t>
      </w:r>
      <w:r w:rsidR="00550D0E">
        <w:rPr>
          <w:rFonts w:ascii="宋体" w:hAnsi="宋体" w:hint="eastAsia"/>
          <w:sz w:val="28"/>
          <w:szCs w:val="28"/>
        </w:rPr>
        <w:t>28</w:t>
      </w:r>
      <w:r>
        <w:rPr>
          <w:rFonts w:ascii="宋体" w:hAnsi="宋体" w:hint="eastAsia"/>
          <w:sz w:val="28"/>
          <w:szCs w:val="28"/>
        </w:rPr>
        <w:t>日起，本公司将增加</w:t>
      </w:r>
      <w:r w:rsidR="00550D0E">
        <w:rPr>
          <w:rFonts w:ascii="宋体" w:hAnsi="宋体" w:hint="eastAsia"/>
          <w:sz w:val="28"/>
          <w:szCs w:val="28"/>
        </w:rPr>
        <w:t>大泰金石</w:t>
      </w:r>
      <w:r w:rsidR="00514E03">
        <w:rPr>
          <w:rFonts w:ascii="宋体" w:hAnsi="宋体" w:hint="eastAsia"/>
          <w:sz w:val="28"/>
          <w:szCs w:val="28"/>
        </w:rPr>
        <w:t>作</w:t>
      </w:r>
      <w:r w:rsidR="00514E03" w:rsidRPr="00514E03">
        <w:rPr>
          <w:rFonts w:ascii="宋体" w:hAnsi="宋体" w:hint="eastAsia"/>
          <w:sz w:val="28"/>
          <w:szCs w:val="28"/>
        </w:rPr>
        <w:t>为旗下部分开放式基金销售机构并开通相关业务。</w:t>
      </w:r>
      <w:r w:rsidR="00514E03" w:rsidRPr="00514E03">
        <w:rPr>
          <w:rFonts w:ascii="宋体" w:hAnsi="宋体" w:hint="eastAsia"/>
          <w:sz w:val="28"/>
          <w:szCs w:val="28"/>
        </w:rPr>
        <w:cr/>
      </w:r>
      <w:r w:rsidR="00514E03">
        <w:rPr>
          <w:rFonts w:ascii="宋体" w:hAnsi="宋体" w:hint="eastAsia"/>
          <w:sz w:val="28"/>
          <w:szCs w:val="28"/>
        </w:rPr>
        <w:t xml:space="preserve">    </w:t>
      </w:r>
      <w:r w:rsidR="00514E03" w:rsidRPr="00514E03">
        <w:rPr>
          <w:rFonts w:ascii="宋体" w:hAnsi="宋体" w:cs="Arial" w:hint="eastAsia"/>
          <w:sz w:val="28"/>
          <w:szCs w:val="28"/>
        </w:rPr>
        <w:t>现将有关事项公告如下：</w:t>
      </w:r>
    </w:p>
    <w:p w:rsidR="00514E03" w:rsidRPr="00514E03" w:rsidRDefault="00514E03" w:rsidP="00514E03">
      <w:pPr>
        <w:adjustRightInd w:val="0"/>
        <w:snapToGrid w:val="0"/>
        <w:spacing w:line="360" w:lineRule="auto"/>
        <w:ind w:firstLineChars="200" w:firstLine="560"/>
        <w:rPr>
          <w:rFonts w:ascii="宋体" w:hAnsi="宋体" w:cs="Arial"/>
          <w:sz w:val="28"/>
          <w:szCs w:val="28"/>
        </w:rPr>
      </w:pPr>
      <w:r w:rsidRPr="00514E03">
        <w:rPr>
          <w:rFonts w:ascii="宋体" w:hAnsi="宋体" w:cs="Arial" w:hint="eastAsia"/>
          <w:sz w:val="28"/>
          <w:szCs w:val="28"/>
        </w:rPr>
        <w:t>一、适用基金及业务范围</w:t>
      </w:r>
    </w:p>
    <w:p w:rsidR="00514E03" w:rsidRDefault="00514E03" w:rsidP="00514E03">
      <w:pPr>
        <w:adjustRightInd w:val="0"/>
        <w:snapToGrid w:val="0"/>
        <w:spacing w:line="360" w:lineRule="auto"/>
        <w:ind w:firstLineChars="200" w:firstLine="560"/>
        <w:rPr>
          <w:rFonts w:ascii="宋体" w:hAnsi="宋体" w:cs="Arial"/>
          <w:sz w:val="28"/>
          <w:szCs w:val="28"/>
        </w:rPr>
      </w:pPr>
      <w:r w:rsidRPr="00514E03">
        <w:rPr>
          <w:rFonts w:ascii="宋体" w:hAnsi="宋体" w:cs="Arial" w:hint="eastAsia"/>
          <w:sz w:val="28"/>
          <w:szCs w:val="28"/>
        </w:rPr>
        <w:t>投资者可通过</w:t>
      </w:r>
      <w:r w:rsidR="00550D0E">
        <w:rPr>
          <w:rFonts w:ascii="宋体" w:hAnsi="宋体" w:cs="Arial" w:hint="eastAsia"/>
          <w:sz w:val="28"/>
          <w:szCs w:val="28"/>
        </w:rPr>
        <w:t>大泰金石</w:t>
      </w:r>
      <w:r w:rsidRPr="00514E03">
        <w:rPr>
          <w:rFonts w:ascii="宋体" w:hAnsi="宋体" w:cs="Arial" w:hint="eastAsia"/>
          <w:sz w:val="28"/>
          <w:szCs w:val="28"/>
        </w:rPr>
        <w:t>办理列表中对应基金的相关业务，具体的业务流程、办理时间和办理方式以</w:t>
      </w:r>
      <w:r w:rsidR="002468C9">
        <w:rPr>
          <w:rFonts w:ascii="宋体" w:hAnsi="宋体" w:cs="Arial" w:hint="eastAsia"/>
          <w:sz w:val="28"/>
          <w:szCs w:val="28"/>
        </w:rPr>
        <w:t>大泰金石</w:t>
      </w:r>
      <w:r w:rsidRPr="00514E03">
        <w:rPr>
          <w:rFonts w:ascii="宋体" w:hAnsi="宋体" w:cs="Arial" w:hint="eastAsia"/>
          <w:sz w:val="28"/>
          <w:szCs w:val="28"/>
        </w:rPr>
        <w:t>的规定为准。</w:t>
      </w:r>
    </w:p>
    <w:tbl>
      <w:tblPr>
        <w:tblStyle w:val="a9"/>
        <w:tblW w:w="0" w:type="auto"/>
        <w:tblLook w:val="04A0"/>
      </w:tblPr>
      <w:tblGrid>
        <w:gridCol w:w="817"/>
        <w:gridCol w:w="1418"/>
        <w:gridCol w:w="3543"/>
        <w:gridCol w:w="1418"/>
        <w:gridCol w:w="1326"/>
      </w:tblGrid>
      <w:tr w:rsidR="00514E03" w:rsidTr="00F564D8">
        <w:tc>
          <w:tcPr>
            <w:tcW w:w="817" w:type="dxa"/>
            <w:vAlign w:val="center"/>
          </w:tcPr>
          <w:p w:rsidR="00514E03" w:rsidRDefault="00514E03"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编号</w:t>
            </w:r>
          </w:p>
        </w:tc>
        <w:tc>
          <w:tcPr>
            <w:tcW w:w="1418" w:type="dxa"/>
            <w:vAlign w:val="center"/>
          </w:tcPr>
          <w:p w:rsidR="00514E03" w:rsidRDefault="00514E03"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基金代码</w:t>
            </w:r>
          </w:p>
        </w:tc>
        <w:tc>
          <w:tcPr>
            <w:tcW w:w="3543" w:type="dxa"/>
            <w:vAlign w:val="center"/>
          </w:tcPr>
          <w:p w:rsidR="00514E03" w:rsidRDefault="00514E03"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基金名称</w:t>
            </w:r>
          </w:p>
        </w:tc>
        <w:tc>
          <w:tcPr>
            <w:tcW w:w="1418" w:type="dxa"/>
            <w:vAlign w:val="center"/>
          </w:tcPr>
          <w:p w:rsidR="00514E03" w:rsidRDefault="00F564D8"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认/</w:t>
            </w:r>
            <w:r w:rsidR="00514E03" w:rsidRPr="00514E03">
              <w:rPr>
                <w:rFonts w:ascii="宋体" w:hAnsi="宋体" w:cs="Arial" w:hint="eastAsia"/>
                <w:sz w:val="28"/>
                <w:szCs w:val="28"/>
              </w:rPr>
              <w:t>申购赎回业务</w:t>
            </w:r>
          </w:p>
        </w:tc>
        <w:tc>
          <w:tcPr>
            <w:tcW w:w="1326" w:type="dxa"/>
            <w:vAlign w:val="center"/>
          </w:tcPr>
          <w:p w:rsidR="00514E03" w:rsidRDefault="002468C9"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定期定额投资</w:t>
            </w:r>
          </w:p>
        </w:tc>
      </w:tr>
      <w:tr w:rsidR="00514E03" w:rsidTr="00F564D8">
        <w:tc>
          <w:tcPr>
            <w:tcW w:w="817" w:type="dxa"/>
            <w:vAlign w:val="center"/>
          </w:tcPr>
          <w:p w:rsidR="00514E03" w:rsidRDefault="00514E03"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1</w:t>
            </w:r>
          </w:p>
        </w:tc>
        <w:tc>
          <w:tcPr>
            <w:tcW w:w="1418" w:type="dxa"/>
            <w:vAlign w:val="center"/>
          </w:tcPr>
          <w:p w:rsidR="00514E03" w:rsidRDefault="002468C9"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003467</w:t>
            </w:r>
          </w:p>
        </w:tc>
        <w:tc>
          <w:tcPr>
            <w:tcW w:w="3543" w:type="dxa"/>
            <w:vAlign w:val="center"/>
          </w:tcPr>
          <w:p w:rsidR="00514E03" w:rsidRDefault="002468C9"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富荣货币市场基金</w:t>
            </w:r>
            <w:r w:rsidR="00D14014">
              <w:rPr>
                <w:rFonts w:ascii="宋体" w:hAnsi="宋体" w:cs="Arial" w:hint="eastAsia"/>
                <w:sz w:val="28"/>
                <w:szCs w:val="28"/>
              </w:rPr>
              <w:t>A类基金份额</w:t>
            </w:r>
          </w:p>
        </w:tc>
        <w:tc>
          <w:tcPr>
            <w:tcW w:w="1418" w:type="dxa"/>
            <w:vAlign w:val="center"/>
          </w:tcPr>
          <w:p w:rsidR="00514E03" w:rsidRDefault="002468C9"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开通</w:t>
            </w:r>
          </w:p>
        </w:tc>
        <w:tc>
          <w:tcPr>
            <w:tcW w:w="1326" w:type="dxa"/>
            <w:vAlign w:val="center"/>
          </w:tcPr>
          <w:p w:rsidR="00514E03" w:rsidRDefault="002468C9"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开通</w:t>
            </w:r>
          </w:p>
        </w:tc>
      </w:tr>
      <w:tr w:rsidR="00D14014" w:rsidTr="00F564D8">
        <w:tc>
          <w:tcPr>
            <w:tcW w:w="817" w:type="dxa"/>
            <w:vAlign w:val="center"/>
          </w:tcPr>
          <w:p w:rsidR="00D14014" w:rsidRDefault="00D14014" w:rsidP="007A05BF">
            <w:pPr>
              <w:adjustRightInd w:val="0"/>
              <w:snapToGrid w:val="0"/>
              <w:spacing w:line="360" w:lineRule="auto"/>
              <w:jc w:val="center"/>
              <w:rPr>
                <w:rFonts w:ascii="宋体" w:hAnsi="宋体" w:cs="Arial"/>
                <w:sz w:val="28"/>
                <w:szCs w:val="28"/>
              </w:rPr>
            </w:pPr>
            <w:r>
              <w:rPr>
                <w:rFonts w:ascii="宋体" w:hAnsi="宋体" w:cs="Arial" w:hint="eastAsia"/>
                <w:sz w:val="28"/>
                <w:szCs w:val="28"/>
              </w:rPr>
              <w:t>2</w:t>
            </w:r>
          </w:p>
        </w:tc>
        <w:tc>
          <w:tcPr>
            <w:tcW w:w="1418" w:type="dxa"/>
            <w:vAlign w:val="center"/>
          </w:tcPr>
          <w:p w:rsidR="00D14014" w:rsidRDefault="00D14014" w:rsidP="00514E03">
            <w:pPr>
              <w:adjustRightInd w:val="0"/>
              <w:snapToGrid w:val="0"/>
              <w:spacing w:line="360" w:lineRule="auto"/>
              <w:jc w:val="center"/>
              <w:rPr>
                <w:rFonts w:ascii="宋体" w:hAnsi="宋体" w:cs="Arial" w:hint="eastAsia"/>
                <w:sz w:val="28"/>
                <w:szCs w:val="28"/>
              </w:rPr>
            </w:pPr>
            <w:r>
              <w:rPr>
                <w:rFonts w:ascii="宋体" w:hAnsi="宋体" w:cs="Arial" w:hint="eastAsia"/>
                <w:sz w:val="28"/>
                <w:szCs w:val="28"/>
              </w:rPr>
              <w:t>003468</w:t>
            </w:r>
          </w:p>
        </w:tc>
        <w:tc>
          <w:tcPr>
            <w:tcW w:w="3543" w:type="dxa"/>
            <w:vAlign w:val="center"/>
          </w:tcPr>
          <w:p w:rsidR="00D14014" w:rsidRDefault="00D14014" w:rsidP="00D14014">
            <w:pPr>
              <w:adjustRightInd w:val="0"/>
              <w:snapToGrid w:val="0"/>
              <w:spacing w:line="360" w:lineRule="auto"/>
              <w:jc w:val="center"/>
              <w:rPr>
                <w:rFonts w:ascii="宋体" w:hAnsi="宋体" w:cs="Arial" w:hint="eastAsia"/>
                <w:sz w:val="28"/>
                <w:szCs w:val="28"/>
              </w:rPr>
            </w:pPr>
            <w:r>
              <w:rPr>
                <w:rFonts w:ascii="宋体" w:hAnsi="宋体" w:cs="Arial" w:hint="eastAsia"/>
                <w:sz w:val="28"/>
                <w:szCs w:val="28"/>
              </w:rPr>
              <w:t>富荣货币市场基金B类基金份额</w:t>
            </w:r>
          </w:p>
        </w:tc>
        <w:tc>
          <w:tcPr>
            <w:tcW w:w="1418" w:type="dxa"/>
            <w:vAlign w:val="center"/>
          </w:tcPr>
          <w:p w:rsidR="00D14014" w:rsidRDefault="00D14014" w:rsidP="00514E03">
            <w:pPr>
              <w:adjustRightInd w:val="0"/>
              <w:snapToGrid w:val="0"/>
              <w:spacing w:line="360" w:lineRule="auto"/>
              <w:jc w:val="center"/>
              <w:rPr>
                <w:rFonts w:ascii="宋体" w:hAnsi="宋体" w:cs="Arial" w:hint="eastAsia"/>
                <w:sz w:val="28"/>
                <w:szCs w:val="28"/>
              </w:rPr>
            </w:pPr>
            <w:r>
              <w:rPr>
                <w:rFonts w:ascii="宋体" w:hAnsi="宋体" w:cs="Arial" w:hint="eastAsia"/>
                <w:sz w:val="28"/>
                <w:szCs w:val="28"/>
              </w:rPr>
              <w:t>开通</w:t>
            </w:r>
          </w:p>
        </w:tc>
        <w:tc>
          <w:tcPr>
            <w:tcW w:w="1326" w:type="dxa"/>
            <w:vAlign w:val="center"/>
          </w:tcPr>
          <w:p w:rsidR="00D14014" w:rsidRDefault="00D14014" w:rsidP="00514E03">
            <w:pPr>
              <w:adjustRightInd w:val="0"/>
              <w:snapToGrid w:val="0"/>
              <w:spacing w:line="360" w:lineRule="auto"/>
              <w:jc w:val="center"/>
              <w:rPr>
                <w:rFonts w:ascii="宋体" w:hAnsi="宋体" w:cs="Arial" w:hint="eastAsia"/>
                <w:sz w:val="28"/>
                <w:szCs w:val="28"/>
              </w:rPr>
            </w:pPr>
            <w:r>
              <w:rPr>
                <w:rFonts w:ascii="宋体" w:hAnsi="宋体" w:cs="Arial" w:hint="eastAsia"/>
                <w:sz w:val="28"/>
                <w:szCs w:val="28"/>
              </w:rPr>
              <w:t>开通</w:t>
            </w:r>
          </w:p>
        </w:tc>
      </w:tr>
      <w:tr w:rsidR="00D14014" w:rsidTr="00F564D8">
        <w:tc>
          <w:tcPr>
            <w:tcW w:w="817" w:type="dxa"/>
            <w:vAlign w:val="center"/>
          </w:tcPr>
          <w:p w:rsidR="00D14014" w:rsidRDefault="00D14014" w:rsidP="007A05BF">
            <w:pPr>
              <w:adjustRightInd w:val="0"/>
              <w:snapToGrid w:val="0"/>
              <w:spacing w:line="360" w:lineRule="auto"/>
              <w:jc w:val="center"/>
              <w:rPr>
                <w:rFonts w:ascii="宋体" w:hAnsi="宋体" w:cs="Arial"/>
                <w:sz w:val="28"/>
                <w:szCs w:val="28"/>
              </w:rPr>
            </w:pPr>
            <w:r>
              <w:rPr>
                <w:rFonts w:ascii="宋体" w:hAnsi="宋体" w:cs="Arial" w:hint="eastAsia"/>
                <w:sz w:val="28"/>
                <w:szCs w:val="28"/>
              </w:rPr>
              <w:t>3</w:t>
            </w:r>
          </w:p>
        </w:tc>
        <w:tc>
          <w:tcPr>
            <w:tcW w:w="1418" w:type="dxa"/>
            <w:vAlign w:val="center"/>
          </w:tcPr>
          <w:p w:rsidR="00D14014" w:rsidRDefault="00D14014"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004794</w:t>
            </w:r>
          </w:p>
        </w:tc>
        <w:tc>
          <w:tcPr>
            <w:tcW w:w="3543" w:type="dxa"/>
            <w:vAlign w:val="center"/>
          </w:tcPr>
          <w:p w:rsidR="00D14014" w:rsidRDefault="00D14014" w:rsidP="00514E03">
            <w:pPr>
              <w:adjustRightInd w:val="0"/>
              <w:snapToGrid w:val="0"/>
              <w:spacing w:line="360" w:lineRule="auto"/>
              <w:jc w:val="center"/>
              <w:rPr>
                <w:rFonts w:ascii="宋体" w:hAnsi="宋体" w:cs="Arial"/>
                <w:sz w:val="28"/>
                <w:szCs w:val="28"/>
              </w:rPr>
            </w:pPr>
            <w:r w:rsidRPr="00F564D8">
              <w:rPr>
                <w:rFonts w:ascii="宋体" w:hAnsi="宋体" w:cs="Arial" w:hint="eastAsia"/>
                <w:sz w:val="28"/>
                <w:szCs w:val="28"/>
              </w:rPr>
              <w:t>富荣福鑫灵活配置混合型证券投资基金</w:t>
            </w:r>
            <w:r>
              <w:rPr>
                <w:rFonts w:ascii="宋体" w:hAnsi="宋体" w:cs="Arial" w:hint="eastAsia"/>
                <w:sz w:val="28"/>
                <w:szCs w:val="28"/>
              </w:rPr>
              <w:t>A类基金份额</w:t>
            </w:r>
          </w:p>
        </w:tc>
        <w:tc>
          <w:tcPr>
            <w:tcW w:w="1418" w:type="dxa"/>
            <w:vAlign w:val="center"/>
          </w:tcPr>
          <w:p w:rsidR="00D14014" w:rsidRPr="002468C9" w:rsidRDefault="00D14014"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开通</w:t>
            </w:r>
          </w:p>
        </w:tc>
        <w:tc>
          <w:tcPr>
            <w:tcW w:w="1326" w:type="dxa"/>
            <w:vAlign w:val="center"/>
          </w:tcPr>
          <w:p w:rsidR="00D14014" w:rsidRDefault="00D14014"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不开通</w:t>
            </w:r>
          </w:p>
        </w:tc>
      </w:tr>
      <w:tr w:rsidR="00D14014" w:rsidTr="00F564D8">
        <w:tc>
          <w:tcPr>
            <w:tcW w:w="817" w:type="dxa"/>
            <w:vAlign w:val="center"/>
          </w:tcPr>
          <w:p w:rsidR="00D14014" w:rsidRDefault="00D14014" w:rsidP="007A05BF">
            <w:pPr>
              <w:adjustRightInd w:val="0"/>
              <w:snapToGrid w:val="0"/>
              <w:spacing w:line="360" w:lineRule="auto"/>
              <w:jc w:val="center"/>
              <w:rPr>
                <w:rFonts w:ascii="宋体" w:hAnsi="宋体" w:cs="Arial"/>
                <w:sz w:val="28"/>
                <w:szCs w:val="28"/>
              </w:rPr>
            </w:pPr>
            <w:r>
              <w:rPr>
                <w:rFonts w:ascii="宋体" w:hAnsi="宋体" w:cs="Arial" w:hint="eastAsia"/>
                <w:sz w:val="28"/>
                <w:szCs w:val="28"/>
              </w:rPr>
              <w:t>4</w:t>
            </w:r>
          </w:p>
        </w:tc>
        <w:tc>
          <w:tcPr>
            <w:tcW w:w="1418" w:type="dxa"/>
            <w:vAlign w:val="center"/>
          </w:tcPr>
          <w:p w:rsidR="00D14014" w:rsidRDefault="00D14014"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004795</w:t>
            </w:r>
          </w:p>
        </w:tc>
        <w:tc>
          <w:tcPr>
            <w:tcW w:w="3543" w:type="dxa"/>
            <w:vAlign w:val="center"/>
          </w:tcPr>
          <w:p w:rsidR="00D14014" w:rsidRDefault="00D14014" w:rsidP="00F564D8">
            <w:pPr>
              <w:adjustRightInd w:val="0"/>
              <w:snapToGrid w:val="0"/>
              <w:spacing w:line="360" w:lineRule="auto"/>
              <w:jc w:val="center"/>
              <w:rPr>
                <w:rFonts w:ascii="宋体" w:hAnsi="宋体" w:cs="Arial"/>
                <w:sz w:val="28"/>
                <w:szCs w:val="28"/>
              </w:rPr>
            </w:pPr>
            <w:r w:rsidRPr="00F564D8">
              <w:rPr>
                <w:rFonts w:ascii="宋体" w:hAnsi="宋体" w:cs="Arial" w:hint="eastAsia"/>
                <w:sz w:val="28"/>
                <w:szCs w:val="28"/>
              </w:rPr>
              <w:t>富荣福鑫灵活配置混合型证券投资基金</w:t>
            </w:r>
            <w:r>
              <w:rPr>
                <w:rFonts w:ascii="宋体" w:hAnsi="宋体" w:cs="Arial" w:hint="eastAsia"/>
                <w:sz w:val="28"/>
                <w:szCs w:val="28"/>
              </w:rPr>
              <w:t>C类基金份额</w:t>
            </w:r>
          </w:p>
        </w:tc>
        <w:tc>
          <w:tcPr>
            <w:tcW w:w="1418" w:type="dxa"/>
            <w:vAlign w:val="center"/>
          </w:tcPr>
          <w:p w:rsidR="00D14014" w:rsidRPr="00F564D8" w:rsidRDefault="00D14014"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开通</w:t>
            </w:r>
          </w:p>
        </w:tc>
        <w:tc>
          <w:tcPr>
            <w:tcW w:w="1326" w:type="dxa"/>
            <w:vAlign w:val="center"/>
          </w:tcPr>
          <w:p w:rsidR="00D14014" w:rsidRDefault="00D14014"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不开通</w:t>
            </w:r>
          </w:p>
        </w:tc>
      </w:tr>
      <w:tr w:rsidR="00D14014" w:rsidTr="00F564D8">
        <w:tc>
          <w:tcPr>
            <w:tcW w:w="817" w:type="dxa"/>
            <w:vAlign w:val="center"/>
          </w:tcPr>
          <w:p w:rsidR="00D14014" w:rsidRDefault="00D14014" w:rsidP="007A05BF">
            <w:pPr>
              <w:adjustRightInd w:val="0"/>
              <w:snapToGrid w:val="0"/>
              <w:spacing w:line="360" w:lineRule="auto"/>
              <w:jc w:val="center"/>
              <w:rPr>
                <w:rFonts w:ascii="宋体" w:hAnsi="宋体" w:cs="Arial"/>
                <w:sz w:val="28"/>
                <w:szCs w:val="28"/>
              </w:rPr>
            </w:pPr>
            <w:r>
              <w:rPr>
                <w:rFonts w:ascii="宋体" w:hAnsi="宋体" w:cs="Arial" w:hint="eastAsia"/>
                <w:sz w:val="28"/>
                <w:szCs w:val="28"/>
              </w:rPr>
              <w:t>5</w:t>
            </w:r>
          </w:p>
        </w:tc>
        <w:tc>
          <w:tcPr>
            <w:tcW w:w="1418" w:type="dxa"/>
            <w:vAlign w:val="center"/>
          </w:tcPr>
          <w:p w:rsidR="00D14014" w:rsidRDefault="00D14014"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004788</w:t>
            </w:r>
          </w:p>
        </w:tc>
        <w:tc>
          <w:tcPr>
            <w:tcW w:w="3543" w:type="dxa"/>
            <w:vAlign w:val="center"/>
          </w:tcPr>
          <w:p w:rsidR="00D14014" w:rsidRDefault="00D14014" w:rsidP="00514E03">
            <w:pPr>
              <w:adjustRightInd w:val="0"/>
              <w:snapToGrid w:val="0"/>
              <w:spacing w:line="360" w:lineRule="auto"/>
              <w:jc w:val="center"/>
              <w:rPr>
                <w:rFonts w:ascii="宋体" w:hAnsi="宋体" w:cs="Arial"/>
                <w:sz w:val="28"/>
                <w:szCs w:val="28"/>
              </w:rPr>
            </w:pPr>
            <w:r w:rsidRPr="00A97141">
              <w:rPr>
                <w:rFonts w:ascii="宋体" w:hAnsi="宋体" w:cs="Arial" w:hint="eastAsia"/>
                <w:sz w:val="28"/>
                <w:szCs w:val="28"/>
              </w:rPr>
              <w:t>富荣福泰灵活配置混合型证券投资基金</w:t>
            </w:r>
            <w:r>
              <w:rPr>
                <w:rFonts w:ascii="宋体" w:hAnsi="宋体" w:cs="Arial" w:hint="eastAsia"/>
                <w:sz w:val="28"/>
                <w:szCs w:val="28"/>
              </w:rPr>
              <w:t>A类基金份额</w:t>
            </w:r>
          </w:p>
        </w:tc>
        <w:tc>
          <w:tcPr>
            <w:tcW w:w="1418" w:type="dxa"/>
            <w:vAlign w:val="center"/>
          </w:tcPr>
          <w:p w:rsidR="00D14014" w:rsidRPr="00A97141" w:rsidRDefault="00D14014"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开通</w:t>
            </w:r>
          </w:p>
        </w:tc>
        <w:tc>
          <w:tcPr>
            <w:tcW w:w="1326" w:type="dxa"/>
            <w:vAlign w:val="center"/>
          </w:tcPr>
          <w:p w:rsidR="00D14014" w:rsidRDefault="00D14014"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不开通</w:t>
            </w:r>
          </w:p>
        </w:tc>
      </w:tr>
      <w:tr w:rsidR="00D14014" w:rsidTr="00F564D8">
        <w:tc>
          <w:tcPr>
            <w:tcW w:w="817" w:type="dxa"/>
            <w:vAlign w:val="center"/>
          </w:tcPr>
          <w:p w:rsidR="00D14014" w:rsidRDefault="00D14014" w:rsidP="007A05BF">
            <w:pPr>
              <w:adjustRightInd w:val="0"/>
              <w:snapToGrid w:val="0"/>
              <w:spacing w:line="360" w:lineRule="auto"/>
              <w:jc w:val="center"/>
              <w:rPr>
                <w:rFonts w:ascii="宋体" w:hAnsi="宋体" w:cs="Arial"/>
                <w:sz w:val="28"/>
                <w:szCs w:val="28"/>
              </w:rPr>
            </w:pPr>
            <w:r>
              <w:rPr>
                <w:rFonts w:ascii="宋体" w:hAnsi="宋体" w:cs="Arial" w:hint="eastAsia"/>
                <w:sz w:val="28"/>
                <w:szCs w:val="28"/>
              </w:rPr>
              <w:t>6</w:t>
            </w:r>
          </w:p>
        </w:tc>
        <w:tc>
          <w:tcPr>
            <w:tcW w:w="1418" w:type="dxa"/>
            <w:vAlign w:val="center"/>
          </w:tcPr>
          <w:p w:rsidR="00D14014" w:rsidRDefault="00D14014"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004789</w:t>
            </w:r>
          </w:p>
        </w:tc>
        <w:tc>
          <w:tcPr>
            <w:tcW w:w="3543" w:type="dxa"/>
            <w:vAlign w:val="center"/>
          </w:tcPr>
          <w:p w:rsidR="00D14014" w:rsidRDefault="00D14014" w:rsidP="00A97141">
            <w:pPr>
              <w:adjustRightInd w:val="0"/>
              <w:snapToGrid w:val="0"/>
              <w:spacing w:line="360" w:lineRule="auto"/>
              <w:jc w:val="center"/>
              <w:rPr>
                <w:rFonts w:ascii="宋体" w:hAnsi="宋体" w:cs="Arial"/>
                <w:sz w:val="28"/>
                <w:szCs w:val="28"/>
              </w:rPr>
            </w:pPr>
            <w:r w:rsidRPr="00A97141">
              <w:rPr>
                <w:rFonts w:ascii="宋体" w:hAnsi="宋体" w:cs="Arial" w:hint="eastAsia"/>
                <w:sz w:val="28"/>
                <w:szCs w:val="28"/>
              </w:rPr>
              <w:t>富荣福泰灵活配置混合型</w:t>
            </w:r>
            <w:r w:rsidRPr="00A97141">
              <w:rPr>
                <w:rFonts w:ascii="宋体" w:hAnsi="宋体" w:cs="Arial" w:hint="eastAsia"/>
                <w:sz w:val="28"/>
                <w:szCs w:val="28"/>
              </w:rPr>
              <w:lastRenderedPageBreak/>
              <w:t>证券投资基金</w:t>
            </w:r>
            <w:r>
              <w:rPr>
                <w:rFonts w:ascii="宋体" w:hAnsi="宋体" w:cs="Arial" w:hint="eastAsia"/>
                <w:sz w:val="28"/>
                <w:szCs w:val="28"/>
              </w:rPr>
              <w:t>C类基金份额</w:t>
            </w:r>
          </w:p>
        </w:tc>
        <w:tc>
          <w:tcPr>
            <w:tcW w:w="1418" w:type="dxa"/>
            <w:vAlign w:val="center"/>
          </w:tcPr>
          <w:p w:rsidR="00D14014" w:rsidRPr="00A97141" w:rsidRDefault="00D14014"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lastRenderedPageBreak/>
              <w:t>开通</w:t>
            </w:r>
          </w:p>
        </w:tc>
        <w:tc>
          <w:tcPr>
            <w:tcW w:w="1326" w:type="dxa"/>
            <w:vAlign w:val="center"/>
          </w:tcPr>
          <w:p w:rsidR="00D14014" w:rsidRDefault="00D14014"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不开通</w:t>
            </w:r>
          </w:p>
        </w:tc>
      </w:tr>
      <w:tr w:rsidR="00D14014" w:rsidTr="00F564D8">
        <w:tc>
          <w:tcPr>
            <w:tcW w:w="817" w:type="dxa"/>
            <w:vAlign w:val="center"/>
          </w:tcPr>
          <w:p w:rsidR="00D14014" w:rsidRDefault="00D14014" w:rsidP="007A05BF">
            <w:pPr>
              <w:adjustRightInd w:val="0"/>
              <w:snapToGrid w:val="0"/>
              <w:spacing w:line="360" w:lineRule="auto"/>
              <w:jc w:val="center"/>
              <w:rPr>
                <w:rFonts w:ascii="宋体" w:hAnsi="宋体" w:cs="Arial"/>
                <w:sz w:val="28"/>
                <w:szCs w:val="28"/>
              </w:rPr>
            </w:pPr>
            <w:r>
              <w:rPr>
                <w:rFonts w:ascii="宋体" w:hAnsi="宋体" w:cs="Arial" w:hint="eastAsia"/>
                <w:sz w:val="28"/>
                <w:szCs w:val="28"/>
              </w:rPr>
              <w:lastRenderedPageBreak/>
              <w:t>7</w:t>
            </w:r>
          </w:p>
        </w:tc>
        <w:tc>
          <w:tcPr>
            <w:tcW w:w="1418" w:type="dxa"/>
            <w:vAlign w:val="center"/>
          </w:tcPr>
          <w:p w:rsidR="00D14014" w:rsidRDefault="00D14014"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004790</w:t>
            </w:r>
          </w:p>
        </w:tc>
        <w:tc>
          <w:tcPr>
            <w:tcW w:w="3543" w:type="dxa"/>
            <w:vAlign w:val="center"/>
          </w:tcPr>
          <w:p w:rsidR="00D14014" w:rsidRDefault="00D14014" w:rsidP="00514E03">
            <w:pPr>
              <w:adjustRightInd w:val="0"/>
              <w:snapToGrid w:val="0"/>
              <w:spacing w:line="360" w:lineRule="auto"/>
              <w:jc w:val="center"/>
              <w:rPr>
                <w:rFonts w:ascii="宋体" w:hAnsi="宋体" w:cs="Arial"/>
                <w:sz w:val="28"/>
                <w:szCs w:val="28"/>
              </w:rPr>
            </w:pPr>
            <w:r w:rsidRPr="00294F17">
              <w:rPr>
                <w:rFonts w:ascii="宋体" w:hAnsi="宋体" w:cs="Arial" w:hint="eastAsia"/>
                <w:sz w:val="28"/>
                <w:szCs w:val="28"/>
              </w:rPr>
              <w:t>富荣福安灵活配置混合型证券投资基金</w:t>
            </w:r>
            <w:r>
              <w:rPr>
                <w:rFonts w:ascii="宋体" w:hAnsi="宋体" w:cs="Arial" w:hint="eastAsia"/>
                <w:sz w:val="28"/>
                <w:szCs w:val="28"/>
              </w:rPr>
              <w:t>A类基金份额</w:t>
            </w:r>
          </w:p>
        </w:tc>
        <w:tc>
          <w:tcPr>
            <w:tcW w:w="1418" w:type="dxa"/>
            <w:vAlign w:val="center"/>
          </w:tcPr>
          <w:p w:rsidR="00D14014" w:rsidRPr="00294F17" w:rsidRDefault="00D14014"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开通</w:t>
            </w:r>
          </w:p>
        </w:tc>
        <w:tc>
          <w:tcPr>
            <w:tcW w:w="1326" w:type="dxa"/>
            <w:vAlign w:val="center"/>
          </w:tcPr>
          <w:p w:rsidR="00D14014" w:rsidRDefault="00D14014"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不开通</w:t>
            </w:r>
          </w:p>
        </w:tc>
      </w:tr>
      <w:tr w:rsidR="00D14014" w:rsidTr="00F564D8">
        <w:tc>
          <w:tcPr>
            <w:tcW w:w="817" w:type="dxa"/>
            <w:vAlign w:val="center"/>
          </w:tcPr>
          <w:p w:rsidR="00D14014" w:rsidRDefault="00D14014" w:rsidP="007A05BF">
            <w:pPr>
              <w:adjustRightInd w:val="0"/>
              <w:snapToGrid w:val="0"/>
              <w:spacing w:line="360" w:lineRule="auto"/>
              <w:jc w:val="center"/>
              <w:rPr>
                <w:rFonts w:ascii="宋体" w:hAnsi="宋体" w:cs="Arial"/>
                <w:sz w:val="28"/>
                <w:szCs w:val="28"/>
              </w:rPr>
            </w:pPr>
            <w:r>
              <w:rPr>
                <w:rFonts w:ascii="宋体" w:hAnsi="宋体" w:cs="Arial" w:hint="eastAsia"/>
                <w:sz w:val="28"/>
                <w:szCs w:val="28"/>
              </w:rPr>
              <w:t>8</w:t>
            </w:r>
          </w:p>
        </w:tc>
        <w:tc>
          <w:tcPr>
            <w:tcW w:w="1418" w:type="dxa"/>
            <w:vAlign w:val="center"/>
          </w:tcPr>
          <w:p w:rsidR="00D14014" w:rsidRDefault="00D14014"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004791</w:t>
            </w:r>
          </w:p>
        </w:tc>
        <w:tc>
          <w:tcPr>
            <w:tcW w:w="3543" w:type="dxa"/>
            <w:vAlign w:val="center"/>
          </w:tcPr>
          <w:p w:rsidR="00D14014" w:rsidRDefault="00D14014" w:rsidP="00294F17">
            <w:pPr>
              <w:adjustRightInd w:val="0"/>
              <w:snapToGrid w:val="0"/>
              <w:spacing w:line="360" w:lineRule="auto"/>
              <w:jc w:val="center"/>
              <w:rPr>
                <w:rFonts w:ascii="宋体" w:hAnsi="宋体" w:cs="Arial"/>
                <w:sz w:val="28"/>
                <w:szCs w:val="28"/>
              </w:rPr>
            </w:pPr>
            <w:r w:rsidRPr="00294F17">
              <w:rPr>
                <w:rFonts w:ascii="宋体" w:hAnsi="宋体" w:cs="Arial" w:hint="eastAsia"/>
                <w:sz w:val="28"/>
                <w:szCs w:val="28"/>
              </w:rPr>
              <w:t>富荣福安灵活配置混合型证券投资基金</w:t>
            </w:r>
            <w:r>
              <w:rPr>
                <w:rFonts w:ascii="宋体" w:hAnsi="宋体" w:cs="Arial" w:hint="eastAsia"/>
                <w:sz w:val="28"/>
                <w:szCs w:val="28"/>
              </w:rPr>
              <w:t>C类基金份额</w:t>
            </w:r>
          </w:p>
        </w:tc>
        <w:tc>
          <w:tcPr>
            <w:tcW w:w="1418" w:type="dxa"/>
            <w:vAlign w:val="center"/>
          </w:tcPr>
          <w:p w:rsidR="00D14014" w:rsidRPr="00294F17" w:rsidRDefault="00D14014"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开通</w:t>
            </w:r>
          </w:p>
        </w:tc>
        <w:tc>
          <w:tcPr>
            <w:tcW w:w="1326" w:type="dxa"/>
            <w:vAlign w:val="center"/>
          </w:tcPr>
          <w:p w:rsidR="00D14014" w:rsidRDefault="00D14014"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不开通</w:t>
            </w:r>
          </w:p>
        </w:tc>
      </w:tr>
      <w:tr w:rsidR="00D14014" w:rsidTr="00F564D8">
        <w:tc>
          <w:tcPr>
            <w:tcW w:w="817" w:type="dxa"/>
            <w:vAlign w:val="center"/>
          </w:tcPr>
          <w:p w:rsidR="00D14014" w:rsidRDefault="00D14014" w:rsidP="007A05BF">
            <w:pPr>
              <w:adjustRightInd w:val="0"/>
              <w:snapToGrid w:val="0"/>
              <w:spacing w:line="360" w:lineRule="auto"/>
              <w:jc w:val="center"/>
              <w:rPr>
                <w:rFonts w:ascii="宋体" w:hAnsi="宋体" w:cs="Arial"/>
                <w:sz w:val="28"/>
                <w:szCs w:val="28"/>
              </w:rPr>
            </w:pPr>
            <w:r>
              <w:rPr>
                <w:rFonts w:ascii="宋体" w:hAnsi="宋体" w:cs="Arial" w:hint="eastAsia"/>
                <w:sz w:val="28"/>
                <w:szCs w:val="28"/>
              </w:rPr>
              <w:t>9</w:t>
            </w:r>
          </w:p>
        </w:tc>
        <w:tc>
          <w:tcPr>
            <w:tcW w:w="1418" w:type="dxa"/>
            <w:vAlign w:val="center"/>
          </w:tcPr>
          <w:p w:rsidR="00D14014" w:rsidRDefault="00D14014" w:rsidP="00012037">
            <w:pPr>
              <w:adjustRightInd w:val="0"/>
              <w:snapToGrid w:val="0"/>
              <w:spacing w:line="360" w:lineRule="auto"/>
              <w:jc w:val="center"/>
              <w:rPr>
                <w:rFonts w:ascii="宋体" w:hAnsi="宋体" w:cs="Arial"/>
                <w:sz w:val="28"/>
                <w:szCs w:val="28"/>
              </w:rPr>
            </w:pPr>
            <w:r>
              <w:rPr>
                <w:rFonts w:ascii="宋体" w:hAnsi="宋体" w:cs="Arial" w:hint="eastAsia"/>
                <w:sz w:val="28"/>
                <w:szCs w:val="28"/>
              </w:rPr>
              <w:t>004792</w:t>
            </w:r>
          </w:p>
        </w:tc>
        <w:tc>
          <w:tcPr>
            <w:tcW w:w="3543" w:type="dxa"/>
            <w:vAlign w:val="center"/>
          </w:tcPr>
          <w:p w:rsidR="00D14014" w:rsidRDefault="00D14014" w:rsidP="00012037">
            <w:pPr>
              <w:adjustRightInd w:val="0"/>
              <w:snapToGrid w:val="0"/>
              <w:spacing w:line="360" w:lineRule="auto"/>
              <w:jc w:val="center"/>
              <w:rPr>
                <w:rFonts w:ascii="宋体" w:hAnsi="宋体" w:cs="Arial"/>
                <w:sz w:val="28"/>
                <w:szCs w:val="28"/>
              </w:rPr>
            </w:pPr>
            <w:r>
              <w:rPr>
                <w:rFonts w:ascii="宋体" w:hAnsi="宋体" w:cs="Arial" w:hint="eastAsia"/>
                <w:sz w:val="28"/>
                <w:szCs w:val="28"/>
              </w:rPr>
              <w:t>富荣富乾债券型证券投资基金A类基金份额</w:t>
            </w:r>
          </w:p>
        </w:tc>
        <w:tc>
          <w:tcPr>
            <w:tcW w:w="1418" w:type="dxa"/>
            <w:vAlign w:val="center"/>
          </w:tcPr>
          <w:p w:rsidR="00D14014" w:rsidRPr="002468C9" w:rsidRDefault="00D14014" w:rsidP="00012037">
            <w:pPr>
              <w:adjustRightInd w:val="0"/>
              <w:snapToGrid w:val="0"/>
              <w:spacing w:line="360" w:lineRule="auto"/>
              <w:jc w:val="center"/>
              <w:rPr>
                <w:rFonts w:ascii="宋体" w:hAnsi="宋体" w:cs="Arial"/>
                <w:sz w:val="28"/>
                <w:szCs w:val="28"/>
              </w:rPr>
            </w:pPr>
            <w:r>
              <w:rPr>
                <w:rFonts w:ascii="宋体" w:hAnsi="宋体" w:cs="Arial" w:hint="eastAsia"/>
                <w:sz w:val="28"/>
                <w:szCs w:val="28"/>
              </w:rPr>
              <w:t>开通</w:t>
            </w:r>
          </w:p>
        </w:tc>
        <w:tc>
          <w:tcPr>
            <w:tcW w:w="1326" w:type="dxa"/>
            <w:vAlign w:val="center"/>
          </w:tcPr>
          <w:p w:rsidR="00D14014" w:rsidRDefault="00D14014" w:rsidP="00012037">
            <w:pPr>
              <w:adjustRightInd w:val="0"/>
              <w:snapToGrid w:val="0"/>
              <w:spacing w:line="360" w:lineRule="auto"/>
              <w:jc w:val="center"/>
              <w:rPr>
                <w:rFonts w:ascii="宋体" w:hAnsi="宋体" w:cs="Arial"/>
                <w:sz w:val="28"/>
                <w:szCs w:val="28"/>
              </w:rPr>
            </w:pPr>
            <w:r>
              <w:rPr>
                <w:rFonts w:ascii="宋体" w:hAnsi="宋体" w:cs="Arial" w:hint="eastAsia"/>
                <w:sz w:val="28"/>
                <w:szCs w:val="28"/>
              </w:rPr>
              <w:t>不开通</w:t>
            </w:r>
          </w:p>
        </w:tc>
      </w:tr>
      <w:tr w:rsidR="00F564D8" w:rsidTr="00F564D8">
        <w:tc>
          <w:tcPr>
            <w:tcW w:w="817" w:type="dxa"/>
            <w:vAlign w:val="center"/>
          </w:tcPr>
          <w:p w:rsidR="00F564D8" w:rsidRDefault="00D14014"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10</w:t>
            </w:r>
          </w:p>
        </w:tc>
        <w:tc>
          <w:tcPr>
            <w:tcW w:w="1418" w:type="dxa"/>
            <w:vAlign w:val="center"/>
          </w:tcPr>
          <w:p w:rsidR="00F564D8" w:rsidRDefault="00F564D8" w:rsidP="00012037">
            <w:pPr>
              <w:adjustRightInd w:val="0"/>
              <w:snapToGrid w:val="0"/>
              <w:spacing w:line="360" w:lineRule="auto"/>
              <w:jc w:val="center"/>
              <w:rPr>
                <w:rFonts w:ascii="宋体" w:hAnsi="宋体" w:cs="Arial"/>
                <w:sz w:val="28"/>
                <w:szCs w:val="28"/>
              </w:rPr>
            </w:pPr>
            <w:r>
              <w:rPr>
                <w:rFonts w:ascii="宋体" w:hAnsi="宋体" w:cs="Arial" w:hint="eastAsia"/>
                <w:sz w:val="28"/>
                <w:szCs w:val="28"/>
              </w:rPr>
              <w:t>004793</w:t>
            </w:r>
          </w:p>
        </w:tc>
        <w:tc>
          <w:tcPr>
            <w:tcW w:w="3543" w:type="dxa"/>
            <w:vAlign w:val="center"/>
          </w:tcPr>
          <w:p w:rsidR="00F564D8" w:rsidRDefault="00F564D8" w:rsidP="00012037">
            <w:pPr>
              <w:adjustRightInd w:val="0"/>
              <w:snapToGrid w:val="0"/>
              <w:spacing w:line="360" w:lineRule="auto"/>
              <w:jc w:val="center"/>
              <w:rPr>
                <w:rFonts w:ascii="宋体" w:hAnsi="宋体" w:cs="Arial"/>
                <w:sz w:val="28"/>
                <w:szCs w:val="28"/>
              </w:rPr>
            </w:pPr>
            <w:r>
              <w:rPr>
                <w:rFonts w:ascii="宋体" w:hAnsi="宋体" w:cs="Arial" w:hint="eastAsia"/>
                <w:sz w:val="28"/>
                <w:szCs w:val="28"/>
              </w:rPr>
              <w:t>富荣富乾债券型证券投资基金C类基金份额</w:t>
            </w:r>
          </w:p>
        </w:tc>
        <w:tc>
          <w:tcPr>
            <w:tcW w:w="1418" w:type="dxa"/>
            <w:vAlign w:val="center"/>
          </w:tcPr>
          <w:p w:rsidR="00F564D8" w:rsidRDefault="00F564D8" w:rsidP="00012037">
            <w:pPr>
              <w:adjustRightInd w:val="0"/>
              <w:snapToGrid w:val="0"/>
              <w:spacing w:line="360" w:lineRule="auto"/>
              <w:jc w:val="center"/>
              <w:rPr>
                <w:rFonts w:ascii="宋体" w:hAnsi="宋体" w:cs="Arial"/>
                <w:sz w:val="28"/>
                <w:szCs w:val="28"/>
              </w:rPr>
            </w:pPr>
            <w:r>
              <w:rPr>
                <w:rFonts w:ascii="宋体" w:hAnsi="宋体" w:cs="Arial" w:hint="eastAsia"/>
                <w:sz w:val="28"/>
                <w:szCs w:val="28"/>
              </w:rPr>
              <w:t>开通</w:t>
            </w:r>
          </w:p>
        </w:tc>
        <w:tc>
          <w:tcPr>
            <w:tcW w:w="1326" w:type="dxa"/>
            <w:vAlign w:val="center"/>
          </w:tcPr>
          <w:p w:rsidR="00F564D8" w:rsidRDefault="00F564D8" w:rsidP="00012037">
            <w:pPr>
              <w:adjustRightInd w:val="0"/>
              <w:snapToGrid w:val="0"/>
              <w:spacing w:line="360" w:lineRule="auto"/>
              <w:jc w:val="center"/>
              <w:rPr>
                <w:rFonts w:ascii="宋体" w:hAnsi="宋体" w:cs="Arial"/>
                <w:sz w:val="28"/>
                <w:szCs w:val="28"/>
              </w:rPr>
            </w:pPr>
            <w:r>
              <w:rPr>
                <w:rFonts w:ascii="宋体" w:hAnsi="宋体" w:cs="Arial" w:hint="eastAsia"/>
                <w:sz w:val="28"/>
                <w:szCs w:val="28"/>
              </w:rPr>
              <w:t>不开通</w:t>
            </w:r>
          </w:p>
        </w:tc>
      </w:tr>
    </w:tbl>
    <w:p w:rsidR="00727AEE" w:rsidRDefault="00B05AFF" w:rsidP="00B05AFF">
      <w:pPr>
        <w:adjustRightInd w:val="0"/>
        <w:snapToGrid w:val="0"/>
        <w:spacing w:line="360" w:lineRule="auto"/>
        <w:ind w:firstLineChars="200" w:firstLine="560"/>
        <w:rPr>
          <w:rFonts w:ascii="宋体" w:hAnsi="宋体" w:cs="Arial"/>
          <w:sz w:val="28"/>
          <w:szCs w:val="28"/>
        </w:rPr>
      </w:pPr>
      <w:r>
        <w:rPr>
          <w:rFonts w:ascii="宋体" w:hAnsi="宋体" w:cs="Arial" w:hint="eastAsia"/>
          <w:sz w:val="28"/>
          <w:szCs w:val="28"/>
        </w:rPr>
        <w:t>特别提示：1、2017年11月10日至2017年12月11日为</w:t>
      </w:r>
      <w:r w:rsidRPr="00F564D8">
        <w:rPr>
          <w:rFonts w:ascii="宋体" w:hAnsi="宋体" w:cs="Arial" w:hint="eastAsia"/>
          <w:sz w:val="28"/>
          <w:szCs w:val="28"/>
        </w:rPr>
        <w:t>富荣福鑫灵活配置混合型证券投资基金</w:t>
      </w:r>
      <w:r>
        <w:rPr>
          <w:rFonts w:ascii="宋体" w:hAnsi="宋体" w:cs="Arial" w:hint="eastAsia"/>
          <w:sz w:val="28"/>
          <w:szCs w:val="28"/>
        </w:rPr>
        <w:t>的认购期；2、2017年11月14日至2017年12月14日为</w:t>
      </w:r>
      <w:r w:rsidRPr="00A97141">
        <w:rPr>
          <w:rFonts w:ascii="宋体" w:hAnsi="宋体" w:cs="Arial" w:hint="eastAsia"/>
          <w:sz w:val="28"/>
          <w:szCs w:val="28"/>
        </w:rPr>
        <w:t>富荣福泰灵活配置混合型证券投资基金</w:t>
      </w:r>
      <w:r>
        <w:rPr>
          <w:rFonts w:ascii="宋体" w:hAnsi="宋体" w:cs="Arial" w:hint="eastAsia"/>
          <w:sz w:val="28"/>
          <w:szCs w:val="28"/>
        </w:rPr>
        <w:t>、</w:t>
      </w:r>
      <w:r w:rsidRPr="00294F17">
        <w:rPr>
          <w:rFonts w:ascii="宋体" w:hAnsi="宋体" w:cs="Arial" w:hint="eastAsia"/>
          <w:sz w:val="28"/>
          <w:szCs w:val="28"/>
        </w:rPr>
        <w:t>富荣福安灵活配置混合型证券投资基金</w:t>
      </w:r>
      <w:r>
        <w:rPr>
          <w:rFonts w:ascii="宋体" w:hAnsi="宋体" w:cs="Arial" w:hint="eastAsia"/>
          <w:sz w:val="28"/>
          <w:szCs w:val="28"/>
        </w:rPr>
        <w:t>、富荣富乾债券型证券投资基金的认购期。</w:t>
      </w:r>
    </w:p>
    <w:p w:rsidR="00110C81" w:rsidRPr="00110C81" w:rsidRDefault="00110C81" w:rsidP="00110C81">
      <w:pPr>
        <w:adjustRightInd w:val="0"/>
        <w:snapToGrid w:val="0"/>
        <w:spacing w:line="360" w:lineRule="auto"/>
        <w:ind w:firstLineChars="200" w:firstLine="560"/>
        <w:rPr>
          <w:rFonts w:ascii="宋体" w:hAnsi="宋体" w:cs="Arial"/>
          <w:sz w:val="28"/>
          <w:szCs w:val="28"/>
        </w:rPr>
      </w:pPr>
      <w:r w:rsidRPr="00110C81">
        <w:rPr>
          <w:rFonts w:ascii="宋体" w:hAnsi="宋体" w:cs="Arial" w:hint="eastAsia"/>
          <w:sz w:val="28"/>
          <w:szCs w:val="28"/>
        </w:rPr>
        <w:t>二、关于本公司在</w:t>
      </w:r>
      <w:r>
        <w:rPr>
          <w:rFonts w:ascii="宋体" w:hAnsi="宋体" w:cs="Arial" w:hint="eastAsia"/>
          <w:sz w:val="28"/>
          <w:szCs w:val="28"/>
        </w:rPr>
        <w:t>大泰金石</w:t>
      </w:r>
      <w:r w:rsidRPr="00110C81">
        <w:rPr>
          <w:rFonts w:ascii="宋体" w:hAnsi="宋体" w:cs="Arial" w:hint="eastAsia"/>
          <w:sz w:val="28"/>
          <w:szCs w:val="28"/>
        </w:rPr>
        <w:t>推出旗下部分开放式基金的定期定额投资业务</w:t>
      </w:r>
    </w:p>
    <w:p w:rsidR="00110C81" w:rsidRPr="00110C81" w:rsidRDefault="00110C81" w:rsidP="00110C81">
      <w:pPr>
        <w:adjustRightInd w:val="0"/>
        <w:snapToGrid w:val="0"/>
        <w:spacing w:line="360" w:lineRule="auto"/>
        <w:ind w:firstLineChars="200" w:firstLine="560"/>
        <w:rPr>
          <w:rFonts w:ascii="宋体" w:hAnsi="宋体" w:cs="Arial"/>
          <w:sz w:val="28"/>
          <w:szCs w:val="28"/>
        </w:rPr>
      </w:pPr>
      <w:r w:rsidRPr="00110C81">
        <w:rPr>
          <w:rFonts w:ascii="宋体" w:hAnsi="宋体" w:cs="Arial" w:hint="eastAsia"/>
          <w:sz w:val="28"/>
          <w:szCs w:val="28"/>
        </w:rPr>
        <w:t>定期定额投资业务是指投资者可通过基金管理人指定的销售机构提交申请，约定每期扣款时间、扣款金额，由指定的销售机构于每期约定扣款日在投资者指定资金账户内自动完成扣款，并提交基金申购申请的一种长期投资方式，该业务相关规定如下：</w:t>
      </w:r>
    </w:p>
    <w:p w:rsidR="00110C81" w:rsidRPr="00110C81" w:rsidRDefault="00110C81" w:rsidP="00110C81">
      <w:pPr>
        <w:adjustRightInd w:val="0"/>
        <w:snapToGrid w:val="0"/>
        <w:spacing w:line="360" w:lineRule="auto"/>
        <w:ind w:firstLineChars="200" w:firstLine="560"/>
        <w:rPr>
          <w:rFonts w:ascii="宋体" w:hAnsi="宋体" w:cs="Arial"/>
          <w:sz w:val="28"/>
          <w:szCs w:val="28"/>
        </w:rPr>
      </w:pPr>
      <w:r w:rsidRPr="00110C81">
        <w:rPr>
          <w:rFonts w:ascii="宋体" w:hAnsi="宋体" w:cs="Arial"/>
          <w:sz w:val="28"/>
          <w:szCs w:val="28"/>
        </w:rPr>
        <w:t>1</w:t>
      </w:r>
      <w:r>
        <w:rPr>
          <w:rFonts w:ascii="宋体" w:hAnsi="宋体" w:cs="Arial" w:hint="eastAsia"/>
          <w:sz w:val="28"/>
          <w:szCs w:val="28"/>
        </w:rPr>
        <w:t>、</w:t>
      </w:r>
      <w:r w:rsidRPr="00110C81">
        <w:rPr>
          <w:rFonts w:ascii="宋体" w:hAnsi="宋体" w:cs="Arial" w:hint="eastAsia"/>
          <w:sz w:val="28"/>
          <w:szCs w:val="28"/>
        </w:rPr>
        <w:t>除另有公告外，定期定额投资费率与日常申购费率相同。</w:t>
      </w:r>
      <w:r w:rsidRPr="00110C81">
        <w:rPr>
          <w:rFonts w:ascii="宋体" w:hAnsi="宋体" w:cs="Arial"/>
          <w:sz w:val="28"/>
          <w:szCs w:val="28"/>
        </w:rPr>
        <w:t xml:space="preserve"> </w:t>
      </w:r>
    </w:p>
    <w:p w:rsidR="00B05AFF" w:rsidRDefault="00110C81" w:rsidP="00110C81">
      <w:pPr>
        <w:adjustRightInd w:val="0"/>
        <w:snapToGrid w:val="0"/>
        <w:spacing w:line="360" w:lineRule="auto"/>
        <w:ind w:firstLineChars="200" w:firstLine="560"/>
        <w:rPr>
          <w:rFonts w:ascii="宋体" w:hAnsi="宋体" w:cs="Arial"/>
          <w:sz w:val="28"/>
          <w:szCs w:val="28"/>
        </w:rPr>
      </w:pPr>
      <w:r w:rsidRPr="00110C81">
        <w:rPr>
          <w:rFonts w:ascii="宋体" w:hAnsi="宋体" w:cs="Arial"/>
          <w:sz w:val="28"/>
          <w:szCs w:val="28"/>
        </w:rPr>
        <w:t>2</w:t>
      </w:r>
      <w:r>
        <w:rPr>
          <w:rFonts w:ascii="宋体" w:hAnsi="宋体" w:cs="Arial" w:hint="eastAsia"/>
          <w:sz w:val="28"/>
          <w:szCs w:val="28"/>
        </w:rPr>
        <w:t>、大泰金石</w:t>
      </w:r>
      <w:r w:rsidRPr="00110C81">
        <w:rPr>
          <w:rFonts w:ascii="宋体" w:hAnsi="宋体" w:cs="Arial" w:hint="eastAsia"/>
          <w:sz w:val="28"/>
          <w:szCs w:val="28"/>
        </w:rPr>
        <w:t>将按照与投资者申请时所约定的每期约定扣款日、扣款金额扣款，并在与基金日常申购业务相同的受理时间内提交申请。若遇非基金开放日时，扣款是否顺延以</w:t>
      </w:r>
      <w:r>
        <w:rPr>
          <w:rFonts w:ascii="宋体" w:hAnsi="宋体" w:cs="Arial" w:hint="eastAsia"/>
          <w:sz w:val="28"/>
          <w:szCs w:val="28"/>
        </w:rPr>
        <w:t>大泰金石</w:t>
      </w:r>
      <w:r w:rsidRPr="00110C81">
        <w:rPr>
          <w:rFonts w:ascii="宋体" w:hAnsi="宋体" w:cs="Arial" w:hint="eastAsia"/>
          <w:sz w:val="28"/>
          <w:szCs w:val="28"/>
        </w:rPr>
        <w:t>的具体规定为准。具体扣款方式以</w:t>
      </w:r>
      <w:r>
        <w:rPr>
          <w:rFonts w:ascii="宋体" w:hAnsi="宋体" w:cs="Arial" w:hint="eastAsia"/>
          <w:sz w:val="28"/>
          <w:szCs w:val="28"/>
        </w:rPr>
        <w:t>大泰金石</w:t>
      </w:r>
      <w:r w:rsidRPr="00110C81">
        <w:rPr>
          <w:rFonts w:ascii="宋体" w:hAnsi="宋体" w:cs="Arial" w:hint="eastAsia"/>
          <w:sz w:val="28"/>
          <w:szCs w:val="28"/>
        </w:rPr>
        <w:t>的相关业务规则为准。</w:t>
      </w:r>
    </w:p>
    <w:p w:rsidR="00110C81" w:rsidRPr="00110C81" w:rsidRDefault="00110C81" w:rsidP="00110C81">
      <w:pPr>
        <w:adjustRightInd w:val="0"/>
        <w:snapToGrid w:val="0"/>
        <w:spacing w:line="360" w:lineRule="auto"/>
        <w:ind w:firstLineChars="200" w:firstLine="560"/>
        <w:rPr>
          <w:rFonts w:ascii="宋体" w:hAnsi="宋体" w:cs="Arial"/>
          <w:sz w:val="28"/>
          <w:szCs w:val="28"/>
        </w:rPr>
      </w:pPr>
      <w:r>
        <w:rPr>
          <w:rFonts w:ascii="宋体" w:hAnsi="宋体" w:cs="Arial" w:hint="eastAsia"/>
          <w:sz w:val="28"/>
          <w:szCs w:val="28"/>
        </w:rPr>
        <w:lastRenderedPageBreak/>
        <w:t>3、</w:t>
      </w:r>
      <w:r w:rsidRPr="00110C81">
        <w:rPr>
          <w:rFonts w:ascii="宋体" w:hAnsi="宋体" w:cs="Arial" w:hint="eastAsia"/>
          <w:sz w:val="28"/>
          <w:szCs w:val="28"/>
        </w:rPr>
        <w:t>当发生限制申购或暂停申购的情形时，除另有公告外，定期定额投资与日常申购按相同的原则确认。</w:t>
      </w:r>
      <w:r w:rsidRPr="00110C81">
        <w:rPr>
          <w:rFonts w:ascii="宋体" w:hAnsi="宋体" w:cs="Arial"/>
          <w:sz w:val="28"/>
          <w:szCs w:val="28"/>
        </w:rPr>
        <w:t xml:space="preserve"> </w:t>
      </w:r>
    </w:p>
    <w:p w:rsidR="00110C81" w:rsidRPr="00110C81" w:rsidRDefault="00110C81" w:rsidP="00110C81">
      <w:pPr>
        <w:adjustRightInd w:val="0"/>
        <w:snapToGrid w:val="0"/>
        <w:spacing w:line="360" w:lineRule="auto"/>
        <w:ind w:firstLineChars="200" w:firstLine="560"/>
        <w:rPr>
          <w:rFonts w:ascii="宋体" w:hAnsi="宋体" w:cs="Arial"/>
          <w:sz w:val="28"/>
          <w:szCs w:val="28"/>
        </w:rPr>
      </w:pPr>
      <w:r>
        <w:rPr>
          <w:rFonts w:ascii="宋体" w:hAnsi="宋体" w:cs="Arial" w:hint="eastAsia"/>
          <w:sz w:val="28"/>
          <w:szCs w:val="28"/>
        </w:rPr>
        <w:t>4、</w:t>
      </w:r>
      <w:r w:rsidRPr="00110C81">
        <w:rPr>
          <w:rFonts w:ascii="宋体" w:hAnsi="宋体" w:cs="Arial" w:hint="eastAsia"/>
          <w:sz w:val="28"/>
          <w:szCs w:val="28"/>
        </w:rPr>
        <w:t>定期定额投资业务的其它具体办理程序请遵循</w:t>
      </w:r>
      <w:r>
        <w:rPr>
          <w:rFonts w:ascii="宋体" w:hAnsi="宋体" w:cs="Arial" w:hint="eastAsia"/>
          <w:sz w:val="28"/>
          <w:szCs w:val="28"/>
        </w:rPr>
        <w:t>大泰金石</w:t>
      </w:r>
      <w:r w:rsidRPr="00110C81">
        <w:rPr>
          <w:rFonts w:ascii="宋体" w:hAnsi="宋体" w:cs="Arial" w:hint="eastAsia"/>
          <w:sz w:val="28"/>
          <w:szCs w:val="28"/>
        </w:rPr>
        <w:t>的有关规定。</w:t>
      </w:r>
    </w:p>
    <w:p w:rsidR="00727AEE" w:rsidRPr="00727AEE" w:rsidRDefault="00727AEE" w:rsidP="00727AEE">
      <w:pPr>
        <w:adjustRightInd w:val="0"/>
        <w:snapToGrid w:val="0"/>
        <w:spacing w:line="360" w:lineRule="auto"/>
        <w:ind w:firstLineChars="200" w:firstLine="560"/>
        <w:rPr>
          <w:rFonts w:ascii="宋体" w:hAnsi="宋体" w:cs="Arial"/>
          <w:sz w:val="28"/>
          <w:szCs w:val="28"/>
        </w:rPr>
      </w:pPr>
      <w:r>
        <w:rPr>
          <w:rFonts w:ascii="宋体" w:hAnsi="宋体" w:cs="Arial" w:hint="eastAsia"/>
          <w:sz w:val="28"/>
          <w:szCs w:val="28"/>
        </w:rPr>
        <w:t>三</w:t>
      </w:r>
      <w:r w:rsidRPr="00727AEE">
        <w:rPr>
          <w:rFonts w:ascii="宋体" w:hAnsi="宋体" w:cs="Arial" w:hint="eastAsia"/>
          <w:sz w:val="28"/>
          <w:szCs w:val="28"/>
        </w:rPr>
        <w:t>、重要提示</w:t>
      </w:r>
    </w:p>
    <w:p w:rsidR="00110C81" w:rsidRPr="00110C81" w:rsidRDefault="00110C81" w:rsidP="00110C81">
      <w:pPr>
        <w:adjustRightInd w:val="0"/>
        <w:snapToGrid w:val="0"/>
        <w:spacing w:line="360" w:lineRule="auto"/>
        <w:ind w:firstLineChars="200" w:firstLine="560"/>
        <w:rPr>
          <w:rFonts w:ascii="宋体" w:hAnsi="宋体" w:cs="Arial"/>
          <w:sz w:val="28"/>
          <w:szCs w:val="28"/>
        </w:rPr>
      </w:pPr>
      <w:r w:rsidRPr="00110C81">
        <w:rPr>
          <w:rFonts w:ascii="宋体" w:hAnsi="宋体" w:cs="Arial"/>
          <w:sz w:val="28"/>
          <w:szCs w:val="28"/>
        </w:rPr>
        <w:t>1.</w:t>
      </w:r>
      <w:r w:rsidRPr="00110C81">
        <w:rPr>
          <w:rFonts w:ascii="宋体" w:hAnsi="宋体" w:cs="Arial" w:hint="eastAsia"/>
          <w:sz w:val="28"/>
          <w:szCs w:val="28"/>
        </w:rPr>
        <w:t>本公司所管理的尚未开通定期定额投资业务的开放式基金及今后发行的开放式基金是否开通定期定额投资业务将根据具体情况确定并另行公告。若今后</w:t>
      </w:r>
      <w:r>
        <w:rPr>
          <w:rFonts w:ascii="宋体" w:hAnsi="宋体" w:cs="Arial" w:hint="eastAsia"/>
          <w:sz w:val="28"/>
          <w:szCs w:val="28"/>
        </w:rPr>
        <w:t>大泰金石</w:t>
      </w:r>
      <w:r w:rsidRPr="00110C81">
        <w:rPr>
          <w:rFonts w:ascii="宋体" w:hAnsi="宋体" w:cs="Arial" w:hint="eastAsia"/>
          <w:sz w:val="28"/>
          <w:szCs w:val="28"/>
        </w:rPr>
        <w:t>依据法律法规及基金相关法律文件对定期定额投资起点金额进行调整，在不低于本公司对各基金设定的定期定额投资起点金额的前提下，以</w:t>
      </w:r>
      <w:r w:rsidR="00A1004F">
        <w:rPr>
          <w:rFonts w:ascii="宋体" w:hAnsi="宋体" w:cs="Arial" w:hint="eastAsia"/>
          <w:sz w:val="28"/>
          <w:szCs w:val="28"/>
        </w:rPr>
        <w:t>大泰金石</w:t>
      </w:r>
      <w:r w:rsidRPr="00110C81">
        <w:rPr>
          <w:rFonts w:ascii="宋体" w:hAnsi="宋体" w:cs="Arial" w:hint="eastAsia"/>
          <w:sz w:val="28"/>
          <w:szCs w:val="28"/>
        </w:rPr>
        <w:t>最新规定为准。</w:t>
      </w:r>
    </w:p>
    <w:p w:rsidR="00514E03" w:rsidRDefault="00110C81" w:rsidP="00A1004F">
      <w:pPr>
        <w:adjustRightInd w:val="0"/>
        <w:snapToGrid w:val="0"/>
        <w:spacing w:line="360" w:lineRule="auto"/>
        <w:ind w:firstLineChars="200" w:firstLine="560"/>
        <w:rPr>
          <w:rFonts w:ascii="宋体" w:hAnsi="宋体" w:cs="Arial"/>
          <w:sz w:val="28"/>
          <w:szCs w:val="28"/>
        </w:rPr>
      </w:pPr>
      <w:r w:rsidRPr="00110C81">
        <w:rPr>
          <w:rFonts w:ascii="宋体" w:hAnsi="宋体" w:cs="Arial"/>
          <w:sz w:val="28"/>
          <w:szCs w:val="28"/>
        </w:rPr>
        <w:t>2</w:t>
      </w:r>
      <w:r w:rsidR="00A1004F">
        <w:rPr>
          <w:rFonts w:ascii="宋体" w:hAnsi="宋体" w:cs="Arial" w:hint="eastAsia"/>
          <w:sz w:val="28"/>
          <w:szCs w:val="28"/>
        </w:rPr>
        <w:t>、</w:t>
      </w:r>
      <w:r w:rsidR="00A1004F" w:rsidRPr="00727AEE">
        <w:rPr>
          <w:rFonts w:ascii="宋体" w:hAnsi="宋体" w:cs="Arial" w:hint="eastAsia"/>
          <w:sz w:val="28"/>
          <w:szCs w:val="28"/>
        </w:rPr>
        <w:t>本公告的解释权归富荣基金管理有限公司所有。</w:t>
      </w:r>
    </w:p>
    <w:p w:rsidR="00514E03" w:rsidRPr="00727AEE" w:rsidRDefault="00727AEE" w:rsidP="00727AEE">
      <w:pPr>
        <w:adjustRightInd w:val="0"/>
        <w:snapToGrid w:val="0"/>
        <w:spacing w:line="360" w:lineRule="auto"/>
        <w:ind w:firstLineChars="200" w:firstLine="560"/>
        <w:rPr>
          <w:rFonts w:ascii="宋体" w:hAnsi="宋体" w:cs="Arial"/>
          <w:sz w:val="28"/>
          <w:szCs w:val="28"/>
        </w:rPr>
      </w:pPr>
      <w:r>
        <w:rPr>
          <w:rFonts w:ascii="宋体" w:hAnsi="宋体" w:cs="Arial" w:hint="eastAsia"/>
          <w:sz w:val="28"/>
          <w:szCs w:val="28"/>
        </w:rPr>
        <w:t>四</w:t>
      </w:r>
      <w:r w:rsidRPr="00727AEE">
        <w:rPr>
          <w:rFonts w:ascii="宋体" w:hAnsi="宋体" w:cs="Arial" w:hint="eastAsia"/>
          <w:sz w:val="28"/>
          <w:szCs w:val="28"/>
        </w:rPr>
        <w:t>、投资者可通过以下途径咨询有关详情</w:t>
      </w:r>
    </w:p>
    <w:p w:rsidR="00727AEE" w:rsidRPr="00727AEE" w:rsidRDefault="00727AEE" w:rsidP="00727AEE">
      <w:pPr>
        <w:adjustRightInd w:val="0"/>
        <w:snapToGrid w:val="0"/>
        <w:spacing w:line="360" w:lineRule="auto"/>
        <w:ind w:firstLineChars="200" w:firstLine="560"/>
        <w:rPr>
          <w:rFonts w:ascii="宋体" w:hAnsi="宋体" w:cs="Arial"/>
          <w:sz w:val="28"/>
          <w:szCs w:val="28"/>
        </w:rPr>
      </w:pPr>
      <w:r>
        <w:rPr>
          <w:rFonts w:ascii="宋体" w:hAnsi="宋体" w:cs="Arial" w:hint="eastAsia"/>
          <w:sz w:val="28"/>
          <w:szCs w:val="28"/>
        </w:rPr>
        <w:t>1</w:t>
      </w:r>
      <w:r w:rsidRPr="00727AEE">
        <w:rPr>
          <w:rFonts w:ascii="宋体" w:hAnsi="宋体" w:cs="Arial" w:hint="eastAsia"/>
          <w:sz w:val="28"/>
          <w:szCs w:val="28"/>
        </w:rPr>
        <w:t xml:space="preserve">. </w:t>
      </w:r>
      <w:r w:rsidR="00A1004F">
        <w:rPr>
          <w:rFonts w:ascii="宋体" w:hAnsi="宋体" w:hint="eastAsia"/>
          <w:sz w:val="28"/>
          <w:szCs w:val="28"/>
        </w:rPr>
        <w:t>大泰金石基金销售有限公司</w:t>
      </w:r>
    </w:p>
    <w:tbl>
      <w:tblPr>
        <w:tblW w:w="7615" w:type="dxa"/>
        <w:tblInd w:w="622" w:type="dxa"/>
        <w:tblCellMar>
          <w:left w:w="0" w:type="dxa"/>
          <w:right w:w="0" w:type="dxa"/>
        </w:tblCellMar>
        <w:tblLook w:val="04A0"/>
      </w:tblPr>
      <w:tblGrid>
        <w:gridCol w:w="2062"/>
        <w:gridCol w:w="5553"/>
      </w:tblGrid>
      <w:tr w:rsidR="00727AEE" w:rsidRPr="00727AEE" w:rsidTr="00727AEE">
        <w:tc>
          <w:tcPr>
            <w:tcW w:w="1354" w:type="pc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hint="eastAsia"/>
                <w:sz w:val="28"/>
                <w:szCs w:val="28"/>
              </w:rPr>
              <w:t>注册地址</w:t>
            </w:r>
          </w:p>
        </w:tc>
        <w:tc>
          <w:tcPr>
            <w:tcW w:w="3646" w:type="pct"/>
            <w:tcBorders>
              <w:top w:val="outset" w:sz="8" w:space="0" w:color="000000"/>
              <w:left w:val="nil"/>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A1004F" w:rsidP="00727AEE">
            <w:pPr>
              <w:adjustRightInd w:val="0"/>
              <w:snapToGrid w:val="0"/>
              <w:spacing w:line="360" w:lineRule="auto"/>
              <w:rPr>
                <w:rFonts w:ascii="宋体" w:hAnsi="宋体" w:cs="Arial"/>
                <w:sz w:val="28"/>
                <w:szCs w:val="28"/>
              </w:rPr>
            </w:pPr>
            <w:r w:rsidRPr="00A1004F">
              <w:rPr>
                <w:rFonts w:ascii="宋体" w:hAnsi="宋体" w:cs="Arial" w:hint="eastAsia"/>
                <w:sz w:val="28"/>
                <w:szCs w:val="28"/>
              </w:rPr>
              <w:t>南京市建邺区江东中路222号南京奥体中心现代五项馆2105室</w:t>
            </w:r>
          </w:p>
        </w:tc>
      </w:tr>
      <w:tr w:rsidR="00727AEE" w:rsidRPr="00727AEE" w:rsidTr="00727AE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hint="eastAsia"/>
                <w:sz w:val="28"/>
                <w:szCs w:val="28"/>
              </w:rPr>
              <w:t>办公地址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A1004F" w:rsidP="00727AEE">
            <w:pPr>
              <w:adjustRightInd w:val="0"/>
              <w:snapToGrid w:val="0"/>
              <w:spacing w:line="360" w:lineRule="auto"/>
              <w:rPr>
                <w:rFonts w:ascii="宋体" w:hAnsi="宋体" w:cs="Arial"/>
                <w:sz w:val="28"/>
                <w:szCs w:val="28"/>
              </w:rPr>
            </w:pPr>
            <w:r>
              <w:rPr>
                <w:rFonts w:ascii="宋体" w:hAnsi="宋体" w:cs="Arial" w:hint="eastAsia"/>
                <w:sz w:val="28"/>
                <w:szCs w:val="28"/>
              </w:rPr>
              <w:t>上海市浦东新区峨山路505号东方纯一大厦15楼</w:t>
            </w:r>
          </w:p>
        </w:tc>
      </w:tr>
      <w:tr w:rsidR="00727AEE" w:rsidRPr="00727AEE" w:rsidTr="00727AE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hint="eastAsia"/>
                <w:sz w:val="28"/>
                <w:szCs w:val="28"/>
              </w:rPr>
              <w:t>法定代表人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A1004F" w:rsidP="00727AEE">
            <w:pPr>
              <w:adjustRightInd w:val="0"/>
              <w:snapToGrid w:val="0"/>
              <w:spacing w:line="360" w:lineRule="auto"/>
              <w:rPr>
                <w:rFonts w:ascii="宋体" w:hAnsi="宋体" w:cs="Arial"/>
                <w:sz w:val="28"/>
                <w:szCs w:val="28"/>
              </w:rPr>
            </w:pPr>
            <w:r w:rsidRPr="00A1004F">
              <w:rPr>
                <w:rFonts w:ascii="宋体" w:hAnsi="宋体" w:cs="Arial" w:hint="eastAsia"/>
                <w:sz w:val="28"/>
                <w:szCs w:val="28"/>
              </w:rPr>
              <w:t>袁顾明</w:t>
            </w:r>
          </w:p>
        </w:tc>
      </w:tr>
      <w:tr w:rsidR="00727AEE" w:rsidRPr="00727AEE" w:rsidTr="00727AE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hint="eastAsia"/>
                <w:sz w:val="28"/>
                <w:szCs w:val="28"/>
              </w:rPr>
              <w:t>联系人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A1004F" w:rsidP="00727AEE">
            <w:pPr>
              <w:adjustRightInd w:val="0"/>
              <w:snapToGrid w:val="0"/>
              <w:spacing w:line="360" w:lineRule="auto"/>
              <w:rPr>
                <w:rFonts w:ascii="宋体" w:hAnsi="宋体" w:cs="Arial"/>
                <w:sz w:val="28"/>
                <w:szCs w:val="28"/>
              </w:rPr>
            </w:pPr>
            <w:r>
              <w:rPr>
                <w:rFonts w:ascii="宋体" w:hAnsi="宋体" w:cs="Arial" w:hint="eastAsia"/>
                <w:sz w:val="28"/>
                <w:szCs w:val="28"/>
              </w:rPr>
              <w:t>孟召社</w:t>
            </w:r>
          </w:p>
        </w:tc>
      </w:tr>
      <w:tr w:rsidR="00727AEE" w:rsidRPr="00727AEE" w:rsidTr="00727AE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hint="eastAsia"/>
                <w:sz w:val="28"/>
                <w:szCs w:val="28"/>
              </w:rPr>
              <w:t>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A1004F" w:rsidP="00727AEE">
            <w:pPr>
              <w:adjustRightInd w:val="0"/>
              <w:snapToGrid w:val="0"/>
              <w:spacing w:line="360" w:lineRule="auto"/>
              <w:rPr>
                <w:rFonts w:ascii="宋体" w:hAnsi="宋体" w:cs="Arial"/>
                <w:sz w:val="28"/>
                <w:szCs w:val="28"/>
              </w:rPr>
            </w:pPr>
            <w:r>
              <w:rPr>
                <w:rFonts w:ascii="宋体" w:hAnsi="宋体" w:cs="Arial" w:hint="eastAsia"/>
                <w:sz w:val="28"/>
                <w:szCs w:val="28"/>
              </w:rPr>
              <w:t>021-20324176</w:t>
            </w:r>
          </w:p>
        </w:tc>
      </w:tr>
      <w:tr w:rsidR="00727AEE" w:rsidRPr="00727AEE" w:rsidTr="00727AE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hint="eastAsia"/>
                <w:sz w:val="28"/>
                <w:szCs w:val="28"/>
              </w:rPr>
              <w:t>客户服务电话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9113CB" w:rsidP="00727AEE">
            <w:pPr>
              <w:adjustRightInd w:val="0"/>
              <w:snapToGrid w:val="0"/>
              <w:spacing w:line="360" w:lineRule="auto"/>
              <w:rPr>
                <w:rFonts w:ascii="宋体" w:hAnsi="宋体" w:cs="Arial"/>
                <w:sz w:val="28"/>
                <w:szCs w:val="28"/>
              </w:rPr>
            </w:pPr>
            <w:r w:rsidRPr="009113CB">
              <w:rPr>
                <w:rFonts w:ascii="宋体" w:hAnsi="宋体" w:cs="Arial"/>
                <w:sz w:val="28"/>
                <w:szCs w:val="28"/>
              </w:rPr>
              <w:t>400-928-2266</w:t>
            </w:r>
          </w:p>
        </w:tc>
      </w:tr>
      <w:tr w:rsidR="00727AEE" w:rsidRPr="00727AEE" w:rsidTr="00727AE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hint="eastAsia"/>
                <w:sz w:val="28"/>
                <w:szCs w:val="28"/>
              </w:rPr>
              <w:t>网址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A1004F" w:rsidP="00727AEE">
            <w:pPr>
              <w:adjustRightInd w:val="0"/>
              <w:snapToGrid w:val="0"/>
              <w:spacing w:line="360" w:lineRule="auto"/>
              <w:rPr>
                <w:rFonts w:ascii="宋体" w:hAnsi="宋体" w:cs="Arial"/>
                <w:sz w:val="28"/>
                <w:szCs w:val="28"/>
              </w:rPr>
            </w:pPr>
            <w:r>
              <w:rPr>
                <w:rFonts w:ascii="宋体" w:hAnsi="宋体" w:cs="Arial" w:hint="eastAsia"/>
                <w:sz w:val="28"/>
                <w:szCs w:val="28"/>
              </w:rPr>
              <w:t>www.dtfunds.com</w:t>
            </w:r>
          </w:p>
        </w:tc>
      </w:tr>
    </w:tbl>
    <w:p w:rsidR="00727AEE" w:rsidRPr="00727AEE" w:rsidRDefault="00727AEE" w:rsidP="00727AEE">
      <w:pPr>
        <w:adjustRightInd w:val="0"/>
        <w:snapToGrid w:val="0"/>
        <w:spacing w:line="360" w:lineRule="auto"/>
        <w:ind w:firstLineChars="200" w:firstLine="560"/>
        <w:rPr>
          <w:rFonts w:ascii="宋体" w:hAnsi="宋体" w:cs="Arial"/>
          <w:sz w:val="28"/>
          <w:szCs w:val="28"/>
        </w:rPr>
      </w:pPr>
      <w:r>
        <w:rPr>
          <w:rFonts w:ascii="宋体" w:hAnsi="宋体" w:cs="Arial" w:hint="eastAsia"/>
          <w:sz w:val="28"/>
          <w:szCs w:val="28"/>
        </w:rPr>
        <w:t>2</w:t>
      </w:r>
      <w:r w:rsidRPr="00727AEE">
        <w:rPr>
          <w:rFonts w:ascii="宋体" w:hAnsi="宋体" w:cs="Arial" w:hint="eastAsia"/>
          <w:sz w:val="28"/>
          <w:szCs w:val="28"/>
        </w:rPr>
        <w:t>.富荣基金管理有限公司</w:t>
      </w:r>
    </w:p>
    <w:p w:rsidR="00727AEE" w:rsidRPr="00727AEE" w:rsidRDefault="00727AEE" w:rsidP="00727AEE">
      <w:pPr>
        <w:adjustRightInd w:val="0"/>
        <w:snapToGrid w:val="0"/>
        <w:spacing w:line="360" w:lineRule="auto"/>
        <w:ind w:firstLineChars="200" w:firstLine="560"/>
        <w:rPr>
          <w:rFonts w:ascii="宋体" w:hAnsi="宋体" w:cs="Arial"/>
          <w:sz w:val="28"/>
          <w:szCs w:val="28"/>
        </w:rPr>
      </w:pPr>
      <w:r w:rsidRPr="00727AEE">
        <w:rPr>
          <w:rFonts w:ascii="宋体" w:hAnsi="宋体" w:cs="Arial" w:hint="eastAsia"/>
          <w:sz w:val="28"/>
          <w:szCs w:val="28"/>
        </w:rPr>
        <w:t>客服电话：</w:t>
      </w:r>
      <w:r w:rsidRPr="00727AEE">
        <w:rPr>
          <w:rFonts w:ascii="宋体" w:hAnsi="宋体" w:cs="Arial"/>
          <w:sz w:val="28"/>
          <w:szCs w:val="28"/>
        </w:rPr>
        <w:t>400</w:t>
      </w:r>
      <w:r w:rsidRPr="00727AEE">
        <w:rPr>
          <w:rFonts w:ascii="宋体" w:hAnsi="宋体" w:cs="Arial" w:hint="eastAsia"/>
          <w:sz w:val="28"/>
          <w:szCs w:val="28"/>
        </w:rPr>
        <w:t>-</w:t>
      </w:r>
      <w:r w:rsidRPr="00727AEE">
        <w:rPr>
          <w:rFonts w:ascii="宋体" w:hAnsi="宋体" w:cs="Arial"/>
          <w:sz w:val="28"/>
          <w:szCs w:val="28"/>
        </w:rPr>
        <w:t>685</w:t>
      </w:r>
      <w:r w:rsidRPr="00727AEE">
        <w:rPr>
          <w:rFonts w:ascii="宋体" w:hAnsi="宋体" w:cs="Arial" w:hint="eastAsia"/>
          <w:sz w:val="28"/>
          <w:szCs w:val="28"/>
        </w:rPr>
        <w:t>-</w:t>
      </w:r>
      <w:r w:rsidRPr="00727AEE">
        <w:rPr>
          <w:rFonts w:ascii="宋体" w:hAnsi="宋体" w:cs="Arial"/>
          <w:sz w:val="28"/>
          <w:szCs w:val="28"/>
        </w:rPr>
        <w:t>5600</w:t>
      </w:r>
    </w:p>
    <w:p w:rsidR="00727AEE" w:rsidRPr="00727AEE" w:rsidRDefault="00727AEE" w:rsidP="00727AEE">
      <w:pPr>
        <w:adjustRightInd w:val="0"/>
        <w:snapToGrid w:val="0"/>
        <w:spacing w:line="360" w:lineRule="auto"/>
        <w:ind w:firstLineChars="200" w:firstLine="560"/>
        <w:rPr>
          <w:rFonts w:ascii="宋体" w:hAnsi="宋体" w:cs="Arial"/>
          <w:sz w:val="28"/>
          <w:szCs w:val="28"/>
        </w:rPr>
      </w:pPr>
      <w:r w:rsidRPr="00727AEE">
        <w:rPr>
          <w:rFonts w:ascii="宋体" w:hAnsi="宋体" w:cs="Arial" w:hint="eastAsia"/>
          <w:sz w:val="28"/>
          <w:szCs w:val="28"/>
        </w:rPr>
        <w:t>网址：</w:t>
      </w:r>
      <w:hyperlink r:id="rId7" w:history="1">
        <w:r w:rsidRPr="00727AEE">
          <w:rPr>
            <w:rStyle w:val="a6"/>
            <w:rFonts w:ascii="宋体" w:hAnsi="宋体" w:cs="Arial" w:hint="eastAsia"/>
            <w:sz w:val="28"/>
            <w:szCs w:val="28"/>
          </w:rPr>
          <w:t>www.furamc.com.cn</w:t>
        </w:r>
      </w:hyperlink>
    </w:p>
    <w:p w:rsidR="00727AEE" w:rsidRPr="00727AEE" w:rsidRDefault="00727AEE" w:rsidP="00727AEE">
      <w:pPr>
        <w:adjustRightInd w:val="0"/>
        <w:snapToGrid w:val="0"/>
        <w:spacing w:line="360" w:lineRule="auto"/>
        <w:ind w:firstLineChars="200" w:firstLine="560"/>
        <w:rPr>
          <w:rFonts w:ascii="宋体" w:hAnsi="宋体" w:cs="Arial"/>
          <w:sz w:val="28"/>
          <w:szCs w:val="28"/>
        </w:rPr>
      </w:pPr>
      <w:r w:rsidRPr="00727AEE">
        <w:rPr>
          <w:rFonts w:ascii="宋体" w:hAnsi="宋体" w:cs="Arial"/>
          <w:sz w:val="28"/>
          <w:szCs w:val="28"/>
        </w:rPr>
        <w:lastRenderedPageBreak/>
        <w:t xml:space="preserve">风险提示：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 </w:t>
      </w:r>
    </w:p>
    <w:p w:rsidR="00727AEE" w:rsidRPr="00727AEE" w:rsidRDefault="00727AEE" w:rsidP="00727AEE">
      <w:pPr>
        <w:adjustRightInd w:val="0"/>
        <w:snapToGrid w:val="0"/>
        <w:spacing w:line="360" w:lineRule="auto"/>
        <w:ind w:firstLineChars="200" w:firstLine="560"/>
        <w:rPr>
          <w:rFonts w:ascii="宋体" w:hAnsi="宋体" w:cs="Arial"/>
          <w:sz w:val="28"/>
          <w:szCs w:val="28"/>
        </w:rPr>
      </w:pPr>
      <w:r w:rsidRPr="00727AEE">
        <w:rPr>
          <w:rFonts w:ascii="宋体" w:hAnsi="宋体" w:cs="Arial"/>
          <w:sz w:val="28"/>
          <w:szCs w:val="28"/>
        </w:rPr>
        <w:t>特此公告。</w:t>
      </w:r>
    </w:p>
    <w:p w:rsidR="003066C9" w:rsidRDefault="003066C9" w:rsidP="00727AEE">
      <w:pPr>
        <w:adjustRightInd w:val="0"/>
        <w:snapToGrid w:val="0"/>
        <w:spacing w:line="360" w:lineRule="auto"/>
        <w:ind w:firstLineChars="200" w:firstLine="560"/>
        <w:rPr>
          <w:rFonts w:ascii="宋体" w:eastAsia="宋体" w:hAnsi="宋体" w:cs="Arial"/>
          <w:sz w:val="28"/>
          <w:szCs w:val="28"/>
        </w:rPr>
      </w:pPr>
    </w:p>
    <w:p w:rsidR="003066C9" w:rsidRDefault="003066C9">
      <w:pPr>
        <w:rPr>
          <w:rFonts w:ascii="宋体" w:hAnsi="宋体"/>
        </w:rPr>
      </w:pPr>
    </w:p>
    <w:p w:rsidR="003066C9" w:rsidRDefault="003066C9">
      <w:pPr>
        <w:rPr>
          <w:rFonts w:ascii="宋体" w:hAnsi="宋体"/>
        </w:rPr>
      </w:pPr>
    </w:p>
    <w:p w:rsidR="003066C9" w:rsidRDefault="006A35EE">
      <w:pPr>
        <w:autoSpaceDE w:val="0"/>
        <w:autoSpaceDN w:val="0"/>
        <w:ind w:firstLine="570"/>
        <w:jc w:val="right"/>
        <w:rPr>
          <w:rFonts w:ascii="宋体" w:hAnsi="宋体"/>
          <w:sz w:val="28"/>
          <w:szCs w:val="28"/>
        </w:rPr>
      </w:pPr>
      <w:r>
        <w:rPr>
          <w:rFonts w:ascii="宋体" w:hAnsi="宋体" w:hint="eastAsia"/>
          <w:sz w:val="28"/>
          <w:szCs w:val="28"/>
        </w:rPr>
        <w:t>富荣基金管理有限公司</w:t>
      </w:r>
    </w:p>
    <w:p w:rsidR="003066C9" w:rsidRDefault="006A35EE">
      <w:pPr>
        <w:jc w:val="right"/>
      </w:pPr>
      <w:r>
        <w:rPr>
          <w:rFonts w:ascii="宋体" w:hAnsi="宋体" w:hint="eastAsia"/>
          <w:sz w:val="28"/>
          <w:szCs w:val="28"/>
        </w:rPr>
        <w:t>2017年</w:t>
      </w:r>
      <w:r w:rsidR="00727AEE">
        <w:rPr>
          <w:rFonts w:ascii="宋体" w:hAnsi="宋体" w:hint="eastAsia"/>
          <w:sz w:val="28"/>
          <w:szCs w:val="28"/>
        </w:rPr>
        <w:t>11</w:t>
      </w:r>
      <w:r>
        <w:rPr>
          <w:rFonts w:ascii="宋体" w:hAnsi="宋体" w:hint="eastAsia"/>
          <w:sz w:val="28"/>
          <w:szCs w:val="28"/>
        </w:rPr>
        <w:t>月</w:t>
      </w:r>
      <w:bookmarkStart w:id="0" w:name="_GoBack"/>
      <w:bookmarkEnd w:id="0"/>
      <w:r w:rsidR="009113CB">
        <w:rPr>
          <w:rFonts w:ascii="宋体" w:hAnsi="宋体" w:hint="eastAsia"/>
          <w:sz w:val="28"/>
          <w:szCs w:val="28"/>
        </w:rPr>
        <w:t>2</w:t>
      </w:r>
      <w:r w:rsidR="002318BE">
        <w:rPr>
          <w:rFonts w:ascii="宋体" w:hAnsi="宋体" w:hint="eastAsia"/>
          <w:sz w:val="28"/>
          <w:szCs w:val="28"/>
        </w:rPr>
        <w:t>8</w:t>
      </w:r>
      <w:r>
        <w:rPr>
          <w:rFonts w:ascii="宋体" w:hAnsi="宋体" w:hint="eastAsia"/>
          <w:sz w:val="28"/>
          <w:szCs w:val="28"/>
        </w:rPr>
        <w:t>日</w:t>
      </w:r>
    </w:p>
    <w:sectPr w:rsidR="003066C9" w:rsidSect="003066C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79C9" w:rsidRDefault="008B79C9" w:rsidP="00AE5EA4">
      <w:r>
        <w:separator/>
      </w:r>
    </w:p>
  </w:endnote>
  <w:endnote w:type="continuationSeparator" w:id="1">
    <w:p w:rsidR="008B79C9" w:rsidRDefault="008B79C9" w:rsidP="00AE5EA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Arial Unicode MS"/>
    <w:charset w:val="86"/>
    <w:family w:val="modern"/>
    <w:pitch w:val="fixed"/>
    <w:sig w:usb0="00000000" w:usb1="080E0000" w:usb2="00000010" w:usb3="00000000" w:csb0="00040000" w:csb1="00000000"/>
  </w:font>
  <w:font w:name="Arial">
    <w:panose1 w:val="020B0604020202020204"/>
    <w:charset w:val="00"/>
    <w:family w:val="swiss"/>
    <w:pitch w:val="variable"/>
    <w:sig w:usb0="20002A87" w:usb1="00000000" w:usb2="00000000" w:usb3="00000000" w:csb0="000001FF"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79C9" w:rsidRDefault="008B79C9" w:rsidP="00AE5EA4">
      <w:r>
        <w:separator/>
      </w:r>
    </w:p>
  </w:footnote>
  <w:footnote w:type="continuationSeparator" w:id="1">
    <w:p w:rsidR="008B79C9" w:rsidRDefault="008B79C9" w:rsidP="00AE5EA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embedSystemFonts/>
  <w:bordersDoNotSurroundHeader/>
  <w:bordersDoNotSurroundFooter/>
  <w:defaultTabStop w:val="420"/>
  <w:drawingGridVerticalSpacing w:val="156"/>
  <w:noPunctuationKerning/>
  <w:characterSpacingControl w:val="compressPunctuation"/>
  <w:hdrShapeDefaults>
    <o:shapedefaults v:ext="edit" spidmax="12290"/>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3066C9"/>
    <w:rsid w:val="00006070"/>
    <w:rsid w:val="000A2F89"/>
    <w:rsid w:val="000F7457"/>
    <w:rsid w:val="00110C81"/>
    <w:rsid w:val="002318BE"/>
    <w:rsid w:val="002468C9"/>
    <w:rsid w:val="00293123"/>
    <w:rsid w:val="00294F17"/>
    <w:rsid w:val="003066C9"/>
    <w:rsid w:val="00366AE4"/>
    <w:rsid w:val="00372FBA"/>
    <w:rsid w:val="00460650"/>
    <w:rsid w:val="00506024"/>
    <w:rsid w:val="00514E03"/>
    <w:rsid w:val="00550D0E"/>
    <w:rsid w:val="00617753"/>
    <w:rsid w:val="006A35EE"/>
    <w:rsid w:val="007202B0"/>
    <w:rsid w:val="00727AEE"/>
    <w:rsid w:val="0079063B"/>
    <w:rsid w:val="008B79C9"/>
    <w:rsid w:val="008C3A05"/>
    <w:rsid w:val="009113CB"/>
    <w:rsid w:val="009A4D97"/>
    <w:rsid w:val="00A1004F"/>
    <w:rsid w:val="00A706EC"/>
    <w:rsid w:val="00A97141"/>
    <w:rsid w:val="00AE5EA4"/>
    <w:rsid w:val="00B05AFF"/>
    <w:rsid w:val="00B1052D"/>
    <w:rsid w:val="00BB5DF1"/>
    <w:rsid w:val="00C0719C"/>
    <w:rsid w:val="00C94839"/>
    <w:rsid w:val="00D14014"/>
    <w:rsid w:val="00D269FB"/>
    <w:rsid w:val="00D978E4"/>
    <w:rsid w:val="00DD4B2C"/>
    <w:rsid w:val="00F564D8"/>
    <w:rsid w:val="05D2738C"/>
    <w:rsid w:val="06001405"/>
    <w:rsid w:val="090138CA"/>
    <w:rsid w:val="1140572A"/>
    <w:rsid w:val="16CF4438"/>
    <w:rsid w:val="1C5C1E25"/>
    <w:rsid w:val="1EBC6C5F"/>
    <w:rsid w:val="1F4A1B4B"/>
    <w:rsid w:val="25F378C6"/>
    <w:rsid w:val="2F401C51"/>
    <w:rsid w:val="38EB0AA8"/>
    <w:rsid w:val="3F647F3E"/>
    <w:rsid w:val="48E74C4B"/>
    <w:rsid w:val="4BCB132B"/>
    <w:rsid w:val="4C2D20D4"/>
    <w:rsid w:val="50A276AA"/>
    <w:rsid w:val="56DD0796"/>
    <w:rsid w:val="5D9B432D"/>
    <w:rsid w:val="5F0F43AE"/>
    <w:rsid w:val="618F5785"/>
    <w:rsid w:val="61E43782"/>
    <w:rsid w:val="62FA69F8"/>
    <w:rsid w:val="70B357DE"/>
    <w:rsid w:val="74E6414D"/>
    <w:rsid w:val="756B784B"/>
    <w:rsid w:val="762B1C9A"/>
    <w:rsid w:val="76847E7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HTML Acronym" w:qFormat="1"/>
    <w:lsdException w:name="HTML Cite" w:qFormat="1"/>
    <w:lsdException w:name="HTML Code" w:qFormat="1"/>
    <w:lsdException w:name="HTML Definition" w:qFormat="1"/>
    <w:lsdException w:name="HTML Variable"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66C9"/>
    <w:pPr>
      <w:jc w:val="both"/>
    </w:pPr>
    <w:rPr>
      <w:rFonts w:asciiTheme="minorHAnsi" w:eastAsiaTheme="minorEastAsia" w:hAnsiTheme="minorHAnsi" w:cs="宋体"/>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3066C9"/>
    <w:rPr>
      <w:b/>
    </w:rPr>
  </w:style>
  <w:style w:type="character" w:styleId="a4">
    <w:name w:val="FollowedHyperlink"/>
    <w:basedOn w:val="a0"/>
    <w:qFormat/>
    <w:rsid w:val="003066C9"/>
    <w:rPr>
      <w:color w:val="333333"/>
      <w:u w:val="none"/>
    </w:rPr>
  </w:style>
  <w:style w:type="character" w:styleId="a5">
    <w:name w:val="Emphasis"/>
    <w:basedOn w:val="a0"/>
    <w:qFormat/>
    <w:rsid w:val="003066C9"/>
    <w:rPr>
      <w:u w:val="none"/>
    </w:rPr>
  </w:style>
  <w:style w:type="character" w:styleId="HTML">
    <w:name w:val="HTML Definition"/>
    <w:basedOn w:val="a0"/>
    <w:qFormat/>
    <w:rsid w:val="003066C9"/>
    <w:rPr>
      <w:i/>
    </w:rPr>
  </w:style>
  <w:style w:type="character" w:styleId="HTML0">
    <w:name w:val="HTML Acronym"/>
    <w:basedOn w:val="a0"/>
    <w:qFormat/>
    <w:rsid w:val="003066C9"/>
  </w:style>
  <w:style w:type="character" w:styleId="HTML1">
    <w:name w:val="HTML Variable"/>
    <w:basedOn w:val="a0"/>
    <w:qFormat/>
    <w:rsid w:val="003066C9"/>
    <w:rPr>
      <w:i/>
    </w:rPr>
  </w:style>
  <w:style w:type="character" w:styleId="a6">
    <w:name w:val="Hyperlink"/>
    <w:basedOn w:val="a0"/>
    <w:qFormat/>
    <w:rsid w:val="003066C9"/>
    <w:rPr>
      <w:color w:val="333333"/>
      <w:u w:val="none"/>
    </w:rPr>
  </w:style>
  <w:style w:type="character" w:styleId="HTML2">
    <w:name w:val="HTML Code"/>
    <w:basedOn w:val="a0"/>
    <w:qFormat/>
    <w:rsid w:val="003066C9"/>
    <w:rPr>
      <w:rFonts w:ascii="Courier New" w:hAnsi="Courier New"/>
      <w:sz w:val="20"/>
    </w:rPr>
  </w:style>
  <w:style w:type="character" w:styleId="HTML3">
    <w:name w:val="HTML Cite"/>
    <w:basedOn w:val="a0"/>
    <w:qFormat/>
    <w:rsid w:val="003066C9"/>
  </w:style>
  <w:style w:type="character" w:customStyle="1" w:styleId="tl">
    <w:name w:val="tl"/>
    <w:basedOn w:val="a0"/>
    <w:qFormat/>
    <w:rsid w:val="003066C9"/>
  </w:style>
  <w:style w:type="character" w:customStyle="1" w:styleId="ml95d">
    <w:name w:val="ml95d"/>
    <w:basedOn w:val="a0"/>
    <w:qFormat/>
    <w:rsid w:val="003066C9"/>
  </w:style>
  <w:style w:type="character" w:customStyle="1" w:styleId="seat">
    <w:name w:val="seat"/>
    <w:basedOn w:val="a0"/>
    <w:qFormat/>
    <w:rsid w:val="003066C9"/>
  </w:style>
  <w:style w:type="character" w:customStyle="1" w:styleId="seat1">
    <w:name w:val="seat1"/>
    <w:basedOn w:val="a0"/>
    <w:qFormat/>
    <w:rsid w:val="003066C9"/>
  </w:style>
  <w:style w:type="paragraph" w:styleId="a7">
    <w:name w:val="header"/>
    <w:basedOn w:val="a"/>
    <w:link w:val="Char"/>
    <w:rsid w:val="00AE5EA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AE5EA4"/>
    <w:rPr>
      <w:rFonts w:asciiTheme="minorHAnsi" w:eastAsiaTheme="minorEastAsia" w:hAnsiTheme="minorHAnsi" w:cs="宋体"/>
      <w:sz w:val="18"/>
      <w:szCs w:val="18"/>
    </w:rPr>
  </w:style>
  <w:style w:type="paragraph" w:styleId="a8">
    <w:name w:val="footer"/>
    <w:basedOn w:val="a"/>
    <w:link w:val="Char0"/>
    <w:rsid w:val="00AE5EA4"/>
    <w:pPr>
      <w:tabs>
        <w:tab w:val="center" w:pos="4153"/>
        <w:tab w:val="right" w:pos="8306"/>
      </w:tabs>
      <w:snapToGrid w:val="0"/>
      <w:jc w:val="left"/>
    </w:pPr>
    <w:rPr>
      <w:sz w:val="18"/>
      <w:szCs w:val="18"/>
    </w:rPr>
  </w:style>
  <w:style w:type="character" w:customStyle="1" w:styleId="Char0">
    <w:name w:val="页脚 Char"/>
    <w:basedOn w:val="a0"/>
    <w:link w:val="a8"/>
    <w:rsid w:val="00AE5EA4"/>
    <w:rPr>
      <w:rFonts w:asciiTheme="minorHAnsi" w:eastAsiaTheme="minorEastAsia" w:hAnsiTheme="minorHAnsi" w:cs="宋体"/>
      <w:sz w:val="18"/>
      <w:szCs w:val="18"/>
    </w:rPr>
  </w:style>
  <w:style w:type="table" w:styleId="a9">
    <w:name w:val="Table Grid"/>
    <w:basedOn w:val="a1"/>
    <w:rsid w:val="00514E0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furamc.com.c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212</TotalTime>
  <Pages>4</Pages>
  <Words>275</Words>
  <Characters>1568</Characters>
  <Application>Microsoft Office Word</Application>
  <DocSecurity>0</DocSecurity>
  <Lines>13</Lines>
  <Paragraphs>3</Paragraphs>
  <ScaleCrop>false</ScaleCrop>
  <Company/>
  <LinksUpToDate>false</LinksUpToDate>
  <CharactersWithSpaces>1840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ZHANGFANG</dc:creator>
  <cp:lastModifiedBy>吴晓璇</cp:lastModifiedBy>
  <cp:revision>10</cp:revision>
  <dcterms:created xsi:type="dcterms:W3CDTF">2017-11-24T01:38:00Z</dcterms:created>
  <dcterms:modified xsi:type="dcterms:W3CDTF">2017-11-24T08:51:00Z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