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F9457" w14:textId="57C1E3B6" w:rsidR="00E02D47" w:rsidRDefault="00726E65" w:rsidP="004D2BDC">
      <w:pPr>
        <w:pStyle w:val="neirong"/>
        <w:spacing w:before="0" w:beforeAutospacing="0" w:after="0" w:afterAutospacing="0" w:line="360" w:lineRule="auto"/>
        <w:ind w:firstLineChars="200" w:firstLine="562"/>
        <w:jc w:val="center"/>
        <w:rPr>
          <w:rFonts w:hint="eastAsia"/>
        </w:rPr>
      </w:pPr>
      <w:r w:rsidRPr="00726E65">
        <w:rPr>
          <w:rFonts w:hint="eastAsia"/>
          <w:b/>
          <w:sz w:val="28"/>
          <w:szCs w:val="28"/>
        </w:rPr>
        <w:t>关于富</w:t>
      </w:r>
      <w:proofErr w:type="gramStart"/>
      <w:r w:rsidRPr="00726E65">
        <w:rPr>
          <w:rFonts w:hint="eastAsia"/>
          <w:b/>
          <w:sz w:val="28"/>
          <w:szCs w:val="28"/>
        </w:rPr>
        <w:t>荣</w:t>
      </w:r>
      <w:r w:rsidR="00526F21">
        <w:rPr>
          <w:rFonts w:hint="eastAsia"/>
          <w:b/>
          <w:sz w:val="28"/>
          <w:szCs w:val="28"/>
        </w:rPr>
        <w:t>富祥纯债债券</w:t>
      </w:r>
      <w:proofErr w:type="gramEnd"/>
      <w:r w:rsidR="00526F21">
        <w:rPr>
          <w:rFonts w:hint="eastAsia"/>
          <w:b/>
          <w:sz w:val="28"/>
          <w:szCs w:val="28"/>
        </w:rPr>
        <w:t>型</w:t>
      </w:r>
      <w:r w:rsidR="007529AB">
        <w:rPr>
          <w:rFonts w:hint="eastAsia"/>
          <w:b/>
          <w:sz w:val="28"/>
          <w:szCs w:val="28"/>
        </w:rPr>
        <w:t>证券投资基金调整业绩比较基准</w:t>
      </w:r>
      <w:r w:rsidRPr="00726E65">
        <w:rPr>
          <w:rFonts w:hint="eastAsia"/>
          <w:b/>
          <w:sz w:val="28"/>
          <w:szCs w:val="28"/>
        </w:rPr>
        <w:t>并修订基金合同</w:t>
      </w:r>
      <w:r w:rsidR="00220942">
        <w:rPr>
          <w:rFonts w:hint="eastAsia"/>
          <w:b/>
          <w:sz w:val="28"/>
          <w:szCs w:val="28"/>
        </w:rPr>
        <w:t>等法律文件</w:t>
      </w:r>
      <w:r w:rsidRPr="00726E65">
        <w:rPr>
          <w:rFonts w:hint="eastAsia"/>
          <w:b/>
          <w:sz w:val="28"/>
          <w:szCs w:val="28"/>
        </w:rPr>
        <w:t>的公告</w:t>
      </w:r>
    </w:p>
    <w:p w14:paraId="530AA50B" w14:textId="77777777" w:rsidR="00E67DBF" w:rsidRDefault="00E67DBF" w:rsidP="00756C3A">
      <w:pPr>
        <w:pStyle w:val="neirong"/>
        <w:spacing w:before="0" w:beforeAutospacing="0" w:after="0" w:afterAutospacing="0" w:line="360" w:lineRule="auto"/>
        <w:ind w:firstLineChars="200" w:firstLine="480"/>
        <w:rPr>
          <w:rFonts w:hint="eastAsia"/>
        </w:rPr>
      </w:pPr>
    </w:p>
    <w:p w14:paraId="3E80D6E8" w14:textId="439D6F10" w:rsidR="00756C3A" w:rsidRPr="00756C3A" w:rsidRDefault="00443691" w:rsidP="00756C3A">
      <w:pPr>
        <w:pStyle w:val="neirong"/>
        <w:spacing w:before="0" w:beforeAutospacing="0" w:after="0" w:afterAutospacing="0" w:line="360" w:lineRule="auto"/>
        <w:ind w:firstLineChars="200" w:firstLine="480"/>
        <w:rPr>
          <w:rFonts w:hint="eastAsia"/>
        </w:rPr>
      </w:pPr>
      <w:r w:rsidRPr="00443691">
        <w:rPr>
          <w:rFonts w:hint="eastAsia"/>
        </w:rPr>
        <w:t>为维护基金份额持有人权益，使富</w:t>
      </w:r>
      <w:proofErr w:type="gramStart"/>
      <w:r w:rsidRPr="00443691">
        <w:rPr>
          <w:rFonts w:hint="eastAsia"/>
        </w:rPr>
        <w:t>荣</w:t>
      </w:r>
      <w:r w:rsidR="00526F21">
        <w:rPr>
          <w:rFonts w:hint="eastAsia"/>
        </w:rPr>
        <w:t>富祥纯债债券</w:t>
      </w:r>
      <w:proofErr w:type="gramEnd"/>
      <w:r w:rsidR="00526F21">
        <w:rPr>
          <w:rFonts w:hint="eastAsia"/>
        </w:rPr>
        <w:t>型</w:t>
      </w:r>
      <w:r w:rsidRPr="00443691">
        <w:rPr>
          <w:rFonts w:hint="eastAsia"/>
        </w:rPr>
        <w:t>证券投资基金（以下简称“本基金”）的业绩比较基准更好的反映本基金的投资策略，更科学、合理地评价本基金的业绩表现</w:t>
      </w:r>
      <w:r w:rsidR="00447A17" w:rsidRPr="00447A17">
        <w:rPr>
          <w:rFonts w:hint="eastAsia"/>
        </w:rPr>
        <w:t>，根据《中华人民共和国证券投资基金法》、《公开募集证券投资基金运作管理办法》的有关规定和《富荣</w:t>
      </w:r>
      <w:r w:rsidR="00526F21">
        <w:rPr>
          <w:rFonts w:hint="eastAsia"/>
        </w:rPr>
        <w:t>富祥纯债债券型</w:t>
      </w:r>
      <w:r w:rsidR="00447A17" w:rsidRPr="00447A17">
        <w:rPr>
          <w:rFonts w:hint="eastAsia"/>
        </w:rPr>
        <w:t>证券投资基金基金合同》（以下简称“《基金合同》”）的约定，</w:t>
      </w:r>
      <w:r w:rsidR="00447A17">
        <w:rPr>
          <w:rFonts w:hint="eastAsia"/>
        </w:rPr>
        <w:t>富</w:t>
      </w:r>
      <w:proofErr w:type="gramStart"/>
      <w:r w:rsidR="00447A17">
        <w:rPr>
          <w:rFonts w:hint="eastAsia"/>
        </w:rPr>
        <w:t>荣</w:t>
      </w:r>
      <w:r w:rsidR="00447A17" w:rsidRPr="00447A17">
        <w:rPr>
          <w:rFonts w:hint="eastAsia"/>
        </w:rPr>
        <w:t>基金</w:t>
      </w:r>
      <w:proofErr w:type="gramEnd"/>
      <w:r w:rsidR="00447A17" w:rsidRPr="00447A17">
        <w:rPr>
          <w:rFonts w:hint="eastAsia"/>
        </w:rPr>
        <w:t>管理有限公司（以下简称“我公司”）决定对《基金合同》中涉及业绩比较基准的相关内容进行修改</w:t>
      </w:r>
      <w:r w:rsidR="00E97D56">
        <w:rPr>
          <w:rFonts w:hint="eastAsia"/>
        </w:rPr>
        <w:t>，并更新托管协议的基本信息</w:t>
      </w:r>
      <w:r w:rsidR="00447A17" w:rsidRPr="00447A17">
        <w:rPr>
          <w:rFonts w:hint="eastAsia"/>
        </w:rPr>
        <w:t>。本次修改对原有基金份额持有人的利益无实质性不利影响，根据《基金合同》的约定无需召开基金份额持有人大会，我公司已就修改内容与基金托管人</w:t>
      </w:r>
      <w:r w:rsidR="00526F21">
        <w:rPr>
          <w:rFonts w:hint="eastAsia"/>
        </w:rPr>
        <w:t>中国光大银行股份有限公司</w:t>
      </w:r>
      <w:r w:rsidR="00447A17" w:rsidRPr="00447A17">
        <w:rPr>
          <w:rFonts w:hint="eastAsia"/>
        </w:rPr>
        <w:t>协商一致。</w:t>
      </w:r>
      <w:r w:rsidR="00756C3A" w:rsidRPr="00756C3A">
        <w:rPr>
          <w:rFonts w:hint="eastAsia"/>
        </w:rPr>
        <w:t>现将具体情况公告如下：</w:t>
      </w:r>
    </w:p>
    <w:p w14:paraId="6FC15AEB" w14:textId="5D95FACD" w:rsidR="00756C3A" w:rsidRPr="0024081B" w:rsidRDefault="00756C3A" w:rsidP="0024081B">
      <w:pPr>
        <w:pStyle w:val="neirong"/>
        <w:spacing w:before="0" w:beforeAutospacing="0" w:after="0" w:afterAutospacing="0" w:line="360" w:lineRule="auto"/>
        <w:ind w:firstLineChars="200" w:firstLine="482"/>
        <w:rPr>
          <w:rFonts w:hint="eastAsia"/>
          <w:b/>
          <w:bCs/>
        </w:rPr>
      </w:pPr>
      <w:r w:rsidRPr="0024081B">
        <w:rPr>
          <w:rFonts w:hint="eastAsia"/>
          <w:b/>
          <w:bCs/>
        </w:rPr>
        <w:t>一、</w:t>
      </w:r>
      <w:r w:rsidR="00F232F6" w:rsidRPr="0024081B">
        <w:rPr>
          <w:rFonts w:hint="eastAsia"/>
          <w:b/>
          <w:bCs/>
        </w:rPr>
        <w:t>业绩比较基准的调整</w:t>
      </w:r>
    </w:p>
    <w:p w14:paraId="65EB5FB6" w14:textId="4EC64926" w:rsidR="009A66E3" w:rsidRDefault="00F232F6" w:rsidP="0024081B">
      <w:pPr>
        <w:pStyle w:val="neirong"/>
        <w:spacing w:before="0" w:beforeAutospacing="0" w:after="0" w:afterAutospacing="0" w:line="360" w:lineRule="auto"/>
        <w:ind w:firstLineChars="200" w:firstLine="480"/>
        <w:rPr>
          <w:rFonts w:hint="eastAsia"/>
        </w:rPr>
      </w:pPr>
      <w:proofErr w:type="gramStart"/>
      <w:r w:rsidRPr="00F232F6">
        <w:rPr>
          <w:rFonts w:hint="eastAsia"/>
        </w:rPr>
        <w:t>原业绩</w:t>
      </w:r>
      <w:proofErr w:type="gramEnd"/>
      <w:r w:rsidRPr="00F232F6">
        <w:rPr>
          <w:rFonts w:hint="eastAsia"/>
        </w:rPr>
        <w:t>比较基准：</w:t>
      </w:r>
      <w:r w:rsidR="009A66E3" w:rsidRPr="009A66E3">
        <w:rPr>
          <w:rFonts w:hint="eastAsia"/>
        </w:rPr>
        <w:t>中</w:t>
      </w:r>
      <w:proofErr w:type="gramStart"/>
      <w:r w:rsidR="009A66E3" w:rsidRPr="009A66E3">
        <w:rPr>
          <w:rFonts w:hint="eastAsia"/>
        </w:rPr>
        <w:t>债综合</w:t>
      </w:r>
      <w:proofErr w:type="gramEnd"/>
      <w:r w:rsidR="009A66E3" w:rsidRPr="009A66E3">
        <w:rPr>
          <w:rFonts w:hint="eastAsia"/>
        </w:rPr>
        <w:t>指数(总财富)收益率</w:t>
      </w:r>
      <w:r w:rsidR="00F92582" w:rsidRPr="0064528A">
        <w:rPr>
          <w:rFonts w:hint="eastAsia"/>
        </w:rPr>
        <w:t>×</w:t>
      </w:r>
      <w:r w:rsidR="009A66E3" w:rsidRPr="009A66E3">
        <w:rPr>
          <w:rFonts w:hint="eastAsia"/>
        </w:rPr>
        <w:t>90%+1年期定期存款利率(税后)</w:t>
      </w:r>
      <w:r w:rsidR="00F92582" w:rsidRPr="0064528A">
        <w:rPr>
          <w:rFonts w:hint="eastAsia"/>
        </w:rPr>
        <w:t>×</w:t>
      </w:r>
      <w:r w:rsidR="009A66E3" w:rsidRPr="009A66E3">
        <w:rPr>
          <w:rFonts w:hint="eastAsia"/>
        </w:rPr>
        <w:t>10%</w:t>
      </w:r>
    </w:p>
    <w:p w14:paraId="7865D1C4" w14:textId="653825B3" w:rsidR="00756C3A" w:rsidRDefault="00F232F6" w:rsidP="0024081B">
      <w:pPr>
        <w:pStyle w:val="neirong"/>
        <w:spacing w:before="0" w:beforeAutospacing="0" w:after="0" w:afterAutospacing="0" w:line="360" w:lineRule="auto"/>
        <w:ind w:firstLineChars="200" w:firstLine="480"/>
        <w:rPr>
          <w:rFonts w:hint="eastAsia"/>
        </w:rPr>
      </w:pPr>
      <w:r w:rsidRPr="00F232F6">
        <w:rPr>
          <w:rFonts w:hint="eastAsia"/>
        </w:rPr>
        <w:t>调整后的业绩比较基准：</w:t>
      </w:r>
      <w:r w:rsidR="009A66E3" w:rsidRPr="009A66E3">
        <w:rPr>
          <w:rFonts w:hint="eastAsia"/>
        </w:rPr>
        <w:t>中</w:t>
      </w:r>
      <w:proofErr w:type="gramStart"/>
      <w:r w:rsidR="009A66E3" w:rsidRPr="009A66E3">
        <w:rPr>
          <w:rFonts w:hint="eastAsia"/>
        </w:rPr>
        <w:t>债综合</w:t>
      </w:r>
      <w:proofErr w:type="gramEnd"/>
      <w:r w:rsidR="009A66E3" w:rsidRPr="009A66E3">
        <w:rPr>
          <w:rFonts w:hint="eastAsia"/>
        </w:rPr>
        <w:t>全价(总值)指数收益率</w:t>
      </w:r>
      <w:r w:rsidR="00F92582" w:rsidRPr="0064528A">
        <w:rPr>
          <w:rFonts w:hint="eastAsia"/>
        </w:rPr>
        <w:t>×</w:t>
      </w:r>
      <w:r w:rsidR="009A66E3" w:rsidRPr="009A66E3">
        <w:rPr>
          <w:rFonts w:hint="eastAsia"/>
        </w:rPr>
        <w:t>90%+1年期定期存款利率(税后)</w:t>
      </w:r>
      <w:r w:rsidR="00F92582" w:rsidRPr="0064528A">
        <w:rPr>
          <w:rFonts w:hint="eastAsia"/>
        </w:rPr>
        <w:t>×</w:t>
      </w:r>
      <w:r w:rsidR="009A66E3" w:rsidRPr="009A66E3">
        <w:rPr>
          <w:rFonts w:hint="eastAsia"/>
        </w:rPr>
        <w:t>10%</w:t>
      </w:r>
      <w:r w:rsidRPr="00F232F6">
        <w:rPr>
          <w:rFonts w:hint="eastAsia"/>
        </w:rPr>
        <w:t xml:space="preserve"> </w:t>
      </w:r>
    </w:p>
    <w:p w14:paraId="47CE5EDE" w14:textId="77777777" w:rsidR="00F232F6" w:rsidRPr="009A66E3" w:rsidRDefault="00F232F6" w:rsidP="0024081B">
      <w:pPr>
        <w:pStyle w:val="neirong"/>
        <w:spacing w:before="0" w:beforeAutospacing="0" w:after="0" w:afterAutospacing="0" w:line="360" w:lineRule="auto"/>
        <w:ind w:firstLineChars="200" w:firstLine="480"/>
        <w:rPr>
          <w:rFonts w:hint="eastAsia"/>
        </w:rPr>
      </w:pPr>
    </w:p>
    <w:p w14:paraId="5B21BE60" w14:textId="30FC7940" w:rsidR="00F266E3" w:rsidRPr="00352D26" w:rsidRDefault="00F266E3" w:rsidP="0024081B">
      <w:pPr>
        <w:pStyle w:val="neirong"/>
        <w:spacing w:before="0" w:beforeAutospacing="0" w:after="0" w:afterAutospacing="0" w:line="360" w:lineRule="auto"/>
        <w:ind w:firstLineChars="200" w:firstLine="482"/>
        <w:rPr>
          <w:rFonts w:hint="eastAsia"/>
          <w:b/>
          <w:bCs/>
        </w:rPr>
      </w:pPr>
      <w:r w:rsidRPr="00352D26">
        <w:rPr>
          <w:rFonts w:hint="eastAsia"/>
          <w:b/>
          <w:bCs/>
        </w:rPr>
        <w:t>二、《基金合同》相应条款的修改</w:t>
      </w:r>
    </w:p>
    <w:tbl>
      <w:tblPr>
        <w:tblStyle w:val="ae"/>
        <w:tblW w:w="0" w:type="auto"/>
        <w:tblLook w:val="04A0" w:firstRow="1" w:lastRow="0" w:firstColumn="1" w:lastColumn="0" w:noHBand="0" w:noVBand="1"/>
      </w:tblPr>
      <w:tblGrid>
        <w:gridCol w:w="4261"/>
        <w:gridCol w:w="4261"/>
      </w:tblGrid>
      <w:tr w:rsidR="00F266E3" w14:paraId="427F206A" w14:textId="77777777" w:rsidTr="00F266E3">
        <w:tc>
          <w:tcPr>
            <w:tcW w:w="4261" w:type="dxa"/>
          </w:tcPr>
          <w:p w14:paraId="46C336DC" w14:textId="52439EDB" w:rsidR="00F266E3" w:rsidRDefault="00F266E3" w:rsidP="00352D26">
            <w:pPr>
              <w:pStyle w:val="neirong"/>
              <w:spacing w:before="0" w:beforeAutospacing="0" w:after="0" w:afterAutospacing="0" w:line="360" w:lineRule="auto"/>
              <w:jc w:val="center"/>
              <w:rPr>
                <w:rFonts w:hint="eastAsia"/>
              </w:rPr>
            </w:pPr>
            <w:r>
              <w:rPr>
                <w:rFonts w:hint="eastAsia"/>
              </w:rPr>
              <w:t>原条款</w:t>
            </w:r>
          </w:p>
        </w:tc>
        <w:tc>
          <w:tcPr>
            <w:tcW w:w="4261" w:type="dxa"/>
          </w:tcPr>
          <w:p w14:paraId="4A1C809F" w14:textId="3A6D1F7D" w:rsidR="00F266E3" w:rsidRDefault="00F266E3" w:rsidP="00352D26">
            <w:pPr>
              <w:pStyle w:val="neirong"/>
              <w:spacing w:before="0" w:beforeAutospacing="0" w:after="0" w:afterAutospacing="0" w:line="360" w:lineRule="auto"/>
              <w:jc w:val="center"/>
              <w:rPr>
                <w:rFonts w:hint="eastAsia"/>
              </w:rPr>
            </w:pPr>
            <w:r>
              <w:rPr>
                <w:rFonts w:hint="eastAsia"/>
              </w:rPr>
              <w:t>修改后条款</w:t>
            </w:r>
          </w:p>
        </w:tc>
      </w:tr>
      <w:tr w:rsidR="00F266E3" w14:paraId="07C04BED" w14:textId="77777777" w:rsidTr="00F266E3">
        <w:tc>
          <w:tcPr>
            <w:tcW w:w="4261" w:type="dxa"/>
          </w:tcPr>
          <w:p w14:paraId="69644E12" w14:textId="77777777" w:rsidR="00577403" w:rsidRDefault="00577403" w:rsidP="00577403">
            <w:pPr>
              <w:spacing w:line="360" w:lineRule="auto"/>
              <w:ind w:firstLineChars="200" w:firstLine="480"/>
              <w:rPr>
                <w:bCs/>
                <w:sz w:val="24"/>
              </w:rPr>
            </w:pPr>
            <w:r>
              <w:rPr>
                <w:bCs/>
                <w:sz w:val="24"/>
              </w:rPr>
              <w:t>五、业绩比较基准</w:t>
            </w:r>
          </w:p>
          <w:p w14:paraId="54B5E8D9" w14:textId="65A20701" w:rsidR="00577403" w:rsidRDefault="00577403" w:rsidP="00577403">
            <w:pPr>
              <w:spacing w:line="360" w:lineRule="auto"/>
              <w:ind w:firstLineChars="200" w:firstLine="480"/>
              <w:rPr>
                <w:bCs/>
                <w:sz w:val="24"/>
              </w:rPr>
            </w:pPr>
            <w:r w:rsidRPr="00577403">
              <w:rPr>
                <w:rFonts w:hint="eastAsia"/>
                <w:bCs/>
                <w:sz w:val="24"/>
              </w:rPr>
              <w:t>本基金的业绩比较基准为：中</w:t>
            </w:r>
            <w:proofErr w:type="gramStart"/>
            <w:r w:rsidRPr="00577403">
              <w:rPr>
                <w:rFonts w:hint="eastAsia"/>
                <w:bCs/>
                <w:sz w:val="24"/>
              </w:rPr>
              <w:t>债综合</w:t>
            </w:r>
            <w:proofErr w:type="gramEnd"/>
            <w:r w:rsidRPr="00577403">
              <w:rPr>
                <w:rFonts w:hint="eastAsia"/>
                <w:bCs/>
                <w:sz w:val="24"/>
              </w:rPr>
              <w:t>指数</w:t>
            </w:r>
            <w:r w:rsidRPr="00577403">
              <w:rPr>
                <w:rFonts w:hint="eastAsia"/>
                <w:bCs/>
                <w:sz w:val="24"/>
              </w:rPr>
              <w:t>(</w:t>
            </w:r>
            <w:r w:rsidRPr="00577403">
              <w:rPr>
                <w:rFonts w:hint="eastAsia"/>
                <w:bCs/>
                <w:sz w:val="24"/>
              </w:rPr>
              <w:t>总财富</w:t>
            </w:r>
            <w:r w:rsidRPr="00577403">
              <w:rPr>
                <w:rFonts w:hint="eastAsia"/>
                <w:bCs/>
                <w:sz w:val="24"/>
              </w:rPr>
              <w:t>)</w:t>
            </w:r>
            <w:r w:rsidRPr="00577403">
              <w:rPr>
                <w:rFonts w:hint="eastAsia"/>
                <w:bCs/>
                <w:sz w:val="24"/>
              </w:rPr>
              <w:t>收益率</w:t>
            </w:r>
            <w:r w:rsidR="00F92582" w:rsidRPr="0064528A">
              <w:rPr>
                <w:rFonts w:hint="eastAsia"/>
              </w:rPr>
              <w:t>×</w:t>
            </w:r>
            <w:r w:rsidRPr="00577403">
              <w:rPr>
                <w:rFonts w:hint="eastAsia"/>
                <w:bCs/>
                <w:sz w:val="24"/>
              </w:rPr>
              <w:t>90%+1</w:t>
            </w:r>
            <w:r w:rsidRPr="00577403">
              <w:rPr>
                <w:rFonts w:hint="eastAsia"/>
                <w:bCs/>
                <w:sz w:val="24"/>
              </w:rPr>
              <w:t>年期定期存款利率</w:t>
            </w:r>
            <w:r w:rsidRPr="00577403">
              <w:rPr>
                <w:rFonts w:hint="eastAsia"/>
                <w:bCs/>
                <w:sz w:val="24"/>
              </w:rPr>
              <w:t>(</w:t>
            </w:r>
            <w:r w:rsidRPr="00577403">
              <w:rPr>
                <w:rFonts w:hint="eastAsia"/>
                <w:bCs/>
                <w:sz w:val="24"/>
              </w:rPr>
              <w:t>税后</w:t>
            </w:r>
            <w:r w:rsidRPr="00577403">
              <w:rPr>
                <w:rFonts w:hint="eastAsia"/>
                <w:bCs/>
                <w:sz w:val="24"/>
              </w:rPr>
              <w:t>)</w:t>
            </w:r>
            <w:r w:rsidR="00F92582" w:rsidRPr="0064528A">
              <w:rPr>
                <w:rFonts w:hint="eastAsia"/>
              </w:rPr>
              <w:t>×</w:t>
            </w:r>
            <w:r w:rsidRPr="00577403">
              <w:rPr>
                <w:rFonts w:hint="eastAsia"/>
                <w:bCs/>
                <w:sz w:val="24"/>
              </w:rPr>
              <w:t>10%</w:t>
            </w:r>
          </w:p>
          <w:p w14:paraId="220B5561" w14:textId="3781B452" w:rsidR="00F266E3" w:rsidRPr="00352D26" w:rsidRDefault="00577403" w:rsidP="00577403">
            <w:pPr>
              <w:spacing w:line="360" w:lineRule="auto"/>
              <w:ind w:firstLineChars="200" w:firstLine="480"/>
              <w:rPr>
                <w:color w:val="000000"/>
                <w:sz w:val="24"/>
              </w:rPr>
            </w:pPr>
            <w:r w:rsidRPr="00577403">
              <w:rPr>
                <w:rFonts w:hint="eastAsia"/>
                <w:bCs/>
                <w:sz w:val="24"/>
              </w:rPr>
              <w:t>本基金选择上述业绩比较基准的原因为本基金是通过债券资产的配置和个</w:t>
            </w:r>
            <w:proofErr w:type="gramStart"/>
            <w:r w:rsidRPr="00577403">
              <w:rPr>
                <w:rFonts w:hint="eastAsia"/>
                <w:bCs/>
                <w:sz w:val="24"/>
              </w:rPr>
              <w:t>券</w:t>
            </w:r>
            <w:proofErr w:type="gramEnd"/>
            <w:r w:rsidRPr="00577403">
              <w:rPr>
                <w:rFonts w:hint="eastAsia"/>
                <w:bCs/>
                <w:sz w:val="24"/>
              </w:rPr>
              <w:t>的选择来增强债券投资的收益。中</w:t>
            </w:r>
            <w:proofErr w:type="gramStart"/>
            <w:r w:rsidRPr="00577403">
              <w:rPr>
                <w:rFonts w:hint="eastAsia"/>
                <w:bCs/>
                <w:sz w:val="24"/>
              </w:rPr>
              <w:t>债综合</w:t>
            </w:r>
            <w:proofErr w:type="gramEnd"/>
            <w:r w:rsidRPr="00577403">
              <w:rPr>
                <w:rFonts w:hint="eastAsia"/>
                <w:bCs/>
                <w:sz w:val="24"/>
              </w:rPr>
              <w:t>指数</w:t>
            </w:r>
            <w:r w:rsidRPr="00577403">
              <w:rPr>
                <w:rFonts w:hint="eastAsia"/>
                <w:bCs/>
                <w:sz w:val="24"/>
              </w:rPr>
              <w:t>(</w:t>
            </w:r>
            <w:r w:rsidRPr="00577403">
              <w:rPr>
                <w:rFonts w:hint="eastAsia"/>
                <w:bCs/>
                <w:sz w:val="24"/>
              </w:rPr>
              <w:t>总财富</w:t>
            </w:r>
            <w:r w:rsidRPr="00577403">
              <w:rPr>
                <w:rFonts w:hint="eastAsia"/>
                <w:bCs/>
                <w:sz w:val="24"/>
              </w:rPr>
              <w:t>)</w:t>
            </w:r>
            <w:r w:rsidRPr="00577403">
              <w:rPr>
                <w:rFonts w:hint="eastAsia"/>
                <w:bCs/>
                <w:sz w:val="24"/>
              </w:rPr>
              <w:t>收益率由中央国</w:t>
            </w:r>
            <w:r w:rsidRPr="00577403">
              <w:rPr>
                <w:rFonts w:hint="eastAsia"/>
                <w:bCs/>
                <w:sz w:val="24"/>
              </w:rPr>
              <w:lastRenderedPageBreak/>
              <w:t>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577403">
              <w:rPr>
                <w:rFonts w:hint="eastAsia"/>
                <w:bCs/>
                <w:sz w:val="24"/>
              </w:rPr>
              <w:t>80%</w:t>
            </w:r>
            <w:r w:rsidRPr="00577403">
              <w:rPr>
                <w:rFonts w:hint="eastAsia"/>
                <w:bCs/>
                <w:sz w:val="24"/>
              </w:rPr>
              <w:t>，持有现金或者到期日在一年以内的政府债券不低于基金资产净值的</w:t>
            </w:r>
            <w:r w:rsidRPr="00577403">
              <w:rPr>
                <w:rFonts w:hint="eastAsia"/>
                <w:bCs/>
                <w:sz w:val="24"/>
              </w:rPr>
              <w:t>5%</w:t>
            </w:r>
            <w:r w:rsidRPr="00577403">
              <w:rPr>
                <w:rFonts w:hint="eastAsia"/>
                <w:bCs/>
                <w:sz w:val="24"/>
              </w:rPr>
              <w:t>，采用</w:t>
            </w:r>
            <w:r w:rsidRPr="00577403">
              <w:rPr>
                <w:rFonts w:hint="eastAsia"/>
                <w:bCs/>
                <w:sz w:val="24"/>
              </w:rPr>
              <w:t>90%</w:t>
            </w:r>
            <w:r w:rsidRPr="00577403">
              <w:rPr>
                <w:rFonts w:hint="eastAsia"/>
                <w:bCs/>
                <w:sz w:val="24"/>
              </w:rPr>
              <w:t>作为业绩比较基准中债券投资所代表的权重，</w:t>
            </w:r>
            <w:r w:rsidRPr="00577403">
              <w:rPr>
                <w:rFonts w:hint="eastAsia"/>
                <w:bCs/>
                <w:sz w:val="24"/>
              </w:rPr>
              <w:t>10%</w:t>
            </w:r>
            <w:r w:rsidRPr="00577403">
              <w:rPr>
                <w:rFonts w:hint="eastAsia"/>
                <w:bCs/>
                <w:sz w:val="24"/>
              </w:rPr>
              <w:t>乘以</w:t>
            </w:r>
            <w:r w:rsidRPr="00577403">
              <w:rPr>
                <w:rFonts w:hint="eastAsia"/>
                <w:bCs/>
                <w:sz w:val="24"/>
              </w:rPr>
              <w:t>1</w:t>
            </w:r>
            <w:r w:rsidRPr="00577403">
              <w:rPr>
                <w:rFonts w:hint="eastAsia"/>
                <w:bCs/>
                <w:sz w:val="24"/>
              </w:rPr>
              <w:t>年定期银行存款利率（税后）作为资产所对应的权重可以较好的反映本基金的风险收益特征。</w:t>
            </w:r>
          </w:p>
        </w:tc>
        <w:tc>
          <w:tcPr>
            <w:tcW w:w="4261" w:type="dxa"/>
          </w:tcPr>
          <w:p w14:paraId="02D4B6D8" w14:textId="6FEAF9BD" w:rsidR="00577403" w:rsidRDefault="00577403" w:rsidP="00577403">
            <w:pPr>
              <w:spacing w:line="360" w:lineRule="auto"/>
              <w:ind w:firstLineChars="200" w:firstLine="480"/>
              <w:rPr>
                <w:bCs/>
                <w:sz w:val="24"/>
              </w:rPr>
            </w:pPr>
            <w:r>
              <w:rPr>
                <w:bCs/>
                <w:sz w:val="24"/>
              </w:rPr>
              <w:lastRenderedPageBreak/>
              <w:t>五、业绩比较基准</w:t>
            </w:r>
          </w:p>
          <w:p w14:paraId="7A0F7FDF" w14:textId="2E1F538B" w:rsidR="00577403" w:rsidRPr="00577403" w:rsidRDefault="00577403" w:rsidP="00577403">
            <w:pPr>
              <w:spacing w:line="360" w:lineRule="auto"/>
              <w:ind w:firstLineChars="200" w:firstLine="480"/>
              <w:outlineLvl w:val="1"/>
              <w:rPr>
                <w:bCs/>
                <w:sz w:val="24"/>
              </w:rPr>
            </w:pPr>
            <w:r w:rsidRPr="00577403">
              <w:rPr>
                <w:rFonts w:hint="eastAsia"/>
                <w:bCs/>
                <w:sz w:val="24"/>
              </w:rPr>
              <w:t>本基金的业绩比较基准为：</w:t>
            </w:r>
            <w:r w:rsidRPr="00577403">
              <w:rPr>
                <w:rFonts w:hint="eastAsia"/>
                <w:b/>
                <w:sz w:val="24"/>
              </w:rPr>
              <w:t>中</w:t>
            </w:r>
            <w:proofErr w:type="gramStart"/>
            <w:r w:rsidRPr="00577403">
              <w:rPr>
                <w:rFonts w:hint="eastAsia"/>
                <w:b/>
                <w:sz w:val="24"/>
              </w:rPr>
              <w:t>债综合</w:t>
            </w:r>
            <w:proofErr w:type="gramEnd"/>
            <w:r w:rsidRPr="00577403">
              <w:rPr>
                <w:rFonts w:hint="eastAsia"/>
                <w:b/>
                <w:sz w:val="24"/>
              </w:rPr>
              <w:t>全价</w:t>
            </w:r>
            <w:r w:rsidRPr="00577403">
              <w:rPr>
                <w:rFonts w:hint="eastAsia"/>
                <w:b/>
                <w:sz w:val="24"/>
              </w:rPr>
              <w:t>(</w:t>
            </w:r>
            <w:r w:rsidRPr="00577403">
              <w:rPr>
                <w:rFonts w:hint="eastAsia"/>
                <w:b/>
                <w:sz w:val="24"/>
              </w:rPr>
              <w:t>总值</w:t>
            </w:r>
            <w:r w:rsidRPr="00577403">
              <w:rPr>
                <w:rFonts w:hint="eastAsia"/>
                <w:b/>
                <w:sz w:val="24"/>
              </w:rPr>
              <w:t>)</w:t>
            </w:r>
            <w:r w:rsidRPr="00577403">
              <w:rPr>
                <w:rFonts w:hint="eastAsia"/>
                <w:b/>
                <w:sz w:val="24"/>
              </w:rPr>
              <w:t>指数收益率</w:t>
            </w:r>
            <w:r w:rsidRPr="00577403">
              <w:rPr>
                <w:rFonts w:hint="eastAsia"/>
                <w:bCs/>
                <w:sz w:val="24"/>
              </w:rPr>
              <w:t>×</w:t>
            </w:r>
            <w:r w:rsidRPr="00577403">
              <w:rPr>
                <w:rFonts w:hint="eastAsia"/>
                <w:bCs/>
                <w:sz w:val="24"/>
              </w:rPr>
              <w:t>90%+1</w:t>
            </w:r>
            <w:r w:rsidRPr="00577403">
              <w:rPr>
                <w:rFonts w:hint="eastAsia"/>
                <w:bCs/>
                <w:sz w:val="24"/>
              </w:rPr>
              <w:t>年期定期存款利率（税后）×</w:t>
            </w:r>
            <w:r w:rsidRPr="00577403">
              <w:rPr>
                <w:rFonts w:hint="eastAsia"/>
                <w:bCs/>
                <w:sz w:val="24"/>
              </w:rPr>
              <w:t>10%</w:t>
            </w:r>
            <w:r w:rsidRPr="00577403">
              <w:rPr>
                <w:rFonts w:hint="eastAsia"/>
                <w:bCs/>
                <w:sz w:val="24"/>
              </w:rPr>
              <w:t>。</w:t>
            </w:r>
          </w:p>
          <w:p w14:paraId="27D74008" w14:textId="504E1A0B" w:rsidR="00F266E3" w:rsidRPr="00577403" w:rsidRDefault="00577403" w:rsidP="00577403">
            <w:pPr>
              <w:spacing w:line="360" w:lineRule="auto"/>
              <w:ind w:firstLineChars="200" w:firstLine="480"/>
              <w:outlineLvl w:val="1"/>
              <w:rPr>
                <w:bCs/>
                <w:sz w:val="24"/>
              </w:rPr>
            </w:pPr>
            <w:r w:rsidRPr="00577403">
              <w:rPr>
                <w:rFonts w:hint="eastAsia"/>
                <w:bCs/>
                <w:sz w:val="24"/>
              </w:rPr>
              <w:t>本基金选择上述业绩比较基准的原因为本基金是通过债券资产的配置和个</w:t>
            </w:r>
            <w:proofErr w:type="gramStart"/>
            <w:r w:rsidRPr="00577403">
              <w:rPr>
                <w:rFonts w:hint="eastAsia"/>
                <w:bCs/>
                <w:sz w:val="24"/>
              </w:rPr>
              <w:t>券</w:t>
            </w:r>
            <w:proofErr w:type="gramEnd"/>
            <w:r w:rsidRPr="00577403">
              <w:rPr>
                <w:rFonts w:hint="eastAsia"/>
                <w:bCs/>
                <w:sz w:val="24"/>
              </w:rPr>
              <w:t>的选择来增强债券投资的收益。</w:t>
            </w:r>
            <w:r w:rsidRPr="00577403">
              <w:rPr>
                <w:rFonts w:hint="eastAsia"/>
                <w:b/>
                <w:sz w:val="24"/>
              </w:rPr>
              <w:t>中</w:t>
            </w:r>
            <w:proofErr w:type="gramStart"/>
            <w:r w:rsidRPr="00577403">
              <w:rPr>
                <w:rFonts w:hint="eastAsia"/>
                <w:b/>
                <w:sz w:val="24"/>
              </w:rPr>
              <w:t>债综合</w:t>
            </w:r>
            <w:proofErr w:type="gramEnd"/>
            <w:r w:rsidRPr="00577403">
              <w:rPr>
                <w:rFonts w:hint="eastAsia"/>
                <w:b/>
                <w:sz w:val="24"/>
              </w:rPr>
              <w:t>全价</w:t>
            </w:r>
            <w:r w:rsidRPr="00577403">
              <w:rPr>
                <w:rFonts w:hint="eastAsia"/>
                <w:b/>
                <w:sz w:val="24"/>
              </w:rPr>
              <w:t>(</w:t>
            </w:r>
            <w:r w:rsidRPr="00577403">
              <w:rPr>
                <w:rFonts w:hint="eastAsia"/>
                <w:b/>
                <w:sz w:val="24"/>
              </w:rPr>
              <w:t>总值</w:t>
            </w:r>
            <w:r w:rsidRPr="00577403">
              <w:rPr>
                <w:rFonts w:hint="eastAsia"/>
                <w:b/>
                <w:sz w:val="24"/>
              </w:rPr>
              <w:t>)</w:t>
            </w:r>
            <w:r w:rsidRPr="00577403">
              <w:rPr>
                <w:rFonts w:hint="eastAsia"/>
                <w:b/>
                <w:sz w:val="24"/>
              </w:rPr>
              <w:t>指数</w:t>
            </w:r>
            <w:r w:rsidRPr="00577403">
              <w:rPr>
                <w:rFonts w:hint="eastAsia"/>
                <w:bCs/>
                <w:sz w:val="24"/>
              </w:rPr>
              <w:t>由中央国债登</w:t>
            </w:r>
            <w:r w:rsidRPr="00577403">
              <w:rPr>
                <w:rFonts w:hint="eastAsia"/>
                <w:bCs/>
                <w:sz w:val="24"/>
              </w:rPr>
              <w:lastRenderedPageBreak/>
              <w:t>记结算有限</w:t>
            </w:r>
            <w:r w:rsidR="00E0371E">
              <w:rPr>
                <w:rFonts w:hint="eastAsia"/>
                <w:bCs/>
                <w:sz w:val="24"/>
              </w:rPr>
              <w:t>责任</w:t>
            </w:r>
            <w:r w:rsidRPr="00577403">
              <w:rPr>
                <w:rFonts w:hint="eastAsia"/>
                <w:bCs/>
                <w:sz w:val="24"/>
              </w:rPr>
              <w:t>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577403">
              <w:rPr>
                <w:rFonts w:hint="eastAsia"/>
                <w:bCs/>
                <w:sz w:val="24"/>
              </w:rPr>
              <w:t>80%</w:t>
            </w:r>
            <w:r w:rsidRPr="00577403">
              <w:rPr>
                <w:rFonts w:hint="eastAsia"/>
                <w:bCs/>
                <w:sz w:val="24"/>
              </w:rPr>
              <w:t>，持有现金或者到期日在一年以内的政府债券不低于基金资产净值的</w:t>
            </w:r>
            <w:r w:rsidRPr="00577403">
              <w:rPr>
                <w:rFonts w:hint="eastAsia"/>
                <w:bCs/>
                <w:sz w:val="24"/>
              </w:rPr>
              <w:t>5%</w:t>
            </w:r>
            <w:r w:rsidRPr="00577403">
              <w:rPr>
                <w:rFonts w:hint="eastAsia"/>
                <w:bCs/>
                <w:sz w:val="24"/>
              </w:rPr>
              <w:t>，采用</w:t>
            </w:r>
            <w:r w:rsidRPr="00577403">
              <w:rPr>
                <w:rFonts w:hint="eastAsia"/>
                <w:bCs/>
                <w:sz w:val="24"/>
              </w:rPr>
              <w:t>90%</w:t>
            </w:r>
            <w:r w:rsidRPr="00577403">
              <w:rPr>
                <w:rFonts w:hint="eastAsia"/>
                <w:bCs/>
                <w:sz w:val="24"/>
              </w:rPr>
              <w:t>作为业绩比较基准中债券投资所代表的权重，</w:t>
            </w:r>
            <w:r w:rsidRPr="00577403">
              <w:rPr>
                <w:rFonts w:hint="eastAsia"/>
                <w:bCs/>
                <w:sz w:val="24"/>
              </w:rPr>
              <w:t>10%</w:t>
            </w:r>
            <w:r w:rsidRPr="00577403">
              <w:rPr>
                <w:rFonts w:hint="eastAsia"/>
                <w:bCs/>
                <w:sz w:val="24"/>
              </w:rPr>
              <w:t>乘以</w:t>
            </w:r>
            <w:r w:rsidRPr="00577403">
              <w:rPr>
                <w:rFonts w:hint="eastAsia"/>
                <w:bCs/>
                <w:sz w:val="24"/>
              </w:rPr>
              <w:t>1</w:t>
            </w:r>
            <w:r w:rsidRPr="00577403">
              <w:rPr>
                <w:rFonts w:hint="eastAsia"/>
                <w:bCs/>
                <w:sz w:val="24"/>
              </w:rPr>
              <w:t>年定期银行存款利率（税后）作为资产所对应的权重可以较好的反映本基金的风险收益特征。</w:t>
            </w:r>
          </w:p>
        </w:tc>
      </w:tr>
    </w:tbl>
    <w:p w14:paraId="18AFCF21" w14:textId="3F3A93EF" w:rsidR="00F266E3" w:rsidRDefault="00F266E3" w:rsidP="00F266E3">
      <w:pPr>
        <w:pStyle w:val="neirong"/>
        <w:spacing w:before="0" w:beforeAutospacing="0" w:after="0" w:afterAutospacing="0" w:line="360" w:lineRule="auto"/>
        <w:rPr>
          <w:rFonts w:hint="eastAsia"/>
        </w:rPr>
      </w:pPr>
    </w:p>
    <w:p w14:paraId="752D4E33" w14:textId="00F9EBC0" w:rsidR="00756C3A" w:rsidRPr="0024081B" w:rsidRDefault="00F266E3" w:rsidP="0024081B">
      <w:pPr>
        <w:pStyle w:val="neirong"/>
        <w:spacing w:before="0" w:beforeAutospacing="0" w:after="0" w:afterAutospacing="0" w:line="360" w:lineRule="auto"/>
        <w:ind w:firstLineChars="200" w:firstLine="482"/>
        <w:rPr>
          <w:rFonts w:hint="eastAsia"/>
          <w:b/>
          <w:bCs/>
        </w:rPr>
      </w:pPr>
      <w:r>
        <w:rPr>
          <w:rFonts w:hint="eastAsia"/>
          <w:b/>
          <w:bCs/>
        </w:rPr>
        <w:t>三</w:t>
      </w:r>
      <w:r w:rsidR="00756C3A" w:rsidRPr="0024081B">
        <w:rPr>
          <w:rFonts w:hint="eastAsia"/>
          <w:b/>
          <w:bCs/>
        </w:rPr>
        <w:t>、其他事项</w:t>
      </w:r>
    </w:p>
    <w:p w14:paraId="33B30A61" w14:textId="7924D569" w:rsidR="00A33787" w:rsidRDefault="00A33787" w:rsidP="00A33787">
      <w:pPr>
        <w:pStyle w:val="neirong"/>
        <w:spacing w:before="0" w:beforeAutospacing="0" w:after="0" w:afterAutospacing="0" w:line="360" w:lineRule="auto"/>
        <w:ind w:firstLineChars="200" w:firstLine="480"/>
        <w:rPr>
          <w:rFonts w:hint="eastAsia"/>
        </w:rPr>
      </w:pPr>
      <w:r>
        <w:rPr>
          <w:rFonts w:hint="eastAsia"/>
        </w:rPr>
        <w:t>1、</w:t>
      </w:r>
      <w:r w:rsidRPr="00A33787">
        <w:rPr>
          <w:rFonts w:hint="eastAsia"/>
        </w:rPr>
        <w:t>本公告仅对本基金修改业绩比较基准</w:t>
      </w:r>
      <w:r w:rsidR="00BE5837">
        <w:rPr>
          <w:rFonts w:hint="eastAsia"/>
        </w:rPr>
        <w:t>并</w:t>
      </w:r>
      <w:r w:rsidR="00331F05">
        <w:rPr>
          <w:rFonts w:hint="eastAsia"/>
        </w:rPr>
        <w:t>修订</w:t>
      </w:r>
      <w:r w:rsidR="00BE5837">
        <w:rPr>
          <w:rFonts w:hint="eastAsia"/>
        </w:rPr>
        <w:t>基金合同</w:t>
      </w:r>
      <w:r w:rsidR="00E97D56">
        <w:rPr>
          <w:rFonts w:hint="eastAsia"/>
        </w:rPr>
        <w:t>、更新托管协议的基本信息</w:t>
      </w:r>
      <w:r w:rsidR="00BE5837">
        <w:rPr>
          <w:rFonts w:hint="eastAsia"/>
        </w:rPr>
        <w:t>等法律文件</w:t>
      </w:r>
      <w:r w:rsidRPr="00A33787">
        <w:rPr>
          <w:rFonts w:hint="eastAsia"/>
        </w:rPr>
        <w:t>的有关事项予以说明。投资者欲了解本基金详细情况，请详细阅读本基金的基金合同和更新的招募说明书、基金产品资料概要等法律文件，以及相关业务公告。</w:t>
      </w:r>
    </w:p>
    <w:p w14:paraId="76A1F7AA" w14:textId="14B985B6" w:rsidR="00A33787" w:rsidRDefault="00A33787" w:rsidP="00A33787">
      <w:pPr>
        <w:pStyle w:val="neirong"/>
        <w:spacing w:before="0" w:beforeAutospacing="0" w:after="0" w:afterAutospacing="0" w:line="360" w:lineRule="auto"/>
        <w:ind w:firstLineChars="200" w:firstLine="480"/>
        <w:rPr>
          <w:rFonts w:hint="eastAsia"/>
        </w:rPr>
      </w:pPr>
      <w:r>
        <w:rPr>
          <w:rFonts w:hint="eastAsia"/>
        </w:rPr>
        <w:t>2、</w:t>
      </w:r>
      <w:r w:rsidR="003F571A" w:rsidRPr="003F571A">
        <w:rPr>
          <w:rFonts w:hint="eastAsia"/>
        </w:rPr>
        <w:t>上述修改内容自</w:t>
      </w:r>
      <w:r w:rsidR="00CA622B">
        <w:rPr>
          <w:rFonts w:hint="eastAsia"/>
        </w:rPr>
        <w:t>2025年4月28日</w:t>
      </w:r>
      <w:r w:rsidR="003F571A" w:rsidRPr="003F571A">
        <w:rPr>
          <w:rFonts w:hint="eastAsia"/>
        </w:rPr>
        <w:t>起生效执行。</w:t>
      </w:r>
      <w:r w:rsidR="0070575B" w:rsidRPr="0070575B">
        <w:rPr>
          <w:rFonts w:hint="eastAsia"/>
        </w:rPr>
        <w:t>本公告的解释权归我公司所有。</w:t>
      </w:r>
    </w:p>
    <w:p w14:paraId="3EA71916" w14:textId="77777777" w:rsidR="00A33787" w:rsidRDefault="00A33787" w:rsidP="00A33787">
      <w:pPr>
        <w:pStyle w:val="neirong"/>
        <w:spacing w:before="0" w:beforeAutospacing="0" w:after="0" w:afterAutospacing="0" w:line="360" w:lineRule="auto"/>
        <w:ind w:firstLineChars="200" w:firstLine="480"/>
        <w:rPr>
          <w:rFonts w:hint="eastAsia"/>
        </w:rPr>
      </w:pPr>
      <w:r>
        <w:rPr>
          <w:rFonts w:hint="eastAsia"/>
        </w:rPr>
        <w:t>3、敬请投资者提前做好交易安排。如有疑问，请拨打本基金管理人全国免长途费的客服热线4006855600咨询，或登录本基金管理人网站www.furamc.com.cn获取相关信息。</w:t>
      </w:r>
    </w:p>
    <w:p w14:paraId="2B7A433A" w14:textId="77777777" w:rsidR="00A33787" w:rsidRDefault="00A33787" w:rsidP="00A33787">
      <w:pPr>
        <w:pStyle w:val="neirong"/>
        <w:spacing w:before="0" w:beforeAutospacing="0" w:after="0" w:afterAutospacing="0" w:line="360" w:lineRule="auto"/>
        <w:ind w:firstLineChars="200" w:firstLine="480"/>
        <w:rPr>
          <w:rFonts w:hint="eastAsia"/>
        </w:rPr>
      </w:pPr>
      <w:r>
        <w:rPr>
          <w:rFonts w:hint="eastAsia"/>
        </w:rPr>
        <w:t>风险提示：本基金管理人承诺以诚实信用、勤勉尽责的原则管理和运用基金财产，但不保证基金一定盈利，也不保证最低收益。投资有风险，敬请投资者认真阅读基金的相关法律文件，并选择适合自身风险承受能力的投资品种进行投资。</w:t>
      </w:r>
    </w:p>
    <w:p w14:paraId="15B4728E" w14:textId="77777777" w:rsidR="00756C3A" w:rsidRPr="00756C3A" w:rsidRDefault="00756C3A" w:rsidP="00A33787">
      <w:pPr>
        <w:pStyle w:val="neirong"/>
        <w:spacing w:before="0" w:beforeAutospacing="0" w:after="0" w:afterAutospacing="0" w:line="360" w:lineRule="auto"/>
        <w:ind w:firstLineChars="200" w:firstLine="480"/>
        <w:rPr>
          <w:rFonts w:hint="eastAsia"/>
        </w:rPr>
      </w:pPr>
      <w:r w:rsidRPr="00756C3A">
        <w:rPr>
          <w:rFonts w:hint="eastAsia"/>
        </w:rPr>
        <w:t>特此公告</w:t>
      </w:r>
    </w:p>
    <w:p w14:paraId="5FC44C46" w14:textId="77777777" w:rsidR="006074B3" w:rsidRPr="0095368E" w:rsidRDefault="006074B3" w:rsidP="00756C3A">
      <w:pPr>
        <w:pStyle w:val="neirong"/>
        <w:spacing w:before="0" w:beforeAutospacing="0" w:after="0" w:afterAutospacing="0" w:line="360" w:lineRule="auto"/>
        <w:ind w:firstLineChars="50" w:firstLine="120"/>
        <w:jc w:val="right"/>
        <w:rPr>
          <w:rFonts w:hint="eastAsia"/>
        </w:rPr>
      </w:pPr>
      <w:r w:rsidRPr="0095368E">
        <w:rPr>
          <w:rFonts w:hint="eastAsia"/>
        </w:rPr>
        <w:t>富</w:t>
      </w:r>
      <w:proofErr w:type="gramStart"/>
      <w:r w:rsidRPr="0095368E">
        <w:rPr>
          <w:rFonts w:hint="eastAsia"/>
        </w:rPr>
        <w:t>荣</w:t>
      </w:r>
      <w:r w:rsidRPr="0095368E">
        <w:t>基金</w:t>
      </w:r>
      <w:proofErr w:type="gramEnd"/>
      <w:r w:rsidRPr="0095368E">
        <w:t>管理有限公司</w:t>
      </w:r>
    </w:p>
    <w:p w14:paraId="08AEF7FE" w14:textId="5E79A666" w:rsidR="00312617" w:rsidRDefault="006074B3" w:rsidP="00756C3A">
      <w:pPr>
        <w:pStyle w:val="neirong"/>
        <w:spacing w:before="0" w:beforeAutospacing="0" w:after="0" w:afterAutospacing="0" w:line="360" w:lineRule="auto"/>
        <w:ind w:firstLineChars="50" w:firstLine="120"/>
        <w:jc w:val="right"/>
        <w:rPr>
          <w:rFonts w:hint="eastAsia"/>
        </w:rPr>
      </w:pPr>
      <w:r w:rsidRPr="0095368E">
        <w:lastRenderedPageBreak/>
        <w:tab/>
      </w:r>
      <w:r w:rsidR="00FA33A4">
        <w:rPr>
          <w:rFonts w:hint="eastAsia"/>
        </w:rPr>
        <w:t>202</w:t>
      </w:r>
      <w:r w:rsidR="00493B4F">
        <w:rPr>
          <w:rFonts w:hint="eastAsia"/>
        </w:rPr>
        <w:t>5</w:t>
      </w:r>
      <w:r w:rsidRPr="0095368E">
        <w:rPr>
          <w:rFonts w:hint="eastAsia"/>
        </w:rPr>
        <w:t>年</w:t>
      </w:r>
      <w:r w:rsidR="00AA063C">
        <w:rPr>
          <w:rFonts w:hint="eastAsia"/>
        </w:rPr>
        <w:t>4</w:t>
      </w:r>
      <w:r w:rsidRPr="0095368E">
        <w:rPr>
          <w:rFonts w:hint="eastAsia"/>
        </w:rPr>
        <w:t>月</w:t>
      </w:r>
      <w:r w:rsidR="00C22551">
        <w:rPr>
          <w:rFonts w:hint="eastAsia"/>
        </w:rPr>
        <w:t>26</w:t>
      </w:r>
      <w:r w:rsidRPr="0095368E">
        <w:rPr>
          <w:rFonts w:hint="eastAsia"/>
        </w:rPr>
        <w:t>日</w:t>
      </w:r>
    </w:p>
    <w:p w14:paraId="70A4D33C" w14:textId="77777777" w:rsidR="006074B3" w:rsidRPr="00312617" w:rsidRDefault="006074B3" w:rsidP="0070575B">
      <w:pPr>
        <w:pStyle w:val="neirong"/>
        <w:spacing w:before="0" w:beforeAutospacing="0" w:after="0" w:afterAutospacing="0"/>
        <w:rPr>
          <w:rFonts w:hint="eastAsia"/>
        </w:rPr>
      </w:pPr>
    </w:p>
    <w:sectPr w:rsidR="006074B3" w:rsidRPr="0031261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420A1" w14:textId="77777777" w:rsidR="002D05B2" w:rsidRDefault="002D05B2" w:rsidP="00A215EA">
      <w:r>
        <w:separator/>
      </w:r>
    </w:p>
  </w:endnote>
  <w:endnote w:type="continuationSeparator" w:id="0">
    <w:p w14:paraId="4E2C4256" w14:textId="77777777" w:rsidR="002D05B2" w:rsidRDefault="002D05B2"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5922798"/>
      <w:docPartObj>
        <w:docPartGallery w:val="Page Numbers (Bottom of Page)"/>
        <w:docPartUnique/>
      </w:docPartObj>
    </w:sdtPr>
    <w:sdtEndPr/>
    <w:sdtContent>
      <w:p w14:paraId="63CA6751" w14:textId="7BAC8E85" w:rsidR="008D4B3C" w:rsidRDefault="008D4B3C">
        <w:pPr>
          <w:pStyle w:val="a5"/>
          <w:jc w:val="center"/>
        </w:pPr>
        <w:r>
          <w:fldChar w:fldCharType="begin"/>
        </w:r>
        <w:r>
          <w:instrText>PAGE   \* MERGEFORMAT</w:instrText>
        </w:r>
        <w:r>
          <w:fldChar w:fldCharType="separate"/>
        </w:r>
        <w:r w:rsidR="002442BE" w:rsidRPr="002442BE">
          <w:rPr>
            <w:noProof/>
            <w:lang w:val="zh-CN"/>
          </w:rPr>
          <w:t>1</w:t>
        </w:r>
        <w:r>
          <w:fldChar w:fldCharType="end"/>
        </w:r>
      </w:p>
    </w:sdtContent>
  </w:sdt>
  <w:p w14:paraId="66EA7899" w14:textId="77777777" w:rsidR="008D4B3C" w:rsidRDefault="008D4B3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B46E7" w14:textId="77777777" w:rsidR="002D05B2" w:rsidRDefault="002D05B2" w:rsidP="00A215EA">
      <w:r>
        <w:separator/>
      </w:r>
    </w:p>
  </w:footnote>
  <w:footnote w:type="continuationSeparator" w:id="0">
    <w:p w14:paraId="067398B8" w14:textId="77777777" w:rsidR="002D05B2" w:rsidRDefault="002D05B2" w:rsidP="00A215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BBAE108"/>
    <w:multiLevelType w:val="singleLevel"/>
    <w:tmpl w:val="DBBAE108"/>
    <w:lvl w:ilvl="0">
      <w:start w:val="2"/>
      <w:numFmt w:val="chineseCounting"/>
      <w:suff w:val="nothing"/>
      <w:lvlText w:val="%1、"/>
      <w:lvlJc w:val="left"/>
      <w:rPr>
        <w:rFonts w:hint="eastAsia"/>
      </w:rPr>
    </w:lvl>
  </w:abstractNum>
  <w:num w:numId="1" w16cid:durableId="1534224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6218"/>
    <w:rsid w:val="00001DCF"/>
    <w:rsid w:val="0000473B"/>
    <w:rsid w:val="00013415"/>
    <w:rsid w:val="00014311"/>
    <w:rsid w:val="000242FC"/>
    <w:rsid w:val="0003028B"/>
    <w:rsid w:val="000330A6"/>
    <w:rsid w:val="000346E5"/>
    <w:rsid w:val="0005025D"/>
    <w:rsid w:val="00063BE7"/>
    <w:rsid w:val="0007054B"/>
    <w:rsid w:val="00073528"/>
    <w:rsid w:val="00074DF0"/>
    <w:rsid w:val="00075907"/>
    <w:rsid w:val="000872A0"/>
    <w:rsid w:val="00095BA9"/>
    <w:rsid w:val="00097481"/>
    <w:rsid w:val="000A4E1D"/>
    <w:rsid w:val="000A5288"/>
    <w:rsid w:val="000C3198"/>
    <w:rsid w:val="000C37F3"/>
    <w:rsid w:val="000C3D9A"/>
    <w:rsid w:val="000C5BB7"/>
    <w:rsid w:val="000F22FC"/>
    <w:rsid w:val="0010076E"/>
    <w:rsid w:val="0012068B"/>
    <w:rsid w:val="0014700C"/>
    <w:rsid w:val="00157B59"/>
    <w:rsid w:val="00163ED4"/>
    <w:rsid w:val="00165FD2"/>
    <w:rsid w:val="00182BC6"/>
    <w:rsid w:val="00182DE7"/>
    <w:rsid w:val="00183546"/>
    <w:rsid w:val="00192E87"/>
    <w:rsid w:val="001977C8"/>
    <w:rsid w:val="0019786C"/>
    <w:rsid w:val="001C35D9"/>
    <w:rsid w:val="001C3C4E"/>
    <w:rsid w:val="001C4F45"/>
    <w:rsid w:val="001C5F8F"/>
    <w:rsid w:val="001C6643"/>
    <w:rsid w:val="001D1D26"/>
    <w:rsid w:val="001D473F"/>
    <w:rsid w:val="001E452F"/>
    <w:rsid w:val="001E6E96"/>
    <w:rsid w:val="00206347"/>
    <w:rsid w:val="00220942"/>
    <w:rsid w:val="00222D9E"/>
    <w:rsid w:val="00223186"/>
    <w:rsid w:val="00224DA8"/>
    <w:rsid w:val="00233012"/>
    <w:rsid w:val="0024081B"/>
    <w:rsid w:val="002410B6"/>
    <w:rsid w:val="002442BE"/>
    <w:rsid w:val="00244BC6"/>
    <w:rsid w:val="0025110C"/>
    <w:rsid w:val="00255C88"/>
    <w:rsid w:val="00276A5C"/>
    <w:rsid w:val="00296B4F"/>
    <w:rsid w:val="002A4236"/>
    <w:rsid w:val="002B0524"/>
    <w:rsid w:val="002B3281"/>
    <w:rsid w:val="002C3AED"/>
    <w:rsid w:val="002C4CBE"/>
    <w:rsid w:val="002D05B2"/>
    <w:rsid w:val="002D272D"/>
    <w:rsid w:val="002D3CA8"/>
    <w:rsid w:val="002D4885"/>
    <w:rsid w:val="002E4A28"/>
    <w:rsid w:val="002F1E86"/>
    <w:rsid w:val="002F234C"/>
    <w:rsid w:val="00300716"/>
    <w:rsid w:val="00302186"/>
    <w:rsid w:val="00312617"/>
    <w:rsid w:val="00314BBE"/>
    <w:rsid w:val="00331F05"/>
    <w:rsid w:val="0033440B"/>
    <w:rsid w:val="003422AB"/>
    <w:rsid w:val="00352D26"/>
    <w:rsid w:val="00375C64"/>
    <w:rsid w:val="003A278A"/>
    <w:rsid w:val="003A6615"/>
    <w:rsid w:val="003A7C15"/>
    <w:rsid w:val="003C359B"/>
    <w:rsid w:val="003C4CD8"/>
    <w:rsid w:val="003F571A"/>
    <w:rsid w:val="003F69C1"/>
    <w:rsid w:val="00404C83"/>
    <w:rsid w:val="004102F9"/>
    <w:rsid w:val="00426B8A"/>
    <w:rsid w:val="0044019E"/>
    <w:rsid w:val="00443691"/>
    <w:rsid w:val="00443ADC"/>
    <w:rsid w:val="00447A17"/>
    <w:rsid w:val="00454847"/>
    <w:rsid w:val="004558BC"/>
    <w:rsid w:val="00460E4E"/>
    <w:rsid w:val="00467140"/>
    <w:rsid w:val="004755F5"/>
    <w:rsid w:val="00475E0C"/>
    <w:rsid w:val="004772F9"/>
    <w:rsid w:val="00481D69"/>
    <w:rsid w:val="004833D2"/>
    <w:rsid w:val="004858FE"/>
    <w:rsid w:val="00487112"/>
    <w:rsid w:val="00493B4F"/>
    <w:rsid w:val="00495BF7"/>
    <w:rsid w:val="004A68F6"/>
    <w:rsid w:val="004B0B61"/>
    <w:rsid w:val="004C2330"/>
    <w:rsid w:val="004D0D37"/>
    <w:rsid w:val="004D2BDC"/>
    <w:rsid w:val="004D61F5"/>
    <w:rsid w:val="004D6B28"/>
    <w:rsid w:val="004E78B3"/>
    <w:rsid w:val="005027B8"/>
    <w:rsid w:val="00504096"/>
    <w:rsid w:val="00510649"/>
    <w:rsid w:val="0051645C"/>
    <w:rsid w:val="00523199"/>
    <w:rsid w:val="00526F21"/>
    <w:rsid w:val="00535FCA"/>
    <w:rsid w:val="005375EA"/>
    <w:rsid w:val="00540375"/>
    <w:rsid w:val="005442E3"/>
    <w:rsid w:val="0055511C"/>
    <w:rsid w:val="005735D3"/>
    <w:rsid w:val="00577403"/>
    <w:rsid w:val="00594FCA"/>
    <w:rsid w:val="005A31D9"/>
    <w:rsid w:val="005C3962"/>
    <w:rsid w:val="005C7F67"/>
    <w:rsid w:val="005E4A8A"/>
    <w:rsid w:val="006021A9"/>
    <w:rsid w:val="006074B3"/>
    <w:rsid w:val="0062255A"/>
    <w:rsid w:val="00623C63"/>
    <w:rsid w:val="0063249D"/>
    <w:rsid w:val="00666EA1"/>
    <w:rsid w:val="00687BB1"/>
    <w:rsid w:val="006A0AE6"/>
    <w:rsid w:val="006D5F8F"/>
    <w:rsid w:val="006D675D"/>
    <w:rsid w:val="006E0F25"/>
    <w:rsid w:val="006E4F9B"/>
    <w:rsid w:val="006E5CD5"/>
    <w:rsid w:val="006F25A8"/>
    <w:rsid w:val="006F2CB4"/>
    <w:rsid w:val="00701C0B"/>
    <w:rsid w:val="0070575B"/>
    <w:rsid w:val="00705F47"/>
    <w:rsid w:val="00723C32"/>
    <w:rsid w:val="00726E65"/>
    <w:rsid w:val="00731161"/>
    <w:rsid w:val="00731FC2"/>
    <w:rsid w:val="00734EA0"/>
    <w:rsid w:val="00747737"/>
    <w:rsid w:val="007501A2"/>
    <w:rsid w:val="007529AB"/>
    <w:rsid w:val="00753EF4"/>
    <w:rsid w:val="00756C3A"/>
    <w:rsid w:val="0076235A"/>
    <w:rsid w:val="00781752"/>
    <w:rsid w:val="00786831"/>
    <w:rsid w:val="007A7678"/>
    <w:rsid w:val="007B64A9"/>
    <w:rsid w:val="007D064D"/>
    <w:rsid w:val="007D686B"/>
    <w:rsid w:val="007E6920"/>
    <w:rsid w:val="007F0C16"/>
    <w:rsid w:val="007F64AC"/>
    <w:rsid w:val="0081228B"/>
    <w:rsid w:val="00813820"/>
    <w:rsid w:val="008410B5"/>
    <w:rsid w:val="00854AE0"/>
    <w:rsid w:val="00866122"/>
    <w:rsid w:val="00866F49"/>
    <w:rsid w:val="00873349"/>
    <w:rsid w:val="00886218"/>
    <w:rsid w:val="008A4C79"/>
    <w:rsid w:val="008A6D27"/>
    <w:rsid w:val="008C4773"/>
    <w:rsid w:val="008D24F7"/>
    <w:rsid w:val="008D4B3C"/>
    <w:rsid w:val="008D7211"/>
    <w:rsid w:val="008E549C"/>
    <w:rsid w:val="008E6D90"/>
    <w:rsid w:val="00912194"/>
    <w:rsid w:val="00912D93"/>
    <w:rsid w:val="009211CA"/>
    <w:rsid w:val="00926592"/>
    <w:rsid w:val="009305B2"/>
    <w:rsid w:val="009419BB"/>
    <w:rsid w:val="009526DF"/>
    <w:rsid w:val="00957A7D"/>
    <w:rsid w:val="00964C32"/>
    <w:rsid w:val="00967381"/>
    <w:rsid w:val="009713E1"/>
    <w:rsid w:val="00972D55"/>
    <w:rsid w:val="00973EC7"/>
    <w:rsid w:val="0097784C"/>
    <w:rsid w:val="00981383"/>
    <w:rsid w:val="0099594B"/>
    <w:rsid w:val="0099611C"/>
    <w:rsid w:val="009A207E"/>
    <w:rsid w:val="009A63F7"/>
    <w:rsid w:val="009A66E3"/>
    <w:rsid w:val="009B48CD"/>
    <w:rsid w:val="009C78B0"/>
    <w:rsid w:val="00A04700"/>
    <w:rsid w:val="00A169C0"/>
    <w:rsid w:val="00A17CBA"/>
    <w:rsid w:val="00A215EA"/>
    <w:rsid w:val="00A25922"/>
    <w:rsid w:val="00A27988"/>
    <w:rsid w:val="00A33787"/>
    <w:rsid w:val="00A3577E"/>
    <w:rsid w:val="00A5530E"/>
    <w:rsid w:val="00A569FC"/>
    <w:rsid w:val="00A93FB6"/>
    <w:rsid w:val="00A96388"/>
    <w:rsid w:val="00A977CE"/>
    <w:rsid w:val="00AA063C"/>
    <w:rsid w:val="00AC14CC"/>
    <w:rsid w:val="00AC7CB0"/>
    <w:rsid w:val="00AE4375"/>
    <w:rsid w:val="00AF3A17"/>
    <w:rsid w:val="00AF4011"/>
    <w:rsid w:val="00B06AAA"/>
    <w:rsid w:val="00B43B00"/>
    <w:rsid w:val="00B448D6"/>
    <w:rsid w:val="00B56585"/>
    <w:rsid w:val="00B611BF"/>
    <w:rsid w:val="00B62C82"/>
    <w:rsid w:val="00B82458"/>
    <w:rsid w:val="00B85A36"/>
    <w:rsid w:val="00B85E00"/>
    <w:rsid w:val="00B93ADB"/>
    <w:rsid w:val="00BA6E68"/>
    <w:rsid w:val="00BB0FDE"/>
    <w:rsid w:val="00BD1238"/>
    <w:rsid w:val="00BE1E1B"/>
    <w:rsid w:val="00BE5837"/>
    <w:rsid w:val="00BF3259"/>
    <w:rsid w:val="00BF4E58"/>
    <w:rsid w:val="00BF5685"/>
    <w:rsid w:val="00BF6051"/>
    <w:rsid w:val="00BF7EB1"/>
    <w:rsid w:val="00C00DB0"/>
    <w:rsid w:val="00C1241A"/>
    <w:rsid w:val="00C20A48"/>
    <w:rsid w:val="00C219B4"/>
    <w:rsid w:val="00C22551"/>
    <w:rsid w:val="00C2288A"/>
    <w:rsid w:val="00C31A4F"/>
    <w:rsid w:val="00C552A6"/>
    <w:rsid w:val="00C62CA0"/>
    <w:rsid w:val="00C75DDC"/>
    <w:rsid w:val="00C944F9"/>
    <w:rsid w:val="00CA622B"/>
    <w:rsid w:val="00CB6239"/>
    <w:rsid w:val="00CD25D0"/>
    <w:rsid w:val="00CD73EC"/>
    <w:rsid w:val="00CE68E6"/>
    <w:rsid w:val="00CF0560"/>
    <w:rsid w:val="00D020CD"/>
    <w:rsid w:val="00D0359B"/>
    <w:rsid w:val="00D03E4C"/>
    <w:rsid w:val="00D07A37"/>
    <w:rsid w:val="00D106C8"/>
    <w:rsid w:val="00D11038"/>
    <w:rsid w:val="00D169A8"/>
    <w:rsid w:val="00D21FA8"/>
    <w:rsid w:val="00D25AD3"/>
    <w:rsid w:val="00D2723C"/>
    <w:rsid w:val="00D36D0C"/>
    <w:rsid w:val="00D37770"/>
    <w:rsid w:val="00D50EF1"/>
    <w:rsid w:val="00D573AA"/>
    <w:rsid w:val="00D65DF3"/>
    <w:rsid w:val="00D715CB"/>
    <w:rsid w:val="00D72846"/>
    <w:rsid w:val="00D7524B"/>
    <w:rsid w:val="00D87E91"/>
    <w:rsid w:val="00D87FF8"/>
    <w:rsid w:val="00D9095D"/>
    <w:rsid w:val="00D93934"/>
    <w:rsid w:val="00D9547E"/>
    <w:rsid w:val="00DA27FF"/>
    <w:rsid w:val="00DB788D"/>
    <w:rsid w:val="00DC5CC9"/>
    <w:rsid w:val="00DD3072"/>
    <w:rsid w:val="00DD46CC"/>
    <w:rsid w:val="00DD63DC"/>
    <w:rsid w:val="00DE48C9"/>
    <w:rsid w:val="00DF0A69"/>
    <w:rsid w:val="00E02D47"/>
    <w:rsid w:val="00E0371E"/>
    <w:rsid w:val="00E03C1A"/>
    <w:rsid w:val="00E05F19"/>
    <w:rsid w:val="00E177A3"/>
    <w:rsid w:val="00E27938"/>
    <w:rsid w:val="00E31EBA"/>
    <w:rsid w:val="00E623F7"/>
    <w:rsid w:val="00E62881"/>
    <w:rsid w:val="00E67DBF"/>
    <w:rsid w:val="00E76597"/>
    <w:rsid w:val="00E809F4"/>
    <w:rsid w:val="00E81545"/>
    <w:rsid w:val="00E868E9"/>
    <w:rsid w:val="00E908AA"/>
    <w:rsid w:val="00E94225"/>
    <w:rsid w:val="00E95330"/>
    <w:rsid w:val="00E97D56"/>
    <w:rsid w:val="00EA0E9F"/>
    <w:rsid w:val="00EB2FE2"/>
    <w:rsid w:val="00EB70DD"/>
    <w:rsid w:val="00ED50F6"/>
    <w:rsid w:val="00ED51EE"/>
    <w:rsid w:val="00EE7D0D"/>
    <w:rsid w:val="00F01F83"/>
    <w:rsid w:val="00F141E3"/>
    <w:rsid w:val="00F232F6"/>
    <w:rsid w:val="00F266E3"/>
    <w:rsid w:val="00F27E9C"/>
    <w:rsid w:val="00F406AB"/>
    <w:rsid w:val="00F5184B"/>
    <w:rsid w:val="00F573CE"/>
    <w:rsid w:val="00F65741"/>
    <w:rsid w:val="00F748ED"/>
    <w:rsid w:val="00F92582"/>
    <w:rsid w:val="00FA33A4"/>
    <w:rsid w:val="00FA5BEB"/>
    <w:rsid w:val="00FA647F"/>
    <w:rsid w:val="00FC2718"/>
    <w:rsid w:val="00FD3DD9"/>
    <w:rsid w:val="00FD4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251E30A8"/>
  <w15:docId w15:val="{68BEE54F-1FAC-4A3A-B315-390DFBAAD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215EA"/>
    <w:rPr>
      <w:sz w:val="18"/>
      <w:szCs w:val="18"/>
    </w:rPr>
  </w:style>
  <w:style w:type="paragraph" w:styleId="a5">
    <w:name w:val="footer"/>
    <w:basedOn w:val="a"/>
    <w:link w:val="a6"/>
    <w:uiPriority w:val="99"/>
    <w:unhideWhenUsed/>
    <w:rsid w:val="00A215EA"/>
    <w:pPr>
      <w:tabs>
        <w:tab w:val="center" w:pos="4153"/>
        <w:tab w:val="right" w:pos="8306"/>
      </w:tabs>
      <w:snapToGrid w:val="0"/>
      <w:jc w:val="left"/>
    </w:pPr>
    <w:rPr>
      <w:sz w:val="18"/>
      <w:szCs w:val="18"/>
    </w:rPr>
  </w:style>
  <w:style w:type="character" w:customStyle="1" w:styleId="a6">
    <w:name w:val="页脚 字符"/>
    <w:basedOn w:val="a0"/>
    <w:link w:val="a5"/>
    <w:uiPriority w:val="99"/>
    <w:rsid w:val="00A215EA"/>
    <w:rPr>
      <w:sz w:val="18"/>
      <w:szCs w:val="18"/>
    </w:rPr>
  </w:style>
  <w:style w:type="character" w:customStyle="1" w:styleId="20">
    <w:name w:val="标题 2 字符"/>
    <w:basedOn w:val="a0"/>
    <w:link w:val="2"/>
    <w:uiPriority w:val="9"/>
    <w:rsid w:val="00ED50F6"/>
    <w:rPr>
      <w:rFonts w:asciiTheme="majorHAnsi" w:eastAsiaTheme="majorEastAsia" w:hAnsiTheme="majorHAnsi" w:cstheme="majorBidi"/>
      <w:b/>
      <w:bCs/>
      <w:sz w:val="32"/>
      <w:szCs w:val="32"/>
    </w:rPr>
  </w:style>
  <w:style w:type="paragraph" w:styleId="a7">
    <w:name w:val="Balloon Text"/>
    <w:basedOn w:val="a"/>
    <w:link w:val="a8"/>
    <w:uiPriority w:val="99"/>
    <w:semiHidden/>
    <w:unhideWhenUsed/>
    <w:rsid w:val="00523199"/>
    <w:rPr>
      <w:sz w:val="18"/>
      <w:szCs w:val="18"/>
    </w:rPr>
  </w:style>
  <w:style w:type="character" w:customStyle="1" w:styleId="a8">
    <w:name w:val="批注框文本 字符"/>
    <w:basedOn w:val="a0"/>
    <w:link w:val="a7"/>
    <w:uiPriority w:val="99"/>
    <w:semiHidden/>
    <w:rsid w:val="00523199"/>
    <w:rPr>
      <w:sz w:val="18"/>
      <w:szCs w:val="18"/>
    </w:rPr>
  </w:style>
  <w:style w:type="character" w:styleId="a9">
    <w:name w:val="annotation reference"/>
    <w:basedOn w:val="a0"/>
    <w:uiPriority w:val="99"/>
    <w:semiHidden/>
    <w:unhideWhenUsed/>
    <w:rsid w:val="0063249D"/>
    <w:rPr>
      <w:sz w:val="21"/>
      <w:szCs w:val="21"/>
    </w:rPr>
  </w:style>
  <w:style w:type="paragraph" w:styleId="aa">
    <w:name w:val="annotation text"/>
    <w:basedOn w:val="a"/>
    <w:link w:val="ab"/>
    <w:uiPriority w:val="99"/>
    <w:unhideWhenUsed/>
    <w:rsid w:val="0063249D"/>
    <w:pPr>
      <w:jc w:val="left"/>
    </w:pPr>
  </w:style>
  <w:style w:type="character" w:customStyle="1" w:styleId="ab">
    <w:name w:val="批注文字 字符"/>
    <w:basedOn w:val="a0"/>
    <w:link w:val="aa"/>
    <w:uiPriority w:val="99"/>
    <w:rsid w:val="0063249D"/>
  </w:style>
  <w:style w:type="paragraph" w:styleId="ac">
    <w:name w:val="annotation subject"/>
    <w:basedOn w:val="aa"/>
    <w:next w:val="aa"/>
    <w:link w:val="ad"/>
    <w:uiPriority w:val="99"/>
    <w:semiHidden/>
    <w:unhideWhenUsed/>
    <w:rsid w:val="0063249D"/>
    <w:rPr>
      <w:b/>
      <w:bCs/>
    </w:rPr>
  </w:style>
  <w:style w:type="character" w:customStyle="1" w:styleId="ad">
    <w:name w:val="批注主题 字符"/>
    <w:basedOn w:val="ab"/>
    <w:link w:val="ac"/>
    <w:uiPriority w:val="99"/>
    <w:semiHidden/>
    <w:rsid w:val="0063249D"/>
    <w:rPr>
      <w:b/>
      <w:bCs/>
    </w:rPr>
  </w:style>
  <w:style w:type="paragraph" w:customStyle="1" w:styleId="dazhangjie">
    <w:name w:val="dazhangjie"/>
    <w:basedOn w:val="a"/>
    <w:rsid w:val="00731161"/>
    <w:pPr>
      <w:widowControl/>
      <w:autoSpaceDE w:val="0"/>
      <w:autoSpaceDN w:val="0"/>
      <w:adjustRightInd w:val="0"/>
      <w:spacing w:before="30" w:line="288" w:lineRule="auto"/>
      <w:ind w:left="15"/>
      <w:jc w:val="left"/>
      <w:outlineLvl w:val="0"/>
    </w:pPr>
    <w:rPr>
      <w:rFonts w:ascii="宋体" w:eastAsia="宋体" w:hAnsi="宋体" w:cs="宋体"/>
      <w:kern w:val="0"/>
      <w:sz w:val="24"/>
      <w:szCs w:val="24"/>
    </w:rPr>
  </w:style>
  <w:style w:type="paragraph" w:customStyle="1" w:styleId="biaogeleft">
    <w:name w:val="biaoge_left"/>
    <w:basedOn w:val="a"/>
    <w:rsid w:val="00731161"/>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neirong">
    <w:name w:val="neirong"/>
    <w:basedOn w:val="a"/>
    <w:rsid w:val="006074B3"/>
    <w:pPr>
      <w:widowControl/>
      <w:spacing w:before="100" w:beforeAutospacing="1" w:after="100" w:afterAutospacing="1"/>
      <w:jc w:val="left"/>
    </w:pPr>
    <w:rPr>
      <w:rFonts w:ascii="宋体" w:eastAsia="宋体" w:hAnsi="宋体" w:cs="宋体"/>
      <w:kern w:val="0"/>
      <w:sz w:val="24"/>
      <w:szCs w:val="24"/>
    </w:rPr>
  </w:style>
  <w:style w:type="table" w:styleId="ae">
    <w:name w:val="Table Grid"/>
    <w:basedOn w:val="a1"/>
    <w:uiPriority w:val="39"/>
    <w:qFormat/>
    <w:rsid w:val="0031261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537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TotalTime>
  <Pages>3</Pages>
  <Words>233</Words>
  <Characters>1332</Characters>
  <Application>Microsoft Office Word</Application>
  <DocSecurity>0</DocSecurity>
  <Lines>11</Lines>
  <Paragraphs>3</Paragraphs>
  <ScaleCrop>false</ScaleCrop>
  <Company>Microsoft</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刘祖帆</cp:lastModifiedBy>
  <cp:revision>90</cp:revision>
  <cp:lastPrinted>2018-02-26T02:42:00Z</cp:lastPrinted>
  <dcterms:created xsi:type="dcterms:W3CDTF">2021-04-13T01:58:00Z</dcterms:created>
  <dcterms:modified xsi:type="dcterms:W3CDTF">2025-04-24T02:35:00Z</dcterms:modified>
</cp:coreProperties>
</file>