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C3A17" w14:textId="77777777" w:rsidR="009214AE" w:rsidRDefault="009214AE">
      <w:pPr>
        <w:tabs>
          <w:tab w:val="left" w:pos="6660"/>
        </w:tabs>
        <w:spacing w:line="360" w:lineRule="auto"/>
        <w:jc w:val="center"/>
        <w:rPr>
          <w:rFonts w:asciiTheme="minorEastAsia" w:hAnsiTheme="minorEastAsia" w:cs="Times New Roman" w:hint="eastAsia"/>
          <w:bCs/>
          <w:sz w:val="48"/>
          <w:szCs w:val="48"/>
        </w:rPr>
      </w:pPr>
    </w:p>
    <w:p w14:paraId="67FD3E46" w14:textId="77777777" w:rsidR="009214AE" w:rsidRDefault="009214AE">
      <w:pPr>
        <w:spacing w:line="360" w:lineRule="auto"/>
        <w:jc w:val="center"/>
        <w:rPr>
          <w:rFonts w:asciiTheme="minorEastAsia" w:hAnsiTheme="minorEastAsia" w:cs="Times New Roman" w:hint="eastAsia"/>
          <w:b/>
          <w:sz w:val="48"/>
          <w:szCs w:val="48"/>
        </w:rPr>
      </w:pPr>
    </w:p>
    <w:p w14:paraId="794AECED" w14:textId="77777777" w:rsidR="009214AE" w:rsidRDefault="009214AE">
      <w:pPr>
        <w:adjustRightInd w:val="0"/>
        <w:snapToGrid w:val="0"/>
        <w:spacing w:line="360" w:lineRule="auto"/>
        <w:jc w:val="center"/>
        <w:rPr>
          <w:rFonts w:asciiTheme="minorEastAsia" w:hAnsiTheme="minorEastAsia" w:cs="Arial" w:hint="eastAsia"/>
          <w:sz w:val="48"/>
          <w:szCs w:val="48"/>
        </w:rPr>
      </w:pPr>
      <w:bookmarkStart w:id="0" w:name="_Toc123701386"/>
      <w:bookmarkStart w:id="1" w:name="_Toc123112266"/>
      <w:bookmarkStart w:id="2" w:name="_Toc139991729"/>
      <w:bookmarkStart w:id="3" w:name="_Toc123112227"/>
    </w:p>
    <w:p w14:paraId="4A7036B5" w14:textId="77777777" w:rsidR="009214AE" w:rsidRDefault="00C66335">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富荣量化精选混合型发起式</w:t>
      </w:r>
    </w:p>
    <w:p w14:paraId="4DEFAC46" w14:textId="77777777" w:rsidR="009214AE" w:rsidRDefault="00C66335">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证券投资基金更新的招募说明书</w:t>
      </w:r>
    </w:p>
    <w:p w14:paraId="7EB0D031" w14:textId="13C59B86" w:rsidR="009214AE" w:rsidRDefault="00C66335">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sidR="00B345F4">
        <w:rPr>
          <w:rFonts w:ascii="Arial" w:eastAsia="宋体" w:hAnsi="宋体" w:cs="Arial" w:hint="eastAsia"/>
          <w:b/>
          <w:sz w:val="48"/>
          <w:szCs w:val="48"/>
        </w:rPr>
        <w:t>2025</w:t>
      </w:r>
      <w:r w:rsidR="00B345F4">
        <w:rPr>
          <w:rFonts w:ascii="Arial" w:eastAsia="宋体" w:hAnsi="宋体" w:cs="Arial" w:hint="eastAsia"/>
          <w:b/>
          <w:sz w:val="48"/>
          <w:szCs w:val="48"/>
        </w:rPr>
        <w:t>年第</w:t>
      </w:r>
      <w:r w:rsidR="00B345F4">
        <w:rPr>
          <w:rFonts w:ascii="Arial" w:eastAsia="宋体" w:hAnsi="宋体" w:cs="Arial" w:hint="eastAsia"/>
          <w:b/>
          <w:sz w:val="48"/>
          <w:szCs w:val="48"/>
        </w:rPr>
        <w:t>1</w:t>
      </w:r>
      <w:r w:rsidR="00B345F4">
        <w:rPr>
          <w:rFonts w:ascii="Arial" w:eastAsia="宋体" w:hAnsi="宋体" w:cs="Arial" w:hint="eastAsia"/>
          <w:b/>
          <w:sz w:val="48"/>
          <w:szCs w:val="48"/>
        </w:rPr>
        <w:t>号</w:t>
      </w:r>
      <w:r>
        <w:rPr>
          <w:rFonts w:ascii="Arial" w:eastAsia="宋体" w:hAnsi="宋体" w:cs="Arial" w:hint="eastAsia"/>
          <w:b/>
          <w:sz w:val="48"/>
          <w:szCs w:val="48"/>
        </w:rPr>
        <w:t>）</w:t>
      </w:r>
    </w:p>
    <w:p w14:paraId="602FF50A" w14:textId="77777777" w:rsidR="009214AE" w:rsidRDefault="009214AE">
      <w:pPr>
        <w:adjustRightInd w:val="0"/>
        <w:snapToGrid w:val="0"/>
        <w:spacing w:line="360" w:lineRule="auto"/>
        <w:jc w:val="center"/>
        <w:rPr>
          <w:rFonts w:asciiTheme="minorEastAsia" w:hAnsiTheme="minorEastAsia" w:cs="Times New Roman" w:hint="eastAsia"/>
          <w:b/>
          <w:sz w:val="36"/>
          <w:szCs w:val="36"/>
        </w:rPr>
      </w:pPr>
    </w:p>
    <w:p w14:paraId="2AD8699C" w14:textId="77777777" w:rsidR="009214AE" w:rsidRDefault="009214AE">
      <w:pPr>
        <w:adjustRightInd w:val="0"/>
        <w:snapToGrid w:val="0"/>
        <w:spacing w:line="360" w:lineRule="auto"/>
        <w:jc w:val="center"/>
        <w:rPr>
          <w:rFonts w:asciiTheme="minorEastAsia" w:hAnsiTheme="minorEastAsia" w:cs="Arial" w:hint="eastAsia"/>
          <w:sz w:val="36"/>
          <w:szCs w:val="36"/>
        </w:rPr>
      </w:pPr>
    </w:p>
    <w:p w14:paraId="4B584B81" w14:textId="77777777" w:rsidR="009214AE" w:rsidRDefault="009214AE">
      <w:pPr>
        <w:adjustRightInd w:val="0"/>
        <w:snapToGrid w:val="0"/>
        <w:spacing w:line="360" w:lineRule="auto"/>
        <w:jc w:val="center"/>
        <w:rPr>
          <w:rFonts w:asciiTheme="minorEastAsia" w:hAnsiTheme="minorEastAsia" w:cs="Arial" w:hint="eastAsia"/>
          <w:sz w:val="36"/>
          <w:szCs w:val="36"/>
        </w:rPr>
      </w:pPr>
    </w:p>
    <w:p w14:paraId="155578CB" w14:textId="77777777" w:rsidR="009214AE" w:rsidRDefault="009214AE">
      <w:pPr>
        <w:adjustRightInd w:val="0"/>
        <w:snapToGrid w:val="0"/>
        <w:spacing w:line="360" w:lineRule="auto"/>
        <w:jc w:val="center"/>
        <w:rPr>
          <w:rFonts w:asciiTheme="minorEastAsia" w:hAnsiTheme="minorEastAsia" w:cs="Arial" w:hint="eastAsia"/>
          <w:sz w:val="36"/>
          <w:szCs w:val="36"/>
        </w:rPr>
      </w:pPr>
    </w:p>
    <w:p w14:paraId="0B07D0ED" w14:textId="77777777" w:rsidR="009214AE" w:rsidRDefault="009214AE">
      <w:pPr>
        <w:adjustRightInd w:val="0"/>
        <w:snapToGrid w:val="0"/>
        <w:spacing w:line="360" w:lineRule="auto"/>
        <w:jc w:val="center"/>
        <w:rPr>
          <w:rFonts w:asciiTheme="minorEastAsia" w:hAnsiTheme="minorEastAsia" w:cs="Arial" w:hint="eastAsia"/>
          <w:sz w:val="36"/>
          <w:szCs w:val="36"/>
        </w:rPr>
      </w:pPr>
    </w:p>
    <w:p w14:paraId="45E6CB05" w14:textId="77777777" w:rsidR="009214AE" w:rsidRDefault="009214AE">
      <w:pPr>
        <w:adjustRightInd w:val="0"/>
        <w:snapToGrid w:val="0"/>
        <w:spacing w:line="360" w:lineRule="auto"/>
        <w:jc w:val="center"/>
        <w:rPr>
          <w:rFonts w:asciiTheme="minorEastAsia" w:hAnsiTheme="minorEastAsia" w:cs="Arial" w:hint="eastAsia"/>
          <w:sz w:val="36"/>
          <w:szCs w:val="36"/>
        </w:rPr>
      </w:pPr>
    </w:p>
    <w:p w14:paraId="42075E20" w14:textId="77777777" w:rsidR="009214AE" w:rsidRDefault="009214AE">
      <w:pPr>
        <w:adjustRightInd w:val="0"/>
        <w:snapToGrid w:val="0"/>
        <w:spacing w:line="360" w:lineRule="auto"/>
        <w:jc w:val="center"/>
        <w:rPr>
          <w:rFonts w:asciiTheme="minorEastAsia" w:hAnsiTheme="minorEastAsia" w:cs="Arial" w:hint="eastAsia"/>
          <w:sz w:val="36"/>
          <w:szCs w:val="36"/>
        </w:rPr>
      </w:pPr>
    </w:p>
    <w:p w14:paraId="2FB2CD43" w14:textId="77777777" w:rsidR="009214AE" w:rsidRDefault="00C66335">
      <w:pPr>
        <w:snapToGrid w:val="0"/>
        <w:spacing w:line="360" w:lineRule="auto"/>
        <w:jc w:val="center"/>
        <w:rPr>
          <w:rFonts w:ascii="Arial" w:eastAsia="宋体" w:hAnsi="Arial" w:cs="Times New Roman"/>
          <w:b/>
          <w:sz w:val="36"/>
          <w:szCs w:val="36"/>
        </w:rPr>
      </w:pPr>
      <w:bookmarkStart w:id="4" w:name="_Toc123112224"/>
      <w:bookmarkStart w:id="5" w:name="_Toc139991726"/>
      <w:bookmarkStart w:id="6" w:name="_Toc123701383"/>
      <w:bookmarkStart w:id="7" w:name="_Toc139992301"/>
      <w:bookmarkStart w:id="8" w:name="_Toc12311226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797962CC" w14:textId="77777777" w:rsidR="009214AE" w:rsidRDefault="00C66335">
      <w:pPr>
        <w:autoSpaceDE w:val="0"/>
        <w:autoSpaceDN w:val="0"/>
        <w:adjustRightInd w:val="0"/>
        <w:snapToGrid w:val="0"/>
        <w:spacing w:line="360" w:lineRule="auto"/>
        <w:jc w:val="center"/>
        <w:rPr>
          <w:rFonts w:ascii="Arial" w:eastAsia="宋体" w:hAnsi="Arial" w:cs="Arial"/>
          <w:b/>
          <w:bCs/>
          <w:sz w:val="36"/>
          <w:szCs w:val="36"/>
        </w:rPr>
      </w:pPr>
      <w:bookmarkStart w:id="9" w:name="_Toc139991727"/>
      <w:bookmarkStart w:id="10" w:name="_Toc123701384"/>
      <w:bookmarkStart w:id="11" w:name="_Toc123112225"/>
      <w:bookmarkStart w:id="12" w:name="_Toc139992302"/>
      <w:bookmarkStart w:id="13" w:name="_Toc123112264"/>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中国工商银行股份有限公司</w:t>
      </w:r>
    </w:p>
    <w:p w14:paraId="40D015AF" w14:textId="77777777" w:rsidR="009214AE" w:rsidRDefault="009214AE">
      <w:pPr>
        <w:autoSpaceDE w:val="0"/>
        <w:autoSpaceDN w:val="0"/>
        <w:adjustRightInd w:val="0"/>
        <w:snapToGrid w:val="0"/>
        <w:spacing w:line="360" w:lineRule="auto"/>
        <w:jc w:val="center"/>
        <w:rPr>
          <w:rFonts w:asciiTheme="minorEastAsia" w:hAnsiTheme="minorEastAsia" w:cs="Arial" w:hint="eastAsia"/>
          <w:b/>
          <w:bCs/>
          <w:sz w:val="28"/>
          <w:szCs w:val="28"/>
        </w:rPr>
      </w:pPr>
    </w:p>
    <w:p w14:paraId="09DCB1DF" w14:textId="77777777" w:rsidR="009214AE" w:rsidRDefault="009214AE">
      <w:pPr>
        <w:autoSpaceDE w:val="0"/>
        <w:autoSpaceDN w:val="0"/>
        <w:adjustRightInd w:val="0"/>
        <w:snapToGrid w:val="0"/>
        <w:spacing w:line="360" w:lineRule="auto"/>
        <w:jc w:val="center"/>
        <w:rPr>
          <w:rFonts w:asciiTheme="minorEastAsia" w:hAnsiTheme="minorEastAsia" w:cs="Arial" w:hint="eastAsia"/>
          <w:b/>
          <w:bCs/>
          <w:sz w:val="28"/>
          <w:szCs w:val="28"/>
        </w:rPr>
      </w:pPr>
    </w:p>
    <w:p w14:paraId="2137876D" w14:textId="77777777" w:rsidR="009214AE" w:rsidRDefault="009214AE">
      <w:pPr>
        <w:widowControl/>
        <w:spacing w:line="360" w:lineRule="auto"/>
        <w:rPr>
          <w:rFonts w:ascii="Arial" w:eastAsia="宋体" w:hAnsi="Arial" w:cs="Arial"/>
          <w:b/>
          <w:bCs/>
          <w:kern w:val="0"/>
          <w:sz w:val="28"/>
          <w:szCs w:val="28"/>
        </w:rPr>
        <w:sectPr w:rsidR="009214AE" w:rsidSect="004C0C2D">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6A5312DF" w14:textId="77777777" w:rsidR="009214AE" w:rsidRDefault="00C66335">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1007F0A6" w14:textId="77777777" w:rsidR="009214AE" w:rsidRDefault="009214AE">
      <w:pPr>
        <w:autoSpaceDE w:val="0"/>
        <w:autoSpaceDN w:val="0"/>
        <w:adjustRightInd w:val="0"/>
        <w:snapToGrid w:val="0"/>
        <w:spacing w:line="360" w:lineRule="auto"/>
        <w:jc w:val="center"/>
        <w:rPr>
          <w:rFonts w:ascii="Arial" w:eastAsia="宋体" w:hAnsi="Arial" w:cs="Arial"/>
          <w:b/>
          <w:bCs/>
          <w:szCs w:val="21"/>
        </w:rPr>
      </w:pPr>
    </w:p>
    <w:p w14:paraId="1BA7B88B"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1、本基金根据</w:t>
      </w:r>
      <w:r>
        <w:rPr>
          <w:rFonts w:asciiTheme="minorEastAsia" w:hAnsiTheme="minorEastAsia" w:cs="Arial" w:hint="eastAsia"/>
          <w:bCs/>
          <w:color w:val="000000"/>
          <w:sz w:val="24"/>
          <w:szCs w:val="24"/>
        </w:rPr>
        <w:t>2</w:t>
      </w:r>
      <w:r>
        <w:rPr>
          <w:rFonts w:asciiTheme="minorEastAsia" w:hAnsiTheme="minorEastAsia" w:cs="Arial"/>
          <w:bCs/>
          <w:color w:val="000000"/>
          <w:sz w:val="24"/>
          <w:szCs w:val="24"/>
        </w:rPr>
        <w:t>021</w:t>
      </w:r>
      <w:r>
        <w:rPr>
          <w:rFonts w:asciiTheme="minorEastAsia" w:hAnsiTheme="minorEastAsia" w:cs="Arial" w:hint="eastAsia"/>
          <w:bCs/>
          <w:color w:val="000000"/>
          <w:sz w:val="24"/>
          <w:szCs w:val="24"/>
        </w:rPr>
        <w:t>年</w:t>
      </w:r>
      <w:r>
        <w:rPr>
          <w:rFonts w:asciiTheme="minorEastAsia" w:hAnsiTheme="minorEastAsia" w:cs="Arial"/>
          <w:bCs/>
          <w:color w:val="000000"/>
          <w:sz w:val="24"/>
          <w:szCs w:val="24"/>
        </w:rPr>
        <w:t>11</w:t>
      </w:r>
      <w:r>
        <w:rPr>
          <w:rFonts w:asciiTheme="minorEastAsia" w:hAnsiTheme="minorEastAsia" w:cs="Arial" w:hint="eastAsia"/>
          <w:bCs/>
          <w:color w:val="000000"/>
          <w:sz w:val="24"/>
          <w:szCs w:val="24"/>
        </w:rPr>
        <w:t>月</w:t>
      </w:r>
      <w:r>
        <w:rPr>
          <w:rFonts w:asciiTheme="minorEastAsia" w:hAnsiTheme="minorEastAsia" w:cs="Arial"/>
          <w:bCs/>
          <w:color w:val="000000"/>
          <w:sz w:val="24"/>
          <w:szCs w:val="24"/>
        </w:rPr>
        <w:t>19</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中国证券监督管理委员会（以下简称“中国证监会”）《关于准予富荣量化精选混合型发起式证券投资基金注册的批复》（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3691</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p>
    <w:p w14:paraId="0C5F74BB"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450DE14E"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信用风险、管理风险、操作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风险、投资于本基金的特有风险及其他风险等。本基金为混合型证券投资基金，其预期风险收益水平高于</w:t>
      </w:r>
      <w:r>
        <w:rPr>
          <w:rFonts w:asciiTheme="minorEastAsia" w:hAnsiTheme="minorEastAsia" w:cs="Arial" w:hint="eastAsia"/>
          <w:bCs/>
          <w:sz w:val="24"/>
          <w:szCs w:val="24"/>
        </w:rPr>
        <w:t>债券型基金及货币市场基金，低于股票型基金</w:t>
      </w:r>
      <w:r>
        <w:rPr>
          <w:rFonts w:asciiTheme="minorEastAsia" w:hAnsiTheme="minorEastAsia" w:cs="Arial" w:hint="eastAsia"/>
          <w:sz w:val="24"/>
          <w:szCs w:val="24"/>
        </w:rPr>
        <w:t>。</w:t>
      </w:r>
    </w:p>
    <w:p w14:paraId="40895017"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6ED26BA1"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1977E133"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27070F9C"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本基金为发起式基金，本基金发起资金来源范围为基金管理人的股东资金、基金管理人固有资金、基金管理人的高级管理人员或基金经理等人员的资金，本基金发起资金的认购情况详见基金管理人届时发布的基金合同生效公告。发起资金提供方认购基金的金额不少于1000万元人民币，且持有认购份额的期限自基金合同生效日起不少于3年。本基金发起资金提供方对本基金的发起认购，并不代表对本基金的风险或收益的任何判断、预测、推荐和保证，发起资金也并不用</w:t>
      </w:r>
      <w:r>
        <w:rPr>
          <w:rFonts w:asciiTheme="minorEastAsia" w:hAnsiTheme="minorEastAsia" w:cs="Arial" w:hint="eastAsia"/>
          <w:sz w:val="24"/>
          <w:szCs w:val="24"/>
        </w:rPr>
        <w:lastRenderedPageBreak/>
        <w:t>于对投资人投资亏损的补偿，投资人及发起资金认购人均自行承担投资风险。</w:t>
      </w:r>
    </w:p>
    <w:p w14:paraId="54EEA258"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本基金发起资金认购的本基金份额持有期限自基金合同生效日起满3年后，发起资金提供方将根据自身情况决定是否继续持有，届时发起资金提供方有可能赎回认购的本基金份额。</w:t>
      </w:r>
    </w:p>
    <w:p w14:paraId="61D6FF88" w14:textId="77777777" w:rsidR="009214AE" w:rsidRDefault="00C66335">
      <w:pPr>
        <w:pStyle w:val="ac"/>
        <w:spacing w:line="360" w:lineRule="auto"/>
        <w:ind w:firstLineChars="200" w:firstLine="480"/>
        <w:rPr>
          <w:rFonts w:asciiTheme="minorEastAsia" w:eastAsiaTheme="minorEastAsia" w:hAnsiTheme="minorEastAsia" w:cs="Arial" w:hint="eastAsia"/>
          <w:kern w:val="2"/>
          <w:sz w:val="24"/>
          <w:szCs w:val="24"/>
        </w:rPr>
      </w:pPr>
      <w:r>
        <w:rPr>
          <w:rFonts w:asciiTheme="minorEastAsia" w:eastAsiaTheme="minorEastAsia" w:hAnsiTheme="minorEastAsia" w:cs="Arial" w:hint="eastAsia"/>
          <w:kern w:val="2"/>
          <w:sz w:val="24"/>
          <w:szCs w:val="24"/>
        </w:rPr>
        <w:t>5、当本基金持有特定资产且存在或潜在大额赎回申请时，基金管理人履行相应程序后，可以</w:t>
      </w:r>
      <w:proofErr w:type="gramStart"/>
      <w:r>
        <w:rPr>
          <w:rFonts w:asciiTheme="minorEastAsia" w:eastAsiaTheme="minorEastAsia" w:hAnsiTheme="minorEastAsia" w:cs="Arial" w:hint="eastAsia"/>
          <w:kern w:val="2"/>
          <w:sz w:val="24"/>
          <w:szCs w:val="24"/>
        </w:rPr>
        <w:t>启用侧袋机制</w:t>
      </w:r>
      <w:proofErr w:type="gramEnd"/>
      <w:r>
        <w:rPr>
          <w:rFonts w:asciiTheme="minorEastAsia" w:eastAsiaTheme="minorEastAsia" w:hAnsiTheme="minorEastAsia" w:cs="Arial" w:hint="eastAsia"/>
          <w:kern w:val="2"/>
          <w:sz w:val="24"/>
          <w:szCs w:val="24"/>
        </w:rPr>
        <w:t>，具体详见基金合同和本招募说明书的有关章节。</w:t>
      </w:r>
      <w:proofErr w:type="gramStart"/>
      <w:r>
        <w:rPr>
          <w:rFonts w:asciiTheme="minorEastAsia" w:eastAsiaTheme="minorEastAsia" w:hAnsiTheme="minorEastAsia" w:cs="Arial" w:hint="eastAsia"/>
          <w:kern w:val="2"/>
          <w:sz w:val="24"/>
          <w:szCs w:val="24"/>
        </w:rPr>
        <w:t>侧袋机制</w:t>
      </w:r>
      <w:proofErr w:type="gramEnd"/>
      <w:r>
        <w:rPr>
          <w:rFonts w:asciiTheme="minorEastAsia" w:eastAsiaTheme="minorEastAsia" w:hAnsiTheme="minorEastAsia" w:cs="Arial" w:hint="eastAsia"/>
          <w:kern w:val="2"/>
          <w:sz w:val="24"/>
          <w:szCs w:val="24"/>
        </w:rPr>
        <w:t>实施期间，基金管理人将对基金简称进行特殊标识，并不</w:t>
      </w:r>
      <w:proofErr w:type="gramStart"/>
      <w:r>
        <w:rPr>
          <w:rFonts w:asciiTheme="minorEastAsia" w:eastAsiaTheme="minorEastAsia" w:hAnsiTheme="minorEastAsia" w:cs="Arial" w:hint="eastAsia"/>
          <w:kern w:val="2"/>
          <w:sz w:val="24"/>
          <w:szCs w:val="24"/>
        </w:rPr>
        <w:t>办理侧袋账户</w:t>
      </w:r>
      <w:proofErr w:type="gramEnd"/>
      <w:r>
        <w:rPr>
          <w:rFonts w:asciiTheme="minorEastAsia" w:eastAsiaTheme="minorEastAsia" w:hAnsiTheme="minorEastAsia" w:cs="Arial" w:hint="eastAsia"/>
          <w:kern w:val="2"/>
          <w:sz w:val="24"/>
          <w:szCs w:val="24"/>
        </w:rPr>
        <w:t>的申购赎回。</w:t>
      </w:r>
      <w:proofErr w:type="gramStart"/>
      <w:r>
        <w:rPr>
          <w:rFonts w:asciiTheme="minorEastAsia" w:eastAsiaTheme="minorEastAsia" w:hAnsiTheme="minorEastAsia" w:cs="Arial" w:hint="eastAsia"/>
          <w:kern w:val="2"/>
          <w:sz w:val="24"/>
          <w:szCs w:val="24"/>
        </w:rPr>
        <w:t>请基金</w:t>
      </w:r>
      <w:proofErr w:type="gramEnd"/>
      <w:r>
        <w:rPr>
          <w:rFonts w:asciiTheme="minorEastAsia" w:eastAsiaTheme="minorEastAsia" w:hAnsiTheme="minorEastAsia" w:cs="Arial" w:hint="eastAsia"/>
          <w:kern w:val="2"/>
          <w:sz w:val="24"/>
          <w:szCs w:val="24"/>
        </w:rPr>
        <w:t>份额持有人仔细阅读相关内容并关注本基金启用</w:t>
      </w:r>
      <w:proofErr w:type="gramStart"/>
      <w:r>
        <w:rPr>
          <w:rFonts w:asciiTheme="minorEastAsia" w:eastAsiaTheme="minorEastAsia" w:hAnsiTheme="minorEastAsia" w:cs="Arial" w:hint="eastAsia"/>
          <w:kern w:val="2"/>
          <w:sz w:val="24"/>
          <w:szCs w:val="24"/>
        </w:rPr>
        <w:t>侧袋机制</w:t>
      </w:r>
      <w:proofErr w:type="gramEnd"/>
      <w:r>
        <w:rPr>
          <w:rFonts w:asciiTheme="minorEastAsia" w:eastAsiaTheme="minorEastAsia" w:hAnsiTheme="minorEastAsia" w:cs="Arial" w:hint="eastAsia"/>
          <w:kern w:val="2"/>
          <w:sz w:val="24"/>
          <w:szCs w:val="24"/>
        </w:rPr>
        <w:t>时的特定风险。</w:t>
      </w:r>
    </w:p>
    <w:p w14:paraId="1015DE06"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31F348F3"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w:t>
      </w:r>
      <w:r>
        <w:rPr>
          <w:rFonts w:asciiTheme="minorEastAsia" w:hAnsiTheme="minorEastAsia" w:cs="Arial" w:hint="eastAsia"/>
          <w:sz w:val="24"/>
          <w:szCs w:val="24"/>
        </w:rPr>
        <w:t>、投资有风险，投资人认购（或申购）基金时应认真阅读基金合同、本招募说明书、基金产品资料概要等信息披露文件，自主判断基金的投资价值，自主做出投资决策，自行承担投资风险。基金的过往业绩并不预示其未来表现。基金管理人管理的其他基金的业绩并不构成新基金业绩表现的保证。</w:t>
      </w:r>
    </w:p>
    <w:p w14:paraId="5D4251AA"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5443DA39" w14:textId="43D70F62"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本招募说明书所载内容截止日为</w:t>
      </w:r>
      <w:r>
        <w:rPr>
          <w:rFonts w:asciiTheme="minorEastAsia" w:hAnsiTheme="minorEastAsia" w:cs="Arial"/>
          <w:sz w:val="24"/>
          <w:szCs w:val="24"/>
        </w:rPr>
        <w:t>202</w:t>
      </w:r>
      <w:r w:rsidR="00736217">
        <w:rPr>
          <w:rFonts w:asciiTheme="minorEastAsia" w:hAnsiTheme="minorEastAsia" w:cs="Arial" w:hint="eastAsia"/>
          <w:sz w:val="24"/>
          <w:szCs w:val="24"/>
        </w:rPr>
        <w:t>5</w:t>
      </w:r>
      <w:r>
        <w:rPr>
          <w:rFonts w:asciiTheme="minorEastAsia" w:hAnsiTheme="minorEastAsia" w:cs="Arial"/>
          <w:sz w:val="24"/>
          <w:szCs w:val="24"/>
        </w:rPr>
        <w:t>年3</w:t>
      </w:r>
      <w:r>
        <w:rPr>
          <w:rFonts w:asciiTheme="minorEastAsia" w:hAnsiTheme="minorEastAsia" w:cs="Arial" w:hint="eastAsia"/>
          <w:sz w:val="24"/>
          <w:szCs w:val="24"/>
        </w:rPr>
        <w:t>月</w:t>
      </w:r>
      <w:r>
        <w:rPr>
          <w:rFonts w:asciiTheme="minorEastAsia" w:hAnsiTheme="minorEastAsia" w:cs="Arial"/>
          <w:sz w:val="24"/>
          <w:szCs w:val="24"/>
        </w:rPr>
        <w:t>22</w:t>
      </w:r>
      <w:r>
        <w:rPr>
          <w:rFonts w:asciiTheme="minorEastAsia" w:hAnsiTheme="minorEastAsia" w:cs="Arial" w:hint="eastAsia"/>
          <w:sz w:val="24"/>
          <w:szCs w:val="24"/>
        </w:rPr>
        <w:t>日，有关财务数据截止日为</w:t>
      </w:r>
      <w:r w:rsidR="00736217">
        <w:rPr>
          <w:rFonts w:asciiTheme="minorEastAsia" w:hAnsiTheme="minorEastAsia" w:cs="Arial"/>
          <w:sz w:val="24"/>
          <w:szCs w:val="24"/>
        </w:rPr>
        <w:t>202</w:t>
      </w:r>
      <w:r w:rsidR="00736217">
        <w:rPr>
          <w:rFonts w:asciiTheme="minorEastAsia" w:hAnsiTheme="minorEastAsia" w:cs="Arial" w:hint="eastAsia"/>
          <w:sz w:val="24"/>
          <w:szCs w:val="24"/>
        </w:rPr>
        <w:t>4</w:t>
      </w:r>
      <w:r>
        <w:rPr>
          <w:rFonts w:asciiTheme="minorEastAsia" w:hAnsiTheme="minorEastAsia" w:cs="Arial"/>
          <w:sz w:val="24"/>
          <w:szCs w:val="24"/>
        </w:rPr>
        <w:t>年12月31日，净值表现截止日为</w:t>
      </w:r>
      <w:r w:rsidR="00736217">
        <w:rPr>
          <w:rFonts w:asciiTheme="minorEastAsia" w:hAnsiTheme="minorEastAsia" w:cs="Arial"/>
          <w:sz w:val="24"/>
          <w:szCs w:val="24"/>
        </w:rPr>
        <w:t>202</w:t>
      </w:r>
      <w:r w:rsidR="00736217">
        <w:rPr>
          <w:rFonts w:asciiTheme="minorEastAsia" w:hAnsiTheme="minorEastAsia" w:cs="Arial" w:hint="eastAsia"/>
          <w:sz w:val="24"/>
          <w:szCs w:val="24"/>
        </w:rPr>
        <w:t>4</w:t>
      </w:r>
      <w:r>
        <w:rPr>
          <w:rFonts w:asciiTheme="minorEastAsia" w:hAnsiTheme="minorEastAsia" w:cs="Arial"/>
          <w:sz w:val="24"/>
          <w:szCs w:val="24"/>
        </w:rPr>
        <w:t>年12月31日，本报告中所列财务数据未经审计。</w:t>
      </w:r>
    </w:p>
    <w:p w14:paraId="4A179306" w14:textId="7DCADA55" w:rsidR="009214AE" w:rsidRDefault="00736217">
      <w:pPr>
        <w:autoSpaceDE w:val="0"/>
        <w:autoSpaceDN w:val="0"/>
        <w:adjustRightInd w:val="0"/>
        <w:snapToGrid w:val="0"/>
        <w:spacing w:line="360" w:lineRule="auto"/>
        <w:ind w:firstLineChars="200" w:firstLine="480"/>
        <w:rPr>
          <w:rFonts w:asciiTheme="minorEastAsia" w:hAnsiTheme="minorEastAsia" w:cs="Arial" w:hint="eastAsia"/>
          <w:sz w:val="24"/>
          <w:szCs w:val="24"/>
        </w:rPr>
      </w:pPr>
      <w:r w:rsidRPr="00736217">
        <w:rPr>
          <w:rFonts w:asciiTheme="minorEastAsia" w:hAnsiTheme="minorEastAsia" w:cs="Arial" w:hint="eastAsia"/>
          <w:sz w:val="24"/>
          <w:szCs w:val="24"/>
        </w:rPr>
        <w:t>本基金托管人中国工商银行股份有限公司已复核了本次更新的招募说明书。</w:t>
      </w:r>
    </w:p>
    <w:p w14:paraId="0570309D" w14:textId="77777777" w:rsidR="009214AE" w:rsidRDefault="009214AE">
      <w:pPr>
        <w:widowControl/>
        <w:spacing w:line="360" w:lineRule="auto"/>
        <w:jc w:val="left"/>
        <w:rPr>
          <w:rFonts w:ascii="Times New Roman" w:eastAsia="宋体" w:hAnsi="Times New Roman" w:cs="Times New Roman"/>
          <w:b/>
          <w:kern w:val="0"/>
          <w:sz w:val="30"/>
          <w:szCs w:val="30"/>
        </w:rPr>
        <w:sectPr w:rsidR="009214AE" w:rsidSect="004C0C2D">
          <w:pgSz w:w="11906" w:h="16838"/>
          <w:pgMar w:top="1440" w:right="1800" w:bottom="1440" w:left="1800" w:header="851" w:footer="992" w:gutter="0"/>
          <w:pgNumType w:start="1"/>
          <w:cols w:space="720"/>
          <w:docGrid w:type="lines" w:linePitch="312"/>
        </w:sectPr>
      </w:pPr>
      <w:bookmarkStart w:id="14" w:name="_Toc11660"/>
      <w:bookmarkStart w:id="15" w:name="_Toc352229746"/>
      <w:bookmarkStart w:id="16" w:name="_Toc8727"/>
      <w:bookmarkStart w:id="17" w:name="_Toc30935"/>
      <w:bookmarkStart w:id="18" w:name="_Toc139991730"/>
      <w:bookmarkStart w:id="19" w:name="_Toc23386"/>
      <w:bookmarkStart w:id="20" w:name="_Toc123112229"/>
      <w:bookmarkStart w:id="21" w:name="_Toc4966"/>
      <w:bookmarkStart w:id="22" w:name="_Toc26897"/>
      <w:bookmarkStart w:id="23" w:name="_Toc123112268"/>
      <w:bookmarkStart w:id="24" w:name="_Toc4867"/>
      <w:bookmarkStart w:id="25" w:name="_Toc29629"/>
      <w:bookmarkStart w:id="26" w:name="_Toc6306"/>
      <w:bookmarkStart w:id="27" w:name="_Toc15517"/>
      <w:bookmarkStart w:id="28" w:name="_Toc141703880"/>
      <w:bookmarkStart w:id="29" w:name="_Toc123701389"/>
      <w:bookmarkStart w:id="30" w:name="_Toc32639"/>
      <w:bookmarkStart w:id="31" w:name="_Toc233456271"/>
      <w:bookmarkEnd w:id="0"/>
      <w:bookmarkEnd w:id="1"/>
      <w:bookmarkEnd w:id="2"/>
      <w:bookmarkEnd w:id="3"/>
    </w:p>
    <w:p w14:paraId="3C05ABEF" w14:textId="77777777" w:rsidR="009214AE" w:rsidRDefault="00C66335">
      <w:pPr>
        <w:jc w:val="center"/>
        <w:rPr>
          <w:b/>
          <w:bCs/>
          <w:sz w:val="24"/>
        </w:rPr>
      </w:pPr>
      <w:r>
        <w:rPr>
          <w:b/>
          <w:bCs/>
          <w:sz w:val="24"/>
        </w:rPr>
        <w:lastRenderedPageBreak/>
        <w:t>目</w:t>
      </w:r>
      <w:r>
        <w:rPr>
          <w:b/>
          <w:bCs/>
          <w:sz w:val="24"/>
        </w:rPr>
        <w:t xml:space="preserve">    </w:t>
      </w:r>
      <w:r>
        <w:rPr>
          <w:b/>
          <w:bCs/>
          <w:sz w:val="24"/>
        </w:rPr>
        <w:t>录</w:t>
      </w:r>
    </w:p>
    <w:p w14:paraId="154CDE3B" w14:textId="1C3E9405" w:rsidR="0088357C" w:rsidRDefault="00C66335">
      <w:pPr>
        <w:pStyle w:val="TOC1"/>
        <w:rPr>
          <w:rFonts w:asciiTheme="minorHAnsi" w:eastAsiaTheme="minorEastAsia" w:hAnsiTheme="minorHAnsi" w:cstheme="minorBidi"/>
          <w:noProof/>
          <w:szCs w:val="22"/>
          <w14:ligatures w14:val="standardContextual"/>
        </w:rPr>
      </w:pPr>
      <w:r>
        <w:rPr>
          <w:bCs/>
        </w:rPr>
        <w:fldChar w:fldCharType="begin"/>
      </w:r>
      <w:r>
        <w:rPr>
          <w:bCs/>
        </w:rPr>
        <w:instrText xml:space="preserve"> TOC \o "1-1" \h \z \u </w:instrText>
      </w:r>
      <w:r>
        <w:rPr>
          <w:bCs/>
        </w:rPr>
        <w:fldChar w:fldCharType="separate"/>
      </w:r>
      <w:hyperlink w:anchor="_Toc164429414" w:history="1">
        <w:r w:rsidR="0088357C" w:rsidRPr="0009718F">
          <w:rPr>
            <w:rStyle w:val="afd"/>
            <w:noProof/>
          </w:rPr>
          <w:t>第一部分</w:t>
        </w:r>
        <w:r w:rsidR="0088357C" w:rsidRPr="0009718F">
          <w:rPr>
            <w:rStyle w:val="afd"/>
            <w:noProof/>
          </w:rPr>
          <w:t xml:space="preserve">  </w:t>
        </w:r>
        <w:r w:rsidR="0088357C" w:rsidRPr="0009718F">
          <w:rPr>
            <w:rStyle w:val="afd"/>
            <w:noProof/>
          </w:rPr>
          <w:t>绪言</w:t>
        </w:r>
        <w:r w:rsidR="0088357C">
          <w:rPr>
            <w:noProof/>
            <w:webHidden/>
          </w:rPr>
          <w:tab/>
        </w:r>
        <w:r w:rsidR="0088357C">
          <w:rPr>
            <w:noProof/>
            <w:webHidden/>
          </w:rPr>
          <w:fldChar w:fldCharType="begin"/>
        </w:r>
        <w:r w:rsidR="0088357C">
          <w:rPr>
            <w:noProof/>
            <w:webHidden/>
          </w:rPr>
          <w:instrText xml:space="preserve"> PAGEREF _Toc164429414 \h </w:instrText>
        </w:r>
        <w:r w:rsidR="0088357C">
          <w:rPr>
            <w:noProof/>
            <w:webHidden/>
          </w:rPr>
        </w:r>
        <w:r w:rsidR="0088357C">
          <w:rPr>
            <w:noProof/>
            <w:webHidden/>
          </w:rPr>
          <w:fldChar w:fldCharType="separate"/>
        </w:r>
        <w:r w:rsidR="0088357C">
          <w:rPr>
            <w:noProof/>
            <w:webHidden/>
          </w:rPr>
          <w:t>4</w:t>
        </w:r>
        <w:r w:rsidR="0088357C">
          <w:rPr>
            <w:noProof/>
            <w:webHidden/>
          </w:rPr>
          <w:fldChar w:fldCharType="end"/>
        </w:r>
      </w:hyperlink>
    </w:p>
    <w:p w14:paraId="40F647D6" w14:textId="3DB4A46A" w:rsidR="0088357C" w:rsidRDefault="0088357C">
      <w:pPr>
        <w:pStyle w:val="TOC1"/>
        <w:rPr>
          <w:rFonts w:asciiTheme="minorHAnsi" w:eastAsiaTheme="minorEastAsia" w:hAnsiTheme="minorHAnsi" w:cstheme="minorBidi"/>
          <w:noProof/>
          <w:szCs w:val="22"/>
          <w14:ligatures w14:val="standardContextual"/>
        </w:rPr>
      </w:pPr>
      <w:hyperlink w:anchor="_Toc164429415" w:history="1">
        <w:r w:rsidRPr="0009718F">
          <w:rPr>
            <w:rStyle w:val="afd"/>
            <w:noProof/>
          </w:rPr>
          <w:t>第二部分</w:t>
        </w:r>
        <w:r w:rsidRPr="0009718F">
          <w:rPr>
            <w:rStyle w:val="afd"/>
            <w:noProof/>
          </w:rPr>
          <w:t xml:space="preserve">  </w:t>
        </w:r>
        <w:r w:rsidRPr="0009718F">
          <w:rPr>
            <w:rStyle w:val="afd"/>
            <w:noProof/>
          </w:rPr>
          <w:t>释义</w:t>
        </w:r>
        <w:r>
          <w:rPr>
            <w:noProof/>
            <w:webHidden/>
          </w:rPr>
          <w:tab/>
        </w:r>
        <w:r>
          <w:rPr>
            <w:noProof/>
            <w:webHidden/>
          </w:rPr>
          <w:fldChar w:fldCharType="begin"/>
        </w:r>
        <w:r>
          <w:rPr>
            <w:noProof/>
            <w:webHidden/>
          </w:rPr>
          <w:instrText xml:space="preserve"> PAGEREF _Toc164429415 \h </w:instrText>
        </w:r>
        <w:r>
          <w:rPr>
            <w:noProof/>
            <w:webHidden/>
          </w:rPr>
        </w:r>
        <w:r>
          <w:rPr>
            <w:noProof/>
            <w:webHidden/>
          </w:rPr>
          <w:fldChar w:fldCharType="separate"/>
        </w:r>
        <w:r>
          <w:rPr>
            <w:noProof/>
            <w:webHidden/>
          </w:rPr>
          <w:t>5</w:t>
        </w:r>
        <w:r>
          <w:rPr>
            <w:noProof/>
            <w:webHidden/>
          </w:rPr>
          <w:fldChar w:fldCharType="end"/>
        </w:r>
      </w:hyperlink>
    </w:p>
    <w:p w14:paraId="432EC4BE" w14:textId="6369C2DE" w:rsidR="0088357C" w:rsidRDefault="0088357C">
      <w:pPr>
        <w:pStyle w:val="TOC1"/>
        <w:rPr>
          <w:rFonts w:asciiTheme="minorHAnsi" w:eastAsiaTheme="minorEastAsia" w:hAnsiTheme="minorHAnsi" w:cstheme="minorBidi"/>
          <w:noProof/>
          <w:szCs w:val="22"/>
          <w14:ligatures w14:val="standardContextual"/>
        </w:rPr>
      </w:pPr>
      <w:hyperlink w:anchor="_Toc164429416" w:history="1">
        <w:r w:rsidRPr="0009718F">
          <w:rPr>
            <w:rStyle w:val="afd"/>
            <w:noProof/>
          </w:rPr>
          <w:t>第三部分</w:t>
        </w:r>
        <w:r w:rsidRPr="0009718F">
          <w:rPr>
            <w:rStyle w:val="afd"/>
            <w:noProof/>
          </w:rPr>
          <w:t xml:space="preserve">  </w:t>
        </w:r>
        <w:r w:rsidRPr="0009718F">
          <w:rPr>
            <w:rStyle w:val="afd"/>
            <w:noProof/>
          </w:rPr>
          <w:t>基金管理人</w:t>
        </w:r>
        <w:r>
          <w:rPr>
            <w:noProof/>
            <w:webHidden/>
          </w:rPr>
          <w:tab/>
        </w:r>
        <w:r>
          <w:rPr>
            <w:noProof/>
            <w:webHidden/>
          </w:rPr>
          <w:fldChar w:fldCharType="begin"/>
        </w:r>
        <w:r>
          <w:rPr>
            <w:noProof/>
            <w:webHidden/>
          </w:rPr>
          <w:instrText xml:space="preserve"> PAGEREF _Toc164429416 \h </w:instrText>
        </w:r>
        <w:r>
          <w:rPr>
            <w:noProof/>
            <w:webHidden/>
          </w:rPr>
        </w:r>
        <w:r>
          <w:rPr>
            <w:noProof/>
            <w:webHidden/>
          </w:rPr>
          <w:fldChar w:fldCharType="separate"/>
        </w:r>
        <w:r>
          <w:rPr>
            <w:noProof/>
            <w:webHidden/>
          </w:rPr>
          <w:t>11</w:t>
        </w:r>
        <w:r>
          <w:rPr>
            <w:noProof/>
            <w:webHidden/>
          </w:rPr>
          <w:fldChar w:fldCharType="end"/>
        </w:r>
      </w:hyperlink>
    </w:p>
    <w:p w14:paraId="743E8B5B" w14:textId="33A9044F" w:rsidR="0088357C" w:rsidRDefault="0088357C">
      <w:pPr>
        <w:pStyle w:val="TOC1"/>
        <w:rPr>
          <w:rFonts w:asciiTheme="minorHAnsi" w:eastAsiaTheme="minorEastAsia" w:hAnsiTheme="minorHAnsi" w:cstheme="minorBidi"/>
          <w:noProof/>
          <w:szCs w:val="22"/>
          <w14:ligatures w14:val="standardContextual"/>
        </w:rPr>
      </w:pPr>
      <w:hyperlink w:anchor="_Toc164429417" w:history="1">
        <w:r w:rsidRPr="0009718F">
          <w:rPr>
            <w:rStyle w:val="afd"/>
            <w:noProof/>
          </w:rPr>
          <w:t>第四部分</w:t>
        </w:r>
        <w:r w:rsidRPr="0009718F">
          <w:rPr>
            <w:rStyle w:val="afd"/>
            <w:noProof/>
          </w:rPr>
          <w:t xml:space="preserve">  </w:t>
        </w:r>
        <w:r w:rsidRPr="0009718F">
          <w:rPr>
            <w:rStyle w:val="afd"/>
            <w:noProof/>
          </w:rPr>
          <w:t>基金托管人</w:t>
        </w:r>
        <w:r>
          <w:rPr>
            <w:noProof/>
            <w:webHidden/>
          </w:rPr>
          <w:tab/>
        </w:r>
        <w:r>
          <w:rPr>
            <w:noProof/>
            <w:webHidden/>
          </w:rPr>
          <w:fldChar w:fldCharType="begin"/>
        </w:r>
        <w:r>
          <w:rPr>
            <w:noProof/>
            <w:webHidden/>
          </w:rPr>
          <w:instrText xml:space="preserve"> PAGEREF _Toc164429417 \h </w:instrText>
        </w:r>
        <w:r>
          <w:rPr>
            <w:noProof/>
            <w:webHidden/>
          </w:rPr>
        </w:r>
        <w:r>
          <w:rPr>
            <w:noProof/>
            <w:webHidden/>
          </w:rPr>
          <w:fldChar w:fldCharType="separate"/>
        </w:r>
        <w:r>
          <w:rPr>
            <w:noProof/>
            <w:webHidden/>
          </w:rPr>
          <w:t>22</w:t>
        </w:r>
        <w:r>
          <w:rPr>
            <w:noProof/>
            <w:webHidden/>
          </w:rPr>
          <w:fldChar w:fldCharType="end"/>
        </w:r>
      </w:hyperlink>
    </w:p>
    <w:p w14:paraId="1E751633" w14:textId="6D1BBF41" w:rsidR="0088357C" w:rsidRDefault="0088357C">
      <w:pPr>
        <w:pStyle w:val="TOC1"/>
        <w:rPr>
          <w:rFonts w:asciiTheme="minorHAnsi" w:eastAsiaTheme="minorEastAsia" w:hAnsiTheme="minorHAnsi" w:cstheme="minorBidi"/>
          <w:noProof/>
          <w:szCs w:val="22"/>
          <w14:ligatures w14:val="standardContextual"/>
        </w:rPr>
      </w:pPr>
      <w:hyperlink w:anchor="_Toc164429418" w:history="1">
        <w:r w:rsidRPr="0009718F">
          <w:rPr>
            <w:rStyle w:val="afd"/>
            <w:noProof/>
          </w:rPr>
          <w:t>第五部分</w:t>
        </w:r>
        <w:r w:rsidRPr="0009718F">
          <w:rPr>
            <w:rStyle w:val="afd"/>
            <w:noProof/>
          </w:rPr>
          <w:t xml:space="preserve">  </w:t>
        </w:r>
        <w:r w:rsidRPr="0009718F">
          <w:rPr>
            <w:rStyle w:val="afd"/>
            <w:noProof/>
          </w:rPr>
          <w:t>相关服务机构</w:t>
        </w:r>
        <w:r>
          <w:rPr>
            <w:noProof/>
            <w:webHidden/>
          </w:rPr>
          <w:tab/>
        </w:r>
        <w:r>
          <w:rPr>
            <w:noProof/>
            <w:webHidden/>
          </w:rPr>
          <w:fldChar w:fldCharType="begin"/>
        </w:r>
        <w:r>
          <w:rPr>
            <w:noProof/>
            <w:webHidden/>
          </w:rPr>
          <w:instrText xml:space="preserve"> PAGEREF _Toc164429418 \h </w:instrText>
        </w:r>
        <w:r>
          <w:rPr>
            <w:noProof/>
            <w:webHidden/>
          </w:rPr>
        </w:r>
        <w:r>
          <w:rPr>
            <w:noProof/>
            <w:webHidden/>
          </w:rPr>
          <w:fldChar w:fldCharType="separate"/>
        </w:r>
        <w:r>
          <w:rPr>
            <w:noProof/>
            <w:webHidden/>
          </w:rPr>
          <w:t>27</w:t>
        </w:r>
        <w:r>
          <w:rPr>
            <w:noProof/>
            <w:webHidden/>
          </w:rPr>
          <w:fldChar w:fldCharType="end"/>
        </w:r>
      </w:hyperlink>
    </w:p>
    <w:p w14:paraId="0CE16AFD" w14:textId="7AC73DFB" w:rsidR="0088357C" w:rsidRDefault="0088357C">
      <w:pPr>
        <w:pStyle w:val="TOC1"/>
        <w:rPr>
          <w:rFonts w:asciiTheme="minorHAnsi" w:eastAsiaTheme="minorEastAsia" w:hAnsiTheme="minorHAnsi" w:cstheme="minorBidi"/>
          <w:noProof/>
          <w:szCs w:val="22"/>
          <w14:ligatures w14:val="standardContextual"/>
        </w:rPr>
      </w:pPr>
      <w:hyperlink w:anchor="_Toc164429419" w:history="1">
        <w:r w:rsidRPr="0009718F">
          <w:rPr>
            <w:rStyle w:val="afd"/>
            <w:noProof/>
          </w:rPr>
          <w:t>第六部分</w:t>
        </w:r>
        <w:r w:rsidRPr="0009718F">
          <w:rPr>
            <w:rStyle w:val="afd"/>
            <w:noProof/>
          </w:rPr>
          <w:t xml:space="preserve">  </w:t>
        </w:r>
        <w:r w:rsidRPr="0009718F">
          <w:rPr>
            <w:rStyle w:val="afd"/>
            <w:noProof/>
          </w:rPr>
          <w:t>基金的募集</w:t>
        </w:r>
        <w:r>
          <w:rPr>
            <w:noProof/>
            <w:webHidden/>
          </w:rPr>
          <w:tab/>
        </w:r>
        <w:r>
          <w:rPr>
            <w:noProof/>
            <w:webHidden/>
          </w:rPr>
          <w:fldChar w:fldCharType="begin"/>
        </w:r>
        <w:r>
          <w:rPr>
            <w:noProof/>
            <w:webHidden/>
          </w:rPr>
          <w:instrText xml:space="preserve"> PAGEREF _Toc164429419 \h </w:instrText>
        </w:r>
        <w:r>
          <w:rPr>
            <w:noProof/>
            <w:webHidden/>
          </w:rPr>
        </w:r>
        <w:r>
          <w:rPr>
            <w:noProof/>
            <w:webHidden/>
          </w:rPr>
          <w:fldChar w:fldCharType="separate"/>
        </w:r>
        <w:r>
          <w:rPr>
            <w:noProof/>
            <w:webHidden/>
          </w:rPr>
          <w:t>34</w:t>
        </w:r>
        <w:r>
          <w:rPr>
            <w:noProof/>
            <w:webHidden/>
          </w:rPr>
          <w:fldChar w:fldCharType="end"/>
        </w:r>
      </w:hyperlink>
    </w:p>
    <w:p w14:paraId="3ED211D3" w14:textId="7E115AA4" w:rsidR="0088357C" w:rsidRDefault="0088357C">
      <w:pPr>
        <w:pStyle w:val="TOC1"/>
        <w:rPr>
          <w:rFonts w:asciiTheme="minorHAnsi" w:eastAsiaTheme="minorEastAsia" w:hAnsiTheme="minorHAnsi" w:cstheme="minorBidi"/>
          <w:noProof/>
          <w:szCs w:val="22"/>
          <w14:ligatures w14:val="standardContextual"/>
        </w:rPr>
      </w:pPr>
      <w:hyperlink w:anchor="_Toc164429420" w:history="1">
        <w:r w:rsidRPr="0009718F">
          <w:rPr>
            <w:rStyle w:val="afd"/>
            <w:noProof/>
          </w:rPr>
          <w:t>第七部分</w:t>
        </w:r>
        <w:r w:rsidRPr="0009718F">
          <w:rPr>
            <w:rStyle w:val="afd"/>
            <w:noProof/>
          </w:rPr>
          <w:t xml:space="preserve">  </w:t>
        </w:r>
        <w:r w:rsidRPr="0009718F">
          <w:rPr>
            <w:rStyle w:val="afd"/>
            <w:noProof/>
          </w:rPr>
          <w:t>基金合同的生效</w:t>
        </w:r>
        <w:r>
          <w:rPr>
            <w:noProof/>
            <w:webHidden/>
          </w:rPr>
          <w:tab/>
        </w:r>
        <w:r>
          <w:rPr>
            <w:noProof/>
            <w:webHidden/>
          </w:rPr>
          <w:fldChar w:fldCharType="begin"/>
        </w:r>
        <w:r>
          <w:rPr>
            <w:noProof/>
            <w:webHidden/>
          </w:rPr>
          <w:instrText xml:space="preserve"> PAGEREF _Toc164429420 \h </w:instrText>
        </w:r>
        <w:r>
          <w:rPr>
            <w:noProof/>
            <w:webHidden/>
          </w:rPr>
        </w:r>
        <w:r>
          <w:rPr>
            <w:noProof/>
            <w:webHidden/>
          </w:rPr>
          <w:fldChar w:fldCharType="separate"/>
        </w:r>
        <w:r>
          <w:rPr>
            <w:noProof/>
            <w:webHidden/>
          </w:rPr>
          <w:t>35</w:t>
        </w:r>
        <w:r>
          <w:rPr>
            <w:noProof/>
            <w:webHidden/>
          </w:rPr>
          <w:fldChar w:fldCharType="end"/>
        </w:r>
      </w:hyperlink>
    </w:p>
    <w:p w14:paraId="1C02A20C" w14:textId="7C83FDAC" w:rsidR="0088357C" w:rsidRDefault="0088357C">
      <w:pPr>
        <w:pStyle w:val="TOC1"/>
        <w:rPr>
          <w:rFonts w:asciiTheme="minorHAnsi" w:eastAsiaTheme="minorEastAsia" w:hAnsiTheme="minorHAnsi" w:cstheme="minorBidi"/>
          <w:noProof/>
          <w:szCs w:val="22"/>
          <w14:ligatures w14:val="standardContextual"/>
        </w:rPr>
      </w:pPr>
      <w:hyperlink w:anchor="_Toc164429421" w:history="1">
        <w:r w:rsidRPr="0009718F">
          <w:rPr>
            <w:rStyle w:val="afd"/>
            <w:noProof/>
          </w:rPr>
          <w:t>第八部分</w:t>
        </w:r>
        <w:r w:rsidRPr="0009718F">
          <w:rPr>
            <w:rStyle w:val="afd"/>
            <w:noProof/>
          </w:rPr>
          <w:t xml:space="preserve">  </w:t>
        </w:r>
        <w:r w:rsidRPr="0009718F">
          <w:rPr>
            <w:rStyle w:val="afd"/>
            <w:noProof/>
          </w:rPr>
          <w:t>基金份额的申购与赎回</w:t>
        </w:r>
        <w:r>
          <w:rPr>
            <w:noProof/>
            <w:webHidden/>
          </w:rPr>
          <w:tab/>
        </w:r>
        <w:r>
          <w:rPr>
            <w:noProof/>
            <w:webHidden/>
          </w:rPr>
          <w:fldChar w:fldCharType="begin"/>
        </w:r>
        <w:r>
          <w:rPr>
            <w:noProof/>
            <w:webHidden/>
          </w:rPr>
          <w:instrText xml:space="preserve"> PAGEREF _Toc164429421 \h </w:instrText>
        </w:r>
        <w:r>
          <w:rPr>
            <w:noProof/>
            <w:webHidden/>
          </w:rPr>
        </w:r>
        <w:r>
          <w:rPr>
            <w:noProof/>
            <w:webHidden/>
          </w:rPr>
          <w:fldChar w:fldCharType="separate"/>
        </w:r>
        <w:r>
          <w:rPr>
            <w:noProof/>
            <w:webHidden/>
          </w:rPr>
          <w:t>36</w:t>
        </w:r>
        <w:r>
          <w:rPr>
            <w:noProof/>
            <w:webHidden/>
          </w:rPr>
          <w:fldChar w:fldCharType="end"/>
        </w:r>
      </w:hyperlink>
    </w:p>
    <w:p w14:paraId="2C0F6A65" w14:textId="331438CA" w:rsidR="0088357C" w:rsidRDefault="0088357C">
      <w:pPr>
        <w:pStyle w:val="TOC1"/>
        <w:rPr>
          <w:rFonts w:asciiTheme="minorHAnsi" w:eastAsiaTheme="minorEastAsia" w:hAnsiTheme="minorHAnsi" w:cstheme="minorBidi"/>
          <w:noProof/>
          <w:szCs w:val="22"/>
          <w14:ligatures w14:val="standardContextual"/>
        </w:rPr>
      </w:pPr>
      <w:hyperlink w:anchor="_Toc164429422" w:history="1">
        <w:r w:rsidRPr="0009718F">
          <w:rPr>
            <w:rStyle w:val="afd"/>
            <w:noProof/>
          </w:rPr>
          <w:t>第九部分</w:t>
        </w:r>
        <w:r w:rsidRPr="0009718F">
          <w:rPr>
            <w:rStyle w:val="afd"/>
            <w:noProof/>
          </w:rPr>
          <w:t xml:space="preserve">  </w:t>
        </w:r>
        <w:r w:rsidRPr="0009718F">
          <w:rPr>
            <w:rStyle w:val="afd"/>
            <w:noProof/>
          </w:rPr>
          <w:t>基金的投资</w:t>
        </w:r>
        <w:r>
          <w:rPr>
            <w:noProof/>
            <w:webHidden/>
          </w:rPr>
          <w:tab/>
        </w:r>
        <w:r>
          <w:rPr>
            <w:noProof/>
            <w:webHidden/>
          </w:rPr>
          <w:fldChar w:fldCharType="begin"/>
        </w:r>
        <w:r>
          <w:rPr>
            <w:noProof/>
            <w:webHidden/>
          </w:rPr>
          <w:instrText xml:space="preserve"> PAGEREF _Toc164429422 \h </w:instrText>
        </w:r>
        <w:r>
          <w:rPr>
            <w:noProof/>
            <w:webHidden/>
          </w:rPr>
        </w:r>
        <w:r>
          <w:rPr>
            <w:noProof/>
            <w:webHidden/>
          </w:rPr>
          <w:fldChar w:fldCharType="separate"/>
        </w:r>
        <w:r>
          <w:rPr>
            <w:noProof/>
            <w:webHidden/>
          </w:rPr>
          <w:t>48</w:t>
        </w:r>
        <w:r>
          <w:rPr>
            <w:noProof/>
            <w:webHidden/>
          </w:rPr>
          <w:fldChar w:fldCharType="end"/>
        </w:r>
      </w:hyperlink>
    </w:p>
    <w:p w14:paraId="66717BD5" w14:textId="2C7B4674" w:rsidR="0088357C" w:rsidRDefault="0088357C">
      <w:pPr>
        <w:pStyle w:val="TOC1"/>
        <w:rPr>
          <w:rFonts w:asciiTheme="minorHAnsi" w:eastAsiaTheme="minorEastAsia" w:hAnsiTheme="minorHAnsi" w:cstheme="minorBidi"/>
          <w:noProof/>
          <w:szCs w:val="22"/>
          <w14:ligatures w14:val="standardContextual"/>
        </w:rPr>
      </w:pPr>
      <w:hyperlink w:anchor="_Toc164429423" w:history="1">
        <w:r w:rsidRPr="0009718F">
          <w:rPr>
            <w:rStyle w:val="afd"/>
            <w:noProof/>
          </w:rPr>
          <w:t>第十部分</w:t>
        </w:r>
        <w:r w:rsidRPr="0009718F">
          <w:rPr>
            <w:rStyle w:val="afd"/>
            <w:noProof/>
          </w:rPr>
          <w:t xml:space="preserve">  </w:t>
        </w:r>
        <w:r w:rsidRPr="0009718F">
          <w:rPr>
            <w:rStyle w:val="afd"/>
            <w:noProof/>
          </w:rPr>
          <w:t>基金的财产</w:t>
        </w:r>
        <w:r>
          <w:rPr>
            <w:noProof/>
            <w:webHidden/>
          </w:rPr>
          <w:tab/>
        </w:r>
        <w:r>
          <w:rPr>
            <w:noProof/>
            <w:webHidden/>
          </w:rPr>
          <w:fldChar w:fldCharType="begin"/>
        </w:r>
        <w:r>
          <w:rPr>
            <w:noProof/>
            <w:webHidden/>
          </w:rPr>
          <w:instrText xml:space="preserve"> PAGEREF _Toc164429423 \h </w:instrText>
        </w:r>
        <w:r>
          <w:rPr>
            <w:noProof/>
            <w:webHidden/>
          </w:rPr>
        </w:r>
        <w:r>
          <w:rPr>
            <w:noProof/>
            <w:webHidden/>
          </w:rPr>
          <w:fldChar w:fldCharType="separate"/>
        </w:r>
        <w:r>
          <w:rPr>
            <w:noProof/>
            <w:webHidden/>
          </w:rPr>
          <w:t>63</w:t>
        </w:r>
        <w:r>
          <w:rPr>
            <w:noProof/>
            <w:webHidden/>
          </w:rPr>
          <w:fldChar w:fldCharType="end"/>
        </w:r>
      </w:hyperlink>
    </w:p>
    <w:p w14:paraId="2AA87DBC" w14:textId="1BEC0DE9" w:rsidR="0088357C" w:rsidRDefault="0088357C">
      <w:pPr>
        <w:pStyle w:val="TOC1"/>
        <w:rPr>
          <w:rFonts w:asciiTheme="minorHAnsi" w:eastAsiaTheme="minorEastAsia" w:hAnsiTheme="minorHAnsi" w:cstheme="minorBidi"/>
          <w:noProof/>
          <w:szCs w:val="22"/>
          <w14:ligatures w14:val="standardContextual"/>
        </w:rPr>
      </w:pPr>
      <w:hyperlink w:anchor="_Toc164429424" w:history="1">
        <w:r w:rsidRPr="0009718F">
          <w:rPr>
            <w:rStyle w:val="afd"/>
            <w:noProof/>
          </w:rPr>
          <w:t>第十一部分</w:t>
        </w:r>
        <w:r w:rsidRPr="0009718F">
          <w:rPr>
            <w:rStyle w:val="afd"/>
            <w:noProof/>
          </w:rPr>
          <w:t xml:space="preserve">  </w:t>
        </w:r>
        <w:r w:rsidRPr="0009718F">
          <w:rPr>
            <w:rStyle w:val="afd"/>
            <w:noProof/>
          </w:rPr>
          <w:t>基金资产的估值</w:t>
        </w:r>
        <w:r>
          <w:rPr>
            <w:noProof/>
            <w:webHidden/>
          </w:rPr>
          <w:tab/>
        </w:r>
        <w:r>
          <w:rPr>
            <w:noProof/>
            <w:webHidden/>
          </w:rPr>
          <w:fldChar w:fldCharType="begin"/>
        </w:r>
        <w:r>
          <w:rPr>
            <w:noProof/>
            <w:webHidden/>
          </w:rPr>
          <w:instrText xml:space="preserve"> PAGEREF _Toc164429424 \h </w:instrText>
        </w:r>
        <w:r>
          <w:rPr>
            <w:noProof/>
            <w:webHidden/>
          </w:rPr>
        </w:r>
        <w:r>
          <w:rPr>
            <w:noProof/>
            <w:webHidden/>
          </w:rPr>
          <w:fldChar w:fldCharType="separate"/>
        </w:r>
        <w:r>
          <w:rPr>
            <w:noProof/>
            <w:webHidden/>
          </w:rPr>
          <w:t>64</w:t>
        </w:r>
        <w:r>
          <w:rPr>
            <w:noProof/>
            <w:webHidden/>
          </w:rPr>
          <w:fldChar w:fldCharType="end"/>
        </w:r>
      </w:hyperlink>
    </w:p>
    <w:p w14:paraId="1CEC6998" w14:textId="72060ED4" w:rsidR="0088357C" w:rsidRDefault="0088357C">
      <w:pPr>
        <w:pStyle w:val="TOC1"/>
        <w:rPr>
          <w:rFonts w:asciiTheme="minorHAnsi" w:eastAsiaTheme="minorEastAsia" w:hAnsiTheme="minorHAnsi" w:cstheme="minorBidi"/>
          <w:noProof/>
          <w:szCs w:val="22"/>
          <w14:ligatures w14:val="standardContextual"/>
        </w:rPr>
      </w:pPr>
      <w:hyperlink w:anchor="_Toc164429425" w:history="1">
        <w:r w:rsidRPr="0009718F">
          <w:rPr>
            <w:rStyle w:val="afd"/>
            <w:noProof/>
          </w:rPr>
          <w:t>第十二部分</w:t>
        </w:r>
        <w:r w:rsidRPr="0009718F">
          <w:rPr>
            <w:rStyle w:val="afd"/>
            <w:noProof/>
          </w:rPr>
          <w:t xml:space="preserve">  </w:t>
        </w:r>
        <w:r w:rsidRPr="0009718F">
          <w:rPr>
            <w:rStyle w:val="afd"/>
            <w:noProof/>
          </w:rPr>
          <w:t>基金的收益分配</w:t>
        </w:r>
        <w:r>
          <w:rPr>
            <w:noProof/>
            <w:webHidden/>
          </w:rPr>
          <w:tab/>
        </w:r>
        <w:r>
          <w:rPr>
            <w:noProof/>
            <w:webHidden/>
          </w:rPr>
          <w:fldChar w:fldCharType="begin"/>
        </w:r>
        <w:r>
          <w:rPr>
            <w:noProof/>
            <w:webHidden/>
          </w:rPr>
          <w:instrText xml:space="preserve"> PAGEREF _Toc164429425 \h </w:instrText>
        </w:r>
        <w:r>
          <w:rPr>
            <w:noProof/>
            <w:webHidden/>
          </w:rPr>
        </w:r>
        <w:r>
          <w:rPr>
            <w:noProof/>
            <w:webHidden/>
          </w:rPr>
          <w:fldChar w:fldCharType="separate"/>
        </w:r>
        <w:r>
          <w:rPr>
            <w:noProof/>
            <w:webHidden/>
          </w:rPr>
          <w:t>70</w:t>
        </w:r>
        <w:r>
          <w:rPr>
            <w:noProof/>
            <w:webHidden/>
          </w:rPr>
          <w:fldChar w:fldCharType="end"/>
        </w:r>
      </w:hyperlink>
    </w:p>
    <w:p w14:paraId="349BACF5" w14:textId="0D49AC26" w:rsidR="0088357C" w:rsidRDefault="0088357C">
      <w:pPr>
        <w:pStyle w:val="TOC1"/>
        <w:rPr>
          <w:rFonts w:asciiTheme="minorHAnsi" w:eastAsiaTheme="minorEastAsia" w:hAnsiTheme="minorHAnsi" w:cstheme="minorBidi"/>
          <w:noProof/>
          <w:szCs w:val="22"/>
          <w14:ligatures w14:val="standardContextual"/>
        </w:rPr>
      </w:pPr>
      <w:hyperlink w:anchor="_Toc164429426" w:history="1">
        <w:r w:rsidRPr="0009718F">
          <w:rPr>
            <w:rStyle w:val="afd"/>
            <w:noProof/>
          </w:rPr>
          <w:t>第十三部分</w:t>
        </w:r>
        <w:r w:rsidRPr="0009718F">
          <w:rPr>
            <w:rStyle w:val="afd"/>
            <w:noProof/>
          </w:rPr>
          <w:t xml:space="preserve">  </w:t>
        </w:r>
        <w:r w:rsidRPr="0009718F">
          <w:rPr>
            <w:rStyle w:val="afd"/>
            <w:noProof/>
          </w:rPr>
          <w:t>基金费用与税收</w:t>
        </w:r>
        <w:r>
          <w:rPr>
            <w:noProof/>
            <w:webHidden/>
          </w:rPr>
          <w:tab/>
        </w:r>
        <w:r>
          <w:rPr>
            <w:noProof/>
            <w:webHidden/>
          </w:rPr>
          <w:fldChar w:fldCharType="begin"/>
        </w:r>
        <w:r>
          <w:rPr>
            <w:noProof/>
            <w:webHidden/>
          </w:rPr>
          <w:instrText xml:space="preserve"> PAGEREF _Toc164429426 \h </w:instrText>
        </w:r>
        <w:r>
          <w:rPr>
            <w:noProof/>
            <w:webHidden/>
          </w:rPr>
        </w:r>
        <w:r>
          <w:rPr>
            <w:noProof/>
            <w:webHidden/>
          </w:rPr>
          <w:fldChar w:fldCharType="separate"/>
        </w:r>
        <w:r>
          <w:rPr>
            <w:noProof/>
            <w:webHidden/>
          </w:rPr>
          <w:t>72</w:t>
        </w:r>
        <w:r>
          <w:rPr>
            <w:noProof/>
            <w:webHidden/>
          </w:rPr>
          <w:fldChar w:fldCharType="end"/>
        </w:r>
      </w:hyperlink>
    </w:p>
    <w:p w14:paraId="53470A72" w14:textId="561EF038" w:rsidR="0088357C" w:rsidRDefault="0088357C">
      <w:pPr>
        <w:pStyle w:val="TOC1"/>
        <w:rPr>
          <w:rFonts w:asciiTheme="minorHAnsi" w:eastAsiaTheme="minorEastAsia" w:hAnsiTheme="minorHAnsi" w:cstheme="minorBidi"/>
          <w:noProof/>
          <w:szCs w:val="22"/>
          <w14:ligatures w14:val="standardContextual"/>
        </w:rPr>
      </w:pPr>
      <w:hyperlink w:anchor="_Toc164429427" w:history="1">
        <w:r w:rsidRPr="0009718F">
          <w:rPr>
            <w:rStyle w:val="afd"/>
            <w:noProof/>
          </w:rPr>
          <w:t>第十四部分</w:t>
        </w:r>
        <w:r w:rsidRPr="0009718F">
          <w:rPr>
            <w:rStyle w:val="afd"/>
            <w:noProof/>
          </w:rPr>
          <w:t xml:space="preserve">  </w:t>
        </w:r>
        <w:r w:rsidRPr="0009718F">
          <w:rPr>
            <w:rStyle w:val="afd"/>
            <w:noProof/>
          </w:rPr>
          <w:t>基金的会计与审计</w:t>
        </w:r>
        <w:r>
          <w:rPr>
            <w:noProof/>
            <w:webHidden/>
          </w:rPr>
          <w:tab/>
        </w:r>
        <w:r>
          <w:rPr>
            <w:noProof/>
            <w:webHidden/>
          </w:rPr>
          <w:fldChar w:fldCharType="begin"/>
        </w:r>
        <w:r>
          <w:rPr>
            <w:noProof/>
            <w:webHidden/>
          </w:rPr>
          <w:instrText xml:space="preserve"> PAGEREF _Toc164429427 \h </w:instrText>
        </w:r>
        <w:r>
          <w:rPr>
            <w:noProof/>
            <w:webHidden/>
          </w:rPr>
        </w:r>
        <w:r>
          <w:rPr>
            <w:noProof/>
            <w:webHidden/>
          </w:rPr>
          <w:fldChar w:fldCharType="separate"/>
        </w:r>
        <w:r>
          <w:rPr>
            <w:noProof/>
            <w:webHidden/>
          </w:rPr>
          <w:t>75</w:t>
        </w:r>
        <w:r>
          <w:rPr>
            <w:noProof/>
            <w:webHidden/>
          </w:rPr>
          <w:fldChar w:fldCharType="end"/>
        </w:r>
      </w:hyperlink>
    </w:p>
    <w:p w14:paraId="67689047" w14:textId="1FF541AD" w:rsidR="0088357C" w:rsidRDefault="0088357C">
      <w:pPr>
        <w:pStyle w:val="TOC1"/>
        <w:rPr>
          <w:rFonts w:asciiTheme="minorHAnsi" w:eastAsiaTheme="minorEastAsia" w:hAnsiTheme="minorHAnsi" w:cstheme="minorBidi"/>
          <w:noProof/>
          <w:szCs w:val="22"/>
          <w14:ligatures w14:val="standardContextual"/>
        </w:rPr>
      </w:pPr>
      <w:hyperlink w:anchor="_Toc164429428" w:history="1">
        <w:r w:rsidRPr="0009718F">
          <w:rPr>
            <w:rStyle w:val="afd"/>
            <w:noProof/>
          </w:rPr>
          <w:t>第十五部分</w:t>
        </w:r>
        <w:r w:rsidRPr="0009718F">
          <w:rPr>
            <w:rStyle w:val="afd"/>
            <w:noProof/>
          </w:rPr>
          <w:t xml:space="preserve">  </w:t>
        </w:r>
        <w:r w:rsidRPr="0009718F">
          <w:rPr>
            <w:rStyle w:val="afd"/>
            <w:noProof/>
          </w:rPr>
          <w:t>基金的信息披露</w:t>
        </w:r>
        <w:r>
          <w:rPr>
            <w:noProof/>
            <w:webHidden/>
          </w:rPr>
          <w:tab/>
        </w:r>
        <w:r>
          <w:rPr>
            <w:noProof/>
            <w:webHidden/>
          </w:rPr>
          <w:fldChar w:fldCharType="begin"/>
        </w:r>
        <w:r>
          <w:rPr>
            <w:noProof/>
            <w:webHidden/>
          </w:rPr>
          <w:instrText xml:space="preserve"> PAGEREF _Toc164429428 \h </w:instrText>
        </w:r>
        <w:r>
          <w:rPr>
            <w:noProof/>
            <w:webHidden/>
          </w:rPr>
        </w:r>
        <w:r>
          <w:rPr>
            <w:noProof/>
            <w:webHidden/>
          </w:rPr>
          <w:fldChar w:fldCharType="separate"/>
        </w:r>
        <w:r>
          <w:rPr>
            <w:noProof/>
            <w:webHidden/>
          </w:rPr>
          <w:t>76</w:t>
        </w:r>
        <w:r>
          <w:rPr>
            <w:noProof/>
            <w:webHidden/>
          </w:rPr>
          <w:fldChar w:fldCharType="end"/>
        </w:r>
      </w:hyperlink>
    </w:p>
    <w:p w14:paraId="3173DDF8" w14:textId="601A3506" w:rsidR="0088357C" w:rsidRDefault="0088357C">
      <w:pPr>
        <w:pStyle w:val="TOC1"/>
        <w:rPr>
          <w:rFonts w:asciiTheme="minorHAnsi" w:eastAsiaTheme="minorEastAsia" w:hAnsiTheme="minorHAnsi" w:cstheme="minorBidi"/>
          <w:noProof/>
          <w:szCs w:val="22"/>
          <w14:ligatures w14:val="standardContextual"/>
        </w:rPr>
      </w:pPr>
      <w:hyperlink w:anchor="_Toc164429429" w:history="1">
        <w:r w:rsidRPr="0009718F">
          <w:rPr>
            <w:rStyle w:val="afd"/>
            <w:noProof/>
          </w:rPr>
          <w:t>第十六部分</w:t>
        </w:r>
        <w:r w:rsidRPr="0009718F">
          <w:rPr>
            <w:rStyle w:val="afd"/>
            <w:noProof/>
          </w:rPr>
          <w:t xml:space="preserve">  </w:t>
        </w:r>
        <w:r w:rsidRPr="0009718F">
          <w:rPr>
            <w:rStyle w:val="afd"/>
            <w:noProof/>
          </w:rPr>
          <w:t>侧袋机制</w:t>
        </w:r>
        <w:r>
          <w:rPr>
            <w:noProof/>
            <w:webHidden/>
          </w:rPr>
          <w:tab/>
        </w:r>
        <w:r>
          <w:rPr>
            <w:noProof/>
            <w:webHidden/>
          </w:rPr>
          <w:fldChar w:fldCharType="begin"/>
        </w:r>
        <w:r>
          <w:rPr>
            <w:noProof/>
            <w:webHidden/>
          </w:rPr>
          <w:instrText xml:space="preserve"> PAGEREF _Toc164429429 \h </w:instrText>
        </w:r>
        <w:r>
          <w:rPr>
            <w:noProof/>
            <w:webHidden/>
          </w:rPr>
        </w:r>
        <w:r>
          <w:rPr>
            <w:noProof/>
            <w:webHidden/>
          </w:rPr>
          <w:fldChar w:fldCharType="separate"/>
        </w:r>
        <w:r>
          <w:rPr>
            <w:noProof/>
            <w:webHidden/>
          </w:rPr>
          <w:t>84</w:t>
        </w:r>
        <w:r>
          <w:rPr>
            <w:noProof/>
            <w:webHidden/>
          </w:rPr>
          <w:fldChar w:fldCharType="end"/>
        </w:r>
      </w:hyperlink>
    </w:p>
    <w:p w14:paraId="45173555" w14:textId="53FB9A92" w:rsidR="0088357C" w:rsidRDefault="0088357C">
      <w:pPr>
        <w:pStyle w:val="TOC1"/>
        <w:rPr>
          <w:rFonts w:asciiTheme="minorHAnsi" w:eastAsiaTheme="minorEastAsia" w:hAnsiTheme="minorHAnsi" w:cstheme="minorBidi"/>
          <w:noProof/>
          <w:szCs w:val="22"/>
          <w14:ligatures w14:val="standardContextual"/>
        </w:rPr>
      </w:pPr>
      <w:hyperlink w:anchor="_Toc164429430" w:history="1">
        <w:r w:rsidRPr="0009718F">
          <w:rPr>
            <w:rStyle w:val="afd"/>
            <w:noProof/>
          </w:rPr>
          <w:t>第十七部分</w:t>
        </w:r>
        <w:r w:rsidRPr="0009718F">
          <w:rPr>
            <w:rStyle w:val="afd"/>
            <w:noProof/>
          </w:rPr>
          <w:t xml:space="preserve">  </w:t>
        </w:r>
        <w:r w:rsidRPr="0009718F">
          <w:rPr>
            <w:rStyle w:val="afd"/>
            <w:noProof/>
          </w:rPr>
          <w:t>风险揭示</w:t>
        </w:r>
        <w:r>
          <w:rPr>
            <w:noProof/>
            <w:webHidden/>
          </w:rPr>
          <w:tab/>
        </w:r>
        <w:r>
          <w:rPr>
            <w:noProof/>
            <w:webHidden/>
          </w:rPr>
          <w:fldChar w:fldCharType="begin"/>
        </w:r>
        <w:r>
          <w:rPr>
            <w:noProof/>
            <w:webHidden/>
          </w:rPr>
          <w:instrText xml:space="preserve"> PAGEREF _Toc164429430 \h </w:instrText>
        </w:r>
        <w:r>
          <w:rPr>
            <w:noProof/>
            <w:webHidden/>
          </w:rPr>
        </w:r>
        <w:r>
          <w:rPr>
            <w:noProof/>
            <w:webHidden/>
          </w:rPr>
          <w:fldChar w:fldCharType="separate"/>
        </w:r>
        <w:r>
          <w:rPr>
            <w:noProof/>
            <w:webHidden/>
          </w:rPr>
          <w:t>87</w:t>
        </w:r>
        <w:r>
          <w:rPr>
            <w:noProof/>
            <w:webHidden/>
          </w:rPr>
          <w:fldChar w:fldCharType="end"/>
        </w:r>
      </w:hyperlink>
    </w:p>
    <w:p w14:paraId="2665C73C" w14:textId="383567ED" w:rsidR="0088357C" w:rsidRDefault="0088357C">
      <w:pPr>
        <w:pStyle w:val="TOC1"/>
        <w:rPr>
          <w:rFonts w:asciiTheme="minorHAnsi" w:eastAsiaTheme="minorEastAsia" w:hAnsiTheme="minorHAnsi" w:cstheme="minorBidi"/>
          <w:noProof/>
          <w:szCs w:val="22"/>
          <w14:ligatures w14:val="standardContextual"/>
        </w:rPr>
      </w:pPr>
      <w:hyperlink w:anchor="_Toc164429431" w:history="1">
        <w:r w:rsidRPr="0009718F">
          <w:rPr>
            <w:rStyle w:val="afd"/>
            <w:noProof/>
          </w:rPr>
          <w:t>第十八部分</w:t>
        </w:r>
        <w:r w:rsidRPr="0009718F">
          <w:rPr>
            <w:rStyle w:val="afd"/>
            <w:noProof/>
          </w:rPr>
          <w:t xml:space="preserve">  </w:t>
        </w:r>
        <w:r w:rsidRPr="0009718F">
          <w:rPr>
            <w:rStyle w:val="afd"/>
            <w:noProof/>
          </w:rPr>
          <w:t>基金合同的变更、终止与基金财产的清算</w:t>
        </w:r>
        <w:r>
          <w:rPr>
            <w:noProof/>
            <w:webHidden/>
          </w:rPr>
          <w:tab/>
        </w:r>
        <w:r>
          <w:rPr>
            <w:noProof/>
            <w:webHidden/>
          </w:rPr>
          <w:fldChar w:fldCharType="begin"/>
        </w:r>
        <w:r>
          <w:rPr>
            <w:noProof/>
            <w:webHidden/>
          </w:rPr>
          <w:instrText xml:space="preserve"> PAGEREF _Toc164429431 \h </w:instrText>
        </w:r>
        <w:r>
          <w:rPr>
            <w:noProof/>
            <w:webHidden/>
          </w:rPr>
        </w:r>
        <w:r>
          <w:rPr>
            <w:noProof/>
            <w:webHidden/>
          </w:rPr>
          <w:fldChar w:fldCharType="separate"/>
        </w:r>
        <w:r>
          <w:rPr>
            <w:noProof/>
            <w:webHidden/>
          </w:rPr>
          <w:t>92</w:t>
        </w:r>
        <w:r>
          <w:rPr>
            <w:noProof/>
            <w:webHidden/>
          </w:rPr>
          <w:fldChar w:fldCharType="end"/>
        </w:r>
      </w:hyperlink>
    </w:p>
    <w:p w14:paraId="29991BF8" w14:textId="0EA991F8" w:rsidR="0088357C" w:rsidRDefault="0088357C">
      <w:pPr>
        <w:pStyle w:val="TOC1"/>
        <w:rPr>
          <w:rFonts w:asciiTheme="minorHAnsi" w:eastAsiaTheme="minorEastAsia" w:hAnsiTheme="minorHAnsi" w:cstheme="minorBidi"/>
          <w:noProof/>
          <w:szCs w:val="22"/>
          <w14:ligatures w14:val="standardContextual"/>
        </w:rPr>
      </w:pPr>
      <w:hyperlink w:anchor="_Toc164429432" w:history="1">
        <w:r w:rsidRPr="0009718F">
          <w:rPr>
            <w:rStyle w:val="afd"/>
            <w:noProof/>
          </w:rPr>
          <w:t>第十九部分</w:t>
        </w:r>
        <w:r w:rsidRPr="0009718F">
          <w:rPr>
            <w:rStyle w:val="afd"/>
            <w:noProof/>
          </w:rPr>
          <w:t xml:space="preserve">  </w:t>
        </w:r>
        <w:r w:rsidRPr="0009718F">
          <w:rPr>
            <w:rStyle w:val="afd"/>
            <w:noProof/>
          </w:rPr>
          <w:t>基金合同的内容摘要</w:t>
        </w:r>
        <w:r>
          <w:rPr>
            <w:noProof/>
            <w:webHidden/>
          </w:rPr>
          <w:tab/>
        </w:r>
        <w:r>
          <w:rPr>
            <w:noProof/>
            <w:webHidden/>
          </w:rPr>
          <w:fldChar w:fldCharType="begin"/>
        </w:r>
        <w:r>
          <w:rPr>
            <w:noProof/>
            <w:webHidden/>
          </w:rPr>
          <w:instrText xml:space="preserve"> PAGEREF _Toc164429432 \h </w:instrText>
        </w:r>
        <w:r>
          <w:rPr>
            <w:noProof/>
            <w:webHidden/>
          </w:rPr>
        </w:r>
        <w:r>
          <w:rPr>
            <w:noProof/>
            <w:webHidden/>
          </w:rPr>
          <w:fldChar w:fldCharType="separate"/>
        </w:r>
        <w:r>
          <w:rPr>
            <w:noProof/>
            <w:webHidden/>
          </w:rPr>
          <w:t>94</w:t>
        </w:r>
        <w:r>
          <w:rPr>
            <w:noProof/>
            <w:webHidden/>
          </w:rPr>
          <w:fldChar w:fldCharType="end"/>
        </w:r>
      </w:hyperlink>
    </w:p>
    <w:p w14:paraId="71D2C465" w14:textId="4812341F" w:rsidR="0088357C" w:rsidRDefault="0088357C">
      <w:pPr>
        <w:pStyle w:val="TOC1"/>
        <w:rPr>
          <w:rFonts w:asciiTheme="minorHAnsi" w:eastAsiaTheme="minorEastAsia" w:hAnsiTheme="minorHAnsi" w:cstheme="minorBidi"/>
          <w:noProof/>
          <w:szCs w:val="22"/>
          <w14:ligatures w14:val="standardContextual"/>
        </w:rPr>
      </w:pPr>
      <w:hyperlink w:anchor="_Toc164429433" w:history="1">
        <w:r w:rsidRPr="0009718F">
          <w:rPr>
            <w:rStyle w:val="afd"/>
            <w:noProof/>
          </w:rPr>
          <w:t>第二十部分</w:t>
        </w:r>
        <w:r w:rsidRPr="0009718F">
          <w:rPr>
            <w:rStyle w:val="afd"/>
            <w:noProof/>
          </w:rPr>
          <w:t xml:space="preserve">  </w:t>
        </w:r>
        <w:r w:rsidRPr="0009718F">
          <w:rPr>
            <w:rStyle w:val="afd"/>
            <w:noProof/>
          </w:rPr>
          <w:t>基金托管协议的内容摘要</w:t>
        </w:r>
        <w:r>
          <w:rPr>
            <w:noProof/>
            <w:webHidden/>
          </w:rPr>
          <w:tab/>
        </w:r>
        <w:r>
          <w:rPr>
            <w:noProof/>
            <w:webHidden/>
          </w:rPr>
          <w:fldChar w:fldCharType="begin"/>
        </w:r>
        <w:r>
          <w:rPr>
            <w:noProof/>
            <w:webHidden/>
          </w:rPr>
          <w:instrText xml:space="preserve"> PAGEREF _Toc164429433 \h </w:instrText>
        </w:r>
        <w:r>
          <w:rPr>
            <w:noProof/>
            <w:webHidden/>
          </w:rPr>
        </w:r>
        <w:r>
          <w:rPr>
            <w:noProof/>
            <w:webHidden/>
          </w:rPr>
          <w:fldChar w:fldCharType="separate"/>
        </w:r>
        <w:r>
          <w:rPr>
            <w:noProof/>
            <w:webHidden/>
          </w:rPr>
          <w:t>112</w:t>
        </w:r>
        <w:r>
          <w:rPr>
            <w:noProof/>
            <w:webHidden/>
          </w:rPr>
          <w:fldChar w:fldCharType="end"/>
        </w:r>
      </w:hyperlink>
    </w:p>
    <w:p w14:paraId="3DC54596" w14:textId="5B7BF38C" w:rsidR="0088357C" w:rsidRDefault="0088357C">
      <w:pPr>
        <w:pStyle w:val="TOC1"/>
        <w:rPr>
          <w:rFonts w:asciiTheme="minorHAnsi" w:eastAsiaTheme="minorEastAsia" w:hAnsiTheme="minorHAnsi" w:cstheme="minorBidi"/>
          <w:noProof/>
          <w:szCs w:val="22"/>
          <w14:ligatures w14:val="standardContextual"/>
        </w:rPr>
      </w:pPr>
      <w:hyperlink w:anchor="_Toc164429434" w:history="1">
        <w:r w:rsidRPr="0009718F">
          <w:rPr>
            <w:rStyle w:val="afd"/>
            <w:noProof/>
          </w:rPr>
          <w:t>第二十一部分</w:t>
        </w:r>
        <w:r w:rsidRPr="0009718F">
          <w:rPr>
            <w:rStyle w:val="afd"/>
            <w:noProof/>
          </w:rPr>
          <w:t xml:space="preserve">  </w:t>
        </w:r>
        <w:r w:rsidRPr="0009718F">
          <w:rPr>
            <w:rStyle w:val="afd"/>
            <w:noProof/>
          </w:rPr>
          <w:t>对基金份额持有人的服务</w:t>
        </w:r>
        <w:r>
          <w:rPr>
            <w:noProof/>
            <w:webHidden/>
          </w:rPr>
          <w:tab/>
        </w:r>
        <w:r>
          <w:rPr>
            <w:noProof/>
            <w:webHidden/>
          </w:rPr>
          <w:fldChar w:fldCharType="begin"/>
        </w:r>
        <w:r>
          <w:rPr>
            <w:noProof/>
            <w:webHidden/>
          </w:rPr>
          <w:instrText xml:space="preserve"> PAGEREF _Toc164429434 \h </w:instrText>
        </w:r>
        <w:r>
          <w:rPr>
            <w:noProof/>
            <w:webHidden/>
          </w:rPr>
        </w:r>
        <w:r>
          <w:rPr>
            <w:noProof/>
            <w:webHidden/>
          </w:rPr>
          <w:fldChar w:fldCharType="separate"/>
        </w:r>
        <w:r>
          <w:rPr>
            <w:noProof/>
            <w:webHidden/>
          </w:rPr>
          <w:t>131</w:t>
        </w:r>
        <w:r>
          <w:rPr>
            <w:noProof/>
            <w:webHidden/>
          </w:rPr>
          <w:fldChar w:fldCharType="end"/>
        </w:r>
      </w:hyperlink>
    </w:p>
    <w:p w14:paraId="540B5EBD" w14:textId="22825298" w:rsidR="0088357C" w:rsidRDefault="0088357C">
      <w:pPr>
        <w:pStyle w:val="TOC1"/>
        <w:rPr>
          <w:rFonts w:asciiTheme="minorHAnsi" w:eastAsiaTheme="minorEastAsia" w:hAnsiTheme="minorHAnsi" w:cstheme="minorBidi"/>
          <w:noProof/>
          <w:szCs w:val="22"/>
          <w14:ligatures w14:val="standardContextual"/>
        </w:rPr>
      </w:pPr>
      <w:hyperlink w:anchor="_Toc164429435" w:history="1">
        <w:r w:rsidRPr="0009718F">
          <w:rPr>
            <w:rStyle w:val="afd"/>
            <w:noProof/>
          </w:rPr>
          <w:t>第二十二部分</w:t>
        </w:r>
        <w:r w:rsidRPr="0009718F">
          <w:rPr>
            <w:rStyle w:val="afd"/>
            <w:noProof/>
          </w:rPr>
          <w:t xml:space="preserve">  </w:t>
        </w:r>
        <w:r w:rsidRPr="0009718F">
          <w:rPr>
            <w:rStyle w:val="afd"/>
            <w:noProof/>
          </w:rPr>
          <w:t>其他应披露事项</w:t>
        </w:r>
        <w:r>
          <w:rPr>
            <w:noProof/>
            <w:webHidden/>
          </w:rPr>
          <w:tab/>
        </w:r>
        <w:r>
          <w:rPr>
            <w:noProof/>
            <w:webHidden/>
          </w:rPr>
          <w:fldChar w:fldCharType="begin"/>
        </w:r>
        <w:r>
          <w:rPr>
            <w:noProof/>
            <w:webHidden/>
          </w:rPr>
          <w:instrText xml:space="preserve"> PAGEREF _Toc164429435 \h </w:instrText>
        </w:r>
        <w:r>
          <w:rPr>
            <w:noProof/>
            <w:webHidden/>
          </w:rPr>
        </w:r>
        <w:r>
          <w:rPr>
            <w:noProof/>
            <w:webHidden/>
          </w:rPr>
          <w:fldChar w:fldCharType="separate"/>
        </w:r>
        <w:r>
          <w:rPr>
            <w:noProof/>
            <w:webHidden/>
          </w:rPr>
          <w:t>133</w:t>
        </w:r>
        <w:r>
          <w:rPr>
            <w:noProof/>
            <w:webHidden/>
          </w:rPr>
          <w:fldChar w:fldCharType="end"/>
        </w:r>
      </w:hyperlink>
    </w:p>
    <w:p w14:paraId="533E4AEE" w14:textId="3AD1D201" w:rsidR="0088357C" w:rsidRDefault="0088357C">
      <w:pPr>
        <w:pStyle w:val="TOC1"/>
        <w:rPr>
          <w:rFonts w:asciiTheme="minorHAnsi" w:eastAsiaTheme="minorEastAsia" w:hAnsiTheme="minorHAnsi" w:cstheme="minorBidi"/>
          <w:noProof/>
          <w:szCs w:val="22"/>
          <w14:ligatures w14:val="standardContextual"/>
        </w:rPr>
      </w:pPr>
      <w:hyperlink w:anchor="_Toc164429436" w:history="1">
        <w:r w:rsidRPr="0009718F">
          <w:rPr>
            <w:rStyle w:val="afd"/>
            <w:noProof/>
          </w:rPr>
          <w:t>第二十三部分</w:t>
        </w:r>
        <w:r w:rsidRPr="0009718F">
          <w:rPr>
            <w:rStyle w:val="afd"/>
            <w:noProof/>
          </w:rPr>
          <w:t xml:space="preserve">  </w:t>
        </w:r>
        <w:r w:rsidRPr="0009718F">
          <w:rPr>
            <w:rStyle w:val="afd"/>
            <w:noProof/>
          </w:rPr>
          <w:t>招募说明书存放及查阅方式</w:t>
        </w:r>
        <w:r>
          <w:rPr>
            <w:noProof/>
            <w:webHidden/>
          </w:rPr>
          <w:tab/>
        </w:r>
        <w:r>
          <w:rPr>
            <w:noProof/>
            <w:webHidden/>
          </w:rPr>
          <w:fldChar w:fldCharType="begin"/>
        </w:r>
        <w:r>
          <w:rPr>
            <w:noProof/>
            <w:webHidden/>
          </w:rPr>
          <w:instrText xml:space="preserve"> PAGEREF _Toc164429436 \h </w:instrText>
        </w:r>
        <w:r>
          <w:rPr>
            <w:noProof/>
            <w:webHidden/>
          </w:rPr>
        </w:r>
        <w:r>
          <w:rPr>
            <w:noProof/>
            <w:webHidden/>
          </w:rPr>
          <w:fldChar w:fldCharType="separate"/>
        </w:r>
        <w:r>
          <w:rPr>
            <w:noProof/>
            <w:webHidden/>
          </w:rPr>
          <w:t>134</w:t>
        </w:r>
        <w:r>
          <w:rPr>
            <w:noProof/>
            <w:webHidden/>
          </w:rPr>
          <w:fldChar w:fldCharType="end"/>
        </w:r>
      </w:hyperlink>
    </w:p>
    <w:p w14:paraId="17CD773D" w14:textId="2258F5C5" w:rsidR="0088357C" w:rsidRDefault="0088357C">
      <w:pPr>
        <w:pStyle w:val="TOC1"/>
        <w:rPr>
          <w:rFonts w:asciiTheme="minorHAnsi" w:eastAsiaTheme="minorEastAsia" w:hAnsiTheme="minorHAnsi" w:cstheme="minorBidi"/>
          <w:noProof/>
          <w:szCs w:val="22"/>
          <w14:ligatures w14:val="standardContextual"/>
        </w:rPr>
      </w:pPr>
      <w:hyperlink w:anchor="_Toc164429437" w:history="1">
        <w:r w:rsidRPr="0009718F">
          <w:rPr>
            <w:rStyle w:val="afd"/>
            <w:noProof/>
          </w:rPr>
          <w:t>第二十四部分</w:t>
        </w:r>
        <w:r w:rsidRPr="0009718F">
          <w:rPr>
            <w:rStyle w:val="afd"/>
            <w:noProof/>
          </w:rPr>
          <w:t xml:space="preserve">  </w:t>
        </w:r>
        <w:r w:rsidRPr="0009718F">
          <w:rPr>
            <w:rStyle w:val="afd"/>
            <w:noProof/>
          </w:rPr>
          <w:t>备查文件</w:t>
        </w:r>
        <w:r>
          <w:rPr>
            <w:noProof/>
            <w:webHidden/>
          </w:rPr>
          <w:tab/>
        </w:r>
        <w:r>
          <w:rPr>
            <w:noProof/>
            <w:webHidden/>
          </w:rPr>
          <w:fldChar w:fldCharType="begin"/>
        </w:r>
        <w:r>
          <w:rPr>
            <w:noProof/>
            <w:webHidden/>
          </w:rPr>
          <w:instrText xml:space="preserve"> PAGEREF _Toc164429437 \h </w:instrText>
        </w:r>
        <w:r>
          <w:rPr>
            <w:noProof/>
            <w:webHidden/>
          </w:rPr>
        </w:r>
        <w:r>
          <w:rPr>
            <w:noProof/>
            <w:webHidden/>
          </w:rPr>
          <w:fldChar w:fldCharType="separate"/>
        </w:r>
        <w:r>
          <w:rPr>
            <w:noProof/>
            <w:webHidden/>
          </w:rPr>
          <w:t>135</w:t>
        </w:r>
        <w:r>
          <w:rPr>
            <w:noProof/>
            <w:webHidden/>
          </w:rPr>
          <w:fldChar w:fldCharType="end"/>
        </w:r>
      </w:hyperlink>
    </w:p>
    <w:p w14:paraId="0DFFC888" w14:textId="40640C6B" w:rsidR="009214AE" w:rsidRDefault="00C66335">
      <w:r>
        <w:fldChar w:fldCharType="end"/>
      </w:r>
      <w:bookmarkStart w:id="32" w:name="_Toc263092309"/>
      <w:bookmarkStart w:id="33" w:name="_Toc416264537"/>
      <w:bookmarkStart w:id="34" w:name="_Toc22864"/>
      <w:bookmarkStart w:id="35" w:name="_Toc21301"/>
      <w:bookmarkStart w:id="36" w:name="_Toc352229747"/>
      <w:bookmarkStart w:id="37" w:name="_Toc6617"/>
      <w:bookmarkStart w:id="38" w:name="_Toc2465"/>
      <w:bookmarkStart w:id="39" w:name="_Toc3224"/>
      <w:bookmarkStart w:id="40" w:name="_Toc819"/>
      <w:bookmarkStart w:id="41" w:name="_Toc13020"/>
      <w:bookmarkStart w:id="42" w:name="_Toc19592"/>
      <w:bookmarkStart w:id="43" w:name="_Toc258829399"/>
      <w:bookmarkStart w:id="44" w:name="_Toc15067"/>
      <w:bookmarkStart w:id="45" w:name="_Toc31551"/>
      <w:bookmarkStart w:id="46" w:name="_Toc24860"/>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28BCBA30" w14:textId="77777777" w:rsidR="009214AE" w:rsidRDefault="009214AE"/>
    <w:p w14:paraId="6B3F806D" w14:textId="77777777" w:rsidR="009214AE" w:rsidRDefault="009214AE"/>
    <w:p w14:paraId="7E2ED040" w14:textId="77777777" w:rsidR="009214AE" w:rsidRDefault="009214AE"/>
    <w:p w14:paraId="64F834CA" w14:textId="77777777" w:rsidR="009214AE" w:rsidRDefault="00C66335">
      <w:pPr>
        <w:tabs>
          <w:tab w:val="left" w:pos="5370"/>
        </w:tabs>
      </w:pPr>
      <w:r>
        <w:tab/>
      </w:r>
    </w:p>
    <w:p w14:paraId="210E07DF" w14:textId="77777777" w:rsidR="009214AE" w:rsidRDefault="00C66335">
      <w:pPr>
        <w:tabs>
          <w:tab w:val="left" w:pos="5370"/>
        </w:tabs>
        <w:sectPr w:rsidR="009214AE" w:rsidSect="004C0C2D">
          <w:pgSz w:w="11906" w:h="16838"/>
          <w:pgMar w:top="1440" w:right="1800" w:bottom="1440" w:left="1800" w:header="851" w:footer="992" w:gutter="0"/>
          <w:pgNumType w:chapStyle="1"/>
          <w:cols w:space="720"/>
          <w:docGrid w:type="lines" w:linePitch="312"/>
        </w:sectPr>
      </w:pPr>
      <w:r>
        <w:tab/>
      </w:r>
    </w:p>
    <w:p w14:paraId="3250AB5D" w14:textId="77777777" w:rsidR="009214AE" w:rsidRDefault="00C66335">
      <w:pPr>
        <w:pStyle w:val="1"/>
        <w:jc w:val="center"/>
        <w:rPr>
          <w:sz w:val="30"/>
          <w:szCs w:val="30"/>
        </w:rPr>
      </w:pPr>
      <w:bookmarkStart w:id="47" w:name="_Toc164429414"/>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p>
    <w:p w14:paraId="5BCACED9"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量化精选混合型发起式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流动性风险管理规定》”）等有关法律法规以及《富荣量化精选混合型发起式证券投资基金基金合同》（以下简称“基金合同”）编写。</w:t>
      </w:r>
    </w:p>
    <w:p w14:paraId="0E6E404A"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36A5081D"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量化精选混合型发起式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743500F8"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0094AEE1" w14:textId="77777777" w:rsidR="009214AE" w:rsidRDefault="009214AE">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214AE" w:rsidSect="004C0C2D">
          <w:footerReference w:type="default" r:id="rId10"/>
          <w:pgSz w:w="11906" w:h="16838"/>
          <w:pgMar w:top="1440" w:right="1800" w:bottom="1440" w:left="1800" w:header="851" w:footer="992" w:gutter="0"/>
          <w:pgNumType w:chapStyle="1"/>
          <w:cols w:space="720"/>
          <w:docGrid w:type="lines" w:linePitch="312"/>
        </w:sectPr>
      </w:pPr>
      <w:bookmarkStart w:id="48" w:name="_Toc22708"/>
      <w:bookmarkStart w:id="49" w:name="_Toc20627"/>
      <w:bookmarkStart w:id="50" w:name="_Toc545"/>
      <w:bookmarkStart w:id="51" w:name="_Toc24571"/>
      <w:bookmarkStart w:id="52" w:name="_Toc6683"/>
      <w:bookmarkStart w:id="53" w:name="_Toc18631"/>
      <w:bookmarkStart w:id="54" w:name="_Toc352229748"/>
      <w:bookmarkStart w:id="55" w:name="_Toc20318"/>
      <w:bookmarkStart w:id="56" w:name="_Toc5246"/>
      <w:bookmarkStart w:id="57" w:name="_Toc733"/>
      <w:bookmarkStart w:id="58" w:name="_Toc6149"/>
      <w:bookmarkStart w:id="59" w:name="_Toc13288"/>
      <w:bookmarkStart w:id="60" w:name="_Toc233456272"/>
      <w:bookmarkStart w:id="61"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630596DF" w14:textId="77777777" w:rsidR="009214AE" w:rsidRDefault="00C66335">
      <w:pPr>
        <w:pStyle w:val="1"/>
        <w:jc w:val="center"/>
        <w:rPr>
          <w:sz w:val="30"/>
          <w:szCs w:val="30"/>
        </w:rPr>
      </w:pPr>
      <w:bookmarkStart w:id="62" w:name="_Toc164429415"/>
      <w:r>
        <w:rPr>
          <w:rFonts w:hint="eastAsia"/>
          <w:sz w:val="30"/>
          <w:szCs w:val="30"/>
        </w:rPr>
        <w:lastRenderedPageBreak/>
        <w:t>第二部分</w:t>
      </w:r>
      <w:r>
        <w:rPr>
          <w:sz w:val="30"/>
          <w:szCs w:val="30"/>
        </w:rPr>
        <w:t xml:space="preserve">  </w:t>
      </w:r>
      <w:r>
        <w:rPr>
          <w:rFonts w:hint="eastAsia"/>
          <w:sz w:val="30"/>
          <w:szCs w:val="30"/>
        </w:rPr>
        <w:t>释义</w:t>
      </w:r>
      <w:bookmarkEnd w:id="62"/>
    </w:p>
    <w:p w14:paraId="6879DE80"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2659B29D"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1、基金或本基金：指富荣量化精选混合型发起式证券投资基金</w:t>
      </w:r>
    </w:p>
    <w:p w14:paraId="5A25E9E8"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2、基金管理人：指富荣基金管理有限公司    </w:t>
      </w:r>
    </w:p>
    <w:p w14:paraId="7B8B3DF2"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3、基金托管人：指中国工商银行股份有限公司</w:t>
      </w:r>
    </w:p>
    <w:p w14:paraId="27D476DC"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4、基金合同：指《富荣量化精选混合型发起式证券投资基金基金合同》及对基金合同的任何有效修订和补充</w:t>
      </w:r>
    </w:p>
    <w:p w14:paraId="1CE098D6"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5、托管协议：指基金管理人与基金托管人就本基金签订之《富荣量化精选混合型发起式证券投资基金托管协议》及对该托管协议的任何有效修订和补充</w:t>
      </w:r>
    </w:p>
    <w:p w14:paraId="6F540515"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6、招募说明书或本招募说明书：指《富荣量化精选混合型发起式证券投资基金招募说明书》及其更新</w:t>
      </w:r>
    </w:p>
    <w:p w14:paraId="0553F171"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7、基金份额发售公告：指《富荣量化精选混合型发起式证券投资基金基金份额发售公告》</w:t>
      </w:r>
    </w:p>
    <w:p w14:paraId="00622471"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8、法律法规：指中国现行有效并公布实施的法律、行政法规、规范性文件、司法解释、行政规章以及其他对基金合同当事人有约束力的决定、决议、通知等</w:t>
      </w:r>
    </w:p>
    <w:p w14:paraId="501CB2DB"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7806510D"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10、《销售办法》：指中国证监会2020年8月28日颁布、同年10月1日实施的《公开募集证券投资基金销售机构监督管理办法》及颁布机关对其不时做出的修订</w:t>
      </w:r>
    </w:p>
    <w:p w14:paraId="2560519E"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信息披露办法》：指中国证监会2019年7月26日颁布、同年9月1日实施的，并经2020年3月20日中国证监会《关于修改部分证券期货规章的决定》修正的《公开募集证券投资基金信息披露管理办法》及颁布机关对其不时做出的修订</w:t>
      </w:r>
    </w:p>
    <w:p w14:paraId="7B27D178"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12、《运作办法》：指中国证监会2014年7月7日颁布、同年8月8日实施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419BD5D7"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13、《流动性风险管理规定》：指中国证监会2017年8月31日颁布、同年10月1日实施的《公开募集开放式证券投资基金流动性风险管理规定》及颁布机关对其不时做出的修订</w:t>
      </w:r>
    </w:p>
    <w:p w14:paraId="12676CA7"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14、中国证监会：指中国证券监督管理委员会</w:t>
      </w:r>
    </w:p>
    <w:p w14:paraId="24C00A74"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15、银行业监督管理机构：指中国人民银行和/或中国银行保险监督管理委员会</w:t>
      </w:r>
    </w:p>
    <w:p w14:paraId="765DB810"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16、基金合同当事人：指受基金合同约束，根据基金合同享有权利并承担义务的法律主体，包括基金管理人、基金托管人和基金份额持有人</w:t>
      </w:r>
    </w:p>
    <w:p w14:paraId="046B394C"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17、个人投资者：指依据有关法律法规规定可投资于证券投资基金的自然人</w:t>
      </w:r>
    </w:p>
    <w:p w14:paraId="2081D946"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18、机构投资者：指依法可以投资证券投资基金的、在中华人民共和国境内合法登记并存续或经有关政府部门批准设立并存续的企业法人、事业法人、社会团体或其他组织</w:t>
      </w:r>
    </w:p>
    <w:p w14:paraId="307922E7"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合格境外机构投资者：指符合《合格境外机构投资者和人民币合格境外机构投资者境内证券期货投资管理办法》（包括颁布机关对其不时做出的修订）及相关法律法规规定使用来自境外的资金进行境内证券期货投资的境外机构投资者</w:t>
      </w:r>
    </w:p>
    <w:p w14:paraId="323CD4E8"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人民币合格境外机构投资者：指按照《合格境外机构投资者和人民币合格境外机构投资者境内证券期货投资管理办法》（包括颁布机关对其不时做出的修订）及相关法律法规规定，运用来自境外的人民币资金进行境内证券期货投资的境外机构投资者</w:t>
      </w:r>
    </w:p>
    <w:p w14:paraId="62C08BB7"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21、投资人、投资者：指个人投资者、机构投资者、合格境外机构投资者、人民币合格境外机构投资者和发起</w:t>
      </w:r>
      <w:proofErr w:type="gramStart"/>
      <w:r>
        <w:rPr>
          <w:rFonts w:asciiTheme="minorEastAsia" w:hAnsiTheme="minorEastAsia" w:cs="Times New Roman" w:hint="eastAsia"/>
          <w:sz w:val="24"/>
          <w:szCs w:val="24"/>
        </w:rPr>
        <w:t>式资金</w:t>
      </w:r>
      <w:proofErr w:type="gramEnd"/>
      <w:r>
        <w:rPr>
          <w:rFonts w:asciiTheme="minorEastAsia" w:hAnsiTheme="minorEastAsia" w:cs="Times New Roman" w:hint="eastAsia"/>
          <w:sz w:val="24"/>
          <w:szCs w:val="24"/>
        </w:rPr>
        <w:t>提供方以及法律法规或中国证监会允许购买证券投资基金的其他投资人的合称</w:t>
      </w:r>
    </w:p>
    <w:p w14:paraId="0FBCD79B"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22、发起式基金：指符合《运作办法》和中国证监会有关规定，由基金管理人、基金管理人股东、基金管理人高级管理人员或基金经理（包括基金经理之外的投</w:t>
      </w:r>
      <w:proofErr w:type="gramStart"/>
      <w:r>
        <w:rPr>
          <w:rFonts w:asciiTheme="minorEastAsia" w:hAnsiTheme="minorEastAsia" w:cs="Times New Roman" w:hint="eastAsia"/>
          <w:sz w:val="24"/>
          <w:szCs w:val="24"/>
        </w:rPr>
        <w:t>研</w:t>
      </w:r>
      <w:proofErr w:type="gramEnd"/>
      <w:r>
        <w:rPr>
          <w:rFonts w:asciiTheme="minorEastAsia" w:hAnsiTheme="minorEastAsia" w:cs="Times New Roman" w:hint="eastAsia"/>
          <w:sz w:val="24"/>
          <w:szCs w:val="24"/>
        </w:rPr>
        <w:t>人员，下同）等人员承诺认购一定金额并持有一定期限的证券投资基金</w:t>
      </w:r>
    </w:p>
    <w:p w14:paraId="5AA80CE7"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23、发起资金：指用于认购发起</w:t>
      </w:r>
      <w:proofErr w:type="gramStart"/>
      <w:r>
        <w:rPr>
          <w:rFonts w:asciiTheme="minorEastAsia" w:hAnsiTheme="minorEastAsia" w:cs="Times New Roman" w:hint="eastAsia"/>
          <w:sz w:val="24"/>
          <w:szCs w:val="24"/>
        </w:rPr>
        <w:t>式基金</w:t>
      </w:r>
      <w:proofErr w:type="gramEnd"/>
      <w:r>
        <w:rPr>
          <w:rFonts w:asciiTheme="minorEastAsia" w:hAnsiTheme="minorEastAsia" w:cs="Times New Roman" w:hint="eastAsia"/>
          <w:sz w:val="24"/>
          <w:szCs w:val="24"/>
        </w:rPr>
        <w:t>且资金来源于基金管理人的股东资金、基金管理人固有资金、基金管理人高级管理人员或基金经理等人员的资金。发起资金认购本基金的金额不低于1,000万元，且发起资金认购的基金份额持有期限</w:t>
      </w:r>
      <w:r>
        <w:rPr>
          <w:rFonts w:asciiTheme="minorEastAsia" w:hAnsiTheme="minorEastAsia" w:cs="Times New Roman" w:hint="eastAsia"/>
          <w:sz w:val="24"/>
          <w:szCs w:val="24"/>
        </w:rPr>
        <w:lastRenderedPageBreak/>
        <w:t>不低于3年</w:t>
      </w:r>
    </w:p>
    <w:p w14:paraId="7C03F193"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24、发起资金提供方：指提供用于认购发起</w:t>
      </w:r>
      <w:proofErr w:type="gramStart"/>
      <w:r>
        <w:rPr>
          <w:rFonts w:asciiTheme="minorEastAsia" w:hAnsiTheme="minorEastAsia" w:cs="Times New Roman" w:hint="eastAsia"/>
          <w:sz w:val="24"/>
          <w:szCs w:val="24"/>
        </w:rPr>
        <w:t>式基金</w:t>
      </w:r>
      <w:proofErr w:type="gramEnd"/>
      <w:r>
        <w:rPr>
          <w:rFonts w:asciiTheme="minorEastAsia" w:hAnsiTheme="minorEastAsia" w:cs="Times New Roman" w:hint="eastAsia"/>
          <w:sz w:val="24"/>
          <w:szCs w:val="24"/>
        </w:rPr>
        <w:t>资金且承诺以发起资金认购的基金份额持有期限不少于三年的机构或人员，包括基金管理人、基金管理人股东、基金管理人高级管理人员或基金经理等人员</w:t>
      </w:r>
    </w:p>
    <w:p w14:paraId="3E5797AD"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25、基金份额持有人：指依基金合同和招募说明书合法取得基金份额的投资人</w:t>
      </w:r>
    </w:p>
    <w:p w14:paraId="4162AAAE"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26、基金销售业务：指基金管理人或销售机构宣传推介基金，发售基金份额，办理基金份额的申购、赎回、转换、转托管及定期定额投资等业务</w:t>
      </w:r>
    </w:p>
    <w:p w14:paraId="013A9F18"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27、销售机构：指富荣基金管理有限公司以及符合《销售办法》和中国证监会规定的其他条件，取得基金销售业务资格并与基金管理人签订了基金销售服务协议，办理基金销售业务的机构</w:t>
      </w:r>
    </w:p>
    <w:p w14:paraId="40F612F1"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28、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3B417C5F"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29、登记机构：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登记业务的机构。基金的登记机构为富荣基金管理有限公司或接受富荣基金管理有限公司委托代为办理登记业务的机构</w:t>
      </w:r>
    </w:p>
    <w:p w14:paraId="5A4D1F21"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30、基金账户：指登记机构为投资人开立的、记录其持有的、基金管理人所管理的基金份额余额及其变动情况的账户</w:t>
      </w:r>
    </w:p>
    <w:p w14:paraId="5BB00DED"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31、基金交易账户：指销售机构为投资人开立的、记录投资人通过该销售机构办理认购、申购、赎回、转换、转托管及定期定额投资等业务而引起的基金份额变动及结余情况的账户</w:t>
      </w:r>
    </w:p>
    <w:p w14:paraId="0C132E3E"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32、基金合同生效日：指基金募集达到法律法规规定及基金合同规定的条件，基金管理人向中国证监会办理基金备案手续完毕，并获得中国证监会书面确认的日期</w:t>
      </w:r>
    </w:p>
    <w:p w14:paraId="56E1BEA3"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33、基金合同终止日：指基金合同规定的基金合同终止事由出现后，基金财产清算完毕，清算结果报中国证监会备案并予以公告的日期</w:t>
      </w:r>
    </w:p>
    <w:p w14:paraId="2D5B634F"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34、基金募集期：指自基金份额发售之日起至发售结束之日止的期间，最长不得超过3个月</w:t>
      </w:r>
    </w:p>
    <w:p w14:paraId="25FD9D5A"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35、存续期：指基金合同生效至终止之间的不定期期限</w:t>
      </w:r>
    </w:p>
    <w:p w14:paraId="0D8A3C65"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36、工作日：指上海证券交易所、深圳证券交易所的正常交易日</w:t>
      </w:r>
    </w:p>
    <w:p w14:paraId="0B3BB919"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37、T日：指销售机构在规定时间受理投资人申购、赎回或其他业务申请的开放日</w:t>
      </w:r>
    </w:p>
    <w:p w14:paraId="0D38B5B9"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38、</w:t>
      </w:r>
      <w:proofErr w:type="spellStart"/>
      <w:r>
        <w:rPr>
          <w:rFonts w:asciiTheme="minorEastAsia" w:hAnsiTheme="minorEastAsia" w:cs="Times New Roman" w:hint="eastAsia"/>
          <w:sz w:val="24"/>
          <w:szCs w:val="24"/>
        </w:rPr>
        <w:t>T+n</w:t>
      </w:r>
      <w:proofErr w:type="spellEnd"/>
      <w:r>
        <w:rPr>
          <w:rFonts w:asciiTheme="minorEastAsia" w:hAnsiTheme="minorEastAsia" w:cs="Times New Roman" w:hint="eastAsia"/>
          <w:sz w:val="24"/>
          <w:szCs w:val="24"/>
        </w:rPr>
        <w:t>日：指自T日起第n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工作日(不包含T日)</w:t>
      </w:r>
    </w:p>
    <w:p w14:paraId="53A0322D"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39、开放日：指为投资人办理基金份额申购、赎回或其他业务的工作日</w:t>
      </w:r>
    </w:p>
    <w:p w14:paraId="43B1DC7D"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40、开放时间：指开放日基金接受申购、赎回或其他交易的时间段</w:t>
      </w:r>
    </w:p>
    <w:p w14:paraId="19646FB8"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41、《业务规则》：指《富荣基金管理有限公司开放式基金业务规则》，是规范基金管理人所管理的开放式证券投资基金登记方面的业务规则，由基金管理人和投资人共同遵守</w:t>
      </w:r>
    </w:p>
    <w:p w14:paraId="3D1EA42F"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42、认购：指在基金募集期内，投资人根据基金合同和招募说明书的规定申请购买基金份额的行为</w:t>
      </w:r>
    </w:p>
    <w:p w14:paraId="5B8D7DB5"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43、申购：指基金合同生效后，投资人根据基金合同和招募说明书的规定申请购买基金份额的行为</w:t>
      </w:r>
    </w:p>
    <w:p w14:paraId="5E1C7267"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44、赎回：指基金合同生效后，基金份额持有人按基金合同和招募说明书规定的条件要求将基金份额兑换为现金的行为</w:t>
      </w:r>
    </w:p>
    <w:p w14:paraId="045DB79B"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45、基金转换：指基金份额持有人按照基金合同和基金管理人届时有效公告规定的条件，申请将其持有基金管理人管理的、某一基金的基金份额转换为基金管理人管理的其他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1A597526"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46、转托管：指基金份额持有人在本基金的不同销售机构之间实施的变更所持基金份额销售机构的操作</w:t>
      </w:r>
    </w:p>
    <w:p w14:paraId="74F0035A"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47、定期定额投资计划：指投资人通过有关销售机构提出申请，约定每期申购日、扣款金额及扣款方式，由销售机构于每期约定扣款日在投资人指定银行账户内自动完成扣款及受理基金申购申请的一种投资方式</w:t>
      </w:r>
    </w:p>
    <w:p w14:paraId="36BD77A7"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48、巨额赎回：指本基金单个开放日，基金净赎回申请（赎回申请份额总数加上基金转换中转出申请份额总数后扣除申购申请份额总数及基金转换中转入申请份额总数后的余额）超过上一开放日基金总份额的10%</w:t>
      </w:r>
    </w:p>
    <w:p w14:paraId="1DA40122"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49、元：指人民币元</w:t>
      </w:r>
    </w:p>
    <w:p w14:paraId="37CC496C"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50、基金收益：指基金投资所得红利、股息、债券利息、买卖证券价差、银行存款利息、已实现的其他合法收入及因运用基金财产带来的成本和费用的节约</w:t>
      </w:r>
    </w:p>
    <w:p w14:paraId="3329866F"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51、基金利润：指基金利息收入、投资收益、公允价值变动收益和其他收入扣除相关费用后的余额</w:t>
      </w:r>
    </w:p>
    <w:p w14:paraId="5B170DC4"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52、基金资产总值：指基金拥有的各类有价证券、银行存款本息、基金应收款项及其他资产的价值总和</w:t>
      </w:r>
    </w:p>
    <w:p w14:paraId="1E77EFF2"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53、基金资产净值：指基金资产总值减去基金负债后的价值</w:t>
      </w:r>
    </w:p>
    <w:p w14:paraId="7A3CE549"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54、基金份额净值：指计算日基金资产净值除以计算日基金份额总数</w:t>
      </w:r>
    </w:p>
    <w:p w14:paraId="0D352193"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55、基金资产估值：指计算评估基金资产和负债的价值，以确定基金资产净值和基金份额净值的过程</w:t>
      </w:r>
    </w:p>
    <w:p w14:paraId="4A55C836"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56、规定媒介：指符合中国证监会规定条件的用以进行信息披露的全国性报刊及《信息披露办法》规定的互联网网站（包括基金管理人网站、基金托管人网站、中国证监会基金电子披露网站）等媒介</w:t>
      </w:r>
    </w:p>
    <w:p w14:paraId="57EEA837"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57、流动性受限资产：指由于法律法规、监管、合同或操作障碍等原因无法以合理价格予以变现的资产，包括但不限于到期日在10个交易日以上的逆回购与银行定期存款（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79B835B2"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58、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AF0E733"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59、基金份额类别：指根据认购/申购费用、赎回费用、销售服务费用收取方式的不同将本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份额分为不同的类别，各基金份额类别分别设置代码，并分别计算和公告基金份额净值</w:t>
      </w:r>
    </w:p>
    <w:p w14:paraId="76E25AFA"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60、A类基金份额：指在投资人认购/申购时收取认购/申购费用但不从本类别基金资产中计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服务费、赎回时根据持有期限收取赎回费用的基金份额类别</w:t>
      </w:r>
    </w:p>
    <w:p w14:paraId="64C925A6"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61、C类基金份额：指从本类别基金资产中计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服务费而不收取认购/申购费用、赎回时根据持有期限收取赎回费用的基金份额类别</w:t>
      </w:r>
    </w:p>
    <w:p w14:paraId="13B642D3"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62、销售服务费：指从基金资产中计提的，用于本基金市场推广、销售以及基金份额持有人服务的费用</w:t>
      </w:r>
    </w:p>
    <w:p w14:paraId="522E533F"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63、不可抗力：指基金合同当事人不能预见、不能避免且不能克服的客观事件</w:t>
      </w:r>
    </w:p>
    <w:p w14:paraId="563C7360"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64、基金产品资料概要：指《富荣量化精选混合型发起式证券投资基金基金产品资料概要》及其更新</w:t>
      </w:r>
    </w:p>
    <w:p w14:paraId="6822FB65"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65、</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21134382"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66、特定资产：包括：（一）无可参考的活跃市场价格且采用估值技术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公允价值存在重大不确定性的资产；（二）</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资产价值存在重大不确定性的资产；（三）其他资产价值存在重大不确定性的资产</w:t>
      </w:r>
    </w:p>
    <w:p w14:paraId="7B11A8B1" w14:textId="77777777" w:rsidR="009214AE" w:rsidRDefault="00C66335">
      <w:pPr>
        <w:widowControl/>
        <w:jc w:val="left"/>
        <w:rPr>
          <w:rFonts w:asciiTheme="minorEastAsia" w:hAnsiTheme="minorEastAsia" w:cs="Times New Roman" w:hint="eastAsia"/>
          <w:sz w:val="24"/>
          <w:szCs w:val="24"/>
        </w:rPr>
      </w:pPr>
      <w:r>
        <w:rPr>
          <w:rFonts w:asciiTheme="minorEastAsia" w:hAnsiTheme="minorEastAsia" w:cs="Times New Roman"/>
          <w:sz w:val="24"/>
          <w:szCs w:val="24"/>
        </w:rPr>
        <w:br w:type="page"/>
      </w:r>
    </w:p>
    <w:p w14:paraId="6F817FAA" w14:textId="77777777" w:rsidR="009214AE" w:rsidRDefault="00C66335">
      <w:pPr>
        <w:pStyle w:val="1"/>
        <w:jc w:val="center"/>
        <w:rPr>
          <w:sz w:val="30"/>
          <w:szCs w:val="30"/>
        </w:rPr>
      </w:pPr>
      <w:bookmarkStart w:id="63" w:name="_Toc263092311"/>
      <w:bookmarkStart w:id="64" w:name="_Toc416264539"/>
      <w:bookmarkStart w:id="65" w:name="_Toc164429416"/>
      <w:bookmarkStart w:id="66" w:name="_Toc352229749"/>
      <w:bookmarkStart w:id="67" w:name="_Toc410197817"/>
      <w:bookmarkStart w:id="68" w:name="_Toc24682"/>
      <w:bookmarkStart w:id="69" w:name="_Toc22074"/>
      <w:bookmarkStart w:id="70" w:name="_Toc90742688"/>
      <w:bookmarkStart w:id="71" w:name="_Toc15203"/>
      <w:bookmarkStart w:id="72" w:name="_Toc90742321"/>
      <w:bookmarkStart w:id="73" w:name="_Toc16265"/>
      <w:bookmarkStart w:id="74" w:name="_Toc29948"/>
      <w:bookmarkStart w:id="75" w:name="_Toc27189"/>
      <w:bookmarkStart w:id="76" w:name="_Toc6714"/>
      <w:bookmarkStart w:id="77" w:name="_Toc29784"/>
      <w:bookmarkStart w:id="78" w:name="_Toc3266"/>
      <w:bookmarkStart w:id="79" w:name="_Toc90742390"/>
      <w:bookmarkStart w:id="80" w:name="_Toc7151"/>
      <w:bookmarkStart w:id="81" w:name="_Toc27226"/>
      <w:bookmarkEnd w:id="48"/>
      <w:bookmarkEnd w:id="49"/>
      <w:bookmarkEnd w:id="50"/>
      <w:bookmarkEnd w:id="51"/>
      <w:bookmarkEnd w:id="52"/>
      <w:bookmarkEnd w:id="53"/>
      <w:bookmarkEnd w:id="54"/>
      <w:bookmarkEnd w:id="55"/>
      <w:bookmarkEnd w:id="56"/>
      <w:bookmarkEnd w:id="57"/>
      <w:bookmarkEnd w:id="58"/>
      <w:bookmarkEnd w:id="59"/>
      <w:r>
        <w:rPr>
          <w:rFonts w:hint="eastAsia"/>
          <w:sz w:val="30"/>
          <w:szCs w:val="30"/>
        </w:rPr>
        <w:lastRenderedPageBreak/>
        <w:t>第三部分</w:t>
      </w:r>
      <w:r>
        <w:rPr>
          <w:sz w:val="30"/>
          <w:szCs w:val="30"/>
        </w:rPr>
        <w:t xml:space="preserve">  </w:t>
      </w:r>
      <w:r>
        <w:rPr>
          <w:rFonts w:hint="eastAsia"/>
          <w:sz w:val="30"/>
          <w:szCs w:val="30"/>
        </w:rPr>
        <w:t>基金管理人</w:t>
      </w:r>
      <w:bookmarkEnd w:id="63"/>
      <w:bookmarkEnd w:id="64"/>
      <w:bookmarkEnd w:id="65"/>
    </w:p>
    <w:p w14:paraId="158EA6C2" w14:textId="77777777" w:rsidR="009214AE" w:rsidRDefault="00C66335">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1CA00DBC" w14:textId="77777777" w:rsidR="009214AE" w:rsidRDefault="00C6633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433BB40C" w14:textId="77777777" w:rsidR="009214AE" w:rsidRDefault="00C6633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64770686" w14:textId="77777777" w:rsidR="009214AE" w:rsidRDefault="00C6633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45423E89" w14:textId="77777777" w:rsidR="009214AE" w:rsidRDefault="00C6633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Theme="minorEastAsia" w:hAnsiTheme="minorEastAsia" w:cs="Arial" w:hint="eastAsia"/>
          <w:kern w:val="0"/>
          <w:sz w:val="24"/>
          <w:szCs w:val="24"/>
        </w:rPr>
        <w:t>王亦伟</w:t>
      </w:r>
    </w:p>
    <w:p w14:paraId="1965F147" w14:textId="77777777" w:rsidR="009214AE" w:rsidRDefault="00C6633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76E5ECA8" w14:textId="77777777" w:rsidR="009214AE" w:rsidRDefault="00C6633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6DB4EE40" w14:textId="77777777" w:rsidR="009214AE" w:rsidRDefault="00C6633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存续期间：永续经营</w:t>
      </w:r>
    </w:p>
    <w:p w14:paraId="51250BF4" w14:textId="77777777" w:rsidR="009214AE" w:rsidRDefault="00C6633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15486F7A" w14:textId="77777777" w:rsidR="009214AE" w:rsidRDefault="00C66335">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6637</w:t>
      </w:r>
    </w:p>
    <w:p w14:paraId="16E95B03" w14:textId="77777777" w:rsidR="009214AE" w:rsidRDefault="00C66335">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9214AE" w14:paraId="2A0636A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15544B4" w14:textId="77777777" w:rsidR="009214AE" w:rsidRDefault="00C66335">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0F39733A" w14:textId="77777777" w:rsidR="009214AE" w:rsidRDefault="00C66335">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9214AE" w14:paraId="56D3D358"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B6AD864" w14:textId="77777777" w:rsidR="009214AE" w:rsidRDefault="00C66335">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CFC519D" w14:textId="77777777" w:rsidR="009214AE" w:rsidRDefault="00C66335">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9214AE" w14:paraId="218A1FC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175FB29C" w14:textId="77777777" w:rsidR="009214AE" w:rsidRDefault="00C66335">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4D53C3C4" w14:textId="77777777" w:rsidR="009214AE" w:rsidRDefault="00C66335">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9214AE" w14:paraId="4C12EE6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AF1EC82" w14:textId="77777777" w:rsidR="009214AE" w:rsidRDefault="00C66335">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3E0B218D" w14:textId="77777777" w:rsidR="009214AE" w:rsidRDefault="00C66335">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0D50802C" w14:textId="77777777" w:rsidR="009214AE" w:rsidRDefault="009214AE">
      <w:pPr>
        <w:adjustRightInd w:val="0"/>
        <w:snapToGrid w:val="0"/>
        <w:spacing w:line="360" w:lineRule="auto"/>
        <w:ind w:firstLineChars="200" w:firstLine="480"/>
        <w:rPr>
          <w:rFonts w:asciiTheme="minorEastAsia" w:hAnsiTheme="minorEastAsia" w:cs="Arial" w:hint="eastAsia"/>
          <w:kern w:val="0"/>
          <w:sz w:val="24"/>
          <w:szCs w:val="24"/>
        </w:rPr>
      </w:pPr>
    </w:p>
    <w:p w14:paraId="6451C58A" w14:textId="77777777" w:rsidR="009214AE" w:rsidRDefault="00C66335">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301429C2"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1092BD2A" w14:textId="586C5FF4"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bookmarkStart w:id="82" w:name="_Hlk132025114"/>
      <w:r>
        <w:rPr>
          <w:rFonts w:asciiTheme="minorEastAsia" w:hAnsiTheme="minorEastAsia" w:cs="Arial" w:hint="eastAsia"/>
          <w:kern w:val="0"/>
          <w:sz w:val="24"/>
          <w:szCs w:val="24"/>
        </w:rPr>
        <w:t>王亦伟</w:t>
      </w:r>
      <w:bookmarkEnd w:id="82"/>
      <w:r>
        <w:rPr>
          <w:rFonts w:asciiTheme="minorEastAsia" w:hAnsiTheme="minorEastAsia" w:cs="Arial" w:hint="eastAsia"/>
          <w:kern w:val="0"/>
          <w:sz w:val="24"/>
          <w:szCs w:val="24"/>
        </w:rPr>
        <w:t>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投资有限公司总经理、党支部书记、董事、董事长，广州新中轴建设有限公司财务总监、董事长、法人代表。现任广州产业投资基金管理有限公司党委书记、董事长、法定代表人，</w:t>
      </w:r>
      <w:r w:rsidR="00F535A2" w:rsidRPr="00F535A2">
        <w:rPr>
          <w:rFonts w:asciiTheme="minorEastAsia" w:hAnsiTheme="minorEastAsia" w:cs="Arial" w:hint="eastAsia"/>
          <w:kern w:val="0"/>
          <w:sz w:val="24"/>
          <w:szCs w:val="24"/>
        </w:rPr>
        <w:t>中国文化产业投资</w:t>
      </w:r>
      <w:proofErr w:type="gramStart"/>
      <w:r w:rsidR="00F535A2" w:rsidRPr="00F535A2">
        <w:rPr>
          <w:rFonts w:asciiTheme="minorEastAsia" w:hAnsiTheme="minorEastAsia" w:cs="Arial" w:hint="eastAsia"/>
          <w:kern w:val="0"/>
          <w:sz w:val="24"/>
          <w:szCs w:val="24"/>
        </w:rPr>
        <w:t>母基金</w:t>
      </w:r>
      <w:proofErr w:type="gramEnd"/>
      <w:r w:rsidR="00F535A2" w:rsidRPr="00F535A2">
        <w:rPr>
          <w:rFonts w:asciiTheme="minorEastAsia" w:hAnsiTheme="minorEastAsia" w:cs="Arial" w:hint="eastAsia"/>
          <w:kern w:val="0"/>
          <w:sz w:val="24"/>
          <w:szCs w:val="24"/>
        </w:rPr>
        <w:t>管理有限公司董事，</w:t>
      </w:r>
      <w:r>
        <w:rPr>
          <w:rFonts w:asciiTheme="minorEastAsia" w:hAnsiTheme="minorEastAsia" w:cs="Arial" w:hint="eastAsia"/>
          <w:kern w:val="0"/>
          <w:sz w:val="24"/>
          <w:szCs w:val="24"/>
        </w:rPr>
        <w:t>广州城</w:t>
      </w:r>
      <w:proofErr w:type="gramStart"/>
      <w:r>
        <w:rPr>
          <w:rFonts w:asciiTheme="minorEastAsia" w:hAnsiTheme="minorEastAsia" w:cs="Arial" w:hint="eastAsia"/>
          <w:kern w:val="0"/>
          <w:sz w:val="24"/>
          <w:szCs w:val="24"/>
        </w:rPr>
        <w:t>恒</w:t>
      </w:r>
      <w:proofErr w:type="gramEnd"/>
      <w:r>
        <w:rPr>
          <w:rFonts w:asciiTheme="minorEastAsia" w:hAnsiTheme="minorEastAsia" w:cs="Arial" w:hint="eastAsia"/>
          <w:kern w:val="0"/>
          <w:sz w:val="24"/>
          <w:szCs w:val="24"/>
        </w:rPr>
        <w:t>城市更新投资有限公司董事长、法定代表人，广州市城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 xml:space="preserve">投资有限公司董事，富荣基金管理有限公司董事长，法定代表人。 </w:t>
      </w:r>
    </w:p>
    <w:p w14:paraId="686FA4E2" w14:textId="4F4C1935"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w:t>
      </w:r>
      <w:r w:rsidR="00F535A2" w:rsidRPr="00F535A2">
        <w:rPr>
          <w:rFonts w:asciiTheme="minorEastAsia" w:hAnsiTheme="minorEastAsia" w:cs="Arial" w:hint="eastAsia"/>
          <w:kern w:val="0"/>
          <w:sz w:val="24"/>
          <w:szCs w:val="24"/>
        </w:rPr>
        <w:t>。现任富荣基金管理有限公司董事、总经理、首席信息官、代行督察长。</w:t>
      </w:r>
    </w:p>
    <w:p w14:paraId="7AA5722D" w14:textId="77777777" w:rsidR="00F535A2" w:rsidRPr="00F535A2" w:rsidRDefault="00F535A2" w:rsidP="00F535A2">
      <w:pPr>
        <w:adjustRightInd w:val="0"/>
        <w:snapToGrid w:val="0"/>
        <w:spacing w:line="360" w:lineRule="auto"/>
        <w:ind w:firstLineChars="200" w:firstLine="480"/>
        <w:rPr>
          <w:rFonts w:asciiTheme="minorEastAsia" w:hAnsiTheme="minorEastAsia" w:cs="Arial" w:hint="eastAsia"/>
          <w:kern w:val="0"/>
          <w:sz w:val="24"/>
          <w:szCs w:val="24"/>
        </w:rPr>
      </w:pPr>
      <w:r w:rsidRPr="00F535A2">
        <w:rPr>
          <w:rFonts w:asciiTheme="minorEastAsia" w:hAnsiTheme="minorEastAsia" w:cs="Arial" w:hint="eastAsia"/>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sidRPr="00F535A2">
        <w:rPr>
          <w:rFonts w:asciiTheme="minorEastAsia" w:hAnsiTheme="minorEastAsia" w:cs="Arial" w:hint="eastAsia"/>
          <w:kern w:val="0"/>
          <w:sz w:val="24"/>
          <w:szCs w:val="24"/>
        </w:rPr>
        <w:t>务风控部</w:t>
      </w:r>
      <w:proofErr w:type="gramEnd"/>
      <w:r w:rsidRPr="00F535A2">
        <w:rPr>
          <w:rFonts w:asciiTheme="minorEastAsia" w:hAnsiTheme="minorEastAsia" w:cs="Arial" w:hint="eastAsia"/>
          <w:kern w:val="0"/>
          <w:sz w:val="24"/>
          <w:szCs w:val="24"/>
        </w:rPr>
        <w:t>总经理，广州基金国际股权投资基金管理有限公司党支部副书记、总经理。现任广州产业投资基金管理有限公司投资管理部总经理，富荣基金管理有限公司董事。</w:t>
      </w:r>
    </w:p>
    <w:p w14:paraId="381A1FC9" w14:textId="77777777" w:rsidR="00F535A2" w:rsidRPr="00F535A2" w:rsidRDefault="00F535A2" w:rsidP="00F535A2">
      <w:pPr>
        <w:adjustRightInd w:val="0"/>
        <w:snapToGrid w:val="0"/>
        <w:spacing w:line="360" w:lineRule="auto"/>
        <w:ind w:firstLineChars="200" w:firstLine="480"/>
        <w:rPr>
          <w:rFonts w:asciiTheme="minorEastAsia" w:hAnsiTheme="minorEastAsia" w:cs="Arial" w:hint="eastAsia"/>
          <w:kern w:val="0"/>
          <w:sz w:val="24"/>
          <w:szCs w:val="24"/>
        </w:rPr>
      </w:pPr>
      <w:r w:rsidRPr="00F535A2">
        <w:rPr>
          <w:rFonts w:asciiTheme="minorEastAsia" w:hAnsiTheme="minorEastAsia" w:cs="Arial" w:hint="eastAsia"/>
          <w:kern w:val="0"/>
          <w:sz w:val="24"/>
          <w:szCs w:val="24"/>
        </w:rPr>
        <w:t>郭涛先生，董事，上海交通大学高级管理人员工商管理专业硕士。现任</w:t>
      </w:r>
      <w:proofErr w:type="gramStart"/>
      <w:r w:rsidRPr="00F535A2">
        <w:rPr>
          <w:rFonts w:asciiTheme="minorEastAsia" w:hAnsiTheme="minorEastAsia" w:cs="Arial" w:hint="eastAsia"/>
          <w:kern w:val="0"/>
          <w:sz w:val="24"/>
          <w:szCs w:val="24"/>
        </w:rPr>
        <w:t>深圳市亿尔德</w:t>
      </w:r>
      <w:proofErr w:type="gramEnd"/>
      <w:r w:rsidRPr="00F535A2">
        <w:rPr>
          <w:rFonts w:asciiTheme="minorEastAsia" w:hAnsiTheme="minorEastAsia" w:cs="Arial" w:hint="eastAsia"/>
          <w:kern w:val="0"/>
          <w:sz w:val="24"/>
          <w:szCs w:val="24"/>
        </w:rPr>
        <w:t>投资有限公司总经理、执行董事；</w:t>
      </w:r>
      <w:proofErr w:type="gramStart"/>
      <w:r w:rsidRPr="00F535A2">
        <w:rPr>
          <w:rFonts w:asciiTheme="minorEastAsia" w:hAnsiTheme="minorEastAsia" w:cs="Arial" w:hint="eastAsia"/>
          <w:kern w:val="0"/>
          <w:sz w:val="24"/>
          <w:szCs w:val="24"/>
        </w:rPr>
        <w:t>微愿数智</w:t>
      </w:r>
      <w:proofErr w:type="gramEnd"/>
      <w:r w:rsidRPr="00F535A2">
        <w:rPr>
          <w:rFonts w:asciiTheme="minorEastAsia" w:hAnsiTheme="minorEastAsia" w:cs="Arial" w:hint="eastAsia"/>
          <w:kern w:val="0"/>
          <w:sz w:val="24"/>
          <w:szCs w:val="24"/>
        </w:rPr>
        <w:t>（深圳）健康科技有限公司总经理、执行董事；</w:t>
      </w:r>
      <w:proofErr w:type="gramStart"/>
      <w:r w:rsidRPr="00F535A2">
        <w:rPr>
          <w:rFonts w:asciiTheme="minorEastAsia" w:hAnsiTheme="minorEastAsia" w:cs="Arial" w:hint="eastAsia"/>
          <w:kern w:val="0"/>
          <w:sz w:val="24"/>
          <w:szCs w:val="24"/>
        </w:rPr>
        <w:t>深圳市盈投荣达</w:t>
      </w:r>
      <w:proofErr w:type="gramEnd"/>
      <w:r w:rsidRPr="00F535A2">
        <w:rPr>
          <w:rFonts w:asciiTheme="minorEastAsia" w:hAnsiTheme="minorEastAsia" w:cs="Arial" w:hint="eastAsia"/>
          <w:kern w:val="0"/>
          <w:sz w:val="24"/>
          <w:szCs w:val="24"/>
        </w:rPr>
        <w:t>科技有限公司董事长、总经理；深圳市嘉年印</w:t>
      </w:r>
      <w:proofErr w:type="gramStart"/>
      <w:r w:rsidRPr="00F535A2">
        <w:rPr>
          <w:rFonts w:asciiTheme="minorEastAsia" w:hAnsiTheme="minorEastAsia" w:cs="Arial" w:hint="eastAsia"/>
          <w:kern w:val="0"/>
          <w:sz w:val="24"/>
          <w:szCs w:val="24"/>
        </w:rPr>
        <w:t>务</w:t>
      </w:r>
      <w:proofErr w:type="gramEnd"/>
      <w:r w:rsidRPr="00F535A2">
        <w:rPr>
          <w:rFonts w:asciiTheme="minorEastAsia" w:hAnsiTheme="minorEastAsia" w:cs="Arial" w:hint="eastAsia"/>
          <w:kern w:val="0"/>
          <w:sz w:val="24"/>
          <w:szCs w:val="24"/>
        </w:rPr>
        <w:t>有限公司董事长；深圳市盈实发展有限公司董事长；深圳市</w:t>
      </w:r>
      <w:proofErr w:type="gramStart"/>
      <w:r w:rsidRPr="00F535A2">
        <w:rPr>
          <w:rFonts w:asciiTheme="minorEastAsia" w:hAnsiTheme="minorEastAsia" w:cs="Arial" w:hint="eastAsia"/>
          <w:kern w:val="0"/>
          <w:sz w:val="24"/>
          <w:szCs w:val="24"/>
        </w:rPr>
        <w:t>盈致未来文创管理</w:t>
      </w:r>
      <w:proofErr w:type="gramEnd"/>
      <w:r w:rsidRPr="00F535A2">
        <w:rPr>
          <w:rFonts w:asciiTheme="minorEastAsia" w:hAnsiTheme="minorEastAsia" w:cs="Arial" w:hint="eastAsia"/>
          <w:kern w:val="0"/>
          <w:sz w:val="24"/>
          <w:szCs w:val="24"/>
        </w:rPr>
        <w:t>有限公司董事长；深圳市益德置业有限公司总经理、董事；</w:t>
      </w:r>
      <w:proofErr w:type="gramStart"/>
      <w:r w:rsidRPr="00F535A2">
        <w:rPr>
          <w:rFonts w:asciiTheme="minorEastAsia" w:hAnsiTheme="minorEastAsia" w:cs="Arial" w:hint="eastAsia"/>
          <w:kern w:val="0"/>
          <w:sz w:val="24"/>
          <w:szCs w:val="24"/>
        </w:rPr>
        <w:t>盈投控股</w:t>
      </w:r>
      <w:proofErr w:type="gramEnd"/>
      <w:r w:rsidRPr="00F535A2">
        <w:rPr>
          <w:rFonts w:asciiTheme="minorEastAsia" w:hAnsiTheme="minorEastAsia" w:cs="Arial" w:hint="eastAsia"/>
          <w:kern w:val="0"/>
          <w:sz w:val="24"/>
          <w:szCs w:val="24"/>
        </w:rPr>
        <w:t>有限公司总经理、董事；深圳市铭嘉达信息咨询有限公司董事；深圳市理得文化发展有限公司董事；乐百氏（广东）饮用水有限公司董事；深圳安吉尔饮水产业集团有限公司董事；</w:t>
      </w:r>
      <w:proofErr w:type="gramStart"/>
      <w:r w:rsidRPr="00F535A2">
        <w:rPr>
          <w:rFonts w:asciiTheme="minorEastAsia" w:hAnsiTheme="minorEastAsia" w:cs="Arial" w:hint="eastAsia"/>
          <w:kern w:val="0"/>
          <w:sz w:val="24"/>
          <w:szCs w:val="24"/>
        </w:rPr>
        <w:t>昊</w:t>
      </w:r>
      <w:proofErr w:type="gramEnd"/>
      <w:r w:rsidRPr="00F535A2">
        <w:rPr>
          <w:rFonts w:asciiTheme="minorEastAsia" w:hAnsiTheme="minorEastAsia" w:cs="Arial" w:hint="eastAsia"/>
          <w:kern w:val="0"/>
          <w:sz w:val="24"/>
          <w:szCs w:val="24"/>
        </w:rPr>
        <w:t>华化工科技集团股份有限公司董事；深圳嘉年实业股份有限公司董事；深圳市</w:t>
      </w:r>
      <w:proofErr w:type="gramStart"/>
      <w:r w:rsidRPr="00F535A2">
        <w:rPr>
          <w:rFonts w:asciiTheme="minorEastAsia" w:hAnsiTheme="minorEastAsia" w:cs="Arial" w:hint="eastAsia"/>
          <w:kern w:val="0"/>
          <w:sz w:val="24"/>
          <w:szCs w:val="24"/>
        </w:rPr>
        <w:t>盈投发展</w:t>
      </w:r>
      <w:proofErr w:type="gramEnd"/>
      <w:r w:rsidRPr="00F535A2">
        <w:rPr>
          <w:rFonts w:asciiTheme="minorEastAsia" w:hAnsiTheme="minorEastAsia" w:cs="Arial" w:hint="eastAsia"/>
          <w:kern w:val="0"/>
          <w:sz w:val="24"/>
          <w:szCs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健康科技有限公司董事；深圳上合高金投资管理有限公司监事；富荣基金管理有限公司董事。</w:t>
      </w:r>
    </w:p>
    <w:p w14:paraId="5D422A2D" w14:textId="77777777" w:rsidR="00F535A2" w:rsidRPr="00F535A2" w:rsidRDefault="00F535A2" w:rsidP="00F535A2">
      <w:pPr>
        <w:adjustRightInd w:val="0"/>
        <w:snapToGrid w:val="0"/>
        <w:spacing w:line="360" w:lineRule="auto"/>
        <w:ind w:firstLineChars="200" w:firstLine="480"/>
        <w:rPr>
          <w:rFonts w:asciiTheme="minorEastAsia" w:hAnsiTheme="minorEastAsia" w:cs="Arial" w:hint="eastAsia"/>
          <w:kern w:val="0"/>
          <w:sz w:val="24"/>
          <w:szCs w:val="24"/>
        </w:rPr>
      </w:pPr>
      <w:r w:rsidRPr="00F535A2">
        <w:rPr>
          <w:rFonts w:asciiTheme="minorEastAsia" w:hAnsiTheme="minorEastAsia" w:cs="Arial" w:hint="eastAsia"/>
          <w:kern w:val="0"/>
          <w:sz w:val="24"/>
          <w:szCs w:val="24"/>
        </w:rPr>
        <w:t>余</w:t>
      </w:r>
      <w:proofErr w:type="gramStart"/>
      <w:r w:rsidRPr="00F535A2">
        <w:rPr>
          <w:rFonts w:asciiTheme="minorEastAsia" w:hAnsiTheme="minorEastAsia" w:cs="Arial" w:hint="eastAsia"/>
          <w:kern w:val="0"/>
          <w:sz w:val="24"/>
          <w:szCs w:val="24"/>
        </w:rPr>
        <w:t>关健</w:t>
      </w:r>
      <w:proofErr w:type="gramEnd"/>
      <w:r w:rsidRPr="00F535A2">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F535A2">
        <w:rPr>
          <w:rFonts w:asciiTheme="minorEastAsia" w:hAnsiTheme="minorEastAsia" w:cs="Arial" w:hint="eastAsia"/>
          <w:kern w:val="0"/>
          <w:sz w:val="24"/>
          <w:szCs w:val="24"/>
        </w:rPr>
        <w:t>邦</w:t>
      </w:r>
      <w:proofErr w:type="gramEnd"/>
      <w:r w:rsidRPr="00F535A2">
        <w:rPr>
          <w:rFonts w:asciiTheme="minorEastAsia" w:hAnsiTheme="minorEastAsia" w:cs="Arial" w:hint="eastAsia"/>
          <w:kern w:val="0"/>
          <w:sz w:val="24"/>
          <w:szCs w:val="24"/>
        </w:rPr>
        <w:t>信资产管理公司董事总经理、对外贸易集团股份有限公司董事长、东方资产管理公司办事处总经理、东银实业（深圳）有限公司董事、深圳金田股份有限公司独立董事、申科滑动轴承股份有限公司独立董事。现任富荣基金管理</w:t>
      </w:r>
      <w:r w:rsidRPr="00F535A2">
        <w:rPr>
          <w:rFonts w:asciiTheme="minorEastAsia" w:hAnsiTheme="minorEastAsia" w:cs="Arial" w:hint="eastAsia"/>
          <w:kern w:val="0"/>
          <w:sz w:val="24"/>
          <w:szCs w:val="24"/>
        </w:rPr>
        <w:lastRenderedPageBreak/>
        <w:t>有限公司独立董事。</w:t>
      </w:r>
    </w:p>
    <w:p w14:paraId="4998EB29" w14:textId="40D5D1FA" w:rsidR="009214AE" w:rsidRDefault="00F535A2">
      <w:pPr>
        <w:adjustRightInd w:val="0"/>
        <w:snapToGrid w:val="0"/>
        <w:spacing w:line="360" w:lineRule="auto"/>
        <w:ind w:firstLineChars="200" w:firstLine="480"/>
        <w:rPr>
          <w:rFonts w:asciiTheme="minorEastAsia" w:hAnsiTheme="minorEastAsia" w:cs="Arial" w:hint="eastAsia"/>
          <w:kern w:val="0"/>
          <w:sz w:val="24"/>
          <w:szCs w:val="24"/>
        </w:rPr>
      </w:pPr>
      <w:r w:rsidRPr="00F535A2">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湖南银行独立董事、天津银行监事、深圳和</w:t>
      </w:r>
      <w:proofErr w:type="gramStart"/>
      <w:r w:rsidRPr="00F535A2">
        <w:rPr>
          <w:rFonts w:asciiTheme="minorEastAsia" w:hAnsiTheme="minorEastAsia" w:cs="Arial" w:hint="eastAsia"/>
          <w:kern w:val="0"/>
          <w:sz w:val="24"/>
          <w:szCs w:val="24"/>
        </w:rPr>
        <w:t>石资本</w:t>
      </w:r>
      <w:proofErr w:type="gramEnd"/>
      <w:r w:rsidRPr="00F535A2">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sidRPr="00F535A2">
        <w:rPr>
          <w:rFonts w:asciiTheme="minorEastAsia" w:hAnsiTheme="minorEastAsia" w:cs="Arial" w:hint="eastAsia"/>
          <w:kern w:val="0"/>
          <w:sz w:val="24"/>
          <w:szCs w:val="24"/>
        </w:rPr>
        <w:t>银金融</w:t>
      </w:r>
      <w:proofErr w:type="gramEnd"/>
      <w:r w:rsidRPr="00F535A2">
        <w:rPr>
          <w:rFonts w:asciiTheme="minorEastAsia" w:hAnsiTheme="minorEastAsia" w:cs="Arial" w:hint="eastAsia"/>
          <w:kern w:val="0"/>
          <w:sz w:val="24"/>
          <w:szCs w:val="24"/>
        </w:rPr>
        <w:t>配套服务合伙企业（有限合伙）执行事务合伙人、北京</w:t>
      </w:r>
      <w:proofErr w:type="gramStart"/>
      <w:r w:rsidRPr="00F535A2">
        <w:rPr>
          <w:rFonts w:asciiTheme="minorEastAsia" w:hAnsiTheme="minorEastAsia" w:cs="Arial" w:hint="eastAsia"/>
          <w:kern w:val="0"/>
          <w:sz w:val="24"/>
          <w:szCs w:val="24"/>
        </w:rPr>
        <w:t>雍</w:t>
      </w:r>
      <w:proofErr w:type="gramEnd"/>
      <w:r w:rsidRPr="00F535A2">
        <w:rPr>
          <w:rFonts w:asciiTheme="minorEastAsia" w:hAnsiTheme="minorEastAsia" w:cs="Arial" w:hint="eastAsia"/>
          <w:kern w:val="0"/>
          <w:sz w:val="24"/>
          <w:szCs w:val="24"/>
        </w:rPr>
        <w:t>和瑞泰管理顾问有限公司法定代表人、执行董事、总经理、财务负责人，深圳</w:t>
      </w:r>
      <w:proofErr w:type="gramStart"/>
      <w:r w:rsidRPr="00F535A2">
        <w:rPr>
          <w:rFonts w:asciiTheme="minorEastAsia" w:hAnsiTheme="minorEastAsia" w:cs="Arial" w:hint="eastAsia"/>
          <w:kern w:val="0"/>
          <w:sz w:val="24"/>
          <w:szCs w:val="24"/>
        </w:rPr>
        <w:t>雍</w:t>
      </w:r>
      <w:proofErr w:type="gramEnd"/>
      <w:r w:rsidRPr="00F535A2">
        <w:rPr>
          <w:rFonts w:asciiTheme="minorEastAsia" w:hAnsiTheme="minorEastAsia" w:cs="Arial" w:hint="eastAsia"/>
          <w:kern w:val="0"/>
          <w:sz w:val="24"/>
          <w:szCs w:val="24"/>
        </w:rPr>
        <w:t>和</w:t>
      </w:r>
      <w:proofErr w:type="gramStart"/>
      <w:r w:rsidRPr="00F535A2">
        <w:rPr>
          <w:rFonts w:asciiTheme="minorEastAsia" w:hAnsiTheme="minorEastAsia" w:cs="Arial" w:hint="eastAsia"/>
          <w:kern w:val="0"/>
          <w:sz w:val="24"/>
          <w:szCs w:val="24"/>
        </w:rPr>
        <w:t>瑞银</w:t>
      </w:r>
      <w:proofErr w:type="gramEnd"/>
      <w:r w:rsidRPr="00F535A2">
        <w:rPr>
          <w:rFonts w:asciiTheme="minorEastAsia" w:hAnsiTheme="minorEastAsia" w:cs="Arial" w:hint="eastAsia"/>
          <w:kern w:val="0"/>
          <w:sz w:val="24"/>
          <w:szCs w:val="24"/>
        </w:rPr>
        <w:t>投资管理有限公司法定代表人、执行董事、总经理，富荣基金管理有限公司独立董事。</w:t>
      </w:r>
    </w:p>
    <w:p w14:paraId="0A825F9C"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469AA3BC"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358848C0"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485BC557"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03AE8169"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58A754B6"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2669B378" w14:textId="275E63DA"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sidR="00F535A2">
        <w:rPr>
          <w:rFonts w:asciiTheme="minorEastAsia" w:hAnsiTheme="minorEastAsia" w:cs="Arial" w:hint="eastAsia"/>
          <w:kern w:val="0"/>
          <w:sz w:val="24"/>
          <w:szCs w:val="24"/>
        </w:rPr>
        <w:t>现任富荣基金管理有限公司总经理、首席信息官、代行督察长</w:t>
      </w:r>
      <w:r>
        <w:rPr>
          <w:rFonts w:asciiTheme="minorEastAsia" w:hAnsiTheme="minorEastAsia" w:cs="Arial" w:hint="eastAsia"/>
          <w:kern w:val="0"/>
          <w:sz w:val="24"/>
          <w:szCs w:val="24"/>
        </w:rPr>
        <w:t>。</w:t>
      </w:r>
    </w:p>
    <w:p w14:paraId="4016C4E8"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管理有限公司董事，金元证券股份有限公司经纪管</w:t>
      </w:r>
      <w:r>
        <w:rPr>
          <w:rFonts w:asciiTheme="minorEastAsia" w:hAnsiTheme="minorEastAsia" w:cs="Arial" w:hint="eastAsia"/>
          <w:kern w:val="0"/>
          <w:sz w:val="24"/>
          <w:szCs w:val="24"/>
        </w:rPr>
        <w:lastRenderedPageBreak/>
        <w:t>理总部总经理，金元证券股份有限公司深圳分公司总经理，金元证券股份有限公司互联网创新专项办公室总经理等。现任富荣基金管理有限公司副总经理。</w:t>
      </w:r>
    </w:p>
    <w:p w14:paraId="340345CE" w14:textId="77777777" w:rsidR="00F535A2" w:rsidRDefault="00F535A2" w:rsidP="00F535A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郑宇光先生，总经理助理，上海交通大学工商管理硕士。历任平安资产管理有限责任公司交易部</w:t>
      </w:r>
      <w:r>
        <w:rPr>
          <w:rFonts w:asciiTheme="minorEastAsia" w:hAnsiTheme="minorEastAsia" w:cs="Arial"/>
          <w:kern w:val="0"/>
          <w:sz w:val="24"/>
          <w:szCs w:val="24"/>
        </w:rPr>
        <w:t>/</w:t>
      </w:r>
      <w:r>
        <w:rPr>
          <w:rFonts w:asciiTheme="minorEastAsia" w:hAnsiTheme="minorEastAsia" w:cs="Arial" w:hint="eastAsia"/>
          <w:kern w:val="0"/>
          <w:sz w:val="24"/>
          <w:szCs w:val="24"/>
        </w:rPr>
        <w:t>投资管理部经理，太平资产管理有限责任公司固定收益部投资经理，上投摩根基金管理有限公司专户管理部投资经理，中</w:t>
      </w:r>
      <w:proofErr w:type="gramStart"/>
      <w:r>
        <w:rPr>
          <w:rFonts w:asciiTheme="minorEastAsia" w:hAnsiTheme="minorEastAsia" w:cs="Arial" w:hint="eastAsia"/>
          <w:kern w:val="0"/>
          <w:sz w:val="24"/>
          <w:szCs w:val="24"/>
        </w:rPr>
        <w:t>信保诚基金</w:t>
      </w:r>
      <w:proofErr w:type="gramEnd"/>
      <w:r>
        <w:rPr>
          <w:rFonts w:asciiTheme="minorEastAsia" w:hAnsiTheme="minorEastAsia" w:cs="Arial" w:hint="eastAsia"/>
          <w:kern w:val="0"/>
          <w:sz w:val="24"/>
          <w:szCs w:val="24"/>
        </w:rPr>
        <w:t>管理有限公司固定收益部投资经理、总监助理，长江证券资产管理有限责任公司投资经理，上海勤远投资管理中心（有限合伙）量化研究总监基金经理，</w:t>
      </w:r>
      <w:proofErr w:type="gramStart"/>
      <w:r>
        <w:rPr>
          <w:rFonts w:asciiTheme="minorEastAsia" w:hAnsiTheme="minorEastAsia" w:cs="Arial" w:hint="eastAsia"/>
          <w:kern w:val="0"/>
          <w:sz w:val="24"/>
          <w:szCs w:val="24"/>
        </w:rPr>
        <w:t>泰信基金</w:t>
      </w:r>
      <w:proofErr w:type="gramEnd"/>
      <w:r>
        <w:rPr>
          <w:rFonts w:asciiTheme="minorEastAsia" w:hAnsiTheme="minorEastAsia" w:cs="Arial" w:hint="eastAsia"/>
          <w:kern w:val="0"/>
          <w:sz w:val="24"/>
          <w:szCs w:val="24"/>
        </w:rPr>
        <w:t>管理有限公司专户投资部副总监，</w:t>
      </w:r>
      <w:proofErr w:type="gramStart"/>
      <w:r>
        <w:rPr>
          <w:rFonts w:asciiTheme="minorEastAsia" w:hAnsiTheme="minorEastAsia" w:cs="Arial" w:hint="eastAsia"/>
          <w:kern w:val="0"/>
          <w:sz w:val="24"/>
          <w:szCs w:val="24"/>
        </w:rPr>
        <w:t>固收投资部基金</w:t>
      </w:r>
      <w:proofErr w:type="gramEnd"/>
      <w:r>
        <w:rPr>
          <w:rFonts w:asciiTheme="minorEastAsia" w:hAnsiTheme="minorEastAsia" w:cs="Arial" w:hint="eastAsia"/>
          <w:kern w:val="0"/>
          <w:sz w:val="24"/>
          <w:szCs w:val="24"/>
        </w:rPr>
        <w:t>经理、总监。现任富荣基金管理有限公司总经理助理。</w:t>
      </w:r>
    </w:p>
    <w:p w14:paraId="448CC89B" w14:textId="6B2968ED" w:rsidR="009214AE" w:rsidRDefault="00F535A2" w:rsidP="00F535A2">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赵睿杨女士，总经理助理，对外经济贸易大学会计学硕士研究生。历任合生创展集团有限公司集团财务与投资中心上市核算管理师、投资分析副经理，</w:t>
      </w:r>
      <w:proofErr w:type="gramStart"/>
      <w:r>
        <w:rPr>
          <w:rFonts w:asciiTheme="minorEastAsia" w:hAnsiTheme="minorEastAsia" w:cs="Arial" w:hint="eastAsia"/>
          <w:kern w:val="0"/>
          <w:sz w:val="24"/>
          <w:szCs w:val="24"/>
        </w:rPr>
        <w:t>慧富恒</w:t>
      </w:r>
      <w:proofErr w:type="gramEnd"/>
      <w:r>
        <w:rPr>
          <w:rFonts w:asciiTheme="minorEastAsia" w:hAnsiTheme="minorEastAsia" w:cs="Arial" w:hint="eastAsia"/>
          <w:kern w:val="0"/>
          <w:sz w:val="24"/>
          <w:szCs w:val="24"/>
        </w:rPr>
        <w:t>泰（北京）基金管理有限公司投融资一部总经理，北信瑞丰基金管理有限公司市场部高级经理、市场部总监助理、渠道部副总监、渠道部总监、专</w:t>
      </w:r>
      <w:proofErr w:type="gramStart"/>
      <w:r>
        <w:rPr>
          <w:rFonts w:asciiTheme="minorEastAsia" w:hAnsiTheme="minorEastAsia" w:cs="Arial" w:hint="eastAsia"/>
          <w:kern w:val="0"/>
          <w:sz w:val="24"/>
          <w:szCs w:val="24"/>
        </w:rPr>
        <w:t>户机构</w:t>
      </w:r>
      <w:proofErr w:type="gramEnd"/>
      <w:r>
        <w:rPr>
          <w:rFonts w:asciiTheme="minorEastAsia" w:hAnsiTheme="minorEastAsia" w:cs="Arial" w:hint="eastAsia"/>
          <w:kern w:val="0"/>
          <w:sz w:val="24"/>
          <w:szCs w:val="24"/>
        </w:rPr>
        <w:t>部总监、市场总监、公司总经理助理。现任富荣基金管理有限公司总经理助理，渠道业务总部总经理，兼任北京分公司、机构业务总部总经理。</w:t>
      </w:r>
    </w:p>
    <w:p w14:paraId="67F8B15B"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31C6C475"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李黄海先生，美国南加州大学博士，CFA（特许金融分析师），深圳市地方级领军人才。曾任摩根士丹利华</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基金数量化投资部投资经理、平安基金量化投资部总监、富荣基金管理有限公司专户部投资经理等职。现任富荣基金管理有限公司投资决策委员会委员、富荣医药健康混合型发起式证券投资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经理（自2022年06月28日起任职）、富荣价值精选灵活配置混合型发起式证券投资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经理（自2023年7月31日起任职）、</w:t>
      </w:r>
      <w:proofErr w:type="gramStart"/>
      <w:r>
        <w:rPr>
          <w:rFonts w:asciiTheme="minorEastAsia" w:hAnsiTheme="minorEastAsia" w:cs="Arial" w:hint="eastAsia"/>
          <w:kern w:val="0"/>
          <w:sz w:val="24"/>
          <w:szCs w:val="24"/>
        </w:rPr>
        <w:t>富荣富乾债券</w:t>
      </w:r>
      <w:proofErr w:type="gramEnd"/>
      <w:r>
        <w:rPr>
          <w:rFonts w:asciiTheme="minorEastAsia" w:hAnsiTheme="minorEastAsia" w:cs="Arial" w:hint="eastAsia"/>
          <w:kern w:val="0"/>
          <w:sz w:val="24"/>
          <w:szCs w:val="24"/>
        </w:rPr>
        <w:t>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经理（自2023年12月12日起任职）、富荣福耀混合型证券投资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经理（自2023年12月12日起任职）、富荣量化精选混合型发起式证券投资基金（自2024年1月8日起任职）。</w:t>
      </w:r>
    </w:p>
    <w:p w14:paraId="316B7B25"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历任基金经理：邱紫华（自</w:t>
      </w:r>
      <w:r>
        <w:rPr>
          <w:rFonts w:asciiTheme="minorEastAsia" w:hAnsiTheme="minorEastAsia" w:cs="Arial" w:hint="eastAsia"/>
          <w:kern w:val="0"/>
          <w:sz w:val="24"/>
          <w:szCs w:val="24"/>
        </w:rPr>
        <w:t>2022年5月6日至2022年8月15日）、邓宇翔（自2022年8月5日至2024年4月18日）</w:t>
      </w:r>
    </w:p>
    <w:p w14:paraId="171C69A9"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536B0290" w14:textId="77777777" w:rsidR="00F535A2" w:rsidRPr="00F535A2" w:rsidRDefault="00F535A2" w:rsidP="00F535A2">
      <w:pPr>
        <w:adjustRightInd w:val="0"/>
        <w:snapToGrid w:val="0"/>
        <w:spacing w:line="360" w:lineRule="auto"/>
        <w:ind w:firstLineChars="200" w:firstLine="480"/>
        <w:rPr>
          <w:rFonts w:asciiTheme="minorEastAsia" w:hAnsiTheme="minorEastAsia" w:cs="Arial" w:hint="eastAsia"/>
          <w:kern w:val="0"/>
          <w:sz w:val="24"/>
          <w:szCs w:val="24"/>
        </w:rPr>
      </w:pPr>
      <w:r w:rsidRPr="00F535A2">
        <w:rPr>
          <w:rFonts w:asciiTheme="minorEastAsia" w:hAnsiTheme="minorEastAsia" w:cs="Arial" w:hint="eastAsia"/>
          <w:kern w:val="0"/>
          <w:sz w:val="24"/>
          <w:szCs w:val="24"/>
        </w:rPr>
        <w:t>杨小舟先生，投资决策委员会主任委员、公司总经理、兼任首席信息官、代行督察长。</w:t>
      </w:r>
    </w:p>
    <w:p w14:paraId="4B4E3C75" w14:textId="77777777" w:rsidR="00F535A2" w:rsidRPr="00F535A2" w:rsidRDefault="00F535A2" w:rsidP="00F535A2">
      <w:pPr>
        <w:adjustRightInd w:val="0"/>
        <w:snapToGrid w:val="0"/>
        <w:spacing w:line="360" w:lineRule="auto"/>
        <w:ind w:firstLineChars="200" w:firstLine="480"/>
        <w:rPr>
          <w:rFonts w:asciiTheme="minorEastAsia" w:hAnsiTheme="minorEastAsia" w:cs="Arial" w:hint="eastAsia"/>
          <w:kern w:val="0"/>
          <w:sz w:val="24"/>
          <w:szCs w:val="24"/>
        </w:rPr>
      </w:pPr>
      <w:r w:rsidRPr="00F535A2">
        <w:rPr>
          <w:rFonts w:asciiTheme="minorEastAsia" w:hAnsiTheme="minorEastAsia" w:cs="Arial" w:hint="eastAsia"/>
          <w:kern w:val="0"/>
          <w:sz w:val="24"/>
          <w:szCs w:val="24"/>
        </w:rPr>
        <w:lastRenderedPageBreak/>
        <w:t>史克新先生，投资决策委员会委员、公司副总经理。</w:t>
      </w:r>
    </w:p>
    <w:p w14:paraId="13722ECC" w14:textId="77777777" w:rsidR="00F535A2" w:rsidRPr="00F535A2" w:rsidRDefault="00F535A2" w:rsidP="00F535A2">
      <w:pPr>
        <w:adjustRightInd w:val="0"/>
        <w:snapToGrid w:val="0"/>
        <w:spacing w:line="360" w:lineRule="auto"/>
        <w:ind w:firstLineChars="200" w:firstLine="480"/>
        <w:rPr>
          <w:rFonts w:asciiTheme="minorEastAsia" w:hAnsiTheme="minorEastAsia" w:cs="Arial" w:hint="eastAsia"/>
          <w:kern w:val="0"/>
          <w:sz w:val="24"/>
          <w:szCs w:val="24"/>
        </w:rPr>
      </w:pPr>
      <w:r w:rsidRPr="00F535A2">
        <w:rPr>
          <w:rFonts w:asciiTheme="minorEastAsia" w:hAnsiTheme="minorEastAsia" w:cs="Arial" w:hint="eastAsia"/>
          <w:kern w:val="0"/>
          <w:sz w:val="24"/>
          <w:szCs w:val="24"/>
        </w:rPr>
        <w:t>郎骋成先生，投资决策委员会委员、研究部总经理、权益投资部总经理、专户投资经理、基金经理。</w:t>
      </w:r>
    </w:p>
    <w:p w14:paraId="1E79F6DE" w14:textId="77777777" w:rsidR="00F535A2" w:rsidRPr="00F535A2" w:rsidRDefault="00F535A2" w:rsidP="00F535A2">
      <w:pPr>
        <w:adjustRightInd w:val="0"/>
        <w:snapToGrid w:val="0"/>
        <w:spacing w:line="360" w:lineRule="auto"/>
        <w:ind w:firstLineChars="200" w:firstLine="480"/>
        <w:rPr>
          <w:rFonts w:asciiTheme="minorEastAsia" w:hAnsiTheme="minorEastAsia" w:cs="Arial" w:hint="eastAsia"/>
          <w:kern w:val="0"/>
          <w:sz w:val="24"/>
          <w:szCs w:val="24"/>
        </w:rPr>
      </w:pPr>
      <w:r w:rsidRPr="00F535A2">
        <w:rPr>
          <w:rFonts w:asciiTheme="minorEastAsia" w:hAnsiTheme="minorEastAsia" w:cs="Arial" w:hint="eastAsia"/>
          <w:kern w:val="0"/>
          <w:sz w:val="24"/>
          <w:szCs w:val="24"/>
        </w:rPr>
        <w:t>宋芳女士，投资决策委员会委员、固定收益部总经理、基金经理。</w:t>
      </w:r>
    </w:p>
    <w:p w14:paraId="2A7278E6" w14:textId="058A31C7" w:rsidR="009214AE" w:rsidRDefault="00F535A2">
      <w:pPr>
        <w:adjustRightInd w:val="0"/>
        <w:snapToGrid w:val="0"/>
        <w:spacing w:line="360" w:lineRule="auto"/>
        <w:ind w:firstLineChars="200" w:firstLine="480"/>
        <w:rPr>
          <w:rFonts w:asciiTheme="minorEastAsia" w:hAnsiTheme="minorEastAsia" w:cs="Arial" w:hint="eastAsia"/>
          <w:kern w:val="0"/>
          <w:sz w:val="24"/>
          <w:szCs w:val="24"/>
        </w:rPr>
      </w:pPr>
      <w:r w:rsidRPr="00F535A2">
        <w:rPr>
          <w:rFonts w:asciiTheme="minorEastAsia" w:hAnsiTheme="minorEastAsia" w:cs="Arial" w:hint="eastAsia"/>
          <w:kern w:val="0"/>
          <w:sz w:val="24"/>
          <w:szCs w:val="24"/>
        </w:rPr>
        <w:t>孟飞先生，投资决策委员会委员、固定收益部副总经理、基金经理。</w:t>
      </w:r>
    </w:p>
    <w:p w14:paraId="5E88A7D9"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李黄海先生，投资决策委员会委员、基金经理。</w:t>
      </w:r>
    </w:p>
    <w:p w14:paraId="3B9C0A6C"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6C489BDC" w14:textId="77777777" w:rsidR="009214AE" w:rsidRDefault="00C66335">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389043D4" w14:textId="77777777" w:rsidR="009214AE" w:rsidRDefault="00C6633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1186EE11"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0067B1AF"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25184032"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2E638BCB"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3BF6B381"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02511DA8"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7CEB5593"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6B3ED44D"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64636E1B"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5583DD72"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10、编制季度报告、中期报告和年度报告；</w:t>
      </w:r>
    </w:p>
    <w:p w14:paraId="3ED33DE0"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11、严格按照《基金法》、《基金合同》及其他有关规定，履行信息披露及报告义务；</w:t>
      </w:r>
    </w:p>
    <w:p w14:paraId="48F97D96"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lastRenderedPageBreak/>
        <w:t>12、保守基金商业秘密，不泄露基金投资计划、投资意向等。除《基金法》、《基金合同》及其他有关规定另有规定外，在基金信息公开披露前应予保密，不向他人泄露，但因向审计、法律等外部专业顾问提供，以及依法律法规、监管要求向有权机关提供的情况除外；</w:t>
      </w:r>
    </w:p>
    <w:p w14:paraId="2653BAB6"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752E9C13"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18267B71"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175A5F51"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w:t>
      </w:r>
      <w:r>
        <w:rPr>
          <w:rFonts w:ascii="Arial" w:hAnsi="Arial" w:cs="Arial" w:hint="eastAsia"/>
          <w:bCs/>
          <w:sz w:val="24"/>
        </w:rPr>
        <w:t>，保存期限不低于法律法规规定的最低期限</w:t>
      </w:r>
      <w:r>
        <w:rPr>
          <w:rFonts w:asciiTheme="minorEastAsia" w:hAnsiTheme="minorEastAsia" w:cs="Times New Roman" w:hint="eastAsia"/>
          <w:sz w:val="24"/>
          <w:szCs w:val="24"/>
        </w:rPr>
        <w:t>；</w:t>
      </w:r>
    </w:p>
    <w:p w14:paraId="010761EC"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134456C1"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3FC0F08C"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67D9064F"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0BD3E5F6"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5B29B900"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6AAB1C66"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416D685F"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24、基金管理人在募集期间未能达到基金的备案条件，《基金合同》不能生效，基金管理人承担全部募集费用，将已募集资金并加计银行同期活期存款利息</w:t>
      </w:r>
      <w:r>
        <w:rPr>
          <w:rFonts w:asciiTheme="minorEastAsia" w:hAnsiTheme="minorEastAsia" w:cs="Times New Roman" w:hint="eastAsia"/>
          <w:sz w:val="24"/>
          <w:szCs w:val="24"/>
        </w:rPr>
        <w:lastRenderedPageBreak/>
        <w:t>在基金募集期结束后30日内退还基金认购人；</w:t>
      </w:r>
    </w:p>
    <w:p w14:paraId="1D49CCE5"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33463280"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270C3304"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1A0DE41E" w14:textId="77777777" w:rsidR="009214AE" w:rsidRDefault="00C6633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21F50733"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50220120"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4391FB0C"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5258CDB4"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33D86422"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0F863BDB"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2BB2E952"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09ADC170"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69E2A693"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371D3AC8"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7764DB47"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733D1DB6"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0AA9D71E"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30AE4116" w14:textId="77777777" w:rsidR="009214AE" w:rsidRDefault="00C6633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2803C2C2"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3353572E"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1F445D39"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w:t>
      </w:r>
      <w:r>
        <w:rPr>
          <w:rFonts w:asciiTheme="minorEastAsia" w:hAnsiTheme="minorEastAsia" w:cs="Times New Roman" w:hint="eastAsia"/>
          <w:sz w:val="24"/>
          <w:szCs w:val="24"/>
        </w:rPr>
        <w:lastRenderedPageBreak/>
        <w:t>基金投资内容、基金投资计划等信息，或利用该信息从事或者明示、暗示他人从事相关的交易活动；</w:t>
      </w:r>
    </w:p>
    <w:p w14:paraId="1CB9218F" w14:textId="77777777" w:rsidR="009214AE" w:rsidRDefault="00C66335">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05493A3A" w14:textId="77777777" w:rsidR="009214AE" w:rsidRDefault="00C66335">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654B7D4A"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3" w:name="_Toc263092312"/>
      <w:bookmarkStart w:id="84" w:name="_Toc410197818"/>
      <w:bookmarkStart w:id="85" w:name="_Toc352229750"/>
      <w:bookmarkStart w:id="86" w:name="_Toc416264540"/>
      <w:bookmarkEnd w:id="66"/>
      <w:bookmarkEnd w:id="67"/>
      <w:bookmarkEnd w:id="68"/>
      <w:r>
        <w:rPr>
          <w:rFonts w:asciiTheme="minorEastAsia" w:hAnsiTheme="minorEastAsia" w:cs="Arial" w:hint="eastAsia"/>
          <w:sz w:val="24"/>
          <w:szCs w:val="24"/>
        </w:rPr>
        <w:t>1、风险控制目标</w:t>
      </w:r>
    </w:p>
    <w:p w14:paraId="1C125EE5"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07CF36F6"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337C1E96"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BAE2234"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22630A32"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4C8AE9D1"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0838E5F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09DB3C48"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（2）审慎性原则：内部风险控制的核心是有效防范各种风险，公司组织体系的构成、内部管理制度的建立都要以防范风险、审慎经营为出发点；</w:t>
      </w:r>
    </w:p>
    <w:p w14:paraId="3AA439D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494B18D0"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6103B02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（5）适时性原则：内部风险控制应随着公司经营战略、经营方针、经营理念等内部环境的变化和国家法律、法规、政策制度等外部环境的改变及时进行相应的修改和完善</w:t>
      </w:r>
      <w:r>
        <w:rPr>
          <w:rFonts w:asciiTheme="minorEastAsia" w:hAnsiTheme="minorEastAsia" w:cs="Arial"/>
          <w:sz w:val="24"/>
          <w:szCs w:val="24"/>
        </w:rPr>
        <w:t>。</w:t>
      </w:r>
    </w:p>
    <w:p w14:paraId="658920FB"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58C3171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4F59F2B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w:t>
      </w:r>
      <w:r>
        <w:rPr>
          <w:rFonts w:asciiTheme="minorEastAsia" w:hAnsiTheme="minorEastAsia" w:cs="Arial" w:hint="eastAsia"/>
          <w:sz w:val="24"/>
          <w:szCs w:val="24"/>
        </w:rPr>
        <w:lastRenderedPageBreak/>
        <w:t>内部控制大纲；第二个层次是基本管理制度；第三个层次是部门管理制度及各项业务规则。</w:t>
      </w:r>
    </w:p>
    <w:p w14:paraId="48C1787A"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4137AEEC"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103E5BF8"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435AF077"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2C7E7FD"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A1B97D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F9C34FF" w14:textId="77777777" w:rsidR="009214AE" w:rsidRDefault="00C66335">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16A9EF15"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1045C74F"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w:t>
      </w:r>
      <w:r>
        <w:rPr>
          <w:rFonts w:asciiTheme="minorEastAsia" w:hAnsiTheme="minorEastAsia" w:cs="Arial" w:hint="eastAsia"/>
          <w:sz w:val="24"/>
          <w:szCs w:val="24"/>
        </w:rPr>
        <w:lastRenderedPageBreak/>
        <w:t>础上，根据具体情况制订本部门的业务管理规定、操作流程及内部控制规定并严格执行。</w:t>
      </w:r>
    </w:p>
    <w:p w14:paraId="5FFBCA8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5995C362"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617569BB"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06610AF"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169AFD0B"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2EA3F06"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7F80B39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07760BE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56B3A6B6"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50F6F61"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7C30BF37"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w:t>
      </w:r>
      <w:r>
        <w:rPr>
          <w:rFonts w:asciiTheme="minorEastAsia" w:hAnsiTheme="minorEastAsia" w:cs="Arial" w:hint="eastAsia"/>
          <w:sz w:val="24"/>
          <w:szCs w:val="24"/>
        </w:rPr>
        <w:lastRenderedPageBreak/>
        <w:t>度、合理的估值方法和估值程序等会计措施真实、完整、及时地记载每一笔业务并正确进行会计核算和业务核算；建立会计档案保管制度，确保档案真实完整。</w:t>
      </w:r>
    </w:p>
    <w:p w14:paraId="75249F28"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18FABD3E"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663AA2CD"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728483E9"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0C581FF"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418F35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1C3B68E8"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2E345723"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28FF9ECD"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717BE414"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w:t>
      </w:r>
      <w:r>
        <w:rPr>
          <w:rFonts w:asciiTheme="minorEastAsia" w:hAnsiTheme="minorEastAsia" w:cs="Arial" w:hint="eastAsia"/>
          <w:sz w:val="24"/>
          <w:szCs w:val="24"/>
        </w:rPr>
        <w:lastRenderedPageBreak/>
        <w:t>会，使用适合的程序，确认和评估与公司运作有关的风险；建立了自下而上的风险报告程序，对风险隐患进行层层汇报，使各个层次的人员及时掌握风险状况，从而以最快速度做出决策。</w:t>
      </w:r>
    </w:p>
    <w:p w14:paraId="38E9C9A7"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7BE9E534"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570AFE6A" w14:textId="77777777" w:rsidR="009214AE" w:rsidRDefault="00C66335">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5BCF1288" w14:textId="77777777" w:rsidR="009214AE" w:rsidRDefault="00C66335">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13745"/>
      <w:bookmarkStart w:id="88" w:name="_Toc238027832"/>
      <w:bookmarkEnd w:id="87"/>
      <w:bookmarkEnd w:id="88"/>
    </w:p>
    <w:p w14:paraId="459CC010" w14:textId="77777777" w:rsidR="009214AE" w:rsidRDefault="009214AE">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9214AE" w:rsidSect="004C0C2D">
          <w:footerReference w:type="default" r:id="rId11"/>
          <w:pgSz w:w="11906" w:h="16838"/>
          <w:pgMar w:top="1440" w:right="1800" w:bottom="1440" w:left="1800" w:header="851" w:footer="992" w:gutter="0"/>
          <w:pgNumType w:chapStyle="1"/>
          <w:cols w:space="720"/>
          <w:docGrid w:type="lines" w:linePitch="312"/>
        </w:sectPr>
      </w:pPr>
    </w:p>
    <w:p w14:paraId="2980F131" w14:textId="77777777" w:rsidR="009214AE" w:rsidRDefault="00C66335">
      <w:pPr>
        <w:pStyle w:val="1"/>
        <w:jc w:val="center"/>
        <w:rPr>
          <w:sz w:val="30"/>
          <w:szCs w:val="30"/>
        </w:rPr>
      </w:pPr>
      <w:bookmarkStart w:id="89" w:name="_Toc16442941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34357E68" w14:textId="77777777" w:rsidR="00782781" w:rsidRPr="00B70B2A" w:rsidRDefault="00782781" w:rsidP="00782781">
      <w:pPr>
        <w:tabs>
          <w:tab w:val="left" w:pos="1110"/>
        </w:tabs>
        <w:adjustRightInd w:val="0"/>
        <w:snapToGrid w:val="0"/>
        <w:spacing w:line="360" w:lineRule="auto"/>
        <w:ind w:firstLineChars="200" w:firstLine="482"/>
        <w:rPr>
          <w:rFonts w:asciiTheme="minorEastAsia" w:hAnsiTheme="minorEastAsia" w:cs="Arial" w:hint="eastAsia"/>
          <w:b/>
          <w:sz w:val="24"/>
          <w:szCs w:val="24"/>
        </w:rPr>
      </w:pPr>
      <w:r w:rsidRPr="00B70B2A">
        <w:rPr>
          <w:rFonts w:asciiTheme="minorEastAsia" w:hAnsiTheme="minorEastAsia" w:cs="Arial" w:hint="eastAsia"/>
          <w:b/>
          <w:sz w:val="24"/>
          <w:szCs w:val="24"/>
        </w:rPr>
        <w:t xml:space="preserve">（一）基金托管人基本情况 </w:t>
      </w:r>
    </w:p>
    <w:p w14:paraId="033F2CC8"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名称：中国工商银行股份有限公司</w:t>
      </w:r>
    </w:p>
    <w:p w14:paraId="29A5B5B2"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注册地址：北京市西城区复兴门内大街55号</w:t>
      </w:r>
    </w:p>
    <w:p w14:paraId="55383A9E"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成立时间：1984年1月1日</w:t>
      </w:r>
    </w:p>
    <w:p w14:paraId="692D9EC8"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法定代表人： 廖林</w:t>
      </w:r>
    </w:p>
    <w:p w14:paraId="16314144"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注册资本：人民币35,640,625.7089万元</w:t>
      </w:r>
    </w:p>
    <w:p w14:paraId="7AA182AD" w14:textId="77777777" w:rsidR="00782781" w:rsidRPr="00BA4799" w:rsidRDefault="00782781" w:rsidP="007827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联系电话：010-66105799</w:t>
      </w:r>
    </w:p>
    <w:p w14:paraId="211F10CC" w14:textId="77777777" w:rsidR="00782781" w:rsidRPr="00560DD8" w:rsidRDefault="00782781" w:rsidP="007827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BA4799">
        <w:rPr>
          <w:rFonts w:asciiTheme="minorEastAsia" w:hAnsiTheme="minorEastAsia" w:cs="Arial" w:hint="eastAsia"/>
          <w:bCs/>
          <w:sz w:val="24"/>
          <w:szCs w:val="24"/>
        </w:rPr>
        <w:t>联系人：郭明</w:t>
      </w:r>
    </w:p>
    <w:p w14:paraId="3FD435F4" w14:textId="77777777" w:rsidR="00782781" w:rsidRPr="00B70B2A" w:rsidRDefault="00782781" w:rsidP="00782781">
      <w:pPr>
        <w:tabs>
          <w:tab w:val="left" w:pos="1110"/>
        </w:tabs>
        <w:adjustRightInd w:val="0"/>
        <w:snapToGrid w:val="0"/>
        <w:spacing w:line="360" w:lineRule="auto"/>
        <w:ind w:firstLineChars="200" w:firstLine="482"/>
        <w:rPr>
          <w:rFonts w:asciiTheme="minorEastAsia" w:hAnsiTheme="minorEastAsia" w:cs="Arial" w:hint="eastAsia"/>
          <w:b/>
          <w:sz w:val="24"/>
          <w:szCs w:val="24"/>
        </w:rPr>
      </w:pPr>
      <w:r w:rsidRPr="00B70B2A">
        <w:rPr>
          <w:rFonts w:asciiTheme="minorEastAsia" w:hAnsiTheme="minorEastAsia" w:cs="Arial" w:hint="eastAsia"/>
          <w:b/>
          <w:sz w:val="24"/>
          <w:szCs w:val="24"/>
        </w:rPr>
        <w:t>（二）主要人员情况</w:t>
      </w:r>
    </w:p>
    <w:p w14:paraId="4B26B54B" w14:textId="26AD0A47" w:rsidR="00782781" w:rsidRPr="00560DD8" w:rsidRDefault="004C68A4" w:rsidP="007827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截至2024年12月，中国工商银行资产托管部共有员工208人，平均年龄38岁，99%以上员工拥有大学本科以上学历，高管人员均拥有研究生以上学历或高级技术职称。</w:t>
      </w:r>
    </w:p>
    <w:p w14:paraId="2705EE6A" w14:textId="77777777" w:rsidR="00782781" w:rsidRPr="00B70B2A" w:rsidRDefault="00782781" w:rsidP="00782781">
      <w:pPr>
        <w:tabs>
          <w:tab w:val="left" w:pos="1110"/>
        </w:tabs>
        <w:adjustRightInd w:val="0"/>
        <w:snapToGrid w:val="0"/>
        <w:spacing w:line="360" w:lineRule="auto"/>
        <w:ind w:firstLineChars="200" w:firstLine="482"/>
        <w:rPr>
          <w:rFonts w:asciiTheme="minorEastAsia" w:hAnsiTheme="minorEastAsia" w:cs="Arial" w:hint="eastAsia"/>
          <w:b/>
          <w:sz w:val="24"/>
          <w:szCs w:val="24"/>
        </w:rPr>
      </w:pPr>
      <w:r w:rsidRPr="00B70B2A">
        <w:rPr>
          <w:rFonts w:asciiTheme="minorEastAsia" w:hAnsiTheme="minorEastAsia" w:cs="Arial" w:hint="eastAsia"/>
          <w:b/>
          <w:sz w:val="24"/>
          <w:szCs w:val="24"/>
        </w:rPr>
        <w:t>（三）基金托管业务经营情况</w:t>
      </w:r>
    </w:p>
    <w:p w14:paraId="29982F20" w14:textId="0E26B6CD" w:rsidR="00782781" w:rsidRDefault="004C68A4" w:rsidP="007827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作为中国大陆托管服务的先行者，中国工商银行自1998年在国内首家提供托管服务以来，秉承“诚实信用、勤勉尽责”的宗旨，依靠严密科学的风险管理和内部控制体系、规范的管理模式、先进的营运系统和专业的服务团队，严格履行资产托管人职责，为境内外广大投资者、金融资产管理机构和企业客户提供安全、高效、专业的托管服务，展现优异的市场形象和影响力。建立了国内托管银行中最丰富、最成熟的产品线。拥有包括证券投资基金、信托资产、保险资产、社会保障基金、基本养老保险、企业年金基金、QFI资产、QDII资产、股权投资基金、证券公司集合资产管理计划、证券公司定向资产管理计划、商业银行信贷资产证券化、基金公司特定客户资产管理、QDII专户资产、ESCROW等门类齐全的托管产品体系，同时在国内率先开展绩效评估、风险管理等增值服务，可以为各类客户提供个性化的托管服务。截至2024年12月，中国工商银行共托管证券投资基金1442只。自2003年以来，本行连续二十一年获得香港《亚洲货币》、英国《全球托管人》、香港《财资》、美国《环球金融》、内地《证券时报》、《上海证券报》等境内外权威财经媒体评选的105项最佳托管银行大奖；是获得奖项最多的国内托管银行，优良的服务品质获得国内外金融领域的持续认可和广泛好</w:t>
      </w:r>
      <w:r w:rsidRPr="004C68A4">
        <w:rPr>
          <w:rFonts w:asciiTheme="minorEastAsia" w:hAnsiTheme="minorEastAsia" w:cs="Arial" w:hint="eastAsia"/>
          <w:bCs/>
          <w:sz w:val="24"/>
          <w:szCs w:val="24"/>
        </w:rPr>
        <w:lastRenderedPageBreak/>
        <w:t>评。</w:t>
      </w:r>
    </w:p>
    <w:p w14:paraId="4E54B790" w14:textId="77777777" w:rsidR="00782781" w:rsidRPr="00002CAE" w:rsidRDefault="00782781" w:rsidP="00782781">
      <w:pPr>
        <w:tabs>
          <w:tab w:val="left" w:pos="1110"/>
        </w:tabs>
        <w:adjustRightInd w:val="0"/>
        <w:snapToGrid w:val="0"/>
        <w:spacing w:line="360" w:lineRule="auto"/>
        <w:ind w:firstLineChars="200" w:firstLine="482"/>
        <w:rPr>
          <w:rFonts w:asciiTheme="minorEastAsia" w:hAnsiTheme="minorEastAsia" w:cs="Arial" w:hint="eastAsia"/>
          <w:b/>
          <w:sz w:val="24"/>
          <w:szCs w:val="24"/>
        </w:rPr>
      </w:pPr>
      <w:r w:rsidRPr="00002CAE">
        <w:rPr>
          <w:rFonts w:asciiTheme="minorEastAsia" w:hAnsiTheme="minorEastAsia" w:cs="Arial" w:hint="eastAsia"/>
          <w:b/>
          <w:sz w:val="24"/>
          <w:szCs w:val="24"/>
        </w:rPr>
        <w:t>（四）基金托管人的内部控制制度</w:t>
      </w:r>
    </w:p>
    <w:p w14:paraId="0757C696"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中国工商银行资产托管部在风险管理的实操过程中根据国际公认的内部控制COSO准则从内部环境、风险评估、控制活动、信息与沟通、监督与评价五个方面构建起了托管业务内部风险控制体系，并纳入统一的风险管理体系。</w:t>
      </w:r>
    </w:p>
    <w:p w14:paraId="4D6A22A3" w14:textId="787E4D85"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中国工商银行资产托管部从成立之日起始终秉持规范运作的原则，将建立系统、高效的风险防范和控制体系视为工作重点。随着市场环境的变化和托管业务的快速发展，新问题新情况的不断出现，资产托管部自始至终将风险管理置于与业务发展同等重要的位置，</w:t>
      </w:r>
      <w:proofErr w:type="gramStart"/>
      <w:r w:rsidRPr="004C68A4">
        <w:rPr>
          <w:rFonts w:asciiTheme="minorEastAsia" w:hAnsiTheme="minorEastAsia" w:cs="Arial" w:hint="eastAsia"/>
          <w:bCs/>
          <w:sz w:val="24"/>
          <w:szCs w:val="24"/>
        </w:rPr>
        <w:t>视风险</w:t>
      </w:r>
      <w:proofErr w:type="gramEnd"/>
      <w:r w:rsidRPr="004C68A4">
        <w:rPr>
          <w:rFonts w:asciiTheme="minorEastAsia" w:hAnsiTheme="minorEastAsia" w:cs="Arial" w:hint="eastAsia"/>
          <w:bCs/>
          <w:sz w:val="24"/>
          <w:szCs w:val="24"/>
        </w:rPr>
        <w:t>防范和控制为托管业务生存与发展的生命线。资产托管部实施全员风险管理，将风险控制责任落实到具体业务部门和相关业务岗位，每位员工均有义务对自己岗位职责范围内的风险负责。从2005年至今，中国工商银行资产托管部共十</w:t>
      </w:r>
      <w:r w:rsidR="00E96FFC">
        <w:rPr>
          <w:rFonts w:asciiTheme="minorEastAsia" w:hAnsiTheme="minorEastAsia" w:cs="Arial" w:hint="eastAsia"/>
          <w:bCs/>
          <w:sz w:val="24"/>
          <w:szCs w:val="24"/>
        </w:rPr>
        <w:t>八</w:t>
      </w:r>
      <w:r w:rsidRPr="004C68A4">
        <w:rPr>
          <w:rFonts w:asciiTheme="minorEastAsia" w:hAnsiTheme="minorEastAsia" w:cs="Arial" w:hint="eastAsia"/>
          <w:bCs/>
          <w:sz w:val="24"/>
          <w:szCs w:val="24"/>
        </w:rPr>
        <w:t>次顺利通过评估组织内部控制和安全措施</w:t>
      </w:r>
      <w:proofErr w:type="gramStart"/>
      <w:r w:rsidRPr="004C68A4">
        <w:rPr>
          <w:rFonts w:asciiTheme="minorEastAsia" w:hAnsiTheme="minorEastAsia" w:cs="Arial" w:hint="eastAsia"/>
          <w:bCs/>
          <w:sz w:val="24"/>
          <w:szCs w:val="24"/>
        </w:rPr>
        <w:t>最</w:t>
      </w:r>
      <w:proofErr w:type="gramEnd"/>
      <w:r w:rsidRPr="004C68A4">
        <w:rPr>
          <w:rFonts w:asciiTheme="minorEastAsia" w:hAnsiTheme="minorEastAsia" w:cs="Arial" w:hint="eastAsia"/>
          <w:bCs/>
          <w:sz w:val="24"/>
          <w:szCs w:val="24"/>
        </w:rPr>
        <w:t>权威的ISAE3402审阅，全部获得无保留意见的控制及有效性报告，充分表明</w:t>
      </w:r>
      <w:proofErr w:type="gramStart"/>
      <w:r w:rsidRPr="004C68A4">
        <w:rPr>
          <w:rFonts w:asciiTheme="minorEastAsia" w:hAnsiTheme="minorEastAsia" w:cs="Arial" w:hint="eastAsia"/>
          <w:bCs/>
          <w:sz w:val="24"/>
          <w:szCs w:val="24"/>
        </w:rPr>
        <w:t>独立第三</w:t>
      </w:r>
      <w:proofErr w:type="gramEnd"/>
      <w:r w:rsidRPr="004C68A4">
        <w:rPr>
          <w:rFonts w:asciiTheme="minorEastAsia" w:hAnsiTheme="minorEastAsia" w:cs="Arial" w:hint="eastAsia"/>
          <w:bCs/>
          <w:sz w:val="24"/>
          <w:szCs w:val="24"/>
        </w:rPr>
        <w:t>方对中国工商银行托管服务在风险管理、内部控制方面的健全性和有效性的全面认可，也证明中国工商银行托管服务的风险控制能力已经与国际大型托管银行接轨，达到国际先进水平。</w:t>
      </w:r>
    </w:p>
    <w:p w14:paraId="7BBF9F41"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1.内部控制目标</w:t>
      </w:r>
    </w:p>
    <w:p w14:paraId="014D6ADE"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（1）资产托管业务经营管理合法合</w:t>
      </w:r>
      <w:proofErr w:type="gramStart"/>
      <w:r w:rsidRPr="004C68A4">
        <w:rPr>
          <w:rFonts w:asciiTheme="minorEastAsia" w:hAnsiTheme="minorEastAsia" w:cs="Arial" w:hint="eastAsia"/>
          <w:bCs/>
          <w:sz w:val="24"/>
          <w:szCs w:val="24"/>
        </w:rPr>
        <w:t>规</w:t>
      </w:r>
      <w:proofErr w:type="gramEnd"/>
      <w:r w:rsidRPr="004C68A4">
        <w:rPr>
          <w:rFonts w:asciiTheme="minorEastAsia" w:hAnsiTheme="minorEastAsia" w:cs="Arial" w:hint="eastAsia"/>
          <w:bCs/>
          <w:sz w:val="24"/>
          <w:szCs w:val="24"/>
        </w:rPr>
        <w:t>；</w:t>
      </w:r>
    </w:p>
    <w:p w14:paraId="120969A5"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（2）促进实现资产托管业务发展战略和经营目标；</w:t>
      </w:r>
    </w:p>
    <w:p w14:paraId="0E268BC1"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（3）资产托管业务风险管理的有效性和资产安全；</w:t>
      </w:r>
    </w:p>
    <w:p w14:paraId="77CC1B8D"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（4）提高资产托管经营效率和效果；</w:t>
      </w:r>
    </w:p>
    <w:p w14:paraId="6C49EDC3"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（5）业务记录、会计信息和其他经营管理相关信息的真实、准确、完整、及时。</w:t>
      </w:r>
    </w:p>
    <w:p w14:paraId="6B334BE5"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2.内部控制的原则</w:t>
      </w:r>
    </w:p>
    <w:p w14:paraId="29F38C59"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（1）全面性原则。资产托管业务内部控制应贯穿决策、执行和监督全过程，覆盖资产托管业务各项业务流程和管理活动，覆盖所有机构、部门和从业人员。</w:t>
      </w:r>
    </w:p>
    <w:p w14:paraId="7F5C0B6B"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（2）重要性原则。资产托管业务内部控制应在全面控制基础上，关注重要业务事项、重点业务环节和高风险领域。</w:t>
      </w:r>
    </w:p>
    <w:p w14:paraId="092F06F4"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（3）制衡性原则。资产托管业务内部控制应在机构设置、权责分配及业务流程等方面形成相互制约、相互监督的机制，同时兼顾运营效率。</w:t>
      </w:r>
    </w:p>
    <w:p w14:paraId="6C2A7483"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lastRenderedPageBreak/>
        <w:t>（4）适应性原则。资产托管业务内部控制应当与经营规模、业务范围和风险特点相适应，并进行动态调整，以合理成本实现内部控制目标。</w:t>
      </w:r>
    </w:p>
    <w:p w14:paraId="33C4B66F"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（5）审慎性原则。资产托管业务内部控制应坚持风险为本、审慎经营的理念，设立机构或开展各项经营管理活动均应坚持内控优先。</w:t>
      </w:r>
    </w:p>
    <w:p w14:paraId="1C978915"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（6）成本效益原则。资产托管业务内部控制应权衡实施成本与预期效益，以合理成本实现有效控制。</w:t>
      </w:r>
    </w:p>
    <w:p w14:paraId="7C72AC6A"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3.内部控制组织结构</w:t>
      </w:r>
    </w:p>
    <w:p w14:paraId="564D4AC7"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资产托管业务内部控制纳入全行统一的内部控制体系。</w:t>
      </w:r>
    </w:p>
    <w:p w14:paraId="6E3AA043"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1）总行资产托管部根据内部控制基本规定建立健全资产托管业务内部控制体系，作为全行托管业务的牵头管理部门，根据行内内部控制基本规定建立健全内部控制体系，建立与托管业务条线相适应的内部控制运行机制，确定各项业务活动的风险控制点，制定标准统一的业务制度；采取适当的控制措施，合理保证托管业务流程的经营效率和效果，组织开展资产托管业务内部控制措施的执行、监督和检查，督促各机构落实控制措施。</w:t>
      </w:r>
    </w:p>
    <w:p w14:paraId="5A2320BA"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（2）总行内控合</w:t>
      </w:r>
      <w:proofErr w:type="gramStart"/>
      <w:r w:rsidRPr="004C68A4">
        <w:rPr>
          <w:rFonts w:asciiTheme="minorEastAsia" w:hAnsiTheme="minorEastAsia" w:cs="Arial" w:hint="eastAsia"/>
          <w:bCs/>
          <w:sz w:val="24"/>
          <w:szCs w:val="24"/>
        </w:rPr>
        <w:t>规</w:t>
      </w:r>
      <w:proofErr w:type="gramEnd"/>
      <w:r w:rsidRPr="004C68A4">
        <w:rPr>
          <w:rFonts w:asciiTheme="minorEastAsia" w:hAnsiTheme="minorEastAsia" w:cs="Arial" w:hint="eastAsia"/>
          <w:bCs/>
          <w:sz w:val="24"/>
          <w:szCs w:val="24"/>
        </w:rPr>
        <w:t>部负责指导托管业务的内控管理工作，根据年度工作重点，定期或不定期在全行开展相关业务监督检查，将托管业务检查项目整合到全行业</w:t>
      </w:r>
      <w:proofErr w:type="gramStart"/>
      <w:r w:rsidRPr="004C68A4">
        <w:rPr>
          <w:rFonts w:asciiTheme="minorEastAsia" w:hAnsiTheme="minorEastAsia" w:cs="Arial" w:hint="eastAsia"/>
          <w:bCs/>
          <w:sz w:val="24"/>
          <w:szCs w:val="24"/>
        </w:rPr>
        <w:t>务</w:t>
      </w:r>
      <w:proofErr w:type="gramEnd"/>
      <w:r w:rsidRPr="004C68A4">
        <w:rPr>
          <w:rFonts w:asciiTheme="minorEastAsia" w:hAnsiTheme="minorEastAsia" w:cs="Arial" w:hint="eastAsia"/>
          <w:bCs/>
          <w:sz w:val="24"/>
          <w:szCs w:val="24"/>
        </w:rPr>
        <w:t>监督检查工作中，将全行托管业务纳入内控评价体系。</w:t>
      </w:r>
    </w:p>
    <w:p w14:paraId="10AB591D"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（3）总行内部审计局负责对资产托管业务的审计与评价工作。</w:t>
      </w:r>
    </w:p>
    <w:p w14:paraId="18866356"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（4）一级（直属）分行资产托管业务部门作为内部控制的执行机构，负责组织开展本机构内部控制的日常运行及自查工作，及时整改、纠正、处理存在的问题。</w:t>
      </w:r>
    </w:p>
    <w:p w14:paraId="769D9DC0"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4.内部控制措施</w:t>
      </w:r>
    </w:p>
    <w:p w14:paraId="17B9C1D8"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工商银行资产托管</w:t>
      </w:r>
      <w:proofErr w:type="gramStart"/>
      <w:r w:rsidRPr="004C68A4">
        <w:rPr>
          <w:rFonts w:asciiTheme="minorEastAsia" w:hAnsiTheme="minorEastAsia" w:cs="Arial" w:hint="eastAsia"/>
          <w:bCs/>
          <w:sz w:val="24"/>
          <w:szCs w:val="24"/>
        </w:rPr>
        <w:t>部重视</w:t>
      </w:r>
      <w:proofErr w:type="gramEnd"/>
      <w:r w:rsidRPr="004C68A4">
        <w:rPr>
          <w:rFonts w:asciiTheme="minorEastAsia" w:hAnsiTheme="minorEastAsia" w:cs="Arial" w:hint="eastAsia"/>
          <w:bCs/>
          <w:sz w:val="24"/>
          <w:szCs w:val="24"/>
        </w:rPr>
        <w:t>内部控制制度的建设，坚持把风险防范和控制的理念和方法融入岗位职责、制度建设和工作流程中，建立了一整套内部控制制度体系，包括《资产托管业务管理规定》、《资产托管业务内部控制管理办法》、《资产托管业务全面风险管理办法》、《资产托管业务营运管理办法》、《资产托管业务合同管理办法》、《资产托管业务档案管理办法》、《资产托管业务系统管理办法》、《资产托管业务重大突发事件应急预案》、《资产托管业务从业人员管理办法》等，在环境、制度、流程、岗位职责、人员、授权、创新、合同、印章、服务质量、收费、反洗钱、防止利益冲突、业务连续性、考核、信息系统等全方面执行内部</w:t>
      </w:r>
      <w:r w:rsidRPr="004C68A4">
        <w:rPr>
          <w:rFonts w:asciiTheme="minorEastAsia" w:hAnsiTheme="minorEastAsia" w:cs="Arial" w:hint="eastAsia"/>
          <w:bCs/>
          <w:sz w:val="24"/>
          <w:szCs w:val="24"/>
        </w:rPr>
        <w:lastRenderedPageBreak/>
        <w:t>控制措施。</w:t>
      </w:r>
    </w:p>
    <w:p w14:paraId="4C4E2EF2"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 xml:space="preserve">5.风险控制 </w:t>
      </w:r>
    </w:p>
    <w:p w14:paraId="6E6BCB95"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资产托管业务切实履行风险管理第一道防线的主体职责，按照“主动防、智能控、全面管”的管理思路，主动将资产托管业务的风险管理纳入全行全面风险管理体系，以“管住人、管住钱、管好防线、管好底线”为管理重点，搭建适应资产托管业务特点的风险管理架构，通过推进托管业务体制机制与完善集约化营运改革、建立资产托管风险管理委员会机制、完善资产托管业务制度体系、加强资产托管业务队伍建设、科技赋能、建立健全</w:t>
      </w:r>
      <w:proofErr w:type="gramStart"/>
      <w:r w:rsidRPr="004C68A4">
        <w:rPr>
          <w:rFonts w:asciiTheme="minorEastAsia" w:hAnsiTheme="minorEastAsia" w:cs="Arial" w:hint="eastAsia"/>
          <w:bCs/>
          <w:sz w:val="24"/>
          <w:szCs w:val="24"/>
        </w:rPr>
        <w:t>应急灾备体系</w:t>
      </w:r>
      <w:proofErr w:type="gramEnd"/>
      <w:r w:rsidRPr="004C68A4">
        <w:rPr>
          <w:rFonts w:asciiTheme="minorEastAsia" w:hAnsiTheme="minorEastAsia" w:cs="Arial" w:hint="eastAsia"/>
          <w:bCs/>
          <w:sz w:val="24"/>
          <w:szCs w:val="24"/>
        </w:rPr>
        <w:t>、建立审计发现问题</w:t>
      </w:r>
      <w:proofErr w:type="gramStart"/>
      <w:r w:rsidRPr="004C68A4">
        <w:rPr>
          <w:rFonts w:asciiTheme="minorEastAsia" w:hAnsiTheme="minorEastAsia" w:cs="Arial" w:hint="eastAsia"/>
          <w:bCs/>
          <w:sz w:val="24"/>
          <w:szCs w:val="24"/>
        </w:rPr>
        <w:t>整改台</w:t>
      </w:r>
      <w:proofErr w:type="gramEnd"/>
      <w:r w:rsidRPr="004C68A4">
        <w:rPr>
          <w:rFonts w:asciiTheme="minorEastAsia" w:hAnsiTheme="minorEastAsia" w:cs="Arial" w:hint="eastAsia"/>
          <w:bCs/>
          <w:sz w:val="24"/>
          <w:szCs w:val="24"/>
        </w:rPr>
        <w:t>账、加强人员管理等措施，有效控制操作风险、合</w:t>
      </w:r>
      <w:proofErr w:type="gramStart"/>
      <w:r w:rsidRPr="004C68A4">
        <w:rPr>
          <w:rFonts w:asciiTheme="minorEastAsia" w:hAnsiTheme="minorEastAsia" w:cs="Arial" w:hint="eastAsia"/>
          <w:bCs/>
          <w:sz w:val="24"/>
          <w:szCs w:val="24"/>
        </w:rPr>
        <w:t>规</w:t>
      </w:r>
      <w:proofErr w:type="gramEnd"/>
      <w:r w:rsidRPr="004C68A4">
        <w:rPr>
          <w:rFonts w:asciiTheme="minorEastAsia" w:hAnsiTheme="minorEastAsia" w:cs="Arial" w:hint="eastAsia"/>
          <w:bCs/>
          <w:sz w:val="24"/>
          <w:szCs w:val="24"/>
        </w:rPr>
        <w:t>风险、声誉风险、信息科技风险和次生风险。</w:t>
      </w:r>
    </w:p>
    <w:p w14:paraId="386E12E2"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6.业务连续性保障</w:t>
      </w:r>
    </w:p>
    <w:p w14:paraId="21AAAC6C" w14:textId="78F76322" w:rsidR="00782781" w:rsidRPr="00BA4799" w:rsidRDefault="004C68A4" w:rsidP="00782781">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中国工商银行制订了完善的资产托管业务连续性工作计划和应急预案，具备行之有效的</w:t>
      </w:r>
      <w:proofErr w:type="gramStart"/>
      <w:r w:rsidRPr="004C68A4">
        <w:rPr>
          <w:rFonts w:asciiTheme="minorEastAsia" w:hAnsiTheme="minorEastAsia" w:cs="Arial" w:hint="eastAsia"/>
          <w:bCs/>
          <w:sz w:val="24"/>
          <w:szCs w:val="24"/>
        </w:rPr>
        <w:t>灾备恢复</w:t>
      </w:r>
      <w:proofErr w:type="gramEnd"/>
      <w:r w:rsidRPr="004C68A4">
        <w:rPr>
          <w:rFonts w:asciiTheme="minorEastAsia" w:hAnsiTheme="minorEastAsia" w:cs="Arial" w:hint="eastAsia"/>
          <w:bCs/>
          <w:sz w:val="24"/>
          <w:szCs w:val="24"/>
        </w:rPr>
        <w:t>方案、充足的移动办公设备、同城异城相结合的备份办公场所、必要的工作人员、科学清晰的AB岗位设置及定期演练机制。在重大突发事件发生后，可根据突发事件的对托管业务连续性营运影响程度的评估，适时选择或依次启动“原场所现场+居家”、“部分同城异地+居家”、“部分异城异地+居家”、“异地全部切换”四种方案，由“总部+总行级营运中心+托管分部+境外营运机构”形成全球、全天候营运网络，向客户提供连续性服务，确保托管产品日常交易的及时清算和交割。</w:t>
      </w:r>
    </w:p>
    <w:p w14:paraId="2BA57A5C" w14:textId="77777777" w:rsidR="00782781" w:rsidRPr="00002CAE" w:rsidRDefault="00782781" w:rsidP="00782781">
      <w:pPr>
        <w:tabs>
          <w:tab w:val="left" w:pos="1110"/>
        </w:tabs>
        <w:adjustRightInd w:val="0"/>
        <w:snapToGrid w:val="0"/>
        <w:spacing w:line="360" w:lineRule="auto"/>
        <w:ind w:firstLineChars="200" w:firstLine="482"/>
        <w:rPr>
          <w:rFonts w:asciiTheme="minorEastAsia" w:hAnsiTheme="minorEastAsia" w:cs="Arial" w:hint="eastAsia"/>
          <w:b/>
          <w:sz w:val="24"/>
          <w:szCs w:val="24"/>
        </w:rPr>
      </w:pPr>
      <w:r w:rsidRPr="00002CAE">
        <w:rPr>
          <w:rFonts w:asciiTheme="minorEastAsia" w:hAnsiTheme="minorEastAsia" w:cs="Arial" w:hint="eastAsia"/>
          <w:b/>
          <w:sz w:val="24"/>
          <w:szCs w:val="24"/>
        </w:rPr>
        <w:t>（五）基金托管人对基金管理人运作基金进行监督的方法和程序</w:t>
      </w:r>
    </w:p>
    <w:p w14:paraId="13BA3A32"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根据《基金法》、基金合同、托管协议和有关基金法规的规定，基金托管人对基金的投资范围和投资对象、基金投融资比例、基金投资禁止行为、基金参与银行间债券市场、基金资产净值的计算、基金份额净值计算、应收资金到账、基金费用开支及收入确定、基金收益分配、相关信息披露、基金宣传推介材料中登载基金业绩表现数据等进行监督和核查，其中对基金的投资比例的监督和</w:t>
      </w:r>
      <w:proofErr w:type="gramStart"/>
      <w:r w:rsidRPr="004C68A4">
        <w:rPr>
          <w:rFonts w:asciiTheme="minorEastAsia" w:hAnsiTheme="minorEastAsia" w:cs="Arial" w:hint="eastAsia"/>
          <w:bCs/>
          <w:sz w:val="24"/>
          <w:szCs w:val="24"/>
        </w:rPr>
        <w:t>核查自</w:t>
      </w:r>
      <w:proofErr w:type="gramEnd"/>
      <w:r w:rsidRPr="004C68A4">
        <w:rPr>
          <w:rFonts w:asciiTheme="minorEastAsia" w:hAnsiTheme="minorEastAsia" w:cs="Arial" w:hint="eastAsia"/>
          <w:bCs/>
          <w:sz w:val="24"/>
          <w:szCs w:val="24"/>
        </w:rPr>
        <w:t>基金合同生效之后六个月开始。</w:t>
      </w:r>
    </w:p>
    <w:p w14:paraId="6A5754DF" w14:textId="77777777" w:rsidR="004C68A4" w:rsidRPr="004C68A4" w:rsidRDefault="004C68A4" w:rsidP="004C68A4">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基金托管人发现基金管理人违反《基金法》、基金合同、基金托管协议或有关基金法律法规规定的行为，应及时以书面形式通知基金管理人限期纠正，基金管理人收到通知后应及时核对，并以书面形式对基金托管人发出回函确认。在限期内，基金托管人有权随时对通知事项进行复查，督促基金管理人改正。基金管</w:t>
      </w:r>
      <w:r w:rsidRPr="004C68A4">
        <w:rPr>
          <w:rFonts w:asciiTheme="minorEastAsia" w:hAnsiTheme="minorEastAsia" w:cs="Arial" w:hint="eastAsia"/>
          <w:bCs/>
          <w:sz w:val="24"/>
          <w:szCs w:val="24"/>
        </w:rPr>
        <w:lastRenderedPageBreak/>
        <w:t>理人对基金托管人通知的违规事项未能在限期内纠正的，基金托管人应报告中国证监会。</w:t>
      </w:r>
    </w:p>
    <w:p w14:paraId="305F84D3" w14:textId="50B32974" w:rsidR="009214AE" w:rsidRDefault="004C68A4" w:rsidP="00CF6B6F">
      <w:pPr>
        <w:tabs>
          <w:tab w:val="left" w:pos="390"/>
        </w:tabs>
        <w:adjustRightInd w:val="0"/>
        <w:snapToGrid w:val="0"/>
        <w:spacing w:line="360" w:lineRule="auto"/>
        <w:ind w:firstLineChars="200" w:firstLine="480"/>
        <w:rPr>
          <w:rFonts w:asciiTheme="minorEastAsia" w:hAnsiTheme="minorEastAsia" w:cs="Arial" w:hint="eastAsia"/>
          <w:bCs/>
          <w:sz w:val="24"/>
          <w:szCs w:val="24"/>
        </w:rPr>
      </w:pPr>
      <w:r w:rsidRPr="004C68A4">
        <w:rPr>
          <w:rFonts w:asciiTheme="minorEastAsia" w:hAnsiTheme="minorEastAsia" w:cs="Arial" w:hint="eastAsia"/>
          <w:bCs/>
          <w:sz w:val="24"/>
          <w:szCs w:val="24"/>
        </w:rPr>
        <w:t>基金托管人发现基金管理人有重大违规行为，应立即报告中国证监会，同时通知基金管理人限期纠正。</w:t>
      </w:r>
    </w:p>
    <w:p w14:paraId="5B77526A" w14:textId="77777777" w:rsidR="009214AE" w:rsidRDefault="00C66335">
      <w:pPr>
        <w:widowControl/>
        <w:jc w:val="left"/>
        <w:rPr>
          <w:rFonts w:asciiTheme="minorEastAsia" w:hAnsiTheme="minorEastAsia" w:cs="Arial" w:hint="eastAsia"/>
          <w:bCs/>
          <w:sz w:val="24"/>
          <w:szCs w:val="24"/>
        </w:rPr>
      </w:pPr>
      <w:r>
        <w:rPr>
          <w:rFonts w:asciiTheme="minorEastAsia" w:hAnsiTheme="minorEastAsia" w:cs="Arial"/>
          <w:bCs/>
          <w:sz w:val="24"/>
          <w:szCs w:val="24"/>
        </w:rPr>
        <w:br w:type="page"/>
      </w:r>
    </w:p>
    <w:p w14:paraId="0BA19C74" w14:textId="77777777" w:rsidR="009214AE" w:rsidRDefault="00C66335">
      <w:pPr>
        <w:pStyle w:val="1"/>
        <w:jc w:val="center"/>
        <w:rPr>
          <w:sz w:val="30"/>
          <w:szCs w:val="30"/>
        </w:rPr>
      </w:pPr>
      <w:bookmarkStart w:id="90" w:name="_Toc214873594"/>
      <w:bookmarkStart w:id="91" w:name="_Toc416264541"/>
      <w:bookmarkStart w:id="92" w:name="_Toc263092313"/>
      <w:bookmarkStart w:id="93" w:name="_Toc164429418"/>
      <w:bookmarkStart w:id="94" w:name="_Toc11081"/>
      <w:bookmarkStart w:id="95" w:name="_Toc10463"/>
      <w:bookmarkStart w:id="96" w:name="_Toc139991736"/>
      <w:bookmarkStart w:id="97" w:name="_Toc48649707"/>
      <w:bookmarkStart w:id="98" w:name="_Toc141703886"/>
      <w:bookmarkStart w:id="99" w:name="_Toc1427"/>
      <w:bookmarkStart w:id="100" w:name="_Toc123051452"/>
      <w:bookmarkStart w:id="101" w:name="_Toc23261"/>
      <w:bookmarkStart w:id="102" w:name="_Toc123102453"/>
      <w:bookmarkStart w:id="103" w:name="_Toc352229752"/>
      <w:bookmarkStart w:id="104" w:name="_Toc17244"/>
      <w:bookmarkStart w:id="105" w:name="_Toc1270"/>
      <w:bookmarkStart w:id="106" w:name="_Toc20733"/>
      <w:bookmarkStart w:id="107" w:name="_Toc23822"/>
      <w:bookmarkStart w:id="108" w:name="_Toc4003"/>
      <w:bookmarkStart w:id="109" w:name="_Toc123112234"/>
      <w:bookmarkStart w:id="110" w:name="_Toc79392606"/>
      <w:bookmarkStart w:id="111" w:name="_Toc610"/>
      <w:bookmarkStart w:id="112" w:name="_Toc352229751"/>
      <w:bookmarkStart w:id="113" w:name="_Toc98560352"/>
      <w:bookmarkStart w:id="114" w:name="_Toc7920"/>
      <w:bookmarkEnd w:id="69"/>
      <w:bookmarkEnd w:id="70"/>
      <w:bookmarkEnd w:id="71"/>
      <w:bookmarkEnd w:id="72"/>
      <w:bookmarkEnd w:id="73"/>
      <w:bookmarkEnd w:id="74"/>
      <w:bookmarkEnd w:id="75"/>
      <w:bookmarkEnd w:id="76"/>
      <w:bookmarkEnd w:id="77"/>
      <w:bookmarkEnd w:id="78"/>
      <w:bookmarkEnd w:id="79"/>
      <w:bookmarkEnd w:id="80"/>
      <w:bookmarkEnd w:id="81"/>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51FBCFDA" w14:textId="77777777" w:rsidR="009214AE" w:rsidRDefault="00C66335">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4461C380" w14:textId="77777777" w:rsidR="009214AE" w:rsidRDefault="00C6633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7595CF27" w14:textId="77777777" w:rsidR="009214AE" w:rsidRDefault="00C6633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 xml:space="preserve">镇汇通二街2号3110房 </w:t>
      </w:r>
    </w:p>
    <w:p w14:paraId="0F38FA37" w14:textId="77777777" w:rsidR="009214AE" w:rsidRDefault="00C6633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17E3CAF4" w14:textId="77777777" w:rsidR="009214AE" w:rsidRDefault="00C6633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w:t>
      </w:r>
      <w:r>
        <w:rPr>
          <w:rFonts w:asciiTheme="minorEastAsia" w:hAnsiTheme="minorEastAsia" w:cs="Arial" w:hint="eastAsia"/>
          <w:kern w:val="0"/>
          <w:sz w:val="24"/>
          <w:szCs w:val="24"/>
        </w:rPr>
        <w:t>王亦伟</w:t>
      </w:r>
    </w:p>
    <w:p w14:paraId="18EDA43F" w14:textId="77777777" w:rsidR="009214AE" w:rsidRDefault="00C6633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6FC2C1CD" w14:textId="77777777" w:rsidR="009214AE" w:rsidRDefault="00C6633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1D91C92A" w14:textId="77777777" w:rsidR="009214AE" w:rsidRDefault="00C6633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7CDF151D" w14:textId="77777777" w:rsidR="009214AE" w:rsidRDefault="00C6633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1539F6F8" w14:textId="77777777" w:rsidR="009214AE" w:rsidRDefault="00C66335">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tbl>
      <w:tblPr>
        <w:tblStyle w:val="afb"/>
        <w:tblW w:w="8789" w:type="dxa"/>
        <w:tblInd w:w="108" w:type="dxa"/>
        <w:tblLayout w:type="fixed"/>
        <w:tblLook w:val="04A0" w:firstRow="1" w:lastRow="0" w:firstColumn="1" w:lastColumn="0" w:noHBand="0" w:noVBand="1"/>
      </w:tblPr>
      <w:tblGrid>
        <w:gridCol w:w="562"/>
        <w:gridCol w:w="2660"/>
        <w:gridCol w:w="5567"/>
      </w:tblGrid>
      <w:tr w:rsidR="00FF7B65" w14:paraId="481E39FE" w14:textId="77777777" w:rsidTr="00CF6B6F">
        <w:trPr>
          <w:trHeight w:val="20"/>
        </w:trPr>
        <w:tc>
          <w:tcPr>
            <w:tcW w:w="562" w:type="dxa"/>
          </w:tcPr>
          <w:p w14:paraId="7385F13A" w14:textId="77777777" w:rsidR="00FF7B65" w:rsidRDefault="00FF7B65" w:rsidP="00B5005C">
            <w:pPr>
              <w:jc w:val="center"/>
              <w:rPr>
                <w:rFonts w:ascii="Arial Unicode MS" w:eastAsia="宋体" w:hAnsi="Arial Unicode MS" w:cs="Times New Roman" w:hint="eastAsia"/>
                <w:bCs/>
                <w:szCs w:val="24"/>
              </w:rPr>
            </w:pPr>
            <w:r>
              <w:rPr>
                <w:rFonts w:asciiTheme="minorEastAsia" w:hAnsiTheme="minorEastAsia" w:cs="Arial" w:hint="eastAsia"/>
                <w:szCs w:val="20"/>
              </w:rPr>
              <w:t>序号</w:t>
            </w:r>
          </w:p>
        </w:tc>
        <w:tc>
          <w:tcPr>
            <w:tcW w:w="2660" w:type="dxa"/>
          </w:tcPr>
          <w:p w14:paraId="74843487" w14:textId="77777777" w:rsidR="00FF7B65" w:rsidRDefault="00FF7B65" w:rsidP="00B5005C">
            <w:pPr>
              <w:jc w:val="center"/>
              <w:rPr>
                <w:rFonts w:ascii="Arial Unicode MS" w:hAnsi="Arial Unicode MS" w:hint="eastAsia"/>
                <w:bCs/>
              </w:rPr>
            </w:pPr>
            <w:r>
              <w:rPr>
                <w:rFonts w:asciiTheme="minorEastAsia" w:hAnsiTheme="minorEastAsia" w:cs="Arial" w:hint="eastAsia"/>
                <w:szCs w:val="20"/>
              </w:rPr>
              <w:t>代销机构名称</w:t>
            </w:r>
          </w:p>
        </w:tc>
        <w:tc>
          <w:tcPr>
            <w:tcW w:w="5567" w:type="dxa"/>
          </w:tcPr>
          <w:p w14:paraId="0EE025FE" w14:textId="77777777" w:rsidR="00FF7B65" w:rsidRDefault="00FF7B65" w:rsidP="00B5005C">
            <w:pPr>
              <w:jc w:val="center"/>
              <w:rPr>
                <w:rFonts w:ascii="Arial Unicode MS" w:hAnsi="Arial Unicode MS" w:hint="eastAsia"/>
                <w:bCs/>
              </w:rPr>
            </w:pPr>
            <w:r>
              <w:rPr>
                <w:rFonts w:asciiTheme="minorEastAsia" w:hAnsiTheme="minorEastAsia" w:cs="Arial" w:hint="eastAsia"/>
                <w:szCs w:val="20"/>
              </w:rPr>
              <w:t>代销机构信息</w:t>
            </w:r>
          </w:p>
        </w:tc>
      </w:tr>
      <w:tr w:rsidR="00FF7B65" w14:paraId="510EB9CF" w14:textId="77777777" w:rsidTr="00CF6B6F">
        <w:trPr>
          <w:trHeight w:val="20"/>
        </w:trPr>
        <w:tc>
          <w:tcPr>
            <w:tcW w:w="562" w:type="dxa"/>
          </w:tcPr>
          <w:p w14:paraId="4AA3B25E"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1</w:t>
            </w:r>
          </w:p>
        </w:tc>
        <w:tc>
          <w:tcPr>
            <w:tcW w:w="2660" w:type="dxa"/>
          </w:tcPr>
          <w:p w14:paraId="04FEABF9"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东方财富证券股份有限公司</w:t>
            </w:r>
          </w:p>
        </w:tc>
        <w:tc>
          <w:tcPr>
            <w:tcW w:w="5567" w:type="dxa"/>
          </w:tcPr>
          <w:p w14:paraId="3918318B"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 xml:space="preserve">注册(办公)地址：西藏自治区拉萨市柳梧新区国际总部城10栋楼 </w:t>
            </w:r>
          </w:p>
          <w:p w14:paraId="33E580DA" w14:textId="77777777" w:rsidR="00FF7B65" w:rsidRDefault="00FF7B65">
            <w:pPr>
              <w:snapToGrid w:val="0"/>
              <w:rPr>
                <w:rFonts w:ascii="宋体" w:hAnsi="宋体" w:cs="Calibri" w:hint="eastAsia"/>
                <w:color w:val="000000"/>
                <w:szCs w:val="21"/>
              </w:rPr>
            </w:pPr>
            <w:r w:rsidRPr="0068153F">
              <w:rPr>
                <w:rFonts w:ascii="宋体" w:hAnsi="宋体" w:cs="Calibri" w:hint="eastAsia"/>
                <w:color w:val="000000"/>
                <w:szCs w:val="21"/>
              </w:rPr>
              <w:t>客户服务电话：95357</w:t>
            </w:r>
          </w:p>
          <w:p w14:paraId="36861635" w14:textId="61A6E4F3" w:rsidR="00762788" w:rsidRDefault="00762788" w:rsidP="00CF6B6F">
            <w:pPr>
              <w:snapToGrid w:val="0"/>
              <w:rPr>
                <w:rFonts w:asciiTheme="minorEastAsia" w:hAnsiTheme="minorEastAsia" w:cs="Arial" w:hint="eastAsia"/>
                <w:szCs w:val="20"/>
              </w:rPr>
            </w:pPr>
            <w:r w:rsidRPr="00762788">
              <w:rPr>
                <w:rFonts w:asciiTheme="minorEastAsia" w:hAnsiTheme="minorEastAsia" w:cs="Arial" w:hint="eastAsia"/>
                <w:szCs w:val="20"/>
              </w:rPr>
              <w:t>网址：www.18.cn</w:t>
            </w:r>
          </w:p>
        </w:tc>
      </w:tr>
      <w:tr w:rsidR="00FF7B65" w14:paraId="23B74810" w14:textId="77777777" w:rsidTr="00CF6B6F">
        <w:trPr>
          <w:trHeight w:val="20"/>
        </w:trPr>
        <w:tc>
          <w:tcPr>
            <w:tcW w:w="562" w:type="dxa"/>
          </w:tcPr>
          <w:p w14:paraId="3CFB09C6"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2</w:t>
            </w:r>
          </w:p>
        </w:tc>
        <w:tc>
          <w:tcPr>
            <w:tcW w:w="2660" w:type="dxa"/>
          </w:tcPr>
          <w:p w14:paraId="05B2C707"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567" w:type="dxa"/>
          </w:tcPr>
          <w:p w14:paraId="3689FFB5"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新区银</w:t>
            </w:r>
            <w:proofErr w:type="gramEnd"/>
            <w:r w:rsidRPr="0068153F">
              <w:rPr>
                <w:rFonts w:ascii="宋体" w:hAnsi="宋体" w:cs="Calibri" w:hint="eastAsia"/>
                <w:color w:val="000000"/>
                <w:szCs w:val="21"/>
              </w:rPr>
              <w:t>城中路488号</w:t>
            </w:r>
          </w:p>
          <w:p w14:paraId="67238404"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1503室</w:t>
            </w:r>
          </w:p>
          <w:p w14:paraId="588C6F4F"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FA655F">
              <w:rPr>
                <w:rFonts w:ascii="宋体" w:hAnsi="宋体" w:cs="Calibri" w:hint="eastAsia"/>
                <w:color w:val="000000"/>
                <w:szCs w:val="21"/>
              </w:rPr>
              <w:t>021-6537-0077</w:t>
            </w:r>
          </w:p>
          <w:p w14:paraId="1E970C15"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公司网址：</w:t>
            </w:r>
            <w:hyperlink r:id="rId12" w:tgtFrame="_blank" w:history="1">
              <w:r w:rsidRPr="0068153F">
                <w:rPr>
                  <w:rFonts w:ascii="宋体" w:hAnsi="宋体" w:cs="Calibri"/>
                  <w:color w:val="000000"/>
                  <w:szCs w:val="21"/>
                </w:rPr>
                <w:t>www.jiyufund.com.cn</w:t>
              </w:r>
            </w:hyperlink>
          </w:p>
        </w:tc>
      </w:tr>
      <w:tr w:rsidR="00FF7B65" w14:paraId="42660EF6" w14:textId="77777777" w:rsidTr="00CF6B6F">
        <w:trPr>
          <w:trHeight w:val="20"/>
        </w:trPr>
        <w:tc>
          <w:tcPr>
            <w:tcW w:w="562" w:type="dxa"/>
          </w:tcPr>
          <w:p w14:paraId="49545DC3"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3</w:t>
            </w:r>
          </w:p>
        </w:tc>
        <w:tc>
          <w:tcPr>
            <w:tcW w:w="2660" w:type="dxa"/>
          </w:tcPr>
          <w:p w14:paraId="449DD469"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rPr>
              <w:t>奕丰金融销售有限公司</w:t>
            </w:r>
          </w:p>
        </w:tc>
        <w:tc>
          <w:tcPr>
            <w:tcW w:w="5567" w:type="dxa"/>
          </w:tcPr>
          <w:p w14:paraId="75EAA06D"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w:t>
            </w:r>
            <w:r w:rsidRPr="0068153F">
              <w:rPr>
                <w:rFonts w:ascii="宋体" w:hAnsi="宋体" w:cs="Calibri"/>
                <w:color w:val="000000"/>
                <w:szCs w:val="21"/>
              </w:rPr>
              <w:t xml:space="preserve">地址: </w:t>
            </w:r>
            <w:r w:rsidRPr="0068153F">
              <w:rPr>
                <w:rFonts w:ascii="宋体" w:hAnsi="宋体" w:cs="Calibri" w:hint="eastAsia"/>
                <w:color w:val="000000"/>
                <w:szCs w:val="21"/>
              </w:rPr>
              <w:t>深圳市南山区海德三道航天科技广场A座17楼1704室</w:t>
            </w:r>
          </w:p>
          <w:p w14:paraId="45195F19"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400-684-0500</w:t>
            </w:r>
          </w:p>
          <w:p w14:paraId="79621254"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网址：</w:t>
            </w:r>
            <w:r w:rsidRPr="0068153F">
              <w:rPr>
                <w:rFonts w:ascii="宋体" w:hAnsi="宋体" w:cs="Calibri"/>
                <w:color w:val="000000"/>
                <w:szCs w:val="21"/>
              </w:rPr>
              <w:t>www.ifastps.com.cn</w:t>
            </w:r>
          </w:p>
        </w:tc>
      </w:tr>
      <w:tr w:rsidR="00FF7B65" w14:paraId="60905B6B" w14:textId="77777777" w:rsidTr="00CF6B6F">
        <w:trPr>
          <w:trHeight w:val="20"/>
        </w:trPr>
        <w:tc>
          <w:tcPr>
            <w:tcW w:w="562" w:type="dxa"/>
          </w:tcPr>
          <w:p w14:paraId="6058C350"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4</w:t>
            </w:r>
          </w:p>
        </w:tc>
        <w:tc>
          <w:tcPr>
            <w:tcW w:w="2660" w:type="dxa"/>
          </w:tcPr>
          <w:p w14:paraId="4849CCFF"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上海好买基金销售有限公司</w:t>
            </w:r>
          </w:p>
        </w:tc>
        <w:tc>
          <w:tcPr>
            <w:tcW w:w="5567" w:type="dxa"/>
          </w:tcPr>
          <w:p w14:paraId="524A32EB"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注册(办公)地址：上海市浦东新区张杨路500号华</w:t>
            </w:r>
            <w:proofErr w:type="gramStart"/>
            <w:r w:rsidRPr="0068153F">
              <w:rPr>
                <w:rFonts w:ascii="宋体" w:hAnsi="宋体" w:cs="Calibri" w:hint="eastAsia"/>
                <w:color w:val="000000"/>
                <w:szCs w:val="21"/>
              </w:rPr>
              <w:t>润时代</w:t>
            </w:r>
            <w:proofErr w:type="gramEnd"/>
            <w:r w:rsidRPr="0068153F">
              <w:rPr>
                <w:rFonts w:ascii="宋体" w:hAnsi="宋体" w:cs="Calibri" w:hint="eastAsia"/>
                <w:color w:val="000000"/>
                <w:szCs w:val="21"/>
              </w:rPr>
              <w:t>广场10、11、12、14层</w:t>
            </w:r>
          </w:p>
          <w:p w14:paraId="03904AE0"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客服电话：400-700-9665</w:t>
            </w:r>
          </w:p>
          <w:p w14:paraId="51951D42"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公司网址：www.ehowbuy.com</w:t>
            </w:r>
          </w:p>
        </w:tc>
      </w:tr>
      <w:tr w:rsidR="00FF7B65" w14:paraId="61532D34" w14:textId="77777777" w:rsidTr="00CF6B6F">
        <w:trPr>
          <w:trHeight w:val="20"/>
        </w:trPr>
        <w:tc>
          <w:tcPr>
            <w:tcW w:w="562" w:type="dxa"/>
          </w:tcPr>
          <w:p w14:paraId="1D100E09"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5</w:t>
            </w:r>
          </w:p>
        </w:tc>
        <w:tc>
          <w:tcPr>
            <w:tcW w:w="2660" w:type="dxa"/>
          </w:tcPr>
          <w:p w14:paraId="0BF733E8"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京东肯特瑞基金销售有限公司</w:t>
            </w:r>
          </w:p>
        </w:tc>
        <w:tc>
          <w:tcPr>
            <w:tcW w:w="5567" w:type="dxa"/>
          </w:tcPr>
          <w:p w14:paraId="258F0D72"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FA655F">
              <w:rPr>
                <w:rFonts w:ascii="宋体" w:hAnsi="宋体" w:cs="Calibri" w:hint="eastAsia"/>
                <w:color w:val="000000"/>
                <w:szCs w:val="21"/>
              </w:rPr>
              <w:t>北京市</w:t>
            </w:r>
            <w:proofErr w:type="gramStart"/>
            <w:r w:rsidRPr="00FA655F">
              <w:rPr>
                <w:rFonts w:ascii="宋体" w:hAnsi="宋体" w:cs="Calibri" w:hint="eastAsia"/>
                <w:color w:val="000000"/>
                <w:szCs w:val="21"/>
              </w:rPr>
              <w:t>经济技术开发区科创十一</w:t>
            </w:r>
            <w:proofErr w:type="gramEnd"/>
            <w:r w:rsidRPr="00FA655F">
              <w:rPr>
                <w:rFonts w:ascii="宋体" w:hAnsi="宋体" w:cs="Calibri" w:hint="eastAsia"/>
                <w:color w:val="000000"/>
                <w:szCs w:val="21"/>
              </w:rPr>
              <w:t>街京东总部2号</w:t>
            </w:r>
          </w:p>
          <w:p w14:paraId="7C0390CC"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客服电话：95118</w:t>
            </w:r>
          </w:p>
          <w:p w14:paraId="2FD6DFC4"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公司网址：</w:t>
            </w:r>
            <w:r w:rsidRPr="0068153F">
              <w:rPr>
                <w:rFonts w:ascii="宋体" w:hAnsi="宋体" w:cs="Calibri"/>
                <w:color w:val="000000"/>
                <w:szCs w:val="21"/>
              </w:rPr>
              <w:t>https://kenterui.jd.com/</w:t>
            </w:r>
          </w:p>
        </w:tc>
      </w:tr>
      <w:tr w:rsidR="00FF7B65" w14:paraId="6DF40A84" w14:textId="77777777" w:rsidTr="00CF6B6F">
        <w:trPr>
          <w:trHeight w:val="20"/>
        </w:trPr>
        <w:tc>
          <w:tcPr>
            <w:tcW w:w="562" w:type="dxa"/>
          </w:tcPr>
          <w:p w14:paraId="4EFA1D46"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6</w:t>
            </w:r>
          </w:p>
        </w:tc>
        <w:tc>
          <w:tcPr>
            <w:tcW w:w="2660" w:type="dxa"/>
          </w:tcPr>
          <w:p w14:paraId="6C41EA28"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蚂蚁（杭州）基金销售有限公司</w:t>
            </w:r>
          </w:p>
        </w:tc>
        <w:tc>
          <w:tcPr>
            <w:tcW w:w="5567" w:type="dxa"/>
          </w:tcPr>
          <w:p w14:paraId="37C0F7AB"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注册(办公)地址：浙江省杭州市余杭区五常街道文</w:t>
            </w:r>
            <w:proofErr w:type="gramStart"/>
            <w:r w:rsidRPr="0068153F">
              <w:rPr>
                <w:rFonts w:ascii="宋体" w:hAnsi="宋体" w:cs="Calibri" w:hint="eastAsia"/>
                <w:color w:val="000000"/>
                <w:szCs w:val="21"/>
              </w:rPr>
              <w:t>一</w:t>
            </w:r>
            <w:proofErr w:type="gramEnd"/>
            <w:r w:rsidRPr="0068153F">
              <w:rPr>
                <w:rFonts w:ascii="宋体" w:hAnsi="宋体" w:cs="Calibri" w:hint="eastAsia"/>
                <w:color w:val="000000"/>
                <w:szCs w:val="21"/>
              </w:rPr>
              <w:t>西路969号3幢5层599室</w:t>
            </w:r>
          </w:p>
          <w:p w14:paraId="00EA2DC5"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95188</w:t>
            </w:r>
          </w:p>
          <w:p w14:paraId="32EA9F75"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www.fund123.cn</w:t>
            </w:r>
          </w:p>
        </w:tc>
      </w:tr>
      <w:tr w:rsidR="00FF7B65" w14:paraId="1B57005F" w14:textId="77777777" w:rsidTr="00CF6B6F">
        <w:trPr>
          <w:trHeight w:val="20"/>
        </w:trPr>
        <w:tc>
          <w:tcPr>
            <w:tcW w:w="562" w:type="dxa"/>
          </w:tcPr>
          <w:p w14:paraId="46446C71"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7</w:t>
            </w:r>
          </w:p>
        </w:tc>
        <w:tc>
          <w:tcPr>
            <w:tcW w:w="2660" w:type="dxa"/>
          </w:tcPr>
          <w:p w14:paraId="4A00FE4C"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567" w:type="dxa"/>
          </w:tcPr>
          <w:p w14:paraId="23287BE2"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注册(办公)地址：杭州市西湖区文二西路1号元茂大厦903室</w:t>
            </w:r>
          </w:p>
          <w:p w14:paraId="63255182"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952555</w:t>
            </w:r>
          </w:p>
          <w:p w14:paraId="29B4E236"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lastRenderedPageBreak/>
              <w:t>网址：</w:t>
            </w:r>
            <w:hyperlink r:id="rId13" w:history="1">
              <w:r w:rsidRPr="0068153F">
                <w:rPr>
                  <w:rFonts w:ascii="宋体" w:hAnsi="宋体" w:cs="Calibri" w:hint="eastAsia"/>
                  <w:color w:val="000000"/>
                  <w:szCs w:val="21"/>
                </w:rPr>
                <w:t>www.5ifund.com</w:t>
              </w:r>
            </w:hyperlink>
          </w:p>
        </w:tc>
      </w:tr>
      <w:tr w:rsidR="00FF7B65" w14:paraId="1BB87004" w14:textId="77777777" w:rsidTr="00CF6B6F">
        <w:trPr>
          <w:trHeight w:val="20"/>
        </w:trPr>
        <w:tc>
          <w:tcPr>
            <w:tcW w:w="562" w:type="dxa"/>
          </w:tcPr>
          <w:p w14:paraId="73B5EC50"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lastRenderedPageBreak/>
              <w:t>8</w:t>
            </w:r>
          </w:p>
        </w:tc>
        <w:tc>
          <w:tcPr>
            <w:tcW w:w="2660" w:type="dxa"/>
          </w:tcPr>
          <w:p w14:paraId="2537B4EC"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567" w:type="dxa"/>
          </w:tcPr>
          <w:p w14:paraId="65247EF3"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注册(办公)地址：中国（上海）自由贸易试验区源深路1</w:t>
            </w:r>
            <w:r w:rsidRPr="0068153F">
              <w:rPr>
                <w:rFonts w:ascii="宋体" w:hAnsi="宋体" w:cs="Calibri"/>
                <w:color w:val="000000"/>
                <w:szCs w:val="21"/>
              </w:rPr>
              <w:t>088</w:t>
            </w:r>
            <w:r w:rsidRPr="0068153F">
              <w:rPr>
                <w:rFonts w:ascii="宋体" w:hAnsi="宋体" w:cs="Calibri" w:hint="eastAsia"/>
                <w:color w:val="000000"/>
                <w:szCs w:val="21"/>
              </w:rPr>
              <w:t>号7层</w:t>
            </w:r>
          </w:p>
          <w:p w14:paraId="4427197A"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4008219031</w:t>
            </w:r>
          </w:p>
          <w:p w14:paraId="2B09380F"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公司网址：</w:t>
            </w:r>
            <w:r w:rsidRPr="0068153F">
              <w:rPr>
                <w:rFonts w:ascii="宋体" w:hAnsi="宋体" w:cs="Calibri"/>
                <w:color w:val="000000"/>
                <w:szCs w:val="21"/>
              </w:rPr>
              <w:t>www.lufunds.com</w:t>
            </w:r>
          </w:p>
        </w:tc>
      </w:tr>
      <w:tr w:rsidR="00FF7B65" w14:paraId="5239DFBC" w14:textId="77777777" w:rsidTr="00CF6B6F">
        <w:trPr>
          <w:trHeight w:val="20"/>
        </w:trPr>
        <w:tc>
          <w:tcPr>
            <w:tcW w:w="562" w:type="dxa"/>
          </w:tcPr>
          <w:p w14:paraId="0DAE17C2"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9</w:t>
            </w:r>
          </w:p>
        </w:tc>
        <w:tc>
          <w:tcPr>
            <w:tcW w:w="2660" w:type="dxa"/>
          </w:tcPr>
          <w:p w14:paraId="6AD219D5"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上海联泰资产管理有限公司</w:t>
            </w:r>
          </w:p>
        </w:tc>
        <w:tc>
          <w:tcPr>
            <w:tcW w:w="5567" w:type="dxa"/>
          </w:tcPr>
          <w:p w14:paraId="1935EE9A"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注册(办公)地址：上海市虹口区北外滩</w:t>
            </w:r>
            <w:proofErr w:type="gramStart"/>
            <w:r w:rsidRPr="0068153F">
              <w:rPr>
                <w:rFonts w:ascii="宋体" w:hAnsi="宋体" w:cs="Calibri" w:hint="eastAsia"/>
                <w:color w:val="000000"/>
                <w:szCs w:val="21"/>
              </w:rPr>
              <w:t>临潼路</w:t>
            </w:r>
            <w:proofErr w:type="gramEnd"/>
            <w:r w:rsidRPr="0068153F">
              <w:rPr>
                <w:rFonts w:ascii="宋体" w:hAnsi="宋体" w:cs="Calibri" w:hint="eastAsia"/>
                <w:color w:val="000000"/>
                <w:szCs w:val="21"/>
              </w:rPr>
              <w:t>188号</w:t>
            </w:r>
          </w:p>
          <w:p w14:paraId="450F44EA"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400-118-1188</w:t>
            </w:r>
          </w:p>
          <w:p w14:paraId="75D39CF8"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公司网址：</w:t>
            </w:r>
            <w:r w:rsidRPr="0068153F">
              <w:rPr>
                <w:rFonts w:ascii="宋体" w:hAnsi="宋体" w:cs="Calibri"/>
                <w:color w:val="000000"/>
                <w:szCs w:val="21"/>
              </w:rPr>
              <w:t xml:space="preserve"> https://www.66liantai.com/</w:t>
            </w:r>
          </w:p>
        </w:tc>
      </w:tr>
      <w:tr w:rsidR="00FF7B65" w14:paraId="73AF8C08" w14:textId="77777777" w:rsidTr="00CF6B6F">
        <w:trPr>
          <w:trHeight w:val="20"/>
        </w:trPr>
        <w:tc>
          <w:tcPr>
            <w:tcW w:w="562" w:type="dxa"/>
          </w:tcPr>
          <w:p w14:paraId="11492310"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10</w:t>
            </w:r>
          </w:p>
        </w:tc>
        <w:tc>
          <w:tcPr>
            <w:tcW w:w="2660" w:type="dxa"/>
          </w:tcPr>
          <w:p w14:paraId="3DD2E8A4"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深圳市金斧子基金销售有限公司</w:t>
            </w:r>
          </w:p>
        </w:tc>
        <w:tc>
          <w:tcPr>
            <w:tcW w:w="5567" w:type="dxa"/>
          </w:tcPr>
          <w:p w14:paraId="5F33AE86"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注册(办公)地址：深圳市南山区粤海街道科技园社区科苑路15号科兴科学园B栋B3-1801</w:t>
            </w:r>
          </w:p>
          <w:p w14:paraId="5CBB2771"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400-8224-888</w:t>
            </w:r>
          </w:p>
          <w:p w14:paraId="12E4EEF3"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公司网址：www.jfzinv.com</w:t>
            </w:r>
          </w:p>
        </w:tc>
      </w:tr>
      <w:tr w:rsidR="00FF7B65" w14:paraId="0D1EA17D" w14:textId="77777777" w:rsidTr="00CF6B6F">
        <w:trPr>
          <w:trHeight w:val="20"/>
        </w:trPr>
        <w:tc>
          <w:tcPr>
            <w:tcW w:w="562" w:type="dxa"/>
          </w:tcPr>
          <w:p w14:paraId="309C121B"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11</w:t>
            </w:r>
          </w:p>
        </w:tc>
        <w:tc>
          <w:tcPr>
            <w:tcW w:w="2660" w:type="dxa"/>
          </w:tcPr>
          <w:p w14:paraId="6E6F71BE"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上海天天基金销售有限公司</w:t>
            </w:r>
          </w:p>
        </w:tc>
        <w:tc>
          <w:tcPr>
            <w:tcW w:w="5567" w:type="dxa"/>
          </w:tcPr>
          <w:p w14:paraId="446B815B"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注册(办公)地址：上海市徐汇区宛平南路88号东方财富大厦</w:t>
            </w:r>
          </w:p>
          <w:p w14:paraId="6B4E594C"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95021</w:t>
            </w:r>
          </w:p>
          <w:p w14:paraId="37C49F43"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公司网址：</w:t>
            </w:r>
            <w:r w:rsidRPr="0068153F">
              <w:rPr>
                <w:rFonts w:ascii="宋体" w:hAnsi="宋体" w:cs="Calibri"/>
                <w:color w:val="000000"/>
                <w:szCs w:val="21"/>
              </w:rPr>
              <w:t xml:space="preserve"> fund.eastmoney.com</w:t>
            </w:r>
          </w:p>
        </w:tc>
      </w:tr>
      <w:tr w:rsidR="00FF7B65" w14:paraId="57B01733" w14:textId="77777777" w:rsidTr="00CF6B6F">
        <w:trPr>
          <w:trHeight w:val="20"/>
        </w:trPr>
        <w:tc>
          <w:tcPr>
            <w:tcW w:w="562" w:type="dxa"/>
          </w:tcPr>
          <w:p w14:paraId="6B25EB36"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12</w:t>
            </w:r>
          </w:p>
        </w:tc>
        <w:tc>
          <w:tcPr>
            <w:tcW w:w="2660" w:type="dxa"/>
          </w:tcPr>
          <w:p w14:paraId="28BD564D"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567" w:type="dxa"/>
          </w:tcPr>
          <w:p w14:paraId="02A4A02B"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注册(办公)地址：广州市海</w:t>
            </w:r>
            <w:proofErr w:type="gramStart"/>
            <w:r w:rsidRPr="0068153F">
              <w:rPr>
                <w:rFonts w:ascii="宋体" w:hAnsi="宋体" w:cs="Calibri" w:hint="eastAsia"/>
                <w:color w:val="000000"/>
                <w:szCs w:val="21"/>
              </w:rPr>
              <w:t>珠区阅江</w:t>
            </w:r>
            <w:proofErr w:type="gramEnd"/>
            <w:r w:rsidRPr="0068153F">
              <w:rPr>
                <w:rFonts w:ascii="宋体" w:hAnsi="宋体" w:cs="Calibri" w:hint="eastAsia"/>
                <w:color w:val="000000"/>
                <w:szCs w:val="21"/>
              </w:rPr>
              <w:t>中路688号保利国际广场北塔33楼、8楼</w:t>
            </w:r>
          </w:p>
          <w:p w14:paraId="00A13D15"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020-89629066</w:t>
            </w:r>
          </w:p>
          <w:p w14:paraId="44B10F98"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公司网址：</w:t>
            </w:r>
            <w:r w:rsidRPr="0068153F">
              <w:rPr>
                <w:rFonts w:ascii="宋体" w:hAnsi="宋体" w:cs="Calibri"/>
                <w:color w:val="000000"/>
                <w:szCs w:val="21"/>
              </w:rPr>
              <w:t>www.yingmi.cn</w:t>
            </w:r>
          </w:p>
        </w:tc>
      </w:tr>
      <w:tr w:rsidR="00FF7B65" w14:paraId="616A88B8" w14:textId="77777777" w:rsidTr="00CF6B6F">
        <w:trPr>
          <w:trHeight w:val="20"/>
        </w:trPr>
        <w:tc>
          <w:tcPr>
            <w:tcW w:w="562" w:type="dxa"/>
          </w:tcPr>
          <w:p w14:paraId="1976D639"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13</w:t>
            </w:r>
          </w:p>
        </w:tc>
        <w:tc>
          <w:tcPr>
            <w:tcW w:w="2660" w:type="dxa"/>
          </w:tcPr>
          <w:p w14:paraId="7F050240"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567" w:type="dxa"/>
          </w:tcPr>
          <w:p w14:paraId="7E343E44"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注册(办公)地址：上海市浦东新区东方路1267号陆家嘴金融服务广场二期11层</w:t>
            </w:r>
          </w:p>
          <w:p w14:paraId="3545C1FF"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客服电话：400-820-2899</w:t>
            </w:r>
          </w:p>
          <w:p w14:paraId="503020E3"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公司网站： www.erichfund.com</w:t>
            </w:r>
          </w:p>
        </w:tc>
      </w:tr>
      <w:tr w:rsidR="00FF7B65" w14:paraId="50A8D313" w14:textId="77777777" w:rsidTr="00CF6B6F">
        <w:trPr>
          <w:trHeight w:val="20"/>
        </w:trPr>
        <w:tc>
          <w:tcPr>
            <w:tcW w:w="562" w:type="dxa"/>
          </w:tcPr>
          <w:p w14:paraId="4F0BD608"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14</w:t>
            </w:r>
          </w:p>
        </w:tc>
        <w:tc>
          <w:tcPr>
            <w:tcW w:w="2660" w:type="dxa"/>
          </w:tcPr>
          <w:p w14:paraId="141ECCEC"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北京汇成基金销售有限公司</w:t>
            </w:r>
          </w:p>
        </w:tc>
        <w:tc>
          <w:tcPr>
            <w:tcW w:w="5567" w:type="dxa"/>
          </w:tcPr>
          <w:p w14:paraId="7CA82F4E" w14:textId="77777777" w:rsidR="00FF7B65" w:rsidRPr="00E75EFA"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E75EFA">
              <w:rPr>
                <w:rFonts w:ascii="宋体" w:hAnsi="宋体" w:cs="Calibri"/>
                <w:color w:val="000000"/>
                <w:szCs w:val="21"/>
              </w:rPr>
              <w:t>北京市西城区宣武门外大街甲1号</w:t>
            </w:r>
            <w:proofErr w:type="gramStart"/>
            <w:r w:rsidRPr="00E75EFA">
              <w:rPr>
                <w:rFonts w:ascii="宋体" w:hAnsi="宋体" w:cs="Calibri"/>
                <w:color w:val="000000"/>
                <w:szCs w:val="21"/>
              </w:rPr>
              <w:t>环球财讯中心</w:t>
            </w:r>
            <w:proofErr w:type="gramEnd"/>
            <w:r w:rsidRPr="00E75EFA">
              <w:rPr>
                <w:rFonts w:ascii="宋体" w:hAnsi="宋体" w:cs="Calibri"/>
                <w:color w:val="000000"/>
                <w:szCs w:val="21"/>
              </w:rPr>
              <w:t>D座4层</w:t>
            </w:r>
          </w:p>
          <w:p w14:paraId="5B2BBEAB"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400-055-5728</w:t>
            </w:r>
          </w:p>
          <w:p w14:paraId="383E7F5D"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www.hcjijin.com</w:t>
            </w:r>
          </w:p>
        </w:tc>
      </w:tr>
      <w:tr w:rsidR="00FF7B65" w14:paraId="49102F34" w14:textId="77777777" w:rsidTr="00CF6B6F">
        <w:trPr>
          <w:trHeight w:val="20"/>
        </w:trPr>
        <w:tc>
          <w:tcPr>
            <w:tcW w:w="562" w:type="dxa"/>
          </w:tcPr>
          <w:p w14:paraId="77B653E5"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15</w:t>
            </w:r>
          </w:p>
        </w:tc>
        <w:tc>
          <w:tcPr>
            <w:tcW w:w="2660" w:type="dxa"/>
          </w:tcPr>
          <w:p w14:paraId="28BD69C9"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深圳市新兰德证券投资咨询有限公司</w:t>
            </w:r>
          </w:p>
        </w:tc>
        <w:tc>
          <w:tcPr>
            <w:tcW w:w="5567" w:type="dxa"/>
          </w:tcPr>
          <w:p w14:paraId="05900596"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注册(办公)地址：深圳市福田区梅林</w:t>
            </w:r>
            <w:proofErr w:type="gramStart"/>
            <w:r w:rsidRPr="0068153F">
              <w:rPr>
                <w:rFonts w:ascii="宋体" w:hAnsi="宋体" w:cs="Calibri" w:hint="eastAsia"/>
                <w:color w:val="000000"/>
                <w:szCs w:val="21"/>
              </w:rPr>
              <w:t>街道梅都社区</w:t>
            </w:r>
            <w:proofErr w:type="gramEnd"/>
            <w:r w:rsidRPr="0068153F">
              <w:rPr>
                <w:rFonts w:ascii="宋体" w:hAnsi="宋体" w:cs="Calibri" w:hint="eastAsia"/>
                <w:color w:val="000000"/>
                <w:szCs w:val="21"/>
              </w:rPr>
              <w:t>中康路136号深圳新一代产业园2栋3401</w:t>
            </w:r>
          </w:p>
          <w:p w14:paraId="0132FC80"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w:t>
            </w:r>
            <w:r w:rsidRPr="0068153F">
              <w:rPr>
                <w:rFonts w:ascii="宋体" w:hAnsi="宋体" w:cs="Calibri" w:hint="eastAsia"/>
                <w:color w:val="000000"/>
                <w:szCs w:val="21"/>
              </w:rPr>
              <w:t>-</w:t>
            </w:r>
            <w:r w:rsidRPr="0068153F">
              <w:rPr>
                <w:rFonts w:ascii="宋体" w:hAnsi="宋体" w:cs="Calibri"/>
                <w:color w:val="000000"/>
                <w:szCs w:val="21"/>
              </w:rPr>
              <w:t>83275199</w:t>
            </w:r>
            <w:r w:rsidRPr="0068153F">
              <w:rPr>
                <w:rFonts w:ascii="宋体" w:hAnsi="宋体" w:cs="Calibri"/>
                <w:color w:val="000000"/>
                <w:szCs w:val="21"/>
              </w:rPr>
              <w:tab/>
            </w:r>
          </w:p>
          <w:p w14:paraId="1C0D6609"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公司网址：</w:t>
            </w:r>
            <w:r w:rsidRPr="0068153F">
              <w:rPr>
                <w:rFonts w:ascii="宋体" w:hAnsi="宋体" w:cs="Calibri"/>
                <w:color w:val="000000"/>
                <w:szCs w:val="21"/>
              </w:rPr>
              <w:t>http://www.new-rand.cn/</w:t>
            </w:r>
          </w:p>
        </w:tc>
      </w:tr>
      <w:tr w:rsidR="00FF7B65" w14:paraId="2B1E48E4" w14:textId="77777777" w:rsidTr="00CF6B6F">
        <w:trPr>
          <w:trHeight w:val="20"/>
        </w:trPr>
        <w:tc>
          <w:tcPr>
            <w:tcW w:w="562" w:type="dxa"/>
          </w:tcPr>
          <w:p w14:paraId="0CEFAB42"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16</w:t>
            </w:r>
          </w:p>
        </w:tc>
        <w:tc>
          <w:tcPr>
            <w:tcW w:w="2660" w:type="dxa"/>
          </w:tcPr>
          <w:p w14:paraId="6189B82D"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济安财富（北京）基金销售有限公司</w:t>
            </w:r>
          </w:p>
        </w:tc>
        <w:tc>
          <w:tcPr>
            <w:tcW w:w="5567" w:type="dxa"/>
          </w:tcPr>
          <w:p w14:paraId="7B6B6ED6"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A13A49">
              <w:rPr>
                <w:rFonts w:ascii="宋体" w:hAnsi="宋体" w:cs="Calibri" w:hint="eastAsia"/>
                <w:color w:val="000000"/>
                <w:szCs w:val="21"/>
              </w:rPr>
              <w:t>北京市朝阳区太阳宫中路16号院1号</w:t>
            </w:r>
            <w:proofErr w:type="gramStart"/>
            <w:r w:rsidRPr="00A13A49">
              <w:rPr>
                <w:rFonts w:ascii="宋体" w:hAnsi="宋体" w:cs="Calibri" w:hint="eastAsia"/>
                <w:color w:val="000000"/>
                <w:szCs w:val="21"/>
              </w:rPr>
              <w:t>楼冠捷大厦</w:t>
            </w:r>
            <w:proofErr w:type="gramEnd"/>
            <w:r w:rsidRPr="00A13A49">
              <w:rPr>
                <w:rFonts w:ascii="宋体" w:hAnsi="宋体" w:cs="Calibri" w:hint="eastAsia"/>
                <w:color w:val="000000"/>
                <w:szCs w:val="21"/>
              </w:rPr>
              <w:t>3层307单元</w:t>
            </w:r>
          </w:p>
          <w:p w14:paraId="71DFA087" w14:textId="7F453785" w:rsidR="00FF7B65" w:rsidRDefault="00FF7B65" w:rsidP="00CF6B6F">
            <w:pPr>
              <w:snapToGrid w:val="0"/>
              <w:rPr>
                <w:rFonts w:asciiTheme="minorEastAsia" w:hAnsiTheme="minorEastAsia" w:cs="Arial" w:hint="eastAsia"/>
                <w:szCs w:val="20"/>
              </w:rPr>
            </w:pPr>
            <w:r w:rsidRPr="0068153F">
              <w:rPr>
                <w:rFonts w:ascii="宋体" w:hAnsi="宋体" w:cs="Calibri" w:hint="eastAsia"/>
                <w:color w:val="000000"/>
                <w:szCs w:val="21"/>
              </w:rPr>
              <w:t>客户服务电话：</w:t>
            </w:r>
            <w:r w:rsidRPr="0068153F">
              <w:rPr>
                <w:rFonts w:ascii="宋体" w:hAnsi="宋体" w:cs="Calibri"/>
                <w:color w:val="000000"/>
                <w:szCs w:val="21"/>
              </w:rPr>
              <w:t>400-673-7010</w:t>
            </w:r>
          </w:p>
        </w:tc>
      </w:tr>
      <w:tr w:rsidR="00FF7B65" w14:paraId="183F1CBA" w14:textId="77777777" w:rsidTr="00CF6B6F">
        <w:trPr>
          <w:trHeight w:val="20"/>
        </w:trPr>
        <w:tc>
          <w:tcPr>
            <w:tcW w:w="562" w:type="dxa"/>
          </w:tcPr>
          <w:p w14:paraId="43DF1165"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17</w:t>
            </w:r>
          </w:p>
        </w:tc>
        <w:tc>
          <w:tcPr>
            <w:tcW w:w="2660" w:type="dxa"/>
          </w:tcPr>
          <w:p w14:paraId="5FAB1CDE"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567" w:type="dxa"/>
          </w:tcPr>
          <w:p w14:paraId="427F4DEF"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注册（办公）地址：深圳市罗湖区梨园路Halo广场4楼</w:t>
            </w:r>
          </w:p>
          <w:p w14:paraId="28DDA922"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4006-788-887</w:t>
            </w:r>
          </w:p>
          <w:p w14:paraId="5AAE58FD"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网址：</w:t>
            </w:r>
            <w:proofErr w:type="gramStart"/>
            <w:r w:rsidRPr="0068153F">
              <w:rPr>
                <w:rFonts w:ascii="宋体" w:hAnsi="宋体" w:cs="Calibri" w:hint="eastAsia"/>
                <w:color w:val="000000"/>
                <w:szCs w:val="21"/>
              </w:rPr>
              <w:t>众禄基金</w:t>
            </w:r>
            <w:proofErr w:type="gramEnd"/>
            <w:r w:rsidRPr="0068153F">
              <w:rPr>
                <w:rFonts w:ascii="宋体" w:hAnsi="宋体" w:cs="Calibri" w:hint="eastAsia"/>
                <w:color w:val="000000"/>
                <w:szCs w:val="21"/>
              </w:rPr>
              <w:t>网</w:t>
            </w:r>
            <w:r w:rsidRPr="0068153F">
              <w:rPr>
                <w:rFonts w:ascii="宋体" w:hAnsi="宋体" w:cs="Calibri"/>
                <w:color w:val="000000"/>
                <w:szCs w:val="21"/>
              </w:rPr>
              <w:t xml:space="preserve"> </w:t>
            </w:r>
            <w:hyperlink r:id="rId14" w:history="1">
              <w:r w:rsidRPr="0068153F">
                <w:rPr>
                  <w:rFonts w:ascii="宋体" w:hAnsi="宋体" w:cs="Calibri"/>
                  <w:color w:val="000000"/>
                  <w:szCs w:val="21"/>
                </w:rPr>
                <w:t>www.zlfund.cn</w:t>
              </w:r>
            </w:hyperlink>
          </w:p>
          <w:p w14:paraId="6D98C15E"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基金</w:t>
            </w:r>
            <w:proofErr w:type="gramStart"/>
            <w:r w:rsidRPr="0068153F">
              <w:rPr>
                <w:rFonts w:ascii="宋体" w:hAnsi="宋体" w:cs="Calibri" w:hint="eastAsia"/>
                <w:color w:val="000000"/>
                <w:szCs w:val="21"/>
              </w:rPr>
              <w:t>买卖网</w:t>
            </w:r>
            <w:proofErr w:type="gramEnd"/>
            <w:r w:rsidRPr="0068153F">
              <w:rPr>
                <w:rFonts w:ascii="宋体" w:hAnsi="宋体" w:cs="Calibri"/>
                <w:color w:val="000000"/>
                <w:szCs w:val="21"/>
              </w:rPr>
              <w:t xml:space="preserve"> </w:t>
            </w:r>
            <w:hyperlink r:id="rId15" w:history="1">
              <w:r w:rsidRPr="0068153F">
                <w:rPr>
                  <w:rFonts w:ascii="宋体" w:hAnsi="宋体" w:cs="Calibri"/>
                  <w:color w:val="000000"/>
                  <w:szCs w:val="21"/>
                </w:rPr>
                <w:t>www.jjmmw.com</w:t>
              </w:r>
            </w:hyperlink>
          </w:p>
        </w:tc>
      </w:tr>
      <w:tr w:rsidR="00FF7B65" w14:paraId="5F65C04B" w14:textId="77777777" w:rsidTr="00CF6B6F">
        <w:trPr>
          <w:trHeight w:val="20"/>
        </w:trPr>
        <w:tc>
          <w:tcPr>
            <w:tcW w:w="562" w:type="dxa"/>
          </w:tcPr>
          <w:p w14:paraId="483DBC80"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18</w:t>
            </w:r>
          </w:p>
        </w:tc>
        <w:tc>
          <w:tcPr>
            <w:tcW w:w="2660" w:type="dxa"/>
          </w:tcPr>
          <w:p w14:paraId="0375456F" w14:textId="77777777" w:rsidR="00FF7B65" w:rsidRDefault="00FF7B65" w:rsidP="00B5005C">
            <w:pPr>
              <w:jc w:val="left"/>
              <w:rPr>
                <w:rFonts w:asciiTheme="minorEastAsia" w:hAnsiTheme="minorEastAsia" w:cs="Arial" w:hint="eastAsia"/>
                <w:szCs w:val="20"/>
              </w:rPr>
            </w:pPr>
            <w:r>
              <w:rPr>
                <w:rFonts w:hint="eastAsia"/>
              </w:rPr>
              <w:t>北京雪球基金销售有限公司</w:t>
            </w:r>
          </w:p>
        </w:tc>
        <w:tc>
          <w:tcPr>
            <w:tcW w:w="5567" w:type="dxa"/>
          </w:tcPr>
          <w:p w14:paraId="44F55903" w14:textId="77777777" w:rsidR="00FF7B65" w:rsidRPr="0068153F" w:rsidRDefault="00FF7B65" w:rsidP="00B5005C">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注册（办公）地址：北京市朝阳区创远路34号院6号楼15层1501室</w:t>
            </w:r>
          </w:p>
          <w:p w14:paraId="1364AFF2" w14:textId="77777777" w:rsidR="00FF7B65" w:rsidRPr="0068153F" w:rsidRDefault="00FF7B65" w:rsidP="00B5005C">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400-159-9288</w:t>
            </w:r>
          </w:p>
          <w:p w14:paraId="18BE80F4"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网址：</w:t>
            </w:r>
            <w:hyperlink r:id="rId16" w:history="1">
              <w:r w:rsidRPr="0068153F">
                <w:rPr>
                  <w:rFonts w:ascii="宋体" w:hAnsi="宋体" w:cs="Calibri"/>
                  <w:color w:val="000000"/>
                  <w:szCs w:val="21"/>
                </w:rPr>
                <w:t>http://danjuanapp.com/</w:t>
              </w:r>
            </w:hyperlink>
          </w:p>
        </w:tc>
      </w:tr>
      <w:tr w:rsidR="00FF7B65" w14:paraId="728F474C" w14:textId="77777777" w:rsidTr="00CF6B6F">
        <w:trPr>
          <w:trHeight w:val="20"/>
        </w:trPr>
        <w:tc>
          <w:tcPr>
            <w:tcW w:w="562" w:type="dxa"/>
          </w:tcPr>
          <w:p w14:paraId="5D8EEB2A"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19</w:t>
            </w:r>
          </w:p>
        </w:tc>
        <w:tc>
          <w:tcPr>
            <w:tcW w:w="2660" w:type="dxa"/>
          </w:tcPr>
          <w:p w14:paraId="4EE09601"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上海</w:t>
            </w:r>
            <w:r>
              <w:rPr>
                <w:rFonts w:ascii="宋体" w:hAnsi="宋体" w:cs="Calibri"/>
                <w:color w:val="000000"/>
                <w:szCs w:val="21"/>
              </w:rPr>
              <w:t>挖财基金销售有限公司</w:t>
            </w:r>
          </w:p>
        </w:tc>
        <w:tc>
          <w:tcPr>
            <w:tcW w:w="5567" w:type="dxa"/>
          </w:tcPr>
          <w:p w14:paraId="18E785D9"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新区杨</w:t>
            </w:r>
            <w:proofErr w:type="gramEnd"/>
            <w:r w:rsidRPr="0068153F">
              <w:rPr>
                <w:rFonts w:ascii="宋体" w:hAnsi="宋体" w:cs="Calibri" w:hint="eastAsia"/>
                <w:color w:val="000000"/>
                <w:szCs w:val="21"/>
              </w:rPr>
              <w:t>高南路759号2号楼18层03单元</w:t>
            </w:r>
          </w:p>
          <w:p w14:paraId="05069560"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021-50810673</w:t>
            </w:r>
          </w:p>
          <w:p w14:paraId="689D388C"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网址：</w:t>
            </w:r>
            <w:r w:rsidRPr="0068153F">
              <w:rPr>
                <w:rFonts w:ascii="宋体" w:hAnsi="宋体" w:cs="Calibri"/>
                <w:color w:val="000000"/>
                <w:szCs w:val="21"/>
              </w:rPr>
              <w:t> </w:t>
            </w:r>
            <w:hyperlink r:id="rId17" w:history="1">
              <w:r w:rsidRPr="0068153F">
                <w:rPr>
                  <w:rFonts w:ascii="宋体" w:hAnsi="宋体" w:cs="Calibri"/>
                  <w:color w:val="000000"/>
                  <w:szCs w:val="21"/>
                </w:rPr>
                <w:t>www.wacaijijin.com</w:t>
              </w:r>
            </w:hyperlink>
          </w:p>
        </w:tc>
      </w:tr>
      <w:tr w:rsidR="00FF7B65" w14:paraId="44D27421" w14:textId="77777777" w:rsidTr="00CF6B6F">
        <w:trPr>
          <w:trHeight w:val="20"/>
        </w:trPr>
        <w:tc>
          <w:tcPr>
            <w:tcW w:w="562" w:type="dxa"/>
          </w:tcPr>
          <w:p w14:paraId="7DAF12C9"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20</w:t>
            </w:r>
          </w:p>
        </w:tc>
        <w:tc>
          <w:tcPr>
            <w:tcW w:w="2660" w:type="dxa"/>
          </w:tcPr>
          <w:p w14:paraId="4070A3AD"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w:t>
            </w:r>
            <w:r>
              <w:rPr>
                <w:rFonts w:ascii="宋体" w:hAnsi="宋体" w:cs="Calibri" w:hint="eastAsia"/>
                <w:color w:val="000000"/>
                <w:szCs w:val="21"/>
              </w:rPr>
              <w:lastRenderedPageBreak/>
              <w:t>司</w:t>
            </w:r>
          </w:p>
        </w:tc>
        <w:tc>
          <w:tcPr>
            <w:tcW w:w="5567" w:type="dxa"/>
          </w:tcPr>
          <w:p w14:paraId="3C440B06"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lastRenderedPageBreak/>
              <w:t>注册(办公)地址：上海市</w:t>
            </w:r>
            <w:proofErr w:type="gramStart"/>
            <w:r w:rsidRPr="0068153F">
              <w:rPr>
                <w:rFonts w:ascii="宋体" w:hAnsi="宋体" w:cs="Calibri" w:hint="eastAsia"/>
                <w:color w:val="000000"/>
                <w:szCs w:val="21"/>
              </w:rPr>
              <w:t>闵行区申滨南路</w:t>
            </w:r>
            <w:proofErr w:type="gramEnd"/>
            <w:r w:rsidRPr="0068153F">
              <w:rPr>
                <w:rFonts w:ascii="宋体" w:hAnsi="宋体" w:cs="Calibri" w:hint="eastAsia"/>
                <w:color w:val="000000"/>
                <w:szCs w:val="21"/>
              </w:rPr>
              <w:t>1226号诺亚财富</w:t>
            </w:r>
            <w:r w:rsidRPr="0068153F">
              <w:rPr>
                <w:rFonts w:ascii="宋体" w:hAnsi="宋体" w:cs="Calibri" w:hint="eastAsia"/>
                <w:color w:val="000000"/>
                <w:szCs w:val="21"/>
              </w:rPr>
              <w:lastRenderedPageBreak/>
              <w:t>中心</w:t>
            </w:r>
          </w:p>
          <w:p w14:paraId="1967C398"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400-821-5399</w:t>
            </w:r>
          </w:p>
          <w:p w14:paraId="3CC74C9A"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网址：www.noah-fund.com</w:t>
            </w:r>
          </w:p>
        </w:tc>
      </w:tr>
      <w:tr w:rsidR="00FF7B65" w14:paraId="435BA00E" w14:textId="77777777" w:rsidTr="00CF6B6F">
        <w:trPr>
          <w:trHeight w:val="20"/>
        </w:trPr>
        <w:tc>
          <w:tcPr>
            <w:tcW w:w="562" w:type="dxa"/>
          </w:tcPr>
          <w:p w14:paraId="58BDFB11"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lastRenderedPageBreak/>
              <w:t>21</w:t>
            </w:r>
          </w:p>
        </w:tc>
        <w:tc>
          <w:tcPr>
            <w:tcW w:w="2660" w:type="dxa"/>
          </w:tcPr>
          <w:p w14:paraId="0B55964B"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567" w:type="dxa"/>
          </w:tcPr>
          <w:p w14:paraId="6D7369ED"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注册（办公）地址：上海市黄浦区延安东路1号</w:t>
            </w:r>
            <w:proofErr w:type="gramStart"/>
            <w:r w:rsidRPr="0068153F">
              <w:rPr>
                <w:rFonts w:ascii="宋体" w:hAnsi="宋体" w:cs="Calibri" w:hint="eastAsia"/>
                <w:color w:val="000000"/>
                <w:szCs w:val="21"/>
              </w:rPr>
              <w:t>凯</w:t>
            </w:r>
            <w:proofErr w:type="gramEnd"/>
            <w:r w:rsidRPr="0068153F">
              <w:rPr>
                <w:rFonts w:ascii="宋体" w:hAnsi="宋体" w:cs="Calibri" w:hint="eastAsia"/>
                <w:color w:val="000000"/>
                <w:szCs w:val="21"/>
              </w:rPr>
              <w:t>石大厦</w:t>
            </w:r>
          </w:p>
          <w:p w14:paraId="7FB38927"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w:t>
            </w:r>
            <w:r w:rsidRPr="0068153F">
              <w:rPr>
                <w:rFonts w:ascii="宋体" w:hAnsi="宋体" w:cs="Calibri" w:hint="eastAsia"/>
                <w:color w:val="000000"/>
                <w:szCs w:val="21"/>
              </w:rPr>
              <w:t>6433389</w:t>
            </w:r>
          </w:p>
          <w:p w14:paraId="25A19847"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网址：</w:t>
            </w:r>
            <w:hyperlink r:id="rId18" w:history="1">
              <w:r w:rsidRPr="0068153F">
                <w:rPr>
                  <w:rFonts w:ascii="宋体" w:hAnsi="宋体" w:cs="Calibri" w:hint="eastAsia"/>
                  <w:color w:val="000000"/>
                </w:rPr>
                <w:t>www.vstonewealth.com</w:t>
              </w:r>
            </w:hyperlink>
          </w:p>
        </w:tc>
      </w:tr>
      <w:tr w:rsidR="00FF7B65" w14:paraId="412D3895" w14:textId="77777777" w:rsidTr="00CF6B6F">
        <w:trPr>
          <w:trHeight w:val="20"/>
        </w:trPr>
        <w:tc>
          <w:tcPr>
            <w:tcW w:w="562" w:type="dxa"/>
          </w:tcPr>
          <w:p w14:paraId="2D17FEC5"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22</w:t>
            </w:r>
          </w:p>
        </w:tc>
        <w:tc>
          <w:tcPr>
            <w:tcW w:w="2660" w:type="dxa"/>
          </w:tcPr>
          <w:p w14:paraId="0C95A290" w14:textId="77777777" w:rsidR="00FF7B65" w:rsidRDefault="00FF7B65" w:rsidP="00B5005C">
            <w:pPr>
              <w:jc w:val="left"/>
              <w:rPr>
                <w:rFonts w:asciiTheme="minorEastAsia" w:hAnsiTheme="minorEastAsia" w:cs="Arial" w:hint="eastAsia"/>
                <w:szCs w:val="20"/>
              </w:rPr>
            </w:pPr>
            <w:proofErr w:type="gramStart"/>
            <w:r>
              <w:rPr>
                <w:rFonts w:ascii="宋体" w:hAnsi="宋体" w:cs="Calibri" w:hint="eastAsia"/>
                <w:bCs/>
                <w:color w:val="000000"/>
                <w:szCs w:val="21"/>
              </w:rPr>
              <w:t>泰信财富</w:t>
            </w:r>
            <w:proofErr w:type="gramEnd"/>
            <w:r>
              <w:rPr>
                <w:rFonts w:ascii="宋体" w:hAnsi="宋体" w:cs="Calibri" w:hint="eastAsia"/>
                <w:bCs/>
                <w:color w:val="000000"/>
                <w:szCs w:val="21"/>
              </w:rPr>
              <w:t>基金销售有限公司</w:t>
            </w:r>
          </w:p>
        </w:tc>
        <w:tc>
          <w:tcPr>
            <w:tcW w:w="5567" w:type="dxa"/>
          </w:tcPr>
          <w:p w14:paraId="638A1D5E" w14:textId="77777777" w:rsidR="00FF7B65" w:rsidRPr="0068153F" w:rsidRDefault="00FF7B65" w:rsidP="00B5005C">
            <w:pPr>
              <w:pStyle w:val="a6"/>
            </w:pPr>
            <w:r w:rsidRPr="0068153F">
              <w:rPr>
                <w:rFonts w:ascii="宋体" w:hAnsi="宋体" w:cs="Calibri" w:hint="eastAsia"/>
                <w:color w:val="000000"/>
                <w:szCs w:val="21"/>
              </w:rPr>
              <w:t>注册（办公）地址：</w:t>
            </w:r>
            <w:r w:rsidRPr="0068153F">
              <w:rPr>
                <w:rFonts w:hint="eastAsia"/>
              </w:rPr>
              <w:t>北京市朝阳区建国</w:t>
            </w:r>
            <w:proofErr w:type="gramStart"/>
            <w:r w:rsidRPr="0068153F">
              <w:rPr>
                <w:rFonts w:hint="eastAsia"/>
              </w:rPr>
              <w:t>路乙</w:t>
            </w:r>
            <w:r w:rsidRPr="0068153F">
              <w:rPr>
                <w:rFonts w:hint="eastAsia"/>
              </w:rPr>
              <w:t>118</w:t>
            </w:r>
            <w:r w:rsidRPr="0068153F">
              <w:rPr>
                <w:rFonts w:hint="eastAsia"/>
              </w:rPr>
              <w:t>号京汇</w:t>
            </w:r>
            <w:proofErr w:type="gramEnd"/>
            <w:r w:rsidRPr="0068153F">
              <w:rPr>
                <w:rFonts w:hint="eastAsia"/>
              </w:rPr>
              <w:t>大厦</w:t>
            </w:r>
            <w:r w:rsidRPr="0068153F">
              <w:rPr>
                <w:rFonts w:hint="eastAsia"/>
              </w:rPr>
              <w:t>1206</w:t>
            </w:r>
          </w:p>
          <w:p w14:paraId="44957BAF" w14:textId="77777777" w:rsidR="00FF7B65" w:rsidRPr="0068153F" w:rsidRDefault="00FF7B65" w:rsidP="00B5005C">
            <w:pPr>
              <w:pStyle w:val="a6"/>
            </w:pPr>
            <w:r w:rsidRPr="0068153F">
              <w:t>客户服务电话：</w:t>
            </w:r>
            <w:r w:rsidRPr="0068153F">
              <w:t xml:space="preserve">400-004-8821 </w:t>
            </w:r>
          </w:p>
          <w:p w14:paraId="35B6CEED" w14:textId="77777777" w:rsidR="00FF7B65" w:rsidRDefault="00FF7B65" w:rsidP="00B5005C">
            <w:pPr>
              <w:jc w:val="left"/>
              <w:rPr>
                <w:rFonts w:asciiTheme="minorEastAsia" w:hAnsiTheme="minorEastAsia" w:cs="Arial" w:hint="eastAsia"/>
                <w:szCs w:val="20"/>
              </w:rPr>
            </w:pPr>
            <w:r w:rsidRPr="0068153F">
              <w:t>网址：</w:t>
            </w:r>
            <w:hyperlink r:id="rId19" w:history="1">
              <w:r w:rsidRPr="0068153F">
                <w:rPr>
                  <w:rStyle w:val="afd"/>
                </w:rPr>
                <w:t>www.taixincf.com</w:t>
              </w:r>
            </w:hyperlink>
          </w:p>
        </w:tc>
      </w:tr>
      <w:tr w:rsidR="00FF7B65" w14:paraId="5172F476" w14:textId="77777777" w:rsidTr="00CF6B6F">
        <w:trPr>
          <w:trHeight w:val="20"/>
        </w:trPr>
        <w:tc>
          <w:tcPr>
            <w:tcW w:w="562" w:type="dxa"/>
          </w:tcPr>
          <w:p w14:paraId="7EE087D6"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23</w:t>
            </w:r>
          </w:p>
        </w:tc>
        <w:tc>
          <w:tcPr>
            <w:tcW w:w="2660" w:type="dxa"/>
          </w:tcPr>
          <w:p w14:paraId="06C82989"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上海利得基金销售有限公司</w:t>
            </w:r>
          </w:p>
        </w:tc>
        <w:tc>
          <w:tcPr>
            <w:tcW w:w="5567" w:type="dxa"/>
          </w:tcPr>
          <w:p w14:paraId="47EE2BEF"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注册（办公）地址：上海市虹口区东大名路1098号浦江国际金融广场53楼</w:t>
            </w:r>
          </w:p>
          <w:p w14:paraId="17184E63"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400-032-5885</w:t>
            </w:r>
          </w:p>
          <w:p w14:paraId="1A83E849"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网址：</w:t>
            </w:r>
            <w:r w:rsidRPr="0068153F">
              <w:rPr>
                <w:rFonts w:ascii="宋体" w:hAnsi="宋体" w:cs="Calibri"/>
                <w:color w:val="000000"/>
                <w:szCs w:val="21"/>
              </w:rPr>
              <w:t>www.leadfund.com.cn</w:t>
            </w:r>
          </w:p>
        </w:tc>
      </w:tr>
      <w:tr w:rsidR="00FF7B65" w14:paraId="236F159B" w14:textId="77777777" w:rsidTr="00CF6B6F">
        <w:trPr>
          <w:trHeight w:val="20"/>
        </w:trPr>
        <w:tc>
          <w:tcPr>
            <w:tcW w:w="562" w:type="dxa"/>
          </w:tcPr>
          <w:p w14:paraId="421938B2"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24</w:t>
            </w:r>
          </w:p>
        </w:tc>
        <w:tc>
          <w:tcPr>
            <w:tcW w:w="2660" w:type="dxa"/>
          </w:tcPr>
          <w:p w14:paraId="5CA0D8BB"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南京苏宁基金销售有限公司</w:t>
            </w:r>
          </w:p>
        </w:tc>
        <w:tc>
          <w:tcPr>
            <w:tcW w:w="5567" w:type="dxa"/>
          </w:tcPr>
          <w:p w14:paraId="21A7767F"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注册(办公)地址 :南京市玄武区苏宁大道1-</w:t>
            </w:r>
            <w:r w:rsidRPr="0068153F">
              <w:rPr>
                <w:rFonts w:ascii="宋体" w:hAnsi="宋体" w:cs="Calibri"/>
                <w:color w:val="000000"/>
                <w:szCs w:val="21"/>
              </w:rPr>
              <w:t>5</w:t>
            </w:r>
            <w:r w:rsidRPr="0068153F">
              <w:rPr>
                <w:rFonts w:ascii="宋体" w:hAnsi="宋体" w:cs="Calibri" w:hint="eastAsia"/>
                <w:color w:val="000000"/>
                <w:szCs w:val="21"/>
              </w:rPr>
              <w:t>号</w:t>
            </w:r>
          </w:p>
          <w:p w14:paraId="3079A394"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95177</w:t>
            </w:r>
          </w:p>
          <w:p w14:paraId="45853C82"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网址：</w:t>
            </w:r>
            <w:hyperlink r:id="rId20" w:history="1">
              <w:r w:rsidRPr="0068153F">
                <w:rPr>
                  <w:color w:val="000000"/>
                </w:rPr>
                <w:t>www.snjijin</w:t>
              </w:r>
            </w:hyperlink>
            <w:r w:rsidRPr="0068153F">
              <w:rPr>
                <w:rFonts w:ascii="宋体" w:hAnsi="宋体" w:cs="Calibri" w:hint="eastAsia"/>
                <w:color w:val="000000"/>
                <w:szCs w:val="21"/>
              </w:rPr>
              <w:t>.com</w:t>
            </w:r>
          </w:p>
        </w:tc>
      </w:tr>
      <w:tr w:rsidR="00FF7B65" w14:paraId="16FEFB05" w14:textId="77777777" w:rsidTr="00CF6B6F">
        <w:trPr>
          <w:trHeight w:val="20"/>
        </w:trPr>
        <w:tc>
          <w:tcPr>
            <w:tcW w:w="562" w:type="dxa"/>
          </w:tcPr>
          <w:p w14:paraId="779C8EA2"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25</w:t>
            </w:r>
          </w:p>
        </w:tc>
        <w:tc>
          <w:tcPr>
            <w:tcW w:w="2660" w:type="dxa"/>
          </w:tcPr>
          <w:p w14:paraId="4C18C6F3"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中证金牛（北京）投资咨询有限公司</w:t>
            </w:r>
          </w:p>
        </w:tc>
        <w:tc>
          <w:tcPr>
            <w:tcW w:w="5567" w:type="dxa"/>
          </w:tcPr>
          <w:p w14:paraId="6D9539E8"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注册（办公）地址: 北京市丰台区丽泽金融商务</w:t>
            </w:r>
            <w:proofErr w:type="gramStart"/>
            <w:r>
              <w:rPr>
                <w:rFonts w:ascii="宋体" w:hAnsi="宋体" w:cs="Calibri" w:hint="eastAsia"/>
                <w:color w:val="000000"/>
                <w:szCs w:val="21"/>
              </w:rPr>
              <w:t>区铭丰</w:t>
            </w:r>
            <w:proofErr w:type="gramEnd"/>
            <w:r>
              <w:rPr>
                <w:rFonts w:ascii="宋体" w:hAnsi="宋体" w:cs="Calibri" w:hint="eastAsia"/>
                <w:color w:val="000000"/>
                <w:szCs w:val="21"/>
              </w:rPr>
              <w:t>大厦4层401</w:t>
            </w:r>
          </w:p>
          <w:p w14:paraId="10DB6D20"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客户服务电话：4008-909-998</w:t>
            </w:r>
          </w:p>
          <w:p w14:paraId="4CF61135"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网址：www.jnlc.com</w:t>
            </w:r>
          </w:p>
        </w:tc>
      </w:tr>
      <w:tr w:rsidR="00FF7B65" w14:paraId="47347281" w14:textId="77777777" w:rsidTr="00CF6B6F">
        <w:trPr>
          <w:trHeight w:val="20"/>
        </w:trPr>
        <w:tc>
          <w:tcPr>
            <w:tcW w:w="562" w:type="dxa"/>
          </w:tcPr>
          <w:p w14:paraId="4EF09D59"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26</w:t>
            </w:r>
          </w:p>
        </w:tc>
        <w:tc>
          <w:tcPr>
            <w:tcW w:w="2660" w:type="dxa"/>
          </w:tcPr>
          <w:p w14:paraId="7FD13173" w14:textId="77777777" w:rsidR="00FF7B65" w:rsidRDefault="00FF7B65" w:rsidP="00B5005C">
            <w:pPr>
              <w:jc w:val="left"/>
              <w:rPr>
                <w:rFonts w:asciiTheme="minorEastAsia" w:hAnsiTheme="minorEastAsia" w:cs="Arial" w:hint="eastAsia"/>
                <w:szCs w:val="20"/>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567" w:type="dxa"/>
          </w:tcPr>
          <w:p w14:paraId="17630BFB"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4DCF51C2"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25805472"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网址：</w:t>
            </w:r>
            <w:r>
              <w:rPr>
                <w:rFonts w:ascii="宋体" w:hAnsi="宋体" w:cs="Calibri"/>
                <w:color w:val="000000"/>
                <w:szCs w:val="21"/>
              </w:rPr>
              <w:t>www.licaimofang.cn</w:t>
            </w:r>
          </w:p>
        </w:tc>
      </w:tr>
      <w:tr w:rsidR="00FF7B65" w14:paraId="78196BD4" w14:textId="77777777" w:rsidTr="00CF6B6F">
        <w:trPr>
          <w:trHeight w:val="20"/>
        </w:trPr>
        <w:tc>
          <w:tcPr>
            <w:tcW w:w="562" w:type="dxa"/>
          </w:tcPr>
          <w:p w14:paraId="42199794"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27</w:t>
            </w:r>
          </w:p>
        </w:tc>
        <w:tc>
          <w:tcPr>
            <w:tcW w:w="2660" w:type="dxa"/>
          </w:tcPr>
          <w:p w14:paraId="6AD8E500" w14:textId="77777777" w:rsidR="00FF7B65" w:rsidRDefault="00FF7B65" w:rsidP="00B5005C">
            <w:pPr>
              <w:jc w:val="left"/>
              <w:rPr>
                <w:rFonts w:asciiTheme="minorEastAsia" w:hAnsiTheme="minorEastAsia" w:cs="Arial" w:hint="eastAsia"/>
                <w:szCs w:val="20"/>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567" w:type="dxa"/>
          </w:tcPr>
          <w:p w14:paraId="1DD621D8"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注册（办公）地址: 北京市朝阳区建国路118号招商局大厦24F</w:t>
            </w:r>
          </w:p>
          <w:p w14:paraId="3ADD243A"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50C386DB"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网址：</w:t>
            </w:r>
            <w:r>
              <w:rPr>
                <w:rFonts w:ascii="宋体" w:hAnsi="宋体" w:cs="Calibri"/>
                <w:color w:val="000000"/>
                <w:szCs w:val="21"/>
              </w:rPr>
              <w:t>http://www.yixinfund.com/</w:t>
            </w:r>
          </w:p>
        </w:tc>
      </w:tr>
      <w:tr w:rsidR="00FF7B65" w14:paraId="34B118E5" w14:textId="77777777" w:rsidTr="00CF6B6F">
        <w:trPr>
          <w:trHeight w:val="20"/>
        </w:trPr>
        <w:tc>
          <w:tcPr>
            <w:tcW w:w="562" w:type="dxa"/>
          </w:tcPr>
          <w:p w14:paraId="024A8FEB"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28</w:t>
            </w:r>
          </w:p>
        </w:tc>
        <w:tc>
          <w:tcPr>
            <w:tcW w:w="2660" w:type="dxa"/>
          </w:tcPr>
          <w:p w14:paraId="017FCD11" w14:textId="77777777" w:rsidR="00FF7B65" w:rsidRDefault="00FF7B65" w:rsidP="00B5005C">
            <w:pPr>
              <w:jc w:val="left"/>
              <w:rPr>
                <w:rFonts w:asciiTheme="minorEastAsia" w:hAnsiTheme="minorEastAsia" w:cs="Arial" w:hint="eastAsia"/>
                <w:szCs w:val="20"/>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5567" w:type="dxa"/>
          </w:tcPr>
          <w:p w14:paraId="1EEABC7A" w14:textId="77777777" w:rsidR="00FF7B65" w:rsidRPr="0068153F" w:rsidRDefault="00FF7B65" w:rsidP="00CF6B6F">
            <w:pPr>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注册（办公）地址：河南自贸试验区郑州片区（郑东）东风南路东康宁街北6号楼5楼503</w:t>
            </w:r>
          </w:p>
          <w:p w14:paraId="2E4D60BE" w14:textId="77777777" w:rsidR="00FF7B65" w:rsidRPr="0068153F" w:rsidRDefault="00FF7B65" w:rsidP="00CF6B6F">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4000-555-671</w:t>
            </w:r>
          </w:p>
          <w:p w14:paraId="69852A35"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网址：</w:t>
            </w:r>
            <w:r w:rsidRPr="0068153F">
              <w:rPr>
                <w:rFonts w:ascii="宋体" w:hAnsi="宋体" w:cs="Calibri"/>
                <w:color w:val="000000"/>
                <w:szCs w:val="21"/>
              </w:rPr>
              <w:t>https://www.hgccpb.com/</w:t>
            </w:r>
          </w:p>
        </w:tc>
      </w:tr>
      <w:tr w:rsidR="00FF7B65" w14:paraId="78696584" w14:textId="77777777" w:rsidTr="00CF6B6F">
        <w:trPr>
          <w:trHeight w:val="20"/>
        </w:trPr>
        <w:tc>
          <w:tcPr>
            <w:tcW w:w="562" w:type="dxa"/>
          </w:tcPr>
          <w:p w14:paraId="0914DF10"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29</w:t>
            </w:r>
          </w:p>
        </w:tc>
        <w:tc>
          <w:tcPr>
            <w:tcW w:w="2660" w:type="dxa"/>
          </w:tcPr>
          <w:p w14:paraId="00BE2270" w14:textId="77777777" w:rsidR="00FF7B65" w:rsidRDefault="00FF7B65" w:rsidP="00B5005C">
            <w:pPr>
              <w:jc w:val="left"/>
              <w:rPr>
                <w:rFonts w:asciiTheme="minorEastAsia" w:hAnsiTheme="minorEastAsia" w:cs="Arial" w:hint="eastAsia"/>
                <w:szCs w:val="2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5567" w:type="dxa"/>
          </w:tcPr>
          <w:p w14:paraId="193BC9F4" w14:textId="77777777" w:rsidR="00FF7B65" w:rsidRPr="0068153F" w:rsidRDefault="00FF7B65" w:rsidP="00CF6B6F">
            <w:pPr>
              <w:rPr>
                <w:rFonts w:ascii="宋体" w:hAnsi="宋体" w:cs="Calibri" w:hint="eastAsia"/>
                <w:color w:val="000000"/>
                <w:szCs w:val="21"/>
              </w:rPr>
            </w:pPr>
            <w:r w:rsidRPr="0068153F">
              <w:rPr>
                <w:rFonts w:ascii="宋体" w:hAnsi="宋体" w:cs="Calibri" w:hint="eastAsia"/>
                <w:color w:val="000000"/>
                <w:szCs w:val="21"/>
              </w:rPr>
              <w:t>注册（办公）地址：北京市海淀区东北旺西路中关村软件园二期（西扩）N-1、N-2地块新浪总部科研楼5层518室</w:t>
            </w:r>
          </w:p>
          <w:p w14:paraId="25BF5003" w14:textId="77777777" w:rsidR="00FF7B65" w:rsidRPr="0068153F" w:rsidRDefault="00FF7B65" w:rsidP="00CF6B6F">
            <w:pPr>
              <w:rPr>
                <w:rFonts w:ascii="宋体" w:hAnsi="宋体" w:cs="Calibri" w:hint="eastAsia"/>
                <w:color w:val="000000"/>
                <w:szCs w:val="21"/>
              </w:rPr>
            </w:pPr>
            <w:r w:rsidRPr="0068153F">
              <w:rPr>
                <w:rFonts w:ascii="宋体" w:hAnsi="宋体" w:cs="Calibri" w:hint="eastAsia"/>
                <w:color w:val="000000"/>
                <w:szCs w:val="21"/>
              </w:rPr>
              <w:t>客户服务电话：010-62675369</w:t>
            </w:r>
          </w:p>
          <w:p w14:paraId="376D552D"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网址：www.xincai.com</w:t>
            </w:r>
          </w:p>
        </w:tc>
      </w:tr>
      <w:tr w:rsidR="00FF7B65" w14:paraId="5680F5DB" w14:textId="77777777" w:rsidTr="00CF6B6F">
        <w:trPr>
          <w:trHeight w:val="20"/>
        </w:trPr>
        <w:tc>
          <w:tcPr>
            <w:tcW w:w="562" w:type="dxa"/>
          </w:tcPr>
          <w:p w14:paraId="7E686A17"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30</w:t>
            </w:r>
          </w:p>
        </w:tc>
        <w:tc>
          <w:tcPr>
            <w:tcW w:w="2660" w:type="dxa"/>
          </w:tcPr>
          <w:p w14:paraId="06BAFF5A" w14:textId="77777777" w:rsidR="00FF7B65" w:rsidRDefault="00FF7B65" w:rsidP="00B5005C">
            <w:pPr>
              <w:jc w:val="left"/>
              <w:rPr>
                <w:rFonts w:asciiTheme="minorEastAsia" w:hAnsiTheme="minorEastAsia" w:cs="Arial" w:hint="eastAsia"/>
                <w:szCs w:val="20"/>
              </w:rPr>
            </w:pPr>
            <w:r>
              <w:rPr>
                <w:rFonts w:ascii="宋体" w:hAnsi="宋体" w:cs="Calibri" w:hint="eastAsia"/>
                <w:bCs/>
                <w:color w:val="000000"/>
                <w:szCs w:val="21"/>
              </w:rPr>
              <w:t>财</w:t>
            </w:r>
            <w:proofErr w:type="gramStart"/>
            <w:r>
              <w:rPr>
                <w:rFonts w:ascii="宋体" w:hAnsi="宋体" w:cs="Calibri" w:hint="eastAsia"/>
                <w:bCs/>
                <w:color w:val="000000"/>
                <w:szCs w:val="21"/>
              </w:rPr>
              <w:t>咨</w:t>
            </w:r>
            <w:proofErr w:type="gramEnd"/>
            <w:r>
              <w:rPr>
                <w:rFonts w:ascii="宋体" w:hAnsi="宋体" w:cs="Calibri" w:hint="eastAsia"/>
                <w:bCs/>
                <w:color w:val="000000"/>
                <w:szCs w:val="21"/>
              </w:rPr>
              <w:t>道信息技术有限公司</w:t>
            </w:r>
          </w:p>
        </w:tc>
        <w:tc>
          <w:tcPr>
            <w:tcW w:w="5567" w:type="dxa"/>
          </w:tcPr>
          <w:p w14:paraId="4EE2D113" w14:textId="77777777" w:rsidR="00FF7B65" w:rsidRPr="0068153F" w:rsidRDefault="00FF7B65" w:rsidP="00CF6B6F">
            <w:pPr>
              <w:widowControl/>
              <w:jc w:val="left"/>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:辽宁省沈阳市</w:t>
            </w:r>
            <w:proofErr w:type="gramStart"/>
            <w:r w:rsidRPr="0068153F">
              <w:rPr>
                <w:rFonts w:ascii="宋体" w:hAnsi="宋体" w:cs="Calibri"/>
                <w:color w:val="000000"/>
                <w:szCs w:val="21"/>
              </w:rPr>
              <w:t>浑</w:t>
            </w:r>
            <w:proofErr w:type="gramEnd"/>
            <w:r w:rsidRPr="0068153F">
              <w:rPr>
                <w:rFonts w:ascii="宋体" w:hAnsi="宋体" w:cs="Calibri"/>
                <w:color w:val="000000"/>
                <w:szCs w:val="21"/>
              </w:rPr>
              <w:t>南区白塔二南街18-2号B座601</w:t>
            </w:r>
          </w:p>
          <w:p w14:paraId="6E7B9446" w14:textId="77777777" w:rsidR="00FF7B65" w:rsidRPr="0068153F" w:rsidRDefault="00FF7B65" w:rsidP="00CF6B6F">
            <w:pPr>
              <w:widowControl/>
              <w:jc w:val="left"/>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400-003-5811</w:t>
            </w:r>
          </w:p>
          <w:p w14:paraId="15F4417C"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网址：</w:t>
            </w:r>
            <w:r w:rsidRPr="0068153F">
              <w:rPr>
                <w:rFonts w:ascii="宋体" w:hAnsi="宋体" w:cs="Calibri"/>
                <w:color w:val="000000"/>
                <w:szCs w:val="21"/>
              </w:rPr>
              <w:t>www.caizidao.com.cn/</w:t>
            </w:r>
          </w:p>
        </w:tc>
      </w:tr>
      <w:tr w:rsidR="00FF7B65" w14:paraId="2F32D3E0" w14:textId="77777777" w:rsidTr="00CF6B6F">
        <w:trPr>
          <w:trHeight w:val="20"/>
        </w:trPr>
        <w:tc>
          <w:tcPr>
            <w:tcW w:w="562" w:type="dxa"/>
          </w:tcPr>
          <w:p w14:paraId="2C64BB29"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31</w:t>
            </w:r>
          </w:p>
        </w:tc>
        <w:tc>
          <w:tcPr>
            <w:tcW w:w="2660" w:type="dxa"/>
          </w:tcPr>
          <w:p w14:paraId="2F6CDD40" w14:textId="77777777" w:rsidR="00FF7B65" w:rsidRDefault="00FF7B65" w:rsidP="00B5005C">
            <w:pPr>
              <w:jc w:val="left"/>
              <w:rPr>
                <w:rFonts w:asciiTheme="minorEastAsia" w:hAnsiTheme="minorEastAsia" w:cs="Arial" w:hint="eastAsia"/>
                <w:szCs w:val="20"/>
              </w:rPr>
            </w:pPr>
            <w:r>
              <w:rPr>
                <w:rFonts w:ascii="宋体" w:hAnsi="宋体" w:cs="Calibri" w:hint="eastAsia"/>
                <w:bCs/>
                <w:color w:val="000000"/>
                <w:szCs w:val="21"/>
              </w:rPr>
              <w:t>北京度小满基金销售有限公司</w:t>
            </w:r>
          </w:p>
        </w:tc>
        <w:tc>
          <w:tcPr>
            <w:tcW w:w="5567" w:type="dxa"/>
          </w:tcPr>
          <w:p w14:paraId="7E70B36B" w14:textId="77777777" w:rsidR="00FF7B65" w:rsidRPr="0068153F" w:rsidRDefault="00FF7B65" w:rsidP="00CF6B6F">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北京市海淀区西北旺东路10号院西区4号楼1层103室</w:t>
            </w:r>
          </w:p>
          <w:p w14:paraId="44A0018A" w14:textId="77777777" w:rsidR="00FF7B65" w:rsidRPr="0068153F" w:rsidRDefault="00FF7B65" w:rsidP="00CF6B6F">
            <w:pPr>
              <w:widowControl/>
              <w:jc w:val="left"/>
              <w:rPr>
                <w:rFonts w:ascii="宋体" w:hAnsi="宋体" w:cs="Calibri" w:hint="eastAsia"/>
                <w:color w:val="000000"/>
                <w:szCs w:val="21"/>
              </w:rPr>
            </w:pPr>
            <w:r w:rsidRPr="0068153F">
              <w:rPr>
                <w:rFonts w:ascii="宋体" w:hAnsi="宋体" w:cs="Calibri" w:hint="eastAsia"/>
                <w:color w:val="000000"/>
                <w:szCs w:val="21"/>
              </w:rPr>
              <w:t>客服电话：9</w:t>
            </w:r>
            <w:r w:rsidRPr="0068153F">
              <w:rPr>
                <w:rFonts w:ascii="宋体" w:hAnsi="宋体" w:cs="Calibri"/>
                <w:color w:val="000000"/>
                <w:szCs w:val="21"/>
              </w:rPr>
              <w:t>5055</w:t>
            </w:r>
          </w:p>
          <w:p w14:paraId="4967D3BD"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网站：www.duxiaoman.com</w:t>
            </w:r>
          </w:p>
        </w:tc>
      </w:tr>
      <w:tr w:rsidR="00FF7B65" w14:paraId="5C897097" w14:textId="77777777" w:rsidTr="00CF6B6F">
        <w:trPr>
          <w:trHeight w:val="20"/>
        </w:trPr>
        <w:tc>
          <w:tcPr>
            <w:tcW w:w="562" w:type="dxa"/>
          </w:tcPr>
          <w:p w14:paraId="4BF70686"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32</w:t>
            </w:r>
          </w:p>
        </w:tc>
        <w:tc>
          <w:tcPr>
            <w:tcW w:w="2660" w:type="dxa"/>
          </w:tcPr>
          <w:p w14:paraId="5EC22DD3" w14:textId="77777777" w:rsidR="00FF7B65" w:rsidRDefault="00FF7B65" w:rsidP="00B5005C">
            <w:pPr>
              <w:jc w:val="left"/>
              <w:rPr>
                <w:rFonts w:asciiTheme="minorEastAsia" w:hAnsiTheme="minorEastAsia" w:cs="Arial" w:hint="eastAsia"/>
                <w:szCs w:val="20"/>
              </w:rPr>
            </w:pPr>
            <w:r>
              <w:rPr>
                <w:rFonts w:ascii="宋体" w:hAnsi="宋体" w:cs="Calibri" w:hint="eastAsia"/>
                <w:bCs/>
                <w:color w:val="000000"/>
                <w:szCs w:val="21"/>
              </w:rPr>
              <w:t>通华财富（上海）基金销售</w:t>
            </w:r>
            <w:r>
              <w:rPr>
                <w:rFonts w:ascii="宋体" w:hAnsi="宋体" w:cs="Calibri" w:hint="eastAsia"/>
                <w:bCs/>
                <w:color w:val="000000"/>
                <w:szCs w:val="21"/>
              </w:rPr>
              <w:lastRenderedPageBreak/>
              <w:t>有限公司</w:t>
            </w:r>
          </w:p>
        </w:tc>
        <w:tc>
          <w:tcPr>
            <w:tcW w:w="5567" w:type="dxa"/>
          </w:tcPr>
          <w:p w14:paraId="5A64EE1D" w14:textId="77777777" w:rsidR="00FF7B65" w:rsidRPr="0068153F" w:rsidRDefault="00FF7B65" w:rsidP="00CF6B6F">
            <w:pPr>
              <w:rPr>
                <w:rFonts w:ascii="宋体" w:hAnsi="宋体" w:cs="Calibri" w:hint="eastAsia"/>
                <w:color w:val="000000"/>
                <w:szCs w:val="21"/>
              </w:rPr>
            </w:pPr>
            <w:r w:rsidRPr="0068153F">
              <w:rPr>
                <w:rFonts w:ascii="宋体" w:hAnsi="宋体" w:cs="Calibri" w:hint="eastAsia"/>
                <w:color w:val="000000"/>
                <w:szCs w:val="21"/>
              </w:rPr>
              <w:lastRenderedPageBreak/>
              <w:t>注册（办公）地址</w:t>
            </w:r>
            <w:r w:rsidRPr="0068153F">
              <w:rPr>
                <w:rFonts w:ascii="宋体" w:hAnsi="宋体" w:cs="Calibri"/>
                <w:color w:val="000000"/>
                <w:szCs w:val="21"/>
              </w:rPr>
              <w:t>:</w:t>
            </w:r>
            <w:r w:rsidRPr="0068153F">
              <w:rPr>
                <w:rFonts w:ascii="宋体" w:hAnsi="宋体" w:cs="Calibri" w:hint="eastAsia"/>
                <w:color w:val="000000"/>
                <w:szCs w:val="21"/>
              </w:rPr>
              <w:t>上海市浦东新区</w:t>
            </w:r>
            <w:proofErr w:type="gramStart"/>
            <w:r w:rsidRPr="0068153F">
              <w:rPr>
                <w:rFonts w:ascii="宋体" w:hAnsi="宋体" w:cs="Calibri" w:hint="eastAsia"/>
                <w:color w:val="000000"/>
                <w:szCs w:val="21"/>
              </w:rPr>
              <w:t>金沪路55号</w:t>
            </w:r>
            <w:proofErr w:type="gramEnd"/>
            <w:r w:rsidRPr="0068153F">
              <w:rPr>
                <w:rFonts w:ascii="宋体" w:hAnsi="宋体" w:cs="Calibri" w:hint="eastAsia"/>
                <w:color w:val="000000"/>
                <w:szCs w:val="21"/>
              </w:rPr>
              <w:t>通华科技</w:t>
            </w:r>
            <w:r w:rsidRPr="0068153F">
              <w:rPr>
                <w:rFonts w:ascii="宋体" w:hAnsi="宋体" w:cs="Calibri" w:hint="eastAsia"/>
                <w:color w:val="000000"/>
                <w:szCs w:val="21"/>
              </w:rPr>
              <w:lastRenderedPageBreak/>
              <w:t>大厦10层</w:t>
            </w:r>
          </w:p>
          <w:p w14:paraId="6D0FAF0A" w14:textId="77777777" w:rsidR="00FF7B65" w:rsidRPr="0068153F" w:rsidRDefault="00FF7B65" w:rsidP="00CF6B6F">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400-101-9301</w:t>
            </w:r>
          </w:p>
          <w:p w14:paraId="0DBB110A"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网址：</w:t>
            </w:r>
            <w:r w:rsidRPr="0068153F">
              <w:rPr>
                <w:rFonts w:ascii="宋体" w:hAnsi="宋体" w:cs="Calibri"/>
                <w:color w:val="000000"/>
                <w:szCs w:val="21"/>
              </w:rPr>
              <w:t>www.tonghuafund.com</w:t>
            </w:r>
          </w:p>
        </w:tc>
      </w:tr>
      <w:tr w:rsidR="00FF7B65" w14:paraId="57B54CF6" w14:textId="77777777" w:rsidTr="00CF6B6F">
        <w:trPr>
          <w:trHeight w:val="20"/>
        </w:trPr>
        <w:tc>
          <w:tcPr>
            <w:tcW w:w="562" w:type="dxa"/>
          </w:tcPr>
          <w:p w14:paraId="1FB14765"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lastRenderedPageBreak/>
              <w:t>33</w:t>
            </w:r>
          </w:p>
        </w:tc>
        <w:tc>
          <w:tcPr>
            <w:tcW w:w="2660" w:type="dxa"/>
          </w:tcPr>
          <w:p w14:paraId="6F0CAECD" w14:textId="77777777" w:rsidR="00FF7B65" w:rsidRDefault="00FF7B65" w:rsidP="00B5005C">
            <w:pPr>
              <w:jc w:val="left"/>
              <w:rPr>
                <w:rFonts w:asciiTheme="minorEastAsia" w:hAnsiTheme="minorEastAsia" w:cs="Arial" w:hint="eastAsia"/>
                <w:szCs w:val="20"/>
              </w:rPr>
            </w:pPr>
            <w:r>
              <w:rPr>
                <w:rFonts w:ascii="宋体" w:hAnsi="宋体" w:cs="Calibri" w:hint="eastAsia"/>
                <w:bCs/>
                <w:color w:val="000000"/>
                <w:szCs w:val="21"/>
              </w:rPr>
              <w:t>上海万得基金销售有限公司</w:t>
            </w:r>
          </w:p>
        </w:tc>
        <w:tc>
          <w:tcPr>
            <w:tcW w:w="5567" w:type="dxa"/>
          </w:tcPr>
          <w:p w14:paraId="549AE8C1" w14:textId="77777777" w:rsidR="00FF7B65" w:rsidRDefault="00FF7B65" w:rsidP="00B5005C">
            <w:pPr>
              <w:jc w:val="left"/>
              <w:rPr>
                <w:rFonts w:ascii="宋体" w:hAnsi="宋体" w:cs="Calibri" w:hint="eastAsia"/>
                <w:color w:val="000000"/>
                <w:szCs w:val="21"/>
              </w:rPr>
            </w:pPr>
            <w:r>
              <w:rPr>
                <w:rFonts w:ascii="宋体" w:hAnsi="宋体" w:cs="Calibri" w:hint="eastAsia"/>
                <w:color w:val="000000"/>
                <w:szCs w:val="21"/>
              </w:rPr>
              <w:t>注册（办公）地址：中国（上海）浦东新区浦明路1500号万得大厦11楼</w:t>
            </w:r>
          </w:p>
          <w:p w14:paraId="55E01EBC" w14:textId="77777777" w:rsidR="00FF7B65" w:rsidRDefault="00FF7B65" w:rsidP="00B5005C">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400-799-1888</w:t>
            </w:r>
          </w:p>
          <w:p w14:paraId="1207FE59"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网址：</w:t>
            </w:r>
            <w:r>
              <w:rPr>
                <w:rFonts w:ascii="宋体" w:hAnsi="宋体" w:cs="Calibri"/>
                <w:color w:val="000000"/>
                <w:szCs w:val="21"/>
              </w:rPr>
              <w:t>www.520fund.com.cn</w:t>
            </w:r>
          </w:p>
        </w:tc>
      </w:tr>
      <w:tr w:rsidR="00FF7B65" w14:paraId="32D67D98" w14:textId="77777777" w:rsidTr="00CF6B6F">
        <w:trPr>
          <w:trHeight w:val="20"/>
        </w:trPr>
        <w:tc>
          <w:tcPr>
            <w:tcW w:w="562" w:type="dxa"/>
          </w:tcPr>
          <w:p w14:paraId="61564EC9"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34</w:t>
            </w:r>
          </w:p>
        </w:tc>
        <w:tc>
          <w:tcPr>
            <w:tcW w:w="2660" w:type="dxa"/>
          </w:tcPr>
          <w:p w14:paraId="4719518E" w14:textId="77777777" w:rsidR="00FF7B65" w:rsidRDefault="00FF7B65" w:rsidP="00B5005C">
            <w:pPr>
              <w:jc w:val="left"/>
              <w:rPr>
                <w:rFonts w:asciiTheme="minorEastAsia" w:hAnsiTheme="minorEastAsia" w:cs="Arial" w:hint="eastAsia"/>
                <w:szCs w:val="20"/>
              </w:rPr>
            </w:pPr>
            <w:r>
              <w:rPr>
                <w:rFonts w:ascii="宋体" w:hAnsi="宋体" w:cs="Calibri" w:hint="eastAsia"/>
                <w:bCs/>
                <w:color w:val="000000"/>
                <w:szCs w:val="21"/>
              </w:rPr>
              <w:t>泛华</w:t>
            </w:r>
            <w:proofErr w:type="gramStart"/>
            <w:r>
              <w:rPr>
                <w:rFonts w:ascii="宋体" w:hAnsi="宋体" w:cs="Calibri" w:hint="eastAsia"/>
                <w:bCs/>
                <w:color w:val="000000"/>
                <w:szCs w:val="21"/>
              </w:rPr>
              <w:t>普益基金</w:t>
            </w:r>
            <w:proofErr w:type="gramEnd"/>
            <w:r>
              <w:rPr>
                <w:rFonts w:ascii="宋体" w:hAnsi="宋体" w:cs="Calibri" w:hint="eastAsia"/>
                <w:bCs/>
                <w:color w:val="000000"/>
                <w:szCs w:val="21"/>
              </w:rPr>
              <w:t>销售有限公司</w:t>
            </w:r>
          </w:p>
        </w:tc>
        <w:tc>
          <w:tcPr>
            <w:tcW w:w="5567" w:type="dxa"/>
          </w:tcPr>
          <w:p w14:paraId="315A9AF0" w14:textId="77777777" w:rsidR="00FF7B65" w:rsidRPr="0068153F" w:rsidRDefault="00FF7B65" w:rsidP="00CF6B6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地址：成都市成华区建设路9号高地中心1101 室</w:t>
            </w:r>
          </w:p>
          <w:p w14:paraId="7BF6C7AB" w14:textId="77777777" w:rsidR="00FF7B65" w:rsidRPr="0068153F" w:rsidRDefault="00FF7B65" w:rsidP="00CF6B6F">
            <w:pPr>
              <w:rPr>
                <w:rFonts w:ascii="宋体" w:hAnsi="宋体" w:cs="Calibri" w:hint="eastAsia"/>
                <w:color w:val="000000"/>
                <w:szCs w:val="21"/>
              </w:rPr>
            </w:pPr>
            <w:r w:rsidRPr="0068153F">
              <w:rPr>
                <w:rFonts w:ascii="宋体" w:hAnsi="宋体" w:cs="Calibri"/>
                <w:color w:val="000000"/>
                <w:szCs w:val="21"/>
              </w:rPr>
              <w:t xml:space="preserve">客户服务电话：400-080-3388 </w:t>
            </w:r>
          </w:p>
          <w:p w14:paraId="4556ED32" w14:textId="77777777" w:rsidR="00FF7B65" w:rsidRDefault="00FF7B65" w:rsidP="00B5005C">
            <w:pPr>
              <w:jc w:val="left"/>
              <w:rPr>
                <w:rFonts w:asciiTheme="minorEastAsia" w:hAnsiTheme="minorEastAsia" w:cs="Arial" w:hint="eastAsia"/>
                <w:szCs w:val="20"/>
              </w:rPr>
            </w:pPr>
            <w:r w:rsidRPr="0068153F">
              <w:rPr>
                <w:rFonts w:ascii="宋体" w:hAnsi="宋体" w:cs="Calibri"/>
                <w:color w:val="000000"/>
                <w:szCs w:val="21"/>
              </w:rPr>
              <w:t>网址：</w:t>
            </w:r>
            <w:hyperlink r:id="rId21" w:history="1">
              <w:r w:rsidRPr="0068153F">
                <w:rPr>
                  <w:rFonts w:ascii="宋体" w:hAnsi="宋体" w:cs="Calibri"/>
                  <w:color w:val="000000"/>
                  <w:szCs w:val="21"/>
                </w:rPr>
                <w:t>www.puyifund.com</w:t>
              </w:r>
            </w:hyperlink>
          </w:p>
        </w:tc>
      </w:tr>
      <w:tr w:rsidR="00FF7B65" w14:paraId="18202FBE" w14:textId="77777777" w:rsidTr="00CF6B6F">
        <w:trPr>
          <w:trHeight w:val="20"/>
        </w:trPr>
        <w:tc>
          <w:tcPr>
            <w:tcW w:w="562" w:type="dxa"/>
          </w:tcPr>
          <w:p w14:paraId="699CEF4E"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35</w:t>
            </w:r>
          </w:p>
        </w:tc>
        <w:tc>
          <w:tcPr>
            <w:tcW w:w="2660" w:type="dxa"/>
          </w:tcPr>
          <w:p w14:paraId="4495814A" w14:textId="77777777" w:rsidR="00FF7B65" w:rsidRDefault="00FF7B65" w:rsidP="00B5005C">
            <w:pPr>
              <w:jc w:val="left"/>
              <w:rPr>
                <w:rFonts w:asciiTheme="minorEastAsia" w:hAnsiTheme="minorEastAsia" w:cs="Arial" w:hint="eastAsia"/>
                <w:szCs w:val="20"/>
              </w:rPr>
            </w:pPr>
            <w:proofErr w:type="gramStart"/>
            <w:r>
              <w:rPr>
                <w:rFonts w:asciiTheme="minorEastAsia" w:hAnsiTheme="minorEastAsia" w:cs="Arial" w:hint="eastAsia"/>
                <w:szCs w:val="20"/>
              </w:rPr>
              <w:t>腾安基金</w:t>
            </w:r>
            <w:proofErr w:type="gramEnd"/>
            <w:r>
              <w:rPr>
                <w:rFonts w:asciiTheme="minorEastAsia" w:hAnsiTheme="minorEastAsia" w:cs="Arial" w:hint="eastAsia"/>
                <w:szCs w:val="20"/>
              </w:rPr>
              <w:t>销售（深圳）有限公司</w:t>
            </w:r>
          </w:p>
          <w:p w14:paraId="368DDAAF"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ab/>
            </w:r>
          </w:p>
          <w:p w14:paraId="7B0B4D81" w14:textId="77777777" w:rsidR="00FF7B65" w:rsidRDefault="00FF7B65" w:rsidP="00B5005C">
            <w:pPr>
              <w:jc w:val="left"/>
              <w:rPr>
                <w:rFonts w:asciiTheme="minorEastAsia" w:hAnsiTheme="minorEastAsia" w:cs="Arial" w:hint="eastAsia"/>
                <w:szCs w:val="20"/>
              </w:rPr>
            </w:pPr>
          </w:p>
        </w:tc>
        <w:tc>
          <w:tcPr>
            <w:tcW w:w="5567" w:type="dxa"/>
          </w:tcPr>
          <w:p w14:paraId="7BA93736" w14:textId="77777777" w:rsidR="00FF7B65" w:rsidRPr="00734B99" w:rsidRDefault="00FF7B65" w:rsidP="00B5005C">
            <w:pPr>
              <w:pStyle w:val="a6"/>
            </w:pPr>
            <w:r w:rsidRPr="00734B99">
              <w:t>注册</w:t>
            </w:r>
            <w:r w:rsidRPr="00734B99">
              <w:rPr>
                <w:rFonts w:ascii="宋体" w:hAnsi="宋体" w:cs="Calibri" w:hint="eastAsia"/>
                <w:color w:val="000000"/>
                <w:szCs w:val="21"/>
              </w:rPr>
              <w:t>（办公）</w:t>
            </w:r>
            <w:r w:rsidRPr="00734B99">
              <w:t>地址：</w:t>
            </w:r>
            <w:r w:rsidRPr="00734B99">
              <w:rPr>
                <w:rFonts w:hint="eastAsia"/>
              </w:rPr>
              <w:t>深圳市南山区海天二路</w:t>
            </w:r>
            <w:proofErr w:type="gramStart"/>
            <w:r w:rsidRPr="00734B99">
              <w:rPr>
                <w:rFonts w:hint="eastAsia"/>
              </w:rPr>
              <w:t>33</w:t>
            </w:r>
            <w:r w:rsidRPr="00734B99">
              <w:rPr>
                <w:rFonts w:hint="eastAsia"/>
              </w:rPr>
              <w:t>号腾讯滨海</w:t>
            </w:r>
            <w:proofErr w:type="gramEnd"/>
            <w:r w:rsidRPr="00734B99">
              <w:rPr>
                <w:rFonts w:hint="eastAsia"/>
              </w:rPr>
              <w:t>大厦</w:t>
            </w:r>
            <w:r w:rsidRPr="00734B99">
              <w:rPr>
                <w:rFonts w:hint="eastAsia"/>
              </w:rPr>
              <w:t>15</w:t>
            </w:r>
            <w:r w:rsidRPr="00734B99">
              <w:rPr>
                <w:rFonts w:hint="eastAsia"/>
              </w:rPr>
              <w:t>楼</w:t>
            </w:r>
          </w:p>
          <w:p w14:paraId="25B7FB72" w14:textId="77777777" w:rsidR="00FF7B65" w:rsidRPr="00734B99" w:rsidRDefault="00FF7B65" w:rsidP="00B5005C">
            <w:pPr>
              <w:pStyle w:val="a6"/>
            </w:pPr>
            <w:r w:rsidRPr="00734B99">
              <w:t>客服电话：</w:t>
            </w:r>
            <w:r w:rsidRPr="00734B99">
              <w:t>4000-890-555</w:t>
            </w:r>
          </w:p>
          <w:p w14:paraId="1E35FC63" w14:textId="77777777" w:rsidR="00FF7B65" w:rsidRDefault="00FF7B65" w:rsidP="00B5005C">
            <w:pPr>
              <w:jc w:val="left"/>
              <w:rPr>
                <w:rFonts w:asciiTheme="minorEastAsia" w:hAnsiTheme="minorEastAsia" w:cs="Arial" w:hint="eastAsia"/>
                <w:szCs w:val="20"/>
              </w:rPr>
            </w:pPr>
            <w:r w:rsidRPr="00734B99">
              <w:t>公司网站：</w:t>
            </w:r>
            <w:hyperlink r:id="rId22" w:history="1">
              <w:r w:rsidRPr="00734B99">
                <w:rPr>
                  <w:rStyle w:val="afd"/>
                </w:rPr>
                <w:t>www.txfund.com</w:t>
              </w:r>
            </w:hyperlink>
          </w:p>
        </w:tc>
      </w:tr>
      <w:tr w:rsidR="00FF7B65" w14:paraId="09896680" w14:textId="77777777" w:rsidTr="00CF6B6F">
        <w:trPr>
          <w:trHeight w:val="20"/>
        </w:trPr>
        <w:tc>
          <w:tcPr>
            <w:tcW w:w="562" w:type="dxa"/>
          </w:tcPr>
          <w:p w14:paraId="25D45455"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36</w:t>
            </w:r>
          </w:p>
        </w:tc>
        <w:tc>
          <w:tcPr>
            <w:tcW w:w="2660" w:type="dxa"/>
          </w:tcPr>
          <w:p w14:paraId="5DB3FF38" w14:textId="77777777" w:rsidR="00FF7B65" w:rsidRDefault="00FF7B65" w:rsidP="00B5005C">
            <w:pPr>
              <w:jc w:val="left"/>
              <w:rPr>
                <w:rFonts w:asciiTheme="minorEastAsia" w:hAnsiTheme="minorEastAsia" w:cs="Arial" w:hint="eastAsia"/>
                <w:szCs w:val="20"/>
              </w:rPr>
            </w:pPr>
            <w:r>
              <w:t>北京</w:t>
            </w:r>
            <w:proofErr w:type="gramStart"/>
            <w:r>
              <w:t>创金启富基金</w:t>
            </w:r>
            <w:proofErr w:type="gramEnd"/>
            <w:r>
              <w:t>销售有限公司</w:t>
            </w:r>
          </w:p>
        </w:tc>
        <w:tc>
          <w:tcPr>
            <w:tcW w:w="5567" w:type="dxa"/>
          </w:tcPr>
          <w:p w14:paraId="5D52E5FA" w14:textId="77777777" w:rsidR="00FF7B65" w:rsidRPr="0068153F" w:rsidRDefault="00FF7B65" w:rsidP="00CF6B6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7F43B5">
              <w:rPr>
                <w:rFonts w:ascii="宋体" w:hAnsi="宋体" w:cs="Calibri" w:hint="eastAsia"/>
                <w:color w:val="000000"/>
                <w:szCs w:val="21"/>
              </w:rPr>
              <w:t>北京市丰台区金泽路161号1号楼3层309</w:t>
            </w:r>
          </w:p>
          <w:p w14:paraId="504D9178" w14:textId="77777777" w:rsidR="00FF7B65" w:rsidRPr="0068153F" w:rsidRDefault="00FF7B65" w:rsidP="00CF6B6F">
            <w:pPr>
              <w:rPr>
                <w:rFonts w:ascii="宋体" w:hAnsi="宋体" w:cs="Calibri" w:hint="eastAsia"/>
                <w:color w:val="000000"/>
                <w:szCs w:val="21"/>
              </w:rPr>
            </w:pPr>
            <w:r w:rsidRPr="0068153F">
              <w:rPr>
                <w:rFonts w:ascii="宋体" w:hAnsi="宋体" w:cs="Calibri"/>
                <w:color w:val="000000"/>
                <w:szCs w:val="21"/>
              </w:rPr>
              <w:t xml:space="preserve">客服电话：010-66154828 </w:t>
            </w:r>
          </w:p>
          <w:p w14:paraId="4AD286C7" w14:textId="77777777" w:rsidR="00FF7B65" w:rsidRDefault="00FF7B65" w:rsidP="00B5005C">
            <w:pPr>
              <w:jc w:val="left"/>
              <w:rPr>
                <w:rFonts w:asciiTheme="minorEastAsia" w:hAnsiTheme="minorEastAsia" w:cs="Arial" w:hint="eastAsia"/>
                <w:szCs w:val="20"/>
              </w:rPr>
            </w:pPr>
            <w:r w:rsidRPr="0068153F">
              <w:rPr>
                <w:rFonts w:ascii="宋体" w:hAnsi="宋体" w:cs="Calibri"/>
                <w:color w:val="000000"/>
                <w:szCs w:val="21"/>
              </w:rPr>
              <w:t>公司网站：https://www.5irich.com/</w:t>
            </w:r>
          </w:p>
        </w:tc>
      </w:tr>
      <w:tr w:rsidR="00FF7B65" w14:paraId="7A1AEF87" w14:textId="77777777" w:rsidTr="00CF6B6F">
        <w:trPr>
          <w:trHeight w:val="20"/>
        </w:trPr>
        <w:tc>
          <w:tcPr>
            <w:tcW w:w="562" w:type="dxa"/>
          </w:tcPr>
          <w:p w14:paraId="772DE6AE"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37</w:t>
            </w:r>
          </w:p>
        </w:tc>
        <w:tc>
          <w:tcPr>
            <w:tcW w:w="2660" w:type="dxa"/>
          </w:tcPr>
          <w:p w14:paraId="36F7AB88" w14:textId="77777777" w:rsidR="00FF7B65" w:rsidRDefault="00FF7B65" w:rsidP="00B5005C">
            <w:pPr>
              <w:jc w:val="left"/>
              <w:rPr>
                <w:rFonts w:asciiTheme="minorEastAsia" w:hAnsiTheme="minorEastAsia" w:cs="Arial" w:hint="eastAsia"/>
                <w:szCs w:val="20"/>
              </w:rPr>
            </w:pPr>
            <w:r>
              <w:t>上海</w:t>
            </w:r>
            <w:proofErr w:type="gramStart"/>
            <w:r>
              <w:t>陆享基金</w:t>
            </w:r>
            <w:proofErr w:type="gramEnd"/>
            <w:r>
              <w:t>销售有限公司</w:t>
            </w:r>
          </w:p>
        </w:tc>
        <w:tc>
          <w:tcPr>
            <w:tcW w:w="5567" w:type="dxa"/>
          </w:tcPr>
          <w:p w14:paraId="567C3FDF" w14:textId="77777777" w:rsidR="00FF7B65" w:rsidRPr="0068153F" w:rsidRDefault="00FF7B65" w:rsidP="00CF6B6F">
            <w:pPr>
              <w:snapToGrid w:val="0"/>
              <w:rPr>
                <w:rFonts w:ascii="宋体" w:hAnsi="宋体" w:cs="Calibri" w:hint="eastAsia"/>
                <w:color w:val="000000"/>
                <w:szCs w:val="21"/>
              </w:rPr>
            </w:pPr>
            <w:r w:rsidRPr="0068153F">
              <w:t>注册</w:t>
            </w:r>
            <w:r w:rsidRPr="0068153F">
              <w:rPr>
                <w:rFonts w:ascii="宋体" w:hAnsi="宋体" w:cs="Calibri" w:hint="eastAsia"/>
                <w:color w:val="000000"/>
                <w:szCs w:val="21"/>
              </w:rPr>
              <w:t>（办公）地址：</w:t>
            </w:r>
            <w:r w:rsidRPr="007F43B5">
              <w:rPr>
                <w:rFonts w:hint="eastAsia"/>
              </w:rPr>
              <w:t>上海市浦东新区滨江大道</w:t>
            </w:r>
            <w:r w:rsidRPr="007F43B5">
              <w:rPr>
                <w:rFonts w:hint="eastAsia"/>
              </w:rPr>
              <w:t>1111</w:t>
            </w:r>
            <w:r w:rsidRPr="007F43B5">
              <w:rPr>
                <w:rFonts w:hint="eastAsia"/>
              </w:rPr>
              <w:t>弄</w:t>
            </w:r>
            <w:r w:rsidRPr="007F43B5">
              <w:rPr>
                <w:rFonts w:hint="eastAsia"/>
              </w:rPr>
              <w:t>1</w:t>
            </w:r>
            <w:r w:rsidRPr="007F43B5">
              <w:rPr>
                <w:rFonts w:hint="eastAsia"/>
              </w:rPr>
              <w:t>号中</w:t>
            </w:r>
            <w:proofErr w:type="gramStart"/>
            <w:r w:rsidRPr="007F43B5">
              <w:rPr>
                <w:rFonts w:hint="eastAsia"/>
              </w:rPr>
              <w:t>企国际</w:t>
            </w:r>
            <w:proofErr w:type="gramEnd"/>
            <w:r w:rsidRPr="007F43B5">
              <w:rPr>
                <w:rFonts w:hint="eastAsia"/>
              </w:rPr>
              <w:t>金融中心</w:t>
            </w:r>
            <w:r w:rsidRPr="007F43B5">
              <w:rPr>
                <w:rFonts w:hint="eastAsia"/>
              </w:rPr>
              <w:t>A</w:t>
            </w:r>
            <w:r w:rsidRPr="007F43B5">
              <w:rPr>
                <w:rFonts w:hint="eastAsia"/>
              </w:rPr>
              <w:t>楼</w:t>
            </w:r>
            <w:r w:rsidRPr="007F43B5">
              <w:rPr>
                <w:rFonts w:hint="eastAsia"/>
              </w:rPr>
              <w:t>10</w:t>
            </w:r>
            <w:r w:rsidRPr="007F43B5">
              <w:rPr>
                <w:rFonts w:hint="eastAsia"/>
              </w:rPr>
              <w:t>层</w:t>
            </w:r>
            <w:r w:rsidRPr="007F43B5">
              <w:rPr>
                <w:rFonts w:hint="eastAsia"/>
              </w:rPr>
              <w:t>02</w:t>
            </w:r>
            <w:r w:rsidRPr="007F43B5">
              <w:rPr>
                <w:rFonts w:hint="eastAsia"/>
              </w:rPr>
              <w:t>、</w:t>
            </w:r>
            <w:r w:rsidRPr="007F43B5">
              <w:rPr>
                <w:rFonts w:hint="eastAsia"/>
              </w:rPr>
              <w:t>03</w:t>
            </w:r>
            <w:r w:rsidRPr="007F43B5">
              <w:rPr>
                <w:rFonts w:hint="eastAsia"/>
              </w:rPr>
              <w:t>、</w:t>
            </w:r>
            <w:r w:rsidRPr="007F43B5">
              <w:rPr>
                <w:rFonts w:hint="eastAsia"/>
              </w:rPr>
              <w:t>04</w:t>
            </w:r>
            <w:r w:rsidRPr="007F43B5">
              <w:rPr>
                <w:rFonts w:hint="eastAsia"/>
              </w:rPr>
              <w:t>、</w:t>
            </w:r>
            <w:r w:rsidRPr="007F43B5">
              <w:rPr>
                <w:rFonts w:hint="eastAsia"/>
              </w:rPr>
              <w:t>05</w:t>
            </w:r>
            <w:r w:rsidRPr="007F43B5">
              <w:rPr>
                <w:rFonts w:hint="eastAsia"/>
              </w:rPr>
              <w:t>、</w:t>
            </w:r>
            <w:r w:rsidRPr="007F43B5">
              <w:rPr>
                <w:rFonts w:hint="eastAsia"/>
              </w:rPr>
              <w:t>06</w:t>
            </w:r>
            <w:r w:rsidRPr="007F43B5">
              <w:rPr>
                <w:rFonts w:hint="eastAsia"/>
              </w:rPr>
              <w:t>单元</w:t>
            </w:r>
          </w:p>
          <w:p w14:paraId="77AB2214" w14:textId="77777777" w:rsidR="00FF7B65" w:rsidRPr="0068153F" w:rsidRDefault="00FF7B65" w:rsidP="00CF6B6F">
            <w:pPr>
              <w:snapToGrid w:val="0"/>
              <w:rPr>
                <w:rFonts w:ascii="宋体" w:hAnsi="宋体" w:cs="Calibri" w:hint="eastAsia"/>
                <w:color w:val="000000"/>
                <w:szCs w:val="21"/>
              </w:rPr>
            </w:pPr>
            <w:r w:rsidRPr="0068153F">
              <w:rPr>
                <w:rFonts w:ascii="宋体" w:hAnsi="宋体" w:cs="Calibri" w:hint="eastAsia"/>
                <w:color w:val="000000"/>
                <w:szCs w:val="21"/>
              </w:rPr>
              <w:t>客服电话：400-168-1235</w:t>
            </w:r>
          </w:p>
          <w:p w14:paraId="7B4751D2"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公司网站：</w:t>
            </w:r>
            <w:r w:rsidRPr="0068153F">
              <w:rPr>
                <w:rFonts w:ascii="宋体" w:hAnsi="宋体" w:cs="Calibri"/>
                <w:color w:val="000000"/>
                <w:szCs w:val="21"/>
              </w:rPr>
              <w:t>www.luxxfund.com</w:t>
            </w:r>
          </w:p>
        </w:tc>
      </w:tr>
      <w:tr w:rsidR="00FF7B65" w14:paraId="1DD9FAF7" w14:textId="77777777" w:rsidTr="00CF6B6F">
        <w:trPr>
          <w:trHeight w:val="20"/>
        </w:trPr>
        <w:tc>
          <w:tcPr>
            <w:tcW w:w="562" w:type="dxa"/>
          </w:tcPr>
          <w:p w14:paraId="76641330"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38</w:t>
            </w:r>
          </w:p>
        </w:tc>
        <w:tc>
          <w:tcPr>
            <w:tcW w:w="2660" w:type="dxa"/>
          </w:tcPr>
          <w:p w14:paraId="78411018" w14:textId="77777777" w:rsidR="00FF7B65" w:rsidRDefault="00FF7B65" w:rsidP="00B5005C">
            <w:pPr>
              <w:pStyle w:val="a6"/>
            </w:pPr>
            <w:r>
              <w:rPr>
                <w:rFonts w:hint="eastAsia"/>
              </w:rPr>
              <w:t>和讯信息科技有限公司</w:t>
            </w:r>
          </w:p>
          <w:p w14:paraId="73136C11" w14:textId="77777777" w:rsidR="00FF7B65" w:rsidRDefault="00FF7B65" w:rsidP="00B5005C">
            <w:pPr>
              <w:jc w:val="left"/>
              <w:rPr>
                <w:rFonts w:asciiTheme="minorEastAsia" w:hAnsiTheme="minorEastAsia" w:cs="Arial" w:hint="eastAsia"/>
                <w:szCs w:val="20"/>
              </w:rPr>
            </w:pPr>
          </w:p>
        </w:tc>
        <w:tc>
          <w:tcPr>
            <w:tcW w:w="5567" w:type="dxa"/>
          </w:tcPr>
          <w:p w14:paraId="4B25B20D" w14:textId="77777777" w:rsidR="00FF7B65" w:rsidRPr="0068153F" w:rsidRDefault="00FF7B65" w:rsidP="00CF6B6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北京市朝外大街</w:t>
            </w:r>
            <w:proofErr w:type="gramStart"/>
            <w:r w:rsidRPr="0068153F">
              <w:rPr>
                <w:rFonts w:ascii="宋体" w:hAnsi="宋体" w:cs="Calibri" w:hint="eastAsia"/>
                <w:color w:val="000000"/>
                <w:szCs w:val="21"/>
              </w:rPr>
              <w:t>22号泛利大厦</w:t>
            </w:r>
            <w:proofErr w:type="gramEnd"/>
            <w:r w:rsidRPr="0068153F">
              <w:rPr>
                <w:rFonts w:ascii="宋体" w:hAnsi="宋体" w:cs="Calibri" w:hint="eastAsia"/>
                <w:color w:val="000000"/>
                <w:szCs w:val="21"/>
              </w:rPr>
              <w:t>10层</w:t>
            </w:r>
          </w:p>
          <w:p w14:paraId="002C6987" w14:textId="77777777" w:rsidR="00FF7B65" w:rsidRPr="0068153F" w:rsidRDefault="00FF7B65" w:rsidP="00CF6B6F">
            <w:pPr>
              <w:rPr>
                <w:rFonts w:ascii="宋体" w:hAnsi="宋体" w:cs="Calibri" w:hint="eastAsia"/>
                <w:color w:val="000000"/>
                <w:szCs w:val="21"/>
              </w:rPr>
            </w:pPr>
            <w:r w:rsidRPr="0068153F">
              <w:rPr>
                <w:rFonts w:ascii="宋体" w:hAnsi="宋体" w:cs="Calibri" w:hint="eastAsia"/>
                <w:color w:val="000000"/>
                <w:szCs w:val="21"/>
              </w:rPr>
              <w:t>客服电话：400-920-0022</w:t>
            </w:r>
          </w:p>
          <w:p w14:paraId="42D91A7D" w14:textId="77777777" w:rsidR="00FF7B65" w:rsidRDefault="00FF7B65" w:rsidP="00B5005C">
            <w:pPr>
              <w:jc w:val="left"/>
              <w:rPr>
                <w:rFonts w:asciiTheme="minorEastAsia" w:hAnsiTheme="minorEastAsia" w:cs="Arial" w:hint="eastAsia"/>
                <w:szCs w:val="20"/>
              </w:rPr>
            </w:pPr>
            <w:r w:rsidRPr="0068153F">
              <w:rPr>
                <w:rFonts w:ascii="宋体" w:hAnsi="宋体" w:cs="Calibri" w:hint="eastAsia"/>
                <w:color w:val="000000"/>
                <w:szCs w:val="21"/>
              </w:rPr>
              <w:t>公司网站：</w:t>
            </w:r>
            <w:hyperlink r:id="rId23" w:history="1">
              <w:r w:rsidRPr="0068153F">
                <w:rPr>
                  <w:rFonts w:ascii="宋体" w:hAnsi="宋体" w:cs="Calibri" w:hint="eastAsia"/>
                  <w:color w:val="000000"/>
                  <w:szCs w:val="21"/>
                </w:rPr>
                <w:t>www.licaike.com</w:t>
              </w:r>
            </w:hyperlink>
          </w:p>
        </w:tc>
      </w:tr>
      <w:tr w:rsidR="00FF7B65" w14:paraId="73A8D259" w14:textId="77777777" w:rsidTr="00CF6B6F">
        <w:trPr>
          <w:trHeight w:val="20"/>
        </w:trPr>
        <w:tc>
          <w:tcPr>
            <w:tcW w:w="562" w:type="dxa"/>
          </w:tcPr>
          <w:p w14:paraId="4E7D9784"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39</w:t>
            </w:r>
          </w:p>
        </w:tc>
        <w:tc>
          <w:tcPr>
            <w:tcW w:w="2660" w:type="dxa"/>
          </w:tcPr>
          <w:p w14:paraId="432A8F3A" w14:textId="77777777" w:rsidR="00FF7B65" w:rsidRDefault="00FF7B65" w:rsidP="00B5005C">
            <w:pPr>
              <w:jc w:val="left"/>
              <w:rPr>
                <w:rFonts w:asciiTheme="minorEastAsia" w:hAnsiTheme="minorEastAsia" w:cs="Arial" w:hint="eastAsia"/>
                <w:szCs w:val="20"/>
              </w:rPr>
            </w:pPr>
            <w:r>
              <w:rPr>
                <w:rFonts w:ascii="宋体" w:hAnsi="宋体" w:cs="Calibri" w:hint="eastAsia"/>
                <w:bCs/>
                <w:color w:val="000000"/>
                <w:szCs w:val="21"/>
              </w:rPr>
              <w:t>阳光人寿保险股份有限公司</w:t>
            </w:r>
          </w:p>
        </w:tc>
        <w:tc>
          <w:tcPr>
            <w:tcW w:w="5567" w:type="dxa"/>
          </w:tcPr>
          <w:p w14:paraId="52C5699A" w14:textId="77777777" w:rsidR="00FF7B65" w:rsidRDefault="00FF7B65" w:rsidP="00B5005C">
            <w:pPr>
              <w:jc w:val="left"/>
              <w:rPr>
                <w:rFonts w:ascii="宋体" w:hAnsi="宋体" w:cs="Calibri" w:hint="eastAsia"/>
                <w:color w:val="000000"/>
                <w:szCs w:val="21"/>
              </w:rPr>
            </w:pPr>
            <w:r>
              <w:rPr>
                <w:rFonts w:ascii="宋体" w:hAnsi="宋体" w:cs="Calibri" w:hint="eastAsia"/>
                <w:color w:val="000000"/>
                <w:szCs w:val="21"/>
              </w:rPr>
              <w:t>注册（办公）地址：北京市朝阳区朝阳门外大街乙12号院1号昆泰国际大厦12层</w:t>
            </w:r>
          </w:p>
          <w:p w14:paraId="7A71285C" w14:textId="77777777" w:rsidR="00FF7B65" w:rsidRDefault="00FF7B65" w:rsidP="00B5005C">
            <w:pPr>
              <w:jc w:val="left"/>
              <w:rPr>
                <w:rFonts w:ascii="宋体" w:hAnsi="宋体" w:cs="Calibri" w:hint="eastAsia"/>
                <w:color w:val="000000"/>
                <w:szCs w:val="21"/>
              </w:rPr>
            </w:pPr>
            <w:r>
              <w:rPr>
                <w:rFonts w:ascii="宋体" w:hAnsi="宋体" w:cs="Calibri" w:hint="eastAsia"/>
                <w:color w:val="000000"/>
                <w:szCs w:val="21"/>
              </w:rPr>
              <w:t>客户服务电话：95510</w:t>
            </w:r>
          </w:p>
          <w:p w14:paraId="62265572"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网址：fund.sinosig.com</w:t>
            </w:r>
          </w:p>
        </w:tc>
      </w:tr>
      <w:tr w:rsidR="00FF7B65" w14:paraId="7E5CB56F" w14:textId="77777777" w:rsidTr="00CF6B6F">
        <w:trPr>
          <w:trHeight w:val="20"/>
        </w:trPr>
        <w:tc>
          <w:tcPr>
            <w:tcW w:w="562" w:type="dxa"/>
          </w:tcPr>
          <w:p w14:paraId="2E9A9BAA"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40</w:t>
            </w:r>
          </w:p>
        </w:tc>
        <w:tc>
          <w:tcPr>
            <w:tcW w:w="2660" w:type="dxa"/>
          </w:tcPr>
          <w:p w14:paraId="7C52A1FE" w14:textId="77777777" w:rsidR="00FF7B65" w:rsidRDefault="00FF7B65" w:rsidP="00B5005C">
            <w:pPr>
              <w:jc w:val="left"/>
              <w:rPr>
                <w:rFonts w:asciiTheme="minorEastAsia" w:hAnsiTheme="minorEastAsia" w:cs="Arial" w:hint="eastAsia"/>
                <w:szCs w:val="20"/>
              </w:rPr>
            </w:pPr>
            <w:r>
              <w:rPr>
                <w:rFonts w:ascii="宋体" w:hAnsi="宋体" w:cs="Calibri" w:hint="eastAsia"/>
                <w:bCs/>
                <w:color w:val="000000"/>
                <w:szCs w:val="21"/>
              </w:rPr>
              <w:t>深圳市前海排</w:t>
            </w:r>
            <w:proofErr w:type="gramStart"/>
            <w:r>
              <w:rPr>
                <w:rFonts w:ascii="宋体" w:hAnsi="宋体" w:cs="Calibri" w:hint="eastAsia"/>
                <w:bCs/>
                <w:color w:val="000000"/>
                <w:szCs w:val="21"/>
              </w:rPr>
              <w:t>排</w:t>
            </w:r>
            <w:proofErr w:type="gramEnd"/>
            <w:r>
              <w:rPr>
                <w:rFonts w:ascii="宋体" w:hAnsi="宋体" w:cs="Calibri" w:hint="eastAsia"/>
                <w:bCs/>
                <w:color w:val="000000"/>
                <w:szCs w:val="21"/>
              </w:rPr>
              <w:t>网基金销售有限责任公司</w:t>
            </w:r>
          </w:p>
        </w:tc>
        <w:tc>
          <w:tcPr>
            <w:tcW w:w="5567" w:type="dxa"/>
          </w:tcPr>
          <w:p w14:paraId="091D9A4B" w14:textId="77777777" w:rsidR="00FF7B65" w:rsidRDefault="00FF7B65" w:rsidP="00B5005C">
            <w:pPr>
              <w:jc w:val="left"/>
            </w:pPr>
            <w:r>
              <w:t>注册</w:t>
            </w:r>
            <w:r>
              <w:rPr>
                <w:rFonts w:ascii="宋体" w:hAnsi="宋体" w:cs="Calibri" w:hint="eastAsia"/>
                <w:color w:val="000000"/>
                <w:szCs w:val="21"/>
              </w:rPr>
              <w:t>（办公）地址：深圳市前海深港合作区前湾一路1号A栋201室</w:t>
            </w:r>
          </w:p>
          <w:p w14:paraId="4FB4DD07" w14:textId="77777777" w:rsidR="00FF7B65" w:rsidRDefault="00FF7B65" w:rsidP="00B5005C">
            <w:pPr>
              <w:jc w:val="left"/>
            </w:pPr>
            <w:r>
              <w:t>客服电话：</w:t>
            </w:r>
            <w:r>
              <w:t xml:space="preserve">400-666-7388 </w:t>
            </w:r>
          </w:p>
          <w:p w14:paraId="68902EB5" w14:textId="77777777" w:rsidR="00FF7B65" w:rsidRDefault="00FF7B65" w:rsidP="00B5005C">
            <w:pPr>
              <w:jc w:val="left"/>
              <w:rPr>
                <w:rFonts w:asciiTheme="minorEastAsia" w:hAnsiTheme="minorEastAsia" w:cs="Arial" w:hint="eastAsia"/>
                <w:szCs w:val="20"/>
              </w:rPr>
            </w:pPr>
            <w:r>
              <w:t>公司网站：</w:t>
            </w:r>
            <w:r>
              <w:t>www.ppwfund.com</w:t>
            </w:r>
          </w:p>
        </w:tc>
      </w:tr>
      <w:tr w:rsidR="00FF7B65" w14:paraId="2BD63A23" w14:textId="77777777" w:rsidTr="00CF6B6F">
        <w:trPr>
          <w:trHeight w:val="20"/>
        </w:trPr>
        <w:tc>
          <w:tcPr>
            <w:tcW w:w="562" w:type="dxa"/>
          </w:tcPr>
          <w:p w14:paraId="45A961CE"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41</w:t>
            </w:r>
          </w:p>
        </w:tc>
        <w:tc>
          <w:tcPr>
            <w:tcW w:w="2660" w:type="dxa"/>
          </w:tcPr>
          <w:p w14:paraId="0E19E6B1" w14:textId="77777777" w:rsidR="00FF7B65" w:rsidRDefault="00FF7B65" w:rsidP="00B5005C">
            <w:pPr>
              <w:jc w:val="left"/>
              <w:rPr>
                <w:rFonts w:asciiTheme="minorEastAsia" w:hAnsiTheme="minorEastAsia" w:cs="Arial" w:hint="eastAsia"/>
                <w:szCs w:val="20"/>
              </w:rPr>
            </w:pPr>
            <w:r>
              <w:rPr>
                <w:rFonts w:ascii="宋体" w:hAnsi="宋体" w:cs="Calibri" w:hint="eastAsia"/>
                <w:bCs/>
                <w:color w:val="000000"/>
                <w:szCs w:val="21"/>
              </w:rPr>
              <w:t>金元证券股份有限公司</w:t>
            </w:r>
          </w:p>
        </w:tc>
        <w:tc>
          <w:tcPr>
            <w:tcW w:w="5567" w:type="dxa"/>
          </w:tcPr>
          <w:p w14:paraId="12B3D963"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18A77093" w14:textId="77777777" w:rsidR="00FF7B65" w:rsidRDefault="00FF7B65" w:rsidP="00B5005C">
            <w:pPr>
              <w:snapToGrid w:val="0"/>
              <w:jc w:val="left"/>
            </w:pPr>
            <w:r>
              <w:rPr>
                <w:rFonts w:ascii="宋体" w:hAnsi="宋体" w:cs="Calibri" w:hint="eastAsia"/>
                <w:color w:val="000000"/>
                <w:szCs w:val="21"/>
              </w:rPr>
              <w:t>客户服务电话</w:t>
            </w:r>
            <w:r>
              <w:t>：</w:t>
            </w:r>
            <w:r>
              <w:t>95372</w:t>
            </w:r>
          </w:p>
          <w:p w14:paraId="6A96876C"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网址：www.jyzq.cn</w:t>
            </w:r>
          </w:p>
        </w:tc>
      </w:tr>
      <w:tr w:rsidR="00FF7B65" w14:paraId="33199C70" w14:textId="77777777" w:rsidTr="00CF6B6F">
        <w:trPr>
          <w:trHeight w:val="20"/>
        </w:trPr>
        <w:tc>
          <w:tcPr>
            <w:tcW w:w="562" w:type="dxa"/>
          </w:tcPr>
          <w:p w14:paraId="54812CE0"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42</w:t>
            </w:r>
          </w:p>
        </w:tc>
        <w:tc>
          <w:tcPr>
            <w:tcW w:w="2660" w:type="dxa"/>
          </w:tcPr>
          <w:p w14:paraId="7AA3773F" w14:textId="77777777" w:rsidR="00FF7B65" w:rsidRDefault="00FF7B65" w:rsidP="00B5005C">
            <w:pPr>
              <w:jc w:val="left"/>
              <w:rPr>
                <w:rFonts w:asciiTheme="minorEastAsia" w:hAnsiTheme="minorEastAsia" w:cs="Arial" w:hint="eastAsia"/>
                <w:szCs w:val="20"/>
              </w:rPr>
            </w:pPr>
            <w:r>
              <w:rPr>
                <w:rFonts w:ascii="宋体" w:hAnsi="宋体" w:cs="Calibri" w:hint="eastAsia"/>
                <w:bCs/>
                <w:color w:val="000000"/>
                <w:szCs w:val="21"/>
              </w:rPr>
              <w:t>嘉实财富管理有限公司</w:t>
            </w:r>
          </w:p>
        </w:tc>
        <w:tc>
          <w:tcPr>
            <w:tcW w:w="5567" w:type="dxa"/>
          </w:tcPr>
          <w:p w14:paraId="6C229EF9" w14:textId="77777777" w:rsidR="00FF7B65" w:rsidRDefault="00FF7B65" w:rsidP="00B5005C">
            <w:pPr>
              <w:jc w:val="left"/>
            </w:pPr>
            <w:r>
              <w:t>注册</w:t>
            </w:r>
            <w:r>
              <w:rPr>
                <w:rFonts w:ascii="宋体" w:hAnsi="宋体" w:cs="Calibri" w:hint="eastAsia"/>
                <w:color w:val="000000"/>
                <w:szCs w:val="21"/>
              </w:rPr>
              <w:t>（办公）</w:t>
            </w:r>
            <w:r>
              <w:t>地址：</w:t>
            </w:r>
            <w:r>
              <w:rPr>
                <w:rFonts w:hint="eastAsia"/>
              </w:rPr>
              <w:t>海南省三亚市天涯区凤凰岛</w:t>
            </w:r>
            <w:r>
              <w:rPr>
                <w:rFonts w:hint="eastAsia"/>
              </w:rPr>
              <w:t>1</w:t>
            </w:r>
            <w:r>
              <w:rPr>
                <w:rFonts w:hint="eastAsia"/>
              </w:rPr>
              <w:t>号楼</w:t>
            </w:r>
            <w:r>
              <w:rPr>
                <w:rFonts w:hint="eastAsia"/>
              </w:rPr>
              <w:t>7</w:t>
            </w:r>
            <w:r>
              <w:rPr>
                <w:rFonts w:hint="eastAsia"/>
              </w:rPr>
              <w:t>层</w:t>
            </w:r>
            <w:r>
              <w:rPr>
                <w:rFonts w:hint="eastAsia"/>
              </w:rPr>
              <w:t>710</w:t>
            </w:r>
            <w:r>
              <w:rPr>
                <w:rFonts w:hint="eastAsia"/>
              </w:rPr>
              <w:t>号</w:t>
            </w:r>
          </w:p>
          <w:p w14:paraId="0739B6AA" w14:textId="77777777" w:rsidR="00FF7B65" w:rsidRDefault="00FF7B65" w:rsidP="00B5005C">
            <w:pPr>
              <w:jc w:val="left"/>
              <w:rPr>
                <w:rFonts w:ascii="宋体" w:hAnsi="宋体" w:cs="Calibri" w:hint="eastAsia"/>
                <w:color w:val="000000"/>
                <w:szCs w:val="21"/>
              </w:rPr>
            </w:pPr>
            <w:r>
              <w:rPr>
                <w:rFonts w:ascii="宋体" w:hAnsi="宋体" w:cs="Calibri" w:hint="eastAsia"/>
                <w:color w:val="000000"/>
                <w:szCs w:val="21"/>
              </w:rPr>
              <w:t>客服电话：400-021-8850</w:t>
            </w:r>
          </w:p>
          <w:p w14:paraId="4C214324"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公司网站：www.harvestwm.cn</w:t>
            </w:r>
          </w:p>
        </w:tc>
      </w:tr>
      <w:tr w:rsidR="00FF7B65" w14:paraId="6E45E9A1" w14:textId="77777777" w:rsidTr="00CF6B6F">
        <w:trPr>
          <w:trHeight w:val="20"/>
        </w:trPr>
        <w:tc>
          <w:tcPr>
            <w:tcW w:w="562" w:type="dxa"/>
          </w:tcPr>
          <w:p w14:paraId="78933ECA"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t>43</w:t>
            </w:r>
          </w:p>
        </w:tc>
        <w:tc>
          <w:tcPr>
            <w:tcW w:w="2660" w:type="dxa"/>
          </w:tcPr>
          <w:p w14:paraId="43DCBDE0" w14:textId="77777777" w:rsidR="00FF7B65" w:rsidRDefault="00FF7B65" w:rsidP="00B5005C">
            <w:pPr>
              <w:jc w:val="left"/>
              <w:rPr>
                <w:rFonts w:asciiTheme="minorEastAsia" w:hAnsiTheme="minorEastAsia" w:cs="Arial" w:hint="eastAsia"/>
                <w:szCs w:val="20"/>
              </w:rPr>
            </w:pPr>
            <w:r>
              <w:t>上海</w:t>
            </w:r>
            <w:proofErr w:type="gramStart"/>
            <w:r>
              <w:t>攀赢基金</w:t>
            </w:r>
            <w:proofErr w:type="gramEnd"/>
            <w:r>
              <w:t>销售有限公司</w:t>
            </w:r>
          </w:p>
        </w:tc>
        <w:tc>
          <w:tcPr>
            <w:tcW w:w="5567" w:type="dxa"/>
          </w:tcPr>
          <w:p w14:paraId="066D02D6" w14:textId="77777777" w:rsidR="00FF7B65" w:rsidRDefault="00FF7B65" w:rsidP="00B5005C">
            <w:pPr>
              <w:snapToGrid w:val="0"/>
              <w:jc w:val="left"/>
            </w:pPr>
            <w:r>
              <w:rPr>
                <w:rFonts w:hint="eastAsia"/>
              </w:rPr>
              <w:t>注册（办公）地址：上海市浦东</w:t>
            </w:r>
            <w:proofErr w:type="gramStart"/>
            <w:r>
              <w:rPr>
                <w:rFonts w:hint="eastAsia"/>
              </w:rPr>
              <w:t>新区银</w:t>
            </w:r>
            <w:proofErr w:type="gramEnd"/>
            <w:r>
              <w:rPr>
                <w:rFonts w:hint="eastAsia"/>
              </w:rPr>
              <w:t>城路</w:t>
            </w:r>
            <w:r>
              <w:rPr>
                <w:rFonts w:hint="eastAsia"/>
              </w:rPr>
              <w:t>116</w:t>
            </w:r>
            <w:r>
              <w:rPr>
                <w:rFonts w:hint="eastAsia"/>
              </w:rPr>
              <w:t>号大华银行大厦</w:t>
            </w:r>
            <w:r>
              <w:rPr>
                <w:rFonts w:hint="eastAsia"/>
              </w:rPr>
              <w:t>7</w:t>
            </w:r>
            <w:r>
              <w:rPr>
                <w:rFonts w:hint="eastAsia"/>
              </w:rPr>
              <w:t>楼</w:t>
            </w:r>
          </w:p>
          <w:p w14:paraId="1F1271A9"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客服电话：021-68889082</w:t>
            </w:r>
          </w:p>
          <w:p w14:paraId="219F106D"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lastRenderedPageBreak/>
              <w:t>公司网站：www.pytz.cn</w:t>
            </w:r>
          </w:p>
        </w:tc>
      </w:tr>
      <w:tr w:rsidR="00FF7B65" w14:paraId="66E0DCE6" w14:textId="77777777" w:rsidTr="00CF6B6F">
        <w:trPr>
          <w:trHeight w:val="20"/>
        </w:trPr>
        <w:tc>
          <w:tcPr>
            <w:tcW w:w="562" w:type="dxa"/>
          </w:tcPr>
          <w:p w14:paraId="0B20C2FF" w14:textId="77777777" w:rsidR="00FF7B65" w:rsidRDefault="00FF7B65" w:rsidP="00B5005C">
            <w:pPr>
              <w:jc w:val="left"/>
              <w:rPr>
                <w:rFonts w:asciiTheme="minorEastAsia" w:hAnsiTheme="minorEastAsia" w:cs="Arial" w:hint="eastAsia"/>
                <w:szCs w:val="20"/>
              </w:rPr>
            </w:pPr>
            <w:r>
              <w:rPr>
                <w:rFonts w:asciiTheme="minorEastAsia" w:hAnsiTheme="minorEastAsia" w:cs="Arial" w:hint="eastAsia"/>
                <w:szCs w:val="20"/>
              </w:rPr>
              <w:lastRenderedPageBreak/>
              <w:t>44</w:t>
            </w:r>
          </w:p>
        </w:tc>
        <w:tc>
          <w:tcPr>
            <w:tcW w:w="2660" w:type="dxa"/>
          </w:tcPr>
          <w:p w14:paraId="02E56DB5"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上海爱建基金销售有限公司</w:t>
            </w:r>
          </w:p>
        </w:tc>
        <w:tc>
          <w:tcPr>
            <w:tcW w:w="5567" w:type="dxa"/>
          </w:tcPr>
          <w:p w14:paraId="36AE6DA7"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上海市徐汇</w:t>
            </w:r>
            <w:proofErr w:type="gramStart"/>
            <w:r>
              <w:rPr>
                <w:rFonts w:ascii="宋体" w:hAnsi="宋体" w:cs="Calibri" w:hint="eastAsia"/>
                <w:color w:val="000000"/>
                <w:szCs w:val="21"/>
              </w:rPr>
              <w:t>区肇嘉浜</w:t>
            </w:r>
            <w:proofErr w:type="gramEnd"/>
            <w:r>
              <w:rPr>
                <w:rFonts w:ascii="宋体" w:hAnsi="宋体" w:cs="Calibri" w:hint="eastAsia"/>
                <w:color w:val="000000"/>
                <w:szCs w:val="21"/>
              </w:rPr>
              <w:t>路746号</w:t>
            </w:r>
          </w:p>
          <w:p w14:paraId="5CB182A6" w14:textId="77777777" w:rsidR="00FF7B65" w:rsidRDefault="00FF7B65" w:rsidP="00B5005C">
            <w:pPr>
              <w:snapToGrid w:val="0"/>
              <w:jc w:val="left"/>
              <w:rPr>
                <w:rFonts w:ascii="宋体" w:hAnsi="宋体" w:cs="Calibri" w:hint="eastAsia"/>
                <w:color w:val="000000"/>
                <w:szCs w:val="21"/>
              </w:rPr>
            </w:pPr>
            <w:r>
              <w:rPr>
                <w:rFonts w:ascii="宋体" w:hAnsi="宋体" w:cs="Calibri" w:hint="eastAsia"/>
                <w:color w:val="000000"/>
                <w:szCs w:val="21"/>
              </w:rPr>
              <w:t>客户服务电话</w:t>
            </w:r>
            <w:r>
              <w:t>：</w:t>
            </w:r>
            <w:r>
              <w:t>400-803-2733</w:t>
            </w:r>
          </w:p>
          <w:p w14:paraId="20EE0920" w14:textId="77777777" w:rsidR="00FF7B65" w:rsidRDefault="00FF7B65" w:rsidP="00B5005C">
            <w:pPr>
              <w:jc w:val="left"/>
              <w:rPr>
                <w:rFonts w:asciiTheme="minorEastAsia" w:hAnsiTheme="minorEastAsia" w:cs="Arial" w:hint="eastAsia"/>
                <w:szCs w:val="20"/>
              </w:rPr>
            </w:pPr>
            <w:r>
              <w:rPr>
                <w:rFonts w:ascii="宋体" w:hAnsi="宋体" w:cs="Calibri" w:hint="eastAsia"/>
                <w:color w:val="000000"/>
                <w:szCs w:val="21"/>
              </w:rPr>
              <w:t>网址：</w:t>
            </w:r>
            <w:r>
              <w:t>www.ajwm.com.cn</w:t>
            </w:r>
          </w:p>
        </w:tc>
      </w:tr>
      <w:tr w:rsidR="00FF7B65" w14:paraId="02B82BCE" w14:textId="77777777" w:rsidTr="00CF6B6F">
        <w:trPr>
          <w:trHeight w:val="20"/>
        </w:trPr>
        <w:tc>
          <w:tcPr>
            <w:tcW w:w="562" w:type="dxa"/>
          </w:tcPr>
          <w:p w14:paraId="5B87604F" w14:textId="77777777" w:rsidR="00FF7B65" w:rsidDel="00DE5F8D" w:rsidRDefault="00FF7B65" w:rsidP="00B5005C">
            <w:pPr>
              <w:jc w:val="left"/>
              <w:rPr>
                <w:rFonts w:asciiTheme="minorEastAsia" w:hAnsiTheme="minorEastAsia" w:cs="Arial" w:hint="eastAsia"/>
                <w:szCs w:val="20"/>
              </w:rPr>
            </w:pPr>
            <w:r>
              <w:rPr>
                <w:rFonts w:asciiTheme="minorEastAsia" w:hAnsiTheme="minorEastAsia" w:cs="Arial" w:hint="eastAsia"/>
                <w:szCs w:val="20"/>
              </w:rPr>
              <w:t>45</w:t>
            </w:r>
          </w:p>
        </w:tc>
        <w:tc>
          <w:tcPr>
            <w:tcW w:w="2660" w:type="dxa"/>
          </w:tcPr>
          <w:p w14:paraId="7386A118" w14:textId="77777777" w:rsidR="00FF7B65" w:rsidRDefault="00FF7B65" w:rsidP="00B5005C">
            <w:pPr>
              <w:jc w:val="left"/>
              <w:rPr>
                <w:rFonts w:ascii="宋体" w:hAnsi="宋体" w:cs="Calibri" w:hint="eastAsia"/>
                <w:color w:val="000000"/>
                <w:szCs w:val="21"/>
              </w:rPr>
            </w:pPr>
            <w:r>
              <w:rPr>
                <w:rFonts w:asciiTheme="minorEastAsia" w:hAnsiTheme="minorEastAsia" w:cs="Arial" w:hint="eastAsia"/>
                <w:szCs w:val="20"/>
              </w:rPr>
              <w:t>上海大智慧基金销售有限公司</w:t>
            </w:r>
          </w:p>
        </w:tc>
        <w:tc>
          <w:tcPr>
            <w:tcW w:w="5567" w:type="dxa"/>
          </w:tcPr>
          <w:p w14:paraId="0EDF133A" w14:textId="77777777" w:rsidR="00FF7B65" w:rsidRDefault="00FF7B65" w:rsidP="00B5005C">
            <w:pPr>
              <w:snapToGrid w:val="0"/>
              <w:rPr>
                <w:rFonts w:asciiTheme="minorEastAsia" w:hAnsiTheme="minorEastAsia" w:cs="Arial" w:hint="eastAsia"/>
                <w:szCs w:val="21"/>
              </w:rPr>
            </w:pPr>
            <w:r>
              <w:rPr>
                <w:rFonts w:asciiTheme="minorEastAsia" w:hAnsiTheme="minorEastAsia" w:cs="Arial" w:hint="eastAsia"/>
                <w:szCs w:val="21"/>
              </w:rPr>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高南路428弄由</w:t>
            </w:r>
            <w:proofErr w:type="gramStart"/>
            <w:r>
              <w:rPr>
                <w:rFonts w:asciiTheme="minorEastAsia" w:hAnsiTheme="minorEastAsia" w:cs="Arial" w:hint="eastAsia"/>
                <w:szCs w:val="21"/>
              </w:rPr>
              <w:t>由</w:t>
            </w:r>
            <w:proofErr w:type="gramEnd"/>
            <w:r>
              <w:rPr>
                <w:rFonts w:asciiTheme="minorEastAsia" w:hAnsiTheme="minorEastAsia" w:cs="Arial" w:hint="eastAsia"/>
                <w:szCs w:val="21"/>
              </w:rPr>
              <w:t>世纪广场1号楼</w:t>
            </w:r>
          </w:p>
          <w:p w14:paraId="1EF15524" w14:textId="77777777" w:rsidR="00FF7B65" w:rsidRDefault="00FF7B65" w:rsidP="00B5005C">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021-20219988</w:t>
            </w:r>
          </w:p>
          <w:p w14:paraId="2B5BFAFB" w14:textId="77777777" w:rsidR="00FF7B65" w:rsidRDefault="00FF7B65" w:rsidP="00B5005C">
            <w:pPr>
              <w:snapToGrid w:val="0"/>
              <w:jc w:val="left"/>
              <w:rPr>
                <w:rFonts w:ascii="宋体" w:hAnsi="宋体" w:cs="Calibri" w:hint="eastAsia"/>
                <w:color w:val="000000"/>
                <w:szCs w:val="21"/>
              </w:rPr>
            </w:pPr>
            <w:r>
              <w:rPr>
                <w:rFonts w:asciiTheme="minorEastAsia" w:hAnsiTheme="minorEastAsia" w:cs="Arial" w:hint="eastAsia"/>
                <w:szCs w:val="21"/>
              </w:rPr>
              <w:t>公司网站：</w:t>
            </w:r>
            <w:r>
              <w:rPr>
                <w:rFonts w:asciiTheme="minorEastAsia" w:hAnsiTheme="minorEastAsia" w:cs="Arial"/>
                <w:szCs w:val="21"/>
              </w:rPr>
              <w:t>https://www.gw.com.cn/</w:t>
            </w:r>
          </w:p>
        </w:tc>
      </w:tr>
      <w:tr w:rsidR="00FF7B65" w14:paraId="562C7BD7" w14:textId="77777777" w:rsidTr="00CF6B6F">
        <w:trPr>
          <w:trHeight w:val="20"/>
        </w:trPr>
        <w:tc>
          <w:tcPr>
            <w:tcW w:w="562" w:type="dxa"/>
          </w:tcPr>
          <w:p w14:paraId="6E752F49" w14:textId="77777777" w:rsidR="00FF7B65" w:rsidDel="00DE5F8D" w:rsidRDefault="00FF7B65" w:rsidP="00B5005C">
            <w:pPr>
              <w:jc w:val="left"/>
              <w:rPr>
                <w:rFonts w:asciiTheme="minorEastAsia" w:hAnsiTheme="minorEastAsia" w:cs="Arial" w:hint="eastAsia"/>
                <w:szCs w:val="20"/>
              </w:rPr>
            </w:pPr>
            <w:r>
              <w:rPr>
                <w:rFonts w:asciiTheme="minorEastAsia" w:hAnsiTheme="minorEastAsia" w:cs="Arial" w:hint="eastAsia"/>
                <w:szCs w:val="20"/>
              </w:rPr>
              <w:t>46</w:t>
            </w:r>
          </w:p>
        </w:tc>
        <w:tc>
          <w:tcPr>
            <w:tcW w:w="2660" w:type="dxa"/>
          </w:tcPr>
          <w:p w14:paraId="20A3FF3B" w14:textId="77777777" w:rsidR="00FF7B65" w:rsidRDefault="00FF7B65" w:rsidP="00B5005C">
            <w:pPr>
              <w:jc w:val="left"/>
              <w:rPr>
                <w:rFonts w:ascii="宋体" w:hAnsi="宋体" w:cs="Calibri" w:hint="eastAsia"/>
                <w:color w:val="000000"/>
                <w:szCs w:val="21"/>
              </w:rPr>
            </w:pPr>
            <w:r>
              <w:rPr>
                <w:rFonts w:asciiTheme="minorEastAsia" w:hAnsiTheme="minorEastAsia" w:cs="Arial" w:hint="eastAsia"/>
                <w:szCs w:val="21"/>
              </w:rPr>
              <w:t>上海华夏财富投资管理有限公司</w:t>
            </w:r>
          </w:p>
        </w:tc>
        <w:tc>
          <w:tcPr>
            <w:tcW w:w="5567" w:type="dxa"/>
          </w:tcPr>
          <w:p w14:paraId="4E8340A4" w14:textId="77777777" w:rsidR="00FF7B65" w:rsidRDefault="00FF7B65" w:rsidP="00B5005C">
            <w:pPr>
              <w:rPr>
                <w:rFonts w:asciiTheme="minorEastAsia" w:hAnsiTheme="minorEastAsia" w:cs="Arial" w:hint="eastAsia"/>
                <w:szCs w:val="21"/>
              </w:rPr>
            </w:pPr>
            <w:r>
              <w:rPr>
                <w:rFonts w:asciiTheme="minorEastAsia" w:hAnsiTheme="minorEastAsia" w:cs="Arial" w:hint="eastAsia"/>
                <w:szCs w:val="21"/>
              </w:rPr>
              <w:t>注册（办公）地址：北京市西城区金融大街33号通泰大厦B座8层</w:t>
            </w:r>
          </w:p>
          <w:p w14:paraId="1C53B4FD" w14:textId="77777777" w:rsidR="00FF7B65" w:rsidRDefault="00FF7B65" w:rsidP="00B5005C">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400-817-5666</w:t>
            </w:r>
          </w:p>
          <w:p w14:paraId="5253067B" w14:textId="77777777" w:rsidR="00FF7B65" w:rsidRDefault="00FF7B65" w:rsidP="00B5005C">
            <w:pPr>
              <w:snapToGrid w:val="0"/>
              <w:jc w:val="left"/>
              <w:rPr>
                <w:rFonts w:ascii="宋体" w:hAnsi="宋体" w:cs="Calibri" w:hint="eastAsia"/>
                <w:color w:val="000000"/>
                <w:szCs w:val="21"/>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FF7B65" w14:paraId="231D3031" w14:textId="77777777" w:rsidTr="00CF6B6F">
        <w:trPr>
          <w:trHeight w:val="20"/>
        </w:trPr>
        <w:tc>
          <w:tcPr>
            <w:tcW w:w="562" w:type="dxa"/>
          </w:tcPr>
          <w:p w14:paraId="0397DB2C" w14:textId="77777777" w:rsidR="00FF7B65" w:rsidDel="00DE5F8D" w:rsidRDefault="00FF7B65" w:rsidP="00B5005C">
            <w:pPr>
              <w:jc w:val="left"/>
              <w:rPr>
                <w:rFonts w:asciiTheme="minorEastAsia" w:hAnsiTheme="minorEastAsia" w:cs="Arial" w:hint="eastAsia"/>
                <w:szCs w:val="20"/>
              </w:rPr>
            </w:pPr>
            <w:r>
              <w:rPr>
                <w:rFonts w:asciiTheme="minorEastAsia" w:hAnsiTheme="minorEastAsia" w:cs="Arial" w:hint="eastAsia"/>
                <w:szCs w:val="20"/>
              </w:rPr>
              <w:t>47</w:t>
            </w:r>
          </w:p>
        </w:tc>
        <w:tc>
          <w:tcPr>
            <w:tcW w:w="2660" w:type="dxa"/>
          </w:tcPr>
          <w:p w14:paraId="73BFE852" w14:textId="77777777" w:rsidR="00FF7B65" w:rsidRDefault="00FF7B65" w:rsidP="00B5005C">
            <w:pPr>
              <w:jc w:val="left"/>
              <w:rPr>
                <w:rFonts w:ascii="宋体" w:hAnsi="宋体" w:cs="Calibri" w:hint="eastAsia"/>
                <w:color w:val="000000"/>
                <w:szCs w:val="21"/>
              </w:rPr>
            </w:pPr>
            <w:r>
              <w:t>上海</w:t>
            </w:r>
            <w:proofErr w:type="gramStart"/>
            <w:r>
              <w:t>中正达广基金</w:t>
            </w:r>
            <w:proofErr w:type="gramEnd"/>
            <w:r>
              <w:t>销售有限公司</w:t>
            </w:r>
          </w:p>
        </w:tc>
        <w:tc>
          <w:tcPr>
            <w:tcW w:w="5567" w:type="dxa"/>
          </w:tcPr>
          <w:p w14:paraId="24407A9E" w14:textId="77777777" w:rsidR="00FF7B65" w:rsidRDefault="00FF7B65" w:rsidP="00B5005C">
            <w:pPr>
              <w:rPr>
                <w:rFonts w:asciiTheme="minorEastAsia" w:hAnsiTheme="minorEastAsia" w:cs="Arial" w:hint="eastAsia"/>
                <w:szCs w:val="21"/>
              </w:rPr>
            </w:pPr>
            <w:r>
              <w:rPr>
                <w:rFonts w:asciiTheme="minorEastAsia" w:hAnsiTheme="minorEastAsia" w:cs="Arial" w:hint="eastAsia"/>
                <w:szCs w:val="21"/>
              </w:rPr>
              <w:t>注册（办公）地址：上海市徐汇区龙兰路277号东航滨江中心1号楼1203室</w:t>
            </w:r>
          </w:p>
          <w:p w14:paraId="58ACB75E" w14:textId="77777777" w:rsidR="00FF7B65" w:rsidRDefault="00FF7B65" w:rsidP="00B5005C">
            <w:pPr>
              <w:rPr>
                <w:rFonts w:asciiTheme="minorEastAsia" w:hAnsiTheme="minorEastAsia" w:cs="Arial" w:hint="eastAsia"/>
                <w:szCs w:val="21"/>
              </w:rPr>
            </w:pPr>
            <w:r>
              <w:rPr>
                <w:rFonts w:asciiTheme="minorEastAsia" w:hAnsiTheme="minorEastAsia" w:cs="Arial" w:hint="eastAsia"/>
                <w:szCs w:val="21"/>
              </w:rPr>
              <w:t>客服电话：</w:t>
            </w:r>
            <w:r>
              <w:t>400-6767-523</w:t>
            </w:r>
          </w:p>
          <w:p w14:paraId="75038549" w14:textId="77777777" w:rsidR="00FF7B65" w:rsidRDefault="00FF7B65" w:rsidP="00B5005C">
            <w:pPr>
              <w:snapToGrid w:val="0"/>
              <w:jc w:val="left"/>
              <w:rPr>
                <w:rFonts w:ascii="宋体" w:hAnsi="宋体" w:cs="Calibri" w:hint="eastAsia"/>
                <w:color w:val="000000"/>
                <w:szCs w:val="21"/>
              </w:rPr>
            </w:pPr>
            <w:r>
              <w:rPr>
                <w:rFonts w:asciiTheme="minorEastAsia" w:hAnsiTheme="minorEastAsia" w:cs="Arial" w:hint="eastAsia"/>
                <w:szCs w:val="21"/>
              </w:rPr>
              <w:t>公司网站：</w:t>
            </w:r>
            <w:r>
              <w:t>www.zhongzhengfund.com</w:t>
            </w:r>
          </w:p>
        </w:tc>
      </w:tr>
      <w:tr w:rsidR="00FF7B65" w14:paraId="37A06227" w14:textId="77777777" w:rsidTr="00CF6B6F">
        <w:trPr>
          <w:trHeight w:val="20"/>
        </w:trPr>
        <w:tc>
          <w:tcPr>
            <w:tcW w:w="562" w:type="dxa"/>
          </w:tcPr>
          <w:p w14:paraId="31CE8638" w14:textId="77777777" w:rsidR="00FF7B65" w:rsidDel="00DE5F8D" w:rsidRDefault="00FF7B65" w:rsidP="00B5005C">
            <w:pPr>
              <w:jc w:val="left"/>
              <w:rPr>
                <w:rFonts w:asciiTheme="minorEastAsia" w:hAnsiTheme="minorEastAsia" w:cs="Arial" w:hint="eastAsia"/>
                <w:szCs w:val="20"/>
              </w:rPr>
            </w:pPr>
            <w:r>
              <w:rPr>
                <w:rFonts w:asciiTheme="minorEastAsia" w:hAnsiTheme="minorEastAsia" w:cs="Arial" w:hint="eastAsia"/>
                <w:szCs w:val="20"/>
              </w:rPr>
              <w:t>48</w:t>
            </w:r>
          </w:p>
        </w:tc>
        <w:tc>
          <w:tcPr>
            <w:tcW w:w="2660" w:type="dxa"/>
          </w:tcPr>
          <w:p w14:paraId="5AFFD195" w14:textId="77777777" w:rsidR="00FF7B65" w:rsidRDefault="00FF7B65" w:rsidP="00B5005C">
            <w:pPr>
              <w:jc w:val="left"/>
              <w:rPr>
                <w:rFonts w:ascii="宋体" w:hAnsi="宋体" w:cs="Calibri" w:hint="eastAsia"/>
                <w:color w:val="000000"/>
                <w:szCs w:val="21"/>
              </w:rPr>
            </w:pPr>
            <w:r w:rsidRPr="003A3507">
              <w:rPr>
                <w:rFonts w:hint="eastAsia"/>
              </w:rPr>
              <w:t>上海中欧财富基金销售有限公司</w:t>
            </w:r>
          </w:p>
        </w:tc>
        <w:tc>
          <w:tcPr>
            <w:tcW w:w="5567" w:type="dxa"/>
          </w:tcPr>
          <w:p w14:paraId="231826A9" w14:textId="77777777" w:rsidR="00FF7B65" w:rsidRPr="003A3507" w:rsidRDefault="00FF7B65" w:rsidP="00B5005C">
            <w:pPr>
              <w:rPr>
                <w:rFonts w:asciiTheme="minorEastAsia" w:hAnsiTheme="minorEastAsia" w:cs="Arial" w:hint="eastAsia"/>
                <w:szCs w:val="21"/>
              </w:rPr>
            </w:pPr>
            <w:r w:rsidRPr="003A3507">
              <w:rPr>
                <w:rFonts w:asciiTheme="minorEastAsia" w:hAnsiTheme="minorEastAsia" w:cs="Arial" w:hint="eastAsia"/>
                <w:szCs w:val="21"/>
              </w:rPr>
              <w:t>注册（办公）地址：上海市虹口区公平路18号8栋嘉</w:t>
            </w:r>
            <w:proofErr w:type="gramStart"/>
            <w:r w:rsidRPr="003A3507">
              <w:rPr>
                <w:rFonts w:asciiTheme="minorEastAsia" w:hAnsiTheme="minorEastAsia" w:cs="Arial" w:hint="eastAsia"/>
                <w:szCs w:val="21"/>
              </w:rPr>
              <w:t>昱</w:t>
            </w:r>
            <w:proofErr w:type="gramEnd"/>
            <w:r w:rsidRPr="003A3507">
              <w:rPr>
                <w:rFonts w:asciiTheme="minorEastAsia" w:hAnsiTheme="minorEastAsia" w:cs="Arial" w:hint="eastAsia"/>
                <w:szCs w:val="21"/>
              </w:rPr>
              <w:t>大厦6楼</w:t>
            </w:r>
          </w:p>
          <w:p w14:paraId="708FD997" w14:textId="77777777" w:rsidR="00FF7B65" w:rsidRPr="003A3507" w:rsidRDefault="00FF7B65" w:rsidP="00B5005C">
            <w:pPr>
              <w:rPr>
                <w:rFonts w:asciiTheme="minorEastAsia" w:hAnsiTheme="minorEastAsia" w:cs="Arial" w:hint="eastAsia"/>
                <w:szCs w:val="21"/>
              </w:rPr>
            </w:pPr>
            <w:r w:rsidRPr="003A3507">
              <w:rPr>
                <w:rFonts w:asciiTheme="minorEastAsia" w:hAnsiTheme="minorEastAsia" w:cs="Arial" w:hint="eastAsia"/>
                <w:szCs w:val="21"/>
              </w:rPr>
              <w:t>客服电话：400-100-2666</w:t>
            </w:r>
          </w:p>
          <w:p w14:paraId="599B5889" w14:textId="77777777" w:rsidR="00FF7B65" w:rsidRDefault="00FF7B65" w:rsidP="00B5005C">
            <w:pPr>
              <w:snapToGrid w:val="0"/>
              <w:jc w:val="left"/>
              <w:rPr>
                <w:rFonts w:ascii="宋体" w:hAnsi="宋体" w:cs="Calibri" w:hint="eastAsia"/>
                <w:color w:val="000000"/>
                <w:szCs w:val="21"/>
              </w:rPr>
            </w:pPr>
            <w:r w:rsidRPr="003A3507">
              <w:rPr>
                <w:rFonts w:asciiTheme="minorEastAsia" w:hAnsiTheme="minorEastAsia" w:cs="Arial" w:hint="eastAsia"/>
                <w:szCs w:val="21"/>
              </w:rPr>
              <w:t>公司网站：www.zocaifu.com</w:t>
            </w:r>
          </w:p>
        </w:tc>
      </w:tr>
      <w:tr w:rsidR="00FF7B65" w14:paraId="602F45C2" w14:textId="77777777" w:rsidTr="00CF6B6F">
        <w:trPr>
          <w:trHeight w:val="20"/>
        </w:trPr>
        <w:tc>
          <w:tcPr>
            <w:tcW w:w="562" w:type="dxa"/>
          </w:tcPr>
          <w:p w14:paraId="1EE2389A" w14:textId="77777777" w:rsidR="00FF7B65" w:rsidDel="00DE5F8D" w:rsidRDefault="00FF7B65" w:rsidP="00B5005C">
            <w:pPr>
              <w:jc w:val="left"/>
              <w:rPr>
                <w:rFonts w:asciiTheme="minorEastAsia" w:hAnsiTheme="minorEastAsia" w:cs="Arial" w:hint="eastAsia"/>
                <w:szCs w:val="20"/>
              </w:rPr>
            </w:pPr>
            <w:r>
              <w:rPr>
                <w:rFonts w:asciiTheme="minorEastAsia" w:hAnsiTheme="minorEastAsia" w:cs="Arial" w:hint="eastAsia"/>
                <w:szCs w:val="20"/>
              </w:rPr>
              <w:t>49</w:t>
            </w:r>
          </w:p>
        </w:tc>
        <w:tc>
          <w:tcPr>
            <w:tcW w:w="2660" w:type="dxa"/>
          </w:tcPr>
          <w:p w14:paraId="67A23BE4" w14:textId="77777777" w:rsidR="00FF7B65" w:rsidRDefault="00FF7B65" w:rsidP="00B5005C">
            <w:pPr>
              <w:jc w:val="left"/>
              <w:rPr>
                <w:rFonts w:ascii="宋体" w:hAnsi="宋体" w:cs="Calibri" w:hint="eastAsia"/>
                <w:color w:val="000000"/>
                <w:szCs w:val="21"/>
              </w:rPr>
            </w:pPr>
            <w:r w:rsidRPr="003A3507">
              <w:rPr>
                <w:rFonts w:hint="eastAsia"/>
              </w:rPr>
              <w:t>上海云湾基金销售有限公司</w:t>
            </w:r>
          </w:p>
        </w:tc>
        <w:tc>
          <w:tcPr>
            <w:tcW w:w="5567" w:type="dxa"/>
          </w:tcPr>
          <w:p w14:paraId="55E092C3" w14:textId="77777777" w:rsidR="00FF7B65" w:rsidRPr="003A3507" w:rsidRDefault="00FF7B65" w:rsidP="00B5005C">
            <w:pPr>
              <w:rPr>
                <w:rFonts w:asciiTheme="minorEastAsia" w:hAnsiTheme="minorEastAsia" w:cs="Arial" w:hint="eastAsia"/>
                <w:szCs w:val="21"/>
              </w:rPr>
            </w:pPr>
            <w:r w:rsidRPr="003A3507">
              <w:rPr>
                <w:rFonts w:asciiTheme="minorEastAsia" w:hAnsiTheme="minorEastAsia" w:cs="Arial" w:hint="eastAsia"/>
                <w:szCs w:val="21"/>
              </w:rPr>
              <w:t>注册（办公）地址：中国（上海）自由贸易试验区新金桥路27号、明月路1257号1幢1层103-1、103-2办公区</w:t>
            </w:r>
          </w:p>
          <w:p w14:paraId="236B2320" w14:textId="77777777" w:rsidR="00FF7B65" w:rsidRDefault="00FF7B65" w:rsidP="00B5005C">
            <w:pPr>
              <w:snapToGrid w:val="0"/>
              <w:jc w:val="left"/>
              <w:rPr>
                <w:rFonts w:ascii="宋体" w:hAnsi="宋体" w:cs="Calibri" w:hint="eastAsia"/>
                <w:color w:val="000000"/>
                <w:szCs w:val="21"/>
              </w:rPr>
            </w:pPr>
            <w:r w:rsidRPr="003A3507">
              <w:rPr>
                <w:rFonts w:asciiTheme="minorEastAsia" w:hAnsiTheme="minorEastAsia" w:cs="Arial" w:hint="eastAsia"/>
                <w:szCs w:val="21"/>
              </w:rPr>
              <w:t>客服电话：021-20538888</w:t>
            </w:r>
          </w:p>
        </w:tc>
      </w:tr>
      <w:tr w:rsidR="00FF7B65" w14:paraId="3BD75111" w14:textId="77777777" w:rsidTr="00CF6B6F">
        <w:trPr>
          <w:trHeight w:val="20"/>
        </w:trPr>
        <w:tc>
          <w:tcPr>
            <w:tcW w:w="562" w:type="dxa"/>
          </w:tcPr>
          <w:p w14:paraId="10941A17" w14:textId="77777777" w:rsidR="00FF7B65" w:rsidDel="00DE5F8D" w:rsidRDefault="00FF7B65" w:rsidP="00B5005C">
            <w:pPr>
              <w:jc w:val="left"/>
              <w:rPr>
                <w:rFonts w:asciiTheme="minorEastAsia" w:hAnsiTheme="minorEastAsia" w:cs="Arial" w:hint="eastAsia"/>
                <w:szCs w:val="20"/>
              </w:rPr>
            </w:pPr>
            <w:r>
              <w:rPr>
                <w:rFonts w:asciiTheme="minorEastAsia" w:hAnsiTheme="minorEastAsia" w:cs="Arial" w:hint="eastAsia"/>
                <w:szCs w:val="20"/>
              </w:rPr>
              <w:t>50</w:t>
            </w:r>
          </w:p>
        </w:tc>
        <w:tc>
          <w:tcPr>
            <w:tcW w:w="2660" w:type="dxa"/>
          </w:tcPr>
          <w:p w14:paraId="1CB9AC70" w14:textId="77777777" w:rsidR="00FF7B65" w:rsidRDefault="00FF7B65" w:rsidP="00B5005C">
            <w:pPr>
              <w:jc w:val="left"/>
              <w:rPr>
                <w:rFonts w:ascii="宋体" w:hAnsi="宋体" w:cs="Calibri" w:hint="eastAsia"/>
                <w:color w:val="000000"/>
                <w:szCs w:val="21"/>
              </w:rPr>
            </w:pPr>
            <w:r w:rsidRPr="003A3507">
              <w:rPr>
                <w:rFonts w:hint="eastAsia"/>
              </w:rPr>
              <w:t>深圳</w:t>
            </w:r>
            <w:proofErr w:type="gramStart"/>
            <w:r w:rsidRPr="003A3507">
              <w:rPr>
                <w:rFonts w:hint="eastAsia"/>
              </w:rPr>
              <w:t>腾元基金</w:t>
            </w:r>
            <w:proofErr w:type="gramEnd"/>
            <w:r w:rsidRPr="003A3507">
              <w:rPr>
                <w:rFonts w:hint="eastAsia"/>
              </w:rPr>
              <w:t>销售有限公司</w:t>
            </w:r>
          </w:p>
        </w:tc>
        <w:tc>
          <w:tcPr>
            <w:tcW w:w="5567" w:type="dxa"/>
          </w:tcPr>
          <w:p w14:paraId="1A19147D" w14:textId="77777777" w:rsidR="00FF7B65" w:rsidRPr="003A3507" w:rsidRDefault="00FF7B65" w:rsidP="00B5005C">
            <w:pPr>
              <w:rPr>
                <w:rFonts w:asciiTheme="minorEastAsia" w:hAnsiTheme="minorEastAsia" w:cs="Arial" w:hint="eastAsia"/>
                <w:szCs w:val="21"/>
              </w:rPr>
            </w:pPr>
            <w:r w:rsidRPr="003A3507">
              <w:rPr>
                <w:rFonts w:asciiTheme="minorEastAsia" w:hAnsiTheme="minorEastAsia" w:cs="Arial" w:hint="eastAsia"/>
                <w:szCs w:val="21"/>
              </w:rPr>
              <w:t>注册（办公）地址：广东省深圳市南山区南山街道</w:t>
            </w:r>
            <w:proofErr w:type="gramStart"/>
            <w:r w:rsidRPr="003A3507">
              <w:rPr>
                <w:rFonts w:asciiTheme="minorEastAsia" w:hAnsiTheme="minorEastAsia" w:cs="Arial" w:hint="eastAsia"/>
                <w:szCs w:val="21"/>
              </w:rPr>
              <w:t>桂湾社区听海</w:t>
            </w:r>
            <w:proofErr w:type="gramEnd"/>
            <w:r w:rsidRPr="003A3507">
              <w:rPr>
                <w:rFonts w:asciiTheme="minorEastAsia" w:hAnsiTheme="minorEastAsia" w:cs="Arial" w:hint="eastAsia"/>
                <w:szCs w:val="21"/>
              </w:rPr>
              <w:t>大道5059号前海鸿</w:t>
            </w:r>
            <w:proofErr w:type="gramStart"/>
            <w:r w:rsidRPr="003A3507">
              <w:rPr>
                <w:rFonts w:asciiTheme="minorEastAsia" w:hAnsiTheme="minorEastAsia" w:cs="Arial" w:hint="eastAsia"/>
                <w:szCs w:val="21"/>
              </w:rPr>
              <w:t>荣源中心</w:t>
            </w:r>
            <w:proofErr w:type="gramEnd"/>
            <w:r w:rsidRPr="003A3507">
              <w:rPr>
                <w:rFonts w:asciiTheme="minorEastAsia" w:hAnsiTheme="minorEastAsia" w:cs="Arial" w:hint="eastAsia"/>
                <w:szCs w:val="21"/>
              </w:rPr>
              <w:t>A座24层04B号</w:t>
            </w:r>
          </w:p>
          <w:p w14:paraId="4F33C40B" w14:textId="77777777" w:rsidR="00FF7B65" w:rsidRPr="003A3507" w:rsidRDefault="00FF7B65" w:rsidP="00B5005C">
            <w:pPr>
              <w:rPr>
                <w:rFonts w:asciiTheme="minorEastAsia" w:hAnsiTheme="minorEastAsia" w:cs="Arial" w:hint="eastAsia"/>
                <w:szCs w:val="21"/>
              </w:rPr>
            </w:pPr>
            <w:r w:rsidRPr="003A3507">
              <w:rPr>
                <w:rFonts w:asciiTheme="minorEastAsia" w:hAnsiTheme="minorEastAsia" w:cs="Arial" w:hint="eastAsia"/>
                <w:szCs w:val="21"/>
              </w:rPr>
              <w:t xml:space="preserve">客服电话：400-990-8601   </w:t>
            </w:r>
          </w:p>
          <w:p w14:paraId="0FF4C286" w14:textId="77777777" w:rsidR="00FF7B65" w:rsidRDefault="00FF7B65" w:rsidP="00B5005C">
            <w:pPr>
              <w:snapToGrid w:val="0"/>
              <w:jc w:val="left"/>
              <w:rPr>
                <w:rFonts w:ascii="宋体" w:hAnsi="宋体" w:cs="Calibri" w:hint="eastAsia"/>
                <w:color w:val="000000"/>
                <w:szCs w:val="21"/>
              </w:rPr>
            </w:pPr>
            <w:r w:rsidRPr="003A3507">
              <w:rPr>
                <w:rFonts w:asciiTheme="minorEastAsia" w:hAnsiTheme="minorEastAsia" w:cs="Arial" w:hint="eastAsia"/>
                <w:szCs w:val="21"/>
              </w:rPr>
              <w:t>公司网站：https://www.tenyuanfund.com/</w:t>
            </w:r>
          </w:p>
        </w:tc>
      </w:tr>
      <w:tr w:rsidR="00FF7B65" w14:paraId="55825CE3" w14:textId="77777777" w:rsidTr="00CF6B6F">
        <w:trPr>
          <w:trHeight w:val="20"/>
        </w:trPr>
        <w:tc>
          <w:tcPr>
            <w:tcW w:w="562" w:type="dxa"/>
          </w:tcPr>
          <w:p w14:paraId="4E4DD077" w14:textId="77777777" w:rsidR="00FF7B65" w:rsidDel="00DE5F8D" w:rsidRDefault="00FF7B65" w:rsidP="00B5005C">
            <w:pPr>
              <w:jc w:val="left"/>
              <w:rPr>
                <w:rFonts w:asciiTheme="minorEastAsia" w:hAnsiTheme="minorEastAsia" w:cs="Arial" w:hint="eastAsia"/>
                <w:szCs w:val="20"/>
              </w:rPr>
            </w:pPr>
            <w:r>
              <w:rPr>
                <w:rFonts w:asciiTheme="minorEastAsia" w:hAnsiTheme="minorEastAsia" w:cs="Arial" w:hint="eastAsia"/>
                <w:szCs w:val="20"/>
              </w:rPr>
              <w:t>51</w:t>
            </w:r>
          </w:p>
        </w:tc>
        <w:tc>
          <w:tcPr>
            <w:tcW w:w="2660" w:type="dxa"/>
          </w:tcPr>
          <w:p w14:paraId="1A435686" w14:textId="77777777" w:rsidR="00FF7B65" w:rsidRDefault="00FF7B65" w:rsidP="00B5005C">
            <w:pPr>
              <w:jc w:val="left"/>
              <w:rPr>
                <w:rFonts w:ascii="宋体" w:hAnsi="宋体" w:cs="Calibri" w:hint="eastAsia"/>
                <w:color w:val="000000"/>
                <w:szCs w:val="21"/>
              </w:rPr>
            </w:pPr>
            <w:proofErr w:type="gramStart"/>
            <w:r w:rsidRPr="003A3507">
              <w:rPr>
                <w:rFonts w:hint="eastAsia"/>
              </w:rPr>
              <w:t>洪泰财富</w:t>
            </w:r>
            <w:proofErr w:type="gramEnd"/>
            <w:r w:rsidRPr="003A3507">
              <w:rPr>
                <w:rFonts w:hint="eastAsia"/>
              </w:rPr>
              <w:t>（青岛）基金销售有限责任公司</w:t>
            </w:r>
          </w:p>
        </w:tc>
        <w:tc>
          <w:tcPr>
            <w:tcW w:w="5567" w:type="dxa"/>
          </w:tcPr>
          <w:p w14:paraId="245B1EBC" w14:textId="77777777" w:rsidR="00FF7B65" w:rsidRPr="003A3507" w:rsidRDefault="00FF7B65" w:rsidP="00B5005C">
            <w:pPr>
              <w:rPr>
                <w:rFonts w:asciiTheme="minorEastAsia" w:hAnsiTheme="minorEastAsia" w:cs="Arial" w:hint="eastAsia"/>
                <w:szCs w:val="21"/>
              </w:rPr>
            </w:pPr>
            <w:r w:rsidRPr="003A3507">
              <w:rPr>
                <w:rFonts w:asciiTheme="minorEastAsia" w:hAnsiTheme="minorEastAsia" w:cs="Arial" w:hint="eastAsia"/>
                <w:szCs w:val="21"/>
              </w:rPr>
              <w:t>注册（办公）地址：山东省青岛市市南区岳阳路10号十号楼</w:t>
            </w:r>
          </w:p>
          <w:p w14:paraId="56B6D3C8" w14:textId="77777777" w:rsidR="00FF7B65" w:rsidRPr="003A3507" w:rsidRDefault="00FF7B65" w:rsidP="00B5005C">
            <w:pPr>
              <w:rPr>
                <w:rFonts w:asciiTheme="minorEastAsia" w:hAnsiTheme="minorEastAsia" w:cs="Arial" w:hint="eastAsia"/>
                <w:szCs w:val="21"/>
              </w:rPr>
            </w:pPr>
            <w:r w:rsidRPr="003A3507">
              <w:rPr>
                <w:rFonts w:asciiTheme="minorEastAsia" w:hAnsiTheme="minorEastAsia" w:cs="Arial" w:hint="eastAsia"/>
                <w:szCs w:val="21"/>
              </w:rPr>
              <w:t xml:space="preserve">客服电话：400-8189-598  </w:t>
            </w:r>
          </w:p>
          <w:p w14:paraId="3EE7966B" w14:textId="77777777" w:rsidR="00FF7B65" w:rsidRDefault="00FF7B65" w:rsidP="00B5005C">
            <w:pPr>
              <w:snapToGrid w:val="0"/>
              <w:jc w:val="left"/>
              <w:rPr>
                <w:rFonts w:ascii="宋体" w:hAnsi="宋体" w:cs="Calibri" w:hint="eastAsia"/>
                <w:color w:val="000000"/>
                <w:szCs w:val="21"/>
              </w:rPr>
            </w:pPr>
            <w:r w:rsidRPr="003A3507">
              <w:rPr>
                <w:rFonts w:asciiTheme="minorEastAsia" w:hAnsiTheme="minorEastAsia" w:cs="Arial" w:hint="eastAsia"/>
                <w:szCs w:val="21"/>
              </w:rPr>
              <w:t>公司网站：https://www.hongtaiwealth.com/</w:t>
            </w:r>
          </w:p>
        </w:tc>
      </w:tr>
      <w:tr w:rsidR="00A33120" w14:paraId="0888606B" w14:textId="77777777" w:rsidTr="00CF6B6F">
        <w:trPr>
          <w:trHeight w:val="20"/>
        </w:trPr>
        <w:tc>
          <w:tcPr>
            <w:tcW w:w="562" w:type="dxa"/>
          </w:tcPr>
          <w:p w14:paraId="5FAC482E" w14:textId="7E204C92"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52</w:t>
            </w:r>
          </w:p>
        </w:tc>
        <w:tc>
          <w:tcPr>
            <w:tcW w:w="2660" w:type="dxa"/>
          </w:tcPr>
          <w:p w14:paraId="6F59F828" w14:textId="77777777" w:rsidR="00A33120" w:rsidRDefault="00A33120" w:rsidP="00B5005C">
            <w:pPr>
              <w:jc w:val="left"/>
              <w:rPr>
                <w:rFonts w:ascii="宋体" w:eastAsia="宋体" w:hAnsi="宋体" w:cs="宋体" w:hint="eastAsia"/>
                <w:szCs w:val="21"/>
              </w:rPr>
            </w:pPr>
            <w:proofErr w:type="gramStart"/>
            <w:r>
              <w:rPr>
                <w:rFonts w:ascii="宋体" w:eastAsia="宋体" w:hAnsi="宋体" w:cs="宋体" w:hint="eastAsia"/>
                <w:szCs w:val="21"/>
              </w:rPr>
              <w:t>浙商银行</w:t>
            </w:r>
            <w:proofErr w:type="gramEnd"/>
            <w:r>
              <w:rPr>
                <w:rFonts w:ascii="宋体" w:eastAsia="宋体" w:hAnsi="宋体" w:cs="宋体" w:hint="eastAsia"/>
                <w:szCs w:val="21"/>
              </w:rPr>
              <w:t>股份有限公司</w:t>
            </w:r>
          </w:p>
        </w:tc>
        <w:tc>
          <w:tcPr>
            <w:tcW w:w="5567" w:type="dxa"/>
          </w:tcPr>
          <w:p w14:paraId="69920280"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注册地址：浙江省杭州市</w:t>
            </w:r>
            <w:proofErr w:type="gramStart"/>
            <w:r>
              <w:rPr>
                <w:rFonts w:ascii="宋体" w:hAnsi="宋体" w:cs="Calibri" w:hint="eastAsia"/>
                <w:color w:val="000000"/>
                <w:szCs w:val="21"/>
              </w:rPr>
              <w:t>萧山区鸿宁</w:t>
            </w:r>
            <w:proofErr w:type="gramEnd"/>
            <w:r>
              <w:rPr>
                <w:rFonts w:ascii="宋体" w:hAnsi="宋体" w:cs="Calibri" w:hint="eastAsia"/>
                <w:color w:val="000000"/>
                <w:szCs w:val="21"/>
              </w:rPr>
              <w:t>路1788号</w:t>
            </w:r>
          </w:p>
          <w:p w14:paraId="2176DEF7"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客户服务电话：95527</w:t>
            </w:r>
          </w:p>
          <w:p w14:paraId="685463DF"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网址：www.czbank.com</w:t>
            </w:r>
          </w:p>
        </w:tc>
      </w:tr>
      <w:tr w:rsidR="00A33120" w14:paraId="24DE9C1D" w14:textId="77777777" w:rsidTr="00CF6B6F">
        <w:trPr>
          <w:trHeight w:val="20"/>
        </w:trPr>
        <w:tc>
          <w:tcPr>
            <w:tcW w:w="562" w:type="dxa"/>
          </w:tcPr>
          <w:p w14:paraId="72E7ACC1" w14:textId="38B93899"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53</w:t>
            </w:r>
          </w:p>
        </w:tc>
        <w:tc>
          <w:tcPr>
            <w:tcW w:w="2660" w:type="dxa"/>
          </w:tcPr>
          <w:p w14:paraId="3CDB57AF" w14:textId="77777777" w:rsidR="00A33120" w:rsidRDefault="00A33120" w:rsidP="00B5005C">
            <w:pPr>
              <w:jc w:val="left"/>
              <w:rPr>
                <w:rFonts w:ascii="宋体" w:eastAsia="宋体" w:hAnsi="宋体" w:cs="宋体" w:hint="eastAsia"/>
                <w:szCs w:val="21"/>
              </w:rPr>
            </w:pPr>
            <w:r>
              <w:rPr>
                <w:rFonts w:ascii="宋体" w:eastAsia="宋体" w:hAnsi="宋体" w:cs="宋体" w:hint="eastAsia"/>
                <w:szCs w:val="21"/>
              </w:rPr>
              <w:t>宁波银行股份有限公司</w:t>
            </w:r>
          </w:p>
        </w:tc>
        <w:tc>
          <w:tcPr>
            <w:tcW w:w="5567" w:type="dxa"/>
          </w:tcPr>
          <w:p w14:paraId="45BF99E2"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627F4D9D"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客户服务电话：95574</w:t>
            </w:r>
          </w:p>
          <w:p w14:paraId="48D16A0F"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网址：www.nbcb.com.cn</w:t>
            </w:r>
          </w:p>
        </w:tc>
      </w:tr>
      <w:tr w:rsidR="00A33120" w14:paraId="1312942D" w14:textId="77777777" w:rsidTr="00CF6B6F">
        <w:trPr>
          <w:trHeight w:val="20"/>
        </w:trPr>
        <w:tc>
          <w:tcPr>
            <w:tcW w:w="562" w:type="dxa"/>
          </w:tcPr>
          <w:p w14:paraId="0B17D623" w14:textId="545D3B92"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54</w:t>
            </w:r>
          </w:p>
        </w:tc>
        <w:tc>
          <w:tcPr>
            <w:tcW w:w="2660" w:type="dxa"/>
          </w:tcPr>
          <w:p w14:paraId="2C7EA8C6" w14:textId="77777777" w:rsidR="00A33120" w:rsidRDefault="00A33120" w:rsidP="00B5005C">
            <w:pPr>
              <w:jc w:val="left"/>
              <w:rPr>
                <w:rFonts w:ascii="宋体" w:eastAsia="宋体" w:hAnsi="宋体" w:cs="宋体" w:hint="eastAsia"/>
                <w:szCs w:val="21"/>
              </w:rPr>
            </w:pPr>
            <w:r>
              <w:rPr>
                <w:rFonts w:ascii="宋体" w:eastAsia="宋体" w:hAnsi="宋体" w:cs="宋体" w:hint="eastAsia"/>
                <w:szCs w:val="21"/>
              </w:rPr>
              <w:t>国泰君安证券股份有限公司</w:t>
            </w:r>
          </w:p>
        </w:tc>
        <w:tc>
          <w:tcPr>
            <w:tcW w:w="5567" w:type="dxa"/>
          </w:tcPr>
          <w:p w14:paraId="121D8647"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注册地址：上海市浦东新区中国(上海)自由贸易试验区商城路618号</w:t>
            </w:r>
          </w:p>
          <w:p w14:paraId="11B51D2D"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客户服务电话：95521</w:t>
            </w:r>
          </w:p>
          <w:p w14:paraId="6C2CF07B"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网址：www.gtja.com</w:t>
            </w:r>
          </w:p>
        </w:tc>
      </w:tr>
      <w:tr w:rsidR="00A33120" w14:paraId="475B2738" w14:textId="77777777" w:rsidTr="00CF6B6F">
        <w:trPr>
          <w:trHeight w:val="20"/>
        </w:trPr>
        <w:tc>
          <w:tcPr>
            <w:tcW w:w="562" w:type="dxa"/>
          </w:tcPr>
          <w:p w14:paraId="4ACB2EA1" w14:textId="38E1E39B"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55</w:t>
            </w:r>
          </w:p>
        </w:tc>
        <w:tc>
          <w:tcPr>
            <w:tcW w:w="2660" w:type="dxa"/>
          </w:tcPr>
          <w:p w14:paraId="6FC8BDBD" w14:textId="77777777" w:rsidR="00A33120" w:rsidRDefault="00A33120" w:rsidP="00B5005C">
            <w:pPr>
              <w:jc w:val="left"/>
              <w:rPr>
                <w:rFonts w:ascii="宋体" w:eastAsia="宋体" w:hAnsi="宋体" w:cs="宋体" w:hint="eastAsia"/>
                <w:szCs w:val="21"/>
              </w:rPr>
            </w:pPr>
            <w:r>
              <w:rPr>
                <w:rFonts w:ascii="宋体" w:eastAsia="宋体" w:hAnsi="宋体" w:cs="宋体" w:hint="eastAsia"/>
                <w:szCs w:val="21"/>
              </w:rPr>
              <w:t>中</w:t>
            </w:r>
            <w:proofErr w:type="gramStart"/>
            <w:r>
              <w:rPr>
                <w:rFonts w:ascii="宋体" w:eastAsia="宋体" w:hAnsi="宋体" w:cs="宋体" w:hint="eastAsia"/>
                <w:szCs w:val="21"/>
              </w:rPr>
              <w:t>信建投证券</w:t>
            </w:r>
            <w:proofErr w:type="gramEnd"/>
            <w:r>
              <w:rPr>
                <w:rFonts w:ascii="宋体" w:eastAsia="宋体" w:hAnsi="宋体" w:cs="宋体" w:hint="eastAsia"/>
                <w:szCs w:val="21"/>
              </w:rPr>
              <w:t>股份有限公司</w:t>
            </w:r>
          </w:p>
        </w:tc>
        <w:tc>
          <w:tcPr>
            <w:tcW w:w="5567" w:type="dxa"/>
          </w:tcPr>
          <w:p w14:paraId="0323E10B"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127D0D55"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 4008888108</w:t>
            </w:r>
          </w:p>
          <w:p w14:paraId="62754168"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网址：www.csc108.com</w:t>
            </w:r>
          </w:p>
        </w:tc>
      </w:tr>
      <w:tr w:rsidR="00A33120" w14:paraId="0E59EA9C" w14:textId="77777777" w:rsidTr="00CF6B6F">
        <w:trPr>
          <w:trHeight w:val="20"/>
        </w:trPr>
        <w:tc>
          <w:tcPr>
            <w:tcW w:w="562" w:type="dxa"/>
          </w:tcPr>
          <w:p w14:paraId="0EFC7387" w14:textId="19D3881D"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56</w:t>
            </w:r>
          </w:p>
        </w:tc>
        <w:tc>
          <w:tcPr>
            <w:tcW w:w="2660" w:type="dxa"/>
          </w:tcPr>
          <w:p w14:paraId="05E8AFE7" w14:textId="77777777" w:rsidR="00A33120" w:rsidRDefault="00A33120" w:rsidP="00B5005C">
            <w:pPr>
              <w:jc w:val="left"/>
              <w:rPr>
                <w:rFonts w:ascii="宋体" w:eastAsia="宋体" w:hAnsi="宋体" w:cs="宋体" w:hint="eastAsia"/>
                <w:szCs w:val="21"/>
              </w:rPr>
            </w:pPr>
            <w:proofErr w:type="gramStart"/>
            <w:r>
              <w:rPr>
                <w:rFonts w:ascii="宋体" w:eastAsia="宋体" w:hAnsi="宋体" w:cs="宋体" w:hint="eastAsia"/>
                <w:szCs w:val="21"/>
              </w:rPr>
              <w:t>粤开证券</w:t>
            </w:r>
            <w:proofErr w:type="gramEnd"/>
            <w:r>
              <w:rPr>
                <w:rFonts w:ascii="宋体" w:eastAsia="宋体" w:hAnsi="宋体" w:cs="宋体" w:hint="eastAsia"/>
                <w:szCs w:val="21"/>
              </w:rPr>
              <w:t>股份有限公司</w:t>
            </w:r>
          </w:p>
        </w:tc>
        <w:tc>
          <w:tcPr>
            <w:tcW w:w="5567" w:type="dxa"/>
          </w:tcPr>
          <w:p w14:paraId="4AB0EAB0"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w:t>
            </w:r>
            <w:r>
              <w:rPr>
                <w:rFonts w:ascii="宋体" w:hAnsi="宋体" w:cs="Calibri" w:hint="eastAsia"/>
                <w:color w:val="000000"/>
                <w:szCs w:val="21"/>
              </w:rPr>
              <w:lastRenderedPageBreak/>
              <w:t>22、23层</w:t>
            </w:r>
          </w:p>
          <w:p w14:paraId="00283D81"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客户服务电话：95564</w:t>
            </w:r>
          </w:p>
          <w:p w14:paraId="22CC2FFE"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网址：www.ykzq.com</w:t>
            </w:r>
          </w:p>
        </w:tc>
      </w:tr>
      <w:tr w:rsidR="00A33120" w14:paraId="580217F6" w14:textId="77777777" w:rsidTr="00CF6B6F">
        <w:trPr>
          <w:trHeight w:val="20"/>
        </w:trPr>
        <w:tc>
          <w:tcPr>
            <w:tcW w:w="562" w:type="dxa"/>
          </w:tcPr>
          <w:p w14:paraId="2A8A218A" w14:textId="63F17856"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lastRenderedPageBreak/>
              <w:t>57</w:t>
            </w:r>
          </w:p>
        </w:tc>
        <w:tc>
          <w:tcPr>
            <w:tcW w:w="2660" w:type="dxa"/>
          </w:tcPr>
          <w:p w14:paraId="10356DD2" w14:textId="77777777" w:rsidR="00A33120" w:rsidRDefault="00A33120" w:rsidP="00B5005C">
            <w:pPr>
              <w:jc w:val="left"/>
              <w:rPr>
                <w:rFonts w:ascii="宋体" w:eastAsia="宋体" w:hAnsi="宋体" w:cs="宋体" w:hint="eastAsia"/>
                <w:szCs w:val="21"/>
              </w:rPr>
            </w:pPr>
            <w:r>
              <w:rPr>
                <w:rFonts w:ascii="宋体" w:eastAsia="宋体" w:hAnsi="宋体" w:cs="宋体" w:hint="eastAsia"/>
                <w:szCs w:val="21"/>
              </w:rPr>
              <w:t>国投证券股份有限公司</w:t>
            </w:r>
          </w:p>
        </w:tc>
        <w:tc>
          <w:tcPr>
            <w:tcW w:w="5567" w:type="dxa"/>
          </w:tcPr>
          <w:p w14:paraId="6CC2DE17"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注册地址：深圳市福田区福田街道福华一路119号安信金融大厦</w:t>
            </w:r>
          </w:p>
          <w:p w14:paraId="0ACEF92B"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客户服务电话：95517</w:t>
            </w:r>
          </w:p>
          <w:p w14:paraId="41398DCF"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网址：www.sdicsc.com.cn</w:t>
            </w:r>
          </w:p>
        </w:tc>
      </w:tr>
      <w:tr w:rsidR="00A33120" w14:paraId="71B280CE" w14:textId="77777777" w:rsidTr="00CF6B6F">
        <w:trPr>
          <w:trHeight w:val="20"/>
        </w:trPr>
        <w:tc>
          <w:tcPr>
            <w:tcW w:w="562" w:type="dxa"/>
          </w:tcPr>
          <w:p w14:paraId="635E296F" w14:textId="0DA3A16A"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58</w:t>
            </w:r>
          </w:p>
        </w:tc>
        <w:tc>
          <w:tcPr>
            <w:tcW w:w="2660" w:type="dxa"/>
          </w:tcPr>
          <w:p w14:paraId="2E6864D6" w14:textId="77777777" w:rsidR="00A33120" w:rsidRDefault="00A33120" w:rsidP="00B5005C">
            <w:pPr>
              <w:jc w:val="left"/>
              <w:rPr>
                <w:rFonts w:ascii="宋体" w:eastAsia="宋体" w:hAnsi="宋体" w:cs="宋体" w:hint="eastAsia"/>
                <w:szCs w:val="21"/>
              </w:rPr>
            </w:pPr>
            <w:r>
              <w:rPr>
                <w:rFonts w:ascii="宋体" w:eastAsia="宋体" w:hAnsi="宋体" w:cs="宋体" w:hint="eastAsia"/>
                <w:szCs w:val="21"/>
              </w:rPr>
              <w:t>华鑫证券有限责任公司</w:t>
            </w:r>
          </w:p>
        </w:tc>
        <w:tc>
          <w:tcPr>
            <w:tcW w:w="5567" w:type="dxa"/>
          </w:tcPr>
          <w:p w14:paraId="75F13397"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41551D7E"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客户服务电话：95323</w:t>
            </w:r>
          </w:p>
          <w:p w14:paraId="79594B81"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网址：www.cfsc.com.cn</w:t>
            </w:r>
          </w:p>
        </w:tc>
      </w:tr>
      <w:tr w:rsidR="00A33120" w14:paraId="5F01A343" w14:textId="77777777" w:rsidTr="00CF6B6F">
        <w:trPr>
          <w:trHeight w:val="20"/>
        </w:trPr>
        <w:tc>
          <w:tcPr>
            <w:tcW w:w="562" w:type="dxa"/>
          </w:tcPr>
          <w:p w14:paraId="6804633B" w14:textId="54E3C0E6"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59</w:t>
            </w:r>
          </w:p>
        </w:tc>
        <w:tc>
          <w:tcPr>
            <w:tcW w:w="2660" w:type="dxa"/>
          </w:tcPr>
          <w:p w14:paraId="0B5FCD24"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五</w:t>
            </w:r>
            <w:proofErr w:type="gramStart"/>
            <w:r>
              <w:rPr>
                <w:rFonts w:ascii="宋体" w:eastAsia="宋体" w:hAnsi="宋体" w:cs="宋体" w:hint="eastAsia"/>
                <w:color w:val="000000"/>
                <w:kern w:val="0"/>
                <w:szCs w:val="21"/>
                <w:lang w:bidi="ar"/>
              </w:rPr>
              <w:t>矿证券</w:t>
            </w:r>
            <w:proofErr w:type="gramEnd"/>
            <w:r>
              <w:rPr>
                <w:rFonts w:ascii="宋体" w:eastAsia="宋体" w:hAnsi="宋体" w:cs="宋体" w:hint="eastAsia"/>
                <w:color w:val="000000"/>
                <w:kern w:val="0"/>
                <w:szCs w:val="21"/>
                <w:lang w:bidi="ar"/>
              </w:rPr>
              <w:t>有限公司</w:t>
            </w:r>
          </w:p>
        </w:tc>
        <w:tc>
          <w:tcPr>
            <w:tcW w:w="5567" w:type="dxa"/>
          </w:tcPr>
          <w:p w14:paraId="754D9778"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3CB8DC0B"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客户服务电话：4001840028</w:t>
            </w:r>
          </w:p>
          <w:p w14:paraId="1ADE58CE"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网址：www.wkzq.com.cn</w:t>
            </w:r>
          </w:p>
        </w:tc>
      </w:tr>
      <w:tr w:rsidR="00A33120" w14:paraId="68E87D7D" w14:textId="77777777" w:rsidTr="00CF6B6F">
        <w:trPr>
          <w:trHeight w:val="20"/>
        </w:trPr>
        <w:tc>
          <w:tcPr>
            <w:tcW w:w="562" w:type="dxa"/>
          </w:tcPr>
          <w:p w14:paraId="5CE125AB" w14:textId="0F1A67E4"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60</w:t>
            </w:r>
          </w:p>
        </w:tc>
        <w:tc>
          <w:tcPr>
            <w:tcW w:w="2660" w:type="dxa"/>
          </w:tcPr>
          <w:p w14:paraId="446EF347"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光大证券股份有限公司</w:t>
            </w:r>
          </w:p>
        </w:tc>
        <w:tc>
          <w:tcPr>
            <w:tcW w:w="5567" w:type="dxa"/>
          </w:tcPr>
          <w:p w14:paraId="6F77C2AE"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注册地址：上海市静安区新闸路1508号</w:t>
            </w:r>
          </w:p>
          <w:p w14:paraId="60748FE2"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客户服务电话：95525</w:t>
            </w:r>
          </w:p>
          <w:p w14:paraId="72C0C8E9"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网址：www.ebscn.com</w:t>
            </w:r>
          </w:p>
        </w:tc>
      </w:tr>
      <w:tr w:rsidR="00A33120" w14:paraId="119292FE" w14:textId="77777777" w:rsidTr="00CF6B6F">
        <w:trPr>
          <w:trHeight w:val="20"/>
        </w:trPr>
        <w:tc>
          <w:tcPr>
            <w:tcW w:w="562" w:type="dxa"/>
          </w:tcPr>
          <w:p w14:paraId="3A232583" w14:textId="21D93285"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61</w:t>
            </w:r>
          </w:p>
        </w:tc>
        <w:tc>
          <w:tcPr>
            <w:tcW w:w="2660" w:type="dxa"/>
          </w:tcPr>
          <w:p w14:paraId="7162EB27"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招商证券股份有限公司</w:t>
            </w:r>
          </w:p>
        </w:tc>
        <w:tc>
          <w:tcPr>
            <w:tcW w:w="5567" w:type="dxa"/>
          </w:tcPr>
          <w:p w14:paraId="7AE42BD4"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1E725D2D"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客户服务电话：95565</w:t>
            </w:r>
          </w:p>
          <w:p w14:paraId="246D5640"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网址：www.cmschina.com</w:t>
            </w:r>
          </w:p>
        </w:tc>
      </w:tr>
      <w:tr w:rsidR="00A33120" w14:paraId="7F3CC175" w14:textId="77777777" w:rsidTr="00CF6B6F">
        <w:trPr>
          <w:trHeight w:val="20"/>
        </w:trPr>
        <w:tc>
          <w:tcPr>
            <w:tcW w:w="562" w:type="dxa"/>
          </w:tcPr>
          <w:p w14:paraId="3F1DE786" w14:textId="0C85CF15"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62</w:t>
            </w:r>
          </w:p>
        </w:tc>
        <w:tc>
          <w:tcPr>
            <w:tcW w:w="2660" w:type="dxa"/>
          </w:tcPr>
          <w:p w14:paraId="7947E3EE"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渤海证券股份有限公司</w:t>
            </w:r>
          </w:p>
        </w:tc>
        <w:tc>
          <w:tcPr>
            <w:tcW w:w="5567" w:type="dxa"/>
          </w:tcPr>
          <w:p w14:paraId="56002303"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5E4C062D"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客户服务电话：956066</w:t>
            </w:r>
          </w:p>
          <w:p w14:paraId="2595CF41"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网址：www.bhzq.com</w:t>
            </w:r>
          </w:p>
        </w:tc>
      </w:tr>
      <w:tr w:rsidR="00A33120" w14:paraId="770CA9C6" w14:textId="77777777" w:rsidTr="00CF6B6F">
        <w:trPr>
          <w:trHeight w:val="20"/>
        </w:trPr>
        <w:tc>
          <w:tcPr>
            <w:tcW w:w="562" w:type="dxa"/>
          </w:tcPr>
          <w:p w14:paraId="58D6A555" w14:textId="5D2CD3F9"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63</w:t>
            </w:r>
          </w:p>
        </w:tc>
        <w:tc>
          <w:tcPr>
            <w:tcW w:w="2660" w:type="dxa"/>
          </w:tcPr>
          <w:p w14:paraId="3D918339"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中信证券股份有限公司</w:t>
            </w:r>
          </w:p>
        </w:tc>
        <w:tc>
          <w:tcPr>
            <w:tcW w:w="5567" w:type="dxa"/>
          </w:tcPr>
          <w:p w14:paraId="1263F747"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201222E8"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客户服务电话：95548</w:t>
            </w:r>
          </w:p>
          <w:p w14:paraId="72D1D606"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网址：www.citics.com</w:t>
            </w:r>
          </w:p>
        </w:tc>
      </w:tr>
      <w:tr w:rsidR="00A33120" w14:paraId="7D68BB14" w14:textId="77777777" w:rsidTr="00CF6B6F">
        <w:trPr>
          <w:trHeight w:val="20"/>
        </w:trPr>
        <w:tc>
          <w:tcPr>
            <w:tcW w:w="562" w:type="dxa"/>
          </w:tcPr>
          <w:p w14:paraId="3BDA0C0A" w14:textId="20546AEF"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64</w:t>
            </w:r>
          </w:p>
        </w:tc>
        <w:tc>
          <w:tcPr>
            <w:tcW w:w="2660" w:type="dxa"/>
          </w:tcPr>
          <w:p w14:paraId="370C9FE5"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中信证券(山东)有限责任公司</w:t>
            </w:r>
          </w:p>
        </w:tc>
        <w:tc>
          <w:tcPr>
            <w:tcW w:w="5567" w:type="dxa"/>
          </w:tcPr>
          <w:p w14:paraId="7A5ED9DF"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23D93D5E"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客户服务电话：95548</w:t>
            </w:r>
          </w:p>
          <w:p w14:paraId="601414A4"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网址：sd.citics.com</w:t>
            </w:r>
          </w:p>
        </w:tc>
      </w:tr>
      <w:tr w:rsidR="00A33120" w14:paraId="77E2D6DB" w14:textId="77777777" w:rsidTr="00CF6B6F">
        <w:trPr>
          <w:trHeight w:val="20"/>
        </w:trPr>
        <w:tc>
          <w:tcPr>
            <w:tcW w:w="562" w:type="dxa"/>
          </w:tcPr>
          <w:p w14:paraId="35DDF6DC" w14:textId="79EAC8DE"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65</w:t>
            </w:r>
          </w:p>
        </w:tc>
        <w:tc>
          <w:tcPr>
            <w:tcW w:w="2660" w:type="dxa"/>
          </w:tcPr>
          <w:p w14:paraId="1F5434DC"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中信证券华南股份有限公司</w:t>
            </w:r>
          </w:p>
        </w:tc>
        <w:tc>
          <w:tcPr>
            <w:tcW w:w="5567" w:type="dxa"/>
          </w:tcPr>
          <w:p w14:paraId="7C7C94B7" w14:textId="77777777" w:rsidR="00A33120" w:rsidRDefault="00A33120" w:rsidP="00B5005C">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5262248B" w14:textId="77777777" w:rsidR="00A33120" w:rsidRDefault="00A33120" w:rsidP="00B5005C">
            <w:pPr>
              <w:snapToGrid w:val="0"/>
              <w:rPr>
                <w:rFonts w:ascii="宋体" w:hAnsi="宋体" w:cs="Calibri" w:hint="eastAsia"/>
                <w:color w:val="000000"/>
                <w:szCs w:val="21"/>
              </w:rPr>
            </w:pPr>
            <w:r>
              <w:rPr>
                <w:rFonts w:ascii="宋体" w:hAnsi="宋体" w:cs="Calibri" w:hint="eastAsia"/>
                <w:color w:val="000000"/>
                <w:szCs w:val="21"/>
              </w:rPr>
              <w:t>客户服务电话：95548</w:t>
            </w:r>
          </w:p>
          <w:p w14:paraId="1A20D046"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www.gzs.com.cn</w:t>
            </w:r>
          </w:p>
        </w:tc>
      </w:tr>
      <w:tr w:rsidR="00A33120" w14:paraId="1BA00366" w14:textId="77777777" w:rsidTr="00CF6B6F">
        <w:trPr>
          <w:trHeight w:val="20"/>
        </w:trPr>
        <w:tc>
          <w:tcPr>
            <w:tcW w:w="562" w:type="dxa"/>
          </w:tcPr>
          <w:p w14:paraId="5459900F" w14:textId="1C4D6466"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66</w:t>
            </w:r>
          </w:p>
        </w:tc>
        <w:tc>
          <w:tcPr>
            <w:tcW w:w="2660" w:type="dxa"/>
          </w:tcPr>
          <w:p w14:paraId="0AF87D13"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中信期货有限公司</w:t>
            </w:r>
          </w:p>
        </w:tc>
        <w:tc>
          <w:tcPr>
            <w:tcW w:w="5567" w:type="dxa"/>
          </w:tcPr>
          <w:p w14:paraId="79E2EB69" w14:textId="77777777" w:rsidR="00A33120" w:rsidRDefault="00A33120" w:rsidP="00B5005C">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116E0D1D" w14:textId="77777777" w:rsidR="00A33120" w:rsidRDefault="00A33120" w:rsidP="00B5005C">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45F9CFA7"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t>
            </w:r>
            <w:r>
              <w:rPr>
                <w:rFonts w:ascii="宋体" w:hAnsi="宋体" w:cs="Calibri"/>
                <w:color w:val="000000"/>
                <w:szCs w:val="21"/>
              </w:rPr>
              <w:t>www.citicsf.com</w:t>
            </w:r>
          </w:p>
        </w:tc>
      </w:tr>
      <w:tr w:rsidR="00A33120" w14:paraId="4A6B2EBB" w14:textId="77777777" w:rsidTr="00CF6B6F">
        <w:trPr>
          <w:trHeight w:val="20"/>
        </w:trPr>
        <w:tc>
          <w:tcPr>
            <w:tcW w:w="562" w:type="dxa"/>
          </w:tcPr>
          <w:p w14:paraId="64AF2FB4" w14:textId="14CF519F"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67</w:t>
            </w:r>
          </w:p>
        </w:tc>
        <w:tc>
          <w:tcPr>
            <w:tcW w:w="2660" w:type="dxa"/>
          </w:tcPr>
          <w:p w14:paraId="2FC5E974" w14:textId="77777777" w:rsidR="00A33120" w:rsidRDefault="00A33120" w:rsidP="00B5005C">
            <w:pPr>
              <w:widowControl/>
              <w:jc w:val="left"/>
              <w:textAlignment w:val="center"/>
              <w:rPr>
                <w:rFonts w:ascii="宋体" w:eastAsia="宋体" w:hAnsi="宋体" w:cs="宋体" w:hint="eastAsia"/>
                <w:color w:val="000000"/>
                <w:kern w:val="0"/>
                <w:szCs w:val="21"/>
                <w:lang w:bidi="ar"/>
              </w:rPr>
            </w:pPr>
            <w:proofErr w:type="gramStart"/>
            <w:r>
              <w:rPr>
                <w:rFonts w:ascii="宋体" w:eastAsia="宋体" w:hAnsi="宋体" w:cs="宋体" w:hint="eastAsia"/>
                <w:color w:val="000000"/>
                <w:kern w:val="0"/>
                <w:szCs w:val="21"/>
                <w:lang w:bidi="ar"/>
              </w:rPr>
              <w:t>万联证券</w:t>
            </w:r>
            <w:proofErr w:type="gramEnd"/>
            <w:r>
              <w:rPr>
                <w:rFonts w:ascii="宋体" w:eastAsia="宋体" w:hAnsi="宋体" w:cs="宋体" w:hint="eastAsia"/>
                <w:color w:val="000000"/>
                <w:kern w:val="0"/>
                <w:szCs w:val="21"/>
                <w:lang w:bidi="ar"/>
              </w:rPr>
              <w:t>股份有限公司</w:t>
            </w:r>
          </w:p>
        </w:tc>
        <w:tc>
          <w:tcPr>
            <w:tcW w:w="5567" w:type="dxa"/>
          </w:tcPr>
          <w:p w14:paraId="5699D18B"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6608A97F"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客户服务电话：95322</w:t>
            </w:r>
          </w:p>
          <w:p w14:paraId="755B4B78"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网址：www.wlzq.cn</w:t>
            </w:r>
          </w:p>
        </w:tc>
      </w:tr>
      <w:tr w:rsidR="00A33120" w14:paraId="43139D01" w14:textId="77777777" w:rsidTr="00CF6B6F">
        <w:trPr>
          <w:trHeight w:val="20"/>
        </w:trPr>
        <w:tc>
          <w:tcPr>
            <w:tcW w:w="562" w:type="dxa"/>
          </w:tcPr>
          <w:p w14:paraId="0CECAAC2" w14:textId="3AC459A1"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68</w:t>
            </w:r>
          </w:p>
        </w:tc>
        <w:tc>
          <w:tcPr>
            <w:tcW w:w="2660" w:type="dxa"/>
          </w:tcPr>
          <w:p w14:paraId="6E5F7A63"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源证券</w:t>
            </w:r>
            <w:proofErr w:type="gramEnd"/>
            <w:r>
              <w:rPr>
                <w:rFonts w:ascii="宋体" w:eastAsia="宋体" w:hAnsi="宋体" w:cs="宋体" w:hint="eastAsia"/>
                <w:color w:val="000000"/>
                <w:kern w:val="0"/>
                <w:szCs w:val="21"/>
                <w:lang w:bidi="ar"/>
              </w:rPr>
              <w:t>股份有限公司</w:t>
            </w:r>
          </w:p>
        </w:tc>
        <w:tc>
          <w:tcPr>
            <w:tcW w:w="5567" w:type="dxa"/>
          </w:tcPr>
          <w:p w14:paraId="5FE724B8"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41789151"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客户服务电话：95305</w:t>
            </w:r>
          </w:p>
          <w:p w14:paraId="496BAE89"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lastRenderedPageBreak/>
              <w:t>网址：www.jzsec.com</w:t>
            </w:r>
          </w:p>
        </w:tc>
      </w:tr>
      <w:tr w:rsidR="00A33120" w14:paraId="55CDA19A" w14:textId="77777777" w:rsidTr="00CF6B6F">
        <w:trPr>
          <w:trHeight w:val="20"/>
        </w:trPr>
        <w:tc>
          <w:tcPr>
            <w:tcW w:w="562" w:type="dxa"/>
          </w:tcPr>
          <w:p w14:paraId="627B0408" w14:textId="76E78B26"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lastRenderedPageBreak/>
              <w:t>69</w:t>
            </w:r>
          </w:p>
        </w:tc>
        <w:tc>
          <w:tcPr>
            <w:tcW w:w="2660" w:type="dxa"/>
          </w:tcPr>
          <w:p w14:paraId="24568A7D"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海通证券股份有限公司</w:t>
            </w:r>
          </w:p>
        </w:tc>
        <w:tc>
          <w:tcPr>
            <w:tcW w:w="5567" w:type="dxa"/>
          </w:tcPr>
          <w:p w14:paraId="270BA03F"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040F6BA1"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客户服务电话：95553</w:t>
            </w:r>
          </w:p>
          <w:p w14:paraId="5EA0B1B0"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网址：www.htsec.com</w:t>
            </w:r>
          </w:p>
        </w:tc>
      </w:tr>
      <w:tr w:rsidR="00A33120" w14:paraId="42CE98FA" w14:textId="77777777" w:rsidTr="00CF6B6F">
        <w:trPr>
          <w:trHeight w:val="20"/>
        </w:trPr>
        <w:tc>
          <w:tcPr>
            <w:tcW w:w="562" w:type="dxa"/>
          </w:tcPr>
          <w:p w14:paraId="4CBD63AA" w14:textId="37C64176"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70</w:t>
            </w:r>
          </w:p>
        </w:tc>
        <w:tc>
          <w:tcPr>
            <w:tcW w:w="2660" w:type="dxa"/>
          </w:tcPr>
          <w:p w14:paraId="18A55EFB"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华金证券股份有限公司</w:t>
            </w:r>
          </w:p>
        </w:tc>
        <w:tc>
          <w:tcPr>
            <w:tcW w:w="5567" w:type="dxa"/>
          </w:tcPr>
          <w:p w14:paraId="1B397E14"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07A69644"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客户服务电话：956011</w:t>
            </w:r>
          </w:p>
          <w:p w14:paraId="1CDF6FBE"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网址：www.huajinsc.cn</w:t>
            </w:r>
          </w:p>
        </w:tc>
      </w:tr>
      <w:tr w:rsidR="00A33120" w14:paraId="2EA79022" w14:textId="77777777" w:rsidTr="00CF6B6F">
        <w:trPr>
          <w:trHeight w:val="20"/>
        </w:trPr>
        <w:tc>
          <w:tcPr>
            <w:tcW w:w="562" w:type="dxa"/>
          </w:tcPr>
          <w:p w14:paraId="0ACF7734" w14:textId="21D0E810"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71</w:t>
            </w:r>
          </w:p>
        </w:tc>
        <w:tc>
          <w:tcPr>
            <w:tcW w:w="2660" w:type="dxa"/>
          </w:tcPr>
          <w:p w14:paraId="541CCB33"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w:t>
            </w:r>
            <w:proofErr w:type="gramStart"/>
            <w:r>
              <w:rPr>
                <w:rFonts w:ascii="宋体" w:eastAsia="宋体" w:hAnsi="宋体" w:cs="宋体" w:hint="eastAsia"/>
                <w:color w:val="000000"/>
                <w:kern w:val="0"/>
                <w:szCs w:val="21"/>
                <w:lang w:bidi="ar"/>
              </w:rPr>
              <w:t>宝证券</w:t>
            </w:r>
            <w:proofErr w:type="gramEnd"/>
            <w:r>
              <w:rPr>
                <w:rFonts w:ascii="宋体" w:eastAsia="宋体" w:hAnsi="宋体" w:cs="宋体" w:hint="eastAsia"/>
                <w:color w:val="000000"/>
                <w:kern w:val="0"/>
                <w:szCs w:val="21"/>
                <w:lang w:bidi="ar"/>
              </w:rPr>
              <w:t>股份有限公司</w:t>
            </w:r>
          </w:p>
        </w:tc>
        <w:tc>
          <w:tcPr>
            <w:tcW w:w="5567" w:type="dxa"/>
          </w:tcPr>
          <w:p w14:paraId="6FAC3E0A"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3DD4EFA8"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客户服务电话：400-820-9898</w:t>
            </w:r>
          </w:p>
          <w:p w14:paraId="2CFADAC5"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网址：www.cnhbstock.com</w:t>
            </w:r>
          </w:p>
        </w:tc>
      </w:tr>
      <w:tr w:rsidR="00A33120" w14:paraId="1EFBF8C7" w14:textId="77777777" w:rsidTr="00CF6B6F">
        <w:trPr>
          <w:trHeight w:val="20"/>
        </w:trPr>
        <w:tc>
          <w:tcPr>
            <w:tcW w:w="562" w:type="dxa"/>
          </w:tcPr>
          <w:p w14:paraId="6D5136A6" w14:textId="0F053522"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72</w:t>
            </w:r>
          </w:p>
        </w:tc>
        <w:tc>
          <w:tcPr>
            <w:tcW w:w="2660" w:type="dxa"/>
          </w:tcPr>
          <w:p w14:paraId="5FAA7763"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国金证券股份有限公司</w:t>
            </w:r>
          </w:p>
        </w:tc>
        <w:tc>
          <w:tcPr>
            <w:tcW w:w="5567" w:type="dxa"/>
          </w:tcPr>
          <w:p w14:paraId="29B2FF30"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52F48F55"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客户服务电话：95310</w:t>
            </w:r>
          </w:p>
          <w:p w14:paraId="0B2B80E1"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网址：www.gjzq.com.cn</w:t>
            </w:r>
          </w:p>
        </w:tc>
      </w:tr>
      <w:tr w:rsidR="00A33120" w14:paraId="6EC88C92" w14:textId="77777777" w:rsidTr="00CF6B6F">
        <w:trPr>
          <w:trHeight w:val="20"/>
        </w:trPr>
        <w:tc>
          <w:tcPr>
            <w:tcW w:w="562" w:type="dxa"/>
          </w:tcPr>
          <w:p w14:paraId="4383B73F" w14:textId="44F9BBCC"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73</w:t>
            </w:r>
          </w:p>
        </w:tc>
        <w:tc>
          <w:tcPr>
            <w:tcW w:w="2660" w:type="dxa"/>
          </w:tcPr>
          <w:p w14:paraId="2F19B445"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华西证券股份有限公司</w:t>
            </w:r>
          </w:p>
        </w:tc>
        <w:tc>
          <w:tcPr>
            <w:tcW w:w="5567" w:type="dxa"/>
          </w:tcPr>
          <w:p w14:paraId="08258061"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21BABD64"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客户服务电话：95584</w:t>
            </w:r>
          </w:p>
          <w:p w14:paraId="140068FE" w14:textId="77777777" w:rsidR="00A33120" w:rsidRDefault="00A33120" w:rsidP="00B5005C">
            <w:pPr>
              <w:jc w:val="left"/>
              <w:rPr>
                <w:rFonts w:ascii="宋体" w:eastAsia="宋体" w:hAnsi="宋体" w:cs="宋体" w:hint="eastAsia"/>
                <w:szCs w:val="21"/>
              </w:rPr>
            </w:pPr>
            <w:r>
              <w:rPr>
                <w:rFonts w:ascii="宋体" w:hAnsi="宋体" w:cs="Calibri" w:hint="eastAsia"/>
                <w:color w:val="000000"/>
                <w:szCs w:val="21"/>
              </w:rPr>
              <w:t>网址：www.hx168.com.cn</w:t>
            </w:r>
          </w:p>
        </w:tc>
      </w:tr>
      <w:tr w:rsidR="00A33120" w14:paraId="5A39D287" w14:textId="77777777" w:rsidTr="00CF6B6F">
        <w:trPr>
          <w:trHeight w:val="20"/>
        </w:trPr>
        <w:tc>
          <w:tcPr>
            <w:tcW w:w="562" w:type="dxa"/>
          </w:tcPr>
          <w:p w14:paraId="1EC5B500" w14:textId="77D68FA1"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74</w:t>
            </w:r>
          </w:p>
        </w:tc>
        <w:tc>
          <w:tcPr>
            <w:tcW w:w="2660" w:type="dxa"/>
          </w:tcPr>
          <w:p w14:paraId="21BD9380"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山西证券股份有限公司</w:t>
            </w:r>
          </w:p>
        </w:tc>
        <w:tc>
          <w:tcPr>
            <w:tcW w:w="5567" w:type="dxa"/>
          </w:tcPr>
          <w:p w14:paraId="00D04875"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注册地址：山西省太原市杏花岭区府西街69号山西国际贸易中心东塔楼29层</w:t>
            </w:r>
          </w:p>
          <w:p w14:paraId="51785166"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客户服务电话：95573</w:t>
            </w:r>
          </w:p>
          <w:p w14:paraId="0FD785EF"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网址：www.sxzq.com</w:t>
            </w:r>
          </w:p>
        </w:tc>
      </w:tr>
      <w:tr w:rsidR="00A33120" w14:paraId="5BC8A70C" w14:textId="77777777" w:rsidTr="00CF6B6F">
        <w:trPr>
          <w:trHeight w:val="20"/>
        </w:trPr>
        <w:tc>
          <w:tcPr>
            <w:tcW w:w="562" w:type="dxa"/>
          </w:tcPr>
          <w:p w14:paraId="774E616D" w14:textId="26E3C7B6"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75</w:t>
            </w:r>
          </w:p>
        </w:tc>
        <w:tc>
          <w:tcPr>
            <w:tcW w:w="2660" w:type="dxa"/>
          </w:tcPr>
          <w:p w14:paraId="14FC9161"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广发期货有限公司</w:t>
            </w:r>
          </w:p>
        </w:tc>
        <w:tc>
          <w:tcPr>
            <w:tcW w:w="5567" w:type="dxa"/>
          </w:tcPr>
          <w:p w14:paraId="3861F69A"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注册地址：广东省广州市黄埔</w:t>
            </w:r>
            <w:proofErr w:type="gramStart"/>
            <w:r>
              <w:rPr>
                <w:rFonts w:ascii="宋体" w:hAnsi="宋体" w:cs="Calibri" w:hint="eastAsia"/>
                <w:color w:val="000000"/>
                <w:szCs w:val="21"/>
              </w:rPr>
              <w:t>区峻弦街</w:t>
            </w:r>
            <w:proofErr w:type="gramEnd"/>
            <w:r>
              <w:rPr>
                <w:rFonts w:ascii="宋体" w:hAnsi="宋体" w:cs="Calibri" w:hint="eastAsia"/>
                <w:color w:val="000000"/>
                <w:szCs w:val="21"/>
              </w:rPr>
              <w:t>12号1002房</w:t>
            </w:r>
          </w:p>
          <w:p w14:paraId="213E4CE9"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客户服务电话：9510-5826</w:t>
            </w:r>
          </w:p>
          <w:p w14:paraId="6E194DC0"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网址：www.gfqh.cn</w:t>
            </w:r>
          </w:p>
        </w:tc>
      </w:tr>
      <w:tr w:rsidR="00A33120" w14:paraId="71C2E6B1" w14:textId="77777777" w:rsidTr="00CF6B6F">
        <w:trPr>
          <w:trHeight w:val="20"/>
        </w:trPr>
        <w:tc>
          <w:tcPr>
            <w:tcW w:w="562" w:type="dxa"/>
          </w:tcPr>
          <w:p w14:paraId="3BBD7191" w14:textId="1824160F" w:rsidR="00A33120" w:rsidRPr="00CF6B6F" w:rsidRDefault="00A33120" w:rsidP="00CF6B6F">
            <w:pPr>
              <w:jc w:val="left"/>
              <w:rPr>
                <w:rFonts w:asciiTheme="minorEastAsia" w:hAnsiTheme="minorEastAsia" w:cs="Arial" w:hint="eastAsia"/>
                <w:szCs w:val="20"/>
              </w:rPr>
            </w:pPr>
            <w:r w:rsidRPr="00CF6B6F">
              <w:rPr>
                <w:rFonts w:asciiTheme="minorEastAsia" w:hAnsiTheme="minorEastAsia" w:cs="Arial"/>
                <w:szCs w:val="20"/>
              </w:rPr>
              <w:t>76</w:t>
            </w:r>
          </w:p>
        </w:tc>
        <w:tc>
          <w:tcPr>
            <w:tcW w:w="2660" w:type="dxa"/>
          </w:tcPr>
          <w:p w14:paraId="6DBAAB54" w14:textId="77777777" w:rsidR="00A33120" w:rsidRDefault="00A33120" w:rsidP="00B5005C">
            <w:pPr>
              <w:widowControl/>
              <w:jc w:val="left"/>
              <w:textAlignment w:val="center"/>
              <w:rPr>
                <w:rFonts w:ascii="宋体" w:eastAsia="宋体" w:hAnsi="宋体" w:cs="宋体" w:hint="eastAsia"/>
                <w:color w:val="000000"/>
                <w:kern w:val="0"/>
                <w:szCs w:val="21"/>
                <w:lang w:bidi="ar"/>
              </w:rPr>
            </w:pPr>
            <w:r>
              <w:rPr>
                <w:rFonts w:ascii="宋体" w:eastAsia="宋体" w:hAnsi="宋体" w:cs="宋体" w:hint="eastAsia"/>
                <w:color w:val="000000"/>
                <w:kern w:val="0"/>
                <w:szCs w:val="21"/>
                <w:lang w:bidi="ar"/>
              </w:rPr>
              <w:t>兴业银行股份有限公司</w:t>
            </w:r>
          </w:p>
        </w:tc>
        <w:tc>
          <w:tcPr>
            <w:tcW w:w="5567" w:type="dxa"/>
          </w:tcPr>
          <w:p w14:paraId="2D4BA5AF"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4A200144"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客户服务电话：95561</w:t>
            </w:r>
          </w:p>
          <w:p w14:paraId="48DD6D9C" w14:textId="77777777" w:rsidR="00A33120" w:rsidRDefault="00A33120" w:rsidP="00B5005C">
            <w:pPr>
              <w:jc w:val="left"/>
              <w:rPr>
                <w:rFonts w:ascii="宋体" w:hAnsi="宋体" w:cs="Calibri" w:hint="eastAsia"/>
                <w:color w:val="000000"/>
                <w:szCs w:val="21"/>
              </w:rPr>
            </w:pPr>
            <w:r>
              <w:rPr>
                <w:rFonts w:ascii="宋体" w:hAnsi="宋体" w:cs="Calibri" w:hint="eastAsia"/>
                <w:color w:val="000000"/>
                <w:szCs w:val="21"/>
              </w:rPr>
              <w:t>网址：www.cib.com.cn</w:t>
            </w:r>
          </w:p>
        </w:tc>
      </w:tr>
    </w:tbl>
    <w:p w14:paraId="5D63D2FF" w14:textId="77777777" w:rsidR="009214AE" w:rsidRPr="00FF7B65" w:rsidRDefault="009214AE">
      <w:pPr>
        <w:tabs>
          <w:tab w:val="left" w:pos="540"/>
        </w:tabs>
        <w:adjustRightInd w:val="0"/>
        <w:snapToGrid w:val="0"/>
        <w:spacing w:line="360" w:lineRule="auto"/>
        <w:ind w:firstLineChars="200" w:firstLine="480"/>
        <w:rPr>
          <w:rFonts w:asciiTheme="minorEastAsia" w:hAnsiTheme="minorEastAsia" w:cs="Arial" w:hint="eastAsia"/>
          <w:sz w:val="24"/>
          <w:szCs w:val="24"/>
        </w:rPr>
      </w:pPr>
    </w:p>
    <w:p w14:paraId="59A25E85" w14:textId="77777777" w:rsidR="009214AE" w:rsidRDefault="00C66335">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45110502" w14:textId="77777777" w:rsidR="009214AE" w:rsidRDefault="00C6633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38F9FEC2" w14:textId="77777777" w:rsidR="009214AE" w:rsidRDefault="00C6633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proofErr w:type="gramStart"/>
      <w:r>
        <w:rPr>
          <w:rFonts w:asciiTheme="minorEastAsia" w:hAnsiTheme="minorEastAsia" w:cs="Arial" w:hint="eastAsia"/>
          <w:color w:val="000000"/>
          <w:kern w:val="0"/>
          <w:sz w:val="24"/>
          <w:szCs w:val="24"/>
        </w:rPr>
        <w:t>广东省广东省</w:t>
      </w:r>
      <w:proofErr w:type="gramEnd"/>
      <w:r>
        <w:rPr>
          <w:rFonts w:asciiTheme="minorEastAsia" w:hAnsiTheme="minorEastAsia" w:cs="Arial" w:hint="eastAsia"/>
          <w:color w:val="000000"/>
          <w:kern w:val="0"/>
          <w:sz w:val="24"/>
          <w:szCs w:val="24"/>
        </w:rPr>
        <w:t>广州市南沙区横</w:t>
      </w:r>
      <w:proofErr w:type="gramStart"/>
      <w:r>
        <w:rPr>
          <w:rFonts w:asciiTheme="minorEastAsia" w:hAnsiTheme="minorEastAsia" w:cs="Arial" w:hint="eastAsia"/>
          <w:color w:val="000000"/>
          <w:kern w:val="0"/>
          <w:sz w:val="24"/>
          <w:szCs w:val="24"/>
        </w:rPr>
        <w:t>沥</w:t>
      </w:r>
      <w:proofErr w:type="gramEnd"/>
      <w:r>
        <w:rPr>
          <w:rFonts w:asciiTheme="minorEastAsia" w:hAnsiTheme="minorEastAsia" w:cs="Arial" w:hint="eastAsia"/>
          <w:color w:val="000000"/>
          <w:kern w:val="0"/>
          <w:sz w:val="24"/>
          <w:szCs w:val="24"/>
        </w:rPr>
        <w:t xml:space="preserve">镇汇通二街2号3110房 </w:t>
      </w:r>
    </w:p>
    <w:p w14:paraId="69AF3AEE" w14:textId="77777777" w:rsidR="009214AE" w:rsidRDefault="00C6633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0274B03B" w14:textId="77777777" w:rsidR="009214AE" w:rsidRDefault="00C6633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w:t>
      </w:r>
      <w:r>
        <w:rPr>
          <w:rFonts w:asciiTheme="minorEastAsia" w:hAnsiTheme="minorEastAsia" w:cs="Arial" w:hint="eastAsia"/>
          <w:kern w:val="0"/>
          <w:sz w:val="24"/>
          <w:szCs w:val="24"/>
        </w:rPr>
        <w:t>王亦伟</w:t>
      </w:r>
    </w:p>
    <w:p w14:paraId="51996CE6" w14:textId="77777777" w:rsidR="009214AE" w:rsidRDefault="00C6633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05F38682" w14:textId="77777777" w:rsidR="009214AE" w:rsidRDefault="00C66335">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6A7BD043" w14:textId="77777777" w:rsidR="009214AE" w:rsidRDefault="00C66335">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2AF18C88" w14:textId="77777777" w:rsidR="009214AE" w:rsidRDefault="00C66335">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0FA9105B"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名称：上海源泰律师事务所</w:t>
      </w:r>
    </w:p>
    <w:p w14:paraId="63E52974"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住所：上海市浦东新区浦东南路256号华夏银行大厦14楼</w:t>
      </w:r>
    </w:p>
    <w:p w14:paraId="69744265"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办公地址：上海市浦东新区浦东南路256号华夏银行大厦14楼</w:t>
      </w:r>
    </w:p>
    <w:p w14:paraId="2C24152D"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负责人：廖海</w:t>
      </w:r>
    </w:p>
    <w:p w14:paraId="7F4D3C2E"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电话：（021）51150298</w:t>
      </w:r>
    </w:p>
    <w:p w14:paraId="510AB2F0"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传真：（021）51150398</w:t>
      </w:r>
    </w:p>
    <w:p w14:paraId="227F6F57"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经办律师：刘佳、黄丽华</w:t>
      </w:r>
    </w:p>
    <w:p w14:paraId="0DDF2165"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联系人：刘佳</w:t>
      </w:r>
    </w:p>
    <w:p w14:paraId="4410C96D" w14:textId="77777777" w:rsidR="009214AE" w:rsidRDefault="00C66335">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530C3B1B"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174452DA" w14:textId="044A2BB3"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w:t>
      </w:r>
      <w:r w:rsidR="00542A7E">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332B3915" w14:textId="2C7B1C5D"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w:t>
      </w:r>
      <w:r w:rsidR="00542A7E">
        <w:rPr>
          <w:rFonts w:asciiTheme="minorEastAsia" w:hAnsiTheme="minorEastAsia" w:cs="Arial" w:hint="eastAsia"/>
          <w:kern w:val="0"/>
          <w:sz w:val="24"/>
          <w:szCs w:val="24"/>
        </w:rPr>
        <w:t>17</w:t>
      </w:r>
      <w:r>
        <w:rPr>
          <w:rFonts w:asciiTheme="minorEastAsia" w:hAnsiTheme="minorEastAsia" w:cs="Arial" w:hint="eastAsia"/>
          <w:kern w:val="0"/>
          <w:sz w:val="24"/>
          <w:szCs w:val="24"/>
        </w:rPr>
        <w:t>层</w:t>
      </w:r>
    </w:p>
    <w:p w14:paraId="1C39A3D6"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6A4F0DF9"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75D8035D"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7B05F4ED"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2E9228E7" w14:textId="77777777" w:rsidR="009214AE" w:rsidRDefault="00C66335">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14513BB8" w14:textId="77777777" w:rsidR="009214AE" w:rsidRDefault="009214AE">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9214AE" w:rsidSect="004C0C2D">
          <w:footerReference w:type="default" r:id="rId24"/>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3601"/>
      <w:bookmarkStart w:id="118" w:name="_Toc123112235"/>
      <w:bookmarkStart w:id="119" w:name="_Toc16859"/>
      <w:bookmarkStart w:id="120" w:name="_Toc139991737"/>
      <w:bookmarkStart w:id="121" w:name="_Toc141703887"/>
      <w:bookmarkStart w:id="122" w:name="_Toc31653"/>
      <w:bookmarkStart w:id="123" w:name="_Toc352229753"/>
      <w:bookmarkStart w:id="124" w:name="_Toc123051453"/>
      <w:bookmarkStart w:id="125" w:name="_Toc31235"/>
      <w:bookmarkStart w:id="126" w:name="_Toc14835"/>
      <w:bookmarkStart w:id="127" w:name="_Toc12245"/>
      <w:bookmarkStart w:id="128" w:name="_Toc123102454"/>
      <w:bookmarkStart w:id="129" w:name="_Toc6405"/>
      <w:bookmarkStart w:id="130" w:name="_Toc15143"/>
      <w:bookmarkStart w:id="131" w:name="_Toc29251"/>
      <w:bookmarkStart w:id="132" w:name="_Toc31644"/>
      <w:bookmarkStart w:id="133" w:name="_Toc98560353"/>
      <w:bookmarkStart w:id="134" w:name="_Toc26207"/>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0B6CBEEA" w14:textId="77777777" w:rsidR="009214AE" w:rsidRDefault="00C66335">
      <w:pPr>
        <w:pStyle w:val="1"/>
        <w:jc w:val="center"/>
        <w:rPr>
          <w:sz w:val="30"/>
          <w:szCs w:val="30"/>
        </w:rPr>
      </w:pPr>
      <w:bookmarkStart w:id="135" w:name="_Toc164429419"/>
      <w:r>
        <w:rPr>
          <w:rFonts w:hint="eastAsia"/>
          <w:sz w:val="30"/>
          <w:szCs w:val="30"/>
        </w:rPr>
        <w:lastRenderedPageBreak/>
        <w:t>第六部分</w:t>
      </w:r>
      <w:r>
        <w:rPr>
          <w:sz w:val="30"/>
          <w:szCs w:val="30"/>
        </w:rPr>
        <w:t xml:space="preserve">  </w:t>
      </w:r>
      <w:bookmarkEnd w:id="115"/>
      <w:bookmarkEnd w:id="116"/>
      <w:r>
        <w:rPr>
          <w:rFonts w:hint="eastAsia"/>
          <w:sz w:val="30"/>
          <w:szCs w:val="30"/>
        </w:rPr>
        <w:t>基金的募集</w:t>
      </w:r>
      <w:bookmarkEnd w:id="135"/>
    </w:p>
    <w:p w14:paraId="65E4CBE8" w14:textId="77777777" w:rsidR="009214AE" w:rsidRDefault="00C66335">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基金管理人按照《基金法》、《运作办法》、《销售办法》、基金合同及其他有关规定募集本基金，并于20</w:t>
      </w:r>
      <w:r>
        <w:rPr>
          <w:rFonts w:asciiTheme="minorEastAsia" w:hAnsiTheme="minorEastAsia" w:cs="Arial"/>
          <w:sz w:val="24"/>
          <w:szCs w:val="24"/>
        </w:rPr>
        <w:t>21</w:t>
      </w:r>
      <w:r>
        <w:rPr>
          <w:rFonts w:asciiTheme="minorEastAsia" w:hAnsiTheme="minorEastAsia" w:cs="Arial" w:hint="eastAsia"/>
          <w:sz w:val="24"/>
          <w:szCs w:val="24"/>
        </w:rPr>
        <w:t>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19</w:t>
      </w:r>
      <w:r>
        <w:rPr>
          <w:rFonts w:asciiTheme="minorEastAsia" w:hAnsiTheme="minorEastAsia" w:cs="Arial" w:hint="eastAsia"/>
          <w:sz w:val="24"/>
          <w:szCs w:val="24"/>
        </w:rPr>
        <w:t>】日经中国证监会证监许可[20</w:t>
      </w:r>
      <w:r>
        <w:rPr>
          <w:rFonts w:asciiTheme="minorEastAsia" w:hAnsiTheme="minorEastAsia" w:cs="Arial"/>
          <w:sz w:val="24"/>
          <w:szCs w:val="24"/>
        </w:rPr>
        <w:t>21</w:t>
      </w:r>
      <w:r>
        <w:rPr>
          <w:rFonts w:asciiTheme="minorEastAsia" w:hAnsiTheme="minorEastAsia" w:cs="Arial" w:hint="eastAsia"/>
          <w:sz w:val="24"/>
          <w:szCs w:val="24"/>
        </w:rPr>
        <w:t>]</w:t>
      </w:r>
      <w:r>
        <w:rPr>
          <w:rFonts w:asciiTheme="minorEastAsia" w:hAnsiTheme="minorEastAsia" w:cs="Arial"/>
          <w:sz w:val="24"/>
          <w:szCs w:val="24"/>
        </w:rPr>
        <w:t>3691</w:t>
      </w:r>
      <w:r>
        <w:rPr>
          <w:rFonts w:asciiTheme="minorEastAsia" w:hAnsiTheme="minorEastAsia" w:cs="Arial" w:hint="eastAsia"/>
          <w:sz w:val="24"/>
          <w:szCs w:val="24"/>
        </w:rPr>
        <w:t>号文准予注册募集。本基金于20</w:t>
      </w:r>
      <w:r>
        <w:rPr>
          <w:rFonts w:asciiTheme="minorEastAsia" w:hAnsiTheme="minorEastAsia" w:cs="Arial"/>
          <w:sz w:val="24"/>
          <w:szCs w:val="24"/>
        </w:rPr>
        <w:t>22</w:t>
      </w:r>
      <w:r>
        <w:rPr>
          <w:rFonts w:asciiTheme="minorEastAsia" w:hAnsiTheme="minorEastAsia" w:cs="Arial" w:hint="eastAsia"/>
          <w:sz w:val="24"/>
          <w:szCs w:val="24"/>
        </w:rPr>
        <w:t>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18</w:t>
      </w:r>
      <w:r>
        <w:rPr>
          <w:rFonts w:asciiTheme="minorEastAsia" w:hAnsiTheme="minorEastAsia" w:cs="Arial" w:hint="eastAsia"/>
          <w:sz w:val="24"/>
          <w:szCs w:val="24"/>
        </w:rPr>
        <w:t>日起通过各销售机构向社会公开募集，截至20</w:t>
      </w:r>
      <w:r>
        <w:rPr>
          <w:rFonts w:asciiTheme="minorEastAsia" w:hAnsiTheme="minorEastAsia" w:cs="Arial"/>
          <w:sz w:val="24"/>
          <w:szCs w:val="24"/>
        </w:rPr>
        <w:t>22</w:t>
      </w:r>
      <w:r>
        <w:rPr>
          <w:rFonts w:asciiTheme="minorEastAsia" w:hAnsiTheme="minorEastAsia" w:cs="Arial" w:hint="eastAsia"/>
          <w:sz w:val="24"/>
          <w:szCs w:val="24"/>
        </w:rPr>
        <w:t>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29</w:t>
      </w:r>
      <w:r>
        <w:rPr>
          <w:rFonts w:asciiTheme="minorEastAsia" w:hAnsiTheme="minorEastAsia" w:cs="Arial" w:hint="eastAsia"/>
          <w:sz w:val="24"/>
          <w:szCs w:val="24"/>
        </w:rPr>
        <w:t>日，基金募集工作已顺利结束。</w:t>
      </w:r>
    </w:p>
    <w:p w14:paraId="156F6644" w14:textId="77777777" w:rsidR="009214AE" w:rsidRDefault="009214AE">
      <w:pPr>
        <w:snapToGrid w:val="0"/>
        <w:spacing w:line="360" w:lineRule="auto"/>
        <w:ind w:firstLineChars="200" w:firstLine="482"/>
        <w:rPr>
          <w:rFonts w:ascii="宋体" w:eastAsia="宋体" w:hAnsi="宋体" w:cs="Arial" w:hint="eastAsia"/>
          <w:b/>
          <w:sz w:val="24"/>
          <w:szCs w:val="24"/>
        </w:rPr>
      </w:pPr>
      <w:bookmarkStart w:id="136" w:name="_Toc214873596"/>
      <w:bookmarkStart w:id="137" w:name="_Toc263092315"/>
      <w:bookmarkStart w:id="138" w:name="_Toc416264543"/>
      <w:bookmarkStart w:id="139" w:name="_Toc3321"/>
      <w:bookmarkStart w:id="140" w:name="_Toc25783"/>
      <w:bookmarkStart w:id="141" w:name="_Toc20768"/>
      <w:bookmarkStart w:id="142" w:name="_Toc6447"/>
      <w:bookmarkStart w:id="143" w:name="_Toc352229754"/>
      <w:bookmarkStart w:id="144" w:name="_Toc123112236"/>
      <w:bookmarkStart w:id="145" w:name="_Toc123051454"/>
      <w:bookmarkStart w:id="146" w:name="_Toc7058"/>
      <w:bookmarkStart w:id="147" w:name="_Toc9706"/>
      <w:bookmarkStart w:id="148" w:name="_Toc141703888"/>
      <w:bookmarkStart w:id="149" w:name="_Toc11030"/>
      <w:bookmarkStart w:id="150" w:name="_Toc3771"/>
      <w:bookmarkStart w:id="151" w:name="_Toc139991738"/>
      <w:bookmarkStart w:id="152" w:name="_Toc4559"/>
      <w:bookmarkStart w:id="153" w:name="_Toc79392583"/>
      <w:bookmarkStart w:id="154" w:name="_Toc123102455"/>
      <w:bookmarkStart w:id="155" w:name="_Toc98560354"/>
      <w:bookmarkStart w:id="156" w:name="_Toc10650"/>
      <w:bookmarkStart w:id="157" w:name="_Toc18567"/>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32C050E5" w14:textId="77777777" w:rsidR="009214AE" w:rsidRDefault="009214AE">
      <w:pPr>
        <w:keepNext/>
        <w:keepLines/>
        <w:spacing w:line="360" w:lineRule="auto"/>
        <w:jc w:val="center"/>
        <w:outlineLvl w:val="0"/>
        <w:rPr>
          <w:rFonts w:ascii="Times New Roman" w:eastAsia="宋体" w:hAnsi="Times New Roman" w:cs="Times New Roman"/>
          <w:b/>
          <w:kern w:val="0"/>
          <w:sz w:val="24"/>
          <w:szCs w:val="24"/>
        </w:rPr>
        <w:sectPr w:rsidR="009214AE" w:rsidSect="004C0C2D">
          <w:footerReference w:type="default" r:id="rId25"/>
          <w:pgSz w:w="11906" w:h="16838"/>
          <w:pgMar w:top="1440" w:right="1800" w:bottom="1440" w:left="1800" w:header="851" w:footer="992" w:gutter="0"/>
          <w:pgNumType w:chapStyle="1"/>
          <w:cols w:space="720"/>
          <w:docGrid w:type="lines" w:linePitch="312"/>
        </w:sectPr>
      </w:pPr>
    </w:p>
    <w:p w14:paraId="16EC3B2F" w14:textId="77777777" w:rsidR="009214AE" w:rsidRDefault="00C66335">
      <w:pPr>
        <w:pStyle w:val="1"/>
        <w:jc w:val="center"/>
        <w:rPr>
          <w:sz w:val="30"/>
          <w:szCs w:val="30"/>
        </w:rPr>
      </w:pPr>
      <w:bookmarkStart w:id="158" w:name="_Toc164429420"/>
      <w:r>
        <w:rPr>
          <w:rFonts w:hint="eastAsia"/>
          <w:sz w:val="30"/>
          <w:szCs w:val="30"/>
        </w:rPr>
        <w:lastRenderedPageBreak/>
        <w:t>第七部分</w:t>
      </w:r>
      <w:r>
        <w:rPr>
          <w:sz w:val="30"/>
          <w:szCs w:val="30"/>
        </w:rPr>
        <w:t xml:space="preserve">  </w:t>
      </w:r>
      <w:bookmarkEnd w:id="136"/>
      <w:bookmarkEnd w:id="137"/>
      <w:bookmarkEnd w:id="138"/>
      <w:r>
        <w:rPr>
          <w:rFonts w:hint="eastAsia"/>
          <w:sz w:val="30"/>
          <w:szCs w:val="30"/>
        </w:rPr>
        <w:t>基金合同的生效</w:t>
      </w:r>
      <w:bookmarkEnd w:id="158"/>
    </w:p>
    <w:p w14:paraId="7FA73351" w14:textId="77777777" w:rsidR="009214AE" w:rsidRDefault="00C66335">
      <w:pPr>
        <w:spacing w:line="360" w:lineRule="auto"/>
        <w:ind w:firstLineChars="200" w:firstLine="480"/>
        <w:rPr>
          <w:rFonts w:ascii="宋体" w:eastAsia="宋体" w:hAnsi="宋体" w:cs="Times New Roman" w:hint="eastAsia"/>
          <w:bCs/>
          <w:sz w:val="24"/>
          <w:szCs w:val="21"/>
        </w:rPr>
      </w:pPr>
      <w:r>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w:t>
      </w:r>
      <w:r>
        <w:rPr>
          <w:rFonts w:ascii="宋体" w:eastAsia="宋体" w:hAnsi="宋体" w:cs="Times New Roman"/>
          <w:bCs/>
          <w:sz w:val="24"/>
          <w:szCs w:val="21"/>
        </w:rPr>
        <w:t>2022</w:t>
      </w:r>
      <w:r>
        <w:rPr>
          <w:rFonts w:ascii="宋体" w:eastAsia="宋体" w:hAnsi="宋体" w:cs="Times New Roman" w:hint="eastAsia"/>
          <w:bCs/>
          <w:sz w:val="24"/>
          <w:szCs w:val="21"/>
        </w:rPr>
        <w:t>年</w:t>
      </w:r>
      <w:r>
        <w:rPr>
          <w:rFonts w:ascii="宋体" w:eastAsia="宋体" w:hAnsi="宋体" w:cs="Times New Roman"/>
          <w:bCs/>
          <w:sz w:val="24"/>
          <w:szCs w:val="21"/>
        </w:rPr>
        <w:t>5</w:t>
      </w:r>
      <w:r>
        <w:rPr>
          <w:rFonts w:ascii="宋体" w:eastAsia="宋体" w:hAnsi="宋体" w:cs="Times New Roman" w:hint="eastAsia"/>
          <w:bCs/>
          <w:sz w:val="24"/>
          <w:szCs w:val="21"/>
        </w:rPr>
        <w:t>月</w:t>
      </w:r>
      <w:r>
        <w:rPr>
          <w:rFonts w:ascii="宋体" w:eastAsia="宋体" w:hAnsi="宋体" w:cs="Times New Roman"/>
          <w:bCs/>
          <w:sz w:val="24"/>
          <w:szCs w:val="21"/>
        </w:rPr>
        <w:t>6</w:t>
      </w:r>
      <w:r>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4C68A1F0" w14:textId="77777777" w:rsidR="009214AE" w:rsidRDefault="00C66335">
      <w:pPr>
        <w:widowControl/>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 xml:space="preserve">《基金合同》生效满3年后继续存续的，连续20个工作日出现基金份额持有人数量不满200人或者基金资产净值低于5,000万元情形的，基金管理人应当在定期报告中予以披露；连续60个工作日出现前述情形的，基金管理人应当在10个工作日内向中国证监会报告并提出解决方案，解决方案包括持续运作、转换运作方式、与其他基金合并或者终止基金合同等，并在6个月内召集基金份额持有人大会。法律法规或中国证监会另有规定时，从其规定。 </w:t>
      </w:r>
      <w:bookmarkStart w:id="159" w:name="_Toc214873597"/>
      <w:bookmarkStart w:id="160" w:name="_Toc147463118"/>
      <w:bookmarkStart w:id="161" w:name="_Toc12357171"/>
      <w:bookmarkStart w:id="162" w:name="_Toc416264544"/>
      <w:bookmarkStart w:id="163" w:name="_Toc263092316"/>
      <w:bookmarkStart w:id="164" w:name="_Toc21073391"/>
      <w:bookmarkStart w:id="165" w:name="_Toc725"/>
      <w:bookmarkStart w:id="166" w:name="_Toc98560355"/>
      <w:bookmarkStart w:id="167" w:name="_Toc3080"/>
      <w:bookmarkStart w:id="168" w:name="_Toc16164"/>
      <w:bookmarkStart w:id="169" w:name="_Toc31821"/>
      <w:bookmarkStart w:id="170" w:name="_Toc123051455"/>
      <w:bookmarkStart w:id="171" w:name="_Toc123102456"/>
      <w:bookmarkStart w:id="172" w:name="_Toc3963"/>
      <w:bookmarkStart w:id="173" w:name="_Toc10398"/>
      <w:bookmarkStart w:id="174" w:name="_Toc18206"/>
      <w:bookmarkStart w:id="175" w:name="_Toc1745"/>
      <w:bookmarkStart w:id="176" w:name="_Toc352229755"/>
      <w:bookmarkStart w:id="177" w:name="_Toc141703889"/>
      <w:bookmarkStart w:id="178" w:name="_Toc21735"/>
      <w:bookmarkStart w:id="179" w:name="_Toc123112237"/>
      <w:bookmarkStart w:id="180" w:name="_Toc3572"/>
      <w:bookmarkStart w:id="181" w:name="_Toc139991739"/>
      <w:bookmarkStart w:id="182" w:name="_Toc18769"/>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5D791C89" w14:textId="77777777" w:rsidR="009214AE" w:rsidRDefault="00C66335">
      <w:pPr>
        <w:widowControl/>
        <w:spacing w:line="360" w:lineRule="auto"/>
        <w:ind w:firstLineChars="200" w:firstLine="480"/>
        <w:jc w:val="left"/>
        <w:rPr>
          <w:rFonts w:asciiTheme="minorEastAsia" w:hAnsiTheme="minorEastAsia" w:cs="Times New Roman" w:hint="eastAsia"/>
          <w:sz w:val="24"/>
          <w:szCs w:val="24"/>
        </w:rPr>
        <w:sectPr w:rsidR="009214AE" w:rsidSect="004C0C2D">
          <w:footerReference w:type="default" r:id="rId26"/>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《基金合同》生效满3年后的对应日，</w:t>
      </w:r>
      <w:proofErr w:type="gramStart"/>
      <w:r>
        <w:rPr>
          <w:rFonts w:asciiTheme="minorEastAsia" w:hAnsiTheme="minorEastAsia" w:cs="Times New Roman" w:hint="eastAsia"/>
          <w:sz w:val="24"/>
          <w:szCs w:val="24"/>
        </w:rPr>
        <w:t>若基金</w:t>
      </w:r>
      <w:proofErr w:type="gramEnd"/>
      <w:r>
        <w:rPr>
          <w:rFonts w:asciiTheme="minorEastAsia" w:hAnsiTheme="minorEastAsia" w:cs="Times New Roman" w:hint="eastAsia"/>
          <w:sz w:val="24"/>
          <w:szCs w:val="24"/>
        </w:rPr>
        <w:t>资产净值低于2亿元，《基金合同》应当终止，且不得通过召开基金持有人大会的方式延续。若届时的法律法规或中国证监会规定发生变化，上述终止规定被取消、更改或补充时，则本基金可以参照届时有效的法律法规或中国证监会规定执行。</w:t>
      </w:r>
    </w:p>
    <w:p w14:paraId="0A48AE48" w14:textId="77777777" w:rsidR="009214AE" w:rsidRDefault="00C66335">
      <w:pPr>
        <w:pStyle w:val="1"/>
        <w:jc w:val="center"/>
        <w:rPr>
          <w:rFonts w:ascii="Arial" w:hAnsi="Arial" w:cs="Arial"/>
          <w:bCs/>
          <w:sz w:val="30"/>
          <w:szCs w:val="30"/>
        </w:rPr>
      </w:pPr>
      <w:bookmarkStart w:id="183" w:name="_Toc16442942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2152B2F6" w14:textId="77777777" w:rsidR="009214AE" w:rsidRDefault="00C66335">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7CA840AF"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其他相关公告中列明。基金管理人可根据情况变更或增减销售机构，并在基金管理人网站公示。基金投资者应当在销售机构办理基金销售业务的营业场所或按销售机构提供的其他方式办理基金份额的申购与赎回。</w:t>
      </w: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w:t>
      </w:r>
    </w:p>
    <w:p w14:paraId="5DC6780D" w14:textId="77777777" w:rsidR="009214AE" w:rsidRDefault="00C66335">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21F87BF1"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1、开放日及开放时间</w:t>
      </w:r>
    </w:p>
    <w:p w14:paraId="54B791A2"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215ADFD3"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364971AD"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3A9AD363"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w:t>
      </w:r>
      <w:r>
        <w:rPr>
          <w:rFonts w:asciiTheme="minorEastAsia" w:hAnsiTheme="minorEastAsia" w:cs="Arial"/>
          <w:sz w:val="24"/>
          <w:szCs w:val="24"/>
        </w:rPr>
        <w:t>22</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6</w:t>
      </w:r>
      <w:r>
        <w:rPr>
          <w:rFonts w:asciiTheme="minorEastAsia" w:hAnsiTheme="minorEastAsia" w:cs="Arial" w:hint="eastAsia"/>
          <w:sz w:val="24"/>
          <w:szCs w:val="24"/>
        </w:rPr>
        <w:t>日开始办理申购、赎回业务。</w:t>
      </w:r>
    </w:p>
    <w:p w14:paraId="60AC5920"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p w14:paraId="4EE40A80" w14:textId="77777777" w:rsidR="009214AE" w:rsidRDefault="00C66335">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1D739D3B"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776393E8"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2、“金额申购、份额赎回”原则，即申购以金额申请，赎回以份额申请；</w:t>
      </w:r>
    </w:p>
    <w:p w14:paraId="422E2351"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3、当日的申购与赎回申请可以在基金管理人规定的时间以内撤销；</w:t>
      </w:r>
    </w:p>
    <w:p w14:paraId="7F0DB3F6"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4、赎回遵循“先进先出”原则，即按照投资人认购、申购的先后次序进行顺序赎回；</w:t>
      </w:r>
    </w:p>
    <w:p w14:paraId="4BBDE6E4"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5、办理申购、赎回业务时，应当遵循基金份额持有人利益优先原则，确保投资者的合法权益不受损害并得到公平对待。</w:t>
      </w:r>
    </w:p>
    <w:p w14:paraId="4F4FA2DA"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基金管理人可在法律法规允许的情况下，对上述原则进行调整。基金管理人必须在新规则开始实施前依照《信息披露办法》的有关规定在规定媒介上公告。</w:t>
      </w:r>
    </w:p>
    <w:p w14:paraId="3D275FDC" w14:textId="77777777" w:rsidR="009214AE" w:rsidRDefault="00C66335">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2A954C85"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1、申购和赎回的申请方式</w:t>
      </w:r>
    </w:p>
    <w:p w14:paraId="3CA55CBD"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2EE39102"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投资人在提交申购申请时须按销售机构规定的方式备足申购资金，投资人在提交赎回申请时须持有足够的基金份额余额，否则所提交的申购、赎回申请不成立。</w:t>
      </w:r>
    </w:p>
    <w:p w14:paraId="6B3EC51A"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2、申购和赎回的款项支付</w:t>
      </w:r>
    </w:p>
    <w:p w14:paraId="621C6C4E"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w:t>
      </w:r>
    </w:p>
    <w:p w14:paraId="7773E1E5"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基金份额持有人递交赎回申请，赎回成立；基金份额登记机构确认赎回时，赎回生效。</w:t>
      </w:r>
    </w:p>
    <w:p w14:paraId="33AE0E2C"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基金份额持有人T日赎回申请生效后，基金管理人将在T＋7日（包括该日）内支付赎回款项。遇证券、期货交易所或交易市场数据传输延迟、通讯系统故障、银行数据交换系统故障或其他</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时，赎回款项顺延至上述情形消失的下一个工作日划出。在发生巨额赎回或基金合同载明的延缓支付赎回款项的情形时，款项的支付办法参照基金合同有关条款处理。</w:t>
      </w:r>
    </w:p>
    <w:p w14:paraId="37626AC1"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基金管理人可以在法律法规和基金合同允许的范围内，对上述业务办理时间进行调整，基金管理人必须在调整实施前依照《信息披露办法》的有关规定在规定媒介上公告。</w:t>
      </w:r>
    </w:p>
    <w:p w14:paraId="55A62D80"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3、申购和赎回申请的确认</w:t>
      </w:r>
    </w:p>
    <w:p w14:paraId="632C7AF6"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w:t>
      </w:r>
      <w:r>
        <w:rPr>
          <w:rFonts w:asciiTheme="minorEastAsia" w:hAnsiTheme="minorEastAsia" w:cs="Arial" w:hint="eastAsia"/>
          <w:sz w:val="24"/>
          <w:szCs w:val="24"/>
        </w:rPr>
        <w:lastRenderedPageBreak/>
        <w:t>售网点柜台或以销售机构规定的其他方式查询申请的确认情况。若申购不成功，则申购款项本金退还给投资人。</w:t>
      </w:r>
    </w:p>
    <w:p w14:paraId="3C762C0C"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因投资人</w:t>
      </w:r>
      <w:proofErr w:type="gramStart"/>
      <w:r>
        <w:rPr>
          <w:rFonts w:asciiTheme="minorEastAsia" w:hAnsiTheme="minorEastAsia" w:cs="Arial" w:hint="eastAsia"/>
          <w:sz w:val="24"/>
          <w:szCs w:val="24"/>
        </w:rPr>
        <w:t>怠</w:t>
      </w:r>
      <w:proofErr w:type="gramEnd"/>
      <w:r>
        <w:rPr>
          <w:rFonts w:asciiTheme="minorEastAsia" w:hAnsiTheme="minorEastAsia" w:cs="Arial" w:hint="eastAsia"/>
          <w:sz w:val="24"/>
          <w:szCs w:val="24"/>
        </w:rPr>
        <w:t>于履行该项查询等各项义务，致使其相关权益受损的，基金管理人、基金托管人、基金销售机构不承担由此造成的损失或不利后果。</w:t>
      </w:r>
    </w:p>
    <w:p w14:paraId="1C84ABCB" w14:textId="77777777" w:rsidR="009214AE" w:rsidRDefault="00C66335">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基金管理人可以在法律法规允许的范围内，对上述申购和赎回申请的确认时间进行调整，并必须在调整实施日前按照《信息披露办法》的有关规定在规定媒介上公告。</w:t>
      </w:r>
    </w:p>
    <w:p w14:paraId="28BF3FA6" w14:textId="77777777" w:rsidR="009214AE" w:rsidRDefault="00C66335">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五、申购与赎回的数量限制</w:t>
      </w:r>
    </w:p>
    <w:p w14:paraId="4BF97FEC"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A类基金份额，首次单笔最低申购金额为人民币1.00元，追加申购单笔最低金额为人民币1.00元（含申购费，下同）。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p>
    <w:p w14:paraId="3DAD588D"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3E2AEE91"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100F063F"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2B6F6300"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5、基金管理人可在法律法规允许的情况下，调整上述规定申购金额和赎回份额等数量限制。基金管理人必须在调整实施前依照《信息披露办法》的有关规定在规定媒介上公告。</w:t>
      </w:r>
    </w:p>
    <w:p w14:paraId="6B35AEBF" w14:textId="77777777" w:rsidR="009214AE" w:rsidRDefault="00C66335">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lastRenderedPageBreak/>
        <w:t>六、申购费用、赎回费用</w:t>
      </w:r>
    </w:p>
    <w:p w14:paraId="057DB4A0"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42870C81" w14:textId="77777777" w:rsidR="009214AE" w:rsidRDefault="00C66335">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类基金份额申购均采用金额申购方式，申购费率如下表。投资者在一天之内如果有多笔申购，适用费率按单笔分别计算。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9214AE" w14:paraId="2311F03A"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1F79B69" w14:textId="77777777" w:rsidR="009214AE" w:rsidRDefault="00C66335">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9214AE" w14:paraId="7AD692F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23995D3" w14:textId="77777777" w:rsidR="009214AE" w:rsidRDefault="00C6633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6356E54" w14:textId="77777777" w:rsidR="009214AE" w:rsidRDefault="00C6633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9214AE" w14:paraId="346E0238"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4CFECDD" w14:textId="77777777" w:rsidR="009214AE" w:rsidRDefault="00C66335">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M＜50万元</w:t>
            </w:r>
          </w:p>
        </w:tc>
        <w:tc>
          <w:tcPr>
            <w:tcW w:w="4430" w:type="dxa"/>
            <w:tcBorders>
              <w:top w:val="single" w:sz="4" w:space="0" w:color="auto"/>
              <w:left w:val="single" w:sz="4" w:space="0" w:color="auto"/>
              <w:bottom w:val="single" w:sz="4" w:space="0" w:color="auto"/>
              <w:right w:val="single" w:sz="4" w:space="0" w:color="auto"/>
            </w:tcBorders>
          </w:tcPr>
          <w:p w14:paraId="07BE8E84" w14:textId="77777777" w:rsidR="009214AE" w:rsidRDefault="00C66335">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9214AE" w14:paraId="4217E9B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57F4E2" w14:textId="77777777" w:rsidR="009214AE" w:rsidRDefault="00C66335">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50万元≤M＜100万元</w:t>
            </w:r>
          </w:p>
        </w:tc>
        <w:tc>
          <w:tcPr>
            <w:tcW w:w="4430" w:type="dxa"/>
            <w:tcBorders>
              <w:top w:val="single" w:sz="4" w:space="0" w:color="auto"/>
              <w:left w:val="single" w:sz="4" w:space="0" w:color="auto"/>
              <w:bottom w:val="single" w:sz="4" w:space="0" w:color="auto"/>
              <w:right w:val="single" w:sz="4" w:space="0" w:color="auto"/>
            </w:tcBorders>
          </w:tcPr>
          <w:p w14:paraId="785A7A6F" w14:textId="77777777" w:rsidR="009214AE" w:rsidRDefault="00C66335">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9214AE" w14:paraId="4A4CC6EE"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A6EC36A" w14:textId="77777777" w:rsidR="009214AE" w:rsidRDefault="00C66335">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14:paraId="764B857B" w14:textId="77777777" w:rsidR="009214AE" w:rsidRDefault="00C66335">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0.50%</w:t>
            </w:r>
          </w:p>
        </w:tc>
      </w:tr>
      <w:tr w:rsidR="009214AE" w14:paraId="2FFB2FFC"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E786D0D" w14:textId="77777777" w:rsidR="009214AE" w:rsidRDefault="00C66335">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6CFC8EB2" w14:textId="77777777" w:rsidR="009214AE" w:rsidRDefault="00C66335">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9214AE" w14:paraId="2ECE969A"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526CB0FC" w14:textId="77777777" w:rsidR="009214AE" w:rsidRDefault="00C66335">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9214AE" w14:paraId="7C15872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467470BB" w14:textId="77777777" w:rsidR="009214AE" w:rsidRDefault="00C66335">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60EEDF79" w14:textId="77777777" w:rsidR="009214AE" w:rsidRDefault="009214AE">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47000BFC" w14:textId="77777777" w:rsidR="009214AE" w:rsidRDefault="00C66335">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hint="eastAsia"/>
          <w:bCs/>
          <w:color w:val="000000"/>
          <w:sz w:val="24"/>
        </w:rPr>
        <w:t>A</w:t>
      </w:r>
      <w:r>
        <w:rPr>
          <w:rFonts w:hint="eastAsia"/>
          <w:bCs/>
          <w:color w:val="000000"/>
          <w:sz w:val="24"/>
        </w:rPr>
        <w:t>类基金份额</w:t>
      </w:r>
      <w:r>
        <w:rPr>
          <w:bCs/>
          <w:color w:val="000000"/>
          <w:sz w:val="24"/>
        </w:rPr>
        <w:t>的</w:t>
      </w:r>
      <w:r>
        <w:rPr>
          <w:rFonts w:asciiTheme="minorEastAsia" w:hAnsiTheme="minorEastAsia" w:cs="Arial" w:hint="eastAsia"/>
          <w:sz w:val="24"/>
          <w:szCs w:val="24"/>
        </w:rPr>
        <w:t>申购费用由申购</w:t>
      </w:r>
      <w:r>
        <w:rPr>
          <w:rFonts w:hint="eastAsia"/>
          <w:bCs/>
          <w:color w:val="000000"/>
          <w:sz w:val="24"/>
        </w:rPr>
        <w:t>A</w:t>
      </w:r>
      <w:r>
        <w:rPr>
          <w:rFonts w:hint="eastAsia"/>
          <w:bCs/>
          <w:color w:val="000000"/>
          <w:sz w:val="24"/>
        </w:rPr>
        <w:t>类</w:t>
      </w:r>
      <w:r>
        <w:rPr>
          <w:rFonts w:asciiTheme="minorEastAsia" w:hAnsiTheme="minorEastAsia" w:cs="Arial" w:hint="eastAsia"/>
          <w:sz w:val="24"/>
          <w:szCs w:val="24"/>
        </w:rPr>
        <w:t>基金份额的投资人承担，不列入基金资产，主要用于本基金的市场推广、销售、登记等各项费用。本基金</w:t>
      </w:r>
      <w:r>
        <w:rPr>
          <w:rFonts w:hint="eastAsia"/>
          <w:bCs/>
          <w:color w:val="000000"/>
          <w:sz w:val="24"/>
        </w:rPr>
        <w:t xml:space="preserve">C </w:t>
      </w:r>
      <w:r>
        <w:rPr>
          <w:rFonts w:hint="eastAsia"/>
          <w:bCs/>
          <w:color w:val="000000"/>
          <w:sz w:val="24"/>
        </w:rPr>
        <w:t>类基金份额不收取申购费用</w:t>
      </w:r>
      <w:r>
        <w:rPr>
          <w:bCs/>
          <w:sz w:val="24"/>
        </w:rPr>
        <w:t>。</w:t>
      </w:r>
    </w:p>
    <w:p w14:paraId="67D89305"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7A8D03CD"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9214AE" w14:paraId="2818C55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D7B946" w14:textId="77777777" w:rsidR="009214AE" w:rsidRDefault="00C66335">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04EB7831" w14:textId="77777777" w:rsidR="009214AE" w:rsidRDefault="00C66335">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86EA765" w14:textId="77777777" w:rsidR="009214AE" w:rsidRDefault="00C66335">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9214AE" w14:paraId="0AEBA198"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957EA9B" w14:textId="77777777" w:rsidR="009214AE" w:rsidRDefault="00C6633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1CD01F24" w14:textId="77777777" w:rsidR="009214AE" w:rsidRDefault="00C6633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774771F4" w14:textId="77777777" w:rsidR="009214AE" w:rsidRDefault="00C66335">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9214AE" w14:paraId="0CE874B3"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CA2F2C1" w14:textId="77777777" w:rsidR="009214AE" w:rsidRDefault="00C6633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24781DF" w14:textId="77777777" w:rsidR="009214AE" w:rsidRDefault="00C6633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6C4E24D8" w14:textId="77777777" w:rsidR="009214AE" w:rsidRDefault="00C66335">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9214AE" w14:paraId="354C787D"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4CD19ED0" w14:textId="77777777" w:rsidR="009214AE" w:rsidRDefault="00C6633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20C67CB6" w14:textId="77777777" w:rsidR="009214AE" w:rsidRDefault="00C6633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79AB2236" w14:textId="77777777" w:rsidR="009214AE" w:rsidRDefault="00C66335">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9214AE" w14:paraId="06B3991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1B72B73" w14:textId="77777777" w:rsidR="009214AE" w:rsidRDefault="00C6633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7B0AC506" w14:textId="77777777" w:rsidR="009214AE" w:rsidRDefault="00C66335">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673566BF" w14:textId="77777777" w:rsidR="009214AE" w:rsidRDefault="00C66335">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3303AEF7" w14:textId="77777777" w:rsidR="009214AE" w:rsidRDefault="009214AE">
      <w:pPr>
        <w:adjustRightInd w:val="0"/>
        <w:snapToGrid w:val="0"/>
        <w:spacing w:line="360" w:lineRule="auto"/>
        <w:rPr>
          <w:rFonts w:asciiTheme="minorEastAsia" w:hAnsiTheme="minorEastAsia" w:cs="Arial" w:hint="eastAsia"/>
          <w:sz w:val="24"/>
          <w:szCs w:val="24"/>
        </w:rPr>
      </w:pPr>
    </w:p>
    <w:p w14:paraId="2F5BFD64"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7714BFFD"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w:t>
      </w:r>
      <w:r>
        <w:rPr>
          <w:rFonts w:asciiTheme="minorEastAsia" w:hAnsiTheme="minorEastAsia" w:cs="Arial" w:hint="eastAsia"/>
          <w:sz w:val="24"/>
          <w:szCs w:val="24"/>
        </w:rPr>
        <w:lastRenderedPageBreak/>
        <w:t>财产。上述未纳入基金财产的赎回费用于支付登记费和其他必要的手续费。（注：1个月按30日计算）</w:t>
      </w:r>
    </w:p>
    <w:p w14:paraId="721644DE"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5B5CF182" w14:textId="77777777" w:rsidR="009214AE" w:rsidRDefault="00C66335">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销售费率并另行公告。</w:t>
      </w:r>
    </w:p>
    <w:p w14:paraId="17A9E19E" w14:textId="77777777" w:rsidR="009214AE" w:rsidRDefault="00C66335">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6B41389F"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40261DE1"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11550CCB"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06D8893D"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3C159332"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 日A类基金份额净值</w:t>
      </w:r>
    </w:p>
    <w:p w14:paraId="22BCBB2F"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3D65C1A2"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03C2293D"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4AB4C447"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13DABDB3"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49AC30B4"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w:t>
      </w:r>
      <w:r>
        <w:rPr>
          <w:rFonts w:asciiTheme="minorEastAsia" w:hAnsiTheme="minorEastAsia" w:cs="Arial"/>
          <w:sz w:val="24"/>
          <w:szCs w:val="24"/>
        </w:rPr>
        <w:t>0</w:t>
      </w:r>
      <w:r>
        <w:rPr>
          <w:rFonts w:asciiTheme="minorEastAsia" w:hAnsiTheme="minorEastAsia" w:cs="Arial" w:hint="eastAsia"/>
          <w:sz w:val="24"/>
          <w:szCs w:val="24"/>
        </w:rPr>
        <w:t>%，假定申购当日A类基金份额净值为1.0500元，则可得到的申购份额为：</w:t>
      </w:r>
    </w:p>
    <w:p w14:paraId="6DD53777"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w:t>
      </w:r>
      <w:r>
        <w:rPr>
          <w:rFonts w:asciiTheme="minorEastAsia" w:hAnsiTheme="minorEastAsia" w:cs="Arial"/>
          <w:sz w:val="24"/>
          <w:szCs w:val="24"/>
        </w:rPr>
        <w:t>0</w:t>
      </w:r>
      <w:r>
        <w:rPr>
          <w:rFonts w:asciiTheme="minorEastAsia" w:hAnsiTheme="minorEastAsia" w:cs="Arial" w:hint="eastAsia"/>
          <w:sz w:val="24"/>
          <w:szCs w:val="24"/>
        </w:rPr>
        <w:t>%)＝49,261.08元</w:t>
      </w:r>
    </w:p>
    <w:p w14:paraId="27BDB46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33BEF471"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3FB453CA"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03FF43D4"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72D9CE84"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申购份额＝申购金额/T日C类基金份额净值</w:t>
      </w:r>
    </w:p>
    <w:p w14:paraId="28D48821"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7C771C4C"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0085864D"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w:t>
      </w:r>
      <w:r>
        <w:rPr>
          <w:rFonts w:asciiTheme="minorEastAsia" w:hAnsiTheme="minorEastAsia" w:cs="Arial"/>
          <w:sz w:val="24"/>
          <w:szCs w:val="24"/>
        </w:rPr>
        <w:t>4065040.65</w:t>
      </w:r>
      <w:r>
        <w:rPr>
          <w:rFonts w:asciiTheme="minorEastAsia" w:hAnsiTheme="minorEastAsia" w:cs="Arial" w:hint="eastAsia"/>
          <w:sz w:val="24"/>
          <w:szCs w:val="24"/>
        </w:rPr>
        <w:t>份</w:t>
      </w:r>
    </w:p>
    <w:p w14:paraId="1D7DE0A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w:t>
      </w:r>
      <w:r>
        <w:rPr>
          <w:rFonts w:asciiTheme="minorEastAsia" w:hAnsiTheme="minorEastAsia" w:cs="Arial"/>
          <w:sz w:val="24"/>
          <w:szCs w:val="24"/>
        </w:rPr>
        <w:t>3</w:t>
      </w:r>
      <w:r>
        <w:rPr>
          <w:rFonts w:asciiTheme="minorEastAsia" w:hAnsiTheme="minorEastAsia" w:cs="Arial" w:hint="eastAsia"/>
          <w:sz w:val="24"/>
          <w:szCs w:val="24"/>
        </w:rPr>
        <w:t>00元，可得到</w:t>
      </w: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sz w:val="24"/>
          <w:szCs w:val="24"/>
        </w:rPr>
        <w:t>065</w:t>
      </w:r>
      <w:r>
        <w:rPr>
          <w:rFonts w:asciiTheme="minorEastAsia" w:hAnsiTheme="minorEastAsia" w:cs="Arial" w:hint="eastAsia"/>
          <w:sz w:val="24"/>
          <w:szCs w:val="24"/>
        </w:rPr>
        <w:t>,</w:t>
      </w:r>
      <w:r>
        <w:rPr>
          <w:rFonts w:asciiTheme="minorEastAsia" w:hAnsiTheme="minorEastAsia" w:cs="Arial"/>
          <w:sz w:val="24"/>
          <w:szCs w:val="24"/>
        </w:rPr>
        <w:t>040.65</w:t>
      </w:r>
      <w:r>
        <w:rPr>
          <w:rFonts w:asciiTheme="minorEastAsia" w:hAnsiTheme="minorEastAsia" w:cs="Arial" w:hint="eastAsia"/>
          <w:sz w:val="24"/>
          <w:szCs w:val="24"/>
        </w:rPr>
        <w:t>份C类基金份额。</w:t>
      </w:r>
    </w:p>
    <w:p w14:paraId="01207F14"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3、赎回金额的计算方式：</w:t>
      </w:r>
    </w:p>
    <w:p w14:paraId="56B7CC6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6429CBCC"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27C312B"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61771337"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30290198"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日，赎回费率为</w:t>
      </w:r>
      <w:r>
        <w:rPr>
          <w:rFonts w:asciiTheme="minorEastAsia" w:hAnsiTheme="minorEastAsia" w:cs="Arial"/>
          <w:sz w:val="24"/>
          <w:szCs w:val="24"/>
        </w:rPr>
        <w:t>0.50%</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302EEB2D"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1300F7B7"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0.50% = 53.40 </w:t>
      </w:r>
      <w:r>
        <w:rPr>
          <w:rFonts w:asciiTheme="minorEastAsia" w:hAnsiTheme="minorEastAsia" w:cs="Arial" w:hint="eastAsia"/>
          <w:sz w:val="24"/>
          <w:szCs w:val="24"/>
        </w:rPr>
        <w:t>元</w:t>
      </w:r>
    </w:p>
    <w:p w14:paraId="272BDD35"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58D1F6CB"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类基金份额且持有时间为9</w:t>
      </w:r>
      <w:r>
        <w:rPr>
          <w:rFonts w:asciiTheme="minorEastAsia" w:hAnsiTheme="minorEastAsia" w:cs="Arial"/>
          <w:sz w:val="24"/>
          <w:szCs w:val="24"/>
        </w:rPr>
        <w:t>0</w:t>
      </w:r>
      <w:r>
        <w:rPr>
          <w:rFonts w:asciiTheme="minorEastAsia" w:hAnsiTheme="minorEastAsia" w:cs="Arial" w:hint="eastAsia"/>
          <w:sz w:val="24"/>
          <w:szCs w:val="24"/>
        </w:rPr>
        <w:t>日，假设赎回申请当日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9F5C0F6"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w:t>
      </w:r>
      <w:r>
        <w:rPr>
          <w:rFonts w:asciiTheme="minorEastAsia" w:hAnsiTheme="minorEastAsia" w:cs="Arial"/>
          <w:sz w:val="24"/>
          <w:szCs w:val="24"/>
        </w:rPr>
        <w:t>0</w:t>
      </w:r>
      <w:r>
        <w:rPr>
          <w:rFonts w:asciiTheme="minorEastAsia" w:hAnsiTheme="minorEastAsia" w:cs="Arial" w:hint="eastAsia"/>
          <w:sz w:val="24"/>
          <w:szCs w:val="24"/>
        </w:rPr>
        <w:t>%，假设赎回当日C类基金份额净值是1.0680元，则其可得到的赎回金额为：</w:t>
      </w:r>
    </w:p>
    <w:p w14:paraId="33F85078"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w:t>
      </w:r>
      <w:r>
        <w:rPr>
          <w:rFonts w:asciiTheme="minorEastAsia" w:hAnsiTheme="minorEastAsia" w:cs="Arial"/>
          <w:sz w:val="24"/>
          <w:szCs w:val="24"/>
        </w:rPr>
        <w:t>.00</w:t>
      </w:r>
      <w:r>
        <w:rPr>
          <w:rFonts w:asciiTheme="minorEastAsia" w:hAnsiTheme="minorEastAsia" w:cs="Arial" w:hint="eastAsia"/>
          <w:sz w:val="24"/>
          <w:szCs w:val="24"/>
        </w:rPr>
        <w:t>元</w:t>
      </w:r>
    </w:p>
    <w:p w14:paraId="5833E0C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w:t>
      </w:r>
      <w:r>
        <w:rPr>
          <w:rFonts w:asciiTheme="minorEastAsia" w:hAnsiTheme="minorEastAsia" w:cs="Arial"/>
          <w:sz w:val="24"/>
          <w:szCs w:val="24"/>
        </w:rPr>
        <w:t>0</w:t>
      </w:r>
      <w:r>
        <w:rPr>
          <w:rFonts w:asciiTheme="minorEastAsia" w:hAnsiTheme="minorEastAsia" w:cs="Arial" w:hint="eastAsia"/>
          <w:sz w:val="24"/>
          <w:szCs w:val="24"/>
        </w:rPr>
        <w:t>%=53.40元</w:t>
      </w:r>
    </w:p>
    <w:p w14:paraId="59436D03"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0AB9FECF"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即：投资人赎回本基金10,000份C类基金份额，持有期限为20日，假设赎回当日本基金C类基金份额净值是1.0680元，则其可得到的净赎回金额为10,626.60元。</w:t>
      </w:r>
    </w:p>
    <w:p w14:paraId="1C710233"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类基金份额分别设置代码，分别计算和公告基金份额净值和基金份额累计净值。</w:t>
      </w:r>
      <w:r>
        <w:rPr>
          <w:rFonts w:asciiTheme="minorEastAsia" w:hAnsiTheme="minorEastAsia" w:cs="Times New Roman" w:hint="eastAsia"/>
          <w:sz w:val="24"/>
          <w:szCs w:val="24"/>
        </w:rPr>
        <w:t>本基金各类基金份额净值的计算，保留到小数点后4位，小数点后第5位四舍五入，由此产生的收益或损失由基金财产承担。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日的各类基金份额净值在当天收市后计算，并在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日内公告。遇特殊情况，经履行适当程序，可以适当延迟计算或公告。</w:t>
      </w:r>
    </w:p>
    <w:p w14:paraId="366E1E71" w14:textId="77777777" w:rsidR="009214AE" w:rsidRDefault="00C66335">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3992AC91"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AF31682"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6AB35F47"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7E5B0FC4" w14:textId="77777777" w:rsidR="009214AE" w:rsidRDefault="00C66335">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0678BE67"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612D33FB"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1、因不可抗力导致基金无法正常运作。</w:t>
      </w:r>
    </w:p>
    <w:p w14:paraId="1E3017BA"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360AF17E"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5CDF4E15"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4、接受某笔或某些申购申请可能会影响或损害现有基金份额持有人利益时。</w:t>
      </w:r>
    </w:p>
    <w:p w14:paraId="7DC35743"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49F7AB2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6、申购申请超过基金管理人设定的单日净申购比例上限、单一投资者单日或单笔申购金额上限的情形。</w:t>
      </w:r>
    </w:p>
    <w:p w14:paraId="3D6E2D9E"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7、基金管理人接受某笔或者某些申购申请或基金转换</w:t>
      </w:r>
      <w:proofErr w:type="gramStart"/>
      <w:r>
        <w:rPr>
          <w:rFonts w:asciiTheme="minorEastAsia" w:hAnsiTheme="minorEastAsia" w:cs="Arial" w:hint="eastAsia"/>
          <w:sz w:val="24"/>
          <w:szCs w:val="24"/>
        </w:rPr>
        <w:t>入申请</w:t>
      </w:r>
      <w:proofErr w:type="gramEnd"/>
      <w:r>
        <w:rPr>
          <w:rFonts w:asciiTheme="minorEastAsia" w:hAnsiTheme="minorEastAsia" w:cs="Arial" w:hint="eastAsia"/>
          <w:sz w:val="24"/>
          <w:szCs w:val="24"/>
        </w:rPr>
        <w:t>有可能导致单</w:t>
      </w:r>
      <w:r>
        <w:rPr>
          <w:rFonts w:asciiTheme="minorEastAsia" w:hAnsiTheme="minorEastAsia" w:cs="Arial" w:hint="eastAsia"/>
          <w:sz w:val="24"/>
          <w:szCs w:val="24"/>
        </w:rPr>
        <w:lastRenderedPageBreak/>
        <w:t>一投资者（基金管理人或其高级管理人员、基金经理等作为发起资金提供方除外）持有基金份额的比例达到或者超过基金份额总数的50%，或者变相规避50%集中度的情形。</w:t>
      </w:r>
    </w:p>
    <w:p w14:paraId="46D8EB8D"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8</w:t>
      </w:r>
      <w:r>
        <w:rPr>
          <w:rFonts w:asciiTheme="minorEastAsia" w:hAnsiTheme="minorEastAsia" w:cs="Arial" w:hint="eastAsia"/>
          <w:sz w:val="24"/>
          <w:szCs w:val="24"/>
        </w:rPr>
        <w:t>、当前一估值日基金资产净值50%以上的资产出现无可参考的活跃市场价格且采用估值技术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公允价值存在重大不确定性时，经与基金托管人协商确认后，基金管理人应当暂停接受基金申购申请。</w:t>
      </w:r>
    </w:p>
    <w:p w14:paraId="0AD1624F"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9、基金管理人、基金托管人、基金销售机构或登记机构的异常情况导致基金销售系统、基金登记系统或基金会计系统无法正常运行。</w:t>
      </w:r>
    </w:p>
    <w:p w14:paraId="1DB51B43"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47E3936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发生上述第1、2、3、5、8、</w:t>
      </w:r>
      <w:r>
        <w:rPr>
          <w:rFonts w:asciiTheme="minorEastAsia" w:hAnsiTheme="minorEastAsia" w:cs="Arial"/>
          <w:sz w:val="24"/>
          <w:szCs w:val="24"/>
        </w:rPr>
        <w:t>9、</w:t>
      </w:r>
      <w:r>
        <w:rPr>
          <w:rFonts w:asciiTheme="minorEastAsia" w:hAnsiTheme="minorEastAsia" w:cs="Arial" w:hint="eastAsia"/>
          <w:sz w:val="24"/>
          <w:szCs w:val="24"/>
        </w:rPr>
        <w:t>1</w:t>
      </w:r>
      <w:r>
        <w:rPr>
          <w:rFonts w:asciiTheme="minorEastAsia" w:hAnsiTheme="minorEastAsia" w:cs="Arial"/>
          <w:sz w:val="24"/>
          <w:szCs w:val="24"/>
        </w:rPr>
        <w:t>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媒介上刊登暂停申购公告。如果投资人的申购申请全部或部分被拒绝，被拒绝的申购款项将退还给投资人。在暂停申购的情况消除时，基金管理人应及时恢复申购业务的办理。</w:t>
      </w:r>
    </w:p>
    <w:p w14:paraId="009AF439" w14:textId="77777777" w:rsidR="009214AE" w:rsidRDefault="00C66335">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w:t>
      </w:r>
    </w:p>
    <w:p w14:paraId="5397D059" w14:textId="77777777" w:rsidR="009214AE" w:rsidRDefault="00C66335">
      <w:pPr>
        <w:widowControl/>
        <w:spacing w:line="360" w:lineRule="auto"/>
        <w:ind w:firstLineChars="200" w:firstLine="480"/>
        <w:jc w:val="left"/>
        <w:rPr>
          <w:rFonts w:asciiTheme="minorEastAsia" w:hAnsiTheme="minorEastAsia" w:cs="Arial" w:hint="eastAsia"/>
          <w:sz w:val="24"/>
          <w:szCs w:val="24"/>
        </w:rPr>
      </w:pPr>
      <w:bookmarkStart w:id="184" w:name="_Toc416264545"/>
      <w:bookmarkStart w:id="185" w:name="_Toc739"/>
      <w:bookmarkStart w:id="186" w:name="_Toc32092"/>
      <w:bookmarkStart w:id="187" w:name="_Toc79392622"/>
      <w:bookmarkStart w:id="188" w:name="_Toc123051456"/>
      <w:bookmarkStart w:id="189" w:name="_Toc139991740"/>
      <w:bookmarkStart w:id="190" w:name="_Toc123102457"/>
      <w:bookmarkStart w:id="191" w:name="_Toc29408"/>
      <w:bookmarkStart w:id="192" w:name="_Toc98560356"/>
      <w:bookmarkStart w:id="193" w:name="_Toc352229756"/>
      <w:bookmarkStart w:id="194" w:name="_Toc32584"/>
      <w:bookmarkStart w:id="195" w:name="_Toc48649708"/>
      <w:bookmarkStart w:id="196" w:name="_Toc141703890"/>
      <w:bookmarkStart w:id="197" w:name="_Toc17198"/>
      <w:bookmarkStart w:id="198" w:name="_Toc3329"/>
      <w:bookmarkStart w:id="199" w:name="_Toc21237"/>
      <w:bookmarkStart w:id="200" w:name="_Toc20976"/>
      <w:bookmarkStart w:id="201" w:name="_Toc123112238"/>
      <w:bookmarkStart w:id="202" w:name="_Toc17920"/>
      <w:bookmarkStart w:id="203" w:name="_Toc8791"/>
      <w:bookmarkStart w:id="204" w:name="_Toc5170"/>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r>
        <w:rPr>
          <w:rFonts w:asciiTheme="minorEastAsia" w:hAnsiTheme="minorEastAsia" w:cs="Arial" w:hint="eastAsia"/>
          <w:sz w:val="24"/>
          <w:szCs w:val="24"/>
        </w:rPr>
        <w:t>发生下列情形时，基金管理人可暂停接受投资人的赎回申请或延缓支付赎回款项：</w:t>
      </w:r>
    </w:p>
    <w:p w14:paraId="0220D588"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1、因不可抗力导致基金管理人不能支付赎回款项。</w:t>
      </w:r>
    </w:p>
    <w:p w14:paraId="40AC7043"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325B9A7A"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7F420685"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2301121B"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5、发生继续接受赎回申请将损害现有基金份额持有人利益的情形时。</w:t>
      </w:r>
    </w:p>
    <w:p w14:paraId="7B205DF6"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公允价值存在重大不确定性时，经与基金托管人协商确认后，基金管理人应当延缓支付赎回款项或暂停接受基金赎回申请。</w:t>
      </w:r>
    </w:p>
    <w:p w14:paraId="23C1A380"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56AA2629"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w:t>
      </w:r>
      <w:r>
        <w:rPr>
          <w:rFonts w:asciiTheme="minorEastAsia" w:hAnsiTheme="minorEastAsia" w:cs="Arial" w:hint="eastAsia"/>
          <w:sz w:val="24"/>
          <w:szCs w:val="24"/>
        </w:rPr>
        <w:lastRenderedPageBreak/>
        <w:t>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5886E9BB" w14:textId="77777777" w:rsidR="009214AE" w:rsidRDefault="00C6633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4AC187EB"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7D882C2B"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6C1359BE"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3D66AC0F"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26E393CB"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03A98C25"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p>
    <w:p w14:paraId="1A72202A"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若本基金发生巨额赎回、在单个开放日内单个基金份额持有人申请赎回的基金份额超过上一开放日基金总份额20%的情形下，基金管理人有权对于该基金份额持有人当日超过上一开放日基金总份额20%以上的那部分赎回申请进</w:t>
      </w:r>
      <w:r>
        <w:rPr>
          <w:rFonts w:asciiTheme="minorEastAsia" w:hAnsiTheme="minorEastAsia" w:cs="Arial" w:hint="eastAsia"/>
          <w:sz w:val="24"/>
          <w:szCs w:val="24"/>
        </w:rPr>
        <w:lastRenderedPageBreak/>
        <w:t>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2748B1FE"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媒介上进行公告。</w:t>
      </w:r>
    </w:p>
    <w:p w14:paraId="2AE122BC"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19FE4863"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触发“（2）部分延期赎回”情形时，基金管理人应当通过邮寄、传真或者招募说明书规定的其他方式在3个交易日内通知基金份额持有人，说明有关处理方法，并依照《信息披露办法》的有关规定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媒介上刊登公告。</w:t>
      </w:r>
    </w:p>
    <w:p w14:paraId="4B2BB962" w14:textId="77777777" w:rsidR="009214AE" w:rsidRDefault="00C6633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6773C003"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1、发生上述暂停申购或赎回情况的，基金管理人应在规定期限内在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媒介上刊登暂停公告。</w:t>
      </w:r>
    </w:p>
    <w:p w14:paraId="5E9A2401"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2、如发生暂停的时间为1日，基金管理人应于重新开放日，在</w:t>
      </w:r>
      <w:r>
        <w:rPr>
          <w:rFonts w:asciiTheme="minorEastAsia" w:hAnsiTheme="minorEastAsia" w:cs="Times New Roman" w:hint="eastAsia"/>
          <w:sz w:val="24"/>
          <w:szCs w:val="24"/>
        </w:rPr>
        <w:t>规定</w:t>
      </w:r>
      <w:r>
        <w:rPr>
          <w:rFonts w:asciiTheme="minorEastAsia" w:hAnsiTheme="minorEastAsia" w:cs="Arial" w:hint="eastAsia"/>
          <w:sz w:val="24"/>
          <w:szCs w:val="24"/>
        </w:rPr>
        <w:t>媒介上刊登基金重新开放申购或赎回公告，并公布最近1个开放日的各类基金份额净值。</w:t>
      </w:r>
    </w:p>
    <w:p w14:paraId="5A64304D"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3、如发生暂停的时间超过1 日，基金管理人可以根据暂停申购或赎回的时间，依照《信息披露办法》的有关规定，最迟于重新开放日在</w:t>
      </w:r>
      <w:r>
        <w:rPr>
          <w:rFonts w:asciiTheme="minorEastAsia" w:hAnsiTheme="minorEastAsia" w:cs="Times New Roman" w:hint="eastAsia"/>
          <w:sz w:val="24"/>
          <w:szCs w:val="24"/>
        </w:rPr>
        <w:t>规定</w:t>
      </w:r>
      <w:r>
        <w:rPr>
          <w:rFonts w:asciiTheme="minorEastAsia" w:hAnsiTheme="minorEastAsia" w:cs="Arial" w:hint="eastAsia"/>
          <w:sz w:val="24"/>
          <w:szCs w:val="24"/>
        </w:rPr>
        <w:t xml:space="preserve">媒介刊登基金重新开放申购或赎回的公告，并在重新开始办理申购或赎回的开放日公告最近1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工作日的各类基金份额净值；也可以根据实际情况在暂停公告中明确重新开放申购或赎回的时间，届时不再另行发布重新开放的公告。</w:t>
      </w:r>
    </w:p>
    <w:p w14:paraId="509DD011" w14:textId="77777777" w:rsidR="009214AE" w:rsidRDefault="00C6633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5143EAB3"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358FBCA7" w14:textId="77777777" w:rsidR="009214AE" w:rsidRDefault="00C6633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66453486"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lastRenderedPageBreak/>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过户或者按照相关法律法规或国家有权机关要求的方式进行处理的行为。无论在上述何种情况下，接受划转的主体必须是依法可以持有本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07FCDB10"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0A6CBB40" w14:textId="77777777" w:rsidR="009214AE" w:rsidRDefault="00C6633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十五、基金的转托管</w:t>
      </w:r>
    </w:p>
    <w:p w14:paraId="08582FD7"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A2FF750" w14:textId="77777777" w:rsidR="009214AE" w:rsidRDefault="00C6633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十六、定期定额投资计划</w:t>
      </w:r>
    </w:p>
    <w:p w14:paraId="5D2F9858"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05F45179" w14:textId="77777777" w:rsidR="009214AE" w:rsidRDefault="00C6633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十七、基金份额的冻结和解冻</w:t>
      </w:r>
    </w:p>
    <w:p w14:paraId="08E638D8"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基金份额的冻结手续、冻结方式按照基金登记机构的相关规定办理。基金份额被冻结的，被冻结部分产生的权益按照法律法规及国家有权机关的要求以及基金登记机构业务规定来处理。</w:t>
      </w:r>
    </w:p>
    <w:p w14:paraId="031F7E8E" w14:textId="77777777" w:rsidR="009214AE" w:rsidRDefault="00C6633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十八、基金份额的转让</w:t>
      </w:r>
    </w:p>
    <w:p w14:paraId="6A46B705"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Pr>
          <w:rFonts w:asciiTheme="minorEastAsia" w:hAnsiTheme="minorEastAsia" w:cs="Times New Roman" w:hint="eastAsia"/>
          <w:sz w:val="24"/>
          <w:szCs w:val="24"/>
        </w:rPr>
        <w:t>规</w:t>
      </w:r>
      <w:r>
        <w:rPr>
          <w:rFonts w:asciiTheme="minorEastAsia" w:hAnsiTheme="minorEastAsia" w:cs="Times New Roman" w:hint="eastAsia"/>
          <w:sz w:val="24"/>
          <w:szCs w:val="24"/>
        </w:rPr>
        <w:lastRenderedPageBreak/>
        <w:t>定</w:t>
      </w:r>
      <w:r>
        <w:rPr>
          <w:rFonts w:asciiTheme="minorEastAsia" w:hAnsiTheme="minorEastAsia" w:cs="Arial" w:hint="eastAsia"/>
          <w:sz w:val="24"/>
          <w:szCs w:val="24"/>
        </w:rPr>
        <w:t>媒介公告相关的业务规则，基金份额持有人应根据基金管理人届时公告的业务规则办理基金份额转让业务。</w:t>
      </w:r>
    </w:p>
    <w:p w14:paraId="35E825D1" w14:textId="77777777" w:rsidR="009214AE" w:rsidRDefault="00C66335">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25FF9C18" w14:textId="77777777" w:rsidR="009214AE" w:rsidRDefault="00C66335">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的，本基金的申购和赎回安排详见本招募说明书“侧袋机制”部分的规定或相关公告。</w:t>
      </w:r>
    </w:p>
    <w:p w14:paraId="5A13FE0A" w14:textId="77777777" w:rsidR="009214AE" w:rsidRDefault="00C66335">
      <w:pPr>
        <w:widowControl/>
        <w:jc w:val="left"/>
        <w:rPr>
          <w:rFonts w:asciiTheme="minorEastAsia" w:hAnsiTheme="minorEastAsia" w:cs="Arial" w:hint="eastAsia"/>
          <w:sz w:val="24"/>
          <w:szCs w:val="24"/>
        </w:rPr>
      </w:pPr>
      <w:r>
        <w:rPr>
          <w:rFonts w:asciiTheme="minorEastAsia" w:hAnsiTheme="minorEastAsia" w:cs="Arial"/>
          <w:sz w:val="24"/>
          <w:szCs w:val="24"/>
        </w:rPr>
        <w:br w:type="page"/>
      </w:r>
    </w:p>
    <w:p w14:paraId="4C059DC0" w14:textId="77777777" w:rsidR="009214AE" w:rsidRDefault="00C66335">
      <w:pPr>
        <w:pStyle w:val="1"/>
        <w:jc w:val="center"/>
        <w:rPr>
          <w:sz w:val="30"/>
          <w:szCs w:val="30"/>
        </w:rPr>
      </w:pPr>
      <w:bookmarkStart w:id="205" w:name="_Toc164429422"/>
      <w:r>
        <w:rPr>
          <w:rFonts w:hint="eastAsia"/>
          <w:sz w:val="30"/>
          <w:szCs w:val="30"/>
        </w:rPr>
        <w:lastRenderedPageBreak/>
        <w:t>第九部分</w:t>
      </w:r>
      <w:r>
        <w:rPr>
          <w:sz w:val="30"/>
          <w:szCs w:val="30"/>
        </w:rPr>
        <w:t xml:space="preserve">  </w:t>
      </w:r>
      <w:r>
        <w:rPr>
          <w:rFonts w:hint="eastAsia"/>
          <w:sz w:val="30"/>
          <w:szCs w:val="30"/>
        </w:rPr>
        <w:t>基金的投资</w:t>
      </w:r>
      <w:bookmarkEnd w:id="184"/>
      <w:bookmarkEnd w:id="205"/>
    </w:p>
    <w:p w14:paraId="0E81999B" w14:textId="77777777" w:rsidR="009214AE" w:rsidRDefault="00C6633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一、投资目标</w:t>
      </w:r>
    </w:p>
    <w:p w14:paraId="1CEE9465"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本基金通过数量化的方法进行积极组合管理与风险控制，力争实现达到或 超越业绩比较基准的投资收益，谋求基金资产的长期增值。</w:t>
      </w:r>
    </w:p>
    <w:p w14:paraId="07BFAC4E" w14:textId="77777777" w:rsidR="009214AE" w:rsidRDefault="00C6633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二、投资范围</w:t>
      </w:r>
    </w:p>
    <w:p w14:paraId="5F41D5FF"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本基金的投资范围为具有良好流动性的金融工具，包括国内依法发行上市的股票（</w:t>
      </w:r>
      <w:proofErr w:type="gramStart"/>
      <w:r>
        <w:rPr>
          <w:rFonts w:asciiTheme="minorEastAsia" w:hAnsiTheme="minorEastAsia" w:cs="Times New Roman" w:hint="eastAsia"/>
          <w:bCs/>
          <w:sz w:val="24"/>
          <w:szCs w:val="24"/>
        </w:rPr>
        <w:t>含科创板</w:t>
      </w:r>
      <w:proofErr w:type="gramEnd"/>
      <w:r>
        <w:rPr>
          <w:rFonts w:asciiTheme="minorEastAsia" w:hAnsiTheme="minorEastAsia" w:cs="Times New Roman" w:hint="eastAsia"/>
          <w:bCs/>
          <w:sz w:val="24"/>
          <w:szCs w:val="24"/>
        </w:rPr>
        <w:t>、创业板、存托凭证及其他经中国证监会核准</w:t>
      </w:r>
      <w:r>
        <w:rPr>
          <w:rFonts w:ascii="Arial" w:hAnsi="Arial" w:cs="Arial" w:hint="eastAsia"/>
          <w:bCs/>
          <w:sz w:val="24"/>
        </w:rPr>
        <w:t>或注册</w:t>
      </w:r>
      <w:r>
        <w:rPr>
          <w:rFonts w:asciiTheme="minorEastAsia" w:hAnsiTheme="minorEastAsia" w:cs="Times New Roman" w:hint="eastAsia"/>
          <w:bCs/>
          <w:sz w:val="24"/>
          <w:szCs w:val="24"/>
        </w:rPr>
        <w:t>上市的股票）、债券（包括国债、央行票据、金融债券、企业债券、公司债券、中期票据、短期融资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7BBB712C"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60F1A782"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31B41040"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63E041E9"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D4D7F9B" w14:textId="77777777" w:rsidR="009214AE" w:rsidRDefault="00C6633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 xml:space="preserve">三、投资策略 </w:t>
      </w:r>
    </w:p>
    <w:p w14:paraId="11252FBC"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1、大类资产配置</w:t>
      </w:r>
    </w:p>
    <w:p w14:paraId="5AA4EB47"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本基金在资产配置上采取相对稳健的策略，采取“自上而下”的方式进行大</w:t>
      </w:r>
      <w:r>
        <w:rPr>
          <w:rFonts w:asciiTheme="minorEastAsia" w:hAnsiTheme="minorEastAsia" w:cs="Times New Roman" w:hint="eastAsia"/>
          <w:bCs/>
          <w:sz w:val="24"/>
          <w:szCs w:val="24"/>
        </w:rPr>
        <w:lastRenderedPageBreak/>
        <w:t>类资产配置，根据对宏观经济、市场面、政策面等因素进行定量与定性相结合的分析研究，根据各类资产不同的预期风险收益比来确定组合中股票、债券、货币市场工具及其他金融工具的比例。</w:t>
      </w:r>
    </w:p>
    <w:p w14:paraId="03E2F48A"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2、股票投资策略</w:t>
      </w:r>
    </w:p>
    <w:p w14:paraId="34CBFB45"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多因子选股模型精选个股，在有效控制风险的前提下，追求基金资产的长期稳定增值，力争实现业绩超越业绩比较基准的投资回报。具体而言，股票投资策略以国际市场上广泛应用的多因子选股模型为基础，结合基本面研究的投资逻辑，精选出基本面健康、核心竞争力强、长期业绩优秀，具有超越市场预期的投资标的。在利用多因子选股模型构建组合过程中，坚持风格均衡、个股数量适度，在确保组合风险可控的前提下，获取稳健收益。多因子模型的主要步骤如下：</w:t>
      </w:r>
    </w:p>
    <w:p w14:paraId="10735532"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（1）筛选有效因子</w:t>
      </w:r>
    </w:p>
    <w:p w14:paraId="33980B73"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多因子选股模型使用的因子来源于多种投资逻辑。对于因子的筛选，富荣基金量化投资团队在多年研究积累的基础上，对市场上存在的有效因子进行深入研究，通过详尽历史</w:t>
      </w:r>
      <w:proofErr w:type="gramStart"/>
      <w:r>
        <w:rPr>
          <w:rFonts w:asciiTheme="minorEastAsia" w:hAnsiTheme="minorEastAsia" w:cs="Times New Roman" w:hint="eastAsia"/>
          <w:bCs/>
          <w:sz w:val="24"/>
          <w:szCs w:val="24"/>
        </w:rPr>
        <w:t>数据回测和</w:t>
      </w:r>
      <w:proofErr w:type="gramEnd"/>
      <w:r>
        <w:rPr>
          <w:rFonts w:asciiTheme="minorEastAsia" w:hAnsiTheme="minorEastAsia" w:cs="Times New Roman" w:hint="eastAsia"/>
          <w:bCs/>
          <w:sz w:val="24"/>
          <w:szCs w:val="24"/>
        </w:rPr>
        <w:t>样本外跟踪，优选出使用经济学逻辑完备且统计概率占优的因子作为多因子模型的备选因子。基于不同的投资逻辑，因子主要有以下几类。</w:t>
      </w:r>
    </w:p>
    <w:p w14:paraId="6AFBFBAA"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基本面类因子，主要有盈利、成长、估值等因子。其中，盈利因子主要有净资产收益率、毛利率等。成长因子主要有净利润同比增长率、ROE变动等。估值因子，包括市盈率、</w:t>
      </w:r>
      <w:proofErr w:type="gramStart"/>
      <w:r>
        <w:rPr>
          <w:rFonts w:asciiTheme="minorEastAsia" w:hAnsiTheme="minorEastAsia" w:cs="Times New Roman" w:hint="eastAsia"/>
          <w:bCs/>
          <w:sz w:val="24"/>
          <w:szCs w:val="24"/>
        </w:rPr>
        <w:t>市净率</w:t>
      </w:r>
      <w:proofErr w:type="gramEnd"/>
      <w:r>
        <w:rPr>
          <w:rFonts w:asciiTheme="minorEastAsia" w:hAnsiTheme="minorEastAsia" w:cs="Times New Roman" w:hint="eastAsia"/>
          <w:bCs/>
          <w:sz w:val="24"/>
          <w:szCs w:val="24"/>
        </w:rPr>
        <w:t>等，综合考察相对估值和绝对估值水平。</w:t>
      </w:r>
    </w:p>
    <w:p w14:paraId="5FF28E22"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事件驱动类因子，主要包含</w:t>
      </w:r>
      <w:proofErr w:type="gramStart"/>
      <w:r>
        <w:rPr>
          <w:rFonts w:asciiTheme="minorEastAsia" w:hAnsiTheme="minorEastAsia" w:cs="Times New Roman" w:hint="eastAsia"/>
          <w:bCs/>
          <w:sz w:val="24"/>
          <w:szCs w:val="24"/>
        </w:rPr>
        <w:t>业绩超</w:t>
      </w:r>
      <w:proofErr w:type="gramEnd"/>
      <w:r>
        <w:rPr>
          <w:rFonts w:asciiTheme="minorEastAsia" w:hAnsiTheme="minorEastAsia" w:cs="Times New Roman" w:hint="eastAsia"/>
          <w:bCs/>
          <w:sz w:val="24"/>
          <w:szCs w:val="24"/>
        </w:rPr>
        <w:t>预期、分析师预期等因子。通过构建业绩上调比例、</w:t>
      </w:r>
      <w:proofErr w:type="gramStart"/>
      <w:r>
        <w:rPr>
          <w:rFonts w:asciiTheme="minorEastAsia" w:hAnsiTheme="minorEastAsia" w:cs="Times New Roman" w:hint="eastAsia"/>
          <w:bCs/>
          <w:sz w:val="24"/>
          <w:szCs w:val="24"/>
        </w:rPr>
        <w:t>业绩超</w:t>
      </w:r>
      <w:proofErr w:type="gramEnd"/>
      <w:r>
        <w:rPr>
          <w:rFonts w:asciiTheme="minorEastAsia" w:hAnsiTheme="minorEastAsia" w:cs="Times New Roman" w:hint="eastAsia"/>
          <w:bCs/>
          <w:sz w:val="24"/>
          <w:szCs w:val="24"/>
        </w:rPr>
        <w:t>预期幅度、跳空幅度等因子，衡量股票业绩的超预期程度和稳定性。</w:t>
      </w:r>
    </w:p>
    <w:p w14:paraId="7743A569"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技术类因子，主要有流动性、波动率、短期反转、长期动量等因子。</w:t>
      </w:r>
    </w:p>
    <w:p w14:paraId="792D9F08"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（2）多因子加权</w:t>
      </w:r>
    </w:p>
    <w:p w14:paraId="663AF9B4"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因子权重主要基于因子过去一段时间表现来确定，通过使用多个因子绩效评价指标，自动确定因子的权重，从而实现因子动态优选，自动剔除表现不佳的因子。在确定因子权重后，计算股票最终的综合评分。</w:t>
      </w:r>
    </w:p>
    <w:p w14:paraId="7F8A5BB5"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本基金通过综合使用多个维度大类因子，筛选出成长性好、盈利质量高、有</w:t>
      </w:r>
      <w:r>
        <w:rPr>
          <w:rFonts w:asciiTheme="minorEastAsia" w:hAnsiTheme="minorEastAsia" w:cs="Times New Roman" w:hint="eastAsia"/>
          <w:bCs/>
          <w:sz w:val="24"/>
          <w:szCs w:val="24"/>
        </w:rPr>
        <w:lastRenderedPageBreak/>
        <w:t>一定估值边际、</w:t>
      </w:r>
      <w:proofErr w:type="gramStart"/>
      <w:r>
        <w:rPr>
          <w:rFonts w:asciiTheme="minorEastAsia" w:hAnsiTheme="minorEastAsia" w:cs="Times New Roman" w:hint="eastAsia"/>
          <w:bCs/>
          <w:sz w:val="24"/>
          <w:szCs w:val="24"/>
        </w:rPr>
        <w:t>业绩超</w:t>
      </w:r>
      <w:proofErr w:type="gramEnd"/>
      <w:r>
        <w:rPr>
          <w:rFonts w:asciiTheme="minorEastAsia" w:hAnsiTheme="minorEastAsia" w:cs="Times New Roman" w:hint="eastAsia"/>
          <w:bCs/>
          <w:sz w:val="24"/>
          <w:szCs w:val="24"/>
        </w:rPr>
        <w:t>预期的股票。目前模型同时使用了近百个因子，量化团队通过持续的开发因子和更新因子库，每季度都会升级和完善现有多因子选股模型。</w:t>
      </w:r>
    </w:p>
    <w:p w14:paraId="79ED2F7A"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（3）投资组合优化和风险控制</w:t>
      </w:r>
    </w:p>
    <w:p w14:paraId="1B435DEC"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使用组合优化模型构建，通过适当控制市值、行业、风险因子的暴露敞口，以最大化组合的预期收益为目标，确定个股的投资权重。</w:t>
      </w:r>
    </w:p>
    <w:p w14:paraId="0276F14B"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股票组合构建完成后，本基金管理人将对产品表现持续跟踪，根据市场的变化适时调整投资组合，力求获得超越业绩比较基准的投资回报。</w:t>
      </w:r>
    </w:p>
    <w:p w14:paraId="28137375"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3</w:t>
      </w:r>
      <w:r>
        <w:rPr>
          <w:rFonts w:asciiTheme="minorEastAsia" w:hAnsiTheme="minorEastAsia" w:cs="Times New Roman" w:hint="eastAsia"/>
          <w:bCs/>
          <w:sz w:val="24"/>
          <w:szCs w:val="24"/>
        </w:rPr>
        <w:t>、存托凭证投资策略</w:t>
      </w:r>
    </w:p>
    <w:p w14:paraId="0D41259A"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本基金可投资存托凭证，本基金将结合对宏观经济状况、行业景气度、公司竞争优势、公司治理结构、估值水平等因素的分析判断，选择投资价值高的存托凭证进行投资。</w:t>
      </w:r>
    </w:p>
    <w:p w14:paraId="174C441D"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4</w:t>
      </w:r>
      <w:r>
        <w:rPr>
          <w:rFonts w:asciiTheme="minorEastAsia" w:hAnsiTheme="minorEastAsia" w:cs="Times New Roman" w:hint="eastAsia"/>
          <w:bCs/>
          <w:sz w:val="24"/>
          <w:szCs w:val="24"/>
        </w:rPr>
        <w:t>、债券投资策略</w:t>
      </w:r>
    </w:p>
    <w:p w14:paraId="63DDC4BB"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（1）资产配置策略</w:t>
      </w:r>
    </w:p>
    <w:p w14:paraId="4DD11C9D"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6A439557"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（2）利率类品种投资策略</w:t>
      </w:r>
    </w:p>
    <w:p w14:paraId="3DC5106F"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C144665"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（3）信用债投资策略</w:t>
      </w:r>
    </w:p>
    <w:p w14:paraId="40DD62E3"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0827824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（4）可转换债券投资策略</w:t>
      </w:r>
    </w:p>
    <w:p w14:paraId="6EBD68CE"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736A9B92"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（5）可交换债券配置策略</w:t>
      </w:r>
    </w:p>
    <w:p w14:paraId="5BDF303D"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可交换债券的价值取决于其股权价值、债券价值以及内嵌期权价值。其中其债券价值与可转换债券相同，即选择持有可交换债券至到期以获取票面价值和票面利息；而其股权价值则需要关注发行人持有的其他上市公司（目标公司）的股票价值。本基金将结合对可交换债券的</w:t>
      </w:r>
      <w:proofErr w:type="gramStart"/>
      <w:r>
        <w:rPr>
          <w:rFonts w:asciiTheme="minorEastAsia" w:hAnsiTheme="minorEastAsia" w:cs="Times New Roman" w:hint="eastAsia"/>
          <w:bCs/>
          <w:sz w:val="24"/>
          <w:szCs w:val="24"/>
        </w:rPr>
        <w:t>纯债部分</w:t>
      </w:r>
      <w:proofErr w:type="gramEnd"/>
      <w:r>
        <w:rPr>
          <w:rFonts w:asciiTheme="minorEastAsia" w:hAnsiTheme="minorEastAsia" w:cs="Times New Roman" w:hint="eastAsia"/>
          <w:bCs/>
          <w:sz w:val="24"/>
          <w:szCs w:val="24"/>
        </w:rPr>
        <w:t>价值以及对目标公司的股票价值的综合评估，选择具有较高投资价值的可交换债券进行投资。</w:t>
      </w:r>
    </w:p>
    <w:p w14:paraId="1C4A8C4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5</w:t>
      </w:r>
      <w:r>
        <w:rPr>
          <w:rFonts w:asciiTheme="minorEastAsia" w:hAnsiTheme="minorEastAsia" w:cs="Times New Roman" w:hint="eastAsia"/>
          <w:bCs/>
          <w:sz w:val="24"/>
          <w:szCs w:val="24"/>
        </w:rPr>
        <w:t>、资产支持证券投资策略</w:t>
      </w:r>
    </w:p>
    <w:p w14:paraId="72F4136C"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189A06B4"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6</w:t>
      </w:r>
      <w:r>
        <w:rPr>
          <w:rFonts w:asciiTheme="minorEastAsia" w:hAnsiTheme="minorEastAsia" w:cs="Times New Roman" w:hint="eastAsia"/>
          <w:bCs/>
          <w:sz w:val="24"/>
          <w:szCs w:val="24"/>
        </w:rPr>
        <w:t>、衍生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67FFF397"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6130DDA4"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（1）股指期货投资策略</w:t>
      </w:r>
    </w:p>
    <w:p w14:paraId="2AB3CB19"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4E8354D9"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1F5AEFB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（2）国债期货投资策略</w:t>
      </w:r>
    </w:p>
    <w:p w14:paraId="7EAADBA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7BB97AE5"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15AC8C52"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（3）股票期权投资策略</w:t>
      </w:r>
    </w:p>
    <w:p w14:paraId="178FD34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03A8E1BA"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00E84004"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、参与融资业务投资策略</w:t>
      </w:r>
    </w:p>
    <w:p w14:paraId="68EC89B4"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556BBDB2" w14:textId="77777777" w:rsidR="009214AE" w:rsidRDefault="00C6633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四、投资限制</w:t>
      </w:r>
    </w:p>
    <w:p w14:paraId="21592BE9"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1、组合限制</w:t>
      </w:r>
    </w:p>
    <w:p w14:paraId="74F63FBD"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基金的投资组合应遵循以下限制：</w:t>
      </w:r>
    </w:p>
    <w:p w14:paraId="25F83B69"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（1）股票资产占基金资产的比例为60%-95%；</w:t>
      </w:r>
    </w:p>
    <w:p w14:paraId="3F0BE77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46BB7C2C"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219789D0"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4D8EC4A2"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（5）本基金投资于同一原始权益人的各类资产支持证券的比例，不得超过</w:t>
      </w:r>
      <w:r>
        <w:rPr>
          <w:rFonts w:asciiTheme="minorEastAsia" w:hAnsiTheme="minorEastAsia" w:cs="Times New Roman" w:hint="eastAsia"/>
          <w:bCs/>
          <w:sz w:val="24"/>
          <w:szCs w:val="24"/>
        </w:rPr>
        <w:lastRenderedPageBreak/>
        <w:t>基金资产净值的10%；</w:t>
      </w:r>
    </w:p>
    <w:p w14:paraId="791A4D0B"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010AA92B"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（7）本基金持有的同一(指同一信用级别)资产支持证券的比例，不得超过该资产支持证券规模的10%；</w:t>
      </w:r>
    </w:p>
    <w:p w14:paraId="11088801"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0F563661"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970E610"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7B36EC8E"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051E0C09"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（12）本基金参与股指期货、国债期货交易依据下列标准建构组合：</w:t>
      </w:r>
    </w:p>
    <w:p w14:paraId="6CC05FE7"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2B2C0852"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5347FEBD"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0C048768"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24CB6618"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2A185ADF"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0362E0AD"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（14）基金总资产不得超过基金净资产的140%；</w:t>
      </w:r>
    </w:p>
    <w:p w14:paraId="03520127"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7C02E06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（16）本基金主动投资于流动性受限资产的市值合计不得超过基金资产净值的15%；</w:t>
      </w:r>
    </w:p>
    <w:p w14:paraId="1567A1D8"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3B89E88"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（17）本基金与私募类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1CA690B0"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（18）本基金参与股票期权交易的，需遵守下列投资比例限制：</w:t>
      </w:r>
    </w:p>
    <w:p w14:paraId="3D097C24"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2FEC4081"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15735D0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05C45F9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（19）本基金投资存托凭证的比例限制依照境内上市交易的股票执行，与境内上市交易的股票合并计算；</w:t>
      </w:r>
    </w:p>
    <w:p w14:paraId="5993BE01"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0</w:t>
      </w:r>
      <w:r>
        <w:rPr>
          <w:rFonts w:asciiTheme="minorEastAsia" w:hAnsiTheme="minorEastAsia" w:cs="Times New Roman" w:hint="eastAsia"/>
          <w:bCs/>
          <w:sz w:val="24"/>
          <w:szCs w:val="24"/>
        </w:rPr>
        <w:t>）本基金参与融资的，每个交易日日终，本基金持有的融资买入股票与</w:t>
      </w:r>
      <w:r>
        <w:rPr>
          <w:rFonts w:asciiTheme="minorEastAsia" w:hAnsiTheme="minorEastAsia" w:cs="Times New Roman" w:hint="eastAsia"/>
          <w:bCs/>
          <w:sz w:val="24"/>
          <w:szCs w:val="24"/>
        </w:rPr>
        <w:lastRenderedPageBreak/>
        <w:t>其他有价证券市值之和，不得超过基金资产净值的95%；</w:t>
      </w:r>
    </w:p>
    <w:p w14:paraId="13ED1544"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w:t>
      </w:r>
      <w:r>
        <w:rPr>
          <w:rFonts w:asciiTheme="minorEastAsia" w:hAnsiTheme="minorEastAsia" w:cs="Times New Roman"/>
          <w:bCs/>
          <w:sz w:val="24"/>
          <w:szCs w:val="24"/>
        </w:rPr>
        <w:t>1</w:t>
      </w:r>
      <w:r>
        <w:rPr>
          <w:rFonts w:asciiTheme="minorEastAsia" w:hAnsiTheme="minorEastAsia" w:cs="Times New Roman" w:hint="eastAsia"/>
          <w:bCs/>
          <w:sz w:val="24"/>
          <w:szCs w:val="24"/>
        </w:rPr>
        <w:t>）法律法规及中国证监会规定的和《基金合同》约定的其他投资限制。</w:t>
      </w:r>
    </w:p>
    <w:p w14:paraId="09559092"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3297F3BA"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A6DF360"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371E6452"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2、禁止行为</w:t>
      </w:r>
    </w:p>
    <w:p w14:paraId="23FB6B58"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7F51C25E"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（1）承销证券；</w:t>
      </w:r>
    </w:p>
    <w:p w14:paraId="7E9A813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（2）违反规定向他人贷款或者提供担保；</w:t>
      </w:r>
    </w:p>
    <w:p w14:paraId="085BF892"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（3）从事承担无限责任的投资；</w:t>
      </w:r>
    </w:p>
    <w:p w14:paraId="4B5BA792"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（4）买卖其他基金份额，但是法律法规或中国证监会另有规定的除外；</w:t>
      </w:r>
    </w:p>
    <w:p w14:paraId="16385E2A"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（5）向其基金管理人、基金托管人出资；</w:t>
      </w:r>
    </w:p>
    <w:p w14:paraId="0B8127BC"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（6）从事内幕交易、操纵证券交易价格及其他不正当的证券交易活动；</w:t>
      </w:r>
    </w:p>
    <w:p w14:paraId="74DE0CCB"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（7）法律、行政法规和中国证监会规定禁止的其他活动。</w:t>
      </w:r>
    </w:p>
    <w:p w14:paraId="059DBC1D"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0F465B7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法律、行政法规或监管部门取消或调整上述限制，如适用于本基金，基金管理人在履行适当程序后，则本基金投资按照取消或调整后的规定执行。</w:t>
      </w:r>
    </w:p>
    <w:p w14:paraId="192F76D1" w14:textId="77777777" w:rsidR="009214AE" w:rsidRDefault="00C6633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lastRenderedPageBreak/>
        <w:t>五、业绩比较基准</w:t>
      </w:r>
    </w:p>
    <w:p w14:paraId="4CEDE533"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1、业绩比较基准</w:t>
      </w:r>
    </w:p>
    <w:p w14:paraId="5D7EB4FC"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中证500指数收益率×70%+中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 xml:space="preserve">指数收益率×30% </w:t>
      </w:r>
    </w:p>
    <w:p w14:paraId="60F2111F"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2、选择业绩比较基准的理由</w:t>
      </w:r>
    </w:p>
    <w:p w14:paraId="4187A97A"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中证500指数由中证指数有限公司编制，它的样本选自沪深两个证券市场的500只股票，具备市场覆盖度广、代表性强、流动性强、指数编制方法透明等特点，它能够反映中国A股市场整体状况和发展趋势。</w:t>
      </w:r>
    </w:p>
    <w:p w14:paraId="0C7D97A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492F651D"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基于本基金的投资范围和投资策略，选用上述业绩比较基准能够忠实反映本基金的风险收益特征。</w:t>
      </w:r>
    </w:p>
    <w:p w14:paraId="3A46F103"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今后法律法规发生变化，或指数编制单位停止编制该指数或更改指数名称，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w:t>
      </w:r>
    </w:p>
    <w:p w14:paraId="4E98D402" w14:textId="77777777" w:rsidR="009214AE" w:rsidRDefault="00C6633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六、风险收益特征</w:t>
      </w:r>
    </w:p>
    <w:p w14:paraId="580A3B59"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1B93B162" w14:textId="77777777" w:rsidR="009214AE" w:rsidRDefault="00C6633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0C08AD3C"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43EA85DA"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2、不谋求对上市公司的控股； </w:t>
      </w:r>
    </w:p>
    <w:p w14:paraId="171DD8BC"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3、有利于基金财产的安全与增值； </w:t>
      </w:r>
    </w:p>
    <w:p w14:paraId="6F106448"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2E42301" w14:textId="77777777" w:rsidR="009214AE" w:rsidRDefault="00C66335">
      <w:pPr>
        <w:spacing w:line="360" w:lineRule="auto"/>
        <w:ind w:firstLineChars="200" w:firstLine="482"/>
        <w:rPr>
          <w:rFonts w:asciiTheme="minorEastAsia" w:hAnsiTheme="minorEastAsia" w:cs="Times New Roman" w:hint="eastAsia"/>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651FB926" w14:textId="77777777" w:rsidR="009214AE" w:rsidRDefault="00C66335">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当基金持有特定资产且存在或潜在大额赎回申请时，根据最大限度保护基金</w:t>
      </w:r>
      <w:r>
        <w:rPr>
          <w:rFonts w:asciiTheme="minorEastAsia" w:hAnsiTheme="minorEastAsia" w:cs="Times New Roman" w:hint="eastAsia"/>
          <w:bCs/>
          <w:sz w:val="24"/>
          <w:szCs w:val="24"/>
        </w:rPr>
        <w:lastRenderedPageBreak/>
        <w:t>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w:t>
      </w:r>
    </w:p>
    <w:p w14:paraId="0D0ED434" w14:textId="77777777" w:rsidR="009214AE" w:rsidRDefault="00C66335">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0CEF89DD" w14:textId="77777777" w:rsidR="009214AE" w:rsidRDefault="00C66335">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的实施条件、实施程序、运作安排、投资安排、特定资产的处置变现和支付等对投资者权益有重大影响的事项详见本招募说明书“侧袋机制”部分的规定。</w:t>
      </w:r>
    </w:p>
    <w:p w14:paraId="5C8894E3" w14:textId="77777777" w:rsidR="009214AE" w:rsidRDefault="00C66335">
      <w:pPr>
        <w:autoSpaceDE w:val="0"/>
        <w:autoSpaceDN w:val="0"/>
        <w:spacing w:line="360" w:lineRule="auto"/>
        <w:ind w:firstLineChars="200" w:firstLine="482"/>
        <w:textAlignment w:val="bottom"/>
        <w:rPr>
          <w:rFonts w:asciiTheme="minorEastAsia" w:hAnsiTheme="minorEastAsia" w:hint="eastAsia"/>
          <w:b/>
          <w:sz w:val="24"/>
          <w:szCs w:val="24"/>
        </w:rPr>
      </w:pPr>
      <w:r>
        <w:rPr>
          <w:rFonts w:asciiTheme="minorEastAsia" w:hAnsiTheme="minorEastAsia" w:hint="eastAsia"/>
          <w:b/>
          <w:sz w:val="24"/>
          <w:szCs w:val="24"/>
        </w:rPr>
        <w:t>九、基金投资组合报告</w:t>
      </w:r>
    </w:p>
    <w:p w14:paraId="7EC4ABBE" w14:textId="77777777" w:rsidR="009214AE" w:rsidRDefault="00C66335">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基金管理人的董事会及董事保证本报告所载资料不存在虚假记载、误导性陈述或重大遗漏，并对其内容的真实性、准确性和完整性承担个别及连带责任。</w:t>
      </w:r>
      <w:r>
        <w:rPr>
          <w:rFonts w:asciiTheme="minorEastAsia" w:hAnsiTheme="minorEastAsia"/>
          <w:bCs/>
          <w:sz w:val="24"/>
          <w:szCs w:val="24"/>
        </w:rPr>
        <w:t xml:space="preserve"> </w:t>
      </w:r>
    </w:p>
    <w:p w14:paraId="59FD8BB6" w14:textId="77777777" w:rsidR="009214AE" w:rsidRDefault="00C66335">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基金托管人中国工商银行股份有限公司根据本基金合同规定，已复核了本报告中的财务指标、净值表现和投资组合报告等内容，保证复核内容不存在虚假记载、误导性陈述或者重大遗漏。</w:t>
      </w:r>
    </w:p>
    <w:p w14:paraId="6EE5B056" w14:textId="24A4A75F" w:rsidR="009214AE" w:rsidRDefault="00C66335">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本投资组合报告所载数据</w:t>
      </w:r>
      <w:r w:rsidR="00736217">
        <w:rPr>
          <w:rFonts w:asciiTheme="minorEastAsia" w:hAnsiTheme="minorEastAsia" w:hint="eastAsia"/>
          <w:bCs/>
          <w:sz w:val="24"/>
          <w:szCs w:val="24"/>
        </w:rPr>
        <w:t>取自本基金2024年第4季度报告</w:t>
      </w:r>
      <w:r>
        <w:rPr>
          <w:rFonts w:asciiTheme="minorEastAsia" w:hAnsiTheme="minorEastAsia" w:hint="eastAsia"/>
          <w:bCs/>
          <w:sz w:val="24"/>
          <w:szCs w:val="24"/>
        </w:rPr>
        <w:t>，本报告中所列财务数据未经审计。</w:t>
      </w:r>
    </w:p>
    <w:p w14:paraId="7CAAD0AB" w14:textId="77777777" w:rsidR="009214AE" w:rsidRDefault="00C66335">
      <w:pPr>
        <w:autoSpaceDE w:val="0"/>
        <w:autoSpaceDN w:val="0"/>
        <w:spacing w:line="360" w:lineRule="auto"/>
        <w:ind w:firstLine="422"/>
        <w:textAlignment w:val="bottom"/>
        <w:rPr>
          <w:rFonts w:hAnsi="等线" w:hint="eastAsia"/>
          <w:b/>
          <w:color w:val="000000"/>
        </w:rPr>
      </w:pPr>
      <w:r>
        <w:rPr>
          <w:rFonts w:ascii="宋体" w:eastAsia="宋体" w:hAnsi="等线" w:cs="宋体"/>
          <w:b/>
          <w:color w:val="000000"/>
          <w:kern w:val="0"/>
          <w:sz w:val="24"/>
          <w:szCs w:val="24"/>
        </w:rPr>
        <w:t>1</w:t>
      </w:r>
      <w:r>
        <w:rPr>
          <w:rFonts w:ascii="宋体" w:eastAsia="宋体" w:hAnsi="等线" w:cs="宋体" w:hint="eastAsia"/>
          <w:b/>
          <w:color w:val="000000"/>
          <w:kern w:val="0"/>
          <w:sz w:val="24"/>
          <w:szCs w:val="24"/>
        </w:rPr>
        <w:t>、报告期末基金资产组合情况</w:t>
      </w:r>
    </w:p>
    <w:tbl>
      <w:tblPr>
        <w:tblW w:w="0" w:type="auto"/>
        <w:tblInd w:w="108" w:type="dxa"/>
        <w:tblLook w:val="04A0" w:firstRow="1" w:lastRow="0" w:firstColumn="1" w:lastColumn="0" w:noHBand="0" w:noVBand="1"/>
      </w:tblPr>
      <w:tblGrid>
        <w:gridCol w:w="762"/>
        <w:gridCol w:w="3029"/>
        <w:gridCol w:w="2086"/>
        <w:gridCol w:w="2537"/>
      </w:tblGrid>
      <w:tr w:rsidR="009214AE" w14:paraId="7E0BC0F1"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40143305" w14:textId="77777777" w:rsidR="009214AE" w:rsidRDefault="00C66335">
            <w:pPr>
              <w:pStyle w:val="biaogecenter"/>
              <w:wordWrap w:val="0"/>
              <w:rPr>
                <w:rFonts w:hint="eastAsia"/>
              </w:rPr>
            </w:pPr>
            <w:r>
              <w:rPr>
                <w:rFonts w:hAnsi="等线" w:hint="eastAsia"/>
                <w:color w:val="000000"/>
              </w:rPr>
              <w:t>序号</w:t>
            </w:r>
          </w:p>
        </w:tc>
        <w:tc>
          <w:tcPr>
            <w:tcW w:w="3029" w:type="dxa"/>
            <w:tcBorders>
              <w:top w:val="single" w:sz="8" w:space="0" w:color="000000"/>
              <w:left w:val="single" w:sz="8" w:space="0" w:color="000000"/>
              <w:bottom w:val="single" w:sz="6" w:space="0" w:color="000000"/>
              <w:right w:val="single" w:sz="8" w:space="0" w:color="000000"/>
            </w:tcBorders>
            <w:vAlign w:val="center"/>
          </w:tcPr>
          <w:p w14:paraId="61F62D3E" w14:textId="77777777" w:rsidR="009214AE" w:rsidRDefault="00C66335">
            <w:pPr>
              <w:pStyle w:val="biaogecenter"/>
              <w:wordWrap w:val="0"/>
              <w:rPr>
                <w:rFonts w:hint="eastAsia"/>
              </w:rPr>
            </w:pPr>
            <w:r>
              <w:rPr>
                <w:rFonts w:hAnsi="等线" w:hint="eastAsia"/>
                <w:color w:val="000000"/>
              </w:rPr>
              <w:t>项目</w:t>
            </w:r>
          </w:p>
        </w:tc>
        <w:tc>
          <w:tcPr>
            <w:tcW w:w="2086" w:type="dxa"/>
            <w:tcBorders>
              <w:top w:val="single" w:sz="8" w:space="0" w:color="000000"/>
              <w:left w:val="single" w:sz="8" w:space="0" w:color="000000"/>
              <w:bottom w:val="single" w:sz="6" w:space="0" w:color="000000"/>
              <w:right w:val="single" w:sz="8" w:space="0" w:color="000000"/>
            </w:tcBorders>
            <w:vAlign w:val="center"/>
          </w:tcPr>
          <w:p w14:paraId="3C3288FA" w14:textId="77777777" w:rsidR="009214AE" w:rsidRDefault="00C66335">
            <w:pPr>
              <w:pStyle w:val="biaogecenter"/>
              <w:wordWrap w:val="0"/>
              <w:rPr>
                <w:rFonts w:hint="eastAsia"/>
              </w:rPr>
            </w:pPr>
            <w:r>
              <w:rPr>
                <w:rFonts w:hAnsi="等线" w:hint="eastAsia"/>
                <w:color w:val="000000"/>
              </w:rPr>
              <w:t>金额(元)</w:t>
            </w:r>
          </w:p>
        </w:tc>
        <w:tc>
          <w:tcPr>
            <w:tcW w:w="2537" w:type="dxa"/>
            <w:tcBorders>
              <w:top w:val="single" w:sz="8" w:space="0" w:color="000000"/>
              <w:left w:val="single" w:sz="8" w:space="0" w:color="000000"/>
              <w:bottom w:val="single" w:sz="6" w:space="0" w:color="000000"/>
              <w:right w:val="single" w:sz="8" w:space="0" w:color="000000"/>
            </w:tcBorders>
            <w:vAlign w:val="center"/>
          </w:tcPr>
          <w:p w14:paraId="79BDB669" w14:textId="77777777" w:rsidR="009214AE" w:rsidRDefault="00C66335">
            <w:pPr>
              <w:pStyle w:val="biaogecenter"/>
              <w:wordWrap w:val="0"/>
              <w:rPr>
                <w:rFonts w:hint="eastAsia"/>
              </w:rPr>
            </w:pPr>
            <w:r>
              <w:rPr>
                <w:rFonts w:hAnsi="等线" w:hint="eastAsia"/>
                <w:color w:val="000000"/>
              </w:rPr>
              <w:t>占基金总资产的比例（%）</w:t>
            </w:r>
          </w:p>
        </w:tc>
      </w:tr>
      <w:tr w:rsidR="001E7F72" w14:paraId="680E2C5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3F5E5D9" w14:textId="77777777" w:rsidR="001E7F72" w:rsidRDefault="001E7F72" w:rsidP="001E7F72">
            <w:pPr>
              <w:pStyle w:val="biaogecenter"/>
              <w:wordWrap w:val="0"/>
              <w:rPr>
                <w:rFonts w:hint="eastAsia"/>
              </w:rPr>
            </w:pPr>
            <w:r>
              <w:rPr>
                <w:rFonts w:hAnsi="等线" w:hint="eastAsia"/>
                <w:color w:val="000000"/>
              </w:rPr>
              <w:t>1</w:t>
            </w:r>
          </w:p>
        </w:tc>
        <w:tc>
          <w:tcPr>
            <w:tcW w:w="3029" w:type="dxa"/>
            <w:tcBorders>
              <w:top w:val="single" w:sz="8" w:space="0" w:color="000000"/>
              <w:left w:val="single" w:sz="8" w:space="0" w:color="000000"/>
              <w:bottom w:val="single" w:sz="6" w:space="0" w:color="000000"/>
              <w:right w:val="single" w:sz="8" w:space="0" w:color="000000"/>
            </w:tcBorders>
            <w:vAlign w:val="center"/>
          </w:tcPr>
          <w:p w14:paraId="2B7F78E5" w14:textId="77777777" w:rsidR="001E7F72" w:rsidRDefault="001E7F72" w:rsidP="001E7F72">
            <w:pPr>
              <w:pStyle w:val="biaogeleft"/>
              <w:wordWrap w:val="0"/>
              <w:rPr>
                <w:rFonts w:hint="eastAsia"/>
              </w:rPr>
            </w:pPr>
            <w:r>
              <w:rPr>
                <w:rFonts w:hint="eastAsia"/>
              </w:rPr>
              <w:t>权益投资</w:t>
            </w:r>
          </w:p>
        </w:tc>
        <w:tc>
          <w:tcPr>
            <w:tcW w:w="2086" w:type="dxa"/>
            <w:tcBorders>
              <w:top w:val="single" w:sz="8" w:space="0" w:color="000000"/>
              <w:left w:val="single" w:sz="8" w:space="0" w:color="000000"/>
              <w:bottom w:val="single" w:sz="6" w:space="0" w:color="000000"/>
              <w:right w:val="single" w:sz="8" w:space="0" w:color="000000"/>
            </w:tcBorders>
            <w:vAlign w:val="center"/>
          </w:tcPr>
          <w:p w14:paraId="544DB278" w14:textId="5BB5AF37" w:rsidR="001E7F72" w:rsidRDefault="001E7F72" w:rsidP="001E7F72">
            <w:pPr>
              <w:pStyle w:val="biaogeright"/>
              <w:wordWrap w:val="0"/>
              <w:rPr>
                <w:rFonts w:hint="eastAsia"/>
              </w:rPr>
            </w:pPr>
            <w:r w:rsidRPr="00011045">
              <w:rPr>
                <w:rFonts w:hAnsi="等线"/>
                <w:color w:val="000000"/>
              </w:rPr>
              <w:t>7,863,401.00</w:t>
            </w:r>
          </w:p>
        </w:tc>
        <w:tc>
          <w:tcPr>
            <w:tcW w:w="2537" w:type="dxa"/>
            <w:tcBorders>
              <w:top w:val="single" w:sz="8" w:space="0" w:color="000000"/>
              <w:left w:val="single" w:sz="8" w:space="0" w:color="000000"/>
              <w:bottom w:val="single" w:sz="6" w:space="0" w:color="000000"/>
              <w:right w:val="single" w:sz="8" w:space="0" w:color="000000"/>
            </w:tcBorders>
            <w:vAlign w:val="center"/>
          </w:tcPr>
          <w:p w14:paraId="43C49829" w14:textId="640FCAAA" w:rsidR="001E7F72" w:rsidRDefault="001E7F72" w:rsidP="001E7F72">
            <w:pPr>
              <w:pStyle w:val="biaogeright"/>
              <w:wordWrap w:val="0"/>
              <w:rPr>
                <w:rFonts w:hint="eastAsia"/>
              </w:rPr>
            </w:pPr>
            <w:r w:rsidRPr="00011045">
              <w:rPr>
                <w:rFonts w:hAnsi="等线"/>
                <w:color w:val="000000"/>
              </w:rPr>
              <w:t>90.74</w:t>
            </w:r>
          </w:p>
        </w:tc>
      </w:tr>
      <w:tr w:rsidR="001E7F72" w14:paraId="466AD55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2C70DF3" w14:textId="77777777" w:rsidR="001E7F72" w:rsidRDefault="001E7F72" w:rsidP="001E7F72"/>
        </w:tc>
        <w:tc>
          <w:tcPr>
            <w:tcW w:w="3029" w:type="dxa"/>
            <w:tcBorders>
              <w:top w:val="single" w:sz="8" w:space="0" w:color="000000"/>
              <w:left w:val="single" w:sz="8" w:space="0" w:color="000000"/>
              <w:bottom w:val="single" w:sz="6" w:space="0" w:color="000000"/>
              <w:right w:val="single" w:sz="8" w:space="0" w:color="000000"/>
            </w:tcBorders>
            <w:vAlign w:val="center"/>
          </w:tcPr>
          <w:p w14:paraId="296ED3AF" w14:textId="77777777" w:rsidR="001E7F72" w:rsidRDefault="001E7F72" w:rsidP="001E7F72">
            <w:pPr>
              <w:pStyle w:val="biaogeleft"/>
              <w:wordWrap w:val="0"/>
              <w:rPr>
                <w:rFonts w:hint="eastAsia"/>
              </w:rPr>
            </w:pPr>
            <w:r>
              <w:rPr>
                <w:rFonts w:hint="eastAsia"/>
              </w:rPr>
              <w:t>其中：股票</w:t>
            </w:r>
          </w:p>
        </w:tc>
        <w:tc>
          <w:tcPr>
            <w:tcW w:w="2086" w:type="dxa"/>
            <w:tcBorders>
              <w:top w:val="single" w:sz="8" w:space="0" w:color="000000"/>
              <w:left w:val="single" w:sz="8" w:space="0" w:color="000000"/>
              <w:bottom w:val="single" w:sz="6" w:space="0" w:color="000000"/>
              <w:right w:val="single" w:sz="8" w:space="0" w:color="000000"/>
            </w:tcBorders>
            <w:vAlign w:val="center"/>
          </w:tcPr>
          <w:p w14:paraId="1BBBA118" w14:textId="4CDEB4FF" w:rsidR="001E7F72" w:rsidRDefault="001E7F72" w:rsidP="001E7F72">
            <w:pPr>
              <w:pStyle w:val="biaogeright"/>
              <w:wordWrap w:val="0"/>
              <w:rPr>
                <w:rFonts w:hint="eastAsia"/>
              </w:rPr>
            </w:pPr>
            <w:r w:rsidRPr="00011045">
              <w:rPr>
                <w:rFonts w:hAnsi="等线"/>
                <w:color w:val="000000"/>
              </w:rPr>
              <w:t>7,863,401.00</w:t>
            </w:r>
          </w:p>
        </w:tc>
        <w:tc>
          <w:tcPr>
            <w:tcW w:w="2537" w:type="dxa"/>
            <w:tcBorders>
              <w:top w:val="single" w:sz="8" w:space="0" w:color="000000"/>
              <w:left w:val="single" w:sz="8" w:space="0" w:color="000000"/>
              <w:bottom w:val="single" w:sz="6" w:space="0" w:color="000000"/>
              <w:right w:val="single" w:sz="8" w:space="0" w:color="000000"/>
            </w:tcBorders>
            <w:vAlign w:val="center"/>
          </w:tcPr>
          <w:p w14:paraId="081FC8E6" w14:textId="16D2814B" w:rsidR="001E7F72" w:rsidRDefault="001E7F72" w:rsidP="001E7F72">
            <w:pPr>
              <w:pStyle w:val="biaogeright"/>
              <w:wordWrap w:val="0"/>
              <w:rPr>
                <w:rFonts w:hint="eastAsia"/>
              </w:rPr>
            </w:pPr>
            <w:r w:rsidRPr="00011045">
              <w:rPr>
                <w:rFonts w:hAnsi="等线"/>
                <w:color w:val="000000"/>
              </w:rPr>
              <w:t>90.74</w:t>
            </w:r>
          </w:p>
        </w:tc>
      </w:tr>
      <w:tr w:rsidR="001E7F72" w14:paraId="3D102D6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87C793" w14:textId="77777777" w:rsidR="001E7F72" w:rsidRDefault="001E7F72" w:rsidP="001E7F72">
            <w:pPr>
              <w:pStyle w:val="biaogecenter"/>
              <w:wordWrap w:val="0"/>
              <w:rPr>
                <w:rFonts w:hint="eastAsia"/>
              </w:rPr>
            </w:pPr>
            <w:r>
              <w:rPr>
                <w:rFonts w:hAnsi="等线" w:hint="eastAsia"/>
                <w:color w:val="000000"/>
              </w:rPr>
              <w:t>2</w:t>
            </w:r>
          </w:p>
        </w:tc>
        <w:tc>
          <w:tcPr>
            <w:tcW w:w="3029" w:type="dxa"/>
            <w:tcBorders>
              <w:top w:val="single" w:sz="8" w:space="0" w:color="000000"/>
              <w:left w:val="single" w:sz="8" w:space="0" w:color="000000"/>
              <w:bottom w:val="single" w:sz="6" w:space="0" w:color="000000"/>
              <w:right w:val="single" w:sz="8" w:space="0" w:color="000000"/>
            </w:tcBorders>
            <w:vAlign w:val="center"/>
          </w:tcPr>
          <w:p w14:paraId="72FFF8C3" w14:textId="77777777" w:rsidR="001E7F72" w:rsidRDefault="001E7F72" w:rsidP="001E7F72">
            <w:pPr>
              <w:pStyle w:val="biaogeleft"/>
              <w:wordWrap w:val="0"/>
              <w:rPr>
                <w:rFonts w:hint="eastAsia"/>
              </w:rPr>
            </w:pPr>
            <w:r>
              <w:rPr>
                <w:rFonts w:hint="eastAsia"/>
              </w:rPr>
              <w:t>基金投资</w:t>
            </w:r>
          </w:p>
        </w:tc>
        <w:tc>
          <w:tcPr>
            <w:tcW w:w="2086" w:type="dxa"/>
            <w:tcBorders>
              <w:top w:val="single" w:sz="8" w:space="0" w:color="000000"/>
              <w:left w:val="single" w:sz="8" w:space="0" w:color="000000"/>
              <w:bottom w:val="single" w:sz="6" w:space="0" w:color="000000"/>
              <w:right w:val="single" w:sz="8" w:space="0" w:color="000000"/>
            </w:tcBorders>
            <w:vAlign w:val="center"/>
          </w:tcPr>
          <w:p w14:paraId="60F7510A" w14:textId="24B6C7E1" w:rsidR="001E7F72" w:rsidRDefault="001E7F72" w:rsidP="001E7F72">
            <w:pPr>
              <w:pStyle w:val="biaogeright"/>
              <w:wordWrap w:val="0"/>
              <w:rPr>
                <w:rFonts w:hint="eastAsia"/>
              </w:rPr>
            </w:pPr>
            <w:r w:rsidRPr="0001104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0AECE4BF" w14:textId="131ECDF8" w:rsidR="001E7F72" w:rsidRDefault="001E7F72" w:rsidP="001E7F72">
            <w:pPr>
              <w:pStyle w:val="biaogeright"/>
              <w:wordWrap w:val="0"/>
              <w:rPr>
                <w:rFonts w:hint="eastAsia"/>
              </w:rPr>
            </w:pPr>
            <w:r w:rsidRPr="00011045">
              <w:rPr>
                <w:rFonts w:hAnsi="等线"/>
                <w:color w:val="000000"/>
              </w:rPr>
              <w:t>-</w:t>
            </w:r>
          </w:p>
        </w:tc>
      </w:tr>
      <w:tr w:rsidR="001E7F72" w14:paraId="63D3D85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0A9D2B5" w14:textId="77777777" w:rsidR="001E7F72" w:rsidRDefault="001E7F72" w:rsidP="001E7F72">
            <w:pPr>
              <w:pStyle w:val="biaogecenter"/>
              <w:wordWrap w:val="0"/>
              <w:rPr>
                <w:rFonts w:hint="eastAsia"/>
              </w:rPr>
            </w:pPr>
            <w:r>
              <w:rPr>
                <w:rFonts w:hAnsi="等线" w:hint="eastAsia"/>
                <w:color w:val="000000"/>
              </w:rPr>
              <w:t>3</w:t>
            </w:r>
          </w:p>
        </w:tc>
        <w:tc>
          <w:tcPr>
            <w:tcW w:w="3029" w:type="dxa"/>
            <w:tcBorders>
              <w:top w:val="single" w:sz="8" w:space="0" w:color="000000"/>
              <w:left w:val="single" w:sz="8" w:space="0" w:color="000000"/>
              <w:bottom w:val="single" w:sz="6" w:space="0" w:color="000000"/>
              <w:right w:val="single" w:sz="8" w:space="0" w:color="000000"/>
            </w:tcBorders>
            <w:vAlign w:val="center"/>
          </w:tcPr>
          <w:p w14:paraId="7E0535E1" w14:textId="77777777" w:rsidR="001E7F72" w:rsidRDefault="001E7F72" w:rsidP="001E7F72">
            <w:pPr>
              <w:pStyle w:val="biaogeleft"/>
              <w:wordWrap w:val="0"/>
              <w:rPr>
                <w:rFonts w:hint="eastAsia"/>
              </w:rPr>
            </w:pPr>
            <w:r>
              <w:rPr>
                <w:rFonts w:hint="eastAsia"/>
              </w:rPr>
              <w:t>固定收益投资</w:t>
            </w:r>
          </w:p>
        </w:tc>
        <w:tc>
          <w:tcPr>
            <w:tcW w:w="2086" w:type="dxa"/>
            <w:tcBorders>
              <w:top w:val="single" w:sz="8" w:space="0" w:color="000000"/>
              <w:left w:val="single" w:sz="8" w:space="0" w:color="000000"/>
              <w:bottom w:val="single" w:sz="6" w:space="0" w:color="000000"/>
              <w:right w:val="single" w:sz="8" w:space="0" w:color="000000"/>
            </w:tcBorders>
            <w:vAlign w:val="center"/>
          </w:tcPr>
          <w:p w14:paraId="28F0E78F" w14:textId="1FD064A9" w:rsidR="001E7F72" w:rsidRDefault="001E7F72" w:rsidP="001E7F72">
            <w:pPr>
              <w:pStyle w:val="biaogeright"/>
              <w:wordWrap w:val="0"/>
              <w:rPr>
                <w:rFonts w:hint="eastAsia"/>
              </w:rPr>
            </w:pPr>
            <w:r w:rsidRPr="0001104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3CF0254D" w14:textId="18B25866" w:rsidR="001E7F72" w:rsidRDefault="001E7F72" w:rsidP="001E7F72">
            <w:pPr>
              <w:pStyle w:val="biaogeright"/>
              <w:wordWrap w:val="0"/>
              <w:rPr>
                <w:rFonts w:hint="eastAsia"/>
              </w:rPr>
            </w:pPr>
            <w:r w:rsidRPr="00011045">
              <w:rPr>
                <w:rFonts w:hAnsi="等线"/>
                <w:color w:val="000000"/>
              </w:rPr>
              <w:t>-</w:t>
            </w:r>
          </w:p>
        </w:tc>
      </w:tr>
      <w:tr w:rsidR="001E7F72" w14:paraId="18E7022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1F1B28" w14:textId="77777777" w:rsidR="001E7F72" w:rsidRDefault="001E7F72" w:rsidP="001E7F72"/>
        </w:tc>
        <w:tc>
          <w:tcPr>
            <w:tcW w:w="3029" w:type="dxa"/>
            <w:tcBorders>
              <w:top w:val="single" w:sz="8" w:space="0" w:color="000000"/>
              <w:left w:val="single" w:sz="8" w:space="0" w:color="000000"/>
              <w:bottom w:val="single" w:sz="6" w:space="0" w:color="000000"/>
              <w:right w:val="single" w:sz="8" w:space="0" w:color="000000"/>
            </w:tcBorders>
            <w:vAlign w:val="center"/>
          </w:tcPr>
          <w:p w14:paraId="3161A50C" w14:textId="77777777" w:rsidR="001E7F72" w:rsidRDefault="001E7F72" w:rsidP="001E7F72">
            <w:pPr>
              <w:pStyle w:val="biaogeleft"/>
              <w:wordWrap w:val="0"/>
              <w:rPr>
                <w:rFonts w:hint="eastAsia"/>
              </w:rPr>
            </w:pPr>
            <w:r>
              <w:rPr>
                <w:rFonts w:hint="eastAsia"/>
              </w:rPr>
              <w:t>其中：债券</w:t>
            </w:r>
          </w:p>
        </w:tc>
        <w:tc>
          <w:tcPr>
            <w:tcW w:w="2086" w:type="dxa"/>
            <w:tcBorders>
              <w:top w:val="single" w:sz="8" w:space="0" w:color="000000"/>
              <w:left w:val="single" w:sz="8" w:space="0" w:color="000000"/>
              <w:bottom w:val="single" w:sz="6" w:space="0" w:color="000000"/>
              <w:right w:val="single" w:sz="8" w:space="0" w:color="000000"/>
            </w:tcBorders>
            <w:vAlign w:val="center"/>
          </w:tcPr>
          <w:p w14:paraId="0A059D32" w14:textId="0CF612F4" w:rsidR="001E7F72" w:rsidRDefault="001E7F72" w:rsidP="001E7F72">
            <w:pPr>
              <w:pStyle w:val="biaogeright"/>
              <w:wordWrap w:val="0"/>
              <w:rPr>
                <w:rFonts w:hint="eastAsia"/>
              </w:rPr>
            </w:pPr>
            <w:r w:rsidRPr="0001104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146C46DB" w14:textId="5741E292" w:rsidR="001E7F72" w:rsidRDefault="001E7F72" w:rsidP="001E7F72">
            <w:pPr>
              <w:pStyle w:val="biaogeright"/>
              <w:wordWrap w:val="0"/>
              <w:rPr>
                <w:rFonts w:hint="eastAsia"/>
              </w:rPr>
            </w:pPr>
            <w:r w:rsidRPr="00011045">
              <w:rPr>
                <w:rFonts w:hAnsi="等线"/>
                <w:color w:val="000000"/>
              </w:rPr>
              <w:t>-</w:t>
            </w:r>
          </w:p>
        </w:tc>
      </w:tr>
      <w:tr w:rsidR="001E7F72" w14:paraId="0DBAC55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14B17D1" w14:textId="77777777" w:rsidR="001E7F72" w:rsidRDefault="001E7F72" w:rsidP="001E7F72"/>
        </w:tc>
        <w:tc>
          <w:tcPr>
            <w:tcW w:w="3029" w:type="dxa"/>
            <w:tcBorders>
              <w:top w:val="single" w:sz="8" w:space="0" w:color="000000"/>
              <w:left w:val="single" w:sz="8" w:space="0" w:color="000000"/>
              <w:bottom w:val="single" w:sz="6" w:space="0" w:color="000000"/>
              <w:right w:val="single" w:sz="8" w:space="0" w:color="000000"/>
            </w:tcBorders>
            <w:vAlign w:val="center"/>
          </w:tcPr>
          <w:p w14:paraId="68DD91DA" w14:textId="77777777" w:rsidR="001E7F72" w:rsidRDefault="001E7F72" w:rsidP="001E7F72">
            <w:pPr>
              <w:pStyle w:val="biaogeleft"/>
              <w:wordWrap w:val="0"/>
              <w:ind w:left="750"/>
              <w:rPr>
                <w:rFonts w:hint="eastAsia"/>
              </w:rPr>
            </w:pPr>
            <w:r>
              <w:rPr>
                <w:rFonts w:hint="eastAsia"/>
              </w:rPr>
              <w:t>资产支持证券</w:t>
            </w:r>
          </w:p>
        </w:tc>
        <w:tc>
          <w:tcPr>
            <w:tcW w:w="2086" w:type="dxa"/>
            <w:tcBorders>
              <w:top w:val="single" w:sz="8" w:space="0" w:color="000000"/>
              <w:left w:val="single" w:sz="8" w:space="0" w:color="000000"/>
              <w:bottom w:val="single" w:sz="6" w:space="0" w:color="000000"/>
              <w:right w:val="single" w:sz="8" w:space="0" w:color="000000"/>
            </w:tcBorders>
            <w:vAlign w:val="center"/>
          </w:tcPr>
          <w:p w14:paraId="17314BD0" w14:textId="159DE344" w:rsidR="001E7F72" w:rsidRDefault="001E7F72" w:rsidP="001E7F72">
            <w:pPr>
              <w:pStyle w:val="biaogeright"/>
              <w:wordWrap w:val="0"/>
              <w:rPr>
                <w:rFonts w:hint="eastAsia"/>
              </w:rPr>
            </w:pPr>
            <w:r w:rsidRPr="0001104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59362874" w14:textId="65247494" w:rsidR="001E7F72" w:rsidRDefault="001E7F72" w:rsidP="001E7F72">
            <w:pPr>
              <w:pStyle w:val="biaogeright"/>
              <w:wordWrap w:val="0"/>
              <w:rPr>
                <w:rFonts w:hint="eastAsia"/>
              </w:rPr>
            </w:pPr>
            <w:r w:rsidRPr="00011045">
              <w:rPr>
                <w:rFonts w:hAnsi="等线"/>
                <w:color w:val="000000"/>
              </w:rPr>
              <w:t>-</w:t>
            </w:r>
          </w:p>
        </w:tc>
      </w:tr>
      <w:tr w:rsidR="001E7F72" w14:paraId="41FA6CB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1310387" w14:textId="77777777" w:rsidR="001E7F72" w:rsidRDefault="001E7F72" w:rsidP="001E7F72">
            <w:pPr>
              <w:pStyle w:val="biaogecenter"/>
              <w:wordWrap w:val="0"/>
              <w:rPr>
                <w:rFonts w:hint="eastAsia"/>
              </w:rPr>
            </w:pPr>
            <w:r>
              <w:rPr>
                <w:rFonts w:hAnsi="等线" w:hint="eastAsia"/>
                <w:color w:val="000000"/>
              </w:rPr>
              <w:t>4</w:t>
            </w:r>
          </w:p>
        </w:tc>
        <w:tc>
          <w:tcPr>
            <w:tcW w:w="3029" w:type="dxa"/>
            <w:tcBorders>
              <w:top w:val="single" w:sz="8" w:space="0" w:color="000000"/>
              <w:left w:val="single" w:sz="8" w:space="0" w:color="000000"/>
              <w:bottom w:val="single" w:sz="6" w:space="0" w:color="000000"/>
              <w:right w:val="single" w:sz="8" w:space="0" w:color="000000"/>
            </w:tcBorders>
            <w:vAlign w:val="center"/>
          </w:tcPr>
          <w:p w14:paraId="60612DFA" w14:textId="77777777" w:rsidR="001E7F72" w:rsidRDefault="001E7F72" w:rsidP="001E7F72">
            <w:pPr>
              <w:pStyle w:val="biaogeleft"/>
              <w:wordWrap w:val="0"/>
              <w:rPr>
                <w:rFonts w:hint="eastAsia"/>
              </w:rPr>
            </w:pPr>
            <w:r>
              <w:rPr>
                <w:rFonts w:hint="eastAsia"/>
              </w:rPr>
              <w:t>贵金属投资</w:t>
            </w:r>
          </w:p>
        </w:tc>
        <w:tc>
          <w:tcPr>
            <w:tcW w:w="2086" w:type="dxa"/>
            <w:tcBorders>
              <w:top w:val="single" w:sz="8" w:space="0" w:color="000000"/>
              <w:left w:val="single" w:sz="8" w:space="0" w:color="000000"/>
              <w:bottom w:val="single" w:sz="6" w:space="0" w:color="000000"/>
              <w:right w:val="single" w:sz="8" w:space="0" w:color="000000"/>
            </w:tcBorders>
            <w:vAlign w:val="center"/>
          </w:tcPr>
          <w:p w14:paraId="0B2DCB28" w14:textId="4299398B" w:rsidR="001E7F72" w:rsidRDefault="001E7F72" w:rsidP="001E7F72">
            <w:pPr>
              <w:pStyle w:val="biaogeright"/>
              <w:wordWrap w:val="0"/>
              <w:rPr>
                <w:rFonts w:hint="eastAsia"/>
              </w:rPr>
            </w:pPr>
            <w:r w:rsidRPr="0001104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76D77041" w14:textId="0B4152EE" w:rsidR="001E7F72" w:rsidRDefault="001E7F72" w:rsidP="001E7F72">
            <w:pPr>
              <w:pStyle w:val="biaogeright"/>
              <w:wordWrap w:val="0"/>
              <w:rPr>
                <w:rFonts w:hint="eastAsia"/>
              </w:rPr>
            </w:pPr>
            <w:r w:rsidRPr="00011045">
              <w:rPr>
                <w:rFonts w:hAnsi="等线"/>
                <w:color w:val="000000"/>
              </w:rPr>
              <w:t>-</w:t>
            </w:r>
          </w:p>
        </w:tc>
      </w:tr>
      <w:tr w:rsidR="001E7F72" w14:paraId="51E92FE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F289E8A" w14:textId="77777777" w:rsidR="001E7F72" w:rsidRDefault="001E7F72" w:rsidP="001E7F72">
            <w:pPr>
              <w:pStyle w:val="biaogecenter"/>
              <w:wordWrap w:val="0"/>
              <w:rPr>
                <w:rFonts w:hint="eastAsia"/>
              </w:rPr>
            </w:pPr>
            <w:r>
              <w:rPr>
                <w:rFonts w:hAnsi="等线" w:hint="eastAsia"/>
                <w:color w:val="000000"/>
              </w:rPr>
              <w:t>5</w:t>
            </w:r>
          </w:p>
        </w:tc>
        <w:tc>
          <w:tcPr>
            <w:tcW w:w="3029" w:type="dxa"/>
            <w:tcBorders>
              <w:top w:val="single" w:sz="8" w:space="0" w:color="000000"/>
              <w:left w:val="single" w:sz="8" w:space="0" w:color="000000"/>
              <w:bottom w:val="single" w:sz="6" w:space="0" w:color="000000"/>
              <w:right w:val="single" w:sz="8" w:space="0" w:color="000000"/>
            </w:tcBorders>
            <w:vAlign w:val="center"/>
          </w:tcPr>
          <w:p w14:paraId="1456DE9D" w14:textId="77777777" w:rsidR="001E7F72" w:rsidRDefault="001E7F72" w:rsidP="001E7F72">
            <w:pPr>
              <w:pStyle w:val="biaogeleft"/>
              <w:wordWrap w:val="0"/>
              <w:rPr>
                <w:rFonts w:hint="eastAsia"/>
              </w:rPr>
            </w:pPr>
            <w:r>
              <w:rPr>
                <w:rFonts w:hint="eastAsia"/>
              </w:rPr>
              <w:t>金融衍生</w:t>
            </w:r>
            <w:proofErr w:type="gramStart"/>
            <w:r>
              <w:rPr>
                <w:rFonts w:hint="eastAsia"/>
              </w:rPr>
              <w:t>品投资</w:t>
            </w:r>
            <w:proofErr w:type="gramEnd"/>
          </w:p>
        </w:tc>
        <w:tc>
          <w:tcPr>
            <w:tcW w:w="2086" w:type="dxa"/>
            <w:tcBorders>
              <w:top w:val="single" w:sz="8" w:space="0" w:color="000000"/>
              <w:left w:val="single" w:sz="8" w:space="0" w:color="000000"/>
              <w:bottom w:val="single" w:sz="6" w:space="0" w:color="000000"/>
              <w:right w:val="single" w:sz="8" w:space="0" w:color="000000"/>
            </w:tcBorders>
            <w:vAlign w:val="center"/>
          </w:tcPr>
          <w:p w14:paraId="63A6F5A4" w14:textId="6417283C" w:rsidR="001E7F72" w:rsidRDefault="001E7F72" w:rsidP="001E7F72">
            <w:pPr>
              <w:pStyle w:val="biaogeright"/>
              <w:wordWrap w:val="0"/>
              <w:rPr>
                <w:rFonts w:hint="eastAsia"/>
              </w:rPr>
            </w:pPr>
            <w:r w:rsidRPr="0001104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172A6ECB" w14:textId="676F7357" w:rsidR="001E7F72" w:rsidRDefault="001E7F72" w:rsidP="001E7F72">
            <w:pPr>
              <w:pStyle w:val="biaogeright"/>
              <w:wordWrap w:val="0"/>
              <w:rPr>
                <w:rFonts w:hint="eastAsia"/>
              </w:rPr>
            </w:pPr>
            <w:r w:rsidRPr="00011045">
              <w:rPr>
                <w:rFonts w:hAnsi="等线"/>
                <w:color w:val="000000"/>
              </w:rPr>
              <w:t>-</w:t>
            </w:r>
          </w:p>
        </w:tc>
      </w:tr>
      <w:tr w:rsidR="001E7F72" w14:paraId="5FF3EB5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9DF4F56" w14:textId="77777777" w:rsidR="001E7F72" w:rsidRDefault="001E7F72" w:rsidP="001E7F72">
            <w:pPr>
              <w:pStyle w:val="biaogecenter"/>
              <w:wordWrap w:val="0"/>
              <w:rPr>
                <w:rFonts w:hint="eastAsia"/>
              </w:rPr>
            </w:pPr>
            <w:r>
              <w:rPr>
                <w:rFonts w:hAnsi="等线" w:hint="eastAsia"/>
                <w:color w:val="000000"/>
              </w:rPr>
              <w:t>6</w:t>
            </w:r>
          </w:p>
        </w:tc>
        <w:tc>
          <w:tcPr>
            <w:tcW w:w="3029" w:type="dxa"/>
            <w:tcBorders>
              <w:top w:val="single" w:sz="8" w:space="0" w:color="000000"/>
              <w:left w:val="single" w:sz="8" w:space="0" w:color="000000"/>
              <w:bottom w:val="single" w:sz="6" w:space="0" w:color="000000"/>
              <w:right w:val="single" w:sz="8" w:space="0" w:color="000000"/>
            </w:tcBorders>
            <w:vAlign w:val="center"/>
          </w:tcPr>
          <w:p w14:paraId="06F38CB5" w14:textId="77777777" w:rsidR="001E7F72" w:rsidRDefault="001E7F72" w:rsidP="001E7F72">
            <w:pPr>
              <w:pStyle w:val="biaogeleft"/>
              <w:wordWrap w:val="0"/>
              <w:rPr>
                <w:rFonts w:hint="eastAsia"/>
              </w:rPr>
            </w:pPr>
            <w:r>
              <w:rPr>
                <w:rFonts w:hint="eastAsia"/>
              </w:rPr>
              <w:t>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tcPr>
          <w:p w14:paraId="4869B5F9" w14:textId="39A8BFE0" w:rsidR="001E7F72" w:rsidRDefault="001E7F72" w:rsidP="001E7F72">
            <w:pPr>
              <w:pStyle w:val="biaogeright"/>
              <w:wordWrap w:val="0"/>
              <w:rPr>
                <w:rFonts w:hint="eastAsia"/>
              </w:rPr>
            </w:pPr>
            <w:r w:rsidRPr="0001104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1A76F078" w14:textId="19D5C41A" w:rsidR="001E7F72" w:rsidRDefault="001E7F72" w:rsidP="001E7F72">
            <w:pPr>
              <w:pStyle w:val="biaogeright"/>
              <w:wordWrap w:val="0"/>
              <w:rPr>
                <w:rFonts w:hint="eastAsia"/>
              </w:rPr>
            </w:pPr>
            <w:r w:rsidRPr="00011045">
              <w:rPr>
                <w:rFonts w:hAnsi="等线"/>
                <w:color w:val="000000"/>
              </w:rPr>
              <w:t>-</w:t>
            </w:r>
          </w:p>
        </w:tc>
      </w:tr>
      <w:tr w:rsidR="001E7F72" w14:paraId="5BB18D5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B98F201" w14:textId="77777777" w:rsidR="001E7F72" w:rsidRDefault="001E7F72" w:rsidP="001E7F72"/>
        </w:tc>
        <w:tc>
          <w:tcPr>
            <w:tcW w:w="3029" w:type="dxa"/>
            <w:tcBorders>
              <w:top w:val="single" w:sz="8" w:space="0" w:color="000000"/>
              <w:left w:val="single" w:sz="8" w:space="0" w:color="000000"/>
              <w:bottom w:val="single" w:sz="6" w:space="0" w:color="000000"/>
              <w:right w:val="single" w:sz="8" w:space="0" w:color="000000"/>
            </w:tcBorders>
            <w:vAlign w:val="center"/>
          </w:tcPr>
          <w:p w14:paraId="2588D214" w14:textId="77777777" w:rsidR="001E7F72" w:rsidRDefault="001E7F72" w:rsidP="001E7F72">
            <w:pPr>
              <w:pStyle w:val="biaogeleft"/>
              <w:wordWrap w:val="0"/>
              <w:rPr>
                <w:rFonts w:hint="eastAsia"/>
              </w:rPr>
            </w:pPr>
            <w:r>
              <w:rPr>
                <w:rFonts w:hint="eastAsia"/>
              </w:rPr>
              <w:t>其中：买断式回购的买入返售金融资产</w:t>
            </w:r>
          </w:p>
        </w:tc>
        <w:tc>
          <w:tcPr>
            <w:tcW w:w="2086" w:type="dxa"/>
            <w:tcBorders>
              <w:top w:val="single" w:sz="8" w:space="0" w:color="000000"/>
              <w:left w:val="single" w:sz="8" w:space="0" w:color="000000"/>
              <w:bottom w:val="single" w:sz="6" w:space="0" w:color="000000"/>
              <w:right w:val="single" w:sz="8" w:space="0" w:color="000000"/>
            </w:tcBorders>
            <w:vAlign w:val="center"/>
          </w:tcPr>
          <w:p w14:paraId="0CF00835" w14:textId="38D0D71D" w:rsidR="001E7F72" w:rsidRDefault="001E7F72" w:rsidP="001E7F72">
            <w:pPr>
              <w:pStyle w:val="biaogeright"/>
              <w:wordWrap w:val="0"/>
              <w:rPr>
                <w:rFonts w:hint="eastAsia"/>
              </w:rPr>
            </w:pPr>
            <w:r w:rsidRPr="00011045">
              <w:rPr>
                <w:rFonts w:hAnsi="等线"/>
                <w:color w:val="000000"/>
              </w:rPr>
              <w:t>-</w:t>
            </w:r>
          </w:p>
        </w:tc>
        <w:tc>
          <w:tcPr>
            <w:tcW w:w="2537" w:type="dxa"/>
            <w:tcBorders>
              <w:top w:val="single" w:sz="8" w:space="0" w:color="000000"/>
              <w:left w:val="single" w:sz="8" w:space="0" w:color="000000"/>
              <w:bottom w:val="single" w:sz="6" w:space="0" w:color="000000"/>
              <w:right w:val="single" w:sz="8" w:space="0" w:color="000000"/>
            </w:tcBorders>
            <w:vAlign w:val="center"/>
          </w:tcPr>
          <w:p w14:paraId="6F77A2E8" w14:textId="3ED939D1" w:rsidR="001E7F72" w:rsidRDefault="001E7F72" w:rsidP="001E7F72">
            <w:pPr>
              <w:pStyle w:val="biaogeright"/>
              <w:wordWrap w:val="0"/>
              <w:rPr>
                <w:rFonts w:hint="eastAsia"/>
              </w:rPr>
            </w:pPr>
            <w:r w:rsidRPr="00011045">
              <w:rPr>
                <w:rFonts w:hAnsi="等线"/>
                <w:color w:val="000000"/>
              </w:rPr>
              <w:t>-</w:t>
            </w:r>
          </w:p>
        </w:tc>
      </w:tr>
      <w:tr w:rsidR="001E7F72" w14:paraId="2F4172D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5878A7C" w14:textId="77777777" w:rsidR="001E7F72" w:rsidRDefault="001E7F72" w:rsidP="001E7F72">
            <w:pPr>
              <w:pStyle w:val="biaogecenter"/>
              <w:wordWrap w:val="0"/>
              <w:rPr>
                <w:rFonts w:hint="eastAsia"/>
              </w:rPr>
            </w:pPr>
            <w:r>
              <w:rPr>
                <w:rFonts w:hAnsi="等线" w:hint="eastAsia"/>
                <w:color w:val="000000"/>
              </w:rPr>
              <w:t>7</w:t>
            </w:r>
          </w:p>
        </w:tc>
        <w:tc>
          <w:tcPr>
            <w:tcW w:w="3029" w:type="dxa"/>
            <w:tcBorders>
              <w:top w:val="single" w:sz="8" w:space="0" w:color="000000"/>
              <w:left w:val="single" w:sz="8" w:space="0" w:color="000000"/>
              <w:bottom w:val="single" w:sz="6" w:space="0" w:color="000000"/>
              <w:right w:val="single" w:sz="8" w:space="0" w:color="000000"/>
            </w:tcBorders>
            <w:vAlign w:val="center"/>
          </w:tcPr>
          <w:p w14:paraId="7BD88F02" w14:textId="77777777" w:rsidR="001E7F72" w:rsidRDefault="001E7F72" w:rsidP="001E7F72">
            <w:pPr>
              <w:pStyle w:val="biaogeleft"/>
              <w:wordWrap w:val="0"/>
              <w:rPr>
                <w:rFonts w:hint="eastAsia"/>
              </w:rPr>
            </w:pPr>
            <w:r>
              <w:rPr>
                <w:rFonts w:hint="eastAsia"/>
              </w:rPr>
              <w:t>银行存款和结算备付金合计</w:t>
            </w:r>
          </w:p>
        </w:tc>
        <w:tc>
          <w:tcPr>
            <w:tcW w:w="2086" w:type="dxa"/>
            <w:tcBorders>
              <w:top w:val="single" w:sz="8" w:space="0" w:color="000000"/>
              <w:left w:val="single" w:sz="8" w:space="0" w:color="000000"/>
              <w:bottom w:val="single" w:sz="6" w:space="0" w:color="000000"/>
              <w:right w:val="single" w:sz="8" w:space="0" w:color="000000"/>
            </w:tcBorders>
            <w:vAlign w:val="center"/>
          </w:tcPr>
          <w:p w14:paraId="3DF3495F" w14:textId="2E8BEF4D" w:rsidR="001E7F72" w:rsidRDefault="001E7F72" w:rsidP="001E7F72">
            <w:pPr>
              <w:pStyle w:val="biaogeright"/>
              <w:wordWrap w:val="0"/>
              <w:rPr>
                <w:rFonts w:hint="eastAsia"/>
              </w:rPr>
            </w:pPr>
            <w:r w:rsidRPr="00011045">
              <w:rPr>
                <w:rFonts w:hAnsi="等线"/>
                <w:color w:val="000000"/>
              </w:rPr>
              <w:t>800,258.58</w:t>
            </w:r>
          </w:p>
        </w:tc>
        <w:tc>
          <w:tcPr>
            <w:tcW w:w="2537" w:type="dxa"/>
            <w:tcBorders>
              <w:top w:val="single" w:sz="8" w:space="0" w:color="000000"/>
              <w:left w:val="single" w:sz="8" w:space="0" w:color="000000"/>
              <w:bottom w:val="single" w:sz="6" w:space="0" w:color="000000"/>
              <w:right w:val="single" w:sz="8" w:space="0" w:color="000000"/>
            </w:tcBorders>
            <w:vAlign w:val="center"/>
          </w:tcPr>
          <w:p w14:paraId="39528EEA" w14:textId="496837C9" w:rsidR="001E7F72" w:rsidRDefault="001E7F72" w:rsidP="001E7F72">
            <w:pPr>
              <w:pStyle w:val="biaogeright"/>
              <w:wordWrap w:val="0"/>
              <w:rPr>
                <w:rFonts w:hint="eastAsia"/>
              </w:rPr>
            </w:pPr>
            <w:r w:rsidRPr="00011045">
              <w:rPr>
                <w:rFonts w:hAnsi="等线"/>
                <w:color w:val="000000"/>
              </w:rPr>
              <w:t>9.23</w:t>
            </w:r>
          </w:p>
        </w:tc>
      </w:tr>
      <w:tr w:rsidR="001E7F72" w14:paraId="5DF78E2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CDF4EAF" w14:textId="77777777" w:rsidR="001E7F72" w:rsidRDefault="001E7F72" w:rsidP="001E7F72">
            <w:pPr>
              <w:pStyle w:val="biaogecenter"/>
              <w:wordWrap w:val="0"/>
              <w:rPr>
                <w:rFonts w:hint="eastAsia"/>
              </w:rPr>
            </w:pPr>
            <w:r>
              <w:rPr>
                <w:rFonts w:hAnsi="等线" w:hint="eastAsia"/>
                <w:color w:val="000000"/>
              </w:rPr>
              <w:lastRenderedPageBreak/>
              <w:t>8</w:t>
            </w:r>
          </w:p>
        </w:tc>
        <w:tc>
          <w:tcPr>
            <w:tcW w:w="3029" w:type="dxa"/>
            <w:tcBorders>
              <w:top w:val="single" w:sz="8" w:space="0" w:color="000000"/>
              <w:left w:val="single" w:sz="8" w:space="0" w:color="000000"/>
              <w:bottom w:val="single" w:sz="6" w:space="0" w:color="000000"/>
              <w:right w:val="single" w:sz="8" w:space="0" w:color="000000"/>
            </w:tcBorders>
            <w:vAlign w:val="center"/>
          </w:tcPr>
          <w:p w14:paraId="1DDA92B3" w14:textId="77777777" w:rsidR="001E7F72" w:rsidRDefault="001E7F72" w:rsidP="001E7F72">
            <w:pPr>
              <w:pStyle w:val="biaogeleft"/>
              <w:wordWrap w:val="0"/>
              <w:rPr>
                <w:rFonts w:hint="eastAsia"/>
              </w:rPr>
            </w:pPr>
            <w:r>
              <w:rPr>
                <w:rFonts w:hint="eastAsia"/>
              </w:rPr>
              <w:t>其他资产</w:t>
            </w:r>
          </w:p>
        </w:tc>
        <w:tc>
          <w:tcPr>
            <w:tcW w:w="2086" w:type="dxa"/>
            <w:tcBorders>
              <w:top w:val="single" w:sz="8" w:space="0" w:color="000000"/>
              <w:left w:val="single" w:sz="8" w:space="0" w:color="000000"/>
              <w:bottom w:val="single" w:sz="6" w:space="0" w:color="000000"/>
              <w:right w:val="single" w:sz="8" w:space="0" w:color="000000"/>
            </w:tcBorders>
            <w:vAlign w:val="center"/>
          </w:tcPr>
          <w:p w14:paraId="653AB212" w14:textId="3E30F98E" w:rsidR="001E7F72" w:rsidRDefault="001E7F72" w:rsidP="001E7F72">
            <w:pPr>
              <w:pStyle w:val="biaogeright"/>
              <w:wordWrap w:val="0"/>
              <w:rPr>
                <w:rFonts w:hint="eastAsia"/>
              </w:rPr>
            </w:pPr>
            <w:r w:rsidRPr="00011045">
              <w:rPr>
                <w:rFonts w:hAnsi="等线"/>
                <w:color w:val="000000"/>
              </w:rPr>
              <w:t>1,872.01</w:t>
            </w:r>
          </w:p>
        </w:tc>
        <w:tc>
          <w:tcPr>
            <w:tcW w:w="2537" w:type="dxa"/>
            <w:tcBorders>
              <w:top w:val="single" w:sz="8" w:space="0" w:color="000000"/>
              <w:left w:val="single" w:sz="8" w:space="0" w:color="000000"/>
              <w:bottom w:val="single" w:sz="6" w:space="0" w:color="000000"/>
              <w:right w:val="single" w:sz="8" w:space="0" w:color="000000"/>
            </w:tcBorders>
            <w:vAlign w:val="center"/>
          </w:tcPr>
          <w:p w14:paraId="17CE3C9A" w14:textId="77E286C3" w:rsidR="001E7F72" w:rsidRDefault="001E7F72" w:rsidP="001E7F72">
            <w:pPr>
              <w:pStyle w:val="biaogeright"/>
              <w:wordWrap w:val="0"/>
              <w:rPr>
                <w:rFonts w:hint="eastAsia"/>
              </w:rPr>
            </w:pPr>
            <w:r w:rsidRPr="00011045">
              <w:rPr>
                <w:rFonts w:hAnsi="等线"/>
                <w:color w:val="000000"/>
              </w:rPr>
              <w:t>0.02</w:t>
            </w:r>
          </w:p>
        </w:tc>
      </w:tr>
      <w:tr w:rsidR="001E7F72" w14:paraId="6D8ADE6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D1630F5" w14:textId="77777777" w:rsidR="001E7F72" w:rsidRDefault="001E7F72" w:rsidP="001E7F72">
            <w:pPr>
              <w:pStyle w:val="biaogecenter"/>
              <w:wordWrap w:val="0"/>
              <w:rPr>
                <w:rFonts w:hint="eastAsia"/>
              </w:rPr>
            </w:pPr>
            <w:r>
              <w:rPr>
                <w:rFonts w:hint="eastAsia"/>
              </w:rPr>
              <w:t>9</w:t>
            </w:r>
          </w:p>
        </w:tc>
        <w:tc>
          <w:tcPr>
            <w:tcW w:w="3029" w:type="dxa"/>
            <w:tcBorders>
              <w:top w:val="single" w:sz="8" w:space="0" w:color="000000"/>
              <w:left w:val="single" w:sz="8" w:space="0" w:color="000000"/>
              <w:bottom w:val="single" w:sz="6" w:space="0" w:color="000000"/>
              <w:right w:val="single" w:sz="8" w:space="0" w:color="000000"/>
            </w:tcBorders>
            <w:vAlign w:val="center"/>
          </w:tcPr>
          <w:p w14:paraId="57611453" w14:textId="77777777" w:rsidR="001E7F72" w:rsidRDefault="001E7F72" w:rsidP="001E7F72">
            <w:pPr>
              <w:pStyle w:val="biaogeleft"/>
              <w:wordWrap w:val="0"/>
              <w:rPr>
                <w:rFonts w:hint="eastAsia"/>
              </w:rPr>
            </w:pPr>
            <w:r>
              <w:rPr>
                <w:rFonts w:hint="eastAsia"/>
              </w:rPr>
              <w:t>合计</w:t>
            </w:r>
          </w:p>
        </w:tc>
        <w:tc>
          <w:tcPr>
            <w:tcW w:w="2086" w:type="dxa"/>
            <w:tcBorders>
              <w:top w:val="single" w:sz="8" w:space="0" w:color="000000"/>
              <w:left w:val="single" w:sz="8" w:space="0" w:color="000000"/>
              <w:bottom w:val="single" w:sz="6" w:space="0" w:color="000000"/>
              <w:right w:val="single" w:sz="8" w:space="0" w:color="000000"/>
            </w:tcBorders>
            <w:vAlign w:val="center"/>
          </w:tcPr>
          <w:p w14:paraId="42558E97" w14:textId="4858E04C" w:rsidR="001E7F72" w:rsidRDefault="001E7F72" w:rsidP="001E7F72">
            <w:pPr>
              <w:pStyle w:val="biaogeright"/>
              <w:wordWrap w:val="0"/>
              <w:rPr>
                <w:rFonts w:hint="eastAsia"/>
              </w:rPr>
            </w:pPr>
            <w:r w:rsidRPr="00011045">
              <w:rPr>
                <w:rFonts w:hAnsi="等线"/>
                <w:color w:val="000000"/>
              </w:rPr>
              <w:t>8,665,531.59</w:t>
            </w:r>
          </w:p>
        </w:tc>
        <w:tc>
          <w:tcPr>
            <w:tcW w:w="2537" w:type="dxa"/>
            <w:tcBorders>
              <w:top w:val="single" w:sz="8" w:space="0" w:color="000000"/>
              <w:left w:val="single" w:sz="8" w:space="0" w:color="000000"/>
              <w:bottom w:val="single" w:sz="6" w:space="0" w:color="000000"/>
              <w:right w:val="single" w:sz="8" w:space="0" w:color="000000"/>
            </w:tcBorders>
            <w:vAlign w:val="center"/>
          </w:tcPr>
          <w:p w14:paraId="674C19E9" w14:textId="14A1AE63" w:rsidR="001E7F72" w:rsidRDefault="001E7F72" w:rsidP="001E7F72">
            <w:pPr>
              <w:pStyle w:val="biaogeright"/>
              <w:wordWrap w:val="0"/>
              <w:rPr>
                <w:rFonts w:hint="eastAsia"/>
              </w:rPr>
            </w:pPr>
            <w:r w:rsidRPr="00011045">
              <w:rPr>
                <w:rFonts w:hAnsi="等线"/>
                <w:color w:val="000000"/>
              </w:rPr>
              <w:t>100.00</w:t>
            </w:r>
          </w:p>
        </w:tc>
      </w:tr>
    </w:tbl>
    <w:p w14:paraId="0383F330" w14:textId="77777777" w:rsidR="009214AE" w:rsidRDefault="00C66335">
      <w:pPr>
        <w:pStyle w:val="zhangjiep"/>
        <w:ind w:firstLine="422"/>
        <w:rPr>
          <w:rFonts w:hint="eastAsia"/>
        </w:rPr>
      </w:pPr>
      <w:bookmarkStart w:id="206" w:name="_Toc124758504"/>
      <w:r>
        <w:rPr>
          <w:rFonts w:hAnsi="等线" w:hint="eastAsia"/>
          <w:b/>
          <w:color w:val="000000"/>
        </w:rPr>
        <w:t>2、报告期末按行业分类的股票投资组合</w:t>
      </w:r>
      <w:bookmarkEnd w:id="206"/>
    </w:p>
    <w:p w14:paraId="78152804" w14:textId="77777777" w:rsidR="009214AE" w:rsidRDefault="00C66335">
      <w:pPr>
        <w:pStyle w:val="zhangjiep2"/>
        <w:rPr>
          <w:rFonts w:hint="eastAsia"/>
        </w:rPr>
      </w:pPr>
      <w:r>
        <w:rPr>
          <w:rFonts w:hAnsi="等线" w:hint="eastAsia"/>
          <w:b/>
          <w:color w:val="000000"/>
        </w:rPr>
        <w:t>（1）报告期末按行业分类的境内股票投资组合</w:t>
      </w:r>
    </w:p>
    <w:tbl>
      <w:tblPr>
        <w:tblW w:w="8512" w:type="dxa"/>
        <w:tblInd w:w="226" w:type="dxa"/>
        <w:tblLook w:val="04A0" w:firstRow="1" w:lastRow="0" w:firstColumn="1" w:lastColumn="0" w:noHBand="0" w:noVBand="1"/>
      </w:tblPr>
      <w:tblGrid>
        <w:gridCol w:w="787"/>
        <w:gridCol w:w="3648"/>
        <w:gridCol w:w="1968"/>
        <w:gridCol w:w="2109"/>
      </w:tblGrid>
      <w:tr w:rsidR="009214AE" w14:paraId="2A147DE9" w14:textId="77777777">
        <w:tc>
          <w:tcPr>
            <w:tcW w:w="787" w:type="dxa"/>
            <w:tcBorders>
              <w:top w:val="single" w:sz="8" w:space="0" w:color="000000"/>
              <w:left w:val="single" w:sz="8" w:space="0" w:color="000000"/>
              <w:bottom w:val="single" w:sz="6" w:space="0" w:color="000000"/>
              <w:right w:val="single" w:sz="8" w:space="0" w:color="000000"/>
            </w:tcBorders>
            <w:vAlign w:val="center"/>
          </w:tcPr>
          <w:p w14:paraId="5EAD0867" w14:textId="77777777" w:rsidR="009214AE" w:rsidRDefault="00C66335">
            <w:pPr>
              <w:pStyle w:val="biaogecenter"/>
              <w:wordWrap w:val="0"/>
              <w:rPr>
                <w:rFonts w:hint="eastAsia"/>
              </w:rPr>
            </w:pPr>
            <w:r>
              <w:rPr>
                <w:rFonts w:hAnsi="等线" w:hint="eastAsia"/>
                <w:color w:val="000000"/>
              </w:rPr>
              <w:t>代码</w:t>
            </w:r>
          </w:p>
        </w:tc>
        <w:tc>
          <w:tcPr>
            <w:tcW w:w="3648" w:type="dxa"/>
            <w:tcBorders>
              <w:top w:val="single" w:sz="8" w:space="0" w:color="000000"/>
              <w:left w:val="single" w:sz="8" w:space="0" w:color="000000"/>
              <w:bottom w:val="single" w:sz="6" w:space="0" w:color="000000"/>
              <w:right w:val="single" w:sz="8" w:space="0" w:color="000000"/>
            </w:tcBorders>
            <w:vAlign w:val="center"/>
          </w:tcPr>
          <w:p w14:paraId="2F284770" w14:textId="77777777" w:rsidR="009214AE" w:rsidRDefault="00C66335">
            <w:pPr>
              <w:pStyle w:val="biaogecenter"/>
              <w:wordWrap w:val="0"/>
              <w:rPr>
                <w:rFonts w:hint="eastAsia"/>
              </w:rPr>
            </w:pPr>
            <w:r>
              <w:rPr>
                <w:rFonts w:hAnsi="等线" w:hint="eastAsia"/>
                <w:color w:val="000000"/>
              </w:rPr>
              <w:t>行业类别</w:t>
            </w:r>
          </w:p>
        </w:tc>
        <w:tc>
          <w:tcPr>
            <w:tcW w:w="1968" w:type="dxa"/>
            <w:tcBorders>
              <w:top w:val="single" w:sz="8" w:space="0" w:color="000000"/>
              <w:left w:val="single" w:sz="8" w:space="0" w:color="000000"/>
              <w:bottom w:val="single" w:sz="6" w:space="0" w:color="000000"/>
              <w:right w:val="single" w:sz="8" w:space="0" w:color="000000"/>
            </w:tcBorders>
            <w:vAlign w:val="center"/>
          </w:tcPr>
          <w:p w14:paraId="37495C5E" w14:textId="77777777" w:rsidR="009214AE" w:rsidRDefault="00C66335">
            <w:pPr>
              <w:pStyle w:val="biaogecenter"/>
              <w:wordWrap w:val="0"/>
              <w:rPr>
                <w:rFonts w:hint="eastAsia"/>
              </w:rPr>
            </w:pPr>
            <w:r>
              <w:rPr>
                <w:rFonts w:hAnsi="等线" w:hint="eastAsia"/>
                <w:color w:val="000000"/>
              </w:rPr>
              <w:t>公允价值(元)</w:t>
            </w:r>
          </w:p>
        </w:tc>
        <w:tc>
          <w:tcPr>
            <w:tcW w:w="2109" w:type="dxa"/>
            <w:tcBorders>
              <w:top w:val="single" w:sz="8" w:space="0" w:color="000000"/>
              <w:left w:val="single" w:sz="8" w:space="0" w:color="000000"/>
              <w:bottom w:val="single" w:sz="6" w:space="0" w:color="000000"/>
              <w:right w:val="single" w:sz="8" w:space="0" w:color="000000"/>
            </w:tcBorders>
            <w:vAlign w:val="center"/>
          </w:tcPr>
          <w:p w14:paraId="14696355" w14:textId="77777777" w:rsidR="009214AE" w:rsidRDefault="00C66335">
            <w:pPr>
              <w:pStyle w:val="biaogecenter"/>
              <w:wordWrap w:val="0"/>
              <w:rPr>
                <w:rFonts w:hint="eastAsia"/>
              </w:rPr>
            </w:pPr>
            <w:r>
              <w:rPr>
                <w:rFonts w:hAnsi="等线" w:hint="eastAsia"/>
                <w:color w:val="000000"/>
              </w:rPr>
              <w:t>占基金资产净值比例（%）</w:t>
            </w:r>
          </w:p>
        </w:tc>
      </w:tr>
      <w:tr w:rsidR="001E7F72" w14:paraId="25CCD6D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2F18CD" w14:textId="77777777" w:rsidR="001E7F72" w:rsidRDefault="001E7F72" w:rsidP="001E7F72">
            <w:pPr>
              <w:pStyle w:val="biaogecenter"/>
              <w:wordWrap w:val="0"/>
              <w:rPr>
                <w:rFonts w:hint="eastAsia"/>
              </w:rPr>
            </w:pPr>
            <w:r>
              <w:rPr>
                <w:rFonts w:hint="eastAsia"/>
              </w:rPr>
              <w:t>A</w:t>
            </w:r>
          </w:p>
        </w:tc>
        <w:tc>
          <w:tcPr>
            <w:tcW w:w="3648" w:type="dxa"/>
            <w:tcBorders>
              <w:top w:val="single" w:sz="8" w:space="0" w:color="000000"/>
              <w:left w:val="single" w:sz="8" w:space="0" w:color="000000"/>
              <w:bottom w:val="single" w:sz="6" w:space="0" w:color="000000"/>
              <w:right w:val="single" w:sz="8" w:space="0" w:color="000000"/>
            </w:tcBorders>
            <w:vAlign w:val="center"/>
          </w:tcPr>
          <w:p w14:paraId="7CD76369" w14:textId="77777777" w:rsidR="001E7F72" w:rsidRDefault="001E7F72" w:rsidP="001E7F72">
            <w:pPr>
              <w:pStyle w:val="biaogeleft"/>
              <w:wordWrap w:val="0"/>
              <w:rPr>
                <w:rFonts w:hint="eastAsia"/>
              </w:rPr>
            </w:pPr>
            <w:r>
              <w:rPr>
                <w:rFonts w:hint="eastAsia"/>
              </w:rPr>
              <w:t>农、林、牧、渔业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6E0DA58F" w14:textId="19ABB939"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1C9546E1" w14:textId="6BED8E74" w:rsidR="001E7F72" w:rsidRDefault="001E7F72" w:rsidP="001E7F72">
            <w:pPr>
              <w:pStyle w:val="biaogeright"/>
              <w:wordWrap w:val="0"/>
              <w:rPr>
                <w:rFonts w:hint="eastAsia"/>
              </w:rPr>
            </w:pPr>
            <w:r w:rsidRPr="004433C8">
              <w:rPr>
                <w:rFonts w:hAnsi="等线"/>
                <w:color w:val="000000"/>
              </w:rPr>
              <w:t>-</w:t>
            </w:r>
          </w:p>
        </w:tc>
      </w:tr>
      <w:tr w:rsidR="001E7F72" w14:paraId="591F13E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E59E8CB" w14:textId="77777777" w:rsidR="001E7F72" w:rsidRDefault="001E7F72" w:rsidP="001E7F72">
            <w:pPr>
              <w:pStyle w:val="biaogecenter"/>
              <w:wordWrap w:val="0"/>
              <w:rPr>
                <w:rFonts w:hint="eastAsia"/>
              </w:rPr>
            </w:pPr>
            <w:r>
              <w:rPr>
                <w:rFonts w:hint="eastAsia"/>
              </w:rPr>
              <w:t>B</w:t>
            </w:r>
          </w:p>
        </w:tc>
        <w:tc>
          <w:tcPr>
            <w:tcW w:w="3648" w:type="dxa"/>
            <w:tcBorders>
              <w:top w:val="single" w:sz="8" w:space="0" w:color="000000"/>
              <w:left w:val="single" w:sz="8" w:space="0" w:color="000000"/>
              <w:bottom w:val="single" w:sz="6" w:space="0" w:color="000000"/>
              <w:right w:val="single" w:sz="8" w:space="0" w:color="000000"/>
            </w:tcBorders>
            <w:vAlign w:val="center"/>
          </w:tcPr>
          <w:p w14:paraId="1A44778F" w14:textId="77777777" w:rsidR="001E7F72" w:rsidRDefault="001E7F72" w:rsidP="001E7F72">
            <w:pPr>
              <w:pStyle w:val="biaogeleft"/>
              <w:wordWrap w:val="0"/>
              <w:rPr>
                <w:rFonts w:hint="eastAsia"/>
              </w:rPr>
            </w:pPr>
            <w:r>
              <w:rPr>
                <w:rFonts w:hint="eastAsia"/>
              </w:rPr>
              <w:t>采矿业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4FAB6B2F" w14:textId="137EF4AD" w:rsidR="001E7F72" w:rsidRDefault="001E7F72" w:rsidP="001E7F72">
            <w:pPr>
              <w:pStyle w:val="biaogeright"/>
              <w:wordWrap w:val="0"/>
              <w:rPr>
                <w:rFonts w:hint="eastAsia"/>
              </w:rPr>
            </w:pPr>
            <w:r w:rsidRPr="004433C8">
              <w:rPr>
                <w:rFonts w:hAnsi="等线"/>
                <w:color w:val="000000"/>
              </w:rPr>
              <w:t>103,761.00</w:t>
            </w:r>
          </w:p>
        </w:tc>
        <w:tc>
          <w:tcPr>
            <w:tcW w:w="2109" w:type="dxa"/>
            <w:tcBorders>
              <w:top w:val="single" w:sz="8" w:space="0" w:color="000000"/>
              <w:left w:val="single" w:sz="8" w:space="0" w:color="000000"/>
              <w:bottom w:val="single" w:sz="6" w:space="0" w:color="000000"/>
              <w:right w:val="single" w:sz="8" w:space="0" w:color="000000"/>
            </w:tcBorders>
            <w:vAlign w:val="center"/>
          </w:tcPr>
          <w:p w14:paraId="7E3BD9CA" w14:textId="087D4022" w:rsidR="001E7F72" w:rsidRDefault="001E7F72" w:rsidP="001E7F72">
            <w:pPr>
              <w:pStyle w:val="biaogeright"/>
              <w:wordWrap w:val="0"/>
              <w:rPr>
                <w:rFonts w:hint="eastAsia"/>
              </w:rPr>
            </w:pPr>
            <w:r w:rsidRPr="004433C8">
              <w:rPr>
                <w:rFonts w:hAnsi="等线"/>
                <w:color w:val="000000"/>
              </w:rPr>
              <w:t>1.20</w:t>
            </w:r>
          </w:p>
        </w:tc>
      </w:tr>
      <w:tr w:rsidR="001E7F72" w14:paraId="405625F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4BE9D4" w14:textId="77777777" w:rsidR="001E7F72" w:rsidRDefault="001E7F72" w:rsidP="001E7F72">
            <w:pPr>
              <w:pStyle w:val="biaogecenter"/>
              <w:wordWrap w:val="0"/>
              <w:rPr>
                <w:rFonts w:hint="eastAsia"/>
              </w:rPr>
            </w:pPr>
            <w:r>
              <w:rPr>
                <w:rFonts w:hint="eastAsia"/>
              </w:rPr>
              <w:t>C</w:t>
            </w:r>
          </w:p>
        </w:tc>
        <w:tc>
          <w:tcPr>
            <w:tcW w:w="3648" w:type="dxa"/>
            <w:tcBorders>
              <w:top w:val="single" w:sz="8" w:space="0" w:color="000000"/>
              <w:left w:val="single" w:sz="8" w:space="0" w:color="000000"/>
              <w:bottom w:val="single" w:sz="6" w:space="0" w:color="000000"/>
              <w:right w:val="single" w:sz="8" w:space="0" w:color="000000"/>
            </w:tcBorders>
            <w:vAlign w:val="center"/>
          </w:tcPr>
          <w:p w14:paraId="33561A1F" w14:textId="77777777" w:rsidR="001E7F72" w:rsidRDefault="001E7F72" w:rsidP="001E7F72">
            <w:pPr>
              <w:pStyle w:val="biaogeleft"/>
              <w:wordWrap w:val="0"/>
              <w:rPr>
                <w:rFonts w:hint="eastAsia"/>
              </w:rPr>
            </w:pPr>
            <w:r>
              <w:rPr>
                <w:rFonts w:hint="eastAsia"/>
              </w:rPr>
              <w:t>制造业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0934E245" w14:textId="4811FD11" w:rsidR="001E7F72" w:rsidRDefault="001E7F72" w:rsidP="001E7F72">
            <w:pPr>
              <w:pStyle w:val="biaogeright"/>
              <w:wordWrap w:val="0"/>
              <w:rPr>
                <w:rFonts w:hint="eastAsia"/>
              </w:rPr>
            </w:pPr>
            <w:r w:rsidRPr="004433C8">
              <w:rPr>
                <w:rFonts w:hAnsi="等线"/>
                <w:color w:val="000000"/>
              </w:rPr>
              <w:t>5,904,453.00</w:t>
            </w:r>
          </w:p>
        </w:tc>
        <w:tc>
          <w:tcPr>
            <w:tcW w:w="2109" w:type="dxa"/>
            <w:tcBorders>
              <w:top w:val="single" w:sz="8" w:space="0" w:color="000000"/>
              <w:left w:val="single" w:sz="8" w:space="0" w:color="000000"/>
              <w:bottom w:val="single" w:sz="6" w:space="0" w:color="000000"/>
              <w:right w:val="single" w:sz="8" w:space="0" w:color="000000"/>
            </w:tcBorders>
            <w:vAlign w:val="center"/>
          </w:tcPr>
          <w:p w14:paraId="4CD91DB9" w14:textId="75264F29" w:rsidR="001E7F72" w:rsidRDefault="001E7F72" w:rsidP="001E7F72">
            <w:pPr>
              <w:pStyle w:val="biaogeright"/>
              <w:wordWrap w:val="0"/>
              <w:rPr>
                <w:rFonts w:hint="eastAsia"/>
              </w:rPr>
            </w:pPr>
            <w:r w:rsidRPr="004433C8">
              <w:rPr>
                <w:rFonts w:hAnsi="等线"/>
                <w:color w:val="000000"/>
              </w:rPr>
              <w:t>68.29</w:t>
            </w:r>
          </w:p>
        </w:tc>
      </w:tr>
      <w:tr w:rsidR="001E7F72" w14:paraId="1A8F3BC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3FA38F6" w14:textId="77777777" w:rsidR="001E7F72" w:rsidRDefault="001E7F72" w:rsidP="001E7F72">
            <w:pPr>
              <w:pStyle w:val="biaogecenter"/>
              <w:wordWrap w:val="0"/>
              <w:rPr>
                <w:rFonts w:hint="eastAsia"/>
              </w:rPr>
            </w:pPr>
            <w:r>
              <w:rPr>
                <w:rFonts w:hAnsi="等线" w:hint="eastAsia"/>
                <w:color w:val="000000"/>
              </w:rPr>
              <w:t>D</w:t>
            </w:r>
          </w:p>
        </w:tc>
        <w:tc>
          <w:tcPr>
            <w:tcW w:w="3648" w:type="dxa"/>
            <w:tcBorders>
              <w:top w:val="single" w:sz="8" w:space="0" w:color="000000"/>
              <w:left w:val="single" w:sz="8" w:space="0" w:color="000000"/>
              <w:bottom w:val="single" w:sz="6" w:space="0" w:color="000000"/>
              <w:right w:val="single" w:sz="8" w:space="0" w:color="000000"/>
            </w:tcBorders>
            <w:vAlign w:val="center"/>
          </w:tcPr>
          <w:p w14:paraId="716807DC" w14:textId="77777777" w:rsidR="001E7F72" w:rsidRDefault="001E7F72" w:rsidP="001E7F72">
            <w:pPr>
              <w:pStyle w:val="biaogeleft"/>
              <w:wordWrap w:val="0"/>
              <w:rPr>
                <w:rFonts w:hint="eastAsia"/>
              </w:rPr>
            </w:pPr>
            <w:r>
              <w:rPr>
                <w:rFonts w:hint="eastAsia"/>
              </w:rPr>
              <w:t>电力、热力、燃气及水生产和供应业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3F02829A" w14:textId="59B7DDDD" w:rsidR="001E7F72" w:rsidRDefault="001E7F72" w:rsidP="001E7F72">
            <w:pPr>
              <w:pStyle w:val="biaogeright"/>
              <w:wordWrap w:val="0"/>
              <w:rPr>
                <w:rFonts w:hint="eastAsia"/>
              </w:rPr>
            </w:pPr>
            <w:r w:rsidRPr="004433C8">
              <w:rPr>
                <w:rFonts w:hAnsi="等线"/>
                <w:color w:val="000000"/>
              </w:rPr>
              <w:t>828,812.00</w:t>
            </w:r>
          </w:p>
        </w:tc>
        <w:tc>
          <w:tcPr>
            <w:tcW w:w="2109" w:type="dxa"/>
            <w:tcBorders>
              <w:top w:val="single" w:sz="8" w:space="0" w:color="000000"/>
              <w:left w:val="single" w:sz="8" w:space="0" w:color="000000"/>
              <w:bottom w:val="single" w:sz="6" w:space="0" w:color="000000"/>
              <w:right w:val="single" w:sz="8" w:space="0" w:color="000000"/>
            </w:tcBorders>
            <w:vAlign w:val="center"/>
          </w:tcPr>
          <w:p w14:paraId="5E591533" w14:textId="7DC75ECB" w:rsidR="001E7F72" w:rsidRDefault="001E7F72" w:rsidP="001E7F72">
            <w:pPr>
              <w:pStyle w:val="biaogeright"/>
              <w:wordWrap w:val="0"/>
              <w:rPr>
                <w:rFonts w:hint="eastAsia"/>
              </w:rPr>
            </w:pPr>
            <w:r w:rsidRPr="004433C8">
              <w:rPr>
                <w:rFonts w:hAnsi="等线"/>
                <w:color w:val="000000"/>
              </w:rPr>
              <w:t>9.59</w:t>
            </w:r>
          </w:p>
        </w:tc>
      </w:tr>
      <w:tr w:rsidR="001E7F72" w14:paraId="6E2E149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3F499CF" w14:textId="77777777" w:rsidR="001E7F72" w:rsidRDefault="001E7F72" w:rsidP="001E7F72">
            <w:pPr>
              <w:pStyle w:val="biaogecenter"/>
              <w:wordWrap w:val="0"/>
              <w:rPr>
                <w:rFonts w:hint="eastAsia"/>
              </w:rPr>
            </w:pPr>
            <w:r>
              <w:rPr>
                <w:rFonts w:hint="eastAsia"/>
              </w:rPr>
              <w:t>E</w:t>
            </w:r>
          </w:p>
        </w:tc>
        <w:tc>
          <w:tcPr>
            <w:tcW w:w="3648" w:type="dxa"/>
            <w:tcBorders>
              <w:top w:val="single" w:sz="8" w:space="0" w:color="000000"/>
              <w:left w:val="single" w:sz="8" w:space="0" w:color="000000"/>
              <w:bottom w:val="single" w:sz="6" w:space="0" w:color="000000"/>
              <w:right w:val="single" w:sz="8" w:space="0" w:color="000000"/>
            </w:tcBorders>
            <w:vAlign w:val="center"/>
          </w:tcPr>
          <w:p w14:paraId="59BD583D" w14:textId="77777777" w:rsidR="001E7F72" w:rsidRDefault="001E7F72" w:rsidP="001E7F72">
            <w:pPr>
              <w:pStyle w:val="biaogeleft"/>
              <w:wordWrap w:val="0"/>
              <w:rPr>
                <w:rFonts w:hint="eastAsia"/>
              </w:rPr>
            </w:pPr>
            <w:r>
              <w:rPr>
                <w:rFonts w:hint="eastAsia"/>
              </w:rPr>
              <w:t>建筑业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4FEF0549" w14:textId="648C8715"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1FAA954B" w14:textId="7E271BD9" w:rsidR="001E7F72" w:rsidRDefault="001E7F72" w:rsidP="001E7F72">
            <w:pPr>
              <w:pStyle w:val="biaogeright"/>
              <w:wordWrap w:val="0"/>
              <w:rPr>
                <w:rFonts w:hint="eastAsia"/>
              </w:rPr>
            </w:pPr>
            <w:r w:rsidRPr="004433C8">
              <w:rPr>
                <w:rFonts w:hAnsi="等线"/>
                <w:color w:val="000000"/>
              </w:rPr>
              <w:t>-</w:t>
            </w:r>
          </w:p>
        </w:tc>
      </w:tr>
      <w:tr w:rsidR="001E7F72" w14:paraId="6538919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D7F2F6" w14:textId="77777777" w:rsidR="001E7F72" w:rsidRDefault="001E7F72" w:rsidP="001E7F72">
            <w:pPr>
              <w:pStyle w:val="biaogecenter"/>
              <w:wordWrap w:val="0"/>
              <w:rPr>
                <w:rFonts w:hint="eastAsia"/>
              </w:rPr>
            </w:pPr>
            <w:r>
              <w:rPr>
                <w:rFonts w:hAnsi="等线" w:hint="eastAsia"/>
                <w:color w:val="000000"/>
              </w:rPr>
              <w:t>F</w:t>
            </w:r>
          </w:p>
        </w:tc>
        <w:tc>
          <w:tcPr>
            <w:tcW w:w="3648" w:type="dxa"/>
            <w:tcBorders>
              <w:top w:val="single" w:sz="8" w:space="0" w:color="000000"/>
              <w:left w:val="single" w:sz="8" w:space="0" w:color="000000"/>
              <w:bottom w:val="single" w:sz="6" w:space="0" w:color="000000"/>
              <w:right w:val="single" w:sz="8" w:space="0" w:color="000000"/>
            </w:tcBorders>
            <w:vAlign w:val="center"/>
          </w:tcPr>
          <w:p w14:paraId="0F90C3FA" w14:textId="77777777" w:rsidR="001E7F72" w:rsidRDefault="001E7F72" w:rsidP="001E7F72">
            <w:pPr>
              <w:pStyle w:val="biaogeleft"/>
              <w:wordWrap w:val="0"/>
              <w:rPr>
                <w:rFonts w:hint="eastAsia"/>
              </w:rPr>
            </w:pPr>
            <w:r>
              <w:rPr>
                <w:rFonts w:hint="eastAsia"/>
              </w:rPr>
              <w:t>批发和零售业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3FBB03FE" w14:textId="3D645143"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04950DA1" w14:textId="4C8E53E0" w:rsidR="001E7F72" w:rsidRDefault="001E7F72" w:rsidP="001E7F72">
            <w:pPr>
              <w:pStyle w:val="biaogeright"/>
              <w:wordWrap w:val="0"/>
              <w:rPr>
                <w:rFonts w:hint="eastAsia"/>
              </w:rPr>
            </w:pPr>
            <w:r w:rsidRPr="004433C8">
              <w:rPr>
                <w:rFonts w:hAnsi="等线"/>
                <w:color w:val="000000"/>
              </w:rPr>
              <w:t>-</w:t>
            </w:r>
          </w:p>
        </w:tc>
      </w:tr>
      <w:tr w:rsidR="001E7F72" w14:paraId="29E20DE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36E962" w14:textId="77777777" w:rsidR="001E7F72" w:rsidRDefault="001E7F72" w:rsidP="001E7F72">
            <w:pPr>
              <w:pStyle w:val="biaogecenter"/>
              <w:wordWrap w:val="0"/>
              <w:rPr>
                <w:rFonts w:hint="eastAsia"/>
              </w:rPr>
            </w:pPr>
            <w:r>
              <w:rPr>
                <w:rFonts w:hAnsi="等线" w:hint="eastAsia"/>
                <w:color w:val="000000"/>
              </w:rPr>
              <w:t>G</w:t>
            </w:r>
          </w:p>
        </w:tc>
        <w:tc>
          <w:tcPr>
            <w:tcW w:w="3648" w:type="dxa"/>
            <w:tcBorders>
              <w:top w:val="single" w:sz="8" w:space="0" w:color="000000"/>
              <w:left w:val="single" w:sz="8" w:space="0" w:color="000000"/>
              <w:bottom w:val="single" w:sz="6" w:space="0" w:color="000000"/>
              <w:right w:val="single" w:sz="8" w:space="0" w:color="000000"/>
            </w:tcBorders>
            <w:vAlign w:val="center"/>
          </w:tcPr>
          <w:p w14:paraId="43A43B07" w14:textId="77777777" w:rsidR="001E7F72" w:rsidRDefault="001E7F72" w:rsidP="001E7F72">
            <w:pPr>
              <w:pStyle w:val="biaogeleft"/>
              <w:wordWrap w:val="0"/>
              <w:rPr>
                <w:rFonts w:hint="eastAsia"/>
              </w:rPr>
            </w:pPr>
            <w:r>
              <w:rPr>
                <w:rFonts w:hint="eastAsia"/>
              </w:rPr>
              <w:t>交通运输、仓储和邮政业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0E796100" w14:textId="0B349EBB"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618AEE3A" w14:textId="7CBA240D" w:rsidR="001E7F72" w:rsidRDefault="001E7F72" w:rsidP="001E7F72">
            <w:pPr>
              <w:pStyle w:val="biaogeright"/>
              <w:wordWrap w:val="0"/>
              <w:rPr>
                <w:rFonts w:hint="eastAsia"/>
              </w:rPr>
            </w:pPr>
            <w:r w:rsidRPr="004433C8">
              <w:rPr>
                <w:rFonts w:hAnsi="等线"/>
                <w:color w:val="000000"/>
              </w:rPr>
              <w:t>-</w:t>
            </w:r>
          </w:p>
        </w:tc>
      </w:tr>
      <w:tr w:rsidR="001E7F72" w14:paraId="50BB1F8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03B05F1" w14:textId="77777777" w:rsidR="001E7F72" w:rsidRDefault="001E7F72" w:rsidP="001E7F72">
            <w:pPr>
              <w:pStyle w:val="biaogecenter"/>
              <w:wordWrap w:val="0"/>
              <w:rPr>
                <w:rFonts w:hint="eastAsia"/>
              </w:rPr>
            </w:pPr>
            <w:r>
              <w:rPr>
                <w:rFonts w:hAnsi="等线" w:hint="eastAsia"/>
                <w:color w:val="000000"/>
              </w:rPr>
              <w:t>H</w:t>
            </w:r>
          </w:p>
        </w:tc>
        <w:tc>
          <w:tcPr>
            <w:tcW w:w="3648" w:type="dxa"/>
            <w:tcBorders>
              <w:top w:val="single" w:sz="8" w:space="0" w:color="000000"/>
              <w:left w:val="single" w:sz="8" w:space="0" w:color="000000"/>
              <w:bottom w:val="single" w:sz="6" w:space="0" w:color="000000"/>
              <w:right w:val="single" w:sz="8" w:space="0" w:color="000000"/>
            </w:tcBorders>
            <w:vAlign w:val="center"/>
          </w:tcPr>
          <w:p w14:paraId="535FD7E6" w14:textId="77777777" w:rsidR="001E7F72" w:rsidRDefault="001E7F72" w:rsidP="001E7F72">
            <w:pPr>
              <w:pStyle w:val="biaogeleft"/>
              <w:wordWrap w:val="0"/>
              <w:rPr>
                <w:rFonts w:hint="eastAsia"/>
              </w:rPr>
            </w:pPr>
            <w:r>
              <w:rPr>
                <w:rFonts w:hint="eastAsia"/>
              </w:rPr>
              <w:t>住宿和餐饮业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1EEA7B3B" w14:textId="0C0608CD"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248656C2" w14:textId="5E8C6089" w:rsidR="001E7F72" w:rsidRDefault="001E7F72" w:rsidP="001E7F72">
            <w:pPr>
              <w:pStyle w:val="biaogeright"/>
              <w:wordWrap w:val="0"/>
              <w:rPr>
                <w:rFonts w:hint="eastAsia"/>
              </w:rPr>
            </w:pPr>
            <w:r w:rsidRPr="004433C8">
              <w:rPr>
                <w:rFonts w:hAnsi="等线"/>
                <w:color w:val="000000"/>
              </w:rPr>
              <w:t>-</w:t>
            </w:r>
          </w:p>
        </w:tc>
      </w:tr>
      <w:tr w:rsidR="001E7F72" w14:paraId="283DFB8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B549B9" w14:textId="77777777" w:rsidR="001E7F72" w:rsidRDefault="001E7F72" w:rsidP="001E7F72">
            <w:pPr>
              <w:pStyle w:val="biaogecenter"/>
              <w:wordWrap w:val="0"/>
              <w:rPr>
                <w:rFonts w:hint="eastAsia"/>
              </w:rPr>
            </w:pPr>
            <w:r>
              <w:rPr>
                <w:rFonts w:hAnsi="等线" w:hint="eastAsia"/>
                <w:color w:val="000000"/>
              </w:rPr>
              <w:t>I</w:t>
            </w:r>
          </w:p>
        </w:tc>
        <w:tc>
          <w:tcPr>
            <w:tcW w:w="3648" w:type="dxa"/>
            <w:tcBorders>
              <w:top w:val="single" w:sz="8" w:space="0" w:color="000000"/>
              <w:left w:val="single" w:sz="8" w:space="0" w:color="000000"/>
              <w:bottom w:val="single" w:sz="6" w:space="0" w:color="000000"/>
              <w:right w:val="single" w:sz="8" w:space="0" w:color="000000"/>
            </w:tcBorders>
            <w:vAlign w:val="center"/>
          </w:tcPr>
          <w:p w14:paraId="06DA0338" w14:textId="77777777" w:rsidR="001E7F72" w:rsidRDefault="001E7F72" w:rsidP="001E7F72">
            <w:pPr>
              <w:pStyle w:val="biaogeleft"/>
              <w:wordWrap w:val="0"/>
              <w:rPr>
                <w:rFonts w:hint="eastAsia"/>
              </w:rPr>
            </w:pPr>
            <w:r>
              <w:rPr>
                <w:rFonts w:hint="eastAsia"/>
              </w:rPr>
              <w:t>信息传输、软件和信息技术服务业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74BA39FB" w14:textId="4A604D39" w:rsidR="001E7F72" w:rsidRDefault="001E7F72" w:rsidP="001E7F72">
            <w:pPr>
              <w:pStyle w:val="biaogeright"/>
              <w:wordWrap w:val="0"/>
              <w:rPr>
                <w:rFonts w:hint="eastAsia"/>
              </w:rPr>
            </w:pPr>
            <w:r w:rsidRPr="004433C8">
              <w:rPr>
                <w:rFonts w:hAnsi="等线"/>
                <w:color w:val="000000"/>
              </w:rPr>
              <w:t>117,621.00</w:t>
            </w:r>
          </w:p>
        </w:tc>
        <w:tc>
          <w:tcPr>
            <w:tcW w:w="2109" w:type="dxa"/>
            <w:tcBorders>
              <w:top w:val="single" w:sz="8" w:space="0" w:color="000000"/>
              <w:left w:val="single" w:sz="8" w:space="0" w:color="000000"/>
              <w:bottom w:val="single" w:sz="6" w:space="0" w:color="000000"/>
              <w:right w:val="single" w:sz="8" w:space="0" w:color="000000"/>
            </w:tcBorders>
            <w:vAlign w:val="center"/>
          </w:tcPr>
          <w:p w14:paraId="274F4CB1" w14:textId="6B7F5B4C" w:rsidR="001E7F72" w:rsidRDefault="001E7F72" w:rsidP="001E7F72">
            <w:pPr>
              <w:pStyle w:val="biaogeright"/>
              <w:wordWrap w:val="0"/>
              <w:rPr>
                <w:rFonts w:hint="eastAsia"/>
              </w:rPr>
            </w:pPr>
            <w:r w:rsidRPr="004433C8">
              <w:rPr>
                <w:rFonts w:hAnsi="等线"/>
                <w:color w:val="000000"/>
              </w:rPr>
              <w:t>1.36</w:t>
            </w:r>
          </w:p>
        </w:tc>
      </w:tr>
      <w:tr w:rsidR="001E7F72" w14:paraId="537524F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CE7C3C8" w14:textId="77777777" w:rsidR="001E7F72" w:rsidRDefault="001E7F72" w:rsidP="001E7F72">
            <w:pPr>
              <w:pStyle w:val="biaogecenter"/>
              <w:wordWrap w:val="0"/>
              <w:rPr>
                <w:rFonts w:hint="eastAsia"/>
              </w:rPr>
            </w:pPr>
            <w:r>
              <w:rPr>
                <w:rFonts w:hAnsi="等线" w:hint="eastAsia"/>
                <w:color w:val="000000"/>
              </w:rPr>
              <w:t>J</w:t>
            </w:r>
          </w:p>
        </w:tc>
        <w:tc>
          <w:tcPr>
            <w:tcW w:w="3648" w:type="dxa"/>
            <w:tcBorders>
              <w:top w:val="single" w:sz="8" w:space="0" w:color="000000"/>
              <w:left w:val="single" w:sz="8" w:space="0" w:color="000000"/>
              <w:bottom w:val="single" w:sz="6" w:space="0" w:color="000000"/>
              <w:right w:val="single" w:sz="8" w:space="0" w:color="000000"/>
            </w:tcBorders>
            <w:vAlign w:val="center"/>
          </w:tcPr>
          <w:p w14:paraId="124ECA04" w14:textId="77777777" w:rsidR="001E7F72" w:rsidRDefault="001E7F72" w:rsidP="001E7F72">
            <w:pPr>
              <w:pStyle w:val="biaogeleft"/>
              <w:wordWrap w:val="0"/>
              <w:rPr>
                <w:rFonts w:hint="eastAsia"/>
              </w:rPr>
            </w:pPr>
            <w:r>
              <w:rPr>
                <w:rFonts w:hint="eastAsia"/>
              </w:rPr>
              <w:t>金融业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73A8C6C1" w14:textId="0FDE596A" w:rsidR="001E7F72" w:rsidRDefault="001E7F72" w:rsidP="001E7F72">
            <w:pPr>
              <w:pStyle w:val="biaogeright"/>
              <w:wordWrap w:val="0"/>
              <w:rPr>
                <w:rFonts w:hint="eastAsia"/>
              </w:rPr>
            </w:pPr>
            <w:r w:rsidRPr="004433C8">
              <w:rPr>
                <w:rFonts w:hAnsi="等线"/>
                <w:color w:val="000000"/>
              </w:rPr>
              <w:t>113,506.00</w:t>
            </w:r>
          </w:p>
        </w:tc>
        <w:tc>
          <w:tcPr>
            <w:tcW w:w="2109" w:type="dxa"/>
            <w:tcBorders>
              <w:top w:val="single" w:sz="8" w:space="0" w:color="000000"/>
              <w:left w:val="single" w:sz="8" w:space="0" w:color="000000"/>
              <w:bottom w:val="single" w:sz="6" w:space="0" w:color="000000"/>
              <w:right w:val="single" w:sz="8" w:space="0" w:color="000000"/>
            </w:tcBorders>
            <w:vAlign w:val="center"/>
          </w:tcPr>
          <w:p w14:paraId="2CDDC902" w14:textId="6018F313" w:rsidR="001E7F72" w:rsidRDefault="001E7F72" w:rsidP="001E7F72">
            <w:pPr>
              <w:pStyle w:val="biaogeright"/>
              <w:wordWrap w:val="0"/>
              <w:rPr>
                <w:rFonts w:hint="eastAsia"/>
              </w:rPr>
            </w:pPr>
            <w:r w:rsidRPr="004433C8">
              <w:rPr>
                <w:rFonts w:hAnsi="等线"/>
                <w:color w:val="000000"/>
              </w:rPr>
              <w:t>1.31</w:t>
            </w:r>
          </w:p>
        </w:tc>
      </w:tr>
      <w:tr w:rsidR="001E7F72" w14:paraId="373AC67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01836BA" w14:textId="77777777" w:rsidR="001E7F72" w:rsidRDefault="001E7F72" w:rsidP="001E7F72">
            <w:pPr>
              <w:pStyle w:val="biaogecenter"/>
              <w:wordWrap w:val="0"/>
              <w:rPr>
                <w:rFonts w:hint="eastAsia"/>
              </w:rPr>
            </w:pPr>
            <w:r>
              <w:rPr>
                <w:rFonts w:hAnsi="等线" w:hint="eastAsia"/>
                <w:color w:val="000000"/>
              </w:rPr>
              <w:t>K</w:t>
            </w:r>
          </w:p>
        </w:tc>
        <w:tc>
          <w:tcPr>
            <w:tcW w:w="3648" w:type="dxa"/>
            <w:tcBorders>
              <w:top w:val="single" w:sz="8" w:space="0" w:color="000000"/>
              <w:left w:val="single" w:sz="8" w:space="0" w:color="000000"/>
              <w:bottom w:val="single" w:sz="6" w:space="0" w:color="000000"/>
              <w:right w:val="single" w:sz="8" w:space="0" w:color="000000"/>
            </w:tcBorders>
            <w:vAlign w:val="center"/>
          </w:tcPr>
          <w:p w14:paraId="4BF86858" w14:textId="77777777" w:rsidR="001E7F72" w:rsidRDefault="001E7F72" w:rsidP="001E7F72">
            <w:pPr>
              <w:pStyle w:val="biaogeleft"/>
              <w:wordWrap w:val="0"/>
              <w:rPr>
                <w:rFonts w:hint="eastAsia"/>
              </w:rPr>
            </w:pPr>
            <w:r>
              <w:rPr>
                <w:rFonts w:hint="eastAsia"/>
              </w:rPr>
              <w:t>房地产业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13C7CB97" w14:textId="38320941"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72DA2E9A" w14:textId="7299C4EC" w:rsidR="001E7F72" w:rsidRDefault="001E7F72" w:rsidP="001E7F72">
            <w:pPr>
              <w:pStyle w:val="biaogeright"/>
              <w:wordWrap w:val="0"/>
              <w:rPr>
                <w:rFonts w:hint="eastAsia"/>
              </w:rPr>
            </w:pPr>
            <w:r w:rsidRPr="004433C8">
              <w:rPr>
                <w:rFonts w:hAnsi="等线"/>
                <w:color w:val="000000"/>
              </w:rPr>
              <w:t>-</w:t>
            </w:r>
          </w:p>
        </w:tc>
      </w:tr>
      <w:tr w:rsidR="001E7F72" w14:paraId="68BFE28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4DD0BF6" w14:textId="77777777" w:rsidR="001E7F72" w:rsidRDefault="001E7F72" w:rsidP="001E7F72">
            <w:pPr>
              <w:pStyle w:val="biaogecenter"/>
              <w:wordWrap w:val="0"/>
              <w:rPr>
                <w:rFonts w:hint="eastAsia"/>
              </w:rPr>
            </w:pPr>
            <w:r>
              <w:rPr>
                <w:rFonts w:hAnsi="等线" w:hint="eastAsia"/>
                <w:color w:val="000000"/>
              </w:rPr>
              <w:t>L</w:t>
            </w:r>
          </w:p>
        </w:tc>
        <w:tc>
          <w:tcPr>
            <w:tcW w:w="3648" w:type="dxa"/>
            <w:tcBorders>
              <w:top w:val="single" w:sz="8" w:space="0" w:color="000000"/>
              <w:left w:val="single" w:sz="8" w:space="0" w:color="000000"/>
              <w:bottom w:val="single" w:sz="6" w:space="0" w:color="000000"/>
              <w:right w:val="single" w:sz="8" w:space="0" w:color="000000"/>
            </w:tcBorders>
            <w:vAlign w:val="center"/>
          </w:tcPr>
          <w:p w14:paraId="0F20CDD0" w14:textId="77777777" w:rsidR="001E7F72" w:rsidRDefault="001E7F72" w:rsidP="001E7F72">
            <w:pPr>
              <w:pStyle w:val="biaogeleft"/>
              <w:wordWrap w:val="0"/>
              <w:rPr>
                <w:rFonts w:hint="eastAsia"/>
              </w:rPr>
            </w:pPr>
            <w:r>
              <w:rPr>
                <w:rFonts w:hint="eastAsia"/>
              </w:rPr>
              <w:t>租赁和商务服务业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7884582F" w14:textId="1024886D"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0838090D" w14:textId="64926648" w:rsidR="001E7F72" w:rsidRDefault="001E7F72" w:rsidP="001E7F72">
            <w:pPr>
              <w:pStyle w:val="biaogeright"/>
              <w:wordWrap w:val="0"/>
              <w:rPr>
                <w:rFonts w:hint="eastAsia"/>
              </w:rPr>
            </w:pPr>
            <w:r w:rsidRPr="004433C8">
              <w:rPr>
                <w:rFonts w:hAnsi="等线"/>
                <w:color w:val="000000"/>
              </w:rPr>
              <w:t>-</w:t>
            </w:r>
          </w:p>
        </w:tc>
      </w:tr>
      <w:tr w:rsidR="001E7F72" w14:paraId="4915D61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4616434" w14:textId="77777777" w:rsidR="001E7F72" w:rsidRDefault="001E7F72" w:rsidP="001E7F72">
            <w:pPr>
              <w:pStyle w:val="biaogecenter"/>
              <w:wordWrap w:val="0"/>
              <w:rPr>
                <w:rFonts w:hint="eastAsia"/>
              </w:rPr>
            </w:pPr>
            <w:r>
              <w:rPr>
                <w:rFonts w:hAnsi="等线" w:hint="eastAsia"/>
                <w:color w:val="000000"/>
              </w:rPr>
              <w:t>M</w:t>
            </w:r>
          </w:p>
        </w:tc>
        <w:tc>
          <w:tcPr>
            <w:tcW w:w="3648" w:type="dxa"/>
            <w:tcBorders>
              <w:top w:val="single" w:sz="8" w:space="0" w:color="000000"/>
              <w:left w:val="single" w:sz="8" w:space="0" w:color="000000"/>
              <w:bottom w:val="single" w:sz="6" w:space="0" w:color="000000"/>
              <w:right w:val="single" w:sz="8" w:space="0" w:color="000000"/>
            </w:tcBorders>
            <w:vAlign w:val="center"/>
          </w:tcPr>
          <w:p w14:paraId="474DE39A" w14:textId="77777777" w:rsidR="001E7F72" w:rsidRDefault="001E7F72" w:rsidP="001E7F72">
            <w:pPr>
              <w:pStyle w:val="biaogeleft"/>
              <w:wordWrap w:val="0"/>
              <w:rPr>
                <w:rFonts w:hint="eastAsia"/>
              </w:rPr>
            </w:pPr>
            <w:r>
              <w:rPr>
                <w:rFonts w:hint="eastAsia"/>
              </w:rPr>
              <w:t>科学研究和技术服务业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12215414" w14:textId="5F6ACA32" w:rsidR="001E7F72" w:rsidRDefault="001E7F72" w:rsidP="001E7F72">
            <w:pPr>
              <w:pStyle w:val="biaogeright"/>
              <w:wordWrap w:val="0"/>
              <w:rPr>
                <w:rFonts w:hint="eastAsia"/>
              </w:rPr>
            </w:pPr>
            <w:r w:rsidRPr="004433C8">
              <w:rPr>
                <w:rFonts w:hAnsi="等线"/>
                <w:color w:val="000000"/>
              </w:rPr>
              <w:t>216,275.00</w:t>
            </w:r>
          </w:p>
        </w:tc>
        <w:tc>
          <w:tcPr>
            <w:tcW w:w="2109" w:type="dxa"/>
            <w:tcBorders>
              <w:top w:val="single" w:sz="8" w:space="0" w:color="000000"/>
              <w:left w:val="single" w:sz="8" w:space="0" w:color="000000"/>
              <w:bottom w:val="single" w:sz="6" w:space="0" w:color="000000"/>
              <w:right w:val="single" w:sz="8" w:space="0" w:color="000000"/>
            </w:tcBorders>
            <w:vAlign w:val="center"/>
          </w:tcPr>
          <w:p w14:paraId="23A34188" w14:textId="1EDBCB8A" w:rsidR="001E7F72" w:rsidRDefault="001E7F72" w:rsidP="001E7F72">
            <w:pPr>
              <w:pStyle w:val="biaogeright"/>
              <w:wordWrap w:val="0"/>
              <w:rPr>
                <w:rFonts w:hint="eastAsia"/>
              </w:rPr>
            </w:pPr>
            <w:r w:rsidRPr="004433C8">
              <w:rPr>
                <w:rFonts w:hAnsi="等线"/>
                <w:color w:val="000000"/>
              </w:rPr>
              <w:t>2.50</w:t>
            </w:r>
          </w:p>
        </w:tc>
      </w:tr>
      <w:tr w:rsidR="001E7F72" w14:paraId="57A2B6E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5C25E4F" w14:textId="77777777" w:rsidR="001E7F72" w:rsidRDefault="001E7F72" w:rsidP="001E7F72">
            <w:pPr>
              <w:pStyle w:val="biaogecenter"/>
              <w:wordWrap w:val="0"/>
              <w:rPr>
                <w:rFonts w:hint="eastAsia"/>
              </w:rPr>
            </w:pPr>
            <w:r>
              <w:rPr>
                <w:rFonts w:hAnsi="等线" w:hint="eastAsia"/>
                <w:color w:val="000000"/>
              </w:rPr>
              <w:t>N</w:t>
            </w:r>
          </w:p>
        </w:tc>
        <w:tc>
          <w:tcPr>
            <w:tcW w:w="3648" w:type="dxa"/>
            <w:tcBorders>
              <w:top w:val="single" w:sz="8" w:space="0" w:color="000000"/>
              <w:left w:val="single" w:sz="8" w:space="0" w:color="000000"/>
              <w:bottom w:val="single" w:sz="6" w:space="0" w:color="000000"/>
              <w:right w:val="single" w:sz="8" w:space="0" w:color="000000"/>
            </w:tcBorders>
            <w:vAlign w:val="center"/>
          </w:tcPr>
          <w:p w14:paraId="6CA8DA82" w14:textId="77777777" w:rsidR="001E7F72" w:rsidRDefault="001E7F72" w:rsidP="001E7F72">
            <w:pPr>
              <w:pStyle w:val="biaogeleft"/>
              <w:wordWrap w:val="0"/>
              <w:rPr>
                <w:rFonts w:hint="eastAsia"/>
              </w:rPr>
            </w:pPr>
            <w:r>
              <w:rPr>
                <w:rFonts w:hint="eastAsia"/>
              </w:rPr>
              <w:t>水利、环境和公共设施管理业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24D396F4" w14:textId="711C2BC5" w:rsidR="001E7F72" w:rsidRDefault="001E7F72" w:rsidP="001E7F72">
            <w:pPr>
              <w:pStyle w:val="biaogeright"/>
              <w:wordWrap w:val="0"/>
              <w:rPr>
                <w:rFonts w:hint="eastAsia"/>
              </w:rPr>
            </w:pPr>
            <w:r w:rsidRPr="004433C8">
              <w:rPr>
                <w:rFonts w:hAnsi="等线"/>
                <w:color w:val="000000"/>
              </w:rPr>
              <w:t>578,973.00</w:t>
            </w:r>
          </w:p>
        </w:tc>
        <w:tc>
          <w:tcPr>
            <w:tcW w:w="2109" w:type="dxa"/>
            <w:tcBorders>
              <w:top w:val="single" w:sz="8" w:space="0" w:color="000000"/>
              <w:left w:val="single" w:sz="8" w:space="0" w:color="000000"/>
              <w:bottom w:val="single" w:sz="6" w:space="0" w:color="000000"/>
              <w:right w:val="single" w:sz="8" w:space="0" w:color="000000"/>
            </w:tcBorders>
            <w:vAlign w:val="center"/>
          </w:tcPr>
          <w:p w14:paraId="6452CD81" w14:textId="60C81F13" w:rsidR="001E7F72" w:rsidRDefault="001E7F72" w:rsidP="001E7F72">
            <w:pPr>
              <w:pStyle w:val="biaogeright"/>
              <w:wordWrap w:val="0"/>
              <w:rPr>
                <w:rFonts w:hint="eastAsia"/>
              </w:rPr>
            </w:pPr>
            <w:r w:rsidRPr="004433C8">
              <w:rPr>
                <w:rFonts w:hAnsi="等线"/>
                <w:color w:val="000000"/>
              </w:rPr>
              <w:t>6.70</w:t>
            </w:r>
          </w:p>
        </w:tc>
      </w:tr>
      <w:tr w:rsidR="001E7F72" w14:paraId="0B8874A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4FFBD0" w14:textId="77777777" w:rsidR="001E7F72" w:rsidRDefault="001E7F72" w:rsidP="001E7F72">
            <w:pPr>
              <w:pStyle w:val="biaogecenter"/>
              <w:wordWrap w:val="0"/>
              <w:rPr>
                <w:rFonts w:hint="eastAsia"/>
              </w:rPr>
            </w:pPr>
            <w:r>
              <w:rPr>
                <w:rFonts w:hAnsi="等线" w:hint="eastAsia"/>
                <w:color w:val="000000"/>
              </w:rPr>
              <w:t>O</w:t>
            </w:r>
          </w:p>
        </w:tc>
        <w:tc>
          <w:tcPr>
            <w:tcW w:w="3648" w:type="dxa"/>
            <w:tcBorders>
              <w:top w:val="single" w:sz="8" w:space="0" w:color="000000"/>
              <w:left w:val="single" w:sz="8" w:space="0" w:color="000000"/>
              <w:bottom w:val="single" w:sz="6" w:space="0" w:color="000000"/>
              <w:right w:val="single" w:sz="8" w:space="0" w:color="000000"/>
            </w:tcBorders>
            <w:vAlign w:val="center"/>
          </w:tcPr>
          <w:p w14:paraId="4F7C1502" w14:textId="77777777" w:rsidR="001E7F72" w:rsidRDefault="001E7F72" w:rsidP="001E7F72">
            <w:pPr>
              <w:pStyle w:val="biaogeleft"/>
              <w:wordWrap w:val="0"/>
              <w:rPr>
                <w:rFonts w:hint="eastAsia"/>
              </w:rPr>
            </w:pPr>
            <w:r>
              <w:rPr>
                <w:rFonts w:hint="eastAsia"/>
              </w:rPr>
              <w:t>居民服务、修理和其他服务业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663EBB46" w14:textId="785CF524"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0FA36C8F" w14:textId="21354CBB" w:rsidR="001E7F72" w:rsidRDefault="001E7F72" w:rsidP="001E7F72">
            <w:pPr>
              <w:pStyle w:val="biaogeright"/>
              <w:wordWrap w:val="0"/>
              <w:rPr>
                <w:rFonts w:hint="eastAsia"/>
              </w:rPr>
            </w:pPr>
            <w:r w:rsidRPr="004433C8">
              <w:rPr>
                <w:rFonts w:hAnsi="等线"/>
                <w:color w:val="000000"/>
              </w:rPr>
              <w:t>-</w:t>
            </w:r>
          </w:p>
        </w:tc>
      </w:tr>
      <w:tr w:rsidR="001E7F72" w14:paraId="082743A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CF0082F" w14:textId="77777777" w:rsidR="001E7F72" w:rsidRDefault="001E7F72" w:rsidP="001E7F72">
            <w:pPr>
              <w:pStyle w:val="biaogecenter"/>
              <w:wordWrap w:val="0"/>
              <w:rPr>
                <w:rFonts w:hint="eastAsia"/>
              </w:rPr>
            </w:pPr>
            <w:r>
              <w:rPr>
                <w:rFonts w:hAnsi="等线" w:hint="eastAsia"/>
                <w:color w:val="000000"/>
              </w:rPr>
              <w:t>P</w:t>
            </w:r>
          </w:p>
        </w:tc>
        <w:tc>
          <w:tcPr>
            <w:tcW w:w="3648" w:type="dxa"/>
            <w:tcBorders>
              <w:top w:val="single" w:sz="8" w:space="0" w:color="000000"/>
              <w:left w:val="single" w:sz="8" w:space="0" w:color="000000"/>
              <w:bottom w:val="single" w:sz="6" w:space="0" w:color="000000"/>
              <w:right w:val="single" w:sz="8" w:space="0" w:color="000000"/>
            </w:tcBorders>
            <w:vAlign w:val="center"/>
          </w:tcPr>
          <w:p w14:paraId="6F769A8F" w14:textId="77777777" w:rsidR="001E7F72" w:rsidRDefault="001E7F72" w:rsidP="001E7F72">
            <w:pPr>
              <w:pStyle w:val="biaogeleft"/>
              <w:wordWrap w:val="0"/>
              <w:rPr>
                <w:rFonts w:hint="eastAsia"/>
              </w:rPr>
            </w:pPr>
            <w:r>
              <w:rPr>
                <w:rFonts w:hint="eastAsia"/>
              </w:rPr>
              <w:t>教育</w:t>
            </w:r>
          </w:p>
        </w:tc>
        <w:tc>
          <w:tcPr>
            <w:tcW w:w="1968" w:type="dxa"/>
            <w:tcBorders>
              <w:top w:val="single" w:sz="8" w:space="0" w:color="000000"/>
              <w:left w:val="single" w:sz="8" w:space="0" w:color="000000"/>
              <w:bottom w:val="single" w:sz="6" w:space="0" w:color="000000"/>
              <w:right w:val="single" w:sz="8" w:space="0" w:color="000000"/>
            </w:tcBorders>
            <w:vAlign w:val="center"/>
          </w:tcPr>
          <w:p w14:paraId="34145596" w14:textId="14CD7615"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0B243C3A" w14:textId="2937B66F" w:rsidR="001E7F72" w:rsidRDefault="001E7F72" w:rsidP="001E7F72">
            <w:pPr>
              <w:pStyle w:val="biaogeright"/>
              <w:wordWrap w:val="0"/>
              <w:rPr>
                <w:rFonts w:hint="eastAsia"/>
              </w:rPr>
            </w:pPr>
            <w:r w:rsidRPr="004433C8">
              <w:rPr>
                <w:rFonts w:hAnsi="等线"/>
                <w:color w:val="000000"/>
              </w:rPr>
              <w:t>-</w:t>
            </w:r>
          </w:p>
        </w:tc>
      </w:tr>
      <w:tr w:rsidR="001E7F72" w14:paraId="5A523BB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55B3B8D" w14:textId="77777777" w:rsidR="001E7F72" w:rsidRDefault="001E7F72" w:rsidP="001E7F72">
            <w:pPr>
              <w:pStyle w:val="biaogecenter"/>
              <w:wordWrap w:val="0"/>
              <w:rPr>
                <w:rFonts w:hint="eastAsia"/>
              </w:rPr>
            </w:pPr>
            <w:r>
              <w:rPr>
                <w:rFonts w:hAnsi="等线" w:hint="eastAsia"/>
                <w:color w:val="000000"/>
              </w:rPr>
              <w:t>Q</w:t>
            </w:r>
          </w:p>
        </w:tc>
        <w:tc>
          <w:tcPr>
            <w:tcW w:w="3648" w:type="dxa"/>
            <w:tcBorders>
              <w:top w:val="single" w:sz="8" w:space="0" w:color="000000"/>
              <w:left w:val="single" w:sz="8" w:space="0" w:color="000000"/>
              <w:bottom w:val="single" w:sz="6" w:space="0" w:color="000000"/>
              <w:right w:val="single" w:sz="8" w:space="0" w:color="000000"/>
            </w:tcBorders>
            <w:vAlign w:val="center"/>
          </w:tcPr>
          <w:p w14:paraId="780880E9" w14:textId="77777777" w:rsidR="001E7F72" w:rsidRDefault="001E7F72" w:rsidP="001E7F72">
            <w:pPr>
              <w:pStyle w:val="biaogeleft"/>
              <w:wordWrap w:val="0"/>
              <w:rPr>
                <w:rFonts w:hint="eastAsia"/>
              </w:rPr>
            </w:pPr>
            <w:r>
              <w:rPr>
                <w:rFonts w:hint="eastAsia"/>
              </w:rPr>
              <w:t>卫生和社会工作</w:t>
            </w:r>
          </w:p>
        </w:tc>
        <w:tc>
          <w:tcPr>
            <w:tcW w:w="1968" w:type="dxa"/>
            <w:tcBorders>
              <w:top w:val="single" w:sz="8" w:space="0" w:color="000000"/>
              <w:left w:val="single" w:sz="8" w:space="0" w:color="000000"/>
              <w:bottom w:val="single" w:sz="6" w:space="0" w:color="000000"/>
              <w:right w:val="single" w:sz="8" w:space="0" w:color="000000"/>
            </w:tcBorders>
            <w:vAlign w:val="center"/>
          </w:tcPr>
          <w:p w14:paraId="79467209" w14:textId="595E79A5"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1E91CC2A" w14:textId="186D870F" w:rsidR="001E7F72" w:rsidRDefault="001E7F72" w:rsidP="001E7F72">
            <w:pPr>
              <w:pStyle w:val="biaogeright"/>
              <w:wordWrap w:val="0"/>
              <w:rPr>
                <w:rFonts w:hint="eastAsia"/>
              </w:rPr>
            </w:pPr>
            <w:r w:rsidRPr="004433C8">
              <w:rPr>
                <w:rFonts w:hAnsi="等线"/>
                <w:color w:val="000000"/>
              </w:rPr>
              <w:t>-</w:t>
            </w:r>
          </w:p>
        </w:tc>
      </w:tr>
      <w:tr w:rsidR="001E7F72" w14:paraId="1E8BC3E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FC93711" w14:textId="77777777" w:rsidR="001E7F72" w:rsidRDefault="001E7F72" w:rsidP="001E7F72">
            <w:pPr>
              <w:pStyle w:val="biaogecenter"/>
              <w:wordWrap w:val="0"/>
              <w:rPr>
                <w:rFonts w:hint="eastAsia"/>
              </w:rPr>
            </w:pPr>
            <w:r>
              <w:rPr>
                <w:rFonts w:hAnsi="等线" w:hint="eastAsia"/>
                <w:color w:val="000000"/>
              </w:rPr>
              <w:t>R</w:t>
            </w:r>
          </w:p>
        </w:tc>
        <w:tc>
          <w:tcPr>
            <w:tcW w:w="3648" w:type="dxa"/>
            <w:tcBorders>
              <w:top w:val="single" w:sz="8" w:space="0" w:color="000000"/>
              <w:left w:val="single" w:sz="8" w:space="0" w:color="000000"/>
              <w:bottom w:val="single" w:sz="6" w:space="0" w:color="000000"/>
              <w:right w:val="single" w:sz="8" w:space="0" w:color="000000"/>
            </w:tcBorders>
            <w:vAlign w:val="center"/>
          </w:tcPr>
          <w:p w14:paraId="05525661" w14:textId="77777777" w:rsidR="001E7F72" w:rsidRDefault="001E7F72" w:rsidP="001E7F72">
            <w:pPr>
              <w:pStyle w:val="biaogeleft"/>
              <w:wordWrap w:val="0"/>
              <w:rPr>
                <w:rFonts w:hint="eastAsia"/>
              </w:rPr>
            </w:pPr>
            <w:r>
              <w:rPr>
                <w:rFonts w:hint="eastAsia"/>
              </w:rPr>
              <w:t>文化、体育和娱乐业</w:t>
            </w:r>
          </w:p>
        </w:tc>
        <w:tc>
          <w:tcPr>
            <w:tcW w:w="1968" w:type="dxa"/>
            <w:tcBorders>
              <w:top w:val="single" w:sz="8" w:space="0" w:color="000000"/>
              <w:left w:val="single" w:sz="8" w:space="0" w:color="000000"/>
              <w:bottom w:val="single" w:sz="6" w:space="0" w:color="000000"/>
              <w:right w:val="single" w:sz="8" w:space="0" w:color="000000"/>
            </w:tcBorders>
            <w:vAlign w:val="center"/>
          </w:tcPr>
          <w:p w14:paraId="42C87A7D" w14:textId="3CE3154E"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200FF08B" w14:textId="6EB5166B" w:rsidR="001E7F72" w:rsidRDefault="001E7F72" w:rsidP="001E7F72">
            <w:pPr>
              <w:pStyle w:val="biaogeright"/>
              <w:wordWrap w:val="0"/>
              <w:rPr>
                <w:rFonts w:hint="eastAsia"/>
              </w:rPr>
            </w:pPr>
            <w:r w:rsidRPr="004433C8">
              <w:rPr>
                <w:rFonts w:hAnsi="等线"/>
                <w:color w:val="000000"/>
              </w:rPr>
              <w:t>-</w:t>
            </w:r>
          </w:p>
        </w:tc>
      </w:tr>
      <w:tr w:rsidR="001E7F72" w14:paraId="7B91B0C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2E6A890" w14:textId="77777777" w:rsidR="001E7F72" w:rsidRDefault="001E7F72" w:rsidP="001E7F72">
            <w:pPr>
              <w:pStyle w:val="biaogecenter"/>
              <w:wordWrap w:val="0"/>
              <w:rPr>
                <w:rFonts w:hint="eastAsia"/>
              </w:rPr>
            </w:pPr>
            <w:r>
              <w:rPr>
                <w:rFonts w:hAnsi="等线" w:hint="eastAsia"/>
                <w:color w:val="000000"/>
              </w:rPr>
              <w:t>S</w:t>
            </w:r>
          </w:p>
        </w:tc>
        <w:tc>
          <w:tcPr>
            <w:tcW w:w="3648" w:type="dxa"/>
            <w:tcBorders>
              <w:top w:val="single" w:sz="8" w:space="0" w:color="000000"/>
              <w:left w:val="single" w:sz="8" w:space="0" w:color="000000"/>
              <w:bottom w:val="single" w:sz="6" w:space="0" w:color="000000"/>
              <w:right w:val="single" w:sz="8" w:space="0" w:color="000000"/>
            </w:tcBorders>
            <w:vAlign w:val="center"/>
          </w:tcPr>
          <w:p w14:paraId="15DD98FF" w14:textId="77777777" w:rsidR="001E7F72" w:rsidRDefault="001E7F72" w:rsidP="001E7F72">
            <w:pPr>
              <w:pStyle w:val="biaogeleft"/>
              <w:wordWrap w:val="0"/>
              <w:rPr>
                <w:rFonts w:hint="eastAsia"/>
              </w:rPr>
            </w:pPr>
            <w:r>
              <w:rPr>
                <w:rFonts w:hint="eastAsia"/>
              </w:rPr>
              <w:t>综合</w:t>
            </w:r>
          </w:p>
        </w:tc>
        <w:tc>
          <w:tcPr>
            <w:tcW w:w="1968" w:type="dxa"/>
            <w:tcBorders>
              <w:top w:val="single" w:sz="8" w:space="0" w:color="000000"/>
              <w:left w:val="single" w:sz="8" w:space="0" w:color="000000"/>
              <w:bottom w:val="single" w:sz="6" w:space="0" w:color="000000"/>
              <w:right w:val="single" w:sz="8" w:space="0" w:color="000000"/>
            </w:tcBorders>
            <w:vAlign w:val="center"/>
          </w:tcPr>
          <w:p w14:paraId="71432BB3" w14:textId="3429F2D8" w:rsidR="001E7F72" w:rsidRDefault="001E7F72" w:rsidP="001E7F72">
            <w:pPr>
              <w:pStyle w:val="biaogeright"/>
              <w:wordWrap w:val="0"/>
              <w:rPr>
                <w:rFonts w:hint="eastAsia"/>
              </w:rPr>
            </w:pPr>
            <w:r w:rsidRPr="004433C8">
              <w:rPr>
                <w:rFonts w:hAnsi="等线"/>
                <w:color w:val="000000"/>
              </w:rPr>
              <w:t>-</w:t>
            </w:r>
          </w:p>
        </w:tc>
        <w:tc>
          <w:tcPr>
            <w:tcW w:w="2109" w:type="dxa"/>
            <w:tcBorders>
              <w:top w:val="single" w:sz="8" w:space="0" w:color="000000"/>
              <w:left w:val="single" w:sz="8" w:space="0" w:color="000000"/>
              <w:bottom w:val="single" w:sz="6" w:space="0" w:color="000000"/>
              <w:right w:val="single" w:sz="8" w:space="0" w:color="000000"/>
            </w:tcBorders>
            <w:vAlign w:val="center"/>
          </w:tcPr>
          <w:p w14:paraId="38F073A7" w14:textId="48561891" w:rsidR="001E7F72" w:rsidRDefault="001E7F72" w:rsidP="001E7F72">
            <w:pPr>
              <w:pStyle w:val="biaogeright"/>
              <w:wordWrap w:val="0"/>
              <w:rPr>
                <w:rFonts w:hint="eastAsia"/>
              </w:rPr>
            </w:pPr>
            <w:r w:rsidRPr="004433C8">
              <w:rPr>
                <w:rFonts w:hAnsi="等线"/>
                <w:color w:val="000000"/>
              </w:rPr>
              <w:t>-</w:t>
            </w:r>
          </w:p>
        </w:tc>
      </w:tr>
      <w:tr w:rsidR="001E7F72" w14:paraId="2EB4892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F3867DD" w14:textId="77777777" w:rsidR="001E7F72" w:rsidRDefault="001E7F72" w:rsidP="001E7F72"/>
        </w:tc>
        <w:tc>
          <w:tcPr>
            <w:tcW w:w="3648" w:type="dxa"/>
            <w:tcBorders>
              <w:top w:val="single" w:sz="8" w:space="0" w:color="000000"/>
              <w:left w:val="single" w:sz="8" w:space="0" w:color="000000"/>
              <w:bottom w:val="single" w:sz="6" w:space="0" w:color="000000"/>
              <w:right w:val="single" w:sz="8" w:space="0" w:color="000000"/>
            </w:tcBorders>
            <w:vAlign w:val="center"/>
          </w:tcPr>
          <w:p w14:paraId="51F55689" w14:textId="77777777" w:rsidR="001E7F72" w:rsidRDefault="001E7F72" w:rsidP="001E7F72">
            <w:pPr>
              <w:pStyle w:val="biaogeleft"/>
              <w:wordWrap w:val="0"/>
              <w:rPr>
                <w:rFonts w:hint="eastAsia"/>
              </w:rPr>
            </w:pPr>
            <w:r>
              <w:rPr>
                <w:rFonts w:hint="eastAsia"/>
              </w:rPr>
              <w:t>合计</w:t>
            </w:r>
          </w:p>
        </w:tc>
        <w:tc>
          <w:tcPr>
            <w:tcW w:w="1968" w:type="dxa"/>
            <w:tcBorders>
              <w:top w:val="single" w:sz="8" w:space="0" w:color="000000"/>
              <w:left w:val="single" w:sz="8" w:space="0" w:color="000000"/>
              <w:bottom w:val="single" w:sz="6" w:space="0" w:color="000000"/>
              <w:right w:val="single" w:sz="8" w:space="0" w:color="000000"/>
            </w:tcBorders>
            <w:vAlign w:val="center"/>
          </w:tcPr>
          <w:p w14:paraId="4C05AA06" w14:textId="29F9532F" w:rsidR="001E7F72" w:rsidRDefault="001E7F72" w:rsidP="001E7F72">
            <w:pPr>
              <w:pStyle w:val="biaogeright"/>
              <w:wordWrap w:val="0"/>
              <w:rPr>
                <w:rFonts w:hint="eastAsia"/>
              </w:rPr>
            </w:pPr>
            <w:r w:rsidRPr="004433C8">
              <w:rPr>
                <w:rFonts w:hAnsi="等线"/>
                <w:color w:val="000000"/>
              </w:rPr>
              <w:t>7,863,401.00</w:t>
            </w:r>
          </w:p>
        </w:tc>
        <w:tc>
          <w:tcPr>
            <w:tcW w:w="2109" w:type="dxa"/>
            <w:tcBorders>
              <w:top w:val="single" w:sz="8" w:space="0" w:color="000000"/>
              <w:left w:val="single" w:sz="8" w:space="0" w:color="000000"/>
              <w:bottom w:val="single" w:sz="6" w:space="0" w:color="000000"/>
              <w:right w:val="single" w:sz="8" w:space="0" w:color="000000"/>
            </w:tcBorders>
            <w:vAlign w:val="center"/>
          </w:tcPr>
          <w:p w14:paraId="1058835F" w14:textId="5CF90A1D" w:rsidR="001E7F72" w:rsidRDefault="001E7F72" w:rsidP="001E7F72">
            <w:pPr>
              <w:pStyle w:val="biaogeright"/>
              <w:wordWrap w:val="0"/>
              <w:rPr>
                <w:rFonts w:hint="eastAsia"/>
              </w:rPr>
            </w:pPr>
            <w:r w:rsidRPr="004433C8">
              <w:rPr>
                <w:rFonts w:hAnsi="等线"/>
                <w:color w:val="000000"/>
              </w:rPr>
              <w:t>90.95</w:t>
            </w:r>
          </w:p>
        </w:tc>
      </w:tr>
    </w:tbl>
    <w:p w14:paraId="5EFEC5D4" w14:textId="77777777" w:rsidR="009214AE" w:rsidRDefault="009214AE">
      <w:pPr>
        <w:widowControl/>
        <w:jc w:val="left"/>
        <w:rPr>
          <w:rFonts w:ascii="宋体" w:eastAsia="宋体" w:hAnsi="宋体" w:cs="宋体" w:hint="eastAsia"/>
          <w:kern w:val="0"/>
          <w:sz w:val="24"/>
          <w:szCs w:val="24"/>
        </w:rPr>
      </w:pPr>
    </w:p>
    <w:p w14:paraId="6EF85158" w14:textId="77777777" w:rsidR="009214AE" w:rsidRDefault="00C66335">
      <w:pPr>
        <w:pStyle w:val="zhangjiep2"/>
        <w:rPr>
          <w:rFonts w:hint="eastAsia"/>
        </w:rPr>
      </w:pPr>
      <w:r>
        <w:rPr>
          <w:rFonts w:hAnsi="等线" w:hint="eastAsia"/>
          <w:b/>
          <w:color w:val="000000"/>
        </w:rPr>
        <w:t>（2）报告期末按行业分类的港股通投资股票投资组合</w:t>
      </w:r>
    </w:p>
    <w:p w14:paraId="47559C6C" w14:textId="77777777" w:rsidR="009214AE" w:rsidRDefault="00C66335">
      <w:pPr>
        <w:pStyle w:val="neirong"/>
        <w:ind w:firstLineChars="200" w:firstLine="480"/>
        <w:rPr>
          <w:rFonts w:hint="eastAsia"/>
        </w:rPr>
      </w:pPr>
      <w:r>
        <w:rPr>
          <w:rFonts w:hint="eastAsia"/>
        </w:rPr>
        <w:t>本基金本报告期末未持有港股通股票。</w:t>
      </w:r>
    </w:p>
    <w:p w14:paraId="3A5EB406" w14:textId="77777777" w:rsidR="009214AE" w:rsidRDefault="009214AE">
      <w:pPr>
        <w:widowControl/>
        <w:jc w:val="left"/>
        <w:rPr>
          <w:rFonts w:ascii="宋体" w:eastAsia="宋体" w:hAnsi="宋体" w:cs="宋体" w:hint="eastAsia"/>
          <w:kern w:val="0"/>
          <w:sz w:val="24"/>
          <w:szCs w:val="24"/>
        </w:rPr>
      </w:pPr>
    </w:p>
    <w:p w14:paraId="5E2D2D62" w14:textId="77777777" w:rsidR="009214AE" w:rsidRDefault="00C66335">
      <w:pPr>
        <w:pStyle w:val="zhangjiep"/>
        <w:ind w:firstLine="422"/>
        <w:rPr>
          <w:rFonts w:hint="eastAsia"/>
        </w:rPr>
      </w:pPr>
      <w:bookmarkStart w:id="207" w:name="_Toc124758505"/>
      <w:r>
        <w:rPr>
          <w:rFonts w:hAnsi="等线" w:hint="eastAsia"/>
          <w:b/>
          <w:color w:val="000000"/>
        </w:rPr>
        <w:t>3、报告期末按公允价值占基金资产净值比例大小排序的前十名股票投资明细</w:t>
      </w:r>
      <w:bookmarkEnd w:id="207"/>
    </w:p>
    <w:tbl>
      <w:tblPr>
        <w:tblW w:w="0" w:type="auto"/>
        <w:tblInd w:w="108" w:type="dxa"/>
        <w:tblLook w:val="04A0" w:firstRow="1" w:lastRow="0" w:firstColumn="1" w:lastColumn="0" w:noHBand="0" w:noVBand="1"/>
      </w:tblPr>
      <w:tblGrid>
        <w:gridCol w:w="471"/>
        <w:gridCol w:w="1355"/>
        <w:gridCol w:w="1613"/>
        <w:gridCol w:w="1647"/>
        <w:gridCol w:w="1647"/>
        <w:gridCol w:w="1681"/>
      </w:tblGrid>
      <w:tr w:rsidR="009214AE" w14:paraId="697BD64C"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632F554" w14:textId="77777777" w:rsidR="009214AE" w:rsidRDefault="00C66335">
            <w:pPr>
              <w:pStyle w:val="biaogecenter"/>
              <w:wordWrap w:val="0"/>
              <w:rPr>
                <w:rFonts w:hint="eastAsia"/>
              </w:rPr>
            </w:pPr>
            <w:r>
              <w:rPr>
                <w:rFonts w:hAnsi="等线" w:hint="eastAsia"/>
                <w:color w:val="000000"/>
              </w:rPr>
              <w:lastRenderedPageBreak/>
              <w:t>序号</w:t>
            </w:r>
          </w:p>
        </w:tc>
        <w:tc>
          <w:tcPr>
            <w:tcW w:w="1355" w:type="dxa"/>
            <w:tcBorders>
              <w:top w:val="single" w:sz="8" w:space="0" w:color="000000"/>
              <w:left w:val="single" w:sz="8" w:space="0" w:color="000000"/>
              <w:bottom w:val="single" w:sz="6" w:space="0" w:color="000000"/>
              <w:right w:val="single" w:sz="8" w:space="0" w:color="000000"/>
            </w:tcBorders>
            <w:vAlign w:val="center"/>
          </w:tcPr>
          <w:p w14:paraId="6BFA3A21" w14:textId="77777777" w:rsidR="009214AE" w:rsidRDefault="00C66335">
            <w:pPr>
              <w:pStyle w:val="biaogecenter"/>
              <w:wordWrap w:val="0"/>
              <w:rPr>
                <w:rFonts w:hint="eastAsia"/>
              </w:rPr>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tcPr>
          <w:p w14:paraId="7995010A" w14:textId="77777777" w:rsidR="009214AE" w:rsidRDefault="00C66335">
            <w:pPr>
              <w:pStyle w:val="biaogecenter"/>
              <w:wordWrap w:val="0"/>
              <w:rPr>
                <w:rFonts w:hint="eastAsia"/>
              </w:rPr>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tcPr>
          <w:p w14:paraId="6455E2FA" w14:textId="77777777" w:rsidR="009214AE" w:rsidRDefault="00C66335">
            <w:pPr>
              <w:pStyle w:val="biaogecenter"/>
              <w:wordWrap w:val="0"/>
              <w:rPr>
                <w:rFonts w:hint="eastAsia"/>
              </w:rPr>
            </w:pPr>
            <w:r>
              <w:rPr>
                <w:rFonts w:hAnsi="等线" w:hint="eastAsia"/>
                <w:color w:val="000000"/>
              </w:rPr>
              <w:t>数量(股)</w:t>
            </w:r>
          </w:p>
        </w:tc>
        <w:tc>
          <w:tcPr>
            <w:tcW w:w="1647" w:type="dxa"/>
            <w:tcBorders>
              <w:top w:val="single" w:sz="8" w:space="0" w:color="000000"/>
              <w:left w:val="single" w:sz="8" w:space="0" w:color="000000"/>
              <w:bottom w:val="single" w:sz="6" w:space="0" w:color="000000"/>
              <w:right w:val="single" w:sz="8" w:space="0" w:color="000000"/>
            </w:tcBorders>
            <w:vAlign w:val="center"/>
          </w:tcPr>
          <w:p w14:paraId="4DF184E2" w14:textId="77777777" w:rsidR="009214AE" w:rsidRDefault="00C66335">
            <w:pPr>
              <w:pStyle w:val="biaogecenter"/>
              <w:wordWrap w:val="0"/>
              <w:rPr>
                <w:rFonts w:hint="eastAsia"/>
              </w:rPr>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tcPr>
          <w:p w14:paraId="4583B9CD" w14:textId="77777777" w:rsidR="009214AE" w:rsidRDefault="00C66335">
            <w:pPr>
              <w:pStyle w:val="biaogecenter"/>
              <w:wordWrap w:val="0"/>
              <w:rPr>
                <w:rFonts w:hint="eastAsia"/>
              </w:rPr>
            </w:pPr>
            <w:r>
              <w:rPr>
                <w:rFonts w:hAnsi="等线" w:hint="eastAsia"/>
                <w:color w:val="000000"/>
              </w:rPr>
              <w:t>占基金资产净值比例（％）</w:t>
            </w:r>
          </w:p>
        </w:tc>
      </w:tr>
      <w:tr w:rsidR="001E7F72" w14:paraId="4FD84F97"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4ED8FFDE" w14:textId="77777777" w:rsidR="001E7F72" w:rsidRDefault="001E7F72" w:rsidP="001E7F72">
            <w:pPr>
              <w:pStyle w:val="biaogecenter"/>
              <w:wordWrap w:val="0"/>
              <w:rPr>
                <w:rFonts w:hint="eastAsia"/>
              </w:rPr>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tcPr>
          <w:p w14:paraId="75DCD4D1" w14:textId="5905E4C8" w:rsidR="001E7F72" w:rsidRDefault="001E7F72" w:rsidP="001E7F72">
            <w:pPr>
              <w:pStyle w:val="biaogeleft"/>
              <w:wordWrap w:val="0"/>
              <w:rPr>
                <w:rFonts w:hint="eastAsia"/>
              </w:rPr>
            </w:pPr>
            <w:r w:rsidRPr="004433C8">
              <w:rPr>
                <w:rFonts w:hAnsi="等线"/>
                <w:color w:val="000000"/>
              </w:rPr>
              <w:t>300750</w:t>
            </w:r>
          </w:p>
        </w:tc>
        <w:tc>
          <w:tcPr>
            <w:tcW w:w="1613" w:type="dxa"/>
            <w:tcBorders>
              <w:top w:val="single" w:sz="8" w:space="0" w:color="000000"/>
              <w:left w:val="single" w:sz="8" w:space="0" w:color="000000"/>
              <w:bottom w:val="single" w:sz="6" w:space="0" w:color="000000"/>
              <w:right w:val="single" w:sz="8" w:space="0" w:color="000000"/>
            </w:tcBorders>
            <w:vAlign w:val="center"/>
          </w:tcPr>
          <w:p w14:paraId="33DD48B8" w14:textId="5226BC39" w:rsidR="001E7F72" w:rsidRDefault="001E7F72" w:rsidP="001E7F72">
            <w:pPr>
              <w:pStyle w:val="biaogeleft"/>
              <w:wordWrap w:val="0"/>
              <w:rPr>
                <w:rFonts w:hint="eastAsia"/>
              </w:rPr>
            </w:pPr>
            <w:r w:rsidRPr="004433C8">
              <w:rPr>
                <w:rFonts w:hAnsi="等线"/>
                <w:color w:val="000000"/>
              </w:rPr>
              <w:t>宁德时代</w:t>
            </w:r>
          </w:p>
        </w:tc>
        <w:tc>
          <w:tcPr>
            <w:tcW w:w="1647" w:type="dxa"/>
            <w:tcBorders>
              <w:top w:val="single" w:sz="8" w:space="0" w:color="000000"/>
              <w:left w:val="single" w:sz="8" w:space="0" w:color="000000"/>
              <w:bottom w:val="single" w:sz="6" w:space="0" w:color="000000"/>
              <w:right w:val="single" w:sz="8" w:space="0" w:color="000000"/>
            </w:tcBorders>
            <w:vAlign w:val="center"/>
          </w:tcPr>
          <w:p w14:paraId="4B3B78CF" w14:textId="330FC24E" w:rsidR="001E7F72" w:rsidRDefault="001E7F72" w:rsidP="001E7F72">
            <w:pPr>
              <w:pStyle w:val="biaogeright"/>
              <w:wordWrap w:val="0"/>
              <w:rPr>
                <w:rFonts w:hint="eastAsia"/>
              </w:rPr>
            </w:pPr>
            <w:r w:rsidRPr="004433C8">
              <w:rPr>
                <w:rFonts w:hAnsi="等线"/>
                <w:color w:val="000000"/>
              </w:rPr>
              <w:t>1,000</w:t>
            </w:r>
          </w:p>
        </w:tc>
        <w:tc>
          <w:tcPr>
            <w:tcW w:w="1647" w:type="dxa"/>
            <w:tcBorders>
              <w:top w:val="single" w:sz="8" w:space="0" w:color="000000"/>
              <w:left w:val="single" w:sz="8" w:space="0" w:color="000000"/>
              <w:bottom w:val="single" w:sz="6" w:space="0" w:color="000000"/>
              <w:right w:val="single" w:sz="8" w:space="0" w:color="000000"/>
            </w:tcBorders>
            <w:vAlign w:val="center"/>
          </w:tcPr>
          <w:p w14:paraId="43967F5B" w14:textId="7E9DFDE1" w:rsidR="001E7F72" w:rsidRDefault="001E7F72" w:rsidP="001E7F72">
            <w:pPr>
              <w:pStyle w:val="biaogeright"/>
              <w:wordWrap w:val="0"/>
              <w:rPr>
                <w:rFonts w:hint="eastAsia"/>
              </w:rPr>
            </w:pPr>
            <w:r w:rsidRPr="004433C8">
              <w:rPr>
                <w:rFonts w:hAnsi="等线"/>
                <w:color w:val="000000"/>
              </w:rPr>
              <w:t>266,000.00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7FA09DF2" w14:textId="0E218EE3" w:rsidR="001E7F72" w:rsidRDefault="001E7F72" w:rsidP="001E7F72">
            <w:pPr>
              <w:pStyle w:val="biaogeright"/>
              <w:wordWrap w:val="0"/>
              <w:rPr>
                <w:rFonts w:hint="eastAsia"/>
              </w:rPr>
            </w:pPr>
            <w:r w:rsidRPr="004433C8">
              <w:rPr>
                <w:rFonts w:hAnsi="等线"/>
                <w:color w:val="000000"/>
              </w:rPr>
              <w:t>3.08</w:t>
            </w:r>
          </w:p>
        </w:tc>
      </w:tr>
      <w:tr w:rsidR="001E7F72" w14:paraId="30800D7B"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872254E" w14:textId="77777777" w:rsidR="001E7F72" w:rsidRDefault="001E7F72" w:rsidP="001E7F72">
            <w:pPr>
              <w:pStyle w:val="biaogecenter"/>
              <w:wordWrap w:val="0"/>
              <w:rPr>
                <w:rFonts w:hint="eastAsia"/>
              </w:rPr>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tcPr>
          <w:p w14:paraId="0E0DE5D3" w14:textId="38734E8A" w:rsidR="001E7F72" w:rsidRDefault="001E7F72" w:rsidP="001E7F72">
            <w:pPr>
              <w:pStyle w:val="biaogeleft"/>
              <w:wordWrap w:val="0"/>
              <w:rPr>
                <w:rFonts w:hint="eastAsia"/>
              </w:rPr>
            </w:pPr>
            <w:r w:rsidRPr="004433C8">
              <w:rPr>
                <w:rFonts w:hAnsi="等线"/>
                <w:color w:val="000000"/>
              </w:rPr>
              <w:t>600642</w:t>
            </w:r>
          </w:p>
        </w:tc>
        <w:tc>
          <w:tcPr>
            <w:tcW w:w="1613" w:type="dxa"/>
            <w:tcBorders>
              <w:top w:val="single" w:sz="8" w:space="0" w:color="000000"/>
              <w:left w:val="single" w:sz="8" w:space="0" w:color="000000"/>
              <w:bottom w:val="single" w:sz="6" w:space="0" w:color="000000"/>
              <w:right w:val="single" w:sz="8" w:space="0" w:color="000000"/>
            </w:tcBorders>
            <w:vAlign w:val="center"/>
          </w:tcPr>
          <w:p w14:paraId="463683E1" w14:textId="3A98E730" w:rsidR="001E7F72" w:rsidRDefault="001E7F72" w:rsidP="001E7F72">
            <w:pPr>
              <w:pStyle w:val="biaogeleft"/>
              <w:wordWrap w:val="0"/>
              <w:rPr>
                <w:rFonts w:hint="eastAsia"/>
              </w:rPr>
            </w:pPr>
            <w:r w:rsidRPr="004433C8">
              <w:rPr>
                <w:rFonts w:hAnsi="等线"/>
                <w:color w:val="000000"/>
              </w:rPr>
              <w:t>申能股份</w:t>
            </w:r>
          </w:p>
        </w:tc>
        <w:tc>
          <w:tcPr>
            <w:tcW w:w="1647" w:type="dxa"/>
            <w:tcBorders>
              <w:top w:val="single" w:sz="8" w:space="0" w:color="000000"/>
              <w:left w:val="single" w:sz="8" w:space="0" w:color="000000"/>
              <w:bottom w:val="single" w:sz="6" w:space="0" w:color="000000"/>
              <w:right w:val="single" w:sz="8" w:space="0" w:color="000000"/>
            </w:tcBorders>
            <w:vAlign w:val="center"/>
          </w:tcPr>
          <w:p w14:paraId="346E195E" w14:textId="16E9FB3A" w:rsidR="001E7F72" w:rsidRDefault="001E7F72" w:rsidP="001E7F72">
            <w:pPr>
              <w:pStyle w:val="biaogeright"/>
              <w:wordWrap w:val="0"/>
              <w:rPr>
                <w:rFonts w:hint="eastAsia"/>
              </w:rPr>
            </w:pPr>
            <w:r w:rsidRPr="004433C8">
              <w:rPr>
                <w:rFonts w:hAnsi="等线"/>
                <w:color w:val="000000"/>
              </w:rPr>
              <w:t>14,200</w:t>
            </w:r>
          </w:p>
        </w:tc>
        <w:tc>
          <w:tcPr>
            <w:tcW w:w="1647" w:type="dxa"/>
            <w:tcBorders>
              <w:top w:val="single" w:sz="8" w:space="0" w:color="000000"/>
              <w:left w:val="single" w:sz="8" w:space="0" w:color="000000"/>
              <w:bottom w:val="single" w:sz="6" w:space="0" w:color="000000"/>
              <w:right w:val="single" w:sz="8" w:space="0" w:color="000000"/>
            </w:tcBorders>
            <w:vAlign w:val="center"/>
          </w:tcPr>
          <w:p w14:paraId="7ED001B0" w14:textId="29578AEE" w:rsidR="001E7F72" w:rsidRDefault="001E7F72" w:rsidP="001E7F72">
            <w:pPr>
              <w:pStyle w:val="biaogeright"/>
              <w:wordWrap w:val="0"/>
              <w:rPr>
                <w:rFonts w:hint="eastAsia"/>
              </w:rPr>
            </w:pPr>
            <w:r w:rsidRPr="004433C8">
              <w:rPr>
                <w:rFonts w:hAnsi="等线"/>
                <w:color w:val="000000"/>
              </w:rPr>
              <w:t>134,758.00</w:t>
            </w:r>
          </w:p>
        </w:tc>
        <w:tc>
          <w:tcPr>
            <w:tcW w:w="1681" w:type="dxa"/>
            <w:tcBorders>
              <w:top w:val="single" w:sz="8" w:space="0" w:color="000000"/>
              <w:left w:val="single" w:sz="8" w:space="0" w:color="000000"/>
              <w:bottom w:val="single" w:sz="6" w:space="0" w:color="000000"/>
              <w:right w:val="single" w:sz="8" w:space="0" w:color="000000"/>
            </w:tcBorders>
            <w:vAlign w:val="center"/>
          </w:tcPr>
          <w:p w14:paraId="0CDDB547" w14:textId="1E79A268" w:rsidR="001E7F72" w:rsidRDefault="001E7F72" w:rsidP="001E7F72">
            <w:pPr>
              <w:pStyle w:val="biaogeright"/>
              <w:wordWrap w:val="0"/>
              <w:rPr>
                <w:rFonts w:hint="eastAsia"/>
              </w:rPr>
            </w:pPr>
            <w:r w:rsidRPr="004433C8">
              <w:rPr>
                <w:rFonts w:hAnsi="等线"/>
                <w:color w:val="000000"/>
              </w:rPr>
              <w:t>1.56</w:t>
            </w:r>
          </w:p>
        </w:tc>
      </w:tr>
      <w:tr w:rsidR="001E7F72" w14:paraId="529E3123"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B91F35D" w14:textId="77777777" w:rsidR="001E7F72" w:rsidRDefault="001E7F72" w:rsidP="001E7F72">
            <w:pPr>
              <w:pStyle w:val="biaogecenter"/>
              <w:wordWrap w:val="0"/>
              <w:rPr>
                <w:rFonts w:hint="eastAsia"/>
              </w:rPr>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tcPr>
          <w:p w14:paraId="6931FBCB" w14:textId="3B58305F" w:rsidR="001E7F72" w:rsidRDefault="001E7F72" w:rsidP="001E7F72">
            <w:pPr>
              <w:pStyle w:val="biaogeleft"/>
              <w:wordWrap w:val="0"/>
              <w:rPr>
                <w:rFonts w:hint="eastAsia"/>
              </w:rPr>
            </w:pPr>
            <w:r w:rsidRPr="004433C8">
              <w:rPr>
                <w:rFonts w:hAnsi="等线"/>
                <w:color w:val="000000"/>
              </w:rPr>
              <w:t>603109</w:t>
            </w:r>
          </w:p>
        </w:tc>
        <w:tc>
          <w:tcPr>
            <w:tcW w:w="1613" w:type="dxa"/>
            <w:tcBorders>
              <w:top w:val="single" w:sz="8" w:space="0" w:color="000000"/>
              <w:left w:val="single" w:sz="8" w:space="0" w:color="000000"/>
              <w:bottom w:val="single" w:sz="6" w:space="0" w:color="000000"/>
              <w:right w:val="single" w:sz="8" w:space="0" w:color="000000"/>
            </w:tcBorders>
            <w:vAlign w:val="center"/>
          </w:tcPr>
          <w:p w14:paraId="3D957FC0" w14:textId="41447604" w:rsidR="001E7F72" w:rsidRDefault="001E7F72" w:rsidP="001E7F72">
            <w:pPr>
              <w:pStyle w:val="biaogeleft"/>
              <w:wordWrap w:val="0"/>
              <w:rPr>
                <w:rFonts w:hint="eastAsia"/>
              </w:rPr>
            </w:pPr>
            <w:r w:rsidRPr="004433C8">
              <w:rPr>
                <w:rFonts w:hAnsi="等线"/>
                <w:color w:val="000000"/>
              </w:rPr>
              <w:t>神驰机电</w:t>
            </w:r>
          </w:p>
        </w:tc>
        <w:tc>
          <w:tcPr>
            <w:tcW w:w="1647" w:type="dxa"/>
            <w:tcBorders>
              <w:top w:val="single" w:sz="8" w:space="0" w:color="000000"/>
              <w:left w:val="single" w:sz="8" w:space="0" w:color="000000"/>
              <w:bottom w:val="single" w:sz="6" w:space="0" w:color="000000"/>
              <w:right w:val="single" w:sz="8" w:space="0" w:color="000000"/>
            </w:tcBorders>
            <w:vAlign w:val="center"/>
          </w:tcPr>
          <w:p w14:paraId="2B52BCE5" w14:textId="7A70588F" w:rsidR="001E7F72" w:rsidRDefault="001E7F72" w:rsidP="001E7F72">
            <w:pPr>
              <w:pStyle w:val="biaogeright"/>
              <w:wordWrap w:val="0"/>
              <w:rPr>
                <w:rFonts w:hint="eastAsia"/>
              </w:rPr>
            </w:pPr>
            <w:r w:rsidRPr="004433C8">
              <w:rPr>
                <w:rFonts w:hAnsi="等线"/>
                <w:color w:val="000000"/>
              </w:rPr>
              <w:t>7,500</w:t>
            </w:r>
          </w:p>
        </w:tc>
        <w:tc>
          <w:tcPr>
            <w:tcW w:w="1647" w:type="dxa"/>
            <w:tcBorders>
              <w:top w:val="single" w:sz="8" w:space="0" w:color="000000"/>
              <w:left w:val="single" w:sz="8" w:space="0" w:color="000000"/>
              <w:bottom w:val="single" w:sz="6" w:space="0" w:color="000000"/>
              <w:right w:val="single" w:sz="8" w:space="0" w:color="000000"/>
            </w:tcBorders>
            <w:vAlign w:val="center"/>
          </w:tcPr>
          <w:p w14:paraId="2025765C" w14:textId="43024F60" w:rsidR="001E7F72" w:rsidRDefault="001E7F72" w:rsidP="001E7F72">
            <w:pPr>
              <w:pStyle w:val="biaogeright"/>
              <w:wordWrap w:val="0"/>
              <w:rPr>
                <w:rFonts w:hint="eastAsia"/>
              </w:rPr>
            </w:pPr>
            <w:r w:rsidRPr="004433C8">
              <w:rPr>
                <w:rFonts w:hAnsi="等线"/>
                <w:color w:val="000000"/>
              </w:rPr>
              <w:t>133,125.00</w:t>
            </w:r>
          </w:p>
        </w:tc>
        <w:tc>
          <w:tcPr>
            <w:tcW w:w="1681" w:type="dxa"/>
            <w:tcBorders>
              <w:top w:val="single" w:sz="8" w:space="0" w:color="000000"/>
              <w:left w:val="single" w:sz="8" w:space="0" w:color="000000"/>
              <w:bottom w:val="single" w:sz="6" w:space="0" w:color="000000"/>
              <w:right w:val="single" w:sz="8" w:space="0" w:color="000000"/>
            </w:tcBorders>
            <w:vAlign w:val="center"/>
          </w:tcPr>
          <w:p w14:paraId="583A60BE" w14:textId="4AABDF3B" w:rsidR="001E7F72" w:rsidRDefault="001E7F72" w:rsidP="001E7F72">
            <w:pPr>
              <w:pStyle w:val="biaogeright"/>
              <w:wordWrap w:val="0"/>
              <w:rPr>
                <w:rFonts w:hint="eastAsia"/>
              </w:rPr>
            </w:pPr>
            <w:r w:rsidRPr="004433C8">
              <w:rPr>
                <w:rFonts w:hAnsi="等线"/>
                <w:color w:val="000000"/>
              </w:rPr>
              <w:t>1.54</w:t>
            </w:r>
          </w:p>
        </w:tc>
      </w:tr>
      <w:tr w:rsidR="001E7F72" w14:paraId="07B4034F"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19CFFCEF" w14:textId="77777777" w:rsidR="001E7F72" w:rsidRDefault="001E7F72" w:rsidP="001E7F72">
            <w:pPr>
              <w:pStyle w:val="biaogecenter"/>
              <w:wordWrap w:val="0"/>
              <w:rPr>
                <w:rFonts w:hint="eastAsia"/>
              </w:rPr>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tcPr>
          <w:p w14:paraId="5B2721E8" w14:textId="3E9FAD9B" w:rsidR="001E7F72" w:rsidRDefault="001E7F72" w:rsidP="001E7F72">
            <w:pPr>
              <w:pStyle w:val="biaogeleft"/>
              <w:wordWrap w:val="0"/>
              <w:rPr>
                <w:rFonts w:hint="eastAsia"/>
              </w:rPr>
            </w:pPr>
            <w:r w:rsidRPr="004433C8">
              <w:rPr>
                <w:rFonts w:hAnsi="等线"/>
                <w:color w:val="000000"/>
              </w:rPr>
              <w:t>600236</w:t>
            </w:r>
          </w:p>
        </w:tc>
        <w:tc>
          <w:tcPr>
            <w:tcW w:w="1613" w:type="dxa"/>
            <w:tcBorders>
              <w:top w:val="single" w:sz="8" w:space="0" w:color="000000"/>
              <w:left w:val="single" w:sz="8" w:space="0" w:color="000000"/>
              <w:bottom w:val="single" w:sz="6" w:space="0" w:color="000000"/>
              <w:right w:val="single" w:sz="8" w:space="0" w:color="000000"/>
            </w:tcBorders>
            <w:vAlign w:val="center"/>
          </w:tcPr>
          <w:p w14:paraId="074CAD42" w14:textId="0ED3DE9D" w:rsidR="001E7F72" w:rsidRDefault="001E7F72" w:rsidP="001E7F72">
            <w:pPr>
              <w:pStyle w:val="biaogeleft"/>
              <w:wordWrap w:val="0"/>
              <w:rPr>
                <w:rFonts w:hint="eastAsia"/>
              </w:rPr>
            </w:pPr>
            <w:r w:rsidRPr="004433C8">
              <w:rPr>
                <w:rFonts w:hAnsi="等线"/>
                <w:color w:val="000000"/>
              </w:rPr>
              <w:t>桂冠电力</w:t>
            </w:r>
          </w:p>
        </w:tc>
        <w:tc>
          <w:tcPr>
            <w:tcW w:w="1647" w:type="dxa"/>
            <w:tcBorders>
              <w:top w:val="single" w:sz="8" w:space="0" w:color="000000"/>
              <w:left w:val="single" w:sz="8" w:space="0" w:color="000000"/>
              <w:bottom w:val="single" w:sz="6" w:space="0" w:color="000000"/>
              <w:right w:val="single" w:sz="8" w:space="0" w:color="000000"/>
            </w:tcBorders>
            <w:vAlign w:val="center"/>
          </w:tcPr>
          <w:p w14:paraId="239F66A4" w14:textId="710FF590" w:rsidR="001E7F72" w:rsidRDefault="001E7F72" w:rsidP="001E7F72">
            <w:pPr>
              <w:pStyle w:val="biaogeright"/>
              <w:wordWrap w:val="0"/>
              <w:rPr>
                <w:rFonts w:hint="eastAsia"/>
              </w:rPr>
            </w:pPr>
            <w:r w:rsidRPr="004433C8">
              <w:rPr>
                <w:rFonts w:hAnsi="等线"/>
                <w:color w:val="000000"/>
              </w:rPr>
              <w:t>18,900</w:t>
            </w:r>
          </w:p>
        </w:tc>
        <w:tc>
          <w:tcPr>
            <w:tcW w:w="1647" w:type="dxa"/>
            <w:tcBorders>
              <w:top w:val="single" w:sz="8" w:space="0" w:color="000000"/>
              <w:left w:val="single" w:sz="8" w:space="0" w:color="000000"/>
              <w:bottom w:val="single" w:sz="6" w:space="0" w:color="000000"/>
              <w:right w:val="single" w:sz="8" w:space="0" w:color="000000"/>
            </w:tcBorders>
            <w:vAlign w:val="center"/>
          </w:tcPr>
          <w:p w14:paraId="353154C1" w14:textId="0C4C8EED" w:rsidR="001E7F72" w:rsidRDefault="001E7F72" w:rsidP="001E7F72">
            <w:pPr>
              <w:pStyle w:val="biaogeright"/>
              <w:wordWrap w:val="0"/>
              <w:rPr>
                <w:rFonts w:hint="eastAsia"/>
              </w:rPr>
            </w:pPr>
            <w:r w:rsidRPr="004433C8">
              <w:rPr>
                <w:rFonts w:hAnsi="等线"/>
                <w:color w:val="000000"/>
              </w:rPr>
              <w:t>128,520.00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408D4C46" w14:textId="7013C614" w:rsidR="001E7F72" w:rsidRDefault="001E7F72" w:rsidP="001E7F72">
            <w:pPr>
              <w:pStyle w:val="biaogeright"/>
              <w:wordWrap w:val="0"/>
              <w:rPr>
                <w:rFonts w:hint="eastAsia"/>
              </w:rPr>
            </w:pPr>
            <w:r w:rsidRPr="004433C8">
              <w:rPr>
                <w:rFonts w:hAnsi="等线"/>
                <w:color w:val="000000"/>
              </w:rPr>
              <w:t>1.49</w:t>
            </w:r>
          </w:p>
        </w:tc>
      </w:tr>
      <w:tr w:rsidR="001E7F72" w14:paraId="725FFA9B"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1FEF9411" w14:textId="77777777" w:rsidR="001E7F72" w:rsidRDefault="001E7F72" w:rsidP="001E7F72">
            <w:pPr>
              <w:pStyle w:val="biaogecenter"/>
              <w:wordWrap w:val="0"/>
              <w:rPr>
                <w:rFonts w:hint="eastAsia"/>
              </w:rPr>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tcPr>
          <w:p w14:paraId="451003A7" w14:textId="41A2DF02" w:rsidR="001E7F72" w:rsidRDefault="001E7F72" w:rsidP="001E7F72">
            <w:pPr>
              <w:pStyle w:val="biaogeleft"/>
              <w:wordWrap w:val="0"/>
              <w:rPr>
                <w:rFonts w:hint="eastAsia"/>
              </w:rPr>
            </w:pPr>
            <w:r w:rsidRPr="004433C8">
              <w:rPr>
                <w:rFonts w:hAnsi="等线"/>
                <w:color w:val="000000"/>
              </w:rPr>
              <w:t>603686</w:t>
            </w:r>
          </w:p>
        </w:tc>
        <w:tc>
          <w:tcPr>
            <w:tcW w:w="1613" w:type="dxa"/>
            <w:tcBorders>
              <w:top w:val="single" w:sz="8" w:space="0" w:color="000000"/>
              <w:left w:val="single" w:sz="8" w:space="0" w:color="000000"/>
              <w:bottom w:val="single" w:sz="6" w:space="0" w:color="000000"/>
              <w:right w:val="single" w:sz="8" w:space="0" w:color="000000"/>
            </w:tcBorders>
            <w:vAlign w:val="center"/>
          </w:tcPr>
          <w:p w14:paraId="1268EF58" w14:textId="20521F61" w:rsidR="001E7F72" w:rsidRDefault="001E7F72" w:rsidP="001E7F72">
            <w:pPr>
              <w:pStyle w:val="biaogeleft"/>
              <w:wordWrap w:val="0"/>
              <w:rPr>
                <w:rFonts w:hint="eastAsia"/>
              </w:rPr>
            </w:pPr>
            <w:r w:rsidRPr="004433C8">
              <w:rPr>
                <w:rFonts w:hAnsi="等线"/>
                <w:color w:val="000000"/>
              </w:rPr>
              <w:t>福龙马</w:t>
            </w:r>
          </w:p>
        </w:tc>
        <w:tc>
          <w:tcPr>
            <w:tcW w:w="1647" w:type="dxa"/>
            <w:tcBorders>
              <w:top w:val="single" w:sz="8" w:space="0" w:color="000000"/>
              <w:left w:val="single" w:sz="8" w:space="0" w:color="000000"/>
              <w:bottom w:val="single" w:sz="6" w:space="0" w:color="000000"/>
              <w:right w:val="single" w:sz="8" w:space="0" w:color="000000"/>
            </w:tcBorders>
            <w:vAlign w:val="center"/>
          </w:tcPr>
          <w:p w14:paraId="5EB2B5FE" w14:textId="098A82F1" w:rsidR="001E7F72" w:rsidRDefault="001E7F72" w:rsidP="001E7F72">
            <w:pPr>
              <w:pStyle w:val="biaogeright"/>
              <w:wordWrap w:val="0"/>
              <w:rPr>
                <w:rFonts w:hint="eastAsia"/>
              </w:rPr>
            </w:pPr>
            <w:r w:rsidRPr="004433C8">
              <w:rPr>
                <w:rFonts w:hAnsi="等线"/>
                <w:color w:val="000000"/>
              </w:rPr>
              <w:t>12,200</w:t>
            </w:r>
          </w:p>
        </w:tc>
        <w:tc>
          <w:tcPr>
            <w:tcW w:w="1647" w:type="dxa"/>
            <w:tcBorders>
              <w:top w:val="single" w:sz="8" w:space="0" w:color="000000"/>
              <w:left w:val="single" w:sz="8" w:space="0" w:color="000000"/>
              <w:bottom w:val="single" w:sz="6" w:space="0" w:color="000000"/>
              <w:right w:val="single" w:sz="8" w:space="0" w:color="000000"/>
            </w:tcBorders>
            <w:vAlign w:val="center"/>
          </w:tcPr>
          <w:p w14:paraId="08FCC5DE" w14:textId="21CDFB98" w:rsidR="001E7F72" w:rsidRDefault="001E7F72" w:rsidP="001E7F72">
            <w:pPr>
              <w:pStyle w:val="biaogeright"/>
              <w:wordWrap w:val="0"/>
              <w:rPr>
                <w:rFonts w:hint="eastAsia"/>
              </w:rPr>
            </w:pPr>
            <w:r w:rsidRPr="004433C8">
              <w:rPr>
                <w:rFonts w:hAnsi="等线"/>
                <w:color w:val="000000"/>
              </w:rPr>
              <w:t>126,880.00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643F7B09" w14:textId="7639B7DA" w:rsidR="001E7F72" w:rsidRDefault="001E7F72" w:rsidP="001E7F72">
            <w:pPr>
              <w:pStyle w:val="biaogeright"/>
              <w:wordWrap w:val="0"/>
              <w:rPr>
                <w:rFonts w:hint="eastAsia"/>
              </w:rPr>
            </w:pPr>
            <w:r w:rsidRPr="004433C8">
              <w:rPr>
                <w:rFonts w:hAnsi="等线"/>
                <w:color w:val="000000"/>
              </w:rPr>
              <w:t>1.47</w:t>
            </w:r>
          </w:p>
        </w:tc>
      </w:tr>
      <w:tr w:rsidR="001E7F72" w14:paraId="06064249"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671E138D" w14:textId="77777777" w:rsidR="001E7F72" w:rsidRDefault="001E7F72" w:rsidP="001E7F72">
            <w:pPr>
              <w:pStyle w:val="biaogecenter"/>
              <w:wordWrap w:val="0"/>
              <w:rPr>
                <w:rFonts w:hint="eastAsia"/>
              </w:rPr>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tcPr>
          <w:p w14:paraId="07E1032F" w14:textId="1F4F2AE5" w:rsidR="001E7F72" w:rsidRDefault="001E7F72" w:rsidP="001E7F72">
            <w:pPr>
              <w:pStyle w:val="biaogeleft"/>
              <w:wordWrap w:val="0"/>
              <w:rPr>
                <w:rFonts w:hint="eastAsia"/>
              </w:rPr>
            </w:pPr>
            <w:r w:rsidRPr="004433C8">
              <w:rPr>
                <w:rFonts w:hAnsi="等线"/>
                <w:color w:val="000000"/>
              </w:rPr>
              <w:t>600312</w:t>
            </w:r>
          </w:p>
        </w:tc>
        <w:tc>
          <w:tcPr>
            <w:tcW w:w="1613" w:type="dxa"/>
            <w:tcBorders>
              <w:top w:val="single" w:sz="8" w:space="0" w:color="000000"/>
              <w:left w:val="single" w:sz="8" w:space="0" w:color="000000"/>
              <w:bottom w:val="single" w:sz="6" w:space="0" w:color="000000"/>
              <w:right w:val="single" w:sz="8" w:space="0" w:color="000000"/>
            </w:tcBorders>
            <w:vAlign w:val="center"/>
          </w:tcPr>
          <w:p w14:paraId="5E43D852" w14:textId="3B2D610B" w:rsidR="001E7F72" w:rsidRDefault="001E7F72" w:rsidP="001E7F72">
            <w:pPr>
              <w:pStyle w:val="biaogeleft"/>
              <w:wordWrap w:val="0"/>
              <w:rPr>
                <w:rFonts w:hint="eastAsia"/>
              </w:rPr>
            </w:pPr>
            <w:r w:rsidRPr="004433C8">
              <w:rPr>
                <w:rFonts w:hAnsi="等线"/>
                <w:color w:val="000000"/>
              </w:rPr>
              <w:t>平高电气</w:t>
            </w:r>
          </w:p>
        </w:tc>
        <w:tc>
          <w:tcPr>
            <w:tcW w:w="1647" w:type="dxa"/>
            <w:tcBorders>
              <w:top w:val="single" w:sz="8" w:space="0" w:color="000000"/>
              <w:left w:val="single" w:sz="8" w:space="0" w:color="000000"/>
              <w:bottom w:val="single" w:sz="6" w:space="0" w:color="000000"/>
              <w:right w:val="single" w:sz="8" w:space="0" w:color="000000"/>
            </w:tcBorders>
            <w:vAlign w:val="center"/>
          </w:tcPr>
          <w:p w14:paraId="6BCEAF1B" w14:textId="56F0B245" w:rsidR="001E7F72" w:rsidRDefault="001E7F72" w:rsidP="001E7F72">
            <w:pPr>
              <w:pStyle w:val="biaogeright"/>
              <w:wordWrap w:val="0"/>
              <w:rPr>
                <w:rFonts w:hint="eastAsia"/>
              </w:rPr>
            </w:pPr>
            <w:r w:rsidRPr="004433C8">
              <w:rPr>
                <w:rFonts w:hAnsi="等线"/>
                <w:color w:val="000000"/>
              </w:rPr>
              <w:t>6,600</w:t>
            </w:r>
          </w:p>
        </w:tc>
        <w:tc>
          <w:tcPr>
            <w:tcW w:w="1647" w:type="dxa"/>
            <w:tcBorders>
              <w:top w:val="single" w:sz="8" w:space="0" w:color="000000"/>
              <w:left w:val="single" w:sz="8" w:space="0" w:color="000000"/>
              <w:bottom w:val="single" w:sz="6" w:space="0" w:color="000000"/>
              <w:right w:val="single" w:sz="8" w:space="0" w:color="000000"/>
            </w:tcBorders>
            <w:vAlign w:val="center"/>
          </w:tcPr>
          <w:p w14:paraId="73209F88" w14:textId="6AF3E1A6" w:rsidR="001E7F72" w:rsidRDefault="001E7F72" w:rsidP="001E7F72">
            <w:pPr>
              <w:pStyle w:val="biaogeright"/>
              <w:wordWrap w:val="0"/>
              <w:rPr>
                <w:rFonts w:hint="eastAsia"/>
              </w:rPr>
            </w:pPr>
            <w:r w:rsidRPr="004433C8">
              <w:rPr>
                <w:rFonts w:hAnsi="等线"/>
                <w:color w:val="000000"/>
              </w:rPr>
              <w:t>126,720.00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45952702" w14:textId="29247C51" w:rsidR="001E7F72" w:rsidRDefault="001E7F72" w:rsidP="001E7F72">
            <w:pPr>
              <w:pStyle w:val="biaogeright"/>
              <w:wordWrap w:val="0"/>
              <w:rPr>
                <w:rFonts w:hint="eastAsia"/>
              </w:rPr>
            </w:pPr>
            <w:r w:rsidRPr="004433C8">
              <w:rPr>
                <w:rFonts w:hAnsi="等线"/>
                <w:color w:val="000000"/>
              </w:rPr>
              <w:t>1.47</w:t>
            </w:r>
          </w:p>
        </w:tc>
      </w:tr>
      <w:tr w:rsidR="001E7F72" w14:paraId="7CA2D0FC"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92993BB" w14:textId="77777777" w:rsidR="001E7F72" w:rsidRDefault="001E7F72" w:rsidP="001E7F72">
            <w:pPr>
              <w:pStyle w:val="biaogecenter"/>
              <w:wordWrap w:val="0"/>
              <w:rPr>
                <w:rFonts w:hint="eastAsia"/>
              </w:rPr>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tcPr>
          <w:p w14:paraId="0B154308" w14:textId="77C1EF30" w:rsidR="001E7F72" w:rsidRDefault="001E7F72" w:rsidP="001E7F72">
            <w:pPr>
              <w:pStyle w:val="biaogeleft"/>
              <w:wordWrap w:val="0"/>
              <w:rPr>
                <w:rFonts w:hint="eastAsia"/>
              </w:rPr>
            </w:pPr>
            <w:r w:rsidRPr="004433C8">
              <w:rPr>
                <w:rFonts w:hAnsi="等线"/>
                <w:color w:val="000000"/>
              </w:rPr>
              <w:t>600323</w:t>
            </w:r>
          </w:p>
        </w:tc>
        <w:tc>
          <w:tcPr>
            <w:tcW w:w="1613" w:type="dxa"/>
            <w:tcBorders>
              <w:top w:val="single" w:sz="8" w:space="0" w:color="000000"/>
              <w:left w:val="single" w:sz="8" w:space="0" w:color="000000"/>
              <w:bottom w:val="single" w:sz="6" w:space="0" w:color="000000"/>
              <w:right w:val="single" w:sz="8" w:space="0" w:color="000000"/>
            </w:tcBorders>
            <w:vAlign w:val="center"/>
          </w:tcPr>
          <w:p w14:paraId="49B93211" w14:textId="6601F461" w:rsidR="001E7F72" w:rsidRDefault="001E7F72" w:rsidP="001E7F72">
            <w:pPr>
              <w:pStyle w:val="biaogeleft"/>
              <w:wordWrap w:val="0"/>
              <w:rPr>
                <w:rFonts w:hint="eastAsia"/>
              </w:rPr>
            </w:pPr>
            <w:proofErr w:type="gramStart"/>
            <w:r w:rsidRPr="004433C8">
              <w:rPr>
                <w:rFonts w:hAnsi="等线"/>
                <w:color w:val="000000"/>
              </w:rPr>
              <w:t>瀚蓝环境</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60C29DCD" w14:textId="74091576" w:rsidR="001E7F72" w:rsidRDefault="001E7F72" w:rsidP="001E7F72">
            <w:pPr>
              <w:pStyle w:val="biaogeright"/>
              <w:wordWrap w:val="0"/>
              <w:rPr>
                <w:rFonts w:hint="eastAsia"/>
              </w:rPr>
            </w:pPr>
            <w:r w:rsidRPr="004433C8">
              <w:rPr>
                <w:rFonts w:hAnsi="等线"/>
                <w:color w:val="000000"/>
              </w:rPr>
              <w:t>5,300</w:t>
            </w:r>
          </w:p>
        </w:tc>
        <w:tc>
          <w:tcPr>
            <w:tcW w:w="1647" w:type="dxa"/>
            <w:tcBorders>
              <w:top w:val="single" w:sz="8" w:space="0" w:color="000000"/>
              <w:left w:val="single" w:sz="8" w:space="0" w:color="000000"/>
              <w:bottom w:val="single" w:sz="6" w:space="0" w:color="000000"/>
              <w:right w:val="single" w:sz="8" w:space="0" w:color="000000"/>
            </w:tcBorders>
            <w:vAlign w:val="center"/>
          </w:tcPr>
          <w:p w14:paraId="252CA355" w14:textId="1B89431C" w:rsidR="001E7F72" w:rsidRDefault="001E7F72" w:rsidP="001E7F72">
            <w:pPr>
              <w:pStyle w:val="biaogeright"/>
              <w:wordWrap w:val="0"/>
              <w:rPr>
                <w:rFonts w:hint="eastAsia"/>
              </w:rPr>
            </w:pPr>
            <w:r w:rsidRPr="004433C8">
              <w:rPr>
                <w:rFonts w:hAnsi="等线"/>
                <w:color w:val="000000"/>
              </w:rPr>
              <w:t>125,186.00</w:t>
            </w:r>
          </w:p>
        </w:tc>
        <w:tc>
          <w:tcPr>
            <w:tcW w:w="1681" w:type="dxa"/>
            <w:tcBorders>
              <w:top w:val="single" w:sz="8" w:space="0" w:color="000000"/>
              <w:left w:val="single" w:sz="8" w:space="0" w:color="000000"/>
              <w:bottom w:val="single" w:sz="6" w:space="0" w:color="000000"/>
              <w:right w:val="single" w:sz="8" w:space="0" w:color="000000"/>
            </w:tcBorders>
            <w:vAlign w:val="center"/>
          </w:tcPr>
          <w:p w14:paraId="3C82AFE6" w14:textId="7BE04ABB" w:rsidR="001E7F72" w:rsidRDefault="001E7F72" w:rsidP="001E7F72">
            <w:pPr>
              <w:pStyle w:val="biaogeright"/>
              <w:wordWrap w:val="0"/>
              <w:rPr>
                <w:rFonts w:hint="eastAsia"/>
              </w:rPr>
            </w:pPr>
            <w:r w:rsidRPr="004433C8">
              <w:rPr>
                <w:rFonts w:hAnsi="等线"/>
                <w:color w:val="000000"/>
              </w:rPr>
              <w:t>1.45</w:t>
            </w:r>
          </w:p>
        </w:tc>
      </w:tr>
      <w:tr w:rsidR="001E7F72" w14:paraId="0ED26484"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D3849DD" w14:textId="77777777" w:rsidR="001E7F72" w:rsidRDefault="001E7F72" w:rsidP="001E7F72">
            <w:pPr>
              <w:pStyle w:val="biaogecenter"/>
              <w:wordWrap w:val="0"/>
              <w:rPr>
                <w:rFonts w:hint="eastAsia"/>
              </w:rPr>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tcPr>
          <w:p w14:paraId="43764F91" w14:textId="669FE5A9" w:rsidR="001E7F72" w:rsidRDefault="001E7F72" w:rsidP="001E7F72">
            <w:pPr>
              <w:pStyle w:val="biaogeleft"/>
              <w:wordWrap w:val="0"/>
              <w:rPr>
                <w:rFonts w:hint="eastAsia"/>
              </w:rPr>
            </w:pPr>
            <w:r w:rsidRPr="004433C8">
              <w:rPr>
                <w:rFonts w:hAnsi="等线"/>
                <w:color w:val="000000"/>
              </w:rPr>
              <w:t>600660</w:t>
            </w:r>
          </w:p>
        </w:tc>
        <w:tc>
          <w:tcPr>
            <w:tcW w:w="1613" w:type="dxa"/>
            <w:tcBorders>
              <w:top w:val="single" w:sz="8" w:space="0" w:color="000000"/>
              <w:left w:val="single" w:sz="8" w:space="0" w:color="000000"/>
              <w:bottom w:val="single" w:sz="6" w:space="0" w:color="000000"/>
              <w:right w:val="single" w:sz="8" w:space="0" w:color="000000"/>
            </w:tcBorders>
            <w:vAlign w:val="center"/>
          </w:tcPr>
          <w:p w14:paraId="2CD754EE" w14:textId="1F3A7CCE" w:rsidR="001E7F72" w:rsidRDefault="001E7F72" w:rsidP="001E7F72">
            <w:pPr>
              <w:pStyle w:val="biaogeleft"/>
              <w:wordWrap w:val="0"/>
              <w:rPr>
                <w:rFonts w:hint="eastAsia"/>
              </w:rPr>
            </w:pPr>
            <w:r w:rsidRPr="004433C8">
              <w:rPr>
                <w:rFonts w:hAnsi="等线"/>
                <w:color w:val="000000"/>
              </w:rPr>
              <w:t>福耀玻璃</w:t>
            </w:r>
          </w:p>
        </w:tc>
        <w:tc>
          <w:tcPr>
            <w:tcW w:w="1647" w:type="dxa"/>
            <w:tcBorders>
              <w:top w:val="single" w:sz="8" w:space="0" w:color="000000"/>
              <w:left w:val="single" w:sz="8" w:space="0" w:color="000000"/>
              <w:bottom w:val="single" w:sz="6" w:space="0" w:color="000000"/>
              <w:right w:val="single" w:sz="8" w:space="0" w:color="000000"/>
            </w:tcBorders>
            <w:vAlign w:val="center"/>
          </w:tcPr>
          <w:p w14:paraId="5BE1ED79" w14:textId="21D2C0B5" w:rsidR="001E7F72" w:rsidRDefault="001E7F72" w:rsidP="001E7F72">
            <w:pPr>
              <w:pStyle w:val="biaogeright"/>
              <w:wordWrap w:val="0"/>
              <w:rPr>
                <w:rFonts w:hint="eastAsia"/>
              </w:rPr>
            </w:pPr>
            <w:r w:rsidRPr="004433C8">
              <w:rPr>
                <w:rFonts w:hAnsi="等线"/>
                <w:color w:val="000000"/>
              </w:rPr>
              <w:t>2,000</w:t>
            </w:r>
          </w:p>
        </w:tc>
        <w:tc>
          <w:tcPr>
            <w:tcW w:w="1647" w:type="dxa"/>
            <w:tcBorders>
              <w:top w:val="single" w:sz="8" w:space="0" w:color="000000"/>
              <w:left w:val="single" w:sz="8" w:space="0" w:color="000000"/>
              <w:bottom w:val="single" w:sz="6" w:space="0" w:color="000000"/>
              <w:right w:val="single" w:sz="8" w:space="0" w:color="000000"/>
            </w:tcBorders>
            <w:vAlign w:val="center"/>
          </w:tcPr>
          <w:p w14:paraId="056031F2" w14:textId="2D379960" w:rsidR="001E7F72" w:rsidRDefault="001E7F72" w:rsidP="001E7F72">
            <w:pPr>
              <w:pStyle w:val="biaogeright"/>
              <w:wordWrap w:val="0"/>
              <w:rPr>
                <w:rFonts w:hint="eastAsia"/>
              </w:rPr>
            </w:pPr>
            <w:r w:rsidRPr="004433C8">
              <w:rPr>
                <w:rFonts w:hAnsi="等线"/>
                <w:color w:val="000000"/>
              </w:rPr>
              <w:t>124,800.00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5668D579" w14:textId="4903C580" w:rsidR="001E7F72" w:rsidRDefault="001E7F72" w:rsidP="001E7F72">
            <w:pPr>
              <w:pStyle w:val="biaogeright"/>
              <w:wordWrap w:val="0"/>
              <w:rPr>
                <w:rFonts w:hint="eastAsia"/>
              </w:rPr>
            </w:pPr>
            <w:r w:rsidRPr="004433C8">
              <w:rPr>
                <w:rFonts w:hAnsi="等线"/>
                <w:color w:val="000000"/>
              </w:rPr>
              <w:t>1.44</w:t>
            </w:r>
          </w:p>
        </w:tc>
      </w:tr>
      <w:tr w:rsidR="001E7F72" w14:paraId="41235138"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866E276" w14:textId="77777777" w:rsidR="001E7F72" w:rsidRDefault="001E7F72" w:rsidP="001E7F72">
            <w:pPr>
              <w:pStyle w:val="biaogecenter"/>
              <w:wordWrap w:val="0"/>
              <w:rPr>
                <w:rFonts w:hint="eastAsia"/>
              </w:rPr>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tcPr>
          <w:p w14:paraId="5E0A9FC8" w14:textId="30BCA03C" w:rsidR="001E7F72" w:rsidRDefault="001E7F72" w:rsidP="001E7F72">
            <w:pPr>
              <w:pStyle w:val="biaogeleft"/>
              <w:wordWrap w:val="0"/>
              <w:rPr>
                <w:rFonts w:hint="eastAsia"/>
              </w:rPr>
            </w:pPr>
            <w:r w:rsidRPr="004433C8">
              <w:rPr>
                <w:rFonts w:hAnsi="等线"/>
                <w:color w:val="000000"/>
              </w:rPr>
              <w:t>002126</w:t>
            </w:r>
          </w:p>
        </w:tc>
        <w:tc>
          <w:tcPr>
            <w:tcW w:w="1613" w:type="dxa"/>
            <w:tcBorders>
              <w:top w:val="single" w:sz="8" w:space="0" w:color="000000"/>
              <w:left w:val="single" w:sz="8" w:space="0" w:color="000000"/>
              <w:bottom w:val="single" w:sz="6" w:space="0" w:color="000000"/>
              <w:right w:val="single" w:sz="8" w:space="0" w:color="000000"/>
            </w:tcBorders>
            <w:vAlign w:val="center"/>
          </w:tcPr>
          <w:p w14:paraId="58A0B078" w14:textId="4F5BE461" w:rsidR="001E7F72" w:rsidRDefault="001E7F72" w:rsidP="001E7F72">
            <w:pPr>
              <w:pStyle w:val="biaogeleft"/>
              <w:wordWrap w:val="0"/>
              <w:rPr>
                <w:rFonts w:hint="eastAsia"/>
              </w:rPr>
            </w:pPr>
            <w:r w:rsidRPr="004433C8">
              <w:rPr>
                <w:rFonts w:hAnsi="等线"/>
                <w:color w:val="000000"/>
              </w:rPr>
              <w:t>银</w:t>
            </w:r>
            <w:proofErr w:type="gramStart"/>
            <w:r w:rsidRPr="004433C8">
              <w:rPr>
                <w:rFonts w:hAnsi="等线"/>
                <w:color w:val="000000"/>
              </w:rPr>
              <w:t>轮股份</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279ECC41" w14:textId="13553B20" w:rsidR="001E7F72" w:rsidRDefault="001E7F72" w:rsidP="001E7F72">
            <w:pPr>
              <w:pStyle w:val="biaogeright"/>
              <w:wordWrap w:val="0"/>
              <w:rPr>
                <w:rFonts w:hint="eastAsia"/>
              </w:rPr>
            </w:pPr>
            <w:r w:rsidRPr="004433C8">
              <w:rPr>
                <w:rFonts w:hAnsi="等线"/>
                <w:color w:val="000000"/>
              </w:rPr>
              <w:t>6,500</w:t>
            </w:r>
          </w:p>
        </w:tc>
        <w:tc>
          <w:tcPr>
            <w:tcW w:w="1647" w:type="dxa"/>
            <w:tcBorders>
              <w:top w:val="single" w:sz="8" w:space="0" w:color="000000"/>
              <w:left w:val="single" w:sz="8" w:space="0" w:color="000000"/>
              <w:bottom w:val="single" w:sz="6" w:space="0" w:color="000000"/>
              <w:right w:val="single" w:sz="8" w:space="0" w:color="000000"/>
            </w:tcBorders>
            <w:vAlign w:val="center"/>
          </w:tcPr>
          <w:p w14:paraId="120E993B" w14:textId="47CA04F4" w:rsidR="001E7F72" w:rsidRDefault="001E7F72" w:rsidP="001E7F72">
            <w:pPr>
              <w:pStyle w:val="biaogeright"/>
              <w:wordWrap w:val="0"/>
              <w:rPr>
                <w:rFonts w:hint="eastAsia"/>
              </w:rPr>
            </w:pPr>
            <w:r w:rsidRPr="004433C8">
              <w:rPr>
                <w:rFonts w:hAnsi="等线"/>
                <w:color w:val="000000"/>
              </w:rPr>
              <w:t>121,680.00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55192813" w14:textId="2C2CE5AD" w:rsidR="001E7F72" w:rsidRDefault="001E7F72" w:rsidP="001E7F72">
            <w:pPr>
              <w:pStyle w:val="biaogeright"/>
              <w:wordWrap w:val="0"/>
              <w:rPr>
                <w:rFonts w:hint="eastAsia"/>
              </w:rPr>
            </w:pPr>
            <w:r w:rsidRPr="004433C8">
              <w:rPr>
                <w:rFonts w:hAnsi="等线"/>
                <w:color w:val="000000"/>
              </w:rPr>
              <w:t>1.41</w:t>
            </w:r>
          </w:p>
        </w:tc>
      </w:tr>
      <w:tr w:rsidR="001E7F72" w14:paraId="48D7742C"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2EFB5E7" w14:textId="77777777" w:rsidR="001E7F72" w:rsidRDefault="001E7F72" w:rsidP="001E7F72">
            <w:pPr>
              <w:pStyle w:val="biaogecenter"/>
              <w:wordWrap w:val="0"/>
              <w:rPr>
                <w:rFonts w:hint="eastAsia"/>
              </w:rPr>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tcPr>
          <w:p w14:paraId="41220941" w14:textId="5173D9F0" w:rsidR="001E7F72" w:rsidRDefault="001E7F72" w:rsidP="001E7F72">
            <w:pPr>
              <w:pStyle w:val="biaogeleft"/>
              <w:wordWrap w:val="0"/>
              <w:rPr>
                <w:rFonts w:hint="eastAsia"/>
              </w:rPr>
            </w:pPr>
            <w:r w:rsidRPr="004433C8">
              <w:rPr>
                <w:rFonts w:hAnsi="等线"/>
                <w:color w:val="000000"/>
              </w:rPr>
              <w:t>688597</w:t>
            </w:r>
          </w:p>
        </w:tc>
        <w:tc>
          <w:tcPr>
            <w:tcW w:w="1613" w:type="dxa"/>
            <w:tcBorders>
              <w:top w:val="single" w:sz="8" w:space="0" w:color="000000"/>
              <w:left w:val="single" w:sz="8" w:space="0" w:color="000000"/>
              <w:bottom w:val="single" w:sz="6" w:space="0" w:color="000000"/>
              <w:right w:val="single" w:sz="8" w:space="0" w:color="000000"/>
            </w:tcBorders>
            <w:vAlign w:val="center"/>
          </w:tcPr>
          <w:p w14:paraId="51C9CE25" w14:textId="647CBFF3" w:rsidR="001E7F72" w:rsidRDefault="001E7F72" w:rsidP="001E7F72">
            <w:pPr>
              <w:pStyle w:val="biaogeleft"/>
              <w:wordWrap w:val="0"/>
              <w:rPr>
                <w:rFonts w:hint="eastAsia"/>
              </w:rPr>
            </w:pPr>
            <w:proofErr w:type="gramStart"/>
            <w:r w:rsidRPr="004433C8">
              <w:rPr>
                <w:rFonts w:hAnsi="等线"/>
                <w:color w:val="000000"/>
              </w:rPr>
              <w:t>煜邦</w:t>
            </w:r>
            <w:proofErr w:type="gramEnd"/>
            <w:r w:rsidRPr="004433C8">
              <w:rPr>
                <w:rFonts w:hAnsi="等线"/>
                <w:color w:val="000000"/>
              </w:rPr>
              <w:t>电力</w:t>
            </w:r>
          </w:p>
        </w:tc>
        <w:tc>
          <w:tcPr>
            <w:tcW w:w="1647" w:type="dxa"/>
            <w:tcBorders>
              <w:top w:val="single" w:sz="8" w:space="0" w:color="000000"/>
              <w:left w:val="single" w:sz="8" w:space="0" w:color="000000"/>
              <w:bottom w:val="single" w:sz="6" w:space="0" w:color="000000"/>
              <w:right w:val="single" w:sz="8" w:space="0" w:color="000000"/>
            </w:tcBorders>
            <w:vAlign w:val="center"/>
          </w:tcPr>
          <w:p w14:paraId="45F62F84" w14:textId="20DCBF78" w:rsidR="001E7F72" w:rsidRDefault="001E7F72" w:rsidP="001E7F72">
            <w:pPr>
              <w:pStyle w:val="biaogeright"/>
              <w:wordWrap w:val="0"/>
              <w:rPr>
                <w:rFonts w:hint="eastAsia"/>
              </w:rPr>
            </w:pPr>
            <w:r w:rsidRPr="004433C8">
              <w:rPr>
                <w:rFonts w:hAnsi="等线"/>
                <w:color w:val="000000"/>
              </w:rPr>
              <w:t>12,500</w:t>
            </w:r>
          </w:p>
        </w:tc>
        <w:tc>
          <w:tcPr>
            <w:tcW w:w="1647" w:type="dxa"/>
            <w:tcBorders>
              <w:top w:val="single" w:sz="8" w:space="0" w:color="000000"/>
              <w:left w:val="single" w:sz="8" w:space="0" w:color="000000"/>
              <w:bottom w:val="single" w:sz="6" w:space="0" w:color="000000"/>
              <w:right w:val="single" w:sz="8" w:space="0" w:color="000000"/>
            </w:tcBorders>
            <w:vAlign w:val="center"/>
          </w:tcPr>
          <w:p w14:paraId="1089BF23" w14:textId="4FAA318A" w:rsidR="001E7F72" w:rsidRDefault="001E7F72" w:rsidP="001E7F72">
            <w:pPr>
              <w:pStyle w:val="biaogeright"/>
              <w:wordWrap w:val="0"/>
              <w:rPr>
                <w:rFonts w:hint="eastAsia"/>
              </w:rPr>
            </w:pPr>
            <w:r w:rsidRPr="004433C8">
              <w:rPr>
                <w:rFonts w:hAnsi="等线"/>
                <w:color w:val="000000"/>
              </w:rPr>
              <w:t>121,625.00</w:t>
            </w:r>
          </w:p>
        </w:tc>
        <w:tc>
          <w:tcPr>
            <w:tcW w:w="1681" w:type="dxa"/>
            <w:tcBorders>
              <w:top w:val="single" w:sz="8" w:space="0" w:color="000000"/>
              <w:left w:val="single" w:sz="8" w:space="0" w:color="000000"/>
              <w:bottom w:val="single" w:sz="6" w:space="0" w:color="000000"/>
              <w:right w:val="single" w:sz="8" w:space="0" w:color="000000"/>
            </w:tcBorders>
            <w:vAlign w:val="center"/>
          </w:tcPr>
          <w:p w14:paraId="0F764F93" w14:textId="4F3B57E5" w:rsidR="001E7F72" w:rsidRDefault="001E7F72" w:rsidP="001E7F72">
            <w:pPr>
              <w:pStyle w:val="biaogeright"/>
              <w:wordWrap w:val="0"/>
              <w:rPr>
                <w:rFonts w:hint="eastAsia"/>
              </w:rPr>
            </w:pPr>
            <w:r w:rsidRPr="004433C8">
              <w:rPr>
                <w:rFonts w:hAnsi="等线"/>
                <w:color w:val="000000"/>
              </w:rPr>
              <w:t>1.41</w:t>
            </w:r>
          </w:p>
        </w:tc>
      </w:tr>
    </w:tbl>
    <w:p w14:paraId="0C90978D" w14:textId="77777777" w:rsidR="009214AE" w:rsidRDefault="009214AE">
      <w:pPr>
        <w:widowControl/>
        <w:jc w:val="left"/>
        <w:rPr>
          <w:rFonts w:ascii="宋体" w:eastAsia="宋体" w:hAnsi="宋体" w:cs="宋体" w:hint="eastAsia"/>
          <w:kern w:val="0"/>
          <w:sz w:val="24"/>
          <w:szCs w:val="24"/>
        </w:rPr>
      </w:pPr>
    </w:p>
    <w:p w14:paraId="2212AE5A" w14:textId="77777777" w:rsidR="009214AE" w:rsidRDefault="00C66335">
      <w:pPr>
        <w:pStyle w:val="zhangjiep"/>
        <w:ind w:firstLine="422"/>
        <w:rPr>
          <w:rFonts w:hint="eastAsia"/>
        </w:rPr>
      </w:pPr>
      <w:bookmarkStart w:id="208" w:name="_Toc124758506"/>
      <w:r>
        <w:rPr>
          <w:rFonts w:hAnsi="等线" w:hint="eastAsia"/>
          <w:b/>
          <w:color w:val="000000"/>
        </w:rPr>
        <w:t>4、报告期末按债券品种分类的债券投资组合</w:t>
      </w:r>
      <w:bookmarkEnd w:id="208"/>
    </w:p>
    <w:p w14:paraId="41B77A07" w14:textId="77777777" w:rsidR="009214AE" w:rsidRDefault="00C66335">
      <w:pPr>
        <w:pStyle w:val="neirong"/>
        <w:ind w:firstLineChars="200" w:firstLine="480"/>
        <w:rPr>
          <w:rFonts w:hint="eastAsia"/>
        </w:rPr>
      </w:pPr>
      <w:r>
        <w:rPr>
          <w:rFonts w:hint="eastAsia"/>
        </w:rPr>
        <w:t>本基金本报告期末未持有债券。</w:t>
      </w:r>
    </w:p>
    <w:p w14:paraId="36D13563" w14:textId="77777777" w:rsidR="009214AE" w:rsidRDefault="009214AE">
      <w:pPr>
        <w:widowControl/>
        <w:jc w:val="left"/>
        <w:rPr>
          <w:rFonts w:ascii="宋体" w:eastAsia="宋体" w:hAnsi="宋体" w:cs="宋体" w:hint="eastAsia"/>
          <w:kern w:val="0"/>
          <w:sz w:val="24"/>
          <w:szCs w:val="24"/>
        </w:rPr>
      </w:pPr>
    </w:p>
    <w:p w14:paraId="12F9DE73" w14:textId="77777777" w:rsidR="009214AE" w:rsidRDefault="00C66335">
      <w:pPr>
        <w:pStyle w:val="zhangjiep"/>
        <w:ind w:firstLine="422"/>
        <w:rPr>
          <w:rFonts w:hint="eastAsia"/>
        </w:rPr>
      </w:pPr>
      <w:bookmarkStart w:id="209" w:name="_Toc124758507"/>
      <w:r>
        <w:rPr>
          <w:rFonts w:hAnsi="等线" w:hint="eastAsia"/>
          <w:b/>
          <w:color w:val="000000"/>
        </w:rPr>
        <w:t>5、报告期末按公允价值占基金资产净值比例大小排序的前五名债券投资明细</w:t>
      </w:r>
      <w:bookmarkEnd w:id="209"/>
    </w:p>
    <w:p w14:paraId="16D7A032" w14:textId="77777777" w:rsidR="009214AE" w:rsidRDefault="00C66335">
      <w:pPr>
        <w:pStyle w:val="neirong"/>
        <w:ind w:firstLineChars="200" w:firstLine="480"/>
        <w:rPr>
          <w:rFonts w:hint="eastAsia"/>
        </w:rPr>
      </w:pPr>
      <w:r>
        <w:rPr>
          <w:rFonts w:hint="eastAsia"/>
        </w:rPr>
        <w:t>本基金本报告期末未持有债券。</w:t>
      </w:r>
    </w:p>
    <w:p w14:paraId="69295D67" w14:textId="77777777" w:rsidR="009214AE" w:rsidRDefault="009214AE">
      <w:pPr>
        <w:widowControl/>
        <w:jc w:val="left"/>
        <w:rPr>
          <w:rFonts w:ascii="宋体" w:eastAsia="宋体" w:hAnsi="宋体" w:cs="宋体" w:hint="eastAsia"/>
          <w:kern w:val="0"/>
          <w:sz w:val="24"/>
          <w:szCs w:val="24"/>
        </w:rPr>
      </w:pPr>
    </w:p>
    <w:p w14:paraId="72F11DF1" w14:textId="77777777" w:rsidR="009214AE" w:rsidRDefault="00C66335">
      <w:pPr>
        <w:pStyle w:val="zhangjiep"/>
        <w:ind w:firstLine="422"/>
        <w:rPr>
          <w:rFonts w:hint="eastAsia"/>
        </w:rPr>
      </w:pPr>
      <w:bookmarkStart w:id="210" w:name="_Toc124758508"/>
      <w:r>
        <w:rPr>
          <w:rFonts w:hAnsi="等线" w:hint="eastAsia"/>
          <w:b/>
          <w:color w:val="000000"/>
        </w:rPr>
        <w:t>6、报告期末按公允价值占基金资产净值比例大小排序的前十名资产支持证券投资明细</w:t>
      </w:r>
      <w:bookmarkEnd w:id="210"/>
    </w:p>
    <w:p w14:paraId="2716AB7A" w14:textId="77777777" w:rsidR="009214AE" w:rsidRDefault="00C66335">
      <w:pPr>
        <w:pStyle w:val="neirong"/>
        <w:ind w:firstLineChars="200" w:firstLine="480"/>
        <w:rPr>
          <w:rFonts w:hint="eastAsia"/>
        </w:rPr>
      </w:pPr>
      <w:r>
        <w:rPr>
          <w:rFonts w:hint="eastAsia"/>
        </w:rPr>
        <w:t>本基金本报告期末未持有资产支持证券。</w:t>
      </w:r>
    </w:p>
    <w:p w14:paraId="2BBD23CA" w14:textId="77777777" w:rsidR="009214AE" w:rsidRDefault="009214AE">
      <w:pPr>
        <w:widowControl/>
        <w:jc w:val="left"/>
        <w:rPr>
          <w:rFonts w:ascii="宋体" w:eastAsia="宋体" w:hAnsi="宋体" w:cs="宋体" w:hint="eastAsia"/>
          <w:kern w:val="0"/>
          <w:sz w:val="24"/>
          <w:szCs w:val="24"/>
        </w:rPr>
      </w:pPr>
    </w:p>
    <w:p w14:paraId="1212C644" w14:textId="77777777" w:rsidR="009214AE" w:rsidRDefault="00C66335">
      <w:pPr>
        <w:pStyle w:val="zhangjiep"/>
        <w:ind w:firstLine="422"/>
        <w:rPr>
          <w:rFonts w:hint="eastAsia"/>
        </w:rPr>
      </w:pPr>
      <w:bookmarkStart w:id="211" w:name="_Toc124758509"/>
      <w:r>
        <w:rPr>
          <w:rFonts w:hAnsi="等线" w:hint="eastAsia"/>
          <w:b/>
          <w:color w:val="000000"/>
        </w:rPr>
        <w:t>7、报告期末按公允价值占基金资产净值比例大小排序的前五名贵金属投资明细</w:t>
      </w:r>
      <w:bookmarkEnd w:id="211"/>
    </w:p>
    <w:p w14:paraId="754CD5EC" w14:textId="77777777" w:rsidR="009214AE" w:rsidRDefault="00C66335">
      <w:pPr>
        <w:pStyle w:val="neirong"/>
        <w:ind w:firstLineChars="200" w:firstLine="480"/>
        <w:rPr>
          <w:rFonts w:hint="eastAsia"/>
        </w:rPr>
      </w:pPr>
      <w:r>
        <w:rPr>
          <w:rFonts w:hint="eastAsia"/>
        </w:rPr>
        <w:t>本基金本报告期末未持有贵金属。</w:t>
      </w:r>
    </w:p>
    <w:p w14:paraId="1FB7B9EB" w14:textId="77777777" w:rsidR="009214AE" w:rsidRDefault="009214AE">
      <w:pPr>
        <w:widowControl/>
        <w:jc w:val="left"/>
        <w:rPr>
          <w:rFonts w:ascii="宋体" w:eastAsia="宋体" w:hAnsi="宋体" w:cs="宋体" w:hint="eastAsia"/>
          <w:kern w:val="0"/>
          <w:sz w:val="24"/>
          <w:szCs w:val="24"/>
        </w:rPr>
      </w:pPr>
    </w:p>
    <w:p w14:paraId="66643786" w14:textId="77777777" w:rsidR="009214AE" w:rsidRDefault="00C66335">
      <w:pPr>
        <w:pStyle w:val="zhangjiep"/>
        <w:ind w:firstLine="422"/>
        <w:rPr>
          <w:rFonts w:hint="eastAsia"/>
        </w:rPr>
      </w:pPr>
      <w:bookmarkStart w:id="212" w:name="_Toc124758510"/>
      <w:r>
        <w:rPr>
          <w:rFonts w:hAnsi="等线" w:hint="eastAsia"/>
          <w:b/>
          <w:color w:val="000000"/>
        </w:rPr>
        <w:t>8、报告期末按公允价值占基金资产净值比例大小排序的前五名权证投资明细</w:t>
      </w:r>
      <w:bookmarkEnd w:id="212"/>
    </w:p>
    <w:p w14:paraId="2DB2F0A3" w14:textId="77777777" w:rsidR="009214AE" w:rsidRDefault="00C66335">
      <w:pPr>
        <w:pStyle w:val="neirong"/>
        <w:ind w:firstLineChars="200" w:firstLine="480"/>
        <w:rPr>
          <w:rFonts w:hint="eastAsia"/>
        </w:rPr>
      </w:pPr>
      <w:r>
        <w:rPr>
          <w:rFonts w:hint="eastAsia"/>
        </w:rPr>
        <w:t>本基金本报告期末未持有权证。</w:t>
      </w:r>
    </w:p>
    <w:p w14:paraId="44C678B4" w14:textId="77777777" w:rsidR="009214AE" w:rsidRDefault="009214AE">
      <w:pPr>
        <w:widowControl/>
        <w:jc w:val="left"/>
        <w:rPr>
          <w:rFonts w:ascii="宋体" w:eastAsia="宋体" w:hAnsi="宋体" w:cs="宋体" w:hint="eastAsia"/>
          <w:kern w:val="0"/>
          <w:sz w:val="24"/>
          <w:szCs w:val="24"/>
        </w:rPr>
      </w:pPr>
    </w:p>
    <w:p w14:paraId="0D1162EB" w14:textId="77777777" w:rsidR="009214AE" w:rsidRDefault="00C66335">
      <w:pPr>
        <w:pStyle w:val="zhangjiep"/>
        <w:ind w:firstLine="422"/>
        <w:rPr>
          <w:rFonts w:hint="eastAsia"/>
        </w:rPr>
      </w:pPr>
      <w:bookmarkStart w:id="213" w:name="_Toc124758511"/>
      <w:r>
        <w:rPr>
          <w:rFonts w:hAnsi="等线" w:hint="eastAsia"/>
          <w:b/>
          <w:color w:val="000000"/>
        </w:rPr>
        <w:t>9、报告期末本基金投资的股指期货交易情况说明</w:t>
      </w:r>
      <w:bookmarkEnd w:id="213"/>
    </w:p>
    <w:p w14:paraId="6F0C7675" w14:textId="77777777" w:rsidR="009214AE" w:rsidRDefault="00C66335">
      <w:pPr>
        <w:pStyle w:val="neirong"/>
        <w:ind w:firstLineChars="200" w:firstLine="480"/>
        <w:rPr>
          <w:rFonts w:hint="eastAsia"/>
        </w:rPr>
      </w:pPr>
      <w:r>
        <w:rPr>
          <w:rFonts w:hint="eastAsia"/>
        </w:rPr>
        <w:t>本基金本报告期末未投资股指期货。</w:t>
      </w:r>
    </w:p>
    <w:p w14:paraId="4C296356" w14:textId="77777777" w:rsidR="009214AE" w:rsidRDefault="009214AE">
      <w:pPr>
        <w:pStyle w:val="neirong"/>
        <w:ind w:firstLineChars="200" w:firstLine="480"/>
        <w:rPr>
          <w:rFonts w:hint="eastAsia"/>
        </w:rPr>
      </w:pPr>
    </w:p>
    <w:p w14:paraId="6AD4A565" w14:textId="77777777" w:rsidR="009214AE" w:rsidRDefault="00C66335">
      <w:pPr>
        <w:pStyle w:val="zhangjiep"/>
        <w:ind w:firstLine="422"/>
        <w:rPr>
          <w:rFonts w:hint="eastAsia"/>
        </w:rPr>
      </w:pPr>
      <w:bookmarkStart w:id="214" w:name="_Toc124758512"/>
      <w:r>
        <w:rPr>
          <w:rFonts w:hAnsi="等线" w:hint="eastAsia"/>
          <w:b/>
          <w:color w:val="000000"/>
        </w:rPr>
        <w:lastRenderedPageBreak/>
        <w:t>10、报告期末本基金投资的国债期货交易情况说明</w:t>
      </w:r>
      <w:bookmarkEnd w:id="214"/>
    </w:p>
    <w:p w14:paraId="7AD9F4A5" w14:textId="77777777" w:rsidR="009214AE" w:rsidRDefault="00C66335">
      <w:pPr>
        <w:pStyle w:val="zhangjiep2"/>
        <w:rPr>
          <w:rFonts w:hint="eastAsia"/>
        </w:rPr>
      </w:pPr>
      <w:r>
        <w:rPr>
          <w:rFonts w:hAnsi="等线" w:hint="eastAsia"/>
          <w:b/>
          <w:color w:val="000000"/>
        </w:rPr>
        <w:t>（1） 本期国债期货投资政策</w:t>
      </w:r>
    </w:p>
    <w:p w14:paraId="168B5FF2" w14:textId="77777777" w:rsidR="009214AE" w:rsidRDefault="00C66335">
      <w:pPr>
        <w:pStyle w:val="neirong"/>
        <w:spacing w:before="0"/>
        <w:ind w:left="0" w:firstLineChars="200" w:firstLine="480"/>
        <w:rPr>
          <w:rFonts w:hint="eastAsia"/>
        </w:rPr>
      </w:pPr>
      <w:r>
        <w:rPr>
          <w:rFonts w:hint="eastAsia"/>
        </w:rPr>
        <w:t>本基金本报告期末未投资国债期货。</w:t>
      </w:r>
    </w:p>
    <w:p w14:paraId="7BEC8015" w14:textId="77777777" w:rsidR="009214AE" w:rsidRDefault="009214AE">
      <w:pPr>
        <w:widowControl/>
        <w:jc w:val="left"/>
        <w:rPr>
          <w:rFonts w:ascii="宋体" w:eastAsia="宋体" w:hAnsi="宋体" w:cs="宋体" w:hint="eastAsia"/>
          <w:kern w:val="0"/>
          <w:sz w:val="24"/>
          <w:szCs w:val="24"/>
        </w:rPr>
      </w:pPr>
    </w:p>
    <w:p w14:paraId="3AFA962C" w14:textId="77777777" w:rsidR="009214AE" w:rsidRDefault="00C66335">
      <w:pPr>
        <w:pStyle w:val="zhangjiep2"/>
        <w:rPr>
          <w:rFonts w:hint="eastAsia"/>
        </w:rPr>
      </w:pPr>
      <w:r>
        <w:rPr>
          <w:rFonts w:hAnsi="等线" w:hint="eastAsia"/>
          <w:b/>
          <w:color w:val="000000"/>
        </w:rPr>
        <w:t>（2）报告期末本基金投资的国债期货持仓和损益明细</w:t>
      </w:r>
    </w:p>
    <w:p w14:paraId="3A5FE93B" w14:textId="77777777" w:rsidR="009214AE" w:rsidRDefault="00C66335">
      <w:pPr>
        <w:pStyle w:val="neirong"/>
        <w:ind w:firstLineChars="200" w:firstLine="480"/>
        <w:rPr>
          <w:rFonts w:hint="eastAsia"/>
        </w:rPr>
      </w:pPr>
      <w:r>
        <w:rPr>
          <w:rFonts w:hint="eastAsia"/>
        </w:rPr>
        <w:t>本基金本报告期末未投资国债期货。</w:t>
      </w:r>
    </w:p>
    <w:p w14:paraId="0C834EB5" w14:textId="77777777" w:rsidR="009214AE" w:rsidRDefault="009214AE">
      <w:pPr>
        <w:widowControl/>
        <w:jc w:val="left"/>
        <w:rPr>
          <w:rFonts w:ascii="宋体" w:eastAsia="宋体" w:hAnsi="宋体" w:cs="宋体" w:hint="eastAsia"/>
          <w:kern w:val="0"/>
          <w:sz w:val="24"/>
          <w:szCs w:val="24"/>
        </w:rPr>
      </w:pPr>
    </w:p>
    <w:p w14:paraId="246F3A2A" w14:textId="77777777" w:rsidR="009214AE" w:rsidRDefault="00C66335">
      <w:pPr>
        <w:pStyle w:val="zhangjiep2"/>
        <w:rPr>
          <w:rFonts w:hint="eastAsia"/>
        </w:rPr>
      </w:pPr>
      <w:r>
        <w:rPr>
          <w:rFonts w:hAnsi="等线" w:hint="eastAsia"/>
          <w:b/>
          <w:color w:val="000000"/>
        </w:rPr>
        <w:t>（3）本期国债期货投资评价</w:t>
      </w:r>
    </w:p>
    <w:p w14:paraId="5A1730E0" w14:textId="77777777" w:rsidR="009214AE" w:rsidRDefault="00C66335">
      <w:pPr>
        <w:pStyle w:val="neirong"/>
        <w:spacing w:before="0"/>
        <w:ind w:left="0" w:firstLineChars="200" w:firstLine="480"/>
        <w:rPr>
          <w:rFonts w:hint="eastAsia"/>
        </w:rPr>
      </w:pPr>
      <w:r>
        <w:rPr>
          <w:rFonts w:hint="eastAsia"/>
        </w:rPr>
        <w:t>本基金本报告期末未投资国债期货。</w:t>
      </w:r>
    </w:p>
    <w:p w14:paraId="46BAF67D" w14:textId="77777777" w:rsidR="009214AE" w:rsidRDefault="009214AE">
      <w:pPr>
        <w:widowControl/>
        <w:jc w:val="left"/>
        <w:rPr>
          <w:rFonts w:ascii="宋体" w:eastAsia="宋体" w:hAnsi="宋体" w:cs="宋体" w:hint="eastAsia"/>
          <w:kern w:val="0"/>
          <w:sz w:val="24"/>
          <w:szCs w:val="24"/>
        </w:rPr>
      </w:pPr>
    </w:p>
    <w:p w14:paraId="0D8EEF95" w14:textId="77777777" w:rsidR="009214AE" w:rsidRDefault="00C66335">
      <w:pPr>
        <w:pStyle w:val="zhangjiep"/>
        <w:ind w:firstLine="422"/>
        <w:rPr>
          <w:rFonts w:hint="eastAsia"/>
        </w:rPr>
      </w:pPr>
      <w:bookmarkStart w:id="215" w:name="_Toc124758513"/>
      <w:r>
        <w:rPr>
          <w:rFonts w:hAnsi="等线" w:hint="eastAsia"/>
          <w:b/>
          <w:color w:val="000000"/>
        </w:rPr>
        <w:t>11、投资组合报告附注</w:t>
      </w:r>
      <w:bookmarkEnd w:id="215"/>
      <w:r>
        <w:rPr>
          <w:rFonts w:hAnsi="等线" w:hint="eastAsia"/>
          <w:b/>
          <w:color w:val="000000"/>
        </w:rPr>
        <w:t xml:space="preserve"> </w:t>
      </w:r>
    </w:p>
    <w:p w14:paraId="3F89D642" w14:textId="77777777" w:rsidR="009214AE" w:rsidRDefault="00C66335">
      <w:pPr>
        <w:pStyle w:val="zhangjiep2"/>
        <w:rPr>
          <w:rFonts w:hAnsi="等线" w:hint="eastAsia"/>
          <w:b/>
          <w:color w:val="000000"/>
        </w:rPr>
      </w:pPr>
      <w:r>
        <w:rPr>
          <w:rFonts w:hAnsi="等线" w:hint="eastAsia"/>
          <w:b/>
          <w:color w:val="000000"/>
        </w:rPr>
        <w:t>（1）本基金本报告期投资的前十名证券的发行主体，本报告期没有出现被监管部门立案调查的情形，也没有出现在报告编制日前一年内受到公开谴责、处罚的情形。</w:t>
      </w:r>
    </w:p>
    <w:p w14:paraId="25ED857C" w14:textId="77777777" w:rsidR="009214AE" w:rsidRDefault="009214AE">
      <w:pPr>
        <w:widowControl/>
        <w:jc w:val="left"/>
        <w:rPr>
          <w:rFonts w:ascii="宋体" w:eastAsia="宋体" w:hAnsi="宋体" w:cs="宋体" w:hint="eastAsia"/>
          <w:kern w:val="0"/>
          <w:sz w:val="24"/>
          <w:szCs w:val="24"/>
        </w:rPr>
      </w:pPr>
    </w:p>
    <w:p w14:paraId="2426A1EB" w14:textId="77777777" w:rsidR="009214AE" w:rsidRDefault="00C66335">
      <w:pPr>
        <w:pStyle w:val="zhangjiep2"/>
        <w:rPr>
          <w:rFonts w:hint="eastAsia"/>
        </w:rPr>
      </w:pPr>
      <w:r>
        <w:rPr>
          <w:rFonts w:hAnsi="等线" w:hint="eastAsia"/>
          <w:b/>
          <w:color w:val="000000"/>
        </w:rPr>
        <w:t>（2）本基金投资的前十名股票没有超出基金合同规定的备选股票库。</w:t>
      </w:r>
    </w:p>
    <w:p w14:paraId="791E6CDD" w14:textId="77777777" w:rsidR="009214AE" w:rsidRDefault="009214AE">
      <w:pPr>
        <w:widowControl/>
        <w:jc w:val="left"/>
        <w:rPr>
          <w:rFonts w:ascii="宋体" w:eastAsia="宋体" w:hAnsi="宋体" w:cs="宋体" w:hint="eastAsia"/>
          <w:kern w:val="0"/>
          <w:sz w:val="24"/>
          <w:szCs w:val="24"/>
        </w:rPr>
      </w:pPr>
    </w:p>
    <w:p w14:paraId="1F4358D7" w14:textId="77777777" w:rsidR="009214AE" w:rsidRDefault="00C66335">
      <w:pPr>
        <w:pStyle w:val="zhangjiep2"/>
        <w:rPr>
          <w:rFonts w:hint="eastAsia"/>
        </w:rPr>
      </w:pPr>
      <w:r>
        <w:rPr>
          <w:rFonts w:hAnsi="等线" w:hint="eastAsia"/>
          <w:b/>
          <w:color w:val="000000"/>
        </w:rPr>
        <w:t>（3） 其他资产构成</w:t>
      </w:r>
    </w:p>
    <w:tbl>
      <w:tblPr>
        <w:tblW w:w="9045" w:type="dxa"/>
        <w:tblInd w:w="108" w:type="dxa"/>
        <w:tblLook w:val="04A0" w:firstRow="1" w:lastRow="0" w:firstColumn="1" w:lastColumn="0" w:noHBand="0" w:noVBand="1"/>
      </w:tblPr>
      <w:tblGrid>
        <w:gridCol w:w="1276"/>
        <w:gridCol w:w="3709"/>
        <w:gridCol w:w="4060"/>
      </w:tblGrid>
      <w:tr w:rsidR="009214AE" w14:paraId="775347D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5B40200" w14:textId="77777777" w:rsidR="009214AE" w:rsidRDefault="00C66335">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15BDA84C" w14:textId="77777777" w:rsidR="009214AE" w:rsidRDefault="00C66335">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27EE2D79" w14:textId="77777777" w:rsidR="009214AE" w:rsidRDefault="00C66335">
            <w:pPr>
              <w:pStyle w:val="biaogecenter"/>
              <w:wordWrap w:val="0"/>
              <w:rPr>
                <w:rFonts w:hint="eastAsia"/>
              </w:rPr>
            </w:pPr>
            <w:r>
              <w:rPr>
                <w:rFonts w:hint="eastAsia"/>
              </w:rPr>
              <w:t>金额(元)</w:t>
            </w:r>
          </w:p>
        </w:tc>
      </w:tr>
      <w:tr w:rsidR="001E7F72" w14:paraId="258F7C4D"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0F79E27" w14:textId="77777777" w:rsidR="001E7F72" w:rsidRDefault="001E7F72" w:rsidP="001E7F72">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467B2E09" w14:textId="77777777" w:rsidR="001E7F72" w:rsidRDefault="001E7F72" w:rsidP="001E7F72">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7EA1F060" w14:textId="32A7C116" w:rsidR="001E7F72" w:rsidRDefault="001E7F72" w:rsidP="001E7F72">
            <w:pPr>
              <w:pStyle w:val="biaogeright"/>
              <w:wordWrap w:val="0"/>
              <w:rPr>
                <w:rFonts w:hint="eastAsia"/>
              </w:rPr>
            </w:pPr>
            <w:r w:rsidRPr="004433C8">
              <w:t>1,822.08</w:t>
            </w:r>
          </w:p>
        </w:tc>
      </w:tr>
      <w:tr w:rsidR="001E7F72" w14:paraId="7F84FE2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CA05F55" w14:textId="77777777" w:rsidR="001E7F72" w:rsidRDefault="001E7F72" w:rsidP="001E7F72">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7F75ECAF" w14:textId="77777777" w:rsidR="001E7F72" w:rsidRDefault="001E7F72" w:rsidP="001E7F72">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6A05E73D" w14:textId="68A73B1D" w:rsidR="001E7F72" w:rsidRDefault="001E7F72" w:rsidP="001E7F72">
            <w:pPr>
              <w:pStyle w:val="biaogeright"/>
              <w:wordWrap w:val="0"/>
              <w:rPr>
                <w:rFonts w:hint="eastAsia"/>
              </w:rPr>
            </w:pPr>
            <w:r w:rsidRPr="004433C8">
              <w:t>-</w:t>
            </w:r>
          </w:p>
        </w:tc>
      </w:tr>
      <w:tr w:rsidR="001E7F72" w14:paraId="22C2C5C2"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C161234" w14:textId="77777777" w:rsidR="001E7F72" w:rsidRDefault="001E7F72" w:rsidP="001E7F72">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65C5230A" w14:textId="77777777" w:rsidR="001E7F72" w:rsidRDefault="001E7F72" w:rsidP="001E7F72">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56DE21C7" w14:textId="7293A45E" w:rsidR="001E7F72" w:rsidRDefault="001E7F72" w:rsidP="001E7F72">
            <w:pPr>
              <w:pStyle w:val="biaogeright"/>
              <w:wordWrap w:val="0"/>
              <w:rPr>
                <w:rFonts w:hint="eastAsia"/>
              </w:rPr>
            </w:pPr>
            <w:r w:rsidRPr="004433C8">
              <w:t>-</w:t>
            </w:r>
          </w:p>
        </w:tc>
      </w:tr>
      <w:tr w:rsidR="001E7F72" w14:paraId="1C8E706A"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5295D9F" w14:textId="77777777" w:rsidR="001E7F72" w:rsidRDefault="001E7F72" w:rsidP="001E7F72">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3EF974CE" w14:textId="77777777" w:rsidR="001E7F72" w:rsidRDefault="001E7F72" w:rsidP="001E7F72">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0302C6BA" w14:textId="2515AC60" w:rsidR="001E7F72" w:rsidRDefault="001E7F72" w:rsidP="001E7F72">
            <w:pPr>
              <w:pStyle w:val="biaogeright"/>
              <w:wordWrap w:val="0"/>
              <w:rPr>
                <w:rFonts w:hint="eastAsia"/>
              </w:rPr>
            </w:pPr>
            <w:r w:rsidRPr="004433C8">
              <w:t>-</w:t>
            </w:r>
          </w:p>
        </w:tc>
      </w:tr>
      <w:tr w:rsidR="001E7F72" w14:paraId="0D0DB604"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F7B57BF" w14:textId="77777777" w:rsidR="001E7F72" w:rsidRDefault="001E7F72" w:rsidP="001E7F72">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59E1FE92" w14:textId="77777777" w:rsidR="001E7F72" w:rsidRDefault="001E7F72" w:rsidP="001E7F72">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4DF00C1E" w14:textId="4B82AD06" w:rsidR="001E7F72" w:rsidRDefault="001E7F72" w:rsidP="001E7F72">
            <w:pPr>
              <w:pStyle w:val="biaogeright"/>
              <w:wordWrap w:val="0"/>
              <w:rPr>
                <w:rFonts w:hint="eastAsia"/>
              </w:rPr>
            </w:pPr>
            <w:r w:rsidRPr="004433C8">
              <w:t>49.93</w:t>
            </w:r>
          </w:p>
        </w:tc>
      </w:tr>
      <w:tr w:rsidR="001E7F72" w14:paraId="6B0B354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20C6622" w14:textId="77777777" w:rsidR="001E7F72" w:rsidRDefault="001E7F72" w:rsidP="001E7F72">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10B7066A" w14:textId="77777777" w:rsidR="001E7F72" w:rsidRDefault="001E7F72" w:rsidP="001E7F72">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587DBEBD" w14:textId="6F34AA53" w:rsidR="001E7F72" w:rsidRDefault="001E7F72" w:rsidP="001E7F72">
            <w:pPr>
              <w:pStyle w:val="biaogeright"/>
              <w:wordWrap w:val="0"/>
              <w:rPr>
                <w:rFonts w:hint="eastAsia"/>
              </w:rPr>
            </w:pPr>
            <w:r w:rsidRPr="004433C8">
              <w:t>-</w:t>
            </w:r>
          </w:p>
        </w:tc>
      </w:tr>
      <w:tr w:rsidR="001E7F72" w14:paraId="794F93BD"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8078563" w14:textId="77777777" w:rsidR="001E7F72" w:rsidRDefault="001E7F72" w:rsidP="001E7F72">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43950167" w14:textId="77777777" w:rsidR="001E7F72" w:rsidRDefault="001E7F72" w:rsidP="001E7F72">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4663AF79" w14:textId="5277289D" w:rsidR="001E7F72" w:rsidRDefault="001E7F72" w:rsidP="001E7F72">
            <w:pPr>
              <w:pStyle w:val="biaogeright"/>
              <w:wordWrap w:val="0"/>
              <w:rPr>
                <w:rFonts w:hint="eastAsia"/>
              </w:rPr>
            </w:pPr>
            <w:r w:rsidRPr="004433C8">
              <w:t>-</w:t>
            </w:r>
          </w:p>
        </w:tc>
      </w:tr>
      <w:tr w:rsidR="001E7F72" w14:paraId="41B65D78"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CE3B13E" w14:textId="77777777" w:rsidR="001E7F72" w:rsidRDefault="001E7F72" w:rsidP="001E7F72">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461393D4" w14:textId="77777777" w:rsidR="001E7F72" w:rsidRDefault="001E7F72" w:rsidP="001E7F72">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781B130A" w14:textId="405DEF9E" w:rsidR="001E7F72" w:rsidRDefault="001E7F72" w:rsidP="001E7F72">
            <w:pPr>
              <w:pStyle w:val="biaogeright"/>
              <w:wordWrap w:val="0"/>
              <w:rPr>
                <w:rFonts w:hint="eastAsia"/>
              </w:rPr>
            </w:pPr>
            <w:r w:rsidRPr="004433C8">
              <w:t>1,872.01</w:t>
            </w:r>
          </w:p>
        </w:tc>
      </w:tr>
    </w:tbl>
    <w:p w14:paraId="0C2CA1BC" w14:textId="77777777" w:rsidR="009214AE" w:rsidRDefault="009214AE">
      <w:pPr>
        <w:widowControl/>
        <w:jc w:val="left"/>
        <w:rPr>
          <w:rFonts w:ascii="宋体" w:eastAsia="宋体" w:hAnsi="宋体" w:cs="宋体" w:hint="eastAsia"/>
          <w:kern w:val="0"/>
          <w:sz w:val="24"/>
          <w:szCs w:val="24"/>
        </w:rPr>
      </w:pPr>
    </w:p>
    <w:p w14:paraId="2745544F" w14:textId="77777777" w:rsidR="009214AE" w:rsidRDefault="00C66335">
      <w:pPr>
        <w:pStyle w:val="zhangjiep2"/>
        <w:rPr>
          <w:rFonts w:hint="eastAsia"/>
        </w:rPr>
      </w:pPr>
      <w:r>
        <w:rPr>
          <w:rFonts w:hAnsi="等线" w:hint="eastAsia"/>
          <w:b/>
          <w:color w:val="000000"/>
        </w:rPr>
        <w:t>（4） 报告期末持有的处于转股期的可转换债券明细</w:t>
      </w:r>
    </w:p>
    <w:p w14:paraId="29C01838" w14:textId="77777777" w:rsidR="009214AE" w:rsidRDefault="00C66335">
      <w:pPr>
        <w:pStyle w:val="neirong"/>
        <w:ind w:firstLineChars="200" w:firstLine="480"/>
        <w:rPr>
          <w:rFonts w:hint="eastAsia"/>
        </w:rPr>
      </w:pPr>
      <w:r>
        <w:rPr>
          <w:rFonts w:hint="eastAsia"/>
        </w:rPr>
        <w:t>本基金本报告期末未持有处于转股期的可转换债券。</w:t>
      </w:r>
    </w:p>
    <w:p w14:paraId="496DD4B1" w14:textId="77777777" w:rsidR="009214AE" w:rsidRDefault="009214AE">
      <w:pPr>
        <w:widowControl/>
        <w:jc w:val="left"/>
        <w:rPr>
          <w:rFonts w:ascii="宋体" w:eastAsia="宋体" w:hAnsi="宋体" w:cs="宋体" w:hint="eastAsia"/>
          <w:kern w:val="0"/>
          <w:sz w:val="24"/>
          <w:szCs w:val="24"/>
        </w:rPr>
      </w:pPr>
    </w:p>
    <w:p w14:paraId="1585548F" w14:textId="77777777" w:rsidR="009214AE" w:rsidRDefault="00C66335">
      <w:pPr>
        <w:pStyle w:val="zhangjiep2"/>
        <w:rPr>
          <w:rFonts w:hint="eastAsia"/>
        </w:rPr>
      </w:pPr>
      <w:r>
        <w:rPr>
          <w:rFonts w:hAnsi="等线" w:hint="eastAsia"/>
          <w:b/>
          <w:color w:val="000000"/>
        </w:rPr>
        <w:t>(5) 报告</w:t>
      </w:r>
      <w:proofErr w:type="gramStart"/>
      <w:r>
        <w:rPr>
          <w:rFonts w:hAnsi="等线" w:hint="eastAsia"/>
          <w:b/>
          <w:color w:val="000000"/>
        </w:rPr>
        <w:t>期末前</w:t>
      </w:r>
      <w:proofErr w:type="gramEnd"/>
      <w:r>
        <w:rPr>
          <w:rFonts w:hAnsi="等线" w:hint="eastAsia"/>
          <w:b/>
          <w:color w:val="000000"/>
        </w:rPr>
        <w:t>十名股票中存在流通受限情况的说明</w:t>
      </w:r>
    </w:p>
    <w:p w14:paraId="3709A5A7" w14:textId="77777777" w:rsidR="009214AE" w:rsidRDefault="00C66335">
      <w:pPr>
        <w:pStyle w:val="neirong"/>
        <w:ind w:firstLineChars="200" w:firstLine="480"/>
        <w:rPr>
          <w:rFonts w:hint="eastAsia"/>
        </w:rPr>
      </w:pPr>
      <w:r>
        <w:rPr>
          <w:rFonts w:hint="eastAsia"/>
        </w:rPr>
        <w:t>本基金本报告</w:t>
      </w:r>
      <w:proofErr w:type="gramStart"/>
      <w:r>
        <w:rPr>
          <w:rFonts w:hint="eastAsia"/>
        </w:rPr>
        <w:t>期末前</w:t>
      </w:r>
      <w:proofErr w:type="gramEnd"/>
      <w:r>
        <w:rPr>
          <w:rFonts w:hint="eastAsia"/>
        </w:rPr>
        <w:t>十名股票中不存在流通受限股票。</w:t>
      </w:r>
    </w:p>
    <w:p w14:paraId="0824B7E3" w14:textId="77777777" w:rsidR="009214AE" w:rsidRDefault="009214AE">
      <w:pPr>
        <w:widowControl/>
        <w:jc w:val="left"/>
        <w:rPr>
          <w:rFonts w:ascii="宋体" w:eastAsia="宋体" w:hAnsi="宋体" w:cs="宋体" w:hint="eastAsia"/>
          <w:kern w:val="0"/>
          <w:sz w:val="24"/>
          <w:szCs w:val="24"/>
        </w:rPr>
      </w:pPr>
    </w:p>
    <w:p w14:paraId="03AF2622" w14:textId="77777777" w:rsidR="009214AE" w:rsidRDefault="00C66335">
      <w:pPr>
        <w:pStyle w:val="zhangjiep2"/>
        <w:rPr>
          <w:rFonts w:hint="eastAsia"/>
        </w:rPr>
      </w:pPr>
      <w:r>
        <w:rPr>
          <w:rFonts w:hAnsi="等线" w:hint="eastAsia"/>
          <w:b/>
          <w:color w:val="000000"/>
        </w:rPr>
        <w:t>(6)投资组合报告附注的其他文字描述部分</w:t>
      </w:r>
    </w:p>
    <w:p w14:paraId="71568F56" w14:textId="77777777" w:rsidR="009214AE" w:rsidRDefault="00C66335">
      <w:pPr>
        <w:autoSpaceDE w:val="0"/>
        <w:autoSpaceDN w:val="0"/>
        <w:spacing w:line="360" w:lineRule="auto"/>
        <w:ind w:firstLineChars="200" w:firstLine="480"/>
        <w:textAlignment w:val="bottom"/>
      </w:pPr>
      <w:r>
        <w:rPr>
          <w:rFonts w:ascii="宋体" w:eastAsia="宋体" w:hAnsi="宋体" w:cs="宋体" w:hint="eastAsia"/>
          <w:kern w:val="0"/>
          <w:sz w:val="24"/>
          <w:szCs w:val="24"/>
        </w:rPr>
        <w:t>由于四舍五入原因，分项之和与合计可能有尾差。</w:t>
      </w:r>
    </w:p>
    <w:p w14:paraId="20C5BDCC" w14:textId="77777777" w:rsidR="009214AE" w:rsidRDefault="009214AE">
      <w:pPr>
        <w:autoSpaceDE w:val="0"/>
        <w:autoSpaceDN w:val="0"/>
        <w:spacing w:line="360" w:lineRule="auto"/>
        <w:ind w:firstLineChars="200" w:firstLine="480"/>
        <w:textAlignment w:val="bottom"/>
        <w:rPr>
          <w:rFonts w:asciiTheme="minorEastAsia" w:hAnsiTheme="minorEastAsia" w:hint="eastAsia"/>
          <w:bCs/>
          <w:sz w:val="24"/>
          <w:szCs w:val="24"/>
        </w:rPr>
      </w:pPr>
    </w:p>
    <w:p w14:paraId="5D0EEFC8" w14:textId="77777777" w:rsidR="009214AE" w:rsidRDefault="00C66335">
      <w:pPr>
        <w:autoSpaceDE w:val="0"/>
        <w:autoSpaceDN w:val="0"/>
        <w:spacing w:line="360" w:lineRule="auto"/>
        <w:ind w:firstLineChars="200" w:firstLine="482"/>
        <w:textAlignment w:val="bottom"/>
        <w:rPr>
          <w:rFonts w:asciiTheme="minorEastAsia" w:hAnsiTheme="minorEastAsia" w:hint="eastAsia"/>
          <w:b/>
          <w:sz w:val="24"/>
          <w:szCs w:val="24"/>
        </w:rPr>
      </w:pPr>
      <w:r>
        <w:rPr>
          <w:rFonts w:asciiTheme="minorEastAsia" w:hAnsiTheme="minorEastAsia" w:hint="eastAsia"/>
          <w:b/>
          <w:sz w:val="24"/>
          <w:szCs w:val="24"/>
        </w:rPr>
        <w:t>十、基金净值表现</w:t>
      </w:r>
    </w:p>
    <w:p w14:paraId="2111C019" w14:textId="77777777" w:rsidR="009214AE" w:rsidRDefault="00C66335">
      <w:pPr>
        <w:autoSpaceDE w:val="0"/>
        <w:autoSpaceDN w:val="0"/>
        <w:spacing w:line="360" w:lineRule="auto"/>
        <w:ind w:firstLineChars="200" w:firstLine="482"/>
        <w:textAlignment w:val="bottom"/>
        <w:rPr>
          <w:rFonts w:ascii="宋体" w:eastAsia="宋体" w:hAnsi="宋体" w:cs="宋体" w:hint="eastAsia"/>
          <w:kern w:val="0"/>
          <w:sz w:val="24"/>
          <w:szCs w:val="24"/>
        </w:rPr>
      </w:pPr>
      <w:r>
        <w:rPr>
          <w:rFonts w:asciiTheme="minorEastAsia" w:hAnsiTheme="minorEastAsia" w:hint="eastAsia"/>
          <w:b/>
          <w:sz w:val="24"/>
          <w:szCs w:val="24"/>
        </w:rPr>
        <w:t>1、</w:t>
      </w:r>
      <w:r>
        <w:rPr>
          <w:rFonts w:ascii="宋体" w:eastAsia="宋体" w:hAnsi="宋体" w:cs="宋体" w:hint="eastAsia"/>
          <w:kern w:val="0"/>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41033CE6" w14:textId="77777777" w:rsidR="009214AE" w:rsidRDefault="00C66335">
      <w:pPr>
        <w:autoSpaceDE w:val="0"/>
        <w:autoSpaceDN w:val="0"/>
        <w:spacing w:line="360" w:lineRule="auto"/>
        <w:textAlignment w:val="bottom"/>
        <w:rPr>
          <w:rFonts w:ascii="宋体" w:eastAsia="宋体" w:hAnsi="等线" w:cs="宋体" w:hint="eastAsia"/>
          <w:color w:val="000000"/>
          <w:kern w:val="0"/>
          <w:sz w:val="24"/>
          <w:szCs w:val="24"/>
        </w:rPr>
      </w:pPr>
      <w:r>
        <w:rPr>
          <w:rFonts w:asciiTheme="minorEastAsia" w:hAnsiTheme="minorEastAsia" w:hint="eastAsia"/>
          <w:b/>
          <w:sz w:val="24"/>
          <w:szCs w:val="24"/>
        </w:rPr>
        <w:t>（1）</w:t>
      </w:r>
      <w:r>
        <w:rPr>
          <w:rFonts w:ascii="宋体" w:eastAsia="宋体" w:hAnsi="宋体" w:cs="宋体" w:hint="eastAsia"/>
          <w:kern w:val="0"/>
          <w:sz w:val="24"/>
          <w:szCs w:val="24"/>
        </w:rPr>
        <w:t>富荣量化精选混合发起</w:t>
      </w:r>
      <w:r>
        <w:rPr>
          <w:rFonts w:ascii="宋体" w:eastAsia="宋体" w:hAnsi="宋体" w:cs="宋体"/>
          <w:kern w:val="0"/>
          <w:sz w:val="24"/>
          <w:szCs w:val="24"/>
        </w:rPr>
        <w:t>A</w:t>
      </w:r>
      <w:r>
        <w:rPr>
          <w:rFonts w:ascii="宋体" w:eastAsia="宋体" w:hAnsi="宋体" w:cs="宋体" w:hint="eastAsia"/>
          <w:kern w:val="0"/>
          <w:sz w:val="24"/>
          <w:szCs w:val="24"/>
        </w:rPr>
        <w:t>净值表现（基金代码：014556）</w:t>
      </w:r>
    </w:p>
    <w:tbl>
      <w:tblPr>
        <w:tblW w:w="9924" w:type="dxa"/>
        <w:tblInd w:w="-885" w:type="dxa"/>
        <w:tblLook w:val="04A0" w:firstRow="1" w:lastRow="0" w:firstColumn="1" w:lastColumn="0" w:noHBand="0" w:noVBand="1"/>
      </w:tblPr>
      <w:tblGrid>
        <w:gridCol w:w="3262"/>
        <w:gridCol w:w="1001"/>
        <w:gridCol w:w="1278"/>
        <w:gridCol w:w="996"/>
        <w:gridCol w:w="1276"/>
        <w:gridCol w:w="994"/>
        <w:gridCol w:w="1117"/>
      </w:tblGrid>
      <w:tr w:rsidR="00181B62" w14:paraId="0A811876" w14:textId="77777777" w:rsidTr="00181B62">
        <w:tc>
          <w:tcPr>
            <w:tcW w:w="1643" w:type="pct"/>
            <w:tcBorders>
              <w:top w:val="single" w:sz="8" w:space="0" w:color="000000"/>
              <w:left w:val="single" w:sz="8" w:space="0" w:color="000000"/>
              <w:bottom w:val="single" w:sz="6" w:space="0" w:color="000000"/>
              <w:right w:val="single" w:sz="8" w:space="0" w:color="000000"/>
            </w:tcBorders>
            <w:vAlign w:val="center"/>
          </w:tcPr>
          <w:p w14:paraId="344417C6" w14:textId="77777777" w:rsidR="009214AE" w:rsidRDefault="00C66335" w:rsidP="00181B62">
            <w:pPr>
              <w:pStyle w:val="biaogeleft"/>
              <w:wordWrap w:val="0"/>
              <w:ind w:left="0"/>
              <w:rPr>
                <w:rFonts w:hint="eastAsia"/>
              </w:rPr>
            </w:pPr>
            <w:r>
              <w:rPr>
                <w:rFonts w:hint="eastAsia"/>
              </w:rPr>
              <w:t>阶段</w:t>
            </w:r>
          </w:p>
        </w:tc>
        <w:tc>
          <w:tcPr>
            <w:tcW w:w="504" w:type="pct"/>
            <w:tcBorders>
              <w:top w:val="single" w:sz="8" w:space="0" w:color="000000"/>
              <w:left w:val="single" w:sz="8" w:space="0" w:color="000000"/>
              <w:bottom w:val="single" w:sz="6" w:space="0" w:color="000000"/>
              <w:right w:val="single" w:sz="8" w:space="0" w:color="000000"/>
            </w:tcBorders>
            <w:vAlign w:val="center"/>
          </w:tcPr>
          <w:p w14:paraId="3350E710" w14:textId="77777777" w:rsidR="009214AE" w:rsidRDefault="00C66335">
            <w:pPr>
              <w:pStyle w:val="biaogecenter"/>
              <w:wordWrap w:val="0"/>
              <w:rPr>
                <w:rFonts w:hint="eastAsia"/>
              </w:rPr>
            </w:pPr>
            <w:r>
              <w:rPr>
                <w:rFonts w:hint="eastAsia"/>
              </w:rPr>
              <w:t>净值增长率①</w:t>
            </w:r>
          </w:p>
        </w:tc>
        <w:tc>
          <w:tcPr>
            <w:tcW w:w="644" w:type="pct"/>
            <w:tcBorders>
              <w:top w:val="single" w:sz="8" w:space="0" w:color="000000"/>
              <w:left w:val="single" w:sz="8" w:space="0" w:color="000000"/>
              <w:bottom w:val="single" w:sz="6" w:space="0" w:color="000000"/>
              <w:right w:val="single" w:sz="8" w:space="0" w:color="000000"/>
            </w:tcBorders>
            <w:vAlign w:val="center"/>
          </w:tcPr>
          <w:p w14:paraId="41BD2C60" w14:textId="77777777" w:rsidR="009214AE" w:rsidRDefault="00C66335">
            <w:pPr>
              <w:pStyle w:val="biaogecenter"/>
              <w:wordWrap w:val="0"/>
              <w:rPr>
                <w:rFonts w:hint="eastAsia"/>
              </w:rPr>
            </w:pPr>
            <w:r>
              <w:rPr>
                <w:rFonts w:hint="eastAsia"/>
              </w:rPr>
              <w:t>净值增长率标准差②</w:t>
            </w:r>
          </w:p>
        </w:tc>
        <w:tc>
          <w:tcPr>
            <w:tcW w:w="502" w:type="pct"/>
            <w:tcBorders>
              <w:top w:val="single" w:sz="8" w:space="0" w:color="000000"/>
              <w:left w:val="single" w:sz="8" w:space="0" w:color="000000"/>
              <w:bottom w:val="single" w:sz="6" w:space="0" w:color="000000"/>
              <w:right w:val="single" w:sz="8" w:space="0" w:color="000000"/>
            </w:tcBorders>
            <w:vAlign w:val="center"/>
          </w:tcPr>
          <w:p w14:paraId="115C375E" w14:textId="77777777" w:rsidR="009214AE" w:rsidRDefault="00C66335">
            <w:pPr>
              <w:pStyle w:val="biaogecenter"/>
              <w:wordWrap w:val="0"/>
              <w:rPr>
                <w:rFonts w:hint="eastAsia"/>
              </w:rPr>
            </w:pPr>
            <w:r>
              <w:rPr>
                <w:rFonts w:hint="eastAsia"/>
              </w:rPr>
              <w:t>业绩比较基准收益率③</w:t>
            </w:r>
          </w:p>
        </w:tc>
        <w:tc>
          <w:tcPr>
            <w:tcW w:w="643" w:type="pct"/>
            <w:tcBorders>
              <w:top w:val="single" w:sz="8" w:space="0" w:color="000000"/>
              <w:left w:val="single" w:sz="8" w:space="0" w:color="000000"/>
              <w:bottom w:val="single" w:sz="6" w:space="0" w:color="000000"/>
              <w:right w:val="single" w:sz="8" w:space="0" w:color="000000"/>
            </w:tcBorders>
            <w:vAlign w:val="center"/>
          </w:tcPr>
          <w:p w14:paraId="19C4D87C" w14:textId="77777777" w:rsidR="009214AE" w:rsidRDefault="00C66335">
            <w:pPr>
              <w:pStyle w:val="biaogecenter"/>
              <w:wordWrap w:val="0"/>
              <w:rPr>
                <w:rFonts w:hint="eastAsia"/>
              </w:rPr>
            </w:pPr>
            <w:r>
              <w:rPr>
                <w:rFonts w:hint="eastAsia"/>
              </w:rPr>
              <w:t>业绩比较基准收益率标准差④</w:t>
            </w:r>
          </w:p>
        </w:tc>
        <w:tc>
          <w:tcPr>
            <w:tcW w:w="501" w:type="pct"/>
            <w:tcBorders>
              <w:top w:val="single" w:sz="8" w:space="0" w:color="000000"/>
              <w:left w:val="single" w:sz="8" w:space="0" w:color="000000"/>
              <w:bottom w:val="single" w:sz="6" w:space="0" w:color="000000"/>
              <w:right w:val="single" w:sz="8" w:space="0" w:color="000000"/>
            </w:tcBorders>
            <w:vAlign w:val="center"/>
          </w:tcPr>
          <w:p w14:paraId="2FB1BD87" w14:textId="77777777" w:rsidR="009214AE" w:rsidRDefault="00C66335">
            <w:pPr>
              <w:pStyle w:val="biaogecenter"/>
              <w:wordWrap w:val="0"/>
              <w:rPr>
                <w:rFonts w:hint="eastAsia"/>
              </w:rPr>
            </w:pPr>
            <w:r>
              <w:rPr>
                <w:rFonts w:hint="eastAsia"/>
              </w:rPr>
              <w:t>①-③</w:t>
            </w:r>
          </w:p>
        </w:tc>
        <w:tc>
          <w:tcPr>
            <w:tcW w:w="563" w:type="pct"/>
            <w:tcBorders>
              <w:top w:val="single" w:sz="8" w:space="0" w:color="000000"/>
              <w:left w:val="single" w:sz="8" w:space="0" w:color="000000"/>
              <w:bottom w:val="single" w:sz="6" w:space="0" w:color="000000"/>
              <w:right w:val="single" w:sz="8" w:space="0" w:color="000000"/>
            </w:tcBorders>
            <w:vAlign w:val="center"/>
          </w:tcPr>
          <w:p w14:paraId="50C0AB86" w14:textId="77777777" w:rsidR="009214AE" w:rsidRDefault="00C66335">
            <w:pPr>
              <w:pStyle w:val="biaogecenter"/>
              <w:wordWrap w:val="0"/>
              <w:rPr>
                <w:rFonts w:hint="eastAsia"/>
              </w:rPr>
            </w:pPr>
            <w:r>
              <w:rPr>
                <w:rFonts w:hint="eastAsia"/>
              </w:rPr>
              <w:t>②-④</w:t>
            </w:r>
          </w:p>
        </w:tc>
      </w:tr>
      <w:tr w:rsidR="00181B62" w14:paraId="2D163A4B" w14:textId="77777777" w:rsidTr="00181B62">
        <w:tc>
          <w:tcPr>
            <w:tcW w:w="1643" w:type="pct"/>
            <w:tcBorders>
              <w:top w:val="single" w:sz="8" w:space="0" w:color="000000"/>
              <w:left w:val="single" w:sz="8" w:space="0" w:color="000000"/>
              <w:bottom w:val="single" w:sz="8" w:space="0" w:color="000000"/>
              <w:right w:val="single" w:sz="8" w:space="0" w:color="000000"/>
            </w:tcBorders>
            <w:vAlign w:val="center"/>
          </w:tcPr>
          <w:p w14:paraId="1594261C" w14:textId="77777777" w:rsidR="009214AE" w:rsidRDefault="00C66335">
            <w:pPr>
              <w:pStyle w:val="biaogeleft"/>
              <w:wordWrap w:val="0"/>
              <w:rPr>
                <w:rFonts w:hint="eastAsia"/>
                <w:sz w:val="21"/>
                <w:szCs w:val="21"/>
              </w:rPr>
            </w:pPr>
            <w:r>
              <w:rPr>
                <w:rFonts w:asciiTheme="minorEastAsia" w:hAnsiTheme="minorEastAsia" w:hint="eastAsia"/>
                <w:bCs/>
                <w:sz w:val="21"/>
                <w:szCs w:val="21"/>
              </w:rPr>
              <w:t>2022.5.6~2022.12.31</w:t>
            </w:r>
          </w:p>
        </w:tc>
        <w:tc>
          <w:tcPr>
            <w:tcW w:w="504" w:type="pct"/>
            <w:tcBorders>
              <w:top w:val="single" w:sz="8" w:space="0" w:color="000000"/>
              <w:left w:val="single" w:sz="8" w:space="0" w:color="000000"/>
              <w:bottom w:val="single" w:sz="8" w:space="0" w:color="000000"/>
              <w:right w:val="single" w:sz="8" w:space="0" w:color="000000"/>
            </w:tcBorders>
            <w:vAlign w:val="center"/>
          </w:tcPr>
          <w:p w14:paraId="6F86BF55" w14:textId="77777777" w:rsidR="009214AE" w:rsidRDefault="00C66335">
            <w:pPr>
              <w:pStyle w:val="biaogecenter"/>
              <w:wordWrap w:val="0"/>
              <w:rPr>
                <w:rFonts w:hint="eastAsia"/>
                <w:sz w:val="21"/>
                <w:szCs w:val="21"/>
              </w:rPr>
            </w:pPr>
            <w:r>
              <w:rPr>
                <w:rFonts w:hint="eastAsia"/>
                <w:sz w:val="21"/>
                <w:szCs w:val="21"/>
              </w:rPr>
              <w:t>-9.01%</w:t>
            </w:r>
          </w:p>
        </w:tc>
        <w:tc>
          <w:tcPr>
            <w:tcW w:w="644" w:type="pct"/>
            <w:tcBorders>
              <w:top w:val="single" w:sz="8" w:space="0" w:color="000000"/>
              <w:left w:val="single" w:sz="8" w:space="0" w:color="000000"/>
              <w:bottom w:val="single" w:sz="8" w:space="0" w:color="000000"/>
              <w:right w:val="single" w:sz="8" w:space="0" w:color="000000"/>
            </w:tcBorders>
            <w:vAlign w:val="center"/>
          </w:tcPr>
          <w:p w14:paraId="1F6724CE" w14:textId="77777777" w:rsidR="009214AE" w:rsidRDefault="00C66335">
            <w:pPr>
              <w:pStyle w:val="biaogecenter"/>
              <w:wordWrap w:val="0"/>
              <w:rPr>
                <w:rFonts w:hint="eastAsia"/>
                <w:sz w:val="21"/>
                <w:szCs w:val="21"/>
              </w:rPr>
            </w:pPr>
            <w:r>
              <w:rPr>
                <w:rFonts w:hint="eastAsia"/>
                <w:sz w:val="21"/>
                <w:szCs w:val="21"/>
              </w:rPr>
              <w:t>0.68%</w:t>
            </w:r>
          </w:p>
        </w:tc>
        <w:tc>
          <w:tcPr>
            <w:tcW w:w="502" w:type="pct"/>
            <w:tcBorders>
              <w:top w:val="single" w:sz="8" w:space="0" w:color="000000"/>
              <w:left w:val="single" w:sz="8" w:space="0" w:color="000000"/>
              <w:bottom w:val="single" w:sz="8" w:space="0" w:color="000000"/>
              <w:right w:val="single" w:sz="8" w:space="0" w:color="000000"/>
            </w:tcBorders>
            <w:vAlign w:val="center"/>
          </w:tcPr>
          <w:p w14:paraId="52FBAF4D" w14:textId="77777777" w:rsidR="009214AE" w:rsidRDefault="00C66335">
            <w:pPr>
              <w:pStyle w:val="biaogecenter"/>
              <w:wordWrap w:val="0"/>
              <w:rPr>
                <w:rFonts w:hint="eastAsia"/>
                <w:sz w:val="21"/>
                <w:szCs w:val="21"/>
              </w:rPr>
            </w:pPr>
            <w:r>
              <w:rPr>
                <w:rFonts w:hint="eastAsia"/>
                <w:sz w:val="21"/>
                <w:szCs w:val="21"/>
              </w:rPr>
              <w:t>2.46%</w:t>
            </w:r>
          </w:p>
        </w:tc>
        <w:tc>
          <w:tcPr>
            <w:tcW w:w="643" w:type="pct"/>
            <w:tcBorders>
              <w:top w:val="single" w:sz="8" w:space="0" w:color="000000"/>
              <w:left w:val="single" w:sz="8" w:space="0" w:color="000000"/>
              <w:bottom w:val="single" w:sz="8" w:space="0" w:color="000000"/>
              <w:right w:val="single" w:sz="8" w:space="0" w:color="000000"/>
            </w:tcBorders>
            <w:vAlign w:val="center"/>
          </w:tcPr>
          <w:p w14:paraId="1C810D38" w14:textId="77777777" w:rsidR="009214AE" w:rsidRDefault="00C66335">
            <w:pPr>
              <w:pStyle w:val="biaogecenter"/>
              <w:wordWrap w:val="0"/>
              <w:rPr>
                <w:rFonts w:hint="eastAsia"/>
                <w:sz w:val="21"/>
                <w:szCs w:val="21"/>
              </w:rPr>
            </w:pPr>
            <w:r>
              <w:rPr>
                <w:rFonts w:hint="eastAsia"/>
                <w:sz w:val="21"/>
                <w:szCs w:val="21"/>
              </w:rPr>
              <w:t>0.79%</w:t>
            </w:r>
          </w:p>
        </w:tc>
        <w:tc>
          <w:tcPr>
            <w:tcW w:w="501" w:type="pct"/>
            <w:tcBorders>
              <w:top w:val="single" w:sz="8" w:space="0" w:color="000000"/>
              <w:left w:val="single" w:sz="8" w:space="0" w:color="000000"/>
              <w:bottom w:val="single" w:sz="8" w:space="0" w:color="000000"/>
              <w:right w:val="single" w:sz="8" w:space="0" w:color="000000"/>
            </w:tcBorders>
            <w:vAlign w:val="center"/>
          </w:tcPr>
          <w:p w14:paraId="1DE4D491" w14:textId="77777777" w:rsidR="009214AE" w:rsidRDefault="00C66335">
            <w:pPr>
              <w:pStyle w:val="biaogecenter"/>
              <w:wordWrap w:val="0"/>
              <w:rPr>
                <w:rFonts w:hint="eastAsia"/>
                <w:sz w:val="21"/>
                <w:szCs w:val="21"/>
              </w:rPr>
            </w:pPr>
            <w:r>
              <w:rPr>
                <w:rFonts w:hint="eastAsia"/>
                <w:sz w:val="21"/>
                <w:szCs w:val="21"/>
              </w:rPr>
              <w:t>-11.47%</w:t>
            </w:r>
          </w:p>
        </w:tc>
        <w:tc>
          <w:tcPr>
            <w:tcW w:w="563" w:type="pct"/>
            <w:tcBorders>
              <w:top w:val="single" w:sz="8" w:space="0" w:color="000000"/>
              <w:left w:val="single" w:sz="8" w:space="0" w:color="000000"/>
              <w:bottom w:val="single" w:sz="8" w:space="0" w:color="000000"/>
              <w:right w:val="single" w:sz="8" w:space="0" w:color="000000"/>
            </w:tcBorders>
            <w:vAlign w:val="center"/>
          </w:tcPr>
          <w:p w14:paraId="6EBB937E" w14:textId="77777777" w:rsidR="009214AE" w:rsidRDefault="00C66335">
            <w:pPr>
              <w:pStyle w:val="biaogecenter"/>
              <w:wordWrap w:val="0"/>
              <w:rPr>
                <w:rFonts w:hint="eastAsia"/>
                <w:sz w:val="21"/>
                <w:szCs w:val="21"/>
              </w:rPr>
            </w:pPr>
            <w:r>
              <w:rPr>
                <w:rFonts w:hint="eastAsia"/>
                <w:sz w:val="21"/>
                <w:szCs w:val="21"/>
              </w:rPr>
              <w:t>-0.11%</w:t>
            </w:r>
          </w:p>
        </w:tc>
      </w:tr>
      <w:tr w:rsidR="00181B62" w14:paraId="5F7B5633" w14:textId="77777777" w:rsidTr="00181B62">
        <w:tc>
          <w:tcPr>
            <w:tcW w:w="1643" w:type="pct"/>
            <w:tcBorders>
              <w:top w:val="single" w:sz="8" w:space="0" w:color="000000"/>
              <w:left w:val="single" w:sz="8" w:space="0" w:color="000000"/>
              <w:bottom w:val="single" w:sz="8" w:space="0" w:color="000000"/>
              <w:right w:val="single" w:sz="8" w:space="0" w:color="000000"/>
            </w:tcBorders>
            <w:vAlign w:val="center"/>
          </w:tcPr>
          <w:p w14:paraId="48C709EA" w14:textId="77777777" w:rsidR="009214AE" w:rsidRDefault="00C66335">
            <w:pPr>
              <w:pStyle w:val="biaogeleft"/>
              <w:wordWrap w:val="0"/>
              <w:rPr>
                <w:rFonts w:asciiTheme="minorEastAsia" w:hAnsiTheme="minorEastAsia" w:hint="eastAsia"/>
                <w:bCs/>
                <w:sz w:val="21"/>
                <w:szCs w:val="21"/>
              </w:rPr>
            </w:pPr>
            <w:r>
              <w:rPr>
                <w:rFonts w:asciiTheme="minorEastAsia" w:hAnsiTheme="minorEastAsia" w:hint="eastAsia"/>
                <w:bCs/>
                <w:sz w:val="21"/>
                <w:szCs w:val="21"/>
              </w:rPr>
              <w:t>2023.1.1~2023.12.31</w:t>
            </w:r>
          </w:p>
        </w:tc>
        <w:tc>
          <w:tcPr>
            <w:tcW w:w="504" w:type="pct"/>
            <w:tcBorders>
              <w:top w:val="single" w:sz="8" w:space="0" w:color="000000"/>
              <w:left w:val="single" w:sz="8" w:space="0" w:color="000000"/>
              <w:bottom w:val="single" w:sz="8" w:space="0" w:color="000000"/>
              <w:right w:val="single" w:sz="8" w:space="0" w:color="000000"/>
            </w:tcBorders>
          </w:tcPr>
          <w:p w14:paraId="16D43877" w14:textId="77777777" w:rsidR="009214AE" w:rsidRDefault="00C66335">
            <w:pPr>
              <w:pStyle w:val="biaogecenter"/>
              <w:wordWrap w:val="0"/>
              <w:rPr>
                <w:rFonts w:hint="eastAsia"/>
                <w:sz w:val="21"/>
                <w:szCs w:val="21"/>
              </w:rPr>
            </w:pPr>
            <w:r>
              <w:rPr>
                <w:sz w:val="21"/>
                <w:szCs w:val="21"/>
              </w:rPr>
              <w:t>-13.46%</w:t>
            </w:r>
          </w:p>
        </w:tc>
        <w:tc>
          <w:tcPr>
            <w:tcW w:w="644" w:type="pct"/>
            <w:tcBorders>
              <w:top w:val="single" w:sz="8" w:space="0" w:color="000000"/>
              <w:left w:val="single" w:sz="8" w:space="0" w:color="000000"/>
              <w:bottom w:val="single" w:sz="8" w:space="0" w:color="000000"/>
              <w:right w:val="single" w:sz="8" w:space="0" w:color="000000"/>
            </w:tcBorders>
          </w:tcPr>
          <w:p w14:paraId="6686FAA1" w14:textId="77777777" w:rsidR="009214AE" w:rsidRDefault="00C66335">
            <w:pPr>
              <w:pStyle w:val="biaogecenter"/>
              <w:wordWrap w:val="0"/>
              <w:rPr>
                <w:rFonts w:hint="eastAsia"/>
                <w:sz w:val="21"/>
                <w:szCs w:val="21"/>
              </w:rPr>
            </w:pPr>
            <w:r>
              <w:rPr>
                <w:sz w:val="21"/>
                <w:szCs w:val="21"/>
              </w:rPr>
              <w:t>0.76%</w:t>
            </w:r>
          </w:p>
        </w:tc>
        <w:tc>
          <w:tcPr>
            <w:tcW w:w="502" w:type="pct"/>
            <w:tcBorders>
              <w:top w:val="single" w:sz="8" w:space="0" w:color="000000"/>
              <w:left w:val="single" w:sz="8" w:space="0" w:color="000000"/>
              <w:bottom w:val="single" w:sz="8" w:space="0" w:color="000000"/>
              <w:right w:val="single" w:sz="8" w:space="0" w:color="000000"/>
            </w:tcBorders>
          </w:tcPr>
          <w:p w14:paraId="6349E4AD" w14:textId="77777777" w:rsidR="009214AE" w:rsidRDefault="00C66335">
            <w:pPr>
              <w:pStyle w:val="biaogecenter"/>
              <w:wordWrap w:val="0"/>
              <w:rPr>
                <w:rFonts w:hint="eastAsia"/>
                <w:sz w:val="21"/>
                <w:szCs w:val="21"/>
              </w:rPr>
            </w:pPr>
            <w:r>
              <w:rPr>
                <w:sz w:val="21"/>
                <w:szCs w:val="21"/>
              </w:rPr>
              <w:t>-4.50%</w:t>
            </w:r>
          </w:p>
        </w:tc>
        <w:tc>
          <w:tcPr>
            <w:tcW w:w="643" w:type="pct"/>
            <w:tcBorders>
              <w:top w:val="single" w:sz="8" w:space="0" w:color="000000"/>
              <w:left w:val="single" w:sz="8" w:space="0" w:color="000000"/>
              <w:bottom w:val="single" w:sz="8" w:space="0" w:color="000000"/>
              <w:right w:val="single" w:sz="8" w:space="0" w:color="000000"/>
            </w:tcBorders>
          </w:tcPr>
          <w:p w14:paraId="24D6BA29" w14:textId="77777777" w:rsidR="009214AE" w:rsidRDefault="00C66335">
            <w:pPr>
              <w:pStyle w:val="biaogecenter"/>
              <w:wordWrap w:val="0"/>
              <w:rPr>
                <w:rFonts w:hint="eastAsia"/>
                <w:sz w:val="21"/>
                <w:szCs w:val="21"/>
              </w:rPr>
            </w:pPr>
            <w:r>
              <w:rPr>
                <w:sz w:val="21"/>
                <w:szCs w:val="21"/>
              </w:rPr>
              <w:t>0.57%</w:t>
            </w:r>
          </w:p>
        </w:tc>
        <w:tc>
          <w:tcPr>
            <w:tcW w:w="501" w:type="pct"/>
            <w:tcBorders>
              <w:top w:val="single" w:sz="8" w:space="0" w:color="000000"/>
              <w:left w:val="single" w:sz="8" w:space="0" w:color="000000"/>
              <w:bottom w:val="single" w:sz="8" w:space="0" w:color="000000"/>
              <w:right w:val="single" w:sz="8" w:space="0" w:color="000000"/>
            </w:tcBorders>
          </w:tcPr>
          <w:p w14:paraId="5CB06D4B" w14:textId="77777777" w:rsidR="009214AE" w:rsidRDefault="00C66335">
            <w:pPr>
              <w:pStyle w:val="biaogecenter"/>
              <w:wordWrap w:val="0"/>
              <w:rPr>
                <w:rFonts w:hint="eastAsia"/>
                <w:sz w:val="21"/>
                <w:szCs w:val="21"/>
              </w:rPr>
            </w:pPr>
            <w:r>
              <w:rPr>
                <w:sz w:val="21"/>
                <w:szCs w:val="21"/>
              </w:rPr>
              <w:t>-8.96%</w:t>
            </w:r>
          </w:p>
        </w:tc>
        <w:tc>
          <w:tcPr>
            <w:tcW w:w="563" w:type="pct"/>
            <w:tcBorders>
              <w:top w:val="single" w:sz="8" w:space="0" w:color="000000"/>
              <w:left w:val="single" w:sz="8" w:space="0" w:color="000000"/>
              <w:bottom w:val="single" w:sz="8" w:space="0" w:color="000000"/>
              <w:right w:val="single" w:sz="8" w:space="0" w:color="000000"/>
            </w:tcBorders>
          </w:tcPr>
          <w:p w14:paraId="775DAB23" w14:textId="77777777" w:rsidR="009214AE" w:rsidRDefault="00C66335">
            <w:pPr>
              <w:pStyle w:val="biaogecenter"/>
              <w:wordWrap w:val="0"/>
              <w:rPr>
                <w:rFonts w:hint="eastAsia"/>
                <w:sz w:val="21"/>
                <w:szCs w:val="21"/>
              </w:rPr>
            </w:pPr>
            <w:r>
              <w:rPr>
                <w:sz w:val="21"/>
                <w:szCs w:val="21"/>
              </w:rPr>
              <w:t>0.19%</w:t>
            </w:r>
          </w:p>
        </w:tc>
      </w:tr>
      <w:tr w:rsidR="00181B62" w14:paraId="6C42B6A5" w14:textId="77777777" w:rsidTr="00181B62">
        <w:tc>
          <w:tcPr>
            <w:tcW w:w="1643" w:type="pct"/>
            <w:tcBorders>
              <w:top w:val="single" w:sz="8" w:space="0" w:color="000000"/>
              <w:left w:val="single" w:sz="8" w:space="0" w:color="000000"/>
              <w:bottom w:val="single" w:sz="8" w:space="0" w:color="000000"/>
              <w:right w:val="single" w:sz="8" w:space="0" w:color="000000"/>
            </w:tcBorders>
            <w:vAlign w:val="center"/>
          </w:tcPr>
          <w:p w14:paraId="6D309317" w14:textId="62BD81A7" w:rsidR="001E7F72" w:rsidRDefault="001E7F72" w:rsidP="001E7F72">
            <w:pPr>
              <w:pStyle w:val="biaogeleft"/>
              <w:wordWrap w:val="0"/>
              <w:rPr>
                <w:rFonts w:asciiTheme="minorEastAsia" w:hAnsiTheme="minorEastAsia" w:hint="eastAsia"/>
                <w:bCs/>
                <w:sz w:val="21"/>
                <w:szCs w:val="21"/>
              </w:rPr>
            </w:pPr>
            <w:r>
              <w:rPr>
                <w:rFonts w:asciiTheme="minorEastAsia" w:hAnsiTheme="minorEastAsia" w:hint="eastAsia"/>
                <w:bCs/>
                <w:sz w:val="21"/>
                <w:szCs w:val="21"/>
              </w:rPr>
              <w:t>2024.1.1~2024.12.31</w:t>
            </w:r>
          </w:p>
        </w:tc>
        <w:tc>
          <w:tcPr>
            <w:tcW w:w="504" w:type="pct"/>
            <w:tcBorders>
              <w:top w:val="single" w:sz="8" w:space="0" w:color="000000"/>
              <w:left w:val="single" w:sz="8" w:space="0" w:color="000000"/>
              <w:bottom w:val="single" w:sz="8" w:space="0" w:color="000000"/>
              <w:right w:val="single" w:sz="8" w:space="0" w:color="000000"/>
            </w:tcBorders>
          </w:tcPr>
          <w:p w14:paraId="7B87D3EF" w14:textId="1B23C1A1" w:rsidR="001E7F72" w:rsidRDefault="001E7F72" w:rsidP="001E7F72">
            <w:pPr>
              <w:pStyle w:val="biaogecenter"/>
              <w:wordWrap w:val="0"/>
              <w:rPr>
                <w:rFonts w:hint="eastAsia"/>
                <w:sz w:val="21"/>
                <w:szCs w:val="21"/>
              </w:rPr>
            </w:pPr>
            <w:r w:rsidRPr="004433C8">
              <w:rPr>
                <w:rFonts w:asciiTheme="minorEastAsia" w:hAnsiTheme="minorEastAsia"/>
                <w:bCs/>
                <w:sz w:val="21"/>
                <w:szCs w:val="21"/>
              </w:rPr>
              <w:t>4.60%</w:t>
            </w:r>
          </w:p>
        </w:tc>
        <w:tc>
          <w:tcPr>
            <w:tcW w:w="644" w:type="pct"/>
            <w:tcBorders>
              <w:top w:val="single" w:sz="8" w:space="0" w:color="000000"/>
              <w:left w:val="single" w:sz="8" w:space="0" w:color="000000"/>
              <w:bottom w:val="single" w:sz="8" w:space="0" w:color="000000"/>
              <w:right w:val="single" w:sz="8" w:space="0" w:color="000000"/>
            </w:tcBorders>
          </w:tcPr>
          <w:p w14:paraId="24DA7E53" w14:textId="45C80EC9" w:rsidR="001E7F72" w:rsidRDefault="001E7F72" w:rsidP="001E7F72">
            <w:pPr>
              <w:pStyle w:val="biaogecenter"/>
              <w:wordWrap w:val="0"/>
              <w:rPr>
                <w:rFonts w:hint="eastAsia"/>
                <w:sz w:val="21"/>
                <w:szCs w:val="21"/>
              </w:rPr>
            </w:pPr>
            <w:r w:rsidRPr="004433C8">
              <w:rPr>
                <w:rFonts w:asciiTheme="minorEastAsia" w:hAnsiTheme="minorEastAsia"/>
                <w:bCs/>
                <w:sz w:val="21"/>
                <w:szCs w:val="21"/>
              </w:rPr>
              <w:t>1.75%</w:t>
            </w:r>
          </w:p>
        </w:tc>
        <w:tc>
          <w:tcPr>
            <w:tcW w:w="502" w:type="pct"/>
            <w:tcBorders>
              <w:top w:val="single" w:sz="8" w:space="0" w:color="000000"/>
              <w:left w:val="single" w:sz="8" w:space="0" w:color="000000"/>
              <w:bottom w:val="single" w:sz="8" w:space="0" w:color="000000"/>
              <w:right w:val="single" w:sz="8" w:space="0" w:color="000000"/>
            </w:tcBorders>
          </w:tcPr>
          <w:p w14:paraId="6D2CEB6D" w14:textId="26EC11EF" w:rsidR="001E7F72" w:rsidRDefault="001E7F72" w:rsidP="001E7F72">
            <w:pPr>
              <w:pStyle w:val="biaogecenter"/>
              <w:wordWrap w:val="0"/>
              <w:rPr>
                <w:rFonts w:hint="eastAsia"/>
                <w:sz w:val="21"/>
                <w:szCs w:val="21"/>
              </w:rPr>
            </w:pPr>
            <w:r w:rsidRPr="004433C8">
              <w:rPr>
                <w:rFonts w:asciiTheme="minorEastAsia" w:hAnsiTheme="minorEastAsia"/>
                <w:bCs/>
                <w:sz w:val="21"/>
                <w:szCs w:val="21"/>
              </w:rPr>
              <w:t>6.22%</w:t>
            </w:r>
          </w:p>
        </w:tc>
        <w:tc>
          <w:tcPr>
            <w:tcW w:w="643" w:type="pct"/>
            <w:tcBorders>
              <w:top w:val="single" w:sz="8" w:space="0" w:color="000000"/>
              <w:left w:val="single" w:sz="8" w:space="0" w:color="000000"/>
              <w:bottom w:val="single" w:sz="8" w:space="0" w:color="000000"/>
              <w:right w:val="single" w:sz="8" w:space="0" w:color="000000"/>
            </w:tcBorders>
          </w:tcPr>
          <w:p w14:paraId="6F50940E" w14:textId="4978BA4B" w:rsidR="001E7F72" w:rsidRDefault="001E7F72" w:rsidP="001E7F72">
            <w:pPr>
              <w:pStyle w:val="biaogecenter"/>
              <w:wordWrap w:val="0"/>
              <w:rPr>
                <w:rFonts w:hint="eastAsia"/>
                <w:sz w:val="21"/>
                <w:szCs w:val="21"/>
              </w:rPr>
            </w:pPr>
            <w:r w:rsidRPr="004433C8">
              <w:rPr>
                <w:rFonts w:asciiTheme="minorEastAsia" w:hAnsiTheme="minorEastAsia"/>
                <w:bCs/>
                <w:sz w:val="21"/>
                <w:szCs w:val="21"/>
              </w:rPr>
              <w:t>1.27%</w:t>
            </w:r>
          </w:p>
        </w:tc>
        <w:tc>
          <w:tcPr>
            <w:tcW w:w="501" w:type="pct"/>
            <w:tcBorders>
              <w:top w:val="single" w:sz="8" w:space="0" w:color="000000"/>
              <w:left w:val="single" w:sz="8" w:space="0" w:color="000000"/>
              <w:bottom w:val="single" w:sz="8" w:space="0" w:color="000000"/>
              <w:right w:val="single" w:sz="8" w:space="0" w:color="000000"/>
            </w:tcBorders>
          </w:tcPr>
          <w:p w14:paraId="014CC6D0" w14:textId="378F9920" w:rsidR="001E7F72" w:rsidRDefault="001E7F72" w:rsidP="001E7F72">
            <w:pPr>
              <w:pStyle w:val="biaogecenter"/>
              <w:wordWrap w:val="0"/>
              <w:rPr>
                <w:rFonts w:hint="eastAsia"/>
                <w:sz w:val="21"/>
                <w:szCs w:val="21"/>
              </w:rPr>
            </w:pPr>
            <w:r w:rsidRPr="004433C8">
              <w:rPr>
                <w:rFonts w:asciiTheme="minorEastAsia" w:hAnsiTheme="minorEastAsia"/>
                <w:bCs/>
                <w:sz w:val="21"/>
                <w:szCs w:val="21"/>
              </w:rPr>
              <w:t>-1.62%</w:t>
            </w:r>
          </w:p>
        </w:tc>
        <w:tc>
          <w:tcPr>
            <w:tcW w:w="563" w:type="pct"/>
            <w:tcBorders>
              <w:top w:val="single" w:sz="8" w:space="0" w:color="000000"/>
              <w:left w:val="single" w:sz="8" w:space="0" w:color="000000"/>
              <w:bottom w:val="single" w:sz="8" w:space="0" w:color="000000"/>
              <w:right w:val="single" w:sz="8" w:space="0" w:color="000000"/>
            </w:tcBorders>
          </w:tcPr>
          <w:p w14:paraId="7973D86D" w14:textId="1AF23E37" w:rsidR="001E7F72" w:rsidRDefault="001E7F72" w:rsidP="001E7F72">
            <w:pPr>
              <w:pStyle w:val="biaogecenter"/>
              <w:wordWrap w:val="0"/>
              <w:rPr>
                <w:rFonts w:hint="eastAsia"/>
                <w:sz w:val="21"/>
                <w:szCs w:val="21"/>
              </w:rPr>
            </w:pPr>
            <w:r w:rsidRPr="004433C8">
              <w:rPr>
                <w:rFonts w:asciiTheme="minorEastAsia" w:hAnsiTheme="minorEastAsia"/>
                <w:bCs/>
                <w:sz w:val="21"/>
                <w:szCs w:val="21"/>
              </w:rPr>
              <w:t>0.48%</w:t>
            </w:r>
          </w:p>
        </w:tc>
      </w:tr>
      <w:tr w:rsidR="00181B62" w14:paraId="6031A80A" w14:textId="77777777" w:rsidTr="00181B62">
        <w:tc>
          <w:tcPr>
            <w:tcW w:w="1643" w:type="pct"/>
            <w:tcBorders>
              <w:top w:val="single" w:sz="8" w:space="0" w:color="000000"/>
              <w:left w:val="single" w:sz="8" w:space="0" w:color="000000"/>
              <w:bottom w:val="single" w:sz="6" w:space="0" w:color="000000"/>
              <w:right w:val="single" w:sz="8" w:space="0" w:color="000000"/>
            </w:tcBorders>
            <w:vAlign w:val="center"/>
          </w:tcPr>
          <w:p w14:paraId="19A6BF5E" w14:textId="185EFEE9" w:rsidR="001E7F72" w:rsidRDefault="001E7F72" w:rsidP="001E7F72">
            <w:pPr>
              <w:pStyle w:val="biaogeleft"/>
              <w:wordWrap w:val="0"/>
              <w:rPr>
                <w:rFonts w:asciiTheme="minorEastAsia" w:hAnsiTheme="minorEastAsia" w:hint="eastAsia"/>
                <w:bCs/>
                <w:sz w:val="21"/>
                <w:szCs w:val="21"/>
              </w:rPr>
            </w:pPr>
            <w:r>
              <w:rPr>
                <w:rFonts w:asciiTheme="minorEastAsia" w:hAnsiTheme="minorEastAsia" w:hint="eastAsia"/>
                <w:bCs/>
                <w:sz w:val="21"/>
                <w:szCs w:val="21"/>
              </w:rPr>
              <w:t>自基金合同生效日至2024.12.31</w:t>
            </w:r>
          </w:p>
        </w:tc>
        <w:tc>
          <w:tcPr>
            <w:tcW w:w="504" w:type="pct"/>
            <w:tcBorders>
              <w:top w:val="single" w:sz="8" w:space="0" w:color="000000"/>
              <w:left w:val="single" w:sz="8" w:space="0" w:color="000000"/>
              <w:bottom w:val="single" w:sz="6" w:space="0" w:color="000000"/>
              <w:right w:val="single" w:sz="8" w:space="0" w:color="000000"/>
            </w:tcBorders>
          </w:tcPr>
          <w:p w14:paraId="2D082EA6" w14:textId="0F65FA4D" w:rsidR="001E7F72" w:rsidRDefault="001E7F72" w:rsidP="001E7F72">
            <w:pPr>
              <w:pStyle w:val="biaogecenter"/>
              <w:wordWrap w:val="0"/>
              <w:rPr>
                <w:rFonts w:asciiTheme="minorEastAsia" w:hAnsiTheme="minorEastAsia" w:hint="eastAsia"/>
                <w:bCs/>
                <w:sz w:val="21"/>
                <w:szCs w:val="21"/>
              </w:rPr>
            </w:pPr>
            <w:r w:rsidRPr="004433C8">
              <w:rPr>
                <w:rFonts w:asciiTheme="minorEastAsia" w:hAnsiTheme="minorEastAsia"/>
                <w:bCs/>
                <w:sz w:val="21"/>
                <w:szCs w:val="21"/>
              </w:rPr>
              <w:t>-17.64%</w:t>
            </w:r>
          </w:p>
        </w:tc>
        <w:tc>
          <w:tcPr>
            <w:tcW w:w="644" w:type="pct"/>
            <w:tcBorders>
              <w:top w:val="single" w:sz="8" w:space="0" w:color="000000"/>
              <w:left w:val="single" w:sz="8" w:space="0" w:color="000000"/>
              <w:bottom w:val="single" w:sz="6" w:space="0" w:color="000000"/>
              <w:right w:val="single" w:sz="8" w:space="0" w:color="000000"/>
            </w:tcBorders>
          </w:tcPr>
          <w:p w14:paraId="2DF2644E" w14:textId="564024A7" w:rsidR="001E7F72" w:rsidRDefault="001E7F72" w:rsidP="001E7F72">
            <w:pPr>
              <w:pStyle w:val="biaogecenter"/>
              <w:wordWrap w:val="0"/>
              <w:rPr>
                <w:rFonts w:asciiTheme="minorEastAsia" w:hAnsiTheme="minorEastAsia" w:hint="eastAsia"/>
                <w:bCs/>
                <w:sz w:val="21"/>
                <w:szCs w:val="21"/>
              </w:rPr>
            </w:pPr>
            <w:r w:rsidRPr="004433C8">
              <w:rPr>
                <w:rFonts w:asciiTheme="minorEastAsia" w:hAnsiTheme="minorEastAsia"/>
                <w:bCs/>
                <w:sz w:val="21"/>
                <w:szCs w:val="21"/>
              </w:rPr>
              <w:t>1.22%</w:t>
            </w:r>
          </w:p>
        </w:tc>
        <w:tc>
          <w:tcPr>
            <w:tcW w:w="502" w:type="pct"/>
            <w:tcBorders>
              <w:top w:val="single" w:sz="8" w:space="0" w:color="000000"/>
              <w:left w:val="single" w:sz="8" w:space="0" w:color="000000"/>
              <w:bottom w:val="single" w:sz="6" w:space="0" w:color="000000"/>
              <w:right w:val="single" w:sz="8" w:space="0" w:color="000000"/>
            </w:tcBorders>
          </w:tcPr>
          <w:p w14:paraId="46FEE18C" w14:textId="75CAFBD9" w:rsidR="001E7F72" w:rsidRDefault="001E7F72" w:rsidP="001E7F72">
            <w:pPr>
              <w:pStyle w:val="biaogecenter"/>
              <w:wordWrap w:val="0"/>
              <w:rPr>
                <w:rFonts w:asciiTheme="minorEastAsia" w:hAnsiTheme="minorEastAsia" w:hint="eastAsia"/>
                <w:bCs/>
                <w:sz w:val="21"/>
                <w:szCs w:val="21"/>
              </w:rPr>
            </w:pPr>
            <w:r w:rsidRPr="004433C8">
              <w:rPr>
                <w:rFonts w:asciiTheme="minorEastAsia" w:hAnsiTheme="minorEastAsia"/>
                <w:bCs/>
                <w:sz w:val="21"/>
                <w:szCs w:val="21"/>
              </w:rPr>
              <w:t>3.93%</w:t>
            </w:r>
          </w:p>
        </w:tc>
        <w:tc>
          <w:tcPr>
            <w:tcW w:w="643" w:type="pct"/>
            <w:tcBorders>
              <w:top w:val="single" w:sz="8" w:space="0" w:color="000000"/>
              <w:left w:val="single" w:sz="8" w:space="0" w:color="000000"/>
              <w:bottom w:val="single" w:sz="6" w:space="0" w:color="000000"/>
              <w:right w:val="single" w:sz="8" w:space="0" w:color="000000"/>
            </w:tcBorders>
          </w:tcPr>
          <w:p w14:paraId="3B1F9033" w14:textId="072CA43A" w:rsidR="001E7F72" w:rsidRDefault="001E7F72" w:rsidP="001E7F72">
            <w:pPr>
              <w:pStyle w:val="biaogecenter"/>
              <w:wordWrap w:val="0"/>
              <w:rPr>
                <w:rFonts w:asciiTheme="minorEastAsia" w:hAnsiTheme="minorEastAsia" w:hint="eastAsia"/>
                <w:bCs/>
                <w:sz w:val="21"/>
                <w:szCs w:val="21"/>
              </w:rPr>
            </w:pPr>
            <w:r w:rsidRPr="004433C8">
              <w:rPr>
                <w:rFonts w:asciiTheme="minorEastAsia" w:hAnsiTheme="minorEastAsia"/>
                <w:bCs/>
                <w:sz w:val="21"/>
                <w:szCs w:val="21"/>
              </w:rPr>
              <w:t>0.94%</w:t>
            </w:r>
          </w:p>
        </w:tc>
        <w:tc>
          <w:tcPr>
            <w:tcW w:w="501" w:type="pct"/>
            <w:tcBorders>
              <w:top w:val="single" w:sz="8" w:space="0" w:color="000000"/>
              <w:left w:val="single" w:sz="8" w:space="0" w:color="000000"/>
              <w:bottom w:val="single" w:sz="6" w:space="0" w:color="000000"/>
              <w:right w:val="single" w:sz="8" w:space="0" w:color="000000"/>
            </w:tcBorders>
          </w:tcPr>
          <w:p w14:paraId="44EBD449" w14:textId="56A50A3A" w:rsidR="001E7F72" w:rsidRDefault="001E7F72" w:rsidP="001E7F72">
            <w:pPr>
              <w:pStyle w:val="biaogecenter"/>
              <w:wordWrap w:val="0"/>
              <w:rPr>
                <w:rFonts w:asciiTheme="minorEastAsia" w:hAnsiTheme="minorEastAsia" w:hint="eastAsia"/>
                <w:bCs/>
                <w:sz w:val="21"/>
                <w:szCs w:val="21"/>
              </w:rPr>
            </w:pPr>
            <w:r w:rsidRPr="004433C8">
              <w:rPr>
                <w:rFonts w:asciiTheme="minorEastAsia" w:hAnsiTheme="minorEastAsia"/>
                <w:bCs/>
                <w:sz w:val="21"/>
                <w:szCs w:val="21"/>
              </w:rPr>
              <w:t>-21.57%</w:t>
            </w:r>
          </w:p>
        </w:tc>
        <w:tc>
          <w:tcPr>
            <w:tcW w:w="563" w:type="pct"/>
            <w:tcBorders>
              <w:top w:val="single" w:sz="8" w:space="0" w:color="000000"/>
              <w:left w:val="single" w:sz="8" w:space="0" w:color="000000"/>
              <w:bottom w:val="single" w:sz="6" w:space="0" w:color="000000"/>
              <w:right w:val="single" w:sz="8" w:space="0" w:color="000000"/>
            </w:tcBorders>
          </w:tcPr>
          <w:p w14:paraId="263BD39B" w14:textId="14864603" w:rsidR="001E7F72" w:rsidRDefault="001E7F72" w:rsidP="001E7F72">
            <w:pPr>
              <w:pStyle w:val="biaogecenter"/>
              <w:wordWrap w:val="0"/>
              <w:rPr>
                <w:rFonts w:asciiTheme="minorEastAsia" w:hAnsiTheme="minorEastAsia" w:hint="eastAsia"/>
                <w:bCs/>
                <w:sz w:val="21"/>
                <w:szCs w:val="21"/>
              </w:rPr>
            </w:pPr>
            <w:r w:rsidRPr="004433C8">
              <w:rPr>
                <w:rFonts w:asciiTheme="minorEastAsia" w:hAnsiTheme="minorEastAsia"/>
                <w:bCs/>
                <w:sz w:val="21"/>
                <w:szCs w:val="21"/>
              </w:rPr>
              <w:t>0.28%</w:t>
            </w:r>
          </w:p>
        </w:tc>
      </w:tr>
    </w:tbl>
    <w:p w14:paraId="6C087374" w14:textId="77777777" w:rsidR="009214AE" w:rsidRDefault="009214AE">
      <w:pPr>
        <w:pStyle w:val="biaogeleft"/>
        <w:rPr>
          <w:rFonts w:asciiTheme="minorEastAsia" w:hAnsiTheme="minorEastAsia" w:hint="eastAsia"/>
          <w:b/>
        </w:rPr>
      </w:pPr>
    </w:p>
    <w:p w14:paraId="1B421198" w14:textId="77777777" w:rsidR="009214AE" w:rsidRDefault="00C66335">
      <w:pPr>
        <w:pStyle w:val="biaogeleft"/>
        <w:rPr>
          <w:rFonts w:hint="eastAsia"/>
        </w:rPr>
      </w:pPr>
      <w:r>
        <w:rPr>
          <w:rFonts w:asciiTheme="minorEastAsia" w:hAnsiTheme="minorEastAsia" w:hint="eastAsia"/>
          <w:b/>
        </w:rPr>
        <w:t>（2）</w:t>
      </w:r>
      <w:r>
        <w:rPr>
          <w:rFonts w:hint="eastAsia"/>
        </w:rPr>
        <w:t>富荣量化精选混合发起C净值表现（基金代码：014557）</w:t>
      </w:r>
    </w:p>
    <w:tbl>
      <w:tblPr>
        <w:tblW w:w="10184" w:type="dxa"/>
        <w:tblInd w:w="-720" w:type="dxa"/>
        <w:tblLook w:val="04A0" w:firstRow="1" w:lastRow="0" w:firstColumn="1" w:lastColumn="0" w:noHBand="0" w:noVBand="1"/>
      </w:tblPr>
      <w:tblGrid>
        <w:gridCol w:w="3216"/>
        <w:gridCol w:w="1238"/>
        <w:gridCol w:w="1239"/>
        <w:gridCol w:w="1104"/>
        <w:gridCol w:w="1312"/>
        <w:gridCol w:w="1037"/>
        <w:gridCol w:w="1038"/>
      </w:tblGrid>
      <w:tr w:rsidR="009214AE" w14:paraId="5837D0B4" w14:textId="77777777" w:rsidTr="00181B62">
        <w:tc>
          <w:tcPr>
            <w:tcW w:w="3216" w:type="dxa"/>
            <w:tcBorders>
              <w:top w:val="single" w:sz="8" w:space="0" w:color="000000"/>
              <w:left w:val="single" w:sz="8" w:space="0" w:color="000000"/>
              <w:bottom w:val="single" w:sz="6" w:space="0" w:color="000000"/>
              <w:right w:val="single" w:sz="8" w:space="0" w:color="000000"/>
            </w:tcBorders>
            <w:vAlign w:val="center"/>
          </w:tcPr>
          <w:p w14:paraId="50A9AFC9" w14:textId="77777777" w:rsidR="009214AE" w:rsidRDefault="00C66335">
            <w:pPr>
              <w:pStyle w:val="biaogeleft"/>
              <w:wordWrap w:val="0"/>
              <w:rPr>
                <w:rFonts w:hint="eastAsia"/>
              </w:rPr>
            </w:pPr>
            <w:r>
              <w:rPr>
                <w:rFonts w:hint="eastAsia"/>
              </w:rPr>
              <w:t>阶段</w:t>
            </w:r>
          </w:p>
        </w:tc>
        <w:tc>
          <w:tcPr>
            <w:tcW w:w="1238" w:type="dxa"/>
            <w:tcBorders>
              <w:top w:val="single" w:sz="8" w:space="0" w:color="000000"/>
              <w:left w:val="single" w:sz="8" w:space="0" w:color="000000"/>
              <w:bottom w:val="single" w:sz="6" w:space="0" w:color="000000"/>
              <w:right w:val="single" w:sz="8" w:space="0" w:color="000000"/>
            </w:tcBorders>
            <w:vAlign w:val="center"/>
          </w:tcPr>
          <w:p w14:paraId="18C99B5F" w14:textId="77777777" w:rsidR="009214AE" w:rsidRDefault="00C66335">
            <w:pPr>
              <w:pStyle w:val="biaogecenter"/>
              <w:wordWrap w:val="0"/>
              <w:rPr>
                <w:rFonts w:hint="eastAsia"/>
              </w:rPr>
            </w:pPr>
            <w:r>
              <w:rPr>
                <w:rFonts w:hint="eastAsia"/>
              </w:rPr>
              <w:t>净值增长率①</w:t>
            </w:r>
          </w:p>
        </w:tc>
        <w:tc>
          <w:tcPr>
            <w:tcW w:w="1239" w:type="dxa"/>
            <w:tcBorders>
              <w:top w:val="single" w:sz="8" w:space="0" w:color="000000"/>
              <w:left w:val="single" w:sz="8" w:space="0" w:color="000000"/>
              <w:bottom w:val="single" w:sz="6" w:space="0" w:color="000000"/>
              <w:right w:val="single" w:sz="8" w:space="0" w:color="000000"/>
            </w:tcBorders>
            <w:vAlign w:val="center"/>
          </w:tcPr>
          <w:p w14:paraId="095A4DD4" w14:textId="77777777" w:rsidR="009214AE" w:rsidRDefault="00C66335">
            <w:pPr>
              <w:pStyle w:val="biaogecenter"/>
              <w:wordWrap w:val="0"/>
              <w:rPr>
                <w:rFonts w:hint="eastAsia"/>
              </w:rPr>
            </w:pPr>
            <w:r>
              <w:rPr>
                <w:rFonts w:hint="eastAsia"/>
              </w:rPr>
              <w:t>净值增长率标准差②</w:t>
            </w:r>
          </w:p>
        </w:tc>
        <w:tc>
          <w:tcPr>
            <w:tcW w:w="1104" w:type="dxa"/>
            <w:tcBorders>
              <w:top w:val="single" w:sz="8" w:space="0" w:color="000000"/>
              <w:left w:val="single" w:sz="8" w:space="0" w:color="000000"/>
              <w:bottom w:val="single" w:sz="6" w:space="0" w:color="000000"/>
              <w:right w:val="single" w:sz="8" w:space="0" w:color="000000"/>
            </w:tcBorders>
            <w:vAlign w:val="center"/>
          </w:tcPr>
          <w:p w14:paraId="686867F9" w14:textId="77777777" w:rsidR="009214AE" w:rsidRDefault="00C66335">
            <w:pPr>
              <w:pStyle w:val="biaogecenter"/>
              <w:wordWrap w:val="0"/>
              <w:rPr>
                <w:rFonts w:hint="eastAsia"/>
              </w:rPr>
            </w:pPr>
            <w:r>
              <w:rPr>
                <w:rFonts w:hint="eastAsia"/>
              </w:rPr>
              <w:t>业绩比较基准收益率③</w:t>
            </w:r>
          </w:p>
        </w:tc>
        <w:tc>
          <w:tcPr>
            <w:tcW w:w="1312" w:type="dxa"/>
            <w:tcBorders>
              <w:top w:val="single" w:sz="8" w:space="0" w:color="000000"/>
              <w:left w:val="single" w:sz="8" w:space="0" w:color="000000"/>
              <w:bottom w:val="single" w:sz="6" w:space="0" w:color="000000"/>
              <w:right w:val="single" w:sz="8" w:space="0" w:color="000000"/>
            </w:tcBorders>
            <w:vAlign w:val="center"/>
          </w:tcPr>
          <w:p w14:paraId="0869B0E0" w14:textId="77777777" w:rsidR="009214AE" w:rsidRDefault="00C66335">
            <w:pPr>
              <w:pStyle w:val="biaogecenter"/>
              <w:wordWrap w:val="0"/>
              <w:rPr>
                <w:rFonts w:hint="eastAsia"/>
              </w:rPr>
            </w:pPr>
            <w:r>
              <w:rPr>
                <w:rFonts w:hint="eastAsia"/>
              </w:rPr>
              <w:t>业绩比较基准收益率标准差④</w:t>
            </w:r>
          </w:p>
        </w:tc>
        <w:tc>
          <w:tcPr>
            <w:tcW w:w="1037" w:type="dxa"/>
            <w:tcBorders>
              <w:top w:val="single" w:sz="8" w:space="0" w:color="000000"/>
              <w:left w:val="single" w:sz="8" w:space="0" w:color="000000"/>
              <w:bottom w:val="single" w:sz="6" w:space="0" w:color="000000"/>
              <w:right w:val="single" w:sz="8" w:space="0" w:color="000000"/>
            </w:tcBorders>
            <w:vAlign w:val="center"/>
          </w:tcPr>
          <w:p w14:paraId="59B326B0" w14:textId="77777777" w:rsidR="009214AE" w:rsidRDefault="00C66335">
            <w:pPr>
              <w:pStyle w:val="biaogecenter"/>
              <w:wordWrap w:val="0"/>
              <w:rPr>
                <w:rFonts w:hint="eastAsia"/>
              </w:rPr>
            </w:pPr>
            <w:r>
              <w:rPr>
                <w:rFonts w:hint="eastAsia"/>
              </w:rPr>
              <w:t>①-③</w:t>
            </w:r>
          </w:p>
        </w:tc>
        <w:tc>
          <w:tcPr>
            <w:tcW w:w="1038" w:type="dxa"/>
            <w:tcBorders>
              <w:top w:val="single" w:sz="8" w:space="0" w:color="000000"/>
              <w:left w:val="single" w:sz="8" w:space="0" w:color="000000"/>
              <w:bottom w:val="single" w:sz="6" w:space="0" w:color="000000"/>
              <w:right w:val="single" w:sz="8" w:space="0" w:color="000000"/>
            </w:tcBorders>
            <w:vAlign w:val="center"/>
          </w:tcPr>
          <w:p w14:paraId="48E0194F" w14:textId="77777777" w:rsidR="009214AE" w:rsidRDefault="00C66335">
            <w:pPr>
              <w:pStyle w:val="biaogecenter"/>
              <w:wordWrap w:val="0"/>
              <w:rPr>
                <w:rFonts w:hint="eastAsia"/>
              </w:rPr>
            </w:pPr>
            <w:r>
              <w:rPr>
                <w:rFonts w:hint="eastAsia"/>
              </w:rPr>
              <w:t>②-④</w:t>
            </w:r>
          </w:p>
        </w:tc>
      </w:tr>
      <w:tr w:rsidR="009214AE" w14:paraId="19A2B5E8" w14:textId="77777777" w:rsidTr="00181B62">
        <w:tc>
          <w:tcPr>
            <w:tcW w:w="3216" w:type="dxa"/>
            <w:tcBorders>
              <w:top w:val="single" w:sz="8" w:space="0" w:color="000000"/>
              <w:left w:val="single" w:sz="8" w:space="0" w:color="000000"/>
              <w:bottom w:val="single" w:sz="8" w:space="0" w:color="000000"/>
              <w:right w:val="single" w:sz="8" w:space="0" w:color="000000"/>
            </w:tcBorders>
            <w:vAlign w:val="center"/>
          </w:tcPr>
          <w:p w14:paraId="704E5D88" w14:textId="77777777" w:rsidR="009214AE" w:rsidRDefault="00C66335">
            <w:pPr>
              <w:pStyle w:val="biaogeleft"/>
              <w:rPr>
                <w:rFonts w:hint="eastAsia"/>
              </w:rPr>
            </w:pPr>
            <w:r>
              <w:rPr>
                <w:rFonts w:asciiTheme="minorEastAsia" w:hAnsiTheme="minorEastAsia" w:hint="eastAsia"/>
                <w:bCs/>
                <w:sz w:val="21"/>
                <w:szCs w:val="21"/>
              </w:rPr>
              <w:t>2022.5.6~2022.12.31</w:t>
            </w:r>
          </w:p>
        </w:tc>
        <w:tc>
          <w:tcPr>
            <w:tcW w:w="1238" w:type="dxa"/>
            <w:tcBorders>
              <w:top w:val="single" w:sz="8" w:space="0" w:color="000000"/>
              <w:left w:val="single" w:sz="8" w:space="0" w:color="000000"/>
              <w:bottom w:val="single" w:sz="8" w:space="0" w:color="000000"/>
              <w:right w:val="single" w:sz="8" w:space="0" w:color="000000"/>
            </w:tcBorders>
            <w:vAlign w:val="center"/>
          </w:tcPr>
          <w:p w14:paraId="096729F0" w14:textId="77777777" w:rsidR="009214AE" w:rsidRDefault="00C66335">
            <w:pPr>
              <w:pStyle w:val="biaogecenter"/>
              <w:wordWrap w:val="0"/>
              <w:rPr>
                <w:rFonts w:hint="eastAsia"/>
                <w:sz w:val="21"/>
                <w:szCs w:val="21"/>
              </w:rPr>
            </w:pPr>
            <w:r>
              <w:rPr>
                <w:rFonts w:hint="eastAsia"/>
                <w:sz w:val="21"/>
                <w:szCs w:val="21"/>
              </w:rPr>
              <w:t>-9.25%</w:t>
            </w:r>
          </w:p>
        </w:tc>
        <w:tc>
          <w:tcPr>
            <w:tcW w:w="1239" w:type="dxa"/>
            <w:tcBorders>
              <w:top w:val="single" w:sz="8" w:space="0" w:color="000000"/>
              <w:left w:val="single" w:sz="8" w:space="0" w:color="000000"/>
              <w:bottom w:val="single" w:sz="8" w:space="0" w:color="000000"/>
              <w:right w:val="single" w:sz="8" w:space="0" w:color="000000"/>
            </w:tcBorders>
            <w:vAlign w:val="center"/>
          </w:tcPr>
          <w:p w14:paraId="55C095A8" w14:textId="77777777" w:rsidR="009214AE" w:rsidRDefault="00C66335">
            <w:pPr>
              <w:pStyle w:val="biaogecenter"/>
              <w:wordWrap w:val="0"/>
              <w:rPr>
                <w:rFonts w:hint="eastAsia"/>
                <w:sz w:val="21"/>
                <w:szCs w:val="21"/>
              </w:rPr>
            </w:pPr>
            <w:r>
              <w:rPr>
                <w:rFonts w:hint="eastAsia"/>
                <w:sz w:val="21"/>
                <w:szCs w:val="21"/>
              </w:rPr>
              <w:t>0.68%</w:t>
            </w:r>
          </w:p>
        </w:tc>
        <w:tc>
          <w:tcPr>
            <w:tcW w:w="1104" w:type="dxa"/>
            <w:tcBorders>
              <w:top w:val="single" w:sz="8" w:space="0" w:color="000000"/>
              <w:left w:val="single" w:sz="8" w:space="0" w:color="000000"/>
              <w:bottom w:val="single" w:sz="8" w:space="0" w:color="000000"/>
              <w:right w:val="single" w:sz="8" w:space="0" w:color="000000"/>
            </w:tcBorders>
            <w:vAlign w:val="center"/>
          </w:tcPr>
          <w:p w14:paraId="583A3415" w14:textId="77777777" w:rsidR="009214AE" w:rsidRDefault="00C66335">
            <w:pPr>
              <w:pStyle w:val="biaogecenter"/>
              <w:wordWrap w:val="0"/>
              <w:rPr>
                <w:rFonts w:hint="eastAsia"/>
                <w:sz w:val="21"/>
                <w:szCs w:val="21"/>
              </w:rPr>
            </w:pPr>
            <w:r>
              <w:rPr>
                <w:rFonts w:hint="eastAsia"/>
                <w:sz w:val="21"/>
                <w:szCs w:val="21"/>
              </w:rPr>
              <w:t>2.46%</w:t>
            </w:r>
          </w:p>
        </w:tc>
        <w:tc>
          <w:tcPr>
            <w:tcW w:w="1312" w:type="dxa"/>
            <w:tcBorders>
              <w:top w:val="single" w:sz="8" w:space="0" w:color="000000"/>
              <w:left w:val="single" w:sz="8" w:space="0" w:color="000000"/>
              <w:bottom w:val="single" w:sz="8" w:space="0" w:color="000000"/>
              <w:right w:val="single" w:sz="8" w:space="0" w:color="000000"/>
            </w:tcBorders>
            <w:vAlign w:val="center"/>
          </w:tcPr>
          <w:p w14:paraId="4BECF29A" w14:textId="77777777" w:rsidR="009214AE" w:rsidRDefault="00C66335" w:rsidP="00CF6B6F">
            <w:pPr>
              <w:pStyle w:val="biaogecenter"/>
              <w:rPr>
                <w:rFonts w:hint="eastAsia"/>
                <w:sz w:val="21"/>
                <w:szCs w:val="21"/>
              </w:rPr>
            </w:pPr>
            <w:r>
              <w:rPr>
                <w:rFonts w:hint="eastAsia"/>
                <w:sz w:val="21"/>
                <w:szCs w:val="21"/>
              </w:rPr>
              <w:t>0.79%</w:t>
            </w:r>
          </w:p>
        </w:tc>
        <w:tc>
          <w:tcPr>
            <w:tcW w:w="1037" w:type="dxa"/>
            <w:tcBorders>
              <w:top w:val="single" w:sz="8" w:space="0" w:color="000000"/>
              <w:left w:val="single" w:sz="8" w:space="0" w:color="000000"/>
              <w:bottom w:val="single" w:sz="8" w:space="0" w:color="000000"/>
              <w:right w:val="single" w:sz="8" w:space="0" w:color="000000"/>
            </w:tcBorders>
            <w:vAlign w:val="center"/>
          </w:tcPr>
          <w:p w14:paraId="5C23EA24" w14:textId="77777777" w:rsidR="009214AE" w:rsidRDefault="00C66335">
            <w:pPr>
              <w:pStyle w:val="biaogecenter"/>
              <w:wordWrap w:val="0"/>
              <w:rPr>
                <w:rFonts w:hint="eastAsia"/>
                <w:sz w:val="21"/>
                <w:szCs w:val="21"/>
              </w:rPr>
            </w:pPr>
            <w:r>
              <w:rPr>
                <w:rFonts w:hint="eastAsia"/>
                <w:sz w:val="21"/>
                <w:szCs w:val="21"/>
              </w:rPr>
              <w:t>-11.71%</w:t>
            </w:r>
          </w:p>
        </w:tc>
        <w:tc>
          <w:tcPr>
            <w:tcW w:w="1038" w:type="dxa"/>
            <w:tcBorders>
              <w:top w:val="single" w:sz="8" w:space="0" w:color="000000"/>
              <w:left w:val="single" w:sz="8" w:space="0" w:color="000000"/>
              <w:bottom w:val="single" w:sz="8" w:space="0" w:color="000000"/>
              <w:right w:val="single" w:sz="8" w:space="0" w:color="000000"/>
            </w:tcBorders>
            <w:vAlign w:val="center"/>
          </w:tcPr>
          <w:p w14:paraId="68DA4C01" w14:textId="77777777" w:rsidR="009214AE" w:rsidRDefault="00C66335">
            <w:pPr>
              <w:pStyle w:val="biaogecenter"/>
              <w:wordWrap w:val="0"/>
              <w:rPr>
                <w:rFonts w:hint="eastAsia"/>
                <w:sz w:val="21"/>
                <w:szCs w:val="21"/>
              </w:rPr>
            </w:pPr>
            <w:r>
              <w:rPr>
                <w:rFonts w:hint="eastAsia"/>
                <w:sz w:val="21"/>
                <w:szCs w:val="21"/>
              </w:rPr>
              <w:t>-0.11%</w:t>
            </w:r>
          </w:p>
        </w:tc>
      </w:tr>
      <w:tr w:rsidR="009214AE" w14:paraId="063F6631" w14:textId="77777777" w:rsidTr="00181B62">
        <w:tc>
          <w:tcPr>
            <w:tcW w:w="3216" w:type="dxa"/>
            <w:tcBorders>
              <w:top w:val="single" w:sz="8" w:space="0" w:color="000000"/>
              <w:left w:val="single" w:sz="8" w:space="0" w:color="000000"/>
              <w:bottom w:val="single" w:sz="8" w:space="0" w:color="000000"/>
              <w:right w:val="single" w:sz="8" w:space="0" w:color="000000"/>
            </w:tcBorders>
            <w:vAlign w:val="center"/>
          </w:tcPr>
          <w:p w14:paraId="12293C35" w14:textId="77777777" w:rsidR="009214AE" w:rsidRDefault="00C66335">
            <w:pPr>
              <w:pStyle w:val="biaogeleft"/>
              <w:rPr>
                <w:rFonts w:asciiTheme="minorEastAsia" w:hAnsiTheme="minorEastAsia" w:hint="eastAsia"/>
                <w:bCs/>
                <w:sz w:val="21"/>
                <w:szCs w:val="21"/>
              </w:rPr>
            </w:pPr>
            <w:r>
              <w:rPr>
                <w:rFonts w:asciiTheme="minorEastAsia" w:hAnsiTheme="minorEastAsia" w:hint="eastAsia"/>
                <w:bCs/>
                <w:sz w:val="21"/>
                <w:szCs w:val="21"/>
              </w:rPr>
              <w:t>2023.1.1~2023.12.31</w:t>
            </w:r>
          </w:p>
        </w:tc>
        <w:tc>
          <w:tcPr>
            <w:tcW w:w="1238" w:type="dxa"/>
            <w:tcBorders>
              <w:top w:val="single" w:sz="8" w:space="0" w:color="000000"/>
              <w:left w:val="single" w:sz="8" w:space="0" w:color="000000"/>
              <w:bottom w:val="single" w:sz="8" w:space="0" w:color="000000"/>
              <w:right w:val="single" w:sz="8" w:space="0" w:color="000000"/>
            </w:tcBorders>
            <w:vAlign w:val="center"/>
          </w:tcPr>
          <w:p w14:paraId="52F77633" w14:textId="77777777" w:rsidR="009214AE" w:rsidRDefault="00C66335">
            <w:pPr>
              <w:pStyle w:val="biaogecenter"/>
              <w:wordWrap w:val="0"/>
              <w:rPr>
                <w:rFonts w:hint="eastAsia"/>
                <w:sz w:val="21"/>
                <w:szCs w:val="21"/>
              </w:rPr>
            </w:pPr>
            <w:r>
              <w:rPr>
                <w:rFonts w:hAnsi="等线"/>
                <w:color w:val="000000"/>
                <w:sz w:val="21"/>
                <w:szCs w:val="21"/>
              </w:rPr>
              <w:t>-13.82%</w:t>
            </w:r>
          </w:p>
        </w:tc>
        <w:tc>
          <w:tcPr>
            <w:tcW w:w="1239" w:type="dxa"/>
            <w:tcBorders>
              <w:top w:val="single" w:sz="8" w:space="0" w:color="000000"/>
              <w:left w:val="single" w:sz="8" w:space="0" w:color="000000"/>
              <w:bottom w:val="single" w:sz="8" w:space="0" w:color="000000"/>
              <w:right w:val="single" w:sz="8" w:space="0" w:color="000000"/>
            </w:tcBorders>
            <w:vAlign w:val="center"/>
          </w:tcPr>
          <w:p w14:paraId="7A7E5E29" w14:textId="77777777" w:rsidR="009214AE" w:rsidRDefault="00C66335">
            <w:pPr>
              <w:pStyle w:val="biaogecenter"/>
              <w:wordWrap w:val="0"/>
              <w:rPr>
                <w:rFonts w:hint="eastAsia"/>
                <w:sz w:val="21"/>
                <w:szCs w:val="21"/>
              </w:rPr>
            </w:pPr>
            <w:r>
              <w:rPr>
                <w:rFonts w:hAnsi="等线"/>
                <w:color w:val="000000"/>
                <w:sz w:val="21"/>
                <w:szCs w:val="21"/>
              </w:rPr>
              <w:t>0.76%</w:t>
            </w:r>
          </w:p>
        </w:tc>
        <w:tc>
          <w:tcPr>
            <w:tcW w:w="1104" w:type="dxa"/>
            <w:tcBorders>
              <w:top w:val="single" w:sz="8" w:space="0" w:color="000000"/>
              <w:left w:val="single" w:sz="8" w:space="0" w:color="000000"/>
              <w:bottom w:val="single" w:sz="8" w:space="0" w:color="000000"/>
              <w:right w:val="single" w:sz="8" w:space="0" w:color="000000"/>
            </w:tcBorders>
            <w:vAlign w:val="center"/>
          </w:tcPr>
          <w:p w14:paraId="5CEF50B7" w14:textId="77777777" w:rsidR="009214AE" w:rsidRDefault="00C66335">
            <w:pPr>
              <w:pStyle w:val="biaogecenter"/>
              <w:wordWrap w:val="0"/>
              <w:rPr>
                <w:rFonts w:hint="eastAsia"/>
                <w:sz w:val="21"/>
                <w:szCs w:val="21"/>
              </w:rPr>
            </w:pPr>
            <w:r>
              <w:rPr>
                <w:rFonts w:hAnsi="等线"/>
                <w:color w:val="000000"/>
                <w:sz w:val="21"/>
                <w:szCs w:val="21"/>
              </w:rPr>
              <w:t>-4.50%</w:t>
            </w:r>
          </w:p>
        </w:tc>
        <w:tc>
          <w:tcPr>
            <w:tcW w:w="1312" w:type="dxa"/>
            <w:tcBorders>
              <w:top w:val="single" w:sz="8" w:space="0" w:color="000000"/>
              <w:left w:val="single" w:sz="8" w:space="0" w:color="000000"/>
              <w:bottom w:val="single" w:sz="8" w:space="0" w:color="000000"/>
              <w:right w:val="single" w:sz="8" w:space="0" w:color="000000"/>
            </w:tcBorders>
            <w:vAlign w:val="center"/>
          </w:tcPr>
          <w:p w14:paraId="63F86634" w14:textId="77777777" w:rsidR="009214AE" w:rsidRDefault="00C66335" w:rsidP="00CF6B6F">
            <w:pPr>
              <w:pStyle w:val="biaogecenter"/>
              <w:wordWrap w:val="0"/>
              <w:rPr>
                <w:rFonts w:hint="eastAsia"/>
                <w:sz w:val="21"/>
                <w:szCs w:val="21"/>
              </w:rPr>
            </w:pPr>
            <w:r>
              <w:rPr>
                <w:rFonts w:hAnsi="等线"/>
                <w:color w:val="000000"/>
                <w:sz w:val="21"/>
                <w:szCs w:val="21"/>
              </w:rPr>
              <w:t>0.57%</w:t>
            </w:r>
          </w:p>
        </w:tc>
        <w:tc>
          <w:tcPr>
            <w:tcW w:w="1037" w:type="dxa"/>
            <w:tcBorders>
              <w:top w:val="single" w:sz="8" w:space="0" w:color="000000"/>
              <w:left w:val="single" w:sz="8" w:space="0" w:color="000000"/>
              <w:bottom w:val="single" w:sz="8" w:space="0" w:color="000000"/>
              <w:right w:val="single" w:sz="8" w:space="0" w:color="000000"/>
            </w:tcBorders>
            <w:vAlign w:val="center"/>
          </w:tcPr>
          <w:p w14:paraId="4B75BE0B" w14:textId="77777777" w:rsidR="009214AE" w:rsidRDefault="00C66335">
            <w:pPr>
              <w:pStyle w:val="biaogecenter"/>
              <w:wordWrap w:val="0"/>
              <w:rPr>
                <w:rFonts w:hint="eastAsia"/>
                <w:sz w:val="21"/>
                <w:szCs w:val="21"/>
              </w:rPr>
            </w:pPr>
            <w:r>
              <w:rPr>
                <w:rFonts w:hAnsi="等线"/>
                <w:color w:val="000000"/>
                <w:sz w:val="21"/>
                <w:szCs w:val="21"/>
              </w:rPr>
              <w:t>-9.32%</w:t>
            </w:r>
          </w:p>
        </w:tc>
        <w:tc>
          <w:tcPr>
            <w:tcW w:w="1038" w:type="dxa"/>
            <w:tcBorders>
              <w:top w:val="single" w:sz="8" w:space="0" w:color="000000"/>
              <w:left w:val="single" w:sz="8" w:space="0" w:color="000000"/>
              <w:bottom w:val="single" w:sz="8" w:space="0" w:color="000000"/>
              <w:right w:val="single" w:sz="8" w:space="0" w:color="000000"/>
            </w:tcBorders>
            <w:vAlign w:val="center"/>
          </w:tcPr>
          <w:p w14:paraId="7F088E13" w14:textId="77777777" w:rsidR="009214AE" w:rsidRDefault="00C66335">
            <w:pPr>
              <w:pStyle w:val="biaogecenter"/>
              <w:wordWrap w:val="0"/>
              <w:rPr>
                <w:rFonts w:hint="eastAsia"/>
                <w:sz w:val="21"/>
                <w:szCs w:val="21"/>
              </w:rPr>
            </w:pPr>
            <w:r>
              <w:rPr>
                <w:rFonts w:hAnsi="等线"/>
                <w:color w:val="000000"/>
                <w:sz w:val="21"/>
                <w:szCs w:val="21"/>
              </w:rPr>
              <w:t>0.19%</w:t>
            </w:r>
          </w:p>
        </w:tc>
      </w:tr>
      <w:tr w:rsidR="001E7F72" w14:paraId="0B04AD63" w14:textId="77777777" w:rsidTr="00181B62">
        <w:tc>
          <w:tcPr>
            <w:tcW w:w="3216" w:type="dxa"/>
            <w:tcBorders>
              <w:top w:val="single" w:sz="8" w:space="0" w:color="000000"/>
              <w:left w:val="single" w:sz="8" w:space="0" w:color="000000"/>
              <w:bottom w:val="single" w:sz="8" w:space="0" w:color="000000"/>
              <w:right w:val="single" w:sz="8" w:space="0" w:color="000000"/>
            </w:tcBorders>
            <w:vAlign w:val="center"/>
          </w:tcPr>
          <w:p w14:paraId="0C845D04" w14:textId="461E49E5" w:rsidR="001E7F72" w:rsidRDefault="001E7F72" w:rsidP="001E7F72">
            <w:pPr>
              <w:pStyle w:val="biaogeleft"/>
              <w:rPr>
                <w:rFonts w:asciiTheme="minorEastAsia" w:hAnsiTheme="minorEastAsia" w:hint="eastAsia"/>
                <w:bCs/>
                <w:sz w:val="21"/>
                <w:szCs w:val="21"/>
              </w:rPr>
            </w:pPr>
            <w:r w:rsidRPr="004433C8">
              <w:rPr>
                <w:rFonts w:asciiTheme="minorEastAsia" w:hAnsiTheme="minorEastAsia"/>
                <w:bCs/>
                <w:sz w:val="21"/>
                <w:szCs w:val="21"/>
              </w:rPr>
              <w:t>2024.1.1~2024.12.31</w:t>
            </w:r>
          </w:p>
        </w:tc>
        <w:tc>
          <w:tcPr>
            <w:tcW w:w="1238" w:type="dxa"/>
            <w:tcBorders>
              <w:top w:val="single" w:sz="8" w:space="0" w:color="000000"/>
              <w:left w:val="single" w:sz="8" w:space="0" w:color="000000"/>
              <w:bottom w:val="single" w:sz="8" w:space="0" w:color="000000"/>
              <w:right w:val="single" w:sz="8" w:space="0" w:color="000000"/>
            </w:tcBorders>
            <w:vAlign w:val="center"/>
          </w:tcPr>
          <w:p w14:paraId="4CF125D0" w14:textId="1305A685" w:rsidR="001E7F72" w:rsidRDefault="001E7F72" w:rsidP="001E7F72">
            <w:pPr>
              <w:pStyle w:val="biaogecenter"/>
              <w:wordWrap w:val="0"/>
              <w:rPr>
                <w:rFonts w:hAnsi="等线" w:hint="eastAsia"/>
                <w:color w:val="000000"/>
                <w:sz w:val="21"/>
                <w:szCs w:val="21"/>
              </w:rPr>
            </w:pPr>
            <w:r w:rsidRPr="004433C8">
              <w:rPr>
                <w:rFonts w:asciiTheme="minorEastAsia" w:hAnsiTheme="minorEastAsia"/>
                <w:bCs/>
                <w:sz w:val="21"/>
                <w:szCs w:val="21"/>
              </w:rPr>
              <w:t>4.18%</w:t>
            </w:r>
          </w:p>
        </w:tc>
        <w:tc>
          <w:tcPr>
            <w:tcW w:w="1239" w:type="dxa"/>
            <w:tcBorders>
              <w:top w:val="single" w:sz="8" w:space="0" w:color="000000"/>
              <w:left w:val="single" w:sz="8" w:space="0" w:color="000000"/>
              <w:bottom w:val="single" w:sz="8" w:space="0" w:color="000000"/>
              <w:right w:val="single" w:sz="8" w:space="0" w:color="000000"/>
            </w:tcBorders>
            <w:vAlign w:val="center"/>
          </w:tcPr>
          <w:p w14:paraId="5A4481B7" w14:textId="5AD1E500" w:rsidR="001E7F72" w:rsidRDefault="001E7F72" w:rsidP="001E7F72">
            <w:pPr>
              <w:pStyle w:val="biaogecenter"/>
              <w:wordWrap w:val="0"/>
              <w:rPr>
                <w:rFonts w:hAnsi="等线" w:hint="eastAsia"/>
                <w:color w:val="000000"/>
                <w:sz w:val="21"/>
                <w:szCs w:val="21"/>
              </w:rPr>
            </w:pPr>
            <w:r w:rsidRPr="004433C8">
              <w:rPr>
                <w:rFonts w:asciiTheme="minorEastAsia" w:hAnsiTheme="minorEastAsia"/>
                <w:bCs/>
                <w:sz w:val="21"/>
                <w:szCs w:val="21"/>
              </w:rPr>
              <w:t>1.75%</w:t>
            </w:r>
          </w:p>
        </w:tc>
        <w:tc>
          <w:tcPr>
            <w:tcW w:w="1104" w:type="dxa"/>
            <w:tcBorders>
              <w:top w:val="single" w:sz="8" w:space="0" w:color="000000"/>
              <w:left w:val="single" w:sz="8" w:space="0" w:color="000000"/>
              <w:bottom w:val="single" w:sz="8" w:space="0" w:color="000000"/>
              <w:right w:val="single" w:sz="8" w:space="0" w:color="000000"/>
            </w:tcBorders>
            <w:vAlign w:val="center"/>
          </w:tcPr>
          <w:p w14:paraId="11312B91" w14:textId="414B230B" w:rsidR="001E7F72" w:rsidRDefault="001E7F72" w:rsidP="001E7F72">
            <w:pPr>
              <w:pStyle w:val="biaogecenter"/>
              <w:wordWrap w:val="0"/>
              <w:rPr>
                <w:rFonts w:hAnsi="等线" w:hint="eastAsia"/>
                <w:color w:val="000000"/>
                <w:sz w:val="21"/>
                <w:szCs w:val="21"/>
              </w:rPr>
            </w:pPr>
            <w:r w:rsidRPr="004433C8">
              <w:rPr>
                <w:rFonts w:asciiTheme="minorEastAsia" w:hAnsiTheme="minorEastAsia"/>
                <w:bCs/>
                <w:sz w:val="21"/>
                <w:szCs w:val="21"/>
              </w:rPr>
              <w:t>6.22%</w:t>
            </w:r>
          </w:p>
        </w:tc>
        <w:tc>
          <w:tcPr>
            <w:tcW w:w="1312" w:type="dxa"/>
            <w:tcBorders>
              <w:top w:val="single" w:sz="8" w:space="0" w:color="000000"/>
              <w:left w:val="single" w:sz="8" w:space="0" w:color="000000"/>
              <w:bottom w:val="single" w:sz="8" w:space="0" w:color="000000"/>
              <w:right w:val="single" w:sz="8" w:space="0" w:color="000000"/>
            </w:tcBorders>
            <w:vAlign w:val="center"/>
          </w:tcPr>
          <w:p w14:paraId="2661043D" w14:textId="7A8C2200" w:rsidR="001E7F72" w:rsidRDefault="001E7F72" w:rsidP="00CF6B6F">
            <w:pPr>
              <w:pStyle w:val="biaogecenter"/>
              <w:wordWrap w:val="0"/>
              <w:rPr>
                <w:rFonts w:hAnsi="等线" w:hint="eastAsia"/>
                <w:color w:val="000000"/>
                <w:sz w:val="21"/>
                <w:szCs w:val="21"/>
              </w:rPr>
            </w:pPr>
            <w:r w:rsidRPr="004433C8">
              <w:rPr>
                <w:rFonts w:asciiTheme="minorEastAsia" w:hAnsiTheme="minorEastAsia"/>
                <w:bCs/>
                <w:sz w:val="21"/>
                <w:szCs w:val="21"/>
              </w:rPr>
              <w:t>1.27%</w:t>
            </w:r>
          </w:p>
        </w:tc>
        <w:tc>
          <w:tcPr>
            <w:tcW w:w="1037" w:type="dxa"/>
            <w:tcBorders>
              <w:top w:val="single" w:sz="8" w:space="0" w:color="000000"/>
              <w:left w:val="single" w:sz="8" w:space="0" w:color="000000"/>
              <w:bottom w:val="single" w:sz="8" w:space="0" w:color="000000"/>
              <w:right w:val="single" w:sz="8" w:space="0" w:color="000000"/>
            </w:tcBorders>
            <w:vAlign w:val="center"/>
          </w:tcPr>
          <w:p w14:paraId="72EC523A" w14:textId="6D01655D" w:rsidR="001E7F72" w:rsidRDefault="001E7F72" w:rsidP="001E7F72">
            <w:pPr>
              <w:pStyle w:val="biaogecenter"/>
              <w:wordWrap w:val="0"/>
              <w:rPr>
                <w:rFonts w:hAnsi="等线" w:hint="eastAsia"/>
                <w:color w:val="000000"/>
                <w:sz w:val="21"/>
                <w:szCs w:val="21"/>
              </w:rPr>
            </w:pPr>
            <w:r w:rsidRPr="004433C8">
              <w:rPr>
                <w:rFonts w:asciiTheme="minorEastAsia" w:hAnsiTheme="minorEastAsia"/>
                <w:bCs/>
                <w:sz w:val="21"/>
                <w:szCs w:val="21"/>
              </w:rPr>
              <w:t>-2.04%</w:t>
            </w:r>
          </w:p>
        </w:tc>
        <w:tc>
          <w:tcPr>
            <w:tcW w:w="1038" w:type="dxa"/>
            <w:tcBorders>
              <w:top w:val="single" w:sz="8" w:space="0" w:color="000000"/>
              <w:left w:val="single" w:sz="8" w:space="0" w:color="000000"/>
              <w:bottom w:val="single" w:sz="8" w:space="0" w:color="000000"/>
              <w:right w:val="single" w:sz="8" w:space="0" w:color="000000"/>
            </w:tcBorders>
            <w:vAlign w:val="center"/>
          </w:tcPr>
          <w:p w14:paraId="6F1B7281" w14:textId="699A9B4A" w:rsidR="001E7F72" w:rsidRDefault="001E7F72" w:rsidP="001E7F72">
            <w:pPr>
              <w:pStyle w:val="biaogecenter"/>
              <w:wordWrap w:val="0"/>
              <w:rPr>
                <w:rFonts w:hAnsi="等线" w:hint="eastAsia"/>
                <w:color w:val="000000"/>
                <w:sz w:val="21"/>
                <w:szCs w:val="21"/>
              </w:rPr>
            </w:pPr>
            <w:r w:rsidRPr="004433C8">
              <w:rPr>
                <w:rFonts w:asciiTheme="minorEastAsia" w:hAnsiTheme="minorEastAsia"/>
                <w:bCs/>
                <w:sz w:val="21"/>
                <w:szCs w:val="21"/>
              </w:rPr>
              <w:t>0.48%</w:t>
            </w:r>
          </w:p>
        </w:tc>
      </w:tr>
      <w:tr w:rsidR="001E7F72" w14:paraId="73E85A34" w14:textId="77777777" w:rsidTr="00181B62">
        <w:tc>
          <w:tcPr>
            <w:tcW w:w="3216" w:type="dxa"/>
            <w:tcBorders>
              <w:top w:val="single" w:sz="8" w:space="0" w:color="000000"/>
              <w:left w:val="single" w:sz="8" w:space="0" w:color="000000"/>
              <w:bottom w:val="single" w:sz="6" w:space="0" w:color="000000"/>
              <w:right w:val="single" w:sz="8" w:space="0" w:color="000000"/>
            </w:tcBorders>
            <w:vAlign w:val="center"/>
          </w:tcPr>
          <w:p w14:paraId="49401FDF" w14:textId="5F516630" w:rsidR="001E7F72" w:rsidRDefault="001E7F72" w:rsidP="001E7F72">
            <w:pPr>
              <w:pStyle w:val="biaogeleft"/>
              <w:wordWrap w:val="0"/>
              <w:rPr>
                <w:rFonts w:asciiTheme="minorEastAsia" w:hAnsiTheme="minorEastAsia" w:hint="eastAsia"/>
                <w:bCs/>
                <w:sz w:val="21"/>
                <w:szCs w:val="21"/>
              </w:rPr>
            </w:pPr>
            <w:r>
              <w:rPr>
                <w:rFonts w:asciiTheme="minorEastAsia" w:hAnsiTheme="minorEastAsia" w:hint="eastAsia"/>
                <w:bCs/>
                <w:sz w:val="21"/>
                <w:szCs w:val="21"/>
              </w:rPr>
              <w:t>自基金合同生效日至2024.12.31</w:t>
            </w:r>
          </w:p>
        </w:tc>
        <w:tc>
          <w:tcPr>
            <w:tcW w:w="1238" w:type="dxa"/>
            <w:tcBorders>
              <w:top w:val="single" w:sz="8" w:space="0" w:color="000000"/>
              <w:left w:val="single" w:sz="8" w:space="0" w:color="000000"/>
              <w:bottom w:val="single" w:sz="6" w:space="0" w:color="000000"/>
              <w:right w:val="single" w:sz="8" w:space="0" w:color="000000"/>
            </w:tcBorders>
            <w:vAlign w:val="center"/>
          </w:tcPr>
          <w:p w14:paraId="3C137F16" w14:textId="50CA1814" w:rsidR="001E7F72" w:rsidRDefault="001E7F72" w:rsidP="001E7F72">
            <w:pPr>
              <w:pStyle w:val="biaogecenter"/>
              <w:wordWrap w:val="0"/>
              <w:rPr>
                <w:rFonts w:asciiTheme="minorEastAsia" w:hAnsiTheme="minorEastAsia" w:hint="eastAsia"/>
                <w:bCs/>
                <w:sz w:val="21"/>
                <w:szCs w:val="21"/>
              </w:rPr>
            </w:pPr>
            <w:r w:rsidRPr="004433C8">
              <w:rPr>
                <w:rFonts w:asciiTheme="minorEastAsia" w:hAnsiTheme="minorEastAsia"/>
                <w:bCs/>
                <w:sz w:val="21"/>
                <w:szCs w:val="21"/>
              </w:rPr>
              <w:t>-18.52%</w:t>
            </w:r>
          </w:p>
        </w:tc>
        <w:tc>
          <w:tcPr>
            <w:tcW w:w="1239" w:type="dxa"/>
            <w:tcBorders>
              <w:top w:val="single" w:sz="8" w:space="0" w:color="000000"/>
              <w:left w:val="single" w:sz="8" w:space="0" w:color="000000"/>
              <w:bottom w:val="single" w:sz="6" w:space="0" w:color="000000"/>
              <w:right w:val="single" w:sz="8" w:space="0" w:color="000000"/>
            </w:tcBorders>
            <w:vAlign w:val="center"/>
          </w:tcPr>
          <w:p w14:paraId="52FF36FF" w14:textId="740A8C88" w:rsidR="001E7F72" w:rsidRDefault="001E7F72" w:rsidP="001E7F72">
            <w:pPr>
              <w:pStyle w:val="biaogecenter"/>
              <w:wordWrap w:val="0"/>
              <w:rPr>
                <w:rFonts w:asciiTheme="minorEastAsia" w:hAnsiTheme="minorEastAsia" w:hint="eastAsia"/>
                <w:bCs/>
                <w:sz w:val="21"/>
                <w:szCs w:val="21"/>
              </w:rPr>
            </w:pPr>
            <w:r w:rsidRPr="004433C8">
              <w:rPr>
                <w:rFonts w:asciiTheme="minorEastAsia" w:hAnsiTheme="minorEastAsia"/>
                <w:bCs/>
                <w:sz w:val="21"/>
                <w:szCs w:val="21"/>
              </w:rPr>
              <w:t>1.22%</w:t>
            </w:r>
          </w:p>
        </w:tc>
        <w:tc>
          <w:tcPr>
            <w:tcW w:w="1104" w:type="dxa"/>
            <w:tcBorders>
              <w:top w:val="single" w:sz="8" w:space="0" w:color="000000"/>
              <w:left w:val="single" w:sz="8" w:space="0" w:color="000000"/>
              <w:bottom w:val="single" w:sz="6" w:space="0" w:color="000000"/>
              <w:right w:val="single" w:sz="8" w:space="0" w:color="000000"/>
            </w:tcBorders>
            <w:vAlign w:val="center"/>
          </w:tcPr>
          <w:p w14:paraId="23EDC3D5" w14:textId="53BE325E" w:rsidR="001E7F72" w:rsidRDefault="001E7F72" w:rsidP="001E7F72">
            <w:pPr>
              <w:pStyle w:val="biaogecenter"/>
              <w:wordWrap w:val="0"/>
              <w:ind w:left="0"/>
              <w:rPr>
                <w:rFonts w:asciiTheme="minorEastAsia" w:hAnsiTheme="minorEastAsia" w:hint="eastAsia"/>
                <w:bCs/>
                <w:sz w:val="21"/>
                <w:szCs w:val="21"/>
              </w:rPr>
            </w:pPr>
            <w:r w:rsidRPr="004433C8">
              <w:rPr>
                <w:rFonts w:asciiTheme="minorEastAsia" w:hAnsiTheme="minorEastAsia"/>
                <w:bCs/>
                <w:sz w:val="21"/>
                <w:szCs w:val="21"/>
              </w:rPr>
              <w:t>3.93%</w:t>
            </w:r>
          </w:p>
        </w:tc>
        <w:tc>
          <w:tcPr>
            <w:tcW w:w="1312" w:type="dxa"/>
            <w:tcBorders>
              <w:top w:val="single" w:sz="8" w:space="0" w:color="000000"/>
              <w:left w:val="single" w:sz="8" w:space="0" w:color="000000"/>
              <w:bottom w:val="single" w:sz="6" w:space="0" w:color="000000"/>
              <w:right w:val="single" w:sz="8" w:space="0" w:color="000000"/>
            </w:tcBorders>
            <w:vAlign w:val="center"/>
          </w:tcPr>
          <w:p w14:paraId="737E8B22" w14:textId="429F2ED1" w:rsidR="001E7F72" w:rsidRDefault="001E7F72" w:rsidP="00CF6B6F">
            <w:pPr>
              <w:pStyle w:val="biaogecenter"/>
              <w:wordWrap w:val="0"/>
              <w:rPr>
                <w:rFonts w:asciiTheme="minorEastAsia" w:hAnsiTheme="minorEastAsia" w:hint="eastAsia"/>
                <w:bCs/>
                <w:sz w:val="21"/>
                <w:szCs w:val="21"/>
              </w:rPr>
            </w:pPr>
            <w:r w:rsidRPr="004433C8">
              <w:rPr>
                <w:rFonts w:asciiTheme="minorEastAsia" w:hAnsiTheme="minorEastAsia"/>
                <w:bCs/>
                <w:sz w:val="21"/>
                <w:szCs w:val="21"/>
              </w:rPr>
              <w:t>0.94%</w:t>
            </w:r>
          </w:p>
        </w:tc>
        <w:tc>
          <w:tcPr>
            <w:tcW w:w="1037" w:type="dxa"/>
            <w:tcBorders>
              <w:top w:val="single" w:sz="8" w:space="0" w:color="000000"/>
              <w:left w:val="single" w:sz="8" w:space="0" w:color="000000"/>
              <w:bottom w:val="single" w:sz="6" w:space="0" w:color="000000"/>
              <w:right w:val="single" w:sz="8" w:space="0" w:color="000000"/>
            </w:tcBorders>
            <w:vAlign w:val="center"/>
          </w:tcPr>
          <w:p w14:paraId="58AC7F80" w14:textId="6FD3ECA0" w:rsidR="001E7F72" w:rsidRDefault="001E7F72" w:rsidP="001E7F72">
            <w:pPr>
              <w:pStyle w:val="biaogecenter"/>
              <w:wordWrap w:val="0"/>
              <w:rPr>
                <w:rFonts w:asciiTheme="minorEastAsia" w:hAnsiTheme="minorEastAsia" w:hint="eastAsia"/>
                <w:bCs/>
                <w:sz w:val="21"/>
                <w:szCs w:val="21"/>
              </w:rPr>
            </w:pPr>
            <w:r w:rsidRPr="004433C8">
              <w:rPr>
                <w:rFonts w:asciiTheme="minorEastAsia" w:hAnsiTheme="minorEastAsia"/>
                <w:bCs/>
                <w:sz w:val="21"/>
                <w:szCs w:val="21"/>
              </w:rPr>
              <w:t>-22.45%</w:t>
            </w:r>
          </w:p>
        </w:tc>
        <w:tc>
          <w:tcPr>
            <w:tcW w:w="1038" w:type="dxa"/>
            <w:tcBorders>
              <w:top w:val="single" w:sz="8" w:space="0" w:color="000000"/>
              <w:left w:val="single" w:sz="8" w:space="0" w:color="000000"/>
              <w:bottom w:val="single" w:sz="6" w:space="0" w:color="000000"/>
              <w:right w:val="single" w:sz="8" w:space="0" w:color="000000"/>
            </w:tcBorders>
            <w:vAlign w:val="center"/>
          </w:tcPr>
          <w:p w14:paraId="6CA43DEB" w14:textId="3029BB20" w:rsidR="001E7F72" w:rsidRDefault="001E7F72" w:rsidP="001E7F72">
            <w:pPr>
              <w:pStyle w:val="biaogecenter"/>
              <w:wordWrap w:val="0"/>
              <w:rPr>
                <w:rFonts w:asciiTheme="minorEastAsia" w:hAnsiTheme="minorEastAsia" w:hint="eastAsia"/>
                <w:bCs/>
                <w:sz w:val="21"/>
                <w:szCs w:val="21"/>
              </w:rPr>
            </w:pPr>
            <w:r w:rsidRPr="004433C8">
              <w:rPr>
                <w:rFonts w:asciiTheme="minorEastAsia" w:hAnsiTheme="minorEastAsia"/>
                <w:bCs/>
                <w:sz w:val="21"/>
                <w:szCs w:val="21"/>
              </w:rPr>
              <w:t>0.28%</w:t>
            </w:r>
          </w:p>
        </w:tc>
      </w:tr>
    </w:tbl>
    <w:p w14:paraId="33D96438" w14:textId="77777777" w:rsidR="009214AE" w:rsidRDefault="00C66335">
      <w:pPr>
        <w:autoSpaceDE w:val="0"/>
        <w:autoSpaceDN w:val="0"/>
        <w:spacing w:line="360" w:lineRule="auto"/>
        <w:ind w:firstLineChars="200" w:firstLine="480"/>
        <w:textAlignment w:val="bottom"/>
        <w:rPr>
          <w:rFonts w:ascii="宋体" w:eastAsia="宋体" w:hAnsi="宋体" w:cs="宋体" w:hint="eastAsia"/>
          <w:kern w:val="0"/>
          <w:sz w:val="24"/>
          <w:szCs w:val="24"/>
        </w:rPr>
      </w:pPr>
      <w:r>
        <w:rPr>
          <w:rFonts w:ascii="宋体" w:eastAsia="宋体" w:hAnsi="宋体" w:cs="宋体" w:hint="eastAsia"/>
          <w:kern w:val="0"/>
          <w:sz w:val="24"/>
          <w:szCs w:val="24"/>
        </w:rPr>
        <w:t>注：本基金的业绩比较基准为：中证500指数收益率×70%+中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指数收益率×30%</w:t>
      </w:r>
    </w:p>
    <w:p w14:paraId="35E67E67" w14:textId="77777777" w:rsidR="009214AE" w:rsidRDefault="00C66335">
      <w:pPr>
        <w:pStyle w:val="zhangjiep2"/>
        <w:ind w:firstLine="422"/>
        <w:rPr>
          <w:rFonts w:hint="eastAsia"/>
        </w:rPr>
      </w:pPr>
      <w:r>
        <w:rPr>
          <w:rFonts w:hAnsi="等线" w:hint="eastAsia"/>
          <w:b/>
          <w:color w:val="000000"/>
        </w:rPr>
        <w:t>2、自基金合同生效以来基金累计净值增长率变动及其与同期业绩比较基准收益率变动的比较</w:t>
      </w:r>
    </w:p>
    <w:p w14:paraId="668C08E3" w14:textId="4BFC7DFC" w:rsidR="009214AE" w:rsidRDefault="001E7F72">
      <w:pPr>
        <w:autoSpaceDE w:val="0"/>
        <w:autoSpaceDN w:val="0"/>
        <w:spacing w:line="360" w:lineRule="auto"/>
        <w:ind w:firstLineChars="200" w:firstLine="420"/>
        <w:textAlignment w:val="bottom"/>
        <w:rPr>
          <w:rFonts w:asciiTheme="minorEastAsia" w:hAnsiTheme="minorEastAsia" w:hint="eastAsia"/>
          <w:b/>
          <w:sz w:val="24"/>
          <w:szCs w:val="24"/>
        </w:rPr>
      </w:pPr>
      <w:r>
        <w:rPr>
          <w:rFonts w:hAnsi="Calibri"/>
          <w:noProof/>
          <w:color w:val="000000"/>
        </w:rPr>
        <w:lastRenderedPageBreak/>
        <w:drawing>
          <wp:inline distT="0" distB="0" distL="0" distR="0" wp14:anchorId="476F7497" wp14:editId="594A4B42">
            <wp:extent cx="5274310" cy="3430905"/>
            <wp:effectExtent l="0" t="0" r="2540" b="0"/>
            <wp:docPr id="1" name="图片 1" descr="说明: D:\GZ\Bin\Bin\MOD\TMP\CN_51130000_014556_FB030040_20250001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GZ\Bin\Bin\MOD\TMP\CN_51130000_014556_FB030040_20250001_2.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274310" cy="3430905"/>
                    </a:xfrm>
                    <a:prstGeom prst="rect">
                      <a:avLst/>
                    </a:prstGeom>
                    <a:noFill/>
                    <a:ln>
                      <a:noFill/>
                    </a:ln>
                  </pic:spPr>
                </pic:pic>
              </a:graphicData>
            </a:graphic>
          </wp:inline>
        </w:drawing>
      </w:r>
    </w:p>
    <w:p w14:paraId="253DD3A5" w14:textId="307A11B4" w:rsidR="009214AE" w:rsidRDefault="001E7F72">
      <w:pPr>
        <w:autoSpaceDE w:val="0"/>
        <w:autoSpaceDN w:val="0"/>
        <w:spacing w:line="360" w:lineRule="auto"/>
        <w:ind w:firstLineChars="200" w:firstLine="420"/>
        <w:textAlignment w:val="bottom"/>
        <w:rPr>
          <w:rFonts w:asciiTheme="minorEastAsia" w:hAnsiTheme="minorEastAsia" w:hint="eastAsia"/>
          <w:b/>
          <w:sz w:val="24"/>
          <w:szCs w:val="24"/>
        </w:rPr>
      </w:pPr>
      <w:r>
        <w:rPr>
          <w:rFonts w:hAnsi="Calibri"/>
          <w:noProof/>
          <w:color w:val="000000"/>
        </w:rPr>
        <w:drawing>
          <wp:inline distT="0" distB="0" distL="0" distR="0" wp14:anchorId="0783EE98" wp14:editId="50675021">
            <wp:extent cx="5274310" cy="3421380"/>
            <wp:effectExtent l="0" t="0" r="2540" b="7620"/>
            <wp:docPr id="2" name="图片 2" descr="说明: D:\GZ\Bin\Bin\MOD\TMP\CN_51130000_014556_FB030040_20250001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GZ\Bin\Bin\MOD\TMP\CN_51130000_014556_FB030040_20250001_3.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274310" cy="3421380"/>
                    </a:xfrm>
                    <a:prstGeom prst="rect">
                      <a:avLst/>
                    </a:prstGeom>
                    <a:noFill/>
                    <a:ln>
                      <a:noFill/>
                    </a:ln>
                  </pic:spPr>
                </pic:pic>
              </a:graphicData>
            </a:graphic>
          </wp:inline>
        </w:drawing>
      </w:r>
    </w:p>
    <w:p w14:paraId="4FED18FD" w14:textId="77777777" w:rsidR="009214AE" w:rsidRDefault="00C66335">
      <w:pPr>
        <w:autoSpaceDE w:val="0"/>
        <w:autoSpaceDN w:val="0"/>
        <w:spacing w:line="360" w:lineRule="auto"/>
        <w:ind w:firstLineChars="200" w:firstLine="480"/>
        <w:textAlignment w:val="bottom"/>
        <w:rPr>
          <w:rFonts w:asciiTheme="minorEastAsia" w:hAnsiTheme="minorEastAsia" w:hint="eastAsia"/>
          <w:b/>
          <w:sz w:val="24"/>
          <w:szCs w:val="24"/>
        </w:rPr>
      </w:pPr>
      <w:r>
        <w:rPr>
          <w:rFonts w:ascii="宋体" w:eastAsia="宋体" w:hAnsi="宋体" w:cs="宋体" w:hint="eastAsia"/>
          <w:kern w:val="0"/>
          <w:sz w:val="24"/>
          <w:szCs w:val="24"/>
        </w:rPr>
        <w:t>注：本基金建仓期为6个月，建仓期结束时各项资产配置比例符合合同约定。</w:t>
      </w:r>
    </w:p>
    <w:p w14:paraId="55E476A7" w14:textId="77777777" w:rsidR="009214AE" w:rsidRDefault="009214AE">
      <w:pPr>
        <w:autoSpaceDE w:val="0"/>
        <w:autoSpaceDN w:val="0"/>
        <w:spacing w:line="360" w:lineRule="auto"/>
        <w:ind w:firstLineChars="200" w:firstLine="482"/>
        <w:textAlignment w:val="bottom"/>
        <w:rPr>
          <w:rFonts w:asciiTheme="minorEastAsia" w:hAnsiTheme="minorEastAsia" w:hint="eastAsia"/>
          <w:b/>
          <w:sz w:val="24"/>
          <w:szCs w:val="24"/>
        </w:rPr>
      </w:pPr>
    </w:p>
    <w:p w14:paraId="38A8CF37" w14:textId="77777777" w:rsidR="009214AE" w:rsidRDefault="00C66335">
      <w:pPr>
        <w:autoSpaceDE w:val="0"/>
        <w:autoSpaceDN w:val="0"/>
        <w:spacing w:line="360" w:lineRule="auto"/>
        <w:textAlignment w:val="bottom"/>
        <w:rPr>
          <w:rFonts w:asciiTheme="minorEastAsia" w:hAnsiTheme="minorEastAsia" w:hint="eastAsia"/>
          <w:bCs/>
          <w:sz w:val="24"/>
          <w:szCs w:val="24"/>
        </w:rPr>
      </w:pPr>
      <w:r>
        <w:rPr>
          <w:rFonts w:asciiTheme="minorEastAsia" w:hAnsiTheme="minorEastAsia"/>
          <w:bCs/>
          <w:sz w:val="24"/>
          <w:szCs w:val="24"/>
        </w:rPr>
        <w:br w:type="page"/>
      </w:r>
    </w:p>
    <w:p w14:paraId="3F22560F" w14:textId="77777777" w:rsidR="009214AE" w:rsidRDefault="00C66335">
      <w:pPr>
        <w:pStyle w:val="1"/>
        <w:jc w:val="center"/>
        <w:rPr>
          <w:sz w:val="30"/>
          <w:szCs w:val="30"/>
        </w:rPr>
      </w:pPr>
      <w:bookmarkStart w:id="216" w:name="_Toc416264546"/>
      <w:bookmarkStart w:id="217" w:name="_Toc164429423"/>
      <w:bookmarkStart w:id="218" w:name="_Toc26383"/>
      <w:bookmarkStart w:id="219" w:name="_Toc31469"/>
      <w:bookmarkStart w:id="220" w:name="_Toc139991741"/>
      <w:bookmarkStart w:id="221" w:name="_Toc21886"/>
      <w:bookmarkStart w:id="222" w:name="_Toc14725"/>
      <w:bookmarkStart w:id="223" w:name="_Toc16789"/>
      <w:bookmarkStart w:id="224" w:name="_Toc26152"/>
      <w:bookmarkStart w:id="225" w:name="_Toc22674"/>
      <w:bookmarkStart w:id="226" w:name="_Toc98560357"/>
      <w:bookmarkStart w:id="227" w:name="_Toc123102458"/>
      <w:bookmarkStart w:id="228" w:name="_Toc123112239"/>
      <w:bookmarkStart w:id="229" w:name="_Toc79392624"/>
      <w:bookmarkStart w:id="230" w:name="_Toc19520"/>
      <w:bookmarkStart w:id="231" w:name="_Toc48649710"/>
      <w:bookmarkStart w:id="232" w:name="_Toc123051457"/>
      <w:bookmarkStart w:id="233" w:name="_Toc352229757"/>
      <w:bookmarkStart w:id="234" w:name="_Toc141703891"/>
      <w:bookmarkStart w:id="235" w:name="_Toc2255"/>
      <w:bookmarkStart w:id="236" w:name="_Toc3244"/>
      <w:bookmarkStart w:id="237" w:name="_Toc260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r>
        <w:rPr>
          <w:rFonts w:hint="eastAsia"/>
          <w:sz w:val="30"/>
          <w:szCs w:val="30"/>
        </w:rPr>
        <w:lastRenderedPageBreak/>
        <w:t>第十部分</w:t>
      </w:r>
      <w:r>
        <w:rPr>
          <w:sz w:val="30"/>
          <w:szCs w:val="30"/>
        </w:rPr>
        <w:t xml:space="preserve">  </w:t>
      </w:r>
      <w:r>
        <w:rPr>
          <w:rFonts w:hint="eastAsia"/>
          <w:sz w:val="30"/>
          <w:szCs w:val="30"/>
        </w:rPr>
        <w:t>基金的财产</w:t>
      </w:r>
      <w:bookmarkEnd w:id="216"/>
      <w:bookmarkEnd w:id="217"/>
    </w:p>
    <w:p w14:paraId="234C5890" w14:textId="77777777" w:rsidR="009214AE" w:rsidRDefault="00C66335">
      <w:pPr>
        <w:autoSpaceDE w:val="0"/>
        <w:autoSpaceDN w:val="0"/>
        <w:spacing w:line="360" w:lineRule="auto"/>
        <w:ind w:firstLineChars="200" w:firstLine="480"/>
        <w:textAlignment w:val="bottom"/>
        <w:rPr>
          <w:bCs/>
          <w:sz w:val="24"/>
        </w:rPr>
      </w:pPr>
      <w:bookmarkStart w:id="238" w:name="_Toc416264547"/>
      <w:bookmarkStart w:id="239" w:name="_Toc214873600"/>
      <w:bookmarkStart w:id="240" w:name="_Toc263092319"/>
      <w:bookmarkStart w:id="241" w:name="_Toc2981"/>
      <w:bookmarkStart w:id="242" w:name="_Toc22538"/>
      <w:bookmarkStart w:id="243" w:name="_Toc578"/>
      <w:bookmarkStart w:id="244" w:name="_Toc11351"/>
      <w:bookmarkStart w:id="245" w:name="_Toc13343"/>
      <w:bookmarkStart w:id="246" w:name="_Toc3872"/>
      <w:bookmarkStart w:id="247" w:name="_Toc16437"/>
      <w:bookmarkStart w:id="248" w:name="_Toc801"/>
      <w:bookmarkStart w:id="249" w:name="_Toc21917"/>
      <w:bookmarkStart w:id="250" w:name="_Toc11395"/>
      <w:bookmarkStart w:id="251" w:name="_Toc5477"/>
      <w:bookmarkStart w:id="252" w:name="_Toc352229758"/>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Pr>
          <w:rFonts w:hint="eastAsia"/>
          <w:bCs/>
          <w:sz w:val="24"/>
        </w:rPr>
        <w:t>一、基金资产总值</w:t>
      </w:r>
    </w:p>
    <w:p w14:paraId="42EE615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基金资产总值是指本基金拥有的各类有价证券、银行存款本息、基金应收款项以及其他资产所形成的价值总和。</w:t>
      </w:r>
    </w:p>
    <w:p w14:paraId="4E19C01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二、基金资产净值</w:t>
      </w:r>
    </w:p>
    <w:p w14:paraId="4CEC137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17B4A56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三、基金财产的账户</w:t>
      </w:r>
    </w:p>
    <w:p w14:paraId="08398DE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2306711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四、基金财产的保管和处分</w:t>
      </w:r>
    </w:p>
    <w:p w14:paraId="492DA82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77995C8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517F77E4" w14:textId="77777777" w:rsidR="009214AE" w:rsidRDefault="00C66335">
      <w:pPr>
        <w:widowControl/>
        <w:jc w:val="left"/>
        <w:rPr>
          <w:bCs/>
          <w:sz w:val="24"/>
        </w:rPr>
      </w:pPr>
      <w:r>
        <w:rPr>
          <w:bCs/>
          <w:sz w:val="24"/>
        </w:rPr>
        <w:br w:type="page"/>
      </w:r>
    </w:p>
    <w:p w14:paraId="22273F5F" w14:textId="77777777" w:rsidR="009214AE" w:rsidRDefault="00C66335">
      <w:pPr>
        <w:pStyle w:val="1"/>
        <w:jc w:val="center"/>
        <w:rPr>
          <w:sz w:val="30"/>
          <w:szCs w:val="30"/>
        </w:rPr>
      </w:pPr>
      <w:bookmarkStart w:id="253" w:name="_Toc164429424"/>
      <w:r>
        <w:rPr>
          <w:rFonts w:hint="eastAsia"/>
          <w:sz w:val="30"/>
          <w:szCs w:val="30"/>
        </w:rPr>
        <w:lastRenderedPageBreak/>
        <w:t>第十一部分</w:t>
      </w:r>
      <w:r>
        <w:rPr>
          <w:sz w:val="30"/>
          <w:szCs w:val="30"/>
        </w:rPr>
        <w:t xml:space="preserve">  </w:t>
      </w:r>
      <w:r>
        <w:rPr>
          <w:rFonts w:hint="eastAsia"/>
          <w:sz w:val="30"/>
          <w:szCs w:val="30"/>
        </w:rPr>
        <w:t>基金资产的估值</w:t>
      </w:r>
      <w:bookmarkEnd w:id="238"/>
      <w:bookmarkEnd w:id="239"/>
      <w:bookmarkEnd w:id="240"/>
      <w:bookmarkEnd w:id="253"/>
    </w:p>
    <w:p w14:paraId="56B6D54F"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一、估值日</w:t>
      </w:r>
    </w:p>
    <w:p w14:paraId="3F22219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本基金的估值日为本基金相关的证券交易场所的交易日以及国家法律法规规定需要对外披露基金净值的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1B6ED122"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二、估值对象</w:t>
      </w:r>
    </w:p>
    <w:p w14:paraId="0559B8D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基金所拥有的股票、股指期货合约、国债期货合约、股票期权合约、债券和银行存款本息、资产支持证券、应收款项、其它投资等资产及负债。</w:t>
      </w:r>
    </w:p>
    <w:p w14:paraId="5E146EB0"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三、估值原则</w:t>
      </w:r>
    </w:p>
    <w:p w14:paraId="50E72F5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500F77B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C717FC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293FC14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0DE6551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585B8289"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四、估值方法</w:t>
      </w:r>
    </w:p>
    <w:p w14:paraId="49ABB589"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1</w:t>
      </w:r>
      <w:r>
        <w:rPr>
          <w:rFonts w:hint="eastAsia"/>
          <w:bCs/>
          <w:sz w:val="24"/>
        </w:rPr>
        <w:t>、证券交易所上市的有价证券的估值</w:t>
      </w:r>
    </w:p>
    <w:p w14:paraId="5B60149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003048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）交易所上市交易或挂牌转让的不含</w:t>
      </w:r>
      <w:proofErr w:type="gramStart"/>
      <w:r>
        <w:rPr>
          <w:rFonts w:hint="eastAsia"/>
          <w:bCs/>
          <w:sz w:val="24"/>
        </w:rPr>
        <w:t>权固定</w:t>
      </w:r>
      <w:proofErr w:type="gramEnd"/>
      <w:r>
        <w:rPr>
          <w:rFonts w:hint="eastAsia"/>
          <w:bCs/>
          <w:sz w:val="24"/>
        </w:rPr>
        <w:t>收益品种，选取估值日第三方估值机构提供的相应品种当日的估值净价进行估值；</w:t>
      </w:r>
    </w:p>
    <w:p w14:paraId="5ED18BC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）交易所上市交易或挂牌转让的含</w:t>
      </w:r>
      <w:proofErr w:type="gramStart"/>
      <w:r>
        <w:rPr>
          <w:rFonts w:hint="eastAsia"/>
          <w:bCs/>
          <w:sz w:val="24"/>
        </w:rPr>
        <w:t>权固定</w:t>
      </w:r>
      <w:proofErr w:type="gramEnd"/>
      <w:r>
        <w:rPr>
          <w:rFonts w:hint="eastAsia"/>
          <w:bCs/>
          <w:sz w:val="24"/>
        </w:rPr>
        <w:t>收益品种，选取估值日第三方估值机构提供的相应品种当日的唯一估值净价或推荐估值净价进行估值；</w:t>
      </w:r>
    </w:p>
    <w:p w14:paraId="27ED32B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）交易所上市交易的可转换债券以每日收盘价减去债券收盘价中所含的债券应收利息得到的净价进行估值；</w:t>
      </w:r>
    </w:p>
    <w:p w14:paraId="51C0020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）交易所上市不存在活跃市场的有价证券，采用估值技术确定公允价值。交易所市场挂牌转让的资产支持证券，采用估值技术确定公允价值；</w:t>
      </w:r>
    </w:p>
    <w:p w14:paraId="4E1BAFE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738CC9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790DD79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23144C5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5CC17DF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）在发行时明确一定期限限售期的股票，包括但不限于非公开发行股票、首次公开发行股票时公司股东公开发售股份、通过大宗交易取得的带限售期的股票等（不包括停牌、新发行未上市、回购交易中的质押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06098CAD"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3</w:t>
      </w:r>
      <w:r>
        <w:rPr>
          <w:rFonts w:hint="eastAsia"/>
          <w:bCs/>
          <w:sz w:val="24"/>
        </w:rPr>
        <w:t>、对全国银行间市场上不含权的固定收益品种，按照第三方估值机构提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w:t>
      </w:r>
    </w:p>
    <w:p w14:paraId="3766819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、同一证券同时在两个或两个以上市场交易的，按证券所处的市场分别估值。</w:t>
      </w:r>
    </w:p>
    <w:p w14:paraId="728584C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、本基金投资国债期货、股指期货、股票期权合约，一般以估值当日结算价进行估值，估值当日无结算价的，且最近交易日后经济环境未发生重大变化的，采用最近交易日结算价估值。</w:t>
      </w:r>
    </w:p>
    <w:p w14:paraId="07436564" w14:textId="77777777" w:rsidR="009214AE" w:rsidRDefault="00C66335">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3F956F7D" w14:textId="77777777" w:rsidR="009214AE" w:rsidRDefault="00C66335">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62E2F728" w14:textId="77777777" w:rsidR="009214AE" w:rsidRDefault="00C66335">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3830B730" w14:textId="77777777" w:rsidR="009214AE" w:rsidRDefault="00C66335">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3FF0775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、相关法律法规以及监管部门有强制规定的，从其规定。如有新增事项，按国家最新规定估值。</w:t>
      </w:r>
    </w:p>
    <w:p w14:paraId="07201D3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760D156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根据有关法律法规，基金资产净值计算和基金会计核算的义务由基金管理人承担。本基金的基金会计</w:t>
      </w:r>
      <w:proofErr w:type="gramStart"/>
      <w:r>
        <w:rPr>
          <w:rFonts w:hint="eastAsia"/>
          <w:bCs/>
          <w:sz w:val="24"/>
        </w:rPr>
        <w:t>主责任</w:t>
      </w:r>
      <w:proofErr w:type="gramEnd"/>
      <w:r>
        <w:rPr>
          <w:rFonts w:hint="eastAsia"/>
          <w:bCs/>
          <w:sz w:val="24"/>
        </w:rPr>
        <w:t>方由基金管理人担任，基金托管人承担复核责任，因此，就与本基金有关的会计问题，如经相关各方在平等基础上充分讨论后，仍无法达成一致的意见，按照基金管理人对基金净值信息的计算结果对外予以公布。</w:t>
      </w:r>
    </w:p>
    <w:p w14:paraId="6EF9FAA2"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五、估值程序</w:t>
      </w:r>
    </w:p>
    <w:p w14:paraId="0711155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、各类基金份额净值是按照每个估值日闭市后，该类基金资产净值除以当</w:t>
      </w:r>
      <w:r>
        <w:rPr>
          <w:rFonts w:hint="eastAsia"/>
          <w:bCs/>
          <w:sz w:val="24"/>
        </w:rPr>
        <w:lastRenderedPageBreak/>
        <w:t>日该类基金份额的余额数量计算，精确到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位四舍五入，由此产生的误差计入基金财产。基金管理人可以设立大额赎回情形下的净值精度应急调整机制。国家另有规定的，从其规定。</w:t>
      </w:r>
    </w:p>
    <w:p w14:paraId="356B464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基金管理人每个估值日计算基金资产净值及各类基金份额净值，经基金托管人复核，并按规定公告。</w:t>
      </w:r>
    </w:p>
    <w:p w14:paraId="6F74C03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w:t>
      </w:r>
      <w:proofErr w:type="gramStart"/>
      <w:r>
        <w:rPr>
          <w:rFonts w:hint="eastAsia"/>
          <w:bCs/>
          <w:sz w:val="24"/>
        </w:rPr>
        <w:t>应每个</w:t>
      </w:r>
      <w:proofErr w:type="gramEnd"/>
      <w:r>
        <w:rPr>
          <w:rFonts w:hint="eastAsia"/>
          <w:bCs/>
          <w:sz w:val="24"/>
        </w:rPr>
        <w:t>估值日对基金资产估值。但基金管理人根据法律法规或基金合同的规定暂停估值时除外。基金管理人每个估值日对基金资产估值后，将基金资产净值和各类基金份额净值结果发送基金托管人，经基金托管人复核无误后，由基金管理人按约定对外公布。</w:t>
      </w:r>
    </w:p>
    <w:p w14:paraId="6CFE68A0"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六、估值错误的处理</w:t>
      </w:r>
    </w:p>
    <w:p w14:paraId="7700A4F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基金管理人和基金托管人将采取必要、适当、合理的措施确保基金资产估值的准确性、及时性。当任一类基金份额净值小数点后四位以内</w:t>
      </w:r>
      <w:r>
        <w:rPr>
          <w:rFonts w:hint="eastAsia"/>
          <w:bCs/>
          <w:sz w:val="24"/>
        </w:rPr>
        <w:t>(</w:t>
      </w:r>
      <w:r>
        <w:rPr>
          <w:rFonts w:hint="eastAsia"/>
          <w:bCs/>
          <w:sz w:val="24"/>
        </w:rPr>
        <w:t>含第四位</w:t>
      </w:r>
      <w:r>
        <w:rPr>
          <w:rFonts w:hint="eastAsia"/>
          <w:bCs/>
          <w:sz w:val="24"/>
        </w:rPr>
        <w:t>)</w:t>
      </w:r>
      <w:r>
        <w:rPr>
          <w:rFonts w:hint="eastAsia"/>
          <w:bCs/>
          <w:sz w:val="24"/>
        </w:rPr>
        <w:t>发生估值错误时，视为该类基金份额净值错误。</w:t>
      </w:r>
    </w:p>
    <w:p w14:paraId="6EC514F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19C1DFA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3DAD219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35EE929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1C7AAAE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28FB706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1131ADE"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2</w:t>
      </w:r>
      <w:r>
        <w:rPr>
          <w:rFonts w:hint="eastAsia"/>
          <w:bCs/>
          <w:sz w:val="24"/>
        </w:rPr>
        <w:t>）估值错误的责任方对有关当事人的直接损失负责，不对间接损失负责，并且仅对估值错误的有关直接当事人负责，不对第三方负责。</w:t>
      </w:r>
    </w:p>
    <w:p w14:paraId="64FAAA7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7F6B503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52F0D01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7B6B6C6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632A7CC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7002356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1FC7E9C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5360D2E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4487F70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2F1CC53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7DC6007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）错误偏差达到该类基金份额净值的</w:t>
      </w:r>
      <w:r>
        <w:rPr>
          <w:rFonts w:hint="eastAsia"/>
          <w:bCs/>
          <w:sz w:val="24"/>
        </w:rPr>
        <w:t>0.25%</w:t>
      </w:r>
      <w:r>
        <w:rPr>
          <w:rFonts w:hint="eastAsia"/>
          <w:bCs/>
          <w:sz w:val="24"/>
        </w:rPr>
        <w:t>时，基金管理人应当通报基金托管人并报中国证监会备案；错误偏差达到该类基金份额净值的</w:t>
      </w:r>
      <w:r>
        <w:rPr>
          <w:rFonts w:hint="eastAsia"/>
          <w:bCs/>
          <w:sz w:val="24"/>
        </w:rPr>
        <w:t>0.5%</w:t>
      </w:r>
      <w:r>
        <w:rPr>
          <w:rFonts w:hint="eastAsia"/>
          <w:bCs/>
          <w:sz w:val="24"/>
        </w:rPr>
        <w:t>时，基金管理人应当公告</w:t>
      </w:r>
      <w:r>
        <w:rPr>
          <w:bCs/>
          <w:sz w:val="24"/>
        </w:rPr>
        <w:t>、通报基金托管人</w:t>
      </w:r>
      <w:r>
        <w:rPr>
          <w:rFonts w:hint="eastAsia"/>
          <w:bCs/>
          <w:sz w:val="24"/>
        </w:rPr>
        <w:t>并报中国证监会备案。</w:t>
      </w:r>
    </w:p>
    <w:p w14:paraId="300C548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）前述内容如法律法规或监管机关另有规定的，从其规定处理。如果行业另有通行做法，基金管理人、基金托管人应本着平等和保护基金份额持有人利益的原则进行协商。</w:t>
      </w:r>
    </w:p>
    <w:p w14:paraId="6414B382"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lastRenderedPageBreak/>
        <w:t>七、暂停估值的情形</w:t>
      </w:r>
    </w:p>
    <w:p w14:paraId="09377FF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、基金投资所涉及的证券、期货交易市场遇法定节假日或因其他原因暂停营业时；</w:t>
      </w:r>
    </w:p>
    <w:p w14:paraId="3134ABE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、因不可抗力或其他情形致使基金管理人、基金托管人无法准确评估基金资产价值时；</w:t>
      </w:r>
    </w:p>
    <w:p w14:paraId="4CB384D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1DFC610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、法律法规、中国证监会和基金合同认定的其它情形。</w:t>
      </w:r>
    </w:p>
    <w:p w14:paraId="76244953"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八、基金净值的确认</w:t>
      </w:r>
    </w:p>
    <w:p w14:paraId="691DDCE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估值日交易结束后计算当日的基金资产净值和各类基金份额净值并发送给基金托管人。基金托管人对净值计算结果复核确认后发送给基金管理人，由基金管理人按约定对基金净值予以公布。</w:t>
      </w:r>
    </w:p>
    <w:p w14:paraId="39B15FF7"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九、特殊情形的处理</w:t>
      </w:r>
    </w:p>
    <w:p w14:paraId="64BB67D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048B662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证券经纪机构或登记结算公司等机构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2DB48E6" w14:textId="77777777" w:rsidR="009214AE" w:rsidRDefault="00C66335">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6188921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4F5A7EC3" w14:textId="77777777" w:rsidR="009214AE" w:rsidRDefault="00C66335">
      <w:pPr>
        <w:widowControl/>
        <w:jc w:val="left"/>
        <w:rPr>
          <w:bCs/>
          <w:sz w:val="24"/>
        </w:rPr>
      </w:pPr>
      <w:r>
        <w:rPr>
          <w:bCs/>
          <w:sz w:val="24"/>
        </w:rPr>
        <w:br w:type="page"/>
      </w:r>
    </w:p>
    <w:p w14:paraId="5DBDCDF6" w14:textId="77777777" w:rsidR="009214AE" w:rsidRDefault="00C66335">
      <w:pPr>
        <w:pStyle w:val="1"/>
        <w:jc w:val="center"/>
        <w:rPr>
          <w:sz w:val="30"/>
          <w:szCs w:val="30"/>
        </w:rPr>
      </w:pPr>
      <w:bookmarkStart w:id="254" w:name="_Toc416264548"/>
      <w:bookmarkStart w:id="255" w:name="_Toc263092320"/>
      <w:bookmarkStart w:id="256" w:name="_Toc164429425"/>
      <w:bookmarkEnd w:id="241"/>
      <w:bookmarkEnd w:id="242"/>
      <w:bookmarkEnd w:id="243"/>
      <w:bookmarkEnd w:id="244"/>
      <w:bookmarkEnd w:id="245"/>
      <w:bookmarkEnd w:id="246"/>
      <w:bookmarkEnd w:id="247"/>
      <w:bookmarkEnd w:id="248"/>
      <w:bookmarkEnd w:id="249"/>
      <w:bookmarkEnd w:id="250"/>
      <w:bookmarkEnd w:id="251"/>
      <w:bookmarkEnd w:id="252"/>
      <w:r>
        <w:rPr>
          <w:rFonts w:hint="eastAsia"/>
          <w:sz w:val="30"/>
          <w:szCs w:val="30"/>
        </w:rPr>
        <w:lastRenderedPageBreak/>
        <w:t>第十二部分</w:t>
      </w:r>
      <w:r>
        <w:rPr>
          <w:sz w:val="30"/>
          <w:szCs w:val="30"/>
        </w:rPr>
        <w:t xml:space="preserve">  </w:t>
      </w:r>
      <w:r>
        <w:rPr>
          <w:rFonts w:hint="eastAsia"/>
          <w:sz w:val="30"/>
          <w:szCs w:val="30"/>
        </w:rPr>
        <w:t>基金的收益分配</w:t>
      </w:r>
      <w:bookmarkEnd w:id="254"/>
      <w:bookmarkEnd w:id="255"/>
      <w:bookmarkEnd w:id="256"/>
    </w:p>
    <w:p w14:paraId="55934F60" w14:textId="77777777" w:rsidR="009214AE" w:rsidRDefault="00C66335">
      <w:pPr>
        <w:autoSpaceDE w:val="0"/>
        <w:autoSpaceDN w:val="0"/>
        <w:spacing w:line="360" w:lineRule="auto"/>
        <w:ind w:firstLineChars="200" w:firstLine="480"/>
        <w:textAlignment w:val="bottom"/>
        <w:rPr>
          <w:bCs/>
          <w:sz w:val="24"/>
        </w:rPr>
      </w:pPr>
      <w:bookmarkStart w:id="257" w:name="_Toc214873602"/>
      <w:bookmarkStart w:id="258" w:name="_Toc263092321"/>
      <w:bookmarkStart w:id="259" w:name="_Toc147463128"/>
      <w:bookmarkStart w:id="260" w:name="_Toc416264549"/>
      <w:bookmarkStart w:id="261" w:name="_Toc12357181"/>
      <w:bookmarkStart w:id="262" w:name="_Toc21073401"/>
      <w:bookmarkStart w:id="263" w:name="_Toc139991744"/>
      <w:bookmarkStart w:id="264" w:name="_Toc352229760"/>
      <w:bookmarkStart w:id="265" w:name="_Toc871"/>
      <w:bookmarkStart w:id="266" w:name="_Toc19714"/>
      <w:bookmarkStart w:id="267" w:name="_Toc141703894"/>
      <w:bookmarkStart w:id="268" w:name="_Toc7802"/>
      <w:bookmarkStart w:id="269" w:name="_Toc27832"/>
      <w:bookmarkStart w:id="270" w:name="_Toc31917"/>
      <w:bookmarkStart w:id="271" w:name="_Toc2623"/>
      <w:bookmarkStart w:id="272" w:name="_Toc17782"/>
      <w:r>
        <w:rPr>
          <w:rFonts w:hint="eastAsia"/>
          <w:bCs/>
          <w:sz w:val="24"/>
        </w:rPr>
        <w:t>一、基金利润的构成</w:t>
      </w:r>
    </w:p>
    <w:p w14:paraId="0F58FD2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63F39A0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二、基金可供分配利润</w:t>
      </w:r>
    </w:p>
    <w:p w14:paraId="1367E8F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1461F67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三、基金收益分配原则</w:t>
      </w:r>
    </w:p>
    <w:p w14:paraId="0D393B2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、本基金收益分配方式分两种：现金分红与红利再投资，基金份额持有人可选择现金红利或将现金红利自动转为相应类别的基金份额进行再投资；</w:t>
      </w:r>
      <w:proofErr w:type="gramStart"/>
      <w:r>
        <w:rPr>
          <w:rFonts w:hint="eastAsia"/>
          <w:bCs/>
          <w:sz w:val="24"/>
        </w:rPr>
        <w:t>若基金</w:t>
      </w:r>
      <w:proofErr w:type="gramEnd"/>
      <w:r>
        <w:rPr>
          <w:rFonts w:hint="eastAsia"/>
          <w:bCs/>
          <w:sz w:val="24"/>
        </w:rPr>
        <w:t>份额持有人不选择，本基金默认的收益分配方式是现金分红；基金份额持有人可对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679F0DA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、基金收益分配后各类基金份额净值不能低于面值，即基金收益分配基准日的各类基金份额净值减去每单位该类别基金份额收益分配金额后不能低于面值；</w:t>
      </w:r>
    </w:p>
    <w:p w14:paraId="5BDC7CC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类基金份额收取销售服务费，各基金份额类别对应的可分配收益将有所不同，本基金每一基金份额享有同等分配权；</w:t>
      </w:r>
    </w:p>
    <w:p w14:paraId="34AB39A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、法律法规或监管机关另有规定的，从其规定。</w:t>
      </w:r>
    </w:p>
    <w:p w14:paraId="27CF9C5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在不违反法律法规且对基金份额持有人利益无实质性不利影响的前提下，基金管理人可对基金收益分配的有关业务规则进行调整，此项调整不需要召开基金份额持有人大会，但应于调整实施日前在规定媒介上公告。</w:t>
      </w:r>
    </w:p>
    <w:p w14:paraId="62AD022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四、收益分配方案</w:t>
      </w:r>
    </w:p>
    <w:p w14:paraId="22378DF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484F399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五、收益分配方案的确定、公告与实施</w:t>
      </w:r>
    </w:p>
    <w:p w14:paraId="22613A6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w:t>
      </w:r>
      <w:r>
        <w:rPr>
          <w:rFonts w:hint="eastAsia"/>
          <w:bCs/>
          <w:sz w:val="24"/>
        </w:rPr>
        <w:lastRenderedPageBreak/>
        <w:t>披露办法》的有关规定在</w:t>
      </w:r>
      <w:r>
        <w:rPr>
          <w:rFonts w:asciiTheme="minorEastAsia" w:hAnsiTheme="minorEastAsia" w:cs="Times New Roman" w:hint="eastAsia"/>
          <w:sz w:val="24"/>
          <w:szCs w:val="24"/>
        </w:rPr>
        <w:t>规定</w:t>
      </w:r>
      <w:r>
        <w:rPr>
          <w:rFonts w:hint="eastAsia"/>
          <w:bCs/>
          <w:sz w:val="24"/>
        </w:rPr>
        <w:t>媒介公告。</w:t>
      </w:r>
    </w:p>
    <w:p w14:paraId="070A9ED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3D7C8FF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基金份额持有人的现金红利小于一定金额，不足以支付银行转账或其他手续费用时，基金登记机构可将基金份额持有人的现金红利自动转为相应类别的基金份额。红利再投资的计算方法，依照《业务规则》执行。</w:t>
      </w:r>
    </w:p>
    <w:p w14:paraId="6EAD071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七、实施</w:t>
      </w:r>
      <w:proofErr w:type="gramStart"/>
      <w:r>
        <w:rPr>
          <w:rFonts w:hint="eastAsia"/>
          <w:bCs/>
          <w:sz w:val="24"/>
        </w:rPr>
        <w:t>侧袋机制</w:t>
      </w:r>
      <w:proofErr w:type="gramEnd"/>
      <w:r>
        <w:rPr>
          <w:rFonts w:hint="eastAsia"/>
          <w:bCs/>
          <w:sz w:val="24"/>
        </w:rPr>
        <w:t>期间的收益分配</w:t>
      </w:r>
    </w:p>
    <w:p w14:paraId="7EF52AC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侧袋账户</w:t>
      </w:r>
      <w:proofErr w:type="gramEnd"/>
      <w:r>
        <w:rPr>
          <w:rFonts w:hint="eastAsia"/>
          <w:bCs/>
          <w:sz w:val="24"/>
        </w:rPr>
        <w:t>不进行收益分配。</w:t>
      </w:r>
    </w:p>
    <w:p w14:paraId="1E773491" w14:textId="77777777" w:rsidR="009214AE" w:rsidRDefault="00C66335">
      <w:pPr>
        <w:widowControl/>
        <w:jc w:val="left"/>
        <w:rPr>
          <w:bCs/>
          <w:sz w:val="24"/>
        </w:rPr>
      </w:pPr>
      <w:r>
        <w:rPr>
          <w:bCs/>
          <w:sz w:val="24"/>
        </w:rPr>
        <w:br w:type="page"/>
      </w:r>
    </w:p>
    <w:p w14:paraId="5E286688" w14:textId="77777777" w:rsidR="009214AE" w:rsidRDefault="00C66335">
      <w:pPr>
        <w:pStyle w:val="1"/>
        <w:jc w:val="center"/>
        <w:rPr>
          <w:sz w:val="30"/>
          <w:szCs w:val="30"/>
        </w:rPr>
      </w:pPr>
      <w:bookmarkStart w:id="273" w:name="_Toc164429426"/>
      <w:r>
        <w:rPr>
          <w:rFonts w:hint="eastAsia"/>
          <w:sz w:val="30"/>
          <w:szCs w:val="30"/>
        </w:rPr>
        <w:lastRenderedPageBreak/>
        <w:t>第十三部分</w:t>
      </w:r>
      <w:r>
        <w:rPr>
          <w:sz w:val="30"/>
          <w:szCs w:val="30"/>
        </w:rPr>
        <w:t xml:space="preserve">  </w:t>
      </w:r>
      <w:r>
        <w:rPr>
          <w:rFonts w:hint="eastAsia"/>
          <w:sz w:val="30"/>
          <w:szCs w:val="30"/>
        </w:rPr>
        <w:t>基金费用与税收</w:t>
      </w:r>
      <w:bookmarkEnd w:id="257"/>
      <w:bookmarkEnd w:id="258"/>
      <w:bookmarkEnd w:id="259"/>
      <w:bookmarkEnd w:id="260"/>
      <w:bookmarkEnd w:id="261"/>
      <w:bookmarkEnd w:id="262"/>
      <w:bookmarkEnd w:id="273"/>
    </w:p>
    <w:p w14:paraId="4EF250AA" w14:textId="77777777" w:rsidR="009214AE" w:rsidRDefault="00C66335">
      <w:pPr>
        <w:autoSpaceDE w:val="0"/>
        <w:autoSpaceDN w:val="0"/>
        <w:spacing w:line="360" w:lineRule="auto"/>
        <w:ind w:firstLineChars="200" w:firstLine="480"/>
        <w:textAlignment w:val="bottom"/>
        <w:rPr>
          <w:bCs/>
          <w:sz w:val="24"/>
        </w:rPr>
      </w:pPr>
      <w:bookmarkStart w:id="274" w:name="_Toc416264550"/>
      <w:bookmarkStart w:id="275" w:name="_Toc263092322"/>
      <w:bookmarkStart w:id="276" w:name="_Toc214873603"/>
      <w:bookmarkStart w:id="277" w:name="_Toc19752"/>
      <w:bookmarkStart w:id="278" w:name="_Toc24601"/>
      <w:bookmarkStart w:id="279" w:name="_Toc352229761"/>
      <w:bookmarkStart w:id="280" w:name="_Toc32046"/>
      <w:bookmarkStart w:id="281" w:name="_Toc141703895"/>
      <w:bookmarkStart w:id="282" w:name="_Toc32227"/>
      <w:bookmarkStart w:id="283" w:name="_Toc19706"/>
      <w:bookmarkStart w:id="284" w:name="_Toc139991745"/>
      <w:bookmarkStart w:id="285" w:name="_Toc12105"/>
      <w:bookmarkStart w:id="286" w:name="_Toc6493"/>
      <w:bookmarkStart w:id="287" w:name="_Toc15779"/>
      <w:bookmarkStart w:id="288" w:name="_Toc13987"/>
      <w:bookmarkStart w:id="289" w:name="_Toc32041"/>
      <w:bookmarkStart w:id="290" w:name="_Toc3365"/>
      <w:bookmarkEnd w:id="263"/>
      <w:bookmarkEnd w:id="264"/>
      <w:bookmarkEnd w:id="265"/>
      <w:bookmarkEnd w:id="266"/>
      <w:bookmarkEnd w:id="267"/>
      <w:bookmarkEnd w:id="268"/>
      <w:bookmarkEnd w:id="269"/>
      <w:bookmarkEnd w:id="270"/>
      <w:bookmarkEnd w:id="271"/>
      <w:bookmarkEnd w:id="272"/>
      <w:r>
        <w:rPr>
          <w:rFonts w:hint="eastAsia"/>
          <w:bCs/>
          <w:sz w:val="24"/>
        </w:rPr>
        <w:t>一、基金费用的种类</w:t>
      </w:r>
    </w:p>
    <w:p w14:paraId="410D5AC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385F858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4391E5E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4F2DBDA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、除法律法规、中国证监会另有规定外，《基金合同》生效后与基金相关的信息披露费用；</w:t>
      </w:r>
    </w:p>
    <w:p w14:paraId="28D1E81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、《基金合同》生效后与基金相关的会计师费、律师费、诉讼费和仲裁费；</w:t>
      </w:r>
    </w:p>
    <w:p w14:paraId="17C0AEB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55FA7FF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、基金的证券、期货交易、结算费用；</w:t>
      </w:r>
    </w:p>
    <w:p w14:paraId="060BDB0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0FDE938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68CD8E4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、按照国家有关规定和《基金合同》约定，可以在基金财产中列支的其他费用。</w:t>
      </w:r>
    </w:p>
    <w:p w14:paraId="30D858D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76D6080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0BFEC40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1.</w:t>
      </w:r>
      <w:r>
        <w:rPr>
          <w:bCs/>
          <w:sz w:val="24"/>
        </w:rPr>
        <w:t>2</w:t>
      </w:r>
      <w:r>
        <w:rPr>
          <w:rFonts w:hint="eastAsia"/>
          <w:bCs/>
          <w:sz w:val="24"/>
        </w:rPr>
        <w:t>%</w:t>
      </w:r>
      <w:r>
        <w:rPr>
          <w:rFonts w:hint="eastAsia"/>
          <w:bCs/>
          <w:sz w:val="24"/>
        </w:rPr>
        <w:t>的年费率计提。管理费的计算方法如下：</w:t>
      </w:r>
    </w:p>
    <w:p w14:paraId="47B3A93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1.</w:t>
      </w:r>
      <w:r>
        <w:rPr>
          <w:bCs/>
          <w:sz w:val="24"/>
        </w:rPr>
        <w:t>2</w:t>
      </w:r>
      <w:r>
        <w:rPr>
          <w:rFonts w:hint="eastAsia"/>
          <w:bCs/>
          <w:sz w:val="24"/>
        </w:rPr>
        <w:t>%</w:t>
      </w:r>
      <w:r>
        <w:rPr>
          <w:rFonts w:hint="eastAsia"/>
          <w:bCs/>
          <w:sz w:val="24"/>
        </w:rPr>
        <w:t>÷当年天数</w:t>
      </w:r>
    </w:p>
    <w:p w14:paraId="526EBCC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7D4D016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0E3C71F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基金管理费每日计提，逐日累计至每月月末，按月支付。由基金管理人于次月首日起</w:t>
      </w:r>
      <w:r>
        <w:rPr>
          <w:rFonts w:hint="eastAsia"/>
          <w:bCs/>
          <w:sz w:val="24"/>
        </w:rPr>
        <w:t>5</w:t>
      </w:r>
      <w:r>
        <w:rPr>
          <w:rFonts w:hint="eastAsia"/>
          <w:bCs/>
          <w:sz w:val="24"/>
        </w:rPr>
        <w:t>个工作日内向基金托管人发送基金管理费划款指令，由基金托管人复核后从基金财产中一次性支付给基金管理人，若遇法定节假日、休息日或不可抗力致使无法按时支付的，支付日期顺延。</w:t>
      </w:r>
    </w:p>
    <w:p w14:paraId="3FEDC42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1F8B3D2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w:t>
      </w:r>
      <w:r>
        <w:rPr>
          <w:bCs/>
          <w:sz w:val="24"/>
        </w:rPr>
        <w:t>2</w:t>
      </w:r>
      <w:r>
        <w:rPr>
          <w:rFonts w:hint="eastAsia"/>
          <w:bCs/>
          <w:sz w:val="24"/>
        </w:rPr>
        <w:t>%</w:t>
      </w:r>
      <w:r>
        <w:rPr>
          <w:rFonts w:hint="eastAsia"/>
          <w:bCs/>
          <w:sz w:val="24"/>
        </w:rPr>
        <w:t>的年费率计提。托管费的计算方法如下：</w:t>
      </w:r>
    </w:p>
    <w:p w14:paraId="3BB5B5F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w:t>
      </w:r>
      <w:r>
        <w:rPr>
          <w:bCs/>
          <w:sz w:val="24"/>
        </w:rPr>
        <w:t>2</w:t>
      </w:r>
      <w:r>
        <w:rPr>
          <w:rFonts w:hint="eastAsia"/>
          <w:bCs/>
          <w:sz w:val="24"/>
        </w:rPr>
        <w:t>%</w:t>
      </w:r>
      <w:r>
        <w:rPr>
          <w:rFonts w:hint="eastAsia"/>
          <w:bCs/>
          <w:sz w:val="24"/>
        </w:rPr>
        <w:t>÷当年天数</w:t>
      </w:r>
    </w:p>
    <w:p w14:paraId="4513AD49"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H</w:t>
      </w:r>
      <w:r>
        <w:rPr>
          <w:rFonts w:hint="eastAsia"/>
          <w:bCs/>
          <w:sz w:val="24"/>
        </w:rPr>
        <w:t>为每日应计提的基金托管费</w:t>
      </w:r>
    </w:p>
    <w:p w14:paraId="1EEBA57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51374E7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基金托管费每日计提，逐日累计至每月月末，按月支付。由基金管理人于次月首日起</w:t>
      </w:r>
      <w:r>
        <w:rPr>
          <w:rFonts w:hint="eastAsia"/>
          <w:bCs/>
          <w:sz w:val="24"/>
        </w:rPr>
        <w:t>5</w:t>
      </w:r>
      <w:r>
        <w:rPr>
          <w:rFonts w:hint="eastAsia"/>
          <w:bCs/>
          <w:sz w:val="24"/>
        </w:rPr>
        <w:t>个工作日内向基金托管人发送基金托管费划款指令，基金托管人复核后从基金财产中一次性支取，若遇法定节假日、休息日或不可抗力致使无法按时支付的，支付日期顺延。</w:t>
      </w:r>
    </w:p>
    <w:p w14:paraId="51CA510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5994121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 xml:space="preserve">0.4% </w:t>
      </w:r>
      <w:r>
        <w:rPr>
          <w:rFonts w:hint="eastAsia"/>
          <w:bCs/>
          <w:sz w:val="24"/>
        </w:rPr>
        <w:t>。销售服务费的计算方法如下：</w:t>
      </w:r>
    </w:p>
    <w:p w14:paraId="20863F2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 xml:space="preserve">0.4% </w:t>
      </w:r>
      <w:r>
        <w:rPr>
          <w:rFonts w:hint="eastAsia"/>
          <w:bCs/>
          <w:sz w:val="24"/>
        </w:rPr>
        <w:t>÷当年天数</w:t>
      </w:r>
    </w:p>
    <w:p w14:paraId="5931128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4AA1C08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3A64E1C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类基金份额的销售服务费每日计提，逐日累计至每月月末，按月支付。由基金管理人于次月首日起</w:t>
      </w:r>
      <w:r>
        <w:rPr>
          <w:rFonts w:hint="eastAsia"/>
          <w:bCs/>
          <w:sz w:val="24"/>
        </w:rPr>
        <w:t>5</w:t>
      </w:r>
      <w:r>
        <w:rPr>
          <w:rFonts w:hint="eastAsia"/>
          <w:bCs/>
          <w:sz w:val="24"/>
        </w:rPr>
        <w:t>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4B37439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项费用，根据有关法规及相应协议规定，按费用实际支出金额列入当期费用，由基金托管人从基金财产中支付。</w:t>
      </w:r>
    </w:p>
    <w:p w14:paraId="222A15E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三、不列入基金费用的项目</w:t>
      </w:r>
    </w:p>
    <w:p w14:paraId="43975BB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下列费用不列入基金费用：</w:t>
      </w:r>
    </w:p>
    <w:p w14:paraId="20A7688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5162017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37DE5CA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6895AEF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5165FEF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50F31D4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w:t>
      </w:r>
      <w:r>
        <w:rPr>
          <w:rFonts w:hint="eastAsia"/>
          <w:bCs/>
          <w:sz w:val="24"/>
        </w:rPr>
        <w:lastRenderedPageBreak/>
        <w:t>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账户资产变现后方可列支，有关费用可酌情收取或减免，但不得收取管理费，其他费用详见招募说明书“侧袋机制”部分的规定。</w:t>
      </w:r>
    </w:p>
    <w:p w14:paraId="19B6F49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五、基金税收</w:t>
      </w:r>
    </w:p>
    <w:p w14:paraId="1AD185B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本基金运作过程中涉及的各纳税主体，其纳税义务按国家税收法律、法规执行。</w:t>
      </w:r>
    </w:p>
    <w:p w14:paraId="7302AC6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489D6BE6" w14:textId="77777777" w:rsidR="009214AE" w:rsidRDefault="009214AE">
      <w:pPr>
        <w:autoSpaceDE w:val="0"/>
        <w:autoSpaceDN w:val="0"/>
        <w:spacing w:line="360" w:lineRule="auto"/>
        <w:ind w:firstLineChars="200" w:firstLine="480"/>
        <w:textAlignment w:val="bottom"/>
        <w:rPr>
          <w:bCs/>
          <w:sz w:val="24"/>
        </w:rPr>
      </w:pPr>
    </w:p>
    <w:p w14:paraId="5A41271A" w14:textId="77777777" w:rsidR="009214AE" w:rsidRDefault="00C66335">
      <w:pPr>
        <w:widowControl/>
        <w:jc w:val="left"/>
        <w:rPr>
          <w:bCs/>
          <w:sz w:val="24"/>
        </w:rPr>
      </w:pPr>
      <w:r>
        <w:rPr>
          <w:bCs/>
          <w:sz w:val="24"/>
        </w:rPr>
        <w:br w:type="page"/>
      </w:r>
    </w:p>
    <w:p w14:paraId="1085F467" w14:textId="77777777" w:rsidR="009214AE" w:rsidRDefault="00C66335">
      <w:pPr>
        <w:pStyle w:val="1"/>
        <w:jc w:val="center"/>
        <w:rPr>
          <w:sz w:val="30"/>
          <w:szCs w:val="30"/>
        </w:rPr>
      </w:pPr>
      <w:bookmarkStart w:id="291" w:name="_Toc164429427"/>
      <w:r>
        <w:rPr>
          <w:rFonts w:hint="eastAsia"/>
          <w:sz w:val="30"/>
          <w:szCs w:val="30"/>
        </w:rPr>
        <w:lastRenderedPageBreak/>
        <w:t>第十四部分</w:t>
      </w:r>
      <w:r>
        <w:rPr>
          <w:sz w:val="30"/>
          <w:szCs w:val="30"/>
        </w:rPr>
        <w:t xml:space="preserve">  </w:t>
      </w:r>
      <w:r>
        <w:rPr>
          <w:rFonts w:hint="eastAsia"/>
          <w:sz w:val="30"/>
          <w:szCs w:val="30"/>
        </w:rPr>
        <w:t>基金的会计与审计</w:t>
      </w:r>
      <w:bookmarkEnd w:id="274"/>
      <w:bookmarkEnd w:id="275"/>
      <w:bookmarkEnd w:id="276"/>
      <w:bookmarkEnd w:id="291"/>
    </w:p>
    <w:p w14:paraId="7DFDD2B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一、基金会计政策</w:t>
      </w:r>
    </w:p>
    <w:p w14:paraId="0D8A3C6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、基金管理人为本基金的基金会计责任方，基金托管人承担复核责任；</w:t>
      </w:r>
    </w:p>
    <w:p w14:paraId="0B3D226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435D861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75EEBEF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63208E3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72FD1D0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734EE30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、基金托管人每月与基金管理人就基金的会计核算、报表编制等进行核对并以托管协议约定的方式确认。</w:t>
      </w:r>
    </w:p>
    <w:p w14:paraId="3468E6A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二、基金的年度审计</w:t>
      </w:r>
    </w:p>
    <w:p w14:paraId="37655D6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46BDE06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7D55FBD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w:t>
      </w:r>
      <w:r>
        <w:rPr>
          <w:rFonts w:asciiTheme="minorEastAsia" w:hAnsiTheme="minorEastAsia" w:cs="Times New Roman" w:hint="eastAsia"/>
          <w:sz w:val="24"/>
          <w:szCs w:val="24"/>
        </w:rPr>
        <w:t>规定</w:t>
      </w:r>
      <w:r>
        <w:rPr>
          <w:rFonts w:hint="eastAsia"/>
          <w:bCs/>
          <w:sz w:val="24"/>
        </w:rPr>
        <w:t>媒介公告。</w:t>
      </w:r>
    </w:p>
    <w:p w14:paraId="66AC85E8" w14:textId="77777777" w:rsidR="009214AE" w:rsidRDefault="00C66335">
      <w:pPr>
        <w:widowControl/>
        <w:jc w:val="left"/>
        <w:rPr>
          <w:bCs/>
          <w:sz w:val="24"/>
        </w:rPr>
      </w:pPr>
      <w:r>
        <w:rPr>
          <w:bCs/>
          <w:sz w:val="24"/>
        </w:rPr>
        <w:br w:type="page"/>
      </w:r>
    </w:p>
    <w:p w14:paraId="039A04B4" w14:textId="77777777" w:rsidR="009214AE" w:rsidRDefault="00C66335">
      <w:pPr>
        <w:pStyle w:val="1"/>
        <w:jc w:val="center"/>
        <w:rPr>
          <w:sz w:val="30"/>
          <w:szCs w:val="30"/>
        </w:rPr>
      </w:pPr>
      <w:bookmarkStart w:id="292" w:name="_Toc416264551"/>
      <w:bookmarkStart w:id="293" w:name="_Toc214873604"/>
      <w:bookmarkStart w:id="294" w:name="_Toc263092323"/>
      <w:bookmarkStart w:id="295" w:name="_Toc79978642"/>
      <w:bookmarkStart w:id="296" w:name="_Toc164429428"/>
      <w:bookmarkStart w:id="297" w:name="_Toc128310499"/>
      <w:bookmarkStart w:id="298" w:name="_Toc15351"/>
      <w:bookmarkStart w:id="299" w:name="_Toc19558"/>
      <w:bookmarkStart w:id="300" w:name="_Toc178"/>
      <w:bookmarkStart w:id="301" w:name="_Toc15525"/>
      <w:bookmarkStart w:id="302" w:name="_Toc352229762"/>
      <w:bookmarkStart w:id="303" w:name="_Toc93226149"/>
      <w:bookmarkStart w:id="304" w:name="_Toc22552"/>
      <w:bookmarkStart w:id="305" w:name="_Toc141703896"/>
      <w:bookmarkStart w:id="306" w:name="_Toc20052"/>
      <w:bookmarkStart w:id="307" w:name="_Toc25883"/>
      <w:bookmarkStart w:id="308" w:name="_Toc21829"/>
      <w:bookmarkStart w:id="309" w:name="_Toc1617"/>
      <w:bookmarkStart w:id="310" w:name="_Toc92662707"/>
      <w:bookmarkStart w:id="311" w:name="_Toc3656"/>
      <w:bookmarkStart w:id="312" w:name="_Toc12761"/>
      <w:bookmarkStart w:id="313" w:name="_Toc13999174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r>
        <w:rPr>
          <w:rFonts w:hint="eastAsia"/>
          <w:sz w:val="30"/>
          <w:szCs w:val="30"/>
        </w:rPr>
        <w:lastRenderedPageBreak/>
        <w:t>第十五部分</w:t>
      </w:r>
      <w:r>
        <w:rPr>
          <w:sz w:val="30"/>
          <w:szCs w:val="30"/>
        </w:rPr>
        <w:t xml:space="preserve">  </w:t>
      </w:r>
      <w:r>
        <w:rPr>
          <w:rFonts w:hint="eastAsia"/>
          <w:sz w:val="30"/>
          <w:szCs w:val="30"/>
        </w:rPr>
        <w:t>基金的信息披露</w:t>
      </w:r>
      <w:bookmarkEnd w:id="292"/>
      <w:bookmarkEnd w:id="293"/>
      <w:bookmarkEnd w:id="294"/>
      <w:bookmarkEnd w:id="295"/>
      <w:bookmarkEnd w:id="296"/>
    </w:p>
    <w:p w14:paraId="46B324B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披露方式、登载媒介、报备方式等规定发生变化时，本基金从其最新规定。</w:t>
      </w:r>
    </w:p>
    <w:p w14:paraId="61934FB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二、信息披露义务人</w:t>
      </w:r>
    </w:p>
    <w:p w14:paraId="6B66599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本基金信息披露义务人包括基金管理人、基金托管人、召集基金份额持有人大会的基金份额持有人及其日常机构等法律、行政法规和中国证监会规定的自然人、法人和非法人组织。</w:t>
      </w:r>
    </w:p>
    <w:p w14:paraId="50884A4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17965DD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本基金信息披露义务人应当在中国证监会规定时间内，将应予披露的基金信息通过符合中国证监会</w:t>
      </w:r>
      <w:r>
        <w:rPr>
          <w:rFonts w:asciiTheme="minorEastAsia" w:hAnsiTheme="minorEastAsia" w:cs="Times New Roman" w:hint="eastAsia"/>
          <w:sz w:val="24"/>
          <w:szCs w:val="24"/>
        </w:rPr>
        <w:t>规定条件的用以进行信息披露</w:t>
      </w:r>
      <w:r>
        <w:rPr>
          <w:rFonts w:hint="eastAsia"/>
          <w:bCs/>
          <w:sz w:val="24"/>
        </w:rPr>
        <w:t>的全国性报刊（以下简称“</w:t>
      </w:r>
      <w:r>
        <w:rPr>
          <w:rFonts w:asciiTheme="minorEastAsia" w:hAnsiTheme="minorEastAsia" w:cs="Times New Roman" w:hint="eastAsia"/>
          <w:sz w:val="24"/>
          <w:szCs w:val="24"/>
        </w:rPr>
        <w:t>规定</w:t>
      </w:r>
      <w:r>
        <w:rPr>
          <w:rFonts w:hint="eastAsia"/>
          <w:bCs/>
          <w:sz w:val="24"/>
        </w:rPr>
        <w:t>报刊”）及《信息披露办法》</w:t>
      </w:r>
      <w:r>
        <w:rPr>
          <w:rFonts w:asciiTheme="minorEastAsia" w:hAnsiTheme="minorEastAsia" w:cs="Times New Roman" w:hint="eastAsia"/>
          <w:sz w:val="24"/>
          <w:szCs w:val="24"/>
        </w:rPr>
        <w:t>规定的</w:t>
      </w:r>
      <w:r>
        <w:rPr>
          <w:rFonts w:hint="eastAsia"/>
          <w:bCs/>
          <w:sz w:val="24"/>
        </w:rPr>
        <w:t>互联网网站（以下简称“</w:t>
      </w:r>
      <w:r>
        <w:rPr>
          <w:rFonts w:asciiTheme="minorEastAsia" w:hAnsiTheme="minorEastAsia" w:cs="Times New Roman" w:hint="eastAsia"/>
          <w:sz w:val="24"/>
          <w:szCs w:val="24"/>
        </w:rPr>
        <w:t>规定</w:t>
      </w:r>
      <w:r>
        <w:rPr>
          <w:rFonts w:hint="eastAsia"/>
          <w:bCs/>
          <w:sz w:val="24"/>
        </w:rPr>
        <w:t>网站”）等媒介披露，并保证基金投资者能够按照《基金合同》约定的时间和方式查阅或者复制公开披露的信息资料。</w:t>
      </w:r>
    </w:p>
    <w:p w14:paraId="7E9A9EA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0CC44FB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623224F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38C13EF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68999A1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67BA4B8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70F1A4E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0150511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0142CB8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7A869F0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五、公开披露的基金信息</w:t>
      </w:r>
    </w:p>
    <w:p w14:paraId="1990DD73"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公开披露的基金信息包括：</w:t>
      </w:r>
    </w:p>
    <w:p w14:paraId="658C4B9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523C85E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、基金合同是界定基金合同当事人的各项权利、义务关系，明确基金份额持有人大会召开的规则及具体程序，说明基金产品的特性等涉及基金投资人重大利益的事项的法律文件。</w:t>
      </w:r>
    </w:p>
    <w:p w14:paraId="76EA6CB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人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1A58F13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6129701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0DBEF2C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应当在基金份额发售的三日前，将基金份额发售公告、基金招募说明书提示性公告和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7174D23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（二）基金份额发售公告</w:t>
      </w:r>
    </w:p>
    <w:p w14:paraId="29B1C04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232B43E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（三）基金合同生效公告</w:t>
      </w:r>
    </w:p>
    <w:p w14:paraId="4DD7FCE2"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基金管理人应当在收到中国证监会确认文件的次日在规定媒介上登载基金合同生效公告。</w:t>
      </w:r>
    </w:p>
    <w:p w14:paraId="720D446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基金合同生效公告中将说明基金募集情况及发起资金提供方持有的基金份额、承诺持有的期限等情况。</w:t>
      </w:r>
    </w:p>
    <w:p w14:paraId="0205857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（四）基金净值信息</w:t>
      </w:r>
    </w:p>
    <w:p w14:paraId="28DD4D7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基金合同生效后，在开始办理基金份额申购或者赎回前，基金管理人应当至少每周在规定网站披露一次各类基金份额净值和各类基金份额累计净值。</w:t>
      </w:r>
    </w:p>
    <w:p w14:paraId="4CF0B88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在开始办理基金份额申购或者赎回后，基金管理人应当在不晚于每个开放日的次日，通过其规定网站、基金销售机构网站或营业网点披露开放日的各类基金份额净值和各类基金份额累计净值。</w:t>
      </w:r>
    </w:p>
    <w:p w14:paraId="49E3E0A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基金管理人应当在不晚于半年度和年度最后一日的次日，在规定网站披露半年度和年度最后一日的各类基金份额净值和各类基金份额累计净值。</w:t>
      </w:r>
    </w:p>
    <w:p w14:paraId="462EE0D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（五）基金份额申购、赎回价格</w:t>
      </w:r>
    </w:p>
    <w:p w14:paraId="0F74F82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份额申购、赎回价格的计算方式及有关申购、赎回费率，并保证投资人能够在基金销售机构网站或营业网点查阅或者复制前述信息资料。</w:t>
      </w:r>
    </w:p>
    <w:p w14:paraId="15605AF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2C8E801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71D3A07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5EC0712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个工作日内，编制完成基金季度报告，将季度报告登载在规定网站上，并将季度报告提示性公告登载在规定报刊上。</w:t>
      </w:r>
    </w:p>
    <w:p w14:paraId="17C13FA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6BB2DD4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的情形，为保障其他投资者的权益，基金管理人至少应当在定期报告“影响投资者决</w:t>
      </w:r>
      <w:r>
        <w:rPr>
          <w:rFonts w:hint="eastAsia"/>
          <w:bCs/>
          <w:sz w:val="24"/>
        </w:rPr>
        <w:lastRenderedPageBreak/>
        <w:t>策的其他重要信息”项下披露该投资者的类别、报告期末持有份额及占比、报告期内持有份额变化情况及本基金的特有风险，中国证监会认定的特殊情形除外。</w:t>
      </w:r>
    </w:p>
    <w:p w14:paraId="47DED151"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4A10EE0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（七）临时报告</w:t>
      </w:r>
    </w:p>
    <w:p w14:paraId="0687BDE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本基金发生重大事件，有关信息披露义务人应当依照《信息披露办法》的有关规定编制临时报告书，并登载在规定报刊和规定网站上。</w:t>
      </w:r>
    </w:p>
    <w:p w14:paraId="208D5EC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6A7A991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7C4EFCA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7D3FD74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1532B09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54AE273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38233AF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3A99718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2BA59F3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0BDAB46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、基金管理人的高级管理人员、基金经理和基金托管人专门基金托管部门负责人发生变动；</w:t>
      </w:r>
    </w:p>
    <w:p w14:paraId="6048046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45DD983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61265E8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80589B6"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2780B9B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1061C74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1227875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、某一类基金份额净值计价错误达该类基金份额净值百分之零点五；</w:t>
      </w:r>
    </w:p>
    <w:p w14:paraId="117F576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17</w:t>
      </w:r>
      <w:r>
        <w:rPr>
          <w:rFonts w:hint="eastAsia"/>
          <w:bCs/>
          <w:sz w:val="24"/>
        </w:rPr>
        <w:t>、本基金开始办理申购、赎回；</w:t>
      </w:r>
    </w:p>
    <w:p w14:paraId="5D4861C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3CDD0AC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06F45B0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6755CFDF"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、发生涉及基金申购、赎回事项调整或潜在影响投资者赎回等重大事项时；</w:t>
      </w:r>
    </w:p>
    <w:p w14:paraId="6214892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、本基金推出新业务或服务；</w:t>
      </w:r>
    </w:p>
    <w:p w14:paraId="48DEB9F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、本基金管理人采用摆动定价机制进行估值；</w:t>
      </w:r>
    </w:p>
    <w:p w14:paraId="239225C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24</w:t>
      </w:r>
      <w:r>
        <w:rPr>
          <w:rFonts w:hint="eastAsia"/>
          <w:bCs/>
          <w:sz w:val="24"/>
        </w:rPr>
        <w:t>、调整基金份额类别设置；</w:t>
      </w:r>
    </w:p>
    <w:p w14:paraId="38C041B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25</w:t>
      </w:r>
      <w:r>
        <w:rPr>
          <w:rFonts w:hint="eastAsia"/>
          <w:bCs/>
          <w:sz w:val="24"/>
        </w:rPr>
        <w:t>、基金信息披露义务人认为可能对基金份额持有人权益或者基金份额的价格产生重大影响的其他事项或中国证监会规定的其他事项。</w:t>
      </w:r>
    </w:p>
    <w:p w14:paraId="42A533E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（八）澄清公告</w:t>
      </w:r>
    </w:p>
    <w:p w14:paraId="56C5613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6D2F403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48BF518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基金份额持有人大会决定的事项，应当依法报中国证监会备案，并按照《信息披露办法》予以公告。</w:t>
      </w:r>
    </w:p>
    <w:p w14:paraId="6EA76FE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（十）清算报告</w:t>
      </w:r>
    </w:p>
    <w:p w14:paraId="287CABD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基金合同终止事由发生后，基金管理人应当依法组织基金财产清算小组对基金财产进行清算并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51D81BB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（十一）基金投资股指期货的信息披露</w:t>
      </w:r>
    </w:p>
    <w:p w14:paraId="6AABE417"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基金管理人应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5F5A316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（十二）投资国债期货的信息披露</w:t>
      </w:r>
    </w:p>
    <w:p w14:paraId="2227121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在在季度报告、中期报告、年度报告等定期报告和招募说明书更新等文件中披露的国债期货交易情况，应当包括投资政策、持仓情况、损益情况、风险指标等，并充分揭示国债期货交易对本基金总体风险的影响以及是否符合既定的投资政策和投资目标等。</w:t>
      </w:r>
    </w:p>
    <w:p w14:paraId="4FEDE0F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（十三）参与融资交易的信息披露</w:t>
      </w:r>
    </w:p>
    <w:p w14:paraId="73DCFB3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基金管理人应当在季度报告、中期报告、年度报告等定期报告和招募说明书（更新）等文件中披露参与融资交易情况，包括投资策略、业务开展情况、损益情况、风险及其管理情况等。</w:t>
      </w:r>
    </w:p>
    <w:p w14:paraId="7F9E346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（十四）基金投资股票期权的信息披露</w:t>
      </w:r>
    </w:p>
    <w:p w14:paraId="734C97D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C6A509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（十五）基金投资资产支持证券的信息披露</w:t>
      </w:r>
    </w:p>
    <w:p w14:paraId="75A2E5A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度报告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551435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（十六）本基金投资存托凭证的信息披露依照境内上市交易的股票执行。</w:t>
      </w:r>
    </w:p>
    <w:p w14:paraId="199103E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（十七）有关发起资金认购的基金份额的信息披露</w:t>
      </w:r>
    </w:p>
    <w:p w14:paraId="6B4F573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基金管理人应当按照相关法律的规定和监管机构的要求，在基金年度报告、中期报告、季度报告中分别披露基金管理人固有资金、基金管理人股东、基金管理人高级管理人员或基金经理持有基金的份额、期限</w:t>
      </w:r>
      <w:proofErr w:type="gramStart"/>
      <w:r>
        <w:rPr>
          <w:rFonts w:hint="eastAsia"/>
          <w:bCs/>
          <w:sz w:val="24"/>
        </w:rPr>
        <w:t>及期间</w:t>
      </w:r>
      <w:proofErr w:type="gramEnd"/>
      <w:r>
        <w:rPr>
          <w:rFonts w:hint="eastAsia"/>
          <w:bCs/>
          <w:sz w:val="24"/>
        </w:rPr>
        <w:t>的变动情况。</w:t>
      </w:r>
    </w:p>
    <w:p w14:paraId="5DD279FA"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（十八）实施</w:t>
      </w:r>
      <w:proofErr w:type="gramStart"/>
      <w:r>
        <w:rPr>
          <w:rFonts w:hint="eastAsia"/>
          <w:bCs/>
          <w:sz w:val="24"/>
        </w:rPr>
        <w:t>侧袋机制</w:t>
      </w:r>
      <w:proofErr w:type="gramEnd"/>
      <w:r>
        <w:rPr>
          <w:rFonts w:hint="eastAsia"/>
          <w:bCs/>
          <w:sz w:val="24"/>
        </w:rPr>
        <w:t>期间的信息披露</w:t>
      </w:r>
    </w:p>
    <w:p w14:paraId="6E9E5C49" w14:textId="77777777" w:rsidR="009214AE" w:rsidRDefault="00C66335">
      <w:pPr>
        <w:autoSpaceDE w:val="0"/>
        <w:autoSpaceDN w:val="0"/>
        <w:spacing w:line="360" w:lineRule="auto"/>
        <w:ind w:firstLineChars="200" w:firstLine="480"/>
        <w:textAlignment w:val="bottom"/>
        <w:rPr>
          <w:bCs/>
          <w:sz w:val="24"/>
        </w:rPr>
      </w:pPr>
      <w:r>
        <w:rPr>
          <w:rFonts w:hint="eastAsia"/>
          <w:bCs/>
          <w:sz w:val="24"/>
        </w:rPr>
        <w:lastRenderedPageBreak/>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4C474F0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（十九）中国证监会规定的其他信息。</w:t>
      </w:r>
    </w:p>
    <w:p w14:paraId="66AEEE8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六、信息披露事务管理</w:t>
      </w:r>
    </w:p>
    <w:p w14:paraId="60023D2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50F03E1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2B8B7C3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托管人应当按照相关法律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2128D46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基金管理人、基金托管人应当在</w:t>
      </w:r>
      <w:r>
        <w:rPr>
          <w:rFonts w:asciiTheme="minorEastAsia" w:hAnsiTheme="minorEastAsia" w:cs="Times New Roman" w:hint="eastAsia"/>
          <w:sz w:val="24"/>
          <w:szCs w:val="24"/>
        </w:rPr>
        <w:t>规定</w:t>
      </w:r>
      <w:r>
        <w:rPr>
          <w:rFonts w:hint="eastAsia"/>
          <w:bCs/>
          <w:sz w:val="24"/>
        </w:rPr>
        <w:t>报刊中选择一家报刊披露本基金信息。基金管理人、基金托管人应当向中国证监会基金电子信息披露网站报送拟披露的基金信息，并保证相关报送信息的真实、准确、完整、及时。</w:t>
      </w:r>
    </w:p>
    <w:p w14:paraId="36690A0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基金管理人、基金托管人除依法在</w:t>
      </w:r>
      <w:r>
        <w:rPr>
          <w:rFonts w:asciiTheme="minorEastAsia" w:hAnsiTheme="minorEastAsia" w:cs="Times New Roman" w:hint="eastAsia"/>
          <w:sz w:val="24"/>
          <w:szCs w:val="24"/>
        </w:rPr>
        <w:t>规定</w:t>
      </w:r>
      <w:r>
        <w:rPr>
          <w:rFonts w:hint="eastAsia"/>
          <w:bCs/>
          <w:sz w:val="24"/>
        </w:rPr>
        <w:t>媒介上披露信息外，还可以根据需要在其他公共媒介披露信息，但是其他公共媒介不得早于</w:t>
      </w:r>
      <w:r>
        <w:rPr>
          <w:rFonts w:asciiTheme="minorEastAsia" w:hAnsiTheme="minorEastAsia" w:cs="Times New Roman" w:hint="eastAsia"/>
          <w:sz w:val="24"/>
          <w:szCs w:val="24"/>
        </w:rPr>
        <w:t>规定</w:t>
      </w:r>
      <w:r>
        <w:rPr>
          <w:rFonts w:hint="eastAsia"/>
          <w:bCs/>
          <w:sz w:val="24"/>
        </w:rPr>
        <w:t>媒介披露信息，并且在不同媒介上披露同一信息的内容应当一致。</w:t>
      </w:r>
    </w:p>
    <w:p w14:paraId="76B342A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5610E7C5"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61984802"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2A0F4D9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28208408"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当出现下述情况时，基金管理人和基金托管人可暂停或延迟披露基金相关信息：</w:t>
      </w:r>
    </w:p>
    <w:p w14:paraId="0275E92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007DF9C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、出现《基金合同》约定的暂停估值的情形时；</w:t>
      </w:r>
    </w:p>
    <w:p w14:paraId="7BE4DA47" w14:textId="77777777" w:rsidR="009214AE" w:rsidRDefault="00C66335">
      <w:pPr>
        <w:autoSpaceDE w:val="0"/>
        <w:autoSpaceDN w:val="0"/>
        <w:spacing w:line="360" w:lineRule="auto"/>
        <w:ind w:firstLineChars="200" w:firstLine="480"/>
        <w:textAlignment w:val="bottom"/>
        <w:rPr>
          <w:bCs/>
          <w:sz w:val="24"/>
        </w:rPr>
      </w:pPr>
      <w:r>
        <w:rPr>
          <w:bCs/>
          <w:sz w:val="24"/>
        </w:rPr>
        <w:lastRenderedPageBreak/>
        <w:t>3</w:t>
      </w:r>
      <w:r>
        <w:rPr>
          <w:rFonts w:hint="eastAsia"/>
          <w:bCs/>
          <w:sz w:val="24"/>
        </w:rPr>
        <w:t>、法律法规、中国证监会规定或基金合同认定的其他情形。</w:t>
      </w:r>
    </w:p>
    <w:p w14:paraId="1596DE76" w14:textId="77777777" w:rsidR="009214AE" w:rsidRDefault="00C66335">
      <w:pPr>
        <w:widowControl/>
        <w:jc w:val="left"/>
        <w:rPr>
          <w:bCs/>
          <w:sz w:val="24"/>
        </w:rPr>
      </w:pPr>
      <w:r>
        <w:rPr>
          <w:bCs/>
          <w:sz w:val="24"/>
        </w:rPr>
        <w:br w:type="page"/>
      </w:r>
    </w:p>
    <w:p w14:paraId="57E1014C" w14:textId="77777777" w:rsidR="009214AE" w:rsidRDefault="00C66335">
      <w:pPr>
        <w:pStyle w:val="1"/>
        <w:jc w:val="center"/>
        <w:rPr>
          <w:sz w:val="30"/>
          <w:szCs w:val="30"/>
        </w:rPr>
      </w:pPr>
      <w:bookmarkStart w:id="314" w:name="_Toc164429429"/>
      <w:r>
        <w:rPr>
          <w:rFonts w:hint="eastAsia"/>
          <w:sz w:val="30"/>
          <w:szCs w:val="30"/>
        </w:rPr>
        <w:lastRenderedPageBreak/>
        <w:t>第十六部分</w:t>
      </w:r>
      <w:r>
        <w:rPr>
          <w:sz w:val="30"/>
          <w:szCs w:val="30"/>
        </w:rPr>
        <w:t xml:space="preserve">  </w:t>
      </w:r>
      <w:proofErr w:type="gramStart"/>
      <w:r>
        <w:rPr>
          <w:rFonts w:hint="eastAsia"/>
          <w:sz w:val="30"/>
          <w:szCs w:val="30"/>
        </w:rPr>
        <w:t>侧袋机制</w:t>
      </w:r>
      <w:bookmarkEnd w:id="314"/>
      <w:proofErr w:type="gramEnd"/>
    </w:p>
    <w:p w14:paraId="6DFBB5C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一、</w:t>
      </w:r>
      <w:proofErr w:type="gramStart"/>
      <w:r>
        <w:rPr>
          <w:rFonts w:hint="eastAsia"/>
          <w:bCs/>
          <w:sz w:val="24"/>
        </w:rPr>
        <w:t>侧袋机制</w:t>
      </w:r>
      <w:proofErr w:type="gramEnd"/>
      <w:r>
        <w:rPr>
          <w:rFonts w:hint="eastAsia"/>
          <w:bCs/>
          <w:sz w:val="24"/>
        </w:rPr>
        <w:t>的实施条件</w:t>
      </w:r>
    </w:p>
    <w:p w14:paraId="6C7A303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hint="eastAsia"/>
          <w:bCs/>
          <w:sz w:val="24"/>
        </w:rPr>
        <w:t>启用侧袋机制</w:t>
      </w:r>
      <w:proofErr w:type="gramEnd"/>
      <w:r>
        <w:rPr>
          <w:rFonts w:hint="eastAsia"/>
          <w:bCs/>
          <w:sz w:val="24"/>
        </w:rPr>
        <w:t>。</w:t>
      </w:r>
    </w:p>
    <w:p w14:paraId="2699B256"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基金管理人应当在启用</w:t>
      </w:r>
      <w:proofErr w:type="gramStart"/>
      <w:r>
        <w:rPr>
          <w:rFonts w:hint="eastAsia"/>
          <w:bCs/>
          <w:sz w:val="24"/>
        </w:rPr>
        <w:t>侧袋机制</w:t>
      </w:r>
      <w:proofErr w:type="gramEnd"/>
      <w:r>
        <w:rPr>
          <w:rFonts w:hint="eastAsia"/>
          <w:bCs/>
          <w:sz w:val="24"/>
        </w:rPr>
        <w:t>后及时发布临时公告，并及时聘请符合《中华人民共和国证券法》规定的会计师事务所进行审计并披露专项审计意见。</w:t>
      </w:r>
    </w:p>
    <w:p w14:paraId="715B51C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二、实施</w:t>
      </w:r>
      <w:proofErr w:type="gramStart"/>
      <w:r>
        <w:rPr>
          <w:rFonts w:hint="eastAsia"/>
          <w:bCs/>
          <w:sz w:val="24"/>
        </w:rPr>
        <w:t>侧袋机制</w:t>
      </w:r>
      <w:proofErr w:type="gramEnd"/>
      <w:r>
        <w:rPr>
          <w:rFonts w:hint="eastAsia"/>
          <w:bCs/>
          <w:sz w:val="24"/>
        </w:rPr>
        <w:t>期间基金份额的申购与赎回</w:t>
      </w:r>
    </w:p>
    <w:p w14:paraId="575E070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、启用</w:t>
      </w:r>
      <w:proofErr w:type="gramStart"/>
      <w:r>
        <w:rPr>
          <w:rFonts w:hint="eastAsia"/>
          <w:bCs/>
          <w:sz w:val="24"/>
        </w:rPr>
        <w:t>侧袋机制</w:t>
      </w:r>
      <w:proofErr w:type="gramEnd"/>
      <w:r>
        <w:rPr>
          <w:rFonts w:hint="eastAsia"/>
          <w:bCs/>
          <w:sz w:val="24"/>
        </w:rPr>
        <w:t>当日，基金登记机构以基金份额持有人的原有账户份额为基础，确认</w:t>
      </w:r>
      <w:proofErr w:type="gramStart"/>
      <w:r>
        <w:rPr>
          <w:rFonts w:hint="eastAsia"/>
          <w:bCs/>
          <w:sz w:val="24"/>
        </w:rPr>
        <w:t>相应侧袋账户</w:t>
      </w:r>
      <w:proofErr w:type="gramEnd"/>
      <w:r>
        <w:rPr>
          <w:rFonts w:hint="eastAsia"/>
          <w:bCs/>
          <w:sz w:val="24"/>
        </w:rPr>
        <w:t>基金份额持有人名册和份额；当日收到的申购申请，按照启用</w:t>
      </w:r>
      <w:proofErr w:type="gramStart"/>
      <w:r>
        <w:rPr>
          <w:rFonts w:hint="eastAsia"/>
          <w:bCs/>
          <w:sz w:val="24"/>
        </w:rPr>
        <w:t>侧袋机制</w:t>
      </w:r>
      <w:proofErr w:type="gramEnd"/>
      <w:r>
        <w:rPr>
          <w:rFonts w:hint="eastAsia"/>
          <w:bCs/>
          <w:sz w:val="24"/>
        </w:rPr>
        <w:t>后</w:t>
      </w:r>
      <w:proofErr w:type="gramStart"/>
      <w:r>
        <w:rPr>
          <w:rFonts w:hint="eastAsia"/>
          <w:bCs/>
          <w:sz w:val="24"/>
        </w:rPr>
        <w:t>的主袋账户</w:t>
      </w:r>
      <w:proofErr w:type="gramEnd"/>
      <w:r>
        <w:rPr>
          <w:rFonts w:hint="eastAsia"/>
          <w:bCs/>
          <w:sz w:val="24"/>
        </w:rPr>
        <w:t>份额办理；当日收到的赎回申请，仅</w:t>
      </w:r>
      <w:proofErr w:type="gramStart"/>
      <w:r>
        <w:rPr>
          <w:rFonts w:hint="eastAsia"/>
          <w:bCs/>
          <w:sz w:val="24"/>
        </w:rPr>
        <w:t>办理主袋账户</w:t>
      </w:r>
      <w:proofErr w:type="gramEnd"/>
      <w:r>
        <w:rPr>
          <w:rFonts w:hint="eastAsia"/>
          <w:bCs/>
          <w:sz w:val="24"/>
        </w:rPr>
        <w:t>的赎回申请并支付赎回款项。</w:t>
      </w:r>
    </w:p>
    <w:p w14:paraId="4D40849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、实施</w:t>
      </w:r>
      <w:proofErr w:type="gramStart"/>
      <w:r>
        <w:rPr>
          <w:rFonts w:hint="eastAsia"/>
          <w:bCs/>
          <w:sz w:val="24"/>
        </w:rPr>
        <w:t>侧袋机制</w:t>
      </w:r>
      <w:proofErr w:type="gramEnd"/>
      <w:r>
        <w:rPr>
          <w:rFonts w:hint="eastAsia"/>
          <w:bCs/>
          <w:sz w:val="24"/>
        </w:rPr>
        <w:t>期间，基金管理人不</w:t>
      </w:r>
      <w:proofErr w:type="gramStart"/>
      <w:r>
        <w:rPr>
          <w:rFonts w:hint="eastAsia"/>
          <w:bCs/>
          <w:sz w:val="24"/>
        </w:rPr>
        <w:t>办理侧袋账户</w:t>
      </w:r>
      <w:proofErr w:type="gramEnd"/>
      <w:r>
        <w:rPr>
          <w:rFonts w:hint="eastAsia"/>
          <w:bCs/>
          <w:sz w:val="24"/>
        </w:rPr>
        <w:t>份额的申购、赎回和转换；同时，基金管理人按照基金合同和招募说明书的约定</w:t>
      </w:r>
      <w:proofErr w:type="gramStart"/>
      <w:r>
        <w:rPr>
          <w:rFonts w:hint="eastAsia"/>
          <w:bCs/>
          <w:sz w:val="24"/>
        </w:rPr>
        <w:t>办理主袋账户</w:t>
      </w:r>
      <w:proofErr w:type="gramEnd"/>
      <w:r>
        <w:rPr>
          <w:rFonts w:hint="eastAsia"/>
          <w:bCs/>
          <w:sz w:val="24"/>
        </w:rPr>
        <w:t>份额的赎回，并</w:t>
      </w:r>
      <w:proofErr w:type="gramStart"/>
      <w:r>
        <w:rPr>
          <w:rFonts w:hint="eastAsia"/>
          <w:bCs/>
          <w:sz w:val="24"/>
        </w:rPr>
        <w:t>根据主袋账户</w:t>
      </w:r>
      <w:proofErr w:type="gramEnd"/>
      <w:r>
        <w:rPr>
          <w:rFonts w:hint="eastAsia"/>
          <w:bCs/>
          <w:sz w:val="24"/>
        </w:rPr>
        <w:t>运作情况确定是否暂停申购。</w:t>
      </w:r>
    </w:p>
    <w:p w14:paraId="3F2A6D2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、除基金管理人应</w:t>
      </w:r>
      <w:proofErr w:type="gramStart"/>
      <w:r>
        <w:rPr>
          <w:rFonts w:hint="eastAsia"/>
          <w:bCs/>
          <w:sz w:val="24"/>
        </w:rPr>
        <w:t>按照主袋账户</w:t>
      </w:r>
      <w:proofErr w:type="gramEnd"/>
      <w:r>
        <w:rPr>
          <w:rFonts w:hint="eastAsia"/>
          <w:bCs/>
          <w:sz w:val="24"/>
        </w:rPr>
        <w:t>的份额净值</w:t>
      </w:r>
      <w:proofErr w:type="gramStart"/>
      <w:r>
        <w:rPr>
          <w:rFonts w:hint="eastAsia"/>
          <w:bCs/>
          <w:sz w:val="24"/>
        </w:rPr>
        <w:t>办理主袋账户</w:t>
      </w:r>
      <w:proofErr w:type="gramEnd"/>
      <w:r>
        <w:rPr>
          <w:rFonts w:hint="eastAsia"/>
          <w:bCs/>
          <w:sz w:val="24"/>
        </w:rPr>
        <w:t>份额的申购和赎回外，本招募说明书“基金份额的申购与赎回”部分的申购、赎回规定</w:t>
      </w:r>
      <w:proofErr w:type="gramStart"/>
      <w:r>
        <w:rPr>
          <w:rFonts w:hint="eastAsia"/>
          <w:bCs/>
          <w:sz w:val="24"/>
        </w:rPr>
        <w:t>适用于主袋账户</w:t>
      </w:r>
      <w:proofErr w:type="gramEnd"/>
      <w:r>
        <w:rPr>
          <w:rFonts w:hint="eastAsia"/>
          <w:bCs/>
          <w:sz w:val="24"/>
        </w:rPr>
        <w:t>份额。巨额赎回按照单个开放</w:t>
      </w:r>
      <w:proofErr w:type="gramStart"/>
      <w:r>
        <w:rPr>
          <w:rFonts w:hint="eastAsia"/>
          <w:bCs/>
          <w:sz w:val="24"/>
        </w:rPr>
        <w:t>日内主袋账户</w:t>
      </w:r>
      <w:proofErr w:type="gramEnd"/>
      <w:r>
        <w:rPr>
          <w:rFonts w:hint="eastAsia"/>
          <w:bCs/>
          <w:sz w:val="24"/>
        </w:rPr>
        <w:t>份额净赎回申请超过前一开放</w:t>
      </w:r>
      <w:proofErr w:type="gramStart"/>
      <w:r>
        <w:rPr>
          <w:rFonts w:hint="eastAsia"/>
          <w:bCs/>
          <w:sz w:val="24"/>
        </w:rPr>
        <w:t>日主袋账户</w:t>
      </w:r>
      <w:proofErr w:type="gramEnd"/>
      <w:r>
        <w:rPr>
          <w:rFonts w:hint="eastAsia"/>
          <w:bCs/>
          <w:sz w:val="24"/>
        </w:rPr>
        <w:t>总份额的</w:t>
      </w:r>
      <w:r>
        <w:rPr>
          <w:rFonts w:hint="eastAsia"/>
          <w:bCs/>
          <w:sz w:val="24"/>
        </w:rPr>
        <w:t>10%</w:t>
      </w:r>
      <w:r>
        <w:rPr>
          <w:rFonts w:hint="eastAsia"/>
          <w:bCs/>
          <w:sz w:val="24"/>
        </w:rPr>
        <w:t>认定。</w:t>
      </w:r>
    </w:p>
    <w:p w14:paraId="59AAD0D4"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三、实施</w:t>
      </w:r>
      <w:proofErr w:type="gramStart"/>
      <w:r>
        <w:rPr>
          <w:rFonts w:hint="eastAsia"/>
          <w:bCs/>
          <w:sz w:val="24"/>
        </w:rPr>
        <w:t>侧袋机制</w:t>
      </w:r>
      <w:proofErr w:type="gramEnd"/>
      <w:r>
        <w:rPr>
          <w:rFonts w:hint="eastAsia"/>
          <w:bCs/>
          <w:sz w:val="24"/>
        </w:rPr>
        <w:t>期间的基金投资</w:t>
      </w:r>
    </w:p>
    <w:p w14:paraId="091A366D" w14:textId="77777777" w:rsidR="009214AE" w:rsidRDefault="00C66335">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实施期间，招募说明书“基金的投资”部分约定的投资组合比例、投资策略、组合限制、业绩比较基准、风险收益特征等约定仅</w:t>
      </w:r>
      <w:proofErr w:type="gramStart"/>
      <w:r>
        <w:rPr>
          <w:rFonts w:hint="eastAsia"/>
          <w:bCs/>
          <w:sz w:val="24"/>
        </w:rPr>
        <w:t>适用于主袋账户</w:t>
      </w:r>
      <w:proofErr w:type="gramEnd"/>
      <w:r>
        <w:rPr>
          <w:rFonts w:hint="eastAsia"/>
          <w:bCs/>
          <w:sz w:val="24"/>
        </w:rPr>
        <w:t>。基金管理人计算各项投资运作指标和基金业绩指标时仅需</w:t>
      </w:r>
      <w:proofErr w:type="gramStart"/>
      <w:r>
        <w:rPr>
          <w:rFonts w:hint="eastAsia"/>
          <w:bCs/>
          <w:sz w:val="24"/>
        </w:rPr>
        <w:t>考虑主袋账户</w:t>
      </w:r>
      <w:proofErr w:type="gramEnd"/>
      <w:r>
        <w:rPr>
          <w:rFonts w:hint="eastAsia"/>
          <w:bCs/>
          <w:sz w:val="24"/>
        </w:rPr>
        <w:t>资产。</w:t>
      </w:r>
    </w:p>
    <w:p w14:paraId="4DA6AC2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基金管理人原则上应当在</w:t>
      </w:r>
      <w:proofErr w:type="gramStart"/>
      <w:r>
        <w:rPr>
          <w:rFonts w:hint="eastAsia"/>
          <w:bCs/>
          <w:sz w:val="24"/>
        </w:rPr>
        <w:t>侧袋机制</w:t>
      </w:r>
      <w:proofErr w:type="gramEnd"/>
      <w:r>
        <w:rPr>
          <w:rFonts w:hint="eastAsia"/>
          <w:bCs/>
          <w:sz w:val="24"/>
        </w:rPr>
        <w:t>启用后</w:t>
      </w:r>
      <w:r>
        <w:rPr>
          <w:rFonts w:hint="eastAsia"/>
          <w:bCs/>
          <w:sz w:val="24"/>
        </w:rPr>
        <w:t>20</w:t>
      </w:r>
      <w:r>
        <w:rPr>
          <w:rFonts w:hint="eastAsia"/>
          <w:bCs/>
          <w:sz w:val="24"/>
        </w:rPr>
        <w:t>个交易日内完成</w:t>
      </w:r>
      <w:proofErr w:type="gramStart"/>
      <w:r>
        <w:rPr>
          <w:rFonts w:hint="eastAsia"/>
          <w:bCs/>
          <w:sz w:val="24"/>
        </w:rPr>
        <w:t>对主袋账户</w:t>
      </w:r>
      <w:proofErr w:type="gramEnd"/>
      <w:r>
        <w:rPr>
          <w:rFonts w:hint="eastAsia"/>
          <w:bCs/>
          <w:sz w:val="24"/>
        </w:rPr>
        <w:t>投资组合的调整，因资产流动性受限等中国证监会规定的情形除外。</w:t>
      </w:r>
    </w:p>
    <w:p w14:paraId="0E27CCC9"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基金管理人不得</w:t>
      </w:r>
      <w:proofErr w:type="gramStart"/>
      <w:r>
        <w:rPr>
          <w:rFonts w:hint="eastAsia"/>
          <w:bCs/>
          <w:sz w:val="24"/>
        </w:rPr>
        <w:t>在侧袋账户</w:t>
      </w:r>
      <w:proofErr w:type="gramEnd"/>
      <w:r>
        <w:rPr>
          <w:rFonts w:hint="eastAsia"/>
          <w:bCs/>
          <w:sz w:val="24"/>
        </w:rPr>
        <w:t>中进行除特定资产处置变现以外的其他投资操作。</w:t>
      </w:r>
    </w:p>
    <w:p w14:paraId="27E7E25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期间的基金估值</w:t>
      </w:r>
    </w:p>
    <w:p w14:paraId="05E3A4C3" w14:textId="77777777" w:rsidR="009214AE" w:rsidRDefault="00C66335">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的，基金管理人和基金托管人</w:t>
      </w:r>
      <w:proofErr w:type="gramStart"/>
      <w:r>
        <w:rPr>
          <w:rFonts w:hint="eastAsia"/>
          <w:bCs/>
          <w:sz w:val="24"/>
        </w:rPr>
        <w:t>应对主袋账户</w:t>
      </w:r>
      <w:proofErr w:type="gramEnd"/>
      <w:r>
        <w:rPr>
          <w:rFonts w:hint="eastAsia"/>
          <w:bCs/>
          <w:sz w:val="24"/>
        </w:rPr>
        <w:t>资产进行估</w:t>
      </w:r>
      <w:r>
        <w:rPr>
          <w:rFonts w:hint="eastAsia"/>
          <w:bCs/>
          <w:sz w:val="24"/>
        </w:rPr>
        <w:lastRenderedPageBreak/>
        <w:t>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份额净值。</w:t>
      </w:r>
      <w:proofErr w:type="gramStart"/>
      <w:r>
        <w:rPr>
          <w:rFonts w:hint="eastAsia"/>
          <w:bCs/>
          <w:sz w:val="24"/>
        </w:rPr>
        <w:t>侧袋账户</w:t>
      </w:r>
      <w:proofErr w:type="gramEnd"/>
      <w:r>
        <w:rPr>
          <w:rFonts w:hint="eastAsia"/>
          <w:bCs/>
          <w:sz w:val="24"/>
        </w:rPr>
        <w:t>的会计核算应符合《企业会计准则》的相关要求。</w:t>
      </w:r>
    </w:p>
    <w:p w14:paraId="09348F4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五、</w:t>
      </w:r>
      <w:proofErr w:type="gramStart"/>
      <w:r>
        <w:rPr>
          <w:rFonts w:hint="eastAsia"/>
          <w:bCs/>
          <w:sz w:val="24"/>
        </w:rPr>
        <w:t>实施侧袋账户</w:t>
      </w:r>
      <w:proofErr w:type="gramEnd"/>
      <w:r>
        <w:rPr>
          <w:rFonts w:hint="eastAsia"/>
          <w:bCs/>
          <w:sz w:val="24"/>
        </w:rPr>
        <w:t>期间的基金费用</w:t>
      </w:r>
    </w:p>
    <w:p w14:paraId="406A5B3C"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主袋账户</w:t>
      </w:r>
      <w:proofErr w:type="gramEnd"/>
      <w:r>
        <w:rPr>
          <w:rFonts w:hint="eastAsia"/>
          <w:bCs/>
          <w:sz w:val="24"/>
        </w:rPr>
        <w:t>的管理费、托管费、销售服务费</w:t>
      </w:r>
      <w:proofErr w:type="gramStart"/>
      <w:r>
        <w:rPr>
          <w:rFonts w:hint="eastAsia"/>
          <w:bCs/>
          <w:sz w:val="24"/>
        </w:rPr>
        <w:t>按主袋账户</w:t>
      </w:r>
      <w:proofErr w:type="gramEnd"/>
      <w:r>
        <w:rPr>
          <w:rFonts w:hint="eastAsia"/>
          <w:bCs/>
          <w:sz w:val="24"/>
        </w:rPr>
        <w:t>基金资产净值作为基数计提。</w:t>
      </w:r>
    </w:p>
    <w:p w14:paraId="4B3AD39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w:t>
      </w:r>
      <w:proofErr w:type="gramStart"/>
      <w:r>
        <w:rPr>
          <w:rFonts w:hint="eastAsia"/>
          <w:bCs/>
          <w:sz w:val="24"/>
        </w:rPr>
        <w:t>与侧袋账户</w:t>
      </w:r>
      <w:proofErr w:type="gramEnd"/>
      <w:r>
        <w:rPr>
          <w:rFonts w:hint="eastAsia"/>
          <w:bCs/>
          <w:sz w:val="24"/>
        </w:rPr>
        <w:t>有关的费用可</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w:t>
      </w:r>
    </w:p>
    <w:p w14:paraId="2AD4ADB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六、</w:t>
      </w:r>
      <w:proofErr w:type="gramStart"/>
      <w:r>
        <w:rPr>
          <w:rFonts w:hint="eastAsia"/>
          <w:bCs/>
          <w:sz w:val="24"/>
        </w:rPr>
        <w:t>侧袋账户</w:t>
      </w:r>
      <w:proofErr w:type="gramEnd"/>
      <w:r>
        <w:rPr>
          <w:rFonts w:hint="eastAsia"/>
          <w:bCs/>
          <w:sz w:val="24"/>
        </w:rPr>
        <w:t>中特定资产的处置变现和支付</w:t>
      </w:r>
    </w:p>
    <w:p w14:paraId="3C19E9A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特定资产以可出售、可转让、恢复交易等方式恢复流动性后，基金管理人应当按照基金份额持有人利益最大化原则，采取将特定资产予以处置变现等方式，及时</w:t>
      </w:r>
      <w:proofErr w:type="gramStart"/>
      <w:r>
        <w:rPr>
          <w:rFonts w:hint="eastAsia"/>
          <w:bCs/>
          <w:sz w:val="24"/>
        </w:rPr>
        <w:t>向侧袋账户</w:t>
      </w:r>
      <w:proofErr w:type="gramEnd"/>
      <w:r>
        <w:rPr>
          <w:rFonts w:hint="eastAsia"/>
          <w:bCs/>
          <w:sz w:val="24"/>
        </w:rPr>
        <w:t>份额持有人支付对应变现款项。</w:t>
      </w:r>
    </w:p>
    <w:p w14:paraId="49248148" w14:textId="77777777" w:rsidR="009214AE" w:rsidRDefault="00C66335">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w:t>
      </w:r>
      <w:proofErr w:type="gramStart"/>
      <w:r>
        <w:rPr>
          <w:rFonts w:hint="eastAsia"/>
          <w:bCs/>
          <w:sz w:val="24"/>
        </w:rPr>
        <w:t>无论侧袋账户</w:t>
      </w:r>
      <w:proofErr w:type="gramEnd"/>
      <w:r>
        <w:rPr>
          <w:rFonts w:hint="eastAsia"/>
          <w:bCs/>
          <w:sz w:val="24"/>
        </w:rPr>
        <w:t>资产是否全部完成变现，基金管理人都应当及时</w:t>
      </w:r>
      <w:proofErr w:type="gramStart"/>
      <w:r>
        <w:rPr>
          <w:rFonts w:hint="eastAsia"/>
          <w:bCs/>
          <w:sz w:val="24"/>
        </w:rPr>
        <w:t>向侧袋账户</w:t>
      </w:r>
      <w:proofErr w:type="gramEnd"/>
      <w:r>
        <w:rPr>
          <w:rFonts w:hint="eastAsia"/>
          <w:bCs/>
          <w:sz w:val="24"/>
        </w:rPr>
        <w:t>全部份额持有人支付已变现部分对应的款项。</w:t>
      </w:r>
      <w:proofErr w:type="gramStart"/>
      <w:r>
        <w:rPr>
          <w:rFonts w:hint="eastAsia"/>
          <w:bCs/>
          <w:sz w:val="24"/>
        </w:rPr>
        <w:t>若侧袋</w:t>
      </w:r>
      <w:proofErr w:type="gramEnd"/>
      <w:r>
        <w:rPr>
          <w:rFonts w:hint="eastAsia"/>
          <w:bCs/>
          <w:sz w:val="24"/>
        </w:rPr>
        <w:t>账户资产无法一次性完成处置变现，基金管理人在每次处置变现后均应按照相关法律法规要求及时发布临时公告。</w:t>
      </w:r>
    </w:p>
    <w:p w14:paraId="18807F0D" w14:textId="77777777" w:rsidR="009214AE" w:rsidRDefault="00C66335">
      <w:pPr>
        <w:autoSpaceDE w:val="0"/>
        <w:autoSpaceDN w:val="0"/>
        <w:spacing w:line="360" w:lineRule="auto"/>
        <w:ind w:firstLineChars="200" w:firstLine="480"/>
        <w:textAlignment w:val="bottom"/>
        <w:rPr>
          <w:bCs/>
          <w:sz w:val="24"/>
        </w:rPr>
      </w:pPr>
      <w:proofErr w:type="gramStart"/>
      <w:r>
        <w:rPr>
          <w:rFonts w:hint="eastAsia"/>
          <w:bCs/>
          <w:sz w:val="24"/>
        </w:rPr>
        <w:t>侧袋账户</w:t>
      </w:r>
      <w:proofErr w:type="gramEnd"/>
      <w:r>
        <w:rPr>
          <w:rFonts w:hint="eastAsia"/>
          <w:bCs/>
          <w:sz w:val="24"/>
        </w:rPr>
        <w:t>资产全部完成变现并终止</w:t>
      </w:r>
      <w:proofErr w:type="gramStart"/>
      <w:r>
        <w:rPr>
          <w:rFonts w:hint="eastAsia"/>
          <w:bCs/>
          <w:sz w:val="24"/>
        </w:rPr>
        <w:t>侧袋机制</w:t>
      </w:r>
      <w:proofErr w:type="gramEnd"/>
      <w:r>
        <w:rPr>
          <w:rFonts w:hint="eastAsia"/>
          <w:bCs/>
          <w:sz w:val="24"/>
        </w:rPr>
        <w:t>后，基金管理人应及时聘请符合《中华人民共和国证券法》规定的会计师事务所进行审计并披露专项审计意见。</w:t>
      </w:r>
    </w:p>
    <w:p w14:paraId="1496CBAD" w14:textId="77777777" w:rsidR="009214AE" w:rsidRDefault="00C66335">
      <w:pPr>
        <w:autoSpaceDE w:val="0"/>
        <w:autoSpaceDN w:val="0"/>
        <w:spacing w:line="360" w:lineRule="auto"/>
        <w:ind w:firstLineChars="200" w:firstLine="480"/>
        <w:textAlignment w:val="bottom"/>
        <w:rPr>
          <w:bCs/>
          <w:sz w:val="24"/>
        </w:rPr>
      </w:pPr>
      <w:r>
        <w:rPr>
          <w:rFonts w:hint="eastAsia"/>
          <w:bCs/>
          <w:sz w:val="24"/>
        </w:rPr>
        <w:t>七、</w:t>
      </w:r>
      <w:proofErr w:type="gramStart"/>
      <w:r>
        <w:rPr>
          <w:rFonts w:hint="eastAsia"/>
          <w:bCs/>
          <w:sz w:val="24"/>
        </w:rPr>
        <w:t>侧袋机制</w:t>
      </w:r>
      <w:proofErr w:type="gramEnd"/>
      <w:r>
        <w:rPr>
          <w:rFonts w:hint="eastAsia"/>
          <w:bCs/>
          <w:sz w:val="24"/>
        </w:rPr>
        <w:t>的信息披露</w:t>
      </w:r>
    </w:p>
    <w:p w14:paraId="781056EE" w14:textId="77777777" w:rsidR="009214AE" w:rsidRDefault="00C66335">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、临时公告</w:t>
      </w:r>
    </w:p>
    <w:p w14:paraId="25E3D35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在</w:t>
      </w:r>
      <w:proofErr w:type="gramStart"/>
      <w:r>
        <w:rPr>
          <w:rFonts w:hint="eastAsia"/>
          <w:bCs/>
          <w:sz w:val="24"/>
        </w:rPr>
        <w:t>启用侧袋机制</w:t>
      </w:r>
      <w:proofErr w:type="gramEnd"/>
      <w:r>
        <w:rPr>
          <w:rFonts w:hint="eastAsia"/>
          <w:bCs/>
          <w:sz w:val="24"/>
        </w:rPr>
        <w:t>、处置特定资产、终止</w:t>
      </w:r>
      <w:proofErr w:type="gramStart"/>
      <w:r>
        <w:rPr>
          <w:rFonts w:hint="eastAsia"/>
          <w:bCs/>
          <w:sz w:val="24"/>
        </w:rPr>
        <w:t>侧袋机制</w:t>
      </w:r>
      <w:proofErr w:type="gramEnd"/>
      <w:r>
        <w:rPr>
          <w:rFonts w:hint="eastAsia"/>
          <w:bCs/>
          <w:sz w:val="24"/>
        </w:rPr>
        <w:t>以及发生其他可能对投资者利益产生重大影响的事项后基金管理人应及时发布临时公告。</w:t>
      </w:r>
    </w:p>
    <w:p w14:paraId="302E587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、基金净值信息</w:t>
      </w:r>
    </w:p>
    <w:p w14:paraId="7D039940" w14:textId="77777777" w:rsidR="009214AE" w:rsidRDefault="00C66335">
      <w:pPr>
        <w:autoSpaceDE w:val="0"/>
        <w:autoSpaceDN w:val="0"/>
        <w:spacing w:line="360" w:lineRule="auto"/>
        <w:ind w:firstLineChars="200" w:firstLine="480"/>
        <w:textAlignment w:val="bottom"/>
        <w:rPr>
          <w:bCs/>
          <w:sz w:val="24"/>
        </w:rPr>
      </w:pPr>
      <w:r>
        <w:rPr>
          <w:rFonts w:hint="eastAsia"/>
          <w:bCs/>
          <w:sz w:val="24"/>
        </w:rPr>
        <w:t>基金管理人应按照招募说明书“基金的信息披露”部分规定的基金净值信息披露方式和频率</w:t>
      </w:r>
      <w:proofErr w:type="gramStart"/>
      <w:r>
        <w:rPr>
          <w:rFonts w:hint="eastAsia"/>
          <w:bCs/>
          <w:sz w:val="24"/>
        </w:rPr>
        <w:t>披露主袋账户</w:t>
      </w:r>
      <w:proofErr w:type="gramEnd"/>
      <w:r>
        <w:rPr>
          <w:rFonts w:hint="eastAsia"/>
          <w:bCs/>
          <w:sz w:val="24"/>
        </w:rPr>
        <w:t>份额的各类基金份额净值和基金份额累计净值。实施</w:t>
      </w:r>
      <w:proofErr w:type="gramStart"/>
      <w:r>
        <w:rPr>
          <w:rFonts w:hint="eastAsia"/>
          <w:bCs/>
          <w:sz w:val="24"/>
        </w:rPr>
        <w:t>侧袋机制</w:t>
      </w:r>
      <w:proofErr w:type="gramEnd"/>
      <w:r>
        <w:rPr>
          <w:rFonts w:hint="eastAsia"/>
          <w:bCs/>
          <w:sz w:val="24"/>
        </w:rPr>
        <w:t>期间本基金暂停</w:t>
      </w:r>
      <w:proofErr w:type="gramStart"/>
      <w:r>
        <w:rPr>
          <w:rFonts w:hint="eastAsia"/>
          <w:bCs/>
          <w:sz w:val="24"/>
        </w:rPr>
        <w:t>披露侧袋账户</w:t>
      </w:r>
      <w:proofErr w:type="gramEnd"/>
      <w:r>
        <w:rPr>
          <w:rFonts w:hint="eastAsia"/>
          <w:bCs/>
          <w:sz w:val="24"/>
        </w:rPr>
        <w:t>份额净值。</w:t>
      </w:r>
    </w:p>
    <w:p w14:paraId="0E1B20EB"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、定期报告</w:t>
      </w:r>
    </w:p>
    <w:p w14:paraId="41CA83CE" w14:textId="77777777" w:rsidR="009214AE" w:rsidRDefault="00C66335">
      <w:pPr>
        <w:autoSpaceDE w:val="0"/>
        <w:autoSpaceDN w:val="0"/>
        <w:spacing w:line="360" w:lineRule="auto"/>
        <w:ind w:firstLineChars="200" w:firstLine="480"/>
        <w:textAlignment w:val="bottom"/>
        <w:rPr>
          <w:bCs/>
          <w:sz w:val="24"/>
        </w:rPr>
      </w:pPr>
      <w:proofErr w:type="gramStart"/>
      <w:r>
        <w:rPr>
          <w:rFonts w:hint="eastAsia"/>
          <w:bCs/>
          <w:sz w:val="24"/>
        </w:rPr>
        <w:t>侧袋机制</w:t>
      </w:r>
      <w:proofErr w:type="gramEnd"/>
      <w:r>
        <w:rPr>
          <w:rFonts w:hint="eastAsia"/>
          <w:bCs/>
          <w:sz w:val="24"/>
        </w:rPr>
        <w:t>实施期间，基金管理人应当在基金定期报告中披露报告期</w:t>
      </w:r>
      <w:proofErr w:type="gramStart"/>
      <w:r>
        <w:rPr>
          <w:rFonts w:hint="eastAsia"/>
          <w:bCs/>
          <w:sz w:val="24"/>
        </w:rPr>
        <w:t>内侧袋</w:t>
      </w:r>
      <w:proofErr w:type="gramEnd"/>
      <w:r>
        <w:rPr>
          <w:rFonts w:hint="eastAsia"/>
          <w:bCs/>
          <w:sz w:val="24"/>
        </w:rPr>
        <w:t>账户相关信息，基金定期报告中的基金会计报表仅需</w:t>
      </w:r>
      <w:proofErr w:type="gramStart"/>
      <w:r>
        <w:rPr>
          <w:rFonts w:hint="eastAsia"/>
          <w:bCs/>
          <w:sz w:val="24"/>
        </w:rPr>
        <w:t>针对主袋账户</w:t>
      </w:r>
      <w:proofErr w:type="gramEnd"/>
      <w:r>
        <w:rPr>
          <w:rFonts w:hint="eastAsia"/>
          <w:bCs/>
          <w:sz w:val="24"/>
        </w:rPr>
        <w:t>进行编制。会计师事务所对基金年度报告进行审计时，应对报告期内基金</w:t>
      </w:r>
      <w:proofErr w:type="gramStart"/>
      <w:r>
        <w:rPr>
          <w:rFonts w:hint="eastAsia"/>
          <w:bCs/>
          <w:sz w:val="24"/>
        </w:rPr>
        <w:t>侧袋机制</w:t>
      </w:r>
      <w:proofErr w:type="gramEnd"/>
      <w:r>
        <w:rPr>
          <w:rFonts w:hint="eastAsia"/>
          <w:bCs/>
          <w:sz w:val="24"/>
        </w:rPr>
        <w:t>运行相关的会</w:t>
      </w:r>
      <w:r>
        <w:rPr>
          <w:rFonts w:hint="eastAsia"/>
          <w:bCs/>
          <w:sz w:val="24"/>
        </w:rPr>
        <w:lastRenderedPageBreak/>
        <w:t>计核算和年度报告披露等发表审计意见。</w:t>
      </w:r>
    </w:p>
    <w:p w14:paraId="112F44AA" w14:textId="77777777" w:rsidR="009214AE" w:rsidRDefault="00C66335">
      <w:pPr>
        <w:widowControl/>
        <w:jc w:val="left"/>
        <w:rPr>
          <w:bCs/>
          <w:sz w:val="24"/>
        </w:rPr>
      </w:pPr>
      <w:r>
        <w:rPr>
          <w:bCs/>
          <w:sz w:val="24"/>
        </w:rPr>
        <w:br w:type="page"/>
      </w:r>
    </w:p>
    <w:p w14:paraId="5D69E487" w14:textId="77777777" w:rsidR="009214AE" w:rsidRDefault="00C66335">
      <w:pPr>
        <w:pStyle w:val="1"/>
        <w:jc w:val="center"/>
        <w:rPr>
          <w:sz w:val="30"/>
          <w:szCs w:val="30"/>
        </w:rPr>
      </w:pPr>
      <w:bookmarkStart w:id="315" w:name="_Toc147463125"/>
      <w:bookmarkStart w:id="316" w:name="_Toc12357178"/>
      <w:bookmarkStart w:id="317" w:name="_Toc416264552"/>
      <w:bookmarkStart w:id="318" w:name="_Toc214873605"/>
      <w:bookmarkStart w:id="319" w:name="_Toc263092324"/>
      <w:bookmarkStart w:id="320" w:name="_Toc21073398"/>
      <w:bookmarkStart w:id="321" w:name="_Toc164429430"/>
      <w:bookmarkStart w:id="322" w:name="_Toc93226150"/>
      <w:bookmarkStart w:id="323" w:name="_Toc92662708"/>
      <w:bookmarkStart w:id="324" w:name="_Toc23859"/>
      <w:bookmarkStart w:id="325" w:name="_Toc21206"/>
      <w:bookmarkStart w:id="326" w:name="_Toc139991747"/>
      <w:bookmarkStart w:id="327" w:name="_Toc141703897"/>
      <w:bookmarkStart w:id="328" w:name="_Toc10894"/>
      <w:bookmarkStart w:id="329" w:name="_Toc13255"/>
      <w:bookmarkStart w:id="330" w:name="_Toc18007"/>
      <w:bookmarkStart w:id="331" w:name="_Toc28961"/>
      <w:bookmarkStart w:id="332" w:name="_Toc18747"/>
      <w:bookmarkStart w:id="333" w:name="_Toc1043"/>
      <w:bookmarkStart w:id="334" w:name="_Toc31736"/>
      <w:bookmarkStart w:id="335" w:name="_Toc29695"/>
      <w:bookmarkStart w:id="336" w:name="_Toc128310500"/>
      <w:bookmarkStart w:id="337" w:name="_Toc17499"/>
      <w:bookmarkStart w:id="338" w:name="_Toc352229763"/>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r>
        <w:rPr>
          <w:rFonts w:hint="eastAsia"/>
          <w:sz w:val="30"/>
          <w:szCs w:val="30"/>
        </w:rPr>
        <w:lastRenderedPageBreak/>
        <w:t>第十七部分</w:t>
      </w:r>
      <w:r>
        <w:rPr>
          <w:sz w:val="30"/>
          <w:szCs w:val="30"/>
        </w:rPr>
        <w:t xml:space="preserve">  </w:t>
      </w:r>
      <w:r>
        <w:rPr>
          <w:rFonts w:hint="eastAsia"/>
          <w:sz w:val="30"/>
          <w:szCs w:val="30"/>
        </w:rPr>
        <w:t>风险揭示</w:t>
      </w:r>
      <w:bookmarkEnd w:id="315"/>
      <w:bookmarkEnd w:id="316"/>
      <w:bookmarkEnd w:id="317"/>
      <w:bookmarkEnd w:id="318"/>
      <w:bookmarkEnd w:id="319"/>
      <w:bookmarkEnd w:id="320"/>
      <w:bookmarkEnd w:id="321"/>
    </w:p>
    <w:p w14:paraId="427106C7"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051DE42D"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66C74AB1"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068958EC"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E25096F"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4DE7CDE7"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0D2E3F2"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457F8A43"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48E813E4"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0A4FECB8"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37390EFC"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23009F9B"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9F7D0C7" w14:textId="77777777" w:rsidR="009214AE" w:rsidRDefault="00C66335">
      <w:pPr>
        <w:pStyle w:val="aff2"/>
        <w:numPr>
          <w:ilvl w:val="0"/>
          <w:numId w:val="3"/>
        </w:numPr>
        <w:adjustRightInd w:val="0"/>
        <w:snapToGrid w:val="0"/>
        <w:spacing w:line="360" w:lineRule="auto"/>
        <w:ind w:firstLineChars="0"/>
        <w:rPr>
          <w:rFonts w:asciiTheme="minorEastAsia" w:hAnsiTheme="minorEastAsia" w:cs="Arial" w:hint="eastAsia"/>
          <w:bCs/>
          <w:sz w:val="24"/>
          <w:szCs w:val="24"/>
        </w:rPr>
      </w:pPr>
      <w:r>
        <w:rPr>
          <w:rFonts w:asciiTheme="minorEastAsia" w:hAnsiTheme="minorEastAsia" w:cs="Arial" w:hint="eastAsia"/>
          <w:bCs/>
          <w:sz w:val="24"/>
          <w:szCs w:val="24"/>
        </w:rPr>
        <w:t>本基金的申购、赎回安排</w:t>
      </w:r>
    </w:p>
    <w:p w14:paraId="63114978" w14:textId="77777777" w:rsidR="009214AE" w:rsidRDefault="00C66335">
      <w:pPr>
        <w:pStyle w:val="aff2"/>
        <w:numPr>
          <w:ilvl w:val="0"/>
          <w:numId w:val="3"/>
        </w:numPr>
        <w:adjustRightInd w:val="0"/>
        <w:snapToGrid w:val="0"/>
        <w:spacing w:line="360" w:lineRule="auto"/>
        <w:ind w:firstLineChars="0"/>
        <w:rPr>
          <w:rFonts w:asciiTheme="minorEastAsia" w:hAnsiTheme="minorEastAsia" w:cs="Arial" w:hint="eastAsia"/>
          <w:bCs/>
          <w:sz w:val="24"/>
          <w:szCs w:val="24"/>
        </w:rPr>
      </w:pPr>
      <w:r>
        <w:rPr>
          <w:rFonts w:asciiTheme="minorEastAsia" w:hAnsiTheme="minorEastAsia" w:cs="Arial" w:hint="eastAsia"/>
          <w:bCs/>
          <w:sz w:val="24"/>
          <w:szCs w:val="24"/>
        </w:rPr>
        <w:t>拟投资市场、行业及资产的流动性风险评估</w:t>
      </w:r>
    </w:p>
    <w:p w14:paraId="293C5F01"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投资范围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0C157E1C"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w:t>
      </w:r>
      <w:r>
        <w:rPr>
          <w:rFonts w:asciiTheme="minorEastAsia" w:hAnsiTheme="minorEastAsia" w:cs="Arial"/>
          <w:bCs/>
          <w:sz w:val="24"/>
          <w:szCs w:val="24"/>
        </w:rPr>
        <w:t>3</w:t>
      </w:r>
      <w:r>
        <w:rPr>
          <w:rFonts w:asciiTheme="minorEastAsia" w:hAnsiTheme="minorEastAsia" w:cs="Arial" w:hint="eastAsia"/>
          <w:bCs/>
          <w:sz w:val="24"/>
          <w:szCs w:val="24"/>
        </w:rPr>
        <w:t xml:space="preserve">）巨额赎回情形下的流动性风险管理措施 </w:t>
      </w:r>
    </w:p>
    <w:p w14:paraId="2F93BC5C"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的基金份额超过上一开放日基金总份额一定比例以上的，基金管理人有权对其采取延期办理赎回申请的措施。</w:t>
      </w:r>
    </w:p>
    <w:p w14:paraId="51ADD423"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（4）实施备用的流动性风险管理工具的情形、程序及对投资者的潜在影响</w:t>
      </w:r>
    </w:p>
    <w:p w14:paraId="14B01DD5"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摆动定价、</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4375230F"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是一种流动性风险管理工具，是将特定资产分离</w:t>
      </w:r>
      <w:proofErr w:type="gramStart"/>
      <w:r>
        <w:rPr>
          <w:rFonts w:asciiTheme="minorEastAsia" w:hAnsiTheme="minorEastAsia" w:cs="Arial" w:hint="eastAsia"/>
          <w:bCs/>
          <w:sz w:val="24"/>
          <w:szCs w:val="24"/>
        </w:rPr>
        <w:t>至专门的侧袋</w:t>
      </w:r>
      <w:proofErr w:type="gramEnd"/>
      <w:r>
        <w:rPr>
          <w:rFonts w:asciiTheme="minorEastAsia" w:hAnsiTheme="minorEastAsia" w:cs="Arial" w:hint="eastAsia"/>
          <w:bCs/>
          <w:sz w:val="24"/>
          <w:szCs w:val="24"/>
        </w:rPr>
        <w:t>账户进行处置清算，并以处置变现后的款项向基金份额持有人进行支付，目的在于有效隔离并化解风险。但基金启用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w:t>
      </w:r>
      <w:proofErr w:type="gramStart"/>
      <w:r>
        <w:rPr>
          <w:rFonts w:asciiTheme="minorEastAsia" w:hAnsiTheme="minorEastAsia" w:cs="Arial" w:hint="eastAsia"/>
          <w:bCs/>
          <w:sz w:val="24"/>
          <w:szCs w:val="24"/>
        </w:rPr>
        <w:t>侧袋账户</w:t>
      </w:r>
      <w:proofErr w:type="gramEnd"/>
      <w:r>
        <w:rPr>
          <w:rFonts w:asciiTheme="minorEastAsia" w:hAnsiTheme="minorEastAsia" w:cs="Arial" w:hint="eastAsia"/>
          <w:bCs/>
          <w:sz w:val="24"/>
          <w:szCs w:val="24"/>
        </w:rPr>
        <w:t>份额将停止披露基金份额净值，并不得办理申购、赎回和转换，</w:t>
      </w:r>
      <w:proofErr w:type="gramStart"/>
      <w:r>
        <w:rPr>
          <w:rFonts w:asciiTheme="minorEastAsia" w:hAnsiTheme="minorEastAsia" w:cs="Arial" w:hint="eastAsia"/>
          <w:bCs/>
          <w:sz w:val="24"/>
          <w:szCs w:val="24"/>
        </w:rPr>
        <w:t>仅主袋</w:t>
      </w:r>
      <w:proofErr w:type="gramEnd"/>
      <w:r>
        <w:rPr>
          <w:rFonts w:asciiTheme="minorEastAsia" w:hAnsiTheme="minorEastAsia" w:cs="Arial" w:hint="eastAsia"/>
          <w:bCs/>
          <w:sz w:val="24"/>
          <w:szCs w:val="24"/>
        </w:rPr>
        <w:t>账户份额正常开放赎回，因此启用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时持有基金份额的持有人将在启用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后同时</w:t>
      </w:r>
      <w:proofErr w:type="gramStart"/>
      <w:r>
        <w:rPr>
          <w:rFonts w:asciiTheme="minorEastAsia" w:hAnsiTheme="minorEastAsia" w:cs="Arial" w:hint="eastAsia"/>
          <w:bCs/>
          <w:sz w:val="24"/>
          <w:szCs w:val="24"/>
        </w:rPr>
        <w:t>持有主袋账户</w:t>
      </w:r>
      <w:proofErr w:type="gramEnd"/>
      <w:r>
        <w:rPr>
          <w:rFonts w:asciiTheme="minorEastAsia" w:hAnsiTheme="minorEastAsia" w:cs="Arial" w:hint="eastAsia"/>
          <w:bCs/>
          <w:sz w:val="24"/>
          <w:szCs w:val="24"/>
        </w:rPr>
        <w:t>份额和</w:t>
      </w:r>
      <w:proofErr w:type="gramStart"/>
      <w:r>
        <w:rPr>
          <w:rFonts w:asciiTheme="minorEastAsia" w:hAnsiTheme="minorEastAsia" w:cs="Arial" w:hint="eastAsia"/>
          <w:bCs/>
          <w:sz w:val="24"/>
          <w:szCs w:val="24"/>
        </w:rPr>
        <w:t>侧袋</w:t>
      </w:r>
      <w:proofErr w:type="gramEnd"/>
      <w:r>
        <w:rPr>
          <w:rFonts w:asciiTheme="minorEastAsia" w:hAnsiTheme="minorEastAsia" w:cs="Arial" w:hint="eastAsia"/>
          <w:bCs/>
          <w:sz w:val="24"/>
          <w:szCs w:val="24"/>
        </w:rPr>
        <w:t>账户份额，</w:t>
      </w:r>
      <w:proofErr w:type="gramStart"/>
      <w:r>
        <w:rPr>
          <w:rFonts w:asciiTheme="minorEastAsia" w:hAnsiTheme="minorEastAsia" w:cs="Arial" w:hint="eastAsia"/>
          <w:bCs/>
          <w:sz w:val="24"/>
          <w:szCs w:val="24"/>
        </w:rPr>
        <w:t>侧袋账户</w:t>
      </w:r>
      <w:proofErr w:type="gramEnd"/>
      <w:r>
        <w:rPr>
          <w:rFonts w:asciiTheme="minorEastAsia" w:hAnsiTheme="minorEastAsia" w:cs="Arial" w:hint="eastAsia"/>
          <w:bCs/>
          <w:sz w:val="24"/>
          <w:szCs w:val="24"/>
        </w:rPr>
        <w:t>份额不能赎回，其对应特定资产的变现时间具有不确定性，最终变现价格也具有不确定性并且有可能大幅低于启用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时的特定资产的估值，基金份额持有人可能因此面临损失。</w:t>
      </w:r>
    </w:p>
    <w:p w14:paraId="7FCED681"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实施</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期间，因本基金不</w:t>
      </w:r>
      <w:proofErr w:type="gramStart"/>
      <w:r>
        <w:rPr>
          <w:rFonts w:asciiTheme="minorEastAsia" w:hAnsiTheme="minorEastAsia" w:cs="Arial" w:hint="eastAsia"/>
          <w:bCs/>
          <w:sz w:val="24"/>
          <w:szCs w:val="24"/>
        </w:rPr>
        <w:t>披露侧袋账户</w:t>
      </w:r>
      <w:proofErr w:type="gramEnd"/>
      <w:r>
        <w:rPr>
          <w:rFonts w:asciiTheme="minorEastAsia" w:hAnsiTheme="minorEastAsia" w:cs="Arial" w:hint="eastAsia"/>
          <w:bCs/>
          <w:sz w:val="24"/>
          <w:szCs w:val="24"/>
        </w:rPr>
        <w:t>份额的净值，即便基金管理人在基金定期报告中披露报告期末特定资产可变现净值或净值区间的，也不作为特定资产最终变现价格的承诺，因此对于特定资产的公允价值和最终变现价格，基金管理人不承担任何保证和承诺的责任。</w:t>
      </w:r>
    </w:p>
    <w:p w14:paraId="3D080DD2"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基金管理人将</w:t>
      </w:r>
      <w:proofErr w:type="gramStart"/>
      <w:r>
        <w:rPr>
          <w:rFonts w:asciiTheme="minorEastAsia" w:hAnsiTheme="minorEastAsia" w:cs="Arial" w:hint="eastAsia"/>
          <w:bCs/>
          <w:sz w:val="24"/>
          <w:szCs w:val="24"/>
        </w:rPr>
        <w:t>根据主袋账户</w:t>
      </w:r>
      <w:proofErr w:type="gramEnd"/>
      <w:r>
        <w:rPr>
          <w:rFonts w:asciiTheme="minorEastAsia" w:hAnsiTheme="minorEastAsia" w:cs="Arial" w:hint="eastAsia"/>
          <w:bCs/>
          <w:sz w:val="24"/>
          <w:szCs w:val="24"/>
        </w:rPr>
        <w:t>运作情况合理确定申购政策,因此实施</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后主袋账户份额存在暂停申购的可能。</w:t>
      </w:r>
    </w:p>
    <w:p w14:paraId="79070DF9"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启用</w:t>
      </w:r>
      <w:proofErr w:type="gramStart"/>
      <w:r>
        <w:rPr>
          <w:rFonts w:asciiTheme="minorEastAsia" w:hAnsiTheme="minorEastAsia" w:cs="Arial" w:hint="eastAsia"/>
          <w:bCs/>
          <w:sz w:val="24"/>
          <w:szCs w:val="24"/>
        </w:rPr>
        <w:t>侧袋机制</w:t>
      </w:r>
      <w:proofErr w:type="gramEnd"/>
      <w:r>
        <w:rPr>
          <w:rFonts w:asciiTheme="minorEastAsia" w:hAnsiTheme="minorEastAsia" w:cs="Arial" w:hint="eastAsia"/>
          <w:bCs/>
          <w:sz w:val="24"/>
          <w:szCs w:val="24"/>
        </w:rPr>
        <w:t>后，基金管理人计算各项投资运作指标和基金业绩指标时仅需</w:t>
      </w:r>
      <w:proofErr w:type="gramStart"/>
      <w:r>
        <w:rPr>
          <w:rFonts w:asciiTheme="minorEastAsia" w:hAnsiTheme="minorEastAsia" w:cs="Arial" w:hint="eastAsia"/>
          <w:bCs/>
          <w:sz w:val="24"/>
          <w:szCs w:val="24"/>
        </w:rPr>
        <w:lastRenderedPageBreak/>
        <w:t>考虑主袋账户</w:t>
      </w:r>
      <w:proofErr w:type="gramEnd"/>
      <w:r>
        <w:rPr>
          <w:rFonts w:asciiTheme="minorEastAsia" w:hAnsiTheme="minorEastAsia" w:cs="Arial" w:hint="eastAsia"/>
          <w:bCs/>
          <w:sz w:val="24"/>
          <w:szCs w:val="24"/>
        </w:rPr>
        <w:t>资产，基金业绩指标应当</w:t>
      </w:r>
      <w:proofErr w:type="gramStart"/>
      <w:r>
        <w:rPr>
          <w:rFonts w:asciiTheme="minorEastAsia" w:hAnsiTheme="minorEastAsia" w:cs="Arial" w:hint="eastAsia"/>
          <w:bCs/>
          <w:sz w:val="24"/>
          <w:szCs w:val="24"/>
        </w:rPr>
        <w:t>以主袋账户</w:t>
      </w:r>
      <w:proofErr w:type="gramEnd"/>
      <w:r>
        <w:rPr>
          <w:rFonts w:asciiTheme="minorEastAsia" w:hAnsiTheme="minorEastAsia" w:cs="Arial" w:hint="eastAsia"/>
          <w:bCs/>
          <w:sz w:val="24"/>
          <w:szCs w:val="24"/>
        </w:rPr>
        <w:t>资产为基准，因此本基金披露的业绩指标不能反映特定资产的真实价值及变化情况。</w:t>
      </w:r>
    </w:p>
    <w:p w14:paraId="1EAFFDC0"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60A65EA1"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98922F3"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4D0EA3A9"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5A96D00"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0FC77457"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71C6F130"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781FB87E"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73F5B5ED"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、股指期货、国债期货投资风险</w:t>
      </w:r>
    </w:p>
    <w:p w14:paraId="3451448D"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CBFAE04"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w:t>
      </w:r>
      <w:r>
        <w:rPr>
          <w:rFonts w:asciiTheme="minorEastAsia" w:hAnsiTheme="minorEastAsia" w:cs="Arial" w:hint="eastAsia"/>
          <w:bCs/>
          <w:sz w:val="24"/>
          <w:szCs w:val="24"/>
        </w:rPr>
        <w:lastRenderedPageBreak/>
        <w:t>证金，按规定将被强制平仓，可能给投资带来重大损失。</w:t>
      </w:r>
    </w:p>
    <w:p w14:paraId="50838C4B"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3、资产支持证券投资风险</w:t>
      </w:r>
    </w:p>
    <w:p w14:paraId="61AA05F7"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52B3C413"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4、股票期权投资风险</w:t>
      </w:r>
    </w:p>
    <w:p w14:paraId="5575E398"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6A91E21"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5、存托凭证投资风险</w:t>
      </w:r>
    </w:p>
    <w:p w14:paraId="40F59EA5"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29D404CC" w14:textId="77777777" w:rsidR="009214AE" w:rsidRDefault="00C66335">
      <w:pPr>
        <w:spacing w:line="360" w:lineRule="auto"/>
        <w:ind w:firstLine="480"/>
        <w:rPr>
          <w:rFonts w:hAnsi="宋体" w:hint="eastAsia"/>
          <w:bCs/>
          <w:sz w:val="24"/>
          <w:szCs w:val="24"/>
        </w:rPr>
      </w:pPr>
      <w:r>
        <w:rPr>
          <w:rFonts w:asciiTheme="minorEastAsia" w:hAnsiTheme="minorEastAsia" w:cs="Arial" w:hint="eastAsia"/>
          <w:bCs/>
          <w:sz w:val="24"/>
          <w:szCs w:val="24"/>
        </w:rPr>
        <w:t>6、</w:t>
      </w:r>
      <w:r>
        <w:rPr>
          <w:rFonts w:asciiTheme="minorEastAsia" w:hAnsiTheme="minorEastAsia" w:hint="eastAsia"/>
          <w:bCs/>
          <w:sz w:val="24"/>
          <w:szCs w:val="24"/>
        </w:rPr>
        <w:t>参与</w:t>
      </w:r>
      <w:r>
        <w:rPr>
          <w:rFonts w:hAnsi="宋体" w:hint="eastAsia"/>
          <w:bCs/>
          <w:sz w:val="24"/>
          <w:szCs w:val="24"/>
        </w:rPr>
        <w:t>融资业务相关风险</w:t>
      </w:r>
    </w:p>
    <w:p w14:paraId="45C8CC51" w14:textId="77777777" w:rsidR="009214AE" w:rsidRDefault="00C66335">
      <w:pPr>
        <w:adjustRightInd w:val="0"/>
        <w:snapToGrid w:val="0"/>
        <w:spacing w:line="360" w:lineRule="auto"/>
        <w:ind w:firstLineChars="200" w:firstLine="480"/>
        <w:rPr>
          <w:rFonts w:hAnsi="宋体" w:hint="eastAsia"/>
          <w:sz w:val="24"/>
          <w:szCs w:val="24"/>
        </w:rPr>
      </w:pPr>
      <w:r>
        <w:rPr>
          <w:rFonts w:hAnsi="宋体" w:hint="eastAsia"/>
          <w:sz w:val="24"/>
          <w:szCs w:val="24"/>
        </w:rPr>
        <w:t>本基金可根据法律法规的规定参与融资业务，参与融资交易的风险主要包括流动性风险、信用风险等，这些风险可能会给基金净值带来一定的负面影响和损失。为了更好的防范融资交易所面临的各类风险，基金管理人将遵守审慎经营原则，制定科学合理的投资策略和风险管理制度，有效防范和控制风险，切实维护基金财产的安全和基金份额持有人利益。</w:t>
      </w:r>
    </w:p>
    <w:p w14:paraId="435320D5"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sz w:val="24"/>
          <w:szCs w:val="24"/>
        </w:rPr>
        <w:lastRenderedPageBreak/>
        <w:t>7、</w:t>
      </w:r>
      <w:r>
        <w:rPr>
          <w:rFonts w:asciiTheme="minorEastAsia" w:hAnsiTheme="minorEastAsia" w:cs="Arial" w:hint="eastAsia"/>
          <w:bCs/>
          <w:sz w:val="24"/>
          <w:szCs w:val="24"/>
        </w:rPr>
        <w:t>与发起</w:t>
      </w:r>
      <w:proofErr w:type="gramStart"/>
      <w:r>
        <w:rPr>
          <w:rFonts w:asciiTheme="minorEastAsia" w:hAnsiTheme="minorEastAsia" w:cs="Arial" w:hint="eastAsia"/>
          <w:bCs/>
          <w:sz w:val="24"/>
          <w:szCs w:val="24"/>
        </w:rPr>
        <w:t>式基金</w:t>
      </w:r>
      <w:proofErr w:type="gramEnd"/>
      <w:r>
        <w:rPr>
          <w:rFonts w:asciiTheme="minorEastAsia" w:hAnsiTheme="minorEastAsia" w:cs="Arial" w:hint="eastAsia"/>
          <w:bCs/>
          <w:sz w:val="24"/>
          <w:szCs w:val="24"/>
        </w:rPr>
        <w:t>运作方式相关的基金合同提前终止风险</w:t>
      </w:r>
    </w:p>
    <w:p w14:paraId="671F6A50"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本基金的《基金合同》生效之日起三年后的对应日，</w:t>
      </w:r>
      <w:proofErr w:type="gramStart"/>
      <w:r>
        <w:rPr>
          <w:rFonts w:asciiTheme="minorEastAsia" w:hAnsiTheme="minorEastAsia" w:cs="Arial" w:hint="eastAsia"/>
          <w:bCs/>
          <w:sz w:val="24"/>
          <w:szCs w:val="24"/>
        </w:rPr>
        <w:t>若基金</w:t>
      </w:r>
      <w:proofErr w:type="gramEnd"/>
      <w:r>
        <w:rPr>
          <w:rFonts w:asciiTheme="minorEastAsia" w:hAnsiTheme="minorEastAsia" w:cs="Arial" w:hint="eastAsia"/>
          <w:bCs/>
          <w:sz w:val="24"/>
          <w:szCs w:val="24"/>
        </w:rPr>
        <w:t>资产净值低于2亿元，本基金将根据《基金合同》的约定进行基金财产清算并终止，无需召开基金份额持有人大会审议，且不得通过召开基金份额持有人大会延续基金合同期限，存在着基金合同提前终止的风险。</w:t>
      </w:r>
    </w:p>
    <w:p w14:paraId="3B3E5E39"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62B17E68"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4E4B437B"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3868AE82"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22FB8F7D"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27BC7538"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3E9B1C6" w14:textId="77777777" w:rsidR="009214AE" w:rsidRDefault="00C66335">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20FEB619" w14:textId="77777777" w:rsidR="009214AE" w:rsidRDefault="009214AE">
      <w:pPr>
        <w:widowControl/>
        <w:spacing w:line="360" w:lineRule="auto"/>
        <w:jc w:val="left"/>
        <w:rPr>
          <w:rFonts w:asciiTheme="minorEastAsia" w:hAnsiTheme="minorEastAsia" w:cs="Times New Roman" w:hint="eastAsia"/>
          <w:b/>
          <w:bCs/>
          <w:kern w:val="44"/>
          <w:sz w:val="24"/>
          <w:szCs w:val="24"/>
        </w:rPr>
        <w:sectPr w:rsidR="009214AE" w:rsidSect="004C0C2D">
          <w:footerReference w:type="default" r:id="rId29"/>
          <w:pgSz w:w="11906" w:h="16838"/>
          <w:pgMar w:top="1440" w:right="1800" w:bottom="1440" w:left="1800" w:header="851" w:footer="992" w:gutter="0"/>
          <w:pgNumType w:chapStyle="1"/>
          <w:cols w:space="720"/>
          <w:docGrid w:type="lines" w:linePitch="312"/>
        </w:sectPr>
      </w:pPr>
    </w:p>
    <w:p w14:paraId="669C8F22" w14:textId="77777777" w:rsidR="009214AE" w:rsidRDefault="00C66335">
      <w:pPr>
        <w:pStyle w:val="1"/>
        <w:ind w:firstLine="600"/>
        <w:jc w:val="center"/>
      </w:pPr>
      <w:bookmarkStart w:id="339" w:name="_Toc164429431"/>
      <w:r>
        <w:rPr>
          <w:rFonts w:hint="eastAsia"/>
          <w:sz w:val="30"/>
          <w:szCs w:val="30"/>
        </w:rPr>
        <w:lastRenderedPageBreak/>
        <w:t>第十八部分</w:t>
      </w:r>
      <w:r>
        <w:rPr>
          <w:sz w:val="30"/>
          <w:szCs w:val="30"/>
        </w:rPr>
        <w:t xml:space="preserve">  </w:t>
      </w:r>
      <w:bookmarkEnd w:id="322"/>
      <w:bookmarkEnd w:id="323"/>
      <w:r>
        <w:rPr>
          <w:rFonts w:hint="eastAsia"/>
          <w:sz w:val="30"/>
          <w:szCs w:val="30"/>
        </w:rPr>
        <w:t>基金合同的变更、终止与基金财产的清算</w:t>
      </w:r>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p>
    <w:p w14:paraId="1F2BFD95" w14:textId="77777777" w:rsidR="009214AE" w:rsidRDefault="00C66335">
      <w:pPr>
        <w:autoSpaceDE w:val="0"/>
        <w:autoSpaceDN w:val="0"/>
        <w:spacing w:line="360" w:lineRule="auto"/>
        <w:ind w:firstLineChars="200" w:firstLine="480"/>
        <w:textAlignment w:val="bottom"/>
        <w:rPr>
          <w:bCs/>
          <w:sz w:val="24"/>
        </w:rPr>
      </w:pPr>
      <w:bookmarkStart w:id="340" w:name="_Toc79392639"/>
      <w:bookmarkStart w:id="341" w:name="_Toc11049"/>
      <w:bookmarkStart w:id="342" w:name="_Toc12028"/>
      <w:bookmarkStart w:id="343" w:name="_Toc29289"/>
      <w:bookmarkStart w:id="344" w:name="_Toc21351"/>
      <w:bookmarkStart w:id="345" w:name="_Toc352229764"/>
      <w:bookmarkStart w:id="346" w:name="_Toc93226151"/>
      <w:bookmarkStart w:id="347" w:name="_Toc8512"/>
      <w:bookmarkStart w:id="348" w:name="_Toc1421"/>
      <w:bookmarkStart w:id="349" w:name="_Toc1173"/>
      <w:bookmarkStart w:id="350" w:name="_Toc193"/>
      <w:bookmarkStart w:id="351" w:name="_Toc31866"/>
      <w:bookmarkStart w:id="352" w:name="_Toc11802"/>
      <w:bookmarkStart w:id="353" w:name="_Toc139991748"/>
      <w:bookmarkStart w:id="354" w:name="_Toc92662709"/>
      <w:bookmarkStart w:id="355" w:name="_Toc128310501"/>
      <w:bookmarkStart w:id="356" w:name="_Toc141703898"/>
      <w:bookmarkStart w:id="357" w:name="_Toc3056"/>
      <w:r>
        <w:rPr>
          <w:bCs/>
          <w:sz w:val="24"/>
        </w:rPr>
        <w:t>一、《基金合同》的变更</w:t>
      </w:r>
      <w:bookmarkEnd w:id="340"/>
    </w:p>
    <w:p w14:paraId="75AC0069" w14:textId="77777777" w:rsidR="009214AE" w:rsidRDefault="00C66335">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6298C0B1" w14:textId="77777777" w:rsidR="009214AE" w:rsidRDefault="00C66335">
      <w:pPr>
        <w:autoSpaceDE w:val="0"/>
        <w:autoSpaceDN w:val="0"/>
        <w:spacing w:line="360" w:lineRule="auto"/>
        <w:ind w:firstLineChars="200" w:firstLine="480"/>
        <w:textAlignment w:val="bottom"/>
        <w:rPr>
          <w:bCs/>
          <w:sz w:val="24"/>
        </w:rPr>
      </w:pP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Pr>
          <w:rFonts w:asciiTheme="minorEastAsia" w:hAnsiTheme="minorEastAsia" w:cs="Times New Roman" w:hint="eastAsia"/>
          <w:sz w:val="24"/>
          <w:szCs w:val="24"/>
        </w:rPr>
        <w:t>规定</w:t>
      </w:r>
      <w:r>
        <w:rPr>
          <w:bCs/>
          <w:sz w:val="24"/>
        </w:rPr>
        <w:t>媒介公告。</w:t>
      </w:r>
    </w:p>
    <w:p w14:paraId="19252C95" w14:textId="77777777" w:rsidR="009214AE" w:rsidRDefault="00C66335">
      <w:pPr>
        <w:autoSpaceDE w:val="0"/>
        <w:autoSpaceDN w:val="0"/>
        <w:spacing w:line="360" w:lineRule="auto"/>
        <w:ind w:firstLineChars="200" w:firstLine="480"/>
        <w:textAlignment w:val="bottom"/>
        <w:rPr>
          <w:bCs/>
          <w:sz w:val="24"/>
        </w:rPr>
      </w:pPr>
      <w:r>
        <w:rPr>
          <w:bCs/>
          <w:sz w:val="24"/>
        </w:rPr>
        <w:t>二、《基金合同》的终止事由</w:t>
      </w:r>
    </w:p>
    <w:p w14:paraId="422C0148" w14:textId="77777777" w:rsidR="009214AE" w:rsidRDefault="00C66335">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2D3A06FE" w14:textId="77777777" w:rsidR="009214AE" w:rsidRDefault="00C66335">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262AFDF7" w14:textId="77777777" w:rsidR="009214AE" w:rsidRDefault="00C66335">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5A5DAF57" w14:textId="77777777" w:rsidR="009214AE" w:rsidRDefault="00C66335">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、基金合同生效之日起三年后的年度对应日，基金资产净值低于</w:t>
      </w:r>
      <w:r>
        <w:rPr>
          <w:rFonts w:hint="eastAsia"/>
          <w:bCs/>
          <w:sz w:val="24"/>
        </w:rPr>
        <w:t>2</w:t>
      </w:r>
      <w:r>
        <w:rPr>
          <w:rFonts w:hint="eastAsia"/>
          <w:bCs/>
          <w:sz w:val="24"/>
        </w:rPr>
        <w:t>亿元；</w:t>
      </w:r>
    </w:p>
    <w:p w14:paraId="571C88CD" w14:textId="77777777" w:rsidR="009214AE" w:rsidRDefault="00C66335">
      <w:pPr>
        <w:autoSpaceDE w:val="0"/>
        <w:autoSpaceDN w:val="0"/>
        <w:spacing w:line="360" w:lineRule="auto"/>
        <w:ind w:firstLineChars="200" w:firstLine="480"/>
        <w:textAlignment w:val="bottom"/>
        <w:rPr>
          <w:bCs/>
          <w:sz w:val="24"/>
        </w:rPr>
      </w:pPr>
      <w:r>
        <w:rPr>
          <w:bCs/>
          <w:sz w:val="24"/>
        </w:rPr>
        <w:t>4</w:t>
      </w:r>
      <w:r>
        <w:rPr>
          <w:bCs/>
          <w:sz w:val="24"/>
        </w:rPr>
        <w:t>、《基金合同》约定的其他情形；</w:t>
      </w:r>
    </w:p>
    <w:p w14:paraId="7CB90566" w14:textId="77777777" w:rsidR="009214AE" w:rsidRDefault="00C66335">
      <w:pPr>
        <w:autoSpaceDE w:val="0"/>
        <w:autoSpaceDN w:val="0"/>
        <w:spacing w:line="360" w:lineRule="auto"/>
        <w:ind w:firstLineChars="200" w:firstLine="480"/>
        <w:textAlignment w:val="bottom"/>
        <w:rPr>
          <w:bCs/>
          <w:sz w:val="24"/>
        </w:rPr>
      </w:pPr>
      <w:r>
        <w:rPr>
          <w:bCs/>
          <w:sz w:val="24"/>
        </w:rPr>
        <w:t>5</w:t>
      </w:r>
      <w:r>
        <w:rPr>
          <w:bCs/>
          <w:sz w:val="24"/>
        </w:rPr>
        <w:t>、相关法律法规和中国证监会规定的其他情况。</w:t>
      </w:r>
    </w:p>
    <w:p w14:paraId="61110D98" w14:textId="77777777" w:rsidR="009214AE" w:rsidRDefault="00C66335">
      <w:pPr>
        <w:autoSpaceDE w:val="0"/>
        <w:autoSpaceDN w:val="0"/>
        <w:spacing w:line="360" w:lineRule="auto"/>
        <w:ind w:firstLineChars="200" w:firstLine="480"/>
        <w:textAlignment w:val="bottom"/>
        <w:rPr>
          <w:bCs/>
          <w:sz w:val="24"/>
        </w:rPr>
      </w:pPr>
      <w:r>
        <w:rPr>
          <w:bCs/>
          <w:sz w:val="24"/>
        </w:rPr>
        <w:t>三、基金财产的清算</w:t>
      </w:r>
    </w:p>
    <w:p w14:paraId="66435DA7" w14:textId="77777777" w:rsidR="009214AE" w:rsidRDefault="00C66335">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416CBCEA" w14:textId="77777777" w:rsidR="009214AE" w:rsidRDefault="00C66335">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w:t>
      </w:r>
      <w:r>
        <w:rPr>
          <w:rFonts w:hint="eastAsia"/>
          <w:bCs/>
          <w:sz w:val="24"/>
        </w:rPr>
        <w:t>符合《中华人民共和国证券法》规定</w:t>
      </w:r>
      <w:r>
        <w:rPr>
          <w:bCs/>
          <w:sz w:val="24"/>
        </w:rPr>
        <w:t>的注册会计师、律师以及中国证监会指定的人员组成。基金财产清算小组可以聘用必要的工作人员。</w:t>
      </w:r>
    </w:p>
    <w:p w14:paraId="03983068" w14:textId="77777777" w:rsidR="009214AE" w:rsidRDefault="00C66335">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0085BFA1" w14:textId="77777777" w:rsidR="009214AE" w:rsidRDefault="00C66335">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26153FA8"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1</w:t>
      </w:r>
      <w:r>
        <w:rPr>
          <w:bCs/>
          <w:sz w:val="24"/>
        </w:rPr>
        <w:t>）</w:t>
      </w:r>
      <w:r>
        <w:rPr>
          <w:rFonts w:hint="eastAsia"/>
          <w:bCs/>
          <w:sz w:val="24"/>
        </w:rPr>
        <w:t>基金财产清算小组成立后</w:t>
      </w:r>
      <w:r>
        <w:rPr>
          <w:bCs/>
          <w:sz w:val="24"/>
        </w:rPr>
        <w:t>，由基金财产清算小组统一接管基金；</w:t>
      </w:r>
    </w:p>
    <w:p w14:paraId="1837E468"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334216A0"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096ADA19" w14:textId="77777777" w:rsidR="009214AE" w:rsidRDefault="00C66335">
      <w:pPr>
        <w:autoSpaceDE w:val="0"/>
        <w:autoSpaceDN w:val="0"/>
        <w:spacing w:line="360" w:lineRule="auto"/>
        <w:ind w:firstLineChars="200" w:firstLine="480"/>
        <w:textAlignment w:val="bottom"/>
        <w:rPr>
          <w:bCs/>
          <w:sz w:val="24"/>
        </w:rPr>
      </w:pPr>
      <w:r>
        <w:rPr>
          <w:bCs/>
          <w:sz w:val="24"/>
        </w:rPr>
        <w:lastRenderedPageBreak/>
        <w:t>（</w:t>
      </w:r>
      <w:r>
        <w:rPr>
          <w:bCs/>
          <w:sz w:val="24"/>
        </w:rPr>
        <w:t>4</w:t>
      </w:r>
      <w:r>
        <w:rPr>
          <w:bCs/>
          <w:sz w:val="24"/>
        </w:rPr>
        <w:t>）制作清算报告；</w:t>
      </w:r>
    </w:p>
    <w:p w14:paraId="633DA45E"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5</w:t>
      </w:r>
      <w:r>
        <w:rPr>
          <w:bCs/>
          <w:sz w:val="24"/>
        </w:rPr>
        <w:t>）聘请会计师事务所对清算报告进行外部审计，聘请律师事务所对清算报告出具法律意见书；</w:t>
      </w:r>
    </w:p>
    <w:p w14:paraId="4ED7A3F2"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41B94B63" w14:textId="77777777" w:rsidR="009214AE" w:rsidRDefault="00C66335">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C8DF1F3" w14:textId="77777777" w:rsidR="009214AE" w:rsidRDefault="00C66335">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6C87E113" w14:textId="77777777" w:rsidR="009214AE" w:rsidRDefault="00C66335">
      <w:pPr>
        <w:autoSpaceDE w:val="0"/>
        <w:autoSpaceDN w:val="0"/>
        <w:spacing w:line="360" w:lineRule="auto"/>
        <w:ind w:firstLineChars="200" w:firstLine="480"/>
        <w:textAlignment w:val="bottom"/>
        <w:rPr>
          <w:bCs/>
          <w:sz w:val="24"/>
        </w:rPr>
      </w:pPr>
      <w:r>
        <w:rPr>
          <w:bCs/>
          <w:sz w:val="24"/>
        </w:rPr>
        <w:t>四、清算费用</w:t>
      </w:r>
    </w:p>
    <w:p w14:paraId="33D28206" w14:textId="77777777" w:rsidR="009214AE" w:rsidRDefault="00C66335">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2DD2FE37" w14:textId="77777777" w:rsidR="009214AE" w:rsidRDefault="00C66335">
      <w:pPr>
        <w:autoSpaceDE w:val="0"/>
        <w:autoSpaceDN w:val="0"/>
        <w:spacing w:line="360" w:lineRule="auto"/>
        <w:ind w:firstLineChars="200" w:firstLine="480"/>
        <w:textAlignment w:val="bottom"/>
        <w:rPr>
          <w:bCs/>
          <w:sz w:val="24"/>
        </w:rPr>
      </w:pPr>
      <w:r>
        <w:rPr>
          <w:bCs/>
          <w:sz w:val="24"/>
        </w:rPr>
        <w:t>五、基金财产清算剩余资产的分配</w:t>
      </w:r>
    </w:p>
    <w:p w14:paraId="126F5C40" w14:textId="77777777" w:rsidR="009214AE" w:rsidRDefault="00C66335">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w:t>
      </w:r>
      <w:r>
        <w:rPr>
          <w:rFonts w:hint="eastAsia"/>
          <w:bCs/>
          <w:sz w:val="24"/>
        </w:rPr>
        <w:t>基金</w:t>
      </w:r>
      <w:r>
        <w:rPr>
          <w:bCs/>
          <w:sz w:val="24"/>
        </w:rPr>
        <w:t>所欠税款并清偿基金债务后，按基金份额持有人持有的基金份额比例进行分配。</w:t>
      </w:r>
    </w:p>
    <w:p w14:paraId="5532B5AD" w14:textId="77777777" w:rsidR="009214AE" w:rsidRDefault="00C66335">
      <w:pPr>
        <w:autoSpaceDE w:val="0"/>
        <w:autoSpaceDN w:val="0"/>
        <w:spacing w:line="360" w:lineRule="auto"/>
        <w:ind w:firstLineChars="200" w:firstLine="480"/>
        <w:textAlignment w:val="bottom"/>
        <w:rPr>
          <w:bCs/>
          <w:sz w:val="24"/>
        </w:rPr>
      </w:pPr>
      <w:r>
        <w:rPr>
          <w:bCs/>
          <w:sz w:val="24"/>
        </w:rPr>
        <w:t>六、基金财产清算的公告</w:t>
      </w:r>
    </w:p>
    <w:p w14:paraId="1570910E" w14:textId="77777777" w:rsidR="009214AE" w:rsidRDefault="00C66335">
      <w:pPr>
        <w:autoSpaceDE w:val="0"/>
        <w:autoSpaceDN w:val="0"/>
        <w:spacing w:line="360" w:lineRule="auto"/>
        <w:ind w:firstLineChars="200" w:firstLine="480"/>
        <w:textAlignment w:val="bottom"/>
        <w:rPr>
          <w:bCs/>
          <w:sz w:val="24"/>
        </w:rPr>
      </w:pPr>
      <w:r>
        <w:rPr>
          <w:bCs/>
          <w:sz w:val="24"/>
        </w:rPr>
        <w:t>清算过程中的有关重大事项须及时公告；基金财产清算报告</w:t>
      </w:r>
      <w:proofErr w:type="gramStart"/>
      <w:r>
        <w:rPr>
          <w:bCs/>
          <w:sz w:val="24"/>
        </w:rPr>
        <w:t>经</w:t>
      </w:r>
      <w:r>
        <w:rPr>
          <w:rFonts w:hint="eastAsia"/>
          <w:bCs/>
          <w:sz w:val="24"/>
        </w:rPr>
        <w:t>符合</w:t>
      </w:r>
      <w:proofErr w:type="gramEnd"/>
      <w:r>
        <w:rPr>
          <w:rFonts w:hint="eastAsia"/>
          <w:bCs/>
          <w:sz w:val="24"/>
        </w:rPr>
        <w:t>《中华人民共和国证券法》规定的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，基金财产清算小组应当将清算报告登载在规定网站上，并将清算报告提示性公告登载在规定报刊上</w:t>
      </w:r>
      <w:r>
        <w:rPr>
          <w:bCs/>
          <w:sz w:val="24"/>
        </w:rPr>
        <w:t>。</w:t>
      </w:r>
    </w:p>
    <w:p w14:paraId="1A798C72" w14:textId="77777777" w:rsidR="009214AE" w:rsidRDefault="00C66335">
      <w:pPr>
        <w:autoSpaceDE w:val="0"/>
        <w:autoSpaceDN w:val="0"/>
        <w:spacing w:line="360" w:lineRule="auto"/>
        <w:ind w:firstLineChars="200" w:firstLine="480"/>
        <w:textAlignment w:val="bottom"/>
        <w:rPr>
          <w:bCs/>
          <w:sz w:val="24"/>
        </w:rPr>
      </w:pPr>
      <w:r>
        <w:rPr>
          <w:bCs/>
          <w:sz w:val="24"/>
        </w:rPr>
        <w:t>七、基金财产清算账册及文件的保存</w:t>
      </w:r>
    </w:p>
    <w:p w14:paraId="440DBA65" w14:textId="77777777" w:rsidR="009214AE" w:rsidRDefault="00C66335">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不低于法律法规规定的最低期限</w:t>
      </w:r>
      <w:r>
        <w:rPr>
          <w:rFonts w:asciiTheme="minorEastAsia" w:hAnsiTheme="minorEastAsia" w:cs="Times New Roman" w:hint="eastAsia"/>
          <w:sz w:val="24"/>
          <w:szCs w:val="24"/>
        </w:rPr>
        <w:t>。</w:t>
      </w:r>
    </w:p>
    <w:p w14:paraId="09A11BD2" w14:textId="77777777" w:rsidR="009214AE" w:rsidRDefault="009214AE">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9214AE" w:rsidSect="004C0C2D">
          <w:footerReference w:type="default" r:id="rId30"/>
          <w:pgSz w:w="11906" w:h="16838"/>
          <w:pgMar w:top="1440" w:right="1800" w:bottom="1440" w:left="1800" w:header="851" w:footer="992" w:gutter="0"/>
          <w:pgNumType w:chapStyle="1"/>
          <w:cols w:space="720"/>
          <w:docGrid w:type="lines" w:linePitch="312"/>
        </w:sectPr>
      </w:pPr>
      <w:bookmarkStart w:id="358" w:name="_Toc416264553"/>
      <w:bookmarkStart w:id="359" w:name="_Toc214873607"/>
      <w:bookmarkStart w:id="360" w:name="_Toc263092326"/>
      <w:bookmarkStart w:id="361" w:name="_Toc139991749"/>
      <w:bookmarkStart w:id="362" w:name="_Toc25647"/>
      <w:bookmarkStart w:id="363" w:name="_Toc7170"/>
      <w:bookmarkStart w:id="364" w:name="_Toc352229765"/>
      <w:bookmarkStart w:id="365" w:name="_Toc22978"/>
      <w:bookmarkStart w:id="366" w:name="_Toc6237"/>
      <w:bookmarkStart w:id="367" w:name="_Toc8059"/>
      <w:bookmarkStart w:id="368" w:name="_Toc123102466"/>
      <w:bookmarkStart w:id="369" w:name="_Toc9005"/>
      <w:bookmarkStart w:id="370" w:name="_Toc98560364"/>
      <w:bookmarkStart w:id="371" w:name="_Toc8049"/>
      <w:bookmarkStart w:id="372" w:name="_Toc29891"/>
      <w:bookmarkStart w:id="373" w:name="_Toc123051465"/>
      <w:bookmarkStart w:id="374" w:name="_Toc123112247"/>
      <w:bookmarkStart w:id="375" w:name="_Toc141703899"/>
      <w:bookmarkStart w:id="376" w:name="_Toc11113"/>
      <w:bookmarkStart w:id="377" w:name="_Toc10006"/>
      <w:bookmarkStart w:id="378" w:name="_Toc27464"/>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p>
    <w:p w14:paraId="04B4EE1B" w14:textId="77777777" w:rsidR="009214AE" w:rsidRDefault="00C66335">
      <w:pPr>
        <w:pStyle w:val="1"/>
        <w:jc w:val="center"/>
        <w:rPr>
          <w:sz w:val="30"/>
          <w:szCs w:val="30"/>
        </w:rPr>
      </w:pPr>
      <w:bookmarkStart w:id="379" w:name="_Toc164429432"/>
      <w:r>
        <w:rPr>
          <w:rFonts w:hint="eastAsia"/>
          <w:sz w:val="30"/>
          <w:szCs w:val="30"/>
        </w:rPr>
        <w:lastRenderedPageBreak/>
        <w:t>第十九部分</w:t>
      </w:r>
      <w:r>
        <w:rPr>
          <w:sz w:val="30"/>
          <w:szCs w:val="30"/>
        </w:rPr>
        <w:t xml:space="preserve">  </w:t>
      </w:r>
      <w:r>
        <w:rPr>
          <w:rFonts w:hint="eastAsia"/>
          <w:sz w:val="30"/>
          <w:szCs w:val="30"/>
        </w:rPr>
        <w:t>基金合同的内容摘要</w:t>
      </w:r>
      <w:bookmarkEnd w:id="358"/>
      <w:bookmarkEnd w:id="359"/>
      <w:bookmarkEnd w:id="360"/>
      <w:bookmarkEnd w:id="379"/>
    </w:p>
    <w:p w14:paraId="2C1F38BC" w14:textId="77777777" w:rsidR="009214AE" w:rsidRDefault="00C66335">
      <w:pPr>
        <w:widowControl/>
        <w:spacing w:line="360" w:lineRule="auto"/>
        <w:ind w:firstLineChars="200" w:firstLine="482"/>
        <w:jc w:val="left"/>
        <w:outlineLvl w:val="1"/>
        <w:rPr>
          <w:rFonts w:asciiTheme="minorEastAsia" w:hAnsiTheme="minorEastAsia" w:cs="Times New Roman" w:hint="eastAsia"/>
          <w:b/>
          <w:sz w:val="24"/>
          <w:szCs w:val="24"/>
        </w:rPr>
      </w:pPr>
      <w:r>
        <w:rPr>
          <w:rFonts w:asciiTheme="minorEastAsia" w:hAnsiTheme="minorEastAsia" w:cs="Times New Roman" w:hint="eastAsia"/>
          <w:b/>
          <w:sz w:val="24"/>
          <w:szCs w:val="24"/>
        </w:rPr>
        <w:t>一、基金份额持有人、基金管理人和基金托管人的权利、义务</w:t>
      </w:r>
    </w:p>
    <w:p w14:paraId="44D03D3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（一）基金管理人的权利与义务</w:t>
      </w:r>
    </w:p>
    <w:p w14:paraId="03CA4F2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034BB75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0AC5E14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645FEB4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4ED22A7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6FB4422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715A454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（6）依据基金合同及有关法律规定监督基金托管人，如认为基金托管人违反了基金合同及国家有关法律规定，应呈报中国证监会和其他监管部门，并采取必要措施保护基金投资人的利益；</w:t>
      </w:r>
    </w:p>
    <w:p w14:paraId="2F20ABB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1367FC6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174B818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46B48D5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179EAA5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（11）在基金合同约定的范围内，拒绝或暂停受理申购、赎回与转换申请； </w:t>
      </w:r>
    </w:p>
    <w:p w14:paraId="3CF9380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3FE814E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（13）在法律法规允许的前提下，为基金的利益依法为基金进行融资； </w:t>
      </w:r>
    </w:p>
    <w:p w14:paraId="4576B50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（14）以基金管理人的名义，代表基金份额持有人的利益行使诉讼权利或者实施其他法律行为；</w:t>
      </w:r>
    </w:p>
    <w:p w14:paraId="760B1EC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（15）选择、更换律师事务所、会计师事务所、证券经纪商、期货经纪机构或其他为基金提供服务的外部机构；</w:t>
      </w:r>
    </w:p>
    <w:p w14:paraId="23A8F80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过户、转托管、收益分配和定期定额投资等业务规则；</w:t>
      </w:r>
    </w:p>
    <w:p w14:paraId="2440443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（17）法律法规及中国证监会规定的和基金合同约定的其他权利。</w:t>
      </w:r>
    </w:p>
    <w:p w14:paraId="5085CEB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385923E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4EC3C07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46BC7E9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4852028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0D380FC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3AC1D5C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39330BA2"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7652259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4879B0C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7F7EC94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（10）编制季度报告、中期报告和年度报告；</w:t>
      </w:r>
    </w:p>
    <w:p w14:paraId="3DFCC1F2"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24A9453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但因向审计、法律等外部专业顾问提供，以及依法律法规、监管要求向有权机关提供的情况除外；</w:t>
      </w:r>
    </w:p>
    <w:p w14:paraId="0CD23DA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7895141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0A3105C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15B6B4E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1D47AC9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1B4AAB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6B061F7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64F23B7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BE16F8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528123B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3F44768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4084F33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47733F5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2B52264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09934FA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7364908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（二）基金托管人的权利与义务</w:t>
      </w:r>
    </w:p>
    <w:p w14:paraId="7409DF2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9C330C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103389D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243B58B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13C64D8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（4）根据相关市场规则，为基金开设资金账户、证券账户等投资所需账户，为基金办理证券、期货交易资金清算；</w:t>
      </w:r>
    </w:p>
    <w:p w14:paraId="3998011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176F98A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2F40978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5C0149B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3874E19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77004DD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1B6994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5231BE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1EF3127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6E191282"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（6）按规定开设基金财产的资金账户和证券账户等投资所需账户，按照基金合同、托管协议的约定，根据基金管理人的投资指令，及时办理清算、交割事宜；</w:t>
      </w:r>
    </w:p>
    <w:p w14:paraId="52E801E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因向审计、法律等外部专业顾问提供，以及依法律法规、监管要求向有权机关提供的情况除外；</w:t>
      </w:r>
    </w:p>
    <w:p w14:paraId="299E04B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（8）复核、审查基金管理人计算的基金资产净值、各类基金份额净值、基金份额申购、赎回价格；</w:t>
      </w:r>
    </w:p>
    <w:p w14:paraId="2E279562"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3F9A8D3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728752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56237B3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（12）从基金管理人或其委托的基金登记机构处接收并保存基金份额持有人名册；</w:t>
      </w:r>
    </w:p>
    <w:p w14:paraId="2A3BA8B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DC4D20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2BACE1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381C10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43D797A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40E2385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4198247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（19）因违反基金合同及托管协议导致基金财产损失时，应承担赔偿责任，其赔偿责任不因其退任而免除；</w:t>
      </w:r>
    </w:p>
    <w:p w14:paraId="04BADDC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（20）按规定监督基金管理人按法律法规和基金合同规定履行自己的义务，基金管理人因违反基金合同造成基金财产损失时，应为基金份额持有人利益向基金管理人追偿；</w:t>
      </w:r>
    </w:p>
    <w:p w14:paraId="0FDB66F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6F09469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51E56E7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（三）基金份额持有人的权利与义务</w:t>
      </w:r>
    </w:p>
    <w:p w14:paraId="69CC794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除法律法规另有规定或基金合同另有约定外，同一类别的每份基金份额具有同等的合法权益。</w:t>
      </w:r>
    </w:p>
    <w:p w14:paraId="645506F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2CF8DC5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622AC32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1D8ED56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（3）依法转让或者申请赎回其持有的基金份额；</w:t>
      </w:r>
    </w:p>
    <w:p w14:paraId="0B9D25B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26BC7C6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27FE3C1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5F54E832"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575CA0D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1792B69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7274777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791795D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18DC97A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（2）了解所投资基金产品，了解自身风险承受能力，自主判断基金的投资价值，自主做出投资决策，自行承担投资风险；</w:t>
      </w:r>
    </w:p>
    <w:p w14:paraId="61B291D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（3）关注基金信息披露，及时行使权利和履行义务；</w:t>
      </w:r>
    </w:p>
    <w:p w14:paraId="1A9203C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（4）交纳基金认购、申购款项及法律法规和基金合同所规定的费用；</w:t>
      </w:r>
    </w:p>
    <w:p w14:paraId="6EA8C4B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5B90446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489CF0A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47C9B460"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2019A21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（9）发起资金提供方持有发起资金认购的基金份额自基金合同生效之日起不少于3年；</w:t>
      </w:r>
    </w:p>
    <w:p w14:paraId="126B1BD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（10）法律法规及中国证监会规定的和基金合同约定的其他义务。</w:t>
      </w:r>
    </w:p>
    <w:p w14:paraId="32174997" w14:textId="77777777" w:rsidR="009214AE" w:rsidRDefault="00C66335">
      <w:pPr>
        <w:widowControl/>
        <w:spacing w:line="360" w:lineRule="auto"/>
        <w:ind w:firstLineChars="200" w:firstLine="482"/>
        <w:jc w:val="left"/>
        <w:outlineLvl w:val="1"/>
        <w:rPr>
          <w:rFonts w:asciiTheme="minorEastAsia" w:hAnsiTheme="minorEastAsia" w:cs="Times New Roman" w:hint="eastAsia"/>
          <w:b/>
          <w:sz w:val="24"/>
          <w:szCs w:val="24"/>
        </w:rPr>
      </w:pPr>
      <w:r>
        <w:rPr>
          <w:rFonts w:asciiTheme="minorEastAsia" w:hAnsiTheme="minorEastAsia" w:cs="Times New Roman" w:hint="eastAsia"/>
          <w:b/>
          <w:sz w:val="24"/>
          <w:szCs w:val="24"/>
        </w:rPr>
        <w:t>二、基金份额持有人大会召集、议事及表决的程序和规则</w:t>
      </w:r>
    </w:p>
    <w:p w14:paraId="426EFAD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369949B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份额持有人大会不设日常机构。</w:t>
      </w:r>
    </w:p>
    <w:p w14:paraId="31AED6B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1B70ECE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1、除法律法规、中国证监会另有规定或基金合同另有约定外，当出现或需要决定下列事由之一的，应当召开基金份额持有人大会：</w:t>
      </w:r>
    </w:p>
    <w:p w14:paraId="563CFE0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w:t>
      </w:r>
    </w:p>
    <w:p w14:paraId="7CEA67D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（2）更换基金管理人；</w:t>
      </w:r>
    </w:p>
    <w:p w14:paraId="479FD69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59F82D0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20E36A8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（5）调整基金管理人、基金托管人的报酬标准或提高销售服务费率；</w:t>
      </w:r>
    </w:p>
    <w:p w14:paraId="4F79F3B0"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1486877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0806F87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0E76646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6EF6198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723E6200"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5E4293E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3B311980"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65AC24C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180AF77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（1）法律法规要求增加的基金费用的收取；</w:t>
      </w:r>
    </w:p>
    <w:p w14:paraId="77C4C45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（2）调整本基金的申购费率、调低赎回费率或销售服务费率、调整收费方式；</w:t>
      </w:r>
    </w:p>
    <w:p w14:paraId="52ADCA5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70398D5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6AEFC22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（5）在法律法规允许的情况下，且在对现有基金份额持有人利益无实质性不利影响的前提下，推出新业务或服务；</w:t>
      </w:r>
    </w:p>
    <w:p w14:paraId="0AF84F1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（6）基金管理人、销售机构、基金登记机构等调整有关基金认购、申购、赎回、转换、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72FE5DF2"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（7）基金管理人调整基金份额类别设置、增加新的基金份额类别、停止现有基金份额类别的销售等或对基金份额分类办法及规则进行调整；</w:t>
      </w:r>
    </w:p>
    <w:p w14:paraId="2367092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42D6B09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4140D2F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6EEA263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27C9200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w:t>
      </w:r>
      <w:r>
        <w:rPr>
          <w:rFonts w:asciiTheme="minorEastAsia" w:hAnsiTheme="minorEastAsia" w:cs="Times New Roman" w:hint="eastAsia"/>
          <w:bCs/>
          <w:sz w:val="24"/>
          <w:szCs w:val="24"/>
        </w:rPr>
        <w:lastRenderedPageBreak/>
        <w:t>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69DEF67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29A26DC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575B3640"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613D1AD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003C02B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1、召开基金份额持有人大会，召集人应于会议召开前30日，在规定媒介公告。基金份额持有人大会通知应至少载明以下内容：</w:t>
      </w:r>
    </w:p>
    <w:p w14:paraId="194151C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79EAAEE2"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3B4404C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3B7808E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06FA721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50F8A77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（6）出席会议者必须准备的文件和必须履行的手续；</w:t>
      </w:r>
    </w:p>
    <w:p w14:paraId="6E3D4D6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40CF6C1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071A78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5335FB8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590051E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7C53B4A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247714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9D139D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AA585E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或基金合同约定的其他方式在表决截止日以前送达至召集人指定的地址。通讯开会应以书面方式或基金合同约定的其他方式进行表决。</w:t>
      </w:r>
    </w:p>
    <w:p w14:paraId="6B1019E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63BFC62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4F22C35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03AC479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0342DF5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77EFFF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经会议通知载明，本基金的基金份额持有人亦可采用其他非书面方式授权其代理人出席基金份额持有人大会并行使表决权，具体方式由会议召集人确定并在会议通知中列明。</w:t>
      </w:r>
    </w:p>
    <w:p w14:paraId="1E2FA8F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w:t>
      </w:r>
      <w:r>
        <w:rPr>
          <w:rFonts w:asciiTheme="minorEastAsia" w:hAnsiTheme="minorEastAsia" w:cs="Times New Roman" w:hint="eastAsia"/>
          <w:bCs/>
          <w:sz w:val="24"/>
          <w:szCs w:val="24"/>
        </w:rPr>
        <w:lastRenderedPageBreak/>
        <w:t>讯方式开会的程序进行。基金份额持有人可以采用书面、网络、电话、短信或其他方式进行表决，具体方式由会议召集人确定并在会议通知中列明。</w:t>
      </w:r>
    </w:p>
    <w:p w14:paraId="2572CA1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（五）议事内容与程序</w:t>
      </w:r>
    </w:p>
    <w:p w14:paraId="3FC0194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47962D0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74A51E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2934645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59F9D5D0"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608C6A9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05E247D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50%以上（含50%）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54EB289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5C823EF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0BB6767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71EB091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60C9C0F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基金份额持有人所持每份基金份额有一票表决权。</w:t>
      </w:r>
    </w:p>
    <w:p w14:paraId="36FC30A0"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03E237C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1881A17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401CD8A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2DAF7660"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3F5D0B3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6F83AAE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在上述规则的前提下，具体规则以召集人发布的基金份额持有人大会通知为准。</w:t>
      </w:r>
    </w:p>
    <w:p w14:paraId="2941023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3DFDDF5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4F6E597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76ACE92"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3783948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4DE6B31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2670AF2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4BFD31E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4B71567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560F1FB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1D40C5C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58F0981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2107B60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3FDECDD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618B536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390C376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24B6CDE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1405DC1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3FD8B7D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4、在参与基金份额持有人大会投票的基金份额持有人所持有的基金份额小于在权益登记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7811A55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5、现场开会由出席大会的基金份额持有人和代理人所持表决权的50%以上（含50%）选举产生一名基金份额持有人作为该次基金份额持有人大会的主持人；</w:t>
      </w:r>
    </w:p>
    <w:p w14:paraId="5802076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60E3B93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1B462E6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6E70008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59D25C8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管规则修改导致相关内容被取消或变更的，基金管理人在履行适当程序并公告后，可直接对本部分内容进行修改和调整，无需召开基金份额持有人大会审议。</w:t>
      </w:r>
    </w:p>
    <w:p w14:paraId="76351E3A" w14:textId="77777777" w:rsidR="009214AE" w:rsidRDefault="00C66335">
      <w:pPr>
        <w:widowControl/>
        <w:spacing w:line="360" w:lineRule="auto"/>
        <w:ind w:firstLineChars="200" w:firstLine="482"/>
        <w:jc w:val="left"/>
        <w:outlineLvl w:val="1"/>
        <w:rPr>
          <w:rFonts w:asciiTheme="minorEastAsia" w:hAnsiTheme="minorEastAsia" w:cs="Times New Roman" w:hint="eastAsia"/>
          <w:b/>
          <w:sz w:val="24"/>
          <w:szCs w:val="24"/>
        </w:rPr>
      </w:pPr>
      <w:r>
        <w:rPr>
          <w:rFonts w:asciiTheme="minorEastAsia" w:hAnsiTheme="minorEastAsia" w:cs="Times New Roman" w:hint="eastAsia"/>
          <w:b/>
          <w:sz w:val="24"/>
          <w:szCs w:val="24"/>
        </w:rPr>
        <w:t>三、基金合同解除和终止的事由、程序以及基金财产清算方式</w:t>
      </w:r>
    </w:p>
    <w:p w14:paraId="6ED5A030"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146F3AD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A31F9A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生效后依照《信息披露办法》的有关规定在规定媒介公告。</w:t>
      </w:r>
    </w:p>
    <w:p w14:paraId="3A42DBC0"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31F5200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有下列情形之一的，经履行相关程序后，基金合同应当终止：</w:t>
      </w:r>
    </w:p>
    <w:p w14:paraId="23DB819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37085DA5"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56FD553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3、基金合同生效之日起三年后的年度对应日，基金资产净值低于2亿元；</w:t>
      </w:r>
    </w:p>
    <w:p w14:paraId="4FBAE364"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4、基金合同约定的其他情形；</w:t>
      </w:r>
    </w:p>
    <w:p w14:paraId="4FB246F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5、相关法律法规和中国证监会规定的其他情况。</w:t>
      </w:r>
    </w:p>
    <w:p w14:paraId="0558A70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350C8DB6"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3DA5549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AABC82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7B2B489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468C34A0"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（1）基金财产清算小组成立后，由基金财产清算小组统一接管基金；</w:t>
      </w:r>
    </w:p>
    <w:p w14:paraId="0BCBB67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2123D2F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766212F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2B7F875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（5）聘请会计师事务所对清算报告进行外部审计，聘请律师事务所对清算报告出具法律意见书；</w:t>
      </w:r>
    </w:p>
    <w:p w14:paraId="56790CF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7CF36E8A"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21E4AC48"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5、基金财产清算的期限为6个月，但因本基金所持证券的流动性受到限制而不能及时变现的，清算期限相应顺延。</w:t>
      </w:r>
    </w:p>
    <w:p w14:paraId="5CB1FB4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（四）清算费用</w:t>
      </w:r>
    </w:p>
    <w:p w14:paraId="3301CAAE"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66C940A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（五）基金财产清算剩余资产的分配</w:t>
      </w:r>
    </w:p>
    <w:p w14:paraId="51C29039"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依据基金财产清算的分配方案，将基金财产清算后的全部剩余资产扣除基金财产清算费用、交纳基金所欠税款并清偿基金债务后，按基金份额持有人持有的基金份额比例进行分配。</w:t>
      </w:r>
    </w:p>
    <w:p w14:paraId="3023CC13"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（六）基金财产清算的公告</w:t>
      </w:r>
    </w:p>
    <w:p w14:paraId="6858C7EC"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30FA8C77"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（七）基金财产清算账册及文件的保存</w:t>
      </w:r>
    </w:p>
    <w:p w14:paraId="16EB8202"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基金财产清算账册及有关文件由基金托管人保存不低于法律法规规定的最低期限。</w:t>
      </w:r>
    </w:p>
    <w:p w14:paraId="63E732DC" w14:textId="77777777" w:rsidR="009214AE" w:rsidRDefault="00C66335">
      <w:pPr>
        <w:widowControl/>
        <w:spacing w:line="360" w:lineRule="auto"/>
        <w:ind w:firstLineChars="200" w:firstLine="482"/>
        <w:jc w:val="left"/>
        <w:outlineLvl w:val="1"/>
        <w:rPr>
          <w:rFonts w:asciiTheme="minorEastAsia" w:hAnsiTheme="minorEastAsia" w:cs="Times New Roman" w:hint="eastAsia"/>
          <w:b/>
          <w:sz w:val="24"/>
          <w:szCs w:val="24"/>
        </w:rPr>
      </w:pPr>
      <w:r>
        <w:rPr>
          <w:rFonts w:asciiTheme="minorEastAsia" w:hAnsiTheme="minorEastAsia" w:cs="Times New Roman" w:hint="eastAsia"/>
          <w:b/>
          <w:sz w:val="24"/>
          <w:szCs w:val="24"/>
        </w:rPr>
        <w:t>四、争议解决方式</w:t>
      </w:r>
    </w:p>
    <w:p w14:paraId="3796FB3D"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各方当事人同意，因基金合同而产生的或与基金合同有关的一切争议，如经友好协商未能解决的，任何一方均有权将争议提交深圳国际仲裁院，根据该会当时有效的仲裁规则进行仲裁，仲裁地点为深圳市，仲裁裁决是终局性的并对各方当事人具有约束力。除非仲裁裁决另有规定，仲裁费由败诉方承担。</w:t>
      </w:r>
    </w:p>
    <w:p w14:paraId="36311A6B"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争议处理期间，基金管理人、基金托管人应恪守各自的职责，继续忠实、勤勉、尽责地履行基金合同规定的义务，维护基金份额持有人的合法权益。</w:t>
      </w:r>
    </w:p>
    <w:p w14:paraId="14CF4ABF"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基金合同受中国（为本基金合同之目的，不含台湾、香港、澳门地区）法律管辖并从其解释。</w:t>
      </w:r>
    </w:p>
    <w:p w14:paraId="6F734CFD" w14:textId="77777777" w:rsidR="009214AE" w:rsidRDefault="00C66335">
      <w:pPr>
        <w:widowControl/>
        <w:spacing w:line="360" w:lineRule="auto"/>
        <w:ind w:firstLineChars="200" w:firstLine="482"/>
        <w:jc w:val="left"/>
        <w:outlineLvl w:val="1"/>
        <w:rPr>
          <w:rFonts w:asciiTheme="minorEastAsia" w:hAnsiTheme="minorEastAsia" w:cs="Times New Roman" w:hint="eastAsia"/>
          <w:b/>
          <w:sz w:val="24"/>
          <w:szCs w:val="24"/>
        </w:rPr>
      </w:pPr>
      <w:r>
        <w:rPr>
          <w:rFonts w:asciiTheme="minorEastAsia" w:hAnsiTheme="minorEastAsia" w:cs="Times New Roman" w:hint="eastAsia"/>
          <w:b/>
          <w:sz w:val="24"/>
          <w:szCs w:val="24"/>
        </w:rPr>
        <w:t>五、基金合同存放地和投资者取得基金合同的方式</w:t>
      </w:r>
    </w:p>
    <w:p w14:paraId="355D6A51" w14:textId="77777777" w:rsidR="009214AE" w:rsidRDefault="00C66335">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5BC4682F" w14:textId="77777777" w:rsidR="009214AE" w:rsidRDefault="00C66335">
      <w:pPr>
        <w:widowControl/>
        <w:jc w:val="left"/>
        <w:rPr>
          <w:rFonts w:asciiTheme="minorEastAsia" w:hAnsiTheme="minorEastAsia" w:cs="Times New Roman" w:hint="eastAsia"/>
          <w:bCs/>
          <w:sz w:val="24"/>
          <w:szCs w:val="24"/>
        </w:rPr>
      </w:pPr>
      <w:r>
        <w:rPr>
          <w:rFonts w:asciiTheme="minorEastAsia" w:hAnsiTheme="minorEastAsia" w:cs="Times New Roman"/>
          <w:bCs/>
          <w:sz w:val="24"/>
          <w:szCs w:val="24"/>
        </w:rPr>
        <w:br w:type="page"/>
      </w:r>
    </w:p>
    <w:p w14:paraId="18DDCD36" w14:textId="77777777" w:rsidR="009214AE" w:rsidRDefault="00C66335">
      <w:pPr>
        <w:pStyle w:val="1"/>
        <w:jc w:val="center"/>
        <w:rPr>
          <w:sz w:val="30"/>
          <w:szCs w:val="30"/>
        </w:rPr>
      </w:pPr>
      <w:bookmarkStart w:id="380" w:name="_Toc214873614"/>
      <w:bookmarkStart w:id="381" w:name="_Toc263092327"/>
      <w:bookmarkStart w:id="382" w:name="_Toc416264554"/>
      <w:bookmarkStart w:id="383" w:name="_Toc164429433"/>
      <w:bookmarkStart w:id="384" w:name="_Toc13398"/>
      <w:bookmarkStart w:id="385" w:name="_Toc123051466"/>
      <w:bookmarkStart w:id="386" w:name="_Toc8710"/>
      <w:bookmarkStart w:id="387" w:name="_Toc21240"/>
      <w:bookmarkStart w:id="388" w:name="_Toc139991750"/>
      <w:bookmarkStart w:id="389" w:name="_Toc23022"/>
      <w:bookmarkStart w:id="390" w:name="_Toc48649720"/>
      <w:bookmarkStart w:id="391" w:name="_Toc27058"/>
      <w:bookmarkStart w:id="392" w:name="_Toc352229766"/>
      <w:bookmarkStart w:id="393" w:name="_Toc9708"/>
      <w:bookmarkStart w:id="394" w:name="_Toc23166"/>
      <w:bookmarkStart w:id="395" w:name="_Toc7367"/>
      <w:bookmarkStart w:id="396" w:name="_Toc30645"/>
      <w:bookmarkStart w:id="397" w:name="_Toc141703901"/>
      <w:bookmarkStart w:id="398" w:name="_Toc28549"/>
      <w:bookmarkStart w:id="399" w:name="_Toc98560365"/>
      <w:bookmarkStart w:id="400" w:name="_Toc123102467"/>
      <w:bookmarkStart w:id="401" w:name="_Toc123112248"/>
      <w:bookmarkStart w:id="402" w:name="_Toc12191"/>
      <w:bookmarkStart w:id="403" w:name="_Toc79392641"/>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380"/>
      <w:bookmarkEnd w:id="381"/>
      <w:bookmarkEnd w:id="382"/>
      <w:bookmarkEnd w:id="383"/>
    </w:p>
    <w:p w14:paraId="101646F2" w14:textId="77777777" w:rsidR="009214AE" w:rsidRDefault="00C66335">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一、基金托管协议当事人</w:t>
      </w:r>
    </w:p>
    <w:p w14:paraId="41AC597A" w14:textId="77777777" w:rsidR="009214AE" w:rsidRDefault="00C6633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0BF17391" w14:textId="77777777" w:rsidR="009214AE" w:rsidRDefault="00C6633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48EB37C6" w14:textId="77777777" w:rsidR="009214AE" w:rsidRDefault="00C6633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02C78651" w14:textId="77777777" w:rsidR="009214AE" w:rsidRDefault="00C6633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3B788DAB" w14:textId="77777777" w:rsidR="009214AE" w:rsidRDefault="00C6633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设立日期：2016年1月25日</w:t>
      </w:r>
      <w:r>
        <w:rPr>
          <w:rFonts w:asciiTheme="minorEastAsia" w:hAnsiTheme="minorEastAsia" w:cs="Arial" w:hint="eastAsia"/>
          <w:kern w:val="0"/>
          <w:sz w:val="24"/>
          <w:szCs w:val="24"/>
        </w:rPr>
        <w:tab/>
      </w:r>
    </w:p>
    <w:p w14:paraId="1ADFB477" w14:textId="77777777" w:rsidR="009214AE" w:rsidRDefault="00C6633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131AED75" w14:textId="77777777" w:rsidR="009214AE" w:rsidRDefault="00C6633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B146C23" w14:textId="77777777" w:rsidR="009214AE" w:rsidRDefault="00C6633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9852AE5" w14:textId="77777777" w:rsidR="009214AE" w:rsidRDefault="00C6633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存续期限：永续经营</w:t>
      </w:r>
    </w:p>
    <w:p w14:paraId="74CB6529" w14:textId="77777777" w:rsidR="009214AE" w:rsidRDefault="00C66335">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联系电话：0755-84356633</w:t>
      </w:r>
    </w:p>
    <w:p w14:paraId="39F4CB28" w14:textId="77777777" w:rsidR="009214AE" w:rsidRDefault="00C66335">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7F22A1B5" w14:textId="77777777"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名称：中国工商银行股份有限公司</w:t>
      </w:r>
    </w:p>
    <w:p w14:paraId="6EA29756" w14:textId="77777777"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住所：北京市西城区复兴门内大街55号（100032）</w:t>
      </w:r>
    </w:p>
    <w:p w14:paraId="6E949E5F" w14:textId="1459AB19"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法定代表人：</w:t>
      </w:r>
      <w:r w:rsidR="00782781" w:rsidRPr="00782781">
        <w:rPr>
          <w:rFonts w:ascii="宋体" w:hAnsi="宋体" w:hint="eastAsia"/>
          <w:color w:val="000000"/>
          <w:sz w:val="24"/>
        </w:rPr>
        <w:t>廖林</w:t>
      </w:r>
    </w:p>
    <w:p w14:paraId="568CA483" w14:textId="77777777"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电话：（010）66105799</w:t>
      </w:r>
    </w:p>
    <w:p w14:paraId="6C90151F" w14:textId="77777777"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传真：（010）66105798</w:t>
      </w:r>
    </w:p>
    <w:p w14:paraId="6E8736CD" w14:textId="77777777"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联系人：郭明</w:t>
      </w:r>
    </w:p>
    <w:p w14:paraId="544E5015" w14:textId="77777777"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成立时间：1984年1月1日</w:t>
      </w:r>
    </w:p>
    <w:p w14:paraId="5B6307F9" w14:textId="77777777"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组织形式：股份有限公司</w:t>
      </w:r>
    </w:p>
    <w:p w14:paraId="0135CD34" w14:textId="77777777"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注册资本：人民币34,932,123.46万元</w:t>
      </w:r>
    </w:p>
    <w:p w14:paraId="080DED08" w14:textId="77777777"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批准设立机关和设立文号：国务院《关于中国人民银行专门行使中央银行职能的决定》（国发[1983]146号）</w:t>
      </w:r>
    </w:p>
    <w:p w14:paraId="194AF4AC" w14:textId="77777777"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存续期间：持续经营</w:t>
      </w:r>
    </w:p>
    <w:p w14:paraId="6B992244" w14:textId="77777777" w:rsidR="009214AE" w:rsidRDefault="00C66335">
      <w:pPr>
        <w:adjustRightInd w:val="0"/>
        <w:snapToGrid w:val="0"/>
        <w:spacing w:line="360" w:lineRule="auto"/>
        <w:ind w:firstLineChars="200" w:firstLine="480"/>
        <w:rPr>
          <w:rFonts w:ascii="宋体" w:hAnsi="宋体" w:hint="eastAsia"/>
          <w:color w:val="000000"/>
          <w:sz w:val="24"/>
        </w:rPr>
      </w:pPr>
      <w:r>
        <w:rPr>
          <w:rFonts w:ascii="宋体" w:hAnsi="宋体" w:hint="eastAsia"/>
          <w:color w:val="000000"/>
          <w:sz w:val="24"/>
        </w:rPr>
        <w:t>经营范围：办理人民币存款、贷款、同业拆借业务；国内外结算；办理票据承兑、贴现、转贴现、各类汇兑业务；代理资金清算；提供信用证服务及担保；代理销售业务；代理发行、代理承销、代理兑付政府债券；代收代</w:t>
      </w:r>
      <w:proofErr w:type="gramStart"/>
      <w:r>
        <w:rPr>
          <w:rFonts w:ascii="宋体" w:hAnsi="宋体" w:hint="eastAsia"/>
          <w:color w:val="000000"/>
          <w:sz w:val="24"/>
        </w:rPr>
        <w:t>付业务</w:t>
      </w:r>
      <w:proofErr w:type="gramEnd"/>
      <w:r>
        <w:rPr>
          <w:rFonts w:ascii="宋体" w:hAnsi="宋体" w:hint="eastAsia"/>
          <w:color w:val="000000"/>
          <w:sz w:val="24"/>
        </w:rPr>
        <w:t>；代理证券投资基金清算业务（银证转账）；保险代理业务；代理政策性银行、外国政</w:t>
      </w:r>
      <w:r>
        <w:rPr>
          <w:rFonts w:ascii="宋体" w:hAnsi="宋体" w:hint="eastAsia"/>
          <w:color w:val="000000"/>
          <w:sz w:val="24"/>
        </w:rPr>
        <w:lastRenderedPageBreak/>
        <w:t>府和国际金融机构贷款业务；保管箱服务；发行金融债券；买卖政府债券、金融债券；证券投资基金、企业年金托管业务；企业年金受托管理服务；年金账户管理服务；开放式基金的注册登记、认购、申购和赎回业务；资信调查、咨询、见证业务；贷款承诺；企业、个人财务顾问服务；组织或参加银团贷款；外汇存款；外汇贷款；外币兑换；出口托收及进口代收；外汇票据承兑和贴现；外汇借款；外汇担保；发行、代理发行、买卖或代理买卖股票以外的外币有价证券；自营、代客外汇买卖；外汇金融衍生业务；银行卡业务；电话银行、网上银行、手机银行业务；办理结汇、售汇业务；经国务院银行业监督管理机构批准的其他业务。</w:t>
      </w:r>
    </w:p>
    <w:p w14:paraId="6CC4809A" w14:textId="77777777" w:rsidR="009214AE" w:rsidRDefault="009214AE">
      <w:pPr>
        <w:adjustRightInd w:val="0"/>
        <w:snapToGrid w:val="0"/>
        <w:spacing w:line="360" w:lineRule="auto"/>
        <w:ind w:firstLineChars="200" w:firstLine="480"/>
        <w:rPr>
          <w:rFonts w:ascii="宋体" w:hAnsi="宋体" w:hint="eastAsia"/>
          <w:color w:val="000000"/>
          <w:sz w:val="24"/>
        </w:rPr>
      </w:pPr>
    </w:p>
    <w:p w14:paraId="498679C6" w14:textId="77777777" w:rsidR="009214AE" w:rsidRDefault="00C66335">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二、基金托管人对基金管理人的业务监督和核查</w:t>
      </w:r>
    </w:p>
    <w:p w14:paraId="46FA7513"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（一）基金托管人对基金管理人的投资行为行使监督权</w:t>
      </w:r>
    </w:p>
    <w:p w14:paraId="116A3312"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1、基金托管人根据有关法律法规的规定和《基金合同》的约定，对下述基金投资范围、投资对象进行监督。</w:t>
      </w:r>
    </w:p>
    <w:p w14:paraId="3235F2DC"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本基金将投资于以下金融工具：</w:t>
      </w:r>
    </w:p>
    <w:p w14:paraId="5AB2BA09"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w:t>
      </w:r>
      <w:proofErr w:type="gramStart"/>
      <w:r>
        <w:rPr>
          <w:rFonts w:asciiTheme="minorEastAsia" w:hAnsiTheme="minorEastAsia" w:cs="Arial" w:hint="eastAsia"/>
          <w:color w:val="000000"/>
          <w:sz w:val="24"/>
          <w:szCs w:val="24"/>
        </w:rPr>
        <w:t>含科创板</w:t>
      </w:r>
      <w:proofErr w:type="gramEnd"/>
      <w:r>
        <w:rPr>
          <w:rFonts w:asciiTheme="minorEastAsia" w:hAnsiTheme="minorEastAsia" w:cs="Arial" w:hint="eastAsia"/>
          <w:color w:val="000000"/>
          <w:sz w:val="24"/>
          <w:szCs w:val="24"/>
        </w:rPr>
        <w:t>、创业板、存托凭证及其他经中国证监会核准或注册上市的股票）、债券（包括国债、央行票据、金融债券、企业债券、公司债券、中期票据、短期融资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1597DC7D"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7DF26C7E"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583909BE"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2、基金托管人根据有关法律法规的规定及《基金合同》的约定对下述基金投融资比例进行监督：</w:t>
      </w:r>
    </w:p>
    <w:p w14:paraId="1F37B47D"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（1）按法律法规的规定及《基金合同》的约定，本基金的投资资产配置比</w:t>
      </w:r>
      <w:r>
        <w:rPr>
          <w:rFonts w:asciiTheme="minorEastAsia" w:hAnsiTheme="minorEastAsia" w:cs="Arial" w:hint="eastAsia"/>
          <w:color w:val="000000"/>
          <w:sz w:val="24"/>
          <w:szCs w:val="24"/>
        </w:rPr>
        <w:lastRenderedPageBreak/>
        <w:t>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3713D98E"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0F8DF4A1"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（2）根据法律法规的规定及《基金合同》的约定，本基金投资组合遵循以下投资限制： </w:t>
      </w:r>
    </w:p>
    <w:p w14:paraId="53EE885F"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1）股票资产占基金资产的比例为60%-95%；</w:t>
      </w:r>
    </w:p>
    <w:p w14:paraId="00F29416"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2）每个交易日日终在扣除国债期货、股指期货、股票期权合约需缴纳的交易保证金后，本基金保持不低于基金资产净值5%的现金或者到期日在一年以内的政府债券，其中，现金不包括结算备付金、存出保证金、应收申购款等； </w:t>
      </w:r>
    </w:p>
    <w:p w14:paraId="7527AEDC"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0E6C27D6"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4）本基金管理人管理的且由本基金托管人托管的全部基金持有一家公司发行的证券，不超过该证券的10％；</w:t>
      </w:r>
    </w:p>
    <w:p w14:paraId="6640E9C6"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5）本基金投资于同一原始权益人的各类资产支持证券的比例，不得超过基金资产净值的10%；</w:t>
      </w:r>
    </w:p>
    <w:p w14:paraId="63553123"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6）本基金持有的全部资产支持证券，其市值不得超过基金资产净值的20%；</w:t>
      </w:r>
    </w:p>
    <w:p w14:paraId="564AEE3F"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7）本基金持有的同一(指同一信用级别)资产支持证券的比例，不得超过该资产支持证券规模的10%；</w:t>
      </w:r>
    </w:p>
    <w:p w14:paraId="13A2BB42"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8）本基金管理人管理的且由本基金托管人托管的全部证券投资基金投资于同一原始权益人的各类资产支持证券，不得超过其各类资产支持证券合计规模的10%；</w:t>
      </w:r>
    </w:p>
    <w:p w14:paraId="64F69AAE"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6398FEE5"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7F77706D"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11）本基金进入全国银行间同业市场进行债券回购的资金余额不得超过基金</w:t>
      </w:r>
      <w:r>
        <w:rPr>
          <w:rFonts w:asciiTheme="minorEastAsia" w:hAnsiTheme="minorEastAsia" w:cs="Arial" w:hint="eastAsia"/>
          <w:color w:val="000000"/>
          <w:sz w:val="24"/>
          <w:szCs w:val="24"/>
        </w:rPr>
        <w:lastRenderedPageBreak/>
        <w:t>资产净值的40%；本基金在全国银行间同业市场的债券回购最长期限为1年，债券回购到期后不得展期；</w:t>
      </w:r>
    </w:p>
    <w:p w14:paraId="2421129D"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12）本基金参与股指期货、国债期货交易依据下列标准建构组合：</w:t>
      </w:r>
    </w:p>
    <w:p w14:paraId="23D3E52F"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130BEEE1"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4BD7E70F"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③在任何交易日日终，持有的卖出股指期货合约价值不得超过基金持有的股票总市值的20%；在任何交易日日终，持有的卖出国债期货合约价值不得超过基金持有的债券总市值的30%；</w:t>
      </w:r>
    </w:p>
    <w:p w14:paraId="34C80291"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78173F87"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2EED097E"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691EC88"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14）基金总资产不得超过基金净资产的140%；</w:t>
      </w:r>
    </w:p>
    <w:p w14:paraId="372BFB5E"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15）本基金管理人管理的且由本基金托管人托管的全部开放式基金持有一家上市公司发行的可流通股票，不得超过该上市公司可流通股票的15%；本基金管理人管理的且由本基金托管人托管的全部投资组合持有一家上市公司发行的可流通股票，不得超过该上市公司可流通股票的30%；</w:t>
      </w:r>
    </w:p>
    <w:p w14:paraId="2D571672"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16）本基金主动投资于流动性受限资产的市值合计不得超过基金资产净值的15%；</w:t>
      </w:r>
    </w:p>
    <w:p w14:paraId="0104F054"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因证券市场波动、上市公司股票停牌、基金规模变动等基金管理人之外的因素致使基金不符合前款所规定比例限制的，基金管理人不得主动新增流动性受限资产的投资；</w:t>
      </w:r>
    </w:p>
    <w:p w14:paraId="358482FC"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17）本基金与私募类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7A1C76E"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18）本基金参与股票期权交易的，需遵守下列投资比例限制：</w:t>
      </w:r>
    </w:p>
    <w:p w14:paraId="546C89A5"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①本基金因未平仓的期权合约支付和收取的权利金总额不得超过基金资产净值的10%；</w:t>
      </w:r>
    </w:p>
    <w:p w14:paraId="62E9721B"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30CB569E"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③本基金未平仓的期权合约面值不得超过基金资产净值的20%。其中，合约面值按照行权价乘以合约乘数计算；</w:t>
      </w:r>
    </w:p>
    <w:p w14:paraId="03C6B8F4"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19）本基金投资存托凭证的比例限制依照境内上市交易的股票执行，与境内上市交易的股票合并计算；</w:t>
      </w:r>
    </w:p>
    <w:p w14:paraId="79B21C0A"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20）本基金参与融资的，每个交易日日终，本基金持有的融资买入股票与其他有价证券市值之和，不得超过基金资产净值的95%；</w:t>
      </w:r>
    </w:p>
    <w:p w14:paraId="40EA9CB3"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038A5C9E"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6E0FC7DA"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6E72E7B6"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 xml:space="preserve">3、基金托管人根据有关法律法规的规定及《基金合同》的约定对下述基金投资禁止行为进行监督： </w:t>
      </w:r>
    </w:p>
    <w:p w14:paraId="49301226"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根据法律法规的规定及《基金合同》的约定，本基金禁止从事下列行为：</w:t>
      </w:r>
    </w:p>
    <w:p w14:paraId="54351E56"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lastRenderedPageBreak/>
        <w:t>（1）承销证券；</w:t>
      </w:r>
    </w:p>
    <w:p w14:paraId="14D99D9D"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（2）违反规定向他人贷款或提供担保；</w:t>
      </w:r>
    </w:p>
    <w:p w14:paraId="7B8057BD"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（3）从事承担无限责任的投资；</w:t>
      </w:r>
    </w:p>
    <w:p w14:paraId="05B2E759"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（4）买卖其他基金份额，但法律法规或中国证监会另有规定的除外；</w:t>
      </w:r>
    </w:p>
    <w:p w14:paraId="3B61F435"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（5）向基金管理人、基金托管人出资；</w:t>
      </w:r>
    </w:p>
    <w:p w14:paraId="37E27BE8"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06B84748"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4、基金托管人依据以下约定对基金管理人参与银行间债券市场投资进行监督。</w:t>
      </w:r>
    </w:p>
    <w:p w14:paraId="66933A05"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参与银行间市场交易,应按照审慎的风险控制原则评估交易对手资信风险，并自主选择交易对手。基金托管人发现基金管理人与银行间市场的丙类会员进行债券交易的，可以通过邮件、电话等双方认可的方式提醒基金管理人，基金管理人应及时向基金托管人提供可行性说明。基金管理人应确保可行性说明内容真实、准确、完整。基金托管人不对基金管理人提供的可行性说明进行实质审查。基金管理人同意，经提醒后基金管理人仍执行交易并造成基金资产损失的，基金托管人不承担责任。</w:t>
      </w:r>
    </w:p>
    <w:p w14:paraId="3925B9BE"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基金管理人在银行间市场进行现券买卖和回购交易时，以DVP(券款兑付)的交易结算方式进行交易。</w:t>
      </w:r>
    </w:p>
    <w:p w14:paraId="77538563"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5、关于银行存款投资</w:t>
      </w:r>
    </w:p>
    <w:p w14:paraId="5A311F39"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本基金投资银行存款的信用风险主要包括存款银行的信用等级、存款银行的支付能力等涉及到存款银行选择方面的风险。基金管理人应基于审慎原则评估存款银行信用风险并据此选择存款银行。因基金管理人违反上述原则给基金造成的损失，基金托管人不承担任何责任，相关损失由基金管理人先行承担。基金管理人履行先行赔付责任后，有权要求相关责任人进行赔偿。基金托管人的职责仅限于督促基金管理人履行先行赔付责任。</w:t>
      </w:r>
    </w:p>
    <w:p w14:paraId="2987BC14"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6、基金托管人对基金投资流通受限证券的监督</w:t>
      </w:r>
    </w:p>
    <w:p w14:paraId="57471418"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（1）基金投资流通受限证券，应遵守《关于基金投资非公开发行股票等流通受限证券有关问题的通知》等有关法律法规规定。</w:t>
      </w:r>
    </w:p>
    <w:p w14:paraId="5CDACBD6"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（2）流通受限证券，包括由《上市公司证券发行管理办法》规范的非公开发行股票、公开发行股票网下配售部分等在发行时明确一定期限锁定期的可交易</w:t>
      </w:r>
      <w:r>
        <w:rPr>
          <w:rFonts w:asciiTheme="minorEastAsia" w:hAnsiTheme="minorEastAsia" w:cs="Arial" w:hint="eastAsia"/>
          <w:color w:val="000000"/>
          <w:sz w:val="24"/>
          <w:szCs w:val="24"/>
        </w:rPr>
        <w:lastRenderedPageBreak/>
        <w:t>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w:t>
      </w:r>
    </w:p>
    <w:p w14:paraId="50CAB8E4"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3）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流动性风险处置预案。上述资料应包括但不限于基金投资流通受限证券的投资额度和投资比例控制情况。</w:t>
      </w:r>
    </w:p>
    <w:p w14:paraId="0C23EF1A"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基金管理人应至少</w:t>
      </w:r>
      <w:proofErr w:type="gramStart"/>
      <w:r>
        <w:rPr>
          <w:rFonts w:asciiTheme="minorEastAsia" w:hAnsiTheme="minorEastAsia" w:cs="Arial" w:hint="eastAsia"/>
          <w:color w:val="000000"/>
          <w:sz w:val="24"/>
          <w:szCs w:val="24"/>
        </w:rPr>
        <w:t>于首次</w:t>
      </w:r>
      <w:proofErr w:type="gramEnd"/>
      <w:r>
        <w:rPr>
          <w:rFonts w:asciiTheme="minorEastAsia" w:hAnsiTheme="minorEastAsia" w:cs="Arial" w:hint="eastAsia"/>
          <w:color w:val="000000"/>
          <w:sz w:val="24"/>
          <w:szCs w:val="24"/>
        </w:rPr>
        <w:t>执行投资指令之前两个工作日将上述资料书面发至基金托管人，保证基金托管人有足够的时间进行审核。基金托管人应在收到上述资料后两个工作日内，以书面或其他双方认可的方式确认收到上述资料。</w:t>
      </w:r>
    </w:p>
    <w:p w14:paraId="59987DFA"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4）基金投资流通受限证券前，基金管理人应向基金托管人提供符合法律法规要求的有关书面信息，包括但不限于拟发行证券主体的中国证监会批准文件、发行证券数量、发行价格、锁定期、基金拟认购的数量、价格、总成本、总成本占基金资产净值的比例、已持有流通受限证券市值占资产净值的比例、资金划付时间等。基金管理人应保证上述信息的真实、完整，并应至少</w:t>
      </w:r>
      <w:proofErr w:type="gramStart"/>
      <w:r>
        <w:rPr>
          <w:rFonts w:asciiTheme="minorEastAsia" w:hAnsiTheme="minorEastAsia" w:cs="Arial" w:hint="eastAsia"/>
          <w:color w:val="000000"/>
          <w:sz w:val="24"/>
          <w:szCs w:val="24"/>
        </w:rPr>
        <w:t>于拟执行</w:t>
      </w:r>
      <w:proofErr w:type="gramEnd"/>
      <w:r>
        <w:rPr>
          <w:rFonts w:asciiTheme="minorEastAsia" w:hAnsiTheme="minorEastAsia" w:cs="Arial" w:hint="eastAsia"/>
          <w:color w:val="000000"/>
          <w:sz w:val="24"/>
          <w:szCs w:val="24"/>
        </w:rPr>
        <w:t>投资指令前两个工作日将上述信息书面发至基金托管人，保证基金托管人有足够的时间进行审核。</w:t>
      </w:r>
    </w:p>
    <w:p w14:paraId="4A25CF3D"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5）基金托管人应按照《关于基金投资非公开发行股票等流通受限证券有关问题的通知》规定，对基金管理人是否遵守法律法规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278C34D3"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如基金管理人和基金托管人无法达成一致，应及时上报中国证监会请求解决。如果基金托管人切实履行监督职责，则不承担任何责任。如果基金托管人没有切实履行监督职责，导致基金出现风险，基金托管人应承担连带责任。</w:t>
      </w:r>
    </w:p>
    <w:p w14:paraId="48D33813"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（二）基金托管人应根据有关法律法规的规定及《基金合同》的约定，对基金资产净值计算、各类基金份额净值计算、应收资金到账、基金费用开支及收入</w:t>
      </w:r>
      <w:r>
        <w:rPr>
          <w:rFonts w:asciiTheme="minorEastAsia" w:hAnsiTheme="minorEastAsia" w:cs="Arial" w:hint="eastAsia"/>
          <w:color w:val="000000"/>
          <w:sz w:val="24"/>
          <w:szCs w:val="24"/>
        </w:rPr>
        <w:lastRenderedPageBreak/>
        <w:t>确定、基金收益分配、相关信息披露、基金宣传推介材料中登载基金业绩表现数据等进行监督和核查。</w:t>
      </w:r>
    </w:p>
    <w:p w14:paraId="6A1B1E4C"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托管人发现基金管理人的投资运作及其他运作违反《基金法》、《基金合同》、基金托管协议有关规定时，应及时以书面形式通知基金管理人限期纠正，基金管理人收到书面通知后应在下一个工作日及时核对，并以书面形式向基金托管人发出回函，就基金托管人的合理疑义进行解释或举证。</w:t>
      </w:r>
    </w:p>
    <w:p w14:paraId="2D662AF1"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在限期内，基金托管人有权随时对通知事项进行复查，督促基金管理人改正。基金管理人对基金托管人通知的违规事项未能在限期内纠正的，基金托管人应报告中国证监会。基金托管人有义务要求基金管理人赔偿因其违反《基金合同》而致使投资者遭受的损失。</w:t>
      </w:r>
    </w:p>
    <w:p w14:paraId="438A3784"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对于依据交易程序尚未成交的</w:t>
      </w:r>
      <w:proofErr w:type="gramStart"/>
      <w:r>
        <w:rPr>
          <w:rFonts w:asciiTheme="minorEastAsia" w:hAnsiTheme="minorEastAsia" w:cs="Arial" w:hint="eastAsia"/>
          <w:color w:val="000000"/>
          <w:sz w:val="24"/>
          <w:szCs w:val="24"/>
        </w:rPr>
        <w:t>且基金</w:t>
      </w:r>
      <w:proofErr w:type="gramEnd"/>
      <w:r>
        <w:rPr>
          <w:rFonts w:asciiTheme="minorEastAsia" w:hAnsiTheme="minorEastAsia" w:cs="Arial" w:hint="eastAsia"/>
          <w:color w:val="000000"/>
          <w:sz w:val="24"/>
          <w:szCs w:val="24"/>
        </w:rPr>
        <w:t>托管人在交易前能够监控的投资指令，基金托管人发现该投资指令违反有关法律法规规定或者违反《基金合同》约定的，应当拒绝执行，立即通知基金管理人，并有权中国证监会报告。</w:t>
      </w:r>
    </w:p>
    <w:p w14:paraId="2880A63C"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对于必须于估值完成后方可获知的监控指标或依据交易程序已经成交的投资指令，基金托管人发现该投资指令违反法律法规或者违反《基金合同》约定的，应当立即通知基金管理人，并报告中国证监会。</w:t>
      </w:r>
    </w:p>
    <w:p w14:paraId="6A76191F"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积极配合和协助基金托管人的监督和核查，必须在规定时间内答复基金托管人并改正，就基金托管人的合理疑义进行解释或举证，对基金托管人按照法规要求需向中国证监会报送基金监督报告的，基金管理人应积极配合提供相关数据资料和制度等。</w:t>
      </w:r>
    </w:p>
    <w:p w14:paraId="4FAEA57C"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基金托管人发现基金管理人有重大违规行为，应立即报告中国证监会，同时通知基金管理人限期纠正。</w:t>
      </w:r>
    </w:p>
    <w:p w14:paraId="7A0F5D1C" w14:textId="77777777" w:rsidR="009214AE" w:rsidRDefault="00C66335">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无正当理由，拒绝、阻挠基金托管人根据本协议规定行使监督权，或采取拖延、欺诈等手段妨碍基金托管人进行有效监督，情节严重或经基金托管人提出警告仍不改正的，基金托管人有权报告中国证监会。</w:t>
      </w:r>
    </w:p>
    <w:p w14:paraId="3A73FDEC" w14:textId="77777777" w:rsidR="009214AE" w:rsidRDefault="009214AE">
      <w:pPr>
        <w:adjustRightInd w:val="0"/>
        <w:snapToGrid w:val="0"/>
        <w:spacing w:line="360" w:lineRule="auto"/>
        <w:ind w:firstLineChars="200" w:firstLine="480"/>
        <w:rPr>
          <w:rFonts w:asciiTheme="minorEastAsia" w:hAnsiTheme="minorEastAsia" w:cs="Arial" w:hint="eastAsia"/>
          <w:color w:val="000000"/>
          <w:sz w:val="24"/>
          <w:szCs w:val="24"/>
        </w:rPr>
      </w:pPr>
    </w:p>
    <w:p w14:paraId="0EE11F3A" w14:textId="77777777" w:rsidR="009214AE" w:rsidRDefault="00C66335">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6D77BB66"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管理人对基金托管人履行托管职责情况进行核查，核查事项包括但不限于基金托管人安全保管基金财产、开设基金财产的资金账户和证券账户等投资所需账户、复核、审查基金管理人计算的基金资产净值和各类基金份额净值、根据</w:t>
      </w:r>
      <w:r>
        <w:rPr>
          <w:rFonts w:ascii="宋体" w:hAnsi="宋体" w:hint="eastAsia"/>
          <w:sz w:val="24"/>
          <w:szCs w:val="24"/>
        </w:rPr>
        <w:lastRenderedPageBreak/>
        <w:t>管理人指令办理清算交收、相关信息披露和监督基金投资运作等行为。</w:t>
      </w:r>
    </w:p>
    <w:p w14:paraId="255D3543"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擅自挪用基金财产、未对基金财产实行分账管理、无故未执行或无故延迟执行基金管理人资金划拨指令、泄露基金投资信息等违反《基金法》、《基金合同》、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基金管理人有义务要求基金托管人赔偿基金因此所遭受的损失。</w:t>
      </w:r>
    </w:p>
    <w:p w14:paraId="03D112E6"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基金管理人发现基金托管人有重大违规行为，应立即报告中国证监会和银行业监督管理机构，同时通知基金托管人限期纠正。</w:t>
      </w:r>
    </w:p>
    <w:p w14:paraId="06CEC6F1"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45B2C6AB"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托管人无正当理由，拒绝、阻挠基金管理人根据本协议规定行使监督权，或采取拖延、欺诈等手段妨碍基金管理人进行有效监督，情节严重或经基金管理人提出警告仍不改正的，基金管理人有权报告中国证监会。</w:t>
      </w:r>
    </w:p>
    <w:p w14:paraId="767C7405" w14:textId="77777777" w:rsidR="009214AE" w:rsidRDefault="009214AE">
      <w:pPr>
        <w:spacing w:line="360" w:lineRule="auto"/>
        <w:ind w:firstLineChars="200" w:firstLine="480"/>
        <w:rPr>
          <w:rFonts w:ascii="宋体" w:hAnsi="宋体" w:hint="eastAsia"/>
          <w:sz w:val="24"/>
          <w:szCs w:val="24"/>
        </w:rPr>
      </w:pPr>
    </w:p>
    <w:p w14:paraId="1F7BE538" w14:textId="77777777" w:rsidR="009214AE" w:rsidRDefault="00C66335">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四、基金财产保管</w:t>
      </w:r>
    </w:p>
    <w:p w14:paraId="6F15637E"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2296C3EC"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1、基金财产应独立于基金管理人、基金托管人的固有财产。</w:t>
      </w:r>
    </w:p>
    <w:p w14:paraId="0CE704FC"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2、基金托管人应安全保管基金财产。未经基金管理人的正当指令，不得自行运用、处分、分配基金的任何财产。</w:t>
      </w:r>
    </w:p>
    <w:p w14:paraId="15B6FFA1"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3、基金托管人按照规定开设基金财产的资金账户和证券账户等投资所需账户。</w:t>
      </w:r>
    </w:p>
    <w:p w14:paraId="2879934A"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4、基金托管人对所托管的不同基金财产分别设置账户，与基金托管人的其他业务和其他基金的托管业务实行严格的分账管理，独立核算，确保基金财产的完整与独立。</w:t>
      </w:r>
    </w:p>
    <w:p w14:paraId="5B144284"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5、对于因基金认（申）购、基金投资过程中产生的应收财产，应由基金管</w:t>
      </w:r>
      <w:r>
        <w:rPr>
          <w:rFonts w:ascii="宋体" w:hAnsi="宋体" w:hint="eastAsia"/>
          <w:sz w:val="24"/>
          <w:szCs w:val="24"/>
        </w:rPr>
        <w:lastRenderedPageBreak/>
        <w:t>理人负责与有关当事人确定到账日期并通知基金托管人，到账日基金财产没有到达基金托管人处的，基金托管人应及时通知基金管理人采取措施进行催收。由此给基金造成损失的，基金管理人应负责向有关当事人追偿基金的损失，基金托管人对此不承担责任，但应予以必要的协助和配合。</w:t>
      </w:r>
    </w:p>
    <w:p w14:paraId="3348AA7B"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（二）募集资金的验证</w:t>
      </w:r>
    </w:p>
    <w:p w14:paraId="05C0F313"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募集期内销售机构按销售与服务代理协议的约定，将认购资金划入基金管理人在具有托管资格的商业银行开设的富荣基金管理有限公司基金认购专户。该账户由基金管理人开立并管理。基金募集期满或基金停止募集时，发起资金提供方、发起资金提供方使用发起资金认购的金额及其承诺的持有期限符合《基金法》、《运作办法》等有关规定后，由基金管理人聘请符合《中华人民共和国证券法》规定的会计师事务所进行验资，出具验资报告，验资报告需对发起资金提供方及其持有份额进行专门说明。出具的验资报告应由参加验资的2名以上（含2名）中国注册会计师签字有效。验资完成，基金管理人应将募集的属于本基金财产的全部资金划入基金托管人为基金开立的资产托管专户中，基金托管人在收到资金当日出具确认文件。</w:t>
      </w:r>
    </w:p>
    <w:p w14:paraId="5639D0D4" w14:textId="77777777" w:rsidR="009214AE" w:rsidRDefault="00C66335">
      <w:pPr>
        <w:spacing w:line="360" w:lineRule="auto"/>
        <w:ind w:firstLineChars="200" w:firstLine="480"/>
        <w:rPr>
          <w:rFonts w:ascii="宋体" w:hAnsi="宋体" w:hint="eastAsia"/>
          <w:sz w:val="24"/>
          <w:szCs w:val="24"/>
        </w:rPr>
      </w:pP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募集期限届满，未能达到《基金合同》生效的条件，由基金管理人按规定办理退款事宜。</w:t>
      </w:r>
    </w:p>
    <w:p w14:paraId="030D4650"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（三）基金的银行账户的开立和管理</w:t>
      </w:r>
    </w:p>
    <w:p w14:paraId="2F4F10C1"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基金托管人以基金托管人的名义在其营业机构开设资产托管专户，保管基金的银行存款。该账户的开设和管理由基金托管人承担。本基金的一切货币收支活动，均需通过基金托管人的资产托管专户进行。</w:t>
      </w:r>
    </w:p>
    <w:p w14:paraId="07427D9B"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资产托管专户的开立和使用，限于满足开展本基金业务的需要。基金托管人和基金管理人不得假借本基金的名义开立其他任何银行账户；亦不得使用基金的任何银行账户进行本基金业务以外的活动。</w:t>
      </w:r>
    </w:p>
    <w:p w14:paraId="1CD96459"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资产托管专户的管理应符合《人民币银行结算账户管理办法》、《现金管理暂行条例》、《人民币利率管理规定》、《利率管理暂行规定》、《支付结算办法》以及银行业监督管理机构的其他规定。</w:t>
      </w:r>
    </w:p>
    <w:p w14:paraId="5AEB7748"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（四）基金证券账户与证券交易资金账户的开设和管理</w:t>
      </w:r>
    </w:p>
    <w:p w14:paraId="164BF3E7"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基金托管人以基金托管人和本基金联名的方式在中国证券登记结算有限责</w:t>
      </w:r>
      <w:r>
        <w:rPr>
          <w:rFonts w:ascii="宋体" w:hAnsi="宋体" w:hint="eastAsia"/>
          <w:sz w:val="24"/>
          <w:szCs w:val="24"/>
        </w:rPr>
        <w:lastRenderedPageBreak/>
        <w:t>任公司上海分公司/深圳分公司开设证券账户。</w:t>
      </w:r>
    </w:p>
    <w:p w14:paraId="7AD8AA39"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基金托管人以基金托管人的名义在中国证券登记结算有限责任公司上海分公司/深圳分公司开立基金证券交易资金账户，用于证券清算。</w:t>
      </w:r>
    </w:p>
    <w:p w14:paraId="65074D95"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64383727"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法律法规等有关规定对相关账户的开立和管理另有规定的，从其规定办理。</w:t>
      </w:r>
    </w:p>
    <w:p w14:paraId="5BA8ADD4"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（五）债券托管账户的开立和管理</w:t>
      </w:r>
    </w:p>
    <w:p w14:paraId="712195F9"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1、《基金合同》生效后，基金管理人负责以基金的名义申请并取得进入全国银行间同业拆借市场的交易资格，并代表基金进行交易；基金托管人负责以基金的名义在中央国债登记结算有限责任公司和银行间市场清算所股份有限公司开设银行间债券市场债券托管账户和资金结算专户，并由基金托管人负责基金的债券的后台匹配及资金的清算。</w:t>
      </w:r>
    </w:p>
    <w:p w14:paraId="30836A3E"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2、基金管理人和基金托管人应一起负责为基金对外签订全国银行间债券市场回购主协议，正本由基金托管人保管，基金管理人保存副本。</w:t>
      </w:r>
    </w:p>
    <w:p w14:paraId="3C8F9EDF"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（六）其他账户的开设和管理</w:t>
      </w:r>
    </w:p>
    <w:p w14:paraId="6CCE9C63"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在本托管协议订立日之后，本基金被允许从事符合法律法规规定和《基金合同》约定的其他投资品种的投资业务时，如果涉及相关账户的开设和使用，由基金管理人协助托管人根据有关法律法规的规定和《基金合同》的约定，开立有关账户。该账户按有关规则使用并管理。</w:t>
      </w:r>
    </w:p>
    <w:p w14:paraId="4D5277D4"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（七）基金财产投资的有关实物证券的保管</w:t>
      </w:r>
    </w:p>
    <w:p w14:paraId="6FCBCF36"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财产投资的有关实物证券由基金托管人存放于基金托管人的保管库。属于基金托管人实际有效控制下的实物证券在基金托管人保管期间的损坏、灭失，由此产生的责任应由基金托管人承担。基金托管人对基金托管人以外机构实际有效控制或保管的证券不承担保管责任。</w:t>
      </w:r>
    </w:p>
    <w:p w14:paraId="78D94A97"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430F8C59"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由基金管理人代表基金签署的与基金有关的重大合同的原件分别应由基金托管人、基金管理人保管。除本协议另有规定外，基金管理人在代表基金签署与基金有关的重大合同时应保证基金一方持有两份以上的正本，以便基金管理人和</w:t>
      </w:r>
      <w:r>
        <w:rPr>
          <w:rFonts w:ascii="宋体" w:hAnsi="宋体" w:hint="eastAsia"/>
          <w:sz w:val="24"/>
          <w:szCs w:val="24"/>
        </w:rPr>
        <w:lastRenderedPageBreak/>
        <w:t>基金托管人至少各持有一份正本的原件。基金管理人在合同签署后5个工作日内通过专人送达、挂号邮寄等安全方式将合同原件送达基金托管人处。合同原件应存放于基金管理人和基金托管人各自文件保管部门20年以上，法律法规另有规定的从其规定。</w:t>
      </w:r>
    </w:p>
    <w:p w14:paraId="46881829" w14:textId="77777777" w:rsidR="009214AE" w:rsidRDefault="009214AE">
      <w:pPr>
        <w:spacing w:line="360" w:lineRule="auto"/>
        <w:ind w:firstLineChars="200" w:firstLine="480"/>
        <w:rPr>
          <w:rFonts w:ascii="宋体" w:hAnsi="宋体" w:hint="eastAsia"/>
          <w:sz w:val="24"/>
          <w:szCs w:val="24"/>
        </w:rPr>
      </w:pPr>
    </w:p>
    <w:p w14:paraId="6E13B0F6" w14:textId="77777777" w:rsidR="009214AE" w:rsidRDefault="00C66335">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五、基金资产净值计算和会计核算</w:t>
      </w:r>
    </w:p>
    <w:p w14:paraId="0478C5EE"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w:t>
      </w:r>
    </w:p>
    <w:p w14:paraId="284DF8FB"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1、基金资产净值的计算、复核的时间和程序</w:t>
      </w:r>
    </w:p>
    <w:p w14:paraId="52556D87"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基金负债后的价值。各类基金份额净值是指计算日该类基金资产净值除以该计算日该类基金份额总份额后的数值。各类基金份额净值的计算保留到小数点后4位，小数点后第5位四舍五入，由此产生的误差计入基金财产。</w:t>
      </w:r>
    </w:p>
    <w:p w14:paraId="3257C4A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每工作日对基金资产估值。估值原则应符合《基金合同》、《证券投资基金会计核算业务指引》及其他法律、法规的规定。用于基金信息披露的基金资产净值和各类基金份额净值由基金管理人负责计算，基金托管人复核。基金管理人应于每个工作日交易结束后计算当日的基金份额资产净值并以双方认可的方式发送给基金托管人。基金托管人对净值计算结果复核后以双方认可的方式发送给基金管理人，由基金管理人对基金净值予以公布。</w:t>
      </w:r>
    </w:p>
    <w:p w14:paraId="6C206175"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基金管理人计算并公告基金资产净值，基金托管人复核、审查基金管理人计算的基金资产净值。因此，本基金的会计责任方是基金管理人，就与本基金有关的会计问题，如经相关各方在平等基础上充分讨论后，仍无法达成一致的意见，按照基金管理人对基金资产净值的计算结果对外予以公布。法律法规以及监管部门有强制规定的，从其规定。如有新增事项，按国家最新规定估值。</w:t>
      </w:r>
    </w:p>
    <w:p w14:paraId="3147AC15"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（二）基金资产估值方法</w:t>
      </w:r>
    </w:p>
    <w:p w14:paraId="25A16EBB"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1、估值对象</w:t>
      </w:r>
    </w:p>
    <w:p w14:paraId="3D21D240"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基金所拥有的股票、债券、股指期货合约、国债期货合约、股票期权合约和银行存款本息、资产支持证券、应收款项、其它投资等资产及负债。</w:t>
      </w:r>
    </w:p>
    <w:p w14:paraId="558BC4AE"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2、估值方法</w:t>
      </w:r>
    </w:p>
    <w:p w14:paraId="6E05227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本基金的估值方法为：</w:t>
      </w:r>
    </w:p>
    <w:p w14:paraId="56085EF0"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（1）证券交易所上市的有价证券的估值</w:t>
      </w:r>
    </w:p>
    <w:p w14:paraId="1A2EF515"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①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67CDC95"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②交易所上市交易或挂牌转让的不含</w:t>
      </w:r>
      <w:proofErr w:type="gramStart"/>
      <w:r>
        <w:rPr>
          <w:rFonts w:asciiTheme="minorEastAsia" w:hAnsiTheme="minorEastAsia" w:cs="Arial" w:hint="eastAsia"/>
          <w:sz w:val="24"/>
          <w:szCs w:val="24"/>
        </w:rPr>
        <w:t>权固定</w:t>
      </w:r>
      <w:proofErr w:type="gramEnd"/>
      <w:r>
        <w:rPr>
          <w:rFonts w:asciiTheme="minorEastAsia" w:hAnsiTheme="minorEastAsia" w:cs="Arial" w:hint="eastAsia"/>
          <w:sz w:val="24"/>
          <w:szCs w:val="24"/>
        </w:rPr>
        <w:t>收益品种，选取估值日第三方估值机构提供的相应品种当日的估值净价进行估值；</w:t>
      </w:r>
    </w:p>
    <w:p w14:paraId="4F26EB36"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③交易所上市交易或挂牌转让的含</w:t>
      </w:r>
      <w:proofErr w:type="gramStart"/>
      <w:r>
        <w:rPr>
          <w:rFonts w:asciiTheme="minorEastAsia" w:hAnsiTheme="minorEastAsia" w:cs="Arial" w:hint="eastAsia"/>
          <w:sz w:val="24"/>
          <w:szCs w:val="24"/>
        </w:rPr>
        <w:t>权固定</w:t>
      </w:r>
      <w:proofErr w:type="gramEnd"/>
      <w:r>
        <w:rPr>
          <w:rFonts w:asciiTheme="minorEastAsia" w:hAnsiTheme="minorEastAsia" w:cs="Arial" w:hint="eastAsia"/>
          <w:sz w:val="24"/>
          <w:szCs w:val="24"/>
        </w:rPr>
        <w:t>收益品种，选取估值日第三方估值机构提供的相应品种当日的唯一估值净价或推荐估值净价进行估值；</w:t>
      </w:r>
    </w:p>
    <w:p w14:paraId="231A6178"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④交易所上市交易的可转换债券以每日收盘价减去债券收盘价中所含的债券应收利息得到的净价进行估值；</w:t>
      </w:r>
    </w:p>
    <w:p w14:paraId="4619ECD2"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⑤交易所上市不存在活跃市场的有价证券，采用估值技术确定公允价值。交易所市场挂牌转让的资产支持证券，采用估值技术确定公允价值；</w:t>
      </w:r>
    </w:p>
    <w:p w14:paraId="6B9EFEEA"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⑥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4DA653EA"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（2）处于未上市期间的有价证券应区分如下情况处理：</w:t>
      </w:r>
    </w:p>
    <w:p w14:paraId="00EE0A0F"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①送股、转增股、配股和公开增发的新股，按估值日在证券交易所挂牌的同一股票的估值方法估值；该日无交易的，以最近一日的市价（收盘价）估值。</w:t>
      </w:r>
    </w:p>
    <w:p w14:paraId="470490F4"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②首次公开发行未上市的股票、债券，采用估值技术确定公允价值，在估值技术难以可靠计量公允价值的情况下，按成本估值。</w:t>
      </w:r>
    </w:p>
    <w:p w14:paraId="1539C0A1"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③在发行时明确一定期限限售期的股票，包括但不限于非公开发行股票、首次公开发行股票时公司股东公开发售股份、通过大宗交易取得的带限售期的股票等，不包括停牌、新发行未上市、回购交易中的质押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639F9337"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（3）对全国银行间市场上不含权的固定收益品种，按照第三方估值机构提</w:t>
      </w:r>
      <w:r>
        <w:rPr>
          <w:rFonts w:asciiTheme="minorEastAsia" w:hAnsiTheme="minorEastAsia" w:cs="Arial" w:hint="eastAsia"/>
          <w:sz w:val="24"/>
          <w:szCs w:val="24"/>
        </w:rPr>
        <w:lastRenderedPageBreak/>
        <w:t xml:space="preserve">供的相应品种当日的估值净价估值。对银行间市场上含权的固定收益品种，按照第三方估值机构提供的相应品种当日的唯一估值净价或推荐估值净价估值。对于含投资人回售权的固定收益品种，回售登记期截止日（含当日）后未行使回售权的按照长待偿期所对应的价格进行估值。对银行间市场未上市，且第三方估值机构未提供估值价格的债券，在发行利率与二级市场利率不存在明显差异，未上市期间市场利率没有发生大的变动的情况下，按成本估值。 </w:t>
      </w:r>
    </w:p>
    <w:p w14:paraId="7BDF7DB1"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（4）同一证券同时在两个或两个以上市场交易的，按证券所处的市场分别估值。 </w:t>
      </w:r>
    </w:p>
    <w:p w14:paraId="47E5F1E7"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（5）本基金投资国债期货、股指期货、股票期权合约，一般以估值当日结算价进行估值，估值当日无结算价的，且最近交易日后经济环境未发生重大变化的，采用最近交易日结算价估值。</w:t>
      </w:r>
    </w:p>
    <w:p w14:paraId="5B7DF578"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（6）本基金投资存托凭证的估值核算，依照境内上市交易的股票执行。</w:t>
      </w:r>
    </w:p>
    <w:p w14:paraId="0A3EF28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（7）其他资产按法律法规或监管机构有关规定进行估值。</w:t>
      </w:r>
    </w:p>
    <w:p w14:paraId="2BEB2180"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（8）如有确凿证据表明按上述方法进行估值不能客观反映其公允价值的，基金管理人可根据具体情况与基金托管人商定后，按最能反映公允价值的方法估值。</w:t>
      </w:r>
    </w:p>
    <w:p w14:paraId="7670FA06"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（9）当本基金发生大额申购或赎回情形时，基金管理人可以对本基金采用摆动定价机制，以确保基金估值的公平性。</w:t>
      </w:r>
    </w:p>
    <w:p w14:paraId="67349FCE"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（10）相关法律法规以及监管部门有强制规定的，从其规定。如有新增事项，按国家最新规定估值。</w:t>
      </w:r>
    </w:p>
    <w:p w14:paraId="68E383C4"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B42DF8D"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根据有关法律法规，基金资产净值计算和基金会计核算的义务由基金管理人承担。本基金的基金会计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方由基金管理人担任，基金托管人承担复核责任，因此，就与本基金有关的会计问题，如经相关各方在平等基础上充分讨论后，仍无法达成一致的意见，按照基金管理人对基金净值信息的计算结果对外予以公布。</w:t>
      </w:r>
    </w:p>
    <w:p w14:paraId="4F870CE6"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（三）估值差错处理</w:t>
      </w:r>
    </w:p>
    <w:p w14:paraId="0B06A3F5"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因基金估值错误给投资者造成损失的应先由基金管理人承担，基金管理人对不应由其承担的责任，有权向过错人追偿。</w:t>
      </w:r>
    </w:p>
    <w:p w14:paraId="18CC9DA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当基金管理人计算的基金资产净值、各类基金份额净值已由基金托管人复核确认后公告的，由此造成的投资者或基金的损失，应根据法律法规的规定对投资者或基金支付赔偿金，就实际向投资者或基金支付的赔偿金额，由基金管理人与基金托管人按照管理费率和托管费率的比例各自承担相应的责任。</w:t>
      </w:r>
    </w:p>
    <w:p w14:paraId="7CC923F3"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由于一方当事人提供的信息错误，另一方当事人在采取了必要合理的措施后仍不能发现该错误，进而导致基金资产净值、任一类基金份额净值计算错误造成投资者或基金的损失，以及由此造成以后交易日基金资产净值、任一类基金份额净值计算顺延错误而引起的投资者或基金的损失，由提供错误信息的当事人一方负责赔偿。</w:t>
      </w:r>
    </w:p>
    <w:p w14:paraId="4B750D06"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由于证券、期货交易所及其登记结算公司等第三方机构发送的数据错误，或由于其他不可抗力原因，基金管理人和基金托管人虽然已经采取必要、适当、合理的措施进行检查，但是未能发现该错误或</w:t>
      </w:r>
      <w:proofErr w:type="gramStart"/>
      <w:r>
        <w:rPr>
          <w:rFonts w:asciiTheme="minorEastAsia" w:hAnsiTheme="minorEastAsia" w:cs="Arial" w:hint="eastAsia"/>
          <w:sz w:val="24"/>
          <w:szCs w:val="24"/>
        </w:rPr>
        <w:t>虽发现</w:t>
      </w:r>
      <w:proofErr w:type="gramEnd"/>
      <w:r>
        <w:rPr>
          <w:rFonts w:asciiTheme="minorEastAsia" w:hAnsiTheme="minorEastAsia" w:cs="Arial" w:hint="eastAsia"/>
          <w:sz w:val="24"/>
          <w:szCs w:val="24"/>
        </w:rPr>
        <w:t>错误但因前述原因无法及时更正的，由此造成的基金资产估值错误，基金管理人和基金托管人可以免除赔偿责任。但基金管理人和基金托管人应当积极采取必要的措施消除或减轻由此造成的影响。</w:t>
      </w:r>
    </w:p>
    <w:p w14:paraId="648180CF"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当基金管理人计算的基金资产净值与基金托管人的计算结果不一致时，相关各方应本着勤勉尽责的态度重新计算核对，如果最后仍无法达成一致，应以基金管理人的计算结果为准对外公布，由此造成的损失以及因该交易日基金资产净值计算顺延错误而引起的损失由基金管理人承担赔偿责任，基金托管人不负赔偿责任。</w:t>
      </w:r>
    </w:p>
    <w:p w14:paraId="5737790A"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（四）基金账册的建立</w:t>
      </w:r>
    </w:p>
    <w:p w14:paraId="062B476F"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和基金托管人在《基金合同》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456015C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对账发现相关各方的账目存在不符的，基金管理人和基金托管人必须及时查明原因并纠正，保证相关各方平行登录的账册记录完全相符。若当日核对不符，暂时无法查找到错账的原因而影响到基金资产净值的计算和公告的，以基金管理人的账册为准。</w:t>
      </w:r>
    </w:p>
    <w:p w14:paraId="12309D2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（五）基金定期报告的编制和复核</w:t>
      </w:r>
    </w:p>
    <w:p w14:paraId="6E09D8E7"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编制。月度报表的编制，应于每月终了后5个工作日内完成。</w:t>
      </w:r>
    </w:p>
    <w:p w14:paraId="0AD2F9CD"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基金合同》生效后，基金招募说明书的信息发生重大变更的，基金管理人应当在三个工作日内，更新基金招募说明书并登载在规定网站上；基金招募说明书其他信息发生变更的，基金管理人至少每年更新一次。基金管理人在每个季度结束之日起15个工作日内完成季度报告编制并公告；在会计年度半年终了后两个月内完成中期报告编制并公告；在会计年度结束后三个月内完成年度报告编制并公告。</w:t>
      </w:r>
    </w:p>
    <w:p w14:paraId="5AC5E5E4"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在5个工作日内完成月度报告，在月度报告完成当日，对报告加盖公章后，以加密传真方式将有关报告提供基金托管人复核；基金托管人在3个工作日内进行复核，并将复核结果及时书面通知基金管理人。基金管理人在7个工作日内完成季度报告，在季度报告完成当日，将有关报告提供基金托管人复核，基金托管人在收到后7个工作日内进行复核，并将复核结果书面通知基金管理人。基金管理人在30日内完成中期报告，在中期报告完成当日，将有关报告提供基金托管人复核，基金托管人在收到后30日内进行复核，并将复核结果书面通知基金管理人。基金管理人在45日内完成年度报告，在年度报告完成当日，将有关报告提供基金托管人复核，基金托管人在收到后45日内复核，并将复核结果书面通知基金管理人。</w:t>
      </w:r>
    </w:p>
    <w:p w14:paraId="75115369"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复核过程中，发现相关各方的报表存在不符时，基金管理人和基金托管人应共同查明原因，进行调整，调整以相关各方认可的账务处理方式为准。核对无误后，基金托管人在基金管理人提供的报告上加盖业务印鉴或者出具加盖托管业务部门公章的复核意见书，相关各方各自留存一份。如果基金管理人与基金托管人不能</w:t>
      </w:r>
      <w:proofErr w:type="gramStart"/>
      <w:r>
        <w:rPr>
          <w:rFonts w:asciiTheme="minorEastAsia" w:hAnsiTheme="minorEastAsia" w:cs="Arial" w:hint="eastAsia"/>
          <w:sz w:val="24"/>
          <w:szCs w:val="24"/>
        </w:rPr>
        <w:t>于应当</w:t>
      </w:r>
      <w:proofErr w:type="gramEnd"/>
      <w:r>
        <w:rPr>
          <w:rFonts w:asciiTheme="minorEastAsia" w:hAnsiTheme="minorEastAsia" w:cs="Arial" w:hint="eastAsia"/>
          <w:sz w:val="24"/>
          <w:szCs w:val="24"/>
        </w:rPr>
        <w:t>发布公告之日之前就相关报表达成一致，基金管理人有权按照其编制的报表对外发布公告，基金托管人有权就相关情况报证监会备案。</w:t>
      </w:r>
    </w:p>
    <w:p w14:paraId="34B9DF74" w14:textId="77777777" w:rsidR="009214AE" w:rsidRDefault="00C66335">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基金托管人在对财务会计报告、季度报告、中期报告或年度报告复核完毕后，需盖章确认或出具相应的复核确认书或进行电子确认，以</w:t>
      </w:r>
      <w:proofErr w:type="gramStart"/>
      <w:r>
        <w:rPr>
          <w:rFonts w:asciiTheme="minorEastAsia" w:hAnsiTheme="minorEastAsia" w:cs="Arial" w:hint="eastAsia"/>
          <w:sz w:val="24"/>
          <w:szCs w:val="24"/>
        </w:rPr>
        <w:t>备有权</w:t>
      </w:r>
      <w:proofErr w:type="gramEnd"/>
      <w:r>
        <w:rPr>
          <w:rFonts w:asciiTheme="minorEastAsia" w:hAnsiTheme="minorEastAsia" w:cs="Arial" w:hint="eastAsia"/>
          <w:sz w:val="24"/>
          <w:szCs w:val="24"/>
        </w:rPr>
        <w:t>机构对相关文件审核时提示。</w:t>
      </w:r>
    </w:p>
    <w:p w14:paraId="59BE25CD" w14:textId="77777777" w:rsidR="009214AE" w:rsidRDefault="009214AE">
      <w:pPr>
        <w:adjustRightInd w:val="0"/>
        <w:snapToGrid w:val="0"/>
        <w:spacing w:line="360" w:lineRule="auto"/>
        <w:ind w:firstLineChars="200" w:firstLine="480"/>
        <w:rPr>
          <w:rFonts w:asciiTheme="minorEastAsia" w:hAnsiTheme="minorEastAsia" w:cs="Arial" w:hint="eastAsia"/>
          <w:sz w:val="24"/>
          <w:szCs w:val="24"/>
        </w:rPr>
      </w:pPr>
    </w:p>
    <w:p w14:paraId="6EBD204E" w14:textId="77777777" w:rsidR="009214AE" w:rsidRDefault="00C66335">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688D53AF"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基金管理人和基金托管人须分别妥善保管的基金份额持有人名册，包括《基</w:t>
      </w:r>
      <w:r>
        <w:rPr>
          <w:rFonts w:ascii="宋体" w:hAnsi="宋体" w:hint="eastAsia"/>
          <w:sz w:val="24"/>
          <w:szCs w:val="24"/>
        </w:rPr>
        <w:lastRenderedPageBreak/>
        <w:t>金合同》生效日、《基金合同》终止日、基金份额持有人大会权益登记日、每年6月30日、12月31日的基金份额持有人名册。基金份额持有人名册的内容必须包括基金份额持有人的名称和持有的基金份额。</w:t>
      </w:r>
    </w:p>
    <w:p w14:paraId="10D04A73"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份额持有人名册由基金的基金登记机构根据基金管理人的指令编制和保管，基金管理人和基金托管人应按照目前相关规则分别保管基金份额持有人名册。保管方式可以采用电子或文档的形式。基金份额登记机构的保存期限自基金账户销户之日起不得少于20年。</w:t>
      </w:r>
    </w:p>
    <w:p w14:paraId="21C4EA82"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管理人应当及时向基金托管人提交下列日期的基金份额持有人名册：《基金合同》生效日、《基金合同》终止日、基金份额持有人大会权益登记日、每年6月30日、每年12月31日的基金份额持有人名册。基金份额持有人名册的内容必须包括基金份额持有人的名称和持有的基金份额。其中每年12月31日的基金份额持有人名册应于下月前十个工作日内提交；《基金合同》生效日、《基金合同》终止日等涉及到基金重要事项日期的基金份额持有人名册应于发生日后十个工作日内提交。</w:t>
      </w:r>
    </w:p>
    <w:p w14:paraId="1A6530B4"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托管人以电子版形式妥善保管基金份额持有人名册，并定期刻成光盘备份，保存期限为20年，法律法规另有规定的从其规定。基金托管人不得将所保管的基金份额持有人名册用于基金托管业务以外的其他用途，并应遵守保密义务，法律法规另有规定的从其规定。</w:t>
      </w:r>
    </w:p>
    <w:p w14:paraId="370A3B10" w14:textId="77777777" w:rsidR="009214AE" w:rsidRDefault="00C66335">
      <w:pPr>
        <w:spacing w:line="360" w:lineRule="auto"/>
        <w:ind w:firstLineChars="200" w:firstLine="480"/>
        <w:rPr>
          <w:rFonts w:ascii="宋体" w:hAnsi="宋体" w:hint="eastAsia"/>
          <w:sz w:val="24"/>
          <w:szCs w:val="24"/>
        </w:rPr>
      </w:pP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1E88AE34" w14:textId="77777777" w:rsidR="009214AE" w:rsidRDefault="009214AE">
      <w:pPr>
        <w:spacing w:line="360" w:lineRule="auto"/>
        <w:ind w:firstLineChars="200" w:firstLine="480"/>
        <w:rPr>
          <w:rFonts w:ascii="宋体" w:hAnsi="宋体" w:hint="eastAsia"/>
          <w:sz w:val="24"/>
          <w:szCs w:val="24"/>
        </w:rPr>
      </w:pPr>
    </w:p>
    <w:p w14:paraId="7C8FCF1D" w14:textId="77777777" w:rsidR="009214AE" w:rsidRDefault="00C66335">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34097DA7" w14:textId="77777777" w:rsidR="009214AE" w:rsidRDefault="00C66335">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双方当事人同意，因本协议而产生的或与本协议有关的一切争议，除经友好协商可以解决的，应提交深圳国际仲裁院，根据该会当时有效的仲裁规则进行仲裁，仲裁的地点在深圳，仲裁裁决是终局性的并对协议双方均有约束力。除非仲裁裁决另有规定，仲裁费用由败诉方承担。</w:t>
      </w:r>
    </w:p>
    <w:p w14:paraId="6B263BB8" w14:textId="77777777" w:rsidR="009214AE" w:rsidRDefault="00C66335">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争议处理期间，双方当事人应恪守基金管理人和基金托管人职责，继续忠实、勤勉、尽责地履行《基金合同》和托管协议规定的义务，维护基金份额持有人的合法权益。</w:t>
      </w:r>
    </w:p>
    <w:p w14:paraId="34CDE9B2" w14:textId="77777777" w:rsidR="009214AE" w:rsidRDefault="00C66335">
      <w:pPr>
        <w:adjustRightInd w:val="0"/>
        <w:snapToGrid w:val="0"/>
        <w:spacing w:line="360" w:lineRule="auto"/>
        <w:ind w:firstLineChars="200" w:firstLine="480"/>
        <w:rPr>
          <w:rFonts w:ascii="宋体" w:hAnsi="宋体" w:hint="eastAsia"/>
          <w:sz w:val="24"/>
          <w:szCs w:val="24"/>
        </w:rPr>
      </w:pPr>
      <w:r>
        <w:rPr>
          <w:rFonts w:ascii="宋体" w:hAnsi="宋体" w:hint="eastAsia"/>
          <w:sz w:val="24"/>
          <w:szCs w:val="24"/>
        </w:rPr>
        <w:t>本协议受中国（为本协议之目的，不含台湾、香港、澳门地区）法律管辖。</w:t>
      </w:r>
    </w:p>
    <w:p w14:paraId="5A8B2236" w14:textId="77777777" w:rsidR="009214AE" w:rsidRDefault="009214AE">
      <w:pPr>
        <w:adjustRightInd w:val="0"/>
        <w:snapToGrid w:val="0"/>
        <w:spacing w:line="360" w:lineRule="auto"/>
        <w:ind w:firstLineChars="200" w:firstLine="480"/>
        <w:rPr>
          <w:rFonts w:ascii="宋体" w:hAnsi="宋体" w:hint="eastAsia"/>
          <w:sz w:val="24"/>
          <w:szCs w:val="24"/>
        </w:rPr>
      </w:pPr>
    </w:p>
    <w:p w14:paraId="26AC5593" w14:textId="77777777" w:rsidR="009214AE" w:rsidRDefault="00C66335">
      <w:pPr>
        <w:adjustRightInd w:val="0"/>
        <w:snapToGrid w:val="0"/>
        <w:spacing w:line="360" w:lineRule="auto"/>
        <w:ind w:firstLineChars="200" w:firstLine="482"/>
        <w:outlineLvl w:val="1"/>
        <w:rPr>
          <w:rFonts w:asciiTheme="minorEastAsia" w:hAnsiTheme="minorEastAsia" w:cs="Arial" w:hint="eastAsia"/>
          <w:b/>
          <w:sz w:val="24"/>
          <w:szCs w:val="24"/>
        </w:rPr>
      </w:pPr>
      <w:r>
        <w:rPr>
          <w:rFonts w:asciiTheme="minorEastAsia" w:hAnsiTheme="minorEastAsia" w:cs="Arial" w:hint="eastAsia"/>
          <w:b/>
          <w:sz w:val="24"/>
          <w:szCs w:val="24"/>
        </w:rPr>
        <w:t>八、基金托管协议的变更、终止与基金财产的清算</w:t>
      </w:r>
    </w:p>
    <w:p w14:paraId="3C5BA7B8"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（一）托管协议的变更与终止</w:t>
      </w:r>
    </w:p>
    <w:p w14:paraId="233E03FB"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1、托管协议的变更程序</w:t>
      </w:r>
    </w:p>
    <w:p w14:paraId="1D2B6843"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本协议双方当事人经协商一致，可以对协议的内容进行变更。变更后的托管协议，其内容不得与《基金合同》的规定有任何冲突。基金托管协议的变更报中国证监会备案。</w:t>
      </w:r>
    </w:p>
    <w:p w14:paraId="254B8F09"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2、基金托管协议终止的情形</w:t>
      </w:r>
    </w:p>
    <w:p w14:paraId="5EBB04B0"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发生以下情况，本托管协议终止：</w:t>
      </w:r>
    </w:p>
    <w:p w14:paraId="47AFCB86"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3E1FA99F"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（2）基金托管人解散、依法被撤销、破产或有其他基金托管人接管基金资产；</w:t>
      </w:r>
    </w:p>
    <w:p w14:paraId="5FBB1FB6"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（3）基金管理人解散、依法被撤销、破产或有其他基金管理人接管基金管理权；</w:t>
      </w:r>
    </w:p>
    <w:p w14:paraId="28BC78FD"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（4）发生法律法规、中国证监会或《基金合同》规定的终止事项。</w:t>
      </w:r>
    </w:p>
    <w:p w14:paraId="617A3CA7"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（二）基金财产的清算</w:t>
      </w:r>
    </w:p>
    <w:p w14:paraId="2975BC18"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1、基金财产清算小组：自出现《基金合同》终止事由之日起30个工作日内成立清算小组，基金管理人组织基金财产清算小组并在中国证监会的监督下进行基金清算。</w:t>
      </w:r>
    </w:p>
    <w:p w14:paraId="24BDAE00"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2、在基金财产清算小组接管基金财产之前，基金管理人和基金托管人应按照《基金合同》和本托管协议的规定继续履行保护基金财产安全的职责。</w:t>
      </w:r>
    </w:p>
    <w:p w14:paraId="1BC90234"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3、基金财产清算小组组成：基金财产清算小组成员由基金管理人、基金托管人、符合《中华人民共和国证券法》规定的注册会计师、律师以及中国证监会指定的人员组成。基金财产清算小组可以聘用必要的工作人员。</w:t>
      </w:r>
    </w:p>
    <w:p w14:paraId="09665451"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4、基金财产清算小组职责：基金财产清算小组负责基金财产的保管、清理、估价、变现和分配。基金财产清算小组可以依法进行必要的民事活动。</w:t>
      </w:r>
    </w:p>
    <w:p w14:paraId="35BD6F95"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5、基金财产清算程序：</w:t>
      </w:r>
      <w:r>
        <w:rPr>
          <w:rFonts w:ascii="宋体" w:hAnsi="宋体" w:hint="eastAsia"/>
          <w:sz w:val="24"/>
          <w:szCs w:val="24"/>
        </w:rPr>
        <w:tab/>
      </w:r>
    </w:p>
    <w:p w14:paraId="3F6E7DE5"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（1）基金财产清算小组成立后，由基金财产清算小组统一接管基金；</w:t>
      </w:r>
    </w:p>
    <w:p w14:paraId="0CE0A112"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（2）对基金财产和债权债务进行清理和确认；</w:t>
      </w:r>
    </w:p>
    <w:p w14:paraId="208FF214"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lastRenderedPageBreak/>
        <w:t>（3）对基金财产进行估值和变现；</w:t>
      </w:r>
    </w:p>
    <w:p w14:paraId="4D46A821"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（4）制作清算报告；</w:t>
      </w:r>
    </w:p>
    <w:p w14:paraId="2AACE30A"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（5）聘请会计师事务所对清算报告进行外部审计，聘请律师事务所对清算报告出具法律意见书；</w:t>
      </w:r>
    </w:p>
    <w:p w14:paraId="458EC36F"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（6）将清算报告报中国证监会备案并公告；</w:t>
      </w:r>
    </w:p>
    <w:p w14:paraId="10EC5A23"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（7）对基金剩余财产进行分配。</w:t>
      </w:r>
    </w:p>
    <w:p w14:paraId="564A97E7"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6、清算费用</w:t>
      </w:r>
    </w:p>
    <w:p w14:paraId="06B252B0"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021ACE48"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7、基金财产按下列顺序清偿：</w:t>
      </w:r>
    </w:p>
    <w:p w14:paraId="5968574D"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(1)支付清算费用；</w:t>
      </w:r>
    </w:p>
    <w:p w14:paraId="12EA1931"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(2)交纳所欠税款；</w:t>
      </w:r>
    </w:p>
    <w:p w14:paraId="39D52CB7"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(3)清偿基金债务；</w:t>
      </w:r>
    </w:p>
    <w:p w14:paraId="42213FFF"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(4)按基金份额持有人持有的基金份额比例进行分配。</w:t>
      </w:r>
    </w:p>
    <w:p w14:paraId="10A0F979"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基金财产未按前款(1)－(3)项规定清偿前，不分配给基金份额持有人。</w:t>
      </w:r>
    </w:p>
    <w:p w14:paraId="0A8F56A6"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（三）基金财产清算的公告</w:t>
      </w:r>
    </w:p>
    <w:p w14:paraId="37FBE0EB"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清算过程中的有关重大事项须及时公告；基金财产清算报告</w:t>
      </w:r>
      <w:proofErr w:type="gramStart"/>
      <w:r>
        <w:rPr>
          <w:rFonts w:ascii="宋体" w:hAnsi="宋体" w:hint="eastAsia"/>
          <w:sz w:val="24"/>
          <w:szCs w:val="24"/>
        </w:rPr>
        <w:t>经符合</w:t>
      </w:r>
      <w:proofErr w:type="gramEnd"/>
      <w:r>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54F05D34"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（四）基金财产清算账册及文件的保存</w:t>
      </w:r>
    </w:p>
    <w:p w14:paraId="243478D2" w14:textId="77777777" w:rsidR="009214AE" w:rsidRDefault="00C66335">
      <w:pPr>
        <w:spacing w:line="360" w:lineRule="auto"/>
        <w:ind w:firstLineChars="200" w:firstLine="480"/>
        <w:rPr>
          <w:rFonts w:ascii="宋体" w:hAnsi="宋体" w:hint="eastAsia"/>
          <w:sz w:val="24"/>
          <w:szCs w:val="24"/>
        </w:rPr>
      </w:pPr>
      <w:r>
        <w:rPr>
          <w:rFonts w:ascii="宋体" w:hAnsi="宋体" w:hint="eastAsia"/>
          <w:sz w:val="24"/>
          <w:szCs w:val="24"/>
        </w:rPr>
        <w:t>基金财产清算账册及有关文件由基金托管人保存20年以上，法律法规另有规定的从其规定。</w:t>
      </w:r>
    </w:p>
    <w:p w14:paraId="0C0BDD78" w14:textId="77777777" w:rsidR="009214AE" w:rsidRDefault="009214AE">
      <w:pPr>
        <w:spacing w:line="360" w:lineRule="auto"/>
        <w:ind w:firstLineChars="200" w:firstLine="480"/>
        <w:rPr>
          <w:rFonts w:ascii="宋体" w:hAnsi="宋体" w:hint="eastAsia"/>
          <w:sz w:val="24"/>
          <w:szCs w:val="24"/>
        </w:rPr>
      </w:pPr>
    </w:p>
    <w:p w14:paraId="3E3BFB84" w14:textId="77777777" w:rsidR="009214AE" w:rsidRDefault="00C66335">
      <w:pPr>
        <w:pStyle w:val="1"/>
        <w:jc w:val="center"/>
        <w:rPr>
          <w:sz w:val="30"/>
          <w:szCs w:val="30"/>
        </w:rPr>
      </w:pPr>
      <w:bookmarkStart w:id="404" w:name="_Toc214873621"/>
      <w:bookmarkStart w:id="405" w:name="_Toc21073396"/>
      <w:bookmarkStart w:id="406" w:name="_Toc416264555"/>
      <w:bookmarkStart w:id="407" w:name="_Toc12357176"/>
      <w:bookmarkStart w:id="408" w:name="_Toc147463123"/>
      <w:bookmarkStart w:id="409" w:name="_Toc263092328"/>
      <w:bookmarkStart w:id="410" w:name="_Toc24923"/>
      <w:bookmarkStart w:id="411" w:name="_Toc98560366"/>
      <w:bookmarkStart w:id="412" w:name="_Toc23999"/>
      <w:bookmarkStart w:id="413" w:name="_Toc25651"/>
      <w:bookmarkStart w:id="414" w:name="_Toc30350"/>
      <w:bookmarkStart w:id="415" w:name="_Toc1790"/>
      <w:bookmarkStart w:id="416" w:name="_Toc123112249"/>
      <w:bookmarkStart w:id="417" w:name="_Toc21983"/>
      <w:bookmarkStart w:id="418" w:name="_Toc6202"/>
      <w:bookmarkStart w:id="419" w:name="_Toc3319"/>
      <w:bookmarkStart w:id="420" w:name="_Toc139991751"/>
      <w:bookmarkStart w:id="421" w:name="_Toc6110"/>
      <w:bookmarkStart w:id="422" w:name="_Toc7288"/>
      <w:bookmarkStart w:id="423" w:name="_Toc123102468"/>
      <w:bookmarkStart w:id="424" w:name="_Toc123051467"/>
      <w:bookmarkStart w:id="425" w:name="_Toc141703902"/>
      <w:bookmarkStart w:id="426" w:name="_Toc8636"/>
      <w:bookmarkStart w:id="427" w:name="_Toc352229767"/>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r>
        <w:rPr>
          <w:sz w:val="30"/>
          <w:szCs w:val="30"/>
        </w:rPr>
        <w:br w:type="page"/>
      </w:r>
    </w:p>
    <w:p w14:paraId="1E2CD644" w14:textId="77777777" w:rsidR="009214AE" w:rsidRDefault="00C66335">
      <w:pPr>
        <w:pStyle w:val="1"/>
        <w:jc w:val="center"/>
        <w:rPr>
          <w:sz w:val="30"/>
          <w:szCs w:val="30"/>
        </w:rPr>
      </w:pPr>
      <w:bookmarkStart w:id="428" w:name="_Toc164429434"/>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8"/>
    </w:p>
    <w:p w14:paraId="3924A3FA"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4DB38D47"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7C3FC65D"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35A9DB5E"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5051691C"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5E3A2758"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78044271"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5675E355"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039F1E82"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0A62008D"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6CBBD1D9"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7C6E6D9C"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336FFC93"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6A395377"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3443E1AF"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2B35CE2B"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4A33080F"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22C90962" w14:textId="77777777" w:rsidR="009214AE" w:rsidRDefault="00C66335">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p>
    <w:p w14:paraId="1579B797" w14:textId="77777777" w:rsidR="009214AE" w:rsidRDefault="009214AE">
      <w:pPr>
        <w:spacing w:line="360" w:lineRule="auto"/>
        <w:ind w:firstLineChars="200" w:firstLine="480"/>
        <w:rPr>
          <w:rFonts w:asciiTheme="minorEastAsia" w:hAnsiTheme="minorEastAsia" w:cs="Arial" w:hint="eastAsia"/>
          <w:sz w:val="24"/>
          <w:szCs w:val="24"/>
        </w:rPr>
      </w:pPr>
    </w:p>
    <w:p w14:paraId="7984DE2A" w14:textId="77777777" w:rsidR="009214AE" w:rsidRDefault="009214AE">
      <w:pPr>
        <w:spacing w:line="360" w:lineRule="auto"/>
        <w:ind w:firstLineChars="200" w:firstLine="480"/>
        <w:rPr>
          <w:rFonts w:asciiTheme="minorEastAsia" w:hAnsiTheme="minorEastAsia" w:cs="Arial" w:hint="eastAsia"/>
          <w:sz w:val="24"/>
          <w:szCs w:val="24"/>
        </w:rPr>
      </w:pPr>
    </w:p>
    <w:p w14:paraId="794BE7F1" w14:textId="77777777" w:rsidR="009214AE" w:rsidRDefault="009214AE">
      <w:pPr>
        <w:spacing w:line="360" w:lineRule="auto"/>
        <w:ind w:firstLineChars="200" w:firstLine="480"/>
        <w:rPr>
          <w:rFonts w:asciiTheme="minorEastAsia" w:hAnsiTheme="minorEastAsia" w:cs="Arial" w:hint="eastAsia"/>
          <w:sz w:val="24"/>
          <w:szCs w:val="24"/>
        </w:rPr>
      </w:pPr>
    </w:p>
    <w:p w14:paraId="700DFDF6" w14:textId="77777777" w:rsidR="009214AE" w:rsidRDefault="009214AE">
      <w:pPr>
        <w:spacing w:line="360" w:lineRule="auto"/>
        <w:ind w:firstLineChars="200" w:firstLine="480"/>
        <w:rPr>
          <w:rFonts w:asciiTheme="minorEastAsia" w:hAnsiTheme="minorEastAsia" w:cs="Arial" w:hint="eastAsia"/>
          <w:sz w:val="24"/>
          <w:szCs w:val="24"/>
        </w:rPr>
      </w:pPr>
    </w:p>
    <w:p w14:paraId="63D4B87B" w14:textId="77777777" w:rsidR="009214AE" w:rsidRDefault="00C66335">
      <w:pPr>
        <w:pStyle w:val="1"/>
        <w:jc w:val="center"/>
        <w:rPr>
          <w:sz w:val="30"/>
          <w:szCs w:val="30"/>
        </w:rPr>
      </w:pPr>
      <w:r>
        <w:rPr>
          <w:sz w:val="30"/>
          <w:szCs w:val="30"/>
        </w:rPr>
        <w:br w:type="page"/>
      </w:r>
    </w:p>
    <w:p w14:paraId="72B63919" w14:textId="77777777" w:rsidR="009214AE" w:rsidRDefault="00C66335">
      <w:pPr>
        <w:pStyle w:val="1"/>
        <w:jc w:val="center"/>
        <w:rPr>
          <w:rFonts w:asciiTheme="minorEastAsia" w:hAnsiTheme="minorEastAsia" w:hint="eastAsia"/>
        </w:rPr>
      </w:pPr>
      <w:bookmarkStart w:id="429" w:name="_Toc164429435"/>
      <w:r>
        <w:rPr>
          <w:rFonts w:hint="eastAsia"/>
          <w:sz w:val="30"/>
          <w:szCs w:val="30"/>
        </w:rPr>
        <w:lastRenderedPageBreak/>
        <w:t>第二十二部分</w:t>
      </w:r>
      <w:r>
        <w:rPr>
          <w:sz w:val="30"/>
          <w:szCs w:val="30"/>
        </w:rPr>
        <w:t xml:space="preserve">  </w:t>
      </w:r>
      <w:r>
        <w:rPr>
          <w:rFonts w:hint="eastAsia"/>
          <w:sz w:val="30"/>
          <w:szCs w:val="30"/>
        </w:rPr>
        <w:t>其他应披露事项</w:t>
      </w:r>
      <w:bookmarkStart w:id="430" w:name="_Toc214873622"/>
      <w:bookmarkStart w:id="431" w:name="_Toc416264556"/>
      <w:bookmarkStart w:id="432" w:name="_Toc530223198"/>
      <w:bookmarkStart w:id="433" w:name="_Toc263092329"/>
      <w:bookmarkEnd w:id="404"/>
      <w:bookmarkEnd w:id="405"/>
      <w:bookmarkEnd w:id="406"/>
      <w:bookmarkEnd w:id="407"/>
      <w:bookmarkEnd w:id="408"/>
      <w:bookmarkEnd w:id="409"/>
      <w:bookmarkEnd w:id="429"/>
    </w:p>
    <w:tbl>
      <w:tblPr>
        <w:tblStyle w:val="afb"/>
        <w:tblW w:w="10065" w:type="dxa"/>
        <w:tblInd w:w="-459" w:type="dxa"/>
        <w:tblLook w:val="04A0" w:firstRow="1" w:lastRow="0" w:firstColumn="1" w:lastColumn="0" w:noHBand="0" w:noVBand="1"/>
      </w:tblPr>
      <w:tblGrid>
        <w:gridCol w:w="709"/>
        <w:gridCol w:w="7229"/>
        <w:gridCol w:w="2127"/>
      </w:tblGrid>
      <w:tr w:rsidR="009214AE" w14:paraId="4C7B8AE8" w14:textId="77777777">
        <w:tc>
          <w:tcPr>
            <w:tcW w:w="709" w:type="dxa"/>
          </w:tcPr>
          <w:p w14:paraId="53B95BEF" w14:textId="77777777" w:rsidR="009214AE" w:rsidRDefault="00C66335">
            <w:pPr>
              <w:jc w:val="center"/>
              <w:rPr>
                <w:rFonts w:ascii="宋体" w:eastAsia="宋体" w:hAnsi="宋体" w:hint="eastAsia"/>
                <w:color w:val="000000"/>
                <w:sz w:val="22"/>
              </w:rPr>
            </w:pPr>
            <w:r>
              <w:rPr>
                <w:rFonts w:ascii="宋体" w:eastAsia="宋体" w:hAnsi="宋体" w:hint="eastAsia"/>
                <w:color w:val="000000"/>
                <w:sz w:val="22"/>
              </w:rPr>
              <w:t>序号</w:t>
            </w:r>
          </w:p>
        </w:tc>
        <w:tc>
          <w:tcPr>
            <w:tcW w:w="7229" w:type="dxa"/>
          </w:tcPr>
          <w:p w14:paraId="0908B060" w14:textId="77777777" w:rsidR="009214AE" w:rsidRDefault="00C66335">
            <w:pPr>
              <w:jc w:val="center"/>
              <w:rPr>
                <w:rFonts w:ascii="宋体" w:eastAsia="宋体" w:hAnsi="宋体" w:hint="eastAsia"/>
                <w:color w:val="000000"/>
                <w:sz w:val="22"/>
              </w:rPr>
            </w:pPr>
            <w:r>
              <w:rPr>
                <w:rFonts w:ascii="宋体" w:eastAsia="宋体" w:hAnsi="宋体" w:hint="eastAsia"/>
                <w:color w:val="000000"/>
                <w:sz w:val="22"/>
              </w:rPr>
              <w:t>公告事项</w:t>
            </w:r>
          </w:p>
        </w:tc>
        <w:tc>
          <w:tcPr>
            <w:tcW w:w="2127" w:type="dxa"/>
          </w:tcPr>
          <w:p w14:paraId="2D631078" w14:textId="77777777" w:rsidR="009214AE" w:rsidRDefault="00C66335">
            <w:pPr>
              <w:jc w:val="center"/>
              <w:rPr>
                <w:rFonts w:ascii="宋体" w:eastAsia="宋体" w:hAnsi="宋体" w:hint="eastAsia"/>
                <w:color w:val="000000"/>
                <w:sz w:val="22"/>
              </w:rPr>
            </w:pPr>
            <w:r>
              <w:rPr>
                <w:rFonts w:ascii="宋体" w:eastAsia="宋体" w:hAnsi="宋体" w:hint="eastAsia"/>
                <w:color w:val="000000"/>
                <w:sz w:val="22"/>
              </w:rPr>
              <w:t>披露日期</w:t>
            </w:r>
          </w:p>
        </w:tc>
      </w:tr>
      <w:tr w:rsidR="00F85B28" w14:paraId="73CC36B1" w14:textId="77777777">
        <w:tc>
          <w:tcPr>
            <w:tcW w:w="709" w:type="dxa"/>
          </w:tcPr>
          <w:p w14:paraId="3A8CD2C7" w14:textId="5605E21C"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1</w:t>
            </w:r>
          </w:p>
        </w:tc>
        <w:tc>
          <w:tcPr>
            <w:tcW w:w="7229" w:type="dxa"/>
          </w:tcPr>
          <w:p w14:paraId="477EF6BB" w14:textId="7B44633D" w:rsidR="00F85B28" w:rsidRDefault="00F85B28" w:rsidP="00F85B28">
            <w:pPr>
              <w:jc w:val="left"/>
              <w:rPr>
                <w:rFonts w:ascii="宋体" w:eastAsia="宋体" w:hAnsi="宋体" w:hint="eastAsia"/>
                <w:color w:val="000000"/>
                <w:sz w:val="22"/>
              </w:rPr>
            </w:pPr>
            <w:r w:rsidRPr="008701C4">
              <w:rPr>
                <w:rFonts w:hint="eastAsia"/>
              </w:rPr>
              <w:t>富荣基金管理有限公司关于旗下基金新增上海中欧财富基金销售有限公司为销售机构、开通基金定期定额投资业务和基金转换业务并参加申购及定期定额投资申购费率优惠活动的公告</w:t>
            </w:r>
          </w:p>
        </w:tc>
        <w:tc>
          <w:tcPr>
            <w:tcW w:w="2127" w:type="dxa"/>
          </w:tcPr>
          <w:p w14:paraId="6CCC46FD" w14:textId="593EBF8D"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3</w:t>
            </w:r>
            <w:r w:rsidRPr="00C527B9">
              <w:rPr>
                <w:rFonts w:hint="eastAsia"/>
              </w:rPr>
              <w:t>月</w:t>
            </w:r>
            <w:r w:rsidRPr="00C527B9">
              <w:rPr>
                <w:rFonts w:hint="eastAsia"/>
              </w:rPr>
              <w:t>29</w:t>
            </w:r>
            <w:r w:rsidRPr="00C527B9">
              <w:rPr>
                <w:rFonts w:hint="eastAsia"/>
              </w:rPr>
              <w:t>日</w:t>
            </w:r>
          </w:p>
        </w:tc>
      </w:tr>
      <w:tr w:rsidR="00F85B28" w14:paraId="111A4CC5" w14:textId="77777777">
        <w:tc>
          <w:tcPr>
            <w:tcW w:w="709" w:type="dxa"/>
          </w:tcPr>
          <w:p w14:paraId="7C5B1BF5" w14:textId="574762C8"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2</w:t>
            </w:r>
          </w:p>
        </w:tc>
        <w:tc>
          <w:tcPr>
            <w:tcW w:w="7229" w:type="dxa"/>
          </w:tcPr>
          <w:p w14:paraId="4E4C895A" w14:textId="68A57556" w:rsidR="00F85B28" w:rsidRDefault="00F85B28" w:rsidP="00F85B28">
            <w:pPr>
              <w:jc w:val="left"/>
              <w:rPr>
                <w:rFonts w:ascii="宋体" w:eastAsia="宋体" w:hAnsi="宋体" w:hint="eastAsia"/>
                <w:color w:val="000000"/>
                <w:sz w:val="22"/>
              </w:rPr>
            </w:pPr>
            <w:r w:rsidRPr="008701C4">
              <w:rPr>
                <w:rFonts w:hint="eastAsia"/>
              </w:rPr>
              <w:t>富荣基金管理有限公司旗下全部基金</w:t>
            </w:r>
            <w:r w:rsidRPr="008701C4">
              <w:rPr>
                <w:rFonts w:hint="eastAsia"/>
              </w:rPr>
              <w:t>2023</w:t>
            </w:r>
            <w:r w:rsidRPr="008701C4">
              <w:rPr>
                <w:rFonts w:hint="eastAsia"/>
              </w:rPr>
              <w:t>年年度报告提示性公告</w:t>
            </w:r>
          </w:p>
        </w:tc>
        <w:tc>
          <w:tcPr>
            <w:tcW w:w="2127" w:type="dxa"/>
          </w:tcPr>
          <w:p w14:paraId="693E2B91" w14:textId="19AD62E0"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3</w:t>
            </w:r>
            <w:r w:rsidRPr="00C527B9">
              <w:rPr>
                <w:rFonts w:hint="eastAsia"/>
              </w:rPr>
              <w:t>月</w:t>
            </w:r>
            <w:r w:rsidRPr="00C527B9">
              <w:rPr>
                <w:rFonts w:hint="eastAsia"/>
              </w:rPr>
              <w:t>30</w:t>
            </w:r>
            <w:r w:rsidRPr="00C527B9">
              <w:rPr>
                <w:rFonts w:hint="eastAsia"/>
              </w:rPr>
              <w:t>日</w:t>
            </w:r>
          </w:p>
        </w:tc>
      </w:tr>
      <w:tr w:rsidR="00F85B28" w14:paraId="6DADFCD0" w14:textId="77777777">
        <w:tc>
          <w:tcPr>
            <w:tcW w:w="709" w:type="dxa"/>
          </w:tcPr>
          <w:p w14:paraId="38FFD50B" w14:textId="2BB6F9C0"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3</w:t>
            </w:r>
          </w:p>
        </w:tc>
        <w:tc>
          <w:tcPr>
            <w:tcW w:w="7229" w:type="dxa"/>
          </w:tcPr>
          <w:p w14:paraId="499CD8AB" w14:textId="25981471" w:rsidR="00F85B28" w:rsidRDefault="00F85B28" w:rsidP="00F85B28">
            <w:pPr>
              <w:jc w:val="left"/>
              <w:rPr>
                <w:rFonts w:ascii="宋体" w:eastAsia="宋体" w:hAnsi="宋体" w:hint="eastAsia"/>
                <w:color w:val="000000"/>
                <w:sz w:val="22"/>
              </w:rPr>
            </w:pPr>
            <w:r w:rsidRPr="008701C4">
              <w:rPr>
                <w:rFonts w:hint="eastAsia"/>
              </w:rPr>
              <w:t>富荣量化精选混合型发起式证券投资基金招募说明书更新及产品资料概要更新的提示性公告</w:t>
            </w:r>
          </w:p>
        </w:tc>
        <w:tc>
          <w:tcPr>
            <w:tcW w:w="2127" w:type="dxa"/>
          </w:tcPr>
          <w:p w14:paraId="2130F183" w14:textId="78B13AAE"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4</w:t>
            </w:r>
            <w:r w:rsidRPr="00C527B9">
              <w:rPr>
                <w:rFonts w:hint="eastAsia"/>
              </w:rPr>
              <w:t>月</w:t>
            </w:r>
            <w:r w:rsidRPr="00C527B9">
              <w:rPr>
                <w:rFonts w:hint="eastAsia"/>
              </w:rPr>
              <w:t>13</w:t>
            </w:r>
            <w:r w:rsidRPr="00C527B9">
              <w:rPr>
                <w:rFonts w:hint="eastAsia"/>
              </w:rPr>
              <w:t>日</w:t>
            </w:r>
          </w:p>
        </w:tc>
      </w:tr>
      <w:tr w:rsidR="00F85B28" w14:paraId="30717633" w14:textId="77777777">
        <w:tc>
          <w:tcPr>
            <w:tcW w:w="709" w:type="dxa"/>
          </w:tcPr>
          <w:p w14:paraId="46C8A9AE" w14:textId="42251CF2"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4</w:t>
            </w:r>
          </w:p>
        </w:tc>
        <w:tc>
          <w:tcPr>
            <w:tcW w:w="7229" w:type="dxa"/>
          </w:tcPr>
          <w:p w14:paraId="1B224444" w14:textId="24D453F2" w:rsidR="00F85B28" w:rsidRDefault="00F85B28" w:rsidP="00F85B28">
            <w:pPr>
              <w:jc w:val="left"/>
              <w:rPr>
                <w:rFonts w:ascii="宋体" w:eastAsia="宋体" w:hAnsi="宋体" w:hint="eastAsia"/>
                <w:color w:val="000000"/>
                <w:sz w:val="22"/>
              </w:rPr>
            </w:pPr>
            <w:r w:rsidRPr="008701C4">
              <w:rPr>
                <w:rFonts w:hint="eastAsia"/>
              </w:rPr>
              <w:t>富荣量化精选混合型发起式证券投资</w:t>
            </w:r>
            <w:proofErr w:type="gramStart"/>
            <w:r w:rsidRPr="008701C4">
              <w:rPr>
                <w:rFonts w:hint="eastAsia"/>
              </w:rPr>
              <w:t>基金基金</w:t>
            </w:r>
            <w:proofErr w:type="gramEnd"/>
            <w:r w:rsidRPr="008701C4">
              <w:rPr>
                <w:rFonts w:hint="eastAsia"/>
              </w:rPr>
              <w:t>经理变更公告</w:t>
            </w:r>
          </w:p>
        </w:tc>
        <w:tc>
          <w:tcPr>
            <w:tcW w:w="2127" w:type="dxa"/>
          </w:tcPr>
          <w:p w14:paraId="0CA1A632" w14:textId="28DB6A5F"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4</w:t>
            </w:r>
            <w:r w:rsidRPr="00C527B9">
              <w:rPr>
                <w:rFonts w:hint="eastAsia"/>
              </w:rPr>
              <w:t>月</w:t>
            </w:r>
            <w:r w:rsidRPr="00C527B9">
              <w:rPr>
                <w:rFonts w:hint="eastAsia"/>
              </w:rPr>
              <w:t>19</w:t>
            </w:r>
            <w:r w:rsidRPr="00C527B9">
              <w:rPr>
                <w:rFonts w:hint="eastAsia"/>
              </w:rPr>
              <w:t>日</w:t>
            </w:r>
          </w:p>
        </w:tc>
      </w:tr>
      <w:tr w:rsidR="00F85B28" w14:paraId="3AAE7F18" w14:textId="77777777">
        <w:tc>
          <w:tcPr>
            <w:tcW w:w="709" w:type="dxa"/>
          </w:tcPr>
          <w:p w14:paraId="0BD0588C" w14:textId="048C95F5"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5</w:t>
            </w:r>
          </w:p>
        </w:tc>
        <w:tc>
          <w:tcPr>
            <w:tcW w:w="7229" w:type="dxa"/>
          </w:tcPr>
          <w:p w14:paraId="52E1BA6A" w14:textId="2DCABB52" w:rsidR="00F85B28" w:rsidRDefault="00F85B28" w:rsidP="00F85B28">
            <w:pPr>
              <w:jc w:val="left"/>
              <w:rPr>
                <w:rFonts w:ascii="宋体" w:eastAsia="宋体" w:hAnsi="宋体" w:hint="eastAsia"/>
                <w:color w:val="000000"/>
                <w:sz w:val="22"/>
              </w:rPr>
            </w:pPr>
            <w:r w:rsidRPr="008701C4">
              <w:rPr>
                <w:rFonts w:hint="eastAsia"/>
              </w:rPr>
              <w:t>富荣基金管理有限公司旗下全部基金</w:t>
            </w:r>
            <w:r w:rsidRPr="008701C4">
              <w:rPr>
                <w:rFonts w:hint="eastAsia"/>
              </w:rPr>
              <w:t>2024</w:t>
            </w:r>
            <w:r w:rsidRPr="008701C4">
              <w:rPr>
                <w:rFonts w:hint="eastAsia"/>
              </w:rPr>
              <w:t>年第</w:t>
            </w:r>
            <w:r w:rsidRPr="008701C4">
              <w:rPr>
                <w:rFonts w:hint="eastAsia"/>
              </w:rPr>
              <w:t>1</w:t>
            </w:r>
            <w:r w:rsidRPr="008701C4">
              <w:rPr>
                <w:rFonts w:hint="eastAsia"/>
              </w:rPr>
              <w:t>季度报告提示性公告</w:t>
            </w:r>
          </w:p>
        </w:tc>
        <w:tc>
          <w:tcPr>
            <w:tcW w:w="2127" w:type="dxa"/>
          </w:tcPr>
          <w:p w14:paraId="38B96041" w14:textId="7C77BC34"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4</w:t>
            </w:r>
            <w:r w:rsidRPr="00C527B9">
              <w:rPr>
                <w:rFonts w:hint="eastAsia"/>
              </w:rPr>
              <w:t>月</w:t>
            </w:r>
            <w:r w:rsidRPr="00C527B9">
              <w:rPr>
                <w:rFonts w:hint="eastAsia"/>
              </w:rPr>
              <w:t>22</w:t>
            </w:r>
            <w:r w:rsidRPr="00C527B9">
              <w:rPr>
                <w:rFonts w:hint="eastAsia"/>
              </w:rPr>
              <w:t>日</w:t>
            </w:r>
          </w:p>
        </w:tc>
      </w:tr>
      <w:tr w:rsidR="00F85B28" w14:paraId="67695009" w14:textId="77777777">
        <w:tc>
          <w:tcPr>
            <w:tcW w:w="709" w:type="dxa"/>
          </w:tcPr>
          <w:p w14:paraId="534EA19F" w14:textId="187C0C02"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6</w:t>
            </w:r>
          </w:p>
        </w:tc>
        <w:tc>
          <w:tcPr>
            <w:tcW w:w="7229" w:type="dxa"/>
          </w:tcPr>
          <w:p w14:paraId="0A9B2BCE" w14:textId="69E5589A" w:rsidR="00F85B28" w:rsidRDefault="00F85B28" w:rsidP="00F85B28">
            <w:pPr>
              <w:jc w:val="left"/>
              <w:rPr>
                <w:rFonts w:ascii="宋体" w:eastAsia="宋体" w:hAnsi="宋体" w:hint="eastAsia"/>
                <w:color w:val="000000"/>
                <w:sz w:val="22"/>
              </w:rPr>
            </w:pPr>
            <w:r w:rsidRPr="008701C4">
              <w:rPr>
                <w:rFonts w:hint="eastAsia"/>
              </w:rPr>
              <w:t>富荣基金管理有限公司关于旗下部分公开募集证券投资基金更新招募说明书及产品资料概要的提示性公告</w:t>
            </w:r>
          </w:p>
        </w:tc>
        <w:tc>
          <w:tcPr>
            <w:tcW w:w="2127" w:type="dxa"/>
          </w:tcPr>
          <w:p w14:paraId="7DEC258B" w14:textId="214341E9"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4</w:t>
            </w:r>
            <w:r w:rsidRPr="00C527B9">
              <w:rPr>
                <w:rFonts w:hint="eastAsia"/>
              </w:rPr>
              <w:t>月</w:t>
            </w:r>
            <w:r w:rsidRPr="00C527B9">
              <w:rPr>
                <w:rFonts w:hint="eastAsia"/>
              </w:rPr>
              <w:t>23</w:t>
            </w:r>
            <w:r w:rsidRPr="00C527B9">
              <w:rPr>
                <w:rFonts w:hint="eastAsia"/>
              </w:rPr>
              <w:t>日</w:t>
            </w:r>
          </w:p>
        </w:tc>
      </w:tr>
      <w:tr w:rsidR="00F85B28" w14:paraId="5631A3F5" w14:textId="77777777">
        <w:tc>
          <w:tcPr>
            <w:tcW w:w="709" w:type="dxa"/>
          </w:tcPr>
          <w:p w14:paraId="4E3063ED" w14:textId="2C445D5D"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7</w:t>
            </w:r>
          </w:p>
        </w:tc>
        <w:tc>
          <w:tcPr>
            <w:tcW w:w="7229" w:type="dxa"/>
          </w:tcPr>
          <w:p w14:paraId="31766233" w14:textId="55BE8AD5" w:rsidR="00F85B28" w:rsidRDefault="00F85B28" w:rsidP="00F85B28">
            <w:pPr>
              <w:jc w:val="left"/>
              <w:rPr>
                <w:rFonts w:ascii="宋体" w:eastAsia="宋体" w:hAnsi="宋体" w:hint="eastAsia"/>
                <w:color w:val="000000"/>
                <w:sz w:val="22"/>
              </w:rPr>
            </w:pPr>
            <w:r w:rsidRPr="008701C4">
              <w:rPr>
                <w:rFonts w:hint="eastAsia"/>
              </w:rPr>
              <w:t>富荣基金管理有限公司关于旗下部分基金新增销售机构、开通基金定期定额投资业务和基金转换业务并参加申购及定期定额投资申购费率优惠活动的公告</w:t>
            </w:r>
          </w:p>
        </w:tc>
        <w:tc>
          <w:tcPr>
            <w:tcW w:w="2127" w:type="dxa"/>
          </w:tcPr>
          <w:p w14:paraId="25A215F8" w14:textId="0F4349CF"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6</w:t>
            </w:r>
            <w:r w:rsidRPr="00C527B9">
              <w:rPr>
                <w:rFonts w:hint="eastAsia"/>
              </w:rPr>
              <w:t>月</w:t>
            </w:r>
            <w:r w:rsidRPr="00C527B9">
              <w:rPr>
                <w:rFonts w:hint="eastAsia"/>
              </w:rPr>
              <w:t>17</w:t>
            </w:r>
            <w:r w:rsidRPr="00C527B9">
              <w:rPr>
                <w:rFonts w:hint="eastAsia"/>
              </w:rPr>
              <w:t>日</w:t>
            </w:r>
          </w:p>
        </w:tc>
      </w:tr>
      <w:tr w:rsidR="00F85B28" w14:paraId="1F6D2F06" w14:textId="77777777">
        <w:tc>
          <w:tcPr>
            <w:tcW w:w="709" w:type="dxa"/>
          </w:tcPr>
          <w:p w14:paraId="496BD82D" w14:textId="23735488"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8</w:t>
            </w:r>
          </w:p>
        </w:tc>
        <w:tc>
          <w:tcPr>
            <w:tcW w:w="7229" w:type="dxa"/>
          </w:tcPr>
          <w:p w14:paraId="49511EF3" w14:textId="1A7EA014" w:rsidR="00F85B28" w:rsidRDefault="00F85B28" w:rsidP="00F85B28">
            <w:pPr>
              <w:jc w:val="left"/>
              <w:rPr>
                <w:rFonts w:ascii="宋体" w:eastAsia="宋体" w:hAnsi="宋体" w:hint="eastAsia"/>
                <w:color w:val="000000"/>
                <w:sz w:val="22"/>
              </w:rPr>
            </w:pPr>
            <w:r w:rsidRPr="008701C4">
              <w:rPr>
                <w:rFonts w:hint="eastAsia"/>
              </w:rPr>
              <w:t>富荣基金管理有限公司关于旗下基金新增上海云湾基金销售有限公司为销售机构、开通基金定期定额投资业务和基金转换业务并参加申购及定期定额投资申购费率优惠活动的公告</w:t>
            </w:r>
          </w:p>
        </w:tc>
        <w:tc>
          <w:tcPr>
            <w:tcW w:w="2127" w:type="dxa"/>
          </w:tcPr>
          <w:p w14:paraId="481D19A2" w14:textId="4B99A525"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6</w:t>
            </w:r>
            <w:r w:rsidRPr="00C527B9">
              <w:rPr>
                <w:rFonts w:hint="eastAsia"/>
              </w:rPr>
              <w:t>月</w:t>
            </w:r>
            <w:r w:rsidRPr="00C527B9">
              <w:rPr>
                <w:rFonts w:hint="eastAsia"/>
              </w:rPr>
              <w:t>18</w:t>
            </w:r>
            <w:r w:rsidRPr="00C527B9">
              <w:rPr>
                <w:rFonts w:hint="eastAsia"/>
              </w:rPr>
              <w:t>日</w:t>
            </w:r>
          </w:p>
        </w:tc>
      </w:tr>
      <w:tr w:rsidR="00F85B28" w14:paraId="11CC7B5D" w14:textId="77777777">
        <w:tc>
          <w:tcPr>
            <w:tcW w:w="709" w:type="dxa"/>
          </w:tcPr>
          <w:p w14:paraId="3AB1C47C" w14:textId="60614E90"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9</w:t>
            </w:r>
          </w:p>
        </w:tc>
        <w:tc>
          <w:tcPr>
            <w:tcW w:w="7229" w:type="dxa"/>
          </w:tcPr>
          <w:p w14:paraId="50CB9194" w14:textId="5EA0CA4C" w:rsidR="00F85B28" w:rsidRDefault="00F85B28" w:rsidP="00F85B28">
            <w:pPr>
              <w:jc w:val="left"/>
              <w:rPr>
                <w:rFonts w:ascii="宋体" w:eastAsia="宋体" w:hAnsi="宋体" w:hint="eastAsia"/>
                <w:color w:val="000000"/>
                <w:sz w:val="22"/>
              </w:rPr>
            </w:pPr>
            <w:r w:rsidRPr="008701C4">
              <w:rPr>
                <w:rFonts w:hint="eastAsia"/>
              </w:rPr>
              <w:t>富荣基金管理有限公司关于旗下部分公开募集证券投资基金更新产品资料概要的提示性公告</w:t>
            </w:r>
          </w:p>
        </w:tc>
        <w:tc>
          <w:tcPr>
            <w:tcW w:w="2127" w:type="dxa"/>
          </w:tcPr>
          <w:p w14:paraId="2C9CAE03" w14:textId="2ADFEEFD"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6</w:t>
            </w:r>
            <w:r w:rsidRPr="00C527B9">
              <w:rPr>
                <w:rFonts w:hint="eastAsia"/>
              </w:rPr>
              <w:t>月</w:t>
            </w:r>
            <w:r w:rsidRPr="00C527B9">
              <w:rPr>
                <w:rFonts w:hint="eastAsia"/>
              </w:rPr>
              <w:t>27</w:t>
            </w:r>
            <w:r w:rsidRPr="00C527B9">
              <w:rPr>
                <w:rFonts w:hint="eastAsia"/>
              </w:rPr>
              <w:t>日</w:t>
            </w:r>
          </w:p>
        </w:tc>
      </w:tr>
      <w:tr w:rsidR="00F85B28" w14:paraId="7843FCBB" w14:textId="77777777">
        <w:tc>
          <w:tcPr>
            <w:tcW w:w="709" w:type="dxa"/>
          </w:tcPr>
          <w:p w14:paraId="6CA56331" w14:textId="6BE016D5"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10</w:t>
            </w:r>
          </w:p>
        </w:tc>
        <w:tc>
          <w:tcPr>
            <w:tcW w:w="7229" w:type="dxa"/>
          </w:tcPr>
          <w:p w14:paraId="1FDB48C9" w14:textId="0ED8C8B1" w:rsidR="00F85B28" w:rsidRDefault="00F85B28" w:rsidP="00F85B28">
            <w:pPr>
              <w:jc w:val="left"/>
              <w:rPr>
                <w:rFonts w:ascii="宋体" w:eastAsia="宋体" w:hAnsi="宋体" w:hint="eastAsia"/>
                <w:color w:val="000000"/>
                <w:sz w:val="22"/>
              </w:rPr>
            </w:pPr>
            <w:r w:rsidRPr="008701C4">
              <w:rPr>
                <w:rFonts w:hint="eastAsia"/>
              </w:rPr>
              <w:t>富荣基金管理有限公司关于旗下基金新增深圳</w:t>
            </w:r>
            <w:proofErr w:type="gramStart"/>
            <w:r w:rsidRPr="008701C4">
              <w:rPr>
                <w:rFonts w:hint="eastAsia"/>
              </w:rPr>
              <w:t>腾元基金</w:t>
            </w:r>
            <w:proofErr w:type="gramEnd"/>
            <w:r w:rsidRPr="008701C4">
              <w:rPr>
                <w:rFonts w:hint="eastAsia"/>
              </w:rPr>
              <w:t>销售有限公司为销售机构、开通基金定期定额投资业务和基金转换业务并参加申购及定期定额投资申购费率优惠活动的公告</w:t>
            </w:r>
          </w:p>
        </w:tc>
        <w:tc>
          <w:tcPr>
            <w:tcW w:w="2127" w:type="dxa"/>
          </w:tcPr>
          <w:p w14:paraId="3A8415C5" w14:textId="629E63FD"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6</w:t>
            </w:r>
            <w:r w:rsidRPr="00C527B9">
              <w:rPr>
                <w:rFonts w:hint="eastAsia"/>
              </w:rPr>
              <w:t>月</w:t>
            </w:r>
            <w:r w:rsidRPr="00C527B9">
              <w:rPr>
                <w:rFonts w:hint="eastAsia"/>
              </w:rPr>
              <w:t>28</w:t>
            </w:r>
            <w:r w:rsidRPr="00C527B9">
              <w:rPr>
                <w:rFonts w:hint="eastAsia"/>
              </w:rPr>
              <w:t>日</w:t>
            </w:r>
          </w:p>
        </w:tc>
      </w:tr>
      <w:tr w:rsidR="00F85B28" w14:paraId="567FAC6A" w14:textId="77777777">
        <w:tc>
          <w:tcPr>
            <w:tcW w:w="709" w:type="dxa"/>
          </w:tcPr>
          <w:p w14:paraId="63438DCA" w14:textId="716EC862"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11</w:t>
            </w:r>
          </w:p>
        </w:tc>
        <w:tc>
          <w:tcPr>
            <w:tcW w:w="7229" w:type="dxa"/>
          </w:tcPr>
          <w:p w14:paraId="31A361F7" w14:textId="53BDE641" w:rsidR="00F85B28" w:rsidRDefault="00F85B28" w:rsidP="00F85B28">
            <w:pPr>
              <w:jc w:val="left"/>
              <w:rPr>
                <w:rFonts w:ascii="宋体" w:eastAsia="宋体" w:hAnsi="宋体" w:hint="eastAsia"/>
                <w:color w:val="000000"/>
                <w:sz w:val="22"/>
              </w:rPr>
            </w:pPr>
            <w:r w:rsidRPr="008701C4">
              <w:rPr>
                <w:rFonts w:hint="eastAsia"/>
              </w:rPr>
              <w:t>富荣基金管理有限公司旗下全部基金</w:t>
            </w:r>
            <w:r w:rsidRPr="008701C4">
              <w:rPr>
                <w:rFonts w:hint="eastAsia"/>
              </w:rPr>
              <w:t>2024</w:t>
            </w:r>
            <w:r w:rsidRPr="008701C4">
              <w:rPr>
                <w:rFonts w:hint="eastAsia"/>
              </w:rPr>
              <w:t>年第</w:t>
            </w:r>
            <w:r w:rsidRPr="008701C4">
              <w:rPr>
                <w:rFonts w:hint="eastAsia"/>
              </w:rPr>
              <w:t>2</w:t>
            </w:r>
            <w:r w:rsidRPr="008701C4">
              <w:rPr>
                <w:rFonts w:hint="eastAsia"/>
              </w:rPr>
              <w:t>季度报告提示性公告</w:t>
            </w:r>
          </w:p>
        </w:tc>
        <w:tc>
          <w:tcPr>
            <w:tcW w:w="2127" w:type="dxa"/>
          </w:tcPr>
          <w:p w14:paraId="63F20391" w14:textId="2494E2F4"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7</w:t>
            </w:r>
            <w:r w:rsidRPr="00C527B9">
              <w:rPr>
                <w:rFonts w:hint="eastAsia"/>
              </w:rPr>
              <w:t>月</w:t>
            </w:r>
            <w:r w:rsidRPr="00C527B9">
              <w:rPr>
                <w:rFonts w:hint="eastAsia"/>
              </w:rPr>
              <w:t>19</w:t>
            </w:r>
            <w:r w:rsidRPr="00C527B9">
              <w:rPr>
                <w:rFonts w:hint="eastAsia"/>
              </w:rPr>
              <w:t>日</w:t>
            </w:r>
          </w:p>
        </w:tc>
      </w:tr>
      <w:tr w:rsidR="00F85B28" w14:paraId="7E9E69C2" w14:textId="77777777">
        <w:tc>
          <w:tcPr>
            <w:tcW w:w="709" w:type="dxa"/>
          </w:tcPr>
          <w:p w14:paraId="7B063712" w14:textId="7ED36AB3"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12</w:t>
            </w:r>
          </w:p>
        </w:tc>
        <w:tc>
          <w:tcPr>
            <w:tcW w:w="7229" w:type="dxa"/>
          </w:tcPr>
          <w:p w14:paraId="387BA234" w14:textId="0FB160D9" w:rsidR="00F85B28" w:rsidRDefault="00F85B28" w:rsidP="00F85B28">
            <w:pPr>
              <w:jc w:val="left"/>
              <w:rPr>
                <w:rFonts w:ascii="宋体" w:eastAsia="宋体" w:hAnsi="宋体" w:hint="eastAsia"/>
                <w:color w:val="000000"/>
                <w:sz w:val="22"/>
              </w:rPr>
            </w:pPr>
            <w:r w:rsidRPr="008701C4">
              <w:rPr>
                <w:rFonts w:hint="eastAsia"/>
              </w:rPr>
              <w:t>富荣基金管理有限公司关于旗下部分基金新增兴业银行股份有限公司为销售机构、开通基金定期定额投资业务和基金转换业务并参加申购及定期定额投资申购费率优惠活动的公告</w:t>
            </w:r>
          </w:p>
        </w:tc>
        <w:tc>
          <w:tcPr>
            <w:tcW w:w="2127" w:type="dxa"/>
          </w:tcPr>
          <w:p w14:paraId="7A0A77AF" w14:textId="2B6828C3"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7</w:t>
            </w:r>
            <w:r w:rsidRPr="00C527B9">
              <w:rPr>
                <w:rFonts w:hint="eastAsia"/>
              </w:rPr>
              <w:t>月</w:t>
            </w:r>
            <w:r w:rsidRPr="00C527B9">
              <w:rPr>
                <w:rFonts w:hint="eastAsia"/>
              </w:rPr>
              <w:t>30</w:t>
            </w:r>
            <w:r w:rsidRPr="00C527B9">
              <w:rPr>
                <w:rFonts w:hint="eastAsia"/>
              </w:rPr>
              <w:t>日</w:t>
            </w:r>
          </w:p>
        </w:tc>
      </w:tr>
      <w:tr w:rsidR="00F85B28" w14:paraId="04F874F7" w14:textId="77777777">
        <w:tc>
          <w:tcPr>
            <w:tcW w:w="709" w:type="dxa"/>
          </w:tcPr>
          <w:p w14:paraId="1E4C3AFA" w14:textId="55F093C9"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13</w:t>
            </w:r>
          </w:p>
        </w:tc>
        <w:tc>
          <w:tcPr>
            <w:tcW w:w="7229" w:type="dxa"/>
          </w:tcPr>
          <w:p w14:paraId="6D7F5A44" w14:textId="096262C9" w:rsidR="00F85B28" w:rsidRDefault="00F85B28" w:rsidP="00F85B28">
            <w:pPr>
              <w:jc w:val="left"/>
              <w:rPr>
                <w:rFonts w:ascii="宋体" w:eastAsia="宋体" w:hAnsi="宋体" w:hint="eastAsia"/>
                <w:color w:val="000000"/>
                <w:sz w:val="22"/>
              </w:rPr>
            </w:pPr>
            <w:r w:rsidRPr="008701C4">
              <w:rPr>
                <w:rFonts w:hint="eastAsia"/>
              </w:rPr>
              <w:t>富荣基金管理有限公司关于旗下部分基金新增山西证券股份有限公司为销售机构、开通基金定期定额投资业务和基金转换业务并参加申购及定期定额投资申购费率优惠活动的公告</w:t>
            </w:r>
          </w:p>
        </w:tc>
        <w:tc>
          <w:tcPr>
            <w:tcW w:w="2127" w:type="dxa"/>
          </w:tcPr>
          <w:p w14:paraId="49B6CD8D" w14:textId="500CD4A5"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7</w:t>
            </w:r>
            <w:r w:rsidRPr="00C527B9">
              <w:rPr>
                <w:rFonts w:hint="eastAsia"/>
              </w:rPr>
              <w:t>月</w:t>
            </w:r>
            <w:r w:rsidRPr="00C527B9">
              <w:rPr>
                <w:rFonts w:hint="eastAsia"/>
              </w:rPr>
              <w:t>31</w:t>
            </w:r>
            <w:r w:rsidRPr="00C527B9">
              <w:rPr>
                <w:rFonts w:hint="eastAsia"/>
              </w:rPr>
              <w:t>日</w:t>
            </w:r>
          </w:p>
        </w:tc>
      </w:tr>
      <w:tr w:rsidR="00F85B28" w14:paraId="7F67982F" w14:textId="77777777">
        <w:tc>
          <w:tcPr>
            <w:tcW w:w="709" w:type="dxa"/>
          </w:tcPr>
          <w:p w14:paraId="4AABD9EF" w14:textId="174696A9"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14</w:t>
            </w:r>
          </w:p>
        </w:tc>
        <w:tc>
          <w:tcPr>
            <w:tcW w:w="7229" w:type="dxa"/>
          </w:tcPr>
          <w:p w14:paraId="3DD47420" w14:textId="751F6D90" w:rsidR="00F85B28" w:rsidRDefault="00F85B28" w:rsidP="00F85B28">
            <w:pPr>
              <w:jc w:val="left"/>
              <w:rPr>
                <w:rFonts w:ascii="宋体" w:eastAsia="宋体" w:hAnsi="宋体" w:hint="eastAsia"/>
                <w:color w:val="000000"/>
                <w:sz w:val="22"/>
              </w:rPr>
            </w:pPr>
            <w:r w:rsidRPr="008701C4">
              <w:rPr>
                <w:rFonts w:hint="eastAsia"/>
              </w:rPr>
              <w:t>富荣基金管理有限公司关于旗下基金</w:t>
            </w:r>
            <w:proofErr w:type="gramStart"/>
            <w:r w:rsidRPr="008701C4">
              <w:rPr>
                <w:rFonts w:hint="eastAsia"/>
              </w:rPr>
              <w:t>新增洪泰财富</w:t>
            </w:r>
            <w:proofErr w:type="gramEnd"/>
            <w:r w:rsidRPr="008701C4">
              <w:rPr>
                <w:rFonts w:hint="eastAsia"/>
              </w:rPr>
              <w:t>（青岛）基金销售有限责任公司为销售机构、开通基金定期定额投资业务和基金转换业务并参加申购及定期定额投资申购费率优惠活动的公告</w:t>
            </w:r>
          </w:p>
        </w:tc>
        <w:tc>
          <w:tcPr>
            <w:tcW w:w="2127" w:type="dxa"/>
          </w:tcPr>
          <w:p w14:paraId="1A77C259" w14:textId="05CC463D"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8</w:t>
            </w:r>
            <w:r w:rsidRPr="00C527B9">
              <w:rPr>
                <w:rFonts w:hint="eastAsia"/>
              </w:rPr>
              <w:t>月</w:t>
            </w:r>
            <w:r w:rsidRPr="00C527B9">
              <w:rPr>
                <w:rFonts w:hint="eastAsia"/>
              </w:rPr>
              <w:t>8</w:t>
            </w:r>
            <w:r w:rsidRPr="00C527B9">
              <w:rPr>
                <w:rFonts w:hint="eastAsia"/>
              </w:rPr>
              <w:t>日</w:t>
            </w:r>
          </w:p>
        </w:tc>
      </w:tr>
      <w:tr w:rsidR="00F85B28" w14:paraId="7AB0DBD7" w14:textId="77777777">
        <w:tc>
          <w:tcPr>
            <w:tcW w:w="709" w:type="dxa"/>
          </w:tcPr>
          <w:p w14:paraId="44464AB2" w14:textId="08AF548D"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15</w:t>
            </w:r>
          </w:p>
        </w:tc>
        <w:tc>
          <w:tcPr>
            <w:tcW w:w="7229" w:type="dxa"/>
          </w:tcPr>
          <w:p w14:paraId="57AC5FCF" w14:textId="494B5627" w:rsidR="00F85B28" w:rsidRDefault="00F85B28" w:rsidP="00F85B28">
            <w:pPr>
              <w:jc w:val="left"/>
              <w:rPr>
                <w:rFonts w:ascii="宋体" w:eastAsia="宋体" w:hAnsi="宋体" w:hint="eastAsia"/>
                <w:color w:val="000000"/>
                <w:sz w:val="22"/>
              </w:rPr>
            </w:pPr>
            <w:r w:rsidRPr="008701C4">
              <w:rPr>
                <w:rFonts w:hint="eastAsia"/>
              </w:rPr>
              <w:t>富荣基金管理有限公司关于提醒投资者防范不法分子假冒本公司名义从事诈骗活动的公告</w:t>
            </w:r>
          </w:p>
        </w:tc>
        <w:tc>
          <w:tcPr>
            <w:tcW w:w="2127" w:type="dxa"/>
          </w:tcPr>
          <w:p w14:paraId="0AE47D8A" w14:textId="6C7D9C79"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8</w:t>
            </w:r>
            <w:r w:rsidRPr="00C527B9">
              <w:rPr>
                <w:rFonts w:hint="eastAsia"/>
              </w:rPr>
              <w:t>月</w:t>
            </w:r>
            <w:r w:rsidRPr="00C527B9">
              <w:rPr>
                <w:rFonts w:hint="eastAsia"/>
              </w:rPr>
              <w:t>16</w:t>
            </w:r>
            <w:r w:rsidRPr="00C527B9">
              <w:rPr>
                <w:rFonts w:hint="eastAsia"/>
              </w:rPr>
              <w:t>日</w:t>
            </w:r>
          </w:p>
        </w:tc>
      </w:tr>
      <w:tr w:rsidR="00F85B28" w14:paraId="2232DAE0" w14:textId="77777777">
        <w:tc>
          <w:tcPr>
            <w:tcW w:w="709" w:type="dxa"/>
          </w:tcPr>
          <w:p w14:paraId="6DEEB699" w14:textId="29E8B9B5"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16</w:t>
            </w:r>
          </w:p>
        </w:tc>
        <w:tc>
          <w:tcPr>
            <w:tcW w:w="7229" w:type="dxa"/>
          </w:tcPr>
          <w:p w14:paraId="79DFF035" w14:textId="60291005" w:rsidR="00F85B28" w:rsidRDefault="00F85B28" w:rsidP="00F85B28">
            <w:pPr>
              <w:jc w:val="left"/>
              <w:rPr>
                <w:rFonts w:ascii="宋体" w:eastAsia="宋体" w:hAnsi="宋体" w:hint="eastAsia"/>
                <w:color w:val="000000"/>
                <w:sz w:val="22"/>
              </w:rPr>
            </w:pPr>
            <w:r w:rsidRPr="008701C4">
              <w:rPr>
                <w:rFonts w:hint="eastAsia"/>
              </w:rPr>
              <w:t>富荣基金管理有限公司关于终止北京中</w:t>
            </w:r>
            <w:proofErr w:type="gramStart"/>
            <w:r w:rsidRPr="008701C4">
              <w:rPr>
                <w:rFonts w:hint="eastAsia"/>
              </w:rPr>
              <w:t>植基金</w:t>
            </w:r>
            <w:proofErr w:type="gramEnd"/>
            <w:r w:rsidRPr="008701C4">
              <w:rPr>
                <w:rFonts w:hint="eastAsia"/>
              </w:rPr>
              <w:t>销售有限公司办理旗下基金相关销售业务的公告</w:t>
            </w:r>
          </w:p>
        </w:tc>
        <w:tc>
          <w:tcPr>
            <w:tcW w:w="2127" w:type="dxa"/>
          </w:tcPr>
          <w:p w14:paraId="1F0F1F5C" w14:textId="3199D613"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8</w:t>
            </w:r>
            <w:r w:rsidRPr="00C527B9">
              <w:rPr>
                <w:rFonts w:hint="eastAsia"/>
              </w:rPr>
              <w:t>月</w:t>
            </w:r>
            <w:r w:rsidRPr="00C527B9">
              <w:rPr>
                <w:rFonts w:hint="eastAsia"/>
              </w:rPr>
              <w:t>28</w:t>
            </w:r>
            <w:r w:rsidRPr="00C527B9">
              <w:rPr>
                <w:rFonts w:hint="eastAsia"/>
              </w:rPr>
              <w:t>日</w:t>
            </w:r>
          </w:p>
        </w:tc>
      </w:tr>
      <w:tr w:rsidR="00F85B28" w14:paraId="48E7604F" w14:textId="77777777">
        <w:tc>
          <w:tcPr>
            <w:tcW w:w="709" w:type="dxa"/>
          </w:tcPr>
          <w:p w14:paraId="14037DAC" w14:textId="75B6663E"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17</w:t>
            </w:r>
          </w:p>
        </w:tc>
        <w:tc>
          <w:tcPr>
            <w:tcW w:w="7229" w:type="dxa"/>
          </w:tcPr>
          <w:p w14:paraId="64F8EF19" w14:textId="717D5ECB" w:rsidR="00F85B28" w:rsidRDefault="00F85B28" w:rsidP="00F85B28">
            <w:pPr>
              <w:jc w:val="left"/>
              <w:rPr>
                <w:rFonts w:ascii="宋体" w:eastAsia="宋体" w:hAnsi="宋体" w:hint="eastAsia"/>
                <w:color w:val="000000"/>
                <w:sz w:val="22"/>
              </w:rPr>
            </w:pPr>
            <w:r w:rsidRPr="008701C4">
              <w:rPr>
                <w:rFonts w:hint="eastAsia"/>
              </w:rPr>
              <w:t>富荣基金管理有限公司旗下全部基金</w:t>
            </w:r>
            <w:r w:rsidRPr="008701C4">
              <w:rPr>
                <w:rFonts w:hint="eastAsia"/>
              </w:rPr>
              <w:t>2024</w:t>
            </w:r>
            <w:r w:rsidRPr="008701C4">
              <w:rPr>
                <w:rFonts w:hint="eastAsia"/>
              </w:rPr>
              <w:t>年中期报告提示性公告</w:t>
            </w:r>
          </w:p>
        </w:tc>
        <w:tc>
          <w:tcPr>
            <w:tcW w:w="2127" w:type="dxa"/>
          </w:tcPr>
          <w:p w14:paraId="3CF97417" w14:textId="6547C67E"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8</w:t>
            </w:r>
            <w:r w:rsidRPr="00C527B9">
              <w:rPr>
                <w:rFonts w:hint="eastAsia"/>
              </w:rPr>
              <w:t>月</w:t>
            </w:r>
            <w:r w:rsidRPr="00C527B9">
              <w:rPr>
                <w:rFonts w:hint="eastAsia"/>
              </w:rPr>
              <w:t>31</w:t>
            </w:r>
            <w:r w:rsidRPr="00C527B9">
              <w:rPr>
                <w:rFonts w:hint="eastAsia"/>
              </w:rPr>
              <w:t>日</w:t>
            </w:r>
          </w:p>
        </w:tc>
      </w:tr>
      <w:tr w:rsidR="00F85B28" w14:paraId="157B8B2A" w14:textId="77777777">
        <w:tc>
          <w:tcPr>
            <w:tcW w:w="709" w:type="dxa"/>
          </w:tcPr>
          <w:p w14:paraId="6F669B40" w14:textId="0D96ABB7"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18</w:t>
            </w:r>
          </w:p>
        </w:tc>
        <w:tc>
          <w:tcPr>
            <w:tcW w:w="7229" w:type="dxa"/>
          </w:tcPr>
          <w:p w14:paraId="4E5EDD4F" w14:textId="68463A15" w:rsidR="00F85B28" w:rsidRDefault="00F85B28" w:rsidP="00F85B28">
            <w:pPr>
              <w:jc w:val="left"/>
              <w:rPr>
                <w:rFonts w:ascii="宋体" w:eastAsia="宋体" w:hAnsi="宋体" w:hint="eastAsia"/>
                <w:color w:val="000000"/>
                <w:sz w:val="22"/>
              </w:rPr>
            </w:pPr>
            <w:r w:rsidRPr="008701C4">
              <w:rPr>
                <w:rFonts w:hint="eastAsia"/>
              </w:rPr>
              <w:t>富荣基金管理有限公司旗下全部基金</w:t>
            </w:r>
            <w:r w:rsidRPr="008701C4">
              <w:rPr>
                <w:rFonts w:hint="eastAsia"/>
              </w:rPr>
              <w:t>2024</w:t>
            </w:r>
            <w:r w:rsidRPr="008701C4">
              <w:rPr>
                <w:rFonts w:hint="eastAsia"/>
              </w:rPr>
              <w:t>年第</w:t>
            </w:r>
            <w:r w:rsidRPr="008701C4">
              <w:rPr>
                <w:rFonts w:hint="eastAsia"/>
              </w:rPr>
              <w:t>3</w:t>
            </w:r>
            <w:r w:rsidRPr="008701C4">
              <w:rPr>
                <w:rFonts w:hint="eastAsia"/>
              </w:rPr>
              <w:t>季度报告提示性公告</w:t>
            </w:r>
          </w:p>
        </w:tc>
        <w:tc>
          <w:tcPr>
            <w:tcW w:w="2127" w:type="dxa"/>
          </w:tcPr>
          <w:p w14:paraId="285D11AB" w14:textId="1EDA7422"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10</w:t>
            </w:r>
            <w:r w:rsidRPr="00C527B9">
              <w:rPr>
                <w:rFonts w:hint="eastAsia"/>
              </w:rPr>
              <w:t>月</w:t>
            </w:r>
            <w:r w:rsidRPr="00C527B9">
              <w:rPr>
                <w:rFonts w:hint="eastAsia"/>
              </w:rPr>
              <w:t>25</w:t>
            </w:r>
            <w:r w:rsidRPr="00C527B9">
              <w:rPr>
                <w:rFonts w:hint="eastAsia"/>
              </w:rPr>
              <w:t>日</w:t>
            </w:r>
          </w:p>
        </w:tc>
      </w:tr>
      <w:tr w:rsidR="00F85B28" w14:paraId="391C79A3" w14:textId="77777777">
        <w:tc>
          <w:tcPr>
            <w:tcW w:w="709" w:type="dxa"/>
          </w:tcPr>
          <w:p w14:paraId="3F968D05" w14:textId="3DA60A81"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19</w:t>
            </w:r>
          </w:p>
        </w:tc>
        <w:tc>
          <w:tcPr>
            <w:tcW w:w="7229" w:type="dxa"/>
          </w:tcPr>
          <w:p w14:paraId="0DACCC97" w14:textId="25EDBBA6" w:rsidR="00F85B28" w:rsidRDefault="00F85B28" w:rsidP="00F85B28">
            <w:pPr>
              <w:jc w:val="left"/>
              <w:rPr>
                <w:rFonts w:ascii="宋体" w:eastAsia="宋体" w:hAnsi="宋体" w:hint="eastAsia"/>
                <w:color w:val="000000"/>
                <w:sz w:val="22"/>
              </w:rPr>
            </w:pPr>
            <w:r w:rsidRPr="008701C4">
              <w:rPr>
                <w:rFonts w:hint="eastAsia"/>
              </w:rPr>
              <w:t>富荣基金管理有限公司高级管理人员变更公告</w:t>
            </w:r>
          </w:p>
        </w:tc>
        <w:tc>
          <w:tcPr>
            <w:tcW w:w="2127" w:type="dxa"/>
          </w:tcPr>
          <w:p w14:paraId="3931732E" w14:textId="5D5BBE6B"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11</w:t>
            </w:r>
            <w:r w:rsidRPr="00C527B9">
              <w:rPr>
                <w:rFonts w:hint="eastAsia"/>
              </w:rPr>
              <w:t>月</w:t>
            </w:r>
            <w:r w:rsidRPr="00C527B9">
              <w:rPr>
                <w:rFonts w:hint="eastAsia"/>
              </w:rPr>
              <w:t>7</w:t>
            </w:r>
            <w:r w:rsidRPr="00C527B9">
              <w:rPr>
                <w:rFonts w:hint="eastAsia"/>
              </w:rPr>
              <w:t>日</w:t>
            </w:r>
          </w:p>
        </w:tc>
      </w:tr>
      <w:tr w:rsidR="00F85B28" w14:paraId="4C934E24" w14:textId="77777777">
        <w:tc>
          <w:tcPr>
            <w:tcW w:w="709" w:type="dxa"/>
          </w:tcPr>
          <w:p w14:paraId="14733876" w14:textId="23A508C8"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20</w:t>
            </w:r>
          </w:p>
        </w:tc>
        <w:tc>
          <w:tcPr>
            <w:tcW w:w="7229" w:type="dxa"/>
          </w:tcPr>
          <w:p w14:paraId="2349BCF8" w14:textId="0D4EA871" w:rsidR="00F85B28" w:rsidRDefault="00F85B28" w:rsidP="00F85B28">
            <w:pPr>
              <w:jc w:val="left"/>
              <w:rPr>
                <w:rFonts w:ascii="宋体" w:eastAsia="宋体" w:hAnsi="宋体" w:hint="eastAsia"/>
                <w:color w:val="000000"/>
                <w:sz w:val="22"/>
              </w:rPr>
            </w:pPr>
            <w:r w:rsidRPr="008701C4">
              <w:rPr>
                <w:rFonts w:hint="eastAsia"/>
              </w:rPr>
              <w:t>富荣基金管理有限公司关于旗下部分基金新</w:t>
            </w:r>
            <w:proofErr w:type="gramStart"/>
            <w:r w:rsidRPr="008701C4">
              <w:rPr>
                <w:rFonts w:hint="eastAsia"/>
              </w:rPr>
              <w:t>增广发</w:t>
            </w:r>
            <w:proofErr w:type="gramEnd"/>
            <w:r w:rsidRPr="008701C4">
              <w:rPr>
                <w:rFonts w:hint="eastAsia"/>
              </w:rPr>
              <w:t>期货有限公司为销售机构、开通基金定期定额投资业务和基金转换业务并参加申购及定期定额投资</w:t>
            </w:r>
            <w:r w:rsidRPr="008701C4">
              <w:rPr>
                <w:rFonts w:hint="eastAsia"/>
              </w:rPr>
              <w:lastRenderedPageBreak/>
              <w:t>申购费率优惠活动的公告</w:t>
            </w:r>
          </w:p>
        </w:tc>
        <w:tc>
          <w:tcPr>
            <w:tcW w:w="2127" w:type="dxa"/>
          </w:tcPr>
          <w:p w14:paraId="5EE32F1D" w14:textId="297C896D" w:rsidR="00F85B28" w:rsidRDefault="00F85B28" w:rsidP="00F85B28">
            <w:pPr>
              <w:jc w:val="left"/>
              <w:rPr>
                <w:rFonts w:ascii="宋体" w:eastAsia="宋体" w:hAnsi="宋体" w:hint="eastAsia"/>
                <w:color w:val="000000"/>
                <w:sz w:val="22"/>
              </w:rPr>
            </w:pPr>
            <w:r w:rsidRPr="00C527B9">
              <w:rPr>
                <w:rFonts w:hint="eastAsia"/>
              </w:rPr>
              <w:lastRenderedPageBreak/>
              <w:t>2024</w:t>
            </w:r>
            <w:r w:rsidRPr="00C527B9">
              <w:rPr>
                <w:rFonts w:hint="eastAsia"/>
              </w:rPr>
              <w:t>年</w:t>
            </w:r>
            <w:r w:rsidRPr="00C527B9">
              <w:rPr>
                <w:rFonts w:hint="eastAsia"/>
              </w:rPr>
              <w:t>12</w:t>
            </w:r>
            <w:r w:rsidRPr="00C527B9">
              <w:rPr>
                <w:rFonts w:hint="eastAsia"/>
              </w:rPr>
              <w:t>月</w:t>
            </w:r>
            <w:r w:rsidRPr="00C527B9">
              <w:rPr>
                <w:rFonts w:hint="eastAsia"/>
              </w:rPr>
              <w:t>2</w:t>
            </w:r>
            <w:r w:rsidRPr="00C527B9">
              <w:rPr>
                <w:rFonts w:hint="eastAsia"/>
              </w:rPr>
              <w:t>日</w:t>
            </w:r>
          </w:p>
        </w:tc>
      </w:tr>
      <w:tr w:rsidR="00F85B28" w14:paraId="48FC003F" w14:textId="77777777">
        <w:tc>
          <w:tcPr>
            <w:tcW w:w="709" w:type="dxa"/>
          </w:tcPr>
          <w:p w14:paraId="4A29966A" w14:textId="29B0E05C"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21</w:t>
            </w:r>
          </w:p>
        </w:tc>
        <w:tc>
          <w:tcPr>
            <w:tcW w:w="7229" w:type="dxa"/>
          </w:tcPr>
          <w:p w14:paraId="387C4A75" w14:textId="019BE106" w:rsidR="00F85B28" w:rsidRDefault="00F85B28" w:rsidP="00F85B28">
            <w:pPr>
              <w:jc w:val="left"/>
              <w:rPr>
                <w:rFonts w:ascii="宋体" w:eastAsia="宋体" w:hAnsi="宋体" w:hint="eastAsia"/>
                <w:color w:val="000000"/>
                <w:sz w:val="22"/>
              </w:rPr>
            </w:pPr>
            <w:r w:rsidRPr="008701C4">
              <w:rPr>
                <w:rFonts w:hint="eastAsia"/>
              </w:rPr>
              <w:t>富荣基金管理有限公司基金行业高级管理人员变更公告</w:t>
            </w:r>
          </w:p>
        </w:tc>
        <w:tc>
          <w:tcPr>
            <w:tcW w:w="2127" w:type="dxa"/>
          </w:tcPr>
          <w:p w14:paraId="13413E34" w14:textId="6D15B239"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12</w:t>
            </w:r>
            <w:r w:rsidRPr="00C527B9">
              <w:rPr>
                <w:rFonts w:hint="eastAsia"/>
              </w:rPr>
              <w:t>月</w:t>
            </w:r>
            <w:r w:rsidRPr="00C527B9">
              <w:rPr>
                <w:rFonts w:hint="eastAsia"/>
              </w:rPr>
              <w:t>3</w:t>
            </w:r>
            <w:r w:rsidRPr="00C527B9">
              <w:rPr>
                <w:rFonts w:hint="eastAsia"/>
              </w:rPr>
              <w:t>日</w:t>
            </w:r>
          </w:p>
        </w:tc>
      </w:tr>
      <w:tr w:rsidR="00F85B28" w14:paraId="3A076C25" w14:textId="77777777">
        <w:tc>
          <w:tcPr>
            <w:tcW w:w="709" w:type="dxa"/>
          </w:tcPr>
          <w:p w14:paraId="06A242F0" w14:textId="7463247F"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22</w:t>
            </w:r>
          </w:p>
        </w:tc>
        <w:tc>
          <w:tcPr>
            <w:tcW w:w="7229" w:type="dxa"/>
          </w:tcPr>
          <w:p w14:paraId="19EEA0B2" w14:textId="1A7C1CA4" w:rsidR="00F85B28" w:rsidRDefault="00F85B28" w:rsidP="00F85B28">
            <w:pPr>
              <w:jc w:val="left"/>
              <w:rPr>
                <w:rFonts w:ascii="宋体" w:eastAsia="宋体" w:hAnsi="宋体" w:hint="eastAsia"/>
                <w:color w:val="000000"/>
                <w:sz w:val="22"/>
              </w:rPr>
            </w:pPr>
            <w:r w:rsidRPr="008701C4">
              <w:rPr>
                <w:rFonts w:hint="eastAsia"/>
              </w:rPr>
              <w:t>富荣基金管理有限公司基金行业高级管理人员变更公告</w:t>
            </w:r>
          </w:p>
        </w:tc>
        <w:tc>
          <w:tcPr>
            <w:tcW w:w="2127" w:type="dxa"/>
          </w:tcPr>
          <w:p w14:paraId="72978648" w14:textId="5AE4C044" w:rsidR="00F85B28" w:rsidRDefault="00F85B28" w:rsidP="00F85B28">
            <w:pPr>
              <w:jc w:val="left"/>
              <w:rPr>
                <w:rFonts w:ascii="宋体" w:eastAsia="宋体" w:hAnsi="宋体" w:hint="eastAsia"/>
                <w:color w:val="000000"/>
                <w:sz w:val="22"/>
              </w:rPr>
            </w:pPr>
            <w:r w:rsidRPr="00C527B9">
              <w:rPr>
                <w:rFonts w:hint="eastAsia"/>
              </w:rPr>
              <w:t>2024</w:t>
            </w:r>
            <w:r w:rsidRPr="00C527B9">
              <w:rPr>
                <w:rFonts w:hint="eastAsia"/>
              </w:rPr>
              <w:t>年</w:t>
            </w:r>
            <w:r w:rsidRPr="00C527B9">
              <w:rPr>
                <w:rFonts w:hint="eastAsia"/>
              </w:rPr>
              <w:t>12</w:t>
            </w:r>
            <w:r w:rsidRPr="00C527B9">
              <w:rPr>
                <w:rFonts w:hint="eastAsia"/>
              </w:rPr>
              <w:t>月</w:t>
            </w:r>
            <w:r w:rsidRPr="00C527B9">
              <w:rPr>
                <w:rFonts w:hint="eastAsia"/>
              </w:rPr>
              <w:t>3</w:t>
            </w:r>
            <w:r w:rsidRPr="00C527B9">
              <w:rPr>
                <w:rFonts w:hint="eastAsia"/>
              </w:rPr>
              <w:t>日</w:t>
            </w:r>
          </w:p>
        </w:tc>
      </w:tr>
      <w:tr w:rsidR="00F85B28" w14:paraId="22F174AA" w14:textId="77777777">
        <w:tc>
          <w:tcPr>
            <w:tcW w:w="709" w:type="dxa"/>
          </w:tcPr>
          <w:p w14:paraId="49CCA82C" w14:textId="14B0CD64" w:rsidR="00F85B28" w:rsidRDefault="00F85B28" w:rsidP="00F85B28">
            <w:pPr>
              <w:jc w:val="left"/>
              <w:rPr>
                <w:rFonts w:ascii="宋体" w:eastAsia="宋体" w:hAnsi="宋体" w:hint="eastAsia"/>
                <w:color w:val="000000"/>
                <w:sz w:val="22"/>
              </w:rPr>
            </w:pPr>
            <w:r>
              <w:rPr>
                <w:rFonts w:ascii="宋体" w:eastAsia="宋体" w:hAnsi="宋体" w:hint="eastAsia"/>
                <w:color w:val="000000"/>
                <w:sz w:val="22"/>
              </w:rPr>
              <w:t>23</w:t>
            </w:r>
          </w:p>
        </w:tc>
        <w:tc>
          <w:tcPr>
            <w:tcW w:w="7229" w:type="dxa"/>
          </w:tcPr>
          <w:p w14:paraId="4B5C8CEE" w14:textId="0E6D7A23" w:rsidR="00F85B28" w:rsidRDefault="00F85B28" w:rsidP="00F85B28">
            <w:pPr>
              <w:jc w:val="left"/>
              <w:rPr>
                <w:rFonts w:ascii="宋体" w:eastAsia="宋体" w:hAnsi="宋体" w:hint="eastAsia"/>
                <w:color w:val="000000"/>
                <w:sz w:val="22"/>
              </w:rPr>
            </w:pPr>
            <w:r w:rsidRPr="00F81255">
              <w:rPr>
                <w:rFonts w:hint="eastAsia"/>
              </w:rPr>
              <w:t>富荣基金管理有限公司旗下全部基金</w:t>
            </w:r>
            <w:r w:rsidRPr="00F81255">
              <w:t>2024</w:t>
            </w:r>
            <w:r w:rsidRPr="00F81255">
              <w:rPr>
                <w:rFonts w:hint="eastAsia"/>
              </w:rPr>
              <w:t>年第</w:t>
            </w:r>
            <w:r w:rsidRPr="00F81255">
              <w:t>4</w:t>
            </w:r>
            <w:r w:rsidRPr="00F81255">
              <w:rPr>
                <w:rFonts w:hint="eastAsia"/>
              </w:rPr>
              <w:t>季度报告提示性公告</w:t>
            </w:r>
          </w:p>
        </w:tc>
        <w:tc>
          <w:tcPr>
            <w:tcW w:w="2127" w:type="dxa"/>
          </w:tcPr>
          <w:p w14:paraId="38976459" w14:textId="0EF14C80" w:rsidR="00F85B28" w:rsidRDefault="00F85B28" w:rsidP="00F85B28">
            <w:pPr>
              <w:jc w:val="left"/>
              <w:rPr>
                <w:rFonts w:ascii="宋体" w:eastAsia="宋体" w:hAnsi="宋体" w:hint="eastAsia"/>
                <w:color w:val="000000"/>
                <w:sz w:val="22"/>
              </w:rPr>
            </w:pPr>
            <w:r w:rsidRPr="00F81255">
              <w:t>2025</w:t>
            </w:r>
            <w:r w:rsidRPr="00F81255">
              <w:rPr>
                <w:rFonts w:hint="eastAsia"/>
              </w:rPr>
              <w:t>年</w:t>
            </w:r>
            <w:r w:rsidRPr="00F81255">
              <w:t>1</w:t>
            </w:r>
            <w:r w:rsidRPr="00F81255">
              <w:rPr>
                <w:rFonts w:hint="eastAsia"/>
              </w:rPr>
              <w:t>月</w:t>
            </w:r>
            <w:r w:rsidRPr="00F81255">
              <w:t>22</w:t>
            </w:r>
            <w:r w:rsidRPr="00F81255">
              <w:rPr>
                <w:rFonts w:hint="eastAsia"/>
              </w:rPr>
              <w:t>日</w:t>
            </w:r>
          </w:p>
        </w:tc>
      </w:tr>
    </w:tbl>
    <w:p w14:paraId="34C51E06" w14:textId="77777777" w:rsidR="009214AE" w:rsidRDefault="009214AE">
      <w:pPr>
        <w:spacing w:line="360" w:lineRule="auto"/>
        <w:jc w:val="left"/>
        <w:rPr>
          <w:rFonts w:asciiTheme="minorEastAsia" w:hAnsiTheme="minorEastAsia" w:hint="eastAsia"/>
          <w:sz w:val="24"/>
        </w:rPr>
      </w:pPr>
    </w:p>
    <w:p w14:paraId="091DABF1" w14:textId="77777777" w:rsidR="009214AE" w:rsidRDefault="00C66335">
      <w:pPr>
        <w:pStyle w:val="1"/>
        <w:jc w:val="center"/>
        <w:rPr>
          <w:sz w:val="30"/>
          <w:szCs w:val="30"/>
        </w:rPr>
      </w:pPr>
      <w:bookmarkStart w:id="434" w:name="_Toc164429436"/>
      <w:r>
        <w:rPr>
          <w:rFonts w:hint="eastAsia"/>
          <w:sz w:val="30"/>
          <w:szCs w:val="30"/>
        </w:rPr>
        <w:t>第二十三部分</w:t>
      </w:r>
      <w:r>
        <w:rPr>
          <w:sz w:val="30"/>
          <w:szCs w:val="30"/>
        </w:rPr>
        <w:t xml:space="preserve">  </w:t>
      </w:r>
      <w:r>
        <w:rPr>
          <w:rFonts w:hint="eastAsia"/>
          <w:sz w:val="30"/>
          <w:szCs w:val="30"/>
        </w:rPr>
        <w:t>招募说明书存放及查阅方式</w:t>
      </w:r>
      <w:bookmarkEnd w:id="430"/>
      <w:bookmarkEnd w:id="431"/>
      <w:bookmarkEnd w:id="432"/>
      <w:bookmarkEnd w:id="433"/>
      <w:bookmarkEnd w:id="434"/>
    </w:p>
    <w:p w14:paraId="5259F545"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60234529"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442121B7" w14:textId="77777777" w:rsidR="009214AE" w:rsidRDefault="009214A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38F0B3BE" w14:textId="77777777" w:rsidR="009214AE" w:rsidRDefault="009214AE">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9214AE" w:rsidSect="004C0C2D">
          <w:footerReference w:type="default" r:id="rId31"/>
          <w:pgSz w:w="11906" w:h="16838"/>
          <w:pgMar w:top="1440" w:right="1800" w:bottom="1440" w:left="1800" w:header="851" w:footer="992" w:gutter="0"/>
          <w:cols w:space="425"/>
          <w:docGrid w:type="lines" w:linePitch="312"/>
        </w:sectPr>
      </w:pPr>
      <w:bookmarkStart w:id="435" w:name="_Toc263092330"/>
      <w:bookmarkStart w:id="436" w:name="_Toc416268879"/>
    </w:p>
    <w:p w14:paraId="052C4F9A" w14:textId="77777777" w:rsidR="009214AE" w:rsidRDefault="00C66335">
      <w:pPr>
        <w:pStyle w:val="1"/>
        <w:jc w:val="center"/>
      </w:pPr>
      <w:bookmarkStart w:id="437" w:name="_Toc164429437"/>
      <w:bookmarkEnd w:id="60"/>
      <w:bookmarkEnd w:id="61"/>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35"/>
      <w:bookmarkEnd w:id="436"/>
      <w:r>
        <w:rPr>
          <w:sz w:val="30"/>
          <w:szCs w:val="30"/>
        </w:rPr>
        <w:lastRenderedPageBreak/>
        <w:t>第二十</w:t>
      </w:r>
      <w:r>
        <w:rPr>
          <w:rFonts w:hint="eastAsia"/>
          <w:sz w:val="30"/>
          <w:szCs w:val="30"/>
        </w:rPr>
        <w:t>四</w:t>
      </w:r>
      <w:r>
        <w:rPr>
          <w:sz w:val="30"/>
          <w:szCs w:val="30"/>
        </w:rPr>
        <w:t>部分  备查文件</w:t>
      </w:r>
      <w:bookmarkEnd w:id="437"/>
    </w:p>
    <w:p w14:paraId="0FF676AE"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7D33995E"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3F8FB923"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（二）《富荣量化精选混合型发起式证券投资基金基金合同》 </w:t>
      </w:r>
    </w:p>
    <w:p w14:paraId="07BE55A6"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（三）《富荣量化精选混合型发起式证券投资基金托管协议》 </w:t>
      </w:r>
    </w:p>
    <w:p w14:paraId="2BE8844B"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1227F390"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21B78546"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富荣量化精选混合型发起式证券投资基金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18809D7B"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1926435D" w14:textId="77777777" w:rsidR="009214AE" w:rsidRDefault="00C66335">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6BF30BCB" w14:textId="77777777" w:rsidR="009214AE" w:rsidRDefault="009214A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66184FBF" w14:textId="77777777" w:rsidR="009214AE" w:rsidRDefault="009214AE">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4DB84CE5"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326AC65B"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454870BE"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071A0125"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0BAA8CEF"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28ED71E9"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3837BD41" w14:textId="77777777" w:rsidR="009214AE" w:rsidRDefault="00C66335">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4D6436A3" w14:textId="51DED61B" w:rsidR="009214AE" w:rsidRDefault="00BF1DA6">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20</w:t>
      </w:r>
      <w:r>
        <w:rPr>
          <w:rFonts w:asciiTheme="minorEastAsia" w:hAnsiTheme="minorEastAsia" w:cs="Arial"/>
          <w:kern w:val="0"/>
          <w:sz w:val="24"/>
          <w:szCs w:val="24"/>
        </w:rPr>
        <w:t>2</w:t>
      </w:r>
      <w:r>
        <w:rPr>
          <w:rFonts w:asciiTheme="minorEastAsia" w:hAnsiTheme="minorEastAsia" w:cs="Arial" w:hint="eastAsia"/>
          <w:kern w:val="0"/>
          <w:sz w:val="24"/>
          <w:szCs w:val="24"/>
        </w:rPr>
        <w:t>5</w:t>
      </w:r>
      <w:r w:rsidR="00C66335">
        <w:rPr>
          <w:rFonts w:asciiTheme="minorEastAsia" w:hAnsiTheme="minorEastAsia" w:cs="Arial" w:hint="eastAsia"/>
          <w:kern w:val="0"/>
          <w:sz w:val="24"/>
          <w:szCs w:val="24"/>
        </w:rPr>
        <w:t>年4月</w:t>
      </w:r>
      <w:r>
        <w:rPr>
          <w:rFonts w:asciiTheme="minorEastAsia" w:hAnsiTheme="minorEastAsia" w:cs="Arial" w:hint="eastAsia"/>
          <w:kern w:val="0"/>
          <w:sz w:val="24"/>
          <w:szCs w:val="24"/>
        </w:rPr>
        <w:t>11</w:t>
      </w:r>
      <w:r w:rsidR="00C66335">
        <w:rPr>
          <w:rFonts w:asciiTheme="minorEastAsia" w:hAnsiTheme="minorEastAsia" w:cs="Arial" w:hint="eastAsia"/>
          <w:kern w:val="0"/>
          <w:sz w:val="24"/>
          <w:szCs w:val="24"/>
        </w:rPr>
        <w:t>日</w:t>
      </w:r>
    </w:p>
    <w:p w14:paraId="1890E4C2" w14:textId="77777777" w:rsidR="009214AE" w:rsidRDefault="009214AE">
      <w:pPr>
        <w:widowControl/>
        <w:adjustRightInd w:val="0"/>
        <w:snapToGrid w:val="0"/>
        <w:spacing w:line="360" w:lineRule="auto"/>
        <w:ind w:rightChars="-85" w:right="-178" w:firstLineChars="200" w:firstLine="420"/>
        <w:rPr>
          <w:rFonts w:ascii="Arial" w:eastAsia="宋体" w:hAnsi="Arial" w:cs="Arial"/>
          <w:kern w:val="0"/>
          <w:szCs w:val="21"/>
        </w:rPr>
      </w:pPr>
    </w:p>
    <w:p w14:paraId="09A49C47" w14:textId="77777777" w:rsidR="009214AE" w:rsidRDefault="009214AE">
      <w:pPr>
        <w:widowControl/>
        <w:jc w:val="left"/>
        <w:rPr>
          <w:rFonts w:ascii="Arial" w:eastAsia="宋体" w:hAnsi="Arial" w:cs="Arial"/>
          <w:kern w:val="0"/>
          <w:szCs w:val="21"/>
        </w:rPr>
      </w:pPr>
    </w:p>
    <w:sectPr w:rsidR="009214AE">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37C269" w14:textId="77777777" w:rsidR="006D2F3C" w:rsidRDefault="006D2F3C">
      <w:r>
        <w:separator/>
      </w:r>
    </w:p>
  </w:endnote>
  <w:endnote w:type="continuationSeparator" w:id="0">
    <w:p w14:paraId="7583ACF2" w14:textId="77777777" w:rsidR="006D2F3C" w:rsidRDefault="006D2F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panose1 w:val="00000000000000000000"/>
    <w:charset w:val="00"/>
    <w:family w:val="roman"/>
    <w:notTrueType/>
    <w:pitch w:val="default"/>
  </w:font>
  <w:font w:name="方正仿宋简体">
    <w:altName w:val="微软雅黑"/>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65074B5E"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3</w:t>
        </w:r>
        <w:r>
          <w:rPr>
            <w:lang w:val="zh-CN"/>
          </w:rPr>
          <w:fldChar w:fldCharType="end"/>
        </w:r>
      </w:p>
    </w:sdtContent>
  </w:sdt>
  <w:p w14:paraId="63E3476A" w14:textId="77777777" w:rsidR="009214AE" w:rsidRDefault="009214AE">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1473134"/>
    </w:sdtPr>
    <w:sdtContent>
      <w:p w14:paraId="4E60E963"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4</w:t>
        </w:r>
        <w:r>
          <w:rPr>
            <w:lang w:val="zh-CN"/>
          </w:rPr>
          <w:fldChar w:fldCharType="end"/>
        </w:r>
      </w:p>
    </w:sdtContent>
  </w:sdt>
  <w:p w14:paraId="76E66A9B" w14:textId="77777777" w:rsidR="009214AE" w:rsidRDefault="009214AE">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0737179"/>
    </w:sdtPr>
    <w:sdtContent>
      <w:p w14:paraId="48E97223"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15</w:t>
        </w:r>
        <w:r>
          <w:rPr>
            <w:lang w:val="zh-CN"/>
          </w:rPr>
          <w:fldChar w:fldCharType="end"/>
        </w:r>
      </w:p>
    </w:sdtContent>
  </w:sdt>
  <w:p w14:paraId="3ECC7B23" w14:textId="77777777" w:rsidR="009214AE" w:rsidRDefault="009214AE">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9926321"/>
    </w:sdtPr>
    <w:sdtContent>
      <w:p w14:paraId="53003953"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27</w:t>
        </w:r>
        <w:r>
          <w:rPr>
            <w:lang w:val="zh-CN"/>
          </w:rPr>
          <w:fldChar w:fldCharType="end"/>
        </w:r>
      </w:p>
    </w:sdtContent>
  </w:sdt>
  <w:p w14:paraId="4AA4189E" w14:textId="77777777" w:rsidR="009214AE" w:rsidRDefault="009214AE">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677094"/>
    </w:sdtPr>
    <w:sdtContent>
      <w:p w14:paraId="04B403E1"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34</w:t>
        </w:r>
        <w:r>
          <w:rPr>
            <w:lang w:val="zh-CN"/>
          </w:rPr>
          <w:fldChar w:fldCharType="end"/>
        </w:r>
      </w:p>
    </w:sdtContent>
  </w:sdt>
  <w:p w14:paraId="09057E06" w14:textId="77777777" w:rsidR="009214AE" w:rsidRDefault="009214AE">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0824264"/>
    </w:sdtPr>
    <w:sdtContent>
      <w:p w14:paraId="153546D7"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35</w:t>
        </w:r>
        <w:r>
          <w:rPr>
            <w:lang w:val="zh-CN"/>
          </w:rPr>
          <w:fldChar w:fldCharType="end"/>
        </w:r>
      </w:p>
    </w:sdtContent>
  </w:sdt>
  <w:p w14:paraId="37EB6B1E" w14:textId="77777777" w:rsidR="009214AE" w:rsidRDefault="009214AE">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2280055"/>
    </w:sdtPr>
    <w:sdtContent>
      <w:p w14:paraId="6E565158"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91</w:t>
        </w:r>
        <w:r>
          <w:rPr>
            <w:lang w:val="zh-CN"/>
          </w:rPr>
          <w:fldChar w:fldCharType="end"/>
        </w:r>
      </w:p>
    </w:sdtContent>
  </w:sdt>
  <w:p w14:paraId="007B9B3A" w14:textId="77777777" w:rsidR="009214AE" w:rsidRDefault="009214AE">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6314526"/>
    </w:sdtPr>
    <w:sdtContent>
      <w:p w14:paraId="72540E82"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93</w:t>
        </w:r>
        <w:r>
          <w:rPr>
            <w:lang w:val="zh-CN"/>
          </w:rPr>
          <w:fldChar w:fldCharType="end"/>
        </w:r>
      </w:p>
    </w:sdtContent>
  </w:sdt>
  <w:p w14:paraId="1DBD7E40" w14:textId="77777777" w:rsidR="009214AE" w:rsidRDefault="009214AE">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97491673"/>
    </w:sdtPr>
    <w:sdtContent>
      <w:p w14:paraId="07AEF93F" w14:textId="77777777" w:rsidR="009214AE" w:rsidRDefault="00C66335">
        <w:pPr>
          <w:pStyle w:val="af0"/>
          <w:jc w:val="center"/>
        </w:pPr>
        <w:r>
          <w:rPr>
            <w:lang w:val="zh-CN"/>
          </w:rPr>
          <w:fldChar w:fldCharType="begin"/>
        </w:r>
        <w:r>
          <w:rPr>
            <w:lang w:val="zh-CN"/>
          </w:rPr>
          <w:instrText>PAGE   \* MERGEFORMAT</w:instrText>
        </w:r>
        <w:r>
          <w:rPr>
            <w:lang w:val="zh-CN"/>
          </w:rPr>
          <w:fldChar w:fldCharType="separate"/>
        </w:r>
        <w:r w:rsidR="00D01D0C">
          <w:rPr>
            <w:noProof/>
            <w:lang w:val="zh-CN"/>
          </w:rPr>
          <w:t>135</w:t>
        </w:r>
        <w:r>
          <w:rPr>
            <w:lang w:val="zh-CN"/>
          </w:rPr>
          <w:fldChar w:fldCharType="end"/>
        </w:r>
      </w:p>
    </w:sdtContent>
  </w:sdt>
  <w:p w14:paraId="5E9C9AEF" w14:textId="77777777" w:rsidR="009214AE" w:rsidRDefault="009214AE">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FDA2B" w14:textId="77777777" w:rsidR="006D2F3C" w:rsidRDefault="006D2F3C">
      <w:r>
        <w:separator/>
      </w:r>
    </w:p>
  </w:footnote>
  <w:footnote w:type="continuationSeparator" w:id="0">
    <w:p w14:paraId="7970D2C6" w14:textId="77777777" w:rsidR="006D2F3C" w:rsidRDefault="006D2F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F1710C" w14:textId="69A238CF" w:rsidR="009214AE" w:rsidRDefault="00C66335">
    <w:pPr>
      <w:pStyle w:val="af2"/>
      <w:jc w:val="both"/>
    </w:pPr>
    <w:r>
      <w:rPr>
        <w:rFonts w:ascii="Arial" w:hAnsi="Arial" w:cs="Arial" w:hint="eastAsia"/>
        <w:szCs w:val="21"/>
      </w:rPr>
      <w:t>富荣量化精选混合型发起式证券投资基金更新的</w:t>
    </w:r>
    <w:r>
      <w:rPr>
        <w:rFonts w:hint="eastAsia"/>
      </w:rPr>
      <w:t>招募说明书（</w:t>
    </w:r>
    <w:r>
      <w:rPr>
        <w:rFonts w:hint="eastAsia"/>
      </w:rPr>
      <w:t>202</w:t>
    </w:r>
    <w:r w:rsidR="00B345F4">
      <w:rPr>
        <w:rFonts w:hint="eastAsia"/>
      </w:rPr>
      <w:t>5</w:t>
    </w:r>
    <w:r>
      <w:rPr>
        <w:rFonts w:hint="eastAsia"/>
      </w:rPr>
      <w:t>年第</w:t>
    </w:r>
    <w:r w:rsidR="00B345F4">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3473C0F"/>
    <w:multiLevelType w:val="multilevel"/>
    <w:tmpl w:val="13473C0F"/>
    <w:lvl w:ilvl="0">
      <w:start w:val="1"/>
      <w:numFmt w:val="decimal"/>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4927872">
    <w:abstractNumId w:val="0"/>
  </w:num>
  <w:num w:numId="2" w16cid:durableId="914438348">
    <w:abstractNumId w:val="1"/>
  </w:num>
  <w:num w:numId="3" w16cid:durableId="116008084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F562CC"/>
    <w:rsid w:val="00001A11"/>
    <w:rsid w:val="00001E24"/>
    <w:rsid w:val="0000336D"/>
    <w:rsid w:val="00004FDF"/>
    <w:rsid w:val="00007E80"/>
    <w:rsid w:val="00011E0C"/>
    <w:rsid w:val="000150A1"/>
    <w:rsid w:val="0001576D"/>
    <w:rsid w:val="00016B2F"/>
    <w:rsid w:val="00017882"/>
    <w:rsid w:val="000213BB"/>
    <w:rsid w:val="00021C6F"/>
    <w:rsid w:val="00023146"/>
    <w:rsid w:val="000235FF"/>
    <w:rsid w:val="00024020"/>
    <w:rsid w:val="00024EED"/>
    <w:rsid w:val="00024F19"/>
    <w:rsid w:val="00025ADD"/>
    <w:rsid w:val="00026A47"/>
    <w:rsid w:val="0003121B"/>
    <w:rsid w:val="000317CE"/>
    <w:rsid w:val="000324C3"/>
    <w:rsid w:val="00032C15"/>
    <w:rsid w:val="00034D9A"/>
    <w:rsid w:val="00036415"/>
    <w:rsid w:val="0003661E"/>
    <w:rsid w:val="00040033"/>
    <w:rsid w:val="0004135A"/>
    <w:rsid w:val="000417AB"/>
    <w:rsid w:val="00041F00"/>
    <w:rsid w:val="00043AE3"/>
    <w:rsid w:val="00043E2F"/>
    <w:rsid w:val="000455CE"/>
    <w:rsid w:val="00045DF2"/>
    <w:rsid w:val="000507C1"/>
    <w:rsid w:val="00050E32"/>
    <w:rsid w:val="000515D1"/>
    <w:rsid w:val="0005270F"/>
    <w:rsid w:val="0005295B"/>
    <w:rsid w:val="00052A8E"/>
    <w:rsid w:val="00053F56"/>
    <w:rsid w:val="00055889"/>
    <w:rsid w:val="00055F60"/>
    <w:rsid w:val="000570B2"/>
    <w:rsid w:val="000579D5"/>
    <w:rsid w:val="00057A6D"/>
    <w:rsid w:val="00057F6D"/>
    <w:rsid w:val="0006090B"/>
    <w:rsid w:val="0006171F"/>
    <w:rsid w:val="00061EFE"/>
    <w:rsid w:val="00062C1B"/>
    <w:rsid w:val="00063460"/>
    <w:rsid w:val="00063887"/>
    <w:rsid w:val="00063FB4"/>
    <w:rsid w:val="00065FA9"/>
    <w:rsid w:val="00066597"/>
    <w:rsid w:val="000677B8"/>
    <w:rsid w:val="00070358"/>
    <w:rsid w:val="00072066"/>
    <w:rsid w:val="00072559"/>
    <w:rsid w:val="000740F2"/>
    <w:rsid w:val="00075112"/>
    <w:rsid w:val="00076E9C"/>
    <w:rsid w:val="00077420"/>
    <w:rsid w:val="000776EE"/>
    <w:rsid w:val="000807B7"/>
    <w:rsid w:val="000817BB"/>
    <w:rsid w:val="00084A9D"/>
    <w:rsid w:val="00092FE3"/>
    <w:rsid w:val="00093B11"/>
    <w:rsid w:val="00094942"/>
    <w:rsid w:val="0009505B"/>
    <w:rsid w:val="0009610D"/>
    <w:rsid w:val="00096D0E"/>
    <w:rsid w:val="000A07FA"/>
    <w:rsid w:val="000A149C"/>
    <w:rsid w:val="000A1798"/>
    <w:rsid w:val="000A2079"/>
    <w:rsid w:val="000A2809"/>
    <w:rsid w:val="000A34E4"/>
    <w:rsid w:val="000A4496"/>
    <w:rsid w:val="000A53A9"/>
    <w:rsid w:val="000A641C"/>
    <w:rsid w:val="000B0075"/>
    <w:rsid w:val="000B0476"/>
    <w:rsid w:val="000B0AF0"/>
    <w:rsid w:val="000B3BDB"/>
    <w:rsid w:val="000B467C"/>
    <w:rsid w:val="000B4DA0"/>
    <w:rsid w:val="000B5EC5"/>
    <w:rsid w:val="000B6544"/>
    <w:rsid w:val="000B6836"/>
    <w:rsid w:val="000B720D"/>
    <w:rsid w:val="000B7421"/>
    <w:rsid w:val="000B7428"/>
    <w:rsid w:val="000B7ACE"/>
    <w:rsid w:val="000B7C1F"/>
    <w:rsid w:val="000C00C5"/>
    <w:rsid w:val="000C0BDF"/>
    <w:rsid w:val="000C1E78"/>
    <w:rsid w:val="000C2A62"/>
    <w:rsid w:val="000C3020"/>
    <w:rsid w:val="000C36FD"/>
    <w:rsid w:val="000C4C8F"/>
    <w:rsid w:val="000C5135"/>
    <w:rsid w:val="000D1C20"/>
    <w:rsid w:val="000D2A86"/>
    <w:rsid w:val="000D2AA9"/>
    <w:rsid w:val="000D2BAE"/>
    <w:rsid w:val="000D3337"/>
    <w:rsid w:val="000D525E"/>
    <w:rsid w:val="000E1E9B"/>
    <w:rsid w:val="000E3D34"/>
    <w:rsid w:val="000E4187"/>
    <w:rsid w:val="000E7BCA"/>
    <w:rsid w:val="000F2FF2"/>
    <w:rsid w:val="000F37D3"/>
    <w:rsid w:val="000F4000"/>
    <w:rsid w:val="000F4E57"/>
    <w:rsid w:val="000F5114"/>
    <w:rsid w:val="000F5C40"/>
    <w:rsid w:val="000F63F5"/>
    <w:rsid w:val="000F685B"/>
    <w:rsid w:val="00100EB0"/>
    <w:rsid w:val="00101ED0"/>
    <w:rsid w:val="00102D5B"/>
    <w:rsid w:val="00103FFC"/>
    <w:rsid w:val="0010455F"/>
    <w:rsid w:val="00105BC6"/>
    <w:rsid w:val="00107A41"/>
    <w:rsid w:val="00107B18"/>
    <w:rsid w:val="00110756"/>
    <w:rsid w:val="00111FD3"/>
    <w:rsid w:val="00112609"/>
    <w:rsid w:val="00112ACF"/>
    <w:rsid w:val="00112BF1"/>
    <w:rsid w:val="00115947"/>
    <w:rsid w:val="0012019B"/>
    <w:rsid w:val="001209F5"/>
    <w:rsid w:val="00121D25"/>
    <w:rsid w:val="001225F3"/>
    <w:rsid w:val="0012332B"/>
    <w:rsid w:val="00125717"/>
    <w:rsid w:val="00127ED5"/>
    <w:rsid w:val="00127EE7"/>
    <w:rsid w:val="00130C27"/>
    <w:rsid w:val="001317C1"/>
    <w:rsid w:val="00132839"/>
    <w:rsid w:val="0013490C"/>
    <w:rsid w:val="00134E75"/>
    <w:rsid w:val="00135275"/>
    <w:rsid w:val="00135DAB"/>
    <w:rsid w:val="001369D9"/>
    <w:rsid w:val="00141501"/>
    <w:rsid w:val="001431F8"/>
    <w:rsid w:val="00145063"/>
    <w:rsid w:val="00147C35"/>
    <w:rsid w:val="00150AFC"/>
    <w:rsid w:val="0015138A"/>
    <w:rsid w:val="00151DB5"/>
    <w:rsid w:val="00152048"/>
    <w:rsid w:val="001548F6"/>
    <w:rsid w:val="001569AD"/>
    <w:rsid w:val="00156A7C"/>
    <w:rsid w:val="001577D9"/>
    <w:rsid w:val="00157AF8"/>
    <w:rsid w:val="001609F9"/>
    <w:rsid w:val="001635EE"/>
    <w:rsid w:val="00164BBB"/>
    <w:rsid w:val="00166406"/>
    <w:rsid w:val="00166FE9"/>
    <w:rsid w:val="0016706A"/>
    <w:rsid w:val="0017094D"/>
    <w:rsid w:val="00170C44"/>
    <w:rsid w:val="00171B39"/>
    <w:rsid w:val="001745C9"/>
    <w:rsid w:val="001756AE"/>
    <w:rsid w:val="00175EFD"/>
    <w:rsid w:val="001815D7"/>
    <w:rsid w:val="00181B62"/>
    <w:rsid w:val="00181F45"/>
    <w:rsid w:val="00184AAE"/>
    <w:rsid w:val="00184E9F"/>
    <w:rsid w:val="00185220"/>
    <w:rsid w:val="00185938"/>
    <w:rsid w:val="00186FFA"/>
    <w:rsid w:val="001870BD"/>
    <w:rsid w:val="00187285"/>
    <w:rsid w:val="001878D6"/>
    <w:rsid w:val="001939DE"/>
    <w:rsid w:val="00194D9A"/>
    <w:rsid w:val="001952E5"/>
    <w:rsid w:val="00196862"/>
    <w:rsid w:val="00196FB7"/>
    <w:rsid w:val="00197F8C"/>
    <w:rsid w:val="001A0D71"/>
    <w:rsid w:val="001A0F3B"/>
    <w:rsid w:val="001A1315"/>
    <w:rsid w:val="001A1C76"/>
    <w:rsid w:val="001A3539"/>
    <w:rsid w:val="001A41F8"/>
    <w:rsid w:val="001A4791"/>
    <w:rsid w:val="001A4CAD"/>
    <w:rsid w:val="001A6505"/>
    <w:rsid w:val="001A670B"/>
    <w:rsid w:val="001A7A38"/>
    <w:rsid w:val="001B0FE2"/>
    <w:rsid w:val="001B101B"/>
    <w:rsid w:val="001B1C13"/>
    <w:rsid w:val="001B1E35"/>
    <w:rsid w:val="001B23ED"/>
    <w:rsid w:val="001B5439"/>
    <w:rsid w:val="001B598D"/>
    <w:rsid w:val="001B5B83"/>
    <w:rsid w:val="001B716E"/>
    <w:rsid w:val="001C0719"/>
    <w:rsid w:val="001C08B6"/>
    <w:rsid w:val="001C1C3D"/>
    <w:rsid w:val="001C275F"/>
    <w:rsid w:val="001C404F"/>
    <w:rsid w:val="001C66FB"/>
    <w:rsid w:val="001C71D3"/>
    <w:rsid w:val="001C79DE"/>
    <w:rsid w:val="001C7D92"/>
    <w:rsid w:val="001D24DB"/>
    <w:rsid w:val="001D3C2F"/>
    <w:rsid w:val="001D4772"/>
    <w:rsid w:val="001E02A1"/>
    <w:rsid w:val="001E05E8"/>
    <w:rsid w:val="001E0E1D"/>
    <w:rsid w:val="001E3B99"/>
    <w:rsid w:val="001E48AE"/>
    <w:rsid w:val="001E4999"/>
    <w:rsid w:val="001E7D04"/>
    <w:rsid w:val="001E7F72"/>
    <w:rsid w:val="001F029F"/>
    <w:rsid w:val="001F0DEC"/>
    <w:rsid w:val="001F141D"/>
    <w:rsid w:val="001F1D37"/>
    <w:rsid w:val="001F2A1F"/>
    <w:rsid w:val="001F2EE0"/>
    <w:rsid w:val="001F32BF"/>
    <w:rsid w:val="001F3EB7"/>
    <w:rsid w:val="001F4CC2"/>
    <w:rsid w:val="001F4EB1"/>
    <w:rsid w:val="001F670C"/>
    <w:rsid w:val="001F699D"/>
    <w:rsid w:val="001F6CAF"/>
    <w:rsid w:val="001F7512"/>
    <w:rsid w:val="00201AB5"/>
    <w:rsid w:val="00203D74"/>
    <w:rsid w:val="002040A3"/>
    <w:rsid w:val="002040DD"/>
    <w:rsid w:val="00205AA5"/>
    <w:rsid w:val="00206673"/>
    <w:rsid w:val="002078F3"/>
    <w:rsid w:val="00207CD5"/>
    <w:rsid w:val="00211085"/>
    <w:rsid w:val="00212167"/>
    <w:rsid w:val="002138DB"/>
    <w:rsid w:val="002148EB"/>
    <w:rsid w:val="00214F32"/>
    <w:rsid w:val="00217348"/>
    <w:rsid w:val="002210DF"/>
    <w:rsid w:val="00222D7A"/>
    <w:rsid w:val="00224418"/>
    <w:rsid w:val="00224EE1"/>
    <w:rsid w:val="0022597A"/>
    <w:rsid w:val="00225DB5"/>
    <w:rsid w:val="002262B3"/>
    <w:rsid w:val="002275A8"/>
    <w:rsid w:val="00227859"/>
    <w:rsid w:val="00227AD6"/>
    <w:rsid w:val="00227AFA"/>
    <w:rsid w:val="00230271"/>
    <w:rsid w:val="0023113A"/>
    <w:rsid w:val="00232510"/>
    <w:rsid w:val="00232779"/>
    <w:rsid w:val="002337EA"/>
    <w:rsid w:val="00233D8A"/>
    <w:rsid w:val="00233F84"/>
    <w:rsid w:val="00234F40"/>
    <w:rsid w:val="0023618C"/>
    <w:rsid w:val="0023759E"/>
    <w:rsid w:val="0023788E"/>
    <w:rsid w:val="00241ACA"/>
    <w:rsid w:val="00242B53"/>
    <w:rsid w:val="002430FE"/>
    <w:rsid w:val="002431AC"/>
    <w:rsid w:val="00246128"/>
    <w:rsid w:val="002471BB"/>
    <w:rsid w:val="002472F8"/>
    <w:rsid w:val="00247B4F"/>
    <w:rsid w:val="002507FE"/>
    <w:rsid w:val="0025184A"/>
    <w:rsid w:val="002518DB"/>
    <w:rsid w:val="00252C86"/>
    <w:rsid w:val="00253888"/>
    <w:rsid w:val="0025398C"/>
    <w:rsid w:val="00257F94"/>
    <w:rsid w:val="002601E9"/>
    <w:rsid w:val="00260AE0"/>
    <w:rsid w:val="002622A9"/>
    <w:rsid w:val="00263BCA"/>
    <w:rsid w:val="00266267"/>
    <w:rsid w:val="00266917"/>
    <w:rsid w:val="00266A12"/>
    <w:rsid w:val="00266FA5"/>
    <w:rsid w:val="002701CE"/>
    <w:rsid w:val="0027124A"/>
    <w:rsid w:val="002713BE"/>
    <w:rsid w:val="00272867"/>
    <w:rsid w:val="00272F3A"/>
    <w:rsid w:val="00273FCA"/>
    <w:rsid w:val="002752C2"/>
    <w:rsid w:val="00275C95"/>
    <w:rsid w:val="002775A2"/>
    <w:rsid w:val="00282732"/>
    <w:rsid w:val="002834CB"/>
    <w:rsid w:val="00283A8E"/>
    <w:rsid w:val="00283F15"/>
    <w:rsid w:val="002841F3"/>
    <w:rsid w:val="00284C3A"/>
    <w:rsid w:val="002863C8"/>
    <w:rsid w:val="00291943"/>
    <w:rsid w:val="00291D52"/>
    <w:rsid w:val="00293077"/>
    <w:rsid w:val="00293582"/>
    <w:rsid w:val="002940A2"/>
    <w:rsid w:val="00294C41"/>
    <w:rsid w:val="00294D36"/>
    <w:rsid w:val="00295C02"/>
    <w:rsid w:val="00295EF8"/>
    <w:rsid w:val="002964F0"/>
    <w:rsid w:val="002966EC"/>
    <w:rsid w:val="002972D8"/>
    <w:rsid w:val="002A07D5"/>
    <w:rsid w:val="002A18EC"/>
    <w:rsid w:val="002A1DD0"/>
    <w:rsid w:val="002A23B6"/>
    <w:rsid w:val="002A33A3"/>
    <w:rsid w:val="002A441B"/>
    <w:rsid w:val="002A6E10"/>
    <w:rsid w:val="002A76D4"/>
    <w:rsid w:val="002A7CB9"/>
    <w:rsid w:val="002B01D8"/>
    <w:rsid w:val="002B1A83"/>
    <w:rsid w:val="002B435D"/>
    <w:rsid w:val="002B4DD9"/>
    <w:rsid w:val="002B501D"/>
    <w:rsid w:val="002B64A8"/>
    <w:rsid w:val="002B6C90"/>
    <w:rsid w:val="002C03B5"/>
    <w:rsid w:val="002C2931"/>
    <w:rsid w:val="002C29A4"/>
    <w:rsid w:val="002C385C"/>
    <w:rsid w:val="002C3C29"/>
    <w:rsid w:val="002C3F93"/>
    <w:rsid w:val="002C438F"/>
    <w:rsid w:val="002C508B"/>
    <w:rsid w:val="002D3234"/>
    <w:rsid w:val="002D32E2"/>
    <w:rsid w:val="002D33E0"/>
    <w:rsid w:val="002D581C"/>
    <w:rsid w:val="002E2B52"/>
    <w:rsid w:val="002E2D5E"/>
    <w:rsid w:val="002E342B"/>
    <w:rsid w:val="002E3582"/>
    <w:rsid w:val="002E4399"/>
    <w:rsid w:val="002E7690"/>
    <w:rsid w:val="002F097C"/>
    <w:rsid w:val="002F0AEB"/>
    <w:rsid w:val="002F27BA"/>
    <w:rsid w:val="002F3DFB"/>
    <w:rsid w:val="003003E7"/>
    <w:rsid w:val="00302B5B"/>
    <w:rsid w:val="0030418D"/>
    <w:rsid w:val="003042BB"/>
    <w:rsid w:val="003049CB"/>
    <w:rsid w:val="00305747"/>
    <w:rsid w:val="00307617"/>
    <w:rsid w:val="003079B5"/>
    <w:rsid w:val="00307A3B"/>
    <w:rsid w:val="00307AB6"/>
    <w:rsid w:val="00311B2C"/>
    <w:rsid w:val="003155E3"/>
    <w:rsid w:val="00315D57"/>
    <w:rsid w:val="00324E41"/>
    <w:rsid w:val="00326A72"/>
    <w:rsid w:val="00327DF4"/>
    <w:rsid w:val="00327F7E"/>
    <w:rsid w:val="00331A50"/>
    <w:rsid w:val="0033271C"/>
    <w:rsid w:val="0033347C"/>
    <w:rsid w:val="00333E36"/>
    <w:rsid w:val="0033564F"/>
    <w:rsid w:val="00336927"/>
    <w:rsid w:val="00340466"/>
    <w:rsid w:val="0034084F"/>
    <w:rsid w:val="00341D19"/>
    <w:rsid w:val="00344461"/>
    <w:rsid w:val="003464BC"/>
    <w:rsid w:val="003464D5"/>
    <w:rsid w:val="00352C16"/>
    <w:rsid w:val="00353591"/>
    <w:rsid w:val="00354A44"/>
    <w:rsid w:val="003558A1"/>
    <w:rsid w:val="00355E38"/>
    <w:rsid w:val="00355E88"/>
    <w:rsid w:val="003567DD"/>
    <w:rsid w:val="00357378"/>
    <w:rsid w:val="00357882"/>
    <w:rsid w:val="00357A86"/>
    <w:rsid w:val="00361863"/>
    <w:rsid w:val="00361F09"/>
    <w:rsid w:val="00364E7A"/>
    <w:rsid w:val="00365C58"/>
    <w:rsid w:val="0036675B"/>
    <w:rsid w:val="0036697D"/>
    <w:rsid w:val="00367003"/>
    <w:rsid w:val="00367074"/>
    <w:rsid w:val="00367E2C"/>
    <w:rsid w:val="00370B4F"/>
    <w:rsid w:val="00371EC6"/>
    <w:rsid w:val="00371ED5"/>
    <w:rsid w:val="00376750"/>
    <w:rsid w:val="00377542"/>
    <w:rsid w:val="00381569"/>
    <w:rsid w:val="00381F92"/>
    <w:rsid w:val="00386A86"/>
    <w:rsid w:val="0038750D"/>
    <w:rsid w:val="00390719"/>
    <w:rsid w:val="00390C85"/>
    <w:rsid w:val="003928DF"/>
    <w:rsid w:val="00392C0F"/>
    <w:rsid w:val="00394C8C"/>
    <w:rsid w:val="00394FC2"/>
    <w:rsid w:val="003962D5"/>
    <w:rsid w:val="00397AF5"/>
    <w:rsid w:val="003A168A"/>
    <w:rsid w:val="003A1C92"/>
    <w:rsid w:val="003A2622"/>
    <w:rsid w:val="003A3022"/>
    <w:rsid w:val="003A4F3B"/>
    <w:rsid w:val="003A541D"/>
    <w:rsid w:val="003A6148"/>
    <w:rsid w:val="003A733C"/>
    <w:rsid w:val="003A78F9"/>
    <w:rsid w:val="003B2407"/>
    <w:rsid w:val="003B2B86"/>
    <w:rsid w:val="003B2C1E"/>
    <w:rsid w:val="003B318D"/>
    <w:rsid w:val="003B374D"/>
    <w:rsid w:val="003B3D76"/>
    <w:rsid w:val="003B55CE"/>
    <w:rsid w:val="003C0A28"/>
    <w:rsid w:val="003C12F6"/>
    <w:rsid w:val="003C3BD4"/>
    <w:rsid w:val="003C4E68"/>
    <w:rsid w:val="003C6950"/>
    <w:rsid w:val="003C71FB"/>
    <w:rsid w:val="003D25AE"/>
    <w:rsid w:val="003D30B4"/>
    <w:rsid w:val="003D32C5"/>
    <w:rsid w:val="003D3E7F"/>
    <w:rsid w:val="003D4F54"/>
    <w:rsid w:val="003E1EA5"/>
    <w:rsid w:val="003E3341"/>
    <w:rsid w:val="003E33DE"/>
    <w:rsid w:val="003E4458"/>
    <w:rsid w:val="003E49EB"/>
    <w:rsid w:val="003E7547"/>
    <w:rsid w:val="003F024E"/>
    <w:rsid w:val="003F07F0"/>
    <w:rsid w:val="003F0D6B"/>
    <w:rsid w:val="003F1495"/>
    <w:rsid w:val="003F1645"/>
    <w:rsid w:val="003F2C03"/>
    <w:rsid w:val="003F2F14"/>
    <w:rsid w:val="003F3EBD"/>
    <w:rsid w:val="003F7179"/>
    <w:rsid w:val="003F71BA"/>
    <w:rsid w:val="00402349"/>
    <w:rsid w:val="00402921"/>
    <w:rsid w:val="004052E3"/>
    <w:rsid w:val="004055CF"/>
    <w:rsid w:val="00407289"/>
    <w:rsid w:val="0041093D"/>
    <w:rsid w:val="00411CB0"/>
    <w:rsid w:val="0041206B"/>
    <w:rsid w:val="004125EB"/>
    <w:rsid w:val="00412850"/>
    <w:rsid w:val="00413982"/>
    <w:rsid w:val="00413B26"/>
    <w:rsid w:val="00415142"/>
    <w:rsid w:val="00416668"/>
    <w:rsid w:val="0041693E"/>
    <w:rsid w:val="00416A03"/>
    <w:rsid w:val="00416A30"/>
    <w:rsid w:val="00417728"/>
    <w:rsid w:val="00417E3F"/>
    <w:rsid w:val="0042002D"/>
    <w:rsid w:val="004212FB"/>
    <w:rsid w:val="00423971"/>
    <w:rsid w:val="00423D92"/>
    <w:rsid w:val="00424206"/>
    <w:rsid w:val="00424BE2"/>
    <w:rsid w:val="00425184"/>
    <w:rsid w:val="004254CB"/>
    <w:rsid w:val="00427D57"/>
    <w:rsid w:val="004307A3"/>
    <w:rsid w:val="00430DC3"/>
    <w:rsid w:val="00432722"/>
    <w:rsid w:val="004334EC"/>
    <w:rsid w:val="00433807"/>
    <w:rsid w:val="00433CE7"/>
    <w:rsid w:val="004344F1"/>
    <w:rsid w:val="00434ACE"/>
    <w:rsid w:val="00434E0A"/>
    <w:rsid w:val="004353E6"/>
    <w:rsid w:val="00436233"/>
    <w:rsid w:val="0043660A"/>
    <w:rsid w:val="004366F9"/>
    <w:rsid w:val="004419FB"/>
    <w:rsid w:val="004425D7"/>
    <w:rsid w:val="00447A84"/>
    <w:rsid w:val="00450F66"/>
    <w:rsid w:val="00451BE6"/>
    <w:rsid w:val="00451F4D"/>
    <w:rsid w:val="00455C1E"/>
    <w:rsid w:val="00456CDA"/>
    <w:rsid w:val="00456D30"/>
    <w:rsid w:val="004570E4"/>
    <w:rsid w:val="00457A75"/>
    <w:rsid w:val="004615DF"/>
    <w:rsid w:val="00461F51"/>
    <w:rsid w:val="004632CC"/>
    <w:rsid w:val="00463AC0"/>
    <w:rsid w:val="00463D15"/>
    <w:rsid w:val="004657EA"/>
    <w:rsid w:val="004665F2"/>
    <w:rsid w:val="00467F0E"/>
    <w:rsid w:val="00470701"/>
    <w:rsid w:val="0047385D"/>
    <w:rsid w:val="00473F80"/>
    <w:rsid w:val="00476243"/>
    <w:rsid w:val="00477CC7"/>
    <w:rsid w:val="00480219"/>
    <w:rsid w:val="004802DA"/>
    <w:rsid w:val="00481714"/>
    <w:rsid w:val="00481E25"/>
    <w:rsid w:val="004820BD"/>
    <w:rsid w:val="004822FB"/>
    <w:rsid w:val="0048357D"/>
    <w:rsid w:val="00483AE1"/>
    <w:rsid w:val="00486108"/>
    <w:rsid w:val="00487094"/>
    <w:rsid w:val="0048715E"/>
    <w:rsid w:val="00487357"/>
    <w:rsid w:val="00490E64"/>
    <w:rsid w:val="004914FA"/>
    <w:rsid w:val="004922D1"/>
    <w:rsid w:val="00493840"/>
    <w:rsid w:val="00494FA6"/>
    <w:rsid w:val="004A0FA8"/>
    <w:rsid w:val="004A4445"/>
    <w:rsid w:val="004A5EF4"/>
    <w:rsid w:val="004A65D7"/>
    <w:rsid w:val="004B45FA"/>
    <w:rsid w:val="004B5348"/>
    <w:rsid w:val="004B5F31"/>
    <w:rsid w:val="004B617B"/>
    <w:rsid w:val="004B6FAE"/>
    <w:rsid w:val="004B7253"/>
    <w:rsid w:val="004B72B2"/>
    <w:rsid w:val="004B787D"/>
    <w:rsid w:val="004C0C2D"/>
    <w:rsid w:val="004C13D9"/>
    <w:rsid w:val="004C1FB1"/>
    <w:rsid w:val="004C27F1"/>
    <w:rsid w:val="004C3C7B"/>
    <w:rsid w:val="004C42FE"/>
    <w:rsid w:val="004C4A0F"/>
    <w:rsid w:val="004C4BF6"/>
    <w:rsid w:val="004C4EE6"/>
    <w:rsid w:val="004C5487"/>
    <w:rsid w:val="004C68A4"/>
    <w:rsid w:val="004C79C5"/>
    <w:rsid w:val="004D253C"/>
    <w:rsid w:val="004D2D86"/>
    <w:rsid w:val="004D3208"/>
    <w:rsid w:val="004D47A6"/>
    <w:rsid w:val="004D5A0E"/>
    <w:rsid w:val="004D693A"/>
    <w:rsid w:val="004D719C"/>
    <w:rsid w:val="004D7238"/>
    <w:rsid w:val="004D73CA"/>
    <w:rsid w:val="004D7535"/>
    <w:rsid w:val="004D781D"/>
    <w:rsid w:val="004D7A1C"/>
    <w:rsid w:val="004E08FD"/>
    <w:rsid w:val="004E16B5"/>
    <w:rsid w:val="004E28F1"/>
    <w:rsid w:val="004E3FD5"/>
    <w:rsid w:val="004E411F"/>
    <w:rsid w:val="004E5BE5"/>
    <w:rsid w:val="004E608E"/>
    <w:rsid w:val="004E6392"/>
    <w:rsid w:val="004F02E3"/>
    <w:rsid w:val="004F1DA6"/>
    <w:rsid w:val="004F1DE0"/>
    <w:rsid w:val="004F2470"/>
    <w:rsid w:val="004F4E5A"/>
    <w:rsid w:val="004F69DD"/>
    <w:rsid w:val="004F7007"/>
    <w:rsid w:val="00501B74"/>
    <w:rsid w:val="00503979"/>
    <w:rsid w:val="005043F9"/>
    <w:rsid w:val="0050445A"/>
    <w:rsid w:val="0050608A"/>
    <w:rsid w:val="005067A5"/>
    <w:rsid w:val="00506A9D"/>
    <w:rsid w:val="00507B97"/>
    <w:rsid w:val="00513369"/>
    <w:rsid w:val="00515CEA"/>
    <w:rsid w:val="00516A76"/>
    <w:rsid w:val="00517167"/>
    <w:rsid w:val="00520016"/>
    <w:rsid w:val="00525D26"/>
    <w:rsid w:val="005266D4"/>
    <w:rsid w:val="005307B0"/>
    <w:rsid w:val="005316D5"/>
    <w:rsid w:val="00532478"/>
    <w:rsid w:val="005339D1"/>
    <w:rsid w:val="00537734"/>
    <w:rsid w:val="00540285"/>
    <w:rsid w:val="00540E2F"/>
    <w:rsid w:val="00541D67"/>
    <w:rsid w:val="00542A7E"/>
    <w:rsid w:val="005435FB"/>
    <w:rsid w:val="00543AAE"/>
    <w:rsid w:val="00543C86"/>
    <w:rsid w:val="00545041"/>
    <w:rsid w:val="00546072"/>
    <w:rsid w:val="00550B96"/>
    <w:rsid w:val="00552750"/>
    <w:rsid w:val="0055353E"/>
    <w:rsid w:val="00553B31"/>
    <w:rsid w:val="00553C15"/>
    <w:rsid w:val="00554917"/>
    <w:rsid w:val="00555BA2"/>
    <w:rsid w:val="00556041"/>
    <w:rsid w:val="0055606F"/>
    <w:rsid w:val="0055734F"/>
    <w:rsid w:val="00560DD8"/>
    <w:rsid w:val="005622B6"/>
    <w:rsid w:val="0056275F"/>
    <w:rsid w:val="00562DCF"/>
    <w:rsid w:val="00563324"/>
    <w:rsid w:val="00563426"/>
    <w:rsid w:val="00564640"/>
    <w:rsid w:val="00565760"/>
    <w:rsid w:val="00566F0E"/>
    <w:rsid w:val="005677AD"/>
    <w:rsid w:val="00567ECF"/>
    <w:rsid w:val="00571308"/>
    <w:rsid w:val="005729A6"/>
    <w:rsid w:val="005730A9"/>
    <w:rsid w:val="0057704C"/>
    <w:rsid w:val="005776D9"/>
    <w:rsid w:val="00577C24"/>
    <w:rsid w:val="005803F4"/>
    <w:rsid w:val="00581D26"/>
    <w:rsid w:val="005829AA"/>
    <w:rsid w:val="00582E8F"/>
    <w:rsid w:val="0058395A"/>
    <w:rsid w:val="00584C01"/>
    <w:rsid w:val="00585A88"/>
    <w:rsid w:val="0059102D"/>
    <w:rsid w:val="005916C4"/>
    <w:rsid w:val="00592ACD"/>
    <w:rsid w:val="00592B7E"/>
    <w:rsid w:val="00593DBE"/>
    <w:rsid w:val="0059486A"/>
    <w:rsid w:val="00595A44"/>
    <w:rsid w:val="00597B85"/>
    <w:rsid w:val="005A098B"/>
    <w:rsid w:val="005A144F"/>
    <w:rsid w:val="005A2417"/>
    <w:rsid w:val="005A296F"/>
    <w:rsid w:val="005A304E"/>
    <w:rsid w:val="005A3331"/>
    <w:rsid w:val="005A3605"/>
    <w:rsid w:val="005A3DA9"/>
    <w:rsid w:val="005A4328"/>
    <w:rsid w:val="005A4D49"/>
    <w:rsid w:val="005A5B40"/>
    <w:rsid w:val="005A6549"/>
    <w:rsid w:val="005A66E5"/>
    <w:rsid w:val="005A7462"/>
    <w:rsid w:val="005A7A85"/>
    <w:rsid w:val="005B061F"/>
    <w:rsid w:val="005B1DAC"/>
    <w:rsid w:val="005B20BF"/>
    <w:rsid w:val="005B38F6"/>
    <w:rsid w:val="005B5C87"/>
    <w:rsid w:val="005B766D"/>
    <w:rsid w:val="005B7F6F"/>
    <w:rsid w:val="005C0053"/>
    <w:rsid w:val="005C0239"/>
    <w:rsid w:val="005C3EFA"/>
    <w:rsid w:val="005C421C"/>
    <w:rsid w:val="005C5130"/>
    <w:rsid w:val="005C5145"/>
    <w:rsid w:val="005D19A9"/>
    <w:rsid w:val="005D51A1"/>
    <w:rsid w:val="005D6453"/>
    <w:rsid w:val="005E0189"/>
    <w:rsid w:val="005E29FB"/>
    <w:rsid w:val="005F0253"/>
    <w:rsid w:val="005F196B"/>
    <w:rsid w:val="005F27B9"/>
    <w:rsid w:val="005F3AD5"/>
    <w:rsid w:val="005F4F71"/>
    <w:rsid w:val="005F62D9"/>
    <w:rsid w:val="005F6C53"/>
    <w:rsid w:val="005F7A57"/>
    <w:rsid w:val="00601DA1"/>
    <w:rsid w:val="00601E16"/>
    <w:rsid w:val="006028FA"/>
    <w:rsid w:val="00602B88"/>
    <w:rsid w:val="006038C3"/>
    <w:rsid w:val="0060438B"/>
    <w:rsid w:val="0060620F"/>
    <w:rsid w:val="00606E9A"/>
    <w:rsid w:val="00611119"/>
    <w:rsid w:val="00611CEA"/>
    <w:rsid w:val="006132D5"/>
    <w:rsid w:val="00613D11"/>
    <w:rsid w:val="006140CC"/>
    <w:rsid w:val="0061438B"/>
    <w:rsid w:val="006162F5"/>
    <w:rsid w:val="006212EC"/>
    <w:rsid w:val="006218FD"/>
    <w:rsid w:val="00621934"/>
    <w:rsid w:val="00622A23"/>
    <w:rsid w:val="00624228"/>
    <w:rsid w:val="00624DB5"/>
    <w:rsid w:val="006259CB"/>
    <w:rsid w:val="00626C8D"/>
    <w:rsid w:val="00626D65"/>
    <w:rsid w:val="0062795B"/>
    <w:rsid w:val="00627DBF"/>
    <w:rsid w:val="00627E38"/>
    <w:rsid w:val="00632249"/>
    <w:rsid w:val="00634E01"/>
    <w:rsid w:val="00635709"/>
    <w:rsid w:val="006358E6"/>
    <w:rsid w:val="006367A1"/>
    <w:rsid w:val="00636857"/>
    <w:rsid w:val="00637A2B"/>
    <w:rsid w:val="006404E1"/>
    <w:rsid w:val="006411B1"/>
    <w:rsid w:val="00641394"/>
    <w:rsid w:val="006424F1"/>
    <w:rsid w:val="006447F2"/>
    <w:rsid w:val="006448EE"/>
    <w:rsid w:val="0064498B"/>
    <w:rsid w:val="00644FA5"/>
    <w:rsid w:val="006459AC"/>
    <w:rsid w:val="0064649E"/>
    <w:rsid w:val="00646DF1"/>
    <w:rsid w:val="00647036"/>
    <w:rsid w:val="00647998"/>
    <w:rsid w:val="00647B84"/>
    <w:rsid w:val="006500C3"/>
    <w:rsid w:val="006504A9"/>
    <w:rsid w:val="00650E90"/>
    <w:rsid w:val="00651352"/>
    <w:rsid w:val="006541D8"/>
    <w:rsid w:val="006544D5"/>
    <w:rsid w:val="00655103"/>
    <w:rsid w:val="00656F9A"/>
    <w:rsid w:val="006610F6"/>
    <w:rsid w:val="006620BA"/>
    <w:rsid w:val="00662717"/>
    <w:rsid w:val="00664560"/>
    <w:rsid w:val="0066542B"/>
    <w:rsid w:val="006662A1"/>
    <w:rsid w:val="00666ACE"/>
    <w:rsid w:val="00673746"/>
    <w:rsid w:val="00673AF9"/>
    <w:rsid w:val="00673BD7"/>
    <w:rsid w:val="006748D6"/>
    <w:rsid w:val="00675885"/>
    <w:rsid w:val="0068149E"/>
    <w:rsid w:val="0068156F"/>
    <w:rsid w:val="006827D6"/>
    <w:rsid w:val="0068365D"/>
    <w:rsid w:val="006845DD"/>
    <w:rsid w:val="00686670"/>
    <w:rsid w:val="006869A7"/>
    <w:rsid w:val="00687DC9"/>
    <w:rsid w:val="00691CDD"/>
    <w:rsid w:val="0069362E"/>
    <w:rsid w:val="00697107"/>
    <w:rsid w:val="006A1FB2"/>
    <w:rsid w:val="006A2D71"/>
    <w:rsid w:val="006A3AEA"/>
    <w:rsid w:val="006A5D38"/>
    <w:rsid w:val="006A609D"/>
    <w:rsid w:val="006A62A6"/>
    <w:rsid w:val="006A6921"/>
    <w:rsid w:val="006B1528"/>
    <w:rsid w:val="006B231F"/>
    <w:rsid w:val="006B2EB8"/>
    <w:rsid w:val="006B324A"/>
    <w:rsid w:val="006B3803"/>
    <w:rsid w:val="006B4675"/>
    <w:rsid w:val="006B562D"/>
    <w:rsid w:val="006B57FC"/>
    <w:rsid w:val="006B5E4E"/>
    <w:rsid w:val="006B6220"/>
    <w:rsid w:val="006B727B"/>
    <w:rsid w:val="006B788D"/>
    <w:rsid w:val="006C2816"/>
    <w:rsid w:val="006C365F"/>
    <w:rsid w:val="006C4A63"/>
    <w:rsid w:val="006C5932"/>
    <w:rsid w:val="006C632A"/>
    <w:rsid w:val="006C688D"/>
    <w:rsid w:val="006C6DCF"/>
    <w:rsid w:val="006C7F55"/>
    <w:rsid w:val="006D0194"/>
    <w:rsid w:val="006D0F34"/>
    <w:rsid w:val="006D11CD"/>
    <w:rsid w:val="006D2F3C"/>
    <w:rsid w:val="006D429F"/>
    <w:rsid w:val="006D4512"/>
    <w:rsid w:val="006D6E03"/>
    <w:rsid w:val="006E30D2"/>
    <w:rsid w:val="006E47D9"/>
    <w:rsid w:val="006E4865"/>
    <w:rsid w:val="006E55E8"/>
    <w:rsid w:val="006E567D"/>
    <w:rsid w:val="006E6B5E"/>
    <w:rsid w:val="006E7CCA"/>
    <w:rsid w:val="006F0F3C"/>
    <w:rsid w:val="006F0F6A"/>
    <w:rsid w:val="006F36D3"/>
    <w:rsid w:val="006F4638"/>
    <w:rsid w:val="006F5C33"/>
    <w:rsid w:val="006F741E"/>
    <w:rsid w:val="007021F5"/>
    <w:rsid w:val="00702608"/>
    <w:rsid w:val="00702DD7"/>
    <w:rsid w:val="00703058"/>
    <w:rsid w:val="007032EB"/>
    <w:rsid w:val="00703F25"/>
    <w:rsid w:val="00704683"/>
    <w:rsid w:val="00704C0F"/>
    <w:rsid w:val="00704D7F"/>
    <w:rsid w:val="007066B5"/>
    <w:rsid w:val="00707B95"/>
    <w:rsid w:val="00710D35"/>
    <w:rsid w:val="0071206F"/>
    <w:rsid w:val="00713346"/>
    <w:rsid w:val="007141DF"/>
    <w:rsid w:val="007142AE"/>
    <w:rsid w:val="0071452E"/>
    <w:rsid w:val="00714C19"/>
    <w:rsid w:val="00716B55"/>
    <w:rsid w:val="00716D3B"/>
    <w:rsid w:val="00717A34"/>
    <w:rsid w:val="00717F9D"/>
    <w:rsid w:val="00720A80"/>
    <w:rsid w:val="00722704"/>
    <w:rsid w:val="00723296"/>
    <w:rsid w:val="00723B1D"/>
    <w:rsid w:val="00723EE3"/>
    <w:rsid w:val="007249C0"/>
    <w:rsid w:val="007250B7"/>
    <w:rsid w:val="007265B3"/>
    <w:rsid w:val="007270B2"/>
    <w:rsid w:val="00732DA2"/>
    <w:rsid w:val="00736217"/>
    <w:rsid w:val="00736608"/>
    <w:rsid w:val="00736F54"/>
    <w:rsid w:val="00740060"/>
    <w:rsid w:val="00740CBA"/>
    <w:rsid w:val="00741DBB"/>
    <w:rsid w:val="00742372"/>
    <w:rsid w:val="0074240A"/>
    <w:rsid w:val="00743C6B"/>
    <w:rsid w:val="0074463C"/>
    <w:rsid w:val="00744DD8"/>
    <w:rsid w:val="00745CA2"/>
    <w:rsid w:val="00746029"/>
    <w:rsid w:val="00746174"/>
    <w:rsid w:val="00746D8F"/>
    <w:rsid w:val="00746F9D"/>
    <w:rsid w:val="00750314"/>
    <w:rsid w:val="00750772"/>
    <w:rsid w:val="00750F7C"/>
    <w:rsid w:val="007530DC"/>
    <w:rsid w:val="00753CF3"/>
    <w:rsid w:val="007546AB"/>
    <w:rsid w:val="0075534A"/>
    <w:rsid w:val="007554CF"/>
    <w:rsid w:val="00755AAB"/>
    <w:rsid w:val="00760DC1"/>
    <w:rsid w:val="0076181C"/>
    <w:rsid w:val="00762387"/>
    <w:rsid w:val="00762788"/>
    <w:rsid w:val="00762E30"/>
    <w:rsid w:val="00762EAE"/>
    <w:rsid w:val="00763CB0"/>
    <w:rsid w:val="00766DBF"/>
    <w:rsid w:val="00767E9E"/>
    <w:rsid w:val="00771C0C"/>
    <w:rsid w:val="00771D0E"/>
    <w:rsid w:val="00772ADA"/>
    <w:rsid w:val="00773E87"/>
    <w:rsid w:val="00774210"/>
    <w:rsid w:val="007743FF"/>
    <w:rsid w:val="00774BE4"/>
    <w:rsid w:val="00775ABC"/>
    <w:rsid w:val="00780A15"/>
    <w:rsid w:val="00782754"/>
    <w:rsid w:val="00782781"/>
    <w:rsid w:val="0078316E"/>
    <w:rsid w:val="007831FC"/>
    <w:rsid w:val="007834DB"/>
    <w:rsid w:val="007843B2"/>
    <w:rsid w:val="00785310"/>
    <w:rsid w:val="00785A76"/>
    <w:rsid w:val="00787C08"/>
    <w:rsid w:val="00787D48"/>
    <w:rsid w:val="00790FC7"/>
    <w:rsid w:val="007929DD"/>
    <w:rsid w:val="007942D9"/>
    <w:rsid w:val="00794997"/>
    <w:rsid w:val="00795893"/>
    <w:rsid w:val="00795A6A"/>
    <w:rsid w:val="00796706"/>
    <w:rsid w:val="007A0133"/>
    <w:rsid w:val="007A354C"/>
    <w:rsid w:val="007A3A2B"/>
    <w:rsid w:val="007A559F"/>
    <w:rsid w:val="007A57BE"/>
    <w:rsid w:val="007A6409"/>
    <w:rsid w:val="007A659F"/>
    <w:rsid w:val="007A6F07"/>
    <w:rsid w:val="007A708A"/>
    <w:rsid w:val="007B0165"/>
    <w:rsid w:val="007B0530"/>
    <w:rsid w:val="007B11A4"/>
    <w:rsid w:val="007B1A77"/>
    <w:rsid w:val="007B3706"/>
    <w:rsid w:val="007B37B1"/>
    <w:rsid w:val="007B3A9A"/>
    <w:rsid w:val="007C09AB"/>
    <w:rsid w:val="007C26D3"/>
    <w:rsid w:val="007C30A7"/>
    <w:rsid w:val="007C384C"/>
    <w:rsid w:val="007C51A5"/>
    <w:rsid w:val="007C5BF3"/>
    <w:rsid w:val="007C6BA1"/>
    <w:rsid w:val="007C7D83"/>
    <w:rsid w:val="007D3214"/>
    <w:rsid w:val="007D3B33"/>
    <w:rsid w:val="007D5378"/>
    <w:rsid w:val="007D7248"/>
    <w:rsid w:val="007D7C12"/>
    <w:rsid w:val="007D7D09"/>
    <w:rsid w:val="007E0DDF"/>
    <w:rsid w:val="007E174A"/>
    <w:rsid w:val="007E36BF"/>
    <w:rsid w:val="007E6165"/>
    <w:rsid w:val="007E6BA9"/>
    <w:rsid w:val="007E7483"/>
    <w:rsid w:val="007F0C2B"/>
    <w:rsid w:val="007F0F86"/>
    <w:rsid w:val="007F1D31"/>
    <w:rsid w:val="007F2112"/>
    <w:rsid w:val="007F28C5"/>
    <w:rsid w:val="007F3034"/>
    <w:rsid w:val="007F3452"/>
    <w:rsid w:val="007F5FFE"/>
    <w:rsid w:val="007F610C"/>
    <w:rsid w:val="007F72A0"/>
    <w:rsid w:val="007F7416"/>
    <w:rsid w:val="007F7827"/>
    <w:rsid w:val="007F78CB"/>
    <w:rsid w:val="00800633"/>
    <w:rsid w:val="0080091B"/>
    <w:rsid w:val="008101DA"/>
    <w:rsid w:val="0081243C"/>
    <w:rsid w:val="00812764"/>
    <w:rsid w:val="008148BC"/>
    <w:rsid w:val="00815169"/>
    <w:rsid w:val="0081623B"/>
    <w:rsid w:val="008170B0"/>
    <w:rsid w:val="00817FFC"/>
    <w:rsid w:val="0082084A"/>
    <w:rsid w:val="0082089D"/>
    <w:rsid w:val="00821726"/>
    <w:rsid w:val="008241B9"/>
    <w:rsid w:val="00824FDE"/>
    <w:rsid w:val="008253FA"/>
    <w:rsid w:val="0082569A"/>
    <w:rsid w:val="0082612B"/>
    <w:rsid w:val="008266F8"/>
    <w:rsid w:val="00826E64"/>
    <w:rsid w:val="00826FB4"/>
    <w:rsid w:val="00827213"/>
    <w:rsid w:val="00827565"/>
    <w:rsid w:val="008276B4"/>
    <w:rsid w:val="00827AF1"/>
    <w:rsid w:val="00827CFA"/>
    <w:rsid w:val="00827F46"/>
    <w:rsid w:val="0083059C"/>
    <w:rsid w:val="00831A98"/>
    <w:rsid w:val="00836A83"/>
    <w:rsid w:val="00841DA3"/>
    <w:rsid w:val="00842CCB"/>
    <w:rsid w:val="008437A5"/>
    <w:rsid w:val="00844693"/>
    <w:rsid w:val="008460D9"/>
    <w:rsid w:val="00847C44"/>
    <w:rsid w:val="008514C2"/>
    <w:rsid w:val="00853093"/>
    <w:rsid w:val="00853F95"/>
    <w:rsid w:val="00855EC3"/>
    <w:rsid w:val="00857CA9"/>
    <w:rsid w:val="00857D6D"/>
    <w:rsid w:val="00861559"/>
    <w:rsid w:val="008619AA"/>
    <w:rsid w:val="00861BC9"/>
    <w:rsid w:val="008641EB"/>
    <w:rsid w:val="00864D27"/>
    <w:rsid w:val="0086578E"/>
    <w:rsid w:val="00865A22"/>
    <w:rsid w:val="00865E8A"/>
    <w:rsid w:val="008667D3"/>
    <w:rsid w:val="00866878"/>
    <w:rsid w:val="008668FB"/>
    <w:rsid w:val="00870D12"/>
    <w:rsid w:val="00871622"/>
    <w:rsid w:val="008733D4"/>
    <w:rsid w:val="00874351"/>
    <w:rsid w:val="00874CE7"/>
    <w:rsid w:val="00874DD2"/>
    <w:rsid w:val="0087558A"/>
    <w:rsid w:val="00875DD5"/>
    <w:rsid w:val="00881CCA"/>
    <w:rsid w:val="0088357C"/>
    <w:rsid w:val="00884B02"/>
    <w:rsid w:val="0088622D"/>
    <w:rsid w:val="00886530"/>
    <w:rsid w:val="0088667C"/>
    <w:rsid w:val="00886EAA"/>
    <w:rsid w:val="00887898"/>
    <w:rsid w:val="00890371"/>
    <w:rsid w:val="008904EB"/>
    <w:rsid w:val="0089172A"/>
    <w:rsid w:val="00891F50"/>
    <w:rsid w:val="00892775"/>
    <w:rsid w:val="008929A7"/>
    <w:rsid w:val="0089384B"/>
    <w:rsid w:val="00896041"/>
    <w:rsid w:val="008971E0"/>
    <w:rsid w:val="00897E91"/>
    <w:rsid w:val="008A0316"/>
    <w:rsid w:val="008A06C3"/>
    <w:rsid w:val="008A0CB5"/>
    <w:rsid w:val="008A2FA6"/>
    <w:rsid w:val="008A35AA"/>
    <w:rsid w:val="008A3D44"/>
    <w:rsid w:val="008A6DD8"/>
    <w:rsid w:val="008B0A66"/>
    <w:rsid w:val="008B23EF"/>
    <w:rsid w:val="008B2C70"/>
    <w:rsid w:val="008B2FEF"/>
    <w:rsid w:val="008B3FD5"/>
    <w:rsid w:val="008B4D5A"/>
    <w:rsid w:val="008B4D9A"/>
    <w:rsid w:val="008B5166"/>
    <w:rsid w:val="008B6C7F"/>
    <w:rsid w:val="008B6C99"/>
    <w:rsid w:val="008B7004"/>
    <w:rsid w:val="008B713A"/>
    <w:rsid w:val="008B7206"/>
    <w:rsid w:val="008B7336"/>
    <w:rsid w:val="008C3F19"/>
    <w:rsid w:val="008C7011"/>
    <w:rsid w:val="008C72FF"/>
    <w:rsid w:val="008C7978"/>
    <w:rsid w:val="008D2E58"/>
    <w:rsid w:val="008D2EA1"/>
    <w:rsid w:val="008D355E"/>
    <w:rsid w:val="008D3588"/>
    <w:rsid w:val="008D3884"/>
    <w:rsid w:val="008D4429"/>
    <w:rsid w:val="008D6258"/>
    <w:rsid w:val="008D62D7"/>
    <w:rsid w:val="008D682A"/>
    <w:rsid w:val="008D696E"/>
    <w:rsid w:val="008D75B3"/>
    <w:rsid w:val="008D769B"/>
    <w:rsid w:val="008E103C"/>
    <w:rsid w:val="008E12EB"/>
    <w:rsid w:val="008E1A6C"/>
    <w:rsid w:val="008E4607"/>
    <w:rsid w:val="008E4E45"/>
    <w:rsid w:val="008E59EB"/>
    <w:rsid w:val="008E5FF6"/>
    <w:rsid w:val="008E6D3B"/>
    <w:rsid w:val="008F2A8D"/>
    <w:rsid w:val="008F351B"/>
    <w:rsid w:val="008F3918"/>
    <w:rsid w:val="008F412E"/>
    <w:rsid w:val="008F6E8B"/>
    <w:rsid w:val="008F7348"/>
    <w:rsid w:val="00900E8E"/>
    <w:rsid w:val="00902224"/>
    <w:rsid w:val="00903CB1"/>
    <w:rsid w:val="00904611"/>
    <w:rsid w:val="009046B4"/>
    <w:rsid w:val="00904EB3"/>
    <w:rsid w:val="0090511D"/>
    <w:rsid w:val="00905381"/>
    <w:rsid w:val="00906588"/>
    <w:rsid w:val="00907531"/>
    <w:rsid w:val="00911A0B"/>
    <w:rsid w:val="00911C03"/>
    <w:rsid w:val="009127E2"/>
    <w:rsid w:val="009129A5"/>
    <w:rsid w:val="00913D49"/>
    <w:rsid w:val="00916A1B"/>
    <w:rsid w:val="00917135"/>
    <w:rsid w:val="009202B7"/>
    <w:rsid w:val="009214AE"/>
    <w:rsid w:val="009225A6"/>
    <w:rsid w:val="00922978"/>
    <w:rsid w:val="009246A1"/>
    <w:rsid w:val="009249C5"/>
    <w:rsid w:val="00927435"/>
    <w:rsid w:val="00927495"/>
    <w:rsid w:val="009277AE"/>
    <w:rsid w:val="0093066B"/>
    <w:rsid w:val="00931ED1"/>
    <w:rsid w:val="00932586"/>
    <w:rsid w:val="00933594"/>
    <w:rsid w:val="00933904"/>
    <w:rsid w:val="009364C1"/>
    <w:rsid w:val="00943D86"/>
    <w:rsid w:val="00943DCD"/>
    <w:rsid w:val="00943E94"/>
    <w:rsid w:val="00944DDE"/>
    <w:rsid w:val="00945693"/>
    <w:rsid w:val="009463F2"/>
    <w:rsid w:val="0094688B"/>
    <w:rsid w:val="00947662"/>
    <w:rsid w:val="0095094F"/>
    <w:rsid w:val="00953119"/>
    <w:rsid w:val="00953446"/>
    <w:rsid w:val="00953A8B"/>
    <w:rsid w:val="0095414F"/>
    <w:rsid w:val="00954913"/>
    <w:rsid w:val="00955037"/>
    <w:rsid w:val="00955C3E"/>
    <w:rsid w:val="00956FD1"/>
    <w:rsid w:val="00961263"/>
    <w:rsid w:val="00961907"/>
    <w:rsid w:val="00961D6E"/>
    <w:rsid w:val="00961F52"/>
    <w:rsid w:val="009639D8"/>
    <w:rsid w:val="00965D95"/>
    <w:rsid w:val="00965E53"/>
    <w:rsid w:val="00970002"/>
    <w:rsid w:val="00970058"/>
    <w:rsid w:val="00970627"/>
    <w:rsid w:val="00971061"/>
    <w:rsid w:val="00971DE0"/>
    <w:rsid w:val="00974B2D"/>
    <w:rsid w:val="009768C7"/>
    <w:rsid w:val="009775BB"/>
    <w:rsid w:val="00977E6D"/>
    <w:rsid w:val="00980EE0"/>
    <w:rsid w:val="00981602"/>
    <w:rsid w:val="00981E45"/>
    <w:rsid w:val="00981EA6"/>
    <w:rsid w:val="0098279D"/>
    <w:rsid w:val="00982B15"/>
    <w:rsid w:val="00982F8A"/>
    <w:rsid w:val="00983408"/>
    <w:rsid w:val="00986F18"/>
    <w:rsid w:val="0098753F"/>
    <w:rsid w:val="00990375"/>
    <w:rsid w:val="00990719"/>
    <w:rsid w:val="009909E8"/>
    <w:rsid w:val="00992BC7"/>
    <w:rsid w:val="00993AA7"/>
    <w:rsid w:val="00993D6D"/>
    <w:rsid w:val="00994327"/>
    <w:rsid w:val="00994C45"/>
    <w:rsid w:val="009960C8"/>
    <w:rsid w:val="00997145"/>
    <w:rsid w:val="009974C2"/>
    <w:rsid w:val="00997664"/>
    <w:rsid w:val="00997906"/>
    <w:rsid w:val="009A1160"/>
    <w:rsid w:val="009A25F4"/>
    <w:rsid w:val="009A4AE9"/>
    <w:rsid w:val="009A5C6A"/>
    <w:rsid w:val="009B2161"/>
    <w:rsid w:val="009B2AFA"/>
    <w:rsid w:val="009B3245"/>
    <w:rsid w:val="009B33F0"/>
    <w:rsid w:val="009B41BB"/>
    <w:rsid w:val="009B44F1"/>
    <w:rsid w:val="009B5534"/>
    <w:rsid w:val="009B5B63"/>
    <w:rsid w:val="009C148D"/>
    <w:rsid w:val="009C1ADC"/>
    <w:rsid w:val="009C2482"/>
    <w:rsid w:val="009C4CCC"/>
    <w:rsid w:val="009C5CAD"/>
    <w:rsid w:val="009D11EF"/>
    <w:rsid w:val="009D2B1D"/>
    <w:rsid w:val="009D39E5"/>
    <w:rsid w:val="009D4530"/>
    <w:rsid w:val="009D6C7B"/>
    <w:rsid w:val="009D7B45"/>
    <w:rsid w:val="009E0008"/>
    <w:rsid w:val="009E0EA7"/>
    <w:rsid w:val="009E19E9"/>
    <w:rsid w:val="009E2D8D"/>
    <w:rsid w:val="009E71B1"/>
    <w:rsid w:val="009F05AC"/>
    <w:rsid w:val="009F1A51"/>
    <w:rsid w:val="009F2352"/>
    <w:rsid w:val="009F404D"/>
    <w:rsid w:val="009F527B"/>
    <w:rsid w:val="00A01319"/>
    <w:rsid w:val="00A0497F"/>
    <w:rsid w:val="00A07902"/>
    <w:rsid w:val="00A10026"/>
    <w:rsid w:val="00A105D3"/>
    <w:rsid w:val="00A10B82"/>
    <w:rsid w:val="00A13228"/>
    <w:rsid w:val="00A1406A"/>
    <w:rsid w:val="00A22512"/>
    <w:rsid w:val="00A233EB"/>
    <w:rsid w:val="00A24011"/>
    <w:rsid w:val="00A25BD3"/>
    <w:rsid w:val="00A25F53"/>
    <w:rsid w:val="00A268F2"/>
    <w:rsid w:val="00A273CD"/>
    <w:rsid w:val="00A27A58"/>
    <w:rsid w:val="00A30939"/>
    <w:rsid w:val="00A317E0"/>
    <w:rsid w:val="00A33120"/>
    <w:rsid w:val="00A36D05"/>
    <w:rsid w:val="00A406B6"/>
    <w:rsid w:val="00A40719"/>
    <w:rsid w:val="00A41DC4"/>
    <w:rsid w:val="00A4310B"/>
    <w:rsid w:val="00A437B6"/>
    <w:rsid w:val="00A4419B"/>
    <w:rsid w:val="00A441D8"/>
    <w:rsid w:val="00A47100"/>
    <w:rsid w:val="00A478C6"/>
    <w:rsid w:val="00A5045C"/>
    <w:rsid w:val="00A515EC"/>
    <w:rsid w:val="00A52083"/>
    <w:rsid w:val="00A525B4"/>
    <w:rsid w:val="00A5513B"/>
    <w:rsid w:val="00A56D34"/>
    <w:rsid w:val="00A617C7"/>
    <w:rsid w:val="00A62D68"/>
    <w:rsid w:val="00A64091"/>
    <w:rsid w:val="00A65B69"/>
    <w:rsid w:val="00A66633"/>
    <w:rsid w:val="00A70800"/>
    <w:rsid w:val="00A70CD3"/>
    <w:rsid w:val="00A737CD"/>
    <w:rsid w:val="00A73AE4"/>
    <w:rsid w:val="00A76477"/>
    <w:rsid w:val="00A77EA8"/>
    <w:rsid w:val="00A80A75"/>
    <w:rsid w:val="00A8232E"/>
    <w:rsid w:val="00A84026"/>
    <w:rsid w:val="00A84770"/>
    <w:rsid w:val="00A84DEF"/>
    <w:rsid w:val="00A8522C"/>
    <w:rsid w:val="00A85BF2"/>
    <w:rsid w:val="00A86555"/>
    <w:rsid w:val="00A870EE"/>
    <w:rsid w:val="00A87AEF"/>
    <w:rsid w:val="00A87CD7"/>
    <w:rsid w:val="00A902FD"/>
    <w:rsid w:val="00A90C15"/>
    <w:rsid w:val="00A90E33"/>
    <w:rsid w:val="00A919E1"/>
    <w:rsid w:val="00A91A75"/>
    <w:rsid w:val="00A921D6"/>
    <w:rsid w:val="00A94450"/>
    <w:rsid w:val="00A94EE3"/>
    <w:rsid w:val="00A9733E"/>
    <w:rsid w:val="00AA00C1"/>
    <w:rsid w:val="00AA06B3"/>
    <w:rsid w:val="00AA1B86"/>
    <w:rsid w:val="00AA1D46"/>
    <w:rsid w:val="00AA1DCC"/>
    <w:rsid w:val="00AA23F2"/>
    <w:rsid w:val="00AA3F29"/>
    <w:rsid w:val="00AA5B81"/>
    <w:rsid w:val="00AA6A8D"/>
    <w:rsid w:val="00AA788C"/>
    <w:rsid w:val="00AB178E"/>
    <w:rsid w:val="00AB389F"/>
    <w:rsid w:val="00AB6E3D"/>
    <w:rsid w:val="00AB7A62"/>
    <w:rsid w:val="00AC3A9B"/>
    <w:rsid w:val="00AC48B9"/>
    <w:rsid w:val="00AC6648"/>
    <w:rsid w:val="00AC683E"/>
    <w:rsid w:val="00AC6ACB"/>
    <w:rsid w:val="00AC76DE"/>
    <w:rsid w:val="00AC7FFA"/>
    <w:rsid w:val="00AD2515"/>
    <w:rsid w:val="00AD352B"/>
    <w:rsid w:val="00AD4A06"/>
    <w:rsid w:val="00AD5119"/>
    <w:rsid w:val="00AD54D7"/>
    <w:rsid w:val="00AD7C5A"/>
    <w:rsid w:val="00AE3BBE"/>
    <w:rsid w:val="00AE58E1"/>
    <w:rsid w:val="00AE760D"/>
    <w:rsid w:val="00AF0459"/>
    <w:rsid w:val="00AF0CC0"/>
    <w:rsid w:val="00AF1028"/>
    <w:rsid w:val="00AF2EDB"/>
    <w:rsid w:val="00AF46AF"/>
    <w:rsid w:val="00AF666B"/>
    <w:rsid w:val="00AF7806"/>
    <w:rsid w:val="00B00B6E"/>
    <w:rsid w:val="00B00CB2"/>
    <w:rsid w:val="00B00E64"/>
    <w:rsid w:val="00B01097"/>
    <w:rsid w:val="00B013D2"/>
    <w:rsid w:val="00B057A3"/>
    <w:rsid w:val="00B05F2B"/>
    <w:rsid w:val="00B0678B"/>
    <w:rsid w:val="00B06B61"/>
    <w:rsid w:val="00B11BD0"/>
    <w:rsid w:val="00B120B9"/>
    <w:rsid w:val="00B122C2"/>
    <w:rsid w:val="00B12A5F"/>
    <w:rsid w:val="00B12B3A"/>
    <w:rsid w:val="00B1414C"/>
    <w:rsid w:val="00B15741"/>
    <w:rsid w:val="00B17162"/>
    <w:rsid w:val="00B208BE"/>
    <w:rsid w:val="00B230AC"/>
    <w:rsid w:val="00B23E1D"/>
    <w:rsid w:val="00B2428E"/>
    <w:rsid w:val="00B257F8"/>
    <w:rsid w:val="00B26126"/>
    <w:rsid w:val="00B26AC4"/>
    <w:rsid w:val="00B30835"/>
    <w:rsid w:val="00B3085E"/>
    <w:rsid w:val="00B3218B"/>
    <w:rsid w:val="00B345F4"/>
    <w:rsid w:val="00B377D2"/>
    <w:rsid w:val="00B378E1"/>
    <w:rsid w:val="00B462B0"/>
    <w:rsid w:val="00B5005C"/>
    <w:rsid w:val="00B507A8"/>
    <w:rsid w:val="00B514E3"/>
    <w:rsid w:val="00B51502"/>
    <w:rsid w:val="00B51CC3"/>
    <w:rsid w:val="00B53466"/>
    <w:rsid w:val="00B550E5"/>
    <w:rsid w:val="00B57A86"/>
    <w:rsid w:val="00B57E1F"/>
    <w:rsid w:val="00B6049F"/>
    <w:rsid w:val="00B60CAE"/>
    <w:rsid w:val="00B6279C"/>
    <w:rsid w:val="00B63495"/>
    <w:rsid w:val="00B640DB"/>
    <w:rsid w:val="00B64F8B"/>
    <w:rsid w:val="00B65393"/>
    <w:rsid w:val="00B6555E"/>
    <w:rsid w:val="00B6560A"/>
    <w:rsid w:val="00B6572D"/>
    <w:rsid w:val="00B657B2"/>
    <w:rsid w:val="00B66964"/>
    <w:rsid w:val="00B701CC"/>
    <w:rsid w:val="00B70B2A"/>
    <w:rsid w:val="00B70C00"/>
    <w:rsid w:val="00B713F9"/>
    <w:rsid w:val="00B725B9"/>
    <w:rsid w:val="00B7322D"/>
    <w:rsid w:val="00B7394E"/>
    <w:rsid w:val="00B74125"/>
    <w:rsid w:val="00B74717"/>
    <w:rsid w:val="00B75320"/>
    <w:rsid w:val="00B762B2"/>
    <w:rsid w:val="00B76A24"/>
    <w:rsid w:val="00B76C5D"/>
    <w:rsid w:val="00B807F6"/>
    <w:rsid w:val="00B8145F"/>
    <w:rsid w:val="00B8243F"/>
    <w:rsid w:val="00B841A9"/>
    <w:rsid w:val="00B84727"/>
    <w:rsid w:val="00B85F40"/>
    <w:rsid w:val="00B8655A"/>
    <w:rsid w:val="00B874F3"/>
    <w:rsid w:val="00B91090"/>
    <w:rsid w:val="00B9156C"/>
    <w:rsid w:val="00B930C4"/>
    <w:rsid w:val="00B930F2"/>
    <w:rsid w:val="00B93190"/>
    <w:rsid w:val="00B94070"/>
    <w:rsid w:val="00B94749"/>
    <w:rsid w:val="00B9537A"/>
    <w:rsid w:val="00B96AA3"/>
    <w:rsid w:val="00BA2179"/>
    <w:rsid w:val="00BA2B33"/>
    <w:rsid w:val="00BA6526"/>
    <w:rsid w:val="00BA6A61"/>
    <w:rsid w:val="00BB0E10"/>
    <w:rsid w:val="00BB3BBE"/>
    <w:rsid w:val="00BB6706"/>
    <w:rsid w:val="00BC1D2E"/>
    <w:rsid w:val="00BC23F7"/>
    <w:rsid w:val="00BC56E3"/>
    <w:rsid w:val="00BD0B50"/>
    <w:rsid w:val="00BD1034"/>
    <w:rsid w:val="00BE059D"/>
    <w:rsid w:val="00BE3049"/>
    <w:rsid w:val="00BE31E8"/>
    <w:rsid w:val="00BE39E1"/>
    <w:rsid w:val="00BE52BC"/>
    <w:rsid w:val="00BF1C0E"/>
    <w:rsid w:val="00BF1CE5"/>
    <w:rsid w:val="00BF1DA6"/>
    <w:rsid w:val="00BF303E"/>
    <w:rsid w:val="00BF3EE3"/>
    <w:rsid w:val="00BF5CAD"/>
    <w:rsid w:val="00BF61A5"/>
    <w:rsid w:val="00BF6D52"/>
    <w:rsid w:val="00BF7589"/>
    <w:rsid w:val="00BF7B8F"/>
    <w:rsid w:val="00C01DB3"/>
    <w:rsid w:val="00C024D5"/>
    <w:rsid w:val="00C02B65"/>
    <w:rsid w:val="00C03236"/>
    <w:rsid w:val="00C04900"/>
    <w:rsid w:val="00C056B1"/>
    <w:rsid w:val="00C07554"/>
    <w:rsid w:val="00C079CB"/>
    <w:rsid w:val="00C11BFA"/>
    <w:rsid w:val="00C126A1"/>
    <w:rsid w:val="00C13C8B"/>
    <w:rsid w:val="00C151E8"/>
    <w:rsid w:val="00C169CD"/>
    <w:rsid w:val="00C2125F"/>
    <w:rsid w:val="00C232B8"/>
    <w:rsid w:val="00C24363"/>
    <w:rsid w:val="00C25436"/>
    <w:rsid w:val="00C30FD2"/>
    <w:rsid w:val="00C3180D"/>
    <w:rsid w:val="00C325B9"/>
    <w:rsid w:val="00C32A46"/>
    <w:rsid w:val="00C33B54"/>
    <w:rsid w:val="00C34F23"/>
    <w:rsid w:val="00C35B9A"/>
    <w:rsid w:val="00C43018"/>
    <w:rsid w:val="00C43F36"/>
    <w:rsid w:val="00C4420B"/>
    <w:rsid w:val="00C4483D"/>
    <w:rsid w:val="00C45E81"/>
    <w:rsid w:val="00C4686F"/>
    <w:rsid w:val="00C47192"/>
    <w:rsid w:val="00C47BA9"/>
    <w:rsid w:val="00C50456"/>
    <w:rsid w:val="00C50655"/>
    <w:rsid w:val="00C51368"/>
    <w:rsid w:val="00C5449B"/>
    <w:rsid w:val="00C553BF"/>
    <w:rsid w:val="00C55F9F"/>
    <w:rsid w:val="00C5687A"/>
    <w:rsid w:val="00C569CB"/>
    <w:rsid w:val="00C57D04"/>
    <w:rsid w:val="00C61360"/>
    <w:rsid w:val="00C61A87"/>
    <w:rsid w:val="00C61BE9"/>
    <w:rsid w:val="00C62978"/>
    <w:rsid w:val="00C63530"/>
    <w:rsid w:val="00C63584"/>
    <w:rsid w:val="00C66335"/>
    <w:rsid w:val="00C70DA5"/>
    <w:rsid w:val="00C71655"/>
    <w:rsid w:val="00C716C4"/>
    <w:rsid w:val="00C71CCE"/>
    <w:rsid w:val="00C735C3"/>
    <w:rsid w:val="00C73B18"/>
    <w:rsid w:val="00C74451"/>
    <w:rsid w:val="00C756DC"/>
    <w:rsid w:val="00C76B3B"/>
    <w:rsid w:val="00C76B96"/>
    <w:rsid w:val="00C7780F"/>
    <w:rsid w:val="00C810F6"/>
    <w:rsid w:val="00C855B0"/>
    <w:rsid w:val="00C855E8"/>
    <w:rsid w:val="00C8745B"/>
    <w:rsid w:val="00C87F34"/>
    <w:rsid w:val="00C96251"/>
    <w:rsid w:val="00CA1FB8"/>
    <w:rsid w:val="00CA3D1C"/>
    <w:rsid w:val="00CA55C9"/>
    <w:rsid w:val="00CA6AE2"/>
    <w:rsid w:val="00CA7CDA"/>
    <w:rsid w:val="00CA7D51"/>
    <w:rsid w:val="00CB3441"/>
    <w:rsid w:val="00CB4335"/>
    <w:rsid w:val="00CB483E"/>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C7326"/>
    <w:rsid w:val="00CD0E38"/>
    <w:rsid w:val="00CD14EE"/>
    <w:rsid w:val="00CD3951"/>
    <w:rsid w:val="00CD567B"/>
    <w:rsid w:val="00CD6407"/>
    <w:rsid w:val="00CD7625"/>
    <w:rsid w:val="00CE0741"/>
    <w:rsid w:val="00CE087B"/>
    <w:rsid w:val="00CE33BB"/>
    <w:rsid w:val="00CE433D"/>
    <w:rsid w:val="00CE5C34"/>
    <w:rsid w:val="00CE6B61"/>
    <w:rsid w:val="00CF1567"/>
    <w:rsid w:val="00CF1BA6"/>
    <w:rsid w:val="00CF1D49"/>
    <w:rsid w:val="00CF2220"/>
    <w:rsid w:val="00CF48EF"/>
    <w:rsid w:val="00CF5103"/>
    <w:rsid w:val="00CF5831"/>
    <w:rsid w:val="00CF6B6F"/>
    <w:rsid w:val="00CF7953"/>
    <w:rsid w:val="00D00216"/>
    <w:rsid w:val="00D00D53"/>
    <w:rsid w:val="00D01D0C"/>
    <w:rsid w:val="00D0390E"/>
    <w:rsid w:val="00D03BF9"/>
    <w:rsid w:val="00D040E4"/>
    <w:rsid w:val="00D04116"/>
    <w:rsid w:val="00D052E5"/>
    <w:rsid w:val="00D05AD2"/>
    <w:rsid w:val="00D05E9B"/>
    <w:rsid w:val="00D076A0"/>
    <w:rsid w:val="00D12E4A"/>
    <w:rsid w:val="00D1329D"/>
    <w:rsid w:val="00D14AF3"/>
    <w:rsid w:val="00D14FF4"/>
    <w:rsid w:val="00D153A1"/>
    <w:rsid w:val="00D15D01"/>
    <w:rsid w:val="00D201F4"/>
    <w:rsid w:val="00D20CA4"/>
    <w:rsid w:val="00D20D5E"/>
    <w:rsid w:val="00D214F5"/>
    <w:rsid w:val="00D21C3E"/>
    <w:rsid w:val="00D220CB"/>
    <w:rsid w:val="00D22C99"/>
    <w:rsid w:val="00D24D4A"/>
    <w:rsid w:val="00D266E1"/>
    <w:rsid w:val="00D27403"/>
    <w:rsid w:val="00D27438"/>
    <w:rsid w:val="00D3053F"/>
    <w:rsid w:val="00D31CFA"/>
    <w:rsid w:val="00D32E0A"/>
    <w:rsid w:val="00D330AB"/>
    <w:rsid w:val="00D3314C"/>
    <w:rsid w:val="00D34323"/>
    <w:rsid w:val="00D3567F"/>
    <w:rsid w:val="00D3588A"/>
    <w:rsid w:val="00D360EA"/>
    <w:rsid w:val="00D37186"/>
    <w:rsid w:val="00D40F56"/>
    <w:rsid w:val="00D41030"/>
    <w:rsid w:val="00D41102"/>
    <w:rsid w:val="00D42938"/>
    <w:rsid w:val="00D436A2"/>
    <w:rsid w:val="00D4394D"/>
    <w:rsid w:val="00D43B01"/>
    <w:rsid w:val="00D43FF0"/>
    <w:rsid w:val="00D466C1"/>
    <w:rsid w:val="00D5008E"/>
    <w:rsid w:val="00D50BF6"/>
    <w:rsid w:val="00D51298"/>
    <w:rsid w:val="00D51F1D"/>
    <w:rsid w:val="00D5367C"/>
    <w:rsid w:val="00D54704"/>
    <w:rsid w:val="00D547F5"/>
    <w:rsid w:val="00D54D31"/>
    <w:rsid w:val="00D55835"/>
    <w:rsid w:val="00D56867"/>
    <w:rsid w:val="00D579D9"/>
    <w:rsid w:val="00D60C57"/>
    <w:rsid w:val="00D61184"/>
    <w:rsid w:val="00D628BA"/>
    <w:rsid w:val="00D62D7A"/>
    <w:rsid w:val="00D646EF"/>
    <w:rsid w:val="00D65047"/>
    <w:rsid w:val="00D65943"/>
    <w:rsid w:val="00D678EB"/>
    <w:rsid w:val="00D67A9A"/>
    <w:rsid w:val="00D67B99"/>
    <w:rsid w:val="00D72C5E"/>
    <w:rsid w:val="00D72F9D"/>
    <w:rsid w:val="00D73195"/>
    <w:rsid w:val="00D73D18"/>
    <w:rsid w:val="00D74935"/>
    <w:rsid w:val="00D767F4"/>
    <w:rsid w:val="00D80B74"/>
    <w:rsid w:val="00D879F9"/>
    <w:rsid w:val="00D87E19"/>
    <w:rsid w:val="00D90250"/>
    <w:rsid w:val="00D9048A"/>
    <w:rsid w:val="00D90E1E"/>
    <w:rsid w:val="00D9445F"/>
    <w:rsid w:val="00D9458E"/>
    <w:rsid w:val="00D94904"/>
    <w:rsid w:val="00D96082"/>
    <w:rsid w:val="00D963EA"/>
    <w:rsid w:val="00D96509"/>
    <w:rsid w:val="00D97EAA"/>
    <w:rsid w:val="00DA019A"/>
    <w:rsid w:val="00DA1D15"/>
    <w:rsid w:val="00DA2D4F"/>
    <w:rsid w:val="00DA3702"/>
    <w:rsid w:val="00DA3803"/>
    <w:rsid w:val="00DA3916"/>
    <w:rsid w:val="00DA3E33"/>
    <w:rsid w:val="00DA40AA"/>
    <w:rsid w:val="00DA41CA"/>
    <w:rsid w:val="00DA4881"/>
    <w:rsid w:val="00DA53A0"/>
    <w:rsid w:val="00DA5FBF"/>
    <w:rsid w:val="00DA6468"/>
    <w:rsid w:val="00DA6765"/>
    <w:rsid w:val="00DA6AD8"/>
    <w:rsid w:val="00DA6EE3"/>
    <w:rsid w:val="00DA79A0"/>
    <w:rsid w:val="00DB36A1"/>
    <w:rsid w:val="00DB6A8E"/>
    <w:rsid w:val="00DC09FD"/>
    <w:rsid w:val="00DC0DB5"/>
    <w:rsid w:val="00DC18B9"/>
    <w:rsid w:val="00DC45FE"/>
    <w:rsid w:val="00DC4F1A"/>
    <w:rsid w:val="00DC516A"/>
    <w:rsid w:val="00DC7978"/>
    <w:rsid w:val="00DD0A4B"/>
    <w:rsid w:val="00DD0C64"/>
    <w:rsid w:val="00DD1AFB"/>
    <w:rsid w:val="00DD27F1"/>
    <w:rsid w:val="00DD3BE2"/>
    <w:rsid w:val="00DD4528"/>
    <w:rsid w:val="00DD53A7"/>
    <w:rsid w:val="00DD56A4"/>
    <w:rsid w:val="00DD5DCA"/>
    <w:rsid w:val="00DD6105"/>
    <w:rsid w:val="00DD72CD"/>
    <w:rsid w:val="00DE05E1"/>
    <w:rsid w:val="00DE07E7"/>
    <w:rsid w:val="00DE3476"/>
    <w:rsid w:val="00DE4379"/>
    <w:rsid w:val="00DE50F1"/>
    <w:rsid w:val="00DE633F"/>
    <w:rsid w:val="00DE70D9"/>
    <w:rsid w:val="00DE78CA"/>
    <w:rsid w:val="00DF0229"/>
    <w:rsid w:val="00DF304F"/>
    <w:rsid w:val="00DF38F8"/>
    <w:rsid w:val="00DF45B1"/>
    <w:rsid w:val="00DF6319"/>
    <w:rsid w:val="00DF6BD8"/>
    <w:rsid w:val="00DF783A"/>
    <w:rsid w:val="00E02500"/>
    <w:rsid w:val="00E02857"/>
    <w:rsid w:val="00E05381"/>
    <w:rsid w:val="00E101F3"/>
    <w:rsid w:val="00E106B1"/>
    <w:rsid w:val="00E10B03"/>
    <w:rsid w:val="00E10CD8"/>
    <w:rsid w:val="00E11B05"/>
    <w:rsid w:val="00E11F26"/>
    <w:rsid w:val="00E11FAF"/>
    <w:rsid w:val="00E12766"/>
    <w:rsid w:val="00E141FF"/>
    <w:rsid w:val="00E14466"/>
    <w:rsid w:val="00E174CD"/>
    <w:rsid w:val="00E176A7"/>
    <w:rsid w:val="00E20192"/>
    <w:rsid w:val="00E240DA"/>
    <w:rsid w:val="00E2460D"/>
    <w:rsid w:val="00E24BAE"/>
    <w:rsid w:val="00E26015"/>
    <w:rsid w:val="00E27A70"/>
    <w:rsid w:val="00E30609"/>
    <w:rsid w:val="00E31941"/>
    <w:rsid w:val="00E33B1F"/>
    <w:rsid w:val="00E343B0"/>
    <w:rsid w:val="00E35017"/>
    <w:rsid w:val="00E355E6"/>
    <w:rsid w:val="00E365A5"/>
    <w:rsid w:val="00E40F3D"/>
    <w:rsid w:val="00E41248"/>
    <w:rsid w:val="00E41440"/>
    <w:rsid w:val="00E41F54"/>
    <w:rsid w:val="00E420B8"/>
    <w:rsid w:val="00E43134"/>
    <w:rsid w:val="00E441CE"/>
    <w:rsid w:val="00E46BBE"/>
    <w:rsid w:val="00E47286"/>
    <w:rsid w:val="00E47675"/>
    <w:rsid w:val="00E478C3"/>
    <w:rsid w:val="00E50115"/>
    <w:rsid w:val="00E51132"/>
    <w:rsid w:val="00E5173A"/>
    <w:rsid w:val="00E52137"/>
    <w:rsid w:val="00E521E3"/>
    <w:rsid w:val="00E52A7D"/>
    <w:rsid w:val="00E54E26"/>
    <w:rsid w:val="00E552BF"/>
    <w:rsid w:val="00E55E4E"/>
    <w:rsid w:val="00E57235"/>
    <w:rsid w:val="00E57A93"/>
    <w:rsid w:val="00E62684"/>
    <w:rsid w:val="00E63ED8"/>
    <w:rsid w:val="00E63FF8"/>
    <w:rsid w:val="00E669D9"/>
    <w:rsid w:val="00E66BF7"/>
    <w:rsid w:val="00E674AD"/>
    <w:rsid w:val="00E70940"/>
    <w:rsid w:val="00E7129C"/>
    <w:rsid w:val="00E717B9"/>
    <w:rsid w:val="00E748C9"/>
    <w:rsid w:val="00E74B49"/>
    <w:rsid w:val="00E76519"/>
    <w:rsid w:val="00E80778"/>
    <w:rsid w:val="00E80F55"/>
    <w:rsid w:val="00E82762"/>
    <w:rsid w:val="00E85501"/>
    <w:rsid w:val="00E86E07"/>
    <w:rsid w:val="00E9081D"/>
    <w:rsid w:val="00E91FD1"/>
    <w:rsid w:val="00E93FC3"/>
    <w:rsid w:val="00E94FCE"/>
    <w:rsid w:val="00E954C7"/>
    <w:rsid w:val="00E96579"/>
    <w:rsid w:val="00E96FFC"/>
    <w:rsid w:val="00E973A1"/>
    <w:rsid w:val="00EA09B6"/>
    <w:rsid w:val="00EA21B1"/>
    <w:rsid w:val="00EA2782"/>
    <w:rsid w:val="00EA303A"/>
    <w:rsid w:val="00EA3F46"/>
    <w:rsid w:val="00EA440C"/>
    <w:rsid w:val="00EA48DF"/>
    <w:rsid w:val="00EA4E6E"/>
    <w:rsid w:val="00EA589C"/>
    <w:rsid w:val="00EA663F"/>
    <w:rsid w:val="00EB099E"/>
    <w:rsid w:val="00EB359B"/>
    <w:rsid w:val="00EB4E35"/>
    <w:rsid w:val="00EB59F8"/>
    <w:rsid w:val="00EB7500"/>
    <w:rsid w:val="00EB7A6E"/>
    <w:rsid w:val="00EC00EA"/>
    <w:rsid w:val="00EC055C"/>
    <w:rsid w:val="00EC07A2"/>
    <w:rsid w:val="00EC1AE2"/>
    <w:rsid w:val="00EC20D4"/>
    <w:rsid w:val="00EC3E30"/>
    <w:rsid w:val="00EC42CA"/>
    <w:rsid w:val="00EC5578"/>
    <w:rsid w:val="00EC5BF5"/>
    <w:rsid w:val="00ED00EB"/>
    <w:rsid w:val="00ED1535"/>
    <w:rsid w:val="00ED161A"/>
    <w:rsid w:val="00ED215A"/>
    <w:rsid w:val="00ED28A0"/>
    <w:rsid w:val="00ED6B8A"/>
    <w:rsid w:val="00ED6E64"/>
    <w:rsid w:val="00ED759A"/>
    <w:rsid w:val="00ED76E4"/>
    <w:rsid w:val="00ED7EC6"/>
    <w:rsid w:val="00EE2CAD"/>
    <w:rsid w:val="00EE2DDB"/>
    <w:rsid w:val="00EE3223"/>
    <w:rsid w:val="00EE32AB"/>
    <w:rsid w:val="00EE361C"/>
    <w:rsid w:val="00EE5F01"/>
    <w:rsid w:val="00EE769B"/>
    <w:rsid w:val="00EF005C"/>
    <w:rsid w:val="00EF0BA8"/>
    <w:rsid w:val="00EF23BF"/>
    <w:rsid w:val="00EF388D"/>
    <w:rsid w:val="00EF4031"/>
    <w:rsid w:val="00EF4FA9"/>
    <w:rsid w:val="00EF56D2"/>
    <w:rsid w:val="00EF666F"/>
    <w:rsid w:val="00EF699A"/>
    <w:rsid w:val="00EF7526"/>
    <w:rsid w:val="00F00F4C"/>
    <w:rsid w:val="00F01A30"/>
    <w:rsid w:val="00F01C7B"/>
    <w:rsid w:val="00F0312E"/>
    <w:rsid w:val="00F04D61"/>
    <w:rsid w:val="00F04F88"/>
    <w:rsid w:val="00F0657B"/>
    <w:rsid w:val="00F0755D"/>
    <w:rsid w:val="00F07C7F"/>
    <w:rsid w:val="00F07F48"/>
    <w:rsid w:val="00F1136A"/>
    <w:rsid w:val="00F123C7"/>
    <w:rsid w:val="00F13835"/>
    <w:rsid w:val="00F13903"/>
    <w:rsid w:val="00F14E8B"/>
    <w:rsid w:val="00F152EA"/>
    <w:rsid w:val="00F16460"/>
    <w:rsid w:val="00F16B98"/>
    <w:rsid w:val="00F21671"/>
    <w:rsid w:val="00F225F5"/>
    <w:rsid w:val="00F24306"/>
    <w:rsid w:val="00F254C4"/>
    <w:rsid w:val="00F27591"/>
    <w:rsid w:val="00F27A37"/>
    <w:rsid w:val="00F31116"/>
    <w:rsid w:val="00F325B7"/>
    <w:rsid w:val="00F32AB0"/>
    <w:rsid w:val="00F32B8F"/>
    <w:rsid w:val="00F35CB2"/>
    <w:rsid w:val="00F36309"/>
    <w:rsid w:val="00F36E5E"/>
    <w:rsid w:val="00F37574"/>
    <w:rsid w:val="00F40855"/>
    <w:rsid w:val="00F40B47"/>
    <w:rsid w:val="00F414AC"/>
    <w:rsid w:val="00F418FA"/>
    <w:rsid w:val="00F41D9F"/>
    <w:rsid w:val="00F42888"/>
    <w:rsid w:val="00F46275"/>
    <w:rsid w:val="00F46DF6"/>
    <w:rsid w:val="00F4785D"/>
    <w:rsid w:val="00F47904"/>
    <w:rsid w:val="00F502CB"/>
    <w:rsid w:val="00F5110F"/>
    <w:rsid w:val="00F52598"/>
    <w:rsid w:val="00F535A2"/>
    <w:rsid w:val="00F53671"/>
    <w:rsid w:val="00F559B1"/>
    <w:rsid w:val="00F562CC"/>
    <w:rsid w:val="00F5696E"/>
    <w:rsid w:val="00F579C1"/>
    <w:rsid w:val="00F57AF4"/>
    <w:rsid w:val="00F57BAE"/>
    <w:rsid w:val="00F61F55"/>
    <w:rsid w:val="00F627FF"/>
    <w:rsid w:val="00F718F5"/>
    <w:rsid w:val="00F72A44"/>
    <w:rsid w:val="00F72EA2"/>
    <w:rsid w:val="00F767CB"/>
    <w:rsid w:val="00F770F9"/>
    <w:rsid w:val="00F80437"/>
    <w:rsid w:val="00F8118C"/>
    <w:rsid w:val="00F81432"/>
    <w:rsid w:val="00F81A31"/>
    <w:rsid w:val="00F81B60"/>
    <w:rsid w:val="00F82480"/>
    <w:rsid w:val="00F8348C"/>
    <w:rsid w:val="00F8366C"/>
    <w:rsid w:val="00F85B28"/>
    <w:rsid w:val="00F86EA6"/>
    <w:rsid w:val="00F87422"/>
    <w:rsid w:val="00F90868"/>
    <w:rsid w:val="00F919AC"/>
    <w:rsid w:val="00F91DDF"/>
    <w:rsid w:val="00F9237F"/>
    <w:rsid w:val="00F92A56"/>
    <w:rsid w:val="00F92CCB"/>
    <w:rsid w:val="00F974D6"/>
    <w:rsid w:val="00F978F4"/>
    <w:rsid w:val="00FA073A"/>
    <w:rsid w:val="00FA1CEB"/>
    <w:rsid w:val="00FA205D"/>
    <w:rsid w:val="00FA20B1"/>
    <w:rsid w:val="00FA20E0"/>
    <w:rsid w:val="00FA387A"/>
    <w:rsid w:val="00FA44A3"/>
    <w:rsid w:val="00FA4530"/>
    <w:rsid w:val="00FA4D06"/>
    <w:rsid w:val="00FA6603"/>
    <w:rsid w:val="00FA6BC6"/>
    <w:rsid w:val="00FA7954"/>
    <w:rsid w:val="00FB0928"/>
    <w:rsid w:val="00FB0F8C"/>
    <w:rsid w:val="00FB3241"/>
    <w:rsid w:val="00FB360B"/>
    <w:rsid w:val="00FB389B"/>
    <w:rsid w:val="00FB5322"/>
    <w:rsid w:val="00FB53B6"/>
    <w:rsid w:val="00FB5917"/>
    <w:rsid w:val="00FB5E10"/>
    <w:rsid w:val="00FB72D8"/>
    <w:rsid w:val="00FC0FC7"/>
    <w:rsid w:val="00FC3827"/>
    <w:rsid w:val="00FC761C"/>
    <w:rsid w:val="00FD0980"/>
    <w:rsid w:val="00FD13AE"/>
    <w:rsid w:val="00FD2447"/>
    <w:rsid w:val="00FD3125"/>
    <w:rsid w:val="00FD3D2B"/>
    <w:rsid w:val="00FD40A6"/>
    <w:rsid w:val="00FD5007"/>
    <w:rsid w:val="00FD6D5A"/>
    <w:rsid w:val="00FE09BA"/>
    <w:rsid w:val="00FE0A3A"/>
    <w:rsid w:val="00FE235D"/>
    <w:rsid w:val="00FE351A"/>
    <w:rsid w:val="00FE6303"/>
    <w:rsid w:val="00FE71D4"/>
    <w:rsid w:val="00FE7430"/>
    <w:rsid w:val="00FF003B"/>
    <w:rsid w:val="00FF171F"/>
    <w:rsid w:val="00FF1AC9"/>
    <w:rsid w:val="00FF2360"/>
    <w:rsid w:val="00FF252B"/>
    <w:rsid w:val="00FF26F4"/>
    <w:rsid w:val="00FF284A"/>
    <w:rsid w:val="00FF5B67"/>
    <w:rsid w:val="00FF5EAD"/>
    <w:rsid w:val="00FF7B65"/>
    <w:rsid w:val="355D284F"/>
    <w:rsid w:val="3A9D031B"/>
    <w:rsid w:val="415C40AE"/>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25D553"/>
  <w15:docId w15:val="{E1DB75B2-CF3C-4B15-B9A4-270E21B89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autoRedefine/>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autoRedefine/>
    <w:semiHidden/>
    <w:unhideWhenUsed/>
    <w:qFormat/>
    <w:pPr>
      <w:ind w:leftChars="400" w:left="840"/>
    </w:pPr>
    <w:rPr>
      <w:rFonts w:ascii="Times New Roman" w:eastAsia="宋体" w:hAnsi="Times New Roman" w:cs="Times New Roman"/>
      <w:szCs w:val="20"/>
    </w:rPr>
  </w:style>
  <w:style w:type="paragraph" w:styleId="ac">
    <w:name w:val="Plain Text"/>
    <w:basedOn w:val="a"/>
    <w:link w:val="ad"/>
    <w:autoRedefine/>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autoRedefine/>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paragraph" w:styleId="af7">
    <w:name w:val="Title"/>
    <w:basedOn w:val="a"/>
    <w:next w:val="a"/>
    <w:link w:val="af8"/>
    <w:autoRedefine/>
    <w:qFormat/>
    <w:pPr>
      <w:spacing w:before="240" w:after="60"/>
      <w:jc w:val="center"/>
      <w:outlineLvl w:val="0"/>
    </w:pPr>
    <w:rPr>
      <w:rFonts w:ascii="Cambria" w:eastAsia="宋体" w:hAnsi="Cambria" w:cs="Times New Roman"/>
      <w:b/>
      <w:sz w:val="32"/>
    </w:rPr>
  </w:style>
  <w:style w:type="paragraph" w:styleId="af9">
    <w:name w:val="annotation subject"/>
    <w:basedOn w:val="a6"/>
    <w:next w:val="a6"/>
    <w:link w:val="afa"/>
    <w:autoRedefine/>
    <w:semiHidden/>
    <w:unhideWhenUsed/>
    <w:qFormat/>
    <w:rPr>
      <w:b/>
    </w:rPr>
  </w:style>
  <w:style w:type="table" w:styleId="afb">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c">
    <w:name w:val="FollowedHyperlink"/>
    <w:basedOn w:val="a0"/>
    <w:uiPriority w:val="99"/>
    <w:semiHidden/>
    <w:unhideWhenUsed/>
    <w:qFormat/>
    <w:rPr>
      <w:color w:val="800080" w:themeColor="followedHyperlink"/>
      <w:u w:val="single"/>
    </w:rPr>
  </w:style>
  <w:style w:type="character" w:styleId="afd">
    <w:name w:val="Hyperlink"/>
    <w:aliases w:val="超级链接"/>
    <w:uiPriority w:val="99"/>
    <w:unhideWhenUsed/>
    <w:qFormat/>
    <w:rPr>
      <w:color w:val="0000FF"/>
      <w:u w:val="single"/>
    </w:rPr>
  </w:style>
  <w:style w:type="character" w:styleId="afe">
    <w:name w:val="annotation reference"/>
    <w:unhideWhenUsed/>
    <w:qFormat/>
    <w:rPr>
      <w:sz w:val="21"/>
    </w:rPr>
  </w:style>
  <w:style w:type="character" w:styleId="aff">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8">
    <w:name w:val="标题 字符"/>
    <w:basedOn w:val="a0"/>
    <w:link w:val="af7"/>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a">
    <w:name w:val="批注主题 字符"/>
    <w:basedOn w:val="Char"/>
    <w:link w:val="af9"/>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0">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autoRedefine/>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1">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autoRedefine/>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autoRedefine/>
    <w:uiPriority w:val="99"/>
    <w:semiHidden/>
    <w:qFormat/>
    <w:rPr>
      <w:rFonts w:ascii="Times New Roman" w:eastAsia="宋体" w:hAnsi="Times New Roman" w:cs="Times New Roman" w:hint="default"/>
      <w:szCs w:val="20"/>
    </w:rPr>
  </w:style>
  <w:style w:type="character" w:customStyle="1" w:styleId="2Char1">
    <w:name w:val="正文文本缩进 2 Char1"/>
    <w:basedOn w:val="a0"/>
    <w:autoRedefine/>
    <w:uiPriority w:val="99"/>
    <w:semiHidden/>
    <w:qFormat/>
    <w:rPr>
      <w:rFonts w:ascii="Times New Roman" w:eastAsia="宋体" w:hAnsi="Times New Roman" w:cs="Times New Roman" w:hint="default"/>
      <w:szCs w:val="20"/>
    </w:rPr>
  </w:style>
  <w:style w:type="character" w:customStyle="1" w:styleId="a7">
    <w:name w:val="批注文字 字符"/>
    <w:basedOn w:val="a0"/>
    <w:link w:val="a6"/>
    <w:autoRedefine/>
    <w:qFormat/>
    <w:locked/>
    <w:rPr>
      <w:rFonts w:ascii="Times New Roman" w:eastAsia="宋体" w:hAnsi="Times New Roman" w:cs="Times New Roman"/>
      <w:szCs w:val="20"/>
    </w:rPr>
  </w:style>
  <w:style w:type="character" w:customStyle="1" w:styleId="Char12">
    <w:name w:val="批注主题 Char1"/>
    <w:basedOn w:val="a7"/>
    <w:autoRedefine/>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autoRedefine/>
    <w:uiPriority w:val="99"/>
    <w:semiHidden/>
    <w:qFormat/>
    <w:rPr>
      <w:rFonts w:ascii="宋体" w:eastAsia="宋体" w:hAnsi="Courier New" w:cs="Courier New" w:hint="eastAsia"/>
      <w:szCs w:val="21"/>
    </w:rPr>
  </w:style>
  <w:style w:type="character" w:customStyle="1" w:styleId="Char20">
    <w:name w:val="标题 Char2"/>
    <w:basedOn w:val="a0"/>
    <w:autoRedefine/>
    <w:uiPriority w:val="10"/>
    <w:qFormat/>
    <w:rPr>
      <w:rFonts w:ascii="Cambria" w:eastAsia="宋体" w:hAnsi="Cambria" w:cs="Times New Roman" w:hint="default"/>
      <w:b/>
      <w:bCs/>
      <w:sz w:val="32"/>
      <w:szCs w:val="32"/>
    </w:rPr>
  </w:style>
  <w:style w:type="character" w:customStyle="1" w:styleId="Char14">
    <w:name w:val="文档结构图 Char1"/>
    <w:basedOn w:val="a0"/>
    <w:autoRedefine/>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2">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autoRedefine/>
    <w:uiPriority w:val="99"/>
    <w:semiHidden/>
    <w:qFormat/>
  </w:style>
  <w:style w:type="paragraph" w:customStyle="1" w:styleId="zhangjiep">
    <w:name w:val="zhangjie_p"/>
    <w:basedOn w:val="a"/>
    <w:autoRedefine/>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autoRedefine/>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autoRedefine/>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rPr>
      <w:rFonts w:asciiTheme="minorHAnsi" w:eastAsiaTheme="minorEastAsia" w:hAnsiTheme="minorHAnsi" w:cstheme="minorBidi"/>
      <w:kern w:val="2"/>
      <w:sz w:val="21"/>
      <w:szCs w:val="22"/>
    </w:rPr>
  </w:style>
  <w:style w:type="paragraph" w:styleId="aff3">
    <w:name w:val="Revision"/>
    <w:hidden/>
    <w:uiPriority w:val="99"/>
    <w:unhideWhenUsed/>
    <w:rsid w:val="00FF2360"/>
    <w:rPr>
      <w:rFonts w:asciiTheme="minorHAnsi" w:eastAsiaTheme="minorEastAsia" w:hAnsiTheme="minorHAnsi" w:cstheme="minorBidi"/>
      <w:kern w:val="2"/>
      <w:sz w:val="21"/>
      <w:szCs w:val="22"/>
    </w:rPr>
  </w:style>
  <w:style w:type="table" w:customStyle="1" w:styleId="12">
    <w:name w:val="网格型1"/>
    <w:basedOn w:val="a1"/>
    <w:qFormat/>
    <w:rsid w:val="00A3312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www.5ifund.com" TargetMode="External"/><Relationship Id="rId18" Type="http://schemas.openxmlformats.org/officeDocument/2006/relationships/hyperlink" Target="http://www.vstonewealth.com" TargetMode="External"/><Relationship Id="rId26" Type="http://schemas.openxmlformats.org/officeDocument/2006/relationships/footer" Target="footer6.xml"/><Relationship Id="rId3" Type="http://schemas.openxmlformats.org/officeDocument/2006/relationships/styles" Target="styles.xml"/><Relationship Id="rId21" Type="http://schemas.openxmlformats.org/officeDocument/2006/relationships/hyperlink" Target="http://www.puyifund.com" TargetMode="External"/><Relationship Id="rId7" Type="http://schemas.openxmlformats.org/officeDocument/2006/relationships/endnotes" Target="endnotes.xml"/><Relationship Id="rId12" Type="http://schemas.openxmlformats.org/officeDocument/2006/relationships/hyperlink" Target="http://www.jiyufund.com.cn/" TargetMode="External"/><Relationship Id="rId17" Type="http://schemas.openxmlformats.org/officeDocument/2006/relationships/hyperlink" Target="http://www.wacaijijin.com" TargetMode="External"/><Relationship Id="rId25" Type="http://schemas.openxmlformats.org/officeDocument/2006/relationships/footer" Target="footer5.xm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danjuanapp.com/" TargetMode="External"/><Relationship Id="rId20" Type="http://schemas.openxmlformats.org/officeDocument/2006/relationships/hyperlink" Target="http://www.snjijin" TargetMode="External"/><Relationship Id="rId29"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4.xm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jjmmw.com" TargetMode="External"/><Relationship Id="rId23" Type="http://schemas.openxmlformats.org/officeDocument/2006/relationships/hyperlink" Target="http://www.licaike.com" TargetMode="External"/><Relationship Id="rId28" Type="http://schemas.openxmlformats.org/officeDocument/2006/relationships/image" Target="media/image2.jpeg"/><Relationship Id="rId10" Type="http://schemas.openxmlformats.org/officeDocument/2006/relationships/footer" Target="footer2.xml"/><Relationship Id="rId19" Type="http://schemas.openxmlformats.org/officeDocument/2006/relationships/hyperlink" Target="http://www.taixincf.com" TargetMode="External"/><Relationship Id="rId31"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zlfund.cn" TargetMode="External"/><Relationship Id="rId22" Type="http://schemas.openxmlformats.org/officeDocument/2006/relationships/hyperlink" Target="http://www.txfund.com" TargetMode="External"/><Relationship Id="rId27" Type="http://schemas.openxmlformats.org/officeDocument/2006/relationships/image" Target="media/image1.jpeg"/><Relationship Id="rId30" Type="http://schemas.openxmlformats.org/officeDocument/2006/relationships/footer" Target="footer8.xml"/><Relationship Id="rId8"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BD179B-C6FA-4166-9375-8094E878DB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436</TotalTime>
  <Pages>138</Pages>
  <Words>14992</Words>
  <Characters>85460</Characters>
  <Application>Microsoft Office Word</Application>
  <DocSecurity>0</DocSecurity>
  <Lines>712</Lines>
  <Paragraphs>200</Paragraphs>
  <ScaleCrop>false</ScaleCrop>
  <Company/>
  <LinksUpToDate>false</LinksUpToDate>
  <CharactersWithSpaces>100252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xutuan</dc:creator>
  <cp:lastModifiedBy>徐铮</cp:lastModifiedBy>
  <cp:revision>45</cp:revision>
  <cp:lastPrinted>2021-11-23T08:06:00Z</cp:lastPrinted>
  <dcterms:created xsi:type="dcterms:W3CDTF">2024-04-18T01:22:00Z</dcterms:created>
  <dcterms:modified xsi:type="dcterms:W3CDTF">2025-04-07T08:10:00Z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50765712F09145DB93F780FD7BEC6F3F_13</vt:lpwstr>
  </property>
</Properties>
</file>