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3F9457" w14:textId="6201FD10" w:rsidR="00E02D47" w:rsidRDefault="00726E65" w:rsidP="004D2BDC">
      <w:pPr>
        <w:pStyle w:val="neirong"/>
        <w:spacing w:before="0" w:beforeAutospacing="0" w:after="0" w:afterAutospacing="0" w:line="360" w:lineRule="auto"/>
        <w:ind w:firstLineChars="200" w:firstLine="562"/>
        <w:jc w:val="center"/>
        <w:rPr>
          <w:rFonts w:hint="eastAsia"/>
        </w:rPr>
      </w:pPr>
      <w:r w:rsidRPr="00726E65">
        <w:rPr>
          <w:rFonts w:hint="eastAsia"/>
          <w:b/>
          <w:sz w:val="28"/>
          <w:szCs w:val="28"/>
        </w:rPr>
        <w:t>关于富荣</w:t>
      </w:r>
      <w:r w:rsidR="007529AB">
        <w:rPr>
          <w:rFonts w:hint="eastAsia"/>
          <w:b/>
          <w:sz w:val="28"/>
          <w:szCs w:val="28"/>
        </w:rPr>
        <w:t>研究优选混合型证券投资基金调整业绩比较基准</w:t>
      </w:r>
      <w:r w:rsidRPr="00726E65">
        <w:rPr>
          <w:rFonts w:hint="eastAsia"/>
          <w:b/>
          <w:sz w:val="28"/>
          <w:szCs w:val="28"/>
        </w:rPr>
        <w:t>并修订基金合同的公告</w:t>
      </w:r>
    </w:p>
    <w:p w14:paraId="530AA50B" w14:textId="77777777" w:rsidR="00E67DBF" w:rsidRDefault="00E67DBF" w:rsidP="00756C3A">
      <w:pPr>
        <w:pStyle w:val="neirong"/>
        <w:spacing w:before="0" w:beforeAutospacing="0" w:after="0" w:afterAutospacing="0" w:line="360" w:lineRule="auto"/>
        <w:ind w:firstLineChars="200" w:firstLine="480"/>
        <w:rPr>
          <w:rFonts w:hint="eastAsia"/>
        </w:rPr>
      </w:pPr>
    </w:p>
    <w:p w14:paraId="3E80D6E8" w14:textId="3D9A254E" w:rsidR="00756C3A" w:rsidRPr="00756C3A" w:rsidRDefault="00443691" w:rsidP="00756C3A">
      <w:pPr>
        <w:pStyle w:val="neirong"/>
        <w:spacing w:before="0" w:beforeAutospacing="0" w:after="0" w:afterAutospacing="0" w:line="360" w:lineRule="auto"/>
        <w:ind w:firstLineChars="200" w:firstLine="480"/>
        <w:rPr>
          <w:rFonts w:hint="eastAsia"/>
        </w:rPr>
      </w:pPr>
      <w:r w:rsidRPr="00443691">
        <w:rPr>
          <w:rFonts w:hint="eastAsia"/>
        </w:rPr>
        <w:t>为维护基金份额持有人权益，使富荣研究优选混合型证券投资基金（以下简称“本基金”）的业绩比较基准更好的反映本基金的投资策略，更科学、合理地评价本基金的业绩表现</w:t>
      </w:r>
      <w:r w:rsidR="00447A17" w:rsidRPr="00447A17">
        <w:rPr>
          <w:rFonts w:hint="eastAsia"/>
        </w:rPr>
        <w:t>，根据《中华人民共和国证券投资基金法》、《公开募集证券投资基金运作管理办法》的有关规定和《富荣研究优选混合型证券投资基金基金合同》（以下简称“《基金合同》”）的约定，</w:t>
      </w:r>
      <w:r w:rsidR="00447A17">
        <w:rPr>
          <w:rFonts w:hint="eastAsia"/>
        </w:rPr>
        <w:t>富荣</w:t>
      </w:r>
      <w:r w:rsidR="00447A17" w:rsidRPr="00447A17">
        <w:rPr>
          <w:rFonts w:hint="eastAsia"/>
        </w:rPr>
        <w:t>基金管理有限公司（以下简称“我公司”）决定对《基金合同》中涉及业绩比较基准的相关内容进行修改。本次修改对原有基金份额持有人的利益无实质性不利影响，根据《基金合同》的约定无需召开基金份额持有人大会，我公司已就修改内容与基金托管人</w:t>
      </w:r>
      <w:r w:rsidR="00447A17">
        <w:rPr>
          <w:rFonts w:hint="eastAsia"/>
        </w:rPr>
        <w:t>浙商</w:t>
      </w:r>
      <w:r w:rsidR="00447A17" w:rsidRPr="00447A17">
        <w:rPr>
          <w:rFonts w:hint="eastAsia"/>
        </w:rPr>
        <w:t>银行股份有限公司协商一致。</w:t>
      </w:r>
      <w:r w:rsidR="00756C3A" w:rsidRPr="00756C3A">
        <w:rPr>
          <w:rFonts w:hint="eastAsia"/>
        </w:rPr>
        <w:t>现将具体情况公告如下：</w:t>
      </w:r>
    </w:p>
    <w:p w14:paraId="6FC15AEB" w14:textId="5D95FACD" w:rsidR="00756C3A" w:rsidRPr="0024081B" w:rsidRDefault="00756C3A" w:rsidP="0024081B">
      <w:pPr>
        <w:pStyle w:val="neirong"/>
        <w:spacing w:before="0" w:beforeAutospacing="0" w:after="0" w:afterAutospacing="0" w:line="360" w:lineRule="auto"/>
        <w:ind w:firstLineChars="200" w:firstLine="482"/>
        <w:rPr>
          <w:rFonts w:hint="eastAsia"/>
          <w:b/>
          <w:bCs/>
        </w:rPr>
      </w:pPr>
      <w:r w:rsidRPr="0024081B">
        <w:rPr>
          <w:rFonts w:hint="eastAsia"/>
          <w:b/>
          <w:bCs/>
        </w:rPr>
        <w:t>一、</w:t>
      </w:r>
      <w:r w:rsidR="00F232F6" w:rsidRPr="0024081B">
        <w:rPr>
          <w:rFonts w:hint="eastAsia"/>
          <w:b/>
          <w:bCs/>
        </w:rPr>
        <w:t>业绩比较基准的调整</w:t>
      </w:r>
    </w:p>
    <w:p w14:paraId="6728A27A" w14:textId="61687FF9" w:rsidR="00F232F6" w:rsidRPr="00F232F6" w:rsidRDefault="00F232F6" w:rsidP="0024081B">
      <w:pPr>
        <w:pStyle w:val="neirong"/>
        <w:spacing w:before="0" w:beforeAutospacing="0" w:after="0" w:afterAutospacing="0" w:line="360" w:lineRule="auto"/>
        <w:ind w:firstLineChars="200" w:firstLine="480"/>
        <w:rPr>
          <w:rFonts w:hint="eastAsia"/>
        </w:rPr>
      </w:pPr>
      <w:r w:rsidRPr="00F232F6">
        <w:rPr>
          <w:rFonts w:hint="eastAsia"/>
        </w:rPr>
        <w:t>原业绩比较基准：沪深 300 指数收益率×80%+中债综合指数收益率×20%</w:t>
      </w:r>
    </w:p>
    <w:p w14:paraId="7865D1C4" w14:textId="054C9ADC" w:rsidR="00756C3A" w:rsidRDefault="00F232F6" w:rsidP="0024081B">
      <w:pPr>
        <w:pStyle w:val="neirong"/>
        <w:spacing w:before="0" w:beforeAutospacing="0" w:after="0" w:afterAutospacing="0" w:line="360" w:lineRule="auto"/>
        <w:ind w:firstLineChars="200" w:firstLine="480"/>
        <w:rPr>
          <w:rFonts w:hint="eastAsia"/>
        </w:rPr>
      </w:pPr>
      <w:r w:rsidRPr="00F232F6">
        <w:rPr>
          <w:rFonts w:hint="eastAsia"/>
        </w:rPr>
        <w:t>调整后的业绩比较基准：中证2000指数收益率*</w:t>
      </w:r>
      <w:r w:rsidR="008D24F7">
        <w:rPr>
          <w:rFonts w:hint="eastAsia"/>
        </w:rPr>
        <w:t>85</w:t>
      </w:r>
      <w:r w:rsidRPr="00F232F6">
        <w:rPr>
          <w:rFonts w:hint="eastAsia"/>
        </w:rPr>
        <w:t>%+银行活期存款利率(税后)*1</w:t>
      </w:r>
      <w:r w:rsidR="008D24F7">
        <w:rPr>
          <w:rFonts w:hint="eastAsia"/>
        </w:rPr>
        <w:t>5</w:t>
      </w:r>
      <w:r w:rsidRPr="00F232F6">
        <w:rPr>
          <w:rFonts w:hint="eastAsia"/>
        </w:rPr>
        <w:t xml:space="preserve">%  </w:t>
      </w:r>
    </w:p>
    <w:p w14:paraId="47CE5EDE" w14:textId="77777777" w:rsidR="00F232F6" w:rsidRDefault="00F232F6" w:rsidP="0024081B">
      <w:pPr>
        <w:pStyle w:val="neirong"/>
        <w:spacing w:before="0" w:beforeAutospacing="0" w:after="0" w:afterAutospacing="0" w:line="360" w:lineRule="auto"/>
        <w:ind w:firstLineChars="200" w:firstLine="480"/>
        <w:rPr>
          <w:rFonts w:hint="eastAsia"/>
        </w:rPr>
      </w:pPr>
    </w:p>
    <w:p w14:paraId="5B21BE60" w14:textId="30FC7940" w:rsidR="00F266E3" w:rsidRPr="00352D26" w:rsidRDefault="00F266E3" w:rsidP="0024081B">
      <w:pPr>
        <w:pStyle w:val="neirong"/>
        <w:spacing w:before="0" w:beforeAutospacing="0" w:after="0" w:afterAutospacing="0" w:line="360" w:lineRule="auto"/>
        <w:ind w:firstLineChars="200" w:firstLine="482"/>
        <w:rPr>
          <w:rFonts w:hint="eastAsia"/>
          <w:b/>
          <w:bCs/>
        </w:rPr>
      </w:pPr>
      <w:r w:rsidRPr="00352D26">
        <w:rPr>
          <w:rFonts w:hint="eastAsia"/>
          <w:b/>
          <w:bCs/>
        </w:rPr>
        <w:t>二、《基金合同》相应条款的修改</w:t>
      </w:r>
    </w:p>
    <w:tbl>
      <w:tblPr>
        <w:tblStyle w:val="ae"/>
        <w:tblW w:w="0" w:type="auto"/>
        <w:tblLook w:val="04A0" w:firstRow="1" w:lastRow="0" w:firstColumn="1" w:lastColumn="0" w:noHBand="0" w:noVBand="1"/>
      </w:tblPr>
      <w:tblGrid>
        <w:gridCol w:w="4261"/>
        <w:gridCol w:w="4261"/>
      </w:tblGrid>
      <w:tr w:rsidR="00F266E3" w14:paraId="427F206A" w14:textId="77777777" w:rsidTr="00F266E3">
        <w:tc>
          <w:tcPr>
            <w:tcW w:w="4261" w:type="dxa"/>
          </w:tcPr>
          <w:p w14:paraId="46C336DC" w14:textId="52439EDB" w:rsidR="00F266E3" w:rsidRDefault="00F266E3" w:rsidP="00352D26">
            <w:pPr>
              <w:pStyle w:val="neirong"/>
              <w:spacing w:before="0" w:beforeAutospacing="0" w:after="0" w:afterAutospacing="0" w:line="360" w:lineRule="auto"/>
              <w:jc w:val="center"/>
              <w:rPr>
                <w:rFonts w:hint="eastAsia"/>
              </w:rPr>
            </w:pPr>
            <w:r>
              <w:rPr>
                <w:rFonts w:hint="eastAsia"/>
              </w:rPr>
              <w:t>原条款</w:t>
            </w:r>
          </w:p>
        </w:tc>
        <w:tc>
          <w:tcPr>
            <w:tcW w:w="4261" w:type="dxa"/>
          </w:tcPr>
          <w:p w14:paraId="4A1C809F" w14:textId="3A6D1F7D" w:rsidR="00F266E3" w:rsidRDefault="00F266E3" w:rsidP="00352D26">
            <w:pPr>
              <w:pStyle w:val="neirong"/>
              <w:spacing w:before="0" w:beforeAutospacing="0" w:after="0" w:afterAutospacing="0" w:line="360" w:lineRule="auto"/>
              <w:jc w:val="center"/>
              <w:rPr>
                <w:rFonts w:hint="eastAsia"/>
              </w:rPr>
            </w:pPr>
            <w:r>
              <w:rPr>
                <w:rFonts w:hint="eastAsia"/>
              </w:rPr>
              <w:t>修改后条款</w:t>
            </w:r>
          </w:p>
        </w:tc>
      </w:tr>
      <w:tr w:rsidR="00F266E3" w14:paraId="07C04BED" w14:textId="77777777" w:rsidTr="00F266E3">
        <w:tc>
          <w:tcPr>
            <w:tcW w:w="4261" w:type="dxa"/>
          </w:tcPr>
          <w:p w14:paraId="1772D0B1" w14:textId="77777777" w:rsidR="00F266E3" w:rsidRDefault="00F266E3" w:rsidP="00F266E3">
            <w:pPr>
              <w:spacing w:line="360" w:lineRule="auto"/>
              <w:ind w:firstLineChars="200" w:firstLine="480"/>
              <w:outlineLvl w:val="1"/>
              <w:rPr>
                <w:bCs/>
                <w:sz w:val="24"/>
              </w:rPr>
            </w:pPr>
            <w:r>
              <w:rPr>
                <w:bCs/>
                <w:sz w:val="24"/>
              </w:rPr>
              <w:t>五、业绩比较基准</w:t>
            </w:r>
          </w:p>
          <w:p w14:paraId="2ABCE367" w14:textId="77777777" w:rsidR="00F266E3" w:rsidRDefault="00F266E3" w:rsidP="00F266E3">
            <w:pPr>
              <w:spacing w:line="360" w:lineRule="auto"/>
              <w:ind w:firstLineChars="200" w:firstLine="480"/>
              <w:rPr>
                <w:bCs/>
                <w:color w:val="000000"/>
                <w:sz w:val="24"/>
              </w:rPr>
            </w:pPr>
            <w:r>
              <w:rPr>
                <w:rFonts w:hint="eastAsia"/>
                <w:bCs/>
                <w:color w:val="000000"/>
                <w:sz w:val="24"/>
              </w:rPr>
              <w:t>1</w:t>
            </w:r>
            <w:r>
              <w:rPr>
                <w:rFonts w:hint="eastAsia"/>
                <w:bCs/>
                <w:color w:val="000000"/>
                <w:sz w:val="24"/>
              </w:rPr>
              <w:t>、业绩比较基准</w:t>
            </w:r>
          </w:p>
          <w:p w14:paraId="2B6CBCBD" w14:textId="40841EFD" w:rsidR="00F266E3" w:rsidRDefault="00F266E3" w:rsidP="00F266E3">
            <w:pPr>
              <w:spacing w:line="360" w:lineRule="auto"/>
              <w:ind w:firstLineChars="200" w:firstLine="480"/>
              <w:rPr>
                <w:bCs/>
                <w:color w:val="000000"/>
                <w:sz w:val="24"/>
              </w:rPr>
            </w:pPr>
            <w:r w:rsidRPr="00AF0A1B">
              <w:rPr>
                <w:rFonts w:hint="eastAsia"/>
                <w:bCs/>
                <w:color w:val="000000"/>
                <w:sz w:val="24"/>
              </w:rPr>
              <w:t>沪深</w:t>
            </w:r>
            <w:r w:rsidRPr="00AF0A1B">
              <w:rPr>
                <w:rFonts w:hint="eastAsia"/>
                <w:bCs/>
                <w:color w:val="000000"/>
                <w:sz w:val="24"/>
              </w:rPr>
              <w:t>300</w:t>
            </w:r>
            <w:r w:rsidRPr="00AF0A1B">
              <w:rPr>
                <w:rFonts w:hint="eastAsia"/>
                <w:bCs/>
                <w:color w:val="000000"/>
                <w:sz w:val="24"/>
              </w:rPr>
              <w:t>指数收益率</w:t>
            </w:r>
            <w:r w:rsidR="00964C32" w:rsidRPr="00964C32">
              <w:rPr>
                <w:rFonts w:hint="eastAsia"/>
                <w:bCs/>
                <w:color w:val="000000"/>
                <w:sz w:val="24"/>
              </w:rPr>
              <w:t>×</w:t>
            </w:r>
            <w:r>
              <w:rPr>
                <w:bCs/>
                <w:color w:val="000000"/>
                <w:sz w:val="24"/>
              </w:rPr>
              <w:t>8</w:t>
            </w:r>
            <w:r w:rsidRPr="00AF0A1B">
              <w:rPr>
                <w:rFonts w:hint="eastAsia"/>
                <w:bCs/>
                <w:color w:val="000000"/>
                <w:sz w:val="24"/>
              </w:rPr>
              <w:t>0%+</w:t>
            </w:r>
            <w:r w:rsidRPr="00AF0A1B">
              <w:rPr>
                <w:rFonts w:hint="eastAsia"/>
                <w:bCs/>
                <w:color w:val="000000"/>
                <w:sz w:val="24"/>
              </w:rPr>
              <w:t>中债综合指数收益率×</w:t>
            </w:r>
            <w:r>
              <w:rPr>
                <w:bCs/>
                <w:color w:val="000000"/>
                <w:sz w:val="24"/>
              </w:rPr>
              <w:t>2</w:t>
            </w:r>
            <w:r w:rsidRPr="00AF0A1B">
              <w:rPr>
                <w:rFonts w:hint="eastAsia"/>
                <w:bCs/>
                <w:color w:val="000000"/>
                <w:sz w:val="24"/>
              </w:rPr>
              <w:t>0%</w:t>
            </w:r>
          </w:p>
          <w:p w14:paraId="05915BBB" w14:textId="77777777" w:rsidR="00F266E3" w:rsidRDefault="00F266E3" w:rsidP="00F266E3">
            <w:pPr>
              <w:spacing w:line="360" w:lineRule="auto"/>
              <w:ind w:firstLineChars="200" w:firstLine="480"/>
              <w:rPr>
                <w:bCs/>
                <w:color w:val="000000"/>
                <w:sz w:val="24"/>
              </w:rPr>
            </w:pPr>
            <w:r>
              <w:rPr>
                <w:rFonts w:hint="eastAsia"/>
                <w:bCs/>
                <w:color w:val="000000"/>
                <w:sz w:val="24"/>
              </w:rPr>
              <w:t>2</w:t>
            </w:r>
            <w:r>
              <w:rPr>
                <w:rFonts w:hint="eastAsia"/>
                <w:bCs/>
                <w:color w:val="000000"/>
                <w:sz w:val="24"/>
              </w:rPr>
              <w:t>、选择业绩比较基准的理由</w:t>
            </w:r>
          </w:p>
          <w:p w14:paraId="3478C9D6" w14:textId="77777777" w:rsidR="00F266E3" w:rsidRDefault="00F266E3" w:rsidP="00F266E3">
            <w:pPr>
              <w:spacing w:line="360" w:lineRule="auto"/>
              <w:ind w:firstLineChars="200" w:firstLine="480"/>
              <w:rPr>
                <w:bCs/>
                <w:color w:val="000000"/>
                <w:sz w:val="24"/>
              </w:rPr>
            </w:pPr>
            <w:r w:rsidRPr="00CD17D5">
              <w:rPr>
                <w:rFonts w:hint="eastAsia"/>
                <w:bCs/>
                <w:color w:val="000000"/>
                <w:sz w:val="24"/>
              </w:rPr>
              <w:t>在中证系列指数中，</w:t>
            </w:r>
            <w:r w:rsidRPr="000905FD">
              <w:rPr>
                <w:rFonts w:hint="eastAsia"/>
                <w:bCs/>
                <w:color w:val="000000"/>
                <w:sz w:val="24"/>
              </w:rPr>
              <w:t>沪深</w:t>
            </w:r>
            <w:r w:rsidRPr="000905FD">
              <w:rPr>
                <w:rFonts w:hint="eastAsia"/>
                <w:bCs/>
                <w:color w:val="000000"/>
                <w:sz w:val="24"/>
              </w:rPr>
              <w:t>300</w:t>
            </w:r>
            <w:r w:rsidRPr="000905FD">
              <w:rPr>
                <w:rFonts w:hint="eastAsia"/>
                <w:bCs/>
                <w:color w:val="000000"/>
                <w:sz w:val="24"/>
              </w:rPr>
              <w:t>指数对股票市场具有较强的代表性，适合作为本基金股票部分的业绩比较基准。</w:t>
            </w:r>
          </w:p>
          <w:p w14:paraId="18E3D35D" w14:textId="77777777" w:rsidR="00F266E3" w:rsidRDefault="00F266E3" w:rsidP="00F266E3">
            <w:pPr>
              <w:spacing w:line="360" w:lineRule="auto"/>
              <w:ind w:firstLineChars="200" w:firstLine="480"/>
              <w:rPr>
                <w:bCs/>
                <w:color w:val="000000"/>
                <w:sz w:val="24"/>
              </w:rPr>
            </w:pPr>
            <w:r w:rsidRPr="00321B60">
              <w:rPr>
                <w:rFonts w:hint="eastAsia"/>
                <w:bCs/>
                <w:color w:val="000000"/>
                <w:sz w:val="24"/>
              </w:rPr>
              <w:t>中债综合指数是由中央国债登记结算有限责任公司编制的中国全市场</w:t>
            </w:r>
            <w:r w:rsidRPr="00321B60">
              <w:rPr>
                <w:rFonts w:hint="eastAsia"/>
                <w:bCs/>
                <w:color w:val="000000"/>
                <w:sz w:val="24"/>
              </w:rPr>
              <w:lastRenderedPageBreak/>
              <w:t>债券指数，是目前市场上专业、权威和稳定的，且能够较好地反映债券市场整体状况的债券指数。</w:t>
            </w:r>
          </w:p>
          <w:p w14:paraId="7730483C" w14:textId="77777777" w:rsidR="00F266E3" w:rsidRDefault="00F266E3" w:rsidP="00F266E3">
            <w:pPr>
              <w:spacing w:line="360" w:lineRule="auto"/>
              <w:ind w:firstLineChars="200" w:firstLine="480"/>
              <w:rPr>
                <w:bCs/>
                <w:color w:val="000000"/>
                <w:sz w:val="24"/>
              </w:rPr>
            </w:pPr>
            <w:r w:rsidRPr="009A206C">
              <w:rPr>
                <w:rFonts w:hint="eastAsia"/>
                <w:bCs/>
                <w:color w:val="000000"/>
                <w:sz w:val="24"/>
              </w:rPr>
              <w:t>基于本基金的投资范围和投资</w:t>
            </w:r>
            <w:r>
              <w:rPr>
                <w:rFonts w:hint="eastAsia"/>
                <w:bCs/>
                <w:color w:val="000000"/>
                <w:sz w:val="24"/>
              </w:rPr>
              <w:t>策略</w:t>
            </w:r>
            <w:r w:rsidRPr="009A206C">
              <w:rPr>
                <w:rFonts w:hint="eastAsia"/>
                <w:bCs/>
                <w:color w:val="000000"/>
                <w:sz w:val="24"/>
              </w:rPr>
              <w:t>，选用上述业绩比较基准能够忠实反映本基金的风险收益特征。</w:t>
            </w:r>
          </w:p>
          <w:p w14:paraId="220B5561" w14:textId="7C2C5246" w:rsidR="00F266E3" w:rsidRPr="00352D26" w:rsidRDefault="00F266E3" w:rsidP="00352D26">
            <w:pPr>
              <w:spacing w:line="360" w:lineRule="auto"/>
              <w:ind w:firstLineChars="200" w:firstLine="480"/>
              <w:rPr>
                <w:color w:val="000000"/>
                <w:sz w:val="24"/>
              </w:rPr>
            </w:pPr>
            <w:r>
              <w:rPr>
                <w:rFonts w:hint="eastAsia"/>
                <w:bCs/>
                <w:sz w:val="24"/>
              </w:rPr>
              <w:t>如果</w:t>
            </w:r>
            <w:r w:rsidRPr="00317F3A">
              <w:rPr>
                <w:rFonts w:hint="eastAsia"/>
                <w:bCs/>
                <w:sz w:val="24"/>
              </w:rPr>
              <w:t>指数编制单位停止计算编制以上指数或更改指数名称、或</w:t>
            </w:r>
            <w:r>
              <w:rPr>
                <w:rFonts w:hint="eastAsia"/>
                <w:bCs/>
                <w:sz w:val="24"/>
              </w:rPr>
              <w:t>今后法律法规发生变化，或证券市场中有其他代表性更强或者更科学客观的业绩比较基准适用于本基金时，本基金管理人可以依据维护基金份额持有人合法权益的原则，根据实际情况对业绩比较基准进行相应调整。本基金管理人经与基金托管人协商一致，在按照监管部门要求履行适当程序后</w:t>
            </w:r>
            <w:r>
              <w:rPr>
                <w:rFonts w:hint="eastAsia"/>
                <w:sz w:val="24"/>
              </w:rPr>
              <w:t>变更业绩比较基准</w:t>
            </w:r>
            <w:r>
              <w:rPr>
                <w:rFonts w:hint="eastAsia"/>
                <w:bCs/>
                <w:sz w:val="24"/>
              </w:rPr>
              <w:t>并及时公告，而无需召开基金份额持有人大会。</w:t>
            </w:r>
          </w:p>
        </w:tc>
        <w:tc>
          <w:tcPr>
            <w:tcW w:w="4261" w:type="dxa"/>
          </w:tcPr>
          <w:p w14:paraId="3A535E2E" w14:textId="77777777" w:rsidR="00F266E3" w:rsidRDefault="00F266E3" w:rsidP="00F266E3">
            <w:pPr>
              <w:spacing w:line="360" w:lineRule="auto"/>
              <w:ind w:firstLineChars="200" w:firstLine="480"/>
              <w:outlineLvl w:val="1"/>
              <w:rPr>
                <w:bCs/>
                <w:sz w:val="24"/>
              </w:rPr>
            </w:pPr>
            <w:r>
              <w:rPr>
                <w:bCs/>
                <w:sz w:val="24"/>
              </w:rPr>
              <w:lastRenderedPageBreak/>
              <w:t>五、业绩比较基准</w:t>
            </w:r>
          </w:p>
          <w:p w14:paraId="2B50E201" w14:textId="77777777" w:rsidR="00F266E3" w:rsidRDefault="00F266E3" w:rsidP="00F266E3">
            <w:pPr>
              <w:spacing w:line="360" w:lineRule="auto"/>
              <w:ind w:firstLineChars="200" w:firstLine="480"/>
              <w:rPr>
                <w:bCs/>
                <w:color w:val="000000"/>
                <w:sz w:val="24"/>
              </w:rPr>
            </w:pPr>
            <w:r>
              <w:rPr>
                <w:rFonts w:hint="eastAsia"/>
                <w:bCs/>
                <w:color w:val="000000"/>
                <w:sz w:val="24"/>
              </w:rPr>
              <w:t>1</w:t>
            </w:r>
            <w:r>
              <w:rPr>
                <w:rFonts w:hint="eastAsia"/>
                <w:bCs/>
                <w:color w:val="000000"/>
                <w:sz w:val="24"/>
              </w:rPr>
              <w:t>、业绩比较基准</w:t>
            </w:r>
          </w:p>
          <w:p w14:paraId="498CF891" w14:textId="5FEBF837" w:rsidR="00352D26" w:rsidRDefault="00352D26" w:rsidP="00F266E3">
            <w:pPr>
              <w:spacing w:line="360" w:lineRule="auto"/>
              <w:ind w:firstLineChars="200" w:firstLine="480"/>
              <w:rPr>
                <w:bCs/>
                <w:color w:val="000000"/>
                <w:sz w:val="24"/>
              </w:rPr>
            </w:pPr>
            <w:r w:rsidRPr="00352D26">
              <w:rPr>
                <w:rFonts w:hint="eastAsia"/>
                <w:bCs/>
                <w:color w:val="000000"/>
                <w:sz w:val="24"/>
              </w:rPr>
              <w:t>中证</w:t>
            </w:r>
            <w:r w:rsidRPr="00352D26">
              <w:rPr>
                <w:rFonts w:hint="eastAsia"/>
                <w:bCs/>
                <w:color w:val="000000"/>
                <w:sz w:val="24"/>
              </w:rPr>
              <w:t>2000</w:t>
            </w:r>
            <w:r w:rsidRPr="00352D26">
              <w:rPr>
                <w:rFonts w:hint="eastAsia"/>
                <w:bCs/>
                <w:color w:val="000000"/>
                <w:sz w:val="24"/>
              </w:rPr>
              <w:t>指数收益率</w:t>
            </w:r>
            <w:r w:rsidRPr="00352D26">
              <w:rPr>
                <w:rFonts w:hint="eastAsia"/>
                <w:bCs/>
                <w:color w:val="000000"/>
                <w:sz w:val="24"/>
              </w:rPr>
              <w:t>*</w:t>
            </w:r>
            <w:r w:rsidR="008D24F7">
              <w:rPr>
                <w:rFonts w:hint="eastAsia"/>
                <w:bCs/>
                <w:color w:val="000000"/>
                <w:sz w:val="24"/>
              </w:rPr>
              <w:t>85</w:t>
            </w:r>
            <w:r w:rsidRPr="00352D26">
              <w:rPr>
                <w:rFonts w:hint="eastAsia"/>
                <w:bCs/>
                <w:color w:val="000000"/>
                <w:sz w:val="24"/>
              </w:rPr>
              <w:t>%+</w:t>
            </w:r>
            <w:r w:rsidRPr="00352D26">
              <w:rPr>
                <w:rFonts w:hint="eastAsia"/>
                <w:bCs/>
                <w:color w:val="000000"/>
                <w:sz w:val="24"/>
              </w:rPr>
              <w:t>银行活期存款利率</w:t>
            </w:r>
            <w:r w:rsidRPr="00352D26">
              <w:rPr>
                <w:rFonts w:hint="eastAsia"/>
                <w:bCs/>
                <w:color w:val="000000"/>
                <w:sz w:val="24"/>
              </w:rPr>
              <w:t>(</w:t>
            </w:r>
            <w:r w:rsidRPr="00352D26">
              <w:rPr>
                <w:rFonts w:hint="eastAsia"/>
                <w:bCs/>
                <w:color w:val="000000"/>
                <w:sz w:val="24"/>
              </w:rPr>
              <w:t>税后</w:t>
            </w:r>
            <w:r w:rsidRPr="00352D26">
              <w:rPr>
                <w:rFonts w:hint="eastAsia"/>
                <w:bCs/>
                <w:color w:val="000000"/>
                <w:sz w:val="24"/>
              </w:rPr>
              <w:t>)*1</w:t>
            </w:r>
            <w:r w:rsidR="008D24F7">
              <w:rPr>
                <w:rFonts w:hint="eastAsia"/>
                <w:bCs/>
                <w:color w:val="000000"/>
                <w:sz w:val="24"/>
              </w:rPr>
              <w:t>5</w:t>
            </w:r>
            <w:r w:rsidRPr="00352D26">
              <w:rPr>
                <w:rFonts w:hint="eastAsia"/>
                <w:bCs/>
                <w:color w:val="000000"/>
                <w:sz w:val="24"/>
              </w:rPr>
              <w:t xml:space="preserve">%  </w:t>
            </w:r>
          </w:p>
          <w:p w14:paraId="31ED084D" w14:textId="0531260A" w:rsidR="00F266E3" w:rsidRDefault="00F266E3" w:rsidP="00F266E3">
            <w:pPr>
              <w:spacing w:line="360" w:lineRule="auto"/>
              <w:ind w:firstLineChars="200" w:firstLine="480"/>
              <w:rPr>
                <w:bCs/>
                <w:color w:val="000000"/>
                <w:sz w:val="24"/>
              </w:rPr>
            </w:pPr>
            <w:r>
              <w:rPr>
                <w:rFonts w:hint="eastAsia"/>
                <w:bCs/>
                <w:color w:val="000000"/>
                <w:sz w:val="24"/>
              </w:rPr>
              <w:t>2</w:t>
            </w:r>
            <w:r>
              <w:rPr>
                <w:rFonts w:hint="eastAsia"/>
                <w:bCs/>
                <w:color w:val="000000"/>
                <w:sz w:val="24"/>
              </w:rPr>
              <w:t>、选择业绩比较基准的理由</w:t>
            </w:r>
          </w:p>
          <w:p w14:paraId="3E6F1CE1" w14:textId="1703B870" w:rsidR="00352D26" w:rsidRDefault="00352D26" w:rsidP="00F266E3">
            <w:pPr>
              <w:spacing w:line="360" w:lineRule="auto"/>
              <w:ind w:firstLineChars="200" w:firstLine="480"/>
              <w:rPr>
                <w:bCs/>
                <w:color w:val="000000"/>
                <w:sz w:val="24"/>
              </w:rPr>
            </w:pPr>
            <w:r w:rsidRPr="00352D26">
              <w:rPr>
                <w:rFonts w:hint="eastAsia"/>
                <w:bCs/>
                <w:color w:val="000000"/>
                <w:sz w:val="24"/>
              </w:rPr>
              <w:t>中证</w:t>
            </w:r>
            <w:r w:rsidRPr="00352D26">
              <w:rPr>
                <w:rFonts w:hint="eastAsia"/>
                <w:bCs/>
                <w:color w:val="000000"/>
                <w:sz w:val="24"/>
              </w:rPr>
              <w:t>2000</w:t>
            </w:r>
            <w:r w:rsidRPr="00352D26">
              <w:rPr>
                <w:rFonts w:hint="eastAsia"/>
                <w:bCs/>
                <w:color w:val="000000"/>
                <w:sz w:val="24"/>
              </w:rPr>
              <w:t>指数由中证指数有限公司编制并发布，从沪深市场中选取市值规模较小且流动性较好的</w:t>
            </w:r>
            <w:r w:rsidRPr="00352D26">
              <w:rPr>
                <w:rFonts w:hint="eastAsia"/>
                <w:bCs/>
                <w:color w:val="000000"/>
                <w:sz w:val="24"/>
              </w:rPr>
              <w:t>2000</w:t>
            </w:r>
            <w:r w:rsidRPr="00352D26">
              <w:rPr>
                <w:rFonts w:hint="eastAsia"/>
                <w:bCs/>
                <w:color w:val="000000"/>
                <w:sz w:val="24"/>
              </w:rPr>
              <w:t>只证券作为指数样本。对沪深股市小盘股的整体走势具有较强的代表性。本基金选择</w:t>
            </w:r>
            <w:r w:rsidRPr="00352D26">
              <w:rPr>
                <w:rFonts w:hint="eastAsia"/>
                <w:bCs/>
                <w:color w:val="000000"/>
                <w:sz w:val="24"/>
              </w:rPr>
              <w:lastRenderedPageBreak/>
              <w:t>中证</w:t>
            </w:r>
            <w:r w:rsidRPr="00352D26">
              <w:rPr>
                <w:rFonts w:hint="eastAsia"/>
                <w:bCs/>
                <w:color w:val="000000"/>
                <w:sz w:val="24"/>
              </w:rPr>
              <w:t>2000</w:t>
            </w:r>
            <w:r w:rsidRPr="00352D26">
              <w:rPr>
                <w:rFonts w:hint="eastAsia"/>
                <w:bCs/>
                <w:color w:val="000000"/>
                <w:sz w:val="24"/>
              </w:rPr>
              <w:t>指数收益率作为股票投资部分的业绩比较基准可以有效评估本基金投资组合业绩，反映本基金的风格特点，适合作为本基金股票投资部分的业绩比较基准。</w:t>
            </w:r>
          </w:p>
          <w:p w14:paraId="665834CB" w14:textId="6FF25335" w:rsidR="00F266E3" w:rsidRDefault="00F266E3" w:rsidP="00F266E3">
            <w:pPr>
              <w:spacing w:line="360" w:lineRule="auto"/>
              <w:ind w:firstLineChars="200" w:firstLine="480"/>
              <w:rPr>
                <w:bCs/>
                <w:color w:val="000000"/>
                <w:sz w:val="24"/>
              </w:rPr>
            </w:pPr>
            <w:r w:rsidRPr="009A206C">
              <w:rPr>
                <w:rFonts w:hint="eastAsia"/>
                <w:bCs/>
                <w:color w:val="000000"/>
                <w:sz w:val="24"/>
              </w:rPr>
              <w:t>基于本基金的投资范围和投资</w:t>
            </w:r>
            <w:r>
              <w:rPr>
                <w:rFonts w:hint="eastAsia"/>
                <w:bCs/>
                <w:color w:val="000000"/>
                <w:sz w:val="24"/>
              </w:rPr>
              <w:t>策略</w:t>
            </w:r>
            <w:r w:rsidRPr="009A206C">
              <w:rPr>
                <w:rFonts w:hint="eastAsia"/>
                <w:bCs/>
                <w:color w:val="000000"/>
                <w:sz w:val="24"/>
              </w:rPr>
              <w:t>，选用上述业绩比较基准能够忠实反映本基金的风险收益特征。</w:t>
            </w:r>
          </w:p>
          <w:p w14:paraId="27D74008" w14:textId="4855F837" w:rsidR="00F266E3" w:rsidRPr="00352D26" w:rsidRDefault="00F266E3" w:rsidP="00352D26">
            <w:pPr>
              <w:spacing w:line="360" w:lineRule="auto"/>
              <w:ind w:firstLineChars="200" w:firstLine="480"/>
              <w:rPr>
                <w:color w:val="000000"/>
                <w:sz w:val="24"/>
              </w:rPr>
            </w:pPr>
            <w:r>
              <w:rPr>
                <w:rFonts w:hint="eastAsia"/>
                <w:bCs/>
                <w:sz w:val="24"/>
              </w:rPr>
              <w:t>如果</w:t>
            </w:r>
            <w:r w:rsidRPr="00317F3A">
              <w:rPr>
                <w:rFonts w:hint="eastAsia"/>
                <w:bCs/>
                <w:sz w:val="24"/>
              </w:rPr>
              <w:t>指数编制单位停止计算编制以上指数或更改指数名称、或</w:t>
            </w:r>
            <w:r>
              <w:rPr>
                <w:rFonts w:hint="eastAsia"/>
                <w:bCs/>
                <w:sz w:val="24"/>
              </w:rPr>
              <w:t>今后法律法规发生变化，或证券市场中有其他代表性更强或者更科学客观的业绩比较基准适用于本基金时，本基金管理人可以依据维护基金份额持有人合法权益的原则，根据实际情况对业绩比较基准进行相应调整。本基金管理人经与基金托管人协商一致，在按照监管部门要求履行适当程序后</w:t>
            </w:r>
            <w:r>
              <w:rPr>
                <w:rFonts w:hint="eastAsia"/>
                <w:sz w:val="24"/>
              </w:rPr>
              <w:t>变更业绩比较基准</w:t>
            </w:r>
            <w:r>
              <w:rPr>
                <w:rFonts w:hint="eastAsia"/>
                <w:bCs/>
                <w:sz w:val="24"/>
              </w:rPr>
              <w:t>并及时公告，而无需召开基金份额持有人大会。</w:t>
            </w:r>
          </w:p>
        </w:tc>
      </w:tr>
    </w:tbl>
    <w:p w14:paraId="18AFCF21" w14:textId="77777777" w:rsidR="00F266E3" w:rsidRDefault="00F266E3" w:rsidP="00F266E3">
      <w:pPr>
        <w:pStyle w:val="neirong"/>
        <w:spacing w:before="0" w:beforeAutospacing="0" w:after="0" w:afterAutospacing="0" w:line="360" w:lineRule="auto"/>
        <w:rPr>
          <w:rFonts w:hint="eastAsia"/>
        </w:rPr>
      </w:pPr>
    </w:p>
    <w:p w14:paraId="752D4E33" w14:textId="00F9EBC0" w:rsidR="00756C3A" w:rsidRPr="0024081B" w:rsidRDefault="00F266E3" w:rsidP="0024081B">
      <w:pPr>
        <w:pStyle w:val="neirong"/>
        <w:spacing w:before="0" w:beforeAutospacing="0" w:after="0" w:afterAutospacing="0" w:line="360" w:lineRule="auto"/>
        <w:ind w:firstLineChars="200" w:firstLine="482"/>
        <w:rPr>
          <w:rFonts w:hint="eastAsia"/>
          <w:b/>
          <w:bCs/>
        </w:rPr>
      </w:pPr>
      <w:r>
        <w:rPr>
          <w:rFonts w:hint="eastAsia"/>
          <w:b/>
          <w:bCs/>
        </w:rPr>
        <w:t>三</w:t>
      </w:r>
      <w:r w:rsidR="00756C3A" w:rsidRPr="0024081B">
        <w:rPr>
          <w:rFonts w:hint="eastAsia"/>
          <w:b/>
          <w:bCs/>
        </w:rPr>
        <w:t>、其他事项</w:t>
      </w:r>
    </w:p>
    <w:p w14:paraId="33B30A61" w14:textId="079FE883" w:rsidR="00A33787" w:rsidRDefault="00A33787" w:rsidP="00A33787">
      <w:pPr>
        <w:pStyle w:val="neirong"/>
        <w:spacing w:before="0" w:beforeAutospacing="0" w:after="0" w:afterAutospacing="0" w:line="360" w:lineRule="auto"/>
        <w:ind w:firstLineChars="200" w:firstLine="480"/>
        <w:rPr>
          <w:rFonts w:hint="eastAsia"/>
        </w:rPr>
      </w:pPr>
      <w:r>
        <w:rPr>
          <w:rFonts w:hint="eastAsia"/>
        </w:rPr>
        <w:t>1、</w:t>
      </w:r>
      <w:r w:rsidRPr="00A33787">
        <w:rPr>
          <w:rFonts w:hint="eastAsia"/>
        </w:rPr>
        <w:t>本公告仅对本基金修改业绩比较基准的有关事项予以说明。投资者欲了解本基金详细情况，请详细阅读本基金的基金合同和更新的招募说明书、基金产品资料概要等法律文件，以及相关业务公告。</w:t>
      </w:r>
    </w:p>
    <w:p w14:paraId="76A1F7AA" w14:textId="4DBD3253" w:rsidR="00A33787" w:rsidRDefault="00A33787" w:rsidP="00A33787">
      <w:pPr>
        <w:pStyle w:val="neirong"/>
        <w:spacing w:before="0" w:beforeAutospacing="0" w:after="0" w:afterAutospacing="0" w:line="360" w:lineRule="auto"/>
        <w:ind w:firstLineChars="200" w:firstLine="480"/>
        <w:rPr>
          <w:rFonts w:hint="eastAsia"/>
        </w:rPr>
      </w:pPr>
      <w:r>
        <w:rPr>
          <w:rFonts w:hint="eastAsia"/>
        </w:rPr>
        <w:t>2、</w:t>
      </w:r>
      <w:r w:rsidR="003F571A" w:rsidRPr="003F571A">
        <w:rPr>
          <w:rFonts w:hint="eastAsia"/>
        </w:rPr>
        <w:t>上述修改内容自本公告发布之日起生效执行。</w:t>
      </w:r>
      <w:r w:rsidR="0070575B" w:rsidRPr="0070575B">
        <w:rPr>
          <w:rFonts w:hint="eastAsia"/>
        </w:rPr>
        <w:t>本公告的解释权归我公司所有。</w:t>
      </w:r>
    </w:p>
    <w:p w14:paraId="3EA71916" w14:textId="77777777" w:rsidR="00A33787" w:rsidRDefault="00A33787" w:rsidP="00A33787">
      <w:pPr>
        <w:pStyle w:val="neirong"/>
        <w:spacing w:before="0" w:beforeAutospacing="0" w:after="0" w:afterAutospacing="0" w:line="360" w:lineRule="auto"/>
        <w:ind w:firstLineChars="200" w:firstLine="480"/>
        <w:rPr>
          <w:rFonts w:hint="eastAsia"/>
        </w:rPr>
      </w:pPr>
      <w:r>
        <w:rPr>
          <w:rFonts w:hint="eastAsia"/>
        </w:rPr>
        <w:lastRenderedPageBreak/>
        <w:t>3、敬请投资者提前做好交易安排。如有疑问，请拨打本基金管理人全国免长途费的客服热线4006855600咨询，或登录本基金管理人网站www.furamc.com.cn获取相关信息。</w:t>
      </w:r>
    </w:p>
    <w:p w14:paraId="2B7A433A" w14:textId="77777777" w:rsidR="00A33787" w:rsidRDefault="00A33787" w:rsidP="00A33787">
      <w:pPr>
        <w:pStyle w:val="neirong"/>
        <w:spacing w:before="0" w:beforeAutospacing="0" w:after="0" w:afterAutospacing="0" w:line="360" w:lineRule="auto"/>
        <w:ind w:firstLineChars="200" w:firstLine="480"/>
        <w:rPr>
          <w:rFonts w:hint="eastAsia"/>
        </w:rPr>
      </w:pPr>
      <w:r>
        <w:rPr>
          <w:rFonts w:hint="eastAsia"/>
        </w:rPr>
        <w:t>风险提示：本基金管理人承诺以诚实信用、勤勉尽责的原则管理和运用基金财产，但不保证基金一定盈利，也不保证最低收益。投资有风险，敬请投资者认真阅读基金的相关法律文件，并选择适合自身风险承受能力的投资品种进行投资。</w:t>
      </w:r>
    </w:p>
    <w:p w14:paraId="15B4728E" w14:textId="77777777" w:rsidR="00756C3A" w:rsidRPr="00756C3A" w:rsidRDefault="00756C3A" w:rsidP="00A33787">
      <w:pPr>
        <w:pStyle w:val="neirong"/>
        <w:spacing w:before="0" w:beforeAutospacing="0" w:after="0" w:afterAutospacing="0" w:line="360" w:lineRule="auto"/>
        <w:ind w:firstLineChars="200" w:firstLine="480"/>
        <w:rPr>
          <w:rFonts w:hint="eastAsia"/>
        </w:rPr>
      </w:pPr>
      <w:r w:rsidRPr="00756C3A">
        <w:rPr>
          <w:rFonts w:hint="eastAsia"/>
        </w:rPr>
        <w:t>特此公告</w:t>
      </w:r>
    </w:p>
    <w:p w14:paraId="5FC44C46" w14:textId="77777777" w:rsidR="006074B3" w:rsidRPr="0095368E" w:rsidRDefault="006074B3" w:rsidP="00756C3A">
      <w:pPr>
        <w:pStyle w:val="neirong"/>
        <w:spacing w:before="0" w:beforeAutospacing="0" w:after="0" w:afterAutospacing="0" w:line="360" w:lineRule="auto"/>
        <w:ind w:firstLineChars="50" w:firstLine="120"/>
        <w:jc w:val="right"/>
        <w:rPr>
          <w:rFonts w:hint="eastAsia"/>
        </w:rPr>
      </w:pPr>
      <w:r w:rsidRPr="0095368E">
        <w:rPr>
          <w:rFonts w:hint="eastAsia"/>
        </w:rPr>
        <w:t>富荣</w:t>
      </w:r>
      <w:r w:rsidRPr="0095368E">
        <w:t>基金管理有限公司</w:t>
      </w:r>
    </w:p>
    <w:p w14:paraId="08AEF7FE" w14:textId="2786CFF6" w:rsidR="00312617" w:rsidRDefault="006074B3" w:rsidP="00756C3A">
      <w:pPr>
        <w:pStyle w:val="neirong"/>
        <w:spacing w:before="0" w:beforeAutospacing="0" w:after="0" w:afterAutospacing="0" w:line="360" w:lineRule="auto"/>
        <w:ind w:firstLineChars="50" w:firstLine="120"/>
        <w:jc w:val="right"/>
        <w:rPr>
          <w:rFonts w:hint="eastAsia"/>
        </w:rPr>
      </w:pPr>
      <w:r w:rsidRPr="0095368E">
        <w:tab/>
      </w:r>
      <w:r w:rsidR="00FA33A4">
        <w:rPr>
          <w:rFonts w:hint="eastAsia"/>
        </w:rPr>
        <w:t>202</w:t>
      </w:r>
      <w:r w:rsidR="00493B4F">
        <w:rPr>
          <w:rFonts w:hint="eastAsia"/>
        </w:rPr>
        <w:t>5</w:t>
      </w:r>
      <w:r w:rsidRPr="0095368E">
        <w:rPr>
          <w:rFonts w:hint="eastAsia"/>
        </w:rPr>
        <w:t>年</w:t>
      </w:r>
      <w:r w:rsidR="00AA063C">
        <w:rPr>
          <w:rFonts w:hint="eastAsia"/>
        </w:rPr>
        <w:t>4</w:t>
      </w:r>
      <w:r w:rsidRPr="0095368E">
        <w:rPr>
          <w:rFonts w:hint="eastAsia"/>
        </w:rPr>
        <w:t>月</w:t>
      </w:r>
      <w:r w:rsidR="00AA063C">
        <w:rPr>
          <w:rFonts w:hint="eastAsia"/>
        </w:rPr>
        <w:t>1</w:t>
      </w:r>
      <w:r w:rsidRPr="0095368E">
        <w:rPr>
          <w:rFonts w:hint="eastAsia"/>
        </w:rPr>
        <w:t>日</w:t>
      </w:r>
    </w:p>
    <w:p w14:paraId="70A4D33C" w14:textId="77777777" w:rsidR="006074B3" w:rsidRPr="00312617" w:rsidRDefault="006074B3" w:rsidP="0070575B">
      <w:pPr>
        <w:pStyle w:val="neirong"/>
        <w:spacing w:before="0" w:beforeAutospacing="0" w:after="0" w:afterAutospacing="0"/>
        <w:rPr>
          <w:rFonts w:hint="eastAsia"/>
        </w:rPr>
      </w:pPr>
    </w:p>
    <w:sectPr w:rsidR="006074B3" w:rsidRPr="00312617">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878D07" w14:textId="77777777" w:rsidR="001C4F45" w:rsidRDefault="001C4F45" w:rsidP="00A215EA">
      <w:r>
        <w:separator/>
      </w:r>
    </w:p>
  </w:endnote>
  <w:endnote w:type="continuationSeparator" w:id="0">
    <w:p w14:paraId="1465322C" w14:textId="77777777" w:rsidR="001C4F45" w:rsidRDefault="001C4F45" w:rsidP="00A215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95922798"/>
      <w:docPartObj>
        <w:docPartGallery w:val="Page Numbers (Bottom of Page)"/>
        <w:docPartUnique/>
      </w:docPartObj>
    </w:sdtPr>
    <w:sdtEndPr/>
    <w:sdtContent>
      <w:p w14:paraId="63CA6751" w14:textId="1512E18A" w:rsidR="008D4B3C" w:rsidRDefault="008D4B3C">
        <w:pPr>
          <w:pStyle w:val="a5"/>
          <w:jc w:val="center"/>
        </w:pPr>
        <w:r>
          <w:fldChar w:fldCharType="begin"/>
        </w:r>
        <w:r>
          <w:instrText>PAGE   \* MERGEFORMAT</w:instrText>
        </w:r>
        <w:r>
          <w:fldChar w:fldCharType="separate"/>
        </w:r>
        <w:r w:rsidR="001C3C4E" w:rsidRPr="001C3C4E">
          <w:rPr>
            <w:noProof/>
            <w:lang w:val="zh-CN"/>
          </w:rPr>
          <w:t>3</w:t>
        </w:r>
        <w:r>
          <w:fldChar w:fldCharType="end"/>
        </w:r>
        <w:r w:rsidR="00312617">
          <w:rPr>
            <w:rFonts w:hint="eastAsia"/>
          </w:rPr>
          <w:t>/</w:t>
        </w:r>
        <w:r w:rsidR="0070575B">
          <w:rPr>
            <w:rFonts w:hint="eastAsia"/>
          </w:rPr>
          <w:t>3</w:t>
        </w:r>
      </w:p>
    </w:sdtContent>
  </w:sdt>
  <w:p w14:paraId="66EA7899" w14:textId="77777777" w:rsidR="008D4B3C" w:rsidRDefault="008D4B3C">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D279B74" w14:textId="77777777" w:rsidR="001C4F45" w:rsidRDefault="001C4F45" w:rsidP="00A215EA">
      <w:r>
        <w:separator/>
      </w:r>
    </w:p>
  </w:footnote>
  <w:footnote w:type="continuationSeparator" w:id="0">
    <w:p w14:paraId="7D097C37" w14:textId="77777777" w:rsidR="001C4F45" w:rsidRDefault="001C4F45" w:rsidP="00A215E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DBBAE108"/>
    <w:multiLevelType w:val="singleLevel"/>
    <w:tmpl w:val="DBBAE108"/>
    <w:lvl w:ilvl="0">
      <w:start w:val="2"/>
      <w:numFmt w:val="chineseCounting"/>
      <w:suff w:val="nothing"/>
      <w:lvlText w:val="%1、"/>
      <w:lvlJc w:val="left"/>
      <w:rPr>
        <w:rFonts w:hint="eastAsia"/>
      </w:rPr>
    </w:lvl>
  </w:abstractNum>
  <w:num w:numId="1" w16cid:durableId="173238843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86218"/>
    <w:rsid w:val="00001DCF"/>
    <w:rsid w:val="0000473B"/>
    <w:rsid w:val="00013415"/>
    <w:rsid w:val="000242FC"/>
    <w:rsid w:val="0003028B"/>
    <w:rsid w:val="000330A6"/>
    <w:rsid w:val="000346E5"/>
    <w:rsid w:val="0005025D"/>
    <w:rsid w:val="00063BE7"/>
    <w:rsid w:val="0007054B"/>
    <w:rsid w:val="00073528"/>
    <w:rsid w:val="00074DF0"/>
    <w:rsid w:val="00075907"/>
    <w:rsid w:val="00095BA9"/>
    <w:rsid w:val="00097481"/>
    <w:rsid w:val="000A4E1D"/>
    <w:rsid w:val="000A5288"/>
    <w:rsid w:val="000C3198"/>
    <w:rsid w:val="000C37F3"/>
    <w:rsid w:val="000C3D9A"/>
    <w:rsid w:val="000C5BB7"/>
    <w:rsid w:val="000F22FC"/>
    <w:rsid w:val="0010076E"/>
    <w:rsid w:val="0012068B"/>
    <w:rsid w:val="0014700C"/>
    <w:rsid w:val="00157B59"/>
    <w:rsid w:val="00163ED4"/>
    <w:rsid w:val="00165FD2"/>
    <w:rsid w:val="00182BC6"/>
    <w:rsid w:val="00182DE7"/>
    <w:rsid w:val="001977C8"/>
    <w:rsid w:val="0019786C"/>
    <w:rsid w:val="001C35D9"/>
    <w:rsid w:val="001C3C4E"/>
    <w:rsid w:val="001C4F45"/>
    <w:rsid w:val="001C5F8F"/>
    <w:rsid w:val="001D1D26"/>
    <w:rsid w:val="001D473F"/>
    <w:rsid w:val="001E452F"/>
    <w:rsid w:val="001E6E96"/>
    <w:rsid w:val="00206347"/>
    <w:rsid w:val="00222D9E"/>
    <w:rsid w:val="00224DA8"/>
    <w:rsid w:val="00233012"/>
    <w:rsid w:val="0024081B"/>
    <w:rsid w:val="002410B6"/>
    <w:rsid w:val="00244BC6"/>
    <w:rsid w:val="0025110C"/>
    <w:rsid w:val="00255C88"/>
    <w:rsid w:val="00296B4F"/>
    <w:rsid w:val="002A4236"/>
    <w:rsid w:val="002B0524"/>
    <w:rsid w:val="002B3281"/>
    <w:rsid w:val="002C3AED"/>
    <w:rsid w:val="002C4CBE"/>
    <w:rsid w:val="002D3CA8"/>
    <w:rsid w:val="002D4885"/>
    <w:rsid w:val="002E4A28"/>
    <w:rsid w:val="002F1E86"/>
    <w:rsid w:val="002F234C"/>
    <w:rsid w:val="00302186"/>
    <w:rsid w:val="00312617"/>
    <w:rsid w:val="00314BBE"/>
    <w:rsid w:val="0033440B"/>
    <w:rsid w:val="00352D26"/>
    <w:rsid w:val="00375C64"/>
    <w:rsid w:val="003A278A"/>
    <w:rsid w:val="003A6615"/>
    <w:rsid w:val="003A7C15"/>
    <w:rsid w:val="003C359B"/>
    <w:rsid w:val="003C4CD8"/>
    <w:rsid w:val="003F571A"/>
    <w:rsid w:val="003F69C1"/>
    <w:rsid w:val="00404C83"/>
    <w:rsid w:val="004102F9"/>
    <w:rsid w:val="00426B8A"/>
    <w:rsid w:val="0044019E"/>
    <w:rsid w:val="00443691"/>
    <w:rsid w:val="00443ADC"/>
    <w:rsid w:val="00447A17"/>
    <w:rsid w:val="00454847"/>
    <w:rsid w:val="004558BC"/>
    <w:rsid w:val="00460E4E"/>
    <w:rsid w:val="00467140"/>
    <w:rsid w:val="004755F5"/>
    <w:rsid w:val="00475E0C"/>
    <w:rsid w:val="004772F9"/>
    <w:rsid w:val="00481D69"/>
    <w:rsid w:val="004833D2"/>
    <w:rsid w:val="004858FE"/>
    <w:rsid w:val="00487112"/>
    <w:rsid w:val="00493B4F"/>
    <w:rsid w:val="00495BF7"/>
    <w:rsid w:val="004A68F6"/>
    <w:rsid w:val="004B0B61"/>
    <w:rsid w:val="004C2330"/>
    <w:rsid w:val="004D0D37"/>
    <w:rsid w:val="004D2BDC"/>
    <w:rsid w:val="004D6B28"/>
    <w:rsid w:val="005027B8"/>
    <w:rsid w:val="00504096"/>
    <w:rsid w:val="00510649"/>
    <w:rsid w:val="0051645C"/>
    <w:rsid w:val="00523199"/>
    <w:rsid w:val="00535FCA"/>
    <w:rsid w:val="005375EA"/>
    <w:rsid w:val="00540375"/>
    <w:rsid w:val="005442E3"/>
    <w:rsid w:val="0055511C"/>
    <w:rsid w:val="005735D3"/>
    <w:rsid w:val="00594FCA"/>
    <w:rsid w:val="005A31D9"/>
    <w:rsid w:val="005C7F67"/>
    <w:rsid w:val="006021A9"/>
    <w:rsid w:val="006074B3"/>
    <w:rsid w:val="0062255A"/>
    <w:rsid w:val="00623C63"/>
    <w:rsid w:val="0063249D"/>
    <w:rsid w:val="00666EA1"/>
    <w:rsid w:val="00687BB1"/>
    <w:rsid w:val="006A0AE6"/>
    <w:rsid w:val="006D5F8F"/>
    <w:rsid w:val="006D675D"/>
    <w:rsid w:val="006E0F25"/>
    <w:rsid w:val="006E4F9B"/>
    <w:rsid w:val="006E5CD5"/>
    <w:rsid w:val="00701C0B"/>
    <w:rsid w:val="0070575B"/>
    <w:rsid w:val="00705F47"/>
    <w:rsid w:val="00723C32"/>
    <w:rsid w:val="00726E65"/>
    <w:rsid w:val="00731161"/>
    <w:rsid w:val="00731FC2"/>
    <w:rsid w:val="00734EA0"/>
    <w:rsid w:val="00747737"/>
    <w:rsid w:val="007501A2"/>
    <w:rsid w:val="007529AB"/>
    <w:rsid w:val="00753EF4"/>
    <w:rsid w:val="00756C3A"/>
    <w:rsid w:val="0076235A"/>
    <w:rsid w:val="00781752"/>
    <w:rsid w:val="00786831"/>
    <w:rsid w:val="007A7678"/>
    <w:rsid w:val="007B64A9"/>
    <w:rsid w:val="007D064D"/>
    <w:rsid w:val="007D686B"/>
    <w:rsid w:val="007E6920"/>
    <w:rsid w:val="007F0C16"/>
    <w:rsid w:val="007F64AC"/>
    <w:rsid w:val="0081228B"/>
    <w:rsid w:val="00813820"/>
    <w:rsid w:val="00854AE0"/>
    <w:rsid w:val="00866122"/>
    <w:rsid w:val="00866F49"/>
    <w:rsid w:val="00873349"/>
    <w:rsid w:val="00886218"/>
    <w:rsid w:val="008A6D27"/>
    <w:rsid w:val="008C4773"/>
    <w:rsid w:val="008D24F7"/>
    <w:rsid w:val="008D4B3C"/>
    <w:rsid w:val="008E549C"/>
    <w:rsid w:val="008E6D90"/>
    <w:rsid w:val="00912194"/>
    <w:rsid w:val="00912D93"/>
    <w:rsid w:val="009211CA"/>
    <w:rsid w:val="009305B2"/>
    <w:rsid w:val="009419BB"/>
    <w:rsid w:val="00957A7D"/>
    <w:rsid w:val="00964C32"/>
    <w:rsid w:val="00967381"/>
    <w:rsid w:val="009713E1"/>
    <w:rsid w:val="00973EC7"/>
    <w:rsid w:val="0097784C"/>
    <w:rsid w:val="0099594B"/>
    <w:rsid w:val="0099611C"/>
    <w:rsid w:val="009A207E"/>
    <w:rsid w:val="009A63F7"/>
    <w:rsid w:val="009B48CD"/>
    <w:rsid w:val="009C78B0"/>
    <w:rsid w:val="00A04700"/>
    <w:rsid w:val="00A169C0"/>
    <w:rsid w:val="00A17CBA"/>
    <w:rsid w:val="00A215EA"/>
    <w:rsid w:val="00A27988"/>
    <w:rsid w:val="00A33787"/>
    <w:rsid w:val="00A3577E"/>
    <w:rsid w:val="00A5530E"/>
    <w:rsid w:val="00A569FC"/>
    <w:rsid w:val="00A93FB6"/>
    <w:rsid w:val="00A977CE"/>
    <w:rsid w:val="00AA063C"/>
    <w:rsid w:val="00AC14CC"/>
    <w:rsid w:val="00AC7CB0"/>
    <w:rsid w:val="00AE4375"/>
    <w:rsid w:val="00AF3A17"/>
    <w:rsid w:val="00AF4011"/>
    <w:rsid w:val="00B06AAA"/>
    <w:rsid w:val="00B43B00"/>
    <w:rsid w:val="00B448D6"/>
    <w:rsid w:val="00B56585"/>
    <w:rsid w:val="00B611BF"/>
    <w:rsid w:val="00B62C82"/>
    <w:rsid w:val="00B82458"/>
    <w:rsid w:val="00B85A36"/>
    <w:rsid w:val="00B85E00"/>
    <w:rsid w:val="00B93ADB"/>
    <w:rsid w:val="00BA6E68"/>
    <w:rsid w:val="00BD1238"/>
    <w:rsid w:val="00BE1E1B"/>
    <w:rsid w:val="00BF3259"/>
    <w:rsid w:val="00BF4E58"/>
    <w:rsid w:val="00BF5685"/>
    <w:rsid w:val="00BF6051"/>
    <w:rsid w:val="00BF7EB1"/>
    <w:rsid w:val="00C00DB0"/>
    <w:rsid w:val="00C1241A"/>
    <w:rsid w:val="00C20A48"/>
    <w:rsid w:val="00C219B4"/>
    <w:rsid w:val="00C2288A"/>
    <w:rsid w:val="00C31A4F"/>
    <w:rsid w:val="00C552A6"/>
    <w:rsid w:val="00C62CA0"/>
    <w:rsid w:val="00C75DDC"/>
    <w:rsid w:val="00C944F9"/>
    <w:rsid w:val="00CB6239"/>
    <w:rsid w:val="00CD25D0"/>
    <w:rsid w:val="00CD73EC"/>
    <w:rsid w:val="00CE68E6"/>
    <w:rsid w:val="00CF0560"/>
    <w:rsid w:val="00D0359B"/>
    <w:rsid w:val="00D03E4C"/>
    <w:rsid w:val="00D07A37"/>
    <w:rsid w:val="00D106C8"/>
    <w:rsid w:val="00D11038"/>
    <w:rsid w:val="00D169A8"/>
    <w:rsid w:val="00D21FA8"/>
    <w:rsid w:val="00D2723C"/>
    <w:rsid w:val="00D36D0C"/>
    <w:rsid w:val="00D573AA"/>
    <w:rsid w:val="00D715CB"/>
    <w:rsid w:val="00D72846"/>
    <w:rsid w:val="00D7524B"/>
    <w:rsid w:val="00D87E91"/>
    <w:rsid w:val="00D87FF8"/>
    <w:rsid w:val="00D9095D"/>
    <w:rsid w:val="00D93934"/>
    <w:rsid w:val="00D9547E"/>
    <w:rsid w:val="00DA27FF"/>
    <w:rsid w:val="00DB788D"/>
    <w:rsid w:val="00DC5CC9"/>
    <w:rsid w:val="00DD3072"/>
    <w:rsid w:val="00DD46CC"/>
    <w:rsid w:val="00DD63DC"/>
    <w:rsid w:val="00DE48C9"/>
    <w:rsid w:val="00DF0A69"/>
    <w:rsid w:val="00E02D47"/>
    <w:rsid w:val="00E03C1A"/>
    <w:rsid w:val="00E05F19"/>
    <w:rsid w:val="00E27938"/>
    <w:rsid w:val="00E31EBA"/>
    <w:rsid w:val="00E623F7"/>
    <w:rsid w:val="00E62881"/>
    <w:rsid w:val="00E67DBF"/>
    <w:rsid w:val="00E76597"/>
    <w:rsid w:val="00E809F4"/>
    <w:rsid w:val="00E81545"/>
    <w:rsid w:val="00E868E9"/>
    <w:rsid w:val="00E908AA"/>
    <w:rsid w:val="00E94225"/>
    <w:rsid w:val="00E95330"/>
    <w:rsid w:val="00EA0E9F"/>
    <w:rsid w:val="00EB2FE2"/>
    <w:rsid w:val="00EB70DD"/>
    <w:rsid w:val="00ED50F6"/>
    <w:rsid w:val="00ED51EE"/>
    <w:rsid w:val="00EE7D0D"/>
    <w:rsid w:val="00F01F83"/>
    <w:rsid w:val="00F141E3"/>
    <w:rsid w:val="00F232F6"/>
    <w:rsid w:val="00F266E3"/>
    <w:rsid w:val="00F27E9C"/>
    <w:rsid w:val="00F406AB"/>
    <w:rsid w:val="00F5184B"/>
    <w:rsid w:val="00F573CE"/>
    <w:rsid w:val="00F65741"/>
    <w:rsid w:val="00F748ED"/>
    <w:rsid w:val="00FA33A4"/>
    <w:rsid w:val="00FA5BEB"/>
    <w:rsid w:val="00FA647F"/>
    <w:rsid w:val="00FC2718"/>
    <w:rsid w:val="00FD3DD9"/>
    <w:rsid w:val="00FD43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251E30A8"/>
  <w15:docId w15:val="{6CD7598F-7CEA-48BE-BABC-397E90E346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2">
    <w:name w:val="heading 2"/>
    <w:basedOn w:val="a"/>
    <w:next w:val="a"/>
    <w:link w:val="20"/>
    <w:uiPriority w:val="9"/>
    <w:unhideWhenUsed/>
    <w:qFormat/>
    <w:rsid w:val="00ED50F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215EA"/>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A215EA"/>
    <w:rPr>
      <w:sz w:val="18"/>
      <w:szCs w:val="18"/>
    </w:rPr>
  </w:style>
  <w:style w:type="paragraph" w:styleId="a5">
    <w:name w:val="footer"/>
    <w:basedOn w:val="a"/>
    <w:link w:val="a6"/>
    <w:uiPriority w:val="99"/>
    <w:unhideWhenUsed/>
    <w:rsid w:val="00A215EA"/>
    <w:pPr>
      <w:tabs>
        <w:tab w:val="center" w:pos="4153"/>
        <w:tab w:val="right" w:pos="8306"/>
      </w:tabs>
      <w:snapToGrid w:val="0"/>
      <w:jc w:val="left"/>
    </w:pPr>
    <w:rPr>
      <w:sz w:val="18"/>
      <w:szCs w:val="18"/>
    </w:rPr>
  </w:style>
  <w:style w:type="character" w:customStyle="1" w:styleId="a6">
    <w:name w:val="页脚 字符"/>
    <w:basedOn w:val="a0"/>
    <w:link w:val="a5"/>
    <w:uiPriority w:val="99"/>
    <w:rsid w:val="00A215EA"/>
    <w:rPr>
      <w:sz w:val="18"/>
      <w:szCs w:val="18"/>
    </w:rPr>
  </w:style>
  <w:style w:type="character" w:customStyle="1" w:styleId="20">
    <w:name w:val="标题 2 字符"/>
    <w:basedOn w:val="a0"/>
    <w:link w:val="2"/>
    <w:uiPriority w:val="9"/>
    <w:rsid w:val="00ED50F6"/>
    <w:rPr>
      <w:rFonts w:asciiTheme="majorHAnsi" w:eastAsiaTheme="majorEastAsia" w:hAnsiTheme="majorHAnsi" w:cstheme="majorBidi"/>
      <w:b/>
      <w:bCs/>
      <w:sz w:val="32"/>
      <w:szCs w:val="32"/>
    </w:rPr>
  </w:style>
  <w:style w:type="paragraph" w:styleId="a7">
    <w:name w:val="Balloon Text"/>
    <w:basedOn w:val="a"/>
    <w:link w:val="a8"/>
    <w:uiPriority w:val="99"/>
    <w:semiHidden/>
    <w:unhideWhenUsed/>
    <w:rsid w:val="00523199"/>
    <w:rPr>
      <w:sz w:val="18"/>
      <w:szCs w:val="18"/>
    </w:rPr>
  </w:style>
  <w:style w:type="character" w:customStyle="1" w:styleId="a8">
    <w:name w:val="批注框文本 字符"/>
    <w:basedOn w:val="a0"/>
    <w:link w:val="a7"/>
    <w:uiPriority w:val="99"/>
    <w:semiHidden/>
    <w:rsid w:val="00523199"/>
    <w:rPr>
      <w:sz w:val="18"/>
      <w:szCs w:val="18"/>
    </w:rPr>
  </w:style>
  <w:style w:type="character" w:styleId="a9">
    <w:name w:val="annotation reference"/>
    <w:basedOn w:val="a0"/>
    <w:uiPriority w:val="99"/>
    <w:semiHidden/>
    <w:unhideWhenUsed/>
    <w:rsid w:val="0063249D"/>
    <w:rPr>
      <w:sz w:val="21"/>
      <w:szCs w:val="21"/>
    </w:rPr>
  </w:style>
  <w:style w:type="paragraph" w:styleId="aa">
    <w:name w:val="annotation text"/>
    <w:basedOn w:val="a"/>
    <w:link w:val="ab"/>
    <w:uiPriority w:val="99"/>
    <w:semiHidden/>
    <w:unhideWhenUsed/>
    <w:rsid w:val="0063249D"/>
    <w:pPr>
      <w:jc w:val="left"/>
    </w:pPr>
  </w:style>
  <w:style w:type="character" w:customStyle="1" w:styleId="ab">
    <w:name w:val="批注文字 字符"/>
    <w:basedOn w:val="a0"/>
    <w:link w:val="aa"/>
    <w:uiPriority w:val="99"/>
    <w:semiHidden/>
    <w:rsid w:val="0063249D"/>
  </w:style>
  <w:style w:type="paragraph" w:styleId="ac">
    <w:name w:val="annotation subject"/>
    <w:basedOn w:val="aa"/>
    <w:next w:val="aa"/>
    <w:link w:val="ad"/>
    <w:uiPriority w:val="99"/>
    <w:semiHidden/>
    <w:unhideWhenUsed/>
    <w:rsid w:val="0063249D"/>
    <w:rPr>
      <w:b/>
      <w:bCs/>
    </w:rPr>
  </w:style>
  <w:style w:type="character" w:customStyle="1" w:styleId="ad">
    <w:name w:val="批注主题 字符"/>
    <w:basedOn w:val="ab"/>
    <w:link w:val="ac"/>
    <w:uiPriority w:val="99"/>
    <w:semiHidden/>
    <w:rsid w:val="0063249D"/>
    <w:rPr>
      <w:b/>
      <w:bCs/>
    </w:rPr>
  </w:style>
  <w:style w:type="paragraph" w:customStyle="1" w:styleId="dazhangjie">
    <w:name w:val="dazhangjie"/>
    <w:basedOn w:val="a"/>
    <w:rsid w:val="00731161"/>
    <w:pPr>
      <w:widowControl/>
      <w:autoSpaceDE w:val="0"/>
      <w:autoSpaceDN w:val="0"/>
      <w:adjustRightInd w:val="0"/>
      <w:spacing w:before="30" w:line="288" w:lineRule="auto"/>
      <w:ind w:left="15"/>
      <w:jc w:val="left"/>
      <w:outlineLvl w:val="0"/>
    </w:pPr>
    <w:rPr>
      <w:rFonts w:ascii="宋体" w:eastAsia="宋体" w:hAnsi="宋体" w:cs="宋体"/>
      <w:kern w:val="0"/>
      <w:sz w:val="24"/>
      <w:szCs w:val="24"/>
    </w:rPr>
  </w:style>
  <w:style w:type="paragraph" w:customStyle="1" w:styleId="biaogeleft">
    <w:name w:val="biaoge_left"/>
    <w:basedOn w:val="a"/>
    <w:rsid w:val="00731161"/>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neirong">
    <w:name w:val="neirong"/>
    <w:basedOn w:val="a"/>
    <w:rsid w:val="006074B3"/>
    <w:pPr>
      <w:widowControl/>
      <w:spacing w:before="100" w:beforeAutospacing="1" w:after="100" w:afterAutospacing="1"/>
      <w:jc w:val="left"/>
    </w:pPr>
    <w:rPr>
      <w:rFonts w:ascii="宋体" w:eastAsia="宋体" w:hAnsi="宋体" w:cs="宋体"/>
      <w:kern w:val="0"/>
      <w:sz w:val="24"/>
      <w:szCs w:val="24"/>
    </w:rPr>
  </w:style>
  <w:style w:type="table" w:styleId="ae">
    <w:name w:val="Table Grid"/>
    <w:basedOn w:val="a1"/>
    <w:uiPriority w:val="39"/>
    <w:qFormat/>
    <w:rsid w:val="00312617"/>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
    <w:name w:val="Revision"/>
    <w:hidden/>
    <w:uiPriority w:val="99"/>
    <w:semiHidden/>
    <w:rsid w:val="005375E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17500865">
      <w:bodyDiv w:val="1"/>
      <w:marLeft w:val="0"/>
      <w:marRight w:val="0"/>
      <w:marTop w:val="0"/>
      <w:marBottom w:val="0"/>
      <w:divBdr>
        <w:top w:val="none" w:sz="0" w:space="0" w:color="auto"/>
        <w:left w:val="none" w:sz="0" w:space="0" w:color="auto"/>
        <w:bottom w:val="none" w:sz="0" w:space="0" w:color="auto"/>
        <w:right w:val="none" w:sz="0" w:space="0" w:color="auto"/>
      </w:divBdr>
    </w:div>
    <w:div w:id="19519327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110</TotalTime>
  <Pages>3</Pages>
  <Words>252</Words>
  <Characters>1441</Characters>
  <Application>Microsoft Office Word</Application>
  <DocSecurity>0</DocSecurity>
  <Lines>12</Lines>
  <Paragraphs>3</Paragraphs>
  <ScaleCrop>false</ScaleCrop>
  <Company>Microsoft</Company>
  <LinksUpToDate>false</LinksUpToDate>
  <CharactersWithSpaces>1690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路亭</dc:creator>
  <cp:lastModifiedBy>徐铮</cp:lastModifiedBy>
  <cp:revision>65</cp:revision>
  <cp:lastPrinted>2018-02-26T02:42:00Z</cp:lastPrinted>
  <dcterms:created xsi:type="dcterms:W3CDTF">2021-04-13T01:58:00Z</dcterms:created>
  <dcterms:modified xsi:type="dcterms:W3CDTF">2025-03-27T08:37:00Z</dcterms:modified>
</cp:coreProperties>
</file>