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CF0582A" w14:textId="77777777" w:rsidR="00961D07" w:rsidRPr="00C259FD" w:rsidRDefault="00DC741B" w:rsidP="00C259FD">
      <w:pPr>
        <w:pStyle w:val="a4"/>
        <w:spacing w:before="33" w:line="360" w:lineRule="auto"/>
        <w:ind w:left="2021"/>
        <w:outlineLvl w:val="0"/>
        <w:rPr>
          <w:rFonts w:ascii="黑体" w:eastAsia="黑体" w:hAnsi="黑体" w:cs="黑体"/>
          <w:sz w:val="44"/>
          <w:szCs w:val="44"/>
          <w:lang w:eastAsia="zh-CN"/>
        </w:rPr>
      </w:pPr>
      <w:r w:rsidRPr="00C259FD">
        <w:rPr>
          <w:rFonts w:ascii="黑体" w:eastAsia="黑体" w:hAnsi="黑体" w:cs="黑体" w:hint="eastAsia"/>
          <w:b/>
          <w:bCs/>
          <w:spacing w:val="11"/>
          <w:sz w:val="44"/>
          <w:szCs w:val="44"/>
          <w:lang w:eastAsia="zh-CN"/>
        </w:rPr>
        <w:t>富荣</w:t>
      </w:r>
      <w:r w:rsidRPr="00C259FD">
        <w:rPr>
          <w:rFonts w:ascii="黑体" w:eastAsia="黑体" w:hAnsi="黑体" w:cs="黑体"/>
          <w:b/>
          <w:bCs/>
          <w:spacing w:val="11"/>
          <w:sz w:val="44"/>
          <w:szCs w:val="44"/>
          <w:lang w:eastAsia="zh-CN"/>
        </w:rPr>
        <w:t>基金管理公司旗下公</w:t>
      </w:r>
      <w:proofErr w:type="gramStart"/>
      <w:r w:rsidRPr="00C259FD">
        <w:rPr>
          <w:rFonts w:ascii="黑体" w:eastAsia="黑体" w:hAnsi="黑体" w:cs="黑体"/>
          <w:b/>
          <w:bCs/>
          <w:spacing w:val="11"/>
          <w:sz w:val="44"/>
          <w:szCs w:val="44"/>
          <w:lang w:eastAsia="zh-CN"/>
        </w:rPr>
        <w:t>募基金</w:t>
      </w:r>
      <w:proofErr w:type="gramEnd"/>
      <w:r w:rsidRPr="00C259FD">
        <w:rPr>
          <w:rFonts w:ascii="黑体" w:eastAsia="黑体" w:hAnsi="黑体" w:cs="黑体"/>
          <w:b/>
          <w:bCs/>
          <w:spacing w:val="11"/>
          <w:sz w:val="44"/>
          <w:szCs w:val="44"/>
          <w:lang w:eastAsia="zh-CN"/>
        </w:rPr>
        <w:t>通过</w:t>
      </w:r>
    </w:p>
    <w:p w14:paraId="0B731DED" w14:textId="77777777" w:rsidR="00961D07" w:rsidRPr="00C259FD" w:rsidRDefault="00DC741B" w:rsidP="00C259FD">
      <w:pPr>
        <w:pStyle w:val="a4"/>
        <w:spacing w:before="2" w:line="360" w:lineRule="auto"/>
        <w:ind w:left="2175"/>
        <w:outlineLvl w:val="0"/>
        <w:rPr>
          <w:rFonts w:ascii="黑体" w:eastAsia="黑体" w:hAnsi="黑体" w:cs="黑体"/>
          <w:sz w:val="44"/>
          <w:szCs w:val="44"/>
          <w:lang w:eastAsia="zh-CN"/>
        </w:rPr>
      </w:pPr>
      <w:r w:rsidRPr="00C259FD">
        <w:rPr>
          <w:rFonts w:ascii="黑体" w:eastAsia="黑体" w:hAnsi="黑体" w:cs="黑体"/>
          <w:b/>
          <w:bCs/>
          <w:spacing w:val="11"/>
          <w:sz w:val="44"/>
          <w:szCs w:val="44"/>
          <w:lang w:eastAsia="zh-CN"/>
        </w:rPr>
        <w:t>证券公司证券交易及佣金支付情况</w:t>
      </w:r>
    </w:p>
    <w:p w14:paraId="5A4FB854" w14:textId="6204D4EB" w:rsidR="00961D07" w:rsidRPr="00C259FD" w:rsidRDefault="00DC741B" w:rsidP="00C259FD">
      <w:pPr>
        <w:pStyle w:val="a4"/>
        <w:spacing w:before="1" w:line="360" w:lineRule="auto"/>
        <w:ind w:left="3895"/>
        <w:outlineLvl w:val="0"/>
        <w:rPr>
          <w:rFonts w:ascii="黑体" w:eastAsia="黑体" w:hAnsi="黑体" w:cs="黑体"/>
          <w:sz w:val="44"/>
          <w:szCs w:val="44"/>
          <w:lang w:eastAsia="zh-CN"/>
        </w:rPr>
      </w:pPr>
      <w:r w:rsidRPr="00C259FD">
        <w:rPr>
          <w:rFonts w:ascii="黑体" w:eastAsia="黑体" w:hAnsi="黑体" w:cs="黑体"/>
          <w:b/>
          <w:bCs/>
          <w:sz w:val="44"/>
          <w:szCs w:val="44"/>
          <w:lang w:eastAsia="zh-CN"/>
        </w:rPr>
        <w:t>（2024年度）</w:t>
      </w:r>
    </w:p>
    <w:p w14:paraId="4A0AC752" w14:textId="77777777" w:rsidR="00961D07" w:rsidRPr="00C259FD" w:rsidRDefault="00961D07" w:rsidP="00C259FD">
      <w:pPr>
        <w:spacing w:line="360" w:lineRule="auto"/>
        <w:rPr>
          <w:rFonts w:ascii="黑体" w:eastAsia="黑体" w:hAnsi="黑体" w:cs="黑体"/>
          <w:lang w:eastAsia="zh-CN"/>
        </w:rPr>
      </w:pPr>
    </w:p>
    <w:p w14:paraId="1A8D602B" w14:textId="6E691D60" w:rsidR="00961D07" w:rsidRPr="00C259FD" w:rsidRDefault="00DC741B" w:rsidP="00C259FD">
      <w:pPr>
        <w:numPr>
          <w:ilvl w:val="255"/>
          <w:numId w:val="0"/>
        </w:numPr>
        <w:spacing w:before="101" w:line="360" w:lineRule="auto"/>
        <w:ind w:firstLineChars="100" w:firstLine="290"/>
        <w:rPr>
          <w:rFonts w:ascii="黑体" w:eastAsia="黑体" w:hAnsi="黑体" w:cs="黑体"/>
          <w:b/>
          <w:bCs/>
          <w:sz w:val="28"/>
          <w:szCs w:val="28"/>
          <w:lang w:eastAsia="zh-CN"/>
        </w:rPr>
      </w:pPr>
      <w:r w:rsidRPr="00C259FD">
        <w:rPr>
          <w:rFonts w:ascii="黑体" w:eastAsia="黑体" w:hAnsi="黑体" w:cs="黑体" w:hint="eastAsia"/>
          <w:b/>
          <w:bCs/>
          <w:spacing w:val="9"/>
          <w:sz w:val="28"/>
          <w:szCs w:val="28"/>
          <w:lang w:eastAsia="zh-CN"/>
        </w:rPr>
        <w:t>一、</w:t>
      </w:r>
      <w:r w:rsidRPr="00C259FD">
        <w:rPr>
          <w:rFonts w:ascii="黑体" w:eastAsia="黑体" w:hAnsi="黑体" w:cs="黑体"/>
          <w:b/>
          <w:bCs/>
          <w:spacing w:val="9"/>
          <w:sz w:val="28"/>
          <w:szCs w:val="28"/>
          <w:lang w:eastAsia="zh-CN"/>
        </w:rPr>
        <w:t>选择证券公司参与证券交易的标准和程序</w:t>
      </w:r>
    </w:p>
    <w:p w14:paraId="3CAF211F" w14:textId="5198DC31" w:rsidR="00961D07" w:rsidRPr="00C259FD" w:rsidRDefault="00DC741B" w:rsidP="00C259FD">
      <w:pPr>
        <w:pStyle w:val="a4"/>
        <w:numPr>
          <w:ilvl w:val="0"/>
          <w:numId w:val="1"/>
        </w:numPr>
        <w:spacing w:before="302" w:line="360" w:lineRule="auto"/>
        <w:ind w:firstLine="482"/>
        <w:rPr>
          <w:rFonts w:ascii="黑体" w:eastAsia="黑体" w:hAnsi="黑体" w:cs="黑体"/>
          <w:b/>
          <w:bCs/>
          <w:sz w:val="24"/>
          <w:szCs w:val="24"/>
          <w:lang w:eastAsia="zh-CN"/>
        </w:rPr>
      </w:pPr>
      <w:r w:rsidRPr="00C259FD">
        <w:rPr>
          <w:rFonts w:ascii="黑体" w:eastAsia="黑体" w:hAnsi="黑体" w:cs="黑体" w:hint="eastAsia"/>
          <w:b/>
          <w:bCs/>
          <w:sz w:val="24"/>
          <w:szCs w:val="24"/>
          <w:lang w:eastAsia="zh-CN"/>
        </w:rPr>
        <w:t>选择标准</w:t>
      </w:r>
    </w:p>
    <w:p w14:paraId="25967163" w14:textId="77777777" w:rsidR="00961D07" w:rsidRDefault="00DC741B" w:rsidP="00C259FD">
      <w:pPr>
        <w:pStyle w:val="a4"/>
        <w:spacing w:before="302" w:line="360" w:lineRule="auto"/>
        <w:ind w:firstLineChars="400" w:firstLine="960"/>
        <w:rPr>
          <w:rFonts w:ascii="黑体" w:eastAsia="黑体" w:hAnsi="黑体" w:cs="黑体"/>
          <w:sz w:val="24"/>
          <w:szCs w:val="24"/>
          <w:lang w:eastAsia="zh-CN"/>
        </w:rPr>
      </w:pPr>
      <w:r w:rsidRPr="00C259FD">
        <w:rPr>
          <w:rFonts w:ascii="黑体" w:eastAsia="黑体" w:hAnsi="黑体" w:cs="黑体" w:hint="eastAsia"/>
          <w:sz w:val="24"/>
          <w:szCs w:val="24"/>
          <w:lang w:eastAsia="zh-CN"/>
        </w:rPr>
        <w:t>公司在选择证券公司作为证券经纪商办理基金产品的证券交易时，主要从以下方面进行考察和评估：</w:t>
      </w:r>
    </w:p>
    <w:p w14:paraId="4AE18A64" w14:textId="7044286D" w:rsidR="00961D07" w:rsidRDefault="00DC741B" w:rsidP="00C259FD">
      <w:pPr>
        <w:pStyle w:val="a4"/>
        <w:numPr>
          <w:ilvl w:val="255"/>
          <w:numId w:val="0"/>
        </w:numPr>
        <w:spacing w:before="302" w:line="360" w:lineRule="auto"/>
        <w:ind w:firstLineChars="400" w:firstLine="960"/>
        <w:rPr>
          <w:rFonts w:ascii="黑体" w:eastAsia="黑体" w:hAnsi="黑体" w:cs="黑体"/>
          <w:sz w:val="24"/>
          <w:szCs w:val="24"/>
          <w:lang w:eastAsia="zh-CN"/>
        </w:rPr>
      </w:pPr>
      <w:r>
        <w:rPr>
          <w:rFonts w:ascii="黑体" w:eastAsia="黑体" w:hAnsi="黑体" w:cs="黑体"/>
          <w:sz w:val="24"/>
          <w:szCs w:val="24"/>
          <w:lang w:eastAsia="zh-CN"/>
        </w:rPr>
        <w:t>1</w:t>
      </w:r>
      <w:r>
        <w:rPr>
          <w:rFonts w:ascii="黑体" w:eastAsia="黑体" w:hAnsi="黑体" w:cs="黑体" w:hint="eastAsia"/>
          <w:sz w:val="24"/>
          <w:szCs w:val="24"/>
          <w:lang w:eastAsia="zh-CN"/>
        </w:rPr>
        <w:t>、</w:t>
      </w:r>
      <w:r w:rsidRPr="00C259FD">
        <w:rPr>
          <w:rFonts w:ascii="黑体" w:eastAsia="黑体" w:hAnsi="黑体" w:cs="黑体" w:hint="eastAsia"/>
          <w:sz w:val="24"/>
          <w:szCs w:val="24"/>
          <w:lang w:eastAsia="zh-CN"/>
        </w:rPr>
        <w:t>证券公司经营管理状况：证券公司应具备相应业务资格，财务状况良好，经营行为规范，内部管理规范，建立了严格的信息隔离制度，能有效保障基金有关敏感信息的安全和保密。</w:t>
      </w:r>
    </w:p>
    <w:p w14:paraId="4986F518" w14:textId="01CFDBA2" w:rsidR="00961D07" w:rsidRDefault="00DC741B" w:rsidP="00C259FD">
      <w:pPr>
        <w:pStyle w:val="a4"/>
        <w:numPr>
          <w:ilvl w:val="255"/>
          <w:numId w:val="0"/>
        </w:numPr>
        <w:spacing w:before="302" w:line="360" w:lineRule="auto"/>
        <w:ind w:firstLineChars="400" w:firstLine="960"/>
        <w:rPr>
          <w:rFonts w:ascii="黑体" w:eastAsia="黑体" w:hAnsi="黑体" w:cs="黑体"/>
          <w:sz w:val="24"/>
          <w:szCs w:val="24"/>
          <w:lang w:eastAsia="zh-CN"/>
        </w:rPr>
      </w:pPr>
      <w:r>
        <w:rPr>
          <w:rFonts w:ascii="黑体" w:eastAsia="黑体" w:hAnsi="黑体" w:cs="黑体"/>
          <w:sz w:val="24"/>
          <w:szCs w:val="24"/>
          <w:lang w:eastAsia="zh-CN"/>
        </w:rPr>
        <w:t>2</w:t>
      </w:r>
      <w:r>
        <w:rPr>
          <w:rFonts w:ascii="黑体" w:eastAsia="黑体" w:hAnsi="黑体" w:cs="黑体" w:hint="eastAsia"/>
          <w:sz w:val="24"/>
          <w:szCs w:val="24"/>
          <w:lang w:eastAsia="zh-CN"/>
        </w:rPr>
        <w:t>、</w:t>
      </w:r>
      <w:r w:rsidRPr="00C259FD">
        <w:rPr>
          <w:rFonts w:ascii="黑体" w:eastAsia="黑体" w:hAnsi="黑体" w:cs="黑体" w:hint="eastAsia"/>
          <w:sz w:val="24"/>
          <w:szCs w:val="24"/>
          <w:lang w:eastAsia="zh-CN"/>
        </w:rPr>
        <w:t>证券公司合</w:t>
      </w:r>
      <w:proofErr w:type="gramStart"/>
      <w:r w:rsidRPr="00C259FD">
        <w:rPr>
          <w:rFonts w:ascii="黑体" w:eastAsia="黑体" w:hAnsi="黑体" w:cs="黑体" w:hint="eastAsia"/>
          <w:sz w:val="24"/>
          <w:szCs w:val="24"/>
          <w:lang w:eastAsia="zh-CN"/>
        </w:rPr>
        <w:t>规风控</w:t>
      </w:r>
      <w:proofErr w:type="gramEnd"/>
      <w:r w:rsidRPr="00C259FD">
        <w:rPr>
          <w:rFonts w:ascii="黑体" w:eastAsia="黑体" w:hAnsi="黑体" w:cs="黑体" w:hint="eastAsia"/>
          <w:sz w:val="24"/>
          <w:szCs w:val="24"/>
          <w:lang w:eastAsia="zh-CN"/>
        </w:rPr>
        <w:t>管理情况：证券公司应拥有健全的内部控制体系及内部管理制度，有效防范相关业务的利益冲突。</w:t>
      </w:r>
    </w:p>
    <w:p w14:paraId="59758098" w14:textId="1E29770C" w:rsidR="00961D07" w:rsidRDefault="00DC741B" w:rsidP="00C259FD">
      <w:pPr>
        <w:pStyle w:val="a4"/>
        <w:numPr>
          <w:ilvl w:val="255"/>
          <w:numId w:val="0"/>
        </w:numPr>
        <w:spacing w:before="302" w:line="360" w:lineRule="auto"/>
        <w:ind w:firstLineChars="400" w:firstLine="960"/>
        <w:rPr>
          <w:rFonts w:ascii="黑体" w:eastAsia="黑体" w:hAnsi="黑体" w:cs="黑体"/>
          <w:sz w:val="24"/>
          <w:szCs w:val="24"/>
          <w:lang w:eastAsia="zh-CN"/>
        </w:rPr>
      </w:pPr>
      <w:r>
        <w:rPr>
          <w:rFonts w:ascii="黑体" w:eastAsia="黑体" w:hAnsi="黑体" w:cs="黑体"/>
          <w:sz w:val="24"/>
          <w:szCs w:val="24"/>
          <w:lang w:eastAsia="zh-CN"/>
        </w:rPr>
        <w:t>3、</w:t>
      </w:r>
      <w:r w:rsidRPr="00C259FD">
        <w:rPr>
          <w:rFonts w:ascii="黑体" w:eastAsia="黑体" w:hAnsi="黑体" w:cs="黑体" w:hint="eastAsia"/>
          <w:sz w:val="24"/>
          <w:szCs w:val="24"/>
          <w:lang w:eastAsia="zh-CN"/>
        </w:rPr>
        <w:t>证券公司的交易服务能力：</w:t>
      </w:r>
      <w:r w:rsidRPr="00C259FD">
        <w:rPr>
          <w:rFonts w:ascii="黑体" w:eastAsia="黑体" w:hAnsi="黑体" w:cs="黑体"/>
          <w:sz w:val="24"/>
          <w:szCs w:val="24"/>
          <w:lang w:eastAsia="zh-CN"/>
        </w:rPr>
        <w:t>证券公司应拥有较完善的交易系统，</w:t>
      </w:r>
      <w:r w:rsidRPr="00C259FD">
        <w:rPr>
          <w:rFonts w:ascii="黑体" w:eastAsia="黑体" w:hAnsi="黑体" w:cs="黑体" w:hint="eastAsia"/>
          <w:sz w:val="24"/>
          <w:szCs w:val="24"/>
          <w:lang w:eastAsia="zh-CN"/>
        </w:rPr>
        <w:t>保持数据传送的及时性与准确性，</w:t>
      </w:r>
      <w:r w:rsidRPr="00C259FD">
        <w:rPr>
          <w:rFonts w:ascii="黑体" w:eastAsia="黑体" w:hAnsi="黑体" w:cs="黑体"/>
          <w:sz w:val="24"/>
          <w:szCs w:val="24"/>
          <w:lang w:eastAsia="zh-CN"/>
        </w:rPr>
        <w:t>能安全、高效地完成证券交易委托</w:t>
      </w:r>
      <w:r w:rsidRPr="00C259FD">
        <w:rPr>
          <w:rFonts w:ascii="黑体" w:eastAsia="黑体" w:hAnsi="黑体" w:cs="黑体" w:hint="eastAsia"/>
          <w:sz w:val="24"/>
          <w:szCs w:val="24"/>
          <w:lang w:eastAsia="zh-CN"/>
        </w:rPr>
        <w:t>。</w:t>
      </w:r>
    </w:p>
    <w:p w14:paraId="7B8B5A96" w14:textId="6BC61F42" w:rsidR="00961D07" w:rsidRPr="00C259FD" w:rsidRDefault="00DC741B" w:rsidP="00C259FD">
      <w:pPr>
        <w:pStyle w:val="a4"/>
        <w:numPr>
          <w:ilvl w:val="255"/>
          <w:numId w:val="0"/>
        </w:numPr>
        <w:spacing w:before="302" w:line="360" w:lineRule="auto"/>
        <w:ind w:firstLineChars="400" w:firstLine="960"/>
        <w:rPr>
          <w:rFonts w:ascii="黑体" w:eastAsia="黑体" w:hAnsi="黑体" w:cs="黑体"/>
          <w:sz w:val="24"/>
          <w:szCs w:val="24"/>
          <w:lang w:eastAsia="zh-CN"/>
        </w:rPr>
      </w:pPr>
      <w:r>
        <w:rPr>
          <w:rFonts w:ascii="黑体" w:eastAsia="黑体" w:hAnsi="黑体" w:cs="黑体"/>
          <w:sz w:val="24"/>
          <w:szCs w:val="24"/>
          <w:lang w:eastAsia="zh-CN"/>
        </w:rPr>
        <w:t>4、</w:t>
      </w:r>
      <w:r w:rsidRPr="00C259FD">
        <w:rPr>
          <w:rFonts w:ascii="黑体" w:eastAsia="黑体" w:hAnsi="黑体" w:cs="黑体" w:hint="eastAsia"/>
          <w:sz w:val="24"/>
          <w:szCs w:val="24"/>
          <w:lang w:eastAsia="zh-CN"/>
        </w:rPr>
        <w:t>证券公司的研究服务能力：对于提供研究服务支持的证券公司，应配备充足专业人员，在</w:t>
      </w:r>
      <w:proofErr w:type="gramStart"/>
      <w:r w:rsidRPr="00C259FD">
        <w:rPr>
          <w:rFonts w:ascii="黑体" w:eastAsia="黑体" w:hAnsi="黑体" w:cs="黑体" w:hint="eastAsia"/>
          <w:sz w:val="24"/>
          <w:szCs w:val="24"/>
          <w:lang w:eastAsia="zh-CN"/>
        </w:rPr>
        <w:t>研</w:t>
      </w:r>
      <w:proofErr w:type="gramEnd"/>
      <w:r w:rsidRPr="00C259FD">
        <w:rPr>
          <w:rFonts w:ascii="黑体" w:eastAsia="黑体" w:hAnsi="黑体" w:cs="黑体" w:hint="eastAsia"/>
          <w:sz w:val="24"/>
          <w:szCs w:val="24"/>
          <w:lang w:eastAsia="zh-CN"/>
        </w:rPr>
        <w:t>报解读、跟踪研究等方面提供专业、审慎的研究服务。</w:t>
      </w:r>
    </w:p>
    <w:p w14:paraId="2C1F19BD" w14:textId="2D638D82" w:rsidR="00961D07" w:rsidRPr="00C259FD" w:rsidRDefault="00DC741B" w:rsidP="00C259FD">
      <w:pPr>
        <w:pStyle w:val="a4"/>
        <w:numPr>
          <w:ilvl w:val="0"/>
          <w:numId w:val="1"/>
        </w:numPr>
        <w:spacing w:before="302" w:line="360" w:lineRule="auto"/>
        <w:ind w:firstLine="482"/>
        <w:rPr>
          <w:rFonts w:ascii="黑体" w:eastAsia="黑体" w:hAnsi="黑体" w:cs="黑体"/>
          <w:b/>
          <w:bCs/>
          <w:sz w:val="24"/>
          <w:szCs w:val="24"/>
          <w:lang w:eastAsia="zh-CN"/>
        </w:rPr>
      </w:pPr>
      <w:r w:rsidRPr="00C259FD">
        <w:rPr>
          <w:rFonts w:ascii="黑体" w:eastAsia="黑体" w:hAnsi="黑体" w:cs="黑体" w:hint="eastAsia"/>
          <w:b/>
          <w:bCs/>
          <w:sz w:val="24"/>
          <w:szCs w:val="24"/>
          <w:lang w:eastAsia="zh-CN"/>
        </w:rPr>
        <w:t>选择程序</w:t>
      </w:r>
    </w:p>
    <w:p w14:paraId="402B3B35" w14:textId="77777777" w:rsidR="00961D07" w:rsidRPr="00C259FD" w:rsidRDefault="00DC741B" w:rsidP="00C259FD">
      <w:pPr>
        <w:pStyle w:val="a4"/>
        <w:spacing w:before="302" w:line="360" w:lineRule="auto"/>
        <w:ind w:firstLineChars="400" w:firstLine="960"/>
        <w:rPr>
          <w:rFonts w:ascii="黑体" w:eastAsia="黑体" w:hAnsi="黑体" w:cs="黑体"/>
          <w:sz w:val="24"/>
          <w:szCs w:val="24"/>
          <w:lang w:eastAsia="zh-CN"/>
        </w:rPr>
      </w:pPr>
      <w:r w:rsidRPr="00C259FD">
        <w:rPr>
          <w:rFonts w:ascii="黑体" w:eastAsia="黑体" w:hAnsi="黑体" w:cs="黑体" w:hint="eastAsia"/>
          <w:sz w:val="24"/>
          <w:szCs w:val="24"/>
          <w:lang w:eastAsia="zh-CN"/>
        </w:rPr>
        <w:t>公司为基金产品选择提供证券经纪服务的证券公司的，应遵守以下流程：</w:t>
      </w:r>
    </w:p>
    <w:p w14:paraId="558B2809" w14:textId="7EE709AE" w:rsidR="00961D07" w:rsidRDefault="00DC741B" w:rsidP="00C259FD">
      <w:pPr>
        <w:pStyle w:val="a4"/>
        <w:numPr>
          <w:ilvl w:val="0"/>
          <w:numId w:val="4"/>
        </w:numPr>
        <w:spacing w:before="302" w:line="360" w:lineRule="auto"/>
        <w:ind w:firstLineChars="400" w:firstLine="960"/>
        <w:rPr>
          <w:rFonts w:ascii="黑体" w:eastAsia="黑体" w:hAnsi="黑体" w:cs="黑体"/>
          <w:sz w:val="24"/>
          <w:szCs w:val="24"/>
          <w:lang w:eastAsia="zh-CN"/>
        </w:rPr>
      </w:pPr>
      <w:r w:rsidRPr="00C259FD">
        <w:rPr>
          <w:rFonts w:ascii="黑体" w:eastAsia="黑体" w:hAnsi="黑体" w:cs="黑体"/>
          <w:sz w:val="24"/>
          <w:szCs w:val="24"/>
          <w:lang w:eastAsia="zh-CN"/>
        </w:rPr>
        <w:t>考察和评估：选择的证券公司应符合公司制度所规定的基本条件，</w:t>
      </w:r>
      <w:r w:rsidRPr="00C259FD">
        <w:rPr>
          <w:rFonts w:ascii="黑体" w:eastAsia="黑体" w:hAnsi="黑体" w:cs="黑体" w:hint="eastAsia"/>
          <w:sz w:val="24"/>
          <w:szCs w:val="24"/>
          <w:lang w:eastAsia="zh-CN"/>
        </w:rPr>
        <w:t>依据《券商准入审批表》的内容</w:t>
      </w:r>
      <w:r w:rsidRPr="00C259FD">
        <w:rPr>
          <w:rFonts w:ascii="黑体" w:eastAsia="黑体" w:hAnsi="黑体" w:cs="黑体"/>
          <w:sz w:val="24"/>
          <w:szCs w:val="24"/>
          <w:lang w:eastAsia="zh-CN"/>
        </w:rPr>
        <w:t>进行考察和评估</w:t>
      </w:r>
      <w:r w:rsidR="00C259FD">
        <w:rPr>
          <w:rFonts w:ascii="黑体" w:eastAsia="黑体" w:hAnsi="黑体" w:cs="黑体" w:hint="eastAsia"/>
          <w:sz w:val="24"/>
          <w:szCs w:val="24"/>
          <w:lang w:eastAsia="zh-CN"/>
        </w:rPr>
        <w:t>。</w:t>
      </w:r>
    </w:p>
    <w:p w14:paraId="3FE9D420" w14:textId="5F389110" w:rsidR="00961D07" w:rsidRDefault="00DC741B" w:rsidP="00C259FD">
      <w:pPr>
        <w:pStyle w:val="a4"/>
        <w:numPr>
          <w:ilvl w:val="255"/>
          <w:numId w:val="0"/>
        </w:numPr>
        <w:spacing w:before="302" w:line="360" w:lineRule="auto"/>
        <w:ind w:firstLineChars="400" w:firstLine="960"/>
        <w:rPr>
          <w:rFonts w:ascii="黑体" w:eastAsia="黑体" w:hAnsi="黑体" w:cs="黑体"/>
          <w:sz w:val="24"/>
          <w:szCs w:val="24"/>
          <w:lang w:eastAsia="zh-CN"/>
        </w:rPr>
      </w:pPr>
      <w:r>
        <w:rPr>
          <w:rFonts w:ascii="黑体" w:eastAsia="黑体" w:hAnsi="黑体" w:cs="黑体"/>
          <w:sz w:val="24"/>
          <w:szCs w:val="24"/>
          <w:lang w:eastAsia="zh-CN"/>
        </w:rPr>
        <w:lastRenderedPageBreak/>
        <w:t>2</w:t>
      </w:r>
      <w:r>
        <w:rPr>
          <w:rFonts w:ascii="黑体" w:eastAsia="黑体" w:hAnsi="黑体" w:cs="黑体" w:hint="eastAsia"/>
          <w:sz w:val="24"/>
          <w:szCs w:val="24"/>
          <w:lang w:eastAsia="zh-CN"/>
        </w:rPr>
        <w:t>、</w:t>
      </w:r>
      <w:r w:rsidRPr="00C259FD">
        <w:rPr>
          <w:rFonts w:ascii="黑体" w:eastAsia="黑体" w:hAnsi="黑体" w:cs="黑体" w:hint="eastAsia"/>
          <w:sz w:val="24"/>
          <w:szCs w:val="24"/>
          <w:lang w:eastAsia="zh-CN"/>
        </w:rPr>
        <w:t>准入审批：由研究部发起审批流程（如基于交易能力选择的证券公司，由交易部或投资组合经理发起），经发起部门负责人、对应分管领导、监察稽核部负责人、督察长、总经理审核后决定是否选用。</w:t>
      </w:r>
    </w:p>
    <w:p w14:paraId="087BB8AE" w14:textId="1821EEAD" w:rsidR="00961D07" w:rsidRDefault="00DC741B" w:rsidP="00C259FD">
      <w:pPr>
        <w:pStyle w:val="a4"/>
        <w:numPr>
          <w:ilvl w:val="255"/>
          <w:numId w:val="0"/>
        </w:numPr>
        <w:spacing w:before="302" w:line="360" w:lineRule="auto"/>
        <w:ind w:firstLineChars="400" w:firstLine="960"/>
        <w:rPr>
          <w:rFonts w:ascii="黑体" w:eastAsia="黑体" w:hAnsi="黑体" w:cs="黑体"/>
          <w:sz w:val="24"/>
          <w:szCs w:val="24"/>
          <w:lang w:eastAsia="zh-CN"/>
        </w:rPr>
      </w:pPr>
      <w:r>
        <w:rPr>
          <w:rFonts w:ascii="黑体" w:eastAsia="黑体" w:hAnsi="黑体" w:cs="黑体"/>
          <w:sz w:val="24"/>
          <w:szCs w:val="24"/>
          <w:lang w:eastAsia="zh-CN"/>
        </w:rPr>
        <w:t>3</w:t>
      </w:r>
      <w:r>
        <w:rPr>
          <w:rFonts w:ascii="黑体" w:eastAsia="黑体" w:hAnsi="黑体" w:cs="黑体" w:hint="eastAsia"/>
          <w:sz w:val="24"/>
          <w:szCs w:val="24"/>
          <w:lang w:eastAsia="zh-CN"/>
        </w:rPr>
        <w:t>、</w:t>
      </w:r>
      <w:r w:rsidRPr="00C259FD">
        <w:rPr>
          <w:rFonts w:ascii="黑体" w:eastAsia="黑体" w:hAnsi="黑体" w:cs="黑体" w:hint="eastAsia"/>
          <w:sz w:val="24"/>
          <w:szCs w:val="24"/>
          <w:lang w:eastAsia="zh-CN"/>
        </w:rPr>
        <w:t>与证券公司签署席位租用协议：准入审批通过后，由公司相关部门发起合同申请流程，经发起部门负责人、发起部门分管领导、监察稽核部负责人、督察长、总经理审核后，与相应证券公司签订合同。</w:t>
      </w:r>
    </w:p>
    <w:p w14:paraId="5520516A" w14:textId="03A854B4" w:rsidR="00961D07" w:rsidRPr="00C259FD" w:rsidRDefault="00DC741B" w:rsidP="00C259FD">
      <w:pPr>
        <w:pStyle w:val="a4"/>
        <w:numPr>
          <w:ilvl w:val="255"/>
          <w:numId w:val="0"/>
        </w:numPr>
        <w:spacing w:before="302" w:line="360" w:lineRule="auto"/>
        <w:ind w:firstLineChars="400" w:firstLine="960"/>
        <w:rPr>
          <w:rFonts w:ascii="黑体" w:eastAsia="黑体" w:hAnsi="黑体" w:cs="黑体"/>
          <w:sz w:val="24"/>
          <w:szCs w:val="24"/>
          <w:lang w:eastAsia="zh-CN"/>
        </w:rPr>
      </w:pPr>
      <w:r>
        <w:rPr>
          <w:rFonts w:ascii="黑体" w:eastAsia="黑体" w:hAnsi="黑体" w:cs="黑体"/>
          <w:sz w:val="24"/>
          <w:szCs w:val="24"/>
          <w:lang w:eastAsia="zh-CN"/>
        </w:rPr>
        <w:t>4</w:t>
      </w:r>
      <w:r>
        <w:rPr>
          <w:rFonts w:ascii="黑体" w:eastAsia="黑体" w:hAnsi="黑体" w:cs="黑体" w:hint="eastAsia"/>
          <w:sz w:val="24"/>
          <w:szCs w:val="24"/>
          <w:lang w:eastAsia="zh-CN"/>
        </w:rPr>
        <w:t>、</w:t>
      </w:r>
      <w:r w:rsidRPr="00C259FD">
        <w:rPr>
          <w:rFonts w:ascii="黑体" w:eastAsia="黑体" w:hAnsi="黑体" w:cs="黑体" w:hint="eastAsia"/>
          <w:sz w:val="24"/>
          <w:szCs w:val="24"/>
          <w:lang w:eastAsia="zh-CN"/>
        </w:rPr>
        <w:t>系统设置与准备：信息技术部和运营部门完成与证券公司系统对接、参数设置、交易准备等方面的工作，经过测试后，告知各相关部门正式启用该证券公司账户进行证券交易。</w:t>
      </w:r>
    </w:p>
    <w:p w14:paraId="39F560C6" w14:textId="4934D20B" w:rsidR="00961D07" w:rsidRPr="00C259FD" w:rsidRDefault="00DC741B" w:rsidP="00C259FD">
      <w:pPr>
        <w:numPr>
          <w:ilvl w:val="255"/>
          <w:numId w:val="0"/>
        </w:numPr>
        <w:spacing w:before="213" w:line="360" w:lineRule="auto"/>
        <w:ind w:firstLineChars="144" w:firstLine="418"/>
        <w:rPr>
          <w:rFonts w:ascii="黑体" w:eastAsia="黑体" w:hAnsi="黑体" w:cs="黑体"/>
          <w:b/>
          <w:bCs/>
          <w:sz w:val="28"/>
          <w:szCs w:val="28"/>
          <w:lang w:eastAsia="zh-CN"/>
        </w:rPr>
      </w:pPr>
      <w:r w:rsidRPr="00C259FD">
        <w:rPr>
          <w:rFonts w:ascii="黑体" w:eastAsia="黑体" w:hAnsi="黑体" w:cs="黑体" w:hint="eastAsia"/>
          <w:b/>
          <w:bCs/>
          <w:spacing w:val="9"/>
          <w:sz w:val="28"/>
          <w:szCs w:val="28"/>
          <w:lang w:eastAsia="zh-CN"/>
        </w:rPr>
        <w:t>二、</w:t>
      </w:r>
      <w:r w:rsidRPr="00C259FD">
        <w:rPr>
          <w:rFonts w:ascii="黑体" w:eastAsia="黑体" w:hAnsi="黑体" w:cs="黑体"/>
          <w:b/>
          <w:bCs/>
          <w:spacing w:val="9"/>
          <w:sz w:val="28"/>
          <w:szCs w:val="28"/>
          <w:lang w:eastAsia="zh-CN"/>
        </w:rPr>
        <w:t>交易量、交易佣金年度汇总及分配情况</w:t>
      </w:r>
    </w:p>
    <w:p w14:paraId="158E4F5E" w14:textId="0A6AC857" w:rsidR="00961D07" w:rsidRPr="00C259FD" w:rsidRDefault="00DC741B" w:rsidP="00C259FD">
      <w:pPr>
        <w:numPr>
          <w:ilvl w:val="0"/>
          <w:numId w:val="5"/>
        </w:numPr>
        <w:spacing w:before="159" w:line="360" w:lineRule="auto"/>
        <w:ind w:right="1219"/>
        <w:outlineLvl w:val="1"/>
        <w:rPr>
          <w:rFonts w:ascii="黑体" w:eastAsia="黑体" w:hAnsi="黑体" w:cs="黑体"/>
          <w:b/>
          <w:bCs/>
          <w:sz w:val="28"/>
          <w:szCs w:val="28"/>
          <w:lang w:eastAsia="zh-CN"/>
        </w:rPr>
      </w:pPr>
      <w:r w:rsidRPr="00C259FD">
        <w:rPr>
          <w:rFonts w:ascii="黑体" w:eastAsia="黑体" w:hAnsi="黑体" w:cs="黑体"/>
          <w:b/>
          <w:bCs/>
          <w:spacing w:val="6"/>
          <w:sz w:val="28"/>
          <w:szCs w:val="28"/>
          <w:lang w:eastAsia="zh-CN"/>
        </w:rPr>
        <w:t>租用证券公司交易单元进行证券投资及佣金支付情</w:t>
      </w:r>
      <w:r w:rsidRPr="00C259FD">
        <w:rPr>
          <w:rFonts w:ascii="黑体" w:eastAsia="黑体" w:hAnsi="黑体" w:cs="黑体"/>
          <w:b/>
          <w:bCs/>
          <w:spacing w:val="-4"/>
          <w:sz w:val="28"/>
          <w:szCs w:val="28"/>
          <w:lang w:eastAsia="zh-CN"/>
        </w:rPr>
        <w:t>况</w:t>
      </w:r>
    </w:p>
    <w:p w14:paraId="0F878EE9" w14:textId="3D946B00" w:rsidR="00961D07" w:rsidRPr="00C259FD" w:rsidRDefault="00DC741B" w:rsidP="00C259FD">
      <w:pPr>
        <w:spacing w:before="176" w:line="360" w:lineRule="auto"/>
        <w:ind w:firstLineChars="200" w:firstLine="490"/>
        <w:outlineLvl w:val="2"/>
        <w:rPr>
          <w:rFonts w:ascii="黑体" w:eastAsia="黑体" w:hAnsi="黑体" w:cs="黑体"/>
          <w:sz w:val="24"/>
          <w:szCs w:val="24"/>
          <w:lang w:eastAsia="zh-CN"/>
        </w:rPr>
      </w:pPr>
      <w:r w:rsidRPr="00C259FD">
        <w:rPr>
          <w:rFonts w:ascii="黑体" w:eastAsia="黑体" w:hAnsi="黑体" w:cs="黑体"/>
          <w:spacing w:val="5"/>
          <w:sz w:val="24"/>
          <w:szCs w:val="24"/>
          <w:lang w:eastAsia="zh-CN"/>
        </w:rPr>
        <w:t>1</w:t>
      </w:r>
      <w:r w:rsidRPr="00C259FD">
        <w:rPr>
          <w:rFonts w:ascii="黑体" w:eastAsia="黑体" w:hAnsi="黑体" w:cs="黑体" w:hint="eastAsia"/>
          <w:spacing w:val="5"/>
          <w:sz w:val="24"/>
          <w:szCs w:val="24"/>
          <w:lang w:eastAsia="zh-CN"/>
        </w:rPr>
        <w:t>、</w:t>
      </w:r>
      <w:r w:rsidRPr="00C259FD">
        <w:rPr>
          <w:rFonts w:ascii="黑体" w:eastAsia="黑体" w:hAnsi="黑体" w:cs="黑体"/>
          <w:spacing w:val="5"/>
          <w:sz w:val="24"/>
          <w:szCs w:val="24"/>
          <w:lang w:eastAsia="zh-CN"/>
        </w:rPr>
        <w:t>股票投资及佣金支付情况</w:t>
      </w:r>
    </w:p>
    <w:p w14:paraId="59CC1C33" w14:textId="5693EAEC" w:rsidR="00961D07" w:rsidRPr="00C259FD" w:rsidRDefault="00C259FD" w:rsidP="00C259FD">
      <w:pPr>
        <w:pStyle w:val="a4"/>
        <w:spacing w:before="176"/>
        <w:ind w:left="7123"/>
        <w:jc w:val="center"/>
        <w:rPr>
          <w:rFonts w:ascii="黑体" w:eastAsia="黑体" w:hAnsi="黑体" w:cs="黑体"/>
        </w:rPr>
      </w:pPr>
      <w:r>
        <w:rPr>
          <w:rFonts w:ascii="黑体" w:eastAsia="黑体" w:hAnsi="黑体" w:cs="黑体" w:hint="eastAsia"/>
          <w:b/>
          <w:bCs/>
          <w:sz w:val="24"/>
          <w:szCs w:val="24"/>
          <w:lang w:eastAsia="zh-CN"/>
        </w:rPr>
        <w:t xml:space="preserve">           </w:t>
      </w:r>
      <w:r w:rsidR="00DC741B" w:rsidRPr="00C259FD">
        <w:rPr>
          <w:rFonts w:ascii="黑体" w:eastAsia="黑体" w:hAnsi="黑体" w:cs="黑体"/>
          <w:b/>
          <w:bCs/>
          <w:sz w:val="24"/>
          <w:szCs w:val="24"/>
        </w:rPr>
        <w:t>金额单位：人民币元</w:t>
      </w:r>
      <w:bookmarkStart w:id="0" w:name="bookmark1"/>
      <w:bookmarkStart w:id="1" w:name="bookmark2"/>
      <w:bookmarkEnd w:id="0"/>
      <w:bookmarkEnd w:id="1"/>
    </w:p>
    <w:tbl>
      <w:tblPr>
        <w:tblW w:w="10955" w:type="dxa"/>
        <w:tblLayout w:type="fixed"/>
        <w:tblLook w:val="04A0" w:firstRow="1" w:lastRow="0" w:firstColumn="1" w:lastColumn="0" w:noHBand="0" w:noVBand="1"/>
      </w:tblPr>
      <w:tblGrid>
        <w:gridCol w:w="1456"/>
        <w:gridCol w:w="2075"/>
        <w:gridCol w:w="1358"/>
        <w:gridCol w:w="675"/>
        <w:gridCol w:w="2141"/>
        <w:gridCol w:w="1935"/>
        <w:gridCol w:w="697"/>
        <w:gridCol w:w="618"/>
      </w:tblGrid>
      <w:tr w:rsidR="00961D07" w14:paraId="6F922BB8" w14:textId="77777777" w:rsidTr="00C259FD">
        <w:tc>
          <w:tcPr>
            <w:tcW w:w="664" w:type="pct"/>
            <w:vMerge w:val="restar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0662B35D" w14:textId="77777777" w:rsidR="00961D07" w:rsidRPr="00C259FD" w:rsidRDefault="00DC741B" w:rsidP="00C259FD">
            <w:pPr>
              <w:pStyle w:val="biaogecenter"/>
              <w:wordWrap w:val="0"/>
              <w:spacing w:line="240" w:lineRule="auto"/>
              <w:rPr>
                <w:rFonts w:ascii="黑体" w:eastAsia="黑体" w:hAnsi="黑体" w:cs="黑体"/>
                <w:b/>
                <w:bCs/>
              </w:rPr>
            </w:pPr>
            <w:r w:rsidRPr="00C259FD">
              <w:rPr>
                <w:rFonts w:ascii="黑体" w:eastAsia="黑体" w:hAnsi="黑体" w:cs="黑体" w:hint="eastAsia"/>
                <w:b/>
                <w:bCs/>
                <w:color w:val="000000"/>
              </w:rPr>
              <w:t>证券公司名称</w:t>
            </w:r>
          </w:p>
        </w:tc>
        <w:tc>
          <w:tcPr>
            <w:tcW w:w="1875" w:type="pct"/>
            <w:gridSpan w:val="3"/>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3879A4E" w14:textId="77777777" w:rsidR="00961D07" w:rsidRPr="00C259FD" w:rsidRDefault="00DC741B" w:rsidP="00C259FD">
            <w:pPr>
              <w:pStyle w:val="biaogecenter"/>
              <w:wordWrap w:val="0"/>
              <w:spacing w:line="240" w:lineRule="auto"/>
              <w:rPr>
                <w:rFonts w:ascii="黑体" w:eastAsia="黑体" w:hAnsi="黑体" w:cs="黑体"/>
                <w:b/>
                <w:bCs/>
              </w:rPr>
            </w:pPr>
            <w:r w:rsidRPr="00C259FD">
              <w:rPr>
                <w:rFonts w:ascii="黑体" w:eastAsia="黑体" w:hAnsi="黑体" w:cs="黑体" w:hint="eastAsia"/>
                <w:b/>
                <w:bCs/>
                <w:color w:val="000000"/>
              </w:rPr>
              <w:t>被动股票型基金</w:t>
            </w:r>
          </w:p>
        </w:tc>
        <w:tc>
          <w:tcPr>
            <w:tcW w:w="2178" w:type="pct"/>
            <w:gridSpan w:val="3"/>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5437598F" w14:textId="77777777" w:rsidR="00961D07" w:rsidRPr="00C259FD" w:rsidRDefault="00DC741B" w:rsidP="00C259FD">
            <w:pPr>
              <w:pStyle w:val="biaogecenter"/>
              <w:wordWrap w:val="0"/>
              <w:spacing w:line="240" w:lineRule="auto"/>
              <w:rPr>
                <w:rFonts w:ascii="黑体" w:eastAsia="黑体" w:hAnsi="黑体" w:cs="黑体"/>
                <w:b/>
                <w:bCs/>
              </w:rPr>
            </w:pPr>
            <w:r w:rsidRPr="00C259FD">
              <w:rPr>
                <w:rFonts w:ascii="黑体" w:eastAsia="黑体" w:hAnsi="黑体" w:cs="黑体" w:hint="eastAsia"/>
                <w:b/>
                <w:bCs/>
                <w:color w:val="000000"/>
              </w:rPr>
              <w:t>其他类型基金</w:t>
            </w:r>
          </w:p>
        </w:tc>
        <w:tc>
          <w:tcPr>
            <w:tcW w:w="282" w:type="pct"/>
            <w:vMerge w:val="restar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6A7397C4" w14:textId="77777777" w:rsidR="00961D07" w:rsidRPr="00C259FD" w:rsidRDefault="00DC741B" w:rsidP="00C259FD">
            <w:pPr>
              <w:pStyle w:val="biaogecenter"/>
              <w:wordWrap w:val="0"/>
              <w:spacing w:line="240" w:lineRule="auto"/>
              <w:rPr>
                <w:rFonts w:ascii="黑体" w:eastAsia="黑体" w:hAnsi="黑体" w:cs="黑体"/>
                <w:b/>
                <w:bCs/>
              </w:rPr>
            </w:pPr>
            <w:r w:rsidRPr="00C259FD">
              <w:rPr>
                <w:rFonts w:ascii="黑体" w:eastAsia="黑体" w:hAnsi="黑体" w:cs="黑体" w:hint="eastAsia"/>
                <w:b/>
                <w:bCs/>
                <w:color w:val="000000"/>
              </w:rPr>
              <w:t>是否与管理人存在关联关系</w:t>
            </w:r>
          </w:p>
        </w:tc>
      </w:tr>
      <w:tr w:rsidR="00961D07" w14:paraId="15816620" w14:textId="77777777" w:rsidTr="00C259FD">
        <w:tc>
          <w:tcPr>
            <w:tcW w:w="664" w:type="pct"/>
            <w:vMerge/>
            <w:tcBorders>
              <w:top w:val="single" w:sz="8" w:space="0" w:color="000000"/>
              <w:left w:val="single" w:sz="8" w:space="0" w:color="000000"/>
              <w:bottom w:val="single" w:sz="6" w:space="0" w:color="000000"/>
              <w:right w:val="single" w:sz="8" w:space="0" w:color="000000"/>
            </w:tcBorders>
            <w:vAlign w:val="center"/>
          </w:tcPr>
          <w:p w14:paraId="55A412CD" w14:textId="77777777" w:rsidR="00961D07" w:rsidRPr="00C259FD" w:rsidRDefault="00961D07" w:rsidP="00C259FD">
            <w:pPr>
              <w:jc w:val="center"/>
              <w:rPr>
                <w:rFonts w:ascii="黑体" w:eastAsia="黑体" w:hAnsi="黑体" w:cs="黑体"/>
                <w:b/>
                <w:bCs/>
                <w:sz w:val="24"/>
                <w:szCs w:val="24"/>
                <w:lang w:eastAsia="zh-CN"/>
              </w:rPr>
            </w:pPr>
          </w:p>
        </w:tc>
        <w:tc>
          <w:tcPr>
            <w:tcW w:w="94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2721E1D" w14:textId="77777777" w:rsidR="00961D07" w:rsidRPr="00C259FD" w:rsidRDefault="00DC741B" w:rsidP="00C259FD">
            <w:pPr>
              <w:pStyle w:val="biaogecenter"/>
              <w:wordWrap w:val="0"/>
              <w:spacing w:line="240" w:lineRule="auto"/>
              <w:rPr>
                <w:rFonts w:ascii="黑体" w:eastAsia="黑体" w:hAnsi="黑体" w:cs="黑体"/>
                <w:b/>
                <w:bCs/>
              </w:rPr>
            </w:pPr>
            <w:r w:rsidRPr="00C259FD">
              <w:rPr>
                <w:rFonts w:ascii="黑体" w:eastAsia="黑体" w:hAnsi="黑体" w:cs="黑体" w:hint="eastAsia"/>
                <w:b/>
                <w:bCs/>
                <w:color w:val="000000"/>
              </w:rPr>
              <w:t>股票交易成交金额</w:t>
            </w:r>
          </w:p>
        </w:tc>
        <w:tc>
          <w:tcPr>
            <w:tcW w:w="620"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3EF9F7A2" w14:textId="77777777" w:rsidR="00961D07" w:rsidRPr="00C259FD" w:rsidRDefault="00DC741B" w:rsidP="00C259FD">
            <w:pPr>
              <w:pStyle w:val="biaogecenter"/>
              <w:wordWrap w:val="0"/>
              <w:spacing w:line="240" w:lineRule="auto"/>
              <w:rPr>
                <w:rFonts w:ascii="黑体" w:eastAsia="黑体" w:hAnsi="黑体" w:cs="黑体"/>
                <w:b/>
                <w:bCs/>
              </w:rPr>
            </w:pPr>
            <w:r w:rsidRPr="00C259FD">
              <w:rPr>
                <w:rFonts w:ascii="黑体" w:eastAsia="黑体" w:hAnsi="黑体" w:cs="黑体" w:hint="eastAsia"/>
                <w:b/>
                <w:bCs/>
                <w:color w:val="000000"/>
              </w:rPr>
              <w:t>应支付该证券公司的股票交易佣金金额</w:t>
            </w:r>
          </w:p>
        </w:tc>
        <w:tc>
          <w:tcPr>
            <w:tcW w:w="308"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69DC511" w14:textId="77777777" w:rsidR="00961D07" w:rsidRPr="00C259FD" w:rsidRDefault="00DC741B" w:rsidP="00C259FD">
            <w:pPr>
              <w:pStyle w:val="biaogecenter"/>
              <w:wordWrap w:val="0"/>
              <w:spacing w:line="240" w:lineRule="auto"/>
              <w:rPr>
                <w:rFonts w:ascii="黑体" w:eastAsia="黑体" w:hAnsi="黑体" w:cs="黑体"/>
                <w:b/>
                <w:bCs/>
              </w:rPr>
            </w:pPr>
            <w:r w:rsidRPr="00C259FD">
              <w:rPr>
                <w:rFonts w:ascii="黑体" w:eastAsia="黑体" w:hAnsi="黑体" w:cs="黑体" w:hint="eastAsia"/>
                <w:b/>
                <w:bCs/>
                <w:color w:val="000000"/>
              </w:rPr>
              <w:t>平均佣金费率（‰）</w:t>
            </w:r>
          </w:p>
        </w:tc>
        <w:tc>
          <w:tcPr>
            <w:tcW w:w="97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3D9DCE08" w14:textId="77777777" w:rsidR="00961D07" w:rsidRPr="00C259FD" w:rsidRDefault="00DC741B" w:rsidP="00C259FD">
            <w:pPr>
              <w:pStyle w:val="biaogecenter"/>
              <w:wordWrap w:val="0"/>
              <w:spacing w:line="240" w:lineRule="auto"/>
              <w:rPr>
                <w:rFonts w:ascii="黑体" w:eastAsia="黑体" w:hAnsi="黑体" w:cs="黑体"/>
                <w:b/>
                <w:bCs/>
              </w:rPr>
            </w:pPr>
            <w:r w:rsidRPr="00C259FD">
              <w:rPr>
                <w:rFonts w:ascii="黑体" w:eastAsia="黑体" w:hAnsi="黑体" w:cs="黑体" w:hint="eastAsia"/>
                <w:b/>
                <w:bCs/>
                <w:color w:val="000000"/>
              </w:rPr>
              <w:t>股票交易成交金额</w:t>
            </w:r>
          </w:p>
        </w:tc>
        <w:tc>
          <w:tcPr>
            <w:tcW w:w="883"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69F5CCDD" w14:textId="77777777" w:rsidR="00961D07" w:rsidRPr="00C259FD" w:rsidRDefault="00DC741B" w:rsidP="00C259FD">
            <w:pPr>
              <w:pStyle w:val="biaogecenter"/>
              <w:wordWrap w:val="0"/>
              <w:spacing w:line="240" w:lineRule="auto"/>
              <w:rPr>
                <w:rFonts w:ascii="黑体" w:eastAsia="黑体" w:hAnsi="黑体" w:cs="黑体"/>
                <w:b/>
                <w:bCs/>
              </w:rPr>
            </w:pPr>
            <w:r w:rsidRPr="00C259FD">
              <w:rPr>
                <w:rFonts w:ascii="黑体" w:eastAsia="黑体" w:hAnsi="黑体" w:cs="黑体" w:hint="eastAsia"/>
                <w:b/>
                <w:bCs/>
                <w:color w:val="000000"/>
              </w:rPr>
              <w:t>应支付该证券公司的股票交易佣金金额</w:t>
            </w:r>
          </w:p>
        </w:tc>
        <w:tc>
          <w:tcPr>
            <w:tcW w:w="31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5C130D3" w14:textId="77777777" w:rsidR="00961D07" w:rsidRPr="00C259FD" w:rsidRDefault="00DC741B" w:rsidP="00C259FD">
            <w:pPr>
              <w:pStyle w:val="biaogecenter"/>
              <w:wordWrap w:val="0"/>
              <w:spacing w:line="240" w:lineRule="auto"/>
              <w:rPr>
                <w:rFonts w:ascii="黑体" w:eastAsia="黑体" w:hAnsi="黑体" w:cs="黑体"/>
                <w:b/>
                <w:bCs/>
              </w:rPr>
            </w:pPr>
            <w:r w:rsidRPr="00C259FD">
              <w:rPr>
                <w:rFonts w:ascii="黑体" w:eastAsia="黑体" w:hAnsi="黑体" w:cs="黑体" w:hint="eastAsia"/>
                <w:b/>
                <w:bCs/>
                <w:color w:val="000000"/>
              </w:rPr>
              <w:t>平均佣金费率（‰）</w:t>
            </w:r>
          </w:p>
        </w:tc>
        <w:tc>
          <w:tcPr>
            <w:tcW w:w="282" w:type="pct"/>
            <w:vMerge/>
            <w:tcBorders>
              <w:top w:val="single" w:sz="8" w:space="0" w:color="000000"/>
              <w:left w:val="single" w:sz="8" w:space="0" w:color="000000"/>
              <w:bottom w:val="single" w:sz="6" w:space="0" w:color="000000"/>
              <w:right w:val="single" w:sz="8" w:space="0" w:color="000000"/>
            </w:tcBorders>
            <w:vAlign w:val="center"/>
          </w:tcPr>
          <w:p w14:paraId="2F7ACFC4" w14:textId="77777777" w:rsidR="00961D07" w:rsidRPr="00C259FD" w:rsidRDefault="00961D07" w:rsidP="00C259FD">
            <w:pPr>
              <w:jc w:val="center"/>
              <w:rPr>
                <w:rFonts w:ascii="黑体" w:eastAsia="黑体" w:hAnsi="黑体" w:cs="黑体"/>
                <w:b/>
                <w:bCs/>
                <w:sz w:val="24"/>
                <w:szCs w:val="24"/>
              </w:rPr>
            </w:pPr>
          </w:p>
        </w:tc>
      </w:tr>
      <w:tr w:rsidR="00961D07" w14:paraId="155B847E" w14:textId="77777777" w:rsidTr="00C259FD">
        <w:tc>
          <w:tcPr>
            <w:tcW w:w="664"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0379DE3"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东吴证券</w:t>
            </w:r>
          </w:p>
        </w:tc>
        <w:tc>
          <w:tcPr>
            <w:tcW w:w="94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0B0D327"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620"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6AA12FCB"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308"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44B37A87"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97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34706995"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459,866,802.71</w:t>
            </w:r>
          </w:p>
        </w:tc>
        <w:tc>
          <w:tcPr>
            <w:tcW w:w="883"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578F391E"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200,560.22</w:t>
            </w:r>
          </w:p>
        </w:tc>
        <w:tc>
          <w:tcPr>
            <w:tcW w:w="31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C8F1262"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0.44</w:t>
            </w:r>
          </w:p>
        </w:tc>
        <w:tc>
          <w:tcPr>
            <w:tcW w:w="28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07C11551"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否</w:t>
            </w:r>
          </w:p>
        </w:tc>
      </w:tr>
      <w:tr w:rsidR="00961D07" w14:paraId="39DF3B66" w14:textId="77777777" w:rsidTr="00C259FD">
        <w:tc>
          <w:tcPr>
            <w:tcW w:w="664"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72F694DC"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东方财富证券</w:t>
            </w:r>
          </w:p>
        </w:tc>
        <w:tc>
          <w:tcPr>
            <w:tcW w:w="94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78B9B9E0"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620"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081CAD41"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308"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4F2F5939"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97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667ECBE7"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61,561,236.08</w:t>
            </w:r>
          </w:p>
        </w:tc>
        <w:tc>
          <w:tcPr>
            <w:tcW w:w="883"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96141D9"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28,683.75</w:t>
            </w:r>
          </w:p>
        </w:tc>
        <w:tc>
          <w:tcPr>
            <w:tcW w:w="31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327EF03"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0.47</w:t>
            </w:r>
          </w:p>
        </w:tc>
        <w:tc>
          <w:tcPr>
            <w:tcW w:w="28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7E08FD02"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否</w:t>
            </w:r>
          </w:p>
        </w:tc>
      </w:tr>
      <w:tr w:rsidR="00961D07" w14:paraId="738B2889" w14:textId="77777777" w:rsidTr="00C259FD">
        <w:tc>
          <w:tcPr>
            <w:tcW w:w="664"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43F693B1"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中</w:t>
            </w:r>
            <w:proofErr w:type="gramStart"/>
            <w:r w:rsidRPr="00C259FD">
              <w:rPr>
                <w:rFonts w:ascii="黑体" w:eastAsia="黑体" w:hAnsi="黑体" w:cs="黑体" w:hint="eastAsia"/>
                <w:color w:val="000000"/>
              </w:rPr>
              <w:t>信建投</w:t>
            </w:r>
            <w:proofErr w:type="gramEnd"/>
          </w:p>
        </w:tc>
        <w:tc>
          <w:tcPr>
            <w:tcW w:w="94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658CCCC2"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259,535,047.26</w:t>
            </w:r>
          </w:p>
        </w:tc>
        <w:tc>
          <w:tcPr>
            <w:tcW w:w="620"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6598180C"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48,251.76</w:t>
            </w:r>
          </w:p>
        </w:tc>
        <w:tc>
          <w:tcPr>
            <w:tcW w:w="308"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6DF81F1"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0.19</w:t>
            </w:r>
          </w:p>
        </w:tc>
        <w:tc>
          <w:tcPr>
            <w:tcW w:w="97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788BE83"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883"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740177C3"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31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775C5B50" w14:textId="77777777" w:rsidR="00961D07" w:rsidRPr="00C259FD" w:rsidRDefault="00961D07" w:rsidP="00C259FD">
            <w:pPr>
              <w:jc w:val="center"/>
              <w:rPr>
                <w:rFonts w:ascii="黑体" w:eastAsia="黑体" w:hAnsi="黑体" w:cs="黑体"/>
                <w:sz w:val="24"/>
                <w:szCs w:val="24"/>
              </w:rPr>
            </w:pPr>
          </w:p>
        </w:tc>
        <w:tc>
          <w:tcPr>
            <w:tcW w:w="28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D28066C"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否</w:t>
            </w:r>
          </w:p>
        </w:tc>
      </w:tr>
      <w:tr w:rsidR="00961D07" w14:paraId="6A91F6C3" w14:textId="77777777" w:rsidTr="00C259FD">
        <w:tc>
          <w:tcPr>
            <w:tcW w:w="664"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3C9EFEAA"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中信证券</w:t>
            </w:r>
          </w:p>
        </w:tc>
        <w:tc>
          <w:tcPr>
            <w:tcW w:w="94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3A9C9301"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620"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3C05FA3"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308"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621B4A0"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97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761B31BE"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883"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0C503B24"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31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7CF983F4" w14:textId="77777777" w:rsidR="00961D07" w:rsidRPr="00C259FD" w:rsidRDefault="00961D07" w:rsidP="00C259FD">
            <w:pPr>
              <w:jc w:val="center"/>
              <w:rPr>
                <w:rFonts w:ascii="黑体" w:eastAsia="黑体" w:hAnsi="黑体" w:cs="黑体"/>
                <w:sz w:val="24"/>
                <w:szCs w:val="24"/>
              </w:rPr>
            </w:pPr>
          </w:p>
        </w:tc>
        <w:tc>
          <w:tcPr>
            <w:tcW w:w="28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0B482A78"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否</w:t>
            </w:r>
          </w:p>
        </w:tc>
      </w:tr>
      <w:tr w:rsidR="00961D07" w14:paraId="2A1F2EC1" w14:textId="77777777" w:rsidTr="00C259FD">
        <w:tc>
          <w:tcPr>
            <w:tcW w:w="664"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7CB48761"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中金公司</w:t>
            </w:r>
          </w:p>
        </w:tc>
        <w:tc>
          <w:tcPr>
            <w:tcW w:w="94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34BA8DB3"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620"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73DAD06F"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308"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C7B2C4F"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97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0C5FA174"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883"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4BC18EF2"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31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5B95AF68" w14:textId="77777777" w:rsidR="00961D07" w:rsidRPr="00C259FD" w:rsidRDefault="00961D07" w:rsidP="00C259FD">
            <w:pPr>
              <w:jc w:val="center"/>
              <w:rPr>
                <w:rFonts w:ascii="黑体" w:eastAsia="黑体" w:hAnsi="黑体" w:cs="黑体"/>
                <w:sz w:val="24"/>
                <w:szCs w:val="24"/>
              </w:rPr>
            </w:pPr>
          </w:p>
        </w:tc>
        <w:tc>
          <w:tcPr>
            <w:tcW w:w="28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8770C4A"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否</w:t>
            </w:r>
          </w:p>
        </w:tc>
      </w:tr>
      <w:tr w:rsidR="00961D07" w14:paraId="553824D8" w14:textId="77777777" w:rsidTr="00C259FD">
        <w:tc>
          <w:tcPr>
            <w:tcW w:w="664"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09515A9D"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兴业证券</w:t>
            </w:r>
          </w:p>
        </w:tc>
        <w:tc>
          <w:tcPr>
            <w:tcW w:w="94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10DEADE"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532,240,317.03</w:t>
            </w:r>
          </w:p>
        </w:tc>
        <w:tc>
          <w:tcPr>
            <w:tcW w:w="620"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5DF7F21B"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114,909.44</w:t>
            </w:r>
          </w:p>
        </w:tc>
        <w:tc>
          <w:tcPr>
            <w:tcW w:w="308"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0C0FDD23"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0.22</w:t>
            </w:r>
          </w:p>
        </w:tc>
        <w:tc>
          <w:tcPr>
            <w:tcW w:w="97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57A34DB2"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510,347,621.00</w:t>
            </w:r>
          </w:p>
        </w:tc>
        <w:tc>
          <w:tcPr>
            <w:tcW w:w="883"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EE89888"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222,539.83</w:t>
            </w:r>
          </w:p>
        </w:tc>
        <w:tc>
          <w:tcPr>
            <w:tcW w:w="31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C305E58"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0.44</w:t>
            </w:r>
          </w:p>
        </w:tc>
        <w:tc>
          <w:tcPr>
            <w:tcW w:w="28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56A00DA4"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否</w:t>
            </w:r>
          </w:p>
        </w:tc>
      </w:tr>
      <w:tr w:rsidR="00961D07" w14:paraId="7A29D8EF" w14:textId="77777777" w:rsidTr="00C259FD">
        <w:tc>
          <w:tcPr>
            <w:tcW w:w="664"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65EA4B42"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华创证券</w:t>
            </w:r>
          </w:p>
        </w:tc>
        <w:tc>
          <w:tcPr>
            <w:tcW w:w="94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6856062E"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620"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4737FF6F"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308"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4A4F0E4E"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97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55E49D07"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132,105,641.10</w:t>
            </w:r>
          </w:p>
        </w:tc>
        <w:tc>
          <w:tcPr>
            <w:tcW w:w="883"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3E68F574"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61,551.48</w:t>
            </w:r>
          </w:p>
        </w:tc>
        <w:tc>
          <w:tcPr>
            <w:tcW w:w="31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5B9D29CC"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0.47</w:t>
            </w:r>
          </w:p>
        </w:tc>
        <w:tc>
          <w:tcPr>
            <w:tcW w:w="28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37595BF7"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否</w:t>
            </w:r>
          </w:p>
        </w:tc>
      </w:tr>
      <w:tr w:rsidR="00961D07" w14:paraId="29CD6AFB" w14:textId="77777777" w:rsidTr="00C259FD">
        <w:tc>
          <w:tcPr>
            <w:tcW w:w="664"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32745098"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华安证券</w:t>
            </w:r>
          </w:p>
        </w:tc>
        <w:tc>
          <w:tcPr>
            <w:tcW w:w="94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3344B627"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285,846,313.89</w:t>
            </w:r>
          </w:p>
        </w:tc>
        <w:tc>
          <w:tcPr>
            <w:tcW w:w="620"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6E0CD553"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61,712.50</w:t>
            </w:r>
          </w:p>
        </w:tc>
        <w:tc>
          <w:tcPr>
            <w:tcW w:w="308"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7D60C536"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0.22</w:t>
            </w:r>
          </w:p>
        </w:tc>
        <w:tc>
          <w:tcPr>
            <w:tcW w:w="97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047AB6C3"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288,846,690.35</w:t>
            </w:r>
          </w:p>
        </w:tc>
        <w:tc>
          <w:tcPr>
            <w:tcW w:w="883"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72C1F9FA"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125,912.42</w:t>
            </w:r>
          </w:p>
        </w:tc>
        <w:tc>
          <w:tcPr>
            <w:tcW w:w="31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69FF34B"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0.44</w:t>
            </w:r>
          </w:p>
        </w:tc>
        <w:tc>
          <w:tcPr>
            <w:tcW w:w="28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145474F"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否</w:t>
            </w:r>
          </w:p>
        </w:tc>
      </w:tr>
      <w:tr w:rsidR="00961D07" w14:paraId="547C11FE" w14:textId="77777777" w:rsidTr="00C259FD">
        <w:tc>
          <w:tcPr>
            <w:tcW w:w="664"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488DEB63"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华泰证券</w:t>
            </w:r>
          </w:p>
        </w:tc>
        <w:tc>
          <w:tcPr>
            <w:tcW w:w="94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078C0465"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620"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191387C"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308"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5B30C3D0"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97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78D4E970"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883"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B0C5697"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31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43629DB8" w14:textId="77777777" w:rsidR="00961D07" w:rsidRPr="00C259FD" w:rsidRDefault="00961D07" w:rsidP="00C259FD">
            <w:pPr>
              <w:jc w:val="center"/>
              <w:rPr>
                <w:rFonts w:ascii="黑体" w:eastAsia="黑体" w:hAnsi="黑体" w:cs="黑体"/>
                <w:sz w:val="24"/>
                <w:szCs w:val="24"/>
              </w:rPr>
            </w:pPr>
          </w:p>
        </w:tc>
        <w:tc>
          <w:tcPr>
            <w:tcW w:w="28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394984E5"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否</w:t>
            </w:r>
          </w:p>
        </w:tc>
      </w:tr>
      <w:tr w:rsidR="00961D07" w14:paraId="251940DD" w14:textId="77777777" w:rsidTr="00C259FD">
        <w:tc>
          <w:tcPr>
            <w:tcW w:w="664"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36CB1E15"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华</w:t>
            </w:r>
            <w:proofErr w:type="gramStart"/>
            <w:r w:rsidRPr="00C259FD">
              <w:rPr>
                <w:rFonts w:ascii="黑体" w:eastAsia="黑体" w:hAnsi="黑体" w:cs="黑体" w:hint="eastAsia"/>
                <w:color w:val="000000"/>
              </w:rPr>
              <w:t>福证券</w:t>
            </w:r>
            <w:proofErr w:type="gramEnd"/>
          </w:p>
        </w:tc>
        <w:tc>
          <w:tcPr>
            <w:tcW w:w="94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94DD92E"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620"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A91937A"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308"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DD37A06"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97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4FD15B1"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883"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C35F527"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31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5D0AA871" w14:textId="77777777" w:rsidR="00961D07" w:rsidRPr="00C259FD" w:rsidRDefault="00961D07" w:rsidP="00C259FD">
            <w:pPr>
              <w:jc w:val="center"/>
              <w:rPr>
                <w:rFonts w:ascii="黑体" w:eastAsia="黑体" w:hAnsi="黑体" w:cs="黑体"/>
                <w:sz w:val="24"/>
                <w:szCs w:val="24"/>
              </w:rPr>
            </w:pPr>
          </w:p>
        </w:tc>
        <w:tc>
          <w:tcPr>
            <w:tcW w:w="28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7CECD7A1"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否</w:t>
            </w:r>
          </w:p>
        </w:tc>
      </w:tr>
      <w:tr w:rsidR="00961D07" w14:paraId="2F7AAEE8" w14:textId="77777777" w:rsidTr="00C259FD">
        <w:tc>
          <w:tcPr>
            <w:tcW w:w="664"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54DA1E0C"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华金证券</w:t>
            </w:r>
          </w:p>
        </w:tc>
        <w:tc>
          <w:tcPr>
            <w:tcW w:w="94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4EBFA24D"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620"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8C24C0D"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308"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40EC4DAA"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97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446C3C6A"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883"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07567731"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31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B274D9F" w14:textId="77777777" w:rsidR="00961D07" w:rsidRPr="00C259FD" w:rsidRDefault="00961D07" w:rsidP="00C259FD">
            <w:pPr>
              <w:jc w:val="center"/>
              <w:rPr>
                <w:rFonts w:ascii="黑体" w:eastAsia="黑体" w:hAnsi="黑体" w:cs="黑体"/>
                <w:sz w:val="24"/>
                <w:szCs w:val="24"/>
              </w:rPr>
            </w:pPr>
          </w:p>
        </w:tc>
        <w:tc>
          <w:tcPr>
            <w:tcW w:w="28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4DD996CA"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否</w:t>
            </w:r>
          </w:p>
        </w:tc>
      </w:tr>
      <w:tr w:rsidR="00961D07" w14:paraId="0B098A60" w14:textId="77777777" w:rsidTr="00C259FD">
        <w:tc>
          <w:tcPr>
            <w:tcW w:w="664"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094C6DC"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lastRenderedPageBreak/>
              <w:t>国信证券</w:t>
            </w:r>
          </w:p>
        </w:tc>
        <w:tc>
          <w:tcPr>
            <w:tcW w:w="94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369DB1D3"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620"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5ABBC591"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308"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70972450"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97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71590CB1"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883"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0048D76B"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31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057CD3C1" w14:textId="77777777" w:rsidR="00961D07" w:rsidRPr="00C259FD" w:rsidRDefault="00961D07" w:rsidP="00C259FD">
            <w:pPr>
              <w:jc w:val="center"/>
              <w:rPr>
                <w:rFonts w:ascii="黑体" w:eastAsia="黑体" w:hAnsi="黑体" w:cs="黑体"/>
                <w:sz w:val="24"/>
                <w:szCs w:val="24"/>
              </w:rPr>
            </w:pPr>
          </w:p>
        </w:tc>
        <w:tc>
          <w:tcPr>
            <w:tcW w:w="28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0D44937"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否</w:t>
            </w:r>
          </w:p>
        </w:tc>
      </w:tr>
      <w:tr w:rsidR="00961D07" w14:paraId="2AACA9E1" w14:textId="77777777" w:rsidTr="00C259FD">
        <w:tc>
          <w:tcPr>
            <w:tcW w:w="664"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080E4BCC"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国投证券</w:t>
            </w:r>
          </w:p>
        </w:tc>
        <w:tc>
          <w:tcPr>
            <w:tcW w:w="94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77E94CF"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620"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3E1F942A"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308"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5C83F1F9"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97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4CE6D664"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171,809,826.03</w:t>
            </w:r>
          </w:p>
        </w:tc>
        <w:tc>
          <w:tcPr>
            <w:tcW w:w="883"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4EBB9A9C"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74,891.95</w:t>
            </w:r>
          </w:p>
        </w:tc>
        <w:tc>
          <w:tcPr>
            <w:tcW w:w="31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0E273C2D"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0.44</w:t>
            </w:r>
          </w:p>
        </w:tc>
        <w:tc>
          <w:tcPr>
            <w:tcW w:w="28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23C343C"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否</w:t>
            </w:r>
          </w:p>
        </w:tc>
      </w:tr>
      <w:tr w:rsidR="00961D07" w14:paraId="3F09B180" w14:textId="77777777" w:rsidTr="00C259FD">
        <w:tc>
          <w:tcPr>
            <w:tcW w:w="664"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3CFDEC8A"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国泰君安证券</w:t>
            </w:r>
          </w:p>
        </w:tc>
        <w:tc>
          <w:tcPr>
            <w:tcW w:w="94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74682EC4"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620"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5BD6FDBA"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308"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61D0B165"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97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E324DF4"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883"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0AE55074"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31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A4C1835" w14:textId="77777777" w:rsidR="00961D07" w:rsidRPr="00C259FD" w:rsidRDefault="00961D07" w:rsidP="00C259FD">
            <w:pPr>
              <w:jc w:val="center"/>
              <w:rPr>
                <w:rFonts w:ascii="黑体" w:eastAsia="黑体" w:hAnsi="黑体" w:cs="黑体"/>
                <w:sz w:val="24"/>
                <w:szCs w:val="24"/>
              </w:rPr>
            </w:pPr>
          </w:p>
        </w:tc>
        <w:tc>
          <w:tcPr>
            <w:tcW w:w="28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74496737"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否</w:t>
            </w:r>
          </w:p>
        </w:tc>
      </w:tr>
      <w:tr w:rsidR="00961D07" w14:paraId="4D261035" w14:textId="77777777" w:rsidTr="00C259FD">
        <w:tc>
          <w:tcPr>
            <w:tcW w:w="664"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71EB538A"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国盛证券</w:t>
            </w:r>
          </w:p>
        </w:tc>
        <w:tc>
          <w:tcPr>
            <w:tcW w:w="94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6BF0BF61"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274,978,477.08</w:t>
            </w:r>
          </w:p>
        </w:tc>
        <w:tc>
          <w:tcPr>
            <w:tcW w:w="620"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0DEADBF6"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59,373.26</w:t>
            </w:r>
          </w:p>
        </w:tc>
        <w:tc>
          <w:tcPr>
            <w:tcW w:w="308"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06051941"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0.22</w:t>
            </w:r>
          </w:p>
        </w:tc>
        <w:tc>
          <w:tcPr>
            <w:tcW w:w="97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0CA67E86"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883"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6A509F16"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31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31F408FA" w14:textId="77777777" w:rsidR="00961D07" w:rsidRPr="00C259FD" w:rsidRDefault="00961D07" w:rsidP="00C259FD">
            <w:pPr>
              <w:jc w:val="center"/>
              <w:rPr>
                <w:rFonts w:ascii="黑体" w:eastAsia="黑体" w:hAnsi="黑体" w:cs="黑体"/>
                <w:sz w:val="24"/>
                <w:szCs w:val="24"/>
              </w:rPr>
            </w:pPr>
          </w:p>
        </w:tc>
        <w:tc>
          <w:tcPr>
            <w:tcW w:w="28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7A092D91"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否</w:t>
            </w:r>
          </w:p>
        </w:tc>
      </w:tr>
      <w:tr w:rsidR="00961D07" w14:paraId="259649D7" w14:textId="77777777" w:rsidTr="00C259FD">
        <w:tc>
          <w:tcPr>
            <w:tcW w:w="664"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484896E6"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太平洋证券</w:t>
            </w:r>
          </w:p>
        </w:tc>
        <w:tc>
          <w:tcPr>
            <w:tcW w:w="94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3D1C0A3"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620"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40D7E0D7"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308"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34D977B7"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97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5D278A1"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78,249,032.89</w:t>
            </w:r>
          </w:p>
        </w:tc>
        <w:tc>
          <w:tcPr>
            <w:tcW w:w="883"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466A8776"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36,456.22</w:t>
            </w:r>
          </w:p>
        </w:tc>
        <w:tc>
          <w:tcPr>
            <w:tcW w:w="31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7FDBA4F0"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0.47</w:t>
            </w:r>
          </w:p>
        </w:tc>
        <w:tc>
          <w:tcPr>
            <w:tcW w:w="28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8537AAF"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否</w:t>
            </w:r>
          </w:p>
        </w:tc>
      </w:tr>
      <w:tr w:rsidR="00961D07" w14:paraId="4DDCDA7B" w14:textId="77777777" w:rsidTr="00C259FD">
        <w:tc>
          <w:tcPr>
            <w:tcW w:w="664"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19B94C6"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山西证券</w:t>
            </w:r>
          </w:p>
        </w:tc>
        <w:tc>
          <w:tcPr>
            <w:tcW w:w="94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8A73757"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620"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6202BC0D"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308"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DF52873"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97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611D8291"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883"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4426D6C2"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31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109A167" w14:textId="77777777" w:rsidR="00961D07" w:rsidRPr="00C259FD" w:rsidRDefault="00961D07" w:rsidP="00C259FD">
            <w:pPr>
              <w:jc w:val="center"/>
              <w:rPr>
                <w:rFonts w:ascii="黑体" w:eastAsia="黑体" w:hAnsi="黑体" w:cs="黑体"/>
                <w:sz w:val="24"/>
                <w:szCs w:val="24"/>
              </w:rPr>
            </w:pPr>
          </w:p>
        </w:tc>
        <w:tc>
          <w:tcPr>
            <w:tcW w:w="28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0981A67E"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否</w:t>
            </w:r>
          </w:p>
        </w:tc>
      </w:tr>
      <w:tr w:rsidR="00961D07" w14:paraId="32991A49" w14:textId="77777777" w:rsidTr="00C259FD">
        <w:tc>
          <w:tcPr>
            <w:tcW w:w="664"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CB68F0E"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平安证券</w:t>
            </w:r>
          </w:p>
        </w:tc>
        <w:tc>
          <w:tcPr>
            <w:tcW w:w="94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729AD4EA"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620"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38E70421"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308"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19627DA"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97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4883A312"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883"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7D13D150"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31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7C51D9DA" w14:textId="77777777" w:rsidR="00961D07" w:rsidRPr="00C259FD" w:rsidRDefault="00961D07" w:rsidP="00C259FD">
            <w:pPr>
              <w:jc w:val="center"/>
              <w:rPr>
                <w:rFonts w:ascii="黑体" w:eastAsia="黑体" w:hAnsi="黑体" w:cs="黑体"/>
                <w:sz w:val="24"/>
                <w:szCs w:val="24"/>
              </w:rPr>
            </w:pPr>
          </w:p>
        </w:tc>
        <w:tc>
          <w:tcPr>
            <w:tcW w:w="28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6B1F80B2"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否</w:t>
            </w:r>
          </w:p>
        </w:tc>
      </w:tr>
      <w:tr w:rsidR="00961D07" w14:paraId="5FBD434B" w14:textId="77777777" w:rsidTr="00C259FD">
        <w:tc>
          <w:tcPr>
            <w:tcW w:w="664"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36923278"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广发证券</w:t>
            </w:r>
          </w:p>
        </w:tc>
        <w:tc>
          <w:tcPr>
            <w:tcW w:w="94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1A6F82B"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620"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D8B438B"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308"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02AAEEA3"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97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72918D19"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250,754,360.82</w:t>
            </w:r>
          </w:p>
        </w:tc>
        <w:tc>
          <w:tcPr>
            <w:tcW w:w="883"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54DEE687"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116,826.32</w:t>
            </w:r>
          </w:p>
        </w:tc>
        <w:tc>
          <w:tcPr>
            <w:tcW w:w="31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063EAFEC"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0.47</w:t>
            </w:r>
          </w:p>
        </w:tc>
        <w:tc>
          <w:tcPr>
            <w:tcW w:w="28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DEFB346"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否</w:t>
            </w:r>
          </w:p>
        </w:tc>
      </w:tr>
      <w:tr w:rsidR="00961D07" w14:paraId="5849A3A6" w14:textId="77777777" w:rsidTr="00C259FD">
        <w:tc>
          <w:tcPr>
            <w:tcW w:w="664"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7ACB7D4B"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开源证券</w:t>
            </w:r>
          </w:p>
        </w:tc>
        <w:tc>
          <w:tcPr>
            <w:tcW w:w="94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6B929969"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620"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72143206"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308"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0BD00B24"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97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47481A67"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18,768,949.83</w:t>
            </w:r>
          </w:p>
        </w:tc>
        <w:tc>
          <w:tcPr>
            <w:tcW w:w="883"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3429AF58"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8,745.24</w:t>
            </w:r>
          </w:p>
        </w:tc>
        <w:tc>
          <w:tcPr>
            <w:tcW w:w="31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3E389936"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0.47</w:t>
            </w:r>
          </w:p>
        </w:tc>
        <w:tc>
          <w:tcPr>
            <w:tcW w:w="28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C5A8915"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否</w:t>
            </w:r>
          </w:p>
        </w:tc>
      </w:tr>
      <w:tr w:rsidR="00961D07" w14:paraId="3FE2AB0A" w14:textId="77777777" w:rsidTr="00C259FD">
        <w:tc>
          <w:tcPr>
            <w:tcW w:w="664"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C17F9EA"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招商证券</w:t>
            </w:r>
          </w:p>
        </w:tc>
        <w:tc>
          <w:tcPr>
            <w:tcW w:w="94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5EDB3AFB"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620"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B729922"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308"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669810D"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97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68887F13"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422,063,300.95</w:t>
            </w:r>
          </w:p>
        </w:tc>
        <w:tc>
          <w:tcPr>
            <w:tcW w:w="883"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577FF450"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196,643.47</w:t>
            </w:r>
          </w:p>
        </w:tc>
        <w:tc>
          <w:tcPr>
            <w:tcW w:w="31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62CC76EE"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0.47</w:t>
            </w:r>
          </w:p>
        </w:tc>
        <w:tc>
          <w:tcPr>
            <w:tcW w:w="28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58FB6871"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否</w:t>
            </w:r>
          </w:p>
        </w:tc>
      </w:tr>
      <w:tr w:rsidR="00961D07" w14:paraId="6761B63B" w14:textId="77777777" w:rsidTr="00C259FD">
        <w:tc>
          <w:tcPr>
            <w:tcW w:w="664"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75C87F5D"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方正证券</w:t>
            </w:r>
          </w:p>
        </w:tc>
        <w:tc>
          <w:tcPr>
            <w:tcW w:w="94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7CAFFBC"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620"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31C186F8"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308"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6863B05B"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97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53719236"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883"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470304D2"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31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59DCD902" w14:textId="77777777" w:rsidR="00961D07" w:rsidRPr="00C259FD" w:rsidRDefault="00961D07" w:rsidP="00C259FD">
            <w:pPr>
              <w:jc w:val="center"/>
              <w:rPr>
                <w:rFonts w:ascii="黑体" w:eastAsia="黑体" w:hAnsi="黑体" w:cs="黑体"/>
                <w:sz w:val="24"/>
                <w:szCs w:val="24"/>
              </w:rPr>
            </w:pPr>
          </w:p>
        </w:tc>
        <w:tc>
          <w:tcPr>
            <w:tcW w:w="28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087E1113"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否</w:t>
            </w:r>
          </w:p>
        </w:tc>
      </w:tr>
      <w:tr w:rsidR="00961D07" w14:paraId="5EFF0C00" w14:textId="77777777" w:rsidTr="00C259FD">
        <w:tc>
          <w:tcPr>
            <w:tcW w:w="664"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A98D558"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民生证券</w:t>
            </w:r>
          </w:p>
        </w:tc>
        <w:tc>
          <w:tcPr>
            <w:tcW w:w="94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443D57A0"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620"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005779FC"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308"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36EF5864"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97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71ED5BD"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883"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4FA7A9F"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31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683ED9C3" w14:textId="77777777" w:rsidR="00961D07" w:rsidRPr="00C259FD" w:rsidRDefault="00961D07" w:rsidP="00C259FD">
            <w:pPr>
              <w:jc w:val="center"/>
              <w:rPr>
                <w:rFonts w:ascii="黑体" w:eastAsia="黑体" w:hAnsi="黑体" w:cs="黑体"/>
                <w:sz w:val="24"/>
                <w:szCs w:val="24"/>
              </w:rPr>
            </w:pPr>
          </w:p>
        </w:tc>
        <w:tc>
          <w:tcPr>
            <w:tcW w:w="28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4E34E9ED"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否</w:t>
            </w:r>
          </w:p>
        </w:tc>
      </w:tr>
      <w:tr w:rsidR="00961D07" w14:paraId="27BE69B3" w14:textId="77777777" w:rsidTr="00C259FD">
        <w:tc>
          <w:tcPr>
            <w:tcW w:w="664"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797C5335" w14:textId="77777777" w:rsidR="00961D07" w:rsidRPr="00C259FD" w:rsidRDefault="00DC741B" w:rsidP="00C259FD">
            <w:pPr>
              <w:pStyle w:val="biaogeleft"/>
              <w:wordWrap w:val="0"/>
              <w:spacing w:line="240" w:lineRule="auto"/>
              <w:jc w:val="center"/>
              <w:rPr>
                <w:rFonts w:ascii="黑体" w:eastAsia="黑体" w:hAnsi="黑体" w:cs="黑体"/>
              </w:rPr>
            </w:pPr>
            <w:proofErr w:type="gramStart"/>
            <w:r w:rsidRPr="00C259FD">
              <w:rPr>
                <w:rFonts w:ascii="黑体" w:eastAsia="黑体" w:hAnsi="黑体" w:cs="黑体" w:hint="eastAsia"/>
                <w:color w:val="000000"/>
              </w:rPr>
              <w:t>浙商证券</w:t>
            </w:r>
            <w:proofErr w:type="gramEnd"/>
          </w:p>
        </w:tc>
        <w:tc>
          <w:tcPr>
            <w:tcW w:w="94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31911815"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620"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655B2F9"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308"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40BFD007"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97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99C60A8"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189,008,469.34</w:t>
            </w:r>
          </w:p>
        </w:tc>
        <w:tc>
          <w:tcPr>
            <w:tcW w:w="883"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F34C4C8"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88,058.69</w:t>
            </w:r>
          </w:p>
        </w:tc>
        <w:tc>
          <w:tcPr>
            <w:tcW w:w="31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466DE587"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0.47</w:t>
            </w:r>
          </w:p>
        </w:tc>
        <w:tc>
          <w:tcPr>
            <w:tcW w:w="28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010B40B7"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否</w:t>
            </w:r>
          </w:p>
        </w:tc>
      </w:tr>
      <w:tr w:rsidR="00961D07" w14:paraId="092E92B3" w14:textId="77777777" w:rsidTr="00C259FD">
        <w:tc>
          <w:tcPr>
            <w:tcW w:w="664"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4EE9BADD"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海通证券</w:t>
            </w:r>
          </w:p>
        </w:tc>
        <w:tc>
          <w:tcPr>
            <w:tcW w:w="94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77B29686"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620"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94579EF"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308"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96384FE"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97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9F1BC79"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29,929,433.20</w:t>
            </w:r>
          </w:p>
        </w:tc>
        <w:tc>
          <w:tcPr>
            <w:tcW w:w="883"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69D82A46"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13,047.46</w:t>
            </w:r>
          </w:p>
        </w:tc>
        <w:tc>
          <w:tcPr>
            <w:tcW w:w="31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4DAA1BD"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0.44</w:t>
            </w:r>
          </w:p>
        </w:tc>
        <w:tc>
          <w:tcPr>
            <w:tcW w:w="28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727B8F1F"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否</w:t>
            </w:r>
          </w:p>
        </w:tc>
      </w:tr>
      <w:tr w:rsidR="00961D07" w14:paraId="215FD0C7" w14:textId="77777777" w:rsidTr="00C259FD">
        <w:tc>
          <w:tcPr>
            <w:tcW w:w="664"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5ABE8902"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渤海证券</w:t>
            </w:r>
          </w:p>
        </w:tc>
        <w:tc>
          <w:tcPr>
            <w:tcW w:w="94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5A9B0377"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620"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07E0E219"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308"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594E81D8"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97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33D80E1E"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883"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02A255CA"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31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8C1E566" w14:textId="77777777" w:rsidR="00961D07" w:rsidRPr="00C259FD" w:rsidRDefault="00961D07" w:rsidP="00C259FD">
            <w:pPr>
              <w:jc w:val="center"/>
              <w:rPr>
                <w:rFonts w:ascii="黑体" w:eastAsia="黑体" w:hAnsi="黑体" w:cs="黑体"/>
                <w:sz w:val="24"/>
                <w:szCs w:val="24"/>
              </w:rPr>
            </w:pPr>
          </w:p>
        </w:tc>
        <w:tc>
          <w:tcPr>
            <w:tcW w:w="28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318A4AAE"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否</w:t>
            </w:r>
          </w:p>
        </w:tc>
      </w:tr>
      <w:tr w:rsidR="00961D07" w14:paraId="29E484F6" w14:textId="77777777" w:rsidTr="00C259FD">
        <w:tc>
          <w:tcPr>
            <w:tcW w:w="664"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73D9146B" w14:textId="77777777" w:rsidR="00961D07" w:rsidRPr="00C259FD" w:rsidRDefault="00DC741B" w:rsidP="00C259FD">
            <w:pPr>
              <w:pStyle w:val="biaogeleft"/>
              <w:wordWrap w:val="0"/>
              <w:spacing w:line="240" w:lineRule="auto"/>
              <w:jc w:val="center"/>
              <w:rPr>
                <w:rFonts w:ascii="黑体" w:eastAsia="黑体" w:hAnsi="黑体" w:cs="黑体"/>
              </w:rPr>
            </w:pPr>
            <w:proofErr w:type="gramStart"/>
            <w:r w:rsidRPr="00C259FD">
              <w:rPr>
                <w:rFonts w:ascii="黑体" w:eastAsia="黑体" w:hAnsi="黑体" w:cs="黑体" w:hint="eastAsia"/>
                <w:color w:val="000000"/>
              </w:rPr>
              <w:t>申万宏源证券</w:t>
            </w:r>
            <w:proofErr w:type="gramEnd"/>
          </w:p>
        </w:tc>
        <w:tc>
          <w:tcPr>
            <w:tcW w:w="94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69F13A90"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620"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6660A384"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308"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46DECCD"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97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82232E4"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186,359,440.52</w:t>
            </w:r>
          </w:p>
        </w:tc>
        <w:tc>
          <w:tcPr>
            <w:tcW w:w="883"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43071411"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86,826.82</w:t>
            </w:r>
          </w:p>
        </w:tc>
        <w:tc>
          <w:tcPr>
            <w:tcW w:w="31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0199B5B5"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0.47</w:t>
            </w:r>
          </w:p>
        </w:tc>
        <w:tc>
          <w:tcPr>
            <w:tcW w:w="28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00DC98F4"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否</w:t>
            </w:r>
          </w:p>
        </w:tc>
      </w:tr>
      <w:tr w:rsidR="00961D07" w14:paraId="4E78E14A" w14:textId="77777777" w:rsidTr="00C259FD">
        <w:tc>
          <w:tcPr>
            <w:tcW w:w="664"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3ECD98CF"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金元证券</w:t>
            </w:r>
          </w:p>
        </w:tc>
        <w:tc>
          <w:tcPr>
            <w:tcW w:w="94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706C1AAB"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864,942,186.06</w:t>
            </w:r>
          </w:p>
        </w:tc>
        <w:tc>
          <w:tcPr>
            <w:tcW w:w="620"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7E4815FE"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186,748.87</w:t>
            </w:r>
          </w:p>
        </w:tc>
        <w:tc>
          <w:tcPr>
            <w:tcW w:w="308"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E80A57D"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0.22</w:t>
            </w:r>
          </w:p>
        </w:tc>
        <w:tc>
          <w:tcPr>
            <w:tcW w:w="97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8597BC3"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883"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3BEDA907"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31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77A4C6F" w14:textId="77777777" w:rsidR="00961D07" w:rsidRPr="00C259FD" w:rsidRDefault="00961D07" w:rsidP="00C259FD">
            <w:pPr>
              <w:jc w:val="center"/>
              <w:rPr>
                <w:rFonts w:ascii="黑体" w:eastAsia="黑体" w:hAnsi="黑体" w:cs="黑体"/>
                <w:sz w:val="24"/>
                <w:szCs w:val="24"/>
              </w:rPr>
            </w:pPr>
          </w:p>
        </w:tc>
        <w:tc>
          <w:tcPr>
            <w:tcW w:w="28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9D2FE77"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否</w:t>
            </w:r>
          </w:p>
        </w:tc>
      </w:tr>
      <w:tr w:rsidR="00961D07" w14:paraId="2D4BD0F5" w14:textId="77777777" w:rsidTr="00C259FD">
        <w:tc>
          <w:tcPr>
            <w:tcW w:w="664"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0E67A75B"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长江证券</w:t>
            </w:r>
          </w:p>
        </w:tc>
        <w:tc>
          <w:tcPr>
            <w:tcW w:w="94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398C0EDF"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620"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4D235F6C"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308"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611086FA"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97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52170F5E"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907,307,005.79</w:t>
            </w:r>
          </w:p>
        </w:tc>
        <w:tc>
          <w:tcPr>
            <w:tcW w:w="883"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59B56E3A"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422,722.76</w:t>
            </w:r>
          </w:p>
        </w:tc>
        <w:tc>
          <w:tcPr>
            <w:tcW w:w="31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052822F"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0.47</w:t>
            </w:r>
          </w:p>
        </w:tc>
        <w:tc>
          <w:tcPr>
            <w:tcW w:w="28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8591A1F"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否</w:t>
            </w:r>
          </w:p>
        </w:tc>
      </w:tr>
      <w:tr w:rsidR="00961D07" w14:paraId="52E48528" w14:textId="77777777" w:rsidTr="00C259FD">
        <w:tc>
          <w:tcPr>
            <w:tcW w:w="664"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509C1B99"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麦</w:t>
            </w:r>
            <w:proofErr w:type="gramStart"/>
            <w:r w:rsidRPr="00C259FD">
              <w:rPr>
                <w:rFonts w:ascii="黑体" w:eastAsia="黑体" w:hAnsi="黑体" w:cs="黑体" w:hint="eastAsia"/>
                <w:color w:val="000000"/>
              </w:rPr>
              <w:t>高证券</w:t>
            </w:r>
            <w:proofErr w:type="gramEnd"/>
          </w:p>
        </w:tc>
        <w:tc>
          <w:tcPr>
            <w:tcW w:w="94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0FDB9932"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1,622,953,708.40</w:t>
            </w:r>
          </w:p>
        </w:tc>
        <w:tc>
          <w:tcPr>
            <w:tcW w:w="620"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7690DA1E"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301,693.77</w:t>
            </w:r>
          </w:p>
        </w:tc>
        <w:tc>
          <w:tcPr>
            <w:tcW w:w="308"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E0CB1A0"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0.19</w:t>
            </w:r>
          </w:p>
        </w:tc>
        <w:tc>
          <w:tcPr>
            <w:tcW w:w="97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3807235D"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124,697,140.53</w:t>
            </w:r>
          </w:p>
        </w:tc>
        <w:tc>
          <w:tcPr>
            <w:tcW w:w="883"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04E47145"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54,357.78</w:t>
            </w:r>
          </w:p>
        </w:tc>
        <w:tc>
          <w:tcPr>
            <w:tcW w:w="31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4ADA064F"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0.44</w:t>
            </w:r>
          </w:p>
        </w:tc>
        <w:tc>
          <w:tcPr>
            <w:tcW w:w="28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930DEEA"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否</w:t>
            </w:r>
          </w:p>
        </w:tc>
      </w:tr>
      <w:tr w:rsidR="00961D07" w14:paraId="30DC4C78" w14:textId="77777777" w:rsidTr="00C259FD">
        <w:tc>
          <w:tcPr>
            <w:tcW w:w="664"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3D53AAE" w14:textId="77777777" w:rsidR="00961D07" w:rsidRPr="00C259FD" w:rsidRDefault="00DC741B" w:rsidP="00C259FD">
            <w:pPr>
              <w:pStyle w:val="biaogecenter"/>
              <w:wordWrap w:val="0"/>
              <w:spacing w:line="240" w:lineRule="auto"/>
              <w:rPr>
                <w:rFonts w:ascii="黑体" w:eastAsia="黑体" w:hAnsi="黑体" w:cs="黑体"/>
                <w:b/>
                <w:bCs/>
              </w:rPr>
            </w:pPr>
            <w:r w:rsidRPr="00C259FD">
              <w:rPr>
                <w:rFonts w:ascii="黑体" w:eastAsia="黑体" w:hAnsi="黑体" w:cs="黑体" w:hint="eastAsia"/>
                <w:b/>
                <w:bCs/>
                <w:color w:val="000000"/>
              </w:rPr>
              <w:t>合</w:t>
            </w:r>
            <w:r w:rsidRPr="00C259FD">
              <w:rPr>
                <w:rFonts w:ascii="黑体" w:eastAsia="黑体" w:hAnsi="黑体" w:cs="黑体"/>
                <w:b/>
                <w:bCs/>
                <w:color w:val="000000"/>
              </w:rPr>
              <w:t xml:space="preserve"> </w:t>
            </w:r>
            <w:r w:rsidRPr="00C259FD">
              <w:rPr>
                <w:rFonts w:ascii="黑体" w:eastAsia="黑体" w:hAnsi="黑体" w:cs="黑体" w:hint="eastAsia"/>
                <w:b/>
                <w:bCs/>
                <w:color w:val="000000"/>
              </w:rPr>
              <w:t>计</w:t>
            </w:r>
          </w:p>
        </w:tc>
        <w:tc>
          <w:tcPr>
            <w:tcW w:w="94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4638F54F"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3,840,496,049.72</w:t>
            </w:r>
          </w:p>
        </w:tc>
        <w:tc>
          <w:tcPr>
            <w:tcW w:w="620"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227B836"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772,689.60</w:t>
            </w:r>
          </w:p>
        </w:tc>
        <w:tc>
          <w:tcPr>
            <w:tcW w:w="308"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8D2A14C"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0.20</w:t>
            </w:r>
          </w:p>
        </w:tc>
        <w:tc>
          <w:tcPr>
            <w:tcW w:w="97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6382A47E"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3,831,674,951.14</w:t>
            </w:r>
          </w:p>
        </w:tc>
        <w:tc>
          <w:tcPr>
            <w:tcW w:w="883"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5ED6558"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1,737,824.41</w:t>
            </w:r>
          </w:p>
        </w:tc>
        <w:tc>
          <w:tcPr>
            <w:tcW w:w="31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F55A634"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0.45</w:t>
            </w:r>
          </w:p>
        </w:tc>
        <w:tc>
          <w:tcPr>
            <w:tcW w:w="28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33D5EC70" w14:textId="77777777" w:rsidR="00961D07" w:rsidRPr="00C259FD" w:rsidRDefault="00961D07" w:rsidP="00C259FD">
            <w:pPr>
              <w:jc w:val="center"/>
              <w:rPr>
                <w:rFonts w:ascii="黑体" w:eastAsia="黑体" w:hAnsi="黑体" w:cs="黑体"/>
                <w:sz w:val="24"/>
                <w:szCs w:val="24"/>
              </w:rPr>
            </w:pPr>
          </w:p>
        </w:tc>
      </w:tr>
    </w:tbl>
    <w:p w14:paraId="0E6E71E3" w14:textId="77777777" w:rsidR="00961D07" w:rsidRPr="00C259FD" w:rsidRDefault="00DC741B">
      <w:pPr>
        <w:pStyle w:val="a3"/>
        <w:spacing w:before="100" w:beforeAutospacing="1" w:line="360" w:lineRule="auto"/>
        <w:ind w:left="420"/>
        <w:rPr>
          <w:rFonts w:ascii="黑体" w:eastAsia="黑体" w:hAnsi="黑体" w:cs="黑体"/>
          <w:spacing w:val="-6"/>
          <w:sz w:val="24"/>
          <w:szCs w:val="24"/>
          <w:lang w:eastAsia="zh-CN"/>
        </w:rPr>
      </w:pPr>
      <w:r w:rsidRPr="00C259FD">
        <w:rPr>
          <w:rFonts w:ascii="黑体" w:eastAsia="黑体" w:hAnsi="黑体" w:cs="黑体" w:hint="eastAsia"/>
          <w:spacing w:val="-6"/>
          <w:sz w:val="24"/>
          <w:szCs w:val="24"/>
          <w:lang w:eastAsia="zh-CN"/>
        </w:rPr>
        <w:t>注：</w:t>
      </w:r>
    </w:p>
    <w:p w14:paraId="3E13C038" w14:textId="4F085C51" w:rsidR="00961D07" w:rsidRPr="00C259FD" w:rsidRDefault="00DC741B">
      <w:pPr>
        <w:pStyle w:val="a3"/>
        <w:numPr>
          <w:ilvl w:val="0"/>
          <w:numId w:val="6"/>
        </w:numPr>
        <w:spacing w:before="178" w:line="360" w:lineRule="auto"/>
        <w:ind w:left="1128"/>
        <w:rPr>
          <w:rFonts w:ascii="黑体" w:eastAsia="黑体" w:hAnsi="黑体" w:cs="黑体"/>
          <w:spacing w:val="-6"/>
          <w:sz w:val="24"/>
          <w:szCs w:val="24"/>
          <w:lang w:eastAsia="zh-CN"/>
        </w:rPr>
      </w:pPr>
      <w:r w:rsidRPr="00C259FD">
        <w:rPr>
          <w:rFonts w:ascii="黑体" w:eastAsia="黑体" w:hAnsi="黑体" w:cs="黑体" w:hint="eastAsia"/>
          <w:spacing w:val="-6"/>
          <w:sz w:val="24"/>
          <w:szCs w:val="24"/>
          <w:lang w:eastAsia="zh-CN"/>
        </w:rPr>
        <w:t>本报告披露的报告期为</w:t>
      </w:r>
      <w:r w:rsidRPr="00C259FD">
        <w:rPr>
          <w:rFonts w:ascii="黑体" w:eastAsia="黑体" w:hAnsi="黑体" w:cs="黑体"/>
          <w:spacing w:val="-6"/>
          <w:sz w:val="24"/>
          <w:szCs w:val="24"/>
          <w:lang w:eastAsia="zh-CN"/>
        </w:rPr>
        <w:t>2024</w:t>
      </w:r>
      <w:r w:rsidRPr="00C259FD">
        <w:rPr>
          <w:rFonts w:ascii="黑体" w:eastAsia="黑体" w:hAnsi="黑体" w:cs="黑体" w:hint="eastAsia"/>
          <w:spacing w:val="-6"/>
          <w:sz w:val="24"/>
          <w:szCs w:val="24"/>
          <w:lang w:eastAsia="zh-CN"/>
        </w:rPr>
        <w:t>年</w:t>
      </w:r>
      <w:r w:rsidRPr="00C259FD">
        <w:rPr>
          <w:rFonts w:ascii="黑体" w:eastAsia="黑体" w:hAnsi="黑体" w:cs="黑体"/>
          <w:spacing w:val="-6"/>
          <w:sz w:val="24"/>
          <w:szCs w:val="24"/>
          <w:lang w:eastAsia="zh-CN"/>
        </w:rPr>
        <w:t>7</w:t>
      </w:r>
      <w:r w:rsidRPr="00C259FD">
        <w:rPr>
          <w:rFonts w:ascii="黑体" w:eastAsia="黑体" w:hAnsi="黑体" w:cs="黑体" w:hint="eastAsia"/>
          <w:spacing w:val="-6"/>
          <w:sz w:val="24"/>
          <w:szCs w:val="24"/>
          <w:lang w:eastAsia="zh-CN"/>
        </w:rPr>
        <w:t>月</w:t>
      </w:r>
      <w:r w:rsidRPr="00C259FD">
        <w:rPr>
          <w:rFonts w:ascii="黑体" w:eastAsia="黑体" w:hAnsi="黑体" w:cs="黑体"/>
          <w:spacing w:val="-6"/>
          <w:sz w:val="24"/>
          <w:szCs w:val="24"/>
          <w:lang w:eastAsia="zh-CN"/>
        </w:rPr>
        <w:t>1</w:t>
      </w:r>
      <w:r w:rsidRPr="00C259FD">
        <w:rPr>
          <w:rFonts w:ascii="黑体" w:eastAsia="黑体" w:hAnsi="黑体" w:cs="黑体" w:hint="eastAsia"/>
          <w:spacing w:val="-6"/>
          <w:sz w:val="24"/>
          <w:szCs w:val="24"/>
          <w:lang w:eastAsia="zh-CN"/>
        </w:rPr>
        <w:t>日至</w:t>
      </w:r>
      <w:r w:rsidRPr="00C259FD">
        <w:rPr>
          <w:rFonts w:ascii="黑体" w:eastAsia="黑体" w:hAnsi="黑体" w:cs="黑体"/>
          <w:spacing w:val="-6"/>
          <w:sz w:val="24"/>
          <w:szCs w:val="24"/>
          <w:lang w:eastAsia="zh-CN"/>
        </w:rPr>
        <w:t>2024</w:t>
      </w:r>
      <w:r w:rsidRPr="00C259FD">
        <w:rPr>
          <w:rFonts w:ascii="黑体" w:eastAsia="黑体" w:hAnsi="黑体" w:cs="黑体" w:hint="eastAsia"/>
          <w:spacing w:val="-6"/>
          <w:sz w:val="24"/>
          <w:szCs w:val="24"/>
          <w:lang w:eastAsia="zh-CN"/>
        </w:rPr>
        <w:t>年</w:t>
      </w:r>
      <w:r w:rsidRPr="00C259FD">
        <w:rPr>
          <w:rFonts w:ascii="黑体" w:eastAsia="黑体" w:hAnsi="黑体" w:cs="黑体"/>
          <w:spacing w:val="-6"/>
          <w:sz w:val="24"/>
          <w:szCs w:val="24"/>
          <w:lang w:eastAsia="zh-CN"/>
        </w:rPr>
        <w:t>12</w:t>
      </w:r>
      <w:r w:rsidRPr="00C259FD">
        <w:rPr>
          <w:rFonts w:ascii="黑体" w:eastAsia="黑体" w:hAnsi="黑体" w:cs="黑体" w:hint="eastAsia"/>
          <w:spacing w:val="-6"/>
          <w:sz w:val="24"/>
          <w:szCs w:val="24"/>
          <w:lang w:eastAsia="zh-CN"/>
        </w:rPr>
        <w:t>月</w:t>
      </w:r>
      <w:r w:rsidRPr="00C259FD">
        <w:rPr>
          <w:rFonts w:ascii="黑体" w:eastAsia="黑体" w:hAnsi="黑体" w:cs="黑体"/>
          <w:spacing w:val="-6"/>
          <w:sz w:val="24"/>
          <w:szCs w:val="24"/>
          <w:lang w:eastAsia="zh-CN"/>
        </w:rPr>
        <w:t>31</w:t>
      </w:r>
      <w:r w:rsidRPr="00C259FD">
        <w:rPr>
          <w:rFonts w:ascii="黑体" w:eastAsia="黑体" w:hAnsi="黑体" w:cs="黑体" w:hint="eastAsia"/>
          <w:spacing w:val="-6"/>
          <w:sz w:val="24"/>
          <w:szCs w:val="24"/>
          <w:lang w:eastAsia="zh-CN"/>
        </w:rPr>
        <w:t>日</w:t>
      </w:r>
      <w:r w:rsidRPr="00C259FD">
        <w:rPr>
          <w:rFonts w:ascii="黑体" w:eastAsia="黑体" w:hAnsi="黑体" w:cs="黑体"/>
          <w:spacing w:val="-6"/>
          <w:sz w:val="24"/>
          <w:szCs w:val="24"/>
          <w:lang w:eastAsia="zh-CN"/>
        </w:rPr>
        <w:t>，报告统计范围为报告期间存续过的所有租用证券公司交易单元进行证券投资的股票型及混合型公募基金，包括报告期间成立、清算、转型的公募基金。</w:t>
      </w:r>
    </w:p>
    <w:p w14:paraId="16C20B5F" w14:textId="77777777" w:rsidR="00961D07" w:rsidRPr="00C259FD" w:rsidRDefault="00DC741B">
      <w:pPr>
        <w:pStyle w:val="a3"/>
        <w:numPr>
          <w:ilvl w:val="0"/>
          <w:numId w:val="6"/>
        </w:numPr>
        <w:spacing w:before="178" w:line="360" w:lineRule="auto"/>
        <w:ind w:left="1128"/>
        <w:rPr>
          <w:rFonts w:ascii="黑体" w:eastAsia="黑体" w:hAnsi="黑体" w:cs="黑体"/>
          <w:spacing w:val="-6"/>
          <w:sz w:val="24"/>
          <w:szCs w:val="24"/>
          <w:lang w:eastAsia="zh-CN"/>
        </w:rPr>
      </w:pPr>
      <w:r w:rsidRPr="00C259FD">
        <w:rPr>
          <w:rFonts w:ascii="黑体" w:eastAsia="黑体" w:hAnsi="黑体" w:cs="黑体" w:hint="eastAsia"/>
          <w:spacing w:val="-6"/>
          <w:sz w:val="24"/>
          <w:szCs w:val="24"/>
          <w:lang w:eastAsia="zh-CN"/>
        </w:rPr>
        <w:t>根据《公开募集证券投资基金证券交易费用管理规定》和《关于通报</w:t>
      </w:r>
      <w:r w:rsidRPr="00C259FD">
        <w:rPr>
          <w:rFonts w:ascii="黑体" w:eastAsia="黑体" w:hAnsi="黑体" w:cs="黑体"/>
          <w:spacing w:val="-6"/>
          <w:sz w:val="24"/>
          <w:szCs w:val="24"/>
          <w:lang w:eastAsia="zh-CN"/>
        </w:rPr>
        <w:t>2022</w:t>
      </w:r>
      <w:r w:rsidRPr="00C259FD">
        <w:rPr>
          <w:rFonts w:ascii="黑体" w:eastAsia="黑体" w:hAnsi="黑体" w:cs="黑体" w:hint="eastAsia"/>
          <w:spacing w:val="-6"/>
          <w:sz w:val="24"/>
          <w:szCs w:val="24"/>
          <w:lang w:eastAsia="zh-CN"/>
        </w:rPr>
        <w:t>年市场平均股票交易佣金费率的通知》的相关规定，公司已于</w:t>
      </w:r>
      <w:r w:rsidRPr="00C259FD">
        <w:rPr>
          <w:rFonts w:ascii="黑体" w:eastAsia="黑体" w:hAnsi="黑体" w:cs="黑体"/>
          <w:spacing w:val="-6"/>
          <w:sz w:val="24"/>
          <w:szCs w:val="24"/>
          <w:lang w:eastAsia="zh-CN"/>
        </w:rPr>
        <w:t>2024</w:t>
      </w:r>
      <w:r w:rsidRPr="00C259FD">
        <w:rPr>
          <w:rFonts w:ascii="黑体" w:eastAsia="黑体" w:hAnsi="黑体" w:cs="黑体" w:hint="eastAsia"/>
          <w:spacing w:val="-6"/>
          <w:sz w:val="24"/>
          <w:szCs w:val="24"/>
          <w:lang w:eastAsia="zh-CN"/>
        </w:rPr>
        <w:t>年</w:t>
      </w:r>
      <w:r w:rsidRPr="00C259FD">
        <w:rPr>
          <w:rFonts w:ascii="黑体" w:eastAsia="黑体" w:hAnsi="黑体" w:cs="黑体"/>
          <w:spacing w:val="-6"/>
          <w:sz w:val="24"/>
          <w:szCs w:val="24"/>
          <w:lang w:eastAsia="zh-CN"/>
        </w:rPr>
        <w:t>6</w:t>
      </w:r>
      <w:r w:rsidRPr="00C259FD">
        <w:rPr>
          <w:rFonts w:ascii="黑体" w:eastAsia="黑体" w:hAnsi="黑体" w:cs="黑体" w:hint="eastAsia"/>
          <w:spacing w:val="-6"/>
          <w:sz w:val="24"/>
          <w:szCs w:val="24"/>
          <w:lang w:eastAsia="zh-CN"/>
        </w:rPr>
        <w:t>月</w:t>
      </w:r>
      <w:r w:rsidRPr="00C259FD">
        <w:rPr>
          <w:rFonts w:ascii="黑体" w:eastAsia="黑体" w:hAnsi="黑体" w:cs="黑体"/>
          <w:spacing w:val="-6"/>
          <w:sz w:val="24"/>
          <w:szCs w:val="24"/>
          <w:lang w:eastAsia="zh-CN"/>
        </w:rPr>
        <w:t>30</w:t>
      </w:r>
      <w:r w:rsidRPr="00C259FD">
        <w:rPr>
          <w:rFonts w:ascii="黑体" w:eastAsia="黑体" w:hAnsi="黑体" w:cs="黑体" w:hint="eastAsia"/>
          <w:spacing w:val="-6"/>
          <w:sz w:val="24"/>
          <w:szCs w:val="24"/>
          <w:lang w:eastAsia="zh-CN"/>
        </w:rPr>
        <w:t>日前完成对存续证券经纪商股票交易佣金费率的调整。调整后，被动股票型基金的佣金费率不高于万分之</w:t>
      </w:r>
      <w:proofErr w:type="gramStart"/>
      <w:r w:rsidRPr="00C259FD">
        <w:rPr>
          <w:rFonts w:ascii="黑体" w:eastAsia="黑体" w:hAnsi="黑体" w:cs="黑体"/>
          <w:spacing w:val="-6"/>
          <w:sz w:val="24"/>
          <w:szCs w:val="24"/>
          <w:lang w:eastAsia="zh-CN"/>
        </w:rPr>
        <w:t>2</w:t>
      </w:r>
      <w:proofErr w:type="gramEnd"/>
      <w:r w:rsidRPr="00C259FD">
        <w:rPr>
          <w:rFonts w:ascii="黑体" w:eastAsia="黑体" w:hAnsi="黑体" w:cs="黑体"/>
          <w:spacing w:val="-6"/>
          <w:sz w:val="24"/>
          <w:szCs w:val="24"/>
          <w:lang w:eastAsia="zh-CN"/>
        </w:rPr>
        <w:t>.62</w:t>
      </w:r>
      <w:r w:rsidRPr="00C259FD">
        <w:rPr>
          <w:rFonts w:ascii="黑体" w:eastAsia="黑体" w:hAnsi="黑体" w:cs="黑体" w:hint="eastAsia"/>
          <w:spacing w:val="-6"/>
          <w:sz w:val="24"/>
          <w:szCs w:val="24"/>
          <w:lang w:eastAsia="zh-CN"/>
        </w:rPr>
        <w:t>，其他类型基金的佣金费率不高于万分之</w:t>
      </w:r>
      <w:proofErr w:type="gramStart"/>
      <w:r w:rsidRPr="00C259FD">
        <w:rPr>
          <w:rFonts w:ascii="黑体" w:eastAsia="黑体" w:hAnsi="黑体" w:cs="黑体"/>
          <w:spacing w:val="-6"/>
          <w:sz w:val="24"/>
          <w:szCs w:val="24"/>
          <w:lang w:eastAsia="zh-CN"/>
        </w:rPr>
        <w:t>5</w:t>
      </w:r>
      <w:proofErr w:type="gramEnd"/>
      <w:r w:rsidRPr="00C259FD">
        <w:rPr>
          <w:rFonts w:ascii="黑体" w:eastAsia="黑体" w:hAnsi="黑体" w:cs="黑体"/>
          <w:spacing w:val="-6"/>
          <w:sz w:val="24"/>
          <w:szCs w:val="24"/>
          <w:lang w:eastAsia="zh-CN"/>
        </w:rPr>
        <w:t>.24</w:t>
      </w:r>
      <w:r w:rsidRPr="00C259FD">
        <w:rPr>
          <w:rFonts w:ascii="黑体" w:eastAsia="黑体" w:hAnsi="黑体" w:cs="黑体" w:hint="eastAsia"/>
          <w:spacing w:val="-6"/>
          <w:sz w:val="24"/>
          <w:szCs w:val="24"/>
          <w:lang w:eastAsia="zh-CN"/>
        </w:rPr>
        <w:t>。对于新增证券经纪商的股票交易佣金费率，直接适用前述标准。</w:t>
      </w:r>
    </w:p>
    <w:p w14:paraId="2D3B0BFC" w14:textId="77777777" w:rsidR="00961D07" w:rsidRPr="00C259FD" w:rsidRDefault="00961D07">
      <w:pPr>
        <w:pStyle w:val="a3"/>
        <w:spacing w:before="178" w:line="360" w:lineRule="auto"/>
        <w:ind w:left="780"/>
        <w:rPr>
          <w:rFonts w:ascii="黑体" w:eastAsia="黑体" w:hAnsi="黑体" w:cs="黑体"/>
          <w:spacing w:val="-6"/>
          <w:sz w:val="24"/>
          <w:szCs w:val="24"/>
          <w:lang w:eastAsia="zh-CN"/>
        </w:rPr>
      </w:pPr>
    </w:p>
    <w:p w14:paraId="4D479F88" w14:textId="77777777" w:rsidR="00961D07" w:rsidRPr="00C259FD" w:rsidRDefault="00961D07">
      <w:pPr>
        <w:spacing w:line="202" w:lineRule="auto"/>
        <w:rPr>
          <w:rFonts w:ascii="黑体" w:eastAsia="黑体" w:hAnsi="黑体" w:cs="黑体"/>
          <w:lang w:eastAsia="zh-CN"/>
        </w:rPr>
        <w:sectPr w:rsidR="00961D07" w:rsidRPr="00C259FD">
          <w:footerReference w:type="default" r:id="rId9"/>
          <w:pgSz w:w="11906" w:h="16839"/>
          <w:pgMar w:top="1431" w:right="470" w:bottom="1408" w:left="470" w:header="0" w:footer="1237" w:gutter="0"/>
          <w:cols w:space="720"/>
        </w:sectPr>
      </w:pPr>
      <w:bookmarkStart w:id="2" w:name="bookmark3"/>
      <w:bookmarkStart w:id="3" w:name="bookmark4"/>
      <w:bookmarkEnd w:id="2"/>
      <w:bookmarkEnd w:id="3"/>
    </w:p>
    <w:p w14:paraId="5EDECA0C" w14:textId="4BE8D4FF" w:rsidR="00961D07" w:rsidRPr="00C259FD" w:rsidRDefault="00DC741B" w:rsidP="00C259FD">
      <w:pPr>
        <w:spacing w:before="101" w:line="231" w:lineRule="auto"/>
        <w:ind w:firstLineChars="200" w:firstLine="574"/>
        <w:outlineLvl w:val="2"/>
        <w:rPr>
          <w:rFonts w:ascii="黑体" w:eastAsia="黑体" w:hAnsi="黑体" w:cs="黑体"/>
          <w:sz w:val="28"/>
          <w:szCs w:val="28"/>
          <w:lang w:eastAsia="zh-CN"/>
        </w:rPr>
      </w:pPr>
      <w:r w:rsidRPr="00C259FD">
        <w:rPr>
          <w:rFonts w:ascii="黑体" w:eastAsia="黑体" w:hAnsi="黑体" w:cs="黑体" w:hint="eastAsia"/>
          <w:b/>
          <w:bCs/>
          <w:spacing w:val="6"/>
          <w:sz w:val="28"/>
          <w:szCs w:val="28"/>
          <w:lang w:eastAsia="zh-CN"/>
        </w:rPr>
        <w:lastRenderedPageBreak/>
        <w:t>（二）</w:t>
      </w:r>
      <w:r w:rsidRPr="00C259FD">
        <w:rPr>
          <w:rFonts w:ascii="黑体" w:eastAsia="黑体" w:hAnsi="黑体" w:cs="黑体"/>
          <w:b/>
          <w:bCs/>
          <w:spacing w:val="6"/>
          <w:sz w:val="28"/>
          <w:szCs w:val="28"/>
          <w:lang w:eastAsia="zh-CN"/>
        </w:rPr>
        <w:t>证券投资佣金支付及分配情况</w:t>
      </w:r>
    </w:p>
    <w:p w14:paraId="0A370BBA" w14:textId="2AAA04B7" w:rsidR="00961D07" w:rsidRPr="00C259FD" w:rsidRDefault="00DC741B" w:rsidP="00C259FD">
      <w:pPr>
        <w:pStyle w:val="a4"/>
        <w:spacing w:before="172" w:line="200" w:lineRule="auto"/>
        <w:ind w:left="7188" w:firstLineChars="300" w:firstLine="723"/>
        <w:rPr>
          <w:rFonts w:ascii="黑体" w:eastAsia="黑体" w:hAnsi="黑体" w:cs="黑体"/>
          <w:b/>
          <w:bCs/>
          <w:sz w:val="24"/>
          <w:szCs w:val="24"/>
          <w:lang w:eastAsia="zh-CN"/>
        </w:rPr>
      </w:pPr>
      <w:proofErr w:type="spellStart"/>
      <w:r w:rsidRPr="00C259FD">
        <w:rPr>
          <w:rFonts w:ascii="黑体" w:eastAsia="黑体" w:hAnsi="黑体" w:cs="黑体"/>
          <w:b/>
          <w:bCs/>
          <w:sz w:val="24"/>
          <w:szCs w:val="24"/>
        </w:rPr>
        <w:t>金额单位：人民币元</w:t>
      </w:r>
      <w:proofErr w:type="spellEnd"/>
    </w:p>
    <w:p w14:paraId="4E916ABA" w14:textId="77777777" w:rsidR="00961D07" w:rsidRPr="00C259FD" w:rsidRDefault="00961D07">
      <w:pPr>
        <w:spacing w:line="102" w:lineRule="exact"/>
        <w:rPr>
          <w:rFonts w:ascii="黑体" w:eastAsia="黑体" w:hAnsi="黑体" w:cs="黑体"/>
        </w:rPr>
      </w:pPr>
    </w:p>
    <w:tbl>
      <w:tblPr>
        <w:tblStyle w:val="TableNormal"/>
        <w:tblW w:w="8950" w:type="dxa"/>
        <w:tblInd w:w="119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2308"/>
        <w:gridCol w:w="3190"/>
        <w:gridCol w:w="3452"/>
      </w:tblGrid>
      <w:tr w:rsidR="00961D07" w14:paraId="5E8104FB" w14:textId="77777777">
        <w:trPr>
          <w:trHeight w:val="592"/>
        </w:trPr>
        <w:tc>
          <w:tcPr>
            <w:tcW w:w="2308" w:type="dxa"/>
          </w:tcPr>
          <w:p w14:paraId="3BB84467" w14:textId="77777777" w:rsidR="00961D07" w:rsidRPr="00C259FD" w:rsidRDefault="00DC741B" w:rsidP="00C259FD">
            <w:pPr>
              <w:autoSpaceDE/>
              <w:autoSpaceDN/>
              <w:spacing w:before="165"/>
              <w:ind w:left="394"/>
              <w:jc w:val="center"/>
              <w:rPr>
                <w:rFonts w:ascii="黑体" w:eastAsia="黑体" w:hAnsi="黑体" w:cs="黑体"/>
                <w:sz w:val="24"/>
                <w:szCs w:val="24"/>
              </w:rPr>
            </w:pPr>
            <w:proofErr w:type="spellStart"/>
            <w:r w:rsidRPr="00C259FD">
              <w:rPr>
                <w:rFonts w:ascii="黑体" w:eastAsia="黑体" w:hAnsi="黑体" w:cs="黑体"/>
                <w:b/>
                <w:bCs/>
                <w:sz w:val="24"/>
                <w:szCs w:val="24"/>
              </w:rPr>
              <w:t>证券公司名称</w:t>
            </w:r>
            <w:proofErr w:type="spellEnd"/>
          </w:p>
        </w:tc>
        <w:tc>
          <w:tcPr>
            <w:tcW w:w="3190" w:type="dxa"/>
          </w:tcPr>
          <w:p w14:paraId="2724ED4D" w14:textId="77777777" w:rsidR="00961D07" w:rsidRPr="00C259FD" w:rsidRDefault="00DC741B" w:rsidP="00C259FD">
            <w:pPr>
              <w:autoSpaceDE/>
              <w:autoSpaceDN/>
              <w:spacing w:before="26"/>
              <w:ind w:left="960" w:right="147" w:hanging="809"/>
              <w:jc w:val="center"/>
              <w:rPr>
                <w:rFonts w:ascii="黑体" w:eastAsia="黑体" w:hAnsi="黑体" w:cs="黑体"/>
                <w:sz w:val="24"/>
                <w:szCs w:val="24"/>
                <w:lang w:eastAsia="zh-CN"/>
              </w:rPr>
            </w:pPr>
            <w:r w:rsidRPr="00C259FD">
              <w:rPr>
                <w:rFonts w:ascii="黑体" w:eastAsia="黑体" w:hAnsi="黑体" w:cs="黑体"/>
                <w:b/>
                <w:bCs/>
                <w:sz w:val="24"/>
                <w:szCs w:val="24"/>
                <w:lang w:eastAsia="zh-CN"/>
              </w:rPr>
              <w:t>应支付该证券公司的证券交易佣金金额</w:t>
            </w:r>
          </w:p>
        </w:tc>
        <w:tc>
          <w:tcPr>
            <w:tcW w:w="3452" w:type="dxa"/>
          </w:tcPr>
          <w:p w14:paraId="4EB05A32" w14:textId="7CECC068" w:rsidR="00961D07" w:rsidRPr="00C259FD" w:rsidRDefault="00DC741B" w:rsidP="00C259FD">
            <w:pPr>
              <w:autoSpaceDE/>
              <w:autoSpaceDN/>
              <w:spacing w:before="26"/>
              <w:ind w:left="763" w:right="160" w:hanging="568"/>
              <w:jc w:val="center"/>
              <w:rPr>
                <w:rFonts w:ascii="黑体" w:eastAsia="黑体" w:hAnsi="黑体" w:cs="黑体"/>
                <w:sz w:val="24"/>
                <w:szCs w:val="24"/>
                <w:lang w:eastAsia="zh-CN"/>
              </w:rPr>
            </w:pPr>
            <w:r w:rsidRPr="00C259FD">
              <w:rPr>
                <w:rFonts w:ascii="黑体" w:eastAsia="黑体" w:hAnsi="黑体" w:cs="黑体"/>
                <w:b/>
                <w:bCs/>
                <w:spacing w:val="-3"/>
                <w:sz w:val="24"/>
                <w:szCs w:val="24"/>
                <w:lang w:eastAsia="zh-CN"/>
              </w:rPr>
              <w:t>占年度该交易模式证券交易佣</w:t>
            </w:r>
            <w:r w:rsidRPr="00C259FD">
              <w:rPr>
                <w:rFonts w:ascii="黑体" w:eastAsia="黑体" w:hAnsi="黑体" w:cs="黑体"/>
                <w:b/>
                <w:bCs/>
                <w:spacing w:val="1"/>
                <w:sz w:val="24"/>
                <w:szCs w:val="24"/>
                <w:lang w:eastAsia="zh-CN"/>
              </w:rPr>
              <w:t>金总额比例（%）</w:t>
            </w:r>
          </w:p>
        </w:tc>
      </w:tr>
      <w:tr w:rsidR="00961D07" w14:paraId="4F3B82DE" w14:textId="77777777">
        <w:trPr>
          <w:trHeight w:val="588"/>
        </w:trPr>
        <w:tc>
          <w:tcPr>
            <w:tcW w:w="2308" w:type="dxa"/>
            <w:vAlign w:val="center"/>
          </w:tcPr>
          <w:p w14:paraId="16A902B4"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hint="eastAsia"/>
                <w:snapToGrid/>
                <w:sz w:val="24"/>
                <w:szCs w:val="24"/>
                <w:lang w:eastAsia="zh-CN"/>
              </w:rPr>
              <w:t>东吴证券</w:t>
            </w:r>
          </w:p>
        </w:tc>
        <w:tc>
          <w:tcPr>
            <w:tcW w:w="3190" w:type="dxa"/>
            <w:vAlign w:val="center"/>
          </w:tcPr>
          <w:p w14:paraId="6CD96DFB"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200,560.22</w:t>
            </w:r>
          </w:p>
        </w:tc>
        <w:tc>
          <w:tcPr>
            <w:tcW w:w="3452" w:type="dxa"/>
            <w:vAlign w:val="center"/>
          </w:tcPr>
          <w:p w14:paraId="6C5D3808"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7.99</w:t>
            </w:r>
          </w:p>
        </w:tc>
      </w:tr>
      <w:tr w:rsidR="00961D07" w14:paraId="0098EA40" w14:textId="77777777">
        <w:trPr>
          <w:trHeight w:val="588"/>
        </w:trPr>
        <w:tc>
          <w:tcPr>
            <w:tcW w:w="2308" w:type="dxa"/>
            <w:vAlign w:val="center"/>
          </w:tcPr>
          <w:p w14:paraId="39185125"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hint="eastAsia"/>
                <w:snapToGrid/>
                <w:sz w:val="24"/>
                <w:szCs w:val="24"/>
                <w:lang w:eastAsia="zh-CN"/>
              </w:rPr>
              <w:t>东方财富证券</w:t>
            </w:r>
          </w:p>
        </w:tc>
        <w:tc>
          <w:tcPr>
            <w:tcW w:w="3190" w:type="dxa"/>
            <w:vAlign w:val="center"/>
          </w:tcPr>
          <w:p w14:paraId="74EDD1C1"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28,683.75</w:t>
            </w:r>
          </w:p>
        </w:tc>
        <w:tc>
          <w:tcPr>
            <w:tcW w:w="3452" w:type="dxa"/>
            <w:vAlign w:val="center"/>
          </w:tcPr>
          <w:p w14:paraId="6294C6BB"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1.14</w:t>
            </w:r>
          </w:p>
        </w:tc>
      </w:tr>
      <w:tr w:rsidR="00961D07" w14:paraId="1C17B5B6" w14:textId="77777777">
        <w:trPr>
          <w:trHeight w:val="632"/>
        </w:trPr>
        <w:tc>
          <w:tcPr>
            <w:tcW w:w="2308" w:type="dxa"/>
            <w:vAlign w:val="center"/>
          </w:tcPr>
          <w:p w14:paraId="055F4576" w14:textId="77777777" w:rsidR="00961D07" w:rsidRPr="00C259FD" w:rsidRDefault="00DC741B" w:rsidP="00C259FD">
            <w:pPr>
              <w:autoSpaceDE/>
              <w:autoSpaceDN/>
              <w:spacing w:before="182"/>
              <w:jc w:val="center"/>
              <w:rPr>
                <w:rFonts w:ascii="黑体" w:eastAsia="黑体" w:hAnsi="黑体" w:cs="黑体"/>
                <w:snapToGrid/>
                <w:sz w:val="24"/>
                <w:szCs w:val="24"/>
                <w:lang w:eastAsia="zh-CN"/>
              </w:rPr>
            </w:pPr>
            <w:r w:rsidRPr="00C259FD">
              <w:rPr>
                <w:rFonts w:ascii="黑体" w:eastAsia="黑体" w:hAnsi="黑体" w:cs="黑体" w:hint="eastAsia"/>
                <w:snapToGrid/>
                <w:sz w:val="24"/>
                <w:szCs w:val="24"/>
                <w:lang w:eastAsia="zh-CN"/>
              </w:rPr>
              <w:t>中</w:t>
            </w:r>
            <w:proofErr w:type="gramStart"/>
            <w:r w:rsidRPr="00C259FD">
              <w:rPr>
                <w:rFonts w:ascii="黑体" w:eastAsia="黑体" w:hAnsi="黑体" w:cs="黑体" w:hint="eastAsia"/>
                <w:snapToGrid/>
                <w:sz w:val="24"/>
                <w:szCs w:val="24"/>
                <w:lang w:eastAsia="zh-CN"/>
              </w:rPr>
              <w:t>信建投</w:t>
            </w:r>
            <w:proofErr w:type="gramEnd"/>
          </w:p>
        </w:tc>
        <w:tc>
          <w:tcPr>
            <w:tcW w:w="3190" w:type="dxa"/>
            <w:vAlign w:val="center"/>
          </w:tcPr>
          <w:p w14:paraId="32F879CA"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48,251.76</w:t>
            </w:r>
          </w:p>
        </w:tc>
        <w:tc>
          <w:tcPr>
            <w:tcW w:w="3452" w:type="dxa"/>
            <w:vAlign w:val="center"/>
          </w:tcPr>
          <w:p w14:paraId="01650905"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1.92</w:t>
            </w:r>
          </w:p>
        </w:tc>
      </w:tr>
      <w:tr w:rsidR="00961D07" w14:paraId="0C4368EC" w14:textId="77777777">
        <w:trPr>
          <w:trHeight w:val="632"/>
        </w:trPr>
        <w:tc>
          <w:tcPr>
            <w:tcW w:w="2308" w:type="dxa"/>
            <w:vAlign w:val="center"/>
          </w:tcPr>
          <w:p w14:paraId="54A2BB61" w14:textId="77777777" w:rsidR="00961D07" w:rsidRPr="00C259FD" w:rsidRDefault="00DC741B" w:rsidP="00C259FD">
            <w:pPr>
              <w:autoSpaceDE/>
              <w:autoSpaceDN/>
              <w:spacing w:before="182"/>
              <w:jc w:val="center"/>
              <w:rPr>
                <w:rFonts w:ascii="黑体" w:eastAsia="黑体" w:hAnsi="黑体" w:cs="黑体"/>
                <w:snapToGrid/>
                <w:sz w:val="24"/>
                <w:szCs w:val="24"/>
                <w:lang w:eastAsia="zh-CN"/>
              </w:rPr>
            </w:pPr>
            <w:r w:rsidRPr="00C259FD">
              <w:rPr>
                <w:rFonts w:ascii="黑体" w:eastAsia="黑体" w:hAnsi="黑体" w:cs="黑体" w:hint="eastAsia"/>
                <w:snapToGrid/>
                <w:sz w:val="24"/>
                <w:szCs w:val="24"/>
                <w:lang w:eastAsia="zh-CN"/>
              </w:rPr>
              <w:t>中信证券</w:t>
            </w:r>
          </w:p>
        </w:tc>
        <w:tc>
          <w:tcPr>
            <w:tcW w:w="3190" w:type="dxa"/>
            <w:vAlign w:val="center"/>
          </w:tcPr>
          <w:p w14:paraId="01FB650A"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w:t>
            </w:r>
          </w:p>
        </w:tc>
        <w:tc>
          <w:tcPr>
            <w:tcW w:w="3452" w:type="dxa"/>
            <w:vAlign w:val="center"/>
          </w:tcPr>
          <w:p w14:paraId="245FDA38"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w:t>
            </w:r>
          </w:p>
        </w:tc>
      </w:tr>
      <w:tr w:rsidR="00961D07" w14:paraId="3C786187" w14:textId="77777777">
        <w:trPr>
          <w:trHeight w:val="632"/>
        </w:trPr>
        <w:tc>
          <w:tcPr>
            <w:tcW w:w="2308" w:type="dxa"/>
            <w:vAlign w:val="center"/>
          </w:tcPr>
          <w:p w14:paraId="111CD04C" w14:textId="77777777" w:rsidR="00961D07" w:rsidRPr="00C259FD" w:rsidRDefault="00DC741B" w:rsidP="00C259FD">
            <w:pPr>
              <w:autoSpaceDE/>
              <w:autoSpaceDN/>
              <w:spacing w:before="182"/>
              <w:jc w:val="center"/>
              <w:rPr>
                <w:rFonts w:ascii="黑体" w:eastAsia="黑体" w:hAnsi="黑体" w:cs="黑体"/>
                <w:snapToGrid/>
                <w:sz w:val="24"/>
                <w:szCs w:val="24"/>
                <w:lang w:eastAsia="zh-CN"/>
              </w:rPr>
            </w:pPr>
            <w:r w:rsidRPr="00C259FD">
              <w:rPr>
                <w:rFonts w:ascii="黑体" w:eastAsia="黑体" w:hAnsi="黑体" w:cs="黑体" w:hint="eastAsia"/>
                <w:snapToGrid/>
                <w:sz w:val="24"/>
                <w:szCs w:val="24"/>
                <w:lang w:eastAsia="zh-CN"/>
              </w:rPr>
              <w:t>中金公司</w:t>
            </w:r>
          </w:p>
        </w:tc>
        <w:tc>
          <w:tcPr>
            <w:tcW w:w="3190" w:type="dxa"/>
            <w:vAlign w:val="center"/>
          </w:tcPr>
          <w:p w14:paraId="196FADAE"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w:t>
            </w:r>
          </w:p>
        </w:tc>
        <w:tc>
          <w:tcPr>
            <w:tcW w:w="3452" w:type="dxa"/>
            <w:vAlign w:val="center"/>
          </w:tcPr>
          <w:p w14:paraId="6C66BD48"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w:t>
            </w:r>
          </w:p>
        </w:tc>
      </w:tr>
      <w:tr w:rsidR="00961D07" w14:paraId="08589731" w14:textId="77777777">
        <w:trPr>
          <w:trHeight w:val="632"/>
        </w:trPr>
        <w:tc>
          <w:tcPr>
            <w:tcW w:w="2308" w:type="dxa"/>
            <w:vAlign w:val="center"/>
          </w:tcPr>
          <w:p w14:paraId="714240F2" w14:textId="77777777" w:rsidR="00961D07" w:rsidRPr="00C259FD" w:rsidRDefault="00DC741B" w:rsidP="00C259FD">
            <w:pPr>
              <w:autoSpaceDE/>
              <w:autoSpaceDN/>
              <w:spacing w:before="182"/>
              <w:jc w:val="center"/>
              <w:rPr>
                <w:rFonts w:ascii="黑体" w:eastAsia="黑体" w:hAnsi="黑体" w:cs="黑体"/>
                <w:snapToGrid/>
                <w:sz w:val="24"/>
                <w:szCs w:val="24"/>
                <w:lang w:eastAsia="zh-CN"/>
              </w:rPr>
            </w:pPr>
            <w:r w:rsidRPr="00C259FD">
              <w:rPr>
                <w:rFonts w:ascii="黑体" w:eastAsia="黑体" w:hAnsi="黑体" w:cs="黑体" w:hint="eastAsia"/>
                <w:snapToGrid/>
                <w:sz w:val="24"/>
                <w:szCs w:val="24"/>
                <w:lang w:eastAsia="zh-CN"/>
              </w:rPr>
              <w:t>兴业证券</w:t>
            </w:r>
          </w:p>
        </w:tc>
        <w:tc>
          <w:tcPr>
            <w:tcW w:w="3190" w:type="dxa"/>
            <w:vAlign w:val="center"/>
          </w:tcPr>
          <w:p w14:paraId="15C27A01"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337,449.27</w:t>
            </w:r>
          </w:p>
        </w:tc>
        <w:tc>
          <w:tcPr>
            <w:tcW w:w="3452" w:type="dxa"/>
            <w:vAlign w:val="center"/>
          </w:tcPr>
          <w:p w14:paraId="60CF3607"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13.44</w:t>
            </w:r>
          </w:p>
        </w:tc>
      </w:tr>
      <w:tr w:rsidR="00961D07" w14:paraId="7ACEFA52" w14:textId="77777777">
        <w:trPr>
          <w:trHeight w:val="632"/>
        </w:trPr>
        <w:tc>
          <w:tcPr>
            <w:tcW w:w="2308" w:type="dxa"/>
            <w:vAlign w:val="center"/>
          </w:tcPr>
          <w:p w14:paraId="49ACF4D0" w14:textId="77777777" w:rsidR="00961D07" w:rsidRPr="00C259FD" w:rsidRDefault="00DC741B" w:rsidP="00C259FD">
            <w:pPr>
              <w:autoSpaceDE/>
              <w:autoSpaceDN/>
              <w:spacing w:before="182"/>
              <w:jc w:val="center"/>
              <w:rPr>
                <w:rFonts w:ascii="黑体" w:eastAsia="黑体" w:hAnsi="黑体" w:cs="黑体"/>
                <w:snapToGrid/>
                <w:sz w:val="24"/>
                <w:szCs w:val="24"/>
                <w:lang w:eastAsia="zh-CN"/>
              </w:rPr>
            </w:pPr>
            <w:r w:rsidRPr="00C259FD">
              <w:rPr>
                <w:rFonts w:ascii="黑体" w:eastAsia="黑体" w:hAnsi="黑体" w:cs="黑体" w:hint="eastAsia"/>
                <w:snapToGrid/>
                <w:sz w:val="24"/>
                <w:szCs w:val="24"/>
                <w:lang w:eastAsia="zh-CN"/>
              </w:rPr>
              <w:t>华创证券</w:t>
            </w:r>
          </w:p>
        </w:tc>
        <w:tc>
          <w:tcPr>
            <w:tcW w:w="3190" w:type="dxa"/>
            <w:vAlign w:val="center"/>
          </w:tcPr>
          <w:p w14:paraId="0B38AA61"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61,551.48</w:t>
            </w:r>
          </w:p>
        </w:tc>
        <w:tc>
          <w:tcPr>
            <w:tcW w:w="3452" w:type="dxa"/>
            <w:vAlign w:val="center"/>
          </w:tcPr>
          <w:p w14:paraId="17ED0469"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2.45</w:t>
            </w:r>
          </w:p>
        </w:tc>
      </w:tr>
      <w:tr w:rsidR="00961D07" w14:paraId="12D94F27" w14:textId="77777777">
        <w:trPr>
          <w:trHeight w:val="632"/>
        </w:trPr>
        <w:tc>
          <w:tcPr>
            <w:tcW w:w="2308" w:type="dxa"/>
            <w:vAlign w:val="center"/>
          </w:tcPr>
          <w:p w14:paraId="7166153F" w14:textId="77777777" w:rsidR="00961D07" w:rsidRPr="00C259FD" w:rsidRDefault="00DC741B" w:rsidP="00C259FD">
            <w:pPr>
              <w:autoSpaceDE/>
              <w:autoSpaceDN/>
              <w:spacing w:before="182"/>
              <w:jc w:val="center"/>
              <w:rPr>
                <w:rFonts w:ascii="黑体" w:eastAsia="黑体" w:hAnsi="黑体" w:cs="黑体"/>
                <w:snapToGrid/>
                <w:sz w:val="24"/>
                <w:szCs w:val="24"/>
                <w:lang w:eastAsia="zh-CN"/>
              </w:rPr>
            </w:pPr>
            <w:r w:rsidRPr="00C259FD">
              <w:rPr>
                <w:rFonts w:ascii="黑体" w:eastAsia="黑体" w:hAnsi="黑体" w:cs="黑体" w:hint="eastAsia"/>
                <w:snapToGrid/>
                <w:sz w:val="24"/>
                <w:szCs w:val="24"/>
                <w:lang w:eastAsia="zh-CN"/>
              </w:rPr>
              <w:t>华安证券</w:t>
            </w:r>
          </w:p>
        </w:tc>
        <w:tc>
          <w:tcPr>
            <w:tcW w:w="3190" w:type="dxa"/>
            <w:vAlign w:val="center"/>
          </w:tcPr>
          <w:p w14:paraId="7449FCA8"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187,624.92</w:t>
            </w:r>
          </w:p>
        </w:tc>
        <w:tc>
          <w:tcPr>
            <w:tcW w:w="3452" w:type="dxa"/>
            <w:vAlign w:val="center"/>
          </w:tcPr>
          <w:p w14:paraId="556EB317"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7.47</w:t>
            </w:r>
          </w:p>
        </w:tc>
      </w:tr>
      <w:tr w:rsidR="00961D07" w14:paraId="3D8CEA98" w14:textId="77777777">
        <w:trPr>
          <w:trHeight w:val="632"/>
        </w:trPr>
        <w:tc>
          <w:tcPr>
            <w:tcW w:w="2308" w:type="dxa"/>
            <w:vAlign w:val="center"/>
          </w:tcPr>
          <w:p w14:paraId="35BE3DD2" w14:textId="77777777" w:rsidR="00961D07" w:rsidRPr="00C259FD" w:rsidRDefault="00DC741B" w:rsidP="00C259FD">
            <w:pPr>
              <w:autoSpaceDE/>
              <w:autoSpaceDN/>
              <w:spacing w:before="182"/>
              <w:jc w:val="center"/>
              <w:rPr>
                <w:rFonts w:ascii="黑体" w:eastAsia="黑体" w:hAnsi="黑体" w:cs="黑体"/>
                <w:snapToGrid/>
                <w:sz w:val="24"/>
                <w:szCs w:val="24"/>
                <w:lang w:eastAsia="zh-CN"/>
              </w:rPr>
            </w:pPr>
            <w:r w:rsidRPr="00C259FD">
              <w:rPr>
                <w:rFonts w:ascii="黑体" w:eastAsia="黑体" w:hAnsi="黑体" w:cs="黑体" w:hint="eastAsia"/>
                <w:snapToGrid/>
                <w:sz w:val="24"/>
                <w:szCs w:val="24"/>
                <w:lang w:eastAsia="zh-CN"/>
              </w:rPr>
              <w:t>华泰证券</w:t>
            </w:r>
          </w:p>
        </w:tc>
        <w:tc>
          <w:tcPr>
            <w:tcW w:w="3190" w:type="dxa"/>
            <w:vAlign w:val="center"/>
          </w:tcPr>
          <w:p w14:paraId="5E567309"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w:t>
            </w:r>
          </w:p>
        </w:tc>
        <w:tc>
          <w:tcPr>
            <w:tcW w:w="3452" w:type="dxa"/>
            <w:vAlign w:val="center"/>
          </w:tcPr>
          <w:p w14:paraId="358800A1"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w:t>
            </w:r>
          </w:p>
        </w:tc>
      </w:tr>
      <w:tr w:rsidR="00961D07" w14:paraId="7DB3CDC9" w14:textId="77777777">
        <w:trPr>
          <w:trHeight w:val="632"/>
        </w:trPr>
        <w:tc>
          <w:tcPr>
            <w:tcW w:w="2308" w:type="dxa"/>
            <w:vAlign w:val="center"/>
          </w:tcPr>
          <w:p w14:paraId="62109558" w14:textId="77777777" w:rsidR="00961D07" w:rsidRPr="00C259FD" w:rsidRDefault="00DC741B" w:rsidP="00C259FD">
            <w:pPr>
              <w:autoSpaceDE/>
              <w:autoSpaceDN/>
              <w:spacing w:before="182"/>
              <w:jc w:val="center"/>
              <w:rPr>
                <w:rFonts w:ascii="黑体" w:eastAsia="黑体" w:hAnsi="黑体" w:cs="黑体"/>
                <w:snapToGrid/>
                <w:sz w:val="24"/>
                <w:szCs w:val="24"/>
                <w:lang w:eastAsia="zh-CN"/>
              </w:rPr>
            </w:pPr>
            <w:r w:rsidRPr="00C259FD">
              <w:rPr>
                <w:rFonts w:ascii="黑体" w:eastAsia="黑体" w:hAnsi="黑体" w:cs="黑体" w:hint="eastAsia"/>
                <w:snapToGrid/>
                <w:sz w:val="24"/>
                <w:szCs w:val="24"/>
                <w:lang w:eastAsia="zh-CN"/>
              </w:rPr>
              <w:t>华</w:t>
            </w:r>
            <w:proofErr w:type="gramStart"/>
            <w:r w:rsidRPr="00C259FD">
              <w:rPr>
                <w:rFonts w:ascii="黑体" w:eastAsia="黑体" w:hAnsi="黑体" w:cs="黑体" w:hint="eastAsia"/>
                <w:snapToGrid/>
                <w:sz w:val="24"/>
                <w:szCs w:val="24"/>
                <w:lang w:eastAsia="zh-CN"/>
              </w:rPr>
              <w:t>福证券</w:t>
            </w:r>
            <w:proofErr w:type="gramEnd"/>
          </w:p>
        </w:tc>
        <w:tc>
          <w:tcPr>
            <w:tcW w:w="3190" w:type="dxa"/>
            <w:vAlign w:val="center"/>
          </w:tcPr>
          <w:p w14:paraId="313E3FCA"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w:t>
            </w:r>
          </w:p>
        </w:tc>
        <w:tc>
          <w:tcPr>
            <w:tcW w:w="3452" w:type="dxa"/>
            <w:vAlign w:val="center"/>
          </w:tcPr>
          <w:p w14:paraId="3C21F4A9"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w:t>
            </w:r>
          </w:p>
        </w:tc>
      </w:tr>
      <w:tr w:rsidR="00961D07" w14:paraId="4DED7194" w14:textId="77777777">
        <w:trPr>
          <w:trHeight w:val="632"/>
        </w:trPr>
        <w:tc>
          <w:tcPr>
            <w:tcW w:w="2308" w:type="dxa"/>
            <w:vAlign w:val="center"/>
          </w:tcPr>
          <w:p w14:paraId="75EA826A" w14:textId="77777777" w:rsidR="00961D07" w:rsidRPr="00C259FD" w:rsidRDefault="00DC741B" w:rsidP="00C259FD">
            <w:pPr>
              <w:autoSpaceDE/>
              <w:autoSpaceDN/>
              <w:spacing w:before="182"/>
              <w:jc w:val="center"/>
              <w:rPr>
                <w:rFonts w:ascii="黑体" w:eastAsia="黑体" w:hAnsi="黑体" w:cs="黑体"/>
                <w:snapToGrid/>
                <w:sz w:val="24"/>
                <w:szCs w:val="24"/>
                <w:lang w:eastAsia="zh-CN"/>
              </w:rPr>
            </w:pPr>
            <w:r w:rsidRPr="00C259FD">
              <w:rPr>
                <w:rFonts w:ascii="黑体" w:eastAsia="黑体" w:hAnsi="黑体" w:cs="黑体" w:hint="eastAsia"/>
                <w:snapToGrid/>
                <w:sz w:val="24"/>
                <w:szCs w:val="24"/>
                <w:lang w:eastAsia="zh-CN"/>
              </w:rPr>
              <w:t>华金证券</w:t>
            </w:r>
          </w:p>
        </w:tc>
        <w:tc>
          <w:tcPr>
            <w:tcW w:w="3190" w:type="dxa"/>
            <w:vAlign w:val="center"/>
          </w:tcPr>
          <w:p w14:paraId="409A1A03"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w:t>
            </w:r>
          </w:p>
        </w:tc>
        <w:tc>
          <w:tcPr>
            <w:tcW w:w="3452" w:type="dxa"/>
            <w:vAlign w:val="center"/>
          </w:tcPr>
          <w:p w14:paraId="72E4C884"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w:t>
            </w:r>
          </w:p>
        </w:tc>
      </w:tr>
      <w:tr w:rsidR="00961D07" w14:paraId="24D593D9" w14:textId="77777777">
        <w:trPr>
          <w:trHeight w:val="632"/>
        </w:trPr>
        <w:tc>
          <w:tcPr>
            <w:tcW w:w="2308" w:type="dxa"/>
            <w:vAlign w:val="center"/>
          </w:tcPr>
          <w:p w14:paraId="292B1DE6" w14:textId="77777777" w:rsidR="00961D07" w:rsidRPr="00C259FD" w:rsidRDefault="00DC741B" w:rsidP="00C259FD">
            <w:pPr>
              <w:autoSpaceDE/>
              <w:autoSpaceDN/>
              <w:spacing w:before="182"/>
              <w:jc w:val="center"/>
              <w:rPr>
                <w:rFonts w:ascii="黑体" w:eastAsia="黑体" w:hAnsi="黑体" w:cs="黑体"/>
                <w:snapToGrid/>
                <w:sz w:val="24"/>
                <w:szCs w:val="24"/>
                <w:lang w:eastAsia="zh-CN"/>
              </w:rPr>
            </w:pPr>
            <w:r w:rsidRPr="00C259FD">
              <w:rPr>
                <w:rFonts w:ascii="黑体" w:eastAsia="黑体" w:hAnsi="黑体" w:cs="黑体" w:hint="eastAsia"/>
                <w:snapToGrid/>
                <w:sz w:val="24"/>
                <w:szCs w:val="24"/>
                <w:lang w:eastAsia="zh-CN"/>
              </w:rPr>
              <w:t>国信证券</w:t>
            </w:r>
          </w:p>
        </w:tc>
        <w:tc>
          <w:tcPr>
            <w:tcW w:w="3190" w:type="dxa"/>
            <w:vAlign w:val="center"/>
          </w:tcPr>
          <w:p w14:paraId="7626BFF1"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w:t>
            </w:r>
          </w:p>
        </w:tc>
        <w:tc>
          <w:tcPr>
            <w:tcW w:w="3452" w:type="dxa"/>
            <w:vAlign w:val="center"/>
          </w:tcPr>
          <w:p w14:paraId="479E7404"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w:t>
            </w:r>
          </w:p>
        </w:tc>
      </w:tr>
      <w:tr w:rsidR="00961D07" w14:paraId="088D4D1C" w14:textId="77777777">
        <w:trPr>
          <w:trHeight w:val="632"/>
        </w:trPr>
        <w:tc>
          <w:tcPr>
            <w:tcW w:w="2308" w:type="dxa"/>
            <w:vAlign w:val="center"/>
          </w:tcPr>
          <w:p w14:paraId="3095AFDE" w14:textId="77777777" w:rsidR="00961D07" w:rsidRPr="00C259FD" w:rsidRDefault="00DC741B" w:rsidP="00C259FD">
            <w:pPr>
              <w:autoSpaceDE/>
              <w:autoSpaceDN/>
              <w:spacing w:before="182"/>
              <w:jc w:val="center"/>
              <w:rPr>
                <w:rFonts w:ascii="黑体" w:eastAsia="黑体" w:hAnsi="黑体" w:cs="黑体"/>
                <w:snapToGrid/>
                <w:sz w:val="24"/>
                <w:szCs w:val="24"/>
                <w:lang w:eastAsia="zh-CN"/>
              </w:rPr>
            </w:pPr>
            <w:r w:rsidRPr="00C259FD">
              <w:rPr>
                <w:rFonts w:ascii="黑体" w:eastAsia="黑体" w:hAnsi="黑体" w:cs="黑体" w:hint="eastAsia"/>
                <w:snapToGrid/>
                <w:sz w:val="24"/>
                <w:szCs w:val="24"/>
                <w:lang w:eastAsia="zh-CN"/>
              </w:rPr>
              <w:t>国投证券</w:t>
            </w:r>
          </w:p>
        </w:tc>
        <w:tc>
          <w:tcPr>
            <w:tcW w:w="3190" w:type="dxa"/>
            <w:vAlign w:val="center"/>
          </w:tcPr>
          <w:p w14:paraId="7988AEC9"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74,891.95</w:t>
            </w:r>
          </w:p>
        </w:tc>
        <w:tc>
          <w:tcPr>
            <w:tcW w:w="3452" w:type="dxa"/>
            <w:vAlign w:val="center"/>
          </w:tcPr>
          <w:p w14:paraId="0BA65EBE"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2.98</w:t>
            </w:r>
          </w:p>
        </w:tc>
      </w:tr>
      <w:tr w:rsidR="00961D07" w14:paraId="2AA996A2" w14:textId="77777777">
        <w:trPr>
          <w:trHeight w:val="632"/>
        </w:trPr>
        <w:tc>
          <w:tcPr>
            <w:tcW w:w="2308" w:type="dxa"/>
            <w:vAlign w:val="center"/>
          </w:tcPr>
          <w:p w14:paraId="2FD3D37C" w14:textId="77777777" w:rsidR="00961D07" w:rsidRPr="00C259FD" w:rsidRDefault="00DC741B" w:rsidP="00C259FD">
            <w:pPr>
              <w:autoSpaceDE/>
              <w:autoSpaceDN/>
              <w:spacing w:before="182"/>
              <w:jc w:val="center"/>
              <w:rPr>
                <w:rFonts w:ascii="黑体" w:eastAsia="黑体" w:hAnsi="黑体" w:cs="黑体"/>
                <w:snapToGrid/>
                <w:sz w:val="24"/>
                <w:szCs w:val="24"/>
                <w:lang w:eastAsia="zh-CN"/>
              </w:rPr>
            </w:pPr>
            <w:r w:rsidRPr="00C259FD">
              <w:rPr>
                <w:rFonts w:ascii="黑体" w:eastAsia="黑体" w:hAnsi="黑体" w:cs="黑体" w:hint="eastAsia"/>
                <w:snapToGrid/>
                <w:sz w:val="24"/>
                <w:szCs w:val="24"/>
                <w:lang w:eastAsia="zh-CN"/>
              </w:rPr>
              <w:t>国泰君安证券</w:t>
            </w:r>
          </w:p>
        </w:tc>
        <w:tc>
          <w:tcPr>
            <w:tcW w:w="3190" w:type="dxa"/>
            <w:vAlign w:val="center"/>
          </w:tcPr>
          <w:p w14:paraId="6C650B3E"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w:t>
            </w:r>
          </w:p>
        </w:tc>
        <w:tc>
          <w:tcPr>
            <w:tcW w:w="3452" w:type="dxa"/>
            <w:vAlign w:val="center"/>
          </w:tcPr>
          <w:p w14:paraId="7B6D497F"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w:t>
            </w:r>
          </w:p>
        </w:tc>
      </w:tr>
      <w:tr w:rsidR="00961D07" w14:paraId="643355AE" w14:textId="77777777">
        <w:trPr>
          <w:trHeight w:val="632"/>
        </w:trPr>
        <w:tc>
          <w:tcPr>
            <w:tcW w:w="2308" w:type="dxa"/>
            <w:vAlign w:val="center"/>
          </w:tcPr>
          <w:p w14:paraId="47048451" w14:textId="77777777" w:rsidR="00961D07" w:rsidRPr="00C259FD" w:rsidRDefault="00DC741B" w:rsidP="00C259FD">
            <w:pPr>
              <w:autoSpaceDE/>
              <w:autoSpaceDN/>
              <w:spacing w:before="182"/>
              <w:jc w:val="center"/>
              <w:rPr>
                <w:rFonts w:ascii="黑体" w:eastAsia="黑体" w:hAnsi="黑体" w:cs="黑体"/>
                <w:snapToGrid/>
                <w:sz w:val="24"/>
                <w:szCs w:val="24"/>
                <w:lang w:eastAsia="zh-CN"/>
              </w:rPr>
            </w:pPr>
            <w:r w:rsidRPr="00C259FD">
              <w:rPr>
                <w:rFonts w:ascii="黑体" w:eastAsia="黑体" w:hAnsi="黑体" w:cs="黑体" w:hint="eastAsia"/>
                <w:snapToGrid/>
                <w:sz w:val="24"/>
                <w:szCs w:val="24"/>
                <w:lang w:eastAsia="zh-CN"/>
              </w:rPr>
              <w:t>国盛证券</w:t>
            </w:r>
          </w:p>
        </w:tc>
        <w:tc>
          <w:tcPr>
            <w:tcW w:w="3190" w:type="dxa"/>
            <w:vAlign w:val="center"/>
          </w:tcPr>
          <w:p w14:paraId="1354EB80"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59,373.26</w:t>
            </w:r>
          </w:p>
        </w:tc>
        <w:tc>
          <w:tcPr>
            <w:tcW w:w="3452" w:type="dxa"/>
            <w:vAlign w:val="center"/>
          </w:tcPr>
          <w:p w14:paraId="3BDB3955"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2.36</w:t>
            </w:r>
          </w:p>
        </w:tc>
      </w:tr>
      <w:tr w:rsidR="00961D07" w14:paraId="163C0BFF" w14:textId="77777777">
        <w:trPr>
          <w:trHeight w:val="632"/>
        </w:trPr>
        <w:tc>
          <w:tcPr>
            <w:tcW w:w="2308" w:type="dxa"/>
            <w:vAlign w:val="center"/>
          </w:tcPr>
          <w:p w14:paraId="206AF251" w14:textId="77777777" w:rsidR="00961D07" w:rsidRPr="00C259FD" w:rsidRDefault="00DC741B" w:rsidP="00C259FD">
            <w:pPr>
              <w:autoSpaceDE/>
              <w:autoSpaceDN/>
              <w:spacing w:before="182"/>
              <w:jc w:val="center"/>
              <w:rPr>
                <w:rFonts w:ascii="黑体" w:eastAsia="黑体" w:hAnsi="黑体" w:cs="黑体"/>
                <w:snapToGrid/>
                <w:sz w:val="24"/>
                <w:szCs w:val="24"/>
                <w:lang w:eastAsia="zh-CN"/>
              </w:rPr>
            </w:pPr>
            <w:r w:rsidRPr="00C259FD">
              <w:rPr>
                <w:rFonts w:ascii="黑体" w:eastAsia="黑体" w:hAnsi="黑体" w:cs="黑体" w:hint="eastAsia"/>
                <w:snapToGrid/>
                <w:sz w:val="24"/>
                <w:szCs w:val="24"/>
                <w:lang w:eastAsia="zh-CN"/>
              </w:rPr>
              <w:t>太平洋证券</w:t>
            </w:r>
          </w:p>
        </w:tc>
        <w:tc>
          <w:tcPr>
            <w:tcW w:w="3190" w:type="dxa"/>
            <w:vAlign w:val="center"/>
          </w:tcPr>
          <w:p w14:paraId="41DEDBCD"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36,456.22</w:t>
            </w:r>
          </w:p>
        </w:tc>
        <w:tc>
          <w:tcPr>
            <w:tcW w:w="3452" w:type="dxa"/>
            <w:vAlign w:val="center"/>
          </w:tcPr>
          <w:p w14:paraId="1DA3212A"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1.45</w:t>
            </w:r>
          </w:p>
        </w:tc>
      </w:tr>
      <w:tr w:rsidR="00961D07" w14:paraId="7D6C0640" w14:textId="77777777">
        <w:trPr>
          <w:trHeight w:val="632"/>
        </w:trPr>
        <w:tc>
          <w:tcPr>
            <w:tcW w:w="2308" w:type="dxa"/>
            <w:vAlign w:val="center"/>
          </w:tcPr>
          <w:p w14:paraId="18A4F0E8" w14:textId="77777777" w:rsidR="00961D07" w:rsidRPr="00C259FD" w:rsidRDefault="00DC741B" w:rsidP="00C259FD">
            <w:pPr>
              <w:autoSpaceDE/>
              <w:autoSpaceDN/>
              <w:spacing w:before="182"/>
              <w:jc w:val="center"/>
              <w:rPr>
                <w:rFonts w:ascii="黑体" w:eastAsia="黑体" w:hAnsi="黑体" w:cs="黑体"/>
                <w:snapToGrid/>
                <w:sz w:val="24"/>
                <w:szCs w:val="24"/>
                <w:lang w:eastAsia="zh-CN"/>
              </w:rPr>
            </w:pPr>
            <w:r w:rsidRPr="00C259FD">
              <w:rPr>
                <w:rFonts w:ascii="黑体" w:eastAsia="黑体" w:hAnsi="黑体" w:cs="黑体" w:hint="eastAsia"/>
                <w:snapToGrid/>
                <w:sz w:val="24"/>
                <w:szCs w:val="24"/>
                <w:lang w:eastAsia="zh-CN"/>
              </w:rPr>
              <w:t>山西证券</w:t>
            </w:r>
          </w:p>
        </w:tc>
        <w:tc>
          <w:tcPr>
            <w:tcW w:w="3190" w:type="dxa"/>
            <w:vAlign w:val="center"/>
          </w:tcPr>
          <w:p w14:paraId="0ABAC1C3"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w:t>
            </w:r>
          </w:p>
        </w:tc>
        <w:tc>
          <w:tcPr>
            <w:tcW w:w="3452" w:type="dxa"/>
            <w:vAlign w:val="center"/>
          </w:tcPr>
          <w:p w14:paraId="39A80246"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w:t>
            </w:r>
          </w:p>
        </w:tc>
      </w:tr>
      <w:tr w:rsidR="00961D07" w14:paraId="638BE9AD" w14:textId="77777777">
        <w:trPr>
          <w:trHeight w:val="632"/>
        </w:trPr>
        <w:tc>
          <w:tcPr>
            <w:tcW w:w="2308" w:type="dxa"/>
            <w:vAlign w:val="center"/>
          </w:tcPr>
          <w:p w14:paraId="3438C8C0" w14:textId="77777777" w:rsidR="00961D07" w:rsidRPr="00C259FD" w:rsidRDefault="00DC741B" w:rsidP="00C259FD">
            <w:pPr>
              <w:autoSpaceDE/>
              <w:autoSpaceDN/>
              <w:spacing w:before="182"/>
              <w:jc w:val="center"/>
              <w:rPr>
                <w:rFonts w:ascii="黑体" w:eastAsia="黑体" w:hAnsi="黑体" w:cs="黑体"/>
                <w:snapToGrid/>
                <w:sz w:val="24"/>
                <w:szCs w:val="24"/>
                <w:lang w:eastAsia="zh-CN"/>
              </w:rPr>
            </w:pPr>
            <w:r w:rsidRPr="00C259FD">
              <w:rPr>
                <w:rFonts w:ascii="黑体" w:eastAsia="黑体" w:hAnsi="黑体" w:cs="黑体" w:hint="eastAsia"/>
                <w:snapToGrid/>
                <w:sz w:val="24"/>
                <w:szCs w:val="24"/>
                <w:lang w:eastAsia="zh-CN"/>
              </w:rPr>
              <w:t>平安证券</w:t>
            </w:r>
          </w:p>
        </w:tc>
        <w:tc>
          <w:tcPr>
            <w:tcW w:w="3190" w:type="dxa"/>
            <w:vAlign w:val="center"/>
          </w:tcPr>
          <w:p w14:paraId="017A3F34"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w:t>
            </w:r>
          </w:p>
        </w:tc>
        <w:tc>
          <w:tcPr>
            <w:tcW w:w="3452" w:type="dxa"/>
            <w:vAlign w:val="center"/>
          </w:tcPr>
          <w:p w14:paraId="49D74C03"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w:t>
            </w:r>
          </w:p>
        </w:tc>
      </w:tr>
      <w:tr w:rsidR="00961D07" w14:paraId="4FE993B7" w14:textId="77777777">
        <w:trPr>
          <w:trHeight w:val="632"/>
        </w:trPr>
        <w:tc>
          <w:tcPr>
            <w:tcW w:w="2308" w:type="dxa"/>
            <w:vAlign w:val="center"/>
          </w:tcPr>
          <w:p w14:paraId="09908E4F" w14:textId="77777777" w:rsidR="00961D07" w:rsidRPr="00C259FD" w:rsidRDefault="00DC741B" w:rsidP="00C259FD">
            <w:pPr>
              <w:autoSpaceDE/>
              <w:autoSpaceDN/>
              <w:spacing w:before="182"/>
              <w:jc w:val="center"/>
              <w:rPr>
                <w:rFonts w:ascii="黑体" w:eastAsia="黑体" w:hAnsi="黑体" w:cs="黑体"/>
                <w:snapToGrid/>
                <w:sz w:val="24"/>
                <w:szCs w:val="24"/>
                <w:lang w:eastAsia="zh-CN"/>
              </w:rPr>
            </w:pPr>
            <w:r w:rsidRPr="00C259FD">
              <w:rPr>
                <w:rFonts w:ascii="黑体" w:eastAsia="黑体" w:hAnsi="黑体" w:cs="黑体" w:hint="eastAsia"/>
                <w:snapToGrid/>
                <w:sz w:val="24"/>
                <w:szCs w:val="24"/>
                <w:lang w:eastAsia="zh-CN"/>
              </w:rPr>
              <w:t>广发证券</w:t>
            </w:r>
          </w:p>
        </w:tc>
        <w:tc>
          <w:tcPr>
            <w:tcW w:w="3190" w:type="dxa"/>
            <w:vAlign w:val="center"/>
          </w:tcPr>
          <w:p w14:paraId="09B014DD"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116,826.32</w:t>
            </w:r>
          </w:p>
        </w:tc>
        <w:tc>
          <w:tcPr>
            <w:tcW w:w="3452" w:type="dxa"/>
            <w:vAlign w:val="center"/>
          </w:tcPr>
          <w:p w14:paraId="431D238C"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4.65</w:t>
            </w:r>
          </w:p>
        </w:tc>
      </w:tr>
      <w:tr w:rsidR="00961D07" w14:paraId="324E6551" w14:textId="77777777">
        <w:trPr>
          <w:trHeight w:val="632"/>
        </w:trPr>
        <w:tc>
          <w:tcPr>
            <w:tcW w:w="2308" w:type="dxa"/>
            <w:vAlign w:val="center"/>
          </w:tcPr>
          <w:p w14:paraId="4ED4B5DC" w14:textId="77777777" w:rsidR="00961D07" w:rsidRPr="00C259FD" w:rsidRDefault="00DC741B" w:rsidP="00C259FD">
            <w:pPr>
              <w:autoSpaceDE/>
              <w:autoSpaceDN/>
              <w:spacing w:before="182"/>
              <w:jc w:val="center"/>
              <w:rPr>
                <w:rFonts w:ascii="黑体" w:eastAsia="黑体" w:hAnsi="黑体" w:cs="黑体"/>
                <w:snapToGrid/>
                <w:sz w:val="24"/>
                <w:szCs w:val="24"/>
                <w:lang w:eastAsia="zh-CN"/>
              </w:rPr>
            </w:pPr>
            <w:r w:rsidRPr="00C259FD">
              <w:rPr>
                <w:rFonts w:ascii="黑体" w:eastAsia="黑体" w:hAnsi="黑体" w:cs="黑体" w:hint="eastAsia"/>
                <w:snapToGrid/>
                <w:sz w:val="24"/>
                <w:szCs w:val="24"/>
                <w:lang w:eastAsia="zh-CN"/>
              </w:rPr>
              <w:lastRenderedPageBreak/>
              <w:t>开源证券</w:t>
            </w:r>
          </w:p>
        </w:tc>
        <w:tc>
          <w:tcPr>
            <w:tcW w:w="3190" w:type="dxa"/>
            <w:vAlign w:val="center"/>
          </w:tcPr>
          <w:p w14:paraId="5151A5B8"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8,745.24</w:t>
            </w:r>
          </w:p>
        </w:tc>
        <w:tc>
          <w:tcPr>
            <w:tcW w:w="3452" w:type="dxa"/>
            <w:vAlign w:val="center"/>
          </w:tcPr>
          <w:p w14:paraId="444F53CB"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0.35</w:t>
            </w:r>
          </w:p>
        </w:tc>
      </w:tr>
      <w:tr w:rsidR="00961D07" w14:paraId="2AD9B45E" w14:textId="77777777">
        <w:trPr>
          <w:trHeight w:val="632"/>
        </w:trPr>
        <w:tc>
          <w:tcPr>
            <w:tcW w:w="2308" w:type="dxa"/>
            <w:vAlign w:val="center"/>
          </w:tcPr>
          <w:p w14:paraId="0491B4B6" w14:textId="77777777" w:rsidR="00961D07" w:rsidRPr="00C259FD" w:rsidRDefault="00DC741B" w:rsidP="00C259FD">
            <w:pPr>
              <w:autoSpaceDE/>
              <w:autoSpaceDN/>
              <w:spacing w:before="182"/>
              <w:jc w:val="center"/>
              <w:rPr>
                <w:rFonts w:ascii="黑体" w:eastAsia="黑体" w:hAnsi="黑体" w:cs="黑体"/>
                <w:snapToGrid/>
                <w:sz w:val="24"/>
                <w:szCs w:val="24"/>
                <w:lang w:eastAsia="zh-CN"/>
              </w:rPr>
            </w:pPr>
            <w:r w:rsidRPr="00C259FD">
              <w:rPr>
                <w:rFonts w:ascii="黑体" w:eastAsia="黑体" w:hAnsi="黑体" w:cs="黑体" w:hint="eastAsia"/>
                <w:snapToGrid/>
                <w:sz w:val="24"/>
                <w:szCs w:val="24"/>
                <w:lang w:eastAsia="zh-CN"/>
              </w:rPr>
              <w:t>招商证券</w:t>
            </w:r>
          </w:p>
        </w:tc>
        <w:tc>
          <w:tcPr>
            <w:tcW w:w="3190" w:type="dxa"/>
            <w:vAlign w:val="center"/>
          </w:tcPr>
          <w:p w14:paraId="64CE6D40"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196,643.47</w:t>
            </w:r>
          </w:p>
        </w:tc>
        <w:tc>
          <w:tcPr>
            <w:tcW w:w="3452" w:type="dxa"/>
            <w:vAlign w:val="center"/>
          </w:tcPr>
          <w:p w14:paraId="5E4226DC"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7.83</w:t>
            </w:r>
          </w:p>
        </w:tc>
      </w:tr>
      <w:tr w:rsidR="00961D07" w14:paraId="6BEE8C5E" w14:textId="77777777">
        <w:trPr>
          <w:trHeight w:val="632"/>
        </w:trPr>
        <w:tc>
          <w:tcPr>
            <w:tcW w:w="2308" w:type="dxa"/>
            <w:vAlign w:val="center"/>
          </w:tcPr>
          <w:p w14:paraId="7CE949F2" w14:textId="77777777" w:rsidR="00961D07" w:rsidRPr="00C259FD" w:rsidRDefault="00DC741B" w:rsidP="00C259FD">
            <w:pPr>
              <w:autoSpaceDE/>
              <w:autoSpaceDN/>
              <w:spacing w:before="182"/>
              <w:jc w:val="center"/>
              <w:rPr>
                <w:rFonts w:ascii="黑体" w:eastAsia="黑体" w:hAnsi="黑体" w:cs="黑体"/>
                <w:snapToGrid/>
                <w:sz w:val="24"/>
                <w:szCs w:val="24"/>
                <w:lang w:eastAsia="zh-CN"/>
              </w:rPr>
            </w:pPr>
            <w:r w:rsidRPr="00C259FD">
              <w:rPr>
                <w:rFonts w:ascii="黑体" w:eastAsia="黑体" w:hAnsi="黑体" w:cs="黑体" w:hint="eastAsia"/>
                <w:snapToGrid/>
                <w:sz w:val="24"/>
                <w:szCs w:val="24"/>
                <w:lang w:eastAsia="zh-CN"/>
              </w:rPr>
              <w:t>方正证券</w:t>
            </w:r>
          </w:p>
        </w:tc>
        <w:tc>
          <w:tcPr>
            <w:tcW w:w="3190" w:type="dxa"/>
            <w:vAlign w:val="center"/>
          </w:tcPr>
          <w:p w14:paraId="1CC6B3EA"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w:t>
            </w:r>
          </w:p>
        </w:tc>
        <w:tc>
          <w:tcPr>
            <w:tcW w:w="3452" w:type="dxa"/>
            <w:vAlign w:val="center"/>
          </w:tcPr>
          <w:p w14:paraId="0DF0DA2C"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w:t>
            </w:r>
          </w:p>
        </w:tc>
      </w:tr>
      <w:tr w:rsidR="00961D07" w14:paraId="41910A5B" w14:textId="77777777">
        <w:trPr>
          <w:trHeight w:val="632"/>
        </w:trPr>
        <w:tc>
          <w:tcPr>
            <w:tcW w:w="2308" w:type="dxa"/>
            <w:vAlign w:val="center"/>
          </w:tcPr>
          <w:p w14:paraId="398BEFCE" w14:textId="77777777" w:rsidR="00961D07" w:rsidRPr="00C259FD" w:rsidRDefault="00DC741B" w:rsidP="00C259FD">
            <w:pPr>
              <w:autoSpaceDE/>
              <w:autoSpaceDN/>
              <w:spacing w:before="182"/>
              <w:jc w:val="center"/>
              <w:rPr>
                <w:rFonts w:ascii="黑体" w:eastAsia="黑体" w:hAnsi="黑体" w:cs="黑体"/>
                <w:snapToGrid/>
                <w:sz w:val="24"/>
                <w:szCs w:val="24"/>
                <w:lang w:eastAsia="zh-CN"/>
              </w:rPr>
            </w:pPr>
            <w:r w:rsidRPr="00C259FD">
              <w:rPr>
                <w:rFonts w:ascii="黑体" w:eastAsia="黑体" w:hAnsi="黑体" w:cs="黑体" w:hint="eastAsia"/>
                <w:snapToGrid/>
                <w:sz w:val="24"/>
                <w:szCs w:val="24"/>
                <w:lang w:eastAsia="zh-CN"/>
              </w:rPr>
              <w:t>民生证券</w:t>
            </w:r>
          </w:p>
        </w:tc>
        <w:tc>
          <w:tcPr>
            <w:tcW w:w="3190" w:type="dxa"/>
            <w:vAlign w:val="center"/>
          </w:tcPr>
          <w:p w14:paraId="487B7CD7"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w:t>
            </w:r>
          </w:p>
        </w:tc>
        <w:tc>
          <w:tcPr>
            <w:tcW w:w="3452" w:type="dxa"/>
            <w:vAlign w:val="center"/>
          </w:tcPr>
          <w:p w14:paraId="44711720"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w:t>
            </w:r>
          </w:p>
        </w:tc>
      </w:tr>
      <w:tr w:rsidR="00961D07" w14:paraId="5C377D6D" w14:textId="77777777">
        <w:trPr>
          <w:trHeight w:val="632"/>
        </w:trPr>
        <w:tc>
          <w:tcPr>
            <w:tcW w:w="2308" w:type="dxa"/>
            <w:vAlign w:val="center"/>
          </w:tcPr>
          <w:p w14:paraId="744715D4" w14:textId="77777777" w:rsidR="00961D07" w:rsidRPr="00C259FD" w:rsidRDefault="00DC741B" w:rsidP="00C259FD">
            <w:pPr>
              <w:autoSpaceDE/>
              <w:autoSpaceDN/>
              <w:spacing w:before="182"/>
              <w:jc w:val="center"/>
              <w:rPr>
                <w:rFonts w:ascii="黑体" w:eastAsia="黑体" w:hAnsi="黑体" w:cs="黑体"/>
                <w:snapToGrid/>
                <w:sz w:val="24"/>
                <w:szCs w:val="24"/>
                <w:lang w:eastAsia="zh-CN"/>
              </w:rPr>
            </w:pPr>
            <w:proofErr w:type="gramStart"/>
            <w:r w:rsidRPr="00C259FD">
              <w:rPr>
                <w:rFonts w:ascii="黑体" w:eastAsia="黑体" w:hAnsi="黑体" w:cs="黑体" w:hint="eastAsia"/>
                <w:snapToGrid/>
                <w:sz w:val="24"/>
                <w:szCs w:val="24"/>
                <w:lang w:eastAsia="zh-CN"/>
              </w:rPr>
              <w:t>浙商证券</w:t>
            </w:r>
            <w:proofErr w:type="gramEnd"/>
          </w:p>
        </w:tc>
        <w:tc>
          <w:tcPr>
            <w:tcW w:w="3190" w:type="dxa"/>
            <w:vAlign w:val="center"/>
          </w:tcPr>
          <w:p w14:paraId="661D5EDF"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88,058.69</w:t>
            </w:r>
          </w:p>
        </w:tc>
        <w:tc>
          <w:tcPr>
            <w:tcW w:w="3452" w:type="dxa"/>
            <w:vAlign w:val="center"/>
          </w:tcPr>
          <w:p w14:paraId="0FCD90C5"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3.51</w:t>
            </w:r>
          </w:p>
        </w:tc>
      </w:tr>
      <w:tr w:rsidR="00961D07" w14:paraId="6D4C378E" w14:textId="77777777">
        <w:trPr>
          <w:trHeight w:val="632"/>
        </w:trPr>
        <w:tc>
          <w:tcPr>
            <w:tcW w:w="2308" w:type="dxa"/>
            <w:vAlign w:val="center"/>
          </w:tcPr>
          <w:p w14:paraId="57D3B0B6" w14:textId="77777777" w:rsidR="00961D07" w:rsidRPr="00C259FD" w:rsidRDefault="00DC741B" w:rsidP="00C259FD">
            <w:pPr>
              <w:autoSpaceDE/>
              <w:autoSpaceDN/>
              <w:spacing w:before="182"/>
              <w:jc w:val="center"/>
              <w:rPr>
                <w:rFonts w:ascii="黑体" w:eastAsia="黑体" w:hAnsi="黑体" w:cs="黑体"/>
                <w:snapToGrid/>
                <w:sz w:val="24"/>
                <w:szCs w:val="24"/>
                <w:lang w:eastAsia="zh-CN"/>
              </w:rPr>
            </w:pPr>
            <w:r w:rsidRPr="00C259FD">
              <w:rPr>
                <w:rFonts w:ascii="黑体" w:eastAsia="黑体" w:hAnsi="黑体" w:cs="黑体" w:hint="eastAsia"/>
                <w:snapToGrid/>
                <w:sz w:val="24"/>
                <w:szCs w:val="24"/>
                <w:lang w:eastAsia="zh-CN"/>
              </w:rPr>
              <w:t>海通证券</w:t>
            </w:r>
          </w:p>
        </w:tc>
        <w:tc>
          <w:tcPr>
            <w:tcW w:w="3190" w:type="dxa"/>
            <w:vAlign w:val="center"/>
          </w:tcPr>
          <w:p w14:paraId="6F2F2875"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13,047.46</w:t>
            </w:r>
          </w:p>
        </w:tc>
        <w:tc>
          <w:tcPr>
            <w:tcW w:w="3452" w:type="dxa"/>
            <w:vAlign w:val="center"/>
          </w:tcPr>
          <w:p w14:paraId="7F2FF162"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0.52</w:t>
            </w:r>
          </w:p>
        </w:tc>
      </w:tr>
      <w:tr w:rsidR="00961D07" w14:paraId="7A60AB23" w14:textId="77777777">
        <w:trPr>
          <w:trHeight w:val="632"/>
        </w:trPr>
        <w:tc>
          <w:tcPr>
            <w:tcW w:w="2308" w:type="dxa"/>
            <w:vAlign w:val="center"/>
          </w:tcPr>
          <w:p w14:paraId="1FFC45A3" w14:textId="77777777" w:rsidR="00961D07" w:rsidRPr="00C259FD" w:rsidRDefault="00DC741B" w:rsidP="00C259FD">
            <w:pPr>
              <w:autoSpaceDE/>
              <w:autoSpaceDN/>
              <w:spacing w:before="182"/>
              <w:jc w:val="center"/>
              <w:rPr>
                <w:rFonts w:ascii="黑体" w:eastAsia="黑体" w:hAnsi="黑体" w:cs="黑体"/>
                <w:snapToGrid/>
                <w:sz w:val="24"/>
                <w:szCs w:val="24"/>
                <w:lang w:eastAsia="zh-CN"/>
              </w:rPr>
            </w:pPr>
            <w:r w:rsidRPr="00C259FD">
              <w:rPr>
                <w:rFonts w:ascii="黑体" w:eastAsia="黑体" w:hAnsi="黑体" w:cs="黑体" w:hint="eastAsia"/>
                <w:snapToGrid/>
                <w:sz w:val="24"/>
                <w:szCs w:val="24"/>
                <w:lang w:eastAsia="zh-CN"/>
              </w:rPr>
              <w:t>渤海证券</w:t>
            </w:r>
          </w:p>
        </w:tc>
        <w:tc>
          <w:tcPr>
            <w:tcW w:w="3190" w:type="dxa"/>
            <w:vAlign w:val="center"/>
          </w:tcPr>
          <w:p w14:paraId="2C084C37"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w:t>
            </w:r>
          </w:p>
        </w:tc>
        <w:tc>
          <w:tcPr>
            <w:tcW w:w="3452" w:type="dxa"/>
            <w:vAlign w:val="center"/>
          </w:tcPr>
          <w:p w14:paraId="5560B731"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w:t>
            </w:r>
          </w:p>
        </w:tc>
      </w:tr>
      <w:tr w:rsidR="00961D07" w14:paraId="0D333CFE" w14:textId="77777777">
        <w:trPr>
          <w:trHeight w:val="632"/>
        </w:trPr>
        <w:tc>
          <w:tcPr>
            <w:tcW w:w="2308" w:type="dxa"/>
            <w:vAlign w:val="center"/>
          </w:tcPr>
          <w:p w14:paraId="699263D6" w14:textId="77777777" w:rsidR="00961D07" w:rsidRPr="00C259FD" w:rsidRDefault="00DC741B" w:rsidP="00C259FD">
            <w:pPr>
              <w:autoSpaceDE/>
              <w:autoSpaceDN/>
              <w:spacing w:before="182"/>
              <w:jc w:val="center"/>
              <w:rPr>
                <w:rFonts w:ascii="黑体" w:eastAsia="黑体" w:hAnsi="黑体" w:cs="黑体"/>
                <w:snapToGrid/>
                <w:sz w:val="24"/>
                <w:szCs w:val="24"/>
                <w:lang w:eastAsia="zh-CN"/>
              </w:rPr>
            </w:pPr>
            <w:proofErr w:type="gramStart"/>
            <w:r w:rsidRPr="00C259FD">
              <w:rPr>
                <w:rFonts w:ascii="黑体" w:eastAsia="黑体" w:hAnsi="黑体" w:cs="黑体" w:hint="eastAsia"/>
                <w:snapToGrid/>
                <w:sz w:val="24"/>
                <w:szCs w:val="24"/>
                <w:lang w:eastAsia="zh-CN"/>
              </w:rPr>
              <w:t>申万宏源证券</w:t>
            </w:r>
            <w:proofErr w:type="gramEnd"/>
          </w:p>
        </w:tc>
        <w:tc>
          <w:tcPr>
            <w:tcW w:w="3190" w:type="dxa"/>
            <w:vAlign w:val="center"/>
          </w:tcPr>
          <w:p w14:paraId="300CE7FA"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86,826.82</w:t>
            </w:r>
          </w:p>
        </w:tc>
        <w:tc>
          <w:tcPr>
            <w:tcW w:w="3452" w:type="dxa"/>
            <w:vAlign w:val="center"/>
          </w:tcPr>
          <w:p w14:paraId="7A2C367C"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3.46</w:t>
            </w:r>
          </w:p>
        </w:tc>
      </w:tr>
      <w:tr w:rsidR="00961D07" w14:paraId="69B9AB1F" w14:textId="77777777">
        <w:trPr>
          <w:trHeight w:val="632"/>
        </w:trPr>
        <w:tc>
          <w:tcPr>
            <w:tcW w:w="2308" w:type="dxa"/>
            <w:vAlign w:val="center"/>
          </w:tcPr>
          <w:p w14:paraId="01B79F30" w14:textId="77777777" w:rsidR="00961D07" w:rsidRPr="00C259FD" w:rsidRDefault="00DC741B" w:rsidP="00C259FD">
            <w:pPr>
              <w:autoSpaceDE/>
              <w:autoSpaceDN/>
              <w:spacing w:before="182"/>
              <w:jc w:val="center"/>
              <w:rPr>
                <w:rFonts w:ascii="黑体" w:eastAsia="黑体" w:hAnsi="黑体" w:cs="黑体"/>
                <w:snapToGrid/>
                <w:sz w:val="24"/>
                <w:szCs w:val="24"/>
                <w:lang w:eastAsia="zh-CN"/>
              </w:rPr>
            </w:pPr>
            <w:r w:rsidRPr="00C259FD">
              <w:rPr>
                <w:rFonts w:ascii="黑体" w:eastAsia="黑体" w:hAnsi="黑体" w:cs="黑体" w:hint="eastAsia"/>
                <w:snapToGrid/>
                <w:sz w:val="24"/>
                <w:szCs w:val="24"/>
                <w:lang w:eastAsia="zh-CN"/>
              </w:rPr>
              <w:t>金元证券</w:t>
            </w:r>
          </w:p>
        </w:tc>
        <w:tc>
          <w:tcPr>
            <w:tcW w:w="3190" w:type="dxa"/>
            <w:vAlign w:val="center"/>
          </w:tcPr>
          <w:p w14:paraId="7C62AFC7"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186,748.87</w:t>
            </w:r>
          </w:p>
        </w:tc>
        <w:tc>
          <w:tcPr>
            <w:tcW w:w="3452" w:type="dxa"/>
            <w:vAlign w:val="center"/>
          </w:tcPr>
          <w:p w14:paraId="70FE601A"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7.44</w:t>
            </w:r>
          </w:p>
        </w:tc>
      </w:tr>
      <w:tr w:rsidR="00961D07" w14:paraId="2026F4CD" w14:textId="77777777">
        <w:trPr>
          <w:trHeight w:val="632"/>
        </w:trPr>
        <w:tc>
          <w:tcPr>
            <w:tcW w:w="2308" w:type="dxa"/>
            <w:vAlign w:val="center"/>
          </w:tcPr>
          <w:p w14:paraId="12E6B0D6" w14:textId="77777777" w:rsidR="00961D07" w:rsidRPr="00C259FD" w:rsidRDefault="00DC741B" w:rsidP="00C259FD">
            <w:pPr>
              <w:autoSpaceDE/>
              <w:autoSpaceDN/>
              <w:spacing w:before="182"/>
              <w:jc w:val="center"/>
              <w:rPr>
                <w:rFonts w:ascii="黑体" w:eastAsia="黑体" w:hAnsi="黑体" w:cs="黑体"/>
                <w:snapToGrid/>
                <w:sz w:val="24"/>
                <w:szCs w:val="24"/>
                <w:lang w:eastAsia="zh-CN"/>
              </w:rPr>
            </w:pPr>
            <w:r w:rsidRPr="00C259FD">
              <w:rPr>
                <w:rFonts w:ascii="黑体" w:eastAsia="黑体" w:hAnsi="黑体" w:cs="黑体" w:hint="eastAsia"/>
                <w:snapToGrid/>
                <w:sz w:val="24"/>
                <w:szCs w:val="24"/>
                <w:lang w:eastAsia="zh-CN"/>
              </w:rPr>
              <w:t>长江证券</w:t>
            </w:r>
          </w:p>
        </w:tc>
        <w:tc>
          <w:tcPr>
            <w:tcW w:w="3190" w:type="dxa"/>
            <w:vAlign w:val="center"/>
          </w:tcPr>
          <w:p w14:paraId="371ABCC9"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422,722.76</w:t>
            </w:r>
          </w:p>
        </w:tc>
        <w:tc>
          <w:tcPr>
            <w:tcW w:w="3452" w:type="dxa"/>
            <w:vAlign w:val="center"/>
          </w:tcPr>
          <w:p w14:paraId="17C949F5"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616A31">
              <w:rPr>
                <w:rFonts w:ascii="黑体" w:eastAsia="黑体" w:hAnsi="黑体" w:cs="黑体"/>
                <w:snapToGrid/>
                <w:sz w:val="24"/>
                <w:szCs w:val="24"/>
                <w:lang w:eastAsia="zh-CN"/>
              </w:rPr>
              <w:t>16.84</w:t>
            </w:r>
          </w:p>
        </w:tc>
      </w:tr>
      <w:tr w:rsidR="00961D07" w14:paraId="15F40A64" w14:textId="77777777">
        <w:trPr>
          <w:trHeight w:val="632"/>
        </w:trPr>
        <w:tc>
          <w:tcPr>
            <w:tcW w:w="2308" w:type="dxa"/>
            <w:vAlign w:val="center"/>
          </w:tcPr>
          <w:p w14:paraId="118A2A2D" w14:textId="77777777" w:rsidR="00961D07" w:rsidRPr="00C259FD" w:rsidRDefault="00DC741B" w:rsidP="00C259FD">
            <w:pPr>
              <w:autoSpaceDE/>
              <w:autoSpaceDN/>
              <w:spacing w:before="182"/>
              <w:jc w:val="center"/>
              <w:rPr>
                <w:rFonts w:ascii="黑体" w:eastAsia="黑体" w:hAnsi="黑体" w:cs="黑体"/>
                <w:snapToGrid/>
                <w:sz w:val="24"/>
                <w:szCs w:val="24"/>
                <w:lang w:eastAsia="zh-CN"/>
              </w:rPr>
            </w:pPr>
            <w:r w:rsidRPr="00C259FD">
              <w:rPr>
                <w:rFonts w:ascii="黑体" w:eastAsia="黑体" w:hAnsi="黑体" w:cs="黑体" w:hint="eastAsia"/>
                <w:snapToGrid/>
                <w:sz w:val="24"/>
                <w:szCs w:val="24"/>
                <w:lang w:eastAsia="zh-CN"/>
              </w:rPr>
              <w:t>麦</w:t>
            </w:r>
            <w:proofErr w:type="gramStart"/>
            <w:r w:rsidRPr="00C259FD">
              <w:rPr>
                <w:rFonts w:ascii="黑体" w:eastAsia="黑体" w:hAnsi="黑体" w:cs="黑体" w:hint="eastAsia"/>
                <w:snapToGrid/>
                <w:sz w:val="24"/>
                <w:szCs w:val="24"/>
                <w:lang w:eastAsia="zh-CN"/>
              </w:rPr>
              <w:t>高证券</w:t>
            </w:r>
            <w:proofErr w:type="gramEnd"/>
          </w:p>
        </w:tc>
        <w:tc>
          <w:tcPr>
            <w:tcW w:w="3190" w:type="dxa"/>
            <w:vAlign w:val="center"/>
          </w:tcPr>
          <w:p w14:paraId="7C80C1AF"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356,051.55</w:t>
            </w:r>
          </w:p>
        </w:tc>
        <w:tc>
          <w:tcPr>
            <w:tcW w:w="3452" w:type="dxa"/>
            <w:vAlign w:val="center"/>
          </w:tcPr>
          <w:p w14:paraId="72933F65" w14:textId="77777777" w:rsidR="00961D07" w:rsidRPr="00C259FD" w:rsidRDefault="00DC741B" w:rsidP="00C259FD">
            <w:pPr>
              <w:pStyle w:val="TableText"/>
              <w:autoSpaceDE/>
              <w:autoSpaceDN/>
              <w:jc w:val="center"/>
              <w:rPr>
                <w:rFonts w:ascii="黑体" w:eastAsia="黑体" w:hAnsi="黑体" w:cs="黑体"/>
                <w:snapToGrid/>
                <w:sz w:val="24"/>
                <w:szCs w:val="24"/>
                <w:lang w:eastAsia="zh-CN"/>
              </w:rPr>
            </w:pPr>
            <w:r w:rsidRPr="00C259FD">
              <w:rPr>
                <w:rFonts w:ascii="黑体" w:eastAsia="黑体" w:hAnsi="黑体" w:cs="黑体"/>
                <w:snapToGrid/>
                <w:sz w:val="24"/>
                <w:szCs w:val="24"/>
                <w:lang w:eastAsia="zh-CN"/>
              </w:rPr>
              <w:t>14.18</w:t>
            </w:r>
          </w:p>
        </w:tc>
      </w:tr>
      <w:tr w:rsidR="00961D07" w14:paraId="730B0C12" w14:textId="77777777">
        <w:trPr>
          <w:trHeight w:val="632"/>
        </w:trPr>
        <w:tc>
          <w:tcPr>
            <w:tcW w:w="2308" w:type="dxa"/>
            <w:vAlign w:val="center"/>
          </w:tcPr>
          <w:p w14:paraId="4E3F6C2E" w14:textId="77777777" w:rsidR="00961D07" w:rsidRPr="00C259FD" w:rsidRDefault="00DC741B" w:rsidP="00C259FD">
            <w:pPr>
              <w:autoSpaceDE/>
              <w:autoSpaceDN/>
              <w:spacing w:before="182"/>
              <w:ind w:left="794"/>
              <w:jc w:val="center"/>
              <w:rPr>
                <w:rFonts w:ascii="黑体" w:eastAsia="黑体" w:hAnsi="黑体" w:cs="黑体"/>
                <w:b/>
                <w:bCs/>
                <w:sz w:val="24"/>
                <w:szCs w:val="24"/>
              </w:rPr>
            </w:pPr>
            <w:r w:rsidRPr="00C259FD">
              <w:rPr>
                <w:rFonts w:ascii="黑体" w:eastAsia="黑体" w:hAnsi="黑体" w:cs="黑体" w:hint="eastAsia"/>
                <w:b/>
                <w:bCs/>
                <w:sz w:val="24"/>
                <w:szCs w:val="24"/>
              </w:rPr>
              <w:t>合</w:t>
            </w:r>
            <w:r w:rsidRPr="00C259FD">
              <w:rPr>
                <w:rFonts w:ascii="黑体" w:eastAsia="黑体" w:hAnsi="黑体" w:cs="黑体"/>
                <w:b/>
                <w:bCs/>
                <w:sz w:val="24"/>
                <w:szCs w:val="24"/>
              </w:rPr>
              <w:t xml:space="preserve"> </w:t>
            </w:r>
            <w:r w:rsidRPr="00C259FD">
              <w:rPr>
                <w:rFonts w:ascii="黑体" w:eastAsia="黑体" w:hAnsi="黑体" w:cs="黑体" w:hint="eastAsia"/>
                <w:b/>
                <w:bCs/>
                <w:sz w:val="24"/>
                <w:szCs w:val="24"/>
              </w:rPr>
              <w:t>计</w:t>
            </w:r>
          </w:p>
        </w:tc>
        <w:tc>
          <w:tcPr>
            <w:tcW w:w="3190" w:type="dxa"/>
            <w:vAlign w:val="center"/>
          </w:tcPr>
          <w:p w14:paraId="7225EFFB" w14:textId="77777777" w:rsidR="00961D07" w:rsidRPr="00C259FD" w:rsidRDefault="00DC741B" w:rsidP="00C259FD">
            <w:pPr>
              <w:pStyle w:val="TableText"/>
              <w:autoSpaceDE/>
              <w:autoSpaceDN/>
              <w:jc w:val="center"/>
              <w:rPr>
                <w:rFonts w:ascii="黑体" w:eastAsia="黑体" w:hAnsi="黑体" w:cs="黑体"/>
                <w:b/>
                <w:bCs/>
                <w:sz w:val="24"/>
                <w:szCs w:val="24"/>
              </w:rPr>
            </w:pPr>
            <w:r w:rsidRPr="00C259FD">
              <w:rPr>
                <w:rFonts w:ascii="黑体" w:eastAsia="黑体" w:hAnsi="黑体" w:cs="黑体"/>
                <w:b/>
                <w:bCs/>
                <w:sz w:val="24"/>
                <w:szCs w:val="24"/>
              </w:rPr>
              <w:t>2,510,514.01</w:t>
            </w:r>
          </w:p>
        </w:tc>
        <w:tc>
          <w:tcPr>
            <w:tcW w:w="3452" w:type="dxa"/>
            <w:vAlign w:val="center"/>
          </w:tcPr>
          <w:p w14:paraId="34747721" w14:textId="77777777" w:rsidR="00961D07" w:rsidRPr="00C259FD" w:rsidRDefault="00DC741B" w:rsidP="00C259FD">
            <w:pPr>
              <w:pStyle w:val="TableText"/>
              <w:autoSpaceDE/>
              <w:autoSpaceDN/>
              <w:jc w:val="center"/>
              <w:rPr>
                <w:rFonts w:ascii="黑体" w:eastAsia="黑体" w:hAnsi="黑体" w:cs="黑体"/>
                <w:b/>
                <w:bCs/>
                <w:sz w:val="24"/>
                <w:szCs w:val="24"/>
              </w:rPr>
            </w:pPr>
            <w:r w:rsidRPr="00C259FD">
              <w:rPr>
                <w:rFonts w:ascii="黑体" w:eastAsia="黑体" w:hAnsi="黑体" w:cs="黑体"/>
                <w:b/>
                <w:bCs/>
                <w:sz w:val="24"/>
                <w:szCs w:val="24"/>
              </w:rPr>
              <w:t>100.00</w:t>
            </w:r>
          </w:p>
        </w:tc>
      </w:tr>
    </w:tbl>
    <w:p w14:paraId="09DAFBA3" w14:textId="77777777" w:rsidR="00961D07" w:rsidRPr="00C259FD" w:rsidRDefault="00961D07">
      <w:pPr>
        <w:pStyle w:val="a4"/>
        <w:spacing w:before="178" w:line="203" w:lineRule="auto"/>
        <w:rPr>
          <w:rFonts w:ascii="黑体" w:eastAsia="黑体" w:hAnsi="黑体" w:cs="黑体"/>
          <w:spacing w:val="-6"/>
          <w:sz w:val="24"/>
          <w:szCs w:val="24"/>
        </w:rPr>
      </w:pPr>
    </w:p>
    <w:p w14:paraId="72A85104" w14:textId="7F42D024" w:rsidR="00961D07" w:rsidRPr="00C259FD" w:rsidRDefault="00DC741B" w:rsidP="00F84E0A">
      <w:pPr>
        <w:pStyle w:val="a4"/>
        <w:spacing w:before="178" w:line="360" w:lineRule="auto"/>
        <w:ind w:firstLine="420"/>
        <w:rPr>
          <w:rFonts w:ascii="黑体" w:eastAsia="黑体" w:hAnsi="黑体" w:cs="黑体"/>
          <w:spacing w:val="-6"/>
          <w:sz w:val="24"/>
          <w:szCs w:val="24"/>
          <w:lang w:eastAsia="zh-CN"/>
        </w:rPr>
      </w:pPr>
      <w:r w:rsidRPr="00616A31">
        <w:rPr>
          <w:rFonts w:ascii="黑体" w:eastAsia="黑体" w:hAnsi="黑体" w:cs="黑体"/>
          <w:spacing w:val="-6"/>
          <w:sz w:val="24"/>
          <w:szCs w:val="24"/>
          <w:lang w:eastAsia="zh-CN"/>
        </w:rPr>
        <w:t>注：</w:t>
      </w:r>
      <w:r w:rsidR="003E5AC7" w:rsidRPr="00616A31">
        <w:rPr>
          <w:rFonts w:ascii="黑体" w:eastAsia="黑体" w:hAnsi="黑体" w:cs="黑体" w:hint="eastAsia"/>
          <w:spacing w:val="-6"/>
          <w:sz w:val="24"/>
          <w:szCs w:val="24"/>
          <w:lang w:eastAsia="zh-CN"/>
        </w:rPr>
        <w:t>长江证券佣金数据报告期为</w:t>
      </w:r>
      <w:r w:rsidR="003E5AC7" w:rsidRPr="00616A31">
        <w:rPr>
          <w:rFonts w:ascii="黑体" w:eastAsia="黑体" w:hAnsi="黑体" w:cs="黑体"/>
          <w:spacing w:val="-6"/>
          <w:sz w:val="24"/>
          <w:szCs w:val="24"/>
          <w:lang w:eastAsia="zh-CN"/>
        </w:rPr>
        <w:t>2024</w:t>
      </w:r>
      <w:r w:rsidR="003E5AC7" w:rsidRPr="00616A31">
        <w:rPr>
          <w:rFonts w:ascii="黑体" w:eastAsia="黑体" w:hAnsi="黑体" w:cs="黑体" w:hint="eastAsia"/>
          <w:spacing w:val="-6"/>
          <w:sz w:val="24"/>
          <w:szCs w:val="24"/>
          <w:lang w:eastAsia="zh-CN"/>
        </w:rPr>
        <w:t>年</w:t>
      </w:r>
      <w:r w:rsidR="003E5AC7" w:rsidRPr="00616A31">
        <w:rPr>
          <w:rFonts w:ascii="黑体" w:eastAsia="黑体" w:hAnsi="黑体" w:cs="黑体"/>
          <w:spacing w:val="-6"/>
          <w:sz w:val="24"/>
          <w:szCs w:val="24"/>
          <w:lang w:eastAsia="zh-CN"/>
        </w:rPr>
        <w:t>7</w:t>
      </w:r>
      <w:r w:rsidR="003E5AC7" w:rsidRPr="00616A31">
        <w:rPr>
          <w:rFonts w:ascii="黑体" w:eastAsia="黑体" w:hAnsi="黑体" w:cs="黑体" w:hint="eastAsia"/>
          <w:spacing w:val="-6"/>
          <w:sz w:val="24"/>
          <w:szCs w:val="24"/>
          <w:lang w:eastAsia="zh-CN"/>
        </w:rPr>
        <w:t>月</w:t>
      </w:r>
      <w:r w:rsidR="003E5AC7" w:rsidRPr="00616A31">
        <w:rPr>
          <w:rFonts w:ascii="黑体" w:eastAsia="黑体" w:hAnsi="黑体" w:cs="黑体"/>
          <w:spacing w:val="-6"/>
          <w:sz w:val="24"/>
          <w:szCs w:val="24"/>
          <w:lang w:eastAsia="zh-CN"/>
        </w:rPr>
        <w:t>1</w:t>
      </w:r>
      <w:r w:rsidR="003E5AC7" w:rsidRPr="00616A31">
        <w:rPr>
          <w:rFonts w:ascii="黑体" w:eastAsia="黑体" w:hAnsi="黑体" w:cs="黑体" w:hint="eastAsia"/>
          <w:spacing w:val="-6"/>
          <w:sz w:val="24"/>
          <w:szCs w:val="24"/>
          <w:lang w:eastAsia="zh-CN"/>
        </w:rPr>
        <w:t>日</w:t>
      </w:r>
      <w:r w:rsidR="00075F84" w:rsidRPr="00616A31">
        <w:rPr>
          <w:rFonts w:ascii="黑体" w:eastAsia="黑体" w:hAnsi="黑体" w:cs="黑体"/>
          <w:spacing w:val="-6"/>
          <w:sz w:val="24"/>
          <w:szCs w:val="24"/>
          <w:lang w:eastAsia="zh-CN"/>
        </w:rPr>
        <w:t>至</w:t>
      </w:r>
      <w:r w:rsidR="003E5AC7" w:rsidRPr="00616A31">
        <w:rPr>
          <w:rFonts w:ascii="黑体" w:eastAsia="黑体" w:hAnsi="黑体" w:cs="黑体"/>
          <w:spacing w:val="-6"/>
          <w:sz w:val="24"/>
          <w:szCs w:val="24"/>
          <w:lang w:eastAsia="zh-CN"/>
        </w:rPr>
        <w:t>2024</w:t>
      </w:r>
      <w:r w:rsidR="003E5AC7" w:rsidRPr="00616A31">
        <w:rPr>
          <w:rFonts w:ascii="黑体" w:eastAsia="黑体" w:hAnsi="黑体" w:cs="黑体" w:hint="eastAsia"/>
          <w:spacing w:val="-6"/>
          <w:sz w:val="24"/>
          <w:szCs w:val="24"/>
          <w:lang w:eastAsia="zh-CN"/>
        </w:rPr>
        <w:t>年</w:t>
      </w:r>
      <w:r w:rsidR="003E5AC7" w:rsidRPr="00616A31">
        <w:rPr>
          <w:rFonts w:ascii="黑体" w:eastAsia="黑体" w:hAnsi="黑体" w:cs="黑体"/>
          <w:spacing w:val="-6"/>
          <w:sz w:val="24"/>
          <w:szCs w:val="24"/>
          <w:lang w:eastAsia="zh-CN"/>
        </w:rPr>
        <w:t>12</w:t>
      </w:r>
      <w:r w:rsidR="003E5AC7" w:rsidRPr="00616A31">
        <w:rPr>
          <w:rFonts w:ascii="黑体" w:eastAsia="黑体" w:hAnsi="黑体" w:cs="黑体" w:hint="eastAsia"/>
          <w:spacing w:val="-6"/>
          <w:sz w:val="24"/>
          <w:szCs w:val="24"/>
          <w:lang w:eastAsia="zh-CN"/>
        </w:rPr>
        <w:t>月</w:t>
      </w:r>
      <w:r w:rsidR="003E5AC7" w:rsidRPr="00616A31">
        <w:rPr>
          <w:rFonts w:ascii="黑体" w:eastAsia="黑体" w:hAnsi="黑体" w:cs="黑体"/>
          <w:spacing w:val="-6"/>
          <w:sz w:val="24"/>
          <w:szCs w:val="24"/>
          <w:lang w:eastAsia="zh-CN"/>
        </w:rPr>
        <w:t>31</w:t>
      </w:r>
      <w:r w:rsidR="003E5AC7" w:rsidRPr="00616A31">
        <w:rPr>
          <w:rFonts w:ascii="黑体" w:eastAsia="黑体" w:hAnsi="黑体" w:cs="黑体" w:hint="eastAsia"/>
          <w:spacing w:val="-6"/>
          <w:sz w:val="24"/>
          <w:szCs w:val="24"/>
          <w:lang w:eastAsia="zh-CN"/>
        </w:rPr>
        <w:t>日，其2024年全年佣金</w:t>
      </w:r>
      <w:r w:rsidR="00F84E0A" w:rsidRPr="00616A31">
        <w:rPr>
          <w:rFonts w:ascii="黑体" w:eastAsia="黑体" w:hAnsi="黑体" w:cs="黑体" w:hint="eastAsia"/>
          <w:spacing w:val="-6"/>
          <w:sz w:val="24"/>
          <w:szCs w:val="24"/>
          <w:lang w:eastAsia="zh-CN"/>
        </w:rPr>
        <w:t>比例符合规定。</w:t>
      </w:r>
    </w:p>
    <w:p w14:paraId="7C5C167A" w14:textId="3E40135A" w:rsidR="00961D07" w:rsidRPr="00C259FD" w:rsidRDefault="00DC741B" w:rsidP="00C259FD">
      <w:pPr>
        <w:spacing w:before="256" w:line="229" w:lineRule="auto"/>
        <w:ind w:firstLineChars="200" w:firstLine="574"/>
        <w:outlineLvl w:val="1"/>
        <w:rPr>
          <w:rFonts w:ascii="黑体" w:eastAsia="黑体" w:hAnsi="黑体" w:cs="黑体"/>
          <w:sz w:val="28"/>
          <w:szCs w:val="28"/>
          <w:lang w:eastAsia="zh-CN"/>
        </w:rPr>
      </w:pPr>
      <w:r w:rsidRPr="00C259FD">
        <w:rPr>
          <w:rFonts w:ascii="黑体" w:eastAsia="黑体" w:hAnsi="黑体" w:cs="黑体"/>
          <w:b/>
          <w:bCs/>
          <w:spacing w:val="6"/>
          <w:sz w:val="28"/>
          <w:szCs w:val="28"/>
          <w:lang w:eastAsia="zh-CN"/>
        </w:rPr>
        <w:t>（</w:t>
      </w:r>
      <w:r w:rsidRPr="00C259FD">
        <w:rPr>
          <w:rFonts w:ascii="黑体" w:eastAsia="黑体" w:hAnsi="黑体" w:cs="黑体" w:hint="eastAsia"/>
          <w:b/>
          <w:bCs/>
          <w:spacing w:val="6"/>
          <w:sz w:val="28"/>
          <w:szCs w:val="28"/>
          <w:lang w:eastAsia="zh-CN"/>
        </w:rPr>
        <w:t>三</w:t>
      </w:r>
      <w:r w:rsidRPr="00C259FD">
        <w:rPr>
          <w:rFonts w:ascii="黑体" w:eastAsia="黑体" w:hAnsi="黑体" w:cs="黑体"/>
          <w:b/>
          <w:bCs/>
          <w:spacing w:val="6"/>
          <w:sz w:val="28"/>
          <w:szCs w:val="28"/>
          <w:lang w:eastAsia="zh-CN"/>
        </w:rPr>
        <w:t>）委托证券公司办理股票投资及佣金支付情况</w:t>
      </w:r>
    </w:p>
    <w:p w14:paraId="5B874B66" w14:textId="57839CF2" w:rsidR="00961D07" w:rsidRPr="00C259FD" w:rsidRDefault="00DC741B" w:rsidP="00C259FD">
      <w:pPr>
        <w:pStyle w:val="a4"/>
        <w:spacing w:before="175" w:line="200" w:lineRule="auto"/>
        <w:ind w:left="7308" w:firstLineChars="700" w:firstLine="1687"/>
        <w:rPr>
          <w:rFonts w:ascii="黑体" w:eastAsia="黑体" w:hAnsi="黑体" w:cs="黑体"/>
          <w:b/>
          <w:bCs/>
          <w:sz w:val="24"/>
          <w:szCs w:val="24"/>
          <w:lang w:eastAsia="zh-CN"/>
        </w:rPr>
      </w:pPr>
      <w:proofErr w:type="spellStart"/>
      <w:r w:rsidRPr="00C259FD">
        <w:rPr>
          <w:rFonts w:ascii="黑体" w:eastAsia="黑体" w:hAnsi="黑体" w:cs="黑体"/>
          <w:b/>
          <w:bCs/>
          <w:sz w:val="24"/>
          <w:szCs w:val="24"/>
        </w:rPr>
        <w:t>金额单位：人民币元</w:t>
      </w:r>
      <w:proofErr w:type="spellEnd"/>
    </w:p>
    <w:tbl>
      <w:tblPr>
        <w:tblW w:w="11239" w:type="dxa"/>
        <w:tblLayout w:type="fixed"/>
        <w:tblLook w:val="04A0" w:firstRow="1" w:lastRow="0" w:firstColumn="1" w:lastColumn="0" w:noHBand="0" w:noVBand="1"/>
      </w:tblPr>
      <w:tblGrid>
        <w:gridCol w:w="1907"/>
        <w:gridCol w:w="1775"/>
        <w:gridCol w:w="949"/>
        <w:gridCol w:w="985"/>
        <w:gridCol w:w="1931"/>
        <w:gridCol w:w="1767"/>
        <w:gridCol w:w="976"/>
        <w:gridCol w:w="949"/>
      </w:tblGrid>
      <w:tr w:rsidR="00961D07" w14:paraId="0C25D113" w14:textId="77777777" w:rsidTr="00C259FD">
        <w:tc>
          <w:tcPr>
            <w:tcW w:w="848" w:type="pct"/>
            <w:vMerge w:val="restar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64EA21E" w14:textId="77777777" w:rsidR="00961D07" w:rsidRPr="00C259FD" w:rsidRDefault="00DC741B" w:rsidP="00C259FD">
            <w:pPr>
              <w:pStyle w:val="biaogecenter"/>
              <w:wordWrap w:val="0"/>
              <w:spacing w:line="240" w:lineRule="auto"/>
              <w:rPr>
                <w:rFonts w:ascii="黑体" w:eastAsia="黑体" w:hAnsi="黑体" w:cs="黑体"/>
                <w:b/>
                <w:bCs/>
              </w:rPr>
            </w:pPr>
            <w:r w:rsidRPr="00C259FD">
              <w:rPr>
                <w:rFonts w:ascii="黑体" w:eastAsia="黑体" w:hAnsi="黑体" w:cs="黑体" w:hint="eastAsia"/>
                <w:b/>
                <w:bCs/>
                <w:color w:val="000000"/>
              </w:rPr>
              <w:t>证券公司名称</w:t>
            </w:r>
          </w:p>
        </w:tc>
        <w:tc>
          <w:tcPr>
            <w:tcW w:w="1649" w:type="pct"/>
            <w:gridSpan w:val="3"/>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31AE2CBF" w14:textId="77777777" w:rsidR="00961D07" w:rsidRPr="00C259FD" w:rsidRDefault="00DC741B" w:rsidP="00C259FD">
            <w:pPr>
              <w:pStyle w:val="biaogecenter"/>
              <w:wordWrap w:val="0"/>
              <w:spacing w:line="240" w:lineRule="auto"/>
              <w:rPr>
                <w:rFonts w:ascii="黑体" w:eastAsia="黑体" w:hAnsi="黑体" w:cs="黑体"/>
                <w:b/>
                <w:bCs/>
              </w:rPr>
            </w:pPr>
            <w:r w:rsidRPr="00C259FD">
              <w:rPr>
                <w:rFonts w:ascii="黑体" w:eastAsia="黑体" w:hAnsi="黑体" w:cs="黑体" w:hint="eastAsia"/>
                <w:b/>
                <w:bCs/>
                <w:color w:val="000000"/>
              </w:rPr>
              <w:t>被动股票型基金</w:t>
            </w:r>
          </w:p>
        </w:tc>
        <w:tc>
          <w:tcPr>
            <w:tcW w:w="2079" w:type="pct"/>
            <w:gridSpan w:val="3"/>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01F758AF" w14:textId="77777777" w:rsidR="00961D07" w:rsidRPr="00C259FD" w:rsidRDefault="00DC741B" w:rsidP="00C259FD">
            <w:pPr>
              <w:pStyle w:val="biaogecenter"/>
              <w:wordWrap w:val="0"/>
              <w:spacing w:line="240" w:lineRule="auto"/>
              <w:rPr>
                <w:rFonts w:ascii="黑体" w:eastAsia="黑体" w:hAnsi="黑体" w:cs="黑体"/>
                <w:b/>
                <w:bCs/>
              </w:rPr>
            </w:pPr>
            <w:r w:rsidRPr="00C259FD">
              <w:rPr>
                <w:rFonts w:ascii="黑体" w:eastAsia="黑体" w:hAnsi="黑体" w:cs="黑体" w:hint="eastAsia"/>
                <w:b/>
                <w:bCs/>
                <w:color w:val="000000"/>
              </w:rPr>
              <w:t>其他类型基金</w:t>
            </w:r>
          </w:p>
        </w:tc>
        <w:tc>
          <w:tcPr>
            <w:tcW w:w="422" w:type="pct"/>
            <w:vMerge w:val="restar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0911D505" w14:textId="77777777" w:rsidR="00961D07" w:rsidRPr="00C259FD" w:rsidRDefault="00DC741B" w:rsidP="00C259FD">
            <w:pPr>
              <w:pStyle w:val="biaogecenter"/>
              <w:wordWrap w:val="0"/>
              <w:spacing w:line="240" w:lineRule="auto"/>
              <w:rPr>
                <w:rFonts w:ascii="黑体" w:eastAsia="黑体" w:hAnsi="黑体" w:cs="黑体"/>
                <w:b/>
                <w:bCs/>
              </w:rPr>
            </w:pPr>
            <w:r w:rsidRPr="00C259FD">
              <w:rPr>
                <w:rFonts w:ascii="黑体" w:eastAsia="黑体" w:hAnsi="黑体" w:cs="黑体" w:hint="eastAsia"/>
                <w:b/>
                <w:bCs/>
                <w:color w:val="000000"/>
              </w:rPr>
              <w:t>是否与管理人存在关联关系</w:t>
            </w:r>
          </w:p>
        </w:tc>
      </w:tr>
      <w:tr w:rsidR="00961D07" w14:paraId="1A2C8A1C" w14:textId="77777777" w:rsidTr="00C259FD">
        <w:tc>
          <w:tcPr>
            <w:tcW w:w="848" w:type="pct"/>
            <w:vMerge/>
            <w:tcBorders>
              <w:top w:val="single" w:sz="8" w:space="0" w:color="000000"/>
              <w:left w:val="single" w:sz="8" w:space="0" w:color="000000"/>
              <w:bottom w:val="single" w:sz="6" w:space="0" w:color="000000"/>
              <w:right w:val="single" w:sz="8" w:space="0" w:color="000000"/>
            </w:tcBorders>
            <w:vAlign w:val="center"/>
          </w:tcPr>
          <w:p w14:paraId="21D28F7A" w14:textId="77777777" w:rsidR="00961D07" w:rsidRPr="00C259FD" w:rsidRDefault="00961D07" w:rsidP="00C259FD">
            <w:pPr>
              <w:jc w:val="center"/>
              <w:rPr>
                <w:rFonts w:ascii="黑体" w:eastAsia="黑体" w:hAnsi="黑体" w:cs="黑体"/>
                <w:b/>
                <w:bCs/>
                <w:sz w:val="24"/>
                <w:szCs w:val="24"/>
                <w:lang w:eastAsia="zh-CN"/>
              </w:rPr>
            </w:pPr>
          </w:p>
        </w:tc>
        <w:tc>
          <w:tcPr>
            <w:tcW w:w="789"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5D6EDC7" w14:textId="77777777" w:rsidR="00961D07" w:rsidRPr="00C259FD" w:rsidRDefault="00DC741B" w:rsidP="00C259FD">
            <w:pPr>
              <w:pStyle w:val="biaogecenter"/>
              <w:wordWrap w:val="0"/>
              <w:spacing w:line="240" w:lineRule="auto"/>
              <w:rPr>
                <w:rFonts w:ascii="黑体" w:eastAsia="黑体" w:hAnsi="黑体" w:cs="黑体"/>
                <w:b/>
                <w:bCs/>
              </w:rPr>
            </w:pPr>
            <w:r w:rsidRPr="00C259FD">
              <w:rPr>
                <w:rFonts w:ascii="黑体" w:eastAsia="黑体" w:hAnsi="黑体" w:cs="黑体" w:hint="eastAsia"/>
                <w:b/>
                <w:bCs/>
                <w:color w:val="000000"/>
              </w:rPr>
              <w:t>股票交易成交金额</w:t>
            </w:r>
          </w:p>
        </w:tc>
        <w:tc>
          <w:tcPr>
            <w:tcW w:w="42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416CAF8E" w14:textId="77777777" w:rsidR="00961D07" w:rsidRPr="00C259FD" w:rsidRDefault="00DC741B" w:rsidP="00C259FD">
            <w:pPr>
              <w:pStyle w:val="biaogecenter"/>
              <w:wordWrap w:val="0"/>
              <w:spacing w:line="240" w:lineRule="auto"/>
              <w:rPr>
                <w:rFonts w:ascii="黑体" w:eastAsia="黑体" w:hAnsi="黑体" w:cs="黑体"/>
                <w:b/>
                <w:bCs/>
              </w:rPr>
            </w:pPr>
            <w:r w:rsidRPr="00C259FD">
              <w:rPr>
                <w:rFonts w:ascii="黑体" w:eastAsia="黑体" w:hAnsi="黑体" w:cs="黑体" w:hint="eastAsia"/>
                <w:b/>
                <w:bCs/>
                <w:color w:val="000000"/>
              </w:rPr>
              <w:t>应支付该证券公司的股票交易佣金金额</w:t>
            </w:r>
          </w:p>
        </w:tc>
        <w:tc>
          <w:tcPr>
            <w:tcW w:w="43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0197A046" w14:textId="77777777" w:rsidR="00961D07" w:rsidRPr="00C259FD" w:rsidRDefault="00DC741B" w:rsidP="00C259FD">
            <w:pPr>
              <w:pStyle w:val="biaogecenter"/>
              <w:wordWrap w:val="0"/>
              <w:spacing w:line="240" w:lineRule="auto"/>
              <w:rPr>
                <w:rFonts w:ascii="黑体" w:eastAsia="黑体" w:hAnsi="黑体" w:cs="黑体"/>
                <w:b/>
                <w:bCs/>
              </w:rPr>
            </w:pPr>
            <w:r w:rsidRPr="00C259FD">
              <w:rPr>
                <w:rFonts w:ascii="黑体" w:eastAsia="黑体" w:hAnsi="黑体" w:cs="黑体" w:hint="eastAsia"/>
                <w:b/>
                <w:bCs/>
                <w:color w:val="000000"/>
              </w:rPr>
              <w:t>平均佣金费率（‰）</w:t>
            </w:r>
          </w:p>
        </w:tc>
        <w:tc>
          <w:tcPr>
            <w:tcW w:w="859"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30EC4E0F" w14:textId="77777777" w:rsidR="00961D07" w:rsidRPr="00C259FD" w:rsidRDefault="00DC741B" w:rsidP="00C259FD">
            <w:pPr>
              <w:pStyle w:val="biaogecenter"/>
              <w:wordWrap w:val="0"/>
              <w:spacing w:line="240" w:lineRule="auto"/>
              <w:rPr>
                <w:rFonts w:ascii="黑体" w:eastAsia="黑体" w:hAnsi="黑体" w:cs="黑体"/>
                <w:b/>
                <w:bCs/>
              </w:rPr>
            </w:pPr>
            <w:r w:rsidRPr="00C259FD">
              <w:rPr>
                <w:rFonts w:ascii="黑体" w:eastAsia="黑体" w:hAnsi="黑体" w:cs="黑体" w:hint="eastAsia"/>
                <w:b/>
                <w:bCs/>
                <w:color w:val="000000"/>
              </w:rPr>
              <w:t>股票交易成交金额</w:t>
            </w:r>
          </w:p>
        </w:tc>
        <w:tc>
          <w:tcPr>
            <w:tcW w:w="786"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747B6ADE" w14:textId="77777777" w:rsidR="00961D07" w:rsidRPr="00C259FD" w:rsidRDefault="00DC741B" w:rsidP="00C259FD">
            <w:pPr>
              <w:pStyle w:val="biaogecenter"/>
              <w:wordWrap w:val="0"/>
              <w:spacing w:line="240" w:lineRule="auto"/>
              <w:rPr>
                <w:rFonts w:ascii="黑体" w:eastAsia="黑体" w:hAnsi="黑体" w:cs="黑体"/>
                <w:b/>
                <w:bCs/>
              </w:rPr>
            </w:pPr>
            <w:r w:rsidRPr="00C259FD">
              <w:rPr>
                <w:rFonts w:ascii="黑体" w:eastAsia="黑体" w:hAnsi="黑体" w:cs="黑体" w:hint="eastAsia"/>
                <w:b/>
                <w:bCs/>
                <w:color w:val="000000"/>
              </w:rPr>
              <w:t>应支付该证券公司的股票交易佣金金额</w:t>
            </w:r>
          </w:p>
        </w:tc>
        <w:tc>
          <w:tcPr>
            <w:tcW w:w="433"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3DBFAEB0" w14:textId="77777777" w:rsidR="00961D07" w:rsidRPr="00C259FD" w:rsidRDefault="00DC741B" w:rsidP="00C259FD">
            <w:pPr>
              <w:pStyle w:val="biaogecenter"/>
              <w:wordWrap w:val="0"/>
              <w:spacing w:line="240" w:lineRule="auto"/>
              <w:rPr>
                <w:rFonts w:ascii="黑体" w:eastAsia="黑体" w:hAnsi="黑体" w:cs="黑体"/>
                <w:b/>
                <w:bCs/>
              </w:rPr>
            </w:pPr>
            <w:r w:rsidRPr="00C259FD">
              <w:rPr>
                <w:rFonts w:ascii="黑体" w:eastAsia="黑体" w:hAnsi="黑体" w:cs="黑体" w:hint="eastAsia"/>
                <w:b/>
                <w:bCs/>
                <w:color w:val="000000"/>
              </w:rPr>
              <w:t>平均佣金费率（‰）</w:t>
            </w:r>
          </w:p>
        </w:tc>
        <w:tc>
          <w:tcPr>
            <w:tcW w:w="422" w:type="pct"/>
            <w:vMerge/>
            <w:tcBorders>
              <w:top w:val="single" w:sz="8" w:space="0" w:color="000000"/>
              <w:left w:val="single" w:sz="8" w:space="0" w:color="000000"/>
              <w:bottom w:val="single" w:sz="6" w:space="0" w:color="000000"/>
              <w:right w:val="single" w:sz="8" w:space="0" w:color="000000"/>
            </w:tcBorders>
            <w:vAlign w:val="center"/>
          </w:tcPr>
          <w:p w14:paraId="7D9D64AF" w14:textId="77777777" w:rsidR="00961D07" w:rsidRPr="00C259FD" w:rsidRDefault="00961D07" w:rsidP="00C259FD">
            <w:pPr>
              <w:jc w:val="center"/>
              <w:rPr>
                <w:rFonts w:ascii="黑体" w:eastAsia="黑体" w:hAnsi="黑体" w:cs="黑体"/>
                <w:b/>
                <w:bCs/>
                <w:sz w:val="24"/>
                <w:szCs w:val="24"/>
              </w:rPr>
            </w:pPr>
          </w:p>
        </w:tc>
      </w:tr>
      <w:tr w:rsidR="00961D07" w14:paraId="7CCEAF58" w14:textId="77777777" w:rsidTr="00C259FD">
        <w:tc>
          <w:tcPr>
            <w:tcW w:w="848"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39BB0374" w14:textId="77777777" w:rsidR="00961D07" w:rsidRPr="00C259FD" w:rsidRDefault="00DC741B" w:rsidP="00C259FD">
            <w:pPr>
              <w:pStyle w:val="biaogeleft"/>
              <w:wordWrap w:val="0"/>
              <w:spacing w:line="240" w:lineRule="auto"/>
              <w:jc w:val="center"/>
              <w:rPr>
                <w:rFonts w:ascii="黑体" w:eastAsia="黑体" w:hAnsi="黑体" w:cs="黑体"/>
              </w:rPr>
            </w:pPr>
            <w:proofErr w:type="gramStart"/>
            <w:r w:rsidRPr="00C259FD">
              <w:rPr>
                <w:rFonts w:ascii="黑体" w:eastAsia="黑体" w:hAnsi="黑体" w:cs="黑体" w:hint="eastAsia"/>
                <w:color w:val="000000"/>
              </w:rPr>
              <w:t>万联证券</w:t>
            </w:r>
            <w:proofErr w:type="gramEnd"/>
          </w:p>
        </w:tc>
        <w:tc>
          <w:tcPr>
            <w:tcW w:w="789"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56804438"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42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1C5F256"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43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71EE867C"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859"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66AA3A8E"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786"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B954F00"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433"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A047EAE"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42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397C9E38"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否</w:t>
            </w:r>
          </w:p>
        </w:tc>
      </w:tr>
      <w:tr w:rsidR="00961D07" w14:paraId="3A283DAE" w14:textId="77777777" w:rsidTr="00C259FD">
        <w:tc>
          <w:tcPr>
            <w:tcW w:w="848"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029BD7B"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东吴证券</w:t>
            </w:r>
          </w:p>
        </w:tc>
        <w:tc>
          <w:tcPr>
            <w:tcW w:w="789"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7C56CA8E"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42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8A5B69A"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43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785B0616"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859"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57057985"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786"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0813C327"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433"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79326EDB"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42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ED3B089"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否</w:t>
            </w:r>
          </w:p>
        </w:tc>
      </w:tr>
      <w:tr w:rsidR="00961D07" w14:paraId="349A1722" w14:textId="77777777" w:rsidTr="00C259FD">
        <w:tc>
          <w:tcPr>
            <w:tcW w:w="848"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34D301BF"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中</w:t>
            </w:r>
            <w:proofErr w:type="gramStart"/>
            <w:r w:rsidRPr="00C259FD">
              <w:rPr>
                <w:rFonts w:ascii="黑体" w:eastAsia="黑体" w:hAnsi="黑体" w:cs="黑体" w:hint="eastAsia"/>
                <w:color w:val="000000"/>
              </w:rPr>
              <w:t>信建投</w:t>
            </w:r>
            <w:proofErr w:type="gramEnd"/>
          </w:p>
        </w:tc>
        <w:tc>
          <w:tcPr>
            <w:tcW w:w="789"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DF6C572"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42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F015DB7"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43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274EAE8"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859"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A648D51"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786"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6E8E1764"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433"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5C2455A8"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42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78F6F175"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否</w:t>
            </w:r>
          </w:p>
        </w:tc>
      </w:tr>
      <w:tr w:rsidR="00961D07" w14:paraId="37CF5EAF" w14:textId="77777777" w:rsidTr="00C259FD">
        <w:tc>
          <w:tcPr>
            <w:tcW w:w="848"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676301F"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中信证券</w:t>
            </w:r>
          </w:p>
        </w:tc>
        <w:tc>
          <w:tcPr>
            <w:tcW w:w="789"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4F20D4A7"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42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398AD7C5"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43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E8476E3"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859"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5AD19F88"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187,414,650.86</w:t>
            </w:r>
          </w:p>
        </w:tc>
        <w:tc>
          <w:tcPr>
            <w:tcW w:w="786"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36E1FFAB"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95,160.58</w:t>
            </w:r>
          </w:p>
        </w:tc>
        <w:tc>
          <w:tcPr>
            <w:tcW w:w="433"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71A261B"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0.51</w:t>
            </w:r>
          </w:p>
        </w:tc>
        <w:tc>
          <w:tcPr>
            <w:tcW w:w="42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61348B42"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否</w:t>
            </w:r>
          </w:p>
        </w:tc>
      </w:tr>
      <w:tr w:rsidR="00961D07" w14:paraId="7B846F5F" w14:textId="77777777" w:rsidTr="00C259FD">
        <w:tc>
          <w:tcPr>
            <w:tcW w:w="848"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9703525"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lastRenderedPageBreak/>
              <w:t>兴业证券</w:t>
            </w:r>
          </w:p>
        </w:tc>
        <w:tc>
          <w:tcPr>
            <w:tcW w:w="789"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50B3908D"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42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3BD4F56"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43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60994F1C"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859"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747CE034"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786"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75B20E78"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433"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4AE1FADE"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42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5A61F86E"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否</w:t>
            </w:r>
          </w:p>
        </w:tc>
      </w:tr>
      <w:tr w:rsidR="00961D07" w14:paraId="11A01CAF" w14:textId="77777777" w:rsidTr="00C259FD">
        <w:tc>
          <w:tcPr>
            <w:tcW w:w="848"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2B1806E"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华安证券</w:t>
            </w:r>
          </w:p>
        </w:tc>
        <w:tc>
          <w:tcPr>
            <w:tcW w:w="789"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0E98CB9D"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42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6C7FCBC"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43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13782B4"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859"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99DF508"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786"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5BCDEBE0"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433"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05DEE485"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42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52F16442"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否</w:t>
            </w:r>
          </w:p>
        </w:tc>
      </w:tr>
      <w:tr w:rsidR="00961D07" w14:paraId="4D17D088" w14:textId="77777777" w:rsidTr="00C259FD">
        <w:tc>
          <w:tcPr>
            <w:tcW w:w="848"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46791DD8"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华泰证券</w:t>
            </w:r>
          </w:p>
        </w:tc>
        <w:tc>
          <w:tcPr>
            <w:tcW w:w="789"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F7AD11E"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42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5B54A16"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43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66E7EDD4"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859"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6A9BD4ED"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786"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77446C0D"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433"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6F21467"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42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600579A0"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否</w:t>
            </w:r>
          </w:p>
        </w:tc>
      </w:tr>
      <w:tr w:rsidR="00961D07" w14:paraId="3113C5BC" w14:textId="77777777" w:rsidTr="00C259FD">
        <w:tc>
          <w:tcPr>
            <w:tcW w:w="848"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5A7D058"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国泰君安证券</w:t>
            </w:r>
          </w:p>
        </w:tc>
        <w:tc>
          <w:tcPr>
            <w:tcW w:w="789"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31F078C4"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3,361,594.29</w:t>
            </w:r>
          </w:p>
        </w:tc>
        <w:tc>
          <w:tcPr>
            <w:tcW w:w="42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7155C4E7"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638.01</w:t>
            </w:r>
          </w:p>
        </w:tc>
        <w:tc>
          <w:tcPr>
            <w:tcW w:w="43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026FB99F"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0.19</w:t>
            </w:r>
          </w:p>
        </w:tc>
        <w:tc>
          <w:tcPr>
            <w:tcW w:w="859"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330CB3A"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361,998,369.57</w:t>
            </w:r>
          </w:p>
        </w:tc>
        <w:tc>
          <w:tcPr>
            <w:tcW w:w="786"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51F127F8"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203,603.58</w:t>
            </w:r>
          </w:p>
        </w:tc>
        <w:tc>
          <w:tcPr>
            <w:tcW w:w="433"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B9732E8" w14:textId="77777777" w:rsidR="00961D07" w:rsidRPr="00C259FD" w:rsidRDefault="00DC741B" w:rsidP="00C259FD">
            <w:pPr>
              <w:pStyle w:val="biaogeright"/>
              <w:spacing w:line="240" w:lineRule="auto"/>
              <w:jc w:val="center"/>
              <w:rPr>
                <w:rFonts w:ascii="黑体" w:eastAsia="黑体" w:hAnsi="黑体" w:cs="黑体"/>
              </w:rPr>
            </w:pPr>
            <w:r w:rsidRPr="00616A31">
              <w:rPr>
                <w:rFonts w:ascii="黑体" w:eastAsia="黑体" w:hAnsi="黑体" w:cs="黑体"/>
                <w:color w:val="000000"/>
              </w:rPr>
              <w:t>0.56</w:t>
            </w:r>
          </w:p>
        </w:tc>
        <w:tc>
          <w:tcPr>
            <w:tcW w:w="42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6288B1A4"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否</w:t>
            </w:r>
          </w:p>
        </w:tc>
      </w:tr>
      <w:tr w:rsidR="00961D07" w14:paraId="27EE7EB6" w14:textId="77777777" w:rsidTr="00C259FD">
        <w:tc>
          <w:tcPr>
            <w:tcW w:w="848"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5E957903"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国盛证券</w:t>
            </w:r>
          </w:p>
        </w:tc>
        <w:tc>
          <w:tcPr>
            <w:tcW w:w="789"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7505F61"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42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5167C64F"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43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52F95C6"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859"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5D9194EF"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786"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350B8405"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433"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5D47C93"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42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3BBD531"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否</w:t>
            </w:r>
          </w:p>
        </w:tc>
      </w:tr>
      <w:tr w:rsidR="00961D07" w14:paraId="5E56D84B" w14:textId="77777777" w:rsidTr="00C259FD">
        <w:tc>
          <w:tcPr>
            <w:tcW w:w="848"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037FD1A8"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开源证券</w:t>
            </w:r>
          </w:p>
        </w:tc>
        <w:tc>
          <w:tcPr>
            <w:tcW w:w="789"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599ABCB9"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42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046E2DF"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43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5A7A3A6F"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859"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E20A1B9"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786"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64E8F12C"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433"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57792350"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42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5D4C9757"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否</w:t>
            </w:r>
          </w:p>
        </w:tc>
      </w:tr>
      <w:tr w:rsidR="00961D07" w14:paraId="7929925A" w14:textId="77777777" w:rsidTr="00C259FD">
        <w:tc>
          <w:tcPr>
            <w:tcW w:w="848"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44B4A078"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恒泰证券</w:t>
            </w:r>
          </w:p>
        </w:tc>
        <w:tc>
          <w:tcPr>
            <w:tcW w:w="789"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607CF2A9"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42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347619C8"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43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31C7E613"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859"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5CD22744"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786"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053936AC"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433"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7EF30539"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42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4C1C6A5F"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否</w:t>
            </w:r>
          </w:p>
        </w:tc>
      </w:tr>
      <w:tr w:rsidR="00961D07" w14:paraId="4B5173CE" w14:textId="77777777" w:rsidTr="00C259FD">
        <w:tc>
          <w:tcPr>
            <w:tcW w:w="848"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4AE090B7"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方正证券</w:t>
            </w:r>
          </w:p>
        </w:tc>
        <w:tc>
          <w:tcPr>
            <w:tcW w:w="789"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41C8670"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42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755E34E0"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43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3A1F6C70"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859"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628FD04A"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786"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42368B49"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433"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418A58A5"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42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737785B5"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否</w:t>
            </w:r>
          </w:p>
        </w:tc>
      </w:tr>
      <w:tr w:rsidR="00961D07" w14:paraId="6AC6331B" w14:textId="77777777" w:rsidTr="00C259FD">
        <w:tc>
          <w:tcPr>
            <w:tcW w:w="848"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0ED473D7"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金元证券</w:t>
            </w:r>
          </w:p>
        </w:tc>
        <w:tc>
          <w:tcPr>
            <w:tcW w:w="789"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076CB5F5"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42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708D29FA"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43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729061F0"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859"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80A39C9"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786"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B57A8C4"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433"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5CF22B63"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42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51775A0B"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否</w:t>
            </w:r>
          </w:p>
        </w:tc>
      </w:tr>
      <w:tr w:rsidR="00961D07" w14:paraId="55D5FB2C" w14:textId="77777777" w:rsidTr="00C259FD">
        <w:tc>
          <w:tcPr>
            <w:tcW w:w="848"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50A38E37"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长江证券</w:t>
            </w:r>
          </w:p>
        </w:tc>
        <w:tc>
          <w:tcPr>
            <w:tcW w:w="789"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D93B41D"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42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671981A"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43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1EE4CF93"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859"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4AFC01BC"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786"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40DB6024"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433"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3B040C8F"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w:t>
            </w:r>
          </w:p>
        </w:tc>
        <w:tc>
          <w:tcPr>
            <w:tcW w:w="42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2562AEBB" w14:textId="77777777" w:rsidR="00961D07" w:rsidRPr="00C259FD" w:rsidRDefault="00DC741B" w:rsidP="00C259FD">
            <w:pPr>
              <w:pStyle w:val="biaogeleft"/>
              <w:wordWrap w:val="0"/>
              <w:spacing w:line="240" w:lineRule="auto"/>
              <w:jc w:val="center"/>
              <w:rPr>
                <w:rFonts w:ascii="黑体" w:eastAsia="黑体" w:hAnsi="黑体" w:cs="黑体"/>
              </w:rPr>
            </w:pPr>
            <w:r w:rsidRPr="00C259FD">
              <w:rPr>
                <w:rFonts w:ascii="黑体" w:eastAsia="黑体" w:hAnsi="黑体" w:cs="黑体" w:hint="eastAsia"/>
                <w:color w:val="000000"/>
              </w:rPr>
              <w:t>否</w:t>
            </w:r>
          </w:p>
        </w:tc>
      </w:tr>
      <w:tr w:rsidR="00961D07" w14:paraId="23D113DD" w14:textId="77777777" w:rsidTr="00C259FD">
        <w:tc>
          <w:tcPr>
            <w:tcW w:w="848"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0D11AC84" w14:textId="77777777" w:rsidR="00961D07" w:rsidRPr="00C259FD" w:rsidRDefault="00DC741B" w:rsidP="00C259FD">
            <w:pPr>
              <w:pStyle w:val="biaogecenter"/>
              <w:wordWrap w:val="0"/>
              <w:spacing w:line="240" w:lineRule="auto"/>
              <w:rPr>
                <w:rFonts w:ascii="黑体" w:eastAsia="黑体" w:hAnsi="黑体" w:cs="黑体"/>
                <w:b/>
                <w:bCs/>
              </w:rPr>
            </w:pPr>
            <w:r w:rsidRPr="00C259FD">
              <w:rPr>
                <w:rFonts w:ascii="黑体" w:eastAsia="黑体" w:hAnsi="黑体" w:cs="黑体" w:hint="eastAsia"/>
                <w:b/>
                <w:bCs/>
                <w:color w:val="000000"/>
              </w:rPr>
              <w:t>合</w:t>
            </w:r>
            <w:r w:rsidRPr="00C259FD">
              <w:rPr>
                <w:rFonts w:ascii="黑体" w:eastAsia="黑体" w:hAnsi="黑体" w:cs="黑体"/>
                <w:b/>
                <w:bCs/>
                <w:color w:val="000000"/>
              </w:rPr>
              <w:t xml:space="preserve"> </w:t>
            </w:r>
            <w:r w:rsidRPr="00C259FD">
              <w:rPr>
                <w:rFonts w:ascii="黑体" w:eastAsia="黑体" w:hAnsi="黑体" w:cs="黑体" w:hint="eastAsia"/>
                <w:b/>
                <w:bCs/>
                <w:color w:val="000000"/>
              </w:rPr>
              <w:t>计</w:t>
            </w:r>
          </w:p>
        </w:tc>
        <w:tc>
          <w:tcPr>
            <w:tcW w:w="789"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7A13FC25"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3,361,594.29</w:t>
            </w:r>
          </w:p>
        </w:tc>
        <w:tc>
          <w:tcPr>
            <w:tcW w:w="42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6BBD207C"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638.01</w:t>
            </w:r>
          </w:p>
        </w:tc>
        <w:tc>
          <w:tcPr>
            <w:tcW w:w="437"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5194176D"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0.19</w:t>
            </w:r>
          </w:p>
        </w:tc>
        <w:tc>
          <w:tcPr>
            <w:tcW w:w="859"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39539D78"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549,413,020.43</w:t>
            </w:r>
          </w:p>
        </w:tc>
        <w:tc>
          <w:tcPr>
            <w:tcW w:w="786"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57CCDB82"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298,764.16</w:t>
            </w:r>
          </w:p>
        </w:tc>
        <w:tc>
          <w:tcPr>
            <w:tcW w:w="433"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690DFF0A" w14:textId="77777777" w:rsidR="00961D07" w:rsidRPr="00C259FD" w:rsidRDefault="00DC741B" w:rsidP="00C259FD">
            <w:pPr>
              <w:pStyle w:val="biaogeright"/>
              <w:spacing w:line="240" w:lineRule="auto"/>
              <w:jc w:val="center"/>
              <w:rPr>
                <w:rFonts w:ascii="黑体" w:eastAsia="黑体" w:hAnsi="黑体" w:cs="黑体"/>
              </w:rPr>
            </w:pPr>
            <w:r w:rsidRPr="00C259FD">
              <w:rPr>
                <w:rFonts w:ascii="黑体" w:eastAsia="黑体" w:hAnsi="黑体" w:cs="黑体"/>
                <w:color w:val="000000"/>
              </w:rPr>
              <w:t>0.54</w:t>
            </w:r>
          </w:p>
        </w:tc>
        <w:tc>
          <w:tcPr>
            <w:tcW w:w="422" w:type="pct"/>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center"/>
          </w:tcPr>
          <w:p w14:paraId="58FE034A" w14:textId="77777777" w:rsidR="00961D07" w:rsidRPr="00C259FD" w:rsidRDefault="00961D07" w:rsidP="00C259FD">
            <w:pPr>
              <w:jc w:val="center"/>
              <w:rPr>
                <w:rFonts w:ascii="黑体" w:eastAsia="黑体" w:hAnsi="黑体" w:cs="黑体"/>
                <w:sz w:val="24"/>
                <w:szCs w:val="24"/>
              </w:rPr>
            </w:pPr>
          </w:p>
        </w:tc>
      </w:tr>
    </w:tbl>
    <w:p w14:paraId="7710AB0F" w14:textId="77777777" w:rsidR="00961D07" w:rsidRPr="00C259FD" w:rsidRDefault="00DC741B" w:rsidP="00C259FD">
      <w:pPr>
        <w:pStyle w:val="a4"/>
        <w:spacing w:line="360" w:lineRule="auto"/>
        <w:ind w:left="418" w:firstLine="2"/>
        <w:rPr>
          <w:rFonts w:ascii="黑体" w:eastAsia="黑体" w:hAnsi="黑体" w:cs="黑体"/>
          <w:spacing w:val="-6"/>
          <w:sz w:val="24"/>
          <w:szCs w:val="24"/>
          <w:lang w:eastAsia="zh-CN"/>
        </w:rPr>
      </w:pPr>
      <w:r w:rsidRPr="00C259FD">
        <w:rPr>
          <w:rFonts w:ascii="黑体" w:eastAsia="黑体" w:hAnsi="黑体" w:cs="黑体"/>
          <w:spacing w:val="-6"/>
          <w:sz w:val="24"/>
          <w:szCs w:val="24"/>
          <w:lang w:eastAsia="zh-CN"/>
        </w:rPr>
        <w:t>注：</w:t>
      </w:r>
    </w:p>
    <w:p w14:paraId="557F55A9" w14:textId="45F11FCF" w:rsidR="00961D07" w:rsidRPr="00C259FD" w:rsidRDefault="00DC741B">
      <w:pPr>
        <w:pStyle w:val="a4"/>
        <w:numPr>
          <w:ilvl w:val="0"/>
          <w:numId w:val="8"/>
        </w:numPr>
        <w:spacing w:before="178" w:line="360" w:lineRule="auto"/>
        <w:ind w:left="777" w:hanging="357"/>
        <w:rPr>
          <w:rFonts w:ascii="黑体" w:eastAsia="黑体" w:hAnsi="黑体" w:cs="黑体"/>
          <w:spacing w:val="-6"/>
          <w:sz w:val="24"/>
          <w:szCs w:val="24"/>
          <w:lang w:eastAsia="zh-CN"/>
        </w:rPr>
      </w:pPr>
      <w:r w:rsidRPr="00C259FD">
        <w:rPr>
          <w:rFonts w:ascii="黑体" w:eastAsia="黑体" w:hAnsi="黑体" w:cs="黑体" w:hint="eastAsia"/>
          <w:spacing w:val="-6"/>
          <w:sz w:val="24"/>
          <w:szCs w:val="24"/>
          <w:lang w:eastAsia="zh-CN"/>
        </w:rPr>
        <w:t>本报告披露的报告期为</w:t>
      </w:r>
      <w:r w:rsidRPr="00C259FD">
        <w:rPr>
          <w:rFonts w:ascii="黑体" w:eastAsia="黑体" w:hAnsi="黑体" w:cs="黑体"/>
          <w:spacing w:val="-6"/>
          <w:sz w:val="24"/>
          <w:szCs w:val="24"/>
          <w:lang w:eastAsia="zh-CN"/>
        </w:rPr>
        <w:t>2024</w:t>
      </w:r>
      <w:r w:rsidRPr="00C259FD">
        <w:rPr>
          <w:rFonts w:ascii="黑体" w:eastAsia="黑体" w:hAnsi="黑体" w:cs="黑体" w:hint="eastAsia"/>
          <w:spacing w:val="-6"/>
          <w:sz w:val="24"/>
          <w:szCs w:val="24"/>
          <w:lang w:eastAsia="zh-CN"/>
        </w:rPr>
        <w:t>年</w:t>
      </w:r>
      <w:r w:rsidRPr="00C259FD">
        <w:rPr>
          <w:rFonts w:ascii="黑体" w:eastAsia="黑体" w:hAnsi="黑体" w:cs="黑体"/>
          <w:spacing w:val="-6"/>
          <w:sz w:val="24"/>
          <w:szCs w:val="24"/>
          <w:lang w:eastAsia="zh-CN"/>
        </w:rPr>
        <w:t>7</w:t>
      </w:r>
      <w:r w:rsidRPr="00C259FD">
        <w:rPr>
          <w:rFonts w:ascii="黑体" w:eastAsia="黑体" w:hAnsi="黑体" w:cs="黑体" w:hint="eastAsia"/>
          <w:spacing w:val="-6"/>
          <w:sz w:val="24"/>
          <w:szCs w:val="24"/>
          <w:lang w:eastAsia="zh-CN"/>
        </w:rPr>
        <w:t>月</w:t>
      </w:r>
      <w:r w:rsidRPr="00C259FD">
        <w:rPr>
          <w:rFonts w:ascii="黑体" w:eastAsia="黑体" w:hAnsi="黑体" w:cs="黑体"/>
          <w:spacing w:val="-6"/>
          <w:sz w:val="24"/>
          <w:szCs w:val="24"/>
          <w:lang w:eastAsia="zh-CN"/>
        </w:rPr>
        <w:t>1</w:t>
      </w:r>
      <w:r w:rsidRPr="00C259FD">
        <w:rPr>
          <w:rFonts w:ascii="黑体" w:eastAsia="黑体" w:hAnsi="黑体" w:cs="黑体" w:hint="eastAsia"/>
          <w:spacing w:val="-6"/>
          <w:sz w:val="24"/>
          <w:szCs w:val="24"/>
          <w:lang w:eastAsia="zh-CN"/>
        </w:rPr>
        <w:t>日至</w:t>
      </w:r>
      <w:r w:rsidRPr="00C259FD">
        <w:rPr>
          <w:rFonts w:ascii="黑体" w:eastAsia="黑体" w:hAnsi="黑体" w:cs="黑体"/>
          <w:spacing w:val="-6"/>
          <w:sz w:val="24"/>
          <w:szCs w:val="24"/>
          <w:lang w:eastAsia="zh-CN"/>
        </w:rPr>
        <w:t>2024</w:t>
      </w:r>
      <w:r w:rsidRPr="00C259FD">
        <w:rPr>
          <w:rFonts w:ascii="黑体" w:eastAsia="黑体" w:hAnsi="黑体" w:cs="黑体" w:hint="eastAsia"/>
          <w:spacing w:val="-6"/>
          <w:sz w:val="24"/>
          <w:szCs w:val="24"/>
          <w:lang w:eastAsia="zh-CN"/>
        </w:rPr>
        <w:t>年</w:t>
      </w:r>
      <w:r w:rsidRPr="00C259FD">
        <w:rPr>
          <w:rFonts w:ascii="黑体" w:eastAsia="黑体" w:hAnsi="黑体" w:cs="黑体"/>
          <w:spacing w:val="-6"/>
          <w:sz w:val="24"/>
          <w:szCs w:val="24"/>
          <w:lang w:eastAsia="zh-CN"/>
        </w:rPr>
        <w:t>12</w:t>
      </w:r>
      <w:r w:rsidRPr="00C259FD">
        <w:rPr>
          <w:rFonts w:ascii="黑体" w:eastAsia="黑体" w:hAnsi="黑体" w:cs="黑体" w:hint="eastAsia"/>
          <w:spacing w:val="-6"/>
          <w:sz w:val="24"/>
          <w:szCs w:val="24"/>
          <w:lang w:eastAsia="zh-CN"/>
        </w:rPr>
        <w:t>月</w:t>
      </w:r>
      <w:r w:rsidRPr="00C259FD">
        <w:rPr>
          <w:rFonts w:ascii="黑体" w:eastAsia="黑体" w:hAnsi="黑体" w:cs="黑体"/>
          <w:spacing w:val="-6"/>
          <w:sz w:val="24"/>
          <w:szCs w:val="24"/>
          <w:lang w:eastAsia="zh-CN"/>
        </w:rPr>
        <w:t>31</w:t>
      </w:r>
      <w:r w:rsidRPr="00C259FD">
        <w:rPr>
          <w:rFonts w:ascii="黑体" w:eastAsia="黑体" w:hAnsi="黑体" w:cs="黑体" w:hint="eastAsia"/>
          <w:spacing w:val="-6"/>
          <w:sz w:val="24"/>
          <w:szCs w:val="24"/>
          <w:lang w:eastAsia="zh-CN"/>
        </w:rPr>
        <w:t>日</w:t>
      </w:r>
      <w:r w:rsidRPr="00C259FD">
        <w:rPr>
          <w:rFonts w:ascii="黑体" w:eastAsia="黑体" w:hAnsi="黑体" w:cs="黑体"/>
          <w:spacing w:val="-6"/>
          <w:sz w:val="24"/>
          <w:szCs w:val="24"/>
          <w:lang w:eastAsia="zh-CN"/>
        </w:rPr>
        <w:t>， 报告统计范围为报告期间存续过的所有委托证券公司办理股票投资的股票型及混合型</w:t>
      </w:r>
      <w:r w:rsidRPr="00C259FD">
        <w:rPr>
          <w:rFonts w:ascii="黑体" w:eastAsia="黑体" w:hAnsi="黑体" w:cs="黑体" w:hint="eastAsia"/>
          <w:spacing w:val="-6"/>
          <w:sz w:val="24"/>
          <w:szCs w:val="24"/>
          <w:lang w:eastAsia="zh-CN"/>
        </w:rPr>
        <w:t>公募基金，包括报告期间成立、清算、转型的公募基金。</w:t>
      </w:r>
    </w:p>
    <w:p w14:paraId="11060DF0" w14:textId="77777777" w:rsidR="00961D07" w:rsidRPr="00C259FD" w:rsidRDefault="00DC741B" w:rsidP="00F84E0A">
      <w:pPr>
        <w:pStyle w:val="a4"/>
        <w:numPr>
          <w:ilvl w:val="0"/>
          <w:numId w:val="8"/>
        </w:numPr>
        <w:spacing w:before="178" w:line="360" w:lineRule="auto"/>
        <w:ind w:left="777" w:hanging="357"/>
        <w:rPr>
          <w:rFonts w:ascii="黑体" w:eastAsia="黑体" w:hAnsi="黑体" w:cs="黑体"/>
          <w:spacing w:val="-6"/>
          <w:sz w:val="24"/>
          <w:szCs w:val="24"/>
          <w:lang w:eastAsia="zh-CN"/>
        </w:rPr>
      </w:pPr>
      <w:r w:rsidRPr="00C259FD">
        <w:rPr>
          <w:rFonts w:ascii="黑体" w:eastAsia="黑体" w:hAnsi="黑体" w:cs="黑体" w:hint="eastAsia"/>
          <w:spacing w:val="-6"/>
          <w:sz w:val="24"/>
          <w:szCs w:val="24"/>
          <w:lang w:eastAsia="zh-CN"/>
        </w:rPr>
        <w:t>根据《公开募集证券投资基金证券交易费用管理规定》和《关于通报</w:t>
      </w:r>
      <w:r w:rsidRPr="00C259FD">
        <w:rPr>
          <w:rFonts w:ascii="黑体" w:eastAsia="黑体" w:hAnsi="黑体" w:cs="黑体"/>
          <w:spacing w:val="-6"/>
          <w:sz w:val="24"/>
          <w:szCs w:val="24"/>
          <w:lang w:eastAsia="zh-CN"/>
        </w:rPr>
        <w:t>2022</w:t>
      </w:r>
      <w:r w:rsidRPr="00C259FD">
        <w:rPr>
          <w:rFonts w:ascii="黑体" w:eastAsia="黑体" w:hAnsi="黑体" w:cs="黑体" w:hint="eastAsia"/>
          <w:spacing w:val="-6"/>
          <w:sz w:val="24"/>
          <w:szCs w:val="24"/>
          <w:lang w:eastAsia="zh-CN"/>
        </w:rPr>
        <w:t>年市场平均股票交易佣金费率的通知》的相关规定，公司已于</w:t>
      </w:r>
      <w:r w:rsidRPr="00C259FD">
        <w:rPr>
          <w:rFonts w:ascii="黑体" w:eastAsia="黑体" w:hAnsi="黑体" w:cs="黑体"/>
          <w:spacing w:val="-6"/>
          <w:sz w:val="24"/>
          <w:szCs w:val="24"/>
          <w:lang w:eastAsia="zh-CN"/>
        </w:rPr>
        <w:t>2024</w:t>
      </w:r>
      <w:r w:rsidRPr="00C259FD">
        <w:rPr>
          <w:rFonts w:ascii="黑体" w:eastAsia="黑体" w:hAnsi="黑体" w:cs="黑体" w:hint="eastAsia"/>
          <w:spacing w:val="-6"/>
          <w:sz w:val="24"/>
          <w:szCs w:val="24"/>
          <w:lang w:eastAsia="zh-CN"/>
        </w:rPr>
        <w:t>年</w:t>
      </w:r>
      <w:r w:rsidRPr="00C259FD">
        <w:rPr>
          <w:rFonts w:ascii="黑体" w:eastAsia="黑体" w:hAnsi="黑体" w:cs="黑体"/>
          <w:spacing w:val="-6"/>
          <w:sz w:val="24"/>
          <w:szCs w:val="24"/>
          <w:lang w:eastAsia="zh-CN"/>
        </w:rPr>
        <w:t>6</w:t>
      </w:r>
      <w:r w:rsidRPr="00C259FD">
        <w:rPr>
          <w:rFonts w:ascii="黑体" w:eastAsia="黑体" w:hAnsi="黑体" w:cs="黑体" w:hint="eastAsia"/>
          <w:spacing w:val="-6"/>
          <w:sz w:val="24"/>
          <w:szCs w:val="24"/>
          <w:lang w:eastAsia="zh-CN"/>
        </w:rPr>
        <w:t>月</w:t>
      </w:r>
      <w:r w:rsidRPr="00C259FD">
        <w:rPr>
          <w:rFonts w:ascii="黑体" w:eastAsia="黑体" w:hAnsi="黑体" w:cs="黑体"/>
          <w:spacing w:val="-6"/>
          <w:sz w:val="24"/>
          <w:szCs w:val="24"/>
          <w:lang w:eastAsia="zh-CN"/>
        </w:rPr>
        <w:t>30</w:t>
      </w:r>
      <w:r w:rsidRPr="00C259FD">
        <w:rPr>
          <w:rFonts w:ascii="黑体" w:eastAsia="黑体" w:hAnsi="黑体" w:cs="黑体" w:hint="eastAsia"/>
          <w:spacing w:val="-6"/>
          <w:sz w:val="24"/>
          <w:szCs w:val="24"/>
          <w:lang w:eastAsia="zh-CN"/>
        </w:rPr>
        <w:t>日前完成对存续证券经纪商股票交易佣金费率的调整。调整后，被动股票型基金的佣金费率不高于万分之</w:t>
      </w:r>
      <w:proofErr w:type="gramStart"/>
      <w:r w:rsidRPr="00C259FD">
        <w:rPr>
          <w:rFonts w:ascii="黑体" w:eastAsia="黑体" w:hAnsi="黑体" w:cs="黑体"/>
          <w:spacing w:val="-6"/>
          <w:sz w:val="24"/>
          <w:szCs w:val="24"/>
          <w:lang w:eastAsia="zh-CN"/>
        </w:rPr>
        <w:t>2</w:t>
      </w:r>
      <w:proofErr w:type="gramEnd"/>
      <w:r w:rsidRPr="00C259FD">
        <w:rPr>
          <w:rFonts w:ascii="黑体" w:eastAsia="黑体" w:hAnsi="黑体" w:cs="黑体"/>
          <w:spacing w:val="-6"/>
          <w:sz w:val="24"/>
          <w:szCs w:val="24"/>
          <w:lang w:eastAsia="zh-CN"/>
        </w:rPr>
        <w:t>.62</w:t>
      </w:r>
      <w:r w:rsidRPr="00C259FD">
        <w:rPr>
          <w:rFonts w:ascii="黑体" w:eastAsia="黑体" w:hAnsi="黑体" w:cs="黑体" w:hint="eastAsia"/>
          <w:spacing w:val="-6"/>
          <w:sz w:val="24"/>
          <w:szCs w:val="24"/>
          <w:lang w:eastAsia="zh-CN"/>
        </w:rPr>
        <w:t>，其他类型基金的佣金费率不高于万分之</w:t>
      </w:r>
      <w:proofErr w:type="gramStart"/>
      <w:r w:rsidRPr="00C259FD">
        <w:rPr>
          <w:rFonts w:ascii="黑体" w:eastAsia="黑体" w:hAnsi="黑体" w:cs="黑体"/>
          <w:spacing w:val="-6"/>
          <w:sz w:val="24"/>
          <w:szCs w:val="24"/>
          <w:lang w:eastAsia="zh-CN"/>
        </w:rPr>
        <w:t>5</w:t>
      </w:r>
      <w:proofErr w:type="gramEnd"/>
      <w:r w:rsidRPr="00C259FD">
        <w:rPr>
          <w:rFonts w:ascii="黑体" w:eastAsia="黑体" w:hAnsi="黑体" w:cs="黑体"/>
          <w:spacing w:val="-6"/>
          <w:sz w:val="24"/>
          <w:szCs w:val="24"/>
          <w:lang w:eastAsia="zh-CN"/>
        </w:rPr>
        <w:t>.24</w:t>
      </w:r>
      <w:r w:rsidRPr="00C259FD">
        <w:rPr>
          <w:rFonts w:ascii="黑体" w:eastAsia="黑体" w:hAnsi="黑体" w:cs="黑体" w:hint="eastAsia"/>
          <w:spacing w:val="-6"/>
          <w:sz w:val="24"/>
          <w:szCs w:val="24"/>
          <w:lang w:eastAsia="zh-CN"/>
        </w:rPr>
        <w:t>。对于新增证券经纪商的股票交易佣金费率，直接适用前述标准。</w:t>
      </w:r>
    </w:p>
    <w:p w14:paraId="60FCB434" w14:textId="0FAAB434" w:rsidR="00961D07" w:rsidRPr="00616A31" w:rsidRDefault="00DC741B" w:rsidP="00F84E0A">
      <w:pPr>
        <w:pStyle w:val="a4"/>
        <w:numPr>
          <w:ilvl w:val="0"/>
          <w:numId w:val="8"/>
        </w:numPr>
        <w:spacing w:before="178" w:line="360" w:lineRule="auto"/>
        <w:ind w:left="777" w:hanging="357"/>
        <w:rPr>
          <w:rFonts w:ascii="黑体" w:eastAsia="黑体" w:hAnsi="黑体" w:cs="黑体"/>
          <w:spacing w:val="-6"/>
          <w:sz w:val="24"/>
          <w:szCs w:val="24"/>
          <w:lang w:eastAsia="zh-CN"/>
        </w:rPr>
      </w:pPr>
      <w:bookmarkStart w:id="4" w:name="_GoBack"/>
      <w:bookmarkEnd w:id="4"/>
      <w:r w:rsidRPr="00616A31">
        <w:rPr>
          <w:rFonts w:ascii="黑体" w:eastAsia="黑体" w:hAnsi="黑体" w:cs="黑体"/>
          <w:spacing w:val="-6"/>
          <w:sz w:val="24"/>
          <w:szCs w:val="24"/>
          <w:lang w:eastAsia="zh-CN"/>
        </w:rPr>
        <w:t>本公司对国泰君安证券股份有限公司的股票交易佣金费率为万分之</w:t>
      </w:r>
      <w:proofErr w:type="gramStart"/>
      <w:r w:rsidRPr="00616A31">
        <w:rPr>
          <w:rFonts w:ascii="黑体" w:eastAsia="黑体" w:hAnsi="黑体" w:cs="黑体"/>
          <w:spacing w:val="-6"/>
          <w:sz w:val="24"/>
          <w:szCs w:val="24"/>
          <w:lang w:eastAsia="zh-CN"/>
        </w:rPr>
        <w:t>5</w:t>
      </w:r>
      <w:proofErr w:type="gramEnd"/>
      <w:r w:rsidRPr="00616A31">
        <w:rPr>
          <w:rFonts w:ascii="黑体" w:eastAsia="黑体" w:hAnsi="黑体" w:cs="黑体"/>
          <w:spacing w:val="-6"/>
          <w:sz w:val="24"/>
          <w:szCs w:val="24"/>
          <w:lang w:eastAsia="zh-CN"/>
        </w:rPr>
        <w:t>，同时单笔交易佣金下限为5元人民币，部分基金因单笔交易金额偏小，如按万分之</w:t>
      </w:r>
      <w:proofErr w:type="gramStart"/>
      <w:r w:rsidRPr="00616A31">
        <w:rPr>
          <w:rFonts w:ascii="黑体" w:eastAsia="黑体" w:hAnsi="黑体" w:cs="黑体"/>
          <w:spacing w:val="-6"/>
          <w:sz w:val="24"/>
          <w:szCs w:val="24"/>
          <w:lang w:eastAsia="zh-CN"/>
        </w:rPr>
        <w:t>5</w:t>
      </w:r>
      <w:proofErr w:type="gramEnd"/>
      <w:r w:rsidRPr="00616A31">
        <w:rPr>
          <w:rFonts w:ascii="黑体" w:eastAsia="黑体" w:hAnsi="黑体" w:cs="黑体"/>
          <w:spacing w:val="-6"/>
          <w:sz w:val="24"/>
          <w:szCs w:val="24"/>
          <w:lang w:eastAsia="zh-CN"/>
        </w:rPr>
        <w:t>的费率计算低于下限5元人民币，</w:t>
      </w:r>
      <w:proofErr w:type="gramStart"/>
      <w:r w:rsidRPr="00616A31">
        <w:rPr>
          <w:rFonts w:ascii="黑体" w:eastAsia="黑体" w:hAnsi="黑体" w:cs="黑体"/>
          <w:spacing w:val="-6"/>
          <w:sz w:val="24"/>
          <w:szCs w:val="24"/>
          <w:lang w:eastAsia="zh-CN"/>
        </w:rPr>
        <w:t>然实际</w:t>
      </w:r>
      <w:proofErr w:type="gramEnd"/>
      <w:r w:rsidRPr="00616A31">
        <w:rPr>
          <w:rFonts w:ascii="黑体" w:eastAsia="黑体" w:hAnsi="黑体" w:cs="黑体"/>
          <w:spacing w:val="-6"/>
          <w:sz w:val="24"/>
          <w:szCs w:val="24"/>
          <w:lang w:eastAsia="zh-CN"/>
        </w:rPr>
        <w:t>支付金额为5元人民币，最终导致实际平均佣金费率高于万分之</w:t>
      </w:r>
      <w:proofErr w:type="gramStart"/>
      <w:r w:rsidRPr="00616A31">
        <w:rPr>
          <w:rFonts w:ascii="黑体" w:eastAsia="黑体" w:hAnsi="黑体" w:cs="黑体"/>
          <w:spacing w:val="-6"/>
          <w:sz w:val="24"/>
          <w:szCs w:val="24"/>
          <w:lang w:eastAsia="zh-CN"/>
        </w:rPr>
        <w:t>5</w:t>
      </w:r>
      <w:proofErr w:type="gramEnd"/>
      <w:r w:rsidRPr="00616A31">
        <w:rPr>
          <w:rFonts w:ascii="黑体" w:eastAsia="黑体" w:hAnsi="黑体" w:cs="黑体"/>
          <w:spacing w:val="-6"/>
          <w:sz w:val="24"/>
          <w:szCs w:val="24"/>
          <w:lang w:eastAsia="zh-CN"/>
        </w:rPr>
        <w:t>.24。</w:t>
      </w:r>
      <w:bookmarkStart w:id="5" w:name="bookmark7"/>
      <w:bookmarkStart w:id="6" w:name="bookmark8"/>
      <w:bookmarkStart w:id="7" w:name="bookmark5"/>
      <w:bookmarkStart w:id="8" w:name="bookmark9"/>
      <w:bookmarkStart w:id="9" w:name="bookmark6"/>
      <w:bookmarkEnd w:id="5"/>
      <w:bookmarkEnd w:id="6"/>
      <w:bookmarkEnd w:id="7"/>
      <w:bookmarkEnd w:id="8"/>
      <w:bookmarkEnd w:id="9"/>
    </w:p>
    <w:sectPr w:rsidR="00961D07" w:rsidRPr="00616A31">
      <w:footerReference w:type="default" r:id="rId10"/>
      <w:pgSz w:w="11906" w:h="16839"/>
      <w:pgMar w:top="1431" w:right="286" w:bottom="1410" w:left="285" w:header="0" w:footer="123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E842C9D" w14:textId="77777777" w:rsidR="00AB5839" w:rsidRDefault="00AB5839">
      <w:r>
        <w:separator/>
      </w:r>
    </w:p>
  </w:endnote>
  <w:endnote w:type="continuationSeparator" w:id="0">
    <w:p w14:paraId="25507AF7" w14:textId="77777777" w:rsidR="00AB5839" w:rsidRDefault="00AB58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3978A3" w14:textId="77777777" w:rsidR="003E5AC7" w:rsidRDefault="003E5AC7">
    <w:pPr>
      <w:spacing w:line="187" w:lineRule="auto"/>
      <w:ind w:left="5446"/>
      <w:rPr>
        <w:sz w:val="18"/>
        <w:szCs w:val="18"/>
      </w:rPr>
    </w:pPr>
    <w:r>
      <w:rPr>
        <w:sz w:val="18"/>
        <w:szCs w:val="18"/>
      </w:rPr>
      <w:t>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487FDC" w14:textId="77777777" w:rsidR="003E5AC7" w:rsidRDefault="003E5AC7">
    <w:pPr>
      <w:spacing w:line="189" w:lineRule="auto"/>
      <w:ind w:left="5624"/>
      <w:rPr>
        <w:sz w:val="18"/>
        <w:szCs w:val="18"/>
      </w:rPr>
    </w:pPr>
    <w:r>
      <w:rPr>
        <w:spacing w:val="1"/>
        <w:sz w:val="18"/>
        <w:szCs w:val="18"/>
      </w:rPr>
      <w:t>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E52E90A" w14:textId="77777777" w:rsidR="00AB5839" w:rsidRDefault="00AB5839">
      <w:r>
        <w:separator/>
      </w:r>
    </w:p>
  </w:footnote>
  <w:footnote w:type="continuationSeparator" w:id="0">
    <w:p w14:paraId="2E7804CF" w14:textId="77777777" w:rsidR="00AB5839" w:rsidRDefault="00AB583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28D92C8"/>
    <w:multiLevelType w:val="singleLevel"/>
    <w:tmpl w:val="B28D92C8"/>
    <w:lvl w:ilvl="0">
      <w:start w:val="1"/>
      <w:numFmt w:val="decimal"/>
      <w:suff w:val="nothing"/>
      <w:lvlText w:val="%1、"/>
      <w:lvlJc w:val="left"/>
    </w:lvl>
  </w:abstractNum>
  <w:abstractNum w:abstractNumId="1">
    <w:nsid w:val="B885FBC1"/>
    <w:multiLevelType w:val="singleLevel"/>
    <w:tmpl w:val="B885FBC1"/>
    <w:lvl w:ilvl="0">
      <w:start w:val="1"/>
      <w:numFmt w:val="decimal"/>
      <w:suff w:val="nothing"/>
      <w:lvlText w:val="%1、"/>
      <w:lvlJc w:val="left"/>
    </w:lvl>
  </w:abstractNum>
  <w:abstractNum w:abstractNumId="2">
    <w:nsid w:val="DA50073D"/>
    <w:multiLevelType w:val="singleLevel"/>
    <w:tmpl w:val="DA50073D"/>
    <w:lvl w:ilvl="0">
      <w:start w:val="1"/>
      <w:numFmt w:val="chineseCounting"/>
      <w:suff w:val="nothing"/>
      <w:lvlText w:val="（%1）"/>
      <w:lvlJc w:val="left"/>
      <w:pPr>
        <w:ind w:left="0" w:firstLine="420"/>
      </w:pPr>
      <w:rPr>
        <w:rFonts w:hint="eastAsia"/>
      </w:rPr>
    </w:lvl>
  </w:abstractNum>
  <w:abstractNum w:abstractNumId="3">
    <w:nsid w:val="E4E4C0BA"/>
    <w:multiLevelType w:val="singleLevel"/>
    <w:tmpl w:val="E4E4C0BA"/>
    <w:lvl w:ilvl="0">
      <w:start w:val="1"/>
      <w:numFmt w:val="decimal"/>
      <w:suff w:val="nothing"/>
      <w:lvlText w:val="%1、"/>
      <w:lvlJc w:val="left"/>
    </w:lvl>
  </w:abstractNum>
  <w:abstractNum w:abstractNumId="4">
    <w:nsid w:val="03AC10E2"/>
    <w:multiLevelType w:val="multilevel"/>
    <w:tmpl w:val="03AC10E2"/>
    <w:lvl w:ilvl="0">
      <w:start w:val="1"/>
      <w:numFmt w:val="decimal"/>
      <w:lvlText w:val="%1."/>
      <w:lvlJc w:val="left"/>
      <w:pPr>
        <w:ind w:left="785" w:hanging="360"/>
      </w:pPr>
      <w:rPr>
        <w:rFonts w:hint="default"/>
        <w:sz w:val="22"/>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nsid w:val="6E4064C0"/>
    <w:multiLevelType w:val="multilevel"/>
    <w:tmpl w:val="6E4064C0"/>
    <w:lvl w:ilvl="0">
      <w:start w:val="1"/>
      <w:numFmt w:val="decimal"/>
      <w:lvlText w:val="%1."/>
      <w:lvlJc w:val="left"/>
      <w:pPr>
        <w:ind w:left="778" w:hanging="360"/>
      </w:pPr>
      <w:rPr>
        <w:rFonts w:hint="default"/>
      </w:rPr>
    </w:lvl>
    <w:lvl w:ilvl="1">
      <w:start w:val="1"/>
      <w:numFmt w:val="lowerLetter"/>
      <w:lvlText w:val="%2)"/>
      <w:lvlJc w:val="left"/>
      <w:pPr>
        <w:ind w:left="1258" w:hanging="420"/>
      </w:pPr>
    </w:lvl>
    <w:lvl w:ilvl="2">
      <w:start w:val="1"/>
      <w:numFmt w:val="lowerRoman"/>
      <w:lvlText w:val="%3."/>
      <w:lvlJc w:val="right"/>
      <w:pPr>
        <w:ind w:left="1678" w:hanging="420"/>
      </w:pPr>
    </w:lvl>
    <w:lvl w:ilvl="3">
      <w:start w:val="1"/>
      <w:numFmt w:val="decimal"/>
      <w:lvlText w:val="%4."/>
      <w:lvlJc w:val="left"/>
      <w:pPr>
        <w:ind w:left="2098" w:hanging="420"/>
      </w:pPr>
    </w:lvl>
    <w:lvl w:ilvl="4">
      <w:start w:val="1"/>
      <w:numFmt w:val="lowerLetter"/>
      <w:lvlText w:val="%5)"/>
      <w:lvlJc w:val="left"/>
      <w:pPr>
        <w:ind w:left="2518" w:hanging="420"/>
      </w:pPr>
    </w:lvl>
    <w:lvl w:ilvl="5">
      <w:start w:val="1"/>
      <w:numFmt w:val="lowerRoman"/>
      <w:lvlText w:val="%6."/>
      <w:lvlJc w:val="right"/>
      <w:pPr>
        <w:ind w:left="2938" w:hanging="420"/>
      </w:pPr>
    </w:lvl>
    <w:lvl w:ilvl="6">
      <w:start w:val="1"/>
      <w:numFmt w:val="decimal"/>
      <w:lvlText w:val="%7."/>
      <w:lvlJc w:val="left"/>
      <w:pPr>
        <w:ind w:left="3358" w:hanging="420"/>
      </w:pPr>
    </w:lvl>
    <w:lvl w:ilvl="7">
      <w:start w:val="1"/>
      <w:numFmt w:val="lowerLetter"/>
      <w:lvlText w:val="%8)"/>
      <w:lvlJc w:val="left"/>
      <w:pPr>
        <w:ind w:left="3778" w:hanging="420"/>
      </w:pPr>
    </w:lvl>
    <w:lvl w:ilvl="8">
      <w:start w:val="1"/>
      <w:numFmt w:val="lowerRoman"/>
      <w:lvlText w:val="%9."/>
      <w:lvlJc w:val="right"/>
      <w:pPr>
        <w:ind w:left="4198" w:hanging="420"/>
      </w:pPr>
    </w:lvl>
  </w:abstractNum>
  <w:abstractNum w:abstractNumId="6">
    <w:nsid w:val="78DC525F"/>
    <w:multiLevelType w:val="multilevel"/>
    <w:tmpl w:val="78DC525F"/>
    <w:lvl w:ilvl="0">
      <w:start w:val="1"/>
      <w:numFmt w:val="decimal"/>
      <w:lvlText w:val="%1."/>
      <w:lvlJc w:val="left"/>
      <w:pPr>
        <w:ind w:left="927" w:hanging="360"/>
      </w:pPr>
      <w:rPr>
        <w:rFonts w:hint="default"/>
        <w:sz w:val="22"/>
        <w:szCs w:val="22"/>
      </w:r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abstractNum w:abstractNumId="7">
    <w:nsid w:val="7E3DB70E"/>
    <w:multiLevelType w:val="singleLevel"/>
    <w:tmpl w:val="7E3DB70E"/>
    <w:lvl w:ilvl="0">
      <w:start w:val="1"/>
      <w:numFmt w:val="chineseCounting"/>
      <w:suff w:val="nothing"/>
      <w:lvlText w:val="（%1）"/>
      <w:lvlJc w:val="left"/>
      <w:pPr>
        <w:ind w:left="0" w:firstLine="420"/>
      </w:pPr>
      <w:rPr>
        <w:rFonts w:hint="eastAsia"/>
      </w:rPr>
    </w:lvl>
  </w:abstractNum>
  <w:num w:numId="1">
    <w:abstractNumId w:val="7"/>
  </w:num>
  <w:num w:numId="2">
    <w:abstractNumId w:val="1"/>
  </w:num>
  <w:num w:numId="3">
    <w:abstractNumId w:val="0"/>
  </w:num>
  <w:num w:numId="4">
    <w:abstractNumId w:val="3"/>
  </w:num>
  <w:num w:numId="5">
    <w:abstractNumId w:val="2"/>
  </w:num>
  <w:num w:numId="6">
    <w:abstractNumId w:val="4"/>
  </w:num>
  <w:num w:numId="7">
    <w:abstractNumId w:val="6"/>
  </w:num>
  <w:num w:numId="8">
    <w:abstractNumId w:val="5"/>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钟津莹">
    <w15:presenceInfo w15:providerId="WPS Office" w15:userId="142306125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isplayBackgroundShape/>
  <w:bordersDoNotSurroundHeader/>
  <w:bordersDoNotSurroundFooter/>
  <w:proofState w:spelling="clean" w:grammar="clean"/>
  <w:defaultTabStop w:val="420"/>
  <w:noPunctuationKerning/>
  <w:characterSpacingControl w:val="doNotCompress"/>
  <w:hdrShapeDefaults>
    <o:shapedefaults v:ext="edit" spidmax="2049"/>
  </w:hdrShapeDefaults>
  <w:footnotePr>
    <w:footnote w:id="-1"/>
    <w:footnote w:id="0"/>
  </w:footnotePr>
  <w:endnotePr>
    <w:endnote w:id="-1"/>
    <w:endnote w:id="0"/>
  </w:endnotePr>
  <w:compat>
    <w:spaceForUL/>
    <w:ulTrailSpace/>
    <w:doNotExpandShiftReturn/>
    <w:doNotWrapTextWithPunct/>
    <w:doNotUseEastAsianBreakRules/>
    <w:useFELayout/>
    <w:doNotUseIndentAsNumberingTabStop/>
    <w:compatSetting w:name="compatibilityMode" w:uri="http://schemas.microsoft.com/office/word" w:val="14"/>
  </w:compat>
  <w:rsids>
    <w:rsidRoot w:val="0085396C"/>
    <w:rsid w:val="00065F93"/>
    <w:rsid w:val="00075F84"/>
    <w:rsid w:val="000D0EF5"/>
    <w:rsid w:val="000E4DA6"/>
    <w:rsid w:val="00110FA0"/>
    <w:rsid w:val="00141866"/>
    <w:rsid w:val="00146CEB"/>
    <w:rsid w:val="001473CD"/>
    <w:rsid w:val="00167015"/>
    <w:rsid w:val="00174A22"/>
    <w:rsid w:val="00193747"/>
    <w:rsid w:val="001A2BE1"/>
    <w:rsid w:val="001D5264"/>
    <w:rsid w:val="00206CCA"/>
    <w:rsid w:val="00224955"/>
    <w:rsid w:val="00254164"/>
    <w:rsid w:val="002A054B"/>
    <w:rsid w:val="002F1BF2"/>
    <w:rsid w:val="00305129"/>
    <w:rsid w:val="00325490"/>
    <w:rsid w:val="00391614"/>
    <w:rsid w:val="003E04D8"/>
    <w:rsid w:val="003E5AC7"/>
    <w:rsid w:val="00454597"/>
    <w:rsid w:val="004B0E65"/>
    <w:rsid w:val="004D6302"/>
    <w:rsid w:val="00513960"/>
    <w:rsid w:val="00566C8A"/>
    <w:rsid w:val="005C4D89"/>
    <w:rsid w:val="00616A31"/>
    <w:rsid w:val="00625E5A"/>
    <w:rsid w:val="006409FA"/>
    <w:rsid w:val="00660431"/>
    <w:rsid w:val="00697781"/>
    <w:rsid w:val="006C1B2D"/>
    <w:rsid w:val="006F5D6A"/>
    <w:rsid w:val="00742BB4"/>
    <w:rsid w:val="00757BC3"/>
    <w:rsid w:val="00782154"/>
    <w:rsid w:val="00787C27"/>
    <w:rsid w:val="0085396C"/>
    <w:rsid w:val="00896B3A"/>
    <w:rsid w:val="00896CDB"/>
    <w:rsid w:val="008E4641"/>
    <w:rsid w:val="00923E01"/>
    <w:rsid w:val="0093292C"/>
    <w:rsid w:val="00935EF5"/>
    <w:rsid w:val="00950C7E"/>
    <w:rsid w:val="0095205E"/>
    <w:rsid w:val="00961D07"/>
    <w:rsid w:val="00983A22"/>
    <w:rsid w:val="009E5C9D"/>
    <w:rsid w:val="009F2EBB"/>
    <w:rsid w:val="00A623EE"/>
    <w:rsid w:val="00A75074"/>
    <w:rsid w:val="00AB5839"/>
    <w:rsid w:val="00AB6D8F"/>
    <w:rsid w:val="00AF1585"/>
    <w:rsid w:val="00B32827"/>
    <w:rsid w:val="00B53F6A"/>
    <w:rsid w:val="00B85442"/>
    <w:rsid w:val="00C009EB"/>
    <w:rsid w:val="00C259FD"/>
    <w:rsid w:val="00C46BFF"/>
    <w:rsid w:val="00CB63E4"/>
    <w:rsid w:val="00CC1F47"/>
    <w:rsid w:val="00D14BB2"/>
    <w:rsid w:val="00D3415F"/>
    <w:rsid w:val="00D87CE6"/>
    <w:rsid w:val="00D907F7"/>
    <w:rsid w:val="00DB7788"/>
    <w:rsid w:val="00DC741B"/>
    <w:rsid w:val="00DD6196"/>
    <w:rsid w:val="00DE1ABC"/>
    <w:rsid w:val="00DE30B7"/>
    <w:rsid w:val="00E53852"/>
    <w:rsid w:val="00E57F99"/>
    <w:rsid w:val="00E608B3"/>
    <w:rsid w:val="00E96F9F"/>
    <w:rsid w:val="00EA3D5D"/>
    <w:rsid w:val="00F84E0A"/>
    <w:rsid w:val="00FC5ACE"/>
    <w:rsid w:val="06742859"/>
    <w:rsid w:val="0DEC03ED"/>
    <w:rsid w:val="130D3C66"/>
    <w:rsid w:val="136C4E31"/>
    <w:rsid w:val="18214D25"/>
    <w:rsid w:val="287C3D75"/>
    <w:rsid w:val="3F7D4BFA"/>
    <w:rsid w:val="40B13F43"/>
    <w:rsid w:val="49B5429A"/>
    <w:rsid w:val="53814457"/>
    <w:rsid w:val="5A3D61AC"/>
    <w:rsid w:val="6BEF1229"/>
    <w:rsid w:val="7EEC1D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semiHidden="0" w:unhideWhenUsed="0" w:qFormat="1"/>
    <w:lsdException w:name="header" w:semiHidden="0" w:unhideWhenUsed="0" w:qFormat="1"/>
    <w:lsdException w:name="footer" w:semiHidden="0" w:unhideWhenUsed="0" w:qFormat="1"/>
    <w:lsdException w:name="caption" w:qFormat="1"/>
    <w:lsdException w:name="annotation reference" w:semiHidden="0" w:unhideWhenUsed="0" w:qFormat="1"/>
    <w:lsdException w:name="endnote reference" w:qFormat="1"/>
    <w:lsdException w:name="endnote text"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qFormat="1"/>
    <w:lsdException w:name="annotation subject" w:semiHidden="0" w:unhideWhenUsed="0"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semiHidden/>
    <w:qFormat/>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style>
  <w:style w:type="paragraph" w:styleId="a4">
    <w:name w:val="Body Text"/>
    <w:basedOn w:val="a"/>
    <w:semiHidden/>
    <w:qFormat/>
    <w:rPr>
      <w:rFonts w:ascii="微软雅黑" w:eastAsia="微软雅黑" w:hAnsi="微软雅黑" w:cs="微软雅黑"/>
      <w:sz w:val="18"/>
      <w:szCs w:val="18"/>
    </w:rPr>
  </w:style>
  <w:style w:type="paragraph" w:styleId="a5">
    <w:name w:val="endnote text"/>
    <w:basedOn w:val="a"/>
    <w:link w:val="Char0"/>
    <w:semiHidden/>
    <w:unhideWhenUsed/>
    <w:qFormat/>
  </w:style>
  <w:style w:type="paragraph" w:styleId="a6">
    <w:name w:val="Balloon Text"/>
    <w:basedOn w:val="a"/>
    <w:link w:val="Char1"/>
    <w:qFormat/>
    <w:rPr>
      <w:sz w:val="18"/>
      <w:szCs w:val="18"/>
    </w:rPr>
  </w:style>
  <w:style w:type="paragraph" w:styleId="a7">
    <w:name w:val="footer"/>
    <w:basedOn w:val="a"/>
    <w:link w:val="Char2"/>
    <w:qFormat/>
    <w:pPr>
      <w:tabs>
        <w:tab w:val="center" w:pos="4153"/>
        <w:tab w:val="right" w:pos="8306"/>
      </w:tabs>
    </w:pPr>
    <w:rPr>
      <w:sz w:val="18"/>
      <w:szCs w:val="18"/>
    </w:rPr>
  </w:style>
  <w:style w:type="paragraph" w:styleId="a8">
    <w:name w:val="header"/>
    <w:basedOn w:val="a"/>
    <w:link w:val="Char3"/>
    <w:qFormat/>
    <w:pPr>
      <w:pBdr>
        <w:bottom w:val="single" w:sz="6" w:space="1" w:color="auto"/>
      </w:pBdr>
      <w:tabs>
        <w:tab w:val="center" w:pos="4153"/>
        <w:tab w:val="right" w:pos="8306"/>
      </w:tabs>
      <w:jc w:val="center"/>
    </w:pPr>
    <w:rPr>
      <w:sz w:val="18"/>
      <w:szCs w:val="18"/>
    </w:rPr>
  </w:style>
  <w:style w:type="paragraph" w:styleId="a9">
    <w:name w:val="annotation subject"/>
    <w:basedOn w:val="a3"/>
    <w:next w:val="a3"/>
    <w:link w:val="Char4"/>
    <w:qFormat/>
    <w:rPr>
      <w:b/>
      <w:bCs/>
    </w:rPr>
  </w:style>
  <w:style w:type="character" w:styleId="aa">
    <w:name w:val="endnote reference"/>
    <w:basedOn w:val="a0"/>
    <w:semiHidden/>
    <w:unhideWhenUsed/>
    <w:qFormat/>
    <w:rPr>
      <w:vertAlign w:val="superscript"/>
    </w:rPr>
  </w:style>
  <w:style w:type="character" w:styleId="ab">
    <w:name w:val="annotation reference"/>
    <w:basedOn w:val="a0"/>
    <w:qFormat/>
    <w:rPr>
      <w:sz w:val="21"/>
      <w:szCs w:val="21"/>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TableText">
    <w:name w:val="Table Text"/>
    <w:basedOn w:val="a"/>
    <w:semiHidden/>
    <w:qFormat/>
  </w:style>
  <w:style w:type="paragraph" w:customStyle="1" w:styleId="msonormalnone">
    <w:name w:val="msonormal_none"/>
    <w:qFormat/>
    <w:pPr>
      <w:widowControl w:val="0"/>
      <w:autoSpaceDE w:val="0"/>
      <w:autoSpaceDN w:val="0"/>
      <w:adjustRightInd w:val="0"/>
    </w:pPr>
    <w:rPr>
      <w:rFonts w:ascii="Calibri" w:hAnsi="Calibri"/>
      <w:kern w:val="2"/>
      <w:sz w:val="21"/>
      <w:szCs w:val="22"/>
    </w:rPr>
  </w:style>
  <w:style w:type="paragraph" w:customStyle="1" w:styleId="msonormalfy">
    <w:name w:val="msonormalfy"/>
    <w:qFormat/>
    <w:pPr>
      <w:widowControl w:val="0"/>
      <w:autoSpaceDE w:val="0"/>
      <w:autoSpaceDN w:val="0"/>
      <w:adjustRightInd w:val="0"/>
      <w:jc w:val="center"/>
    </w:pPr>
    <w:rPr>
      <w:rFonts w:ascii="Calibri" w:hAnsi="Calibri"/>
      <w:kern w:val="2"/>
      <w:sz w:val="33"/>
      <w:szCs w:val="22"/>
    </w:rPr>
  </w:style>
  <w:style w:type="paragraph" w:customStyle="1" w:styleId="biaogeleft">
    <w:name w:val="biaoge_left"/>
    <w:basedOn w:val="a"/>
    <w:qFormat/>
    <w:pPr>
      <w:kinsoku/>
      <w:snapToGrid/>
      <w:spacing w:line="288" w:lineRule="auto"/>
      <w:textAlignment w:val="auto"/>
    </w:pPr>
    <w:rPr>
      <w:rFonts w:ascii="Times New Roman" w:eastAsia="宋体" w:hAnsi="Times New Roman" w:cs="Times New Roman"/>
      <w:snapToGrid/>
      <w:color w:val="auto"/>
      <w:sz w:val="24"/>
      <w:szCs w:val="24"/>
      <w:lang w:eastAsia="zh-CN"/>
    </w:rPr>
  </w:style>
  <w:style w:type="paragraph" w:customStyle="1" w:styleId="biaogecenter">
    <w:name w:val="biaoge_center"/>
    <w:basedOn w:val="a"/>
    <w:qFormat/>
    <w:pPr>
      <w:kinsoku/>
      <w:snapToGrid/>
      <w:spacing w:line="288" w:lineRule="auto"/>
      <w:jc w:val="center"/>
      <w:textAlignment w:val="auto"/>
    </w:pPr>
    <w:rPr>
      <w:rFonts w:ascii="Times New Roman" w:eastAsia="宋体" w:hAnsi="Times New Roman" w:cs="Times New Roman"/>
      <w:snapToGrid/>
      <w:color w:val="auto"/>
      <w:sz w:val="24"/>
      <w:szCs w:val="24"/>
      <w:lang w:eastAsia="zh-CN"/>
    </w:rPr>
  </w:style>
  <w:style w:type="paragraph" w:customStyle="1" w:styleId="biaogeright">
    <w:name w:val="biaoge_right"/>
    <w:basedOn w:val="a"/>
    <w:qFormat/>
    <w:pPr>
      <w:kinsoku/>
      <w:snapToGrid/>
      <w:spacing w:line="288" w:lineRule="auto"/>
      <w:jc w:val="right"/>
      <w:textAlignment w:val="auto"/>
    </w:pPr>
    <w:rPr>
      <w:rFonts w:ascii="Times New Roman" w:eastAsia="宋体" w:hAnsi="Times New Roman" w:cs="Times New Roman"/>
      <w:snapToGrid/>
      <w:color w:val="auto"/>
      <w:sz w:val="24"/>
      <w:szCs w:val="24"/>
      <w:lang w:eastAsia="zh-CN"/>
    </w:rPr>
  </w:style>
  <w:style w:type="paragraph" w:customStyle="1" w:styleId="biaogeunit">
    <w:name w:val="biaoge_unit"/>
    <w:basedOn w:val="a"/>
    <w:qFormat/>
    <w:pPr>
      <w:kinsoku/>
      <w:snapToGrid/>
      <w:spacing w:line="288" w:lineRule="auto"/>
      <w:jc w:val="right"/>
      <w:textAlignment w:val="auto"/>
    </w:pPr>
    <w:rPr>
      <w:rFonts w:ascii="Times New Roman" w:eastAsia="宋体" w:hAnsi="Times New Roman" w:cs="Times New Roman"/>
      <w:b/>
      <w:bCs/>
      <w:snapToGrid/>
      <w:color w:val="auto"/>
      <w:sz w:val="24"/>
      <w:szCs w:val="24"/>
      <w:lang w:eastAsia="zh-CN"/>
    </w:rPr>
  </w:style>
  <w:style w:type="character" w:customStyle="1" w:styleId="Char3">
    <w:name w:val="页眉 Char"/>
    <w:basedOn w:val="a0"/>
    <w:link w:val="a8"/>
    <w:qFormat/>
    <w:rPr>
      <w:rFonts w:ascii="Arial" w:eastAsia="Arial" w:hAnsi="Arial" w:cs="Arial"/>
      <w:snapToGrid w:val="0"/>
      <w:color w:val="000000"/>
      <w:sz w:val="18"/>
      <w:szCs w:val="18"/>
      <w:lang w:eastAsia="en-US"/>
    </w:rPr>
  </w:style>
  <w:style w:type="character" w:customStyle="1" w:styleId="Char2">
    <w:name w:val="页脚 Char"/>
    <w:basedOn w:val="a0"/>
    <w:link w:val="a7"/>
    <w:qFormat/>
    <w:rPr>
      <w:rFonts w:ascii="Arial" w:eastAsia="Arial" w:hAnsi="Arial" w:cs="Arial"/>
      <w:snapToGrid w:val="0"/>
      <w:color w:val="000000"/>
      <w:sz w:val="18"/>
      <w:szCs w:val="18"/>
      <w:lang w:eastAsia="en-US"/>
    </w:rPr>
  </w:style>
  <w:style w:type="character" w:customStyle="1" w:styleId="Char1">
    <w:name w:val="批注框文本 Char"/>
    <w:basedOn w:val="a0"/>
    <w:link w:val="a6"/>
    <w:qFormat/>
    <w:rPr>
      <w:rFonts w:ascii="Arial" w:eastAsia="Arial" w:hAnsi="Arial" w:cs="Arial"/>
      <w:snapToGrid w:val="0"/>
      <w:color w:val="000000"/>
      <w:sz w:val="18"/>
      <w:szCs w:val="18"/>
      <w:lang w:eastAsia="en-US"/>
    </w:rPr>
  </w:style>
  <w:style w:type="character" w:customStyle="1" w:styleId="Char">
    <w:name w:val="批注文字 Char"/>
    <w:basedOn w:val="a0"/>
    <w:link w:val="a3"/>
    <w:qFormat/>
    <w:rPr>
      <w:rFonts w:ascii="Arial" w:eastAsia="Arial" w:hAnsi="Arial" w:cs="Arial"/>
      <w:snapToGrid w:val="0"/>
      <w:color w:val="000000"/>
      <w:sz w:val="21"/>
      <w:szCs w:val="21"/>
      <w:lang w:eastAsia="en-US"/>
    </w:rPr>
  </w:style>
  <w:style w:type="character" w:customStyle="1" w:styleId="Char4">
    <w:name w:val="批注主题 Char"/>
    <w:basedOn w:val="Char"/>
    <w:link w:val="a9"/>
    <w:qFormat/>
    <w:rPr>
      <w:rFonts w:ascii="Arial" w:eastAsia="Arial" w:hAnsi="Arial" w:cs="Arial"/>
      <w:b/>
      <w:bCs/>
      <w:snapToGrid w:val="0"/>
      <w:color w:val="000000"/>
      <w:sz w:val="21"/>
      <w:szCs w:val="21"/>
      <w:lang w:eastAsia="en-US"/>
    </w:rPr>
  </w:style>
  <w:style w:type="character" w:customStyle="1" w:styleId="Char0">
    <w:name w:val="尾注文本 Char"/>
    <w:basedOn w:val="a0"/>
    <w:link w:val="a5"/>
    <w:semiHidden/>
    <w:qFormat/>
    <w:rPr>
      <w:rFonts w:ascii="Arial" w:eastAsia="Arial" w:hAnsi="Arial" w:cs="Arial"/>
      <w:snapToGrid w:val="0"/>
      <w:color w:val="000000"/>
      <w:sz w:val="21"/>
      <w:szCs w:val="21"/>
      <w:lang w:eastAsia="en-US"/>
    </w:rPr>
  </w:style>
  <w:style w:type="paragraph" w:customStyle="1" w:styleId="1">
    <w:name w:val="修订1"/>
    <w:hidden/>
    <w:uiPriority w:val="99"/>
    <w:semiHidden/>
    <w:qFormat/>
    <w:rPr>
      <w:rFonts w:ascii="Arial" w:eastAsia="Arial" w:hAnsi="Arial" w:cs="Arial"/>
      <w:snapToGrid w:val="0"/>
      <w:color w:val="000000"/>
      <w:sz w:val="21"/>
      <w:szCs w:val="21"/>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semiHidden="0" w:unhideWhenUsed="0" w:qFormat="1"/>
    <w:lsdException w:name="header" w:semiHidden="0" w:unhideWhenUsed="0" w:qFormat="1"/>
    <w:lsdException w:name="footer" w:semiHidden="0" w:unhideWhenUsed="0" w:qFormat="1"/>
    <w:lsdException w:name="caption" w:qFormat="1"/>
    <w:lsdException w:name="annotation reference" w:semiHidden="0" w:unhideWhenUsed="0" w:qFormat="1"/>
    <w:lsdException w:name="endnote reference" w:qFormat="1"/>
    <w:lsdException w:name="endnote text"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qFormat="1"/>
    <w:lsdException w:name="annotation subject" w:semiHidden="0" w:unhideWhenUsed="0"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semiHidden/>
    <w:qFormat/>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style>
  <w:style w:type="paragraph" w:styleId="a4">
    <w:name w:val="Body Text"/>
    <w:basedOn w:val="a"/>
    <w:semiHidden/>
    <w:qFormat/>
    <w:rPr>
      <w:rFonts w:ascii="微软雅黑" w:eastAsia="微软雅黑" w:hAnsi="微软雅黑" w:cs="微软雅黑"/>
      <w:sz w:val="18"/>
      <w:szCs w:val="18"/>
    </w:rPr>
  </w:style>
  <w:style w:type="paragraph" w:styleId="a5">
    <w:name w:val="endnote text"/>
    <w:basedOn w:val="a"/>
    <w:link w:val="Char0"/>
    <w:semiHidden/>
    <w:unhideWhenUsed/>
    <w:qFormat/>
  </w:style>
  <w:style w:type="paragraph" w:styleId="a6">
    <w:name w:val="Balloon Text"/>
    <w:basedOn w:val="a"/>
    <w:link w:val="Char1"/>
    <w:qFormat/>
    <w:rPr>
      <w:sz w:val="18"/>
      <w:szCs w:val="18"/>
    </w:rPr>
  </w:style>
  <w:style w:type="paragraph" w:styleId="a7">
    <w:name w:val="footer"/>
    <w:basedOn w:val="a"/>
    <w:link w:val="Char2"/>
    <w:qFormat/>
    <w:pPr>
      <w:tabs>
        <w:tab w:val="center" w:pos="4153"/>
        <w:tab w:val="right" w:pos="8306"/>
      </w:tabs>
    </w:pPr>
    <w:rPr>
      <w:sz w:val="18"/>
      <w:szCs w:val="18"/>
    </w:rPr>
  </w:style>
  <w:style w:type="paragraph" w:styleId="a8">
    <w:name w:val="header"/>
    <w:basedOn w:val="a"/>
    <w:link w:val="Char3"/>
    <w:qFormat/>
    <w:pPr>
      <w:pBdr>
        <w:bottom w:val="single" w:sz="6" w:space="1" w:color="auto"/>
      </w:pBdr>
      <w:tabs>
        <w:tab w:val="center" w:pos="4153"/>
        <w:tab w:val="right" w:pos="8306"/>
      </w:tabs>
      <w:jc w:val="center"/>
    </w:pPr>
    <w:rPr>
      <w:sz w:val="18"/>
      <w:szCs w:val="18"/>
    </w:rPr>
  </w:style>
  <w:style w:type="paragraph" w:styleId="a9">
    <w:name w:val="annotation subject"/>
    <w:basedOn w:val="a3"/>
    <w:next w:val="a3"/>
    <w:link w:val="Char4"/>
    <w:qFormat/>
    <w:rPr>
      <w:b/>
      <w:bCs/>
    </w:rPr>
  </w:style>
  <w:style w:type="character" w:styleId="aa">
    <w:name w:val="endnote reference"/>
    <w:basedOn w:val="a0"/>
    <w:semiHidden/>
    <w:unhideWhenUsed/>
    <w:qFormat/>
    <w:rPr>
      <w:vertAlign w:val="superscript"/>
    </w:rPr>
  </w:style>
  <w:style w:type="character" w:styleId="ab">
    <w:name w:val="annotation reference"/>
    <w:basedOn w:val="a0"/>
    <w:qFormat/>
    <w:rPr>
      <w:sz w:val="21"/>
      <w:szCs w:val="21"/>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TableText">
    <w:name w:val="Table Text"/>
    <w:basedOn w:val="a"/>
    <w:semiHidden/>
    <w:qFormat/>
  </w:style>
  <w:style w:type="paragraph" w:customStyle="1" w:styleId="msonormalnone">
    <w:name w:val="msonormal_none"/>
    <w:qFormat/>
    <w:pPr>
      <w:widowControl w:val="0"/>
      <w:autoSpaceDE w:val="0"/>
      <w:autoSpaceDN w:val="0"/>
      <w:adjustRightInd w:val="0"/>
    </w:pPr>
    <w:rPr>
      <w:rFonts w:ascii="Calibri" w:hAnsi="Calibri"/>
      <w:kern w:val="2"/>
      <w:sz w:val="21"/>
      <w:szCs w:val="22"/>
    </w:rPr>
  </w:style>
  <w:style w:type="paragraph" w:customStyle="1" w:styleId="msonormalfy">
    <w:name w:val="msonormalfy"/>
    <w:qFormat/>
    <w:pPr>
      <w:widowControl w:val="0"/>
      <w:autoSpaceDE w:val="0"/>
      <w:autoSpaceDN w:val="0"/>
      <w:adjustRightInd w:val="0"/>
      <w:jc w:val="center"/>
    </w:pPr>
    <w:rPr>
      <w:rFonts w:ascii="Calibri" w:hAnsi="Calibri"/>
      <w:kern w:val="2"/>
      <w:sz w:val="33"/>
      <w:szCs w:val="22"/>
    </w:rPr>
  </w:style>
  <w:style w:type="paragraph" w:customStyle="1" w:styleId="biaogeleft">
    <w:name w:val="biaoge_left"/>
    <w:basedOn w:val="a"/>
    <w:qFormat/>
    <w:pPr>
      <w:kinsoku/>
      <w:snapToGrid/>
      <w:spacing w:line="288" w:lineRule="auto"/>
      <w:textAlignment w:val="auto"/>
    </w:pPr>
    <w:rPr>
      <w:rFonts w:ascii="Times New Roman" w:eastAsia="宋体" w:hAnsi="Times New Roman" w:cs="Times New Roman"/>
      <w:snapToGrid/>
      <w:color w:val="auto"/>
      <w:sz w:val="24"/>
      <w:szCs w:val="24"/>
      <w:lang w:eastAsia="zh-CN"/>
    </w:rPr>
  </w:style>
  <w:style w:type="paragraph" w:customStyle="1" w:styleId="biaogecenter">
    <w:name w:val="biaoge_center"/>
    <w:basedOn w:val="a"/>
    <w:qFormat/>
    <w:pPr>
      <w:kinsoku/>
      <w:snapToGrid/>
      <w:spacing w:line="288" w:lineRule="auto"/>
      <w:jc w:val="center"/>
      <w:textAlignment w:val="auto"/>
    </w:pPr>
    <w:rPr>
      <w:rFonts w:ascii="Times New Roman" w:eastAsia="宋体" w:hAnsi="Times New Roman" w:cs="Times New Roman"/>
      <w:snapToGrid/>
      <w:color w:val="auto"/>
      <w:sz w:val="24"/>
      <w:szCs w:val="24"/>
      <w:lang w:eastAsia="zh-CN"/>
    </w:rPr>
  </w:style>
  <w:style w:type="paragraph" w:customStyle="1" w:styleId="biaogeright">
    <w:name w:val="biaoge_right"/>
    <w:basedOn w:val="a"/>
    <w:qFormat/>
    <w:pPr>
      <w:kinsoku/>
      <w:snapToGrid/>
      <w:spacing w:line="288" w:lineRule="auto"/>
      <w:jc w:val="right"/>
      <w:textAlignment w:val="auto"/>
    </w:pPr>
    <w:rPr>
      <w:rFonts w:ascii="Times New Roman" w:eastAsia="宋体" w:hAnsi="Times New Roman" w:cs="Times New Roman"/>
      <w:snapToGrid/>
      <w:color w:val="auto"/>
      <w:sz w:val="24"/>
      <w:szCs w:val="24"/>
      <w:lang w:eastAsia="zh-CN"/>
    </w:rPr>
  </w:style>
  <w:style w:type="paragraph" w:customStyle="1" w:styleId="biaogeunit">
    <w:name w:val="biaoge_unit"/>
    <w:basedOn w:val="a"/>
    <w:qFormat/>
    <w:pPr>
      <w:kinsoku/>
      <w:snapToGrid/>
      <w:spacing w:line="288" w:lineRule="auto"/>
      <w:jc w:val="right"/>
      <w:textAlignment w:val="auto"/>
    </w:pPr>
    <w:rPr>
      <w:rFonts w:ascii="Times New Roman" w:eastAsia="宋体" w:hAnsi="Times New Roman" w:cs="Times New Roman"/>
      <w:b/>
      <w:bCs/>
      <w:snapToGrid/>
      <w:color w:val="auto"/>
      <w:sz w:val="24"/>
      <w:szCs w:val="24"/>
      <w:lang w:eastAsia="zh-CN"/>
    </w:rPr>
  </w:style>
  <w:style w:type="character" w:customStyle="1" w:styleId="Char3">
    <w:name w:val="页眉 Char"/>
    <w:basedOn w:val="a0"/>
    <w:link w:val="a8"/>
    <w:qFormat/>
    <w:rPr>
      <w:rFonts w:ascii="Arial" w:eastAsia="Arial" w:hAnsi="Arial" w:cs="Arial"/>
      <w:snapToGrid w:val="0"/>
      <w:color w:val="000000"/>
      <w:sz w:val="18"/>
      <w:szCs w:val="18"/>
      <w:lang w:eastAsia="en-US"/>
    </w:rPr>
  </w:style>
  <w:style w:type="character" w:customStyle="1" w:styleId="Char2">
    <w:name w:val="页脚 Char"/>
    <w:basedOn w:val="a0"/>
    <w:link w:val="a7"/>
    <w:qFormat/>
    <w:rPr>
      <w:rFonts w:ascii="Arial" w:eastAsia="Arial" w:hAnsi="Arial" w:cs="Arial"/>
      <w:snapToGrid w:val="0"/>
      <w:color w:val="000000"/>
      <w:sz w:val="18"/>
      <w:szCs w:val="18"/>
      <w:lang w:eastAsia="en-US"/>
    </w:rPr>
  </w:style>
  <w:style w:type="character" w:customStyle="1" w:styleId="Char1">
    <w:name w:val="批注框文本 Char"/>
    <w:basedOn w:val="a0"/>
    <w:link w:val="a6"/>
    <w:qFormat/>
    <w:rPr>
      <w:rFonts w:ascii="Arial" w:eastAsia="Arial" w:hAnsi="Arial" w:cs="Arial"/>
      <w:snapToGrid w:val="0"/>
      <w:color w:val="000000"/>
      <w:sz w:val="18"/>
      <w:szCs w:val="18"/>
      <w:lang w:eastAsia="en-US"/>
    </w:rPr>
  </w:style>
  <w:style w:type="character" w:customStyle="1" w:styleId="Char">
    <w:name w:val="批注文字 Char"/>
    <w:basedOn w:val="a0"/>
    <w:link w:val="a3"/>
    <w:qFormat/>
    <w:rPr>
      <w:rFonts w:ascii="Arial" w:eastAsia="Arial" w:hAnsi="Arial" w:cs="Arial"/>
      <w:snapToGrid w:val="0"/>
      <w:color w:val="000000"/>
      <w:sz w:val="21"/>
      <w:szCs w:val="21"/>
      <w:lang w:eastAsia="en-US"/>
    </w:rPr>
  </w:style>
  <w:style w:type="character" w:customStyle="1" w:styleId="Char4">
    <w:name w:val="批注主题 Char"/>
    <w:basedOn w:val="Char"/>
    <w:link w:val="a9"/>
    <w:qFormat/>
    <w:rPr>
      <w:rFonts w:ascii="Arial" w:eastAsia="Arial" w:hAnsi="Arial" w:cs="Arial"/>
      <w:b/>
      <w:bCs/>
      <w:snapToGrid w:val="0"/>
      <w:color w:val="000000"/>
      <w:sz w:val="21"/>
      <w:szCs w:val="21"/>
      <w:lang w:eastAsia="en-US"/>
    </w:rPr>
  </w:style>
  <w:style w:type="character" w:customStyle="1" w:styleId="Char0">
    <w:name w:val="尾注文本 Char"/>
    <w:basedOn w:val="a0"/>
    <w:link w:val="a5"/>
    <w:semiHidden/>
    <w:qFormat/>
    <w:rPr>
      <w:rFonts w:ascii="Arial" w:eastAsia="Arial" w:hAnsi="Arial" w:cs="Arial"/>
      <w:snapToGrid w:val="0"/>
      <w:color w:val="000000"/>
      <w:sz w:val="21"/>
      <w:szCs w:val="21"/>
      <w:lang w:eastAsia="en-US"/>
    </w:rPr>
  </w:style>
  <w:style w:type="paragraph" w:customStyle="1" w:styleId="1">
    <w:name w:val="修订1"/>
    <w:hidden/>
    <w:uiPriority w:val="99"/>
    <w:semiHidden/>
    <w:qFormat/>
    <w:rPr>
      <w:rFonts w:ascii="Arial" w:eastAsia="Arial" w:hAnsi="Arial" w:cs="Arial"/>
      <w:snapToGrid w:val="0"/>
      <w:color w:val="000000"/>
      <w:sz w:val="21"/>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7C0157-9D83-4C59-898D-4C6814C27E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277</TotalTime>
  <Pages>6</Pages>
  <Words>1671</Words>
  <Characters>2324</Characters>
  <Application>Microsoft Office Word</Application>
  <DocSecurity>0</DocSecurity>
  <Lines>464</Lines>
  <Paragraphs>570</Paragraphs>
  <ScaleCrop>false</ScaleCrop>
  <Company/>
  <LinksUpToDate>false</LinksUpToDate>
  <CharactersWithSpaces>3425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罗晨</dc:creator>
  <cp:lastModifiedBy>zero</cp:lastModifiedBy>
  <cp:revision>16</cp:revision>
  <dcterms:created xsi:type="dcterms:W3CDTF">2025-03-28T00:32:00Z</dcterms:created>
  <dcterms:modified xsi:type="dcterms:W3CDTF">2025-03-28T06:23:00Z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2025-02-27T14:19:21Z</vt:filetime>
  </property>
  <property fmtid="{D5CDD505-2E9C-101B-9397-08002B2CF9AE}" pid="4" name="KSOTemplateDocerSaveRecord">
    <vt:lpwstr>eyJoZGlkIjoiZGI5ZTljYTEyZDgyYzM3MmUyNGRmNGJkZmU3OTdiYzkiLCJ1c2VySWQiOiIyODI1MDYxODgifQ==</vt:lpwstr>
  </property>
  <property fmtid="{D5CDD505-2E9C-101B-9397-08002B2CF9AE}" pid="5" name="KSOProductBuildVer">
    <vt:lpwstr>2052-12.1.0.20305</vt:lpwstr>
  </property>
  <property fmtid="{D5CDD505-2E9C-101B-9397-08002B2CF9AE}" pid="6" name="ICV">
    <vt:lpwstr>766E23E7D8FA4EF2852CF61FCA40EBDA_13</vt:lpwstr>
  </property>
</Properties>
</file>