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6AA024" w14:textId="77777777" w:rsidR="0066529D" w:rsidRDefault="0066529D">
      <w:pPr>
        <w:pStyle w:val="af4"/>
      </w:pPr>
    </w:p>
    <w:p w14:paraId="1F8E4E83" w14:textId="77777777" w:rsidR="0066529D" w:rsidRDefault="0066529D">
      <w:pPr>
        <w:spacing w:line="360" w:lineRule="auto"/>
        <w:jc w:val="center"/>
        <w:rPr>
          <w:rFonts w:asciiTheme="minorEastAsia" w:hAnsiTheme="minorEastAsia" w:cs="Times New Roman" w:hint="eastAsia"/>
          <w:b/>
          <w:sz w:val="48"/>
          <w:szCs w:val="48"/>
        </w:rPr>
      </w:pPr>
    </w:p>
    <w:p w14:paraId="3166AB5E" w14:textId="77777777" w:rsidR="0066529D" w:rsidRDefault="0066529D">
      <w:pPr>
        <w:adjustRightInd w:val="0"/>
        <w:snapToGrid w:val="0"/>
        <w:spacing w:line="360" w:lineRule="auto"/>
        <w:jc w:val="center"/>
        <w:rPr>
          <w:rFonts w:asciiTheme="minorEastAsia" w:hAnsiTheme="minorEastAsia" w:cs="Arial" w:hint="eastAsia"/>
          <w:sz w:val="48"/>
          <w:szCs w:val="48"/>
        </w:rPr>
      </w:pPr>
      <w:bookmarkStart w:id="0" w:name="_Toc123112266"/>
      <w:bookmarkStart w:id="1" w:name="_Toc123701386"/>
      <w:bookmarkStart w:id="2" w:name="_Toc123112227"/>
      <w:bookmarkStart w:id="3" w:name="_Toc139991729"/>
    </w:p>
    <w:p w14:paraId="4AC8FC54" w14:textId="77777777" w:rsidR="0066529D" w:rsidRDefault="00A901FF">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富荣福康混合型证券投资基金</w:t>
      </w:r>
    </w:p>
    <w:p w14:paraId="1B8511C9" w14:textId="77777777" w:rsidR="0066529D" w:rsidRDefault="00A901FF">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更新的招募说明书</w:t>
      </w:r>
    </w:p>
    <w:p w14:paraId="5B081BBE" w14:textId="697F6F80" w:rsidR="0066529D" w:rsidRDefault="00A901FF">
      <w:pPr>
        <w:adjustRightInd w:val="0"/>
        <w:snapToGrid w:val="0"/>
        <w:spacing w:line="360" w:lineRule="auto"/>
        <w:jc w:val="center"/>
        <w:rPr>
          <w:rFonts w:asciiTheme="minorEastAsia" w:hAnsiTheme="minorEastAsia" w:cs="Arial" w:hint="eastAsia"/>
          <w:b/>
          <w:sz w:val="48"/>
          <w:szCs w:val="48"/>
        </w:rPr>
      </w:pPr>
      <w:r>
        <w:rPr>
          <w:rFonts w:asciiTheme="minorEastAsia" w:hAnsiTheme="minorEastAsia" w:cs="Arial" w:hint="eastAsia"/>
          <w:b/>
          <w:sz w:val="48"/>
          <w:szCs w:val="48"/>
        </w:rPr>
        <w:t>（2025年第1号）</w:t>
      </w:r>
    </w:p>
    <w:p w14:paraId="611D2C0D" w14:textId="77777777" w:rsidR="0066529D" w:rsidRDefault="0066529D">
      <w:pPr>
        <w:adjustRightInd w:val="0"/>
        <w:snapToGrid w:val="0"/>
        <w:spacing w:line="360" w:lineRule="auto"/>
        <w:jc w:val="center"/>
        <w:rPr>
          <w:rFonts w:asciiTheme="minorEastAsia" w:hAnsiTheme="minorEastAsia" w:cs="Times New Roman" w:hint="eastAsia"/>
          <w:b/>
          <w:sz w:val="36"/>
          <w:szCs w:val="36"/>
        </w:rPr>
      </w:pPr>
    </w:p>
    <w:p w14:paraId="372FDB5F" w14:textId="77777777" w:rsidR="0066529D" w:rsidRDefault="0066529D">
      <w:pPr>
        <w:adjustRightInd w:val="0"/>
        <w:snapToGrid w:val="0"/>
        <w:spacing w:line="360" w:lineRule="auto"/>
        <w:jc w:val="center"/>
        <w:rPr>
          <w:rFonts w:asciiTheme="minorEastAsia" w:hAnsiTheme="minorEastAsia" w:cs="Arial" w:hint="eastAsia"/>
          <w:sz w:val="36"/>
          <w:szCs w:val="36"/>
        </w:rPr>
      </w:pPr>
    </w:p>
    <w:p w14:paraId="41FF8D86" w14:textId="77777777" w:rsidR="0066529D" w:rsidRDefault="0066529D">
      <w:pPr>
        <w:adjustRightInd w:val="0"/>
        <w:snapToGrid w:val="0"/>
        <w:spacing w:line="360" w:lineRule="auto"/>
        <w:jc w:val="center"/>
        <w:rPr>
          <w:rFonts w:asciiTheme="minorEastAsia" w:hAnsiTheme="minorEastAsia" w:cs="Arial" w:hint="eastAsia"/>
          <w:sz w:val="36"/>
          <w:szCs w:val="36"/>
        </w:rPr>
      </w:pPr>
    </w:p>
    <w:p w14:paraId="03E5287F" w14:textId="77777777" w:rsidR="0066529D" w:rsidRDefault="0066529D">
      <w:pPr>
        <w:adjustRightInd w:val="0"/>
        <w:snapToGrid w:val="0"/>
        <w:spacing w:line="360" w:lineRule="auto"/>
        <w:jc w:val="center"/>
        <w:rPr>
          <w:rFonts w:asciiTheme="minorEastAsia" w:hAnsiTheme="minorEastAsia" w:cs="Arial" w:hint="eastAsia"/>
          <w:sz w:val="36"/>
          <w:szCs w:val="36"/>
        </w:rPr>
      </w:pPr>
    </w:p>
    <w:p w14:paraId="094F4950" w14:textId="77777777" w:rsidR="0066529D" w:rsidRDefault="0066529D">
      <w:pPr>
        <w:adjustRightInd w:val="0"/>
        <w:snapToGrid w:val="0"/>
        <w:spacing w:line="360" w:lineRule="auto"/>
        <w:jc w:val="center"/>
        <w:rPr>
          <w:rFonts w:asciiTheme="minorEastAsia" w:hAnsiTheme="minorEastAsia" w:cs="Arial" w:hint="eastAsia"/>
          <w:sz w:val="36"/>
          <w:szCs w:val="36"/>
        </w:rPr>
      </w:pPr>
    </w:p>
    <w:p w14:paraId="41BC25E1" w14:textId="77777777" w:rsidR="0066529D" w:rsidRDefault="00A901FF">
      <w:pPr>
        <w:snapToGrid w:val="0"/>
        <w:spacing w:line="360" w:lineRule="auto"/>
        <w:jc w:val="center"/>
        <w:rPr>
          <w:rFonts w:asciiTheme="minorEastAsia" w:hAnsiTheme="minorEastAsia" w:cs="Times New Roman" w:hint="eastAsia"/>
          <w:b/>
          <w:sz w:val="36"/>
          <w:szCs w:val="36"/>
        </w:rPr>
      </w:pPr>
      <w:bookmarkStart w:id="4" w:name="_Toc123112224"/>
      <w:bookmarkStart w:id="5" w:name="_Toc139991726"/>
      <w:bookmarkStart w:id="6" w:name="_Toc123112263"/>
      <w:bookmarkStart w:id="7" w:name="_Toc139992301"/>
      <w:bookmarkStart w:id="8" w:name="_Toc123701383"/>
      <w:r>
        <w:rPr>
          <w:rFonts w:asciiTheme="minorEastAsia" w:hAnsiTheme="minorEastAsia" w:cs="Times New Roman" w:hint="eastAsia"/>
          <w:b/>
          <w:sz w:val="36"/>
          <w:szCs w:val="36"/>
        </w:rPr>
        <w:t>基金管理人：</w:t>
      </w:r>
      <w:bookmarkEnd w:id="4"/>
      <w:bookmarkEnd w:id="5"/>
      <w:bookmarkEnd w:id="6"/>
      <w:bookmarkEnd w:id="7"/>
      <w:bookmarkEnd w:id="8"/>
      <w:r>
        <w:rPr>
          <w:rFonts w:asciiTheme="minorEastAsia" w:hAnsiTheme="minorEastAsia" w:cs="Times New Roman" w:hint="eastAsia"/>
          <w:b/>
          <w:sz w:val="36"/>
          <w:szCs w:val="36"/>
        </w:rPr>
        <w:t>富荣基金管理有限公司</w:t>
      </w:r>
    </w:p>
    <w:p w14:paraId="6A05FBD5" w14:textId="77777777" w:rsidR="0066529D" w:rsidRDefault="00A901FF">
      <w:pPr>
        <w:autoSpaceDE w:val="0"/>
        <w:autoSpaceDN w:val="0"/>
        <w:adjustRightInd w:val="0"/>
        <w:snapToGrid w:val="0"/>
        <w:spacing w:line="360" w:lineRule="auto"/>
        <w:jc w:val="center"/>
        <w:rPr>
          <w:rFonts w:asciiTheme="minorEastAsia" w:hAnsiTheme="minorEastAsia" w:cs="Arial" w:hint="eastAsia"/>
          <w:b/>
          <w:bCs/>
          <w:sz w:val="36"/>
          <w:szCs w:val="36"/>
        </w:rPr>
      </w:pPr>
      <w:bookmarkStart w:id="9" w:name="_Toc123701384"/>
      <w:bookmarkStart w:id="10" w:name="_Toc139991727"/>
      <w:bookmarkStart w:id="11" w:name="_Toc123112264"/>
      <w:bookmarkStart w:id="12" w:name="_Toc139992302"/>
      <w:bookmarkStart w:id="13" w:name="_Toc123112225"/>
      <w:r>
        <w:rPr>
          <w:rFonts w:asciiTheme="minorEastAsia" w:hAnsiTheme="minorEastAsia" w:cs="Times New Roman" w:hint="eastAsia"/>
          <w:b/>
          <w:sz w:val="36"/>
          <w:szCs w:val="36"/>
        </w:rPr>
        <w:t>基金托管人：</w:t>
      </w:r>
      <w:bookmarkEnd w:id="9"/>
      <w:bookmarkEnd w:id="10"/>
      <w:bookmarkEnd w:id="11"/>
      <w:bookmarkEnd w:id="12"/>
      <w:bookmarkEnd w:id="13"/>
      <w:r>
        <w:rPr>
          <w:rFonts w:asciiTheme="minorEastAsia" w:hAnsiTheme="minorEastAsia" w:cs="Times New Roman" w:hint="eastAsia"/>
          <w:b/>
          <w:sz w:val="36"/>
          <w:szCs w:val="36"/>
        </w:rPr>
        <w:t>中国光大银行股份有限公司</w:t>
      </w:r>
    </w:p>
    <w:p w14:paraId="029B0515" w14:textId="77777777" w:rsidR="0066529D" w:rsidRDefault="0066529D">
      <w:pPr>
        <w:autoSpaceDE w:val="0"/>
        <w:autoSpaceDN w:val="0"/>
        <w:adjustRightInd w:val="0"/>
        <w:snapToGrid w:val="0"/>
        <w:spacing w:line="360" w:lineRule="auto"/>
        <w:jc w:val="center"/>
        <w:rPr>
          <w:rFonts w:asciiTheme="minorEastAsia" w:hAnsiTheme="minorEastAsia" w:cs="Arial" w:hint="eastAsia"/>
          <w:b/>
          <w:bCs/>
          <w:sz w:val="28"/>
          <w:szCs w:val="28"/>
        </w:rPr>
      </w:pPr>
    </w:p>
    <w:p w14:paraId="101E9CEC" w14:textId="77777777" w:rsidR="0066529D" w:rsidRDefault="0066529D">
      <w:pPr>
        <w:autoSpaceDE w:val="0"/>
        <w:autoSpaceDN w:val="0"/>
        <w:adjustRightInd w:val="0"/>
        <w:snapToGrid w:val="0"/>
        <w:spacing w:line="360" w:lineRule="auto"/>
        <w:jc w:val="center"/>
        <w:rPr>
          <w:rFonts w:asciiTheme="minorEastAsia" w:hAnsiTheme="minorEastAsia" w:cs="Arial" w:hint="eastAsia"/>
          <w:b/>
          <w:bCs/>
          <w:sz w:val="28"/>
          <w:szCs w:val="28"/>
        </w:rPr>
      </w:pPr>
    </w:p>
    <w:p w14:paraId="0176B640" w14:textId="77777777" w:rsidR="0066529D" w:rsidRDefault="0066529D">
      <w:pPr>
        <w:autoSpaceDE w:val="0"/>
        <w:autoSpaceDN w:val="0"/>
        <w:adjustRightInd w:val="0"/>
        <w:snapToGrid w:val="0"/>
        <w:spacing w:line="360" w:lineRule="auto"/>
        <w:jc w:val="center"/>
        <w:rPr>
          <w:rFonts w:asciiTheme="minorEastAsia" w:hAnsiTheme="minorEastAsia" w:cs="Arial" w:hint="eastAsia"/>
          <w:b/>
          <w:bCs/>
          <w:sz w:val="28"/>
          <w:szCs w:val="28"/>
        </w:rPr>
      </w:pPr>
    </w:p>
    <w:p w14:paraId="1A3E8F80" w14:textId="77777777" w:rsidR="0066529D" w:rsidRDefault="0066529D">
      <w:pPr>
        <w:widowControl/>
        <w:spacing w:line="360" w:lineRule="auto"/>
        <w:rPr>
          <w:rFonts w:asciiTheme="minorEastAsia" w:hAnsiTheme="minorEastAsia" w:cs="Arial" w:hint="eastAsia"/>
          <w:b/>
          <w:bCs/>
          <w:kern w:val="0"/>
          <w:sz w:val="28"/>
          <w:szCs w:val="28"/>
        </w:rPr>
        <w:sectPr w:rsidR="0066529D">
          <w:headerReference w:type="default" r:id="rId11"/>
          <w:footerReference w:type="default" r:id="rId12"/>
          <w:pgSz w:w="11906" w:h="16838"/>
          <w:pgMar w:top="1440" w:right="1800" w:bottom="1440" w:left="1800" w:header="851" w:footer="992" w:gutter="0"/>
          <w:pgNumType w:start="1"/>
          <w:cols w:space="720"/>
          <w:titlePg/>
          <w:docGrid w:type="lines" w:linePitch="312"/>
        </w:sectPr>
      </w:pPr>
    </w:p>
    <w:p w14:paraId="288B02B2" w14:textId="77777777" w:rsidR="0066529D" w:rsidRDefault="00A901FF">
      <w:pPr>
        <w:autoSpaceDE w:val="0"/>
        <w:autoSpaceDN w:val="0"/>
        <w:adjustRightInd w:val="0"/>
        <w:snapToGrid w:val="0"/>
        <w:spacing w:line="360" w:lineRule="auto"/>
        <w:jc w:val="center"/>
        <w:outlineLvl w:val="0"/>
        <w:rPr>
          <w:rFonts w:asciiTheme="minorEastAsia" w:hAnsiTheme="minorEastAsia" w:cs="Arial" w:hint="eastAsia"/>
          <w:b/>
          <w:bCs/>
          <w:sz w:val="30"/>
          <w:szCs w:val="30"/>
        </w:rPr>
      </w:pPr>
      <w:bookmarkStart w:id="14" w:name="_Toc146096076"/>
      <w:r>
        <w:rPr>
          <w:rFonts w:asciiTheme="minorEastAsia" w:hAnsiTheme="minorEastAsia" w:cs="Arial" w:hint="eastAsia"/>
          <w:b/>
          <w:bCs/>
          <w:sz w:val="30"/>
          <w:szCs w:val="30"/>
        </w:rPr>
        <w:lastRenderedPageBreak/>
        <w:t>【重要提示】</w:t>
      </w:r>
      <w:bookmarkEnd w:id="14"/>
    </w:p>
    <w:p w14:paraId="77F33EED" w14:textId="77777777" w:rsidR="0066529D" w:rsidRDefault="0066529D">
      <w:pPr>
        <w:autoSpaceDE w:val="0"/>
        <w:autoSpaceDN w:val="0"/>
        <w:adjustRightInd w:val="0"/>
        <w:snapToGrid w:val="0"/>
        <w:spacing w:line="360" w:lineRule="auto"/>
        <w:jc w:val="center"/>
        <w:rPr>
          <w:rFonts w:asciiTheme="minorEastAsia" w:hAnsiTheme="minorEastAsia" w:cs="Arial" w:hint="eastAsia"/>
          <w:b/>
          <w:bCs/>
          <w:szCs w:val="21"/>
        </w:rPr>
      </w:pPr>
    </w:p>
    <w:p w14:paraId="49C20940"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本基金根据2017年6月8日中国证券监督管理委员会（以下简称</w:t>
      </w:r>
      <w:r>
        <w:rPr>
          <w:rFonts w:asciiTheme="minorEastAsia" w:hAnsiTheme="minorEastAsia" w:cs="Arial" w:hint="eastAsia"/>
          <w:sz w:val="24"/>
          <w:szCs w:val="24"/>
        </w:rPr>
        <w:t>“</w:t>
      </w:r>
      <w:r>
        <w:rPr>
          <w:rFonts w:asciiTheme="minorEastAsia" w:hAnsiTheme="minorEastAsia" w:cs="Arial"/>
          <w:sz w:val="24"/>
          <w:szCs w:val="24"/>
        </w:rPr>
        <w:t>中国证监会</w:t>
      </w:r>
      <w:r>
        <w:rPr>
          <w:rFonts w:asciiTheme="minorEastAsia" w:hAnsiTheme="minorEastAsia" w:cs="Arial" w:hint="eastAsia"/>
          <w:sz w:val="24"/>
          <w:szCs w:val="24"/>
        </w:rPr>
        <w:t>”</w:t>
      </w:r>
      <w:r>
        <w:rPr>
          <w:rFonts w:asciiTheme="minorEastAsia" w:hAnsiTheme="minorEastAsia" w:cs="Arial"/>
          <w:sz w:val="24"/>
          <w:szCs w:val="24"/>
        </w:rPr>
        <w:t>）《关于</w:t>
      </w:r>
      <w:r>
        <w:rPr>
          <w:rFonts w:asciiTheme="minorEastAsia" w:hAnsiTheme="minorEastAsia" w:cs="Arial" w:hint="eastAsia"/>
          <w:sz w:val="24"/>
          <w:szCs w:val="24"/>
        </w:rPr>
        <w:t>准予</w:t>
      </w:r>
      <w:r>
        <w:rPr>
          <w:rFonts w:asciiTheme="minorEastAsia" w:hAnsiTheme="minorEastAsia" w:cs="Arial"/>
          <w:sz w:val="24"/>
          <w:szCs w:val="24"/>
        </w:rPr>
        <w:t>富荣</w:t>
      </w:r>
      <w:r>
        <w:rPr>
          <w:rFonts w:asciiTheme="minorEastAsia" w:hAnsiTheme="minorEastAsia" w:cs="Arial" w:hint="eastAsia"/>
          <w:sz w:val="24"/>
          <w:szCs w:val="24"/>
        </w:rPr>
        <w:t>福康混合</w:t>
      </w:r>
      <w:r>
        <w:rPr>
          <w:rFonts w:asciiTheme="minorEastAsia" w:hAnsiTheme="minorEastAsia" w:cs="Arial"/>
          <w:sz w:val="24"/>
          <w:szCs w:val="24"/>
        </w:rPr>
        <w:t>型证券投资基金</w:t>
      </w:r>
      <w:r>
        <w:rPr>
          <w:rFonts w:asciiTheme="minorEastAsia" w:hAnsiTheme="minorEastAsia" w:cs="Arial" w:hint="eastAsia"/>
          <w:sz w:val="24"/>
          <w:szCs w:val="24"/>
        </w:rPr>
        <w:t>注册</w:t>
      </w:r>
      <w:r>
        <w:rPr>
          <w:rFonts w:asciiTheme="minorEastAsia" w:hAnsiTheme="minorEastAsia" w:cs="Arial"/>
          <w:sz w:val="24"/>
          <w:szCs w:val="24"/>
        </w:rPr>
        <w:t>的批复》（证监许可[2017]867号）进行募集。</w:t>
      </w:r>
      <w:r>
        <w:rPr>
          <w:rFonts w:asciiTheme="minorEastAsia" w:hAnsiTheme="minorEastAsia" w:cs="Arial" w:hint="eastAsia"/>
          <w:sz w:val="24"/>
          <w:szCs w:val="24"/>
        </w:rPr>
        <w:t>本基金于</w:t>
      </w:r>
      <w:r>
        <w:rPr>
          <w:rFonts w:asciiTheme="minorEastAsia" w:hAnsiTheme="minorEastAsia" w:cs="Arial"/>
          <w:sz w:val="24"/>
          <w:szCs w:val="24"/>
        </w:rPr>
        <w:t>2018年2月11日正式生效。</w:t>
      </w:r>
    </w:p>
    <w:p w14:paraId="33E9BF88"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96591BC"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38949E28" w14:textId="77777777" w:rsidR="0066529D" w:rsidRDefault="00A901FF">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38843B99"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43EF38F8"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元发售面值募集基金份额，在市场波动等因素的影响下，基金投资有可能出现亏损或基金份额净值低于发售面值。</w:t>
      </w:r>
    </w:p>
    <w:p w14:paraId="4B695A82"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23C213F5"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3608E63A" w14:textId="77777777" w:rsidR="0066529D" w:rsidRDefault="00A901FF">
      <w:pPr>
        <w:autoSpaceDE w:val="0"/>
        <w:autoSpaceDN w:val="0"/>
        <w:adjustRightInd w:val="0"/>
        <w:snapToGrid w:val="0"/>
        <w:spacing w:line="360" w:lineRule="auto"/>
        <w:ind w:firstLineChars="200" w:firstLine="482"/>
        <w:rPr>
          <w:rFonts w:asciiTheme="minorEastAsia" w:hAnsiTheme="minorEastAsia" w:cs="Arial" w:hint="eastAsia"/>
          <w:sz w:val="24"/>
          <w:szCs w:val="24"/>
        </w:rPr>
      </w:pPr>
      <w:bookmarkStart w:id="15" w:name="_Hlk167784377"/>
      <w:bookmarkStart w:id="16" w:name="_Hlk190273161"/>
      <w:r>
        <w:rPr>
          <w:rFonts w:asciiTheme="minorEastAsia" w:hAnsiTheme="minorEastAsia" w:cs="Arial" w:hint="eastAsia"/>
          <w:b/>
          <w:bCs/>
          <w:sz w:val="24"/>
          <w:szCs w:val="24"/>
        </w:rPr>
        <w:t>本次招募说明书仅对“基金管理人”和“基金托管人”部分进行更新</w:t>
      </w:r>
      <w:bookmarkEnd w:id="15"/>
      <w:r>
        <w:rPr>
          <w:rFonts w:asciiTheme="minorEastAsia" w:hAnsiTheme="minorEastAsia" w:cs="Arial" w:hint="eastAsia"/>
          <w:b/>
          <w:bCs/>
          <w:sz w:val="24"/>
          <w:szCs w:val="24"/>
        </w:rPr>
        <w:t>，</w:t>
      </w:r>
      <w:bookmarkEnd w:id="16"/>
      <w:r>
        <w:rPr>
          <w:rFonts w:asciiTheme="minorEastAsia" w:hAnsiTheme="minorEastAsia" w:cs="Arial" w:hint="eastAsia"/>
          <w:sz w:val="24"/>
          <w:szCs w:val="24"/>
        </w:rPr>
        <w:t>本招募说明书所载其他内容截止日为2024年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23</w:t>
      </w:r>
      <w:r>
        <w:rPr>
          <w:rFonts w:asciiTheme="minorEastAsia" w:hAnsiTheme="minorEastAsia" w:cs="Arial" w:hint="eastAsia"/>
          <w:sz w:val="24"/>
          <w:szCs w:val="24"/>
        </w:rPr>
        <w:t>日，有关财务数据截止日为2024年6月30日，净值表现截止日为2024年6月30日。（财务数据未经审计）。</w:t>
      </w:r>
    </w:p>
    <w:p w14:paraId="5A61CB6A" w14:textId="77777777" w:rsidR="0066529D" w:rsidRDefault="0066529D">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74C589CE" w14:textId="77777777" w:rsidR="0066529D" w:rsidRDefault="0066529D">
      <w:pPr>
        <w:autoSpaceDE w:val="0"/>
        <w:autoSpaceDN w:val="0"/>
        <w:adjustRightInd w:val="0"/>
        <w:snapToGrid w:val="0"/>
        <w:spacing w:line="360" w:lineRule="auto"/>
        <w:jc w:val="left"/>
        <w:rPr>
          <w:rFonts w:asciiTheme="minorEastAsia" w:hAnsiTheme="minorEastAsia" w:cs="Arial" w:hint="eastAsia"/>
          <w:b/>
          <w:bCs/>
          <w:sz w:val="28"/>
          <w:szCs w:val="28"/>
        </w:rPr>
      </w:pPr>
    </w:p>
    <w:p w14:paraId="7E65D372" w14:textId="77777777" w:rsidR="0066529D" w:rsidRDefault="0066529D">
      <w:pPr>
        <w:widowControl/>
        <w:spacing w:line="360" w:lineRule="auto"/>
        <w:jc w:val="left"/>
        <w:rPr>
          <w:rFonts w:asciiTheme="minorEastAsia" w:hAnsiTheme="minorEastAsia" w:cs="Times New Roman" w:hint="eastAsia"/>
          <w:b/>
          <w:kern w:val="0"/>
          <w:sz w:val="30"/>
          <w:szCs w:val="30"/>
        </w:rPr>
        <w:sectPr w:rsidR="0066529D">
          <w:pgSz w:w="11906" w:h="16838"/>
          <w:pgMar w:top="1440" w:right="1800" w:bottom="1440" w:left="1800" w:header="851" w:footer="992" w:gutter="0"/>
          <w:pgNumType w:start="1"/>
          <w:cols w:space="720"/>
          <w:docGrid w:type="lines" w:linePitch="312"/>
        </w:sectPr>
      </w:pPr>
      <w:bookmarkStart w:id="17" w:name="_Toc15517"/>
      <w:bookmarkStart w:id="18" w:name="_Toc6306"/>
      <w:bookmarkStart w:id="19" w:name="_Toc4966"/>
      <w:bookmarkStart w:id="20" w:name="_Toc123112229"/>
      <w:bookmarkStart w:id="21" w:name="_Toc123701389"/>
      <w:bookmarkStart w:id="22" w:name="_Toc26897"/>
      <w:bookmarkStart w:id="23" w:name="_Toc32639"/>
      <w:bookmarkStart w:id="24" w:name="_Toc30935"/>
      <w:bookmarkStart w:id="25" w:name="_Toc123112268"/>
      <w:bookmarkStart w:id="26" w:name="_Toc139991730"/>
      <w:bookmarkStart w:id="27" w:name="_Toc23386"/>
      <w:bookmarkStart w:id="28" w:name="_Toc8727"/>
      <w:bookmarkStart w:id="29" w:name="_Toc11660"/>
      <w:bookmarkStart w:id="30" w:name="_Toc29629"/>
      <w:bookmarkStart w:id="31" w:name="_Toc352229746"/>
      <w:bookmarkStart w:id="32" w:name="_Toc141703880"/>
      <w:bookmarkStart w:id="33" w:name="_Toc4867"/>
      <w:bookmarkStart w:id="34" w:name="_Toc233456271"/>
      <w:bookmarkEnd w:id="0"/>
      <w:bookmarkEnd w:id="1"/>
      <w:bookmarkEnd w:id="2"/>
      <w:bookmarkEnd w:id="3"/>
    </w:p>
    <w:p w14:paraId="386FEFBA" w14:textId="77777777" w:rsidR="0066529D" w:rsidRDefault="00A901FF">
      <w:pPr>
        <w:jc w:val="center"/>
        <w:rPr>
          <w:rFonts w:asciiTheme="minorEastAsia" w:hAnsiTheme="minorEastAsia" w:hint="eastAsia"/>
          <w:b/>
          <w:bCs/>
          <w:sz w:val="24"/>
        </w:rPr>
      </w:pPr>
      <w:r>
        <w:rPr>
          <w:rFonts w:asciiTheme="minorEastAsia" w:hAnsiTheme="minorEastAsia" w:hint="eastAsia"/>
          <w:b/>
          <w:bCs/>
          <w:sz w:val="24"/>
        </w:rPr>
        <w:lastRenderedPageBreak/>
        <w:t>目</w:t>
      </w:r>
      <w:r>
        <w:rPr>
          <w:rFonts w:asciiTheme="minorEastAsia" w:hAnsiTheme="minorEastAsia"/>
          <w:b/>
          <w:bCs/>
          <w:sz w:val="24"/>
        </w:rPr>
        <w:t xml:space="preserve">    </w:t>
      </w:r>
      <w:r>
        <w:rPr>
          <w:rFonts w:asciiTheme="minorEastAsia" w:hAnsiTheme="minorEastAsia" w:hint="eastAsia"/>
          <w:b/>
          <w:bCs/>
          <w:sz w:val="24"/>
        </w:rPr>
        <w:t>录</w:t>
      </w:r>
    </w:p>
    <w:p w14:paraId="7D1053FB" w14:textId="5CA709C5" w:rsidR="0066529D" w:rsidRDefault="00A901FF">
      <w:pPr>
        <w:pStyle w:val="TOC1"/>
        <w:rPr>
          <w:rFonts w:asciiTheme="minorHAnsi" w:eastAsiaTheme="minorEastAsia" w:hAnsiTheme="minorHAnsi" w:cstheme="minorBidi"/>
          <w:noProof/>
          <w:szCs w:val="22"/>
          <w14:ligatures w14:val="standardContextual"/>
        </w:rPr>
      </w:pPr>
      <w:r>
        <w:rPr>
          <w:rFonts w:asciiTheme="minorEastAsia" w:eastAsiaTheme="minorEastAsia" w:hAnsiTheme="minorEastAsia"/>
          <w:bCs/>
        </w:rPr>
        <w:fldChar w:fldCharType="begin"/>
      </w:r>
      <w:r>
        <w:rPr>
          <w:rFonts w:asciiTheme="minorEastAsia" w:eastAsiaTheme="minorEastAsia" w:hAnsiTheme="minorEastAsia"/>
          <w:bCs/>
        </w:rPr>
        <w:instrText xml:space="preserve"> TOC \o "1-1" \h \z \u </w:instrText>
      </w:r>
      <w:r>
        <w:rPr>
          <w:rFonts w:asciiTheme="minorEastAsia" w:eastAsiaTheme="minorEastAsia" w:hAnsiTheme="minorEastAsia"/>
          <w:bCs/>
        </w:rPr>
        <w:fldChar w:fldCharType="separate"/>
      </w:r>
      <w:hyperlink w:anchor="_Toc146096077" w:history="1">
        <w:r>
          <w:rPr>
            <w:rStyle w:val="afa"/>
            <w:rFonts w:asciiTheme="minorEastAsia" w:hAnsiTheme="minorEastAsia"/>
            <w:noProof/>
          </w:rPr>
          <w:t>第一部分  绪言</w:t>
        </w:r>
        <w:r>
          <w:rPr>
            <w:noProof/>
          </w:rPr>
          <w:tab/>
        </w:r>
        <w:r>
          <w:rPr>
            <w:noProof/>
          </w:rPr>
          <w:fldChar w:fldCharType="begin"/>
        </w:r>
        <w:r>
          <w:rPr>
            <w:noProof/>
          </w:rPr>
          <w:instrText xml:space="preserve"> PAGEREF _Toc146096077 \h </w:instrText>
        </w:r>
        <w:r>
          <w:rPr>
            <w:noProof/>
          </w:rPr>
        </w:r>
        <w:r>
          <w:rPr>
            <w:noProof/>
          </w:rPr>
          <w:fldChar w:fldCharType="separate"/>
        </w:r>
        <w:r w:rsidR="00736572">
          <w:rPr>
            <w:noProof/>
          </w:rPr>
          <w:t>4</w:t>
        </w:r>
        <w:r>
          <w:rPr>
            <w:noProof/>
          </w:rPr>
          <w:fldChar w:fldCharType="end"/>
        </w:r>
      </w:hyperlink>
    </w:p>
    <w:p w14:paraId="7672B878" w14:textId="26589C95" w:rsidR="0066529D" w:rsidRDefault="00A901FF">
      <w:pPr>
        <w:pStyle w:val="TOC1"/>
        <w:rPr>
          <w:rFonts w:asciiTheme="minorHAnsi" w:eastAsiaTheme="minorEastAsia" w:hAnsiTheme="minorHAnsi" w:cstheme="minorBidi"/>
          <w:noProof/>
          <w:szCs w:val="22"/>
          <w14:ligatures w14:val="standardContextual"/>
        </w:rPr>
      </w:pPr>
      <w:hyperlink w:anchor="_Toc146096078" w:history="1">
        <w:r>
          <w:rPr>
            <w:rStyle w:val="afa"/>
            <w:rFonts w:asciiTheme="minorEastAsia" w:hAnsiTheme="minorEastAsia"/>
            <w:noProof/>
          </w:rPr>
          <w:t>第二部分  释义</w:t>
        </w:r>
        <w:r>
          <w:rPr>
            <w:noProof/>
          </w:rPr>
          <w:tab/>
        </w:r>
        <w:r>
          <w:rPr>
            <w:noProof/>
          </w:rPr>
          <w:fldChar w:fldCharType="begin"/>
        </w:r>
        <w:r>
          <w:rPr>
            <w:noProof/>
          </w:rPr>
          <w:instrText xml:space="preserve"> PAGEREF _Toc146096078 \h </w:instrText>
        </w:r>
        <w:r>
          <w:rPr>
            <w:noProof/>
          </w:rPr>
        </w:r>
        <w:r>
          <w:rPr>
            <w:noProof/>
          </w:rPr>
          <w:fldChar w:fldCharType="separate"/>
        </w:r>
        <w:r w:rsidR="00736572">
          <w:rPr>
            <w:noProof/>
          </w:rPr>
          <w:t>5</w:t>
        </w:r>
        <w:r>
          <w:rPr>
            <w:noProof/>
          </w:rPr>
          <w:fldChar w:fldCharType="end"/>
        </w:r>
      </w:hyperlink>
    </w:p>
    <w:p w14:paraId="2A1BD033" w14:textId="2ECE3BC9" w:rsidR="0066529D" w:rsidRDefault="00A901FF">
      <w:pPr>
        <w:pStyle w:val="TOC1"/>
        <w:rPr>
          <w:rFonts w:asciiTheme="minorHAnsi" w:eastAsiaTheme="minorEastAsia" w:hAnsiTheme="minorHAnsi" w:cstheme="minorBidi"/>
          <w:noProof/>
          <w:szCs w:val="22"/>
          <w14:ligatures w14:val="standardContextual"/>
        </w:rPr>
      </w:pPr>
      <w:hyperlink w:anchor="_Toc146096079" w:history="1">
        <w:r>
          <w:rPr>
            <w:rStyle w:val="afa"/>
            <w:rFonts w:asciiTheme="minorEastAsia" w:hAnsiTheme="minorEastAsia"/>
            <w:noProof/>
          </w:rPr>
          <w:t>第三部分  基金管理人</w:t>
        </w:r>
        <w:r>
          <w:rPr>
            <w:noProof/>
          </w:rPr>
          <w:tab/>
        </w:r>
        <w:r>
          <w:rPr>
            <w:noProof/>
          </w:rPr>
          <w:fldChar w:fldCharType="begin"/>
        </w:r>
        <w:r>
          <w:rPr>
            <w:noProof/>
          </w:rPr>
          <w:instrText xml:space="preserve"> PAGEREF _Toc146096079 \h </w:instrText>
        </w:r>
        <w:r>
          <w:rPr>
            <w:noProof/>
          </w:rPr>
        </w:r>
        <w:r>
          <w:rPr>
            <w:noProof/>
          </w:rPr>
          <w:fldChar w:fldCharType="separate"/>
        </w:r>
        <w:r w:rsidR="00736572">
          <w:rPr>
            <w:noProof/>
          </w:rPr>
          <w:t>10</w:t>
        </w:r>
        <w:r>
          <w:rPr>
            <w:noProof/>
          </w:rPr>
          <w:fldChar w:fldCharType="end"/>
        </w:r>
      </w:hyperlink>
    </w:p>
    <w:p w14:paraId="080F1111" w14:textId="14327584" w:rsidR="0066529D" w:rsidRDefault="00A901FF">
      <w:pPr>
        <w:pStyle w:val="TOC1"/>
        <w:rPr>
          <w:rFonts w:asciiTheme="minorHAnsi" w:eastAsiaTheme="minorEastAsia" w:hAnsiTheme="minorHAnsi" w:cstheme="minorBidi"/>
          <w:noProof/>
          <w:szCs w:val="22"/>
          <w14:ligatures w14:val="standardContextual"/>
        </w:rPr>
      </w:pPr>
      <w:hyperlink w:anchor="_Toc146096080" w:history="1">
        <w:r>
          <w:rPr>
            <w:rStyle w:val="afa"/>
            <w:rFonts w:asciiTheme="minorEastAsia" w:hAnsiTheme="minorEastAsia"/>
            <w:noProof/>
          </w:rPr>
          <w:t>第四部分  基金托管人</w:t>
        </w:r>
        <w:r>
          <w:rPr>
            <w:noProof/>
          </w:rPr>
          <w:tab/>
        </w:r>
        <w:r>
          <w:rPr>
            <w:noProof/>
          </w:rPr>
          <w:fldChar w:fldCharType="begin"/>
        </w:r>
        <w:r>
          <w:rPr>
            <w:noProof/>
          </w:rPr>
          <w:instrText xml:space="preserve"> PAGEREF _Toc146096080 \h </w:instrText>
        </w:r>
        <w:r>
          <w:rPr>
            <w:noProof/>
          </w:rPr>
        </w:r>
        <w:r>
          <w:rPr>
            <w:noProof/>
          </w:rPr>
          <w:fldChar w:fldCharType="separate"/>
        </w:r>
        <w:r w:rsidR="00736572">
          <w:rPr>
            <w:noProof/>
          </w:rPr>
          <w:t>22</w:t>
        </w:r>
        <w:r>
          <w:rPr>
            <w:noProof/>
          </w:rPr>
          <w:fldChar w:fldCharType="end"/>
        </w:r>
      </w:hyperlink>
    </w:p>
    <w:p w14:paraId="450E792A" w14:textId="1BB30188" w:rsidR="0066529D" w:rsidRDefault="00A901FF">
      <w:pPr>
        <w:pStyle w:val="TOC1"/>
        <w:rPr>
          <w:rFonts w:asciiTheme="minorHAnsi" w:eastAsiaTheme="minorEastAsia" w:hAnsiTheme="minorHAnsi" w:cstheme="minorBidi"/>
          <w:noProof/>
          <w:szCs w:val="22"/>
          <w14:ligatures w14:val="standardContextual"/>
        </w:rPr>
      </w:pPr>
      <w:hyperlink w:anchor="_Toc146096081" w:history="1">
        <w:r>
          <w:rPr>
            <w:rStyle w:val="afa"/>
            <w:rFonts w:asciiTheme="minorEastAsia" w:hAnsiTheme="minorEastAsia"/>
            <w:noProof/>
          </w:rPr>
          <w:t>第五部分  相关服务机构</w:t>
        </w:r>
        <w:r>
          <w:rPr>
            <w:noProof/>
          </w:rPr>
          <w:tab/>
        </w:r>
        <w:r>
          <w:rPr>
            <w:noProof/>
          </w:rPr>
          <w:fldChar w:fldCharType="begin"/>
        </w:r>
        <w:r>
          <w:rPr>
            <w:noProof/>
          </w:rPr>
          <w:instrText xml:space="preserve"> PAGEREF _Toc146096081 \h </w:instrText>
        </w:r>
        <w:r>
          <w:rPr>
            <w:noProof/>
          </w:rPr>
        </w:r>
        <w:r>
          <w:rPr>
            <w:noProof/>
          </w:rPr>
          <w:fldChar w:fldCharType="separate"/>
        </w:r>
        <w:r w:rsidR="00736572">
          <w:rPr>
            <w:noProof/>
          </w:rPr>
          <w:t>25</w:t>
        </w:r>
        <w:r>
          <w:rPr>
            <w:noProof/>
          </w:rPr>
          <w:fldChar w:fldCharType="end"/>
        </w:r>
      </w:hyperlink>
    </w:p>
    <w:p w14:paraId="574B1EBE" w14:textId="2DD1F336" w:rsidR="0066529D" w:rsidRDefault="00A901FF">
      <w:pPr>
        <w:pStyle w:val="TOC1"/>
        <w:rPr>
          <w:rFonts w:asciiTheme="minorHAnsi" w:eastAsiaTheme="minorEastAsia" w:hAnsiTheme="minorHAnsi" w:cstheme="minorBidi"/>
          <w:noProof/>
          <w:szCs w:val="22"/>
          <w14:ligatures w14:val="standardContextual"/>
        </w:rPr>
      </w:pPr>
      <w:hyperlink w:anchor="_Toc146096082" w:history="1">
        <w:r>
          <w:rPr>
            <w:rStyle w:val="afa"/>
            <w:rFonts w:asciiTheme="minorEastAsia" w:hAnsiTheme="minorEastAsia"/>
            <w:noProof/>
          </w:rPr>
          <w:t>第六部分  基金的募集</w:t>
        </w:r>
        <w:r>
          <w:rPr>
            <w:noProof/>
          </w:rPr>
          <w:tab/>
        </w:r>
        <w:r>
          <w:rPr>
            <w:noProof/>
          </w:rPr>
          <w:fldChar w:fldCharType="begin"/>
        </w:r>
        <w:r>
          <w:rPr>
            <w:noProof/>
          </w:rPr>
          <w:instrText xml:space="preserve"> PAGEREF _Toc146096082 \h </w:instrText>
        </w:r>
        <w:r>
          <w:rPr>
            <w:noProof/>
          </w:rPr>
        </w:r>
        <w:r>
          <w:rPr>
            <w:noProof/>
          </w:rPr>
          <w:fldChar w:fldCharType="separate"/>
        </w:r>
        <w:r w:rsidR="00736572">
          <w:rPr>
            <w:noProof/>
          </w:rPr>
          <w:t>35</w:t>
        </w:r>
        <w:r>
          <w:rPr>
            <w:noProof/>
          </w:rPr>
          <w:fldChar w:fldCharType="end"/>
        </w:r>
      </w:hyperlink>
    </w:p>
    <w:p w14:paraId="77E73ABC" w14:textId="46662BF8" w:rsidR="0066529D" w:rsidRDefault="00A901FF">
      <w:pPr>
        <w:pStyle w:val="TOC1"/>
        <w:rPr>
          <w:rFonts w:asciiTheme="minorHAnsi" w:eastAsiaTheme="minorEastAsia" w:hAnsiTheme="minorHAnsi" w:cstheme="minorBidi"/>
          <w:noProof/>
          <w:szCs w:val="22"/>
          <w14:ligatures w14:val="standardContextual"/>
        </w:rPr>
      </w:pPr>
      <w:hyperlink w:anchor="_Toc146096083" w:history="1">
        <w:r>
          <w:rPr>
            <w:rStyle w:val="afa"/>
            <w:rFonts w:asciiTheme="minorEastAsia" w:hAnsiTheme="minorEastAsia"/>
            <w:noProof/>
          </w:rPr>
          <w:t>第七部分  基金合同的生效</w:t>
        </w:r>
        <w:r>
          <w:rPr>
            <w:noProof/>
          </w:rPr>
          <w:tab/>
        </w:r>
        <w:r>
          <w:rPr>
            <w:noProof/>
          </w:rPr>
          <w:fldChar w:fldCharType="begin"/>
        </w:r>
        <w:r>
          <w:rPr>
            <w:noProof/>
          </w:rPr>
          <w:instrText xml:space="preserve"> PAGEREF _Toc146096083 \h </w:instrText>
        </w:r>
        <w:r>
          <w:rPr>
            <w:noProof/>
          </w:rPr>
        </w:r>
        <w:r>
          <w:rPr>
            <w:noProof/>
          </w:rPr>
          <w:fldChar w:fldCharType="separate"/>
        </w:r>
        <w:r w:rsidR="00736572">
          <w:rPr>
            <w:noProof/>
          </w:rPr>
          <w:t>36</w:t>
        </w:r>
        <w:r>
          <w:rPr>
            <w:noProof/>
          </w:rPr>
          <w:fldChar w:fldCharType="end"/>
        </w:r>
      </w:hyperlink>
    </w:p>
    <w:p w14:paraId="7CC524B8" w14:textId="7D000511" w:rsidR="0066529D" w:rsidRDefault="00A901FF">
      <w:pPr>
        <w:pStyle w:val="TOC1"/>
        <w:rPr>
          <w:rFonts w:asciiTheme="minorHAnsi" w:eastAsiaTheme="minorEastAsia" w:hAnsiTheme="minorHAnsi" w:cstheme="minorBidi"/>
          <w:noProof/>
          <w:szCs w:val="22"/>
          <w14:ligatures w14:val="standardContextual"/>
        </w:rPr>
      </w:pPr>
      <w:hyperlink w:anchor="_Toc146096084" w:history="1">
        <w:r>
          <w:rPr>
            <w:rStyle w:val="afa"/>
            <w:rFonts w:asciiTheme="minorEastAsia" w:hAnsiTheme="minorEastAsia"/>
            <w:noProof/>
          </w:rPr>
          <w:t>第八部分  基金份额的申购与赎回</w:t>
        </w:r>
        <w:r>
          <w:rPr>
            <w:noProof/>
          </w:rPr>
          <w:tab/>
        </w:r>
        <w:r>
          <w:rPr>
            <w:noProof/>
          </w:rPr>
          <w:fldChar w:fldCharType="begin"/>
        </w:r>
        <w:r>
          <w:rPr>
            <w:noProof/>
          </w:rPr>
          <w:instrText xml:space="preserve"> PAGEREF _Toc146096084 \h </w:instrText>
        </w:r>
        <w:r>
          <w:rPr>
            <w:noProof/>
          </w:rPr>
        </w:r>
        <w:r>
          <w:rPr>
            <w:noProof/>
          </w:rPr>
          <w:fldChar w:fldCharType="separate"/>
        </w:r>
        <w:r w:rsidR="00736572">
          <w:rPr>
            <w:noProof/>
          </w:rPr>
          <w:t>37</w:t>
        </w:r>
        <w:r>
          <w:rPr>
            <w:noProof/>
          </w:rPr>
          <w:fldChar w:fldCharType="end"/>
        </w:r>
      </w:hyperlink>
    </w:p>
    <w:p w14:paraId="321EB2BC" w14:textId="65BF70F9" w:rsidR="0066529D" w:rsidRDefault="00A901FF">
      <w:pPr>
        <w:pStyle w:val="TOC1"/>
        <w:rPr>
          <w:rFonts w:asciiTheme="minorHAnsi" w:eastAsiaTheme="minorEastAsia" w:hAnsiTheme="minorHAnsi" w:cstheme="minorBidi"/>
          <w:noProof/>
          <w:szCs w:val="22"/>
          <w14:ligatures w14:val="standardContextual"/>
        </w:rPr>
      </w:pPr>
      <w:hyperlink w:anchor="_Toc146096085" w:history="1">
        <w:r>
          <w:rPr>
            <w:rStyle w:val="afa"/>
            <w:rFonts w:asciiTheme="minorEastAsia" w:hAnsiTheme="minorEastAsia"/>
            <w:noProof/>
          </w:rPr>
          <w:t>第九部分  基金的投资</w:t>
        </w:r>
        <w:r>
          <w:rPr>
            <w:noProof/>
          </w:rPr>
          <w:tab/>
        </w:r>
        <w:r>
          <w:rPr>
            <w:noProof/>
          </w:rPr>
          <w:fldChar w:fldCharType="begin"/>
        </w:r>
        <w:r>
          <w:rPr>
            <w:noProof/>
          </w:rPr>
          <w:instrText xml:space="preserve"> PAGEREF _Toc146096085 \h </w:instrText>
        </w:r>
        <w:r>
          <w:rPr>
            <w:noProof/>
          </w:rPr>
        </w:r>
        <w:r>
          <w:rPr>
            <w:noProof/>
          </w:rPr>
          <w:fldChar w:fldCharType="separate"/>
        </w:r>
        <w:r w:rsidR="00736572">
          <w:rPr>
            <w:noProof/>
          </w:rPr>
          <w:t>48</w:t>
        </w:r>
        <w:r>
          <w:rPr>
            <w:noProof/>
          </w:rPr>
          <w:fldChar w:fldCharType="end"/>
        </w:r>
      </w:hyperlink>
    </w:p>
    <w:p w14:paraId="5EBBB4EE" w14:textId="28B40F3C" w:rsidR="0066529D" w:rsidRDefault="00A901FF">
      <w:pPr>
        <w:pStyle w:val="TOC1"/>
        <w:rPr>
          <w:rFonts w:asciiTheme="minorHAnsi" w:eastAsiaTheme="minorEastAsia" w:hAnsiTheme="minorHAnsi" w:cstheme="minorBidi"/>
          <w:noProof/>
          <w:szCs w:val="22"/>
          <w14:ligatures w14:val="standardContextual"/>
        </w:rPr>
      </w:pPr>
      <w:hyperlink w:anchor="_Toc146096086" w:history="1">
        <w:r>
          <w:rPr>
            <w:rStyle w:val="afa"/>
            <w:rFonts w:asciiTheme="minorEastAsia" w:hAnsiTheme="minorEastAsia"/>
            <w:noProof/>
          </w:rPr>
          <w:t>第十部分  基金的财产</w:t>
        </w:r>
        <w:r>
          <w:rPr>
            <w:noProof/>
          </w:rPr>
          <w:tab/>
        </w:r>
        <w:r>
          <w:rPr>
            <w:noProof/>
          </w:rPr>
          <w:fldChar w:fldCharType="begin"/>
        </w:r>
        <w:r>
          <w:rPr>
            <w:noProof/>
          </w:rPr>
          <w:instrText xml:space="preserve"> PAGEREF _Toc146096086 \h </w:instrText>
        </w:r>
        <w:r>
          <w:rPr>
            <w:noProof/>
          </w:rPr>
        </w:r>
        <w:r>
          <w:rPr>
            <w:noProof/>
          </w:rPr>
          <w:fldChar w:fldCharType="separate"/>
        </w:r>
        <w:r w:rsidR="00736572">
          <w:rPr>
            <w:noProof/>
          </w:rPr>
          <w:t>63</w:t>
        </w:r>
        <w:r>
          <w:rPr>
            <w:noProof/>
          </w:rPr>
          <w:fldChar w:fldCharType="end"/>
        </w:r>
      </w:hyperlink>
    </w:p>
    <w:p w14:paraId="6218F81C" w14:textId="10CFED2C" w:rsidR="0066529D" w:rsidRDefault="00A901FF">
      <w:pPr>
        <w:pStyle w:val="TOC1"/>
        <w:rPr>
          <w:rFonts w:asciiTheme="minorHAnsi" w:eastAsiaTheme="minorEastAsia" w:hAnsiTheme="minorHAnsi" w:cstheme="minorBidi"/>
          <w:noProof/>
          <w:szCs w:val="22"/>
          <w14:ligatures w14:val="standardContextual"/>
        </w:rPr>
      </w:pPr>
      <w:hyperlink w:anchor="_Toc146096087" w:history="1">
        <w:r>
          <w:rPr>
            <w:rStyle w:val="afa"/>
            <w:rFonts w:asciiTheme="minorEastAsia" w:hAnsiTheme="minorEastAsia"/>
            <w:noProof/>
          </w:rPr>
          <w:t>第十一部分  基金资产的估值</w:t>
        </w:r>
        <w:r>
          <w:rPr>
            <w:noProof/>
          </w:rPr>
          <w:tab/>
        </w:r>
        <w:r>
          <w:rPr>
            <w:noProof/>
          </w:rPr>
          <w:fldChar w:fldCharType="begin"/>
        </w:r>
        <w:r>
          <w:rPr>
            <w:noProof/>
          </w:rPr>
          <w:instrText xml:space="preserve"> PAGEREF _Toc146096087 \h </w:instrText>
        </w:r>
        <w:r>
          <w:rPr>
            <w:noProof/>
          </w:rPr>
        </w:r>
        <w:r>
          <w:rPr>
            <w:noProof/>
          </w:rPr>
          <w:fldChar w:fldCharType="separate"/>
        </w:r>
        <w:r w:rsidR="00736572">
          <w:rPr>
            <w:noProof/>
          </w:rPr>
          <w:t>64</w:t>
        </w:r>
        <w:r>
          <w:rPr>
            <w:noProof/>
          </w:rPr>
          <w:fldChar w:fldCharType="end"/>
        </w:r>
      </w:hyperlink>
    </w:p>
    <w:p w14:paraId="72F3285B" w14:textId="4C43A2CA" w:rsidR="0066529D" w:rsidRDefault="00A901FF">
      <w:pPr>
        <w:pStyle w:val="TOC1"/>
        <w:rPr>
          <w:rFonts w:asciiTheme="minorHAnsi" w:eastAsiaTheme="minorEastAsia" w:hAnsiTheme="minorHAnsi" w:cstheme="minorBidi"/>
          <w:noProof/>
          <w:szCs w:val="22"/>
          <w14:ligatures w14:val="standardContextual"/>
        </w:rPr>
      </w:pPr>
      <w:hyperlink w:anchor="_Toc146096088" w:history="1">
        <w:r>
          <w:rPr>
            <w:rStyle w:val="afa"/>
            <w:rFonts w:asciiTheme="minorEastAsia" w:hAnsiTheme="minorEastAsia"/>
            <w:noProof/>
          </w:rPr>
          <w:t>第十二部分  基金的收益分配</w:t>
        </w:r>
        <w:r>
          <w:rPr>
            <w:noProof/>
          </w:rPr>
          <w:tab/>
        </w:r>
        <w:r>
          <w:rPr>
            <w:noProof/>
          </w:rPr>
          <w:fldChar w:fldCharType="begin"/>
        </w:r>
        <w:r>
          <w:rPr>
            <w:noProof/>
          </w:rPr>
          <w:instrText xml:space="preserve"> PAGEREF _Toc146096088 \h </w:instrText>
        </w:r>
        <w:r>
          <w:rPr>
            <w:noProof/>
          </w:rPr>
        </w:r>
        <w:r>
          <w:rPr>
            <w:noProof/>
          </w:rPr>
          <w:fldChar w:fldCharType="separate"/>
        </w:r>
        <w:r w:rsidR="00736572">
          <w:rPr>
            <w:noProof/>
          </w:rPr>
          <w:t>69</w:t>
        </w:r>
        <w:r>
          <w:rPr>
            <w:noProof/>
          </w:rPr>
          <w:fldChar w:fldCharType="end"/>
        </w:r>
      </w:hyperlink>
    </w:p>
    <w:p w14:paraId="75601142" w14:textId="6322FC7A" w:rsidR="0066529D" w:rsidRDefault="00A901FF">
      <w:pPr>
        <w:pStyle w:val="TOC1"/>
        <w:rPr>
          <w:rFonts w:asciiTheme="minorHAnsi" w:eastAsiaTheme="minorEastAsia" w:hAnsiTheme="minorHAnsi" w:cstheme="minorBidi"/>
          <w:noProof/>
          <w:szCs w:val="22"/>
          <w14:ligatures w14:val="standardContextual"/>
        </w:rPr>
      </w:pPr>
      <w:hyperlink w:anchor="_Toc146096089" w:history="1">
        <w:r>
          <w:rPr>
            <w:rStyle w:val="afa"/>
            <w:rFonts w:asciiTheme="minorEastAsia" w:hAnsiTheme="minorEastAsia"/>
            <w:noProof/>
          </w:rPr>
          <w:t>第十三部分  基金费用与税收</w:t>
        </w:r>
        <w:r>
          <w:rPr>
            <w:noProof/>
          </w:rPr>
          <w:tab/>
        </w:r>
        <w:r>
          <w:rPr>
            <w:noProof/>
          </w:rPr>
          <w:fldChar w:fldCharType="begin"/>
        </w:r>
        <w:r>
          <w:rPr>
            <w:noProof/>
          </w:rPr>
          <w:instrText xml:space="preserve"> PAGEREF _Toc146096089 \h </w:instrText>
        </w:r>
        <w:r>
          <w:rPr>
            <w:noProof/>
          </w:rPr>
        </w:r>
        <w:r>
          <w:rPr>
            <w:noProof/>
          </w:rPr>
          <w:fldChar w:fldCharType="separate"/>
        </w:r>
        <w:r w:rsidR="00736572">
          <w:rPr>
            <w:noProof/>
          </w:rPr>
          <w:t>71</w:t>
        </w:r>
        <w:r>
          <w:rPr>
            <w:noProof/>
          </w:rPr>
          <w:fldChar w:fldCharType="end"/>
        </w:r>
      </w:hyperlink>
    </w:p>
    <w:p w14:paraId="018307E4" w14:textId="2DEA5FEF" w:rsidR="0066529D" w:rsidRDefault="00A901FF">
      <w:pPr>
        <w:pStyle w:val="TOC1"/>
        <w:rPr>
          <w:rFonts w:asciiTheme="minorHAnsi" w:eastAsiaTheme="minorEastAsia" w:hAnsiTheme="minorHAnsi" w:cstheme="minorBidi"/>
          <w:noProof/>
          <w:szCs w:val="22"/>
          <w14:ligatures w14:val="standardContextual"/>
        </w:rPr>
      </w:pPr>
      <w:hyperlink w:anchor="_Toc146096090" w:history="1">
        <w:r>
          <w:rPr>
            <w:rStyle w:val="afa"/>
            <w:rFonts w:asciiTheme="minorEastAsia" w:hAnsiTheme="minorEastAsia"/>
            <w:noProof/>
          </w:rPr>
          <w:t>第十四部分  基金的会计与审计</w:t>
        </w:r>
        <w:r>
          <w:rPr>
            <w:noProof/>
          </w:rPr>
          <w:tab/>
        </w:r>
        <w:r>
          <w:rPr>
            <w:noProof/>
          </w:rPr>
          <w:fldChar w:fldCharType="begin"/>
        </w:r>
        <w:r>
          <w:rPr>
            <w:noProof/>
          </w:rPr>
          <w:instrText xml:space="preserve"> PAGEREF _Toc146096090 \h </w:instrText>
        </w:r>
        <w:r>
          <w:rPr>
            <w:noProof/>
          </w:rPr>
        </w:r>
        <w:r>
          <w:rPr>
            <w:noProof/>
          </w:rPr>
          <w:fldChar w:fldCharType="separate"/>
        </w:r>
        <w:r w:rsidR="00736572">
          <w:rPr>
            <w:noProof/>
          </w:rPr>
          <w:t>74</w:t>
        </w:r>
        <w:r>
          <w:rPr>
            <w:noProof/>
          </w:rPr>
          <w:fldChar w:fldCharType="end"/>
        </w:r>
      </w:hyperlink>
    </w:p>
    <w:p w14:paraId="1AD2737F" w14:textId="36537178" w:rsidR="0066529D" w:rsidRDefault="00A901FF">
      <w:pPr>
        <w:pStyle w:val="TOC1"/>
        <w:rPr>
          <w:rFonts w:asciiTheme="minorHAnsi" w:eastAsiaTheme="minorEastAsia" w:hAnsiTheme="minorHAnsi" w:cstheme="minorBidi"/>
          <w:noProof/>
          <w:szCs w:val="22"/>
          <w14:ligatures w14:val="standardContextual"/>
        </w:rPr>
      </w:pPr>
      <w:hyperlink w:anchor="_Toc146096091" w:history="1">
        <w:r>
          <w:rPr>
            <w:rStyle w:val="afa"/>
            <w:rFonts w:asciiTheme="minorEastAsia" w:hAnsiTheme="minorEastAsia"/>
            <w:noProof/>
          </w:rPr>
          <w:t>第十五部分  基金的信息披露</w:t>
        </w:r>
        <w:r>
          <w:rPr>
            <w:noProof/>
          </w:rPr>
          <w:tab/>
        </w:r>
        <w:r>
          <w:rPr>
            <w:noProof/>
          </w:rPr>
          <w:fldChar w:fldCharType="begin"/>
        </w:r>
        <w:r>
          <w:rPr>
            <w:noProof/>
          </w:rPr>
          <w:instrText xml:space="preserve"> PAGEREF _Toc146096091 \h </w:instrText>
        </w:r>
        <w:r>
          <w:rPr>
            <w:noProof/>
          </w:rPr>
        </w:r>
        <w:r>
          <w:rPr>
            <w:noProof/>
          </w:rPr>
          <w:fldChar w:fldCharType="separate"/>
        </w:r>
        <w:r w:rsidR="00736572">
          <w:rPr>
            <w:noProof/>
          </w:rPr>
          <w:t>75</w:t>
        </w:r>
        <w:r>
          <w:rPr>
            <w:noProof/>
          </w:rPr>
          <w:fldChar w:fldCharType="end"/>
        </w:r>
      </w:hyperlink>
    </w:p>
    <w:p w14:paraId="16A5956C" w14:textId="014A560A" w:rsidR="0066529D" w:rsidRDefault="00A901FF">
      <w:pPr>
        <w:pStyle w:val="TOC1"/>
        <w:rPr>
          <w:rFonts w:asciiTheme="minorHAnsi" w:eastAsiaTheme="minorEastAsia" w:hAnsiTheme="minorHAnsi" w:cstheme="minorBidi"/>
          <w:noProof/>
          <w:szCs w:val="22"/>
          <w14:ligatures w14:val="standardContextual"/>
        </w:rPr>
      </w:pPr>
      <w:hyperlink w:anchor="_Toc146096092" w:history="1">
        <w:r>
          <w:rPr>
            <w:rStyle w:val="afa"/>
            <w:rFonts w:asciiTheme="minorEastAsia" w:hAnsiTheme="minorEastAsia"/>
            <w:noProof/>
          </w:rPr>
          <w:t>第十六部分  风险揭示</w:t>
        </w:r>
        <w:r>
          <w:rPr>
            <w:noProof/>
          </w:rPr>
          <w:tab/>
        </w:r>
        <w:r>
          <w:rPr>
            <w:noProof/>
          </w:rPr>
          <w:fldChar w:fldCharType="begin"/>
        </w:r>
        <w:r>
          <w:rPr>
            <w:noProof/>
          </w:rPr>
          <w:instrText xml:space="preserve"> PAGEREF _Toc146096092 \h </w:instrText>
        </w:r>
        <w:r>
          <w:rPr>
            <w:noProof/>
          </w:rPr>
        </w:r>
        <w:r>
          <w:rPr>
            <w:noProof/>
          </w:rPr>
          <w:fldChar w:fldCharType="separate"/>
        </w:r>
        <w:r w:rsidR="00736572">
          <w:rPr>
            <w:noProof/>
          </w:rPr>
          <w:t>82</w:t>
        </w:r>
        <w:r>
          <w:rPr>
            <w:noProof/>
          </w:rPr>
          <w:fldChar w:fldCharType="end"/>
        </w:r>
      </w:hyperlink>
    </w:p>
    <w:p w14:paraId="69621DBF" w14:textId="138964E6" w:rsidR="0066529D" w:rsidRDefault="00A901FF">
      <w:pPr>
        <w:pStyle w:val="TOC1"/>
        <w:rPr>
          <w:rFonts w:asciiTheme="minorHAnsi" w:eastAsiaTheme="minorEastAsia" w:hAnsiTheme="minorHAnsi" w:cstheme="minorBidi"/>
          <w:noProof/>
          <w:szCs w:val="22"/>
          <w14:ligatures w14:val="standardContextual"/>
        </w:rPr>
      </w:pPr>
      <w:hyperlink w:anchor="_Toc146096093" w:history="1">
        <w:r>
          <w:rPr>
            <w:rStyle w:val="afa"/>
            <w:rFonts w:asciiTheme="minorEastAsia" w:hAnsiTheme="minorEastAsia"/>
            <w:noProof/>
          </w:rPr>
          <w:t>第十七部分  基金合同的变更、终止与基金财产的清算</w:t>
        </w:r>
        <w:r>
          <w:rPr>
            <w:noProof/>
          </w:rPr>
          <w:tab/>
        </w:r>
        <w:r>
          <w:rPr>
            <w:noProof/>
          </w:rPr>
          <w:fldChar w:fldCharType="begin"/>
        </w:r>
        <w:r>
          <w:rPr>
            <w:noProof/>
          </w:rPr>
          <w:instrText xml:space="preserve"> PAGEREF _Toc146096093 \h </w:instrText>
        </w:r>
        <w:r>
          <w:rPr>
            <w:noProof/>
          </w:rPr>
        </w:r>
        <w:r>
          <w:rPr>
            <w:noProof/>
          </w:rPr>
          <w:fldChar w:fldCharType="separate"/>
        </w:r>
        <w:r w:rsidR="00736572">
          <w:rPr>
            <w:noProof/>
          </w:rPr>
          <w:t>86</w:t>
        </w:r>
        <w:r>
          <w:rPr>
            <w:noProof/>
          </w:rPr>
          <w:fldChar w:fldCharType="end"/>
        </w:r>
      </w:hyperlink>
    </w:p>
    <w:p w14:paraId="741C11D8" w14:textId="13104BCB" w:rsidR="0066529D" w:rsidRDefault="00A901FF">
      <w:pPr>
        <w:pStyle w:val="TOC1"/>
        <w:rPr>
          <w:rFonts w:asciiTheme="minorHAnsi" w:eastAsiaTheme="minorEastAsia" w:hAnsiTheme="minorHAnsi" w:cstheme="minorBidi"/>
          <w:noProof/>
          <w:szCs w:val="22"/>
          <w14:ligatures w14:val="standardContextual"/>
        </w:rPr>
      </w:pPr>
      <w:hyperlink w:anchor="_Toc146096094" w:history="1">
        <w:r>
          <w:rPr>
            <w:rStyle w:val="afa"/>
            <w:rFonts w:asciiTheme="minorEastAsia" w:hAnsiTheme="minorEastAsia"/>
            <w:noProof/>
          </w:rPr>
          <w:t>第十八部分  基金合同的内容摘要</w:t>
        </w:r>
        <w:r>
          <w:rPr>
            <w:noProof/>
          </w:rPr>
          <w:tab/>
        </w:r>
        <w:r>
          <w:rPr>
            <w:noProof/>
          </w:rPr>
          <w:fldChar w:fldCharType="begin"/>
        </w:r>
        <w:r>
          <w:rPr>
            <w:noProof/>
          </w:rPr>
          <w:instrText xml:space="preserve"> PAGEREF _Toc146096094 \h </w:instrText>
        </w:r>
        <w:r>
          <w:rPr>
            <w:noProof/>
          </w:rPr>
        </w:r>
        <w:r>
          <w:rPr>
            <w:noProof/>
          </w:rPr>
          <w:fldChar w:fldCharType="separate"/>
        </w:r>
        <w:r w:rsidR="00736572">
          <w:rPr>
            <w:noProof/>
          </w:rPr>
          <w:t>88</w:t>
        </w:r>
        <w:r>
          <w:rPr>
            <w:noProof/>
          </w:rPr>
          <w:fldChar w:fldCharType="end"/>
        </w:r>
      </w:hyperlink>
    </w:p>
    <w:p w14:paraId="73E591BD" w14:textId="69BC1A28" w:rsidR="0066529D" w:rsidRDefault="00A901FF">
      <w:pPr>
        <w:pStyle w:val="TOC1"/>
        <w:rPr>
          <w:rFonts w:asciiTheme="minorHAnsi" w:eastAsiaTheme="minorEastAsia" w:hAnsiTheme="minorHAnsi" w:cstheme="minorBidi"/>
          <w:noProof/>
          <w:szCs w:val="22"/>
          <w14:ligatures w14:val="standardContextual"/>
        </w:rPr>
      </w:pPr>
      <w:hyperlink w:anchor="_Toc146096095" w:history="1">
        <w:r>
          <w:rPr>
            <w:rStyle w:val="afa"/>
            <w:rFonts w:asciiTheme="minorEastAsia" w:hAnsiTheme="minorEastAsia"/>
            <w:noProof/>
          </w:rPr>
          <w:t>第十九部分  基金托管协议的内容摘要</w:t>
        </w:r>
        <w:r>
          <w:rPr>
            <w:noProof/>
          </w:rPr>
          <w:tab/>
        </w:r>
        <w:r>
          <w:rPr>
            <w:noProof/>
          </w:rPr>
          <w:fldChar w:fldCharType="begin"/>
        </w:r>
        <w:r>
          <w:rPr>
            <w:noProof/>
          </w:rPr>
          <w:instrText xml:space="preserve"> PAGEREF _Toc146096095 \h </w:instrText>
        </w:r>
        <w:r>
          <w:rPr>
            <w:noProof/>
          </w:rPr>
        </w:r>
        <w:r>
          <w:rPr>
            <w:noProof/>
          </w:rPr>
          <w:fldChar w:fldCharType="separate"/>
        </w:r>
        <w:r w:rsidR="00736572">
          <w:rPr>
            <w:noProof/>
          </w:rPr>
          <w:t>104</w:t>
        </w:r>
        <w:r>
          <w:rPr>
            <w:noProof/>
          </w:rPr>
          <w:fldChar w:fldCharType="end"/>
        </w:r>
      </w:hyperlink>
    </w:p>
    <w:p w14:paraId="4914ECAE" w14:textId="7899CAF4" w:rsidR="0066529D" w:rsidRDefault="00A901FF">
      <w:pPr>
        <w:pStyle w:val="TOC1"/>
        <w:rPr>
          <w:rFonts w:asciiTheme="minorHAnsi" w:eastAsiaTheme="minorEastAsia" w:hAnsiTheme="minorHAnsi" w:cstheme="minorBidi"/>
          <w:noProof/>
          <w:szCs w:val="22"/>
          <w14:ligatures w14:val="standardContextual"/>
        </w:rPr>
      </w:pPr>
      <w:hyperlink w:anchor="_Toc146096096" w:history="1">
        <w:r>
          <w:rPr>
            <w:rStyle w:val="afa"/>
            <w:rFonts w:asciiTheme="minorEastAsia" w:hAnsiTheme="minorEastAsia"/>
            <w:noProof/>
          </w:rPr>
          <w:t>第二十部分  对基金份额持有人的服务</w:t>
        </w:r>
        <w:r>
          <w:rPr>
            <w:noProof/>
          </w:rPr>
          <w:tab/>
        </w:r>
        <w:r>
          <w:rPr>
            <w:noProof/>
          </w:rPr>
          <w:fldChar w:fldCharType="begin"/>
        </w:r>
        <w:r>
          <w:rPr>
            <w:noProof/>
          </w:rPr>
          <w:instrText xml:space="preserve"> PAGEREF _Toc146096096 \h </w:instrText>
        </w:r>
        <w:r>
          <w:rPr>
            <w:noProof/>
          </w:rPr>
        </w:r>
        <w:r>
          <w:rPr>
            <w:noProof/>
          </w:rPr>
          <w:fldChar w:fldCharType="separate"/>
        </w:r>
        <w:r w:rsidR="00736572">
          <w:rPr>
            <w:noProof/>
          </w:rPr>
          <w:t>117</w:t>
        </w:r>
        <w:r>
          <w:rPr>
            <w:noProof/>
          </w:rPr>
          <w:fldChar w:fldCharType="end"/>
        </w:r>
      </w:hyperlink>
    </w:p>
    <w:p w14:paraId="42C8B424" w14:textId="4A30DE12" w:rsidR="0066529D" w:rsidRDefault="00A901FF">
      <w:pPr>
        <w:pStyle w:val="TOC1"/>
        <w:rPr>
          <w:rFonts w:asciiTheme="minorHAnsi" w:eastAsiaTheme="minorEastAsia" w:hAnsiTheme="minorHAnsi" w:cstheme="minorBidi"/>
          <w:noProof/>
          <w:szCs w:val="22"/>
          <w14:ligatures w14:val="standardContextual"/>
        </w:rPr>
      </w:pPr>
      <w:hyperlink w:anchor="_Toc146096097" w:history="1">
        <w:r>
          <w:rPr>
            <w:rStyle w:val="afa"/>
            <w:rFonts w:asciiTheme="minorEastAsia" w:hAnsiTheme="minorEastAsia"/>
            <w:noProof/>
          </w:rPr>
          <w:t>第二十一部分  其他应披露事项</w:t>
        </w:r>
        <w:r>
          <w:rPr>
            <w:noProof/>
          </w:rPr>
          <w:tab/>
        </w:r>
        <w:r>
          <w:rPr>
            <w:noProof/>
          </w:rPr>
          <w:fldChar w:fldCharType="begin"/>
        </w:r>
        <w:r>
          <w:rPr>
            <w:noProof/>
          </w:rPr>
          <w:instrText xml:space="preserve"> PAGEREF _Toc146096097 \h </w:instrText>
        </w:r>
        <w:r>
          <w:rPr>
            <w:noProof/>
          </w:rPr>
        </w:r>
        <w:r>
          <w:rPr>
            <w:noProof/>
          </w:rPr>
          <w:fldChar w:fldCharType="separate"/>
        </w:r>
        <w:r w:rsidR="00736572">
          <w:rPr>
            <w:noProof/>
          </w:rPr>
          <w:t>119</w:t>
        </w:r>
        <w:r>
          <w:rPr>
            <w:noProof/>
          </w:rPr>
          <w:fldChar w:fldCharType="end"/>
        </w:r>
      </w:hyperlink>
    </w:p>
    <w:p w14:paraId="28B39642" w14:textId="52E65148" w:rsidR="0066529D" w:rsidRDefault="00A901FF">
      <w:pPr>
        <w:pStyle w:val="TOC1"/>
        <w:rPr>
          <w:rFonts w:asciiTheme="minorHAnsi" w:eastAsiaTheme="minorEastAsia" w:hAnsiTheme="minorHAnsi" w:cstheme="minorBidi"/>
          <w:noProof/>
          <w:szCs w:val="22"/>
          <w14:ligatures w14:val="standardContextual"/>
        </w:rPr>
      </w:pPr>
      <w:hyperlink w:anchor="_Toc146096098" w:history="1">
        <w:r>
          <w:rPr>
            <w:rStyle w:val="afa"/>
            <w:rFonts w:asciiTheme="minorEastAsia" w:hAnsiTheme="minorEastAsia"/>
            <w:noProof/>
          </w:rPr>
          <w:t>第二十二部分  招募说明书存放及查阅方式</w:t>
        </w:r>
        <w:r>
          <w:rPr>
            <w:noProof/>
          </w:rPr>
          <w:tab/>
        </w:r>
        <w:r>
          <w:rPr>
            <w:noProof/>
          </w:rPr>
          <w:fldChar w:fldCharType="begin"/>
        </w:r>
        <w:r>
          <w:rPr>
            <w:noProof/>
          </w:rPr>
          <w:instrText xml:space="preserve"> PAGEREF _Toc146096098 \h </w:instrText>
        </w:r>
        <w:r>
          <w:rPr>
            <w:noProof/>
          </w:rPr>
        </w:r>
        <w:r>
          <w:rPr>
            <w:noProof/>
          </w:rPr>
          <w:fldChar w:fldCharType="separate"/>
        </w:r>
        <w:r w:rsidR="00736572">
          <w:rPr>
            <w:noProof/>
          </w:rPr>
          <w:t>121</w:t>
        </w:r>
        <w:r>
          <w:rPr>
            <w:noProof/>
          </w:rPr>
          <w:fldChar w:fldCharType="end"/>
        </w:r>
      </w:hyperlink>
    </w:p>
    <w:p w14:paraId="0C9818E7" w14:textId="79F498D1" w:rsidR="0066529D" w:rsidRDefault="00A901FF">
      <w:pPr>
        <w:pStyle w:val="TOC1"/>
        <w:rPr>
          <w:rFonts w:asciiTheme="minorHAnsi" w:eastAsiaTheme="minorEastAsia" w:hAnsiTheme="minorHAnsi" w:cstheme="minorBidi"/>
          <w:noProof/>
          <w:szCs w:val="22"/>
          <w14:ligatures w14:val="standardContextual"/>
        </w:rPr>
      </w:pPr>
      <w:hyperlink w:anchor="_Toc146096099" w:history="1">
        <w:r>
          <w:rPr>
            <w:rStyle w:val="afa"/>
            <w:rFonts w:asciiTheme="minorEastAsia" w:hAnsiTheme="minorEastAsia"/>
            <w:noProof/>
          </w:rPr>
          <w:t>第二十三部分  备查文件</w:t>
        </w:r>
        <w:r>
          <w:rPr>
            <w:noProof/>
          </w:rPr>
          <w:tab/>
        </w:r>
        <w:r>
          <w:rPr>
            <w:noProof/>
          </w:rPr>
          <w:fldChar w:fldCharType="begin"/>
        </w:r>
        <w:r>
          <w:rPr>
            <w:noProof/>
          </w:rPr>
          <w:instrText xml:space="preserve"> PAGEREF _Toc146096099 \h </w:instrText>
        </w:r>
        <w:r>
          <w:rPr>
            <w:noProof/>
          </w:rPr>
        </w:r>
        <w:r>
          <w:rPr>
            <w:noProof/>
          </w:rPr>
          <w:fldChar w:fldCharType="separate"/>
        </w:r>
        <w:r w:rsidR="00736572">
          <w:rPr>
            <w:noProof/>
          </w:rPr>
          <w:t>122</w:t>
        </w:r>
        <w:r>
          <w:rPr>
            <w:noProof/>
          </w:rPr>
          <w:fldChar w:fldCharType="end"/>
        </w:r>
      </w:hyperlink>
    </w:p>
    <w:p w14:paraId="35A94A5C" w14:textId="77777777" w:rsidR="0066529D" w:rsidRDefault="00A901FF">
      <w:pPr>
        <w:rPr>
          <w:rFonts w:asciiTheme="minorEastAsia" w:hAnsiTheme="minorEastAsia" w:hint="eastAsia"/>
        </w:rPr>
        <w:sectPr w:rsidR="0066529D">
          <w:pgSz w:w="11906" w:h="16838"/>
          <w:pgMar w:top="1440" w:right="1800" w:bottom="1440" w:left="1800" w:header="851" w:footer="992" w:gutter="0"/>
          <w:pgNumType w:chapStyle="1"/>
          <w:cols w:space="720"/>
          <w:docGrid w:type="lines" w:linePitch="312"/>
        </w:sectPr>
      </w:pPr>
      <w:r>
        <w:rPr>
          <w:rFonts w:asciiTheme="minorEastAsia" w:hAnsiTheme="minorEastAsia"/>
        </w:rPr>
        <w:fldChar w:fldCharType="end"/>
      </w:r>
      <w:bookmarkStart w:id="35" w:name="_Toc416264537"/>
      <w:bookmarkStart w:id="36" w:name="_Toc263092309"/>
      <w:bookmarkStart w:id="37" w:name="_Toc6617"/>
      <w:bookmarkStart w:id="38" w:name="_Toc15067"/>
      <w:bookmarkStart w:id="39" w:name="_Toc352229747"/>
      <w:bookmarkStart w:id="40" w:name="_Toc21301"/>
      <w:bookmarkStart w:id="41" w:name="_Toc258829399"/>
      <w:bookmarkStart w:id="42" w:name="_Toc2465"/>
      <w:bookmarkStart w:id="43" w:name="_Toc819"/>
      <w:bookmarkStart w:id="44" w:name="_Toc31551"/>
      <w:bookmarkStart w:id="45" w:name="_Toc22864"/>
      <w:bookmarkStart w:id="46" w:name="_Toc3224"/>
      <w:bookmarkStart w:id="47" w:name="_Toc24860"/>
      <w:bookmarkStart w:id="48" w:name="_Toc13020"/>
      <w:bookmarkStart w:id="49" w:name="_Toc19592"/>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p>
    <w:p w14:paraId="17427440" w14:textId="77777777" w:rsidR="0066529D" w:rsidRDefault="00A901FF">
      <w:pPr>
        <w:pStyle w:val="1"/>
        <w:jc w:val="center"/>
        <w:rPr>
          <w:rFonts w:asciiTheme="minorEastAsia" w:eastAsiaTheme="minorEastAsia" w:hAnsiTheme="minorEastAsia" w:hint="eastAsia"/>
          <w:sz w:val="30"/>
          <w:szCs w:val="30"/>
        </w:rPr>
      </w:pPr>
      <w:bookmarkStart w:id="50" w:name="_Toc146096077"/>
      <w:r>
        <w:rPr>
          <w:rFonts w:asciiTheme="minorEastAsia" w:eastAsiaTheme="minorEastAsia" w:hAnsiTheme="minorEastAsia" w:hint="eastAsia"/>
          <w:sz w:val="30"/>
          <w:szCs w:val="30"/>
        </w:rPr>
        <w:lastRenderedPageBreak/>
        <w:t>第一部分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绪言</w:t>
      </w:r>
      <w:bookmarkEnd w:id="35"/>
      <w:bookmarkEnd w:id="36"/>
      <w:bookmarkEnd w:id="50"/>
    </w:p>
    <w:p w14:paraId="6B726DF9"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康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公开募集证券投资基金信息披露管理办法》（以下简称“《信息披露办法》”）、《公开募集开放式证券投资基金流动性风险管理规定》（以下简称“《管理规定》”）以及《富荣福康混合型证券投资基金基金合同》（以下简称“基金合同”）编写。</w:t>
      </w:r>
    </w:p>
    <w:p w14:paraId="1FF1E88A"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E72AC02"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康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03D9335"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79D67089" w14:textId="77777777" w:rsidR="0066529D" w:rsidRDefault="0066529D">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66529D">
          <w:footerReference w:type="default" r:id="rId13"/>
          <w:pgSz w:w="11906" w:h="16838"/>
          <w:pgMar w:top="1440" w:right="1800" w:bottom="1440" w:left="1800" w:header="851" w:footer="992" w:gutter="0"/>
          <w:pgNumType w:chapStyle="1"/>
          <w:cols w:space="720"/>
          <w:docGrid w:type="lines" w:linePitch="312"/>
        </w:sectPr>
      </w:pPr>
      <w:bookmarkStart w:id="51" w:name="_Toc20627"/>
      <w:bookmarkStart w:id="52" w:name="_Toc22708"/>
      <w:bookmarkStart w:id="53" w:name="_Toc20318"/>
      <w:bookmarkStart w:id="54" w:name="_Toc733"/>
      <w:bookmarkStart w:id="55" w:name="_Toc5246"/>
      <w:bookmarkStart w:id="56" w:name="_Toc545"/>
      <w:bookmarkStart w:id="57" w:name="_Toc13288"/>
      <w:bookmarkStart w:id="58" w:name="_Toc6683"/>
      <w:bookmarkStart w:id="59" w:name="_Toc18631"/>
      <w:bookmarkStart w:id="60" w:name="_Toc24571"/>
      <w:bookmarkStart w:id="61" w:name="_Toc6149"/>
      <w:bookmarkStart w:id="62" w:name="_Toc352229748"/>
      <w:bookmarkStart w:id="63" w:name="_Toc258829400"/>
      <w:bookmarkStart w:id="64" w:name="_Toc233456272"/>
      <w:bookmarkEnd w:id="34"/>
      <w:bookmarkEnd w:id="37"/>
      <w:bookmarkEnd w:id="38"/>
      <w:bookmarkEnd w:id="39"/>
      <w:bookmarkEnd w:id="40"/>
      <w:bookmarkEnd w:id="41"/>
      <w:bookmarkEnd w:id="42"/>
      <w:bookmarkEnd w:id="43"/>
      <w:bookmarkEnd w:id="44"/>
      <w:bookmarkEnd w:id="45"/>
      <w:bookmarkEnd w:id="46"/>
      <w:bookmarkEnd w:id="47"/>
      <w:bookmarkEnd w:id="48"/>
      <w:bookmarkEnd w:id="49"/>
    </w:p>
    <w:p w14:paraId="080A7224" w14:textId="77777777" w:rsidR="0066529D" w:rsidRDefault="00A901FF">
      <w:pPr>
        <w:pStyle w:val="1"/>
        <w:jc w:val="center"/>
        <w:rPr>
          <w:rFonts w:asciiTheme="minorEastAsia" w:eastAsiaTheme="minorEastAsia" w:hAnsiTheme="minorEastAsia" w:hint="eastAsia"/>
          <w:sz w:val="30"/>
          <w:szCs w:val="30"/>
        </w:rPr>
      </w:pPr>
      <w:bookmarkStart w:id="65" w:name="_Toc146096078"/>
      <w:r>
        <w:rPr>
          <w:rFonts w:asciiTheme="minorEastAsia" w:eastAsiaTheme="minorEastAsia" w:hAnsiTheme="minorEastAsia" w:hint="eastAsia"/>
          <w:sz w:val="30"/>
          <w:szCs w:val="30"/>
        </w:rPr>
        <w:lastRenderedPageBreak/>
        <w:t>第二部分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释义</w:t>
      </w:r>
      <w:bookmarkEnd w:id="65"/>
    </w:p>
    <w:p w14:paraId="13C976DE"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32E1E76F"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、基金或本基金：指富荣福康混合型证券投资基金</w:t>
      </w:r>
    </w:p>
    <w:p w14:paraId="1F785D6D"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67A4D8BD"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、基金托管人：指中国光大银行股份有限公司</w:t>
      </w:r>
    </w:p>
    <w:p w14:paraId="3A1BC911"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、基金合同：指《富荣福康混合型证券投资基金基金合同》及对基金合同的任何有效修订和补充</w:t>
      </w:r>
    </w:p>
    <w:p w14:paraId="56FD550F"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、托管协议：指基金管理人与基金托管人就本基金签订之《富荣福康混合型证券投资基金托管协议》及对该托管协议的任何有效修订和补充</w:t>
      </w:r>
    </w:p>
    <w:p w14:paraId="4FB51004"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、招募说明书或本招募说明书：指《富荣福康混合型证券投资基金招募说明书》及其更新</w:t>
      </w:r>
    </w:p>
    <w:p w14:paraId="7034550C"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7、基金产品资料概要：指《富荣福康混合型证券投资基金基金产品资料概要》及其更新</w:t>
      </w:r>
    </w:p>
    <w:p w14:paraId="22AFA745"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、基金份额发售公告：指《富荣福康混合型证券投资基金基金份额发售公告》</w:t>
      </w:r>
    </w:p>
    <w:p w14:paraId="47B0C9EC"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43F43FD"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w:t>
      </w:r>
      <w:r>
        <w:rPr>
          <w:rFonts w:asciiTheme="minorEastAsia" w:hAnsiTheme="minorEastAsia" w:cs="Times New Roman"/>
          <w:sz w:val="24"/>
          <w:szCs w:val="24"/>
        </w:rPr>
        <w:t>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A203845"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711B9677"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、《信息披露办法》：指中国证监会</w:t>
      </w:r>
      <w:r>
        <w:rPr>
          <w:rFonts w:asciiTheme="minorEastAsia" w:hAnsiTheme="minorEastAsia" w:cs="Times New Roman"/>
          <w:sz w:val="24"/>
          <w:szCs w:val="24"/>
        </w:rPr>
        <w:t>2019年7月26日颁布、同年9月1日实施的《公开募集证券投资基金信息披露管理办法》</w:t>
      </w:r>
      <w:r>
        <w:rPr>
          <w:rFonts w:asciiTheme="minorEastAsia" w:hAnsiTheme="minorEastAsia" w:cs="Times New Roman" w:hint="eastAsia"/>
          <w:sz w:val="24"/>
          <w:szCs w:val="24"/>
        </w:rPr>
        <w:t>及颁布机关对其不时做出的修订</w:t>
      </w:r>
    </w:p>
    <w:p w14:paraId="4A68468B"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1D673151"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14</w:t>
      </w:r>
      <w:r>
        <w:rPr>
          <w:rFonts w:asciiTheme="minorEastAsia" w:hAnsiTheme="minorEastAsia" w:hint="eastAsia"/>
          <w:bCs/>
          <w:sz w:val="24"/>
          <w:szCs w:val="24"/>
        </w:rPr>
        <w:t>、《管理规定》：指中国证监会</w:t>
      </w:r>
      <w:r>
        <w:rPr>
          <w:rFonts w:asciiTheme="minorEastAsia" w:hAnsiTheme="minorEastAsia"/>
          <w:bCs/>
          <w:sz w:val="24"/>
          <w:szCs w:val="24"/>
        </w:rPr>
        <w:t>2017</w:t>
      </w:r>
      <w:r>
        <w:rPr>
          <w:rFonts w:asciiTheme="minorEastAsia" w:hAnsiTheme="minorEastAsia" w:hint="eastAsia"/>
          <w:bCs/>
          <w:sz w:val="24"/>
          <w:szCs w:val="24"/>
        </w:rPr>
        <w:t>年</w:t>
      </w:r>
      <w:r>
        <w:rPr>
          <w:rFonts w:asciiTheme="minorEastAsia" w:hAnsiTheme="minorEastAsia"/>
          <w:bCs/>
          <w:sz w:val="24"/>
          <w:szCs w:val="24"/>
        </w:rPr>
        <w:t>8</w:t>
      </w:r>
      <w:r>
        <w:rPr>
          <w:rFonts w:asciiTheme="minorEastAsia" w:hAnsiTheme="minorEastAsia" w:hint="eastAsia"/>
          <w:bCs/>
          <w:sz w:val="24"/>
          <w:szCs w:val="24"/>
        </w:rPr>
        <w:t>月</w:t>
      </w:r>
      <w:r>
        <w:rPr>
          <w:rFonts w:asciiTheme="minorEastAsia" w:hAnsiTheme="minorEastAsia"/>
          <w:bCs/>
          <w:sz w:val="24"/>
          <w:szCs w:val="24"/>
        </w:rPr>
        <w:t>31</w:t>
      </w:r>
      <w:r>
        <w:rPr>
          <w:rFonts w:asciiTheme="minorEastAsia" w:hAnsiTheme="minorEastAsia" w:hint="eastAsia"/>
          <w:bCs/>
          <w:sz w:val="24"/>
          <w:szCs w:val="24"/>
        </w:rPr>
        <w:t>日颁布、同年</w:t>
      </w:r>
      <w:r>
        <w:rPr>
          <w:rFonts w:asciiTheme="minorEastAsia" w:hAnsiTheme="minorEastAsia"/>
          <w:bCs/>
          <w:sz w:val="24"/>
          <w:szCs w:val="24"/>
        </w:rPr>
        <w:t>10</w:t>
      </w:r>
      <w:r>
        <w:rPr>
          <w:rFonts w:asciiTheme="minorEastAsia" w:hAnsiTheme="minorEastAsia" w:hint="eastAsia"/>
          <w:bCs/>
          <w:sz w:val="24"/>
          <w:szCs w:val="24"/>
        </w:rPr>
        <w:t>月</w:t>
      </w:r>
      <w:r>
        <w:rPr>
          <w:rFonts w:asciiTheme="minorEastAsia" w:hAnsiTheme="minorEastAsia"/>
          <w:bCs/>
          <w:sz w:val="24"/>
          <w:szCs w:val="24"/>
        </w:rPr>
        <w:t>1</w:t>
      </w:r>
      <w:r>
        <w:rPr>
          <w:rFonts w:asciiTheme="minorEastAsia" w:hAnsiTheme="minorEastAsia" w:hint="eastAsia"/>
          <w:bCs/>
          <w:sz w:val="24"/>
          <w:szCs w:val="24"/>
        </w:rPr>
        <w:t>日实</w:t>
      </w:r>
      <w:r>
        <w:rPr>
          <w:rFonts w:asciiTheme="minorEastAsia" w:hAnsiTheme="minorEastAsia" w:hint="eastAsia"/>
          <w:bCs/>
          <w:sz w:val="24"/>
          <w:szCs w:val="24"/>
        </w:rPr>
        <w:lastRenderedPageBreak/>
        <w:t>施的《公开募集开放式证券投资基金流动性风险管理规定》及颁布机关对其不时做出的修订</w:t>
      </w:r>
    </w:p>
    <w:p w14:paraId="1ADBBCB5"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7AE31BC8"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75ADB20D"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3949A3B"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16ED8681"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314DB7C4"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0D8F96D3"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5899CE1B"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1F84B727"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17328BC"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9EE9EC4"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524DC9AD"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登记业务的机构。本基金的登记机构为富荣基金管理有限公司或接受富荣基金管理有限公司委托代为办理登记业务的机构</w:t>
      </w:r>
    </w:p>
    <w:p w14:paraId="0D3ED116"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3DE7E74C"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4A13231"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370F44A3"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5FC8FBF4"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3C769835"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2CB9F78E"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755AD54E"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38B5FF8E"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3919CBEB"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2DB0CE57"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72E89C85"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0C98E01"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2F59A796"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1D7EFC90"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2BABD656"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7A4A79A8"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62A08C3"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59ED583"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1971F708" w14:textId="77777777" w:rsidR="0066529D" w:rsidRDefault="00A901FF">
      <w:pPr>
        <w:adjustRightInd w:val="0"/>
        <w:snapToGrid w:val="0"/>
        <w:spacing w:line="360" w:lineRule="auto"/>
        <w:ind w:left="42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41EABB9"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67AEAC6D"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、销售服务费：指本基金用于持续销售和服务基金份额持有人的费用，该笔费用从</w:t>
      </w:r>
      <w:r>
        <w:rPr>
          <w:rFonts w:asciiTheme="minorEastAsia" w:hAnsiTheme="minorEastAsia" w:cs="Times New Roman"/>
          <w:sz w:val="24"/>
          <w:szCs w:val="24"/>
        </w:rPr>
        <w:t>C类份额的基金财产中计提，属于基金的营运费用</w:t>
      </w:r>
    </w:p>
    <w:p w14:paraId="3319B1BB"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7BC42E7E"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303896A1"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51</w:t>
      </w:r>
      <w:r>
        <w:rPr>
          <w:rFonts w:asciiTheme="minorEastAsia" w:hAnsiTheme="minorEastAsia" w:cs="Times New Roman" w:hint="eastAsia"/>
          <w:sz w:val="24"/>
          <w:szCs w:val="24"/>
        </w:rPr>
        <w:t>、基金份额净值：指计算日基金资产净值除以计算日基金份额总数</w:t>
      </w:r>
    </w:p>
    <w:p w14:paraId="05F765E6"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52</w:t>
      </w:r>
      <w:r>
        <w:rPr>
          <w:rFonts w:asciiTheme="minorEastAsia" w:hAnsiTheme="minorEastAsia" w:cs="Times New Roman" w:hint="eastAsia"/>
          <w:sz w:val="24"/>
          <w:szCs w:val="24"/>
        </w:rPr>
        <w:t>、基金资产估值：指计算评估基金资产和负债的价值，以确定基金资产净值和基金份额净值的过程</w:t>
      </w:r>
    </w:p>
    <w:p w14:paraId="7F0CE000"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53</w:t>
      </w:r>
      <w:r>
        <w:rPr>
          <w:rFonts w:asciiTheme="minorEastAsia" w:hAnsiTheme="minorEastAsia" w:cs="Times New Roman" w:hint="eastAsia"/>
          <w:sz w:val="24"/>
          <w:szCs w:val="24"/>
        </w:rPr>
        <w:t>、基金份额的类别：指本基金根据销售服务费收取方式的不同，将基金份额分为不同的类别</w:t>
      </w:r>
    </w:p>
    <w:p w14:paraId="2BFA49BA"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asciiTheme="minorEastAsia" w:hAnsiTheme="minorEastAsia" w:hint="eastAsia"/>
          <w:bCs/>
          <w:sz w:val="24"/>
          <w:szCs w:val="24"/>
        </w:rPr>
        <w:t>，在赎回时根据持有期限收取赎回费用的基金份额，</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3BEB2370"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asciiTheme="minorEastAsia" w:hAnsiTheme="minorEastAsia"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46BB4260"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56</w:t>
      </w:r>
      <w:r>
        <w:rPr>
          <w:rFonts w:asciiTheme="minorEastAsia" w:hAnsiTheme="minorEastAsia" w:hint="eastAsia"/>
          <w:bCs/>
          <w:sz w:val="24"/>
          <w:szCs w:val="24"/>
        </w:rPr>
        <w:t>、流动性受限资产：是指由于法律法规、监管、合同或操作障碍等原因无法以合理价格予以变现的资产，包括但不限于到期日在10</w:t>
      </w:r>
      <w:r>
        <w:rPr>
          <w:rFonts w:asciiTheme="minorEastAsia" w:hAnsiTheme="minorEastAsia"/>
          <w:bCs/>
          <w:sz w:val="24"/>
          <w:szCs w:val="24"/>
        </w:rPr>
        <w:t xml:space="preserve"> </w:t>
      </w:r>
      <w:proofErr w:type="gramStart"/>
      <w:r>
        <w:rPr>
          <w:rFonts w:asciiTheme="minorEastAsia" w:hAnsiTheme="minorEastAsia" w:hint="eastAsia"/>
          <w:bCs/>
          <w:sz w:val="24"/>
          <w:szCs w:val="24"/>
        </w:rPr>
        <w:t>个</w:t>
      </w:r>
      <w:proofErr w:type="gramEnd"/>
      <w:r>
        <w:rPr>
          <w:rFonts w:asciiTheme="minorEastAsia" w:hAnsiTheme="minorEastAsia" w:hint="eastAsia"/>
          <w:bCs/>
          <w:sz w:val="24"/>
          <w:szCs w:val="24"/>
        </w:rPr>
        <w:t>交易日以上的逆回购与银行定期存款（</w:t>
      </w:r>
      <w:proofErr w:type="gramStart"/>
      <w:r>
        <w:rPr>
          <w:rFonts w:asciiTheme="minorEastAsia" w:hAnsiTheme="minorEastAsia" w:hint="eastAsia"/>
          <w:bCs/>
          <w:sz w:val="24"/>
          <w:szCs w:val="24"/>
        </w:rPr>
        <w:t>含协议</w:t>
      </w:r>
      <w:proofErr w:type="gramEnd"/>
      <w:r>
        <w:rPr>
          <w:rFonts w:asciiTheme="minorEastAsia" w:hAnsiTheme="minorEastAsia" w:hint="eastAsia"/>
          <w:bCs/>
          <w:sz w:val="24"/>
          <w:szCs w:val="24"/>
        </w:rPr>
        <w:t>约定有条件提前支取的银行存款）、停牌股票、流通受限的新股及非公开发行股票、资产支持证券、因发行人债务违约无法进行转让</w:t>
      </w:r>
      <w:r>
        <w:rPr>
          <w:rFonts w:asciiTheme="minorEastAsia" w:hAnsiTheme="minorEastAsia" w:hint="eastAsia"/>
          <w:bCs/>
          <w:sz w:val="24"/>
          <w:szCs w:val="24"/>
        </w:rPr>
        <w:lastRenderedPageBreak/>
        <w:t>或交易的债券等</w:t>
      </w:r>
    </w:p>
    <w:p w14:paraId="18EE29AE"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57</w:t>
      </w:r>
      <w:r>
        <w:rPr>
          <w:rFonts w:asciiTheme="minorEastAsia" w:hAnsiTheme="minorEastAsia"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3C1B2A9" w14:textId="77777777" w:rsidR="0066529D" w:rsidRDefault="00A901FF">
      <w:pPr>
        <w:spacing w:line="360" w:lineRule="auto"/>
        <w:ind w:firstLineChars="200" w:firstLine="460"/>
        <w:rPr>
          <w:rFonts w:asciiTheme="minorEastAsia" w:hAnsiTheme="minorEastAsia" w:hint="eastAsia"/>
          <w:bCs/>
          <w:sz w:val="24"/>
          <w:szCs w:val="24"/>
        </w:rPr>
      </w:pPr>
      <w:r>
        <w:rPr>
          <w:rFonts w:asciiTheme="minorEastAsia" w:hAnsiTheme="minorEastAsia"/>
          <w:kern w:val="0"/>
          <w:sz w:val="23"/>
          <w:szCs w:val="23"/>
        </w:rPr>
        <w:t>58</w:t>
      </w:r>
      <w:r>
        <w:rPr>
          <w:rFonts w:asciiTheme="minorEastAsia" w:hAnsiTheme="minorEastAsia" w:hint="eastAsia"/>
          <w:bCs/>
          <w:sz w:val="24"/>
          <w:szCs w:val="24"/>
        </w:rPr>
        <w:t>、指定媒介：指中国证监会指定的用以进行信息披露的全国性报刊及指定互联网网站（包括基金管理人网站、基金托管人网站、中国证监会基金电子披露网站）等媒介</w:t>
      </w:r>
    </w:p>
    <w:p w14:paraId="38EFA495"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59</w:t>
      </w:r>
      <w:r>
        <w:rPr>
          <w:rFonts w:asciiTheme="minorEastAsia" w:hAnsiTheme="minorEastAsia" w:hint="eastAsia"/>
          <w:bCs/>
          <w:sz w:val="24"/>
          <w:szCs w:val="24"/>
        </w:rPr>
        <w:t>、不可抗力：指本基金合同当事人不能预见、不能避免且不能克服的客观事件</w:t>
      </w:r>
    </w:p>
    <w:p w14:paraId="5C89C1E4" w14:textId="77777777" w:rsidR="0066529D" w:rsidRDefault="00A901FF">
      <w:pPr>
        <w:widowControl/>
        <w:jc w:val="left"/>
        <w:rPr>
          <w:rFonts w:asciiTheme="minorEastAsia" w:hAnsiTheme="minorEastAsia" w:hint="eastAsia"/>
          <w:bCs/>
          <w:sz w:val="24"/>
          <w:szCs w:val="24"/>
        </w:rPr>
      </w:pPr>
      <w:r>
        <w:rPr>
          <w:rFonts w:asciiTheme="minorEastAsia" w:hAnsiTheme="minorEastAsia"/>
          <w:bCs/>
          <w:sz w:val="24"/>
          <w:szCs w:val="24"/>
        </w:rPr>
        <w:br w:type="page"/>
      </w:r>
    </w:p>
    <w:p w14:paraId="2BE038E5" w14:textId="77777777" w:rsidR="0066529D" w:rsidRDefault="00A901FF">
      <w:pPr>
        <w:pStyle w:val="1"/>
        <w:jc w:val="center"/>
        <w:rPr>
          <w:rFonts w:asciiTheme="minorEastAsia" w:eastAsiaTheme="minorEastAsia" w:hAnsiTheme="minorEastAsia" w:hint="eastAsia"/>
          <w:sz w:val="30"/>
          <w:szCs w:val="30"/>
        </w:rPr>
      </w:pPr>
      <w:bookmarkStart w:id="66" w:name="_Toc263092311"/>
      <w:bookmarkStart w:id="67" w:name="_Toc416264539"/>
      <w:bookmarkStart w:id="68" w:name="_Toc146096079"/>
      <w:bookmarkStart w:id="69" w:name="_Toc410197817"/>
      <w:bookmarkStart w:id="70" w:name="_Toc352229749"/>
      <w:bookmarkStart w:id="71" w:name="_Toc24682"/>
      <w:bookmarkStart w:id="72" w:name="_Toc16265"/>
      <w:bookmarkStart w:id="73" w:name="_Toc22074"/>
      <w:bookmarkStart w:id="74" w:name="_Toc90742321"/>
      <w:bookmarkStart w:id="75" w:name="_Toc6714"/>
      <w:bookmarkStart w:id="76" w:name="_Toc90742688"/>
      <w:bookmarkStart w:id="77" w:name="_Toc90742390"/>
      <w:bookmarkStart w:id="78" w:name="_Toc27189"/>
      <w:bookmarkStart w:id="79" w:name="_Toc27226"/>
      <w:bookmarkStart w:id="80" w:name="_Toc29784"/>
      <w:bookmarkStart w:id="81" w:name="_Toc15203"/>
      <w:bookmarkStart w:id="82" w:name="_Toc3266"/>
      <w:bookmarkStart w:id="83" w:name="_Toc29948"/>
      <w:bookmarkStart w:id="84" w:name="_Toc7151"/>
      <w:bookmarkEnd w:id="51"/>
      <w:bookmarkEnd w:id="52"/>
      <w:bookmarkEnd w:id="53"/>
      <w:bookmarkEnd w:id="54"/>
      <w:bookmarkEnd w:id="55"/>
      <w:bookmarkEnd w:id="56"/>
      <w:bookmarkEnd w:id="57"/>
      <w:bookmarkEnd w:id="58"/>
      <w:bookmarkEnd w:id="59"/>
      <w:bookmarkEnd w:id="60"/>
      <w:bookmarkEnd w:id="61"/>
      <w:bookmarkEnd w:id="62"/>
      <w:r>
        <w:rPr>
          <w:rFonts w:asciiTheme="minorEastAsia" w:eastAsiaTheme="minorEastAsia" w:hAnsiTheme="minorEastAsia" w:hint="eastAsia"/>
          <w:sz w:val="30"/>
          <w:szCs w:val="30"/>
        </w:rPr>
        <w:lastRenderedPageBreak/>
        <w:t>第三部分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基金管理人</w:t>
      </w:r>
      <w:bookmarkEnd w:id="66"/>
      <w:bookmarkEnd w:id="67"/>
      <w:bookmarkEnd w:id="68"/>
    </w:p>
    <w:p w14:paraId="53F386B3" w14:textId="77777777" w:rsidR="0066529D" w:rsidRDefault="00A901FF">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4083753E" w14:textId="77777777" w:rsidR="0066529D" w:rsidRDefault="00A901F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名称：富荣基金管理有限公司</w:t>
      </w:r>
    </w:p>
    <w:p w14:paraId="0E359ACD" w14:textId="77777777" w:rsidR="0066529D" w:rsidRDefault="00A901F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398064B1" w14:textId="77777777" w:rsidR="0066529D" w:rsidRDefault="00A901F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办公地址：广东省深圳市福田区八卦四路</w:t>
      </w:r>
      <w:r>
        <w:rPr>
          <w:rFonts w:asciiTheme="minorEastAsia" w:hAnsiTheme="minorEastAsia" w:cs="Times New Roman"/>
          <w:kern w:val="0"/>
          <w:sz w:val="24"/>
          <w:szCs w:val="24"/>
        </w:rPr>
        <w:t>52号安吉</w:t>
      </w:r>
      <w:r>
        <w:rPr>
          <w:rFonts w:asciiTheme="minorEastAsia" w:hAnsiTheme="minorEastAsia" w:cs="Times New Roman" w:hint="eastAsia"/>
          <w:kern w:val="0"/>
          <w:sz w:val="24"/>
          <w:szCs w:val="24"/>
        </w:rPr>
        <w:t>尔大厦</w:t>
      </w:r>
      <w:r>
        <w:rPr>
          <w:rFonts w:asciiTheme="minorEastAsia" w:hAnsiTheme="minorEastAsia" w:cs="Times New Roman"/>
          <w:kern w:val="0"/>
          <w:sz w:val="24"/>
          <w:szCs w:val="24"/>
        </w:rPr>
        <w:t>24层</w:t>
      </w:r>
    </w:p>
    <w:p w14:paraId="0DA3B950" w14:textId="77777777" w:rsidR="0066529D" w:rsidRDefault="00A901F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法定代表人：王亦伟</w:t>
      </w:r>
    </w:p>
    <w:p w14:paraId="5D08F1D3" w14:textId="77777777" w:rsidR="0066529D" w:rsidRDefault="00A901F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w:t>
      </w:r>
      <w:r>
        <w:rPr>
          <w:rFonts w:asciiTheme="minorEastAsia" w:hAnsiTheme="minorEastAsia" w:cs="Times New Roman"/>
          <w:kern w:val="0"/>
          <w:sz w:val="24"/>
          <w:szCs w:val="24"/>
        </w:rPr>
        <w:t>2016年1月25日</w:t>
      </w:r>
    </w:p>
    <w:p w14:paraId="3B321B99" w14:textId="77777777" w:rsidR="0066529D" w:rsidRDefault="00A901F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w:t>
      </w:r>
      <w:r>
        <w:rPr>
          <w:rFonts w:asciiTheme="minorEastAsia" w:hAnsiTheme="minorEastAsia" w:cs="Times New Roman"/>
          <w:kern w:val="0"/>
          <w:sz w:val="24"/>
          <w:szCs w:val="24"/>
        </w:rPr>
        <w:t>2</w:t>
      </w:r>
      <w:r>
        <w:rPr>
          <w:rFonts w:asciiTheme="minorEastAsia" w:hAnsiTheme="minorEastAsia" w:cs="Times New Roman" w:hint="eastAsia"/>
          <w:kern w:val="0"/>
          <w:sz w:val="24"/>
          <w:szCs w:val="24"/>
        </w:rPr>
        <w:t>亿元人民币</w:t>
      </w:r>
    </w:p>
    <w:p w14:paraId="0C597E4C" w14:textId="77777777" w:rsidR="0066529D" w:rsidRDefault="00A901F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604EE88C" w14:textId="77777777" w:rsidR="0066529D" w:rsidRDefault="00A901F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4E3C32E0" w14:textId="77777777" w:rsidR="0066529D" w:rsidRDefault="00A901FF">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w:t>
      </w:r>
      <w:r>
        <w:rPr>
          <w:rFonts w:asciiTheme="minorEastAsia" w:hAnsiTheme="minorEastAsia" w:cs="Times New Roman"/>
          <w:kern w:val="0"/>
          <w:sz w:val="24"/>
          <w:szCs w:val="24"/>
        </w:rPr>
        <w:t>0755）8435 663</w:t>
      </w:r>
      <w:r>
        <w:rPr>
          <w:rFonts w:asciiTheme="minorEastAsia" w:hAnsiTheme="minorEastAsia" w:cs="Times New Roman" w:hint="eastAsia"/>
          <w:kern w:val="0"/>
          <w:sz w:val="24"/>
          <w:szCs w:val="24"/>
        </w:rPr>
        <w:t>7</w:t>
      </w:r>
    </w:p>
    <w:p w14:paraId="7678AA6A"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股权结构：</w:t>
      </w:r>
      <w:r>
        <w:rPr>
          <w:rFonts w:asciiTheme="minorEastAsia" w:hAnsiTheme="minorEastAsia" w:cs="Arial"/>
          <w:kern w:val="0"/>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66529D" w14:paraId="10CFA6E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E2EAC0E" w14:textId="77777777" w:rsidR="0066529D" w:rsidRDefault="00A901FF">
            <w:pPr>
              <w:spacing w:line="360" w:lineRule="auto"/>
              <w:jc w:val="center"/>
              <w:rPr>
                <w:rFonts w:asciiTheme="minorEastAsia" w:hAnsiTheme="minorEastAsia" w:cs="Arial" w:hint="eastAsia"/>
                <w:b/>
                <w:kern w:val="0"/>
                <w:sz w:val="24"/>
                <w:szCs w:val="24"/>
              </w:rPr>
            </w:pPr>
            <w:r>
              <w:rPr>
                <w:rFonts w:asciiTheme="minorEastAsia" w:hAnsiTheme="minorEastAsia" w:cs="Arial" w:hint="eastAsia"/>
                <w:b/>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2F8B5F31" w14:textId="77777777" w:rsidR="0066529D" w:rsidRDefault="00A901FF">
            <w:pPr>
              <w:spacing w:line="360" w:lineRule="auto"/>
              <w:jc w:val="left"/>
              <w:rPr>
                <w:rFonts w:asciiTheme="minorEastAsia" w:hAnsiTheme="minorEastAsia" w:cs="Arial" w:hint="eastAsia"/>
                <w:b/>
                <w:kern w:val="0"/>
                <w:sz w:val="24"/>
                <w:szCs w:val="24"/>
              </w:rPr>
            </w:pPr>
            <w:r>
              <w:rPr>
                <w:rFonts w:asciiTheme="minorEastAsia" w:hAnsiTheme="minorEastAsia" w:cs="Arial" w:hint="eastAsia"/>
                <w:b/>
                <w:kern w:val="0"/>
                <w:sz w:val="24"/>
                <w:szCs w:val="24"/>
              </w:rPr>
              <w:t>出资比例</w:t>
            </w:r>
          </w:p>
        </w:tc>
      </w:tr>
      <w:tr w:rsidR="0066529D" w14:paraId="26FA8DB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943C0EC" w14:textId="77777777" w:rsidR="0066529D" w:rsidRDefault="00A901FF">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74CC3A7" w14:textId="77777777" w:rsidR="0066529D" w:rsidRDefault="00A901FF">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50%</w:t>
            </w:r>
          </w:p>
        </w:tc>
      </w:tr>
      <w:tr w:rsidR="0066529D" w14:paraId="203F901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751AD00F" w14:textId="77777777" w:rsidR="0066529D" w:rsidRDefault="00A901FF">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ACCCF5" w14:textId="77777777" w:rsidR="0066529D" w:rsidRDefault="00A901FF">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45.1%</w:t>
            </w:r>
          </w:p>
        </w:tc>
      </w:tr>
      <w:tr w:rsidR="0066529D" w14:paraId="5A040DF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186DDCD" w14:textId="77777777" w:rsidR="0066529D" w:rsidRDefault="00A901FF">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DF7E473" w14:textId="77777777" w:rsidR="0066529D" w:rsidRDefault="00A901FF">
            <w:pPr>
              <w:spacing w:line="360" w:lineRule="auto"/>
              <w:jc w:val="left"/>
              <w:rPr>
                <w:rFonts w:asciiTheme="minorEastAsia" w:hAnsiTheme="minorEastAsia" w:cs="Arial" w:hint="eastAsia"/>
                <w:kern w:val="0"/>
                <w:sz w:val="24"/>
                <w:szCs w:val="24"/>
              </w:rPr>
            </w:pPr>
            <w:r>
              <w:rPr>
                <w:rFonts w:asciiTheme="minorEastAsia" w:hAnsiTheme="minorEastAsia" w:cs="Arial"/>
                <w:kern w:val="0"/>
                <w:sz w:val="24"/>
                <w:szCs w:val="24"/>
              </w:rPr>
              <w:t>4.9%</w:t>
            </w:r>
          </w:p>
        </w:tc>
      </w:tr>
    </w:tbl>
    <w:p w14:paraId="68984558" w14:textId="77777777" w:rsidR="0066529D" w:rsidRDefault="0066529D">
      <w:pPr>
        <w:adjustRightInd w:val="0"/>
        <w:snapToGrid w:val="0"/>
        <w:spacing w:line="360" w:lineRule="auto"/>
        <w:ind w:firstLineChars="200" w:firstLine="480"/>
        <w:rPr>
          <w:rFonts w:asciiTheme="minorEastAsia" w:hAnsiTheme="minorEastAsia" w:cs="Arial" w:hint="eastAsia"/>
          <w:kern w:val="0"/>
          <w:sz w:val="24"/>
          <w:szCs w:val="24"/>
        </w:rPr>
      </w:pPr>
    </w:p>
    <w:p w14:paraId="34A93CE7" w14:textId="77777777" w:rsidR="0066529D" w:rsidRDefault="00A901FF">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5B922E07"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1、董事会成员</w:t>
      </w:r>
    </w:p>
    <w:p w14:paraId="35672665" w14:textId="77C8E927" w:rsidR="0066529D" w:rsidRDefault="00A901FF">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投资有限公司总经理、党支部书记、董事、董事长，广州新中轴建设有限公司财务总监、董事长、法人代表。现任广州产业投资基金管理有限公司党委书记、法定代表人、董事长，中国文化产业投资</w:t>
      </w:r>
      <w:proofErr w:type="gramStart"/>
      <w:r>
        <w:rPr>
          <w:rFonts w:asciiTheme="minorEastAsia" w:hAnsiTheme="minorEastAsia" w:cs="Arial" w:hint="eastAsia"/>
          <w:kern w:val="0"/>
          <w:sz w:val="24"/>
        </w:rPr>
        <w:t>母基金</w:t>
      </w:r>
      <w:proofErr w:type="gramEnd"/>
      <w:r>
        <w:rPr>
          <w:rFonts w:asciiTheme="minorEastAsia" w:hAnsiTheme="minorEastAsia" w:cs="Arial" w:hint="eastAsia"/>
          <w:kern w:val="0"/>
          <w:sz w:val="24"/>
        </w:rPr>
        <w:t>管理有限公司董事，</w:t>
      </w:r>
      <w:r>
        <w:rPr>
          <w:rFonts w:asciiTheme="minorEastAsia" w:hAnsiTheme="minorEastAsia" w:cs="Arial" w:hint="eastAsia"/>
          <w:kern w:val="0"/>
          <w:sz w:val="24"/>
          <w:szCs w:val="24"/>
        </w:rPr>
        <w:t>广州城</w:t>
      </w:r>
      <w:proofErr w:type="gramStart"/>
      <w:r>
        <w:rPr>
          <w:rFonts w:asciiTheme="minorEastAsia" w:hAnsiTheme="minorEastAsia" w:cs="Arial" w:hint="eastAsia"/>
          <w:kern w:val="0"/>
          <w:sz w:val="24"/>
          <w:szCs w:val="24"/>
        </w:rPr>
        <w:t>恒</w:t>
      </w:r>
      <w:proofErr w:type="gramEnd"/>
      <w:r>
        <w:rPr>
          <w:rFonts w:asciiTheme="minorEastAsia" w:hAnsiTheme="minorEastAsia" w:cs="Arial" w:hint="eastAsia"/>
          <w:kern w:val="0"/>
          <w:sz w:val="24"/>
          <w:szCs w:val="24"/>
        </w:rPr>
        <w:t>城市更新投资有限公司董事长、法定代表人，</w:t>
      </w:r>
      <w:r>
        <w:rPr>
          <w:rFonts w:asciiTheme="minorEastAsia" w:hAnsiTheme="minorEastAsia" w:cs="Arial" w:hint="eastAsia"/>
          <w:kern w:val="0"/>
          <w:sz w:val="24"/>
        </w:rPr>
        <w:t>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投资有限公司董事，富</w:t>
      </w:r>
      <w:proofErr w:type="gramStart"/>
      <w:r>
        <w:rPr>
          <w:rFonts w:asciiTheme="minorEastAsia" w:hAnsiTheme="minorEastAsia" w:cs="Arial" w:hint="eastAsia"/>
          <w:kern w:val="0"/>
          <w:sz w:val="24"/>
        </w:rPr>
        <w:t>荣基金</w:t>
      </w:r>
      <w:proofErr w:type="gramEnd"/>
      <w:r>
        <w:rPr>
          <w:rFonts w:asciiTheme="minorEastAsia" w:hAnsiTheme="minorEastAsia" w:cs="Arial" w:hint="eastAsia"/>
          <w:kern w:val="0"/>
          <w:sz w:val="24"/>
        </w:rPr>
        <w:t>管理有限公司董事长、法定代表人。</w:t>
      </w:r>
    </w:p>
    <w:p w14:paraId="2362CFD1"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有限公司董事、总经理、首席信息官、代行督察长。</w:t>
      </w:r>
    </w:p>
    <w:p w14:paraId="6523A14A" w14:textId="740C9FBD"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Theme="minorEastAsia" w:hAnsiTheme="minorEastAsia" w:cs="Arial"/>
          <w:kern w:val="0"/>
          <w:sz w:val="24"/>
          <w:szCs w:val="24"/>
        </w:rPr>
        <w:t>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广州基金国际股权投资基金管理有限公司党支部副书记、总经理。现任广州产业投资基金管理有限公司管理部总经理，富荣基金管理有限公司董事。</w:t>
      </w:r>
    </w:p>
    <w:p w14:paraId="22EF88C6" w14:textId="27D73D01"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郭涛先生，董事，上海交通大学高级管理人员工商管理专业硕士。</w:t>
      </w:r>
      <w:proofErr w:type="gramStart"/>
      <w:r>
        <w:rPr>
          <w:rFonts w:asciiTheme="minorEastAsia" w:hAnsiTheme="minorEastAsia" w:cs="Arial" w:hint="eastAsia"/>
          <w:kern w:val="0"/>
          <w:sz w:val="24"/>
        </w:rPr>
        <w:t>曾任津沪</w:t>
      </w:r>
      <w:proofErr w:type="gramEnd"/>
      <w:r>
        <w:rPr>
          <w:rFonts w:asciiTheme="minorEastAsia" w:hAnsiTheme="minorEastAsia" w:cs="Arial" w:hint="eastAsia"/>
          <w:kern w:val="0"/>
          <w:sz w:val="24"/>
        </w:rPr>
        <w:t>深生物医药科技有限公司董事。现任</w:t>
      </w:r>
      <w:proofErr w:type="gramStart"/>
      <w:r>
        <w:rPr>
          <w:rFonts w:asciiTheme="minorEastAsia" w:hAnsiTheme="minorEastAsia" w:cs="Arial" w:hint="eastAsia"/>
          <w:kern w:val="0"/>
          <w:sz w:val="24"/>
        </w:rPr>
        <w:t>深圳市亿尔德</w:t>
      </w:r>
      <w:proofErr w:type="gramEnd"/>
      <w:r>
        <w:rPr>
          <w:rFonts w:asciiTheme="minorEastAsia" w:hAnsiTheme="minorEastAsia" w:cs="Arial" w:hint="eastAsia"/>
          <w:kern w:val="0"/>
          <w:sz w:val="24"/>
        </w:rPr>
        <w:t>投资有限公司总经理、执行董事；</w:t>
      </w:r>
      <w:proofErr w:type="gramStart"/>
      <w:r>
        <w:rPr>
          <w:rFonts w:asciiTheme="minorEastAsia" w:hAnsiTheme="minorEastAsia" w:cs="Arial" w:hint="eastAsia"/>
          <w:kern w:val="0"/>
          <w:sz w:val="24"/>
        </w:rPr>
        <w:t>微愿数智</w:t>
      </w:r>
      <w:proofErr w:type="gramEnd"/>
      <w:r>
        <w:rPr>
          <w:rFonts w:asciiTheme="minorEastAsia" w:hAnsiTheme="minorEastAsia" w:cs="Arial" w:hint="eastAsia"/>
          <w:kern w:val="0"/>
          <w:sz w:val="24"/>
        </w:rPr>
        <w:t>（深圳）健康科技有限公司总经理、执行董事；</w:t>
      </w:r>
      <w:proofErr w:type="gramStart"/>
      <w:r>
        <w:rPr>
          <w:rFonts w:asciiTheme="minorEastAsia" w:hAnsiTheme="minorEastAsia" w:cs="Arial" w:hint="eastAsia"/>
          <w:kern w:val="0"/>
          <w:sz w:val="24"/>
        </w:rPr>
        <w:t>深圳市盈投荣达</w:t>
      </w:r>
      <w:proofErr w:type="gramEnd"/>
      <w:r>
        <w:rPr>
          <w:rFonts w:asciiTheme="minorEastAsia" w:hAnsiTheme="minorEastAsia" w:cs="Arial" w:hint="eastAsia"/>
          <w:kern w:val="0"/>
          <w:sz w:val="24"/>
        </w:rPr>
        <w:t>科技有限公司董事长、总经理；深圳市嘉年印</w:t>
      </w:r>
      <w:proofErr w:type="gramStart"/>
      <w:r>
        <w:rPr>
          <w:rFonts w:asciiTheme="minorEastAsia" w:hAnsiTheme="minorEastAsia" w:cs="Arial" w:hint="eastAsia"/>
          <w:kern w:val="0"/>
          <w:sz w:val="24"/>
        </w:rPr>
        <w:t>务</w:t>
      </w:r>
      <w:proofErr w:type="gramEnd"/>
      <w:r>
        <w:rPr>
          <w:rFonts w:asciiTheme="minorEastAsia" w:hAnsiTheme="minorEastAsia" w:cs="Arial" w:hint="eastAsia"/>
          <w:kern w:val="0"/>
          <w:sz w:val="24"/>
        </w:rPr>
        <w:t>有限公司董事长；深圳市盈实发展有限公司董事长；深圳市</w:t>
      </w:r>
      <w:proofErr w:type="gramStart"/>
      <w:r>
        <w:rPr>
          <w:rFonts w:asciiTheme="minorEastAsia" w:hAnsiTheme="minorEastAsia" w:cs="Arial" w:hint="eastAsia"/>
          <w:kern w:val="0"/>
          <w:sz w:val="24"/>
        </w:rPr>
        <w:t>盈致未来文创管理</w:t>
      </w:r>
      <w:proofErr w:type="gramEnd"/>
      <w:r>
        <w:rPr>
          <w:rFonts w:asciiTheme="minorEastAsia" w:hAnsiTheme="minorEastAsia" w:cs="Arial" w:hint="eastAsia"/>
          <w:kern w:val="0"/>
          <w:sz w:val="24"/>
        </w:rPr>
        <w:t>有限公司董事长；深圳市益德置业有限公司总经理、董事；</w:t>
      </w:r>
      <w:proofErr w:type="gramStart"/>
      <w:r>
        <w:rPr>
          <w:rFonts w:asciiTheme="minorEastAsia" w:hAnsiTheme="minorEastAsia" w:cs="Arial" w:hint="eastAsia"/>
          <w:kern w:val="0"/>
          <w:sz w:val="24"/>
        </w:rPr>
        <w:t>盈投控股</w:t>
      </w:r>
      <w:proofErr w:type="gramEnd"/>
      <w:r>
        <w:rPr>
          <w:rFonts w:asciiTheme="minorEastAsia" w:hAnsiTheme="minorEastAsia" w:cs="Arial" w:hint="eastAsia"/>
          <w:kern w:val="0"/>
          <w:sz w:val="24"/>
        </w:rPr>
        <w:t>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rPr>
        <w:t>昊</w:t>
      </w:r>
      <w:proofErr w:type="gramEnd"/>
      <w:r>
        <w:rPr>
          <w:rFonts w:asciiTheme="minorEastAsia" w:hAnsiTheme="minorEastAsia" w:cs="Arial" w:hint="eastAsia"/>
          <w:kern w:val="0"/>
          <w:sz w:val="24"/>
        </w:rPr>
        <w:t>华化工科技集团股份有限公司董事；深圳嘉年实业股份有限公司董事；深圳市</w:t>
      </w:r>
      <w:proofErr w:type="gramStart"/>
      <w:r>
        <w:rPr>
          <w:rFonts w:asciiTheme="minorEastAsia" w:hAnsiTheme="minorEastAsia" w:cs="Arial" w:hint="eastAsia"/>
          <w:kern w:val="0"/>
          <w:sz w:val="24"/>
        </w:rPr>
        <w:t>盈投发展</w:t>
      </w:r>
      <w:proofErr w:type="gramEnd"/>
      <w:r>
        <w:rPr>
          <w:rFonts w:asciiTheme="minorEastAsia" w:hAnsiTheme="minorEastAsia" w:cs="Arial" w:hint="eastAsia"/>
          <w:kern w:val="0"/>
          <w:sz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富荣基金管理有限公司董事。</w:t>
      </w:r>
    </w:p>
    <w:p w14:paraId="5A5ED531"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rPr>
        <w:t>邦</w:t>
      </w:r>
      <w:proofErr w:type="gramEnd"/>
      <w:r>
        <w:rPr>
          <w:rFonts w:asciiTheme="minorEastAsia" w:hAnsiTheme="minorEastAsia" w:cs="Arial" w:hint="eastAsia"/>
          <w:kern w:val="0"/>
          <w:sz w:val="24"/>
        </w:rPr>
        <w:t>信资产管理公司董事总经理、对外贸易集团股份有限公司董事长、中国东方资产管理公司广东省分公司总经理、</w:t>
      </w:r>
      <w:r>
        <w:rPr>
          <w:rFonts w:asciiTheme="minorEastAsia" w:hAnsiTheme="minorEastAsia" w:cs="Arial" w:hint="eastAsia"/>
          <w:kern w:val="0"/>
          <w:sz w:val="24"/>
          <w:szCs w:val="24"/>
        </w:rPr>
        <w:t>大业信托有限责任公司董事、沈阳</w:t>
      </w:r>
      <w:r>
        <w:rPr>
          <w:rFonts w:asciiTheme="minorEastAsia" w:hAnsiTheme="minorEastAsia" w:cs="Arial" w:hint="eastAsia"/>
          <w:kern w:val="0"/>
          <w:sz w:val="24"/>
          <w:szCs w:val="24"/>
        </w:rPr>
        <w:lastRenderedPageBreak/>
        <w:t>公用发展股份有限公司董事、</w:t>
      </w:r>
      <w:r>
        <w:rPr>
          <w:rFonts w:asciiTheme="minorEastAsia" w:hAnsiTheme="minorEastAsia" w:cs="Arial" w:hint="eastAsia"/>
          <w:kern w:val="0"/>
          <w:sz w:val="24"/>
        </w:rPr>
        <w:t>东银实业（深圳）有限公司董事、金田实业（集团）股份有限公司独立董事、申科滑动轴承股份有限公司独立董事。现任富荣基金管理有限公司独立董事。</w:t>
      </w:r>
    </w:p>
    <w:p w14:paraId="03259AA9" w14:textId="77777777" w:rsidR="0066529D" w:rsidRDefault="00A901FF">
      <w:pPr>
        <w:spacing w:line="360" w:lineRule="auto"/>
        <w:ind w:firstLineChars="200" w:firstLine="480"/>
        <w:rPr>
          <w:rFonts w:asciiTheme="minorEastAsia" w:hAnsiTheme="minorEastAsia" w:cs="Arial" w:hint="eastAsia"/>
          <w:kern w:val="0"/>
          <w:sz w:val="24"/>
          <w:szCs w:val="24"/>
        </w:rPr>
      </w:pPr>
      <w:bookmarkStart w:id="85" w:name="_Hlk168054882"/>
      <w:r>
        <w:rPr>
          <w:rFonts w:asciiTheme="minorEastAsia" w:hAnsiTheme="minorEastAsia" w:cs="Arial" w:hint="eastAsia"/>
          <w:kern w:val="0"/>
          <w:sz w:val="24"/>
          <w:szCs w:val="24"/>
        </w:rPr>
        <w:t>刘宝瑞先生，独立董事，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管理有限公司独立董事。</w:t>
      </w:r>
      <w:bookmarkEnd w:id="85"/>
    </w:p>
    <w:p w14:paraId="52719966"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6B16B69E"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2、监事会成员</w:t>
      </w:r>
    </w:p>
    <w:p w14:paraId="6168C00F"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0A9CF89D"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42FA477F"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sz w:val="24"/>
          <w:szCs w:val="24"/>
        </w:rPr>
        <w:t>魏丽红女士，职工监事，大专。现任富荣基金管理有限公司职工监事。</w:t>
      </w:r>
    </w:p>
    <w:p w14:paraId="5A48A617" w14:textId="77777777" w:rsidR="0066529D" w:rsidRDefault="00A901FF">
      <w:pPr>
        <w:spacing w:line="360" w:lineRule="auto"/>
        <w:ind w:firstLineChars="200" w:firstLine="480"/>
        <w:rPr>
          <w:rFonts w:asciiTheme="minorEastAsia" w:hAnsiTheme="minorEastAsia" w:cs="Arial" w:hint="eastAsia"/>
          <w:kern w:val="0"/>
          <w:sz w:val="24"/>
        </w:rPr>
      </w:pPr>
      <w:r>
        <w:rPr>
          <w:rFonts w:asciiTheme="minorEastAsia" w:hAnsiTheme="minorEastAsia" w:cs="Arial"/>
          <w:kern w:val="0"/>
          <w:sz w:val="24"/>
          <w:szCs w:val="24"/>
        </w:rPr>
        <w:t>3、高级管理人员</w:t>
      </w:r>
    </w:p>
    <w:p w14:paraId="47C950CC"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代行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代行督察长。</w:t>
      </w:r>
    </w:p>
    <w:p w14:paraId="1E936EE5" w14:textId="074C1D71" w:rsidR="0066529D" w:rsidRDefault="00A901FF">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lastRenderedPageBreak/>
        <w:t>史克新先生，副总经理，</w:t>
      </w:r>
      <w:r w:rsidRPr="004549DF">
        <w:rPr>
          <w:rFonts w:asciiTheme="minorEastAsia" w:hAnsiTheme="minorEastAsia" w:cs="Arial" w:hint="eastAsia"/>
          <w:kern w:val="0"/>
          <w:sz w:val="24"/>
          <w:szCs w:val="24"/>
        </w:rPr>
        <w:t>中欧国际工商学院高级管理人员工商管理</w:t>
      </w:r>
      <w:r>
        <w:rPr>
          <w:rFonts w:asciiTheme="minorEastAsia" w:hAnsiTheme="minorEastAsia" w:cs="Arial" w:hint="eastAsia"/>
          <w:kern w:val="0"/>
          <w:sz w:val="24"/>
        </w:rPr>
        <w:t>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rPr>
        <w:t>安基金</w:t>
      </w:r>
      <w:proofErr w:type="gramEnd"/>
      <w:r>
        <w:rPr>
          <w:rFonts w:asciiTheme="minorEastAsia" w:hAnsiTheme="minorEastAsia" w:cs="Arial" w:hint="eastAsia"/>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6C26C64A" w14:textId="77777777" w:rsidR="0066529D" w:rsidRPr="004549DF" w:rsidRDefault="00A901FF" w:rsidP="004549DF">
      <w:pPr>
        <w:spacing w:line="360" w:lineRule="auto"/>
        <w:ind w:firstLineChars="200" w:firstLine="480"/>
        <w:rPr>
          <w:rFonts w:asciiTheme="minorEastAsia" w:hAnsiTheme="minorEastAsia" w:cs="Arial" w:hint="eastAsia"/>
          <w:kern w:val="0"/>
          <w:sz w:val="24"/>
        </w:rPr>
      </w:pPr>
      <w:r w:rsidRPr="004549DF">
        <w:rPr>
          <w:rFonts w:asciiTheme="minorEastAsia" w:hAnsiTheme="minorEastAsia" w:cs="Arial" w:hint="eastAsia"/>
          <w:kern w:val="0"/>
          <w:sz w:val="24"/>
        </w:rPr>
        <w:t>郑宇光先生，总经理助理，上海交通大学工商管理硕士。历任平安资产管理有限责任公司交易部</w:t>
      </w:r>
      <w:r w:rsidRPr="004549DF">
        <w:rPr>
          <w:rFonts w:asciiTheme="minorEastAsia" w:hAnsiTheme="minorEastAsia" w:cs="Arial"/>
          <w:kern w:val="0"/>
          <w:sz w:val="24"/>
        </w:rPr>
        <w:t>/</w:t>
      </w:r>
      <w:r w:rsidRPr="004549DF">
        <w:rPr>
          <w:rFonts w:asciiTheme="minorEastAsia" w:hAnsiTheme="minorEastAsia" w:cs="Arial" w:hint="eastAsia"/>
          <w:kern w:val="0"/>
          <w:sz w:val="24"/>
        </w:rPr>
        <w:t>投资管理部经理，太平资产管理有限责任公司固定收益部投资经理，上投摩根基金管理有限公司专户管理部投资经理，中</w:t>
      </w:r>
      <w:proofErr w:type="gramStart"/>
      <w:r w:rsidRPr="004549DF">
        <w:rPr>
          <w:rFonts w:asciiTheme="minorEastAsia" w:hAnsiTheme="minorEastAsia" w:cs="Arial" w:hint="eastAsia"/>
          <w:kern w:val="0"/>
          <w:sz w:val="24"/>
        </w:rPr>
        <w:t>信保诚基金</w:t>
      </w:r>
      <w:proofErr w:type="gramEnd"/>
      <w:r w:rsidRPr="004549DF">
        <w:rPr>
          <w:rFonts w:asciiTheme="minorEastAsia" w:hAnsiTheme="minorEastAsia" w:cs="Arial" w:hint="eastAsia"/>
          <w:kern w:val="0"/>
          <w:sz w:val="24"/>
        </w:rPr>
        <w:t>管理有限公司固定收益部投资经理、总监助理，长江证券资产管理有限责任公司投资经理，上海勤远投资管理中心（有限合伙）量化研究总监基金经理，</w:t>
      </w:r>
      <w:proofErr w:type="gramStart"/>
      <w:r w:rsidRPr="004549DF">
        <w:rPr>
          <w:rFonts w:asciiTheme="minorEastAsia" w:hAnsiTheme="minorEastAsia" w:cs="Arial" w:hint="eastAsia"/>
          <w:kern w:val="0"/>
          <w:sz w:val="24"/>
        </w:rPr>
        <w:t>泰信基金</w:t>
      </w:r>
      <w:proofErr w:type="gramEnd"/>
      <w:r w:rsidRPr="004549DF">
        <w:rPr>
          <w:rFonts w:asciiTheme="minorEastAsia" w:hAnsiTheme="minorEastAsia" w:cs="Arial" w:hint="eastAsia"/>
          <w:kern w:val="0"/>
          <w:sz w:val="24"/>
        </w:rPr>
        <w:t>管理有限公司专户投资部副总监，</w:t>
      </w:r>
      <w:proofErr w:type="gramStart"/>
      <w:r w:rsidRPr="004549DF">
        <w:rPr>
          <w:rFonts w:asciiTheme="minorEastAsia" w:hAnsiTheme="minorEastAsia" w:cs="Arial" w:hint="eastAsia"/>
          <w:kern w:val="0"/>
          <w:sz w:val="24"/>
        </w:rPr>
        <w:t>固收投资部基金</w:t>
      </w:r>
      <w:proofErr w:type="gramEnd"/>
      <w:r w:rsidRPr="004549DF">
        <w:rPr>
          <w:rFonts w:asciiTheme="minorEastAsia" w:hAnsiTheme="minorEastAsia" w:cs="Arial" w:hint="eastAsia"/>
          <w:kern w:val="0"/>
          <w:sz w:val="24"/>
        </w:rPr>
        <w:t>经理、总监。现任富荣基金管理有限公司总经理助理。</w:t>
      </w:r>
    </w:p>
    <w:p w14:paraId="76E4996A" w14:textId="77777777" w:rsidR="0066529D" w:rsidRDefault="00A901FF" w:rsidP="004549DF">
      <w:pPr>
        <w:spacing w:line="360" w:lineRule="auto"/>
        <w:ind w:firstLineChars="200" w:firstLine="480"/>
        <w:rPr>
          <w:rFonts w:asciiTheme="minorEastAsia" w:hAnsiTheme="minorEastAsia" w:cs="Arial" w:hint="eastAsia"/>
          <w:kern w:val="0"/>
          <w:sz w:val="24"/>
        </w:rPr>
      </w:pPr>
      <w:r w:rsidRPr="004549DF">
        <w:rPr>
          <w:rFonts w:asciiTheme="minorEastAsia" w:hAnsiTheme="minorEastAsia" w:cs="Arial" w:hint="eastAsia"/>
          <w:kern w:val="0"/>
          <w:sz w:val="24"/>
        </w:rPr>
        <w:t>赵睿杨女士，总经理助理，对外经济贸易大学会计学硕士研究生。历任合生创展集团有限公司集团财务与投资中心上市核算管理师、投资分析副经理，</w:t>
      </w:r>
      <w:proofErr w:type="gramStart"/>
      <w:r w:rsidRPr="004549DF">
        <w:rPr>
          <w:rFonts w:asciiTheme="minorEastAsia" w:hAnsiTheme="minorEastAsia" w:cs="Arial" w:hint="eastAsia"/>
          <w:kern w:val="0"/>
          <w:sz w:val="24"/>
        </w:rPr>
        <w:t>慧富恒</w:t>
      </w:r>
      <w:proofErr w:type="gramEnd"/>
      <w:r w:rsidRPr="004549DF">
        <w:rPr>
          <w:rFonts w:asciiTheme="minorEastAsia" w:hAnsiTheme="minorEastAsia" w:cs="Arial" w:hint="eastAsia"/>
          <w:kern w:val="0"/>
          <w:sz w:val="24"/>
        </w:rPr>
        <w:t>泰（北京）基金管理有限公司投融资一部总经理，北信瑞丰基金管理有限公司市场部高级经理、市场部总监助理、渠道部副总监、渠道部总监、专</w:t>
      </w:r>
      <w:proofErr w:type="gramStart"/>
      <w:r w:rsidRPr="004549DF">
        <w:rPr>
          <w:rFonts w:asciiTheme="minorEastAsia" w:hAnsiTheme="minorEastAsia" w:cs="Arial" w:hint="eastAsia"/>
          <w:kern w:val="0"/>
          <w:sz w:val="24"/>
        </w:rPr>
        <w:t>户机构</w:t>
      </w:r>
      <w:proofErr w:type="gramEnd"/>
      <w:r w:rsidRPr="004549DF">
        <w:rPr>
          <w:rFonts w:asciiTheme="minorEastAsia" w:hAnsiTheme="minorEastAsia" w:cs="Arial" w:hint="eastAsia"/>
          <w:kern w:val="0"/>
          <w:sz w:val="24"/>
        </w:rPr>
        <w:t>部总监、市场总监、公司总经理助理。现任富荣基金管理有限公司总经理助理，渠道业务总部总经理，兼任北京分公司、机构业务总部总经理。</w:t>
      </w:r>
    </w:p>
    <w:p w14:paraId="79042108"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004AEB01"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李天翔先生，中央财经大学国际商务硕士。曾任</w:t>
      </w:r>
      <w:proofErr w:type="gramStart"/>
      <w:r>
        <w:rPr>
          <w:rFonts w:asciiTheme="minorEastAsia" w:hAnsiTheme="minorEastAsia" w:cs="Arial" w:hint="eastAsia"/>
          <w:kern w:val="0"/>
          <w:sz w:val="24"/>
          <w:szCs w:val="24"/>
        </w:rPr>
        <w:t>中融基金</w:t>
      </w:r>
      <w:proofErr w:type="gramEnd"/>
      <w:r>
        <w:rPr>
          <w:rFonts w:asciiTheme="minorEastAsia" w:hAnsiTheme="minorEastAsia" w:cs="Arial" w:hint="eastAsia"/>
          <w:kern w:val="0"/>
          <w:sz w:val="24"/>
          <w:szCs w:val="24"/>
        </w:rPr>
        <w:t>管理有限公司研究部周期行业研究员，2020年加入富荣基金管理有限公司，历任富荣基金管理有限公司研究部周期行业和医药行业研究员，现任富荣基金管理有限公司富荣中证500指数增强型证券投资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经理（自2022年8月1</w:t>
      </w:r>
      <w:r>
        <w:rPr>
          <w:rFonts w:asciiTheme="minorEastAsia" w:hAnsiTheme="minorEastAsia" w:cs="Arial"/>
          <w:kern w:val="0"/>
          <w:sz w:val="24"/>
          <w:szCs w:val="24"/>
        </w:rPr>
        <w:t>8</w:t>
      </w:r>
      <w:r>
        <w:rPr>
          <w:rFonts w:asciiTheme="minorEastAsia" w:hAnsiTheme="minorEastAsia" w:cs="Arial" w:hint="eastAsia"/>
          <w:kern w:val="0"/>
          <w:sz w:val="24"/>
          <w:szCs w:val="24"/>
        </w:rPr>
        <w:t>日起至2024年9月10日）、富荣福康混合型证券投资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经理（自2023年3月8日起任职）、</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经理（自2024年1月8日起任职）、富荣福锦混合型证券投资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经理（自2024年6月7日起任职）。</w:t>
      </w:r>
    </w:p>
    <w:p w14:paraId="79F50C08" w14:textId="5AE979C8" w:rsidR="000619E8"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姜帆先生，复旦大学经济学硕士，</w:t>
      </w:r>
      <w:r>
        <w:rPr>
          <w:rFonts w:asciiTheme="minorEastAsia" w:hAnsiTheme="minorEastAsia" w:cs="Arial"/>
          <w:kern w:val="0"/>
          <w:sz w:val="24"/>
          <w:szCs w:val="24"/>
        </w:rPr>
        <w:t>2021</w:t>
      </w:r>
      <w:r>
        <w:rPr>
          <w:rFonts w:asciiTheme="minorEastAsia" w:hAnsiTheme="minorEastAsia" w:cs="Arial" w:hint="eastAsia"/>
          <w:kern w:val="0"/>
          <w:sz w:val="24"/>
          <w:szCs w:val="24"/>
        </w:rPr>
        <w:t>年</w:t>
      </w:r>
      <w:r>
        <w:rPr>
          <w:rFonts w:asciiTheme="minorEastAsia" w:hAnsiTheme="minorEastAsia" w:cs="Arial"/>
          <w:kern w:val="0"/>
          <w:sz w:val="24"/>
          <w:szCs w:val="24"/>
        </w:rPr>
        <w:t>2</w:t>
      </w:r>
      <w:r>
        <w:rPr>
          <w:rFonts w:asciiTheme="minorEastAsia" w:hAnsiTheme="minorEastAsia" w:cs="Arial" w:hint="eastAsia"/>
          <w:kern w:val="0"/>
          <w:sz w:val="24"/>
          <w:szCs w:val="24"/>
        </w:rPr>
        <w:t>月加入富荣基金。曾任富荣基金研究部研究员，现任富荣福</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灵活配置混合型证券投资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w:t>
      </w:r>
      <w:r>
        <w:rPr>
          <w:rFonts w:asciiTheme="minorEastAsia" w:hAnsiTheme="minorEastAsia" w:cs="Arial" w:hint="eastAsia"/>
          <w:kern w:val="0"/>
          <w:sz w:val="24"/>
          <w:szCs w:val="24"/>
        </w:rPr>
        <w:lastRenderedPageBreak/>
        <w:t>年6月21日起任职）、</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经理（自2025年2月13日起任职）、富荣福康混合型证券投资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经理（自2025年2月13日起任职）。</w:t>
      </w:r>
    </w:p>
    <w:p w14:paraId="7A34F7B2"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历任基金经理：胡长虹（自2018年2月11日至2018年11月26日）、邓宇翔（自2018年11月6日至2020年10月15日）、郎骋成（自2020年10月15日至2023年3月8日）</w:t>
      </w:r>
    </w:p>
    <w:p w14:paraId="3A6F139B" w14:textId="77777777" w:rsidR="0066529D" w:rsidRDefault="00A901FF">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5、投资决策委员会成员的姓名、职务</w:t>
      </w:r>
    </w:p>
    <w:p w14:paraId="702CA544" w14:textId="77777777" w:rsidR="0066529D" w:rsidRDefault="00A901FF">
      <w:pPr>
        <w:spacing w:line="360" w:lineRule="auto"/>
        <w:ind w:firstLineChars="200" w:firstLine="480"/>
        <w:rPr>
          <w:rFonts w:asciiTheme="minorEastAsia" w:hAnsiTheme="minorEastAsia" w:hint="eastAsia"/>
          <w:sz w:val="24"/>
        </w:rPr>
      </w:pPr>
      <w:r>
        <w:rPr>
          <w:rFonts w:asciiTheme="minorEastAsia" w:hAnsiTheme="minorEastAsia" w:hint="eastAsia"/>
          <w:sz w:val="24"/>
        </w:rPr>
        <w:t>杨小舟先生，投资决策委员会主任委员、公司总经理、兼任首席信息官</w:t>
      </w:r>
      <w:r>
        <w:rPr>
          <w:rFonts w:asciiTheme="minorEastAsia" w:hAnsiTheme="minorEastAsia" w:cs="Arial" w:hint="eastAsia"/>
          <w:kern w:val="0"/>
          <w:sz w:val="24"/>
          <w:szCs w:val="24"/>
        </w:rPr>
        <w:t>、</w:t>
      </w:r>
      <w:r>
        <w:rPr>
          <w:rFonts w:asciiTheme="minorEastAsia" w:hAnsiTheme="minorEastAsia" w:hint="eastAsia"/>
          <w:sz w:val="24"/>
        </w:rPr>
        <w:t>代行督察长。</w:t>
      </w:r>
    </w:p>
    <w:p w14:paraId="03E8DDA8" w14:textId="77777777" w:rsidR="0066529D" w:rsidRDefault="00A901FF">
      <w:pPr>
        <w:spacing w:line="360" w:lineRule="auto"/>
        <w:ind w:firstLineChars="200" w:firstLine="480"/>
        <w:rPr>
          <w:rFonts w:asciiTheme="minorEastAsia" w:hAnsiTheme="minorEastAsia" w:hint="eastAsia"/>
          <w:sz w:val="24"/>
        </w:rPr>
      </w:pPr>
      <w:r>
        <w:rPr>
          <w:rFonts w:asciiTheme="minorEastAsia" w:hAnsiTheme="minorEastAsia" w:hint="eastAsia"/>
          <w:sz w:val="24"/>
        </w:rPr>
        <w:t>史克新先生，投资决策委员会委员、公司副总经理。</w:t>
      </w:r>
    </w:p>
    <w:p w14:paraId="178C1DD2" w14:textId="77777777" w:rsidR="0066529D" w:rsidRDefault="00A901FF">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郎骋成先生，投资决策委员会委员、研究部总经理、</w:t>
      </w:r>
      <w:r>
        <w:rPr>
          <w:rFonts w:asciiTheme="minorEastAsia" w:hAnsiTheme="minorEastAsia" w:cs="Arial" w:hint="eastAsia"/>
          <w:kern w:val="0"/>
          <w:sz w:val="24"/>
          <w:szCs w:val="24"/>
        </w:rPr>
        <w:t>权益投资部总经理、专户投资经理、</w:t>
      </w:r>
      <w:r>
        <w:rPr>
          <w:rFonts w:asciiTheme="minorEastAsia" w:hAnsiTheme="minorEastAsia" w:hint="eastAsia"/>
          <w:color w:val="000000"/>
          <w:kern w:val="0"/>
          <w:sz w:val="24"/>
          <w:szCs w:val="24"/>
        </w:rPr>
        <w:t>基金经理。</w:t>
      </w:r>
    </w:p>
    <w:p w14:paraId="7560C612" w14:textId="77777777" w:rsidR="0066529D" w:rsidRDefault="00A901FF">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宋芳女士，投资决策委员会委员、固定收益部总经理、基金经理。</w:t>
      </w:r>
    </w:p>
    <w:p w14:paraId="1C9B9701" w14:textId="77777777" w:rsidR="0066529D" w:rsidRDefault="00A901FF">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孟飞先生，投资决策委员会委员、固定收益部副总经理、基金经理。</w:t>
      </w:r>
    </w:p>
    <w:p w14:paraId="55B52223" w14:textId="77777777" w:rsidR="0066529D" w:rsidRDefault="00A901FF">
      <w:pPr>
        <w:spacing w:line="360" w:lineRule="auto"/>
        <w:ind w:firstLineChars="200" w:firstLine="480"/>
        <w:rPr>
          <w:rFonts w:asciiTheme="minorEastAsia" w:hAnsiTheme="minorEastAsia" w:hint="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6EE7D097" w14:textId="77777777" w:rsidR="0066529D" w:rsidRDefault="00A901FF">
      <w:pPr>
        <w:spacing w:line="360" w:lineRule="auto"/>
        <w:ind w:firstLineChars="200" w:firstLine="480"/>
        <w:rPr>
          <w:rFonts w:asciiTheme="minorEastAsia" w:hAnsiTheme="minorEastAsia" w:cs="Arial" w:hint="eastAsia"/>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Theme="minorEastAsia" w:hAnsiTheme="minorEastAsia" w:cs="Arial" w:hint="eastAsia"/>
          <w:kern w:val="0"/>
          <w:sz w:val="24"/>
          <w:szCs w:val="24"/>
        </w:rPr>
        <w:t>研究部总经理助理、</w:t>
      </w:r>
      <w:r>
        <w:rPr>
          <w:rFonts w:asciiTheme="minorEastAsia" w:hAnsiTheme="minorEastAsia" w:hint="eastAsia"/>
          <w:color w:val="000000"/>
          <w:kern w:val="0"/>
          <w:sz w:val="24"/>
          <w:szCs w:val="24"/>
        </w:rPr>
        <w:t>基金经理。</w:t>
      </w:r>
    </w:p>
    <w:p w14:paraId="6CD94141" w14:textId="77777777" w:rsidR="0066529D" w:rsidRDefault="00A901FF">
      <w:pPr>
        <w:adjustRightInd w:val="0"/>
        <w:snapToGri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6、上述人员之间不存在近亲属关系。</w:t>
      </w:r>
    </w:p>
    <w:p w14:paraId="65A94AC7" w14:textId="77777777" w:rsidR="0066529D" w:rsidRDefault="00A901FF">
      <w:pPr>
        <w:tabs>
          <w:tab w:val="left" w:pos="3780"/>
        </w:tabs>
        <w:autoSpaceDE w:val="0"/>
        <w:autoSpaceDN w:val="0"/>
        <w:adjustRightInd w:val="0"/>
        <w:snapToGrid w:val="0"/>
        <w:spacing w:line="360" w:lineRule="auto"/>
        <w:ind w:firstLineChars="200" w:firstLine="482"/>
        <w:textAlignment w:val="bottom"/>
        <w:rPr>
          <w:rFonts w:asciiTheme="minorEastAsia" w:hAnsiTheme="minorEastAsia" w:hint="eastAsia"/>
          <w:b/>
          <w:sz w:val="24"/>
          <w:szCs w:val="24"/>
        </w:rPr>
      </w:pPr>
      <w:r>
        <w:rPr>
          <w:rFonts w:asciiTheme="minorEastAsia" w:hAnsiTheme="minorEastAsia" w:hint="eastAsia"/>
          <w:b/>
          <w:sz w:val="24"/>
          <w:szCs w:val="24"/>
        </w:rPr>
        <w:t>三、基金管理人的职责</w:t>
      </w:r>
    </w:p>
    <w:p w14:paraId="2AA6B15A" w14:textId="77777777" w:rsidR="0066529D" w:rsidRDefault="00A901FF">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1、依法募集资金，办理或者委托经中国证监会认定的其他机构代为办理基金份额的发售、申购、赎回和登记事宜；</w:t>
      </w:r>
    </w:p>
    <w:p w14:paraId="57EE833D" w14:textId="77777777" w:rsidR="0066529D" w:rsidRDefault="00A901FF">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2、办理基金备案手续；</w:t>
      </w:r>
    </w:p>
    <w:p w14:paraId="742DA82E" w14:textId="77777777" w:rsidR="0066529D" w:rsidRDefault="00A901FF">
      <w:pPr>
        <w:autoSpaceDE w:val="0"/>
        <w:autoSpaceDN w:val="0"/>
        <w:adjustRightInd w:val="0"/>
        <w:ind w:firstLineChars="200" w:firstLine="480"/>
        <w:rPr>
          <w:rFonts w:asciiTheme="minorEastAsia" w:hAnsiTheme="minorEastAsia" w:hint="eastAsia"/>
          <w:sz w:val="24"/>
          <w:szCs w:val="24"/>
        </w:rPr>
      </w:pPr>
      <w:r>
        <w:rPr>
          <w:rFonts w:asciiTheme="minorEastAsia" w:hAnsiTheme="minorEastAsia"/>
          <w:sz w:val="24"/>
          <w:szCs w:val="24"/>
        </w:rPr>
        <w:t>3、自《基金合同》生效之日起，以诚实信用、谨慎勤勉的原则管理和运用基金财产；</w:t>
      </w:r>
    </w:p>
    <w:p w14:paraId="1699D191" w14:textId="77777777" w:rsidR="0066529D" w:rsidRDefault="00A901FF">
      <w:pPr>
        <w:autoSpaceDE w:val="0"/>
        <w:autoSpaceDN w:val="0"/>
        <w:adjustRightInd w:val="0"/>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4、配备足够的具有专业资格的人员进行基金投资分析、决策，以专业化的经营方式管理和运作基金财产；</w:t>
      </w:r>
    </w:p>
    <w:p w14:paraId="26096E09"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sz w:val="24"/>
          <w:szCs w:val="24"/>
        </w:rPr>
        <w:t>5、建立健全内部风险控制、监察与稽核、财务管理及人事管理等制度，保证所管理的基金财产和基金管理人的财产相互独立，对所管理</w:t>
      </w:r>
      <w:r>
        <w:rPr>
          <w:rFonts w:asciiTheme="minorEastAsia" w:hAnsiTheme="minorEastAsia" w:cs="Times New Roman" w:hint="eastAsia"/>
          <w:sz w:val="24"/>
          <w:szCs w:val="24"/>
        </w:rPr>
        <w:t>的不同基金分别管理，分别记账，进行证券投资；</w:t>
      </w:r>
    </w:p>
    <w:p w14:paraId="52CF1840"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6、除依据《基金法》、《基金合同》及其他有关规定外，不得利用基金财产</w:t>
      </w:r>
      <w:r>
        <w:rPr>
          <w:rFonts w:asciiTheme="minorEastAsia" w:hAnsiTheme="minorEastAsia" w:cs="Times New Roman"/>
          <w:sz w:val="24"/>
          <w:szCs w:val="24"/>
        </w:rPr>
        <w:lastRenderedPageBreak/>
        <w:t>为自己及任何第三人</w:t>
      </w:r>
      <w:r>
        <w:rPr>
          <w:rFonts w:asciiTheme="minorEastAsia" w:hAnsiTheme="minorEastAsia" w:cs="Times New Roman" w:hint="eastAsia"/>
          <w:sz w:val="24"/>
          <w:szCs w:val="24"/>
        </w:rPr>
        <w:t>谋取利益，不得委托第三人运作基金财产；</w:t>
      </w:r>
    </w:p>
    <w:p w14:paraId="6DE225F1"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7、依法接受基金托管人的监督；</w:t>
      </w:r>
    </w:p>
    <w:p w14:paraId="17D66E76"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sz w:val="24"/>
          <w:szCs w:val="24"/>
        </w:rPr>
        <w:t>基金净值信息，确定基金份额申购、赎回对价，编制申购赎回清单；</w:t>
      </w:r>
    </w:p>
    <w:p w14:paraId="18586B87"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9、进行基金会计核算并编制基金财务会计报告；</w:t>
      </w:r>
    </w:p>
    <w:p w14:paraId="1321D889"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10、编制季度</w:t>
      </w:r>
      <w:r>
        <w:rPr>
          <w:rFonts w:asciiTheme="minorEastAsia" w:hAnsiTheme="minorEastAsia" w:cs="Times New Roman" w:hint="eastAsia"/>
          <w:sz w:val="24"/>
          <w:szCs w:val="24"/>
        </w:rPr>
        <w:t>报告、中期报告和年度报告；</w:t>
      </w:r>
    </w:p>
    <w:p w14:paraId="147CC5FB"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11、严格按照《基金法》、《基金合同》及其他有关规定，履行信息披露及报告义务；</w:t>
      </w:r>
    </w:p>
    <w:p w14:paraId="11C3E93B"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p>
    <w:p w14:paraId="23D73502"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13、按《基金合同》的约定确定基金收益分配方案，及时向基金份额持有人分配基金收益；</w:t>
      </w:r>
    </w:p>
    <w:p w14:paraId="12194686"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14、按规定受理申购与赎回申请，及时、足额支付赎回款项；</w:t>
      </w:r>
    </w:p>
    <w:p w14:paraId="6EB35061"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701F80F0"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16、按规定保存基金财产管理业务活动的会计账册、报表、记录和其他相关资料15年以上；</w:t>
      </w:r>
    </w:p>
    <w:p w14:paraId="03A26004"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4A316E"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18、组织并参加基金财产清算小组，参与基金财产的保管、清理、估价、变现和分配；</w:t>
      </w:r>
    </w:p>
    <w:p w14:paraId="4456F060"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19、面临解散、依法被撤销或者被依法宣告破产时，及时报告中国证监会并通知基金托管人；</w:t>
      </w:r>
    </w:p>
    <w:p w14:paraId="56505B2E"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20、因违反《基金合同》导致基金财产的损失或损害基金份额持有人合法权</w:t>
      </w:r>
      <w:r>
        <w:rPr>
          <w:rFonts w:asciiTheme="minorEastAsia" w:hAnsiTheme="minorEastAsia" w:cs="Times New Roman" w:hint="eastAsia"/>
          <w:sz w:val="24"/>
          <w:szCs w:val="24"/>
        </w:rPr>
        <w:t>益时，应当承担赔偿责任，其赔偿责任不因其退任而免除；</w:t>
      </w:r>
    </w:p>
    <w:p w14:paraId="63C6D86A"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21、监督基金托管人按法律法规和《基金合同》规定履行自己的义务，基金</w:t>
      </w:r>
      <w:r>
        <w:rPr>
          <w:rFonts w:asciiTheme="minorEastAsia" w:hAnsiTheme="minorEastAsia" w:cs="Times New Roman"/>
          <w:sz w:val="24"/>
          <w:szCs w:val="24"/>
        </w:rPr>
        <w:lastRenderedPageBreak/>
        <w:t>托管人违反《基金合同》造成基金财产损失时，基金管理人应为基金份额持有人利益向基金托管人追偿；</w:t>
      </w:r>
    </w:p>
    <w:p w14:paraId="5E693924"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22、当基金管理人将其义务委托第三方处理时，应当对第三方处理有关基金事务的行为承担责任；</w:t>
      </w:r>
    </w:p>
    <w:p w14:paraId="05C203BB"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23、以基金管理人名义，代表基金份额持有人利益行使诉讼权利或实施其他法律行为；</w:t>
      </w:r>
    </w:p>
    <w:p w14:paraId="7F15D4C0"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24、基金管理人在募集期间未能达到基金的备案条件，《基金合同》不能生效，基金管理人承担全部募集费用，将已募集资金加计银行同期</w:t>
      </w:r>
      <w:r>
        <w:rPr>
          <w:rFonts w:asciiTheme="minorEastAsia" w:hAnsiTheme="minorEastAsia" w:cs="Times New Roman" w:hint="eastAsia"/>
          <w:sz w:val="24"/>
          <w:szCs w:val="24"/>
        </w:rPr>
        <w:t>活期存款利息在基金募集期结束后</w:t>
      </w:r>
      <w:r>
        <w:rPr>
          <w:rFonts w:asciiTheme="minorEastAsia" w:hAnsiTheme="minorEastAsia" w:cs="Times New Roman"/>
          <w:sz w:val="24"/>
          <w:szCs w:val="24"/>
        </w:rPr>
        <w:t>30日内退还基金认购人；</w:t>
      </w:r>
    </w:p>
    <w:p w14:paraId="038FD652"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25、执行生效的基金份额持有人大会的决议；</w:t>
      </w:r>
    </w:p>
    <w:p w14:paraId="401DB1F9"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26、建立并保存基金份额持有人名册；</w:t>
      </w:r>
    </w:p>
    <w:p w14:paraId="4E418169"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27、法律法规及中国证监会规定的和《基金合同》约定的其他义务。</w:t>
      </w:r>
    </w:p>
    <w:p w14:paraId="420E7ED3" w14:textId="77777777" w:rsidR="0066529D" w:rsidRDefault="00A901FF">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41242AC9"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238A3B76"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0917DA90"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1）将基金管理人固有财产或者他人财产混同于基金财产从事证券投资；</w:t>
      </w:r>
    </w:p>
    <w:p w14:paraId="73287EBB"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2）不公平地对待管理的不同基金财产；</w:t>
      </w:r>
    </w:p>
    <w:p w14:paraId="7392C384"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3）利用基金财产或者职务之便为基金份额持有人以外的第三人牟取利益；</w:t>
      </w:r>
    </w:p>
    <w:p w14:paraId="60639B42"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4）向基金份额持有人违规承诺收益或者承担损失；</w:t>
      </w:r>
    </w:p>
    <w:p w14:paraId="68481A00"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5）侵占、挪用基金财产；</w:t>
      </w:r>
    </w:p>
    <w:p w14:paraId="311A68D6"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6）泄露因职务便利获取的未公开信息、利用该信息从事或者明示、暗示他人从事相关的交易活动；</w:t>
      </w:r>
    </w:p>
    <w:p w14:paraId="5D34B6BA"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7）玩忽职守，不按照规定履行职责；</w:t>
      </w:r>
    </w:p>
    <w:p w14:paraId="4A52E75E"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w:t>
      </w:r>
      <w:r>
        <w:rPr>
          <w:rFonts w:asciiTheme="minorEastAsia" w:hAnsiTheme="minorEastAsia" w:cs="Times New Roman"/>
          <w:sz w:val="24"/>
          <w:szCs w:val="24"/>
        </w:rPr>
        <w:t xml:space="preserve">8）法律、行政法规和中国证监会规定禁止的其他行为。 </w:t>
      </w:r>
    </w:p>
    <w:p w14:paraId="6982ED45"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5ED54E06"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4、基金管理人承诺加强人员管理，强化职业操守，督促和约束员工遵守国家有关法律法规及行业规范，诚实信用、勤勉尽责；</w:t>
      </w:r>
    </w:p>
    <w:p w14:paraId="381F33D7"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5、基金管理人承诺不从事其他法规规定禁止从事的行为。 </w:t>
      </w:r>
    </w:p>
    <w:p w14:paraId="20149C05" w14:textId="77777777" w:rsidR="0066529D" w:rsidRDefault="00A901FF">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51B22848"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1、依照有关法律法规和基金合同的规定，本着谨慎的原则为基金份额持有人谋取最大利益；</w:t>
      </w:r>
    </w:p>
    <w:p w14:paraId="3AC04266"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 xml:space="preserve">2、不利用职务之便为自己、受雇人或任何第三者牟取利益； </w:t>
      </w:r>
    </w:p>
    <w:p w14:paraId="7CC020A3"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71B10865" w14:textId="77777777" w:rsidR="0066529D" w:rsidRDefault="00A901FF">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4、不以任何形式为其他组织或个人进行证券交易。</w:t>
      </w:r>
    </w:p>
    <w:p w14:paraId="2F9BFC36" w14:textId="77777777" w:rsidR="0066529D" w:rsidRDefault="00A901FF">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E275E4A"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6" w:name="_Toc263092312"/>
      <w:bookmarkStart w:id="87" w:name="_Toc352229750"/>
      <w:bookmarkStart w:id="88" w:name="_Toc416264540"/>
      <w:bookmarkStart w:id="89" w:name="_Toc410197818"/>
      <w:bookmarkEnd w:id="69"/>
      <w:bookmarkEnd w:id="70"/>
      <w:bookmarkEnd w:id="71"/>
      <w:r>
        <w:rPr>
          <w:rFonts w:asciiTheme="minorEastAsia" w:hAnsiTheme="minorEastAsia" w:cs="Arial"/>
          <w:sz w:val="24"/>
          <w:szCs w:val="24"/>
        </w:rPr>
        <w:t>1、风险控制目标</w:t>
      </w:r>
    </w:p>
    <w:p w14:paraId="1758F8FA"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1）在有效控制风险的前提下，实现基金份额持有人利益最大化；</w:t>
      </w:r>
    </w:p>
    <w:p w14:paraId="4B545C39"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2）确保国家有关法律法规、行业规章和公司各项规章制度的贯彻执行；</w:t>
      </w:r>
    </w:p>
    <w:p w14:paraId="7E62C288"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3）建立符合现代企业制度要求的法人治理结构，形成科学合理的决策机制、执行机制和监督机制；</w:t>
      </w:r>
    </w:p>
    <w:p w14:paraId="2DCDD4B7"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4C664D51"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5）建立行之有效的风险控制系统，保障业务稳健运行，减轻或规避各种风险对公司发展战略和经营目标的干扰。</w:t>
      </w:r>
    </w:p>
    <w:p w14:paraId="0BB0F84B"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2、建立风险控制制度应遵循的原则</w:t>
      </w:r>
    </w:p>
    <w:p w14:paraId="1F31FCE3"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1）全面性原则：风险控制制度应覆盖公司的各项业务、各个部门和各级人员，并渗透到决策、执行、监督、反馈等各个经营环节；</w:t>
      </w:r>
    </w:p>
    <w:p w14:paraId="5BBF4750"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（2）审慎性原则：内部风险控制的核心是有效防范各种风险，公司组织体系的构成、内部管理制度的建立都要以防范风险、审慎经营为出发点；</w:t>
      </w:r>
    </w:p>
    <w:p w14:paraId="541FA067"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w:t>
      </w:r>
      <w:r>
        <w:rPr>
          <w:rFonts w:asciiTheme="minorEastAsia" w:hAnsiTheme="minorEastAsia" w:cs="Arial" w:hint="eastAsia"/>
          <w:sz w:val="24"/>
          <w:szCs w:val="24"/>
        </w:rPr>
        <w:t>权威性，负责对公司各部门风险控制工作进行评价和检查；</w:t>
      </w:r>
    </w:p>
    <w:p w14:paraId="5C596F2D"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（4）有效性原则：风险控制制度应当符合国家法律法规和监管部门的规章，</w:t>
      </w:r>
      <w:r>
        <w:rPr>
          <w:rFonts w:asciiTheme="minorEastAsia" w:hAnsiTheme="minorEastAsia" w:cs="Arial"/>
          <w:sz w:val="24"/>
          <w:szCs w:val="24"/>
        </w:rPr>
        <w:lastRenderedPageBreak/>
        <w:t>具有高度的权威性，成为所有员工严格遵守的行动指南；执行风险控制制度不能存在任何例外，公司任何员工不得拥有超越制度或违反规章的权力；</w:t>
      </w:r>
    </w:p>
    <w:p w14:paraId="6E0AF06E"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34B6990F"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3、风险控制体系</w:t>
      </w:r>
    </w:p>
    <w:p w14:paraId="5C1A99E8"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1）风险控制制度体系</w:t>
      </w:r>
    </w:p>
    <w:p w14:paraId="038F41BC"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29D984B7"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2）风险控制组织体系</w:t>
      </w:r>
    </w:p>
    <w:p w14:paraId="18C53BE5"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61978ABE"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DB290F7"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6700376"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62419464"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08E6A7F5" w14:textId="77777777" w:rsidR="0066529D" w:rsidRDefault="00A901FF">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w:t>
      </w:r>
      <w:r>
        <w:rPr>
          <w:rFonts w:asciiTheme="minorEastAsia" w:hAnsiTheme="minorEastAsia" w:cs="Arial" w:hint="eastAsia"/>
          <w:sz w:val="24"/>
          <w:szCs w:val="24"/>
        </w:rPr>
        <w:lastRenderedPageBreak/>
        <w:t>资的关联方证券名单和关联交易；风险管理委员会认为其他需关注的事项。</w:t>
      </w:r>
    </w:p>
    <w:p w14:paraId="13C61D80"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32667385"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1F6A7BC0"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4、关于授权、研究、投资、交易等方面的控制点</w:t>
      </w:r>
    </w:p>
    <w:p w14:paraId="531A44B3"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1）授权制度</w:t>
      </w:r>
    </w:p>
    <w:p w14:paraId="31CA5999"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ADC22DE"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2）研究业务</w:t>
      </w:r>
    </w:p>
    <w:p w14:paraId="2A3261C9"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69DE2C44"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3）基金投资业务</w:t>
      </w:r>
    </w:p>
    <w:p w14:paraId="0B551B27"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5AFF509A"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lastRenderedPageBreak/>
        <w:t>（</w:t>
      </w:r>
      <w:r>
        <w:rPr>
          <w:rFonts w:asciiTheme="minorEastAsia" w:hAnsiTheme="minorEastAsia" w:cs="Arial"/>
          <w:sz w:val="24"/>
          <w:szCs w:val="24"/>
        </w:rPr>
        <w:t>4）交易业务</w:t>
      </w:r>
    </w:p>
    <w:p w14:paraId="0FC40EF2"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6F7E1C13"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5）基金会计核算</w:t>
      </w:r>
    </w:p>
    <w:p w14:paraId="5407EDA7"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4F34F71C"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6）信息披露</w:t>
      </w:r>
    </w:p>
    <w:p w14:paraId="3DF8C60A"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0BD23172"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7）监察稽核</w:t>
      </w:r>
    </w:p>
    <w:p w14:paraId="19BFA4A7"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681C6405"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24360D5A"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sz w:val="24"/>
          <w:szCs w:val="24"/>
        </w:rPr>
        <w:t>5、风险管理和内部控制的措施</w:t>
      </w:r>
    </w:p>
    <w:p w14:paraId="48AB00FF"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w:t>
      </w:r>
      <w:r>
        <w:rPr>
          <w:rFonts w:asciiTheme="minorEastAsia" w:hAnsiTheme="minorEastAsia" w:cs="Arial"/>
          <w:sz w:val="24"/>
          <w:szCs w:val="24"/>
        </w:rPr>
        <w:lastRenderedPageBreak/>
        <w:t>的独立进行，并得到高管人员的支持。</w:t>
      </w:r>
    </w:p>
    <w:p w14:paraId="63522587"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176A5A6"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1FBDC9F1"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4EF8E6F6"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3DC13EFD"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399A3EA9" w14:textId="77777777" w:rsidR="0066529D" w:rsidRDefault="00A901FF">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7）提供足够的培训：制定了完整的培训计划，为所有员工提供足够和适当的培训，使员工明确其职责所在，控制风险。</w:t>
      </w:r>
    </w:p>
    <w:p w14:paraId="6D62AF8F" w14:textId="77777777" w:rsidR="0066529D" w:rsidRDefault="00A901FF">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90" w:name="_Toc238027832"/>
      <w:bookmarkStart w:id="91" w:name="_Toc238013745"/>
      <w:bookmarkEnd w:id="90"/>
      <w:bookmarkEnd w:id="91"/>
    </w:p>
    <w:p w14:paraId="66264CF3" w14:textId="77777777" w:rsidR="0066529D" w:rsidRDefault="0066529D">
      <w:pPr>
        <w:keepNext/>
        <w:keepLines/>
        <w:tabs>
          <w:tab w:val="center" w:pos="4364"/>
        </w:tabs>
        <w:autoSpaceDE w:val="0"/>
        <w:autoSpaceDN w:val="0"/>
        <w:adjustRightInd w:val="0"/>
        <w:snapToGrid w:val="0"/>
        <w:spacing w:line="360" w:lineRule="auto"/>
        <w:ind w:firstLineChars="150" w:firstLine="422"/>
        <w:textAlignment w:val="baseline"/>
        <w:outlineLvl w:val="0"/>
        <w:rPr>
          <w:rFonts w:asciiTheme="minorEastAsia" w:hAnsiTheme="minorEastAsia" w:cs="Arial" w:hint="eastAsia"/>
          <w:b/>
          <w:bCs/>
          <w:kern w:val="0"/>
          <w:sz w:val="28"/>
          <w:szCs w:val="28"/>
        </w:rPr>
        <w:sectPr w:rsidR="0066529D">
          <w:footerReference w:type="default" r:id="rId14"/>
          <w:pgSz w:w="11906" w:h="16838"/>
          <w:pgMar w:top="1440" w:right="1800" w:bottom="1440" w:left="1800" w:header="851" w:footer="992" w:gutter="0"/>
          <w:pgNumType w:chapStyle="1"/>
          <w:cols w:space="720"/>
          <w:docGrid w:type="lines" w:linePitch="312"/>
        </w:sectPr>
      </w:pPr>
    </w:p>
    <w:p w14:paraId="60F04E6A" w14:textId="77777777" w:rsidR="0066529D" w:rsidRDefault="00A901FF">
      <w:pPr>
        <w:pStyle w:val="1"/>
        <w:jc w:val="center"/>
        <w:rPr>
          <w:rFonts w:asciiTheme="minorEastAsia" w:eastAsiaTheme="minorEastAsia" w:hAnsiTheme="minorEastAsia" w:hint="eastAsia"/>
          <w:sz w:val="30"/>
          <w:szCs w:val="30"/>
        </w:rPr>
      </w:pPr>
      <w:bookmarkStart w:id="92" w:name="_Toc146096080"/>
      <w:r>
        <w:rPr>
          <w:rFonts w:asciiTheme="minorEastAsia" w:eastAsiaTheme="minorEastAsia" w:hAnsiTheme="minorEastAsia" w:hint="eastAsia"/>
          <w:sz w:val="30"/>
          <w:szCs w:val="30"/>
        </w:rPr>
        <w:lastRenderedPageBreak/>
        <w:t>第四部分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基金托管人</w:t>
      </w:r>
      <w:bookmarkEnd w:id="92"/>
    </w:p>
    <w:p w14:paraId="7DFD21C7" w14:textId="77777777" w:rsidR="0066529D" w:rsidRDefault="00A901FF">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一、基本情况</w:t>
      </w:r>
    </w:p>
    <w:p w14:paraId="314C2315"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名称：中国光大银行股份有限公司</w:t>
      </w:r>
    </w:p>
    <w:p w14:paraId="50EAA60F"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住所及办公地址：北京市西城区太平桥大街25 号、甲25 号中国光大中心</w:t>
      </w:r>
    </w:p>
    <w:p w14:paraId="54F16796"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成立日期：1992年6月18日</w:t>
      </w:r>
    </w:p>
    <w:p w14:paraId="4C1FD309"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批准设立机关和批准设立文号：国务院、国函[1992]7号</w:t>
      </w:r>
    </w:p>
    <w:p w14:paraId="7BEFEF89"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组织形式：股份有限公司</w:t>
      </w:r>
    </w:p>
    <w:p w14:paraId="3EC550DB"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注册资本：590.85551亿元人民币</w:t>
      </w:r>
    </w:p>
    <w:p w14:paraId="32BBC597"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法定代表人：吴利军</w:t>
      </w:r>
    </w:p>
    <w:p w14:paraId="6897F823"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基金托管业务批准文号：中国证监会</w:t>
      </w:r>
      <w:proofErr w:type="gramStart"/>
      <w:r>
        <w:rPr>
          <w:rFonts w:ascii="宋体" w:hAnsi="宋体" w:cs="宋体" w:hint="eastAsia"/>
          <w:sz w:val="24"/>
          <w:szCs w:val="24"/>
        </w:rPr>
        <w:t>证监基字</w:t>
      </w:r>
      <w:proofErr w:type="gramEnd"/>
      <w:r>
        <w:rPr>
          <w:rFonts w:ascii="宋体" w:hAnsi="宋体" w:cs="宋体" w:hint="eastAsia"/>
          <w:sz w:val="24"/>
          <w:szCs w:val="24"/>
        </w:rPr>
        <w:t>【2002】75号</w:t>
      </w:r>
    </w:p>
    <w:p w14:paraId="29173F17"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资产托管部总经理：李守靖</w:t>
      </w:r>
    </w:p>
    <w:p w14:paraId="7BDC302A"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电话：（010） 63636363</w:t>
      </w:r>
    </w:p>
    <w:p w14:paraId="4930C128"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传真：（010） 63639132</w:t>
      </w:r>
    </w:p>
    <w:p w14:paraId="0D886558" w14:textId="190BC229"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网址：www.cebbank.com</w:t>
      </w:r>
    </w:p>
    <w:p w14:paraId="4CB3722B" w14:textId="77777777" w:rsidR="0066529D" w:rsidRDefault="00A901FF">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w:t>
      </w:r>
      <w:r>
        <w:rPr>
          <w:rFonts w:ascii="宋体" w:hAnsi="宋体" w:cs="宋体" w:hint="eastAsia"/>
          <w:b/>
          <w:bCs/>
          <w:color w:val="000000"/>
          <w:sz w:val="24"/>
          <w:szCs w:val="24"/>
        </w:rPr>
        <w:t>资产托管部部门</w:t>
      </w:r>
      <w:r>
        <w:rPr>
          <w:rFonts w:asciiTheme="minorEastAsia" w:hAnsiTheme="minorEastAsia" w:hint="eastAsia"/>
          <w:b/>
          <w:color w:val="000000"/>
          <w:kern w:val="0"/>
          <w:sz w:val="24"/>
        </w:rPr>
        <w:t>及主要人员情况</w:t>
      </w:r>
    </w:p>
    <w:p w14:paraId="55143037"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董事长吴利军先生，自2020年3月起任</w:t>
      </w:r>
      <w:proofErr w:type="gramStart"/>
      <w:r>
        <w:rPr>
          <w:rFonts w:ascii="宋体" w:hAnsi="宋体" w:cs="宋体" w:hint="eastAsia"/>
          <w:sz w:val="24"/>
          <w:szCs w:val="24"/>
        </w:rPr>
        <w:t>本行副</w:t>
      </w:r>
      <w:proofErr w:type="gramEnd"/>
      <w:r>
        <w:rPr>
          <w:rFonts w:ascii="宋体" w:hAnsi="宋体" w:cs="宋体" w:hint="eastAsia"/>
          <w:sz w:val="24"/>
          <w:szCs w:val="24"/>
        </w:rPr>
        <w:t>董事长、2024年1月起任本行董事长。现任中国光大集团股份公司党委书记、董事长，兼任中国光大集团股份公司党校校长。曾任国内贸易部国家物资储备调节中心副主任(副局级)，中国证券监督管理委员会信息中心负责人，培训中心副主任(主持工作)，人事教育部主任、党委组织部部长，中国证券监督管理委员会党委委员、主席助理，深圳证券交易所理事会理事长、党委书记(副部长级)，中国光大集团股份公司党委副书记、副董事长、总经理。获经济学博士学位，高级经济师。</w:t>
      </w:r>
    </w:p>
    <w:p w14:paraId="028A880C" w14:textId="77777777"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行长郝成先生，自2024年6月起任本行党委书记，2024年8月起任本行执行董事、行长。现任中国光大集团股份公司党委委员、执行董事。历任国家开发银行天津分行党委委员、副行长，国家开发银行人事局副局长、党委组织部副部长，国家开发银行吉林分行党委书记、行长，交通银行党委委员、副行长。获管理学博士学位，高级工程师。</w:t>
      </w:r>
    </w:p>
    <w:p w14:paraId="01F0FDBC" w14:textId="46D4DFDD" w:rsidR="0066529D" w:rsidRDefault="00A901FF">
      <w:pPr>
        <w:spacing w:line="360" w:lineRule="auto"/>
        <w:ind w:firstLineChars="200" w:firstLine="480"/>
        <w:rPr>
          <w:rFonts w:ascii="宋体" w:hAnsi="宋体" w:cs="宋体" w:hint="eastAsia"/>
          <w:sz w:val="24"/>
          <w:szCs w:val="24"/>
        </w:rPr>
      </w:pPr>
      <w:r>
        <w:rPr>
          <w:rFonts w:ascii="宋体" w:hAnsi="宋体" w:cs="宋体" w:hint="eastAsia"/>
          <w:sz w:val="24"/>
          <w:szCs w:val="24"/>
        </w:rPr>
        <w:t>资产托管部总经理贾光华先生，1994年7月在光大银行总行营业部参加工作，2005年10月调入同业机构部（后更名为金融同业部）后，先后任处长、总</w:t>
      </w:r>
      <w:r>
        <w:rPr>
          <w:rFonts w:ascii="宋体" w:hAnsi="宋体" w:cs="宋体" w:hint="eastAsia"/>
          <w:sz w:val="24"/>
          <w:szCs w:val="24"/>
        </w:rPr>
        <w:lastRenderedPageBreak/>
        <w:t>经理助理、副总经理、副总经理（主持工作），2018年5月</w:t>
      </w:r>
      <w:proofErr w:type="gramStart"/>
      <w:r>
        <w:rPr>
          <w:rFonts w:ascii="宋体" w:hAnsi="宋体" w:cs="宋体" w:hint="eastAsia"/>
          <w:sz w:val="24"/>
          <w:szCs w:val="24"/>
        </w:rPr>
        <w:t>任金融</w:t>
      </w:r>
      <w:proofErr w:type="gramEnd"/>
      <w:r>
        <w:rPr>
          <w:rFonts w:ascii="宋体" w:hAnsi="宋体" w:cs="宋体" w:hint="eastAsia"/>
          <w:sz w:val="24"/>
          <w:szCs w:val="24"/>
        </w:rPr>
        <w:t>同业部总经理，2025年1月</w:t>
      </w:r>
      <w:proofErr w:type="gramStart"/>
      <w:r>
        <w:rPr>
          <w:rFonts w:ascii="宋体" w:hAnsi="宋体" w:cs="宋体" w:hint="eastAsia"/>
          <w:sz w:val="24"/>
          <w:szCs w:val="24"/>
        </w:rPr>
        <w:t>任资产</w:t>
      </w:r>
      <w:proofErr w:type="gramEnd"/>
      <w:r>
        <w:rPr>
          <w:rFonts w:ascii="宋体" w:hAnsi="宋体" w:cs="宋体" w:hint="eastAsia"/>
          <w:sz w:val="24"/>
          <w:szCs w:val="24"/>
        </w:rPr>
        <w:t>托管部总经理。</w:t>
      </w:r>
    </w:p>
    <w:p w14:paraId="01B92A9D" w14:textId="77777777" w:rsidR="0066529D" w:rsidRDefault="00A901FF">
      <w:pPr>
        <w:spacing w:line="360" w:lineRule="auto"/>
        <w:ind w:firstLine="420"/>
        <w:rPr>
          <w:rFonts w:asciiTheme="minorEastAsia" w:hAnsiTheme="minorEastAsia" w:cs="宋体" w:hint="eastAsia"/>
          <w:b/>
          <w:bCs/>
          <w:color w:val="000000"/>
          <w:sz w:val="24"/>
        </w:rPr>
      </w:pPr>
      <w:r>
        <w:rPr>
          <w:rFonts w:asciiTheme="minorEastAsia" w:hAnsiTheme="minorEastAsia" w:cs="Arial" w:hint="eastAsia"/>
          <w:b/>
          <w:bCs/>
          <w:sz w:val="24"/>
          <w:szCs w:val="24"/>
        </w:rPr>
        <w:t>三、</w:t>
      </w:r>
      <w:r>
        <w:rPr>
          <w:rFonts w:asciiTheme="minorEastAsia" w:hAnsiTheme="minorEastAsia" w:cs="宋体" w:hint="eastAsia"/>
          <w:b/>
          <w:bCs/>
          <w:color w:val="000000"/>
          <w:sz w:val="24"/>
        </w:rPr>
        <w:t>证券投资基金托管情况</w:t>
      </w:r>
    </w:p>
    <w:p w14:paraId="65E4CBFC" w14:textId="5A6B3CE9"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截至2024年12月31日，中国光大银行股份有限公司托管公开募集证券投资基金共350只，托管基金资产规模7187.39亿元。同时，开展了证券公司资产管理计划、基金公司客户资产管理计划、职业年金、企业年金、QDII、QFII、银行理财、保险债权投资计划等资产的托管及信托公司资金信托计划、产业投资基金、股权基金等产品的保管业务。</w:t>
      </w:r>
    </w:p>
    <w:p w14:paraId="373F225D" w14:textId="77777777" w:rsidR="0066529D" w:rsidRDefault="00A901FF">
      <w:pPr>
        <w:spacing w:line="360" w:lineRule="auto"/>
        <w:ind w:firstLineChars="200" w:firstLine="482"/>
        <w:rPr>
          <w:rFonts w:asciiTheme="minorEastAsia" w:hAnsiTheme="minorEastAsia" w:hint="eastAsia"/>
          <w:b/>
          <w:color w:val="000000"/>
          <w:kern w:val="0"/>
          <w:sz w:val="24"/>
        </w:rPr>
      </w:pPr>
      <w:r>
        <w:rPr>
          <w:rFonts w:asciiTheme="minorEastAsia" w:hAnsiTheme="minorEastAsia" w:cs="Arial" w:hint="eastAsia"/>
          <w:b/>
          <w:bCs/>
          <w:sz w:val="24"/>
          <w:szCs w:val="24"/>
        </w:rPr>
        <w:t>四、</w:t>
      </w:r>
      <w:r>
        <w:rPr>
          <w:rFonts w:asciiTheme="minorEastAsia" w:hAnsiTheme="minorEastAsia" w:hint="eastAsia"/>
          <w:b/>
          <w:color w:val="000000"/>
          <w:kern w:val="0"/>
          <w:sz w:val="24"/>
        </w:rPr>
        <w:t>托管业务的内部控制制度</w:t>
      </w:r>
    </w:p>
    <w:p w14:paraId="01A5DD5A"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1、内部控制目标</w:t>
      </w:r>
    </w:p>
    <w:p w14:paraId="53297E6A"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79E3959A"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2、内部控制的原则</w:t>
      </w:r>
    </w:p>
    <w:p w14:paraId="2AEF2C3C"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（1）全面性原则。内部控制必须渗透到基金托管业务的各个操作环节，覆盖所有的岗位，不留任何死角。</w:t>
      </w:r>
    </w:p>
    <w:p w14:paraId="3480B3DE"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（2）预防性原则。树立“预防为主”的管理理念，从风险发生的源头加强内部控制，防患于未然，尽量避免业务操作中各种问题的产生。</w:t>
      </w:r>
    </w:p>
    <w:p w14:paraId="48811CB8"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（3）及时性原则。建立健全各项规章制度，采取有效措施加强内部控制。发现问题，及时处理，堵塞漏洞。</w:t>
      </w:r>
    </w:p>
    <w:p w14:paraId="1C37AD37"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（4）独立性原则。基金托管业务内部控制机构独立于基金托管业务执行机构，业务操作人员和内控人员分开，以保证内控机构的工作不受干扰。</w:t>
      </w:r>
    </w:p>
    <w:p w14:paraId="1EFCDFD0"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3、内部控制组织结构</w:t>
      </w:r>
    </w:p>
    <w:p w14:paraId="6622F751"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合</w:t>
      </w:r>
      <w:proofErr w:type="gramStart"/>
      <w:r>
        <w:rPr>
          <w:rFonts w:ascii="宋体" w:hAnsi="宋体" w:cs="宋体" w:hint="eastAsia"/>
          <w:sz w:val="24"/>
          <w:szCs w:val="24"/>
          <w:lang w:val="zh-CN"/>
        </w:rPr>
        <w:t>规</w:t>
      </w:r>
      <w:proofErr w:type="gramEnd"/>
      <w:r>
        <w:rPr>
          <w:rFonts w:ascii="宋体" w:hAnsi="宋体" w:cs="宋体" w:hint="eastAsia"/>
          <w:sz w:val="24"/>
          <w:szCs w:val="24"/>
          <w:lang w:val="zh-CN"/>
        </w:rPr>
        <w:t>处，负责证券投资基金托管业</w:t>
      </w:r>
      <w:r>
        <w:rPr>
          <w:rFonts w:ascii="宋体" w:hAnsi="宋体" w:cs="宋体" w:hint="eastAsia"/>
          <w:sz w:val="24"/>
          <w:szCs w:val="24"/>
          <w:lang w:val="zh-CN"/>
        </w:rPr>
        <w:lastRenderedPageBreak/>
        <w:t>务的内控管理。</w:t>
      </w:r>
    </w:p>
    <w:p w14:paraId="6676C693"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4、内部控制制度</w:t>
      </w:r>
    </w:p>
    <w:p w14:paraId="3394988B" w14:textId="21F8214A"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资产托管业务内部控制规定》、《中国光大银行资产托管业务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6591B302" w14:textId="77777777" w:rsidR="0066529D" w:rsidRDefault="00A901FF">
      <w:pPr>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五、基金托管人对基金管理人运作基金进行监督的方法和程序</w:t>
      </w:r>
    </w:p>
    <w:p w14:paraId="118B735D" w14:textId="77777777" w:rsidR="0066529D" w:rsidRDefault="00A901FF">
      <w:pPr>
        <w:spacing w:line="360" w:lineRule="auto"/>
        <w:ind w:firstLineChars="200" w:firstLine="480"/>
        <w:rPr>
          <w:rFonts w:ascii="宋体" w:hAnsi="宋体" w:cs="宋体" w:hint="eastAsia"/>
          <w:sz w:val="24"/>
          <w:szCs w:val="24"/>
          <w:lang w:val="zh-CN"/>
        </w:rPr>
      </w:pPr>
      <w:r>
        <w:rPr>
          <w:rFonts w:ascii="宋体" w:hAnsi="宋体" w:cs="宋体" w:hint="eastAsia"/>
          <w:sz w:val="24"/>
          <w:szCs w:val="24"/>
          <w:lang w:val="zh-CN"/>
        </w:rPr>
        <w:t>根据法律、法规和基金合同等的要求，基金托管人主要通过定性和定量相结合、事前监督和事后控制相结合、技术与人工监督相结合等方式方法，对基金投资范围、投资组合比例每日进行监督；同时，对基金管理人就基金资产净值的计算、基金管理人和基金托管人报酬的计提和支付、基金收益分配、基金费用支付等行为的合法性、合</w:t>
      </w:r>
      <w:proofErr w:type="gramStart"/>
      <w:r>
        <w:rPr>
          <w:rFonts w:ascii="宋体" w:hAnsi="宋体" w:cs="宋体" w:hint="eastAsia"/>
          <w:sz w:val="24"/>
          <w:szCs w:val="24"/>
          <w:lang w:val="zh-CN"/>
        </w:rPr>
        <w:t>规</w:t>
      </w:r>
      <w:proofErr w:type="gramEnd"/>
      <w:r>
        <w:rPr>
          <w:rFonts w:ascii="宋体" w:hAnsi="宋体" w:cs="宋体" w:hint="eastAsia"/>
          <w:sz w:val="24"/>
          <w:szCs w:val="24"/>
          <w:lang w:val="zh-CN"/>
        </w:rPr>
        <w:t>性进行监督和核查。</w:t>
      </w:r>
    </w:p>
    <w:p w14:paraId="71FE7687" w14:textId="5273F5A0" w:rsidR="0066529D" w:rsidRDefault="00A901FF">
      <w:pPr>
        <w:spacing w:line="360" w:lineRule="auto"/>
        <w:ind w:firstLine="420"/>
        <w:rPr>
          <w:rFonts w:ascii="宋体" w:hAnsi="宋体" w:cs="宋体" w:hint="eastAsia"/>
          <w:sz w:val="24"/>
          <w:szCs w:val="24"/>
          <w:lang w:val="zh-CN"/>
        </w:rPr>
      </w:pPr>
      <w:r>
        <w:rPr>
          <w:rFonts w:ascii="宋体" w:hAnsi="宋体" w:cs="宋体" w:hint="eastAsia"/>
          <w:sz w:val="24"/>
          <w:szCs w:val="24"/>
          <w:lang w:val="zh-CN"/>
        </w:rPr>
        <w:t>基金托管人发现基金管理人的违反法律、法规和基金合同等规定的行为，及时以邮件、电话或书面等形式通知基金管理人限期纠正，基金管理人收到通知后应及时核对确认并以邮件或书面形式对基金托管人发出回函。在限期内，基金托管人有权随时对通知事项进行复查。基金管理人对基金托管人通知的违规事项未能在限期内纠正的，基金托管人应报告中国证监会。</w:t>
      </w:r>
    </w:p>
    <w:p w14:paraId="35B3AE92" w14:textId="77777777" w:rsidR="0066529D" w:rsidRDefault="00A901FF">
      <w:pPr>
        <w:widowControl/>
        <w:jc w:val="left"/>
        <w:rPr>
          <w:rFonts w:asciiTheme="minorEastAsia" w:hAnsiTheme="minorEastAsia" w:cs="Times New Roman" w:hint="eastAsia"/>
          <w:b/>
          <w:bCs/>
          <w:color w:val="000000"/>
          <w:kern w:val="0"/>
          <w:sz w:val="24"/>
          <w:szCs w:val="24"/>
        </w:rPr>
      </w:pPr>
      <w:r>
        <w:rPr>
          <w:rFonts w:asciiTheme="minorEastAsia" w:hAnsiTheme="minorEastAsia"/>
          <w:bCs/>
          <w:szCs w:val="24"/>
        </w:rPr>
        <w:br w:type="page"/>
      </w:r>
    </w:p>
    <w:p w14:paraId="493CD827" w14:textId="77777777" w:rsidR="0066529D" w:rsidRDefault="00A901FF">
      <w:pPr>
        <w:pStyle w:val="1"/>
        <w:jc w:val="center"/>
        <w:rPr>
          <w:rFonts w:asciiTheme="minorEastAsia" w:eastAsiaTheme="minorEastAsia" w:hAnsiTheme="minorEastAsia" w:hint="eastAsia"/>
          <w:sz w:val="30"/>
          <w:szCs w:val="30"/>
        </w:rPr>
      </w:pPr>
      <w:bookmarkStart w:id="93" w:name="_Toc416264541"/>
      <w:bookmarkStart w:id="94" w:name="_Toc214873594"/>
      <w:bookmarkStart w:id="95" w:name="_Toc263092313"/>
      <w:bookmarkStart w:id="96" w:name="_Toc146096081"/>
      <w:bookmarkStart w:id="97" w:name="_Toc23822"/>
      <w:bookmarkStart w:id="98" w:name="_Toc7920"/>
      <w:bookmarkStart w:id="99" w:name="_Toc23261"/>
      <w:bookmarkStart w:id="100" w:name="_Toc352229752"/>
      <w:bookmarkStart w:id="101" w:name="_Toc1427"/>
      <w:bookmarkStart w:id="102" w:name="_Toc610"/>
      <w:bookmarkStart w:id="103" w:name="_Toc79392606"/>
      <w:bookmarkStart w:id="104" w:name="_Toc352229751"/>
      <w:bookmarkStart w:id="105" w:name="_Toc98560352"/>
      <w:bookmarkStart w:id="106" w:name="_Toc141703886"/>
      <w:bookmarkStart w:id="107" w:name="_Toc11081"/>
      <w:bookmarkStart w:id="108" w:name="_Toc123102453"/>
      <w:bookmarkStart w:id="109" w:name="_Toc20733"/>
      <w:bookmarkStart w:id="110" w:name="_Toc123051452"/>
      <w:bookmarkStart w:id="111" w:name="_Toc139991736"/>
      <w:bookmarkStart w:id="112" w:name="_Toc1270"/>
      <w:bookmarkStart w:id="113" w:name="_Toc4003"/>
      <w:bookmarkStart w:id="114" w:name="_Toc48649707"/>
      <w:bookmarkStart w:id="115" w:name="_Toc10463"/>
      <w:bookmarkStart w:id="116" w:name="_Toc17244"/>
      <w:bookmarkStart w:id="117" w:name="_Toc123112234"/>
      <w:bookmarkEnd w:id="72"/>
      <w:bookmarkEnd w:id="73"/>
      <w:bookmarkEnd w:id="74"/>
      <w:bookmarkEnd w:id="75"/>
      <w:bookmarkEnd w:id="76"/>
      <w:bookmarkEnd w:id="77"/>
      <w:bookmarkEnd w:id="78"/>
      <w:bookmarkEnd w:id="79"/>
      <w:bookmarkEnd w:id="80"/>
      <w:bookmarkEnd w:id="81"/>
      <w:bookmarkEnd w:id="82"/>
      <w:bookmarkEnd w:id="83"/>
      <w:bookmarkEnd w:id="84"/>
      <w:bookmarkEnd w:id="86"/>
      <w:bookmarkEnd w:id="87"/>
      <w:bookmarkEnd w:id="88"/>
      <w:bookmarkEnd w:id="89"/>
      <w:r>
        <w:rPr>
          <w:rFonts w:asciiTheme="minorEastAsia" w:eastAsiaTheme="minorEastAsia" w:hAnsiTheme="minorEastAsia" w:hint="eastAsia"/>
          <w:sz w:val="30"/>
          <w:szCs w:val="30"/>
        </w:rPr>
        <w:lastRenderedPageBreak/>
        <w:t>第五部分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相关服务机构</w:t>
      </w:r>
      <w:bookmarkEnd w:id="93"/>
      <w:bookmarkEnd w:id="94"/>
      <w:bookmarkEnd w:id="95"/>
      <w:bookmarkEnd w:id="96"/>
    </w:p>
    <w:p w14:paraId="3E3D2417" w14:textId="77777777" w:rsidR="0066529D" w:rsidRDefault="00A901FF">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A9E4A9D" w14:textId="77777777" w:rsidR="0066529D" w:rsidRDefault="00A901F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1、直销机构：富荣基金管理有限公司直销中心</w:t>
      </w:r>
    </w:p>
    <w:p w14:paraId="35A15515" w14:textId="77777777" w:rsidR="0066529D" w:rsidRDefault="00A901F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r>
        <w:rPr>
          <w:rFonts w:asciiTheme="minorEastAsia" w:hAnsiTheme="minorEastAsia" w:cs="Arial"/>
          <w:sz w:val="24"/>
          <w:szCs w:val="24"/>
        </w:rPr>
        <w:t xml:space="preserve"> </w:t>
      </w:r>
    </w:p>
    <w:p w14:paraId="0949DDA0" w14:textId="77777777" w:rsidR="0066529D" w:rsidRDefault="00A901F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办公地址：广东省深圳市福田区八卦四路</w:t>
      </w:r>
      <w:r>
        <w:rPr>
          <w:rFonts w:asciiTheme="minorEastAsia" w:hAnsiTheme="minorEastAsia" w:cs="Arial"/>
          <w:sz w:val="24"/>
          <w:szCs w:val="24"/>
        </w:rPr>
        <w:t>52号安吉</w:t>
      </w:r>
      <w:r>
        <w:rPr>
          <w:rFonts w:asciiTheme="minorEastAsia" w:hAnsiTheme="minorEastAsia" w:cs="Arial" w:hint="eastAsia"/>
          <w:sz w:val="24"/>
          <w:szCs w:val="24"/>
        </w:rPr>
        <w:t>尔大厦</w:t>
      </w:r>
      <w:r>
        <w:rPr>
          <w:rFonts w:asciiTheme="minorEastAsia" w:hAnsiTheme="minorEastAsia" w:cs="Arial"/>
          <w:sz w:val="24"/>
          <w:szCs w:val="24"/>
        </w:rPr>
        <w:t>24层</w:t>
      </w:r>
    </w:p>
    <w:p w14:paraId="71C7F22D" w14:textId="77777777" w:rsidR="0066529D" w:rsidRDefault="00A901F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1EA2AB40" w14:textId="77777777" w:rsidR="0066529D" w:rsidRDefault="00A901F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w:t>
      </w:r>
      <w:r>
        <w:rPr>
          <w:rFonts w:asciiTheme="minorEastAsia" w:hAnsiTheme="minorEastAsia" w:cs="Arial"/>
          <w:sz w:val="24"/>
          <w:szCs w:val="24"/>
        </w:rPr>
        <w:t>0755-84356629</w:t>
      </w:r>
    </w:p>
    <w:p w14:paraId="61907650" w14:textId="77777777" w:rsidR="0066529D" w:rsidRDefault="00A901F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w:t>
      </w:r>
      <w:r>
        <w:rPr>
          <w:rFonts w:asciiTheme="minorEastAsia" w:hAnsiTheme="minorEastAsia" w:cs="Arial"/>
          <w:sz w:val="24"/>
          <w:szCs w:val="24"/>
        </w:rPr>
        <w:t>0755-83230902</w:t>
      </w:r>
    </w:p>
    <w:p w14:paraId="7E17C083" w14:textId="77777777" w:rsidR="0066529D" w:rsidRDefault="00A901F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w:t>
      </w:r>
      <w:r>
        <w:rPr>
          <w:rFonts w:asciiTheme="minorEastAsia" w:hAnsiTheme="minorEastAsia" w:cs="Arial"/>
          <w:sz w:val="24"/>
          <w:szCs w:val="24"/>
        </w:rPr>
        <w:t>4006855600</w:t>
      </w:r>
    </w:p>
    <w:p w14:paraId="70415F8B" w14:textId="77777777" w:rsidR="0066529D" w:rsidRDefault="00A901F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t>
      </w:r>
      <w:r>
        <w:rPr>
          <w:rFonts w:asciiTheme="minorEastAsia" w:hAnsiTheme="minorEastAsia" w:cs="Arial"/>
          <w:sz w:val="24"/>
          <w:szCs w:val="24"/>
        </w:rPr>
        <w:t>www.furamc.com.cn</w:t>
      </w:r>
    </w:p>
    <w:p w14:paraId="16FB3E60" w14:textId="77777777" w:rsidR="0066529D" w:rsidRDefault="00A901FF">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其他销售机构：</w:t>
      </w:r>
      <w:r>
        <w:rPr>
          <w:rFonts w:asciiTheme="minorEastAsia" w:hAnsiTheme="minorEastAsia" w:cs="Arial"/>
          <w:sz w:val="24"/>
          <w:szCs w:val="24"/>
        </w:rPr>
        <w:t xml:space="preserve"> </w:t>
      </w:r>
    </w:p>
    <w:tbl>
      <w:tblPr>
        <w:tblW w:w="8647" w:type="dxa"/>
        <w:tblInd w:w="108" w:type="dxa"/>
        <w:tblLook w:val="04A0" w:firstRow="1" w:lastRow="0" w:firstColumn="1" w:lastColumn="0" w:noHBand="0" w:noVBand="1"/>
      </w:tblPr>
      <w:tblGrid>
        <w:gridCol w:w="851"/>
        <w:gridCol w:w="2693"/>
        <w:gridCol w:w="5103"/>
      </w:tblGrid>
      <w:tr w:rsidR="0066529D" w14:paraId="1C41498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9BF16F6"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序号</w:t>
            </w:r>
          </w:p>
        </w:tc>
        <w:tc>
          <w:tcPr>
            <w:tcW w:w="2693" w:type="dxa"/>
            <w:tcBorders>
              <w:top w:val="single" w:sz="4" w:space="0" w:color="000000"/>
              <w:left w:val="single" w:sz="4" w:space="0" w:color="000000"/>
              <w:bottom w:val="single" w:sz="4" w:space="0" w:color="000000"/>
              <w:right w:val="single" w:sz="4" w:space="0" w:color="000000"/>
            </w:tcBorders>
          </w:tcPr>
          <w:p w14:paraId="72E0A7CB"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代销机构名称</w:t>
            </w:r>
          </w:p>
        </w:tc>
        <w:tc>
          <w:tcPr>
            <w:tcW w:w="5103" w:type="dxa"/>
            <w:tcBorders>
              <w:top w:val="single" w:sz="4" w:space="0" w:color="000000"/>
              <w:left w:val="single" w:sz="4" w:space="0" w:color="000000"/>
              <w:bottom w:val="single" w:sz="4" w:space="0" w:color="000000"/>
              <w:right w:val="single" w:sz="4" w:space="0" w:color="000000"/>
            </w:tcBorders>
          </w:tcPr>
          <w:p w14:paraId="2F91FB14"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代销机构信息</w:t>
            </w:r>
          </w:p>
        </w:tc>
      </w:tr>
      <w:tr w:rsidR="0066529D" w14:paraId="69D0DF3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A77F936"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1</w:t>
            </w:r>
          </w:p>
        </w:tc>
        <w:tc>
          <w:tcPr>
            <w:tcW w:w="2693" w:type="dxa"/>
            <w:tcBorders>
              <w:top w:val="single" w:sz="4" w:space="0" w:color="000000"/>
              <w:left w:val="single" w:sz="4" w:space="0" w:color="000000"/>
              <w:bottom w:val="single" w:sz="4" w:space="0" w:color="000000"/>
              <w:right w:val="single" w:sz="4" w:space="0" w:color="000000"/>
            </w:tcBorders>
          </w:tcPr>
          <w:p w14:paraId="57A064C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东方财富证券股份有限公司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3F482B0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4EA7462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客户服务电话：95357</w:t>
            </w:r>
          </w:p>
          <w:p w14:paraId="023ABF6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66529D" w14:paraId="3DB94AE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7D4FB61"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w:t>
            </w:r>
          </w:p>
        </w:tc>
        <w:tc>
          <w:tcPr>
            <w:tcW w:w="2693" w:type="dxa"/>
            <w:tcBorders>
              <w:top w:val="single" w:sz="4" w:space="0" w:color="000000"/>
              <w:left w:val="single" w:sz="4" w:space="0" w:color="000000"/>
              <w:bottom w:val="single" w:sz="4" w:space="0" w:color="000000"/>
              <w:right w:val="single" w:sz="4" w:space="0" w:color="000000"/>
            </w:tcBorders>
          </w:tcPr>
          <w:p w14:paraId="70BCAD4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1504BF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城中路488号</w:t>
            </w:r>
          </w:p>
          <w:p w14:paraId="508028F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太平金融大厦1503室</w:t>
            </w:r>
          </w:p>
          <w:p w14:paraId="5FB04F7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400-820-5369</w:t>
            </w:r>
          </w:p>
          <w:p w14:paraId="09E569D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hyperlink r:id="rId15" w:tgtFrame="_blank" w:history="1">
              <w:r>
                <w:rPr>
                  <w:rStyle w:val="afa"/>
                  <w:rFonts w:ascii="宋体" w:hAnsi="宋体" w:cs="Calibri"/>
                  <w:szCs w:val="21"/>
                </w:rPr>
                <w:t>www.jiyufund.com.cn</w:t>
              </w:r>
            </w:hyperlink>
          </w:p>
        </w:tc>
      </w:tr>
      <w:tr w:rsidR="0066529D" w14:paraId="4A331B35"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65EDBA3"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3</w:t>
            </w:r>
          </w:p>
        </w:tc>
        <w:tc>
          <w:tcPr>
            <w:tcW w:w="2693" w:type="dxa"/>
            <w:tcBorders>
              <w:top w:val="single" w:sz="4" w:space="0" w:color="000000"/>
              <w:left w:val="single" w:sz="4" w:space="0" w:color="000000"/>
              <w:bottom w:val="single" w:sz="4" w:space="0" w:color="000000"/>
              <w:right w:val="single" w:sz="4" w:space="0" w:color="000000"/>
            </w:tcBorders>
          </w:tcPr>
          <w:p w14:paraId="401CCB0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奕丰金融销售有限公司</w:t>
            </w:r>
          </w:p>
        </w:tc>
        <w:tc>
          <w:tcPr>
            <w:tcW w:w="5103" w:type="dxa"/>
            <w:tcBorders>
              <w:top w:val="single" w:sz="4" w:space="0" w:color="000000"/>
              <w:left w:val="single" w:sz="4" w:space="0" w:color="000000"/>
              <w:bottom w:val="single" w:sz="4" w:space="0" w:color="000000"/>
              <w:right w:val="single" w:sz="4" w:space="0" w:color="000000"/>
            </w:tcBorders>
          </w:tcPr>
          <w:p w14:paraId="2BA61BC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1E8425F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4EB04C1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66529D" w14:paraId="06263CF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E0BFCB8"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4</w:t>
            </w:r>
          </w:p>
        </w:tc>
        <w:tc>
          <w:tcPr>
            <w:tcW w:w="2693" w:type="dxa"/>
            <w:tcBorders>
              <w:top w:val="single" w:sz="4" w:space="0" w:color="000000"/>
              <w:left w:val="single" w:sz="4" w:space="0" w:color="000000"/>
              <w:bottom w:val="single" w:sz="4" w:space="0" w:color="000000"/>
              <w:right w:val="single" w:sz="4" w:space="0" w:color="000000"/>
            </w:tcBorders>
          </w:tcPr>
          <w:p w14:paraId="0CEAF8E9"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上海好买基金销售有限公司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D5BC2D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注册(办公)地址：上海市浦东新区张杨路500号华</w:t>
            </w:r>
            <w:proofErr w:type="gramStart"/>
            <w:r>
              <w:rPr>
                <w:rFonts w:ascii="宋体" w:hAnsi="宋体" w:cs="Calibri" w:hint="eastAsia"/>
                <w:color w:val="000000"/>
                <w:szCs w:val="21"/>
              </w:rPr>
              <w:t>润时代</w:t>
            </w:r>
            <w:proofErr w:type="gramEnd"/>
            <w:r>
              <w:rPr>
                <w:rFonts w:ascii="宋体" w:hAnsi="宋体" w:cs="Calibri" w:hint="eastAsia"/>
                <w:color w:val="000000"/>
                <w:szCs w:val="21"/>
              </w:rPr>
              <w:t>广场10、11、12、14层</w:t>
            </w:r>
          </w:p>
          <w:p w14:paraId="344F3EF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客服电话：400-700-9665</w:t>
            </w:r>
          </w:p>
          <w:p w14:paraId="5F2EBFA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公司网址：www.ehowbuy.com</w:t>
            </w:r>
          </w:p>
        </w:tc>
      </w:tr>
      <w:tr w:rsidR="0066529D" w14:paraId="085C54D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0A97BBD"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5</w:t>
            </w:r>
          </w:p>
        </w:tc>
        <w:tc>
          <w:tcPr>
            <w:tcW w:w="2693" w:type="dxa"/>
            <w:tcBorders>
              <w:top w:val="single" w:sz="4" w:space="0" w:color="000000"/>
              <w:left w:val="single" w:sz="4" w:space="0" w:color="000000"/>
              <w:bottom w:val="single" w:sz="4" w:space="0" w:color="000000"/>
              <w:right w:val="single" w:sz="4" w:space="0" w:color="000000"/>
            </w:tcBorders>
          </w:tcPr>
          <w:p w14:paraId="70FCC1C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京东肯特瑞基金销售有限公司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BA39B8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注册(办公)地址：北京市海淀区知春路76号(写字楼)1号楼4层1-7-2</w:t>
            </w:r>
          </w:p>
          <w:p w14:paraId="3E9283F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客服电话：95118</w:t>
            </w:r>
          </w:p>
          <w:p w14:paraId="15DCEF6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66529D" w14:paraId="1700123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BEDD5CC"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6</w:t>
            </w:r>
          </w:p>
        </w:tc>
        <w:tc>
          <w:tcPr>
            <w:tcW w:w="2693" w:type="dxa"/>
            <w:tcBorders>
              <w:top w:val="single" w:sz="4" w:space="0" w:color="000000"/>
              <w:left w:val="single" w:sz="4" w:space="0" w:color="000000"/>
              <w:bottom w:val="single" w:sz="4" w:space="0" w:color="000000"/>
              <w:right w:val="single" w:sz="4" w:space="0" w:color="000000"/>
            </w:tcBorders>
          </w:tcPr>
          <w:p w14:paraId="4E2FDA2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北京虹点基金销售有限公司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CD0413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注册(办公)地址：北京市朝阳区工人体育场北路甲2号裙房2层222单元</w:t>
            </w:r>
          </w:p>
          <w:p w14:paraId="7C61AB6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49FA380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66529D" w14:paraId="2FA90E94"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0972581"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7</w:t>
            </w:r>
          </w:p>
        </w:tc>
        <w:tc>
          <w:tcPr>
            <w:tcW w:w="2693" w:type="dxa"/>
            <w:tcBorders>
              <w:top w:val="single" w:sz="4" w:space="0" w:color="000000"/>
              <w:left w:val="single" w:sz="4" w:space="0" w:color="000000"/>
              <w:bottom w:val="single" w:sz="4" w:space="0" w:color="000000"/>
              <w:right w:val="single" w:sz="4" w:space="0" w:color="000000"/>
            </w:tcBorders>
          </w:tcPr>
          <w:p w14:paraId="61869729"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0361DCC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注册(办公)地址：北京市石景山区城通</w:t>
            </w:r>
            <w:proofErr w:type="gramStart"/>
            <w:r>
              <w:rPr>
                <w:rFonts w:ascii="宋体" w:hAnsi="宋体" w:cs="Calibri" w:hint="eastAsia"/>
                <w:color w:val="000000"/>
                <w:szCs w:val="21"/>
              </w:rPr>
              <w:t>街金融</w:t>
            </w:r>
            <w:proofErr w:type="gramEnd"/>
            <w:r>
              <w:rPr>
                <w:rFonts w:ascii="宋体" w:hAnsi="宋体" w:cs="Calibri" w:hint="eastAsia"/>
                <w:color w:val="000000"/>
                <w:szCs w:val="21"/>
              </w:rPr>
              <w:t>长安中心26号院2号楼17层</w:t>
            </w:r>
          </w:p>
          <w:p w14:paraId="5C60ADA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lastRenderedPageBreak/>
              <w:t>客服电话：</w:t>
            </w:r>
            <w:r>
              <w:rPr>
                <w:rFonts w:ascii="宋体" w:hAnsi="宋体" w:cs="Calibri"/>
                <w:color w:val="000000"/>
                <w:szCs w:val="21"/>
              </w:rPr>
              <w:t>010-59422766</w:t>
            </w:r>
          </w:p>
          <w:p w14:paraId="03F3430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www.qianjing.com</w:t>
            </w:r>
          </w:p>
        </w:tc>
      </w:tr>
      <w:tr w:rsidR="0066529D" w14:paraId="07406B9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7143351"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lastRenderedPageBreak/>
              <w:t>8</w:t>
            </w:r>
          </w:p>
        </w:tc>
        <w:tc>
          <w:tcPr>
            <w:tcW w:w="2693" w:type="dxa"/>
            <w:tcBorders>
              <w:top w:val="single" w:sz="4" w:space="0" w:color="000000"/>
              <w:left w:val="single" w:sz="4" w:space="0" w:color="000000"/>
              <w:bottom w:val="single" w:sz="4" w:space="0" w:color="000000"/>
              <w:right w:val="single" w:sz="4" w:space="0" w:color="000000"/>
            </w:tcBorders>
          </w:tcPr>
          <w:p w14:paraId="2D014F3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蚂蚁（杭州）基金销售有限公司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648D1F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注册(办公)地址：浙江省杭州市余杭区五常街道文</w:t>
            </w:r>
            <w:proofErr w:type="gramStart"/>
            <w:r>
              <w:rPr>
                <w:rFonts w:ascii="宋体" w:hAnsi="宋体" w:cs="Calibri" w:hint="eastAsia"/>
                <w:color w:val="000000"/>
                <w:szCs w:val="21"/>
              </w:rPr>
              <w:t>一</w:t>
            </w:r>
            <w:proofErr w:type="gramEnd"/>
            <w:r>
              <w:rPr>
                <w:rFonts w:ascii="宋体" w:hAnsi="宋体" w:cs="Calibri" w:hint="eastAsia"/>
                <w:color w:val="000000"/>
                <w:szCs w:val="21"/>
              </w:rPr>
              <w:t>西路969号3幢5层599室</w:t>
            </w:r>
          </w:p>
          <w:p w14:paraId="52AABFA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95188</w:t>
            </w:r>
          </w:p>
          <w:p w14:paraId="7B88215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www.fund123.cn</w:t>
            </w:r>
          </w:p>
        </w:tc>
      </w:tr>
      <w:tr w:rsidR="0066529D" w14:paraId="7FAAE40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44C4E47"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9</w:t>
            </w:r>
          </w:p>
        </w:tc>
        <w:tc>
          <w:tcPr>
            <w:tcW w:w="2693" w:type="dxa"/>
            <w:tcBorders>
              <w:top w:val="single" w:sz="4" w:space="0" w:color="000000"/>
              <w:left w:val="single" w:sz="4" w:space="0" w:color="000000"/>
              <w:bottom w:val="single" w:sz="4" w:space="0" w:color="000000"/>
              <w:right w:val="single" w:sz="4" w:space="0" w:color="000000"/>
            </w:tcBorders>
          </w:tcPr>
          <w:p w14:paraId="4E63A56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5FCD2F5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注册(办公)地址：杭州市西湖区文二西路1号元茂大厦903室</w:t>
            </w:r>
          </w:p>
          <w:p w14:paraId="5D9D1A8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6F0FA0A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hyperlink r:id="rId16" w:history="1">
              <w:r>
                <w:rPr>
                  <w:rStyle w:val="afa"/>
                  <w:rFonts w:ascii="宋体" w:hAnsi="宋体" w:cs="Calibri" w:hint="eastAsia"/>
                  <w:szCs w:val="21"/>
                </w:rPr>
                <w:t>www.5ifund.com</w:t>
              </w:r>
            </w:hyperlink>
          </w:p>
        </w:tc>
      </w:tr>
      <w:tr w:rsidR="0066529D" w14:paraId="7F240446"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AD698DC"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1</w:t>
            </w:r>
            <w:r>
              <w:rPr>
                <w:rFonts w:ascii="宋体" w:hAnsi="宋体" w:cs="Calibri"/>
                <w:color w:val="000000"/>
                <w:szCs w:val="21"/>
              </w:rPr>
              <w:t>0</w:t>
            </w:r>
          </w:p>
        </w:tc>
        <w:tc>
          <w:tcPr>
            <w:tcW w:w="2693" w:type="dxa"/>
            <w:tcBorders>
              <w:top w:val="single" w:sz="4" w:space="0" w:color="000000"/>
              <w:left w:val="single" w:sz="4" w:space="0" w:color="000000"/>
              <w:bottom w:val="single" w:sz="4" w:space="0" w:color="000000"/>
              <w:right w:val="single" w:sz="4" w:space="0" w:color="000000"/>
            </w:tcBorders>
          </w:tcPr>
          <w:p w14:paraId="55B2F38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4D3495E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注册(办公)地址：中国（上海）自由贸易试验区源深路1</w:t>
            </w:r>
            <w:r>
              <w:rPr>
                <w:rFonts w:ascii="宋体" w:hAnsi="宋体" w:cs="Calibri"/>
                <w:color w:val="000000"/>
                <w:szCs w:val="21"/>
              </w:rPr>
              <w:t>088</w:t>
            </w:r>
            <w:r>
              <w:rPr>
                <w:rFonts w:ascii="宋体" w:hAnsi="宋体" w:cs="Calibri" w:hint="eastAsia"/>
                <w:color w:val="000000"/>
                <w:szCs w:val="21"/>
              </w:rPr>
              <w:t>号7层</w:t>
            </w:r>
          </w:p>
          <w:p w14:paraId="7568547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3E7CB83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66529D" w14:paraId="374C117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6307330"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1</w:t>
            </w:r>
            <w:r>
              <w:rPr>
                <w:rFonts w:ascii="宋体" w:hAnsi="宋体" w:cs="Calibri"/>
                <w:color w:val="000000"/>
                <w:szCs w:val="21"/>
              </w:rPr>
              <w:t>1</w:t>
            </w:r>
          </w:p>
        </w:tc>
        <w:tc>
          <w:tcPr>
            <w:tcW w:w="2693" w:type="dxa"/>
            <w:tcBorders>
              <w:top w:val="single" w:sz="4" w:space="0" w:color="000000"/>
              <w:left w:val="single" w:sz="4" w:space="0" w:color="000000"/>
              <w:bottom w:val="single" w:sz="4" w:space="0" w:color="000000"/>
              <w:right w:val="single" w:sz="4" w:space="0" w:color="000000"/>
            </w:tcBorders>
          </w:tcPr>
          <w:p w14:paraId="1BBFE84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上海联泰资产管理有限公司</w:t>
            </w:r>
          </w:p>
        </w:tc>
        <w:tc>
          <w:tcPr>
            <w:tcW w:w="5103" w:type="dxa"/>
            <w:tcBorders>
              <w:top w:val="single" w:sz="4" w:space="0" w:color="000000"/>
              <w:left w:val="single" w:sz="4" w:space="0" w:color="000000"/>
              <w:bottom w:val="single" w:sz="4" w:space="0" w:color="000000"/>
              <w:right w:val="single" w:sz="4" w:space="0" w:color="000000"/>
            </w:tcBorders>
          </w:tcPr>
          <w:p w14:paraId="2C3FD97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注册(办公)地址：上海市虹口区北外滩</w:t>
            </w:r>
            <w:proofErr w:type="gramStart"/>
            <w:r>
              <w:rPr>
                <w:rFonts w:ascii="宋体" w:hAnsi="宋体" w:cs="Calibri" w:hint="eastAsia"/>
                <w:color w:val="000000"/>
                <w:szCs w:val="21"/>
              </w:rPr>
              <w:t>临潼路</w:t>
            </w:r>
            <w:proofErr w:type="gramEnd"/>
            <w:r>
              <w:rPr>
                <w:rFonts w:ascii="宋体" w:hAnsi="宋体" w:cs="Calibri" w:hint="eastAsia"/>
                <w:color w:val="000000"/>
                <w:szCs w:val="21"/>
              </w:rPr>
              <w:t>188号</w:t>
            </w:r>
          </w:p>
          <w:p w14:paraId="2885AD7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2B5CEA9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66529D" w14:paraId="4C80AC7C"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5109B3C"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12</w:t>
            </w:r>
          </w:p>
        </w:tc>
        <w:tc>
          <w:tcPr>
            <w:tcW w:w="2693" w:type="dxa"/>
            <w:tcBorders>
              <w:top w:val="single" w:sz="4" w:space="0" w:color="000000"/>
              <w:left w:val="single" w:sz="4" w:space="0" w:color="000000"/>
              <w:bottom w:val="single" w:sz="4" w:space="0" w:color="000000"/>
              <w:right w:val="single" w:sz="4" w:space="0" w:color="000000"/>
            </w:tcBorders>
          </w:tcPr>
          <w:p w14:paraId="691FEE9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上海天天基金销售有限公司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0910EDA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注册(办公)地址：上海市徐汇区宛平南路88号东方财富大厦</w:t>
            </w:r>
          </w:p>
          <w:p w14:paraId="6978D3A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5B5BFD1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66529D" w14:paraId="7BDD88B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77DEFE3"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13</w:t>
            </w:r>
          </w:p>
        </w:tc>
        <w:tc>
          <w:tcPr>
            <w:tcW w:w="2693" w:type="dxa"/>
            <w:tcBorders>
              <w:top w:val="single" w:sz="4" w:space="0" w:color="000000"/>
              <w:left w:val="single" w:sz="4" w:space="0" w:color="000000"/>
              <w:bottom w:val="single" w:sz="4" w:space="0" w:color="000000"/>
              <w:right w:val="single" w:sz="4" w:space="0" w:color="000000"/>
            </w:tcBorders>
          </w:tcPr>
          <w:p w14:paraId="6568CAC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0038230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注册(办公)地址：广州市海</w:t>
            </w:r>
            <w:proofErr w:type="gramStart"/>
            <w:r>
              <w:rPr>
                <w:rFonts w:ascii="宋体" w:hAnsi="宋体" w:cs="Calibri" w:hint="eastAsia"/>
                <w:color w:val="000000"/>
                <w:szCs w:val="21"/>
              </w:rPr>
              <w:t>珠区阅江</w:t>
            </w:r>
            <w:proofErr w:type="gramEnd"/>
            <w:r>
              <w:rPr>
                <w:rFonts w:ascii="宋体" w:hAnsi="宋体" w:cs="Calibri" w:hint="eastAsia"/>
                <w:color w:val="000000"/>
                <w:szCs w:val="21"/>
              </w:rPr>
              <w:t>中路688号保利国际广场北塔33楼、8楼</w:t>
            </w:r>
          </w:p>
          <w:p w14:paraId="04A4FBF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4862271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66529D" w14:paraId="36FD488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C799BA2"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14</w:t>
            </w:r>
          </w:p>
        </w:tc>
        <w:tc>
          <w:tcPr>
            <w:tcW w:w="2693" w:type="dxa"/>
            <w:tcBorders>
              <w:top w:val="single" w:sz="4" w:space="0" w:color="000000"/>
              <w:left w:val="single" w:sz="4" w:space="0" w:color="000000"/>
              <w:bottom w:val="single" w:sz="4" w:space="0" w:color="000000"/>
              <w:right w:val="single" w:sz="4" w:space="0" w:color="000000"/>
            </w:tcBorders>
          </w:tcPr>
          <w:p w14:paraId="0054668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40EEFAC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注册(办公)地址：上海市浦东新区东方路1267号陆家嘴金融服务广场二期11层</w:t>
            </w:r>
          </w:p>
          <w:p w14:paraId="2B16753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客服电话：400-820-2899</w:t>
            </w:r>
          </w:p>
          <w:p w14:paraId="179A87B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 www.erichfund.com</w:t>
            </w:r>
          </w:p>
        </w:tc>
      </w:tr>
      <w:tr w:rsidR="0066529D" w14:paraId="4300B22A"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CEEE04A"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15</w:t>
            </w:r>
          </w:p>
        </w:tc>
        <w:tc>
          <w:tcPr>
            <w:tcW w:w="2693" w:type="dxa"/>
            <w:tcBorders>
              <w:top w:val="single" w:sz="4" w:space="0" w:color="000000"/>
              <w:left w:val="single" w:sz="4" w:space="0" w:color="000000"/>
              <w:bottom w:val="single" w:sz="4" w:space="0" w:color="000000"/>
              <w:right w:val="single" w:sz="4" w:space="0" w:color="000000"/>
            </w:tcBorders>
          </w:tcPr>
          <w:p w14:paraId="331F549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民</w:t>
            </w:r>
            <w:proofErr w:type="gramStart"/>
            <w:r>
              <w:rPr>
                <w:rFonts w:ascii="宋体" w:hAnsi="宋体" w:cs="Calibri" w:hint="eastAsia"/>
                <w:color w:val="000000"/>
                <w:szCs w:val="21"/>
              </w:rPr>
              <w:t>商基金</w:t>
            </w:r>
            <w:proofErr w:type="gramEnd"/>
            <w:r>
              <w:rPr>
                <w:rFonts w:ascii="宋体" w:hAnsi="宋体" w:cs="Calibri" w:hint="eastAsia"/>
                <w:color w:val="000000"/>
                <w:szCs w:val="21"/>
              </w:rPr>
              <w:t>销售（上海）有限公司</w:t>
            </w:r>
          </w:p>
        </w:tc>
        <w:tc>
          <w:tcPr>
            <w:tcW w:w="5103" w:type="dxa"/>
            <w:tcBorders>
              <w:top w:val="single" w:sz="4" w:space="0" w:color="000000"/>
              <w:left w:val="single" w:sz="4" w:space="0" w:color="000000"/>
              <w:bottom w:val="single" w:sz="4" w:space="0" w:color="000000"/>
              <w:right w:val="single" w:sz="4" w:space="0" w:color="000000"/>
            </w:tcBorders>
          </w:tcPr>
          <w:p w14:paraId="53FE142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5558057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2CD5A1C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www.msftec.com/</w:t>
            </w:r>
            <w:r>
              <w:rPr>
                <w:rFonts w:ascii="宋体" w:hAnsi="宋体" w:cs="Calibri" w:hint="eastAsia"/>
                <w:color w:val="000000"/>
                <w:szCs w:val="21"/>
              </w:rPr>
              <w:t xml:space="preserve"> </w:t>
            </w:r>
          </w:p>
        </w:tc>
      </w:tr>
      <w:tr w:rsidR="0066529D" w14:paraId="6175170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C252369"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16</w:t>
            </w:r>
          </w:p>
        </w:tc>
        <w:tc>
          <w:tcPr>
            <w:tcW w:w="2693" w:type="dxa"/>
            <w:tcBorders>
              <w:top w:val="single" w:sz="4" w:space="0" w:color="000000"/>
              <w:left w:val="single" w:sz="4" w:space="0" w:color="000000"/>
              <w:bottom w:val="single" w:sz="4" w:space="0" w:color="000000"/>
              <w:right w:val="single" w:sz="4" w:space="0" w:color="000000"/>
            </w:tcBorders>
          </w:tcPr>
          <w:p w14:paraId="77CC425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北京汇成基金销售有限公司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721A039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注册(办公)地址：北京市西城区宣武门外大街甲1号</w:t>
            </w:r>
            <w:proofErr w:type="gramStart"/>
            <w:r>
              <w:rPr>
                <w:rFonts w:ascii="宋体" w:hAnsi="宋体" w:cs="Calibri" w:hint="eastAsia"/>
                <w:color w:val="000000"/>
                <w:szCs w:val="21"/>
              </w:rPr>
              <w:t>环球财讯中心</w:t>
            </w:r>
            <w:proofErr w:type="gramEnd"/>
            <w:r>
              <w:rPr>
                <w:rFonts w:ascii="宋体" w:hAnsi="宋体" w:cs="Calibri" w:hint="eastAsia"/>
                <w:color w:val="000000"/>
                <w:szCs w:val="21"/>
              </w:rPr>
              <w:t>D座401</w:t>
            </w:r>
            <w:r>
              <w:rPr>
                <w:rFonts w:ascii="宋体" w:hAnsi="宋体" w:cs="Calibri"/>
                <w:color w:val="000000"/>
                <w:szCs w:val="21"/>
              </w:rPr>
              <w:t xml:space="preserve"> </w:t>
            </w:r>
          </w:p>
          <w:p w14:paraId="6B084E4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38AF1FC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66529D" w14:paraId="16C1D69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2E07759"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17</w:t>
            </w:r>
          </w:p>
        </w:tc>
        <w:tc>
          <w:tcPr>
            <w:tcW w:w="2693" w:type="dxa"/>
            <w:tcBorders>
              <w:top w:val="single" w:sz="4" w:space="0" w:color="000000"/>
              <w:left w:val="single" w:sz="4" w:space="0" w:color="000000"/>
              <w:bottom w:val="single" w:sz="4" w:space="0" w:color="000000"/>
              <w:right w:val="single" w:sz="4" w:space="0" w:color="000000"/>
            </w:tcBorders>
          </w:tcPr>
          <w:p w14:paraId="584F710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深圳市新兰德证券投资咨询有限公司</w:t>
            </w:r>
          </w:p>
        </w:tc>
        <w:tc>
          <w:tcPr>
            <w:tcW w:w="5103" w:type="dxa"/>
            <w:tcBorders>
              <w:top w:val="single" w:sz="4" w:space="0" w:color="000000"/>
              <w:left w:val="single" w:sz="4" w:space="0" w:color="000000"/>
              <w:bottom w:val="single" w:sz="4" w:space="0" w:color="000000"/>
              <w:right w:val="single" w:sz="4" w:space="0" w:color="000000"/>
            </w:tcBorders>
          </w:tcPr>
          <w:p w14:paraId="7AAF7E9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注册(办公)地址：深圳市福田区梅林</w:t>
            </w:r>
            <w:proofErr w:type="gramStart"/>
            <w:r>
              <w:rPr>
                <w:rFonts w:ascii="宋体" w:hAnsi="宋体" w:cs="Calibri" w:hint="eastAsia"/>
                <w:color w:val="000000"/>
                <w:szCs w:val="21"/>
              </w:rPr>
              <w:t>街道梅都社区</w:t>
            </w:r>
            <w:proofErr w:type="gramEnd"/>
            <w:r>
              <w:rPr>
                <w:rFonts w:ascii="宋体" w:hAnsi="宋体" w:cs="Calibri" w:hint="eastAsia"/>
                <w:color w:val="000000"/>
                <w:szCs w:val="21"/>
              </w:rPr>
              <w:t>中康路136号深圳新一代产业园2栋3401</w:t>
            </w:r>
          </w:p>
          <w:p w14:paraId="399771E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01F9235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66529D" w14:paraId="120A7707"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2ED4955"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18</w:t>
            </w:r>
          </w:p>
        </w:tc>
        <w:tc>
          <w:tcPr>
            <w:tcW w:w="2693" w:type="dxa"/>
            <w:tcBorders>
              <w:top w:val="single" w:sz="4" w:space="0" w:color="000000"/>
              <w:left w:val="single" w:sz="4" w:space="0" w:color="000000"/>
              <w:bottom w:val="single" w:sz="4" w:space="0" w:color="000000"/>
              <w:right w:val="single" w:sz="4" w:space="0" w:color="000000"/>
            </w:tcBorders>
          </w:tcPr>
          <w:p w14:paraId="142332C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济安财富（北京）基金销售有限公司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25608BC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注册(办公)地址：北京市朝阳区太阳宫中路16号院1号</w:t>
            </w:r>
            <w:proofErr w:type="gramStart"/>
            <w:r>
              <w:rPr>
                <w:rFonts w:ascii="宋体" w:hAnsi="宋体" w:cs="Calibri" w:hint="eastAsia"/>
                <w:color w:val="000000"/>
                <w:szCs w:val="21"/>
              </w:rPr>
              <w:t>楼冠捷大厦</w:t>
            </w:r>
            <w:proofErr w:type="gramEnd"/>
            <w:r>
              <w:rPr>
                <w:rFonts w:ascii="宋体" w:hAnsi="宋体" w:cs="Calibri" w:hint="eastAsia"/>
                <w:color w:val="000000"/>
                <w:szCs w:val="21"/>
              </w:rPr>
              <w:t>11层1105</w:t>
            </w:r>
          </w:p>
          <w:p w14:paraId="03DE6E8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07436E8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lastRenderedPageBreak/>
              <w:t>网址：</w:t>
            </w:r>
            <w:r>
              <w:rPr>
                <w:rFonts w:ascii="宋体" w:hAnsi="宋体" w:cs="Calibri"/>
                <w:color w:val="000000"/>
                <w:szCs w:val="21"/>
              </w:rPr>
              <w:t>http://www.jianfortune.com/</w:t>
            </w:r>
          </w:p>
        </w:tc>
      </w:tr>
      <w:tr w:rsidR="0066529D" w14:paraId="283FE6C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AF114E6"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lastRenderedPageBreak/>
              <w:t>19</w:t>
            </w:r>
          </w:p>
        </w:tc>
        <w:tc>
          <w:tcPr>
            <w:tcW w:w="2693" w:type="dxa"/>
            <w:tcBorders>
              <w:top w:val="single" w:sz="4" w:space="0" w:color="000000"/>
              <w:left w:val="single" w:sz="4" w:space="0" w:color="000000"/>
              <w:bottom w:val="single" w:sz="4" w:space="0" w:color="000000"/>
              <w:right w:val="single" w:sz="4" w:space="0" w:color="000000"/>
            </w:tcBorders>
          </w:tcPr>
          <w:p w14:paraId="0DBBAFB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方德保险代理有限公司</w:t>
            </w:r>
          </w:p>
        </w:tc>
        <w:tc>
          <w:tcPr>
            <w:tcW w:w="5103" w:type="dxa"/>
            <w:tcBorders>
              <w:top w:val="single" w:sz="4" w:space="0" w:color="000000"/>
              <w:left w:val="single" w:sz="4" w:space="0" w:color="000000"/>
              <w:bottom w:val="single" w:sz="4" w:space="0" w:color="000000"/>
              <w:right w:val="single" w:sz="4" w:space="0" w:color="000000"/>
            </w:tcBorders>
          </w:tcPr>
          <w:p w14:paraId="7450081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注册(办公)地址：北京市东城区崇文门外16号1幢8层802</w:t>
            </w:r>
          </w:p>
          <w:p w14:paraId="3D54598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67FBD9A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https://fdsure.com/</w:t>
            </w:r>
          </w:p>
        </w:tc>
      </w:tr>
      <w:tr w:rsidR="0066529D" w14:paraId="1109529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365AE31"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20</w:t>
            </w:r>
          </w:p>
        </w:tc>
        <w:tc>
          <w:tcPr>
            <w:tcW w:w="2693" w:type="dxa"/>
            <w:tcBorders>
              <w:top w:val="single" w:sz="4" w:space="0" w:color="000000"/>
              <w:left w:val="single" w:sz="4" w:space="0" w:color="000000"/>
              <w:bottom w:val="single" w:sz="4" w:space="0" w:color="000000"/>
              <w:right w:val="single" w:sz="4" w:space="0" w:color="000000"/>
            </w:tcBorders>
          </w:tcPr>
          <w:p w14:paraId="5ED84B8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2AD6E0C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注册(办公)地址：辽宁省大连市沙河口区体坛路22号诺德大厦2层202室</w:t>
            </w:r>
          </w:p>
          <w:p w14:paraId="1078E3A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08C1E5C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66529D" w14:paraId="4D913224"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F7C55EB"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21</w:t>
            </w:r>
          </w:p>
        </w:tc>
        <w:tc>
          <w:tcPr>
            <w:tcW w:w="2693" w:type="dxa"/>
            <w:tcBorders>
              <w:top w:val="single" w:sz="4" w:space="0" w:color="000000"/>
              <w:left w:val="single" w:sz="4" w:space="0" w:color="000000"/>
              <w:bottom w:val="single" w:sz="4" w:space="0" w:color="000000"/>
              <w:right w:val="single" w:sz="4" w:space="0" w:color="000000"/>
            </w:tcBorders>
          </w:tcPr>
          <w:p w14:paraId="7FF8ED5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103" w:type="dxa"/>
            <w:tcBorders>
              <w:top w:val="single" w:sz="4" w:space="0" w:color="000000"/>
              <w:left w:val="single" w:sz="4" w:space="0" w:color="000000"/>
              <w:bottom w:val="single" w:sz="4" w:space="0" w:color="000000"/>
              <w:right w:val="single" w:sz="4" w:space="0" w:color="000000"/>
            </w:tcBorders>
          </w:tcPr>
          <w:p w14:paraId="0BB5FBB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注册（办公）地址：深圳市罗湖区梨园路Halo广场4楼</w:t>
            </w:r>
          </w:p>
          <w:p w14:paraId="5F85B47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2768A959"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17" w:history="1">
              <w:r>
                <w:rPr>
                  <w:rStyle w:val="afa"/>
                  <w:rFonts w:ascii="宋体" w:hAnsi="宋体" w:cs="Calibri"/>
                  <w:szCs w:val="21"/>
                </w:rPr>
                <w:t>www.zlfund.cn</w:t>
              </w:r>
            </w:hyperlink>
          </w:p>
          <w:p w14:paraId="753581B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18" w:history="1">
              <w:r>
                <w:rPr>
                  <w:rStyle w:val="afa"/>
                  <w:rFonts w:ascii="宋体" w:hAnsi="宋体" w:cs="Calibri"/>
                  <w:szCs w:val="21"/>
                </w:rPr>
                <w:t>www.jjmmw.com</w:t>
              </w:r>
            </w:hyperlink>
          </w:p>
        </w:tc>
      </w:tr>
      <w:tr w:rsidR="0066529D" w14:paraId="75E9F2E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4589D00"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22</w:t>
            </w:r>
          </w:p>
        </w:tc>
        <w:tc>
          <w:tcPr>
            <w:tcW w:w="2693" w:type="dxa"/>
            <w:tcBorders>
              <w:top w:val="single" w:sz="4" w:space="0" w:color="000000"/>
              <w:left w:val="single" w:sz="4" w:space="0" w:color="000000"/>
              <w:bottom w:val="single" w:sz="4" w:space="0" w:color="000000"/>
              <w:right w:val="single" w:sz="4" w:space="0" w:color="000000"/>
            </w:tcBorders>
          </w:tcPr>
          <w:p w14:paraId="268BD07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03" w:type="dxa"/>
            <w:tcBorders>
              <w:top w:val="single" w:sz="4" w:space="0" w:color="000000"/>
              <w:left w:val="single" w:sz="4" w:space="0" w:color="000000"/>
              <w:bottom w:val="single" w:sz="4" w:space="0" w:color="000000"/>
              <w:right w:val="single" w:sz="4" w:space="0" w:color="000000"/>
            </w:tcBorders>
          </w:tcPr>
          <w:p w14:paraId="5CC9E37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注册（办公）地址：北京市朝阳区创远路34号院6号楼15层1501室</w:t>
            </w:r>
          </w:p>
          <w:p w14:paraId="48280B7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434CE01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hyperlink r:id="rId19" w:history="1">
              <w:r>
                <w:rPr>
                  <w:rStyle w:val="afa"/>
                  <w:rFonts w:ascii="宋体" w:hAnsi="宋体" w:cs="Calibri"/>
                  <w:szCs w:val="21"/>
                </w:rPr>
                <w:t>http://danjuanapp.com/</w:t>
              </w:r>
            </w:hyperlink>
          </w:p>
        </w:tc>
      </w:tr>
      <w:tr w:rsidR="0066529D" w14:paraId="3CD36026"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2B6D1F8"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23</w:t>
            </w:r>
          </w:p>
        </w:tc>
        <w:tc>
          <w:tcPr>
            <w:tcW w:w="2693" w:type="dxa"/>
            <w:tcBorders>
              <w:top w:val="single" w:sz="4" w:space="0" w:color="000000"/>
              <w:left w:val="single" w:sz="4" w:space="0" w:color="000000"/>
              <w:bottom w:val="single" w:sz="4" w:space="0" w:color="000000"/>
              <w:right w:val="single" w:sz="4" w:space="0" w:color="000000"/>
            </w:tcBorders>
          </w:tcPr>
          <w:p w14:paraId="7AA1F979"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上海挖财基金销售有限公司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32EC83C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高南路759号2号楼18层03单元</w:t>
            </w:r>
          </w:p>
          <w:p w14:paraId="3687531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008A5F6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w:t>
            </w:r>
            <w:hyperlink r:id="rId20" w:history="1">
              <w:r>
                <w:rPr>
                  <w:rStyle w:val="afa"/>
                  <w:rFonts w:ascii="宋体" w:hAnsi="宋体" w:cs="Calibri"/>
                  <w:szCs w:val="21"/>
                </w:rPr>
                <w:t>www.wacaijijin.com</w:t>
              </w:r>
            </w:hyperlink>
          </w:p>
        </w:tc>
      </w:tr>
      <w:tr w:rsidR="0066529D" w14:paraId="31FD495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133519B"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24</w:t>
            </w:r>
          </w:p>
        </w:tc>
        <w:tc>
          <w:tcPr>
            <w:tcW w:w="2693" w:type="dxa"/>
            <w:tcBorders>
              <w:top w:val="single" w:sz="4" w:space="0" w:color="000000"/>
              <w:left w:val="single" w:sz="4" w:space="0" w:color="000000"/>
              <w:bottom w:val="single" w:sz="4" w:space="0" w:color="000000"/>
              <w:right w:val="single" w:sz="4" w:space="0" w:color="000000"/>
            </w:tcBorders>
          </w:tcPr>
          <w:p w14:paraId="28CE5CA9"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0FC57F7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w:t>
            </w:r>
            <w:proofErr w:type="gramStart"/>
            <w:r>
              <w:rPr>
                <w:rFonts w:ascii="宋体" w:hAnsi="宋体" w:cs="Calibri" w:hint="eastAsia"/>
                <w:color w:val="000000"/>
                <w:szCs w:val="21"/>
              </w:rPr>
              <w:t>闵行区申滨南路</w:t>
            </w:r>
            <w:proofErr w:type="gramEnd"/>
            <w:r>
              <w:rPr>
                <w:rFonts w:ascii="宋体" w:hAnsi="宋体" w:cs="Calibri" w:hint="eastAsia"/>
                <w:color w:val="000000"/>
                <w:szCs w:val="21"/>
              </w:rPr>
              <w:t>1226号诺亚财富中心</w:t>
            </w:r>
          </w:p>
          <w:p w14:paraId="26B79C7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6CFA1AB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网址：www.noah-fund.com</w:t>
            </w:r>
          </w:p>
        </w:tc>
      </w:tr>
      <w:tr w:rsidR="0066529D" w14:paraId="052A6F67"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8EE3CE9"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25</w:t>
            </w:r>
          </w:p>
        </w:tc>
        <w:tc>
          <w:tcPr>
            <w:tcW w:w="2693" w:type="dxa"/>
            <w:tcBorders>
              <w:top w:val="single" w:sz="4" w:space="0" w:color="000000"/>
              <w:left w:val="single" w:sz="4" w:space="0" w:color="000000"/>
              <w:bottom w:val="single" w:sz="4" w:space="0" w:color="000000"/>
              <w:right w:val="single" w:sz="4" w:space="0" w:color="000000"/>
            </w:tcBorders>
          </w:tcPr>
          <w:p w14:paraId="26A38CD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6B5DDD0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注册（办公）地址：上海市黄浦区延安东路1号</w:t>
            </w:r>
            <w:proofErr w:type="gramStart"/>
            <w:r>
              <w:rPr>
                <w:rFonts w:ascii="宋体" w:hAnsi="宋体" w:cs="Calibri" w:hint="eastAsia"/>
                <w:color w:val="000000"/>
                <w:szCs w:val="21"/>
              </w:rPr>
              <w:t>凯</w:t>
            </w:r>
            <w:proofErr w:type="gramEnd"/>
            <w:r>
              <w:rPr>
                <w:rFonts w:ascii="宋体" w:hAnsi="宋体" w:cs="Calibri" w:hint="eastAsia"/>
                <w:color w:val="000000"/>
                <w:szCs w:val="21"/>
              </w:rPr>
              <w:t>石大厦</w:t>
            </w:r>
          </w:p>
          <w:p w14:paraId="0AF6459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24D8941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hyperlink r:id="rId21" w:history="1">
              <w:r>
                <w:rPr>
                  <w:rStyle w:val="afa"/>
                  <w:rFonts w:ascii="宋体" w:hAnsi="宋体" w:cs="Calibri" w:hint="eastAsia"/>
                  <w:szCs w:val="21"/>
                </w:rPr>
                <w:t>www.vstonewealth.com</w:t>
              </w:r>
            </w:hyperlink>
          </w:p>
        </w:tc>
      </w:tr>
      <w:tr w:rsidR="0066529D" w14:paraId="4FC08B9B"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598F964"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26</w:t>
            </w:r>
          </w:p>
        </w:tc>
        <w:tc>
          <w:tcPr>
            <w:tcW w:w="2693" w:type="dxa"/>
            <w:tcBorders>
              <w:top w:val="single" w:sz="4" w:space="0" w:color="000000"/>
              <w:left w:val="single" w:sz="4" w:space="0" w:color="000000"/>
              <w:bottom w:val="single" w:sz="4" w:space="0" w:color="000000"/>
              <w:right w:val="single" w:sz="4" w:space="0" w:color="000000"/>
            </w:tcBorders>
          </w:tcPr>
          <w:p w14:paraId="28A41CC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3AF13259"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注册（办公）地址：深圳市前海深港合作区南山街道</w:t>
            </w:r>
            <w:proofErr w:type="gramStart"/>
            <w:r>
              <w:rPr>
                <w:rFonts w:ascii="宋体" w:hAnsi="宋体" w:cs="Calibri" w:hint="eastAsia"/>
                <w:color w:val="000000"/>
                <w:szCs w:val="21"/>
              </w:rPr>
              <w:t>自贸西街</w:t>
            </w:r>
            <w:proofErr w:type="gramEnd"/>
            <w:r>
              <w:rPr>
                <w:rFonts w:ascii="宋体" w:hAnsi="宋体" w:cs="Calibri" w:hint="eastAsia"/>
                <w:color w:val="000000"/>
                <w:szCs w:val="21"/>
              </w:rPr>
              <w:t>18号前海香缤大厦1105号-B016</w:t>
            </w:r>
          </w:p>
          <w:p w14:paraId="5225465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客户服务电话：400-128-6800</w:t>
            </w:r>
          </w:p>
          <w:p w14:paraId="7B075DE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www.caiho.cn</w:t>
            </w:r>
          </w:p>
        </w:tc>
      </w:tr>
      <w:tr w:rsidR="0066529D" w14:paraId="3C2EC00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79F58BB"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27</w:t>
            </w:r>
          </w:p>
        </w:tc>
        <w:tc>
          <w:tcPr>
            <w:tcW w:w="2693" w:type="dxa"/>
            <w:tcBorders>
              <w:top w:val="single" w:sz="4" w:space="0" w:color="000000"/>
              <w:left w:val="single" w:sz="4" w:space="0" w:color="000000"/>
              <w:bottom w:val="single" w:sz="4" w:space="0" w:color="000000"/>
              <w:right w:val="single" w:sz="4" w:space="0" w:color="000000"/>
            </w:tcBorders>
          </w:tcPr>
          <w:p w14:paraId="571BAFD6" w14:textId="77777777" w:rsidR="0066529D" w:rsidRDefault="00A901FF">
            <w:pPr>
              <w:jc w:val="left"/>
              <w:rPr>
                <w:rFonts w:ascii="宋体" w:hAnsi="宋体" w:cs="Calibri" w:hint="eastAsia"/>
                <w:color w:val="000000"/>
                <w:szCs w:val="21"/>
              </w:rPr>
            </w:pPr>
            <w:proofErr w:type="gramStart"/>
            <w:r>
              <w:rPr>
                <w:rFonts w:ascii="宋体" w:hAnsi="宋体" w:cs="Calibri" w:hint="eastAsia"/>
                <w:color w:val="000000"/>
                <w:szCs w:val="21"/>
              </w:rPr>
              <w:t>泰信财富</w:t>
            </w:r>
            <w:proofErr w:type="gramEnd"/>
            <w:r>
              <w:rPr>
                <w:rFonts w:ascii="宋体" w:hAnsi="宋体" w:cs="Calibri" w:hint="eastAsia"/>
                <w:color w:val="000000"/>
                <w:szCs w:val="21"/>
              </w:rPr>
              <w:t>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5C357D8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注册（办公）地址：北京市朝阳区建国</w:t>
            </w:r>
            <w:proofErr w:type="gramStart"/>
            <w:r>
              <w:rPr>
                <w:rFonts w:ascii="宋体" w:hAnsi="宋体" w:cs="Calibri" w:hint="eastAsia"/>
                <w:color w:val="000000"/>
                <w:szCs w:val="21"/>
              </w:rPr>
              <w:t>路乙118号京汇</w:t>
            </w:r>
            <w:proofErr w:type="gramEnd"/>
            <w:r>
              <w:rPr>
                <w:rFonts w:ascii="宋体" w:hAnsi="宋体" w:cs="Calibri" w:hint="eastAsia"/>
                <w:color w:val="000000"/>
                <w:szCs w:val="21"/>
              </w:rPr>
              <w:t>大厦1206</w:t>
            </w:r>
          </w:p>
          <w:p w14:paraId="0B1DAD9D" w14:textId="77777777" w:rsidR="0066529D" w:rsidRDefault="00A901FF">
            <w:pPr>
              <w:jc w:val="left"/>
              <w:rPr>
                <w:rFonts w:ascii="宋体" w:hAnsi="宋体" w:cs="Calibri" w:hint="eastAsia"/>
                <w:color w:val="000000"/>
                <w:szCs w:val="21"/>
              </w:rPr>
            </w:pPr>
            <w:r>
              <w:rPr>
                <w:rFonts w:ascii="宋体" w:hAnsi="宋体" w:cs="Calibri"/>
                <w:color w:val="000000"/>
                <w:szCs w:val="21"/>
              </w:rPr>
              <w:t xml:space="preserve">客户服务电话：400-004-8821 </w:t>
            </w:r>
          </w:p>
          <w:p w14:paraId="0C9A2665" w14:textId="77777777" w:rsidR="0066529D" w:rsidRDefault="00A901FF">
            <w:pPr>
              <w:jc w:val="left"/>
              <w:rPr>
                <w:rFonts w:ascii="宋体" w:hAnsi="宋体" w:cs="Calibri" w:hint="eastAsia"/>
                <w:color w:val="000000"/>
                <w:szCs w:val="21"/>
              </w:rPr>
            </w:pPr>
            <w:r>
              <w:rPr>
                <w:rFonts w:ascii="宋体" w:hAnsi="宋体" w:cs="Calibri"/>
                <w:color w:val="000000"/>
                <w:szCs w:val="21"/>
              </w:rPr>
              <w:t>网址：</w:t>
            </w:r>
            <w:hyperlink r:id="rId22" w:history="1">
              <w:r>
                <w:rPr>
                  <w:rStyle w:val="afa"/>
                  <w:rFonts w:ascii="宋体" w:hAnsi="宋体" w:cs="Calibri"/>
                  <w:szCs w:val="21"/>
                </w:rPr>
                <w:t>www.taixincf.com</w:t>
              </w:r>
            </w:hyperlink>
          </w:p>
        </w:tc>
      </w:tr>
      <w:tr w:rsidR="0066529D" w14:paraId="06987C9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642D22E"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28</w:t>
            </w:r>
          </w:p>
        </w:tc>
        <w:tc>
          <w:tcPr>
            <w:tcW w:w="2693" w:type="dxa"/>
            <w:tcBorders>
              <w:top w:val="single" w:sz="4" w:space="0" w:color="000000"/>
              <w:left w:val="single" w:sz="4" w:space="0" w:color="000000"/>
              <w:bottom w:val="single" w:sz="4" w:space="0" w:color="000000"/>
              <w:right w:val="single" w:sz="4" w:space="0" w:color="000000"/>
            </w:tcBorders>
          </w:tcPr>
          <w:p w14:paraId="6C85E84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上海利得基金销售有限公司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682BF2A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注册（办公）地址：上海市虹口区东大名路1098号浦江国际金融广场53楼</w:t>
            </w:r>
          </w:p>
          <w:p w14:paraId="790815C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463866D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66529D" w14:paraId="3DA729A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FB6D6CE"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29</w:t>
            </w:r>
          </w:p>
        </w:tc>
        <w:tc>
          <w:tcPr>
            <w:tcW w:w="2693" w:type="dxa"/>
            <w:tcBorders>
              <w:top w:val="single" w:sz="4" w:space="0" w:color="000000"/>
              <w:left w:val="single" w:sz="4" w:space="0" w:color="000000"/>
              <w:bottom w:val="single" w:sz="4" w:space="0" w:color="000000"/>
              <w:right w:val="single" w:sz="4" w:space="0" w:color="000000"/>
            </w:tcBorders>
          </w:tcPr>
          <w:p w14:paraId="245B96B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南京苏宁基金销售有限公司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68B2E53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32115CC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5F2135A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lastRenderedPageBreak/>
              <w:t>网址：</w:t>
            </w:r>
            <w:hyperlink r:id="rId23" w:history="1">
              <w:r>
                <w:rPr>
                  <w:rStyle w:val="afa"/>
                  <w:rFonts w:ascii="宋体" w:hAnsi="宋体" w:cs="Calibri"/>
                  <w:szCs w:val="21"/>
                </w:rPr>
                <w:t>www.snjijin</w:t>
              </w:r>
            </w:hyperlink>
            <w:r>
              <w:rPr>
                <w:rFonts w:ascii="宋体" w:hAnsi="宋体" w:cs="Calibri" w:hint="eastAsia"/>
                <w:color w:val="000000"/>
                <w:szCs w:val="21"/>
              </w:rPr>
              <w:t>.com</w:t>
            </w:r>
          </w:p>
        </w:tc>
      </w:tr>
      <w:tr w:rsidR="0066529D" w14:paraId="4410A64C"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95E927D"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lastRenderedPageBreak/>
              <w:t>30</w:t>
            </w:r>
          </w:p>
        </w:tc>
        <w:tc>
          <w:tcPr>
            <w:tcW w:w="2693" w:type="dxa"/>
            <w:tcBorders>
              <w:top w:val="single" w:sz="4" w:space="0" w:color="000000"/>
              <w:left w:val="single" w:sz="4" w:space="0" w:color="000000"/>
              <w:bottom w:val="single" w:sz="4" w:space="0" w:color="000000"/>
              <w:right w:val="single" w:sz="4" w:space="0" w:color="000000"/>
            </w:tcBorders>
          </w:tcPr>
          <w:p w14:paraId="1C26B428" w14:textId="77777777" w:rsidR="0066529D" w:rsidRDefault="00A901FF">
            <w:pPr>
              <w:jc w:val="left"/>
              <w:rPr>
                <w:rFonts w:ascii="宋体" w:hAnsi="宋体" w:cs="Calibri" w:hint="eastAsia"/>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3DA27D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注册（办公）地址：河南自贸试验区郑州片区（郑东）东风南路东康宁街北6号楼5楼503</w:t>
            </w:r>
          </w:p>
          <w:p w14:paraId="33373D9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6943C06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66529D" w14:paraId="7E86B1AB"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F034E27"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31</w:t>
            </w:r>
          </w:p>
        </w:tc>
        <w:tc>
          <w:tcPr>
            <w:tcW w:w="2693" w:type="dxa"/>
            <w:tcBorders>
              <w:top w:val="single" w:sz="4" w:space="0" w:color="000000"/>
              <w:left w:val="single" w:sz="4" w:space="0" w:color="000000"/>
              <w:bottom w:val="single" w:sz="4" w:space="0" w:color="000000"/>
              <w:right w:val="single" w:sz="4" w:space="0" w:color="000000"/>
            </w:tcBorders>
          </w:tcPr>
          <w:p w14:paraId="2CDA009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中证金牛（北京）投资咨询有限公司</w:t>
            </w:r>
          </w:p>
        </w:tc>
        <w:tc>
          <w:tcPr>
            <w:tcW w:w="5103" w:type="dxa"/>
            <w:tcBorders>
              <w:top w:val="single" w:sz="4" w:space="0" w:color="000000"/>
              <w:left w:val="single" w:sz="4" w:space="0" w:color="000000"/>
              <w:bottom w:val="single" w:sz="4" w:space="0" w:color="000000"/>
              <w:right w:val="single" w:sz="4" w:space="0" w:color="000000"/>
            </w:tcBorders>
          </w:tcPr>
          <w:p w14:paraId="4255733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 北京市丰台区丽泽金融商务</w:t>
            </w:r>
            <w:proofErr w:type="gramStart"/>
            <w:r>
              <w:rPr>
                <w:rFonts w:ascii="宋体" w:hAnsi="宋体" w:cs="Calibri" w:hint="eastAsia"/>
                <w:color w:val="000000"/>
                <w:szCs w:val="21"/>
              </w:rPr>
              <w:t>区铭丰</w:t>
            </w:r>
            <w:proofErr w:type="gramEnd"/>
            <w:r>
              <w:rPr>
                <w:rFonts w:ascii="宋体" w:hAnsi="宋体" w:cs="Calibri" w:hint="eastAsia"/>
                <w:color w:val="000000"/>
                <w:szCs w:val="21"/>
              </w:rPr>
              <w:t>大厦4层401</w:t>
            </w:r>
          </w:p>
          <w:p w14:paraId="63315D4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客户服务电话：4008-909-998</w:t>
            </w:r>
          </w:p>
          <w:p w14:paraId="77D3EF9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网址：www.jnlc.com</w:t>
            </w:r>
          </w:p>
        </w:tc>
      </w:tr>
      <w:tr w:rsidR="0066529D" w14:paraId="6F0B64A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4E6F71E"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32</w:t>
            </w:r>
          </w:p>
        </w:tc>
        <w:tc>
          <w:tcPr>
            <w:tcW w:w="2693" w:type="dxa"/>
            <w:tcBorders>
              <w:top w:val="single" w:sz="4" w:space="0" w:color="000000"/>
              <w:left w:val="single" w:sz="4" w:space="0" w:color="000000"/>
              <w:bottom w:val="single" w:sz="4" w:space="0" w:color="000000"/>
              <w:right w:val="single" w:sz="4" w:space="0" w:color="000000"/>
            </w:tcBorders>
          </w:tcPr>
          <w:p w14:paraId="5BA3212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江苏汇林保大基金销售有限公司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1C3B945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南京市高淳区经济开发区古檀大道47号</w:t>
            </w:r>
          </w:p>
          <w:p w14:paraId="34B65F7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53782E5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网址：www.huilinbd.com</w:t>
            </w:r>
          </w:p>
        </w:tc>
      </w:tr>
      <w:tr w:rsidR="0066529D" w14:paraId="7334046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A0C7DF9"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33</w:t>
            </w:r>
          </w:p>
        </w:tc>
        <w:tc>
          <w:tcPr>
            <w:tcW w:w="2693" w:type="dxa"/>
            <w:tcBorders>
              <w:top w:val="single" w:sz="4" w:space="0" w:color="000000"/>
              <w:left w:val="single" w:sz="4" w:space="0" w:color="000000"/>
              <w:bottom w:val="single" w:sz="4" w:space="0" w:color="000000"/>
              <w:right w:val="single" w:sz="4" w:space="0" w:color="000000"/>
            </w:tcBorders>
          </w:tcPr>
          <w:p w14:paraId="1C49672A" w14:textId="77777777" w:rsidR="0066529D" w:rsidRDefault="00A901FF">
            <w:pPr>
              <w:jc w:val="left"/>
              <w:rPr>
                <w:rFonts w:ascii="宋体" w:hAnsi="宋体" w:cs="Calibri" w:hint="eastAsia"/>
                <w:color w:val="000000"/>
                <w:szCs w:val="21"/>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03" w:type="dxa"/>
            <w:tcBorders>
              <w:top w:val="single" w:sz="4" w:space="0" w:color="000000"/>
              <w:left w:val="single" w:sz="4" w:space="0" w:color="000000"/>
              <w:bottom w:val="single" w:sz="4" w:space="0" w:color="000000"/>
              <w:right w:val="single" w:sz="4" w:space="0" w:color="000000"/>
            </w:tcBorders>
          </w:tcPr>
          <w:p w14:paraId="4707887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070AADF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3FBFF4A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66529D" w14:paraId="481C23DB"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C053278"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34</w:t>
            </w:r>
          </w:p>
        </w:tc>
        <w:tc>
          <w:tcPr>
            <w:tcW w:w="2693" w:type="dxa"/>
            <w:tcBorders>
              <w:top w:val="single" w:sz="4" w:space="0" w:color="000000"/>
              <w:left w:val="single" w:sz="4" w:space="0" w:color="000000"/>
              <w:bottom w:val="single" w:sz="4" w:space="0" w:color="000000"/>
              <w:right w:val="single" w:sz="4" w:space="0" w:color="000000"/>
            </w:tcBorders>
          </w:tcPr>
          <w:p w14:paraId="1E6E0FB2" w14:textId="77777777" w:rsidR="0066529D" w:rsidRDefault="00A901FF">
            <w:pPr>
              <w:jc w:val="left"/>
              <w:rPr>
                <w:rFonts w:ascii="宋体" w:hAnsi="宋体" w:cs="Calibri" w:hint="eastAsia"/>
                <w:color w:val="000000"/>
                <w:szCs w:val="21"/>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7F5CDAE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2847D04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660EECE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66529D" w14:paraId="5D34769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8747D3F"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35</w:t>
            </w:r>
          </w:p>
        </w:tc>
        <w:tc>
          <w:tcPr>
            <w:tcW w:w="2693" w:type="dxa"/>
            <w:tcBorders>
              <w:top w:val="single" w:sz="4" w:space="0" w:color="000000"/>
              <w:left w:val="single" w:sz="4" w:space="0" w:color="000000"/>
              <w:bottom w:val="single" w:sz="4" w:space="0" w:color="000000"/>
              <w:right w:val="single" w:sz="4" w:space="0" w:color="000000"/>
            </w:tcBorders>
          </w:tcPr>
          <w:p w14:paraId="07F5AC0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北京新</w:t>
            </w:r>
            <w:proofErr w:type="gramStart"/>
            <w:r>
              <w:rPr>
                <w:rFonts w:ascii="宋体" w:hAnsi="宋体" w:cs="Calibri" w:hint="eastAsia"/>
                <w:color w:val="000000"/>
                <w:szCs w:val="21"/>
              </w:rPr>
              <w:t>浪仓石基金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76D4A58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56E0612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客户服务电话：010-62675369</w:t>
            </w:r>
          </w:p>
          <w:p w14:paraId="78FCC97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网址：www.xincai.com</w:t>
            </w:r>
          </w:p>
        </w:tc>
      </w:tr>
      <w:tr w:rsidR="0066529D" w14:paraId="2C99D5F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9A3D8C4"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36</w:t>
            </w:r>
          </w:p>
        </w:tc>
        <w:tc>
          <w:tcPr>
            <w:tcW w:w="2693" w:type="dxa"/>
            <w:tcBorders>
              <w:top w:val="single" w:sz="4" w:space="0" w:color="000000"/>
              <w:left w:val="single" w:sz="4" w:space="0" w:color="000000"/>
              <w:bottom w:val="single" w:sz="4" w:space="0" w:color="000000"/>
              <w:right w:val="single" w:sz="4" w:space="0" w:color="000000"/>
            </w:tcBorders>
          </w:tcPr>
          <w:p w14:paraId="2DBFC5A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华瑞保险销售有限公司</w:t>
            </w:r>
          </w:p>
        </w:tc>
        <w:tc>
          <w:tcPr>
            <w:tcW w:w="5103" w:type="dxa"/>
            <w:tcBorders>
              <w:top w:val="single" w:sz="4" w:space="0" w:color="000000"/>
              <w:left w:val="single" w:sz="4" w:space="0" w:color="000000"/>
              <w:bottom w:val="single" w:sz="4" w:space="0" w:color="000000"/>
              <w:right w:val="single" w:sz="4" w:space="0" w:color="000000"/>
            </w:tcBorders>
          </w:tcPr>
          <w:p w14:paraId="310E411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上海市嘉定区南翔</w:t>
            </w:r>
            <w:proofErr w:type="gramStart"/>
            <w:r>
              <w:rPr>
                <w:rFonts w:ascii="宋体" w:hAnsi="宋体" w:cs="Calibri" w:hint="eastAsia"/>
                <w:color w:val="000000"/>
                <w:szCs w:val="21"/>
              </w:rPr>
              <w:t>镇众仁路</w:t>
            </w:r>
            <w:proofErr w:type="gramEnd"/>
            <w:r>
              <w:rPr>
                <w:rFonts w:ascii="宋体" w:hAnsi="宋体" w:cs="Calibri" w:hint="eastAsia"/>
                <w:color w:val="000000"/>
                <w:szCs w:val="21"/>
              </w:rPr>
              <w:t>399号</w:t>
            </w:r>
            <w:proofErr w:type="gramStart"/>
            <w:r>
              <w:rPr>
                <w:rFonts w:ascii="宋体" w:hAnsi="宋体" w:cs="Calibri" w:hint="eastAsia"/>
                <w:color w:val="000000"/>
                <w:szCs w:val="21"/>
              </w:rPr>
              <w:t>运通星财富</w:t>
            </w:r>
            <w:proofErr w:type="gramEnd"/>
            <w:r>
              <w:rPr>
                <w:rFonts w:ascii="宋体" w:hAnsi="宋体" w:cs="Calibri" w:hint="eastAsia"/>
                <w:color w:val="000000"/>
                <w:szCs w:val="21"/>
              </w:rPr>
              <w:t>广场1号楼B座13、14层</w:t>
            </w:r>
          </w:p>
          <w:p w14:paraId="0AE46D7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客户服务电话：952303</w:t>
            </w:r>
          </w:p>
          <w:p w14:paraId="7847709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t>
            </w:r>
            <w:r>
              <w:rPr>
                <w:rFonts w:ascii="宋体" w:hAnsi="宋体" w:cs="Calibri"/>
                <w:color w:val="000000"/>
                <w:szCs w:val="21"/>
              </w:rPr>
              <w:t>ww.huaruisales.com</w:t>
            </w:r>
          </w:p>
        </w:tc>
      </w:tr>
      <w:tr w:rsidR="0066529D" w14:paraId="620BD8B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42ACF9B"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37</w:t>
            </w:r>
          </w:p>
        </w:tc>
        <w:tc>
          <w:tcPr>
            <w:tcW w:w="2693" w:type="dxa"/>
            <w:tcBorders>
              <w:top w:val="single" w:sz="4" w:space="0" w:color="000000"/>
              <w:left w:val="single" w:sz="4" w:space="0" w:color="000000"/>
              <w:bottom w:val="single" w:sz="4" w:space="0" w:color="000000"/>
              <w:right w:val="single" w:sz="4" w:space="0" w:color="000000"/>
            </w:tcBorders>
          </w:tcPr>
          <w:p w14:paraId="596B6C89"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财</w:t>
            </w:r>
            <w:proofErr w:type="gramStart"/>
            <w:r>
              <w:rPr>
                <w:rFonts w:ascii="宋体" w:hAnsi="宋体" w:cs="Calibri" w:hint="eastAsia"/>
                <w:color w:val="000000"/>
                <w:szCs w:val="21"/>
              </w:rPr>
              <w:t>咨</w:t>
            </w:r>
            <w:proofErr w:type="gramEnd"/>
            <w:r>
              <w:rPr>
                <w:rFonts w:ascii="宋体" w:hAnsi="宋体" w:cs="Calibri" w:hint="eastAsia"/>
                <w:color w:val="000000"/>
                <w:szCs w:val="21"/>
              </w:rPr>
              <w:t>道信息技术有限公司</w:t>
            </w:r>
          </w:p>
        </w:tc>
        <w:tc>
          <w:tcPr>
            <w:tcW w:w="5103" w:type="dxa"/>
            <w:tcBorders>
              <w:top w:val="single" w:sz="4" w:space="0" w:color="000000"/>
              <w:left w:val="single" w:sz="4" w:space="0" w:color="000000"/>
              <w:bottom w:val="single" w:sz="4" w:space="0" w:color="000000"/>
              <w:right w:val="single" w:sz="4" w:space="0" w:color="000000"/>
            </w:tcBorders>
          </w:tcPr>
          <w:p w14:paraId="092FADF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w:t>
            </w:r>
            <w:proofErr w:type="gramStart"/>
            <w:r>
              <w:rPr>
                <w:rFonts w:ascii="宋体" w:hAnsi="宋体" w:cs="Calibri"/>
                <w:color w:val="000000"/>
                <w:szCs w:val="21"/>
              </w:rPr>
              <w:t>浑</w:t>
            </w:r>
            <w:proofErr w:type="gramEnd"/>
            <w:r>
              <w:rPr>
                <w:rFonts w:ascii="宋体" w:hAnsi="宋体" w:cs="Calibri"/>
                <w:color w:val="000000"/>
                <w:szCs w:val="21"/>
              </w:rPr>
              <w:t>南区白塔二南街18-2号B座601</w:t>
            </w:r>
          </w:p>
          <w:p w14:paraId="0530DF2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3EEDA48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66529D" w14:paraId="0BE6F86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F152580"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38</w:t>
            </w:r>
          </w:p>
        </w:tc>
        <w:tc>
          <w:tcPr>
            <w:tcW w:w="2693" w:type="dxa"/>
            <w:tcBorders>
              <w:top w:val="single" w:sz="4" w:space="0" w:color="000000"/>
              <w:left w:val="single" w:sz="4" w:space="0" w:color="000000"/>
              <w:bottom w:val="single" w:sz="4" w:space="0" w:color="000000"/>
              <w:right w:val="single" w:sz="4" w:space="0" w:color="000000"/>
            </w:tcBorders>
          </w:tcPr>
          <w:p w14:paraId="394C680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北京度小满基金销售有限公司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33FCE2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01D4807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5050337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网站：www.duxiaoman.com</w:t>
            </w:r>
          </w:p>
        </w:tc>
      </w:tr>
      <w:tr w:rsidR="0066529D" w14:paraId="10A75715"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E1FE62A"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39</w:t>
            </w:r>
          </w:p>
        </w:tc>
        <w:tc>
          <w:tcPr>
            <w:tcW w:w="2693" w:type="dxa"/>
            <w:tcBorders>
              <w:top w:val="single" w:sz="4" w:space="0" w:color="000000"/>
              <w:left w:val="single" w:sz="4" w:space="0" w:color="000000"/>
              <w:bottom w:val="single" w:sz="4" w:space="0" w:color="000000"/>
              <w:right w:val="single" w:sz="4" w:space="0" w:color="000000"/>
            </w:tcBorders>
          </w:tcPr>
          <w:p w14:paraId="38CDA65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通华财富（上海）基金销售有限公司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473EDB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w:t>
            </w:r>
            <w:proofErr w:type="gramStart"/>
            <w:r>
              <w:rPr>
                <w:rFonts w:ascii="宋体" w:hAnsi="宋体" w:cs="Calibri" w:hint="eastAsia"/>
                <w:color w:val="000000"/>
                <w:szCs w:val="21"/>
              </w:rPr>
              <w:t>金沪路55号</w:t>
            </w:r>
            <w:proofErr w:type="gramEnd"/>
            <w:r>
              <w:rPr>
                <w:rFonts w:ascii="宋体" w:hAnsi="宋体" w:cs="Calibri" w:hint="eastAsia"/>
                <w:color w:val="000000"/>
                <w:szCs w:val="21"/>
              </w:rPr>
              <w:t>通华科技大厦10层</w:t>
            </w:r>
          </w:p>
          <w:p w14:paraId="2E744F1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3F0B009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66529D" w14:paraId="23F5A419"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366B10F"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40</w:t>
            </w:r>
          </w:p>
        </w:tc>
        <w:tc>
          <w:tcPr>
            <w:tcW w:w="2693" w:type="dxa"/>
            <w:tcBorders>
              <w:top w:val="single" w:sz="4" w:space="0" w:color="000000"/>
              <w:left w:val="single" w:sz="4" w:space="0" w:color="000000"/>
              <w:bottom w:val="single" w:sz="4" w:space="0" w:color="000000"/>
              <w:right w:val="single" w:sz="4" w:space="0" w:color="000000"/>
            </w:tcBorders>
          </w:tcPr>
          <w:p w14:paraId="15A33B6F" w14:textId="77777777" w:rsidR="0066529D" w:rsidRDefault="00A901FF">
            <w:pPr>
              <w:jc w:val="left"/>
              <w:rPr>
                <w:rFonts w:ascii="宋体" w:hAnsi="宋体" w:cs="Calibri" w:hint="eastAsia"/>
                <w:color w:val="000000"/>
                <w:szCs w:val="21"/>
              </w:rPr>
            </w:pPr>
            <w:r>
              <w:rPr>
                <w:rFonts w:ascii="宋体" w:hAnsi="宋体" w:cs="Calibri"/>
                <w:color w:val="000000"/>
                <w:szCs w:val="21"/>
              </w:rPr>
              <w:t xml:space="preserve">上海万得基金销售有限公司 </w:t>
            </w:r>
          </w:p>
          <w:p w14:paraId="322BC088" w14:textId="77777777" w:rsidR="0066529D" w:rsidRDefault="0066529D">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5385E584" w14:textId="77777777" w:rsidR="0066529D" w:rsidRDefault="00A901FF">
            <w:pPr>
              <w:jc w:val="left"/>
              <w:rPr>
                <w:rFonts w:ascii="宋体" w:hAnsi="宋体" w:cs="Calibri" w:hint="eastAsia"/>
                <w:color w:val="000000"/>
                <w:szCs w:val="21"/>
              </w:rPr>
            </w:pPr>
            <w:r>
              <w:rPr>
                <w:rFonts w:ascii="宋体" w:hAnsi="宋体" w:cs="Calibri"/>
                <w:color w:val="000000"/>
                <w:szCs w:val="21"/>
              </w:rPr>
              <w:lastRenderedPageBreak/>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中国（上海）浦东新区浦明路1500号万得大厦11楼</w:t>
            </w:r>
          </w:p>
          <w:p w14:paraId="52C2D710" w14:textId="77777777" w:rsidR="0066529D" w:rsidRDefault="00A901FF">
            <w:pPr>
              <w:jc w:val="left"/>
              <w:rPr>
                <w:rFonts w:ascii="宋体" w:hAnsi="宋体" w:cs="Calibri" w:hint="eastAsia"/>
                <w:color w:val="000000"/>
                <w:szCs w:val="21"/>
              </w:rPr>
            </w:pPr>
            <w:r>
              <w:rPr>
                <w:rFonts w:ascii="宋体" w:hAnsi="宋体" w:cs="Calibri"/>
                <w:color w:val="000000"/>
                <w:szCs w:val="21"/>
              </w:rPr>
              <w:lastRenderedPageBreak/>
              <w:t xml:space="preserve">客户服务电话：400-799-1888 </w:t>
            </w:r>
          </w:p>
          <w:p w14:paraId="17C1600D" w14:textId="77777777" w:rsidR="0066529D" w:rsidRDefault="00A901FF">
            <w:pPr>
              <w:jc w:val="left"/>
              <w:rPr>
                <w:rFonts w:ascii="宋体" w:hAnsi="宋体" w:cs="Calibri" w:hint="eastAsia"/>
                <w:color w:val="000000"/>
                <w:szCs w:val="21"/>
              </w:rPr>
            </w:pPr>
            <w:r>
              <w:rPr>
                <w:rFonts w:ascii="宋体" w:hAnsi="宋体" w:cs="Calibri"/>
                <w:color w:val="000000"/>
                <w:szCs w:val="21"/>
              </w:rPr>
              <w:t>网址：www.520fund.com.cn</w:t>
            </w:r>
          </w:p>
        </w:tc>
      </w:tr>
      <w:tr w:rsidR="0066529D" w14:paraId="09BF373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5F8CD20"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lastRenderedPageBreak/>
              <w:t>41</w:t>
            </w:r>
          </w:p>
        </w:tc>
        <w:tc>
          <w:tcPr>
            <w:tcW w:w="2693" w:type="dxa"/>
            <w:tcBorders>
              <w:top w:val="single" w:sz="4" w:space="0" w:color="000000"/>
              <w:left w:val="single" w:sz="4" w:space="0" w:color="000000"/>
              <w:bottom w:val="single" w:sz="4" w:space="0" w:color="000000"/>
              <w:right w:val="single" w:sz="4" w:space="0" w:color="000000"/>
            </w:tcBorders>
          </w:tcPr>
          <w:p w14:paraId="54E20789" w14:textId="77777777" w:rsidR="0066529D" w:rsidRDefault="00A901FF">
            <w:pPr>
              <w:jc w:val="left"/>
              <w:rPr>
                <w:rFonts w:ascii="宋体" w:hAnsi="宋体" w:cs="Calibri" w:hint="eastAsia"/>
                <w:color w:val="000000"/>
                <w:szCs w:val="21"/>
              </w:rPr>
            </w:pPr>
            <w:r>
              <w:rPr>
                <w:rFonts w:ascii="宋体" w:hAnsi="宋体" w:cs="Calibri"/>
                <w:color w:val="000000"/>
                <w:szCs w:val="21"/>
              </w:rPr>
              <w:t>泛华</w:t>
            </w:r>
            <w:proofErr w:type="gramStart"/>
            <w:r>
              <w:rPr>
                <w:rFonts w:ascii="宋体" w:hAnsi="宋体" w:cs="Calibri"/>
                <w:color w:val="000000"/>
                <w:szCs w:val="21"/>
              </w:rPr>
              <w:t>普益基金</w:t>
            </w:r>
            <w:proofErr w:type="gramEnd"/>
            <w:r>
              <w:rPr>
                <w:rFonts w:ascii="宋体" w:hAnsi="宋体" w:cs="Calibri"/>
                <w:color w:val="000000"/>
                <w:szCs w:val="21"/>
              </w:rPr>
              <w:t xml:space="preserve">销售有限公司 </w:t>
            </w:r>
          </w:p>
          <w:p w14:paraId="7E47F479" w14:textId="77777777" w:rsidR="0066529D" w:rsidRDefault="0066529D">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297AC0C4" w14:textId="77777777" w:rsidR="0066529D" w:rsidRDefault="00A901FF">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地址：成都市成华区建设路9号高地中心1101 室</w:t>
            </w:r>
          </w:p>
          <w:p w14:paraId="6541EDF3" w14:textId="77777777" w:rsidR="0066529D" w:rsidRDefault="00A901FF">
            <w:pPr>
              <w:jc w:val="left"/>
              <w:rPr>
                <w:rFonts w:ascii="宋体" w:hAnsi="宋体" w:cs="Calibri" w:hint="eastAsia"/>
                <w:color w:val="000000"/>
                <w:szCs w:val="21"/>
              </w:rPr>
            </w:pPr>
            <w:r>
              <w:rPr>
                <w:rFonts w:ascii="宋体" w:hAnsi="宋体" w:cs="Calibri"/>
                <w:color w:val="000000"/>
                <w:szCs w:val="21"/>
              </w:rPr>
              <w:t xml:space="preserve">客户服务电话：400-080-3388 </w:t>
            </w:r>
          </w:p>
          <w:p w14:paraId="2D527FCF" w14:textId="77777777" w:rsidR="0066529D" w:rsidRDefault="00A901FF">
            <w:pPr>
              <w:jc w:val="left"/>
              <w:rPr>
                <w:rFonts w:ascii="宋体" w:hAnsi="宋体" w:cs="Calibri" w:hint="eastAsia"/>
                <w:color w:val="000000"/>
                <w:szCs w:val="21"/>
              </w:rPr>
            </w:pPr>
            <w:r>
              <w:rPr>
                <w:rFonts w:ascii="宋体" w:hAnsi="宋体" w:cs="Calibri"/>
                <w:color w:val="000000"/>
                <w:szCs w:val="21"/>
              </w:rPr>
              <w:t>网址：</w:t>
            </w:r>
            <w:hyperlink r:id="rId24" w:history="1">
              <w:r>
                <w:rPr>
                  <w:rStyle w:val="afa"/>
                  <w:rFonts w:ascii="宋体" w:hAnsi="宋体" w:cs="Calibri"/>
                  <w:szCs w:val="21"/>
                </w:rPr>
                <w:t>www.puyifund.com</w:t>
              </w:r>
            </w:hyperlink>
          </w:p>
        </w:tc>
      </w:tr>
      <w:tr w:rsidR="0066529D" w14:paraId="266083E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AFA52CE"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42</w:t>
            </w:r>
          </w:p>
        </w:tc>
        <w:tc>
          <w:tcPr>
            <w:tcW w:w="2693" w:type="dxa"/>
            <w:tcBorders>
              <w:top w:val="single" w:sz="4" w:space="0" w:color="000000"/>
              <w:left w:val="single" w:sz="4" w:space="0" w:color="000000"/>
              <w:bottom w:val="single" w:sz="4" w:space="0" w:color="000000"/>
              <w:right w:val="single" w:sz="4" w:space="0" w:color="000000"/>
            </w:tcBorders>
          </w:tcPr>
          <w:p w14:paraId="30478B11" w14:textId="77777777" w:rsidR="0066529D" w:rsidRDefault="00A901FF">
            <w:pPr>
              <w:jc w:val="left"/>
              <w:rPr>
                <w:rFonts w:ascii="宋体" w:hAnsi="宋体" w:cs="Calibri" w:hint="eastAsia"/>
                <w:color w:val="000000"/>
                <w:szCs w:val="21"/>
              </w:rPr>
            </w:pPr>
            <w:proofErr w:type="gramStart"/>
            <w:r>
              <w:rPr>
                <w:rFonts w:ascii="宋体" w:hAnsi="宋体" w:cs="Calibri" w:hint="eastAsia"/>
                <w:color w:val="000000"/>
                <w:szCs w:val="21"/>
              </w:rPr>
              <w:t>腾安基金</w:t>
            </w:r>
            <w:proofErr w:type="gramEnd"/>
            <w:r>
              <w:rPr>
                <w:rFonts w:ascii="宋体" w:hAnsi="宋体" w:cs="Calibri" w:hint="eastAsia"/>
                <w:color w:val="000000"/>
                <w:szCs w:val="21"/>
              </w:rPr>
              <w:t>销售（深圳）有限公司</w:t>
            </w:r>
          </w:p>
          <w:p w14:paraId="43AEEA09" w14:textId="77777777" w:rsidR="0066529D" w:rsidRDefault="0066529D">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28553376" w14:textId="77777777" w:rsidR="0066529D" w:rsidRDefault="00A901FF">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深圳市南山区海天二路</w:t>
            </w:r>
            <w:proofErr w:type="gramStart"/>
            <w:r>
              <w:rPr>
                <w:rFonts w:ascii="宋体" w:hAnsi="宋体" w:cs="Calibri" w:hint="eastAsia"/>
                <w:color w:val="000000"/>
                <w:szCs w:val="21"/>
              </w:rPr>
              <w:t>33号腾讯滨海</w:t>
            </w:r>
            <w:proofErr w:type="gramEnd"/>
            <w:r>
              <w:rPr>
                <w:rFonts w:ascii="宋体" w:hAnsi="宋体" w:cs="Calibri" w:hint="eastAsia"/>
                <w:color w:val="000000"/>
                <w:szCs w:val="21"/>
              </w:rPr>
              <w:t>大厦15楼</w:t>
            </w:r>
          </w:p>
          <w:p w14:paraId="67A407B0" w14:textId="77777777" w:rsidR="0066529D" w:rsidRDefault="00A901FF">
            <w:pPr>
              <w:jc w:val="left"/>
              <w:rPr>
                <w:rFonts w:ascii="宋体" w:hAnsi="宋体" w:cs="Calibri" w:hint="eastAsia"/>
                <w:color w:val="000000"/>
                <w:szCs w:val="21"/>
              </w:rPr>
            </w:pPr>
            <w:r>
              <w:rPr>
                <w:rFonts w:ascii="宋体" w:hAnsi="宋体" w:cs="Calibri"/>
                <w:color w:val="000000"/>
                <w:szCs w:val="21"/>
              </w:rPr>
              <w:t>客服电话：4000-890-555</w:t>
            </w:r>
          </w:p>
          <w:p w14:paraId="1AC7D244" w14:textId="77777777" w:rsidR="0066529D" w:rsidRDefault="00A901FF">
            <w:pPr>
              <w:jc w:val="left"/>
              <w:rPr>
                <w:rFonts w:ascii="宋体" w:hAnsi="宋体" w:cs="Calibri" w:hint="eastAsia"/>
                <w:color w:val="000000"/>
                <w:szCs w:val="21"/>
              </w:rPr>
            </w:pPr>
            <w:r>
              <w:rPr>
                <w:rFonts w:ascii="宋体" w:hAnsi="宋体" w:cs="Calibri"/>
                <w:color w:val="000000"/>
                <w:szCs w:val="21"/>
              </w:rPr>
              <w:t>公司网站：</w:t>
            </w:r>
            <w:hyperlink r:id="rId25" w:history="1">
              <w:r>
                <w:rPr>
                  <w:rStyle w:val="afa"/>
                  <w:rFonts w:ascii="宋体" w:hAnsi="宋体" w:cs="Calibri"/>
                  <w:szCs w:val="21"/>
                </w:rPr>
                <w:t>www.txfund.com</w:t>
              </w:r>
            </w:hyperlink>
          </w:p>
        </w:tc>
      </w:tr>
      <w:tr w:rsidR="0066529D" w14:paraId="3D855E64"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5F06C71"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43</w:t>
            </w:r>
          </w:p>
        </w:tc>
        <w:tc>
          <w:tcPr>
            <w:tcW w:w="2693" w:type="dxa"/>
            <w:tcBorders>
              <w:top w:val="single" w:sz="4" w:space="0" w:color="000000"/>
              <w:left w:val="single" w:sz="4" w:space="0" w:color="000000"/>
              <w:bottom w:val="single" w:sz="4" w:space="0" w:color="000000"/>
              <w:right w:val="single" w:sz="4" w:space="0" w:color="000000"/>
            </w:tcBorders>
          </w:tcPr>
          <w:p w14:paraId="437CF00F" w14:textId="77777777" w:rsidR="0066529D" w:rsidRDefault="00A901FF">
            <w:pPr>
              <w:jc w:val="left"/>
              <w:rPr>
                <w:rFonts w:ascii="宋体" w:hAnsi="宋体" w:cs="Calibri" w:hint="eastAsia"/>
                <w:color w:val="000000"/>
                <w:szCs w:val="21"/>
              </w:rPr>
            </w:pPr>
            <w:proofErr w:type="gramStart"/>
            <w:r>
              <w:rPr>
                <w:rFonts w:ascii="宋体" w:hAnsi="宋体" w:cs="Calibri" w:hint="eastAsia"/>
                <w:color w:val="000000"/>
                <w:szCs w:val="21"/>
              </w:rPr>
              <w:t>众惠基金</w:t>
            </w:r>
            <w:proofErr w:type="gramEnd"/>
            <w:r>
              <w:rPr>
                <w:rFonts w:ascii="宋体" w:hAnsi="宋体" w:cs="Calibri" w:hint="eastAsia"/>
                <w:color w:val="000000"/>
                <w:szCs w:val="21"/>
              </w:rPr>
              <w:t>销售有限公司</w:t>
            </w:r>
          </w:p>
          <w:p w14:paraId="2B125474" w14:textId="77777777" w:rsidR="0066529D" w:rsidRDefault="0066529D">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793EBA48" w14:textId="77777777" w:rsidR="0066529D" w:rsidRDefault="00A901FF">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贵州省贵阳市观山湖区长岭北路贵阳国际金融中心二期商务区第C4栋30层</w:t>
            </w:r>
          </w:p>
          <w:p w14:paraId="767D5BA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客服电话：400-839-1818</w:t>
            </w:r>
          </w:p>
          <w:p w14:paraId="4233286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公司网站：www.hyzhfund.com</w:t>
            </w:r>
          </w:p>
        </w:tc>
      </w:tr>
      <w:tr w:rsidR="0066529D" w14:paraId="2FE6B82A"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57CCB39"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44</w:t>
            </w:r>
          </w:p>
        </w:tc>
        <w:tc>
          <w:tcPr>
            <w:tcW w:w="2693" w:type="dxa"/>
            <w:tcBorders>
              <w:top w:val="single" w:sz="4" w:space="0" w:color="000000"/>
              <w:left w:val="single" w:sz="4" w:space="0" w:color="000000"/>
              <w:bottom w:val="single" w:sz="4" w:space="0" w:color="000000"/>
              <w:right w:val="single" w:sz="4" w:space="0" w:color="000000"/>
            </w:tcBorders>
          </w:tcPr>
          <w:p w14:paraId="5F8D31C8" w14:textId="77777777" w:rsidR="0066529D" w:rsidRDefault="00A901FF">
            <w:pPr>
              <w:jc w:val="left"/>
              <w:rPr>
                <w:rFonts w:ascii="宋体" w:hAnsi="宋体" w:cs="Calibri" w:hint="eastAsia"/>
                <w:color w:val="000000"/>
                <w:szCs w:val="21"/>
              </w:rPr>
            </w:pPr>
            <w:r>
              <w:rPr>
                <w:rFonts w:ascii="宋体" w:hAnsi="宋体" w:cs="Calibri"/>
                <w:color w:val="000000"/>
                <w:szCs w:val="21"/>
              </w:rPr>
              <w:t>北京</w:t>
            </w:r>
            <w:proofErr w:type="gramStart"/>
            <w:r>
              <w:rPr>
                <w:rFonts w:ascii="宋体" w:hAnsi="宋体" w:cs="Calibri"/>
                <w:color w:val="000000"/>
                <w:szCs w:val="21"/>
              </w:rPr>
              <w:t>创金启富基金</w:t>
            </w:r>
            <w:proofErr w:type="gramEnd"/>
            <w:r>
              <w:rPr>
                <w:rFonts w:ascii="宋体" w:hAnsi="宋体" w:cs="Calibri"/>
                <w:color w:val="000000"/>
                <w:szCs w:val="21"/>
              </w:rPr>
              <w:t>销售有限公司</w:t>
            </w:r>
          </w:p>
          <w:p w14:paraId="46BBAAF6" w14:textId="77777777" w:rsidR="0066529D" w:rsidRDefault="0066529D">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289A6906" w14:textId="77777777" w:rsidR="0066529D" w:rsidRDefault="00A901FF">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北京市西城区白纸坊东街2号经济日报社A</w:t>
            </w:r>
            <w:proofErr w:type="gramStart"/>
            <w:r>
              <w:rPr>
                <w:rFonts w:ascii="宋体" w:hAnsi="宋体" w:cs="Calibri" w:hint="eastAsia"/>
                <w:color w:val="000000"/>
                <w:szCs w:val="21"/>
              </w:rPr>
              <w:t>座综合</w:t>
            </w:r>
            <w:proofErr w:type="gramEnd"/>
            <w:r>
              <w:rPr>
                <w:rFonts w:ascii="宋体" w:hAnsi="宋体" w:cs="Calibri" w:hint="eastAsia"/>
                <w:color w:val="000000"/>
                <w:szCs w:val="21"/>
              </w:rPr>
              <w:t>楼712室</w:t>
            </w:r>
          </w:p>
          <w:p w14:paraId="46BBD3DC" w14:textId="77777777" w:rsidR="0066529D" w:rsidRDefault="00A901FF">
            <w:pPr>
              <w:jc w:val="left"/>
              <w:rPr>
                <w:rFonts w:ascii="宋体" w:hAnsi="宋体" w:cs="Calibri" w:hint="eastAsia"/>
                <w:color w:val="000000"/>
                <w:szCs w:val="21"/>
              </w:rPr>
            </w:pPr>
            <w:r>
              <w:rPr>
                <w:rFonts w:ascii="宋体" w:hAnsi="宋体" w:cs="Calibri"/>
                <w:color w:val="000000"/>
                <w:szCs w:val="21"/>
              </w:rPr>
              <w:t xml:space="preserve">客服电话：010-66154828 </w:t>
            </w:r>
          </w:p>
          <w:p w14:paraId="2EBB801B" w14:textId="77777777" w:rsidR="0066529D" w:rsidRDefault="00A901FF">
            <w:pPr>
              <w:jc w:val="left"/>
              <w:rPr>
                <w:rFonts w:ascii="宋体" w:hAnsi="宋体" w:cs="Calibri" w:hint="eastAsia"/>
                <w:color w:val="000000"/>
                <w:szCs w:val="21"/>
              </w:rPr>
            </w:pPr>
            <w:r>
              <w:rPr>
                <w:rFonts w:ascii="宋体" w:hAnsi="宋体" w:cs="Calibri"/>
                <w:color w:val="000000"/>
                <w:szCs w:val="21"/>
              </w:rPr>
              <w:t>公司网站：https://www.5irich.com/</w:t>
            </w:r>
          </w:p>
        </w:tc>
      </w:tr>
      <w:tr w:rsidR="0066529D" w14:paraId="2CDC484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E9FDE45"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45</w:t>
            </w:r>
          </w:p>
        </w:tc>
        <w:tc>
          <w:tcPr>
            <w:tcW w:w="2693" w:type="dxa"/>
            <w:tcBorders>
              <w:top w:val="single" w:sz="4" w:space="0" w:color="000000"/>
              <w:left w:val="single" w:sz="4" w:space="0" w:color="000000"/>
              <w:bottom w:val="single" w:sz="4" w:space="0" w:color="000000"/>
              <w:right w:val="single" w:sz="4" w:space="0" w:color="000000"/>
            </w:tcBorders>
          </w:tcPr>
          <w:p w14:paraId="261EA34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和讯信息科技有限公司</w:t>
            </w:r>
          </w:p>
          <w:p w14:paraId="006ACD10" w14:textId="77777777" w:rsidR="0066529D" w:rsidRDefault="0066529D">
            <w:pPr>
              <w:jc w:val="left"/>
              <w:rPr>
                <w:rFonts w:ascii="宋体" w:hAnsi="宋体" w:cs="Calibri" w:hint="eastAsia"/>
                <w:color w:val="000000"/>
                <w:szCs w:val="21"/>
              </w:rPr>
            </w:pPr>
          </w:p>
        </w:tc>
        <w:tc>
          <w:tcPr>
            <w:tcW w:w="5103" w:type="dxa"/>
            <w:tcBorders>
              <w:top w:val="single" w:sz="4" w:space="0" w:color="000000"/>
              <w:left w:val="single" w:sz="4" w:space="0" w:color="000000"/>
              <w:bottom w:val="single" w:sz="4" w:space="0" w:color="000000"/>
              <w:right w:val="single" w:sz="4" w:space="0" w:color="000000"/>
            </w:tcBorders>
          </w:tcPr>
          <w:p w14:paraId="1C49925E" w14:textId="77777777" w:rsidR="0066529D" w:rsidRDefault="00A901FF">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北京市朝外大街</w:t>
            </w:r>
            <w:proofErr w:type="gramStart"/>
            <w:r>
              <w:rPr>
                <w:rFonts w:ascii="宋体" w:hAnsi="宋体" w:cs="Calibri" w:hint="eastAsia"/>
                <w:color w:val="000000"/>
                <w:szCs w:val="21"/>
              </w:rPr>
              <w:t>22号泛利大厦</w:t>
            </w:r>
            <w:proofErr w:type="gramEnd"/>
            <w:r>
              <w:rPr>
                <w:rFonts w:ascii="宋体" w:hAnsi="宋体" w:cs="Calibri" w:hint="eastAsia"/>
                <w:color w:val="000000"/>
                <w:szCs w:val="21"/>
              </w:rPr>
              <w:t>10层</w:t>
            </w:r>
          </w:p>
          <w:p w14:paraId="4D80D26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客服电话：400-920-0022</w:t>
            </w:r>
          </w:p>
          <w:p w14:paraId="6215805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w:t>
            </w:r>
            <w:hyperlink r:id="rId26" w:history="1">
              <w:r>
                <w:rPr>
                  <w:rStyle w:val="afa"/>
                  <w:rFonts w:ascii="宋体" w:hAnsi="宋体" w:cs="Calibri" w:hint="eastAsia"/>
                  <w:szCs w:val="21"/>
                </w:rPr>
                <w:t>www.licaike.com</w:t>
              </w:r>
            </w:hyperlink>
          </w:p>
        </w:tc>
      </w:tr>
      <w:tr w:rsidR="0066529D" w14:paraId="0FF191D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65868C3"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46</w:t>
            </w:r>
          </w:p>
        </w:tc>
        <w:tc>
          <w:tcPr>
            <w:tcW w:w="2693" w:type="dxa"/>
            <w:tcBorders>
              <w:top w:val="single" w:sz="4" w:space="0" w:color="000000"/>
              <w:left w:val="single" w:sz="4" w:space="0" w:color="000000"/>
              <w:bottom w:val="single" w:sz="4" w:space="0" w:color="000000"/>
              <w:right w:val="single" w:sz="4" w:space="0" w:color="000000"/>
            </w:tcBorders>
          </w:tcPr>
          <w:p w14:paraId="18B7E0AD" w14:textId="77777777" w:rsidR="0066529D" w:rsidRDefault="00A901FF">
            <w:pPr>
              <w:jc w:val="left"/>
              <w:rPr>
                <w:rFonts w:ascii="宋体" w:hAnsi="宋体" w:cs="Calibri" w:hint="eastAsia"/>
                <w:color w:val="000000"/>
                <w:szCs w:val="21"/>
              </w:rPr>
            </w:pPr>
            <w:r>
              <w:rPr>
                <w:rFonts w:ascii="宋体" w:hAnsi="宋体" w:cs="Calibri"/>
                <w:color w:val="000000"/>
                <w:szCs w:val="21"/>
              </w:rPr>
              <w:t>上海</w:t>
            </w:r>
            <w:proofErr w:type="gramStart"/>
            <w:r>
              <w:rPr>
                <w:rFonts w:ascii="宋体" w:hAnsi="宋体" w:cs="Calibri"/>
                <w:color w:val="000000"/>
                <w:szCs w:val="21"/>
              </w:rPr>
              <w:t>陆享基金</w:t>
            </w:r>
            <w:proofErr w:type="gramEnd"/>
            <w:r>
              <w:rPr>
                <w:rFonts w:ascii="宋体" w:hAnsi="宋体" w:cs="Calibri"/>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61330C89" w14:textId="77777777" w:rsidR="0066529D" w:rsidRDefault="00A901FF">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（办公）地址：中国（上海）自由贸易试验区世纪大道1196号世纪汇广场二座16层</w:t>
            </w:r>
          </w:p>
          <w:p w14:paraId="7E74CCB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客服电话：400-168-1235</w:t>
            </w:r>
          </w:p>
          <w:p w14:paraId="61DF813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66529D" w14:paraId="6E9D3C0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462189B"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47</w:t>
            </w:r>
          </w:p>
        </w:tc>
        <w:tc>
          <w:tcPr>
            <w:tcW w:w="2693" w:type="dxa"/>
            <w:tcBorders>
              <w:top w:val="single" w:sz="4" w:space="0" w:color="000000"/>
              <w:left w:val="single" w:sz="4" w:space="0" w:color="000000"/>
              <w:bottom w:val="single" w:sz="4" w:space="0" w:color="000000"/>
              <w:right w:val="single" w:sz="4" w:space="0" w:color="000000"/>
            </w:tcBorders>
          </w:tcPr>
          <w:p w14:paraId="3256CF9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中国人寿股份有限公司</w:t>
            </w:r>
          </w:p>
        </w:tc>
        <w:tc>
          <w:tcPr>
            <w:tcW w:w="5103" w:type="dxa"/>
            <w:tcBorders>
              <w:top w:val="single" w:sz="4" w:space="0" w:color="000000"/>
              <w:left w:val="single" w:sz="4" w:space="0" w:color="000000"/>
              <w:bottom w:val="single" w:sz="4" w:space="0" w:color="000000"/>
              <w:right w:val="single" w:sz="4" w:space="0" w:color="000000"/>
            </w:tcBorders>
          </w:tcPr>
          <w:p w14:paraId="4766D98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注册地址：中国北京市西城区金融大街16号</w:t>
            </w:r>
          </w:p>
          <w:p w14:paraId="4FB3EBA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客户服务电话：95519</w:t>
            </w:r>
          </w:p>
          <w:p w14:paraId="446551A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网址：www.e-chinalife.com</w:t>
            </w:r>
          </w:p>
        </w:tc>
      </w:tr>
      <w:tr w:rsidR="0066529D" w14:paraId="40AE9199"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FD6E1E2"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48</w:t>
            </w:r>
          </w:p>
        </w:tc>
        <w:tc>
          <w:tcPr>
            <w:tcW w:w="2693" w:type="dxa"/>
            <w:tcBorders>
              <w:top w:val="single" w:sz="4" w:space="0" w:color="000000"/>
              <w:left w:val="single" w:sz="4" w:space="0" w:color="000000"/>
              <w:bottom w:val="single" w:sz="4" w:space="0" w:color="000000"/>
              <w:right w:val="single" w:sz="4" w:space="0" w:color="000000"/>
            </w:tcBorders>
          </w:tcPr>
          <w:p w14:paraId="11A45F1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阳光人寿保险股份有限公司</w:t>
            </w:r>
          </w:p>
        </w:tc>
        <w:tc>
          <w:tcPr>
            <w:tcW w:w="5103" w:type="dxa"/>
            <w:tcBorders>
              <w:top w:val="single" w:sz="4" w:space="0" w:color="000000"/>
              <w:left w:val="single" w:sz="4" w:space="0" w:color="000000"/>
              <w:bottom w:val="single" w:sz="4" w:space="0" w:color="000000"/>
              <w:right w:val="single" w:sz="4" w:space="0" w:color="000000"/>
            </w:tcBorders>
          </w:tcPr>
          <w:p w14:paraId="69DFB8F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46C8830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1557511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客户服务电话：95510</w:t>
            </w:r>
          </w:p>
          <w:p w14:paraId="51CF16B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网址：fund.sinosig.com</w:t>
            </w:r>
          </w:p>
        </w:tc>
      </w:tr>
      <w:tr w:rsidR="0066529D" w14:paraId="61BCAAC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D7016AD"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49</w:t>
            </w:r>
          </w:p>
        </w:tc>
        <w:tc>
          <w:tcPr>
            <w:tcW w:w="2693" w:type="dxa"/>
            <w:tcBorders>
              <w:top w:val="single" w:sz="4" w:space="0" w:color="000000"/>
              <w:left w:val="single" w:sz="4" w:space="0" w:color="000000"/>
              <w:bottom w:val="single" w:sz="4" w:space="0" w:color="000000"/>
              <w:right w:val="single" w:sz="4" w:space="0" w:color="000000"/>
            </w:tcBorders>
          </w:tcPr>
          <w:p w14:paraId="0022E6A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金元证券股份有限公司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55F68B0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 : 深圳市深南大道4001号时代金融中心大厦17楼</w:t>
            </w:r>
          </w:p>
          <w:p w14:paraId="6E404B8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：95372</w:t>
            </w:r>
          </w:p>
          <w:p w14:paraId="339E8D4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网址：www.jyzq.cn</w:t>
            </w:r>
          </w:p>
        </w:tc>
      </w:tr>
      <w:tr w:rsidR="0066529D" w14:paraId="2B0EBC6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763FB70"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50</w:t>
            </w:r>
          </w:p>
        </w:tc>
        <w:tc>
          <w:tcPr>
            <w:tcW w:w="2693" w:type="dxa"/>
            <w:tcBorders>
              <w:top w:val="single" w:sz="4" w:space="0" w:color="000000"/>
              <w:left w:val="single" w:sz="4" w:space="0" w:color="000000"/>
              <w:bottom w:val="single" w:sz="4" w:space="0" w:color="000000"/>
              <w:right w:val="single" w:sz="4" w:space="0" w:color="000000"/>
            </w:tcBorders>
          </w:tcPr>
          <w:p w14:paraId="11B1D43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深圳市前海排</w:t>
            </w:r>
            <w:proofErr w:type="gramStart"/>
            <w:r>
              <w:rPr>
                <w:rFonts w:ascii="宋体" w:hAnsi="宋体" w:cs="Calibri" w:hint="eastAsia"/>
                <w:color w:val="000000"/>
                <w:szCs w:val="21"/>
              </w:rPr>
              <w:t>排</w:t>
            </w:r>
            <w:proofErr w:type="gramEnd"/>
            <w:r>
              <w:rPr>
                <w:rFonts w:ascii="宋体" w:hAnsi="宋体" w:cs="Calibri" w:hint="eastAsia"/>
                <w:color w:val="000000"/>
                <w:szCs w:val="21"/>
              </w:rPr>
              <w:t>网基金销售有限责任公司</w:t>
            </w:r>
          </w:p>
        </w:tc>
        <w:tc>
          <w:tcPr>
            <w:tcW w:w="5103" w:type="dxa"/>
            <w:tcBorders>
              <w:top w:val="single" w:sz="4" w:space="0" w:color="000000"/>
              <w:left w:val="single" w:sz="4" w:space="0" w:color="000000"/>
              <w:bottom w:val="single" w:sz="4" w:space="0" w:color="000000"/>
              <w:right w:val="single" w:sz="4" w:space="0" w:color="000000"/>
            </w:tcBorders>
          </w:tcPr>
          <w:p w14:paraId="6E27750E" w14:textId="77777777" w:rsidR="0066529D" w:rsidRDefault="00A901FF">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（办公）地址：深圳市前海深港合作区前湾一路1号A栋201室（入驻深圳市前海商务秘书有限公司）</w:t>
            </w:r>
          </w:p>
          <w:p w14:paraId="7AC29EEE" w14:textId="77777777" w:rsidR="0066529D" w:rsidRDefault="00A901FF">
            <w:pPr>
              <w:jc w:val="left"/>
              <w:rPr>
                <w:rFonts w:ascii="宋体" w:hAnsi="宋体" w:cs="Calibri" w:hint="eastAsia"/>
                <w:color w:val="000000"/>
                <w:szCs w:val="21"/>
              </w:rPr>
            </w:pPr>
            <w:r>
              <w:rPr>
                <w:rFonts w:ascii="宋体" w:hAnsi="宋体" w:cs="Calibri"/>
                <w:color w:val="000000"/>
                <w:szCs w:val="21"/>
              </w:rPr>
              <w:t xml:space="preserve">客服电话：400-666-7388 </w:t>
            </w:r>
          </w:p>
          <w:p w14:paraId="1758129D" w14:textId="77777777" w:rsidR="0066529D" w:rsidRDefault="00A901FF">
            <w:pPr>
              <w:jc w:val="left"/>
              <w:rPr>
                <w:rFonts w:ascii="宋体" w:hAnsi="宋体" w:cs="Calibri" w:hint="eastAsia"/>
                <w:color w:val="000000"/>
                <w:szCs w:val="21"/>
              </w:rPr>
            </w:pPr>
            <w:r>
              <w:rPr>
                <w:rFonts w:ascii="宋体" w:hAnsi="宋体" w:cs="Calibri"/>
                <w:color w:val="000000"/>
                <w:szCs w:val="21"/>
              </w:rPr>
              <w:t>公司网站：www.ppwfund.com</w:t>
            </w:r>
          </w:p>
        </w:tc>
      </w:tr>
      <w:tr w:rsidR="0066529D" w14:paraId="2EB02C2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246C561"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51</w:t>
            </w:r>
          </w:p>
        </w:tc>
        <w:tc>
          <w:tcPr>
            <w:tcW w:w="2693" w:type="dxa"/>
            <w:tcBorders>
              <w:top w:val="single" w:sz="4" w:space="0" w:color="000000"/>
              <w:left w:val="single" w:sz="4" w:space="0" w:color="000000"/>
              <w:bottom w:val="single" w:sz="4" w:space="0" w:color="000000"/>
              <w:right w:val="single" w:sz="4" w:space="0" w:color="000000"/>
            </w:tcBorders>
          </w:tcPr>
          <w:p w14:paraId="100EEE1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嘉实财富管理有限公司</w:t>
            </w:r>
          </w:p>
        </w:tc>
        <w:tc>
          <w:tcPr>
            <w:tcW w:w="5103" w:type="dxa"/>
            <w:tcBorders>
              <w:top w:val="single" w:sz="4" w:space="0" w:color="000000"/>
              <w:left w:val="single" w:sz="4" w:space="0" w:color="000000"/>
              <w:bottom w:val="single" w:sz="4" w:space="0" w:color="000000"/>
              <w:right w:val="single" w:sz="4" w:space="0" w:color="000000"/>
            </w:tcBorders>
          </w:tcPr>
          <w:p w14:paraId="27D07F49" w14:textId="77777777" w:rsidR="0066529D" w:rsidRDefault="00A901FF">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海南省三亚市天涯区凤凰岛1号</w:t>
            </w:r>
            <w:r>
              <w:rPr>
                <w:rFonts w:ascii="宋体" w:hAnsi="宋体" w:cs="Calibri" w:hint="eastAsia"/>
                <w:color w:val="000000"/>
                <w:szCs w:val="21"/>
              </w:rPr>
              <w:lastRenderedPageBreak/>
              <w:t>楼7层710号</w:t>
            </w:r>
          </w:p>
          <w:p w14:paraId="04AFDD5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客服电话：400-021-8850</w:t>
            </w:r>
          </w:p>
          <w:p w14:paraId="69CA8FC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公司网站：www.harvestwm.cn</w:t>
            </w:r>
          </w:p>
        </w:tc>
      </w:tr>
      <w:tr w:rsidR="0066529D" w14:paraId="3AA2D544"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015B302"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lastRenderedPageBreak/>
              <w:t>52</w:t>
            </w:r>
          </w:p>
        </w:tc>
        <w:tc>
          <w:tcPr>
            <w:tcW w:w="2693" w:type="dxa"/>
            <w:tcBorders>
              <w:top w:val="single" w:sz="4" w:space="0" w:color="000000"/>
              <w:left w:val="single" w:sz="4" w:space="0" w:color="000000"/>
              <w:bottom w:val="single" w:sz="4" w:space="0" w:color="000000"/>
              <w:right w:val="single" w:sz="4" w:space="0" w:color="000000"/>
            </w:tcBorders>
          </w:tcPr>
          <w:p w14:paraId="2B8111D8" w14:textId="77777777" w:rsidR="0066529D" w:rsidRDefault="00A901FF">
            <w:pPr>
              <w:jc w:val="left"/>
              <w:rPr>
                <w:rFonts w:ascii="宋体" w:hAnsi="宋体" w:cs="Calibri" w:hint="eastAsia"/>
                <w:color w:val="000000"/>
                <w:szCs w:val="21"/>
              </w:rPr>
            </w:pPr>
            <w:r>
              <w:rPr>
                <w:rFonts w:ascii="宋体" w:hAnsi="宋体" w:cs="Calibri"/>
                <w:color w:val="000000"/>
                <w:szCs w:val="21"/>
              </w:rPr>
              <w:t>上海</w:t>
            </w:r>
            <w:proofErr w:type="gramStart"/>
            <w:r>
              <w:rPr>
                <w:rFonts w:ascii="宋体" w:hAnsi="宋体" w:cs="Calibri"/>
                <w:color w:val="000000"/>
                <w:szCs w:val="21"/>
              </w:rPr>
              <w:t>攀赢基金</w:t>
            </w:r>
            <w:proofErr w:type="gramEnd"/>
            <w:r>
              <w:rPr>
                <w:rFonts w:ascii="宋体" w:hAnsi="宋体" w:cs="Calibri"/>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11965534" w14:textId="77777777" w:rsidR="0066529D" w:rsidRDefault="00A901FF">
            <w:pPr>
              <w:jc w:val="left"/>
              <w:rPr>
                <w:rFonts w:ascii="宋体" w:hAnsi="宋体" w:cs="Calibri" w:hint="eastAsia"/>
                <w:color w:val="000000"/>
                <w:szCs w:val="21"/>
              </w:rPr>
            </w:pPr>
            <w:r>
              <w:rPr>
                <w:rFonts w:ascii="宋体" w:hAnsi="宋体" w:cs="Calibri"/>
                <w:color w:val="000000"/>
                <w:szCs w:val="21"/>
              </w:rPr>
              <w:t>注册</w:t>
            </w:r>
            <w:r>
              <w:rPr>
                <w:rFonts w:ascii="宋体" w:hAnsi="宋体" w:cs="Calibri" w:hint="eastAsia"/>
                <w:color w:val="000000"/>
                <w:szCs w:val="21"/>
              </w:rPr>
              <w:t>（办公）</w:t>
            </w:r>
            <w:r>
              <w:rPr>
                <w:rFonts w:ascii="宋体" w:hAnsi="宋体" w:cs="Calibri"/>
                <w:color w:val="000000"/>
                <w:szCs w:val="21"/>
              </w:rPr>
              <w:t>地址：</w:t>
            </w:r>
            <w:r>
              <w:rPr>
                <w:rFonts w:ascii="宋体" w:hAnsi="宋体" w:cs="Calibri" w:hint="eastAsia"/>
                <w:color w:val="000000"/>
                <w:szCs w:val="21"/>
              </w:rPr>
              <w:t>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城路116号大华银行大厦7楼</w:t>
            </w:r>
          </w:p>
          <w:p w14:paraId="4F4F552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客服电话：021-68889082</w:t>
            </w:r>
          </w:p>
          <w:p w14:paraId="31837C69"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公司网站：www.pytz.cn</w:t>
            </w:r>
          </w:p>
        </w:tc>
      </w:tr>
      <w:tr w:rsidR="0066529D" w14:paraId="7C0749EB"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72AECDD"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53</w:t>
            </w:r>
          </w:p>
        </w:tc>
        <w:tc>
          <w:tcPr>
            <w:tcW w:w="2693" w:type="dxa"/>
            <w:tcBorders>
              <w:top w:val="single" w:sz="4" w:space="0" w:color="000000"/>
              <w:left w:val="single" w:sz="4" w:space="0" w:color="000000"/>
              <w:bottom w:val="single" w:sz="4" w:space="0" w:color="000000"/>
              <w:right w:val="single" w:sz="4" w:space="0" w:color="000000"/>
            </w:tcBorders>
          </w:tcPr>
          <w:p w14:paraId="34CD924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上海爱建基金销售有限公司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D70BBC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 : 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78DFA36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：400-803-2733</w:t>
            </w:r>
          </w:p>
          <w:p w14:paraId="368D249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www.ajwm.com.cn</w:t>
            </w:r>
          </w:p>
        </w:tc>
      </w:tr>
      <w:tr w:rsidR="0066529D" w14:paraId="071F16EC"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94514EC"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54</w:t>
            </w:r>
          </w:p>
        </w:tc>
        <w:tc>
          <w:tcPr>
            <w:tcW w:w="2693" w:type="dxa"/>
            <w:tcBorders>
              <w:top w:val="single" w:sz="4" w:space="0" w:color="000000"/>
              <w:left w:val="single" w:sz="4" w:space="0" w:color="000000"/>
              <w:bottom w:val="single" w:sz="4" w:space="0" w:color="000000"/>
              <w:right w:val="single" w:sz="4" w:space="0" w:color="000000"/>
            </w:tcBorders>
          </w:tcPr>
          <w:p w14:paraId="3A40598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上海大智慧基金销售有限公司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51B882C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高南路428弄由</w:t>
            </w:r>
            <w:proofErr w:type="gramStart"/>
            <w:r>
              <w:rPr>
                <w:rFonts w:ascii="宋体" w:hAnsi="宋体" w:cs="Calibri" w:hint="eastAsia"/>
                <w:color w:val="000000"/>
                <w:szCs w:val="21"/>
              </w:rPr>
              <w:t>由</w:t>
            </w:r>
            <w:proofErr w:type="gramEnd"/>
            <w:r>
              <w:rPr>
                <w:rFonts w:ascii="宋体" w:hAnsi="宋体" w:cs="Calibri" w:hint="eastAsia"/>
                <w:color w:val="000000"/>
                <w:szCs w:val="21"/>
              </w:rPr>
              <w:t>世纪广场1号楼</w:t>
            </w:r>
          </w:p>
          <w:p w14:paraId="2E7E4FE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021-20219988</w:t>
            </w:r>
          </w:p>
          <w:p w14:paraId="3ECD416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https://www.gw.com.cn/</w:t>
            </w:r>
          </w:p>
        </w:tc>
      </w:tr>
      <w:tr w:rsidR="0066529D" w14:paraId="267EEBB3"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15DA893"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55</w:t>
            </w:r>
          </w:p>
        </w:tc>
        <w:tc>
          <w:tcPr>
            <w:tcW w:w="2693" w:type="dxa"/>
            <w:tcBorders>
              <w:top w:val="single" w:sz="4" w:space="0" w:color="000000"/>
              <w:left w:val="single" w:sz="4" w:space="0" w:color="000000"/>
              <w:bottom w:val="single" w:sz="4" w:space="0" w:color="000000"/>
              <w:right w:val="single" w:sz="4" w:space="0" w:color="000000"/>
            </w:tcBorders>
          </w:tcPr>
          <w:p w14:paraId="5118C37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上海华夏财富投资管理有限公司</w:t>
            </w:r>
          </w:p>
        </w:tc>
        <w:tc>
          <w:tcPr>
            <w:tcW w:w="5103" w:type="dxa"/>
            <w:tcBorders>
              <w:top w:val="single" w:sz="4" w:space="0" w:color="000000"/>
              <w:left w:val="single" w:sz="4" w:space="0" w:color="000000"/>
              <w:bottom w:val="single" w:sz="4" w:space="0" w:color="000000"/>
              <w:right w:val="single" w:sz="4" w:space="0" w:color="000000"/>
            </w:tcBorders>
          </w:tcPr>
          <w:p w14:paraId="3E10026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注册（办公）地址：北京市西城区金融大街33号通泰大厦B座8层</w:t>
            </w:r>
          </w:p>
          <w:p w14:paraId="0737FBAA" w14:textId="77777777" w:rsidR="0066529D" w:rsidRDefault="0066529D">
            <w:pPr>
              <w:jc w:val="left"/>
              <w:rPr>
                <w:rFonts w:ascii="宋体" w:hAnsi="宋体" w:cs="Calibri" w:hint="eastAsia"/>
                <w:color w:val="000000"/>
                <w:szCs w:val="21"/>
              </w:rPr>
            </w:pPr>
          </w:p>
          <w:p w14:paraId="09BE539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400-817-5666</w:t>
            </w:r>
          </w:p>
          <w:p w14:paraId="659AAA5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https://www.amcfortune.com/</w:t>
            </w:r>
          </w:p>
        </w:tc>
      </w:tr>
      <w:tr w:rsidR="0066529D" w14:paraId="2570BA6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91FE175"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56</w:t>
            </w:r>
          </w:p>
        </w:tc>
        <w:tc>
          <w:tcPr>
            <w:tcW w:w="2693" w:type="dxa"/>
            <w:tcBorders>
              <w:top w:val="single" w:sz="4" w:space="0" w:color="000000"/>
              <w:left w:val="single" w:sz="4" w:space="0" w:color="000000"/>
              <w:bottom w:val="single" w:sz="4" w:space="0" w:color="000000"/>
              <w:right w:val="single" w:sz="4" w:space="0" w:color="000000"/>
            </w:tcBorders>
          </w:tcPr>
          <w:p w14:paraId="77190052" w14:textId="77777777" w:rsidR="0066529D" w:rsidRDefault="00A901FF">
            <w:pPr>
              <w:jc w:val="left"/>
              <w:rPr>
                <w:rFonts w:ascii="宋体" w:hAnsi="宋体" w:cs="Calibri" w:hint="eastAsia"/>
                <w:color w:val="000000"/>
                <w:szCs w:val="21"/>
              </w:rPr>
            </w:pPr>
            <w:r>
              <w:rPr>
                <w:rFonts w:ascii="宋体" w:hAnsi="宋体" w:cs="Calibri"/>
                <w:color w:val="000000"/>
                <w:szCs w:val="21"/>
              </w:rPr>
              <w:t>上海</w:t>
            </w:r>
            <w:proofErr w:type="gramStart"/>
            <w:r>
              <w:rPr>
                <w:rFonts w:ascii="宋体" w:hAnsi="宋体" w:cs="Calibri"/>
                <w:color w:val="000000"/>
                <w:szCs w:val="21"/>
              </w:rPr>
              <w:t>中正达广基金</w:t>
            </w:r>
            <w:proofErr w:type="gramEnd"/>
            <w:r>
              <w:rPr>
                <w:rFonts w:ascii="宋体" w:hAnsi="宋体" w:cs="Calibri"/>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152E3A2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注册（办公）地址：上海市徐汇区龙兰路277号东航滨江中心1号楼1203室</w:t>
            </w:r>
          </w:p>
          <w:p w14:paraId="297AE23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400-6767-523</w:t>
            </w:r>
          </w:p>
          <w:p w14:paraId="6A45E45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www.zhongzhengfund.com</w:t>
            </w:r>
          </w:p>
        </w:tc>
      </w:tr>
      <w:tr w:rsidR="0066529D" w14:paraId="5F507224"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3126636"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57</w:t>
            </w:r>
          </w:p>
        </w:tc>
        <w:tc>
          <w:tcPr>
            <w:tcW w:w="2693" w:type="dxa"/>
            <w:tcBorders>
              <w:top w:val="single" w:sz="4" w:space="0" w:color="000000"/>
              <w:left w:val="single" w:sz="4" w:space="0" w:color="000000"/>
              <w:bottom w:val="single" w:sz="4" w:space="0" w:color="000000"/>
              <w:right w:val="single" w:sz="4" w:space="0" w:color="000000"/>
            </w:tcBorders>
          </w:tcPr>
          <w:p w14:paraId="13E7D7E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上海中欧财富基金销售有限公司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4052417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注册（办公）地址：上海市虹口区公平路18号8栋嘉</w:t>
            </w:r>
            <w:proofErr w:type="gramStart"/>
            <w:r>
              <w:rPr>
                <w:rFonts w:ascii="宋体" w:hAnsi="宋体" w:cs="Calibri" w:hint="eastAsia"/>
                <w:color w:val="000000"/>
                <w:szCs w:val="21"/>
              </w:rPr>
              <w:t>昱</w:t>
            </w:r>
            <w:proofErr w:type="gramEnd"/>
            <w:r>
              <w:rPr>
                <w:rFonts w:ascii="宋体" w:hAnsi="宋体" w:cs="Calibri" w:hint="eastAsia"/>
                <w:color w:val="000000"/>
                <w:szCs w:val="21"/>
              </w:rPr>
              <w:t>大厦6楼</w:t>
            </w:r>
          </w:p>
          <w:p w14:paraId="2EA61A7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客服电话：400-100-2666</w:t>
            </w:r>
          </w:p>
          <w:p w14:paraId="355235D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公司网站：www.zocaifu.com</w:t>
            </w:r>
          </w:p>
        </w:tc>
      </w:tr>
      <w:tr w:rsidR="0066529D" w14:paraId="45650E9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E5961B9"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58</w:t>
            </w:r>
          </w:p>
        </w:tc>
        <w:tc>
          <w:tcPr>
            <w:tcW w:w="2693" w:type="dxa"/>
            <w:tcBorders>
              <w:top w:val="single" w:sz="4" w:space="0" w:color="000000"/>
              <w:left w:val="single" w:sz="4" w:space="0" w:color="000000"/>
              <w:bottom w:val="single" w:sz="4" w:space="0" w:color="000000"/>
              <w:right w:val="single" w:sz="4" w:space="0" w:color="000000"/>
            </w:tcBorders>
          </w:tcPr>
          <w:p w14:paraId="3606B91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上海云湾基金销售有限公司</w:t>
            </w:r>
          </w:p>
        </w:tc>
        <w:tc>
          <w:tcPr>
            <w:tcW w:w="5103" w:type="dxa"/>
            <w:tcBorders>
              <w:top w:val="single" w:sz="4" w:space="0" w:color="000000"/>
              <w:left w:val="single" w:sz="4" w:space="0" w:color="000000"/>
              <w:bottom w:val="single" w:sz="4" w:space="0" w:color="000000"/>
              <w:right w:val="single" w:sz="4" w:space="0" w:color="000000"/>
            </w:tcBorders>
          </w:tcPr>
          <w:p w14:paraId="3AF8959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注册（办公）地址：中国（上海）自由贸易试验区新金桥路27号、明月路1257号1幢1层103-1、103-2办公区</w:t>
            </w:r>
          </w:p>
          <w:p w14:paraId="6D902FC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客服电话：021-20538888</w:t>
            </w:r>
          </w:p>
        </w:tc>
      </w:tr>
      <w:tr w:rsidR="0066529D" w14:paraId="52393787"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4D78DBC"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59</w:t>
            </w:r>
          </w:p>
        </w:tc>
        <w:tc>
          <w:tcPr>
            <w:tcW w:w="2693" w:type="dxa"/>
            <w:tcBorders>
              <w:top w:val="single" w:sz="4" w:space="0" w:color="000000"/>
              <w:left w:val="single" w:sz="4" w:space="0" w:color="000000"/>
              <w:bottom w:val="single" w:sz="4" w:space="0" w:color="000000"/>
              <w:right w:val="single" w:sz="4" w:space="0" w:color="000000"/>
            </w:tcBorders>
          </w:tcPr>
          <w:p w14:paraId="4C65267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深圳</w:t>
            </w:r>
            <w:proofErr w:type="gramStart"/>
            <w:r>
              <w:rPr>
                <w:rFonts w:ascii="宋体" w:hAnsi="宋体" w:cs="Calibri" w:hint="eastAsia"/>
                <w:color w:val="000000"/>
                <w:szCs w:val="21"/>
              </w:rPr>
              <w:t>腾元基金</w:t>
            </w:r>
            <w:proofErr w:type="gramEnd"/>
            <w:r>
              <w:rPr>
                <w:rFonts w:ascii="宋体" w:hAnsi="宋体" w:cs="Calibri" w:hint="eastAsia"/>
                <w:color w:val="000000"/>
                <w:szCs w:val="21"/>
              </w:rPr>
              <w:t>销售有限公司</w:t>
            </w:r>
          </w:p>
        </w:tc>
        <w:tc>
          <w:tcPr>
            <w:tcW w:w="5103" w:type="dxa"/>
            <w:tcBorders>
              <w:top w:val="single" w:sz="4" w:space="0" w:color="000000"/>
              <w:left w:val="single" w:sz="4" w:space="0" w:color="000000"/>
              <w:bottom w:val="single" w:sz="4" w:space="0" w:color="000000"/>
              <w:right w:val="single" w:sz="4" w:space="0" w:color="000000"/>
            </w:tcBorders>
          </w:tcPr>
          <w:p w14:paraId="5F823DE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注册（办公）地址：广东省深圳市南山区南山街道</w:t>
            </w:r>
            <w:proofErr w:type="gramStart"/>
            <w:r>
              <w:rPr>
                <w:rFonts w:ascii="宋体" w:hAnsi="宋体" w:cs="Calibri" w:hint="eastAsia"/>
                <w:color w:val="000000"/>
                <w:szCs w:val="21"/>
              </w:rPr>
              <w:t>桂湾社区听海</w:t>
            </w:r>
            <w:proofErr w:type="gramEnd"/>
            <w:r>
              <w:rPr>
                <w:rFonts w:ascii="宋体" w:hAnsi="宋体" w:cs="Calibri" w:hint="eastAsia"/>
                <w:color w:val="000000"/>
                <w:szCs w:val="21"/>
              </w:rPr>
              <w:t>大道5059号前海鸿荣源中心A座24层04B号</w:t>
            </w:r>
          </w:p>
          <w:p w14:paraId="228EE05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 xml:space="preserve">客服电话：400-990-8601   </w:t>
            </w:r>
          </w:p>
          <w:p w14:paraId="5E40BC9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公司网站：https://www.tenyuanfund.com/</w:t>
            </w:r>
          </w:p>
        </w:tc>
      </w:tr>
      <w:tr w:rsidR="0066529D" w14:paraId="7FA9354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2D32030" w14:textId="77777777" w:rsidR="0066529D" w:rsidRDefault="00A901FF">
            <w:pPr>
              <w:jc w:val="center"/>
              <w:rPr>
                <w:rFonts w:ascii="宋体" w:hAnsi="宋体" w:cs="Calibri" w:hint="eastAsia"/>
                <w:color w:val="000000"/>
                <w:szCs w:val="21"/>
              </w:rPr>
            </w:pPr>
            <w:r>
              <w:rPr>
                <w:rFonts w:ascii="宋体" w:hAnsi="宋体" w:cs="Calibri" w:hint="eastAsia"/>
                <w:color w:val="000000"/>
                <w:szCs w:val="21"/>
              </w:rPr>
              <w:t>60</w:t>
            </w:r>
          </w:p>
        </w:tc>
        <w:tc>
          <w:tcPr>
            <w:tcW w:w="2693" w:type="dxa"/>
            <w:tcBorders>
              <w:top w:val="single" w:sz="4" w:space="0" w:color="000000"/>
              <w:left w:val="single" w:sz="4" w:space="0" w:color="000000"/>
              <w:bottom w:val="single" w:sz="4" w:space="0" w:color="000000"/>
              <w:right w:val="single" w:sz="4" w:space="0" w:color="000000"/>
            </w:tcBorders>
          </w:tcPr>
          <w:p w14:paraId="6886AFEC" w14:textId="77777777" w:rsidR="0066529D" w:rsidRDefault="00A901FF">
            <w:pPr>
              <w:jc w:val="left"/>
              <w:rPr>
                <w:rFonts w:ascii="宋体" w:hAnsi="宋体" w:cs="Calibri" w:hint="eastAsia"/>
                <w:color w:val="000000"/>
                <w:szCs w:val="21"/>
              </w:rPr>
            </w:pPr>
            <w:proofErr w:type="gramStart"/>
            <w:r>
              <w:rPr>
                <w:rFonts w:ascii="宋体" w:hAnsi="宋体" w:cs="Calibri" w:hint="eastAsia"/>
                <w:color w:val="000000"/>
                <w:szCs w:val="21"/>
              </w:rPr>
              <w:t>洪泰财富</w:t>
            </w:r>
            <w:proofErr w:type="gramEnd"/>
            <w:r>
              <w:rPr>
                <w:rFonts w:ascii="宋体" w:hAnsi="宋体" w:cs="Calibri" w:hint="eastAsia"/>
                <w:color w:val="000000"/>
                <w:szCs w:val="21"/>
              </w:rPr>
              <w:t>（青岛）基金销售有限责任公司</w:t>
            </w:r>
          </w:p>
        </w:tc>
        <w:tc>
          <w:tcPr>
            <w:tcW w:w="5103" w:type="dxa"/>
            <w:tcBorders>
              <w:top w:val="single" w:sz="4" w:space="0" w:color="000000"/>
              <w:left w:val="single" w:sz="4" w:space="0" w:color="000000"/>
              <w:bottom w:val="single" w:sz="4" w:space="0" w:color="000000"/>
              <w:right w:val="single" w:sz="4" w:space="0" w:color="000000"/>
            </w:tcBorders>
          </w:tcPr>
          <w:p w14:paraId="1217CC7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注册（办公）地址：山东省青岛市市南区岳阳路10号十号楼</w:t>
            </w:r>
          </w:p>
          <w:p w14:paraId="360B17D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 xml:space="preserve">客服电话：400-8189-598  </w:t>
            </w:r>
          </w:p>
          <w:p w14:paraId="629E788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公司网站：https://www.hongtaiwealth.com/</w:t>
            </w:r>
          </w:p>
        </w:tc>
      </w:tr>
      <w:tr w:rsidR="0066529D" w14:paraId="4D17ABB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3F5B51A" w14:textId="77777777" w:rsidR="0066529D" w:rsidRDefault="00A901FF">
            <w:pPr>
              <w:jc w:val="center"/>
              <w:rPr>
                <w:rFonts w:ascii="宋体" w:hAnsi="宋体" w:cs="Calibri" w:hint="eastAsia"/>
                <w:color w:val="000000"/>
                <w:szCs w:val="21"/>
              </w:rPr>
            </w:pPr>
            <w:r>
              <w:rPr>
                <w:rFonts w:ascii="宋体" w:hAnsi="宋体" w:cs="Calibri"/>
                <w:color w:val="000000"/>
                <w:szCs w:val="21"/>
              </w:rPr>
              <w:t>61</w:t>
            </w:r>
          </w:p>
        </w:tc>
        <w:tc>
          <w:tcPr>
            <w:tcW w:w="2693" w:type="dxa"/>
            <w:tcBorders>
              <w:top w:val="single" w:sz="4" w:space="0" w:color="000000"/>
              <w:left w:val="single" w:sz="4" w:space="0" w:color="000000"/>
              <w:bottom w:val="single" w:sz="4" w:space="0" w:color="000000"/>
              <w:right w:val="single" w:sz="4" w:space="0" w:color="000000"/>
            </w:tcBorders>
          </w:tcPr>
          <w:p w14:paraId="04314A4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中国光大银行股份有限公司</w:t>
            </w:r>
          </w:p>
        </w:tc>
        <w:tc>
          <w:tcPr>
            <w:tcW w:w="5103" w:type="dxa"/>
            <w:tcBorders>
              <w:top w:val="single" w:sz="4" w:space="0" w:color="000000"/>
              <w:left w:val="single" w:sz="4" w:space="0" w:color="000000"/>
              <w:bottom w:val="single" w:sz="4" w:space="0" w:color="000000"/>
              <w:right w:val="single" w:sz="4" w:space="0" w:color="000000"/>
            </w:tcBorders>
          </w:tcPr>
          <w:p w14:paraId="71FABF6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注册地址：北京市西城区太平桥大街25号、甲25号中国光大中心</w:t>
            </w:r>
          </w:p>
          <w:p w14:paraId="3B8EF00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客户服务电话：95595</w:t>
            </w:r>
          </w:p>
          <w:p w14:paraId="759AE2D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网址：www.cebbank.com</w:t>
            </w:r>
          </w:p>
        </w:tc>
      </w:tr>
      <w:tr w:rsidR="0066529D" w14:paraId="6BF3DF1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6C00E531" w14:textId="77777777" w:rsidR="0066529D" w:rsidRDefault="00A901FF">
            <w:pPr>
              <w:jc w:val="center"/>
              <w:rPr>
                <w:rFonts w:ascii="宋体" w:hAnsi="宋体" w:cs="Calibri" w:hint="eastAsia"/>
                <w:color w:val="000000"/>
                <w:szCs w:val="21"/>
              </w:rPr>
            </w:pPr>
            <w:r>
              <w:rPr>
                <w:rFonts w:ascii="宋体" w:hAnsi="宋体" w:cs="Calibri"/>
                <w:color w:val="000000"/>
                <w:szCs w:val="21"/>
              </w:rPr>
              <w:lastRenderedPageBreak/>
              <w:t>62</w:t>
            </w:r>
          </w:p>
        </w:tc>
        <w:tc>
          <w:tcPr>
            <w:tcW w:w="2693" w:type="dxa"/>
            <w:tcBorders>
              <w:top w:val="single" w:sz="4" w:space="0" w:color="000000"/>
              <w:left w:val="single" w:sz="4" w:space="0" w:color="000000"/>
              <w:bottom w:val="single" w:sz="4" w:space="0" w:color="000000"/>
              <w:right w:val="single" w:sz="4" w:space="0" w:color="000000"/>
            </w:tcBorders>
          </w:tcPr>
          <w:p w14:paraId="79656FC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宁波银行股份有限公司</w:t>
            </w:r>
          </w:p>
        </w:tc>
        <w:tc>
          <w:tcPr>
            <w:tcW w:w="5103" w:type="dxa"/>
            <w:tcBorders>
              <w:top w:val="single" w:sz="4" w:space="0" w:color="000000"/>
              <w:left w:val="single" w:sz="4" w:space="0" w:color="000000"/>
              <w:bottom w:val="single" w:sz="4" w:space="0" w:color="000000"/>
              <w:right w:val="single" w:sz="4" w:space="0" w:color="000000"/>
            </w:tcBorders>
          </w:tcPr>
          <w:p w14:paraId="437D08C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注册地址：浙江省宁波市</w:t>
            </w:r>
            <w:proofErr w:type="gramStart"/>
            <w:r>
              <w:rPr>
                <w:rFonts w:ascii="宋体" w:hAnsi="宋体" w:cs="Calibri" w:hint="eastAsia"/>
                <w:color w:val="000000"/>
                <w:szCs w:val="21"/>
              </w:rPr>
              <w:t>鄞</w:t>
            </w:r>
            <w:proofErr w:type="gramEnd"/>
            <w:r>
              <w:rPr>
                <w:rFonts w:ascii="宋体" w:hAnsi="宋体" w:cs="Calibri" w:hint="eastAsia"/>
                <w:color w:val="000000"/>
                <w:szCs w:val="21"/>
              </w:rPr>
              <w:t>州区宁东路345号</w:t>
            </w:r>
          </w:p>
          <w:p w14:paraId="2EC6365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客户服务电话：95574</w:t>
            </w:r>
          </w:p>
          <w:p w14:paraId="051ECFF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网址：www.nbcb.com.cn</w:t>
            </w:r>
          </w:p>
        </w:tc>
      </w:tr>
      <w:tr w:rsidR="0066529D" w14:paraId="291F38D8"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2967266" w14:textId="77777777" w:rsidR="0066529D" w:rsidRDefault="00A901FF">
            <w:pPr>
              <w:jc w:val="center"/>
              <w:rPr>
                <w:rFonts w:ascii="宋体" w:hAnsi="宋体" w:cs="Calibri" w:hint="eastAsia"/>
                <w:color w:val="000000"/>
                <w:szCs w:val="21"/>
              </w:rPr>
            </w:pPr>
            <w:r>
              <w:rPr>
                <w:rFonts w:ascii="宋体" w:hAnsi="宋体" w:cs="Calibri"/>
                <w:color w:val="000000"/>
                <w:szCs w:val="21"/>
              </w:rPr>
              <w:t>63</w:t>
            </w:r>
          </w:p>
        </w:tc>
        <w:tc>
          <w:tcPr>
            <w:tcW w:w="2693" w:type="dxa"/>
            <w:tcBorders>
              <w:top w:val="single" w:sz="4" w:space="0" w:color="000000"/>
              <w:left w:val="single" w:sz="4" w:space="0" w:color="000000"/>
              <w:bottom w:val="single" w:sz="4" w:space="0" w:color="000000"/>
              <w:right w:val="single" w:sz="4" w:space="0" w:color="000000"/>
            </w:tcBorders>
          </w:tcPr>
          <w:p w14:paraId="10AFA27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平安证券股份有限公司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3CF8D9B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注册地址：深圳市福田区福田街道益田路5023号平安金融中心B座第22-25层</w:t>
            </w:r>
          </w:p>
          <w:p w14:paraId="31C43E0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客户服务电话：95511-8</w:t>
            </w:r>
          </w:p>
          <w:p w14:paraId="508D885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网址：stock.pingan.com</w:t>
            </w:r>
          </w:p>
        </w:tc>
      </w:tr>
      <w:tr w:rsidR="0066529D" w14:paraId="010D5DF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DABAD6F" w14:textId="77777777" w:rsidR="0066529D" w:rsidRDefault="00A901FF">
            <w:pPr>
              <w:jc w:val="center"/>
              <w:rPr>
                <w:rFonts w:ascii="宋体" w:hAnsi="宋体" w:cs="Calibri" w:hint="eastAsia"/>
                <w:color w:val="000000"/>
                <w:szCs w:val="21"/>
              </w:rPr>
            </w:pPr>
            <w:r>
              <w:rPr>
                <w:rFonts w:ascii="宋体" w:hAnsi="宋体" w:cs="Calibri"/>
                <w:color w:val="000000"/>
                <w:szCs w:val="21"/>
              </w:rPr>
              <w:t>64</w:t>
            </w:r>
          </w:p>
        </w:tc>
        <w:tc>
          <w:tcPr>
            <w:tcW w:w="2693" w:type="dxa"/>
            <w:tcBorders>
              <w:top w:val="single" w:sz="4" w:space="0" w:color="000000"/>
              <w:left w:val="single" w:sz="4" w:space="0" w:color="000000"/>
              <w:bottom w:val="single" w:sz="4" w:space="0" w:color="000000"/>
              <w:right w:val="single" w:sz="4" w:space="0" w:color="000000"/>
            </w:tcBorders>
          </w:tcPr>
          <w:p w14:paraId="5E2949F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信建投证券</w:t>
            </w:r>
            <w:proofErr w:type="gramEnd"/>
            <w:r>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7108B13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注册地址：北京市朝阳区安立路66号4号楼</w:t>
            </w:r>
          </w:p>
          <w:p w14:paraId="7582CB2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 4008888108</w:t>
            </w:r>
          </w:p>
          <w:p w14:paraId="35B8073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网址：www.csc108.com</w:t>
            </w:r>
          </w:p>
        </w:tc>
      </w:tr>
      <w:tr w:rsidR="0066529D" w14:paraId="6C176910"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D3493B3" w14:textId="77777777" w:rsidR="0066529D" w:rsidRDefault="00A901FF">
            <w:pPr>
              <w:jc w:val="center"/>
              <w:rPr>
                <w:rFonts w:ascii="宋体" w:hAnsi="宋体" w:cs="Calibri" w:hint="eastAsia"/>
                <w:color w:val="000000"/>
                <w:szCs w:val="21"/>
              </w:rPr>
            </w:pPr>
            <w:r>
              <w:rPr>
                <w:rFonts w:ascii="宋体" w:hAnsi="宋体" w:cs="Calibri"/>
                <w:color w:val="000000"/>
                <w:szCs w:val="21"/>
              </w:rPr>
              <w:t>65</w:t>
            </w:r>
          </w:p>
        </w:tc>
        <w:tc>
          <w:tcPr>
            <w:tcW w:w="2693" w:type="dxa"/>
            <w:tcBorders>
              <w:top w:val="single" w:sz="4" w:space="0" w:color="000000"/>
              <w:left w:val="single" w:sz="4" w:space="0" w:color="000000"/>
              <w:bottom w:val="single" w:sz="4" w:space="0" w:color="000000"/>
              <w:right w:val="single" w:sz="4" w:space="0" w:color="000000"/>
            </w:tcBorders>
          </w:tcPr>
          <w:p w14:paraId="75130C5F" w14:textId="77777777" w:rsidR="0066529D" w:rsidRDefault="00A901FF">
            <w:pPr>
              <w:jc w:val="left"/>
              <w:rPr>
                <w:rFonts w:ascii="宋体" w:hAnsi="宋体" w:cs="Calibri" w:hint="eastAsia"/>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76CE8A4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6C9AAF4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客户服务电话：95564</w:t>
            </w:r>
          </w:p>
          <w:p w14:paraId="05427A7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网址：www.ykzq.com</w:t>
            </w:r>
          </w:p>
        </w:tc>
      </w:tr>
      <w:tr w:rsidR="0066529D" w14:paraId="66BFEF6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E70290D" w14:textId="77777777" w:rsidR="0066529D" w:rsidRDefault="00A901FF">
            <w:pPr>
              <w:jc w:val="center"/>
              <w:rPr>
                <w:rFonts w:ascii="宋体" w:hAnsi="宋体" w:cs="Calibri" w:hint="eastAsia"/>
                <w:color w:val="000000"/>
                <w:szCs w:val="21"/>
              </w:rPr>
            </w:pPr>
            <w:r>
              <w:rPr>
                <w:rFonts w:ascii="宋体" w:hAnsi="宋体" w:cs="Calibri"/>
                <w:color w:val="000000"/>
                <w:szCs w:val="21"/>
              </w:rPr>
              <w:t>66</w:t>
            </w:r>
          </w:p>
        </w:tc>
        <w:tc>
          <w:tcPr>
            <w:tcW w:w="2693" w:type="dxa"/>
            <w:tcBorders>
              <w:top w:val="single" w:sz="4" w:space="0" w:color="000000"/>
              <w:left w:val="single" w:sz="4" w:space="0" w:color="000000"/>
              <w:bottom w:val="single" w:sz="4" w:space="0" w:color="000000"/>
              <w:right w:val="single" w:sz="4" w:space="0" w:color="000000"/>
            </w:tcBorders>
          </w:tcPr>
          <w:p w14:paraId="3FE3B25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国投证券股份有限公司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1D3C71B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32E269D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客户服务电话：95517</w:t>
            </w:r>
          </w:p>
          <w:p w14:paraId="3303557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网址：www.essence.com.cn</w:t>
            </w:r>
          </w:p>
        </w:tc>
      </w:tr>
      <w:tr w:rsidR="0066529D" w14:paraId="4CFD1C26"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D6BB462" w14:textId="77777777" w:rsidR="0066529D" w:rsidRDefault="00A901FF">
            <w:pPr>
              <w:jc w:val="center"/>
              <w:rPr>
                <w:rFonts w:ascii="宋体" w:hAnsi="宋体" w:cs="Calibri" w:hint="eastAsia"/>
                <w:color w:val="000000"/>
                <w:szCs w:val="21"/>
              </w:rPr>
            </w:pPr>
            <w:r>
              <w:rPr>
                <w:rFonts w:ascii="宋体" w:hAnsi="宋体" w:cs="Calibri"/>
                <w:color w:val="000000"/>
                <w:szCs w:val="21"/>
              </w:rPr>
              <w:t>67</w:t>
            </w:r>
          </w:p>
        </w:tc>
        <w:tc>
          <w:tcPr>
            <w:tcW w:w="2693" w:type="dxa"/>
            <w:tcBorders>
              <w:top w:val="single" w:sz="4" w:space="0" w:color="000000"/>
              <w:left w:val="single" w:sz="4" w:space="0" w:color="000000"/>
              <w:bottom w:val="single" w:sz="4" w:space="0" w:color="000000"/>
              <w:right w:val="single" w:sz="4" w:space="0" w:color="000000"/>
            </w:tcBorders>
          </w:tcPr>
          <w:p w14:paraId="37F3E0D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世纪证券有限责任公司</w:t>
            </w:r>
          </w:p>
        </w:tc>
        <w:tc>
          <w:tcPr>
            <w:tcW w:w="5103" w:type="dxa"/>
            <w:tcBorders>
              <w:top w:val="single" w:sz="4" w:space="0" w:color="000000"/>
              <w:left w:val="single" w:sz="4" w:space="0" w:color="000000"/>
              <w:bottom w:val="single" w:sz="4" w:space="0" w:color="000000"/>
              <w:right w:val="single" w:sz="4" w:space="0" w:color="000000"/>
            </w:tcBorders>
          </w:tcPr>
          <w:p w14:paraId="2205EF7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58BFE9F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客户服务电话：956019</w:t>
            </w:r>
          </w:p>
          <w:p w14:paraId="557F84B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网址：www.csco.com.cn</w:t>
            </w:r>
          </w:p>
        </w:tc>
      </w:tr>
      <w:tr w:rsidR="0066529D" w14:paraId="0575A77E"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D3FDA56" w14:textId="77777777" w:rsidR="0066529D" w:rsidRDefault="00A901FF">
            <w:pPr>
              <w:jc w:val="center"/>
              <w:rPr>
                <w:rFonts w:ascii="宋体" w:hAnsi="宋体" w:cs="Calibri" w:hint="eastAsia"/>
                <w:color w:val="000000"/>
                <w:szCs w:val="21"/>
              </w:rPr>
            </w:pPr>
            <w:r>
              <w:rPr>
                <w:rFonts w:ascii="宋体" w:hAnsi="宋体" w:cs="Calibri"/>
                <w:color w:val="000000"/>
                <w:szCs w:val="21"/>
              </w:rPr>
              <w:t>68</w:t>
            </w:r>
          </w:p>
        </w:tc>
        <w:tc>
          <w:tcPr>
            <w:tcW w:w="2693" w:type="dxa"/>
            <w:tcBorders>
              <w:top w:val="single" w:sz="4" w:space="0" w:color="000000"/>
              <w:left w:val="single" w:sz="4" w:space="0" w:color="000000"/>
              <w:bottom w:val="single" w:sz="4" w:space="0" w:color="000000"/>
              <w:right w:val="single" w:sz="4" w:space="0" w:color="000000"/>
            </w:tcBorders>
          </w:tcPr>
          <w:p w14:paraId="75A7EE5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华鑫证券有限责任公司</w:t>
            </w:r>
          </w:p>
        </w:tc>
        <w:tc>
          <w:tcPr>
            <w:tcW w:w="5103" w:type="dxa"/>
            <w:tcBorders>
              <w:top w:val="single" w:sz="4" w:space="0" w:color="000000"/>
              <w:left w:val="single" w:sz="4" w:space="0" w:color="000000"/>
              <w:bottom w:val="single" w:sz="4" w:space="0" w:color="000000"/>
              <w:right w:val="single" w:sz="4" w:space="0" w:color="000000"/>
            </w:tcBorders>
          </w:tcPr>
          <w:p w14:paraId="466F0B9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注册地址：深圳市福田区香蜜湖街道东海社区深南大道7888号东海国际中心一期A栋2301A</w:t>
            </w:r>
          </w:p>
          <w:p w14:paraId="2D1CA27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客户服务电话：95323</w:t>
            </w:r>
          </w:p>
          <w:p w14:paraId="3E912CF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网址：www.cfsc.com.cn</w:t>
            </w:r>
          </w:p>
        </w:tc>
      </w:tr>
      <w:tr w:rsidR="0066529D" w14:paraId="24F45575"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1EAF1A62" w14:textId="77777777" w:rsidR="0066529D" w:rsidRDefault="00A901FF">
            <w:pPr>
              <w:jc w:val="center"/>
              <w:rPr>
                <w:rFonts w:ascii="宋体" w:hAnsi="宋体" w:cs="Calibri" w:hint="eastAsia"/>
                <w:color w:val="000000"/>
                <w:szCs w:val="21"/>
              </w:rPr>
            </w:pPr>
            <w:r>
              <w:rPr>
                <w:rFonts w:ascii="宋体" w:hAnsi="宋体" w:cs="Calibri"/>
                <w:color w:val="000000"/>
                <w:szCs w:val="21"/>
              </w:rPr>
              <w:t>69</w:t>
            </w:r>
          </w:p>
        </w:tc>
        <w:tc>
          <w:tcPr>
            <w:tcW w:w="2693" w:type="dxa"/>
            <w:tcBorders>
              <w:top w:val="single" w:sz="4" w:space="0" w:color="000000"/>
              <w:left w:val="single" w:sz="4" w:space="0" w:color="000000"/>
              <w:bottom w:val="single" w:sz="4" w:space="0" w:color="000000"/>
              <w:right w:val="single" w:sz="4" w:space="0" w:color="000000"/>
            </w:tcBorders>
          </w:tcPr>
          <w:p w14:paraId="3E93EFC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长城证券股份有限公司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4C6183E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注册地址：深圳市福田区福田街道金田路2026号能源大厦南塔楼10-19层</w:t>
            </w:r>
          </w:p>
          <w:p w14:paraId="540DDEA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客户服务电话：95514</w:t>
            </w:r>
          </w:p>
          <w:p w14:paraId="33238D2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网址：www.cgws.com</w:t>
            </w:r>
          </w:p>
        </w:tc>
      </w:tr>
      <w:tr w:rsidR="0066529D" w14:paraId="20911FAD"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27FF336" w14:textId="77777777" w:rsidR="0066529D" w:rsidRDefault="00A901FF">
            <w:pPr>
              <w:jc w:val="center"/>
              <w:rPr>
                <w:rFonts w:ascii="宋体" w:hAnsi="宋体" w:cs="Calibri" w:hint="eastAsia"/>
                <w:color w:val="000000"/>
                <w:szCs w:val="21"/>
              </w:rPr>
            </w:pPr>
            <w:r>
              <w:rPr>
                <w:rFonts w:ascii="宋体" w:hAnsi="宋体" w:cs="Calibri"/>
                <w:color w:val="000000"/>
                <w:szCs w:val="21"/>
              </w:rPr>
              <w:t>70</w:t>
            </w:r>
          </w:p>
        </w:tc>
        <w:tc>
          <w:tcPr>
            <w:tcW w:w="2693" w:type="dxa"/>
            <w:tcBorders>
              <w:top w:val="single" w:sz="4" w:space="0" w:color="000000"/>
              <w:left w:val="single" w:sz="4" w:space="0" w:color="000000"/>
              <w:bottom w:val="single" w:sz="4" w:space="0" w:color="000000"/>
              <w:right w:val="single" w:sz="4" w:space="0" w:color="000000"/>
            </w:tcBorders>
          </w:tcPr>
          <w:p w14:paraId="31A24E56"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5103" w:type="dxa"/>
            <w:tcBorders>
              <w:top w:val="single" w:sz="4" w:space="0" w:color="000000"/>
              <w:left w:val="single" w:sz="4" w:space="0" w:color="000000"/>
              <w:bottom w:val="single" w:sz="4" w:space="0" w:color="000000"/>
              <w:right w:val="single" w:sz="4" w:space="0" w:color="000000"/>
            </w:tcBorders>
          </w:tcPr>
          <w:p w14:paraId="3AA40C7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427FE9A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客户服务电话：4001840028</w:t>
            </w:r>
          </w:p>
          <w:p w14:paraId="4034A2F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网址：www.wkzq.com.cn</w:t>
            </w:r>
          </w:p>
        </w:tc>
      </w:tr>
      <w:tr w:rsidR="0066529D" w14:paraId="4992AF3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1CB4D5F" w14:textId="77777777" w:rsidR="0066529D" w:rsidRDefault="00A901FF">
            <w:pPr>
              <w:jc w:val="center"/>
              <w:rPr>
                <w:rFonts w:ascii="宋体" w:hAnsi="宋体" w:cs="Calibri" w:hint="eastAsia"/>
                <w:color w:val="000000"/>
                <w:szCs w:val="21"/>
              </w:rPr>
            </w:pPr>
            <w:r>
              <w:rPr>
                <w:rFonts w:ascii="宋体" w:hAnsi="宋体" w:cs="Calibri"/>
                <w:color w:val="000000"/>
                <w:szCs w:val="21"/>
              </w:rPr>
              <w:t>71</w:t>
            </w:r>
          </w:p>
        </w:tc>
        <w:tc>
          <w:tcPr>
            <w:tcW w:w="2693" w:type="dxa"/>
            <w:tcBorders>
              <w:top w:val="single" w:sz="4" w:space="0" w:color="000000"/>
              <w:left w:val="single" w:sz="4" w:space="0" w:color="000000"/>
              <w:bottom w:val="single" w:sz="4" w:space="0" w:color="000000"/>
              <w:right w:val="single" w:sz="4" w:space="0" w:color="000000"/>
            </w:tcBorders>
          </w:tcPr>
          <w:p w14:paraId="0F640BA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光大证券股份有限公司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C20E7B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注册地址：上海市静安区新闸路1508号</w:t>
            </w:r>
          </w:p>
          <w:p w14:paraId="6565C7E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客户服务电话：95525</w:t>
            </w:r>
          </w:p>
          <w:p w14:paraId="0CB27E6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网址：www.ebscn.com</w:t>
            </w:r>
          </w:p>
        </w:tc>
      </w:tr>
      <w:tr w:rsidR="0066529D" w14:paraId="1061E3B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5DD74EA" w14:textId="77777777" w:rsidR="0066529D" w:rsidRDefault="00A901FF">
            <w:pPr>
              <w:jc w:val="center"/>
              <w:rPr>
                <w:rFonts w:ascii="宋体" w:hAnsi="宋体" w:cs="Calibri" w:hint="eastAsia"/>
                <w:color w:val="000000"/>
                <w:szCs w:val="21"/>
              </w:rPr>
            </w:pPr>
            <w:r>
              <w:rPr>
                <w:rFonts w:ascii="宋体" w:hAnsi="宋体" w:cs="Calibri"/>
                <w:color w:val="000000"/>
                <w:szCs w:val="21"/>
              </w:rPr>
              <w:t>72</w:t>
            </w:r>
          </w:p>
        </w:tc>
        <w:tc>
          <w:tcPr>
            <w:tcW w:w="2693" w:type="dxa"/>
            <w:tcBorders>
              <w:top w:val="single" w:sz="4" w:space="0" w:color="000000"/>
              <w:left w:val="single" w:sz="4" w:space="0" w:color="000000"/>
              <w:bottom w:val="single" w:sz="4" w:space="0" w:color="000000"/>
              <w:right w:val="single" w:sz="4" w:space="0" w:color="000000"/>
            </w:tcBorders>
          </w:tcPr>
          <w:p w14:paraId="1BDAE07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招商证券股份有限公司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36E21C8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1B6E5FE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客户服务电话：95565</w:t>
            </w:r>
          </w:p>
          <w:p w14:paraId="7463205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网址：www.cmschina.com</w:t>
            </w:r>
          </w:p>
        </w:tc>
      </w:tr>
      <w:tr w:rsidR="0066529D" w14:paraId="1820570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274A48D0" w14:textId="77777777" w:rsidR="0066529D" w:rsidRDefault="00A901FF">
            <w:pPr>
              <w:jc w:val="center"/>
              <w:rPr>
                <w:rFonts w:ascii="宋体" w:hAnsi="宋体" w:cs="Calibri" w:hint="eastAsia"/>
                <w:color w:val="000000"/>
                <w:szCs w:val="21"/>
              </w:rPr>
            </w:pPr>
            <w:r>
              <w:rPr>
                <w:rFonts w:ascii="宋体" w:hAnsi="宋体" w:cs="Calibri"/>
                <w:color w:val="000000"/>
                <w:szCs w:val="21"/>
              </w:rPr>
              <w:t>73</w:t>
            </w:r>
          </w:p>
        </w:tc>
        <w:tc>
          <w:tcPr>
            <w:tcW w:w="2693" w:type="dxa"/>
            <w:tcBorders>
              <w:top w:val="single" w:sz="4" w:space="0" w:color="000000"/>
              <w:left w:val="single" w:sz="4" w:space="0" w:color="000000"/>
              <w:bottom w:val="single" w:sz="4" w:space="0" w:color="000000"/>
              <w:right w:val="single" w:sz="4" w:space="0" w:color="000000"/>
            </w:tcBorders>
          </w:tcPr>
          <w:p w14:paraId="67D82BD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渤海证券股份有限公司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6B163CC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注册地址：天津经济技术开发区第二大街42号写字楼101室</w:t>
            </w:r>
          </w:p>
          <w:p w14:paraId="4F278E0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客户服务电话：956066</w:t>
            </w:r>
          </w:p>
          <w:p w14:paraId="3B81025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lastRenderedPageBreak/>
              <w:t>网址：www.bhzq.com</w:t>
            </w:r>
          </w:p>
        </w:tc>
      </w:tr>
      <w:tr w:rsidR="0066529D" w14:paraId="3FF4DA13"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4742453" w14:textId="77777777" w:rsidR="0066529D" w:rsidRDefault="00A901FF">
            <w:pPr>
              <w:jc w:val="center"/>
              <w:rPr>
                <w:rFonts w:ascii="宋体" w:hAnsi="宋体" w:cs="Calibri" w:hint="eastAsia"/>
                <w:color w:val="000000"/>
                <w:szCs w:val="21"/>
              </w:rPr>
            </w:pPr>
            <w:r>
              <w:rPr>
                <w:rFonts w:ascii="宋体" w:hAnsi="宋体" w:cs="Calibri"/>
                <w:color w:val="000000"/>
                <w:szCs w:val="21"/>
              </w:rPr>
              <w:lastRenderedPageBreak/>
              <w:t>74</w:t>
            </w:r>
          </w:p>
        </w:tc>
        <w:tc>
          <w:tcPr>
            <w:tcW w:w="2693" w:type="dxa"/>
            <w:tcBorders>
              <w:top w:val="single" w:sz="4" w:space="0" w:color="000000"/>
              <w:left w:val="single" w:sz="4" w:space="0" w:color="000000"/>
              <w:bottom w:val="single" w:sz="4" w:space="0" w:color="000000"/>
              <w:right w:val="single" w:sz="4" w:space="0" w:color="000000"/>
            </w:tcBorders>
          </w:tcPr>
          <w:p w14:paraId="06A2641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中山证券有限责任公司</w:t>
            </w:r>
          </w:p>
        </w:tc>
        <w:tc>
          <w:tcPr>
            <w:tcW w:w="5103" w:type="dxa"/>
            <w:tcBorders>
              <w:top w:val="single" w:sz="4" w:space="0" w:color="000000"/>
              <w:left w:val="single" w:sz="4" w:space="0" w:color="000000"/>
              <w:bottom w:val="single" w:sz="4" w:space="0" w:color="000000"/>
              <w:right w:val="single" w:sz="4" w:space="0" w:color="000000"/>
            </w:tcBorders>
          </w:tcPr>
          <w:p w14:paraId="1EE58079"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珠社区芳</w:t>
            </w:r>
            <w:proofErr w:type="gramStart"/>
            <w:r>
              <w:rPr>
                <w:rFonts w:ascii="宋体" w:hAnsi="宋体" w:cs="Calibri" w:hint="eastAsia"/>
                <w:color w:val="000000"/>
                <w:szCs w:val="21"/>
              </w:rPr>
              <w:t>芷</w:t>
            </w:r>
            <w:proofErr w:type="gramEnd"/>
            <w:r>
              <w:rPr>
                <w:rFonts w:ascii="宋体" w:hAnsi="宋体" w:cs="Calibri" w:hint="eastAsia"/>
                <w:color w:val="000000"/>
                <w:szCs w:val="21"/>
              </w:rPr>
              <w:t>一路13号</w:t>
            </w:r>
            <w:proofErr w:type="gramStart"/>
            <w:r>
              <w:rPr>
                <w:rFonts w:ascii="宋体" w:hAnsi="宋体" w:cs="Calibri" w:hint="eastAsia"/>
                <w:color w:val="000000"/>
                <w:szCs w:val="21"/>
              </w:rPr>
              <w:t>舜远金融</w:t>
            </w:r>
            <w:proofErr w:type="gramEnd"/>
            <w:r>
              <w:rPr>
                <w:rFonts w:ascii="宋体" w:hAnsi="宋体" w:cs="Calibri" w:hint="eastAsia"/>
                <w:color w:val="000000"/>
                <w:szCs w:val="21"/>
              </w:rPr>
              <w:t>大厦1栋23层</w:t>
            </w:r>
          </w:p>
          <w:p w14:paraId="657E607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客户服务电话：95329</w:t>
            </w:r>
          </w:p>
          <w:p w14:paraId="3C46E1F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网址：www.zszq.com</w:t>
            </w:r>
          </w:p>
        </w:tc>
      </w:tr>
      <w:tr w:rsidR="0066529D" w14:paraId="5A7F068A"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7B2AC94" w14:textId="77777777" w:rsidR="0066529D" w:rsidRDefault="00A901FF">
            <w:pPr>
              <w:jc w:val="center"/>
              <w:rPr>
                <w:rFonts w:ascii="宋体" w:hAnsi="宋体" w:cs="Calibri" w:hint="eastAsia"/>
                <w:color w:val="000000"/>
                <w:szCs w:val="21"/>
              </w:rPr>
            </w:pPr>
            <w:r>
              <w:rPr>
                <w:rFonts w:ascii="宋体" w:hAnsi="宋体" w:cs="Calibri"/>
                <w:color w:val="000000"/>
                <w:szCs w:val="21"/>
              </w:rPr>
              <w:t>75</w:t>
            </w:r>
          </w:p>
        </w:tc>
        <w:tc>
          <w:tcPr>
            <w:tcW w:w="2693" w:type="dxa"/>
            <w:tcBorders>
              <w:top w:val="single" w:sz="4" w:space="0" w:color="000000"/>
              <w:left w:val="single" w:sz="4" w:space="0" w:color="000000"/>
              <w:bottom w:val="single" w:sz="4" w:space="0" w:color="000000"/>
              <w:right w:val="single" w:sz="4" w:space="0" w:color="000000"/>
            </w:tcBorders>
          </w:tcPr>
          <w:p w14:paraId="6C93628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邮证券</w:t>
            </w:r>
            <w:proofErr w:type="gramEnd"/>
            <w:r>
              <w:rPr>
                <w:rFonts w:ascii="宋体" w:hAnsi="宋体" w:cs="Calibri" w:hint="eastAsia"/>
                <w:color w:val="000000"/>
                <w:szCs w:val="21"/>
              </w:rPr>
              <w:t>有限责任公司</w:t>
            </w:r>
          </w:p>
        </w:tc>
        <w:tc>
          <w:tcPr>
            <w:tcW w:w="5103" w:type="dxa"/>
            <w:tcBorders>
              <w:top w:val="single" w:sz="4" w:space="0" w:color="000000"/>
              <w:left w:val="single" w:sz="4" w:space="0" w:color="000000"/>
              <w:bottom w:val="single" w:sz="4" w:space="0" w:color="000000"/>
              <w:right w:val="single" w:sz="4" w:space="0" w:color="000000"/>
            </w:tcBorders>
          </w:tcPr>
          <w:p w14:paraId="6D38FC0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3E28E6D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客户服务电话：956039</w:t>
            </w:r>
          </w:p>
          <w:p w14:paraId="422D9C2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网址：www.cnpsec.com</w:t>
            </w:r>
          </w:p>
        </w:tc>
      </w:tr>
      <w:tr w:rsidR="0066529D" w14:paraId="5FD6B662"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E5617DB" w14:textId="77777777" w:rsidR="0066529D" w:rsidRDefault="00A901FF">
            <w:pPr>
              <w:jc w:val="center"/>
              <w:rPr>
                <w:rFonts w:ascii="宋体" w:hAnsi="宋体" w:cs="Calibri" w:hint="eastAsia"/>
                <w:color w:val="000000"/>
                <w:szCs w:val="21"/>
              </w:rPr>
            </w:pPr>
            <w:r>
              <w:rPr>
                <w:rFonts w:ascii="宋体" w:hAnsi="宋体" w:cs="Calibri"/>
                <w:color w:val="000000"/>
                <w:szCs w:val="21"/>
              </w:rPr>
              <w:t>76</w:t>
            </w:r>
          </w:p>
        </w:tc>
        <w:tc>
          <w:tcPr>
            <w:tcW w:w="2693" w:type="dxa"/>
            <w:tcBorders>
              <w:top w:val="single" w:sz="4" w:space="0" w:color="000000"/>
              <w:left w:val="single" w:sz="4" w:space="0" w:color="000000"/>
              <w:bottom w:val="single" w:sz="4" w:space="0" w:color="000000"/>
              <w:right w:val="single" w:sz="4" w:space="0" w:color="000000"/>
            </w:tcBorders>
          </w:tcPr>
          <w:p w14:paraId="07DDF5E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中信证券股份有限公司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692FE52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注册地址：广东省深圳市福田区中心三路8号卓越时代广场(二期)北座</w:t>
            </w:r>
          </w:p>
          <w:p w14:paraId="6D77E103"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客户服务电话：95548</w:t>
            </w:r>
          </w:p>
          <w:p w14:paraId="2B001EF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网址：www.citics.com</w:t>
            </w:r>
          </w:p>
        </w:tc>
      </w:tr>
      <w:tr w:rsidR="0066529D" w14:paraId="48377F45"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A0D4A05" w14:textId="77777777" w:rsidR="0066529D" w:rsidRDefault="00A901FF">
            <w:pPr>
              <w:jc w:val="center"/>
              <w:rPr>
                <w:rFonts w:ascii="宋体" w:hAnsi="宋体" w:cs="Calibri" w:hint="eastAsia"/>
                <w:color w:val="000000"/>
                <w:szCs w:val="21"/>
              </w:rPr>
            </w:pPr>
            <w:r>
              <w:rPr>
                <w:rFonts w:ascii="宋体" w:hAnsi="宋体" w:cs="Calibri"/>
                <w:color w:val="000000"/>
                <w:szCs w:val="21"/>
              </w:rPr>
              <w:t>77</w:t>
            </w:r>
          </w:p>
        </w:tc>
        <w:tc>
          <w:tcPr>
            <w:tcW w:w="2693" w:type="dxa"/>
            <w:tcBorders>
              <w:top w:val="single" w:sz="4" w:space="0" w:color="000000"/>
              <w:left w:val="single" w:sz="4" w:space="0" w:color="000000"/>
              <w:bottom w:val="single" w:sz="4" w:space="0" w:color="000000"/>
              <w:right w:val="single" w:sz="4" w:space="0" w:color="000000"/>
            </w:tcBorders>
          </w:tcPr>
          <w:p w14:paraId="2ADD663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中信证券(山东)有限责任公司</w:t>
            </w:r>
          </w:p>
        </w:tc>
        <w:tc>
          <w:tcPr>
            <w:tcW w:w="5103" w:type="dxa"/>
            <w:tcBorders>
              <w:top w:val="single" w:sz="4" w:space="0" w:color="000000"/>
              <w:left w:val="single" w:sz="4" w:space="0" w:color="000000"/>
              <w:bottom w:val="single" w:sz="4" w:space="0" w:color="000000"/>
              <w:right w:val="single" w:sz="4" w:space="0" w:color="000000"/>
            </w:tcBorders>
          </w:tcPr>
          <w:p w14:paraId="0AA792B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注册地址：青岛市崂山区深圳路222号1号楼2001</w:t>
            </w:r>
          </w:p>
          <w:p w14:paraId="59B35F0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客户服务电话：95548</w:t>
            </w:r>
          </w:p>
          <w:p w14:paraId="51524BE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网址：sd.citics.com</w:t>
            </w:r>
          </w:p>
        </w:tc>
      </w:tr>
      <w:tr w:rsidR="0066529D" w14:paraId="41DE28B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528104C" w14:textId="77777777" w:rsidR="0066529D" w:rsidRDefault="00A901FF">
            <w:pPr>
              <w:jc w:val="center"/>
              <w:rPr>
                <w:rFonts w:ascii="宋体" w:hAnsi="宋体" w:cs="Calibri" w:hint="eastAsia"/>
                <w:color w:val="000000"/>
                <w:szCs w:val="21"/>
              </w:rPr>
            </w:pPr>
            <w:r>
              <w:rPr>
                <w:rFonts w:ascii="宋体" w:hAnsi="宋体" w:cs="Calibri"/>
                <w:color w:val="000000"/>
                <w:szCs w:val="21"/>
              </w:rPr>
              <w:t>78</w:t>
            </w:r>
          </w:p>
        </w:tc>
        <w:tc>
          <w:tcPr>
            <w:tcW w:w="2693" w:type="dxa"/>
            <w:tcBorders>
              <w:top w:val="single" w:sz="4" w:space="0" w:color="000000"/>
              <w:left w:val="single" w:sz="4" w:space="0" w:color="000000"/>
              <w:bottom w:val="single" w:sz="4" w:space="0" w:color="000000"/>
              <w:right w:val="single" w:sz="4" w:space="0" w:color="000000"/>
            </w:tcBorders>
          </w:tcPr>
          <w:p w14:paraId="6D05EF7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中信证券华南股份有限公司</w:t>
            </w:r>
          </w:p>
        </w:tc>
        <w:tc>
          <w:tcPr>
            <w:tcW w:w="5103" w:type="dxa"/>
            <w:tcBorders>
              <w:top w:val="single" w:sz="4" w:space="0" w:color="000000"/>
              <w:left w:val="single" w:sz="4" w:space="0" w:color="000000"/>
              <w:bottom w:val="single" w:sz="4" w:space="0" w:color="000000"/>
              <w:right w:val="single" w:sz="4" w:space="0" w:color="000000"/>
            </w:tcBorders>
          </w:tcPr>
          <w:p w14:paraId="17C0FA2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614A8F0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客户服务电话：95548</w:t>
            </w:r>
          </w:p>
          <w:p w14:paraId="045EC57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66529D" w14:paraId="4A8FB547"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BD0F24C" w14:textId="77777777" w:rsidR="0066529D" w:rsidRDefault="00A901FF">
            <w:pPr>
              <w:jc w:val="center"/>
              <w:rPr>
                <w:rFonts w:ascii="宋体" w:hAnsi="宋体" w:cs="Calibri" w:hint="eastAsia"/>
                <w:color w:val="000000"/>
                <w:szCs w:val="21"/>
              </w:rPr>
            </w:pPr>
            <w:r>
              <w:rPr>
                <w:rFonts w:ascii="宋体" w:hAnsi="宋体" w:cs="Calibri"/>
                <w:color w:val="000000"/>
                <w:szCs w:val="21"/>
              </w:rPr>
              <w:t>79</w:t>
            </w:r>
          </w:p>
        </w:tc>
        <w:tc>
          <w:tcPr>
            <w:tcW w:w="2693" w:type="dxa"/>
            <w:tcBorders>
              <w:top w:val="single" w:sz="4" w:space="0" w:color="000000"/>
              <w:left w:val="single" w:sz="4" w:space="0" w:color="000000"/>
              <w:bottom w:val="single" w:sz="4" w:space="0" w:color="000000"/>
              <w:right w:val="single" w:sz="4" w:space="0" w:color="000000"/>
            </w:tcBorders>
          </w:tcPr>
          <w:p w14:paraId="19EC396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中信期货有限公司</w:t>
            </w:r>
          </w:p>
        </w:tc>
        <w:tc>
          <w:tcPr>
            <w:tcW w:w="5103" w:type="dxa"/>
            <w:tcBorders>
              <w:top w:val="single" w:sz="4" w:space="0" w:color="000000"/>
              <w:left w:val="single" w:sz="4" w:space="0" w:color="000000"/>
              <w:bottom w:val="single" w:sz="4" w:space="0" w:color="000000"/>
              <w:right w:val="single" w:sz="4" w:space="0" w:color="000000"/>
            </w:tcBorders>
          </w:tcPr>
          <w:p w14:paraId="1664197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193292C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44367367"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66529D" w14:paraId="0FC5003C"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39E7F63" w14:textId="77777777" w:rsidR="0066529D" w:rsidRDefault="00A901FF">
            <w:pPr>
              <w:jc w:val="center"/>
              <w:rPr>
                <w:rFonts w:ascii="宋体" w:hAnsi="宋体" w:cs="Calibri" w:hint="eastAsia"/>
                <w:color w:val="000000"/>
                <w:szCs w:val="21"/>
              </w:rPr>
            </w:pPr>
            <w:r>
              <w:rPr>
                <w:rFonts w:ascii="宋体" w:hAnsi="宋体" w:cs="Calibri"/>
                <w:color w:val="000000"/>
                <w:szCs w:val="21"/>
              </w:rPr>
              <w:t>80</w:t>
            </w:r>
          </w:p>
        </w:tc>
        <w:tc>
          <w:tcPr>
            <w:tcW w:w="2693" w:type="dxa"/>
            <w:tcBorders>
              <w:top w:val="single" w:sz="4" w:space="0" w:color="000000"/>
              <w:left w:val="single" w:sz="4" w:space="0" w:color="000000"/>
              <w:bottom w:val="single" w:sz="4" w:space="0" w:color="000000"/>
              <w:right w:val="single" w:sz="4" w:space="0" w:color="000000"/>
            </w:tcBorders>
          </w:tcPr>
          <w:p w14:paraId="6289BA86" w14:textId="77777777" w:rsidR="0066529D" w:rsidRDefault="00A901FF">
            <w:pPr>
              <w:jc w:val="left"/>
              <w:rPr>
                <w:rFonts w:ascii="宋体" w:hAnsi="宋体" w:cs="Calibri" w:hint="eastAsia"/>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58C5A46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注册地址：广州市天河区珠江东路11号18、19楼全层</w:t>
            </w:r>
          </w:p>
          <w:p w14:paraId="3141220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客户服务电话：95322</w:t>
            </w:r>
          </w:p>
          <w:p w14:paraId="2AC3C7E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网址：www.wlzq.cn</w:t>
            </w:r>
          </w:p>
        </w:tc>
      </w:tr>
      <w:tr w:rsidR="0066529D" w14:paraId="64098086"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25AB807" w14:textId="77777777" w:rsidR="0066529D" w:rsidRDefault="00A901FF">
            <w:pPr>
              <w:jc w:val="center"/>
              <w:rPr>
                <w:rFonts w:ascii="宋体" w:hAnsi="宋体" w:cs="Calibri" w:hint="eastAsia"/>
                <w:color w:val="000000"/>
                <w:szCs w:val="21"/>
              </w:rPr>
            </w:pPr>
            <w:r>
              <w:rPr>
                <w:rFonts w:ascii="宋体" w:hAnsi="宋体" w:cs="Calibri"/>
                <w:color w:val="000000"/>
                <w:szCs w:val="21"/>
              </w:rPr>
              <w:t>81</w:t>
            </w:r>
          </w:p>
        </w:tc>
        <w:tc>
          <w:tcPr>
            <w:tcW w:w="2693" w:type="dxa"/>
            <w:tcBorders>
              <w:top w:val="single" w:sz="4" w:space="0" w:color="000000"/>
              <w:left w:val="single" w:sz="4" w:space="0" w:color="000000"/>
              <w:bottom w:val="single" w:sz="4" w:space="0" w:color="000000"/>
              <w:right w:val="single" w:sz="4" w:space="0" w:color="000000"/>
            </w:tcBorders>
          </w:tcPr>
          <w:p w14:paraId="2D52CC5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源证券</w:t>
            </w:r>
            <w:proofErr w:type="gramEnd"/>
            <w:r>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5C752F3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16A1517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客户服务电话：95305</w:t>
            </w:r>
          </w:p>
          <w:p w14:paraId="45BFC93B"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网址：www.jzsec.com</w:t>
            </w:r>
          </w:p>
        </w:tc>
      </w:tr>
      <w:tr w:rsidR="0066529D" w14:paraId="0F8A1DCB"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9AECA53" w14:textId="77777777" w:rsidR="0066529D" w:rsidRDefault="00A901FF">
            <w:pPr>
              <w:jc w:val="center"/>
              <w:rPr>
                <w:rFonts w:ascii="宋体" w:hAnsi="宋体" w:cs="Calibri" w:hint="eastAsia"/>
                <w:color w:val="000000"/>
                <w:szCs w:val="21"/>
              </w:rPr>
            </w:pPr>
            <w:r>
              <w:rPr>
                <w:rFonts w:ascii="宋体" w:hAnsi="宋体" w:cs="Calibri"/>
                <w:color w:val="000000"/>
                <w:szCs w:val="21"/>
              </w:rPr>
              <w:t>82</w:t>
            </w:r>
          </w:p>
        </w:tc>
        <w:tc>
          <w:tcPr>
            <w:tcW w:w="2693" w:type="dxa"/>
            <w:tcBorders>
              <w:top w:val="single" w:sz="4" w:space="0" w:color="000000"/>
              <w:left w:val="single" w:sz="4" w:space="0" w:color="000000"/>
              <w:bottom w:val="single" w:sz="4" w:space="0" w:color="000000"/>
              <w:right w:val="single" w:sz="4" w:space="0" w:color="000000"/>
            </w:tcBorders>
          </w:tcPr>
          <w:p w14:paraId="4194DC8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海通证券股份有限公司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6DDAD39"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014B065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客户服务电话：95553</w:t>
            </w:r>
          </w:p>
          <w:p w14:paraId="363E74D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网址：www.htsec.com</w:t>
            </w:r>
          </w:p>
        </w:tc>
      </w:tr>
      <w:tr w:rsidR="0066529D" w14:paraId="0E0BA543"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706BF55B" w14:textId="77777777" w:rsidR="0066529D" w:rsidRDefault="00A901FF">
            <w:pPr>
              <w:jc w:val="center"/>
              <w:rPr>
                <w:rFonts w:ascii="宋体" w:hAnsi="宋体" w:cs="Calibri" w:hint="eastAsia"/>
                <w:color w:val="000000"/>
                <w:szCs w:val="21"/>
              </w:rPr>
            </w:pPr>
            <w:r>
              <w:rPr>
                <w:rFonts w:ascii="宋体" w:hAnsi="宋体" w:cs="Calibri"/>
                <w:color w:val="000000"/>
                <w:szCs w:val="21"/>
              </w:rPr>
              <w:t>83</w:t>
            </w:r>
          </w:p>
        </w:tc>
        <w:tc>
          <w:tcPr>
            <w:tcW w:w="2693" w:type="dxa"/>
            <w:tcBorders>
              <w:top w:val="single" w:sz="4" w:space="0" w:color="000000"/>
              <w:left w:val="single" w:sz="4" w:space="0" w:color="000000"/>
              <w:bottom w:val="single" w:sz="4" w:space="0" w:color="000000"/>
              <w:right w:val="single" w:sz="4" w:space="0" w:color="000000"/>
            </w:tcBorders>
          </w:tcPr>
          <w:p w14:paraId="78B0A74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华金证券股份有限公司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2C0D6AE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19CB680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客户服务电话：956011</w:t>
            </w:r>
          </w:p>
          <w:p w14:paraId="2B639AC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网址：www.huajinsc.cn</w:t>
            </w:r>
          </w:p>
        </w:tc>
      </w:tr>
      <w:tr w:rsidR="0066529D" w14:paraId="08344B2C"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3F6D6DC" w14:textId="77777777" w:rsidR="0066529D" w:rsidRDefault="00A901FF">
            <w:pPr>
              <w:jc w:val="center"/>
              <w:rPr>
                <w:rFonts w:ascii="宋体" w:hAnsi="宋体" w:cs="Calibri" w:hint="eastAsia"/>
                <w:color w:val="000000"/>
                <w:szCs w:val="21"/>
              </w:rPr>
            </w:pPr>
            <w:r>
              <w:rPr>
                <w:rFonts w:ascii="宋体" w:hAnsi="宋体" w:cs="Calibri"/>
                <w:color w:val="000000"/>
                <w:szCs w:val="21"/>
              </w:rPr>
              <w:t>84</w:t>
            </w:r>
          </w:p>
        </w:tc>
        <w:tc>
          <w:tcPr>
            <w:tcW w:w="2693" w:type="dxa"/>
            <w:tcBorders>
              <w:top w:val="single" w:sz="4" w:space="0" w:color="000000"/>
              <w:left w:val="single" w:sz="4" w:space="0" w:color="000000"/>
              <w:bottom w:val="single" w:sz="4" w:space="0" w:color="000000"/>
              <w:right w:val="single" w:sz="4" w:space="0" w:color="000000"/>
            </w:tcBorders>
          </w:tcPr>
          <w:p w14:paraId="3F9DA33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宝证券</w:t>
            </w:r>
            <w:proofErr w:type="gramEnd"/>
            <w:r>
              <w:rPr>
                <w:rFonts w:ascii="宋体" w:hAnsi="宋体" w:cs="Calibri" w:hint="eastAsia"/>
                <w:color w:val="000000"/>
                <w:szCs w:val="21"/>
              </w:rPr>
              <w:t>股份有限公司</w:t>
            </w:r>
          </w:p>
        </w:tc>
        <w:tc>
          <w:tcPr>
            <w:tcW w:w="5103" w:type="dxa"/>
            <w:tcBorders>
              <w:top w:val="single" w:sz="4" w:space="0" w:color="000000"/>
              <w:left w:val="single" w:sz="4" w:space="0" w:color="000000"/>
              <w:bottom w:val="single" w:sz="4" w:space="0" w:color="000000"/>
              <w:right w:val="single" w:sz="4" w:space="0" w:color="000000"/>
            </w:tcBorders>
          </w:tcPr>
          <w:p w14:paraId="1D8C5BE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2CADEF8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客户服务电话：400-820-9898</w:t>
            </w:r>
          </w:p>
          <w:p w14:paraId="27CBD721"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网址：www.cnhbstock.com</w:t>
            </w:r>
          </w:p>
        </w:tc>
      </w:tr>
      <w:tr w:rsidR="0066529D" w14:paraId="57F8775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39333435" w14:textId="77777777" w:rsidR="0066529D" w:rsidRDefault="00A901FF">
            <w:pPr>
              <w:jc w:val="center"/>
              <w:rPr>
                <w:rFonts w:ascii="宋体" w:hAnsi="宋体" w:cs="Calibri" w:hint="eastAsia"/>
                <w:color w:val="000000"/>
                <w:szCs w:val="21"/>
              </w:rPr>
            </w:pPr>
            <w:r>
              <w:rPr>
                <w:rFonts w:ascii="宋体" w:hAnsi="宋体" w:cs="Calibri"/>
                <w:color w:val="000000"/>
                <w:szCs w:val="21"/>
              </w:rPr>
              <w:t>85</w:t>
            </w:r>
          </w:p>
        </w:tc>
        <w:tc>
          <w:tcPr>
            <w:tcW w:w="2693" w:type="dxa"/>
            <w:tcBorders>
              <w:top w:val="single" w:sz="4" w:space="0" w:color="000000"/>
              <w:left w:val="single" w:sz="4" w:space="0" w:color="000000"/>
              <w:bottom w:val="single" w:sz="4" w:space="0" w:color="000000"/>
              <w:right w:val="single" w:sz="4" w:space="0" w:color="000000"/>
            </w:tcBorders>
          </w:tcPr>
          <w:p w14:paraId="7C66AA72"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国金证券股份有限公司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9A5C56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3793197F"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客户服务电话：95310</w:t>
            </w:r>
          </w:p>
          <w:p w14:paraId="2145FA8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lastRenderedPageBreak/>
              <w:t>网址：www.gjzq.com.cn</w:t>
            </w:r>
          </w:p>
        </w:tc>
      </w:tr>
      <w:tr w:rsidR="0066529D" w14:paraId="01AADB15"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028D7A07" w14:textId="77777777" w:rsidR="0066529D" w:rsidRDefault="00A901FF">
            <w:pPr>
              <w:jc w:val="center"/>
              <w:rPr>
                <w:rFonts w:ascii="宋体" w:hAnsi="宋体" w:cs="Calibri" w:hint="eastAsia"/>
                <w:color w:val="000000"/>
                <w:szCs w:val="21"/>
              </w:rPr>
            </w:pPr>
            <w:r>
              <w:rPr>
                <w:rFonts w:ascii="宋体" w:hAnsi="宋体" w:cs="Calibri"/>
                <w:color w:val="000000"/>
                <w:szCs w:val="21"/>
              </w:rPr>
              <w:lastRenderedPageBreak/>
              <w:t>86</w:t>
            </w:r>
          </w:p>
        </w:tc>
        <w:tc>
          <w:tcPr>
            <w:tcW w:w="2693" w:type="dxa"/>
            <w:tcBorders>
              <w:top w:val="single" w:sz="4" w:space="0" w:color="000000"/>
              <w:left w:val="single" w:sz="4" w:space="0" w:color="000000"/>
              <w:bottom w:val="single" w:sz="4" w:space="0" w:color="000000"/>
              <w:right w:val="single" w:sz="4" w:space="0" w:color="000000"/>
            </w:tcBorders>
          </w:tcPr>
          <w:p w14:paraId="088F180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华西证券股份有限公司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7499112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注册地址：中国（四川）自由贸易试验区成都市高新区天府二街198号</w:t>
            </w:r>
          </w:p>
          <w:p w14:paraId="2F33920C"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客户服务电话：95584</w:t>
            </w:r>
          </w:p>
          <w:p w14:paraId="6876AA5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网址：www.hx168.com.cn</w:t>
            </w:r>
          </w:p>
        </w:tc>
      </w:tr>
      <w:tr w:rsidR="0066529D" w14:paraId="343D9E9F"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56B34872" w14:textId="77777777" w:rsidR="0066529D" w:rsidRDefault="00A901FF">
            <w:pPr>
              <w:jc w:val="center"/>
              <w:rPr>
                <w:rFonts w:ascii="宋体" w:hAnsi="宋体" w:cs="Calibri" w:hint="eastAsia"/>
                <w:color w:val="000000"/>
                <w:szCs w:val="21"/>
              </w:rPr>
            </w:pPr>
            <w:r>
              <w:rPr>
                <w:rFonts w:ascii="宋体" w:hAnsi="宋体" w:cs="Calibri"/>
                <w:color w:val="000000"/>
                <w:szCs w:val="21"/>
              </w:rPr>
              <w:t>87</w:t>
            </w:r>
          </w:p>
        </w:tc>
        <w:tc>
          <w:tcPr>
            <w:tcW w:w="2693" w:type="dxa"/>
            <w:tcBorders>
              <w:top w:val="single" w:sz="4" w:space="0" w:color="000000"/>
              <w:left w:val="single" w:sz="4" w:space="0" w:color="000000"/>
              <w:bottom w:val="single" w:sz="4" w:space="0" w:color="000000"/>
              <w:right w:val="single" w:sz="4" w:space="0" w:color="000000"/>
            </w:tcBorders>
          </w:tcPr>
          <w:p w14:paraId="36EF14C8"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山西证券股份有限公司</w:t>
            </w:r>
          </w:p>
        </w:tc>
        <w:tc>
          <w:tcPr>
            <w:tcW w:w="5103" w:type="dxa"/>
            <w:tcBorders>
              <w:top w:val="single" w:sz="4" w:space="0" w:color="000000"/>
              <w:left w:val="single" w:sz="4" w:space="0" w:color="000000"/>
              <w:bottom w:val="single" w:sz="4" w:space="0" w:color="000000"/>
              <w:right w:val="single" w:sz="4" w:space="0" w:color="000000"/>
            </w:tcBorders>
          </w:tcPr>
          <w:p w14:paraId="0CFD0E8E"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注册地址：山西省太原市杏花岭区府西街69号山西国际贸易中心东塔楼</w:t>
            </w:r>
          </w:p>
          <w:p w14:paraId="63242584"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客户服务电话：95573</w:t>
            </w:r>
          </w:p>
          <w:p w14:paraId="7CC0212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网址：www.sxzq.com</w:t>
            </w:r>
          </w:p>
        </w:tc>
      </w:tr>
      <w:tr w:rsidR="0066529D" w14:paraId="5BAEE131" w14:textId="77777777">
        <w:trPr>
          <w:trHeight w:val="20"/>
        </w:trPr>
        <w:tc>
          <w:tcPr>
            <w:tcW w:w="851" w:type="dxa"/>
            <w:tcBorders>
              <w:top w:val="single" w:sz="4" w:space="0" w:color="000000"/>
              <w:left w:val="single" w:sz="4" w:space="0" w:color="000000"/>
              <w:bottom w:val="single" w:sz="4" w:space="0" w:color="000000"/>
              <w:right w:val="single" w:sz="4" w:space="0" w:color="000000"/>
            </w:tcBorders>
          </w:tcPr>
          <w:p w14:paraId="47C7986B" w14:textId="77777777" w:rsidR="0066529D" w:rsidRDefault="00A901FF">
            <w:pPr>
              <w:jc w:val="center"/>
              <w:rPr>
                <w:rFonts w:ascii="宋体" w:hAnsi="宋体" w:cs="Calibri" w:hint="eastAsia"/>
                <w:color w:val="000000"/>
                <w:szCs w:val="21"/>
              </w:rPr>
            </w:pPr>
            <w:r>
              <w:rPr>
                <w:rFonts w:ascii="宋体" w:hAnsi="宋体" w:cs="Calibri"/>
                <w:color w:val="000000"/>
                <w:szCs w:val="21"/>
              </w:rPr>
              <w:t>88</w:t>
            </w:r>
          </w:p>
        </w:tc>
        <w:tc>
          <w:tcPr>
            <w:tcW w:w="2693" w:type="dxa"/>
            <w:tcBorders>
              <w:top w:val="single" w:sz="4" w:space="0" w:color="000000"/>
              <w:left w:val="single" w:sz="4" w:space="0" w:color="000000"/>
              <w:bottom w:val="single" w:sz="4" w:space="0" w:color="000000"/>
              <w:right w:val="single" w:sz="4" w:space="0" w:color="000000"/>
            </w:tcBorders>
          </w:tcPr>
          <w:p w14:paraId="4F2F1850"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兴业银行股份有限公司</w:t>
            </w:r>
          </w:p>
        </w:tc>
        <w:tc>
          <w:tcPr>
            <w:tcW w:w="5103" w:type="dxa"/>
            <w:tcBorders>
              <w:top w:val="single" w:sz="4" w:space="0" w:color="000000"/>
              <w:left w:val="single" w:sz="4" w:space="0" w:color="000000"/>
              <w:bottom w:val="single" w:sz="4" w:space="0" w:color="000000"/>
              <w:right w:val="single" w:sz="4" w:space="0" w:color="000000"/>
            </w:tcBorders>
          </w:tcPr>
          <w:p w14:paraId="5CC48DED"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注册地址：福建省福州市台江区江滨中大道398号兴业银行大厦</w:t>
            </w:r>
          </w:p>
          <w:p w14:paraId="7B85A745"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客户服务电话：95561</w:t>
            </w:r>
          </w:p>
          <w:p w14:paraId="516EEAAA" w14:textId="77777777" w:rsidR="0066529D" w:rsidRDefault="00A901FF">
            <w:pPr>
              <w:jc w:val="left"/>
              <w:rPr>
                <w:rFonts w:ascii="宋体" w:hAnsi="宋体" w:cs="Calibri" w:hint="eastAsia"/>
                <w:color w:val="000000"/>
                <w:szCs w:val="21"/>
              </w:rPr>
            </w:pPr>
            <w:r>
              <w:rPr>
                <w:rFonts w:ascii="宋体" w:hAnsi="宋体" w:cs="Calibri" w:hint="eastAsia"/>
                <w:color w:val="000000"/>
                <w:szCs w:val="21"/>
              </w:rPr>
              <w:t>网址：www.cib.com.cn</w:t>
            </w:r>
          </w:p>
        </w:tc>
      </w:tr>
    </w:tbl>
    <w:p w14:paraId="7E2B4DD7" w14:textId="77777777" w:rsidR="0066529D" w:rsidRDefault="0066529D">
      <w:pPr>
        <w:tabs>
          <w:tab w:val="left" w:pos="540"/>
        </w:tabs>
        <w:adjustRightInd w:val="0"/>
        <w:snapToGrid w:val="0"/>
        <w:spacing w:line="360" w:lineRule="auto"/>
        <w:ind w:firstLineChars="200" w:firstLine="482"/>
        <w:rPr>
          <w:rFonts w:asciiTheme="minorEastAsia" w:hAnsiTheme="minorEastAsia" w:cs="Arial" w:hint="eastAsia"/>
          <w:b/>
          <w:bCs/>
          <w:sz w:val="24"/>
          <w:szCs w:val="24"/>
        </w:rPr>
      </w:pPr>
    </w:p>
    <w:p w14:paraId="5E561F79" w14:textId="77777777" w:rsidR="0066529D" w:rsidRDefault="00A901FF">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2902543A" w14:textId="77777777" w:rsidR="0066529D" w:rsidRDefault="00A901F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名称：富荣基金管理有限公司</w:t>
      </w:r>
      <w:r>
        <w:rPr>
          <w:rFonts w:asciiTheme="minorEastAsia" w:hAnsiTheme="minorEastAsia" w:cs="Arial"/>
          <w:color w:val="000000"/>
          <w:kern w:val="0"/>
          <w:sz w:val="24"/>
          <w:szCs w:val="24"/>
        </w:rPr>
        <w:t xml:space="preserve"> </w:t>
      </w:r>
    </w:p>
    <w:p w14:paraId="596604CB" w14:textId="77777777" w:rsidR="0066529D" w:rsidRDefault="00A901F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r>
        <w:rPr>
          <w:rFonts w:asciiTheme="minorEastAsia" w:hAnsiTheme="minorEastAsia" w:cs="Arial"/>
          <w:color w:val="000000"/>
          <w:kern w:val="0"/>
          <w:sz w:val="24"/>
          <w:szCs w:val="24"/>
        </w:rPr>
        <w:t xml:space="preserve"> </w:t>
      </w:r>
    </w:p>
    <w:p w14:paraId="39D2C3C7" w14:textId="77777777" w:rsidR="0066529D" w:rsidRDefault="00A901F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办公地址：广东省深圳市福田区八卦四路</w:t>
      </w:r>
      <w:r>
        <w:rPr>
          <w:rFonts w:asciiTheme="minorEastAsia" w:hAnsiTheme="minorEastAsia" w:cs="Arial"/>
          <w:color w:val="000000"/>
          <w:kern w:val="0"/>
          <w:sz w:val="24"/>
          <w:szCs w:val="24"/>
        </w:rPr>
        <w:t>52号安吉</w:t>
      </w:r>
      <w:r>
        <w:rPr>
          <w:rFonts w:asciiTheme="minorEastAsia" w:hAnsiTheme="minorEastAsia" w:cs="Arial" w:hint="eastAsia"/>
          <w:color w:val="000000"/>
          <w:kern w:val="0"/>
          <w:sz w:val="24"/>
          <w:szCs w:val="24"/>
        </w:rPr>
        <w:t>尔大厦</w:t>
      </w:r>
      <w:r>
        <w:rPr>
          <w:rFonts w:asciiTheme="minorEastAsia" w:hAnsiTheme="minorEastAsia" w:cs="Arial"/>
          <w:color w:val="000000"/>
          <w:kern w:val="0"/>
          <w:sz w:val="24"/>
          <w:szCs w:val="24"/>
        </w:rPr>
        <w:t xml:space="preserve">24层 </w:t>
      </w:r>
    </w:p>
    <w:p w14:paraId="65AD6F93" w14:textId="77777777" w:rsidR="0066529D" w:rsidRDefault="00A901F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r>
        <w:rPr>
          <w:rFonts w:asciiTheme="minorEastAsia" w:hAnsiTheme="minorEastAsia" w:cs="Arial"/>
          <w:color w:val="000000"/>
          <w:kern w:val="0"/>
          <w:sz w:val="24"/>
          <w:szCs w:val="24"/>
        </w:rPr>
        <w:t xml:space="preserve"> </w:t>
      </w:r>
    </w:p>
    <w:p w14:paraId="499E42C7" w14:textId="77777777" w:rsidR="0066529D" w:rsidRDefault="00A901F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5774A71B" w14:textId="77777777" w:rsidR="0066529D" w:rsidRDefault="00A901FF">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w:t>
      </w:r>
      <w:r>
        <w:rPr>
          <w:rFonts w:asciiTheme="minorEastAsia" w:hAnsiTheme="minorEastAsia" w:cs="Arial"/>
          <w:color w:val="000000"/>
          <w:kern w:val="0"/>
          <w:sz w:val="24"/>
          <w:szCs w:val="24"/>
        </w:rPr>
        <w:t xml:space="preserve"> 0755-84356604</w:t>
      </w:r>
    </w:p>
    <w:p w14:paraId="313B9658" w14:textId="77777777" w:rsidR="0066529D" w:rsidRDefault="00A901FF">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w:t>
      </w:r>
      <w:r>
        <w:rPr>
          <w:rFonts w:asciiTheme="minorEastAsia" w:hAnsiTheme="minorEastAsia" w:cs="Arial"/>
          <w:color w:val="000000"/>
          <w:kern w:val="0"/>
          <w:sz w:val="24"/>
          <w:szCs w:val="24"/>
        </w:rPr>
        <w:t xml:space="preserve"> 0755-83230787</w:t>
      </w:r>
    </w:p>
    <w:p w14:paraId="56037826" w14:textId="77777777" w:rsidR="0066529D" w:rsidRDefault="00A901FF">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E251CE6" w14:textId="77777777" w:rsidR="0066529D" w:rsidRDefault="00A901F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50D28E40" w14:textId="77777777" w:rsidR="0066529D" w:rsidRDefault="00A901F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w:t>
      </w:r>
      <w:r>
        <w:rPr>
          <w:rFonts w:asciiTheme="minorEastAsia" w:hAnsiTheme="minorEastAsia" w:cs="Arial"/>
          <w:kern w:val="0"/>
          <w:sz w:val="24"/>
          <w:szCs w:val="24"/>
        </w:rPr>
        <w:t>68号时代金融中心19楼</w:t>
      </w:r>
    </w:p>
    <w:p w14:paraId="38A82044" w14:textId="77777777" w:rsidR="0066529D" w:rsidRDefault="00A901F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w:t>
      </w:r>
      <w:r>
        <w:rPr>
          <w:rFonts w:asciiTheme="minorEastAsia" w:hAnsiTheme="minorEastAsia" w:cs="Arial"/>
          <w:kern w:val="0"/>
          <w:sz w:val="24"/>
          <w:szCs w:val="24"/>
        </w:rPr>
        <w:t>68号时代金融中心19楼</w:t>
      </w:r>
    </w:p>
    <w:p w14:paraId="24EAA393" w14:textId="77777777" w:rsidR="0066529D" w:rsidRDefault="00A901F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58921432" w14:textId="77777777" w:rsidR="0066529D" w:rsidRDefault="00A901F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021-31358666</w:t>
      </w:r>
    </w:p>
    <w:p w14:paraId="771D9B2D" w14:textId="77777777" w:rsidR="0066529D" w:rsidRDefault="00A901F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021-31358600</w:t>
      </w:r>
    </w:p>
    <w:p w14:paraId="45D70575" w14:textId="77777777" w:rsidR="0066529D" w:rsidRDefault="00A901FF">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经办律师：陆奇、安冬</w:t>
      </w:r>
    </w:p>
    <w:p w14:paraId="64F939EF"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陆奇</w:t>
      </w:r>
    </w:p>
    <w:p w14:paraId="48307D42" w14:textId="77777777" w:rsidR="0066529D" w:rsidRDefault="00A901FF">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07423B5A"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12EB8E2A"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w:t>
      </w:r>
      <w:r>
        <w:rPr>
          <w:rFonts w:asciiTheme="minorEastAsia" w:hAnsiTheme="minorEastAsia" w:cs="Arial"/>
          <w:kern w:val="0"/>
          <w:sz w:val="24"/>
          <w:szCs w:val="24"/>
        </w:rPr>
        <w:t>1号东方广场安永大楼16层</w:t>
      </w:r>
    </w:p>
    <w:p w14:paraId="71B9AA03"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办公地址：中国北京市东城区东长安街</w:t>
      </w:r>
      <w:r>
        <w:rPr>
          <w:rFonts w:asciiTheme="minorEastAsia" w:hAnsiTheme="minorEastAsia" w:cs="Arial"/>
          <w:kern w:val="0"/>
          <w:sz w:val="24"/>
          <w:szCs w:val="24"/>
        </w:rPr>
        <w:t>1号东方广场安永大楼16层</w:t>
      </w:r>
    </w:p>
    <w:p w14:paraId="7ABC1D3D"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1DBA9995"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w:t>
      </w:r>
      <w:r>
        <w:rPr>
          <w:rFonts w:asciiTheme="minorEastAsia" w:hAnsiTheme="minorEastAsia" w:cs="Arial"/>
          <w:kern w:val="0"/>
          <w:sz w:val="24"/>
          <w:szCs w:val="24"/>
        </w:rPr>
        <w:t xml:space="preserve"> +86 10 58153000</w:t>
      </w:r>
    </w:p>
    <w:p w14:paraId="1AA2BCAD"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w:t>
      </w:r>
      <w:r>
        <w:rPr>
          <w:rFonts w:asciiTheme="minorEastAsia" w:hAnsiTheme="minorEastAsia" w:cs="Arial"/>
          <w:kern w:val="0"/>
          <w:sz w:val="24"/>
          <w:szCs w:val="24"/>
        </w:rPr>
        <w:t xml:space="preserve"> +86 10 85188298</w:t>
      </w:r>
    </w:p>
    <w:p w14:paraId="702D00A0"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、高鹤</w:t>
      </w:r>
    </w:p>
    <w:p w14:paraId="097DFAC8"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w:t>
      </w:r>
      <w:r>
        <w:rPr>
          <w:rFonts w:asciiTheme="minorEastAsia" w:hAnsiTheme="minorEastAsia" w:cs="Arial"/>
          <w:kern w:val="0"/>
          <w:sz w:val="24"/>
          <w:szCs w:val="24"/>
        </w:rPr>
        <w:t xml:space="preserve">: </w:t>
      </w:r>
      <w:r>
        <w:rPr>
          <w:rFonts w:asciiTheme="minorEastAsia" w:hAnsiTheme="minorEastAsia" w:cs="Arial" w:hint="eastAsia"/>
          <w:kern w:val="0"/>
          <w:sz w:val="24"/>
          <w:szCs w:val="24"/>
        </w:rPr>
        <w:t>吴翠蓉</w:t>
      </w:r>
    </w:p>
    <w:p w14:paraId="408051E6" w14:textId="77777777" w:rsidR="0066529D" w:rsidRDefault="0066529D">
      <w:pPr>
        <w:keepNext/>
        <w:keepLines/>
        <w:autoSpaceDE w:val="0"/>
        <w:autoSpaceDN w:val="0"/>
        <w:adjustRightInd w:val="0"/>
        <w:snapToGrid w:val="0"/>
        <w:spacing w:line="360" w:lineRule="auto"/>
        <w:ind w:firstLineChars="150" w:firstLine="422"/>
        <w:jc w:val="center"/>
        <w:textAlignment w:val="baseline"/>
        <w:outlineLvl w:val="0"/>
        <w:rPr>
          <w:rFonts w:asciiTheme="minorEastAsia" w:hAnsiTheme="minorEastAsia" w:cs="Arial" w:hint="eastAsia"/>
          <w:b/>
          <w:bCs/>
          <w:kern w:val="0"/>
          <w:sz w:val="28"/>
          <w:szCs w:val="28"/>
        </w:rPr>
        <w:sectPr w:rsidR="0066529D">
          <w:footerReference w:type="default" r:id="rId27"/>
          <w:pgSz w:w="11906" w:h="16838"/>
          <w:pgMar w:top="1440" w:right="1800" w:bottom="1440" w:left="1800" w:header="851" w:footer="992" w:gutter="0"/>
          <w:pgNumType w:chapStyle="1"/>
          <w:cols w:space="720"/>
          <w:docGrid w:type="lines" w:linePitch="312"/>
        </w:sectPr>
      </w:pPr>
      <w:bookmarkStart w:id="118" w:name="_Toc416264542"/>
      <w:bookmarkStart w:id="119" w:name="_Toc263092314"/>
      <w:bookmarkStart w:id="120" w:name="_Toc3601"/>
      <w:bookmarkStart w:id="121" w:name="_Toc29251"/>
      <w:bookmarkStart w:id="122" w:name="_Toc12245"/>
      <w:bookmarkStart w:id="123" w:name="_Toc26207"/>
      <w:bookmarkStart w:id="124" w:name="_Toc31653"/>
      <w:bookmarkStart w:id="125" w:name="_Toc16859"/>
      <w:bookmarkStart w:id="126" w:name="_Toc6405"/>
      <w:bookmarkStart w:id="127" w:name="_Toc141703887"/>
      <w:bookmarkStart w:id="128" w:name="_Toc352229753"/>
      <w:bookmarkStart w:id="129" w:name="_Toc14835"/>
      <w:bookmarkStart w:id="130" w:name="_Toc31235"/>
      <w:bookmarkStart w:id="131" w:name="_Toc123051453"/>
      <w:bookmarkStart w:id="132" w:name="_Toc123102454"/>
      <w:bookmarkStart w:id="133" w:name="_Toc139991737"/>
      <w:bookmarkStart w:id="134" w:name="_Toc15143"/>
      <w:bookmarkStart w:id="135" w:name="_Toc98560353"/>
      <w:bookmarkStart w:id="136" w:name="_Toc31644"/>
      <w:bookmarkStart w:id="137" w:name="_Toc123112235"/>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49E3780B" w14:textId="77777777" w:rsidR="0066529D" w:rsidRDefault="00A901FF">
      <w:pPr>
        <w:pStyle w:val="1"/>
        <w:jc w:val="center"/>
        <w:rPr>
          <w:rFonts w:asciiTheme="minorEastAsia" w:eastAsiaTheme="minorEastAsia" w:hAnsiTheme="minorEastAsia" w:hint="eastAsia"/>
          <w:sz w:val="30"/>
          <w:szCs w:val="30"/>
        </w:rPr>
      </w:pPr>
      <w:bookmarkStart w:id="138" w:name="_Toc146096082"/>
      <w:r>
        <w:rPr>
          <w:rFonts w:asciiTheme="minorEastAsia" w:eastAsiaTheme="minorEastAsia" w:hAnsiTheme="minorEastAsia" w:hint="eastAsia"/>
          <w:sz w:val="30"/>
          <w:szCs w:val="30"/>
        </w:rPr>
        <w:lastRenderedPageBreak/>
        <w:t>第六部分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基金的募集</w:t>
      </w:r>
      <w:bookmarkEnd w:id="118"/>
      <w:bookmarkEnd w:id="119"/>
      <w:bookmarkEnd w:id="138"/>
    </w:p>
    <w:p w14:paraId="36810A59" w14:textId="77777777" w:rsidR="0066529D" w:rsidRDefault="00A901FF">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w:t>
      </w:r>
      <w:r>
        <w:rPr>
          <w:rFonts w:asciiTheme="minorEastAsia" w:hAnsiTheme="minorEastAsia" w:cs="Arial"/>
          <w:sz w:val="24"/>
          <w:szCs w:val="24"/>
        </w:rPr>
        <w:t>2017</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日经中国证监会证监许可</w:t>
      </w:r>
      <w:r>
        <w:rPr>
          <w:rFonts w:asciiTheme="minorEastAsia" w:hAnsiTheme="minorEastAsia" w:cs="Arial"/>
          <w:sz w:val="24"/>
          <w:szCs w:val="24"/>
        </w:rPr>
        <w:t>[2017]867</w:t>
      </w:r>
      <w:r>
        <w:rPr>
          <w:rFonts w:asciiTheme="minorEastAsia" w:hAnsiTheme="minorEastAsia" w:cs="Arial" w:hint="eastAsia"/>
          <w:sz w:val="24"/>
          <w:szCs w:val="24"/>
        </w:rPr>
        <w:t>号文准予注册募集。本基金于</w:t>
      </w:r>
      <w:r>
        <w:rPr>
          <w:rFonts w:asciiTheme="minorEastAsia" w:hAnsiTheme="minorEastAsia" w:cs="Arial"/>
          <w:sz w:val="24"/>
          <w:szCs w:val="24"/>
        </w:rPr>
        <w:t>2017年12月7日起通过各销售机构向社会公开募集，截至2018年2月7</w:t>
      </w:r>
      <w:r>
        <w:rPr>
          <w:rFonts w:asciiTheme="minorEastAsia" w:hAnsiTheme="minorEastAsia" w:cs="Arial" w:hint="eastAsia"/>
          <w:sz w:val="24"/>
          <w:szCs w:val="24"/>
        </w:rPr>
        <w:t>日，基金募集工作已顺利结束。</w:t>
      </w:r>
    </w:p>
    <w:p w14:paraId="0F76D5B2" w14:textId="77777777" w:rsidR="0066529D" w:rsidRDefault="0066529D">
      <w:pPr>
        <w:autoSpaceDE w:val="0"/>
        <w:autoSpaceDN w:val="0"/>
        <w:adjustRightInd w:val="0"/>
        <w:snapToGrid w:val="0"/>
        <w:spacing w:line="360" w:lineRule="auto"/>
        <w:ind w:firstLineChars="200" w:firstLine="480"/>
        <w:rPr>
          <w:rFonts w:asciiTheme="minorEastAsia" w:hAnsiTheme="minorEastAsia" w:cs="Arial" w:hint="eastAsia"/>
          <w:sz w:val="24"/>
          <w:szCs w:val="24"/>
        </w:rPr>
      </w:pPr>
    </w:p>
    <w:p w14:paraId="149CF790" w14:textId="77777777" w:rsidR="0066529D" w:rsidRDefault="0066529D">
      <w:pPr>
        <w:keepNext/>
        <w:keepLines/>
        <w:spacing w:line="360" w:lineRule="auto"/>
        <w:jc w:val="center"/>
        <w:outlineLvl w:val="0"/>
        <w:rPr>
          <w:rFonts w:asciiTheme="minorEastAsia" w:hAnsiTheme="minorEastAsia" w:cs="Times New Roman" w:hint="eastAsia"/>
          <w:b/>
          <w:kern w:val="0"/>
          <w:sz w:val="30"/>
          <w:szCs w:val="30"/>
        </w:rPr>
        <w:sectPr w:rsidR="0066529D">
          <w:footerReference w:type="default" r:id="rId28"/>
          <w:pgSz w:w="11906" w:h="16838"/>
          <w:pgMar w:top="1440" w:right="1800" w:bottom="1440" w:left="1800" w:header="851" w:footer="992" w:gutter="0"/>
          <w:pgNumType w:chapStyle="1"/>
          <w:cols w:space="720"/>
          <w:docGrid w:type="lines" w:linePitch="312"/>
        </w:sectPr>
      </w:pPr>
      <w:bookmarkStart w:id="139" w:name="_Toc263092315"/>
      <w:bookmarkStart w:id="140" w:name="_Toc214873596"/>
      <w:bookmarkStart w:id="141" w:name="_Toc416264543"/>
      <w:bookmarkStart w:id="142" w:name="_Toc10650"/>
      <w:bookmarkStart w:id="143" w:name="_Toc11030"/>
      <w:bookmarkStart w:id="144" w:name="_Toc123102455"/>
      <w:bookmarkStart w:id="145" w:name="_Toc123112236"/>
      <w:bookmarkStart w:id="146" w:name="_Toc3771"/>
      <w:bookmarkStart w:id="147" w:name="_Toc98560354"/>
      <w:bookmarkStart w:id="148" w:name="_Toc18567"/>
      <w:bookmarkStart w:id="149" w:name="_Toc7058"/>
      <w:bookmarkStart w:id="150" w:name="_Toc3321"/>
      <w:bookmarkStart w:id="151" w:name="_Toc20768"/>
      <w:bookmarkStart w:id="152" w:name="_Toc9706"/>
      <w:bookmarkStart w:id="153" w:name="_Toc139991738"/>
      <w:bookmarkStart w:id="154" w:name="_Toc25783"/>
      <w:bookmarkStart w:id="155" w:name="_Toc123051454"/>
      <w:bookmarkStart w:id="156" w:name="_Toc4559"/>
      <w:bookmarkStart w:id="157" w:name="_Toc79392583"/>
      <w:bookmarkStart w:id="158" w:name="_Toc352229754"/>
      <w:bookmarkStart w:id="159" w:name="_Toc141703888"/>
      <w:bookmarkStart w:id="160" w:name="_Toc6447"/>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14:paraId="1D0B7E49" w14:textId="77777777" w:rsidR="0066529D" w:rsidRDefault="00A901FF">
      <w:pPr>
        <w:pStyle w:val="1"/>
        <w:jc w:val="center"/>
        <w:rPr>
          <w:rFonts w:asciiTheme="minorEastAsia" w:eastAsiaTheme="minorEastAsia" w:hAnsiTheme="minorEastAsia" w:hint="eastAsia"/>
          <w:sz w:val="30"/>
          <w:szCs w:val="30"/>
        </w:rPr>
      </w:pPr>
      <w:bookmarkStart w:id="161" w:name="_Toc146096083"/>
      <w:r>
        <w:rPr>
          <w:rFonts w:asciiTheme="minorEastAsia" w:eastAsiaTheme="minorEastAsia" w:hAnsiTheme="minorEastAsia" w:hint="eastAsia"/>
          <w:sz w:val="30"/>
          <w:szCs w:val="30"/>
        </w:rPr>
        <w:lastRenderedPageBreak/>
        <w:t>第七部分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w:t>
      </w:r>
      <w:bookmarkEnd w:id="139"/>
      <w:bookmarkEnd w:id="140"/>
      <w:r>
        <w:rPr>
          <w:rFonts w:asciiTheme="minorEastAsia" w:eastAsiaTheme="minorEastAsia" w:hAnsiTheme="minorEastAsia" w:hint="eastAsia"/>
          <w:sz w:val="30"/>
          <w:szCs w:val="30"/>
        </w:rPr>
        <w:t>合同的生效</w:t>
      </w:r>
      <w:bookmarkEnd w:id="141"/>
      <w:bookmarkEnd w:id="161"/>
    </w:p>
    <w:p w14:paraId="5CF86FFD"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2018年2月11</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41ED22F6"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法律法规另有规定时，从其规定。</w:t>
      </w:r>
    </w:p>
    <w:p w14:paraId="79A3ECCA" w14:textId="77777777" w:rsidR="0066529D" w:rsidRDefault="00A901FF">
      <w:pPr>
        <w:snapToGrid w:val="0"/>
        <w:spacing w:line="360" w:lineRule="auto"/>
        <w:ind w:firstLineChars="200" w:firstLine="480"/>
        <w:rPr>
          <w:rFonts w:asciiTheme="minorEastAsia" w:hAnsiTheme="minorEastAsia" w:cs="Times New Roman" w:hint="eastAsia"/>
          <w:szCs w:val="20"/>
        </w:rPr>
        <w:sectPr w:rsidR="0066529D">
          <w:footerReference w:type="default" r:id="rId29"/>
          <w:pgSz w:w="11906" w:h="16838"/>
          <w:pgMar w:top="1440" w:right="1800" w:bottom="1440" w:left="1800" w:header="851" w:footer="992" w:gutter="0"/>
          <w:pgNumType w:chapStyle="1"/>
          <w:cols w:space="720"/>
          <w:docGrid w:type="lines" w:linePitch="312"/>
        </w:sectPr>
      </w:pPr>
      <w:r>
        <w:rPr>
          <w:rFonts w:asciiTheme="minorEastAsia" w:hAnsiTheme="minorEastAsia" w:cs="Times New Roman"/>
          <w:sz w:val="24"/>
          <w:szCs w:val="24"/>
        </w:rPr>
        <w:t xml:space="preserve"> </w:t>
      </w:r>
      <w:bookmarkStart w:id="162" w:name="_Toc263092316"/>
      <w:bookmarkStart w:id="163" w:name="_Toc214873597"/>
      <w:bookmarkStart w:id="164" w:name="_Toc416264544"/>
      <w:bookmarkStart w:id="165" w:name="_Toc12357171"/>
      <w:bookmarkStart w:id="166" w:name="_Toc21073391"/>
      <w:bookmarkStart w:id="167" w:name="_Toc147463118"/>
      <w:bookmarkStart w:id="168" w:name="_Toc123051455"/>
      <w:bookmarkStart w:id="169" w:name="_Toc3963"/>
      <w:bookmarkStart w:id="170" w:name="_Toc18206"/>
      <w:bookmarkStart w:id="171" w:name="_Toc31821"/>
      <w:bookmarkStart w:id="172" w:name="_Toc16164"/>
      <w:bookmarkStart w:id="173" w:name="_Toc725"/>
      <w:bookmarkStart w:id="174" w:name="_Toc123102456"/>
      <w:bookmarkStart w:id="175" w:name="_Toc98560355"/>
      <w:bookmarkStart w:id="176" w:name="_Toc123112237"/>
      <w:bookmarkStart w:id="177" w:name="_Toc141703889"/>
      <w:bookmarkStart w:id="178" w:name="_Toc3080"/>
      <w:bookmarkStart w:id="179" w:name="_Toc18769"/>
      <w:bookmarkStart w:id="180" w:name="_Toc10398"/>
      <w:bookmarkStart w:id="181" w:name="_Toc3572"/>
      <w:bookmarkStart w:id="182" w:name="_Toc21735"/>
      <w:bookmarkStart w:id="183" w:name="_Toc139991739"/>
      <w:bookmarkStart w:id="184" w:name="_Toc1745"/>
      <w:bookmarkStart w:id="185" w:name="_Toc352229755"/>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p>
    <w:p w14:paraId="12DC95CE" w14:textId="77777777" w:rsidR="0066529D" w:rsidRDefault="00A901FF">
      <w:pPr>
        <w:pStyle w:val="1"/>
        <w:jc w:val="center"/>
        <w:rPr>
          <w:rFonts w:asciiTheme="minorEastAsia" w:eastAsiaTheme="minorEastAsia" w:hAnsiTheme="minorEastAsia" w:cs="Arial" w:hint="eastAsia"/>
          <w:bCs/>
          <w:sz w:val="30"/>
          <w:szCs w:val="30"/>
        </w:rPr>
      </w:pPr>
      <w:bookmarkStart w:id="186" w:name="_Toc146096084"/>
      <w:r>
        <w:rPr>
          <w:rFonts w:asciiTheme="minorEastAsia" w:eastAsiaTheme="minorEastAsia" w:hAnsiTheme="minorEastAsia" w:hint="eastAsia"/>
          <w:sz w:val="30"/>
          <w:szCs w:val="30"/>
        </w:rPr>
        <w:lastRenderedPageBreak/>
        <w:t>第八部分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基金份额的申购与赎回</w:t>
      </w:r>
      <w:bookmarkEnd w:id="162"/>
      <w:bookmarkEnd w:id="163"/>
      <w:bookmarkEnd w:id="164"/>
      <w:bookmarkEnd w:id="165"/>
      <w:bookmarkEnd w:id="166"/>
      <w:bookmarkEnd w:id="167"/>
      <w:bookmarkEnd w:id="186"/>
    </w:p>
    <w:p w14:paraId="336BBE67" w14:textId="77777777" w:rsidR="0066529D" w:rsidRDefault="00A901FF">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47744298" w14:textId="77777777" w:rsidR="0066529D" w:rsidRDefault="00A901F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并在管理人网站公示。基金投资者应当在销售机构办理基金销售业务的营业场所或按销售机构提供的其他方式办理基金份额的申购与赎回。</w:t>
      </w:r>
    </w:p>
    <w:p w14:paraId="522B9E81" w14:textId="77777777" w:rsidR="0066529D" w:rsidRDefault="00A901FF">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6E6C9A2B" w14:textId="77777777" w:rsidR="0066529D" w:rsidRDefault="00A901F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5763659F"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7" w:name="_Toc510842719"/>
      <w:r>
        <w:rPr>
          <w:rFonts w:asciiTheme="minorEastAsia" w:hAnsiTheme="minorEastAsia" w:cs="Arial"/>
          <w:sz w:val="24"/>
          <w:szCs w:val="24"/>
        </w:rPr>
        <w:t>1、开放日及开放时间</w:t>
      </w:r>
    </w:p>
    <w:p w14:paraId="1B3E644C"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39A81CA"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w:t>
      </w:r>
      <w:r>
        <w:rPr>
          <w:rFonts w:asciiTheme="minorEastAsia" w:hAnsiTheme="minorEastAsia" w:cs="Arial"/>
          <w:sz w:val="24"/>
          <w:szCs w:val="24"/>
        </w:rPr>
        <w:t>/期货交易市场、证券/期货交易所交易时间变更或其他特殊情况，基金管理人将视情况对前述开放日及开放时间进行相应的调整，但应在实施日前依照《信息披露办法》的有关规定在指定媒介上公告。</w:t>
      </w:r>
    </w:p>
    <w:p w14:paraId="1971F57B"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2、申购、赎回开始日及业务办理时间</w:t>
      </w:r>
    </w:p>
    <w:p w14:paraId="43E33405"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2018年3月5日开始办理申购、赎回业务。</w:t>
      </w:r>
    </w:p>
    <w:p w14:paraId="7E4F7077"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7"/>
    <w:p w14:paraId="489A7E77" w14:textId="77777777" w:rsidR="0066529D" w:rsidRDefault="00A901FF">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69F2712C"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14EC8BF0"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51C13FB1"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7DB54A68"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2EF46135"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5、投资者办理申购、赎回等业务时应提交的文件和办理手续、办理时间、处理规则等在遵守基金合同和招募说明书规定的前提下，以各销售机构的具体规定为准。</w:t>
      </w:r>
    </w:p>
    <w:p w14:paraId="7041F79B"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2DC4EED8" w14:textId="77777777" w:rsidR="0066529D" w:rsidRDefault="00A901F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770B9FEB"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402F734"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0D2510B"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2F7BF3F4"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414AB321"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69C6CA82"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0A53CF0C"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C3AAF77"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26A333D"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3F3C57D1" w14:textId="77777777" w:rsidR="0066529D" w:rsidRDefault="00A901FF">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0901D0A9"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1、投资人申购 A </w:t>
      </w:r>
      <w:r>
        <w:rPr>
          <w:rFonts w:asciiTheme="minorEastAsia" w:hAnsiTheme="minorEastAsia" w:cs="Arial" w:hint="eastAsia"/>
          <w:sz w:val="24"/>
          <w:szCs w:val="24"/>
        </w:rPr>
        <w:t>类基金份额，首次最低申购金额为人民币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 xml:space="preserve"> 1.00 </w:t>
      </w:r>
      <w:r>
        <w:rPr>
          <w:rFonts w:asciiTheme="minorEastAsia" w:hAnsiTheme="minorEastAsia" w:cs="Arial" w:hint="eastAsia"/>
          <w:sz w:val="24"/>
          <w:szCs w:val="24"/>
        </w:rPr>
        <w:t>元。投资人申购</w:t>
      </w:r>
      <w:r>
        <w:rPr>
          <w:rFonts w:asciiTheme="minorEastAsia" w:hAnsiTheme="minorEastAsia" w:cs="Arial"/>
          <w:sz w:val="24"/>
          <w:szCs w:val="24"/>
        </w:rPr>
        <w:t xml:space="preserve"> C </w:t>
      </w:r>
      <w:r>
        <w:rPr>
          <w:rFonts w:asciiTheme="minorEastAsia" w:hAnsiTheme="minorEastAsia" w:cs="Arial" w:hint="eastAsia"/>
          <w:sz w:val="24"/>
          <w:szCs w:val="24"/>
        </w:rPr>
        <w:t>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1.00</w:t>
      </w:r>
      <w:r>
        <w:rPr>
          <w:rFonts w:asciiTheme="minorEastAsia" w:hAnsiTheme="minorEastAsia" w:cs="Arial" w:hint="eastAsia"/>
          <w:sz w:val="24"/>
          <w:szCs w:val="24"/>
        </w:rPr>
        <w:t>元，追加申购单笔最低金额为人民币</w:t>
      </w:r>
      <w:r>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25AEA4CF"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2、基金份额持有人在销售机构赎回时，每个交易账户最低持有某一类别基金份额余额为 1 </w:t>
      </w:r>
      <w:r>
        <w:rPr>
          <w:rFonts w:asciiTheme="minorEastAsia" w:hAnsiTheme="minorEastAsia" w:cs="Arial" w:hint="eastAsia"/>
          <w:sz w:val="24"/>
          <w:szCs w:val="24"/>
        </w:rPr>
        <w:t>份，若某笔赎回导致单个交易账户的某一类别基金份额余额少于</w:t>
      </w:r>
      <w:r>
        <w:rPr>
          <w:rFonts w:asciiTheme="minorEastAsia" w:hAnsiTheme="minorEastAsia" w:cs="Arial"/>
          <w:sz w:val="24"/>
          <w:szCs w:val="24"/>
        </w:rPr>
        <w:t xml:space="preserve"> 1 </w:t>
      </w:r>
      <w:r>
        <w:rPr>
          <w:rFonts w:asciiTheme="minorEastAsia" w:hAnsiTheme="minorEastAsia" w:cs="Arial" w:hint="eastAsia"/>
          <w:sz w:val="24"/>
          <w:szCs w:val="24"/>
        </w:rPr>
        <w:t>份时，该类份额余额部分基金份额必须一同赎回。</w:t>
      </w:r>
    </w:p>
    <w:p w14:paraId="37F562A1"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3、基金管理人可以规定单个投资者累计持有的某一类别基金份额数量限制，具体规定见定期更新的招募说明书或相关公告。</w:t>
      </w:r>
    </w:p>
    <w:p w14:paraId="5BD594A0"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4</w:t>
      </w:r>
      <w:r>
        <w:rPr>
          <w:rFonts w:asciiTheme="minorEastAsia" w:hAnsiTheme="minorEastAsia"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2BB3ABAC"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5</w:t>
      </w:r>
      <w:r>
        <w:rPr>
          <w:rFonts w:asciiTheme="minorEastAsia" w:hAnsiTheme="minorEastAsia" w:hint="eastAsia"/>
          <w:bCs/>
          <w:sz w:val="24"/>
          <w:szCs w:val="24"/>
        </w:rPr>
        <w:t>、基金管理人可在法律法规允许的情况下，调整上述规定申购金额和赎回份额等数量限制。基金管理人必须在调整实施前依照《信息披露办法》的有关规定在指定媒介上公告并报中国证监会备案。</w:t>
      </w:r>
    </w:p>
    <w:p w14:paraId="26CDAE64" w14:textId="77777777" w:rsidR="0066529D" w:rsidRDefault="00A901FF">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3BA8020D"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376390C1" w14:textId="77777777" w:rsidR="0066529D" w:rsidRDefault="00A901FF">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01B50266" w14:textId="77777777" w:rsidR="0066529D" w:rsidRDefault="0066529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486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4313"/>
      </w:tblGrid>
      <w:tr w:rsidR="0066529D" w14:paraId="1579F7FE" w14:textId="77777777">
        <w:trPr>
          <w:trHeight w:val="187"/>
          <w:jc w:val="center"/>
        </w:trPr>
        <w:tc>
          <w:tcPr>
            <w:tcW w:w="5000" w:type="pct"/>
            <w:gridSpan w:val="2"/>
            <w:tcBorders>
              <w:top w:val="single" w:sz="4" w:space="0" w:color="auto"/>
              <w:left w:val="single" w:sz="4" w:space="0" w:color="auto"/>
              <w:bottom w:val="single" w:sz="4" w:space="0" w:color="auto"/>
              <w:right w:val="single" w:sz="4" w:space="0" w:color="auto"/>
            </w:tcBorders>
          </w:tcPr>
          <w:p w14:paraId="1829C512" w14:textId="77777777" w:rsidR="0066529D" w:rsidRDefault="00A901FF">
            <w:pPr>
              <w:widowControl/>
              <w:spacing w:line="264" w:lineRule="auto"/>
              <w:jc w:val="center"/>
              <w:rPr>
                <w:rFonts w:asciiTheme="minorEastAsia" w:hAnsiTheme="minorEastAsia" w:cs="Arial" w:hint="eastAsia"/>
                <w:bCs/>
                <w:kern w:val="0"/>
                <w:szCs w:val="24"/>
              </w:rPr>
            </w:pPr>
            <w:r>
              <w:rPr>
                <w:rFonts w:asciiTheme="minorEastAsia" w:hAnsiTheme="minorEastAsia" w:cs="Arial"/>
                <w:b/>
                <w:bCs/>
                <w:kern w:val="0"/>
                <w:szCs w:val="24"/>
              </w:rPr>
              <w:t>A类基金份额</w:t>
            </w:r>
          </w:p>
        </w:tc>
      </w:tr>
      <w:tr w:rsidR="0066529D" w14:paraId="3C273DC0"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32B9B73" w14:textId="77777777" w:rsidR="0066529D" w:rsidRDefault="00A901FF">
            <w:pPr>
              <w:widowControl/>
              <w:spacing w:line="336" w:lineRule="auto"/>
              <w:jc w:val="center"/>
              <w:rPr>
                <w:rFonts w:asciiTheme="minorEastAsia" w:hAnsiTheme="minorEastAsia" w:cs="Arial" w:hint="eastAsia"/>
                <w:bCs/>
                <w:kern w:val="0"/>
                <w:szCs w:val="24"/>
              </w:rPr>
            </w:pPr>
            <w:r>
              <w:rPr>
                <w:rFonts w:asciiTheme="minorEastAsia" w:hAnsiTheme="minorEastAsia" w:cs="Arial" w:hint="eastAsia"/>
                <w:bCs/>
                <w:kern w:val="0"/>
                <w:szCs w:val="24"/>
              </w:rPr>
              <w:t>申购金额（</w:t>
            </w:r>
            <w:r>
              <w:rPr>
                <w:rFonts w:asciiTheme="minorEastAsia" w:hAnsiTheme="minorEastAsia" w:cs="Arial"/>
                <w:bCs/>
                <w:kern w:val="0"/>
                <w:szCs w:val="24"/>
              </w:rPr>
              <w:t>M）</w:t>
            </w:r>
          </w:p>
        </w:tc>
        <w:tc>
          <w:tcPr>
            <w:tcW w:w="2599" w:type="pct"/>
            <w:tcBorders>
              <w:top w:val="single" w:sz="4" w:space="0" w:color="auto"/>
              <w:left w:val="single" w:sz="4" w:space="0" w:color="auto"/>
              <w:bottom w:val="single" w:sz="4" w:space="0" w:color="auto"/>
              <w:right w:val="single" w:sz="4" w:space="0" w:color="auto"/>
            </w:tcBorders>
          </w:tcPr>
          <w:p w14:paraId="3AF74BE4" w14:textId="77777777" w:rsidR="0066529D" w:rsidRDefault="00A901F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hint="eastAsia"/>
                <w:bCs/>
                <w:kern w:val="0"/>
                <w:szCs w:val="24"/>
              </w:rPr>
              <w:t>申购费率</w:t>
            </w:r>
          </w:p>
        </w:tc>
      </w:tr>
      <w:tr w:rsidR="0066529D" w14:paraId="33A4625B"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878CA03" w14:textId="77777777" w:rsidR="0066529D" w:rsidRDefault="00A901FF">
            <w:pPr>
              <w:widowControl/>
              <w:spacing w:line="336" w:lineRule="auto"/>
              <w:jc w:val="center"/>
              <w:rPr>
                <w:rFonts w:asciiTheme="minorEastAsia" w:hAnsiTheme="minorEastAsia" w:cs="Arial" w:hint="eastAsia"/>
                <w:kern w:val="0"/>
                <w:szCs w:val="24"/>
              </w:rPr>
            </w:pPr>
            <w:r>
              <w:rPr>
                <w:rFonts w:asciiTheme="minorEastAsia" w:hAnsiTheme="minorEastAsia" w:cs="Arial"/>
                <w:kern w:val="0"/>
                <w:szCs w:val="24"/>
              </w:rPr>
              <w:t>M＜100万元</w:t>
            </w:r>
          </w:p>
        </w:tc>
        <w:tc>
          <w:tcPr>
            <w:tcW w:w="2599" w:type="pct"/>
            <w:tcBorders>
              <w:top w:val="single" w:sz="4" w:space="0" w:color="auto"/>
              <w:left w:val="single" w:sz="4" w:space="0" w:color="auto"/>
              <w:bottom w:val="single" w:sz="4" w:space="0" w:color="auto"/>
              <w:right w:val="single" w:sz="4" w:space="0" w:color="auto"/>
            </w:tcBorders>
          </w:tcPr>
          <w:p w14:paraId="5CEAB812" w14:textId="77777777" w:rsidR="0066529D" w:rsidRDefault="00A901F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1.50%</w:t>
            </w:r>
          </w:p>
        </w:tc>
      </w:tr>
      <w:tr w:rsidR="0066529D" w14:paraId="35B58405"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445E1267" w14:textId="77777777" w:rsidR="0066529D" w:rsidRDefault="00A901F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100万元≤M＜500万元</w:t>
            </w:r>
          </w:p>
        </w:tc>
        <w:tc>
          <w:tcPr>
            <w:tcW w:w="2599" w:type="pct"/>
            <w:tcBorders>
              <w:top w:val="single" w:sz="4" w:space="0" w:color="auto"/>
              <w:left w:val="single" w:sz="4" w:space="0" w:color="auto"/>
              <w:bottom w:val="single" w:sz="4" w:space="0" w:color="auto"/>
              <w:right w:val="single" w:sz="4" w:space="0" w:color="auto"/>
            </w:tcBorders>
          </w:tcPr>
          <w:p w14:paraId="67F4CEFC" w14:textId="77777777" w:rsidR="0066529D" w:rsidRDefault="00A901F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w:t>
            </w:r>
          </w:p>
        </w:tc>
      </w:tr>
      <w:tr w:rsidR="0066529D" w14:paraId="3FA4618C"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0F9691EE" w14:textId="77777777" w:rsidR="0066529D" w:rsidRDefault="00A901F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500万元≤M＜1000万元</w:t>
            </w:r>
          </w:p>
        </w:tc>
        <w:tc>
          <w:tcPr>
            <w:tcW w:w="2599" w:type="pct"/>
            <w:tcBorders>
              <w:top w:val="single" w:sz="4" w:space="0" w:color="auto"/>
              <w:left w:val="single" w:sz="4" w:space="0" w:color="auto"/>
              <w:bottom w:val="single" w:sz="4" w:space="0" w:color="auto"/>
              <w:right w:val="single" w:sz="4" w:space="0" w:color="auto"/>
            </w:tcBorders>
          </w:tcPr>
          <w:p w14:paraId="1E691055" w14:textId="77777777" w:rsidR="0066529D" w:rsidRDefault="00A901F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0.30%</w:t>
            </w:r>
          </w:p>
        </w:tc>
      </w:tr>
      <w:tr w:rsidR="0066529D" w14:paraId="6AB95F33" w14:textId="77777777">
        <w:trPr>
          <w:trHeight w:val="187"/>
          <w:jc w:val="center"/>
        </w:trPr>
        <w:tc>
          <w:tcPr>
            <w:tcW w:w="2401" w:type="pct"/>
            <w:tcBorders>
              <w:top w:val="single" w:sz="4" w:space="0" w:color="auto"/>
              <w:left w:val="single" w:sz="4" w:space="0" w:color="auto"/>
              <w:bottom w:val="single" w:sz="4" w:space="0" w:color="auto"/>
              <w:right w:val="single" w:sz="4" w:space="0" w:color="auto"/>
            </w:tcBorders>
          </w:tcPr>
          <w:p w14:paraId="203F1B71" w14:textId="77777777" w:rsidR="0066529D" w:rsidRDefault="00A901F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M≥1000万元</w:t>
            </w:r>
          </w:p>
        </w:tc>
        <w:tc>
          <w:tcPr>
            <w:tcW w:w="2599" w:type="pct"/>
            <w:tcBorders>
              <w:top w:val="single" w:sz="4" w:space="0" w:color="auto"/>
              <w:left w:val="single" w:sz="4" w:space="0" w:color="auto"/>
              <w:bottom w:val="single" w:sz="4" w:space="0" w:color="auto"/>
              <w:right w:val="single" w:sz="4" w:space="0" w:color="auto"/>
            </w:tcBorders>
          </w:tcPr>
          <w:p w14:paraId="300C80E3" w14:textId="77777777" w:rsidR="0066529D" w:rsidRDefault="00A901FF">
            <w:pPr>
              <w:widowControl/>
              <w:spacing w:line="336" w:lineRule="auto"/>
              <w:ind w:firstLineChars="200" w:firstLine="420"/>
              <w:jc w:val="center"/>
              <w:rPr>
                <w:rFonts w:asciiTheme="minorEastAsia" w:hAnsiTheme="minorEastAsia" w:cs="Arial" w:hint="eastAsia"/>
                <w:kern w:val="0"/>
                <w:szCs w:val="24"/>
              </w:rPr>
            </w:pPr>
            <w:r>
              <w:rPr>
                <w:rFonts w:asciiTheme="minorEastAsia" w:hAnsiTheme="minorEastAsia" w:cs="Arial"/>
                <w:kern w:val="0"/>
                <w:szCs w:val="24"/>
              </w:rPr>
              <w:t>1000元/笔</w:t>
            </w:r>
          </w:p>
        </w:tc>
      </w:tr>
      <w:tr w:rsidR="0066529D" w14:paraId="097E24CF"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4862674" w14:textId="77777777" w:rsidR="0066529D" w:rsidRDefault="00A901FF">
            <w:pPr>
              <w:widowControl/>
              <w:spacing w:line="264" w:lineRule="auto"/>
              <w:ind w:firstLineChars="200" w:firstLine="422"/>
              <w:jc w:val="center"/>
              <w:rPr>
                <w:rFonts w:asciiTheme="minorEastAsia" w:hAnsiTheme="minorEastAsia" w:cs="Arial" w:hint="eastAsia"/>
                <w:b/>
                <w:kern w:val="0"/>
                <w:szCs w:val="24"/>
              </w:rPr>
            </w:pPr>
            <w:r>
              <w:rPr>
                <w:rFonts w:asciiTheme="minorEastAsia" w:hAnsiTheme="minorEastAsia" w:cs="Arial"/>
                <w:b/>
                <w:bCs/>
                <w:kern w:val="0"/>
                <w:szCs w:val="24"/>
              </w:rPr>
              <w:t>C类基金份额</w:t>
            </w:r>
          </w:p>
        </w:tc>
      </w:tr>
      <w:tr w:rsidR="0066529D" w14:paraId="66E5C6CE" w14:textId="77777777">
        <w:trPr>
          <w:trHeight w:val="409"/>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756C58F" w14:textId="77777777" w:rsidR="0066529D" w:rsidRDefault="00A901FF">
            <w:pPr>
              <w:widowControl/>
              <w:spacing w:line="264" w:lineRule="auto"/>
              <w:ind w:firstLineChars="200" w:firstLine="420"/>
              <w:jc w:val="center"/>
              <w:rPr>
                <w:rFonts w:asciiTheme="minorEastAsia" w:hAnsiTheme="minorEastAsia" w:cs="Arial" w:hint="eastAsia"/>
                <w:kern w:val="0"/>
                <w:szCs w:val="24"/>
              </w:rPr>
            </w:pPr>
            <w:r>
              <w:rPr>
                <w:rFonts w:asciiTheme="minorEastAsia" w:hAnsiTheme="minorEastAsia" w:cs="Arial" w:hint="eastAsia"/>
                <w:bCs/>
                <w:kern w:val="0"/>
                <w:szCs w:val="24"/>
              </w:rPr>
              <w:t>申</w:t>
            </w:r>
            <w:r>
              <w:rPr>
                <w:rFonts w:asciiTheme="minorEastAsia" w:hAnsiTheme="minorEastAsia" w:cs="Arial" w:hint="eastAsia"/>
                <w:kern w:val="0"/>
                <w:szCs w:val="24"/>
              </w:rPr>
              <w:t>购费率为零</w:t>
            </w:r>
          </w:p>
        </w:tc>
      </w:tr>
    </w:tbl>
    <w:p w14:paraId="1808AE18" w14:textId="77777777" w:rsidR="0066529D" w:rsidRDefault="0066529D">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200B9FB8" w14:textId="77777777" w:rsidR="0066529D" w:rsidRDefault="00A901FF">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78FB16E1"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53A9A90D"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8"/>
        <w:gridCol w:w="2093"/>
        <w:gridCol w:w="2247"/>
      </w:tblGrid>
      <w:tr w:rsidR="0066529D" w14:paraId="13F16C3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EC7468B" w14:textId="77777777" w:rsidR="0066529D" w:rsidRDefault="00A901FF">
            <w:pPr>
              <w:ind w:firstLineChars="200" w:firstLine="422"/>
              <w:jc w:val="center"/>
              <w:rPr>
                <w:rFonts w:asciiTheme="minorEastAsia" w:hAnsiTheme="minorEastAsia" w:cs="Arial" w:hint="eastAsia"/>
                <w:b/>
                <w:color w:val="000000"/>
                <w:szCs w:val="24"/>
              </w:rPr>
            </w:pPr>
            <w:r>
              <w:rPr>
                <w:rFonts w:asciiTheme="minorEastAsia" w:hAnsiTheme="minorEastAsia" w:cs="Arial" w:hint="eastAsia"/>
                <w:b/>
                <w:color w:val="000000"/>
                <w:szCs w:val="24"/>
              </w:rPr>
              <w:t>持有基金份额期限（</w:t>
            </w:r>
            <w:r>
              <w:rPr>
                <w:rFonts w:asciiTheme="minorEastAsia" w:hAnsiTheme="minorEastAsia" w:cs="Arial"/>
                <w:b/>
                <w:color w:val="000000"/>
                <w:szCs w:val="24"/>
              </w:rPr>
              <w:t>Y）</w:t>
            </w:r>
          </w:p>
        </w:tc>
        <w:tc>
          <w:tcPr>
            <w:tcW w:w="2093" w:type="dxa"/>
            <w:tcBorders>
              <w:top w:val="single" w:sz="4" w:space="0" w:color="auto"/>
              <w:left w:val="single" w:sz="4" w:space="0" w:color="auto"/>
              <w:bottom w:val="single" w:sz="4" w:space="0" w:color="auto"/>
              <w:right w:val="single" w:sz="4" w:space="0" w:color="auto"/>
            </w:tcBorders>
          </w:tcPr>
          <w:p w14:paraId="2DEA0EC6" w14:textId="77777777" w:rsidR="0066529D" w:rsidRDefault="00A901FF">
            <w:pPr>
              <w:jc w:val="center"/>
              <w:rPr>
                <w:rFonts w:asciiTheme="minorEastAsia" w:hAnsiTheme="minorEastAsia" w:cs="Arial" w:hint="eastAsia"/>
                <w:b/>
                <w:color w:val="000000"/>
                <w:szCs w:val="24"/>
              </w:rPr>
            </w:pPr>
            <w:r>
              <w:rPr>
                <w:rFonts w:asciiTheme="minorEastAsia" w:hAnsiTheme="minorEastAsia" w:cs="Arial"/>
                <w:b/>
                <w:color w:val="000000"/>
                <w:szCs w:val="24"/>
              </w:rPr>
              <w:t>A类份额赎回费</w:t>
            </w:r>
            <w:r>
              <w:rPr>
                <w:rFonts w:asciiTheme="minorEastAsia" w:hAnsiTheme="minorEastAsia" w:cs="Arial" w:hint="eastAsia"/>
                <w:b/>
                <w:color w:val="000000"/>
                <w:szCs w:val="24"/>
              </w:rPr>
              <w:t>率</w:t>
            </w:r>
          </w:p>
        </w:tc>
        <w:tc>
          <w:tcPr>
            <w:tcW w:w="2247" w:type="dxa"/>
            <w:tcBorders>
              <w:top w:val="single" w:sz="4" w:space="0" w:color="auto"/>
              <w:left w:val="single" w:sz="4" w:space="0" w:color="auto"/>
              <w:bottom w:val="single" w:sz="4" w:space="0" w:color="auto"/>
              <w:right w:val="single" w:sz="4" w:space="0" w:color="auto"/>
            </w:tcBorders>
          </w:tcPr>
          <w:p w14:paraId="07459853" w14:textId="77777777" w:rsidR="0066529D" w:rsidRDefault="00A901FF">
            <w:pPr>
              <w:jc w:val="center"/>
              <w:rPr>
                <w:rFonts w:asciiTheme="minorEastAsia" w:hAnsiTheme="minorEastAsia" w:cs="Arial" w:hint="eastAsia"/>
                <w:b/>
                <w:color w:val="000000"/>
                <w:szCs w:val="24"/>
              </w:rPr>
            </w:pPr>
            <w:r>
              <w:rPr>
                <w:rFonts w:asciiTheme="minorEastAsia" w:hAnsiTheme="minorEastAsia" w:cs="Arial"/>
                <w:b/>
                <w:color w:val="000000"/>
                <w:szCs w:val="24"/>
              </w:rPr>
              <w:t>C类份额赎回费率</w:t>
            </w:r>
          </w:p>
        </w:tc>
      </w:tr>
      <w:tr w:rsidR="0066529D" w14:paraId="19B7D0B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D04495" w14:textId="77777777" w:rsidR="0066529D" w:rsidRDefault="00A901FF">
            <w:pPr>
              <w:widowControl/>
              <w:spacing w:line="336" w:lineRule="auto"/>
              <w:jc w:val="center"/>
              <w:rPr>
                <w:rFonts w:asciiTheme="minorEastAsia" w:hAnsiTheme="minorEastAsia" w:cs="Arial" w:hint="eastAsia"/>
                <w:bCs/>
                <w:kern w:val="0"/>
                <w:szCs w:val="24"/>
              </w:rPr>
            </w:pPr>
            <w:r>
              <w:rPr>
                <w:rFonts w:asciiTheme="minorEastAsia" w:hAnsiTheme="minorEastAsia" w:cs="Arial"/>
                <w:bCs/>
                <w:kern w:val="0"/>
                <w:szCs w:val="24"/>
              </w:rPr>
              <w:t>Y＜7日</w:t>
            </w:r>
          </w:p>
        </w:tc>
        <w:tc>
          <w:tcPr>
            <w:tcW w:w="2093" w:type="dxa"/>
            <w:tcBorders>
              <w:top w:val="single" w:sz="4" w:space="0" w:color="auto"/>
              <w:left w:val="single" w:sz="4" w:space="0" w:color="auto"/>
              <w:bottom w:val="single" w:sz="4" w:space="0" w:color="auto"/>
              <w:right w:val="single" w:sz="4" w:space="0" w:color="auto"/>
            </w:tcBorders>
          </w:tcPr>
          <w:p w14:paraId="63E3C51E" w14:textId="77777777" w:rsidR="0066529D" w:rsidRDefault="00A901F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c>
          <w:tcPr>
            <w:tcW w:w="2247" w:type="dxa"/>
            <w:tcBorders>
              <w:top w:val="single" w:sz="4" w:space="0" w:color="auto"/>
              <w:left w:val="single" w:sz="4" w:space="0" w:color="auto"/>
              <w:bottom w:val="single" w:sz="4" w:space="0" w:color="auto"/>
              <w:right w:val="single" w:sz="4" w:space="0" w:color="auto"/>
            </w:tcBorders>
          </w:tcPr>
          <w:p w14:paraId="340E0A8F" w14:textId="77777777" w:rsidR="0066529D" w:rsidRDefault="00A901FF">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1.50%</w:t>
            </w:r>
          </w:p>
        </w:tc>
      </w:tr>
      <w:tr w:rsidR="0066529D" w14:paraId="00509E01"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3BCDC761" w14:textId="77777777" w:rsidR="0066529D" w:rsidRDefault="00A901F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7日 ≤ Y </w:t>
            </w:r>
            <w:r>
              <w:rPr>
                <w:rFonts w:asciiTheme="minorEastAsia" w:hAnsiTheme="minorEastAsia" w:cs="Arial" w:hint="eastAsia"/>
                <w:bCs/>
                <w:kern w:val="0"/>
                <w:szCs w:val="24"/>
              </w:rPr>
              <w:t>＜</w:t>
            </w:r>
            <w:r>
              <w:rPr>
                <w:rFonts w:asciiTheme="minorEastAsia" w:hAnsiTheme="minorEastAsia" w:cs="Arial"/>
                <w:bCs/>
                <w:kern w:val="0"/>
                <w:szCs w:val="24"/>
              </w:rPr>
              <w:t xml:space="preserve"> 30日</w:t>
            </w:r>
          </w:p>
        </w:tc>
        <w:tc>
          <w:tcPr>
            <w:tcW w:w="2093" w:type="dxa"/>
            <w:tcBorders>
              <w:top w:val="single" w:sz="4" w:space="0" w:color="auto"/>
              <w:left w:val="single" w:sz="4" w:space="0" w:color="auto"/>
              <w:bottom w:val="single" w:sz="4" w:space="0" w:color="auto"/>
              <w:right w:val="single" w:sz="4" w:space="0" w:color="auto"/>
            </w:tcBorders>
          </w:tcPr>
          <w:p w14:paraId="6066AD1A" w14:textId="77777777" w:rsidR="0066529D" w:rsidRDefault="00A901F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0.75%</w:t>
            </w:r>
          </w:p>
        </w:tc>
        <w:tc>
          <w:tcPr>
            <w:tcW w:w="2247" w:type="dxa"/>
            <w:tcBorders>
              <w:top w:val="single" w:sz="4" w:space="0" w:color="auto"/>
              <w:left w:val="single" w:sz="4" w:space="0" w:color="auto"/>
              <w:bottom w:val="single" w:sz="4" w:space="0" w:color="auto"/>
              <w:right w:val="single" w:sz="4" w:space="0" w:color="auto"/>
            </w:tcBorders>
          </w:tcPr>
          <w:p w14:paraId="5E0BA89E" w14:textId="77777777" w:rsidR="0066529D" w:rsidRDefault="00A901FF">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r>
      <w:tr w:rsidR="0066529D" w14:paraId="25C86D70"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2FCA2F5B" w14:textId="77777777" w:rsidR="0066529D" w:rsidRDefault="00A901F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 xml:space="preserve">30日 ≤ Y </w:t>
            </w:r>
            <w:r>
              <w:rPr>
                <w:rFonts w:asciiTheme="minorEastAsia" w:hAnsiTheme="minorEastAsia" w:cs="Arial" w:hint="eastAsia"/>
                <w:bCs/>
                <w:kern w:val="0"/>
                <w:szCs w:val="24"/>
              </w:rPr>
              <w:t>＜</w:t>
            </w:r>
            <w:r>
              <w:rPr>
                <w:rFonts w:asciiTheme="minorEastAsia" w:hAnsiTheme="minorEastAsia" w:cs="Arial"/>
                <w:bCs/>
                <w:kern w:val="0"/>
                <w:szCs w:val="24"/>
              </w:rPr>
              <w:t xml:space="preserve"> 6个月</w:t>
            </w:r>
          </w:p>
        </w:tc>
        <w:tc>
          <w:tcPr>
            <w:tcW w:w="2093" w:type="dxa"/>
            <w:tcBorders>
              <w:top w:val="single" w:sz="4" w:space="0" w:color="auto"/>
              <w:left w:val="single" w:sz="4" w:space="0" w:color="auto"/>
              <w:bottom w:val="single" w:sz="4" w:space="0" w:color="auto"/>
              <w:right w:val="single" w:sz="4" w:space="0" w:color="auto"/>
            </w:tcBorders>
          </w:tcPr>
          <w:p w14:paraId="7A87893A" w14:textId="77777777" w:rsidR="0066529D" w:rsidRDefault="00A901F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0.50%</w:t>
            </w:r>
          </w:p>
        </w:tc>
        <w:tc>
          <w:tcPr>
            <w:tcW w:w="2247" w:type="dxa"/>
            <w:tcBorders>
              <w:top w:val="single" w:sz="4" w:space="0" w:color="auto"/>
              <w:left w:val="single" w:sz="4" w:space="0" w:color="auto"/>
              <w:bottom w:val="single" w:sz="4" w:space="0" w:color="auto"/>
              <w:right w:val="single" w:sz="4" w:space="0" w:color="auto"/>
            </w:tcBorders>
          </w:tcPr>
          <w:p w14:paraId="3CA87620" w14:textId="77777777" w:rsidR="0066529D" w:rsidRDefault="00A901FF">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r w:rsidR="0066529D" w14:paraId="5B952D5D" w14:textId="77777777">
        <w:trPr>
          <w:trHeight w:val="108"/>
          <w:jc w:val="center"/>
        </w:trPr>
        <w:tc>
          <w:tcPr>
            <w:tcW w:w="3978" w:type="dxa"/>
            <w:tcBorders>
              <w:top w:val="single" w:sz="4" w:space="0" w:color="auto"/>
              <w:left w:val="single" w:sz="4" w:space="0" w:color="auto"/>
              <w:bottom w:val="single" w:sz="4" w:space="0" w:color="auto"/>
              <w:right w:val="single" w:sz="4" w:space="0" w:color="auto"/>
            </w:tcBorders>
          </w:tcPr>
          <w:p w14:paraId="151B23ED" w14:textId="77777777" w:rsidR="0066529D" w:rsidRDefault="00A901F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Y≥6个月</w:t>
            </w:r>
          </w:p>
        </w:tc>
        <w:tc>
          <w:tcPr>
            <w:tcW w:w="2093" w:type="dxa"/>
            <w:tcBorders>
              <w:top w:val="single" w:sz="4" w:space="0" w:color="auto"/>
              <w:left w:val="single" w:sz="4" w:space="0" w:color="auto"/>
              <w:bottom w:val="single" w:sz="4" w:space="0" w:color="auto"/>
              <w:right w:val="single" w:sz="4" w:space="0" w:color="auto"/>
            </w:tcBorders>
          </w:tcPr>
          <w:p w14:paraId="4D3E0474" w14:textId="77777777" w:rsidR="0066529D" w:rsidRDefault="00A901FF">
            <w:pPr>
              <w:widowControl/>
              <w:spacing w:line="336" w:lineRule="auto"/>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c>
          <w:tcPr>
            <w:tcW w:w="2247" w:type="dxa"/>
            <w:tcBorders>
              <w:top w:val="single" w:sz="4" w:space="0" w:color="auto"/>
              <w:left w:val="single" w:sz="4" w:space="0" w:color="auto"/>
              <w:bottom w:val="single" w:sz="4" w:space="0" w:color="auto"/>
              <w:right w:val="single" w:sz="4" w:space="0" w:color="auto"/>
            </w:tcBorders>
          </w:tcPr>
          <w:p w14:paraId="5F3DA94F" w14:textId="77777777" w:rsidR="0066529D" w:rsidRDefault="00A901FF">
            <w:pPr>
              <w:ind w:firstLineChars="200" w:firstLine="420"/>
              <w:jc w:val="center"/>
              <w:rPr>
                <w:rFonts w:asciiTheme="minorEastAsia" w:hAnsiTheme="minorEastAsia" w:cs="Arial" w:hint="eastAsia"/>
                <w:bCs/>
                <w:kern w:val="0"/>
                <w:szCs w:val="24"/>
              </w:rPr>
            </w:pPr>
            <w:r>
              <w:rPr>
                <w:rFonts w:asciiTheme="minorEastAsia" w:hAnsiTheme="minorEastAsia" w:cs="Arial"/>
                <w:bCs/>
                <w:kern w:val="0"/>
                <w:szCs w:val="24"/>
              </w:rPr>
              <w:t>0</w:t>
            </w:r>
          </w:p>
        </w:tc>
      </w:tr>
    </w:tbl>
    <w:p w14:paraId="04FA37AF" w14:textId="77777777" w:rsidR="0066529D" w:rsidRDefault="0066529D">
      <w:pPr>
        <w:adjustRightInd w:val="0"/>
        <w:snapToGrid w:val="0"/>
        <w:spacing w:line="360" w:lineRule="auto"/>
        <w:rPr>
          <w:rFonts w:asciiTheme="minorEastAsia" w:hAnsiTheme="minorEastAsia" w:cs="Arial" w:hint="eastAsia"/>
          <w:sz w:val="24"/>
          <w:szCs w:val="24"/>
        </w:rPr>
      </w:pPr>
    </w:p>
    <w:p w14:paraId="0E36E176" w14:textId="77777777" w:rsidR="0066529D" w:rsidRDefault="00A901FF">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30</w:t>
      </w:r>
      <w:r>
        <w:rPr>
          <w:rFonts w:asciiTheme="minorEastAsia" w:hAnsiTheme="minorEastAsia" w:cs="Arial" w:hint="eastAsia"/>
          <w:sz w:val="24"/>
          <w:szCs w:val="24"/>
        </w:rPr>
        <w:t>日）</w:t>
      </w:r>
    </w:p>
    <w:p w14:paraId="6A7417C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02C0F1B5"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w:t>
      </w:r>
      <w:r>
        <w:rPr>
          <w:rFonts w:asciiTheme="minorEastAsia" w:hAnsiTheme="minorEastAsia" w:cs="Arial"/>
          <w:sz w:val="24"/>
          <w:szCs w:val="24"/>
        </w:rPr>
        <w:t>A类基金份额，</w:t>
      </w:r>
      <w:r>
        <w:rPr>
          <w:rFonts w:asciiTheme="minorEastAsia" w:hAnsiTheme="minorEastAsia" w:cs="Arial" w:hint="eastAsia"/>
          <w:sz w:val="24"/>
          <w:szCs w:val="24"/>
        </w:rPr>
        <w:t>对持续持有期少于</w:t>
      </w:r>
      <w:r>
        <w:rPr>
          <w:rFonts w:asciiTheme="minorEastAsia" w:hAnsiTheme="minorEastAsia" w:cs="Arial"/>
          <w:sz w:val="24"/>
          <w:szCs w:val="24"/>
        </w:rPr>
        <w:t>30日的投资人收取的赎回费全额计入基金财产；对持续持有期不少于30日但少于3个月的投资人收取的赎回费总额的75%计入基金财产；对持续持有期不少于3个月但少于6个月的投资人收取的赎回费总额的50%计入基金财产；</w:t>
      </w:r>
      <w:r>
        <w:rPr>
          <w:rFonts w:asciiTheme="minorEastAsia" w:hAnsiTheme="minorEastAsia" w:cs="Arial" w:hint="eastAsia"/>
          <w:sz w:val="24"/>
          <w:szCs w:val="24"/>
        </w:rPr>
        <w:t>就</w:t>
      </w:r>
      <w:r>
        <w:rPr>
          <w:rFonts w:asciiTheme="minorEastAsia" w:hAnsiTheme="minorEastAsia" w:cs="Arial"/>
          <w:sz w:val="24"/>
          <w:szCs w:val="24"/>
        </w:rPr>
        <w:t>C类基金份额，收取的赎回费全额计入基金财产</w:t>
      </w:r>
      <w:r>
        <w:rPr>
          <w:rFonts w:asciiTheme="minorEastAsia" w:hAnsiTheme="minorEastAsia" w:cs="Arial" w:hint="eastAsia"/>
          <w:sz w:val="24"/>
          <w:szCs w:val="24"/>
        </w:rPr>
        <w:t>。上述未纳入基金财产的赎回费用于支付登记费和其他必要的手续费。</w:t>
      </w:r>
    </w:p>
    <w:p w14:paraId="3F055A03"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4B5AF3D7" w14:textId="77777777" w:rsidR="0066529D" w:rsidRDefault="00A901FF">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7B496C46" w14:textId="77777777" w:rsidR="0066529D" w:rsidRDefault="00A901F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ACBAC38"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1、A类基金份额</w:t>
      </w:r>
      <w:r>
        <w:rPr>
          <w:rFonts w:asciiTheme="minorEastAsia" w:hAnsiTheme="minorEastAsia" w:cs="Arial" w:hint="eastAsia"/>
          <w:sz w:val="24"/>
          <w:szCs w:val="24"/>
        </w:rPr>
        <w:t>申购份额的计算方式：</w:t>
      </w:r>
    </w:p>
    <w:p w14:paraId="029AC4AD"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1）当申购费</w:t>
      </w:r>
      <w:r>
        <w:rPr>
          <w:rFonts w:asciiTheme="minorEastAsia" w:hAnsiTheme="minorEastAsia" w:cs="Arial" w:hint="eastAsia"/>
          <w:sz w:val="24"/>
          <w:szCs w:val="24"/>
        </w:rPr>
        <w:t>用适用比例费率时，申购份额的计算公式如下：</w:t>
      </w:r>
    </w:p>
    <w:p w14:paraId="0677DCA5"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=申购金额/（1+申购费率）</w:t>
      </w:r>
    </w:p>
    <w:p w14:paraId="3F585779"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=申购金额－净申购金额</w:t>
      </w:r>
    </w:p>
    <w:p w14:paraId="3B2089E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w:t>
      </w:r>
      <w:r>
        <w:rPr>
          <w:rFonts w:asciiTheme="minorEastAsia" w:hAnsiTheme="minorEastAsia" w:cs="Arial"/>
          <w:sz w:val="24"/>
          <w:szCs w:val="24"/>
        </w:rPr>
        <w:t xml:space="preserve">=净申购金额/T </w:t>
      </w:r>
      <w:r>
        <w:rPr>
          <w:rFonts w:asciiTheme="minorEastAsia" w:hAnsiTheme="minorEastAsia" w:cs="Arial" w:hint="eastAsia"/>
          <w:sz w:val="24"/>
          <w:szCs w:val="24"/>
        </w:rPr>
        <w:t>日</w:t>
      </w:r>
      <w:r>
        <w:rPr>
          <w:rFonts w:asciiTheme="minorEastAsia" w:hAnsiTheme="minorEastAsia" w:cs="Arial"/>
          <w:sz w:val="24"/>
          <w:szCs w:val="24"/>
        </w:rPr>
        <w:t>A类</w:t>
      </w:r>
      <w:r>
        <w:rPr>
          <w:rFonts w:asciiTheme="minorEastAsia" w:hAnsiTheme="minorEastAsia" w:cs="Arial" w:hint="eastAsia"/>
          <w:sz w:val="24"/>
          <w:szCs w:val="24"/>
        </w:rPr>
        <w:t>基金份额净值</w:t>
      </w:r>
    </w:p>
    <w:p w14:paraId="6A571C03"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2）当申购费用为固定金额时，申购份额的计算方法如下：</w:t>
      </w:r>
    </w:p>
    <w:p w14:paraId="2ADA88A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CB9B8F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1BFA12C8"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w:t>
      </w:r>
      <w:r>
        <w:rPr>
          <w:rFonts w:asciiTheme="minorEastAsia" w:hAnsiTheme="minorEastAsia" w:cs="Arial"/>
          <w:sz w:val="24"/>
          <w:szCs w:val="24"/>
        </w:rPr>
        <w:t>/T日A类</w:t>
      </w:r>
      <w:r>
        <w:rPr>
          <w:rFonts w:asciiTheme="minorEastAsia" w:hAnsiTheme="minorEastAsia" w:cs="Arial" w:hint="eastAsia"/>
          <w:sz w:val="24"/>
          <w:szCs w:val="24"/>
        </w:rPr>
        <w:t>基金份额净值</w:t>
      </w:r>
    </w:p>
    <w:p w14:paraId="63AF52D4"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809767E"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 </w:t>
      </w:r>
      <w:r>
        <w:rPr>
          <w:rFonts w:asciiTheme="minorEastAsia" w:hAnsiTheme="minorEastAsia" w:cs="Arial" w:hint="eastAsia"/>
          <w:sz w:val="24"/>
          <w:szCs w:val="24"/>
        </w:rPr>
        <w:t>元申购本基金</w:t>
      </w:r>
      <w:r>
        <w:rPr>
          <w:rFonts w:asciiTheme="minorEastAsia" w:hAnsiTheme="minorEastAsia" w:cs="Arial"/>
          <w:sz w:val="24"/>
          <w:szCs w:val="24"/>
        </w:rPr>
        <w:t>A类基金份额，且该申购申请被全额确认，对应的申购费率为1.5%，假定申购当日A类</w:t>
      </w:r>
      <w:r>
        <w:rPr>
          <w:rFonts w:asciiTheme="minorEastAsia" w:hAnsiTheme="minorEastAsia" w:cs="Arial" w:hint="eastAsia"/>
          <w:sz w:val="24"/>
          <w:szCs w:val="24"/>
        </w:rPr>
        <w:t>基金份额净值为</w:t>
      </w:r>
      <w:r>
        <w:rPr>
          <w:rFonts w:asciiTheme="minorEastAsia" w:hAnsiTheme="minorEastAsia" w:cs="Arial"/>
          <w:sz w:val="24"/>
          <w:szCs w:val="24"/>
        </w:rPr>
        <w:t>1.0500元，则可得到的申购份额为：</w:t>
      </w:r>
    </w:p>
    <w:p w14:paraId="7E1393B1"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w:t>
      </w:r>
      <w:r>
        <w:rPr>
          <w:rFonts w:asciiTheme="minorEastAsia" w:hAnsiTheme="minorEastAsia" w:cs="Arial"/>
          <w:sz w:val="24"/>
          <w:szCs w:val="24"/>
        </w:rPr>
        <w:t>50,000/(1+1.5%)＝49,261.08元</w:t>
      </w:r>
    </w:p>
    <w:p w14:paraId="5015D7EC"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w:t>
      </w:r>
      <w:r>
        <w:rPr>
          <w:rFonts w:asciiTheme="minorEastAsia" w:hAnsiTheme="minorEastAsia" w:cs="Arial"/>
          <w:sz w:val="24"/>
          <w:szCs w:val="24"/>
        </w:rPr>
        <w:t>50,000－49,261.08＝738.92元</w:t>
      </w:r>
    </w:p>
    <w:p w14:paraId="710964D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 xml:space="preserve">49,261.08/1.0500＝46,915.31 </w:t>
      </w:r>
      <w:r>
        <w:rPr>
          <w:rFonts w:asciiTheme="minorEastAsia" w:hAnsiTheme="minorEastAsia" w:cs="Arial" w:hint="eastAsia"/>
          <w:sz w:val="24"/>
          <w:szCs w:val="24"/>
        </w:rPr>
        <w:t>份</w:t>
      </w:r>
    </w:p>
    <w:p w14:paraId="106F038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w:t>
      </w:r>
      <w:r>
        <w:rPr>
          <w:rFonts w:asciiTheme="minorEastAsia" w:hAnsiTheme="minorEastAsia" w:cs="Arial"/>
          <w:kern w:val="0"/>
          <w:sz w:val="24"/>
          <w:szCs w:val="24"/>
        </w:rPr>
        <w:t xml:space="preserve">50,000 </w:t>
      </w:r>
      <w:r>
        <w:rPr>
          <w:rFonts w:asciiTheme="minorEastAsia" w:hAnsiTheme="minorEastAsia" w:cs="Arial" w:hint="eastAsia"/>
          <w:kern w:val="0"/>
          <w:sz w:val="24"/>
          <w:szCs w:val="24"/>
        </w:rPr>
        <w:t>元申购本基金</w:t>
      </w:r>
      <w:r>
        <w:rPr>
          <w:rFonts w:asciiTheme="minorEastAsia" w:hAnsiTheme="minorEastAsia" w:cs="Arial"/>
          <w:kern w:val="0"/>
          <w:sz w:val="24"/>
          <w:szCs w:val="24"/>
        </w:rPr>
        <w:t>A类基金份额，假定申购当日A类基金份额净值为1.0500元，可得到46,915.31份A类</w:t>
      </w:r>
      <w:r>
        <w:rPr>
          <w:rFonts w:asciiTheme="minorEastAsia" w:hAnsiTheme="minorEastAsia" w:cs="Arial" w:hint="eastAsia"/>
          <w:kern w:val="0"/>
          <w:sz w:val="24"/>
          <w:szCs w:val="24"/>
        </w:rPr>
        <w:t>基金份额。</w:t>
      </w:r>
    </w:p>
    <w:p w14:paraId="0DE6D6C4"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2、C类基金份额申购份额的计算方式：</w:t>
      </w:r>
    </w:p>
    <w:p w14:paraId="6BC9E1AF"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w:t>
      </w:r>
      <w:r>
        <w:rPr>
          <w:rFonts w:asciiTheme="minorEastAsia" w:hAnsiTheme="minorEastAsia" w:cs="Arial"/>
          <w:sz w:val="24"/>
          <w:szCs w:val="24"/>
        </w:rPr>
        <w:t>/T日C类基金份额净值</w:t>
      </w:r>
    </w:p>
    <w:p w14:paraId="3AE3F787"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569BC0BF"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C类基金份额，且该申购申请被全额确认，假定申购当日C类基金份额净值为1.2300元，则可得到的申购份额为：</w:t>
      </w:r>
    </w:p>
    <w:p w14:paraId="303E3CE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w:t>
      </w:r>
      <w:r>
        <w:rPr>
          <w:rFonts w:asciiTheme="minorEastAsia" w:hAnsiTheme="minorEastAsia" w:cs="Arial"/>
          <w:sz w:val="24"/>
          <w:szCs w:val="24"/>
        </w:rPr>
        <w:t>5,000,000/1.2500=4,000,000份</w:t>
      </w:r>
    </w:p>
    <w:p w14:paraId="5EB31167"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w:t>
      </w:r>
      <w:r>
        <w:rPr>
          <w:rFonts w:asciiTheme="minorEastAsia" w:hAnsiTheme="minorEastAsia" w:cs="Arial"/>
          <w:sz w:val="24"/>
          <w:szCs w:val="24"/>
        </w:rPr>
        <w:t xml:space="preserve">5,000,000 </w:t>
      </w:r>
      <w:r>
        <w:rPr>
          <w:rFonts w:asciiTheme="minorEastAsia" w:hAnsiTheme="minorEastAsia" w:cs="Arial" w:hint="eastAsia"/>
          <w:sz w:val="24"/>
          <w:szCs w:val="24"/>
        </w:rPr>
        <w:t>元申购本基金</w:t>
      </w:r>
      <w:r>
        <w:rPr>
          <w:rFonts w:asciiTheme="minorEastAsia" w:hAnsiTheme="minorEastAsia" w:cs="Arial"/>
          <w:sz w:val="24"/>
          <w:szCs w:val="24"/>
        </w:rPr>
        <w:t>C类基金份额，假定申购当日C类基金份额净值为1.2500</w:t>
      </w:r>
      <w:r>
        <w:rPr>
          <w:rFonts w:asciiTheme="minorEastAsia" w:hAnsiTheme="minorEastAsia" w:cs="Arial" w:hint="eastAsia"/>
          <w:sz w:val="24"/>
          <w:szCs w:val="24"/>
        </w:rPr>
        <w:t>元，可得到</w:t>
      </w:r>
      <w:r>
        <w:rPr>
          <w:rFonts w:asciiTheme="minorEastAsia" w:hAnsiTheme="minorEastAsia" w:cs="Arial"/>
          <w:sz w:val="24"/>
          <w:szCs w:val="24"/>
        </w:rPr>
        <w:t>4,000,000份C类基金份额。</w:t>
      </w:r>
    </w:p>
    <w:p w14:paraId="16AF920F"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688303AB"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05309622"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33FC561E"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7280867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w:t>
      </w:r>
      <w:r>
        <w:rPr>
          <w:rFonts w:asciiTheme="minorEastAsia" w:hAnsiTheme="minorEastAsia" w:cs="Arial"/>
          <w:sz w:val="24"/>
          <w:szCs w:val="24"/>
        </w:rPr>
        <w:t>2位，由此产生的收益或</w:t>
      </w:r>
      <w:r>
        <w:rPr>
          <w:rFonts w:asciiTheme="minorEastAsia" w:hAnsiTheme="minorEastAsia" w:cs="Arial" w:hint="eastAsia"/>
          <w:sz w:val="24"/>
          <w:szCs w:val="24"/>
        </w:rPr>
        <w:lastRenderedPageBreak/>
        <w:t>损失由基金财产承担。</w:t>
      </w:r>
    </w:p>
    <w:p w14:paraId="47B3DE65"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1</w:t>
      </w:r>
      <w:r>
        <w:rPr>
          <w:rFonts w:asciiTheme="minorEastAsia" w:hAnsiTheme="minorEastAsia" w:cs="Arial" w:hint="eastAsia"/>
          <w:sz w:val="24"/>
          <w:szCs w:val="24"/>
        </w:rPr>
        <w:t>：某投资者赎回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元，则可得到的赎回金额为：</w:t>
      </w:r>
    </w:p>
    <w:p w14:paraId="5A67AE11"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 xml:space="preserve">1.0680= 10,680.00 </w:t>
      </w:r>
      <w:r>
        <w:rPr>
          <w:rFonts w:asciiTheme="minorEastAsia" w:hAnsiTheme="minorEastAsia" w:cs="Arial" w:hint="eastAsia"/>
          <w:sz w:val="24"/>
          <w:szCs w:val="24"/>
        </w:rPr>
        <w:t>元</w:t>
      </w:r>
    </w:p>
    <w:p w14:paraId="568DB929"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60544D2"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632DE77B"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w:t>
      </w:r>
      <w:r>
        <w:rPr>
          <w:rFonts w:asciiTheme="minorEastAsia" w:hAnsiTheme="minorEastAsia" w:cs="Arial"/>
          <w:sz w:val="24"/>
          <w:szCs w:val="24"/>
        </w:rPr>
        <w:t>3个月</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 xml:space="preserve">1.0680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316468D"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w:t>
      </w:r>
      <w:r>
        <w:rPr>
          <w:rFonts w:asciiTheme="minorEastAsia" w:hAnsiTheme="minorEastAsia" w:cs="Arial"/>
          <w:sz w:val="24"/>
          <w:szCs w:val="24"/>
        </w:rPr>
        <w:t>2：某投资人赎回本基金10,000</w:t>
      </w:r>
      <w:r>
        <w:rPr>
          <w:rFonts w:asciiTheme="minorEastAsia" w:hAnsiTheme="minorEastAsia" w:cs="Arial" w:hint="eastAsia"/>
          <w:sz w:val="24"/>
          <w:szCs w:val="24"/>
        </w:rPr>
        <w:t>份</w:t>
      </w:r>
      <w:r>
        <w:rPr>
          <w:rFonts w:asciiTheme="minorEastAsia" w:hAnsiTheme="minorEastAsia" w:cs="Arial"/>
          <w:sz w:val="24"/>
          <w:szCs w:val="24"/>
        </w:rPr>
        <w:t>C类基金份额，持有时间为20日，对应的赎回费率为0.5%，假设赎回当日C类基金份额净值是1.0680元，则其可得到的赎回金额为：</w:t>
      </w:r>
    </w:p>
    <w:p w14:paraId="389D8C81"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=10,000×1.0680=10,680元</w:t>
      </w:r>
    </w:p>
    <w:p w14:paraId="0F23FF51"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=10,680×0.5%=53.40元</w:t>
      </w:r>
    </w:p>
    <w:p w14:paraId="730680B8"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w:t>
      </w:r>
      <w:r>
        <w:rPr>
          <w:rFonts w:asciiTheme="minorEastAsia" w:hAnsiTheme="minorEastAsia" w:cs="Arial"/>
          <w:sz w:val="24"/>
          <w:szCs w:val="24"/>
        </w:rPr>
        <w:t>=10,680-53.40=10,626.60元</w:t>
      </w:r>
    </w:p>
    <w:p w14:paraId="5B84F8D2"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w:t>
      </w:r>
      <w:r>
        <w:rPr>
          <w:rFonts w:asciiTheme="minorEastAsia" w:hAnsiTheme="minorEastAsia" w:cs="Arial"/>
          <w:sz w:val="24"/>
          <w:szCs w:val="24"/>
        </w:rPr>
        <w:t>10,000</w:t>
      </w:r>
      <w:r>
        <w:rPr>
          <w:rFonts w:asciiTheme="minorEastAsia" w:hAnsiTheme="minorEastAsia" w:cs="Arial" w:hint="eastAsia"/>
          <w:sz w:val="24"/>
          <w:szCs w:val="24"/>
        </w:rPr>
        <w:t>份</w:t>
      </w:r>
      <w:r>
        <w:rPr>
          <w:rFonts w:asciiTheme="minorEastAsia" w:hAnsiTheme="minorEastAsia" w:cs="Arial"/>
          <w:sz w:val="24"/>
          <w:szCs w:val="24"/>
        </w:rPr>
        <w:t>C类基金份额，持有期限为20日，假设赎回当日本基金C类基金份额净值是1.0680元，则其可得到的净赎回金额为10,626.60元。</w:t>
      </w:r>
    </w:p>
    <w:p w14:paraId="174A725F"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w:t>
      </w:r>
      <w:r>
        <w:rPr>
          <w:rFonts w:asciiTheme="minorEastAsia" w:hAnsiTheme="minorEastAsia" w:cs="Times New Roman"/>
          <w:sz w:val="24"/>
          <w:szCs w:val="24"/>
        </w:rPr>
        <w:t>4</w:t>
      </w:r>
      <w:r>
        <w:rPr>
          <w:rFonts w:asciiTheme="minorEastAsia" w:hAnsiTheme="minorEastAsia" w:cs="Times New Roman" w:hint="eastAsia"/>
          <w:sz w:val="24"/>
          <w:szCs w:val="24"/>
        </w:rPr>
        <w:t>位，小数点后第</w:t>
      </w:r>
      <w:r>
        <w:rPr>
          <w:rFonts w:asciiTheme="minorEastAsia" w:hAnsiTheme="minorEastAsia" w:cs="Times New Roman"/>
          <w:sz w:val="24"/>
          <w:szCs w:val="24"/>
        </w:rPr>
        <w:t>5</w:t>
      </w:r>
      <w:r>
        <w:rPr>
          <w:rFonts w:asciiTheme="minorEastAsia" w:hAnsiTheme="minorEastAsia" w:cs="Times New Roman" w:hint="eastAsia"/>
          <w:sz w:val="24"/>
          <w:szCs w:val="24"/>
        </w:rPr>
        <w:t>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1E127770" w14:textId="77777777" w:rsidR="0066529D" w:rsidRDefault="00A901FF">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457CBDC2"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5D888C8C"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5A84C53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328F3144" w14:textId="77777777" w:rsidR="0066529D" w:rsidRDefault="00A901FF">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3A61C676" w14:textId="77777777" w:rsidR="0066529D" w:rsidRDefault="00A901FF">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54075EA7"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39C718F1"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26149B1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7F8E640B"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w:t>
      </w:r>
      <w:r>
        <w:rPr>
          <w:rFonts w:asciiTheme="minorEastAsia" w:hAnsiTheme="minorEastAsia" w:hint="eastAsia"/>
          <w:bCs/>
          <w:sz w:val="24"/>
          <w:szCs w:val="24"/>
        </w:rPr>
        <w:t>或对存量基金份额持有人利益构成潜在重大不利影响</w:t>
      </w:r>
      <w:r>
        <w:rPr>
          <w:rFonts w:asciiTheme="minorEastAsia" w:hAnsiTheme="minorEastAsia" w:cs="Arial" w:hint="eastAsia"/>
          <w:sz w:val="24"/>
          <w:szCs w:val="24"/>
        </w:rPr>
        <w:t>时。</w:t>
      </w:r>
    </w:p>
    <w:p w14:paraId="14A0FE0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7F3DE1C0"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040A7E16"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7、基金管理人接受某笔或者某些申购申请有可能导致单一投资者持有基金份额的比例达到或者超过50%，或者变相规避50%集中度的情形时。</w:t>
      </w:r>
    </w:p>
    <w:p w14:paraId="2193C4DF"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8、当前一估值日基金资产净值50%以上的资产出现无可参考的活跃市场价格且采用估值技术</w:t>
      </w:r>
      <w:proofErr w:type="gramStart"/>
      <w:r>
        <w:rPr>
          <w:rFonts w:asciiTheme="minorEastAsia" w:hAnsiTheme="minorEastAsia" w:hint="eastAsia"/>
          <w:bCs/>
          <w:sz w:val="24"/>
          <w:szCs w:val="24"/>
        </w:rPr>
        <w:t>仍导致</w:t>
      </w:r>
      <w:proofErr w:type="gramEnd"/>
      <w:r>
        <w:rPr>
          <w:rFonts w:asciiTheme="minorEastAsia" w:hAnsiTheme="minorEastAsia" w:hint="eastAsia"/>
          <w:bCs/>
          <w:sz w:val="24"/>
          <w:szCs w:val="24"/>
        </w:rPr>
        <w:t>公允价值存在重大不确定性时，经与基金托管人协商确认后，基金管理人应当采取延缓支付赎回款项或暂停接受基金申购赎回申请的措施。</w:t>
      </w:r>
    </w:p>
    <w:p w14:paraId="3CF45F4D"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9、法律法规规定或中国证监会认定的其他情形。</w:t>
      </w:r>
    </w:p>
    <w:p w14:paraId="05F8E0F9"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hint="eastAsia"/>
          <w:bCs/>
          <w:sz w:val="24"/>
          <w:szCs w:val="24"/>
        </w:rPr>
        <w:t>发生上述第1、2、</w:t>
      </w:r>
      <w:r>
        <w:rPr>
          <w:rFonts w:asciiTheme="minorEastAsia" w:hAnsiTheme="minorEastAsia"/>
          <w:bCs/>
          <w:sz w:val="24"/>
          <w:szCs w:val="24"/>
        </w:rPr>
        <w:t>3</w:t>
      </w:r>
      <w:r>
        <w:rPr>
          <w:rFonts w:asciiTheme="minorEastAsia" w:hAnsiTheme="minorEastAsia" w:hint="eastAsia"/>
          <w:bCs/>
          <w:sz w:val="24"/>
          <w:szCs w:val="24"/>
        </w:rPr>
        <w:t>、5、6、8、9项暂停申购情形之一</w:t>
      </w:r>
      <w:proofErr w:type="gramStart"/>
      <w:r>
        <w:rPr>
          <w:rFonts w:asciiTheme="minorEastAsia" w:hAnsiTheme="minorEastAsia" w:hint="eastAsia"/>
          <w:bCs/>
          <w:sz w:val="24"/>
          <w:szCs w:val="24"/>
        </w:rPr>
        <w:t>且基金</w:t>
      </w:r>
      <w:proofErr w:type="gramEnd"/>
      <w:r>
        <w:rPr>
          <w:rFonts w:asciiTheme="minorEastAsia" w:hAnsiTheme="minorEastAsia" w:hint="eastAsia"/>
          <w:bCs/>
          <w:sz w:val="24"/>
          <w:szCs w:val="24"/>
        </w:rPr>
        <w:t>管理人决定暂停接受投资人的申购申请时，基金管理人应当根据有关规定在指定媒介上刊登暂停申购公告。如果投资人的申购申请被拒绝，被拒绝的申购款项将退还给投资人。在暂停申购的情况消除时，基金管理人应及时恢复申购业务的办理。</w:t>
      </w:r>
    </w:p>
    <w:p w14:paraId="37DB5553" w14:textId="77777777" w:rsidR="0066529D" w:rsidRDefault="00A901FF">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746512B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648BCDD8"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1、因不可抗力导致基金管理人不能支付赎回款项。</w:t>
      </w:r>
    </w:p>
    <w:p w14:paraId="6264CFE0"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2、发生基金合同规定的暂停基金资产估值情况时，基金管理人可暂停接受投资人的赎回申请或延缓支付赎回款项。</w:t>
      </w:r>
    </w:p>
    <w:p w14:paraId="5087C09B"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3、证券、期货交易所交易时间非正常停市，导致基金管理人无法计算当日基金资产净值。</w:t>
      </w:r>
    </w:p>
    <w:p w14:paraId="02F4DA4C"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4、连续两个或两个以上开放日发生巨额赎回。</w:t>
      </w:r>
    </w:p>
    <w:p w14:paraId="06673CE0"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5、继续接受赎回申请将损害现有基金份额持有人利益的情形时，基金管理人可暂停接受投资人的赎回申请。</w:t>
      </w:r>
    </w:p>
    <w:p w14:paraId="419717BF"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szCs w:val="24"/>
        </w:rPr>
        <w:t>6、</w:t>
      </w:r>
      <w:r>
        <w:rPr>
          <w:rFonts w:asciiTheme="minorEastAsia" w:hAnsiTheme="minorEastAsia" w:hint="eastAsia"/>
          <w:bCs/>
          <w:sz w:val="24"/>
        </w:rPr>
        <w:t>当前一估值日基金资产净值50%以上的资产出现无可参考的活跃市场价格且采用估值技术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公允价值存在重大不确定性时，经与基金托管人协商确认后，基金管理人暂停基金估值并采取延缓支付赎回款项或暂停接受基金赎回申请的措施。</w:t>
      </w:r>
    </w:p>
    <w:p w14:paraId="5C76D7F6" w14:textId="77777777" w:rsidR="0066529D" w:rsidRDefault="00A901FF">
      <w:pPr>
        <w:spacing w:line="360" w:lineRule="auto"/>
        <w:ind w:firstLineChars="200" w:firstLine="480"/>
        <w:rPr>
          <w:rFonts w:asciiTheme="minorEastAsia" w:hAnsiTheme="minorEastAsia" w:hint="eastAsia"/>
          <w:bCs/>
          <w:sz w:val="24"/>
          <w:szCs w:val="24"/>
        </w:rPr>
      </w:pPr>
      <w:r>
        <w:rPr>
          <w:rFonts w:asciiTheme="minorEastAsia" w:hAnsiTheme="minorEastAsia"/>
          <w:bCs/>
          <w:sz w:val="24"/>
          <w:szCs w:val="24"/>
        </w:rPr>
        <w:t>7</w:t>
      </w:r>
      <w:r>
        <w:rPr>
          <w:rFonts w:asciiTheme="minorEastAsia" w:hAnsiTheme="minorEastAsia" w:hint="eastAsia"/>
          <w:bCs/>
          <w:sz w:val="24"/>
          <w:szCs w:val="24"/>
        </w:rPr>
        <w:t>、法律法规规定或中国证监会认定的其他情形。</w:t>
      </w:r>
    </w:p>
    <w:p w14:paraId="5647E443"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rFonts w:asciiTheme="minorEastAsia" w:hAnsiTheme="minorEastAsia" w:hint="eastAsia"/>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w:t>
      </w:r>
      <w:r>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bookmarkStart w:id="188" w:name="_Toc416264545"/>
      <w:bookmarkStart w:id="189" w:name="_Toc139991740"/>
      <w:bookmarkStart w:id="190" w:name="_Toc141703890"/>
      <w:bookmarkStart w:id="191" w:name="_Toc3329"/>
      <w:bookmarkStart w:id="192" w:name="_Toc29408"/>
      <w:bookmarkStart w:id="193" w:name="_Toc32584"/>
      <w:bookmarkStart w:id="194" w:name="_Toc48649708"/>
      <w:bookmarkStart w:id="195" w:name="_Toc20976"/>
      <w:bookmarkStart w:id="196" w:name="_Toc739"/>
      <w:bookmarkStart w:id="197" w:name="_Toc21237"/>
      <w:bookmarkStart w:id="198" w:name="_Toc5170"/>
      <w:bookmarkStart w:id="199" w:name="_Toc17198"/>
      <w:bookmarkStart w:id="200" w:name="_Toc123051456"/>
      <w:bookmarkStart w:id="201" w:name="_Toc79392622"/>
      <w:bookmarkStart w:id="202" w:name="_Toc123102457"/>
      <w:bookmarkStart w:id="203" w:name="_Toc123112238"/>
      <w:bookmarkStart w:id="204" w:name="_Toc17920"/>
      <w:bookmarkStart w:id="205" w:name="_Toc98560356"/>
      <w:bookmarkStart w:id="206" w:name="_Toc8791"/>
      <w:bookmarkStart w:id="207" w:name="_Toc352229756"/>
      <w:bookmarkStart w:id="208" w:name="_Toc32092"/>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p>
    <w:p w14:paraId="1F0CCDC3" w14:textId="77777777" w:rsidR="0066529D" w:rsidRDefault="00A901F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493E6923"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1、巨额赎回的认定</w:t>
      </w:r>
    </w:p>
    <w:p w14:paraId="7A543F80"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w:t>
      </w:r>
      <w:r>
        <w:rPr>
          <w:rFonts w:asciiTheme="minorEastAsia" w:hAnsiTheme="minorEastAsia" w:cs="Arial"/>
          <w:sz w:val="24"/>
          <w:szCs w:val="24"/>
        </w:rPr>
        <w:t>10%，即认为是发生了巨额赎回。</w:t>
      </w:r>
    </w:p>
    <w:p w14:paraId="0D14FEE6"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2、巨额赎回的处理方式</w:t>
      </w:r>
    </w:p>
    <w:p w14:paraId="79837885"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43B384A5"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1）全额赎回：当基金管理人认为有能力支付投资人的全部赎回申请时，按正常赎回程序执行。</w:t>
      </w:r>
    </w:p>
    <w:p w14:paraId="58F4915F" w14:textId="77777777" w:rsidR="0066529D" w:rsidRDefault="00A901FF">
      <w:pPr>
        <w:spacing w:line="360" w:lineRule="auto"/>
        <w:ind w:firstLineChars="200" w:firstLine="480"/>
        <w:rPr>
          <w:rFonts w:asciiTheme="minorEastAsia" w:hAnsiTheme="minorEastAsia" w:hint="eastAsia"/>
          <w:b/>
          <w:bCs/>
          <w:sz w:val="24"/>
          <w:szCs w:val="24"/>
        </w:rPr>
      </w:pPr>
      <w:r>
        <w:rPr>
          <w:rFonts w:asciiTheme="minorEastAsia" w:hAnsiTheme="minorEastAsia" w:hint="eastAsia"/>
          <w:bCs/>
          <w:sz w:val="24"/>
          <w:szCs w:val="24"/>
        </w:rPr>
        <w:lastRenderedPageBreak/>
        <w:t>（</w:t>
      </w:r>
      <w:r>
        <w:rPr>
          <w:rFonts w:asciiTheme="minorEastAsia" w:hAnsiTheme="minorEastAsia"/>
          <w:bCs/>
          <w:sz w:val="24"/>
          <w:szCs w:val="24"/>
        </w:rPr>
        <w:t>2</w:t>
      </w:r>
      <w:r>
        <w:rPr>
          <w:rFonts w:asciiTheme="minorEastAsia" w:hAnsiTheme="minorEastAsia" w:hint="eastAsia"/>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asciiTheme="minorEastAsia" w:hAnsiTheme="minorEastAsia"/>
          <w:bCs/>
          <w:sz w:val="24"/>
          <w:szCs w:val="24"/>
        </w:rPr>
        <w:t>10%</w:t>
      </w:r>
      <w:r>
        <w:rPr>
          <w:rFonts w:asciiTheme="minorEastAsia" w:hAnsiTheme="minorEastAsia" w:hint="eastAsia"/>
          <w:bCs/>
          <w:sz w:val="24"/>
          <w:szCs w:val="24"/>
        </w:rPr>
        <w:t>的前提下，可对其余赎回申请延期办理。若进行上述延期办理，对于单个基金份额持有人当日赎回申请超过上一开放日基金总份额</w:t>
      </w:r>
      <w:r>
        <w:rPr>
          <w:rFonts w:asciiTheme="minorEastAsia" w:hAnsiTheme="minorEastAsia"/>
          <w:bCs/>
          <w:sz w:val="24"/>
          <w:szCs w:val="24"/>
        </w:rPr>
        <w:t>50</w:t>
      </w:r>
      <w:r>
        <w:rPr>
          <w:rFonts w:asciiTheme="minorEastAsia" w:hAnsiTheme="minorEastAsia" w:hint="eastAsia"/>
          <w:bCs/>
          <w:sz w:val="24"/>
          <w:szCs w:val="24"/>
        </w:rPr>
        <w:t>%以上的部分，将自动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hint="eastAsia"/>
          <w:bCs/>
          <w:sz w:val="24"/>
          <w:szCs w:val="24"/>
        </w:rPr>
        <w:t>并以下</w:t>
      </w:r>
      <w:proofErr w:type="gramEnd"/>
      <w:r>
        <w:rPr>
          <w:rFonts w:asciiTheme="minorEastAsia" w:hAnsiTheme="minorEastAsia" w:hint="eastAsia"/>
          <w:bCs/>
          <w:sz w:val="24"/>
          <w:szCs w:val="24"/>
        </w:rPr>
        <w:t>一</w:t>
      </w:r>
      <w:proofErr w:type="gramStart"/>
      <w:r>
        <w:rPr>
          <w:rFonts w:asciiTheme="minorEastAsia" w:hAnsiTheme="minorEastAsia" w:hint="eastAsia"/>
          <w:bCs/>
          <w:sz w:val="24"/>
          <w:szCs w:val="24"/>
        </w:rPr>
        <w:t>开放日某一类</w:t>
      </w:r>
      <w:proofErr w:type="gramEnd"/>
      <w:r>
        <w:rPr>
          <w:rFonts w:asciiTheme="minorEastAsia" w:hAnsiTheme="minorEastAsia" w:hint="eastAsia"/>
          <w:bCs/>
          <w:sz w:val="24"/>
          <w:szCs w:val="24"/>
        </w:rPr>
        <w:t>别的基金份额净值为基础计算赎回金额，以此类推，直到全部赎回为止。如投资人在提交赎回申请时未作明确选择，投资人未能赎回部分作自动延期赎回处理。部分延期赎回不受单笔赎回最低份额的限制。</w:t>
      </w:r>
    </w:p>
    <w:p w14:paraId="3979C4C6"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0F7EC2EA"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3、巨额赎回的公告</w:t>
      </w:r>
    </w:p>
    <w:p w14:paraId="0D083C77"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w:t>
      </w:r>
      <w:r>
        <w:rPr>
          <w:rFonts w:asciiTheme="minorEastAsia" w:hAnsiTheme="minorEastAsia" w:cs="Arial"/>
          <w:sz w:val="24"/>
          <w:szCs w:val="24"/>
        </w:rPr>
        <w:t>3个交易日内通知基金份额持有人，说明有关处理方法，</w:t>
      </w:r>
      <w:r>
        <w:rPr>
          <w:rFonts w:asciiTheme="minorEastAsia" w:hAnsiTheme="minorEastAsia" w:cs="Arial" w:hint="eastAsia"/>
          <w:sz w:val="24"/>
          <w:szCs w:val="24"/>
        </w:rPr>
        <w:t>并在</w:t>
      </w:r>
      <w:r>
        <w:rPr>
          <w:rFonts w:asciiTheme="minorEastAsia" w:hAnsiTheme="minorEastAsia" w:cs="Arial"/>
          <w:sz w:val="24"/>
          <w:szCs w:val="24"/>
        </w:rPr>
        <w:t>2日内在指定媒介上刊登公告。</w:t>
      </w:r>
    </w:p>
    <w:p w14:paraId="10045037" w14:textId="77777777" w:rsidR="0066529D" w:rsidRDefault="00A901F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1085FD30"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1、发生上述暂停申购或赎回情况的，</w:t>
      </w:r>
      <w:r>
        <w:rPr>
          <w:rFonts w:asciiTheme="minorEastAsia" w:hAnsiTheme="minorEastAsia" w:cs="Arial" w:hint="eastAsia"/>
          <w:sz w:val="24"/>
          <w:szCs w:val="24"/>
        </w:rPr>
        <w:t>基金管理人应在规定期限内在指定媒介上刊登暂停公告。</w:t>
      </w:r>
    </w:p>
    <w:p w14:paraId="7F4EDE8B"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0FBC7EF9"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sz w:val="24"/>
          <w:szCs w:val="24"/>
        </w:rPr>
        <w:lastRenderedPageBreak/>
        <w:t>3、上述暂停申购或赎回情况消除的，基金管理人应于重新开放日公布最近1个工作日两类基金份额净值。</w:t>
      </w:r>
    </w:p>
    <w:p w14:paraId="4D5FCF54" w14:textId="77777777" w:rsidR="0066529D" w:rsidRDefault="00A901F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十三、基金转换</w:t>
      </w:r>
    </w:p>
    <w:p w14:paraId="6FA19E2F"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263E54A8" w14:textId="77777777" w:rsidR="0066529D" w:rsidRDefault="00A901F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404273F1"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066C642" w14:textId="77777777" w:rsidR="0066529D" w:rsidRDefault="00A901F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11D0A66D"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0C8D4BEA"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23A5F8D9" w14:textId="77777777" w:rsidR="0066529D" w:rsidRDefault="00A901F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31485016"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3E3518C2" w14:textId="77777777" w:rsidR="0066529D" w:rsidRDefault="00A901F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1603B03B"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w:t>
      </w:r>
      <w:r>
        <w:rPr>
          <w:rFonts w:asciiTheme="minorEastAsia" w:hAnsiTheme="minorEastAsia" w:cs="Arial" w:hint="eastAsia"/>
          <w:sz w:val="24"/>
          <w:szCs w:val="24"/>
        </w:rPr>
        <w:lastRenderedPageBreak/>
        <w:t>金额必须不低于基金管理人在相关公告或更新的招募说明书中所规定的定期定额投资计划最低申购金额。</w:t>
      </w:r>
    </w:p>
    <w:p w14:paraId="268C9489" w14:textId="77777777" w:rsidR="0066529D" w:rsidRDefault="00A901FF">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十八、基金份额的冻结、解冻与质押</w:t>
      </w:r>
    </w:p>
    <w:p w14:paraId="7A2B2215" w14:textId="77777777" w:rsidR="0066529D" w:rsidRDefault="00A901FF">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63C7896C"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基金份额被冻结的，被冻结部分产生的权益一并冻结，被冻结部分份额仍然参与收益分配。法律法规或监管机构另有规定的除外。</w:t>
      </w:r>
    </w:p>
    <w:p w14:paraId="3D9EF8A6" w14:textId="77777777" w:rsidR="0066529D" w:rsidRDefault="00A901FF">
      <w:pPr>
        <w:widowControl/>
        <w:spacing w:line="360" w:lineRule="auto"/>
        <w:ind w:firstLineChars="200" w:firstLine="480"/>
        <w:jc w:val="left"/>
        <w:rPr>
          <w:rFonts w:asciiTheme="minorEastAsia" w:hAnsiTheme="minorEastAsia" w:cs="Arial" w:hint="eastAsia"/>
          <w:szCs w:val="21"/>
        </w:rPr>
        <w:sectPr w:rsidR="0066529D">
          <w:footerReference w:type="default" r:id="rId30"/>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22FAFDFD" w14:textId="77777777" w:rsidR="0066529D" w:rsidRDefault="00A901FF">
      <w:pPr>
        <w:pStyle w:val="1"/>
        <w:jc w:val="center"/>
        <w:rPr>
          <w:rFonts w:asciiTheme="minorEastAsia" w:eastAsiaTheme="minorEastAsia" w:hAnsiTheme="minorEastAsia" w:hint="eastAsia"/>
          <w:sz w:val="30"/>
          <w:szCs w:val="30"/>
        </w:rPr>
      </w:pPr>
      <w:bookmarkStart w:id="209" w:name="_Toc146096085"/>
      <w:r>
        <w:rPr>
          <w:rFonts w:asciiTheme="minorEastAsia" w:eastAsiaTheme="minorEastAsia" w:hAnsiTheme="minorEastAsia" w:hint="eastAsia"/>
          <w:sz w:val="30"/>
          <w:szCs w:val="30"/>
        </w:rPr>
        <w:lastRenderedPageBreak/>
        <w:t>第九部分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基金的投资</w:t>
      </w:r>
      <w:bookmarkEnd w:id="188"/>
      <w:bookmarkEnd w:id="209"/>
    </w:p>
    <w:p w14:paraId="11EEA6C2" w14:textId="77777777" w:rsidR="0066529D" w:rsidRDefault="00A901F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0B801DC5" w14:textId="77777777" w:rsidR="0066529D" w:rsidRDefault="00A901F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4D02D85F" w14:textId="77777777" w:rsidR="0066529D" w:rsidRDefault="00A901F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01338B2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asciiTheme="minorEastAsia" w:hAnsiTheme="minorEastAsia" w:hint="eastAsia"/>
          <w:bCs/>
          <w:sz w:val="24"/>
        </w:rPr>
        <w:t>，债券（含国债、金融债、企业债、公司债、央行票据、中期票据、短期融资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、超短期融资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、政府支持机构债、地方政府债、公开发行的次级债、可转换债券、可交换债券、中小企业私募</w:t>
      </w:r>
      <w:proofErr w:type="gramStart"/>
      <w:r>
        <w:rPr>
          <w:rFonts w:asciiTheme="minorEastAsia" w:hAnsiTheme="minorEastAsia" w:hint="eastAsia"/>
          <w:bCs/>
          <w:sz w:val="24"/>
        </w:rPr>
        <w:t>债及其</w:t>
      </w:r>
      <w:proofErr w:type="gramEnd"/>
      <w:r>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316D49EE" w14:textId="77777777" w:rsidR="0066529D" w:rsidRDefault="00A901FF">
      <w:pPr>
        <w:spacing w:line="360" w:lineRule="auto"/>
        <w:ind w:firstLineChars="200" w:firstLine="480"/>
        <w:rPr>
          <w:rFonts w:asciiTheme="minorEastAsia" w:hAnsiTheme="minorEastAsia" w:cs="Times New Roman" w:hint="eastAsia"/>
          <w:bCs/>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r>
        <w:rPr>
          <w:rFonts w:asciiTheme="minorEastAsia" w:hAnsiTheme="minorEastAsia" w:cs="Times New Roman" w:hint="eastAsia"/>
          <w:bCs/>
          <w:sz w:val="24"/>
          <w:szCs w:val="24"/>
        </w:rPr>
        <w:t>。</w:t>
      </w:r>
    </w:p>
    <w:p w14:paraId="48B9FA3E" w14:textId="77777777" w:rsidR="0066529D" w:rsidRDefault="00A901FF">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21C1E625"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26A6CB7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（一）资产配置策略</w:t>
      </w:r>
    </w:p>
    <w:p w14:paraId="67D9877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本基金将通过跟踪</w:t>
      </w:r>
      <w:proofErr w:type="gramStart"/>
      <w:r>
        <w:rPr>
          <w:rFonts w:asciiTheme="minorEastAsia" w:hAnsiTheme="minorEastAsia" w:hint="eastAsia"/>
          <w:bCs/>
          <w:sz w:val="24"/>
        </w:rPr>
        <w:t>考量</w:t>
      </w:r>
      <w:proofErr w:type="gramEnd"/>
      <w:r>
        <w:rPr>
          <w:rFonts w:asciiTheme="minorEastAsia" w:hAnsiTheme="minorEastAsia" w:hint="eastAsia"/>
          <w:bCs/>
          <w:sz w:val="24"/>
        </w:rPr>
        <w:t>通常的宏观经济变量（包括GDP增长率、CPI走势、M2的绝对水平和增长率、利率水平与走势等）以及各项国家政策（包括财政、税收、货币、汇率政策等），并</w:t>
      </w:r>
      <w:proofErr w:type="gramStart"/>
      <w:r>
        <w:rPr>
          <w:rFonts w:asciiTheme="minorEastAsia" w:hAnsiTheme="minorEastAsia" w:hint="eastAsia"/>
          <w:bCs/>
          <w:sz w:val="24"/>
        </w:rPr>
        <w:t>结合美</w:t>
      </w:r>
      <w:proofErr w:type="gramEnd"/>
      <w:r>
        <w:rPr>
          <w:rFonts w:asciiTheme="minorEastAsia" w:hAnsiTheme="minorEastAsia" w:hint="eastAsia"/>
          <w:bCs/>
          <w:sz w:val="24"/>
        </w:rPr>
        <w:t>林时钟等科学严谨的资产配置模型，动态评估不同资产大类在不同时期的投资价值及其风险收益特征，追求股票、债券和货币等大类资产的灵活配置和稳健收益。</w:t>
      </w:r>
    </w:p>
    <w:p w14:paraId="1F30147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（二）债券投资策略</w:t>
      </w:r>
    </w:p>
    <w:p w14:paraId="128DE05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本基金债券投资将</w:t>
      </w:r>
      <w:proofErr w:type="gramStart"/>
      <w:r>
        <w:rPr>
          <w:rFonts w:asciiTheme="minorEastAsia" w:hAnsiTheme="minorEastAsia" w:hint="eastAsia"/>
          <w:bCs/>
          <w:sz w:val="24"/>
        </w:rPr>
        <w:t>采取久期策略</w:t>
      </w:r>
      <w:proofErr w:type="gramEnd"/>
      <w:r>
        <w:rPr>
          <w:rFonts w:asciiTheme="minorEastAsia" w:hAnsiTheme="minorEastAsia" w:hint="eastAsia"/>
          <w:bCs/>
          <w:sz w:val="24"/>
        </w:rPr>
        <w:t>、收益率曲线策略、骑乘策略、息差策略、</w:t>
      </w:r>
      <w:proofErr w:type="gramStart"/>
      <w:r>
        <w:rPr>
          <w:rFonts w:asciiTheme="minorEastAsia" w:hAnsiTheme="minorEastAsia" w:hint="eastAsia"/>
          <w:bCs/>
          <w:sz w:val="24"/>
        </w:rPr>
        <w:lastRenderedPageBreak/>
        <w:t>个券</w:t>
      </w:r>
      <w:proofErr w:type="gramEnd"/>
      <w:r>
        <w:rPr>
          <w:rFonts w:asciiTheme="minorEastAsia" w:hAnsiTheme="minorEastAsia" w:hint="eastAsia"/>
          <w:bCs/>
          <w:sz w:val="24"/>
        </w:rPr>
        <w:t>选择策略、信用策略、中小企业私募债投资策略、可转债投资策略等积极投资策略，灵活地调整组合的券种搭配，精选个</w:t>
      </w:r>
      <w:proofErr w:type="gramStart"/>
      <w:r>
        <w:rPr>
          <w:rFonts w:asciiTheme="minorEastAsia" w:hAnsiTheme="minorEastAsia" w:hint="eastAsia"/>
          <w:bCs/>
          <w:sz w:val="24"/>
        </w:rPr>
        <w:t>券</w:t>
      </w:r>
      <w:proofErr w:type="gramEnd"/>
      <w:r>
        <w:rPr>
          <w:rFonts w:asciiTheme="minorEastAsia" w:hAnsiTheme="minorEastAsia" w:hint="eastAsia"/>
          <w:bCs/>
          <w:sz w:val="24"/>
        </w:rPr>
        <w:t>，力争实现投资组合的保值增值。</w:t>
      </w:r>
    </w:p>
    <w:p w14:paraId="67E42B8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w:t>
      </w:r>
      <w:proofErr w:type="gramStart"/>
      <w:r>
        <w:rPr>
          <w:rFonts w:asciiTheme="minorEastAsia" w:hAnsiTheme="minorEastAsia" w:hint="eastAsia"/>
          <w:bCs/>
          <w:sz w:val="24"/>
        </w:rPr>
        <w:t>久期策略</w:t>
      </w:r>
      <w:proofErr w:type="gramEnd"/>
    </w:p>
    <w:p w14:paraId="3767475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proofErr w:type="gramStart"/>
      <w:r>
        <w:rPr>
          <w:rFonts w:asciiTheme="minorEastAsia" w:hAnsiTheme="minorEastAsia" w:hint="eastAsia"/>
          <w:bCs/>
          <w:sz w:val="24"/>
        </w:rPr>
        <w:t>久期管理</w:t>
      </w:r>
      <w:proofErr w:type="gramEnd"/>
      <w:r>
        <w:rPr>
          <w:rFonts w:asciiTheme="minorEastAsia" w:hAnsiTheme="minorEastAsia" w:hint="eastAsia"/>
          <w:bCs/>
          <w:sz w:val="24"/>
        </w:rPr>
        <w:t>是债券投资的重要</w:t>
      </w:r>
      <w:proofErr w:type="gramStart"/>
      <w:r>
        <w:rPr>
          <w:rFonts w:asciiTheme="minorEastAsia" w:hAnsiTheme="minorEastAsia" w:hint="eastAsia"/>
          <w:bCs/>
          <w:sz w:val="24"/>
        </w:rPr>
        <w:t>考量</w:t>
      </w:r>
      <w:proofErr w:type="gramEnd"/>
      <w:r>
        <w:rPr>
          <w:rFonts w:asciiTheme="minorEastAsia" w:hAnsiTheme="minorEastAsia" w:hint="eastAsia"/>
          <w:bCs/>
          <w:sz w:val="24"/>
        </w:rPr>
        <w:t>因素，本基金将采用以“目标久期”为中心、</w:t>
      </w:r>
      <w:r>
        <w:rPr>
          <w:rFonts w:asciiTheme="minorEastAsia" w:hAnsiTheme="minorEastAsia"/>
          <w:bCs/>
          <w:sz w:val="24"/>
        </w:rPr>
        <w:t xml:space="preserve"> </w:t>
      </w:r>
      <w:r>
        <w:rPr>
          <w:rFonts w:asciiTheme="minorEastAsia" w:hAnsiTheme="minorEastAsia" w:hint="eastAsia"/>
          <w:bCs/>
          <w:sz w:val="24"/>
        </w:rPr>
        <w:t>自上而下的</w:t>
      </w:r>
      <w:proofErr w:type="gramStart"/>
      <w:r>
        <w:rPr>
          <w:rFonts w:asciiTheme="minorEastAsia" w:hAnsiTheme="minorEastAsia" w:hint="eastAsia"/>
          <w:bCs/>
          <w:sz w:val="24"/>
        </w:rPr>
        <w:t>组合久期管理</w:t>
      </w:r>
      <w:proofErr w:type="gramEnd"/>
      <w:r>
        <w:rPr>
          <w:rFonts w:asciiTheme="minorEastAsia" w:hAnsiTheme="minorEastAsia" w:hint="eastAsia"/>
          <w:bCs/>
          <w:sz w:val="24"/>
        </w:rPr>
        <w:t>策略。</w:t>
      </w:r>
    </w:p>
    <w:p w14:paraId="1028B84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2、收益率曲线策略</w:t>
      </w:r>
    </w:p>
    <w:p w14:paraId="0531AC2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收益率曲线的形状变化是判断市场整体走向的一个重要依据，本基金将据此调整组合长、中、短期债券的搭配，并进行动态调整。</w:t>
      </w:r>
    </w:p>
    <w:p w14:paraId="5DA5DE0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3、骑乘策略</w:t>
      </w:r>
    </w:p>
    <w:p w14:paraId="3F44BE6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本基金将采用基于收益率曲线分析对债券组合进行适时调整的骑乘策略，</w:t>
      </w:r>
      <w:r>
        <w:rPr>
          <w:rFonts w:asciiTheme="minorEastAsia" w:hAnsiTheme="minorEastAsia"/>
          <w:bCs/>
          <w:sz w:val="24"/>
        </w:rPr>
        <w:t xml:space="preserve"> </w:t>
      </w:r>
      <w:r>
        <w:rPr>
          <w:rFonts w:asciiTheme="minorEastAsia" w:hAnsiTheme="minorEastAsia" w:hint="eastAsia"/>
          <w:bCs/>
          <w:sz w:val="24"/>
        </w:rPr>
        <w:t>以达到增强组合的持有期收益的目的。</w:t>
      </w:r>
    </w:p>
    <w:p w14:paraId="4B48CD1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4、息差策略</w:t>
      </w:r>
    </w:p>
    <w:p w14:paraId="42F1694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w:t>
      </w:r>
      <w:proofErr w:type="gramStart"/>
      <w:r>
        <w:rPr>
          <w:rFonts w:asciiTheme="minorEastAsia" w:hAnsiTheme="minorEastAsia" w:hint="eastAsia"/>
          <w:bCs/>
          <w:sz w:val="24"/>
        </w:rPr>
        <w:t>采用息</w:t>
      </w:r>
      <w:proofErr w:type="gramEnd"/>
      <w:r>
        <w:rPr>
          <w:rFonts w:asciiTheme="minorEastAsia" w:hAnsiTheme="minorEastAsia" w:hint="eastAsia"/>
          <w:bCs/>
          <w:sz w:val="24"/>
        </w:rPr>
        <w:t>差策略，以达到更好地利用杠杆放大债券投资的收益的目的。</w:t>
      </w:r>
    </w:p>
    <w:p w14:paraId="4261059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w:t>
      </w:r>
      <w:proofErr w:type="gramStart"/>
      <w:r>
        <w:rPr>
          <w:rFonts w:asciiTheme="minorEastAsia" w:hAnsiTheme="minorEastAsia" w:hint="eastAsia"/>
          <w:bCs/>
          <w:sz w:val="24"/>
        </w:rPr>
        <w:t>个券</w:t>
      </w:r>
      <w:proofErr w:type="gramEnd"/>
      <w:r>
        <w:rPr>
          <w:rFonts w:asciiTheme="minorEastAsia" w:hAnsiTheme="minorEastAsia" w:hint="eastAsia"/>
          <w:bCs/>
          <w:sz w:val="24"/>
        </w:rPr>
        <w:t>选择策略</w:t>
      </w:r>
    </w:p>
    <w:p w14:paraId="1F2127B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55FC41A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6、信用策略</w:t>
      </w:r>
    </w:p>
    <w:p w14:paraId="496ED49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asciiTheme="minorEastAsia" w:hAnsiTheme="minorEastAsia" w:hint="eastAsia"/>
          <w:bCs/>
          <w:sz w:val="24"/>
        </w:rPr>
        <w:t>债进行</w:t>
      </w:r>
      <w:proofErr w:type="gramEnd"/>
      <w:r>
        <w:rPr>
          <w:rFonts w:asciiTheme="minorEastAsia" w:hAnsiTheme="minorEastAsia" w:hint="eastAsia"/>
          <w:bCs/>
          <w:sz w:val="24"/>
        </w:rPr>
        <w:t>投资。</w:t>
      </w:r>
    </w:p>
    <w:p w14:paraId="3BDF996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7、中小企业私募债券策略</w:t>
      </w:r>
    </w:p>
    <w:p w14:paraId="0C0CBC6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中小企业私募债券是在中国境内以非公开方式发行和转让，约定在一定期限还本付息的公司债券。由于其非公开性及条款可协商性，普遍具有较高收益。</w:t>
      </w:r>
      <w:r>
        <w:rPr>
          <w:rFonts w:asciiTheme="minorEastAsia" w:hAnsiTheme="minorEastAsia"/>
          <w:bCs/>
          <w:sz w:val="24"/>
        </w:rPr>
        <w:t xml:space="preserve"> </w:t>
      </w:r>
      <w:r>
        <w:rPr>
          <w:rFonts w:asciiTheme="minorEastAsia" w:hAnsiTheme="minorEastAsia" w:hint="eastAsia"/>
          <w:bCs/>
          <w:sz w:val="24"/>
        </w:rPr>
        <w:t>本基金将深入研究发行人资信及公司运营情况，合理合</w:t>
      </w:r>
      <w:proofErr w:type="gramStart"/>
      <w:r>
        <w:rPr>
          <w:rFonts w:asciiTheme="minorEastAsia" w:hAnsiTheme="minorEastAsia" w:hint="eastAsia"/>
          <w:bCs/>
          <w:sz w:val="24"/>
        </w:rPr>
        <w:t>规</w:t>
      </w:r>
      <w:proofErr w:type="gramEnd"/>
      <w:r>
        <w:rPr>
          <w:rFonts w:asciiTheme="minorEastAsia" w:hAnsiTheme="minorEastAsia" w:hint="eastAsia"/>
          <w:bCs/>
          <w:sz w:val="24"/>
        </w:rPr>
        <w:t>合格地进行中小企业私募债券投资。本基金在投资过程中密切监控债券信用等级或发行人信用等级变化情况，尽力规避风险，并获取超额收益。</w:t>
      </w:r>
    </w:p>
    <w:p w14:paraId="5FA4161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8、可转债投资策略</w:t>
      </w:r>
    </w:p>
    <w:p w14:paraId="34F0D21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可转债兼具权益类证券与固定收益类证券的特性，本基金一方面将对发债主</w:t>
      </w:r>
      <w:r>
        <w:rPr>
          <w:rFonts w:asciiTheme="minorEastAsia" w:hAnsiTheme="minorEastAsia" w:hint="eastAsia"/>
          <w:bCs/>
          <w:sz w:val="24"/>
        </w:rPr>
        <w:lastRenderedPageBreak/>
        <w:t>体的信用基本面进行深入挖掘以明确该可转债</w:t>
      </w:r>
      <w:proofErr w:type="gramStart"/>
      <w:r>
        <w:rPr>
          <w:rFonts w:asciiTheme="minorEastAsia" w:hAnsiTheme="minorEastAsia" w:hint="eastAsia"/>
          <w:bCs/>
          <w:sz w:val="24"/>
        </w:rPr>
        <w:t>的债底保护</w:t>
      </w:r>
      <w:proofErr w:type="gramEnd"/>
      <w:r>
        <w:rPr>
          <w:rFonts w:asciiTheme="minorEastAsia" w:hAnsiTheme="minorEastAsia"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asciiTheme="minorEastAsia" w:hAnsiTheme="minorEastAsia" w:hint="eastAsia"/>
          <w:bCs/>
          <w:sz w:val="24"/>
        </w:rPr>
        <w:t>债进行</w:t>
      </w:r>
      <w:proofErr w:type="gramEnd"/>
      <w:r>
        <w:rPr>
          <w:rFonts w:asciiTheme="minorEastAsia" w:hAnsiTheme="minorEastAsia" w:hint="eastAsia"/>
          <w:bCs/>
          <w:sz w:val="24"/>
        </w:rPr>
        <w:t>投资。</w:t>
      </w:r>
    </w:p>
    <w:p w14:paraId="15B9873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（三）股票投资策略</w:t>
      </w:r>
    </w:p>
    <w:p w14:paraId="09860DC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asciiTheme="minorEastAsia" w:hAnsiTheme="minorEastAsia" w:hint="eastAsia"/>
          <w:bCs/>
          <w:sz w:val="24"/>
        </w:rPr>
        <w:t>研</w:t>
      </w:r>
      <w:proofErr w:type="gramEnd"/>
      <w:r>
        <w:rPr>
          <w:rFonts w:asciiTheme="minorEastAsia" w:hAnsiTheme="minorEastAsia" w:hint="eastAsia"/>
          <w:bCs/>
          <w:sz w:val="24"/>
        </w:rPr>
        <w:t>判，力争实现组合的保值增值。</w:t>
      </w:r>
    </w:p>
    <w:p w14:paraId="76CC0E6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1、自上而下的行业遴选</w:t>
      </w:r>
    </w:p>
    <w:p w14:paraId="0D5116E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asciiTheme="minorEastAsia" w:hAnsiTheme="minorEastAsia"/>
          <w:bCs/>
          <w:sz w:val="24"/>
        </w:rPr>
        <w:t xml:space="preserve"> </w:t>
      </w:r>
      <w:r>
        <w:rPr>
          <w:rFonts w:asciiTheme="minorEastAsia" w:hAnsiTheme="minorEastAsia"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7AE775A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2、自下而上的个股选择</w:t>
      </w:r>
    </w:p>
    <w:p w14:paraId="1C995F3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asciiTheme="minorEastAsia" w:hAnsiTheme="minorEastAsia" w:hint="eastAsia"/>
          <w:bCs/>
          <w:sz w:val="24"/>
        </w:rPr>
        <w:t>就核心</w:t>
      </w:r>
      <w:proofErr w:type="gramEnd"/>
      <w:r>
        <w:rPr>
          <w:rFonts w:asciiTheme="minorEastAsia" w:hAnsiTheme="minorEastAsia" w:hint="eastAsia"/>
          <w:bCs/>
          <w:sz w:val="24"/>
        </w:rPr>
        <w:t>竞争力，分析公司的现有核心竞争力，并判断公司能否利用现有的资源、能力和定位取得可持续竞争优势。</w:t>
      </w:r>
    </w:p>
    <w:p w14:paraId="42E56DE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另一方面是管理层分析，在国内监管体系落后、公司治理结构不完善的基础上，上市公司的命运对管理团队的依赖度大大增加。本基金将着重考察公司的管理层以及管理制度。</w:t>
      </w:r>
    </w:p>
    <w:p w14:paraId="76B6435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3、综合</w:t>
      </w:r>
      <w:proofErr w:type="gramStart"/>
      <w:r>
        <w:rPr>
          <w:rFonts w:asciiTheme="minorEastAsia" w:hAnsiTheme="minorEastAsia" w:hint="eastAsia"/>
          <w:bCs/>
          <w:sz w:val="24"/>
        </w:rPr>
        <w:t>研</w:t>
      </w:r>
      <w:proofErr w:type="gramEnd"/>
      <w:r>
        <w:rPr>
          <w:rFonts w:asciiTheme="minorEastAsia" w:hAnsiTheme="minorEastAsia" w:hint="eastAsia"/>
          <w:bCs/>
          <w:sz w:val="24"/>
        </w:rPr>
        <w:t>判</w:t>
      </w:r>
    </w:p>
    <w:p w14:paraId="4941FCD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本基金在自上而下和自下而上的基础上，结合估值分析，力争实现组合的保值增值。通过对估值方法的选择和估值倍数的比较，选择股价相对低估的股票。</w:t>
      </w:r>
      <w:r>
        <w:rPr>
          <w:rFonts w:asciiTheme="minorEastAsia" w:hAnsiTheme="minorEastAsia" w:hint="eastAsia"/>
          <w:bCs/>
          <w:sz w:val="24"/>
        </w:rPr>
        <w:lastRenderedPageBreak/>
        <w:t>就估值方法而言，基于行业的特点确定对股价最有影响力的关键估值方法（包括PE、PEG、PB、PS、EV/EBITDA等）；就估值倍数而言，通过业内比较、历史比较和增长性分析，确定具有上升基础的股价水平。</w:t>
      </w:r>
    </w:p>
    <w:p w14:paraId="038E237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bookmarkStart w:id="210" w:name="_Toc386095938"/>
      <w:r>
        <w:rPr>
          <w:rFonts w:asciiTheme="minorEastAsia" w:hAnsiTheme="minorEastAsia" w:hint="eastAsia"/>
          <w:bCs/>
          <w:sz w:val="24"/>
        </w:rPr>
        <w:t>（四）金融衍生</w:t>
      </w:r>
      <w:proofErr w:type="gramStart"/>
      <w:r>
        <w:rPr>
          <w:rFonts w:asciiTheme="minorEastAsia" w:hAnsiTheme="minorEastAsia" w:hint="eastAsia"/>
          <w:bCs/>
          <w:sz w:val="24"/>
        </w:rPr>
        <w:t>品投资</w:t>
      </w:r>
      <w:proofErr w:type="gramEnd"/>
      <w:r>
        <w:rPr>
          <w:rFonts w:asciiTheme="minorEastAsia" w:hAnsiTheme="minorEastAsia" w:hint="eastAsia"/>
          <w:bCs/>
          <w:sz w:val="24"/>
        </w:rPr>
        <w:t>策略</w:t>
      </w:r>
      <w:bookmarkEnd w:id="210"/>
    </w:p>
    <w:p w14:paraId="7EF3782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、权证投资策略</w:t>
      </w:r>
    </w:p>
    <w:p w14:paraId="5D54530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权证为本基金辅助性投资工具，投资原则为有利于基金资产增值、控制下跌风险。本基金在权证投资方面将以价值分析为基础，在采用数量化模型分析其合理定价的基础上，立足于无风险套利，力求稳健的投资收益。</w:t>
      </w:r>
    </w:p>
    <w:p w14:paraId="0702AAB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2</w:t>
      </w:r>
      <w:r>
        <w:rPr>
          <w:rFonts w:asciiTheme="minorEastAsia" w:hAnsiTheme="minorEastAsia" w:hint="eastAsia"/>
          <w:bCs/>
          <w:sz w:val="24"/>
        </w:rPr>
        <w:t>、股指期货投资策略</w:t>
      </w:r>
    </w:p>
    <w:p w14:paraId="0C5CAAB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本基金将根据风险管理的原则，以套期保值为目的，在风险可控的前提下，本着谨慎原则，参与股指期货的投资，以管理投资组合的系统性风险，改善组合的风险收益特性。</w:t>
      </w:r>
    </w:p>
    <w:p w14:paraId="5A0D0B3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3、股票期权投资策略</w:t>
      </w:r>
    </w:p>
    <w:p w14:paraId="4173F85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本基金按照风险管理的原则，在严格控制风险的前提下，以套期保值为目的，选择流动性好、交易活跃的股票期权合约进行投资。本基金基于证券市场的判断，结合期权定价模型，选择估值合理的股票期权合约。</w:t>
      </w:r>
    </w:p>
    <w:p w14:paraId="190A5C9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本基金投资股票期权，基金管理人将根据审慎原则，建立期权交易决策部门或小组，授权特定的管理人员负责期权的投资审批事项，以防范期权投资的风险。</w:t>
      </w:r>
    </w:p>
    <w:p w14:paraId="3D8F284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4、国债期货投资策略</w:t>
      </w:r>
    </w:p>
    <w:p w14:paraId="38083B2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本基金投资国债期货，将根据风险管理的原则，以套期保值为目的，充分考虑国债期货的流动性和风险收益特征，在风险可控的前提下，适度参与国债期货投资。</w:t>
      </w:r>
    </w:p>
    <w:p w14:paraId="2ED306F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未来，根据市场情况，基金可相应调整和更新相关投资策略，并在招募说明书更新中公告。</w:t>
      </w:r>
    </w:p>
    <w:p w14:paraId="70BEEE7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（五）资产支持证券投资策略</w:t>
      </w:r>
    </w:p>
    <w:p w14:paraId="67D063E3" w14:textId="77777777" w:rsidR="0066529D" w:rsidRDefault="00A901FF">
      <w:pPr>
        <w:autoSpaceDE w:val="0"/>
        <w:autoSpaceDN w:val="0"/>
        <w:spacing w:line="360" w:lineRule="auto"/>
        <w:ind w:firstLineChars="200" w:firstLine="480"/>
        <w:textAlignment w:val="bottom"/>
        <w:rPr>
          <w:bCs/>
          <w:sz w:val="24"/>
        </w:rPr>
      </w:pPr>
      <w:r>
        <w:rPr>
          <w:rFonts w:asciiTheme="minorEastAsia" w:hAnsiTheme="minorEastAsia"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4094EF14" w14:textId="77777777" w:rsidR="0066529D" w:rsidRDefault="00A901FF">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2CA4B68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5FAE781"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未来随着证券市场投资工具的发展和丰富，在符合有关法律法规规定的前提下，本基金可相应调整和更新相关投资策略。</w:t>
      </w:r>
    </w:p>
    <w:p w14:paraId="45901BE0"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448A3C5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1、组合限制</w:t>
      </w:r>
    </w:p>
    <w:p w14:paraId="06389E0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基金的投资组合应遵循以下限制：</w:t>
      </w:r>
    </w:p>
    <w:p w14:paraId="451371FF"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16091C5B"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69184EE"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47A58F4E"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35776C18"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417A9682"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16ECBF23"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136D6740"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671ECB4E"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36A4D00"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18AE6D"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0DE852A2"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24B6CBD2"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13B60F42"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4A7413E5"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622C0584"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4DDC842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1FC7896B"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44EF83E5"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33A3C09C"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2C20E109"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0465F13D"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55E451E7"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3326F338"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784D7F2F"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w:t>
      </w:r>
      <w:r>
        <w:rPr>
          <w:rFonts w:asciiTheme="minorEastAsia" w:hAnsiTheme="minorEastAsia" w:hint="eastAsia"/>
          <w:bCs/>
          <w:sz w:val="24"/>
        </w:rPr>
        <w:lastRenderedPageBreak/>
        <w:t>不得超过上一交易日基金资产净值的30%；</w:t>
      </w:r>
    </w:p>
    <w:p w14:paraId="50153817" w14:textId="77777777" w:rsidR="0066529D" w:rsidRDefault="00A901FF">
      <w:pPr>
        <w:spacing w:line="360" w:lineRule="auto"/>
        <w:ind w:firstLineChars="200" w:firstLine="480"/>
        <w:rPr>
          <w:rFonts w:asciiTheme="minorEastAsia" w:hAnsiTheme="minorEastAsia" w:hint="eastAsia"/>
          <w:sz w:val="24"/>
        </w:rPr>
      </w:pPr>
      <w:r>
        <w:rPr>
          <w:rFonts w:asciiTheme="minorEastAsia" w:hAnsiTheme="minorEastAsia" w:hint="eastAsia"/>
          <w:sz w:val="24"/>
        </w:rPr>
        <w:t>（18）本基金参与股票期权交易，需遵守下列投资比例限制：</w:t>
      </w:r>
    </w:p>
    <w:p w14:paraId="5915BAAC" w14:textId="77777777" w:rsidR="0066529D" w:rsidRDefault="00A901FF">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31A73D0A" w14:textId="77777777" w:rsidR="0066529D" w:rsidRDefault="00A901FF">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77DD7954"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06847D69"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3CBDC38"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（20）本基金主动投资于流动性受限资产的市值合计不得超过基金资产净值的15%；</w:t>
      </w:r>
    </w:p>
    <w:p w14:paraId="5ECC1739"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6A3DF77"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（21）本基金与私募类</w:t>
      </w:r>
      <w:proofErr w:type="gramStart"/>
      <w:r>
        <w:rPr>
          <w:rFonts w:asciiTheme="minorEastAsia" w:hAnsiTheme="minorEastAsia" w:hint="eastAsia"/>
          <w:bCs/>
          <w:sz w:val="24"/>
        </w:rPr>
        <w:t>证券资管产品</w:t>
      </w:r>
      <w:proofErr w:type="gramEnd"/>
      <w:r>
        <w:rPr>
          <w:rFonts w:asciiTheme="minorEastAsia" w:hAnsiTheme="minorEastAsia" w:hint="eastAsia"/>
          <w:bCs/>
          <w:sz w:val="24"/>
        </w:rPr>
        <w:t>及中国证监会认定的其他主体为交易对手开展逆回购交易的，可接受质押品的资质要求应当与基金合同约定的投资范围保持一致；</w:t>
      </w:r>
    </w:p>
    <w:p w14:paraId="67C0B870" w14:textId="77777777" w:rsidR="0066529D" w:rsidRDefault="00A901FF">
      <w:pPr>
        <w:autoSpaceDE w:val="0"/>
        <w:autoSpaceDN w:val="0"/>
        <w:spacing w:line="360" w:lineRule="auto"/>
        <w:ind w:firstLineChars="200" w:firstLine="480"/>
        <w:textAlignment w:val="bottom"/>
        <w:rPr>
          <w:bCs/>
          <w:sz w:val="24"/>
        </w:rPr>
      </w:pPr>
      <w:r>
        <w:rPr>
          <w:rFonts w:asciiTheme="minorEastAsia" w:hAnsiTheme="minorEastAsia" w:hint="eastAsia"/>
          <w:bCs/>
          <w:sz w:val="24"/>
        </w:rPr>
        <w:t>（22）</w:t>
      </w:r>
      <w:r>
        <w:rPr>
          <w:rFonts w:hint="eastAsia"/>
          <w:bCs/>
          <w:sz w:val="24"/>
        </w:rPr>
        <w:t>本基金投资存托凭证的比例限制依照境内上市交易的股票执行，与境内上市交易的股票合并计算；</w:t>
      </w:r>
    </w:p>
    <w:p w14:paraId="6770833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w:t>
      </w:r>
      <w:r>
        <w:rPr>
          <w:rFonts w:hint="eastAsia"/>
          <w:bCs/>
          <w:sz w:val="24"/>
        </w:rPr>
        <w:t>23</w:t>
      </w:r>
      <w:r>
        <w:rPr>
          <w:rFonts w:hint="eastAsia"/>
          <w:bCs/>
          <w:sz w:val="24"/>
        </w:rPr>
        <w:t>）</w:t>
      </w:r>
      <w:r>
        <w:rPr>
          <w:rFonts w:asciiTheme="minorEastAsia" w:hAnsiTheme="minorEastAsia" w:hint="eastAsia"/>
          <w:bCs/>
          <w:sz w:val="24"/>
        </w:rPr>
        <w:t>法律法规及中国证监会规定的和《基金合同》约定的其他投资限制。</w:t>
      </w:r>
    </w:p>
    <w:p w14:paraId="6266CFB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1D3B673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w:t>
      </w:r>
      <w:r>
        <w:rPr>
          <w:rFonts w:asciiTheme="minorEastAsia" w:hAnsiTheme="minorEastAsia"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0AF26FC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p>
    <w:p w14:paraId="11B63EB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2、禁止行为</w:t>
      </w:r>
    </w:p>
    <w:p w14:paraId="1790D92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为维护基金份额持有人的合法权益，基金财产不得用于下列投资或者活动：</w:t>
      </w:r>
    </w:p>
    <w:p w14:paraId="2AE6C15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（1）承销证券；</w:t>
      </w:r>
    </w:p>
    <w:p w14:paraId="71943E8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（2）违反规定向他人贷款或者提供担保；</w:t>
      </w:r>
    </w:p>
    <w:p w14:paraId="5F30DBE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（3）从事承担无限责任的投资；</w:t>
      </w:r>
    </w:p>
    <w:p w14:paraId="706FF7D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（4）买卖其他基金份额，但是中国证监会另有规定的除外；</w:t>
      </w:r>
    </w:p>
    <w:p w14:paraId="1282E5C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（5）向其基金管理人、基金托管人出资；</w:t>
      </w:r>
    </w:p>
    <w:p w14:paraId="42B660B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（6）从事内幕交易、操纵证券交易价格及其他不正当的证券交易活动；</w:t>
      </w:r>
    </w:p>
    <w:p w14:paraId="69A8CFE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（7）法律、行政法规和中国证监会规定禁止的其他活动。</w:t>
      </w:r>
    </w:p>
    <w:p w14:paraId="0C3D9E9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2F94153"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法律、行政法规或监管部门取消上述禁止性规定，如适用于本基金，则本基金投资不再受相关限制。</w:t>
      </w:r>
    </w:p>
    <w:p w14:paraId="1F4BD16A"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3AAD953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本基金的业绩比较基准为：中</w:t>
      </w:r>
      <w:proofErr w:type="gramStart"/>
      <w:r>
        <w:rPr>
          <w:rFonts w:asciiTheme="minorEastAsia" w:hAnsiTheme="minorEastAsia" w:hint="eastAsia"/>
          <w:bCs/>
          <w:sz w:val="24"/>
        </w:rPr>
        <w:t>证全债指数</w:t>
      </w:r>
      <w:proofErr w:type="gramEnd"/>
      <w:r>
        <w:rPr>
          <w:rFonts w:asciiTheme="minorEastAsia" w:hAnsiTheme="minorEastAsia" w:hint="eastAsia"/>
          <w:bCs/>
          <w:sz w:val="24"/>
        </w:rPr>
        <w:t>收益率×</w:t>
      </w:r>
      <w:r>
        <w:rPr>
          <w:rFonts w:asciiTheme="minorEastAsia" w:hAnsiTheme="minorEastAsia"/>
          <w:bCs/>
          <w:sz w:val="24"/>
        </w:rPr>
        <w:t>3</w:t>
      </w:r>
      <w:r>
        <w:rPr>
          <w:rFonts w:asciiTheme="minorEastAsia" w:hAnsiTheme="minorEastAsia" w:hint="eastAsia"/>
          <w:bCs/>
          <w:sz w:val="24"/>
        </w:rPr>
        <w:t>0%+沪深300指数收益率×</w:t>
      </w:r>
      <w:r>
        <w:rPr>
          <w:rFonts w:asciiTheme="minorEastAsia" w:hAnsiTheme="minorEastAsia"/>
          <w:bCs/>
          <w:sz w:val="24"/>
        </w:rPr>
        <w:t>70%</w:t>
      </w:r>
    </w:p>
    <w:p w14:paraId="30414FC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中</w:t>
      </w:r>
      <w:proofErr w:type="gramStart"/>
      <w:r>
        <w:rPr>
          <w:rFonts w:asciiTheme="minorEastAsia" w:hAnsiTheme="minorEastAsia" w:hint="eastAsia"/>
          <w:bCs/>
          <w:sz w:val="24"/>
        </w:rPr>
        <w:t>证全债指数</w:t>
      </w:r>
      <w:proofErr w:type="gramEnd"/>
      <w:r>
        <w:rPr>
          <w:rFonts w:asciiTheme="minorEastAsia" w:hAnsiTheme="minorEastAsia" w:hint="eastAsia"/>
          <w:bCs/>
          <w:sz w:val="24"/>
        </w:rPr>
        <w:t>的选样债券的信用类别覆盖全面，期限构成宽泛，适于</w:t>
      </w:r>
      <w:proofErr w:type="gramStart"/>
      <w:r>
        <w:rPr>
          <w:rFonts w:asciiTheme="minorEastAsia" w:hAnsiTheme="minorEastAsia" w:hint="eastAsia"/>
          <w:bCs/>
          <w:sz w:val="24"/>
        </w:rPr>
        <w:t>做基金</w:t>
      </w:r>
      <w:proofErr w:type="gramEnd"/>
      <w:r>
        <w:rPr>
          <w:rFonts w:asciiTheme="minorEastAsia" w:hAnsiTheme="minorEastAsia" w:hint="eastAsia"/>
          <w:bCs/>
          <w:sz w:val="24"/>
        </w:rPr>
        <w:t>债券资产的业绩比较基准。沪深</w:t>
      </w:r>
      <w:r>
        <w:rPr>
          <w:rFonts w:asciiTheme="minorEastAsia" w:hAnsiTheme="minorEastAsia"/>
          <w:bCs/>
          <w:sz w:val="24"/>
        </w:rPr>
        <w:t xml:space="preserve"> 300 </w:t>
      </w:r>
      <w:r>
        <w:rPr>
          <w:rFonts w:asciiTheme="minorEastAsia" w:hAnsiTheme="minorEastAsia" w:hint="eastAsia"/>
          <w:bCs/>
          <w:sz w:val="24"/>
        </w:rPr>
        <w:t>指数选样科学客观，行业代表性好，流动性高，抗操纵性强，是目前市场上较有影响力的股票投资业绩比较基准。基于本</w:t>
      </w:r>
      <w:r>
        <w:rPr>
          <w:rFonts w:asciiTheme="minorEastAsia" w:hAnsiTheme="minorEastAsia" w:hint="eastAsia"/>
          <w:bCs/>
          <w:sz w:val="24"/>
        </w:rPr>
        <w:lastRenderedPageBreak/>
        <w:t>基金的投资范围和投资比例限制，选用上述业绩比较基准能够忠实反映本基金的风险收益特征。</w:t>
      </w:r>
    </w:p>
    <w:p w14:paraId="549EF42A"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109CBCB"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1FDC111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本基金属于混合型基金，其预期风险和预期收益高于货币市场基金、债券基金，低于股票型基金，属于证券投资基金中</w:t>
      </w:r>
      <w:proofErr w:type="gramStart"/>
      <w:r>
        <w:rPr>
          <w:rFonts w:asciiTheme="minorEastAsia" w:hAnsiTheme="minorEastAsia" w:hint="eastAsia"/>
          <w:bCs/>
          <w:sz w:val="24"/>
        </w:rPr>
        <w:t>中</w:t>
      </w:r>
      <w:proofErr w:type="gramEnd"/>
      <w:r>
        <w:rPr>
          <w:rFonts w:asciiTheme="minorEastAsia" w:hAnsiTheme="minorEastAsia" w:hint="eastAsia"/>
          <w:bCs/>
          <w:sz w:val="24"/>
        </w:rPr>
        <w:t>高风险、中高预期收益的品种。</w:t>
      </w:r>
    </w:p>
    <w:p w14:paraId="5888CAB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七、基金管理人代表基金行使股东和债权人权利的处理原则及方法</w:t>
      </w:r>
    </w:p>
    <w:p w14:paraId="12D5B82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1、基金管理人按照国家有关规定代表基金独立行使股东和债权人权利，保护基金份额持有人的利益；</w:t>
      </w:r>
    </w:p>
    <w:p w14:paraId="2C05A82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2、不谋求对上市公司的控股，不参与所投资上市公司的经营管理；</w:t>
      </w:r>
    </w:p>
    <w:p w14:paraId="7011862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3、有利于基金财产的安全与增值；</w:t>
      </w:r>
    </w:p>
    <w:p w14:paraId="6B55AFFC"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
          <w:kern w:val="0"/>
          <w:sz w:val="30"/>
          <w:szCs w:val="30"/>
        </w:rPr>
      </w:pPr>
      <w:r>
        <w:rPr>
          <w:rFonts w:asciiTheme="minorEastAsia" w:hAnsiTheme="minorEastAsia" w:hint="eastAsia"/>
          <w:bCs/>
          <w:sz w:val="24"/>
        </w:rPr>
        <w:t>4、不通过关联交易为自身、雇员、授权代理人或任何存在利害关系的第三人牟取任何不当利益。</w:t>
      </w:r>
    </w:p>
    <w:p w14:paraId="514D3A93"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八、基金投资组合报告</w:t>
      </w:r>
    </w:p>
    <w:p w14:paraId="1ACD0620"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中国光大银行股份有限公司根据本基金合同规定，已复核了本报告中的财务指标、净值表现和投资组合报告等内容，保证复核内容不存在虚假记载、误导性陈述或者重大遗漏。</w:t>
      </w:r>
    </w:p>
    <w:p w14:paraId="4670C29B"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w:t>
      </w:r>
      <w:r>
        <w:rPr>
          <w:rFonts w:asciiTheme="minorEastAsia" w:hAnsiTheme="minorEastAsia" w:cs="Arial" w:hint="eastAsia"/>
          <w:sz w:val="24"/>
          <w:szCs w:val="24"/>
        </w:rPr>
        <w:t>4年</w:t>
      </w:r>
      <w:r>
        <w:rPr>
          <w:rFonts w:asciiTheme="minorEastAsia" w:hAnsiTheme="minorEastAsia" w:cs="Arial"/>
          <w:sz w:val="24"/>
          <w:szCs w:val="24"/>
        </w:rPr>
        <w:t>6月30日</w:t>
      </w:r>
      <w:r>
        <w:rPr>
          <w:rFonts w:asciiTheme="minorEastAsia" w:hAnsiTheme="minorEastAsia" w:cs="Times New Roman"/>
          <w:bCs/>
          <w:sz w:val="24"/>
          <w:szCs w:val="24"/>
        </w:rPr>
        <w:t>，本报告中所列财务数据未经审计。</w:t>
      </w:r>
    </w:p>
    <w:p w14:paraId="6EE68B00" w14:textId="77777777" w:rsidR="0066529D" w:rsidRDefault="00A901FF">
      <w:pPr>
        <w:autoSpaceDE w:val="0"/>
        <w:autoSpaceDN w:val="0"/>
        <w:spacing w:line="360" w:lineRule="auto"/>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1、报告期末基金资产组合情况</w:t>
      </w:r>
    </w:p>
    <w:tbl>
      <w:tblPr>
        <w:tblW w:w="0" w:type="auto"/>
        <w:tblInd w:w="108" w:type="dxa"/>
        <w:tblLook w:val="04A0" w:firstRow="1" w:lastRow="0" w:firstColumn="1" w:lastColumn="0" w:noHBand="0" w:noVBand="1"/>
      </w:tblPr>
      <w:tblGrid>
        <w:gridCol w:w="762"/>
        <w:gridCol w:w="2906"/>
        <w:gridCol w:w="2252"/>
        <w:gridCol w:w="2494"/>
      </w:tblGrid>
      <w:tr w:rsidR="0066529D" w14:paraId="7FE2981E" w14:textId="77777777">
        <w:tc>
          <w:tcPr>
            <w:tcW w:w="762" w:type="dxa"/>
            <w:tcBorders>
              <w:top w:val="single" w:sz="8" w:space="0" w:color="000000"/>
              <w:left w:val="single" w:sz="8" w:space="0" w:color="000000"/>
              <w:bottom w:val="single" w:sz="6" w:space="0" w:color="000000"/>
              <w:right w:val="single" w:sz="8" w:space="0" w:color="000000"/>
            </w:tcBorders>
            <w:vAlign w:val="center"/>
          </w:tcPr>
          <w:p w14:paraId="77F3FDA1" w14:textId="77777777" w:rsidR="0066529D" w:rsidRDefault="00A901FF">
            <w:pPr>
              <w:pStyle w:val="biaogecenter"/>
              <w:wordWrap w:val="0"/>
              <w:rPr>
                <w:rFonts w:hint="eastAsia"/>
              </w:rPr>
            </w:pPr>
            <w:r>
              <w:rPr>
                <w:rFonts w:hAnsi="等线" w:hint="eastAsia"/>
                <w:color w:val="000000"/>
              </w:rPr>
              <w:t>序号</w:t>
            </w:r>
          </w:p>
        </w:tc>
        <w:tc>
          <w:tcPr>
            <w:tcW w:w="2906" w:type="dxa"/>
            <w:tcBorders>
              <w:top w:val="single" w:sz="8" w:space="0" w:color="000000"/>
              <w:left w:val="single" w:sz="8" w:space="0" w:color="000000"/>
              <w:bottom w:val="single" w:sz="6" w:space="0" w:color="000000"/>
              <w:right w:val="single" w:sz="8" w:space="0" w:color="000000"/>
            </w:tcBorders>
            <w:vAlign w:val="center"/>
          </w:tcPr>
          <w:p w14:paraId="6655F4DC" w14:textId="77777777" w:rsidR="0066529D" w:rsidRDefault="00A901FF">
            <w:pPr>
              <w:pStyle w:val="biaogecenter"/>
              <w:wordWrap w:val="0"/>
              <w:rPr>
                <w:rFonts w:hint="eastAsia"/>
              </w:rPr>
            </w:pPr>
            <w:r>
              <w:rPr>
                <w:rFonts w:hAnsi="等线" w:hint="eastAsia"/>
                <w:color w:val="000000"/>
              </w:rPr>
              <w:t>项目</w:t>
            </w:r>
          </w:p>
        </w:tc>
        <w:tc>
          <w:tcPr>
            <w:tcW w:w="2252" w:type="dxa"/>
            <w:tcBorders>
              <w:top w:val="single" w:sz="8" w:space="0" w:color="000000"/>
              <w:left w:val="single" w:sz="8" w:space="0" w:color="000000"/>
              <w:bottom w:val="single" w:sz="6" w:space="0" w:color="000000"/>
              <w:right w:val="single" w:sz="8" w:space="0" w:color="000000"/>
            </w:tcBorders>
            <w:vAlign w:val="center"/>
          </w:tcPr>
          <w:p w14:paraId="0A9F97EF" w14:textId="77777777" w:rsidR="0066529D" w:rsidRDefault="00A901FF">
            <w:pPr>
              <w:pStyle w:val="biaogecenter"/>
              <w:wordWrap w:val="0"/>
              <w:rPr>
                <w:rFonts w:hint="eastAsia"/>
              </w:rPr>
            </w:pPr>
            <w:r>
              <w:rPr>
                <w:rFonts w:hAnsi="等线" w:hint="eastAsia"/>
                <w:color w:val="000000"/>
              </w:rPr>
              <w:t>金额(元)</w:t>
            </w:r>
          </w:p>
        </w:tc>
        <w:tc>
          <w:tcPr>
            <w:tcW w:w="2494" w:type="dxa"/>
            <w:tcBorders>
              <w:top w:val="single" w:sz="8" w:space="0" w:color="000000"/>
              <w:left w:val="single" w:sz="8" w:space="0" w:color="000000"/>
              <w:bottom w:val="single" w:sz="6" w:space="0" w:color="000000"/>
              <w:right w:val="single" w:sz="8" w:space="0" w:color="000000"/>
            </w:tcBorders>
            <w:vAlign w:val="center"/>
          </w:tcPr>
          <w:p w14:paraId="2794508A" w14:textId="77777777" w:rsidR="0066529D" w:rsidRDefault="00A901FF">
            <w:pPr>
              <w:pStyle w:val="biaogecenter"/>
              <w:wordWrap w:val="0"/>
              <w:rPr>
                <w:rFonts w:hint="eastAsia"/>
              </w:rPr>
            </w:pPr>
            <w:r>
              <w:rPr>
                <w:rFonts w:hAnsi="等线" w:hint="eastAsia"/>
                <w:color w:val="000000"/>
              </w:rPr>
              <w:t>占基金总资产的比例（%）</w:t>
            </w:r>
          </w:p>
        </w:tc>
      </w:tr>
      <w:tr w:rsidR="0066529D" w14:paraId="3EC8085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2F2BCDF" w14:textId="77777777" w:rsidR="0066529D" w:rsidRDefault="00A901FF">
            <w:pPr>
              <w:pStyle w:val="biaogecenter"/>
              <w:wordWrap w:val="0"/>
              <w:rPr>
                <w:rFonts w:hint="eastAsia"/>
              </w:rPr>
            </w:pPr>
            <w:r>
              <w:rPr>
                <w:rFonts w:hAnsi="等线" w:hint="eastAsia"/>
                <w:color w:val="000000"/>
              </w:rPr>
              <w:t>1</w:t>
            </w:r>
          </w:p>
        </w:tc>
        <w:tc>
          <w:tcPr>
            <w:tcW w:w="2906" w:type="dxa"/>
            <w:tcBorders>
              <w:top w:val="single" w:sz="8" w:space="0" w:color="000000"/>
              <w:left w:val="single" w:sz="8" w:space="0" w:color="000000"/>
              <w:bottom w:val="single" w:sz="6" w:space="0" w:color="000000"/>
              <w:right w:val="single" w:sz="8" w:space="0" w:color="000000"/>
            </w:tcBorders>
            <w:vAlign w:val="center"/>
          </w:tcPr>
          <w:p w14:paraId="25448829" w14:textId="77777777" w:rsidR="0066529D" w:rsidRDefault="00A901FF">
            <w:pPr>
              <w:pStyle w:val="biaogeleft"/>
              <w:wordWrap w:val="0"/>
              <w:rPr>
                <w:rFonts w:hint="eastAsia"/>
              </w:rPr>
            </w:pPr>
            <w:r>
              <w:rPr>
                <w:rFonts w:hint="eastAsia"/>
              </w:rPr>
              <w:t>权益投资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51285BDE" w14:textId="77777777" w:rsidR="0066529D" w:rsidRDefault="00A901FF">
            <w:pPr>
              <w:pStyle w:val="biaogeright"/>
              <w:wordWrap w:val="0"/>
              <w:rPr>
                <w:rFonts w:hint="eastAsia"/>
              </w:rPr>
            </w:pPr>
            <w:r>
              <w:rPr>
                <w:rFonts w:hAnsi="等线"/>
                <w:color w:val="000000"/>
              </w:rPr>
              <w:t>7,690,568.96</w:t>
            </w:r>
          </w:p>
        </w:tc>
        <w:tc>
          <w:tcPr>
            <w:tcW w:w="2494" w:type="dxa"/>
            <w:tcBorders>
              <w:top w:val="single" w:sz="8" w:space="0" w:color="000000"/>
              <w:left w:val="single" w:sz="8" w:space="0" w:color="000000"/>
              <w:bottom w:val="single" w:sz="8" w:space="0" w:color="000000"/>
              <w:right w:val="single" w:sz="8" w:space="0" w:color="000000"/>
            </w:tcBorders>
            <w:vAlign w:val="center"/>
          </w:tcPr>
          <w:p w14:paraId="14593EB9" w14:textId="77777777" w:rsidR="0066529D" w:rsidRDefault="00A901FF">
            <w:pPr>
              <w:pStyle w:val="biaogeright"/>
              <w:wordWrap w:val="0"/>
              <w:rPr>
                <w:rFonts w:hint="eastAsia"/>
              </w:rPr>
            </w:pPr>
            <w:r>
              <w:rPr>
                <w:rFonts w:hAnsi="等线"/>
                <w:color w:val="000000"/>
              </w:rPr>
              <w:t>84.62</w:t>
            </w:r>
          </w:p>
        </w:tc>
      </w:tr>
      <w:tr w:rsidR="0066529D" w14:paraId="7013ACF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F4AFE0" w14:textId="77777777" w:rsidR="0066529D" w:rsidRDefault="0066529D">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380BD5AE" w14:textId="77777777" w:rsidR="0066529D" w:rsidRDefault="00A901FF">
            <w:pPr>
              <w:pStyle w:val="biaogeleft"/>
              <w:wordWrap w:val="0"/>
              <w:rPr>
                <w:rFonts w:hint="eastAsia"/>
              </w:rPr>
            </w:pPr>
            <w:r>
              <w:rPr>
                <w:rFonts w:hint="eastAsia"/>
              </w:rPr>
              <w:t>其中：股票</w:t>
            </w:r>
          </w:p>
        </w:tc>
        <w:tc>
          <w:tcPr>
            <w:tcW w:w="2252" w:type="dxa"/>
            <w:tcBorders>
              <w:top w:val="single" w:sz="8" w:space="0" w:color="000000"/>
              <w:left w:val="single" w:sz="8" w:space="0" w:color="000000"/>
              <w:bottom w:val="single" w:sz="8" w:space="0" w:color="000000"/>
              <w:right w:val="single" w:sz="8" w:space="0" w:color="000000"/>
            </w:tcBorders>
            <w:vAlign w:val="center"/>
          </w:tcPr>
          <w:p w14:paraId="39113B9E" w14:textId="77777777" w:rsidR="0066529D" w:rsidRDefault="00A901FF">
            <w:pPr>
              <w:pStyle w:val="biaogeright"/>
              <w:wordWrap w:val="0"/>
              <w:rPr>
                <w:rFonts w:hint="eastAsia"/>
              </w:rPr>
            </w:pPr>
            <w:r>
              <w:rPr>
                <w:rFonts w:hAnsi="等线"/>
                <w:color w:val="000000"/>
              </w:rPr>
              <w:t>7,690,568.96</w:t>
            </w:r>
          </w:p>
        </w:tc>
        <w:tc>
          <w:tcPr>
            <w:tcW w:w="2494" w:type="dxa"/>
            <w:tcBorders>
              <w:top w:val="single" w:sz="8" w:space="0" w:color="000000"/>
              <w:left w:val="single" w:sz="8" w:space="0" w:color="000000"/>
              <w:bottom w:val="single" w:sz="8" w:space="0" w:color="000000"/>
              <w:right w:val="single" w:sz="8" w:space="0" w:color="000000"/>
            </w:tcBorders>
            <w:vAlign w:val="center"/>
          </w:tcPr>
          <w:p w14:paraId="6528FA35" w14:textId="77777777" w:rsidR="0066529D" w:rsidRDefault="00A901FF">
            <w:pPr>
              <w:pStyle w:val="biaogeright"/>
              <w:wordWrap w:val="0"/>
              <w:rPr>
                <w:rFonts w:hint="eastAsia"/>
              </w:rPr>
            </w:pPr>
            <w:r>
              <w:rPr>
                <w:rFonts w:hAnsi="等线"/>
                <w:color w:val="000000"/>
              </w:rPr>
              <w:t>84.62</w:t>
            </w:r>
          </w:p>
        </w:tc>
      </w:tr>
      <w:tr w:rsidR="0066529D" w14:paraId="59E16C6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DFD7F9" w14:textId="77777777" w:rsidR="0066529D" w:rsidRDefault="00A901FF">
            <w:pPr>
              <w:pStyle w:val="biaogecenter"/>
              <w:wordWrap w:val="0"/>
              <w:rPr>
                <w:rFonts w:hint="eastAsia"/>
              </w:rPr>
            </w:pPr>
            <w:r>
              <w:rPr>
                <w:rFonts w:hAnsi="等线" w:hint="eastAsia"/>
                <w:color w:val="000000"/>
              </w:rPr>
              <w:t>2</w:t>
            </w:r>
          </w:p>
        </w:tc>
        <w:tc>
          <w:tcPr>
            <w:tcW w:w="2906" w:type="dxa"/>
            <w:tcBorders>
              <w:top w:val="single" w:sz="8" w:space="0" w:color="000000"/>
              <w:left w:val="single" w:sz="8" w:space="0" w:color="000000"/>
              <w:bottom w:val="single" w:sz="6" w:space="0" w:color="000000"/>
              <w:right w:val="single" w:sz="8" w:space="0" w:color="000000"/>
            </w:tcBorders>
            <w:vAlign w:val="center"/>
          </w:tcPr>
          <w:p w14:paraId="4F6D4D8A" w14:textId="77777777" w:rsidR="0066529D" w:rsidRDefault="00A901FF">
            <w:pPr>
              <w:pStyle w:val="biaogeleft"/>
              <w:wordWrap w:val="0"/>
              <w:rPr>
                <w:rFonts w:hint="eastAsia"/>
              </w:rPr>
            </w:pPr>
            <w:r>
              <w:rPr>
                <w:rFonts w:hint="eastAsia"/>
              </w:rPr>
              <w:t>基金投资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2F44780F" w14:textId="77777777" w:rsidR="0066529D" w:rsidRDefault="00A901FF">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70BE9184" w14:textId="77777777" w:rsidR="0066529D" w:rsidRDefault="00A901FF">
            <w:pPr>
              <w:pStyle w:val="biaogeright"/>
              <w:wordWrap w:val="0"/>
              <w:rPr>
                <w:rFonts w:hint="eastAsia"/>
              </w:rPr>
            </w:pPr>
            <w:r>
              <w:rPr>
                <w:rFonts w:hAnsi="等线"/>
                <w:color w:val="000000"/>
              </w:rPr>
              <w:t>-</w:t>
            </w:r>
          </w:p>
        </w:tc>
      </w:tr>
      <w:tr w:rsidR="0066529D" w14:paraId="579236F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8080056" w14:textId="77777777" w:rsidR="0066529D" w:rsidRDefault="00A901FF">
            <w:pPr>
              <w:pStyle w:val="biaogecenter"/>
              <w:wordWrap w:val="0"/>
              <w:rPr>
                <w:rFonts w:hint="eastAsia"/>
              </w:rPr>
            </w:pPr>
            <w:r>
              <w:rPr>
                <w:rFonts w:hAnsi="等线" w:hint="eastAsia"/>
                <w:color w:val="000000"/>
              </w:rPr>
              <w:lastRenderedPageBreak/>
              <w:t>3</w:t>
            </w:r>
          </w:p>
        </w:tc>
        <w:tc>
          <w:tcPr>
            <w:tcW w:w="2906" w:type="dxa"/>
            <w:tcBorders>
              <w:top w:val="single" w:sz="8" w:space="0" w:color="000000"/>
              <w:left w:val="single" w:sz="8" w:space="0" w:color="000000"/>
              <w:bottom w:val="single" w:sz="6" w:space="0" w:color="000000"/>
              <w:right w:val="single" w:sz="8" w:space="0" w:color="000000"/>
            </w:tcBorders>
            <w:vAlign w:val="center"/>
          </w:tcPr>
          <w:p w14:paraId="2601AC13" w14:textId="77777777" w:rsidR="0066529D" w:rsidRDefault="00A901FF">
            <w:pPr>
              <w:pStyle w:val="biaogeleft"/>
              <w:wordWrap w:val="0"/>
              <w:rPr>
                <w:rFonts w:hint="eastAsia"/>
              </w:rPr>
            </w:pPr>
            <w:r>
              <w:rPr>
                <w:rFonts w:hint="eastAsia"/>
              </w:rPr>
              <w:t>固定收益投资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29331DA9" w14:textId="77777777" w:rsidR="0066529D" w:rsidRDefault="00A901FF">
            <w:pPr>
              <w:pStyle w:val="biaogeright"/>
              <w:wordWrap w:val="0"/>
              <w:rPr>
                <w:rFonts w:hint="eastAsia"/>
              </w:rPr>
            </w:pPr>
            <w:r>
              <w:rPr>
                <w:rFonts w:hAnsi="等线"/>
                <w:color w:val="000000"/>
              </w:rPr>
              <w:t>202,450.68</w:t>
            </w:r>
          </w:p>
        </w:tc>
        <w:tc>
          <w:tcPr>
            <w:tcW w:w="2494" w:type="dxa"/>
            <w:tcBorders>
              <w:top w:val="single" w:sz="8" w:space="0" w:color="000000"/>
              <w:left w:val="single" w:sz="8" w:space="0" w:color="000000"/>
              <w:bottom w:val="single" w:sz="8" w:space="0" w:color="000000"/>
              <w:right w:val="single" w:sz="8" w:space="0" w:color="000000"/>
            </w:tcBorders>
            <w:vAlign w:val="center"/>
          </w:tcPr>
          <w:p w14:paraId="29059E2F" w14:textId="77777777" w:rsidR="0066529D" w:rsidRDefault="00A901FF">
            <w:pPr>
              <w:pStyle w:val="biaogeright"/>
              <w:wordWrap w:val="0"/>
              <w:rPr>
                <w:rFonts w:hint="eastAsia"/>
              </w:rPr>
            </w:pPr>
            <w:r>
              <w:rPr>
                <w:rFonts w:hAnsi="等线"/>
                <w:color w:val="000000"/>
              </w:rPr>
              <w:t>2.23</w:t>
            </w:r>
          </w:p>
        </w:tc>
      </w:tr>
      <w:tr w:rsidR="0066529D" w14:paraId="7999A28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F542715" w14:textId="77777777" w:rsidR="0066529D" w:rsidRDefault="0066529D">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7A6C19AE" w14:textId="77777777" w:rsidR="0066529D" w:rsidRDefault="00A901FF">
            <w:pPr>
              <w:pStyle w:val="biaogeleft"/>
              <w:wordWrap w:val="0"/>
              <w:rPr>
                <w:rFonts w:hint="eastAsia"/>
              </w:rPr>
            </w:pPr>
            <w:r>
              <w:rPr>
                <w:rFonts w:hint="eastAsia"/>
              </w:rPr>
              <w:t>其中：债券</w:t>
            </w:r>
          </w:p>
        </w:tc>
        <w:tc>
          <w:tcPr>
            <w:tcW w:w="2252" w:type="dxa"/>
            <w:tcBorders>
              <w:top w:val="single" w:sz="8" w:space="0" w:color="000000"/>
              <w:left w:val="single" w:sz="8" w:space="0" w:color="000000"/>
              <w:bottom w:val="single" w:sz="8" w:space="0" w:color="000000"/>
              <w:right w:val="single" w:sz="8" w:space="0" w:color="000000"/>
            </w:tcBorders>
            <w:vAlign w:val="center"/>
          </w:tcPr>
          <w:p w14:paraId="20222C3D" w14:textId="77777777" w:rsidR="0066529D" w:rsidRDefault="00A901FF">
            <w:pPr>
              <w:pStyle w:val="biaogeright"/>
              <w:wordWrap w:val="0"/>
              <w:rPr>
                <w:rFonts w:hint="eastAsia"/>
              </w:rPr>
            </w:pPr>
            <w:r>
              <w:rPr>
                <w:rFonts w:hAnsi="等线"/>
                <w:color w:val="000000"/>
              </w:rPr>
              <w:t>202,450.68</w:t>
            </w:r>
          </w:p>
        </w:tc>
        <w:tc>
          <w:tcPr>
            <w:tcW w:w="2494" w:type="dxa"/>
            <w:tcBorders>
              <w:top w:val="single" w:sz="8" w:space="0" w:color="000000"/>
              <w:left w:val="single" w:sz="8" w:space="0" w:color="000000"/>
              <w:bottom w:val="single" w:sz="8" w:space="0" w:color="000000"/>
              <w:right w:val="single" w:sz="8" w:space="0" w:color="000000"/>
            </w:tcBorders>
            <w:vAlign w:val="center"/>
          </w:tcPr>
          <w:p w14:paraId="5A07D595" w14:textId="77777777" w:rsidR="0066529D" w:rsidRDefault="00A901FF">
            <w:pPr>
              <w:pStyle w:val="biaogeright"/>
              <w:wordWrap w:val="0"/>
              <w:rPr>
                <w:rFonts w:hint="eastAsia"/>
              </w:rPr>
            </w:pPr>
            <w:r>
              <w:rPr>
                <w:rFonts w:hAnsi="等线"/>
                <w:color w:val="000000"/>
              </w:rPr>
              <w:t>2.23</w:t>
            </w:r>
          </w:p>
        </w:tc>
      </w:tr>
      <w:tr w:rsidR="0066529D" w14:paraId="2DA1F76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5FCD004" w14:textId="77777777" w:rsidR="0066529D" w:rsidRDefault="0066529D">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1EC4DB22" w14:textId="77777777" w:rsidR="0066529D" w:rsidRDefault="00A901FF">
            <w:pPr>
              <w:pStyle w:val="biaogeleft"/>
              <w:wordWrap w:val="0"/>
              <w:ind w:left="750"/>
              <w:rPr>
                <w:rFonts w:hint="eastAsia"/>
              </w:rPr>
            </w:pPr>
            <w:r>
              <w:rPr>
                <w:rFonts w:hint="eastAsia"/>
              </w:rPr>
              <w:t>资产支持证券</w:t>
            </w:r>
          </w:p>
        </w:tc>
        <w:tc>
          <w:tcPr>
            <w:tcW w:w="2252" w:type="dxa"/>
            <w:tcBorders>
              <w:top w:val="single" w:sz="8" w:space="0" w:color="000000"/>
              <w:left w:val="single" w:sz="8" w:space="0" w:color="000000"/>
              <w:bottom w:val="single" w:sz="8" w:space="0" w:color="000000"/>
              <w:right w:val="single" w:sz="8" w:space="0" w:color="000000"/>
            </w:tcBorders>
            <w:vAlign w:val="center"/>
          </w:tcPr>
          <w:p w14:paraId="01176B3E" w14:textId="77777777" w:rsidR="0066529D" w:rsidRDefault="00A901FF">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7A79CC5D" w14:textId="77777777" w:rsidR="0066529D" w:rsidRDefault="00A901FF">
            <w:pPr>
              <w:pStyle w:val="biaogeright"/>
              <w:wordWrap w:val="0"/>
              <w:rPr>
                <w:rFonts w:hint="eastAsia"/>
              </w:rPr>
            </w:pPr>
            <w:r>
              <w:rPr>
                <w:rFonts w:hAnsi="等线"/>
                <w:color w:val="000000"/>
              </w:rPr>
              <w:t>-</w:t>
            </w:r>
          </w:p>
        </w:tc>
      </w:tr>
      <w:tr w:rsidR="0066529D" w14:paraId="370C89C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99C49B0" w14:textId="77777777" w:rsidR="0066529D" w:rsidRDefault="00A901FF">
            <w:pPr>
              <w:pStyle w:val="biaogecenter"/>
              <w:wordWrap w:val="0"/>
              <w:rPr>
                <w:rFonts w:hint="eastAsia"/>
              </w:rPr>
            </w:pPr>
            <w:r>
              <w:rPr>
                <w:rFonts w:hAnsi="等线" w:hint="eastAsia"/>
                <w:color w:val="000000"/>
              </w:rPr>
              <w:t>4</w:t>
            </w:r>
          </w:p>
        </w:tc>
        <w:tc>
          <w:tcPr>
            <w:tcW w:w="2906" w:type="dxa"/>
            <w:tcBorders>
              <w:top w:val="single" w:sz="8" w:space="0" w:color="000000"/>
              <w:left w:val="single" w:sz="8" w:space="0" w:color="000000"/>
              <w:bottom w:val="single" w:sz="6" w:space="0" w:color="000000"/>
              <w:right w:val="single" w:sz="8" w:space="0" w:color="000000"/>
            </w:tcBorders>
            <w:vAlign w:val="center"/>
          </w:tcPr>
          <w:p w14:paraId="3BC3ABAC" w14:textId="77777777" w:rsidR="0066529D" w:rsidRDefault="00A901FF">
            <w:pPr>
              <w:pStyle w:val="biaogeleft"/>
              <w:wordWrap w:val="0"/>
              <w:rPr>
                <w:rFonts w:hint="eastAsia"/>
              </w:rPr>
            </w:pPr>
            <w:r>
              <w:rPr>
                <w:rFonts w:hint="eastAsia"/>
              </w:rPr>
              <w:t>贵金属投资</w:t>
            </w:r>
          </w:p>
        </w:tc>
        <w:tc>
          <w:tcPr>
            <w:tcW w:w="2252" w:type="dxa"/>
            <w:tcBorders>
              <w:top w:val="single" w:sz="8" w:space="0" w:color="000000"/>
              <w:left w:val="single" w:sz="8" w:space="0" w:color="000000"/>
              <w:bottom w:val="single" w:sz="8" w:space="0" w:color="000000"/>
              <w:right w:val="single" w:sz="8" w:space="0" w:color="000000"/>
            </w:tcBorders>
            <w:vAlign w:val="center"/>
          </w:tcPr>
          <w:p w14:paraId="5C9DAAF1" w14:textId="77777777" w:rsidR="0066529D" w:rsidRDefault="00A901FF">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27B3C801" w14:textId="77777777" w:rsidR="0066529D" w:rsidRDefault="00A901FF">
            <w:pPr>
              <w:pStyle w:val="biaogeright"/>
              <w:wordWrap w:val="0"/>
              <w:rPr>
                <w:rFonts w:hint="eastAsia"/>
              </w:rPr>
            </w:pPr>
            <w:r>
              <w:rPr>
                <w:rFonts w:hAnsi="等线"/>
                <w:color w:val="000000"/>
              </w:rPr>
              <w:t>-</w:t>
            </w:r>
          </w:p>
        </w:tc>
      </w:tr>
      <w:tr w:rsidR="0066529D" w14:paraId="430A2B0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70E9911" w14:textId="77777777" w:rsidR="0066529D" w:rsidRDefault="00A901FF">
            <w:pPr>
              <w:pStyle w:val="biaogecenter"/>
              <w:wordWrap w:val="0"/>
              <w:rPr>
                <w:rFonts w:hint="eastAsia"/>
              </w:rPr>
            </w:pPr>
            <w:r>
              <w:rPr>
                <w:rFonts w:hAnsi="等线" w:hint="eastAsia"/>
                <w:color w:val="000000"/>
              </w:rPr>
              <w:t>5</w:t>
            </w:r>
          </w:p>
        </w:tc>
        <w:tc>
          <w:tcPr>
            <w:tcW w:w="2906" w:type="dxa"/>
            <w:tcBorders>
              <w:top w:val="single" w:sz="8" w:space="0" w:color="000000"/>
              <w:left w:val="single" w:sz="8" w:space="0" w:color="000000"/>
              <w:bottom w:val="single" w:sz="6" w:space="0" w:color="000000"/>
              <w:right w:val="single" w:sz="8" w:space="0" w:color="000000"/>
            </w:tcBorders>
            <w:vAlign w:val="center"/>
          </w:tcPr>
          <w:p w14:paraId="06131219" w14:textId="77777777" w:rsidR="0066529D" w:rsidRDefault="00A901FF">
            <w:pPr>
              <w:pStyle w:val="biaogeleft"/>
              <w:wordWrap w:val="0"/>
              <w:rPr>
                <w:rFonts w:hint="eastAsia"/>
              </w:rPr>
            </w:pPr>
            <w:r>
              <w:rPr>
                <w:rFonts w:hint="eastAsia"/>
              </w:rPr>
              <w:t>金融衍生</w:t>
            </w:r>
            <w:proofErr w:type="gramStart"/>
            <w:r>
              <w:rPr>
                <w:rFonts w:hint="eastAsia"/>
              </w:rPr>
              <w:t>品投资</w:t>
            </w:r>
            <w:proofErr w:type="gramEnd"/>
          </w:p>
        </w:tc>
        <w:tc>
          <w:tcPr>
            <w:tcW w:w="2252" w:type="dxa"/>
            <w:tcBorders>
              <w:top w:val="single" w:sz="8" w:space="0" w:color="000000"/>
              <w:left w:val="single" w:sz="8" w:space="0" w:color="000000"/>
              <w:bottom w:val="single" w:sz="8" w:space="0" w:color="000000"/>
              <w:right w:val="single" w:sz="8" w:space="0" w:color="000000"/>
            </w:tcBorders>
            <w:vAlign w:val="center"/>
          </w:tcPr>
          <w:p w14:paraId="24A9F25F" w14:textId="77777777" w:rsidR="0066529D" w:rsidRDefault="00A901FF">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26C3DD36" w14:textId="77777777" w:rsidR="0066529D" w:rsidRDefault="00A901FF">
            <w:pPr>
              <w:pStyle w:val="biaogeright"/>
              <w:wordWrap w:val="0"/>
              <w:rPr>
                <w:rFonts w:hint="eastAsia"/>
              </w:rPr>
            </w:pPr>
            <w:r>
              <w:rPr>
                <w:rFonts w:hAnsi="等线"/>
                <w:color w:val="000000"/>
              </w:rPr>
              <w:t>-</w:t>
            </w:r>
          </w:p>
        </w:tc>
      </w:tr>
      <w:tr w:rsidR="0066529D" w14:paraId="0D44927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2146D0" w14:textId="77777777" w:rsidR="0066529D" w:rsidRDefault="00A901FF">
            <w:pPr>
              <w:pStyle w:val="biaogecenter"/>
              <w:wordWrap w:val="0"/>
              <w:rPr>
                <w:rFonts w:hint="eastAsia"/>
              </w:rPr>
            </w:pPr>
            <w:r>
              <w:rPr>
                <w:rFonts w:hAnsi="等线" w:hint="eastAsia"/>
                <w:color w:val="000000"/>
              </w:rPr>
              <w:t>6</w:t>
            </w:r>
          </w:p>
        </w:tc>
        <w:tc>
          <w:tcPr>
            <w:tcW w:w="2906" w:type="dxa"/>
            <w:tcBorders>
              <w:top w:val="single" w:sz="8" w:space="0" w:color="000000"/>
              <w:left w:val="single" w:sz="8" w:space="0" w:color="000000"/>
              <w:bottom w:val="single" w:sz="6" w:space="0" w:color="000000"/>
              <w:right w:val="single" w:sz="8" w:space="0" w:color="000000"/>
            </w:tcBorders>
            <w:vAlign w:val="center"/>
          </w:tcPr>
          <w:p w14:paraId="2FA69E43" w14:textId="77777777" w:rsidR="0066529D" w:rsidRDefault="00A901FF">
            <w:pPr>
              <w:pStyle w:val="biaogeleft"/>
              <w:wordWrap w:val="0"/>
              <w:rPr>
                <w:rFonts w:hint="eastAsia"/>
              </w:rPr>
            </w:pPr>
            <w:r>
              <w:rPr>
                <w:rFonts w:hint="eastAsia"/>
              </w:rPr>
              <w:t>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tcPr>
          <w:p w14:paraId="26123E31" w14:textId="77777777" w:rsidR="0066529D" w:rsidRDefault="00A901FF">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24E8AD14" w14:textId="77777777" w:rsidR="0066529D" w:rsidRDefault="00A901FF">
            <w:pPr>
              <w:pStyle w:val="biaogeright"/>
              <w:wordWrap w:val="0"/>
              <w:rPr>
                <w:rFonts w:hint="eastAsia"/>
              </w:rPr>
            </w:pPr>
            <w:r>
              <w:rPr>
                <w:rFonts w:hAnsi="等线"/>
                <w:color w:val="000000"/>
              </w:rPr>
              <w:t>-</w:t>
            </w:r>
          </w:p>
        </w:tc>
      </w:tr>
      <w:tr w:rsidR="0066529D" w14:paraId="2988617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B47E0F" w14:textId="77777777" w:rsidR="0066529D" w:rsidRDefault="0066529D">
            <w:pPr>
              <w:widowControl/>
              <w:jc w:val="left"/>
              <w:rPr>
                <w:rFonts w:cs="宋体"/>
                <w:kern w:val="0"/>
                <w:sz w:val="20"/>
                <w:szCs w:val="20"/>
              </w:rPr>
            </w:pPr>
          </w:p>
        </w:tc>
        <w:tc>
          <w:tcPr>
            <w:tcW w:w="2906" w:type="dxa"/>
            <w:tcBorders>
              <w:top w:val="single" w:sz="8" w:space="0" w:color="000000"/>
              <w:left w:val="single" w:sz="8" w:space="0" w:color="000000"/>
              <w:bottom w:val="single" w:sz="6" w:space="0" w:color="000000"/>
              <w:right w:val="single" w:sz="8" w:space="0" w:color="000000"/>
            </w:tcBorders>
            <w:vAlign w:val="center"/>
          </w:tcPr>
          <w:p w14:paraId="1954C537" w14:textId="77777777" w:rsidR="0066529D" w:rsidRDefault="00A901FF">
            <w:pPr>
              <w:pStyle w:val="biaogeleft"/>
              <w:wordWrap w:val="0"/>
              <w:rPr>
                <w:rFonts w:hint="eastAsia"/>
              </w:rPr>
            </w:pPr>
            <w:r>
              <w:rPr>
                <w:rFonts w:hint="eastAsia"/>
              </w:rPr>
              <w:t>其中：买断式回购的买入返售金融资产</w:t>
            </w:r>
          </w:p>
        </w:tc>
        <w:tc>
          <w:tcPr>
            <w:tcW w:w="2252" w:type="dxa"/>
            <w:tcBorders>
              <w:top w:val="single" w:sz="8" w:space="0" w:color="000000"/>
              <w:left w:val="single" w:sz="8" w:space="0" w:color="000000"/>
              <w:bottom w:val="single" w:sz="8" w:space="0" w:color="000000"/>
              <w:right w:val="single" w:sz="8" w:space="0" w:color="000000"/>
            </w:tcBorders>
            <w:vAlign w:val="center"/>
          </w:tcPr>
          <w:p w14:paraId="641E988F" w14:textId="77777777" w:rsidR="0066529D" w:rsidRDefault="00A901FF">
            <w:pPr>
              <w:pStyle w:val="biaogeright"/>
              <w:wordWrap w:val="0"/>
              <w:rPr>
                <w:rFonts w:hint="eastAsia"/>
              </w:rPr>
            </w:pPr>
            <w:r>
              <w:rPr>
                <w:rFonts w:hAnsi="等线"/>
                <w:color w:val="000000"/>
              </w:rPr>
              <w:t>-</w:t>
            </w:r>
          </w:p>
        </w:tc>
        <w:tc>
          <w:tcPr>
            <w:tcW w:w="2494" w:type="dxa"/>
            <w:tcBorders>
              <w:top w:val="single" w:sz="8" w:space="0" w:color="000000"/>
              <w:left w:val="single" w:sz="8" w:space="0" w:color="000000"/>
              <w:bottom w:val="single" w:sz="8" w:space="0" w:color="000000"/>
              <w:right w:val="single" w:sz="8" w:space="0" w:color="000000"/>
            </w:tcBorders>
            <w:vAlign w:val="center"/>
          </w:tcPr>
          <w:p w14:paraId="04CF8E07" w14:textId="77777777" w:rsidR="0066529D" w:rsidRDefault="00A901FF">
            <w:pPr>
              <w:pStyle w:val="biaogeright"/>
              <w:wordWrap w:val="0"/>
              <w:rPr>
                <w:rFonts w:hint="eastAsia"/>
              </w:rPr>
            </w:pPr>
            <w:r>
              <w:rPr>
                <w:rFonts w:hAnsi="等线"/>
                <w:color w:val="000000"/>
              </w:rPr>
              <w:t>-</w:t>
            </w:r>
          </w:p>
        </w:tc>
      </w:tr>
      <w:tr w:rsidR="0066529D" w14:paraId="7143405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0109BB3" w14:textId="77777777" w:rsidR="0066529D" w:rsidRDefault="00A901FF">
            <w:pPr>
              <w:pStyle w:val="biaogecenter"/>
              <w:wordWrap w:val="0"/>
              <w:rPr>
                <w:rFonts w:hint="eastAsia"/>
              </w:rPr>
            </w:pPr>
            <w:r>
              <w:rPr>
                <w:rFonts w:hAnsi="等线" w:hint="eastAsia"/>
                <w:color w:val="000000"/>
              </w:rPr>
              <w:t>7</w:t>
            </w:r>
          </w:p>
        </w:tc>
        <w:tc>
          <w:tcPr>
            <w:tcW w:w="2906" w:type="dxa"/>
            <w:tcBorders>
              <w:top w:val="single" w:sz="8" w:space="0" w:color="000000"/>
              <w:left w:val="single" w:sz="8" w:space="0" w:color="000000"/>
              <w:bottom w:val="single" w:sz="6" w:space="0" w:color="000000"/>
              <w:right w:val="single" w:sz="8" w:space="0" w:color="000000"/>
            </w:tcBorders>
            <w:vAlign w:val="center"/>
          </w:tcPr>
          <w:p w14:paraId="48321112" w14:textId="77777777" w:rsidR="0066529D" w:rsidRDefault="00A901FF">
            <w:pPr>
              <w:pStyle w:val="biaogeleft"/>
              <w:wordWrap w:val="0"/>
              <w:rPr>
                <w:rFonts w:hint="eastAsia"/>
              </w:rPr>
            </w:pPr>
            <w:r>
              <w:rPr>
                <w:rFonts w:hint="eastAsia"/>
              </w:rPr>
              <w:t>银行存款和结算备付金合计</w:t>
            </w:r>
          </w:p>
        </w:tc>
        <w:tc>
          <w:tcPr>
            <w:tcW w:w="2252" w:type="dxa"/>
            <w:tcBorders>
              <w:top w:val="single" w:sz="8" w:space="0" w:color="000000"/>
              <w:left w:val="single" w:sz="8" w:space="0" w:color="000000"/>
              <w:bottom w:val="single" w:sz="8" w:space="0" w:color="000000"/>
              <w:right w:val="single" w:sz="8" w:space="0" w:color="000000"/>
            </w:tcBorders>
            <w:vAlign w:val="center"/>
          </w:tcPr>
          <w:p w14:paraId="43C5C0B9" w14:textId="77777777" w:rsidR="0066529D" w:rsidRDefault="00A901FF">
            <w:pPr>
              <w:pStyle w:val="biaogeright"/>
              <w:wordWrap w:val="0"/>
              <w:rPr>
                <w:rFonts w:hint="eastAsia"/>
              </w:rPr>
            </w:pPr>
            <w:r>
              <w:rPr>
                <w:rFonts w:hAnsi="等线"/>
                <w:color w:val="000000"/>
              </w:rPr>
              <w:t>693,766.16</w:t>
            </w:r>
          </w:p>
        </w:tc>
        <w:tc>
          <w:tcPr>
            <w:tcW w:w="2494" w:type="dxa"/>
            <w:tcBorders>
              <w:top w:val="single" w:sz="8" w:space="0" w:color="000000"/>
              <w:left w:val="single" w:sz="8" w:space="0" w:color="000000"/>
              <w:bottom w:val="single" w:sz="8" w:space="0" w:color="000000"/>
              <w:right w:val="single" w:sz="8" w:space="0" w:color="000000"/>
            </w:tcBorders>
            <w:vAlign w:val="center"/>
          </w:tcPr>
          <w:p w14:paraId="147F433D" w14:textId="77777777" w:rsidR="0066529D" w:rsidRDefault="00A901FF">
            <w:pPr>
              <w:pStyle w:val="biaogeright"/>
              <w:wordWrap w:val="0"/>
              <w:rPr>
                <w:rFonts w:hint="eastAsia"/>
              </w:rPr>
            </w:pPr>
            <w:r>
              <w:rPr>
                <w:rFonts w:hAnsi="等线"/>
                <w:color w:val="000000"/>
              </w:rPr>
              <w:t>7.63</w:t>
            </w:r>
          </w:p>
        </w:tc>
      </w:tr>
      <w:tr w:rsidR="0066529D" w14:paraId="62DD8F5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C07565E" w14:textId="77777777" w:rsidR="0066529D" w:rsidRDefault="00A901FF">
            <w:pPr>
              <w:pStyle w:val="biaogecenter"/>
              <w:wordWrap w:val="0"/>
              <w:rPr>
                <w:rFonts w:hint="eastAsia"/>
              </w:rPr>
            </w:pPr>
            <w:r>
              <w:rPr>
                <w:rFonts w:hAnsi="等线" w:hint="eastAsia"/>
                <w:color w:val="000000"/>
              </w:rPr>
              <w:t>8</w:t>
            </w:r>
          </w:p>
        </w:tc>
        <w:tc>
          <w:tcPr>
            <w:tcW w:w="2906" w:type="dxa"/>
            <w:tcBorders>
              <w:top w:val="single" w:sz="8" w:space="0" w:color="000000"/>
              <w:left w:val="single" w:sz="8" w:space="0" w:color="000000"/>
              <w:bottom w:val="single" w:sz="6" w:space="0" w:color="000000"/>
              <w:right w:val="single" w:sz="8" w:space="0" w:color="000000"/>
            </w:tcBorders>
            <w:vAlign w:val="center"/>
          </w:tcPr>
          <w:p w14:paraId="0089200E" w14:textId="77777777" w:rsidR="0066529D" w:rsidRDefault="00A901FF">
            <w:pPr>
              <w:pStyle w:val="biaogeleft"/>
              <w:wordWrap w:val="0"/>
              <w:rPr>
                <w:rFonts w:hint="eastAsia"/>
              </w:rPr>
            </w:pPr>
            <w:r>
              <w:rPr>
                <w:rFonts w:hint="eastAsia"/>
              </w:rPr>
              <w:t>其他资产</w:t>
            </w:r>
          </w:p>
        </w:tc>
        <w:tc>
          <w:tcPr>
            <w:tcW w:w="2252" w:type="dxa"/>
            <w:tcBorders>
              <w:top w:val="single" w:sz="8" w:space="0" w:color="000000"/>
              <w:left w:val="single" w:sz="8" w:space="0" w:color="000000"/>
              <w:bottom w:val="single" w:sz="8" w:space="0" w:color="000000"/>
              <w:right w:val="single" w:sz="8" w:space="0" w:color="000000"/>
            </w:tcBorders>
            <w:vAlign w:val="center"/>
          </w:tcPr>
          <w:p w14:paraId="279F6CA3" w14:textId="77777777" w:rsidR="0066529D" w:rsidRDefault="00A901FF">
            <w:pPr>
              <w:pStyle w:val="biaogeright"/>
              <w:wordWrap w:val="0"/>
              <w:rPr>
                <w:rFonts w:hint="eastAsia"/>
              </w:rPr>
            </w:pPr>
            <w:r>
              <w:rPr>
                <w:rFonts w:hAnsi="等线"/>
                <w:color w:val="000000"/>
              </w:rPr>
              <w:t>501,200.80</w:t>
            </w:r>
          </w:p>
        </w:tc>
        <w:tc>
          <w:tcPr>
            <w:tcW w:w="2494" w:type="dxa"/>
            <w:tcBorders>
              <w:top w:val="single" w:sz="8" w:space="0" w:color="000000"/>
              <w:left w:val="single" w:sz="8" w:space="0" w:color="000000"/>
              <w:bottom w:val="single" w:sz="8" w:space="0" w:color="000000"/>
              <w:right w:val="single" w:sz="8" w:space="0" w:color="000000"/>
            </w:tcBorders>
            <w:vAlign w:val="center"/>
          </w:tcPr>
          <w:p w14:paraId="2A1781DC" w14:textId="77777777" w:rsidR="0066529D" w:rsidRDefault="00A901FF">
            <w:pPr>
              <w:pStyle w:val="biaogeright"/>
              <w:wordWrap w:val="0"/>
              <w:rPr>
                <w:rFonts w:hint="eastAsia"/>
              </w:rPr>
            </w:pPr>
            <w:r>
              <w:rPr>
                <w:rFonts w:hAnsi="等线"/>
                <w:color w:val="000000"/>
              </w:rPr>
              <w:t>5.51</w:t>
            </w:r>
          </w:p>
        </w:tc>
      </w:tr>
      <w:tr w:rsidR="0066529D" w14:paraId="1A8B786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8D066C3" w14:textId="77777777" w:rsidR="0066529D" w:rsidRDefault="00A901FF">
            <w:pPr>
              <w:pStyle w:val="biaogecenter"/>
              <w:wordWrap w:val="0"/>
              <w:rPr>
                <w:rFonts w:hint="eastAsia"/>
              </w:rPr>
            </w:pPr>
            <w:r>
              <w:rPr>
                <w:rFonts w:hint="eastAsia"/>
              </w:rPr>
              <w:t>9</w:t>
            </w:r>
          </w:p>
        </w:tc>
        <w:tc>
          <w:tcPr>
            <w:tcW w:w="2906" w:type="dxa"/>
            <w:tcBorders>
              <w:top w:val="single" w:sz="8" w:space="0" w:color="000000"/>
              <w:left w:val="single" w:sz="8" w:space="0" w:color="000000"/>
              <w:bottom w:val="single" w:sz="6" w:space="0" w:color="000000"/>
              <w:right w:val="single" w:sz="8" w:space="0" w:color="000000"/>
            </w:tcBorders>
            <w:vAlign w:val="center"/>
          </w:tcPr>
          <w:p w14:paraId="1E0335E3" w14:textId="77777777" w:rsidR="0066529D" w:rsidRDefault="00A901FF">
            <w:pPr>
              <w:pStyle w:val="biaogeleft"/>
              <w:wordWrap w:val="0"/>
              <w:rPr>
                <w:rFonts w:hint="eastAsia"/>
              </w:rPr>
            </w:pPr>
            <w:r>
              <w:rPr>
                <w:rFonts w:hint="eastAsia"/>
              </w:rPr>
              <w:t>合计</w:t>
            </w:r>
          </w:p>
        </w:tc>
        <w:tc>
          <w:tcPr>
            <w:tcW w:w="2252" w:type="dxa"/>
            <w:tcBorders>
              <w:top w:val="single" w:sz="8" w:space="0" w:color="000000"/>
              <w:left w:val="single" w:sz="8" w:space="0" w:color="000000"/>
              <w:bottom w:val="single" w:sz="8" w:space="0" w:color="000000"/>
              <w:right w:val="single" w:sz="8" w:space="0" w:color="000000"/>
            </w:tcBorders>
            <w:vAlign w:val="center"/>
          </w:tcPr>
          <w:p w14:paraId="7C370048" w14:textId="77777777" w:rsidR="0066529D" w:rsidRDefault="00A901FF">
            <w:pPr>
              <w:pStyle w:val="biaogeright"/>
              <w:wordWrap w:val="0"/>
              <w:rPr>
                <w:rFonts w:hint="eastAsia"/>
              </w:rPr>
            </w:pPr>
            <w:r>
              <w:rPr>
                <w:rFonts w:hAnsi="等线"/>
                <w:color w:val="000000"/>
              </w:rPr>
              <w:t>9,087,986.60</w:t>
            </w:r>
          </w:p>
        </w:tc>
        <w:tc>
          <w:tcPr>
            <w:tcW w:w="2494" w:type="dxa"/>
            <w:tcBorders>
              <w:top w:val="single" w:sz="8" w:space="0" w:color="000000"/>
              <w:left w:val="single" w:sz="8" w:space="0" w:color="000000"/>
              <w:bottom w:val="single" w:sz="8" w:space="0" w:color="000000"/>
              <w:right w:val="single" w:sz="8" w:space="0" w:color="000000"/>
            </w:tcBorders>
            <w:vAlign w:val="center"/>
          </w:tcPr>
          <w:p w14:paraId="6512BA8C" w14:textId="77777777" w:rsidR="0066529D" w:rsidRDefault="00A901FF">
            <w:pPr>
              <w:pStyle w:val="biaogeright"/>
              <w:wordWrap w:val="0"/>
              <w:rPr>
                <w:rFonts w:hint="eastAsia"/>
              </w:rPr>
            </w:pPr>
            <w:r>
              <w:rPr>
                <w:rFonts w:hAnsi="等线"/>
                <w:color w:val="000000"/>
              </w:rPr>
              <w:t>100.00</w:t>
            </w:r>
          </w:p>
        </w:tc>
      </w:tr>
    </w:tbl>
    <w:p w14:paraId="7E80398F" w14:textId="77777777" w:rsidR="0066529D" w:rsidRDefault="0066529D">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182D234E"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2、报告期末按行业分类的股票投资组合</w:t>
      </w:r>
    </w:p>
    <w:p w14:paraId="7DE1A525" w14:textId="77777777" w:rsidR="0066529D" w:rsidRDefault="00A901FF">
      <w:pPr>
        <w:autoSpaceDE w:val="0"/>
        <w:autoSpaceDN w:val="0"/>
        <w:spacing w:line="360" w:lineRule="auto"/>
        <w:ind w:firstLineChars="150" w:firstLine="36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1）报告期末按行业分类的境内股票投资组合</w:t>
      </w:r>
    </w:p>
    <w:tbl>
      <w:tblPr>
        <w:tblW w:w="0" w:type="auto"/>
        <w:tblInd w:w="108" w:type="dxa"/>
        <w:tblLook w:val="04A0" w:firstRow="1" w:lastRow="0" w:firstColumn="1" w:lastColumn="0" w:noHBand="0" w:noVBand="1"/>
      </w:tblPr>
      <w:tblGrid>
        <w:gridCol w:w="780"/>
        <w:gridCol w:w="3101"/>
        <w:gridCol w:w="1937"/>
        <w:gridCol w:w="2596"/>
      </w:tblGrid>
      <w:tr w:rsidR="0066529D" w14:paraId="03EAC574" w14:textId="77777777">
        <w:tc>
          <w:tcPr>
            <w:tcW w:w="780" w:type="dxa"/>
            <w:tcBorders>
              <w:top w:val="single" w:sz="8" w:space="0" w:color="000000"/>
              <w:left w:val="single" w:sz="8" w:space="0" w:color="000000"/>
              <w:bottom w:val="single" w:sz="6" w:space="0" w:color="000000"/>
              <w:right w:val="single" w:sz="8" w:space="0" w:color="000000"/>
            </w:tcBorders>
            <w:vAlign w:val="center"/>
          </w:tcPr>
          <w:p w14:paraId="1087D1DD" w14:textId="77777777" w:rsidR="0066529D" w:rsidRDefault="00A901FF">
            <w:pPr>
              <w:pStyle w:val="biaogecenter"/>
              <w:wordWrap w:val="0"/>
              <w:rPr>
                <w:rFonts w:hint="eastAsia"/>
              </w:rPr>
            </w:pPr>
            <w:r>
              <w:rPr>
                <w:rFonts w:hAnsi="等线" w:hint="eastAsia"/>
                <w:color w:val="000000"/>
              </w:rPr>
              <w:t>代码</w:t>
            </w:r>
          </w:p>
        </w:tc>
        <w:tc>
          <w:tcPr>
            <w:tcW w:w="3101" w:type="dxa"/>
            <w:tcBorders>
              <w:top w:val="single" w:sz="8" w:space="0" w:color="000000"/>
              <w:left w:val="single" w:sz="8" w:space="0" w:color="000000"/>
              <w:bottom w:val="single" w:sz="6" w:space="0" w:color="000000"/>
              <w:right w:val="single" w:sz="8" w:space="0" w:color="000000"/>
            </w:tcBorders>
            <w:vAlign w:val="center"/>
          </w:tcPr>
          <w:p w14:paraId="458AD371" w14:textId="77777777" w:rsidR="0066529D" w:rsidRDefault="00A901FF">
            <w:pPr>
              <w:pStyle w:val="biaogecenter"/>
              <w:wordWrap w:val="0"/>
              <w:rPr>
                <w:rFonts w:hint="eastAsia"/>
              </w:rPr>
            </w:pPr>
            <w:r>
              <w:rPr>
                <w:rFonts w:hAnsi="等线" w:hint="eastAsia"/>
                <w:color w:val="000000"/>
              </w:rPr>
              <w:t>行业类别</w:t>
            </w:r>
          </w:p>
        </w:tc>
        <w:tc>
          <w:tcPr>
            <w:tcW w:w="1937" w:type="dxa"/>
            <w:tcBorders>
              <w:top w:val="single" w:sz="8" w:space="0" w:color="000000"/>
              <w:left w:val="single" w:sz="8" w:space="0" w:color="000000"/>
              <w:bottom w:val="single" w:sz="6" w:space="0" w:color="000000"/>
              <w:right w:val="single" w:sz="8" w:space="0" w:color="000000"/>
            </w:tcBorders>
            <w:vAlign w:val="center"/>
          </w:tcPr>
          <w:p w14:paraId="79DE6CD1" w14:textId="77777777" w:rsidR="0066529D" w:rsidRDefault="00A901FF">
            <w:pPr>
              <w:pStyle w:val="biaogecenter"/>
              <w:wordWrap w:val="0"/>
              <w:rPr>
                <w:rFonts w:hint="eastAsia"/>
              </w:rPr>
            </w:pPr>
            <w:r>
              <w:rPr>
                <w:rFonts w:hAnsi="等线" w:hint="eastAsia"/>
                <w:color w:val="000000"/>
              </w:rPr>
              <w:t>公允价值(元)</w:t>
            </w:r>
          </w:p>
        </w:tc>
        <w:tc>
          <w:tcPr>
            <w:tcW w:w="2596" w:type="dxa"/>
            <w:tcBorders>
              <w:top w:val="single" w:sz="8" w:space="0" w:color="000000"/>
              <w:left w:val="single" w:sz="8" w:space="0" w:color="000000"/>
              <w:bottom w:val="single" w:sz="6" w:space="0" w:color="000000"/>
              <w:right w:val="single" w:sz="8" w:space="0" w:color="000000"/>
            </w:tcBorders>
            <w:vAlign w:val="center"/>
          </w:tcPr>
          <w:p w14:paraId="650174CD" w14:textId="77777777" w:rsidR="0066529D" w:rsidRDefault="00A901FF">
            <w:pPr>
              <w:pStyle w:val="biaogecenter"/>
              <w:wordWrap w:val="0"/>
              <w:rPr>
                <w:rFonts w:hint="eastAsia"/>
              </w:rPr>
            </w:pPr>
            <w:r>
              <w:rPr>
                <w:rFonts w:hAnsi="等线" w:hint="eastAsia"/>
                <w:color w:val="000000"/>
              </w:rPr>
              <w:t>占基金资产净值比例（%）</w:t>
            </w:r>
          </w:p>
        </w:tc>
      </w:tr>
      <w:tr w:rsidR="0066529D" w14:paraId="369A482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0A5929C" w14:textId="77777777" w:rsidR="0066529D" w:rsidRDefault="00A901FF">
            <w:pPr>
              <w:pStyle w:val="biaogecenter"/>
              <w:wordWrap w:val="0"/>
              <w:rPr>
                <w:rFonts w:hint="eastAsia"/>
              </w:rPr>
            </w:pPr>
            <w:r>
              <w:rPr>
                <w:rFonts w:hint="eastAsia"/>
              </w:rPr>
              <w:t>A</w:t>
            </w:r>
          </w:p>
        </w:tc>
        <w:tc>
          <w:tcPr>
            <w:tcW w:w="3101" w:type="dxa"/>
            <w:tcBorders>
              <w:top w:val="single" w:sz="8" w:space="0" w:color="000000"/>
              <w:left w:val="single" w:sz="8" w:space="0" w:color="000000"/>
              <w:bottom w:val="single" w:sz="6" w:space="0" w:color="000000"/>
              <w:right w:val="single" w:sz="8" w:space="0" w:color="000000"/>
            </w:tcBorders>
            <w:vAlign w:val="center"/>
          </w:tcPr>
          <w:p w14:paraId="4AF64F9A" w14:textId="77777777" w:rsidR="0066529D" w:rsidRDefault="00A901FF">
            <w:pPr>
              <w:pStyle w:val="biaogeleft"/>
              <w:wordWrap w:val="0"/>
              <w:rPr>
                <w:rFonts w:hint="eastAsia"/>
              </w:rPr>
            </w:pPr>
            <w:r>
              <w:rPr>
                <w:rFonts w:hint="eastAsia"/>
              </w:rPr>
              <w:t>农、林、牧、渔业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658941F"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6F37468B" w14:textId="77777777" w:rsidR="0066529D" w:rsidRDefault="00A901FF">
            <w:pPr>
              <w:pStyle w:val="biaogeright"/>
              <w:wordWrap w:val="0"/>
              <w:rPr>
                <w:rFonts w:hint="eastAsia"/>
              </w:rPr>
            </w:pPr>
            <w:r>
              <w:t>-</w:t>
            </w:r>
          </w:p>
        </w:tc>
      </w:tr>
      <w:tr w:rsidR="0066529D" w14:paraId="20FA3CE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CF7542" w14:textId="77777777" w:rsidR="0066529D" w:rsidRDefault="00A901FF">
            <w:pPr>
              <w:pStyle w:val="biaogecenter"/>
              <w:wordWrap w:val="0"/>
              <w:rPr>
                <w:rFonts w:hint="eastAsia"/>
              </w:rPr>
            </w:pPr>
            <w:r>
              <w:rPr>
                <w:rFonts w:hint="eastAsia"/>
              </w:rPr>
              <w:t>B</w:t>
            </w:r>
          </w:p>
        </w:tc>
        <w:tc>
          <w:tcPr>
            <w:tcW w:w="3101" w:type="dxa"/>
            <w:tcBorders>
              <w:top w:val="single" w:sz="8" w:space="0" w:color="000000"/>
              <w:left w:val="single" w:sz="8" w:space="0" w:color="000000"/>
              <w:bottom w:val="single" w:sz="6" w:space="0" w:color="000000"/>
              <w:right w:val="single" w:sz="8" w:space="0" w:color="000000"/>
            </w:tcBorders>
            <w:vAlign w:val="center"/>
          </w:tcPr>
          <w:p w14:paraId="4CD2446F" w14:textId="77777777" w:rsidR="0066529D" w:rsidRDefault="00A901FF">
            <w:pPr>
              <w:pStyle w:val="biaogeleft"/>
              <w:wordWrap w:val="0"/>
              <w:rPr>
                <w:rFonts w:hint="eastAsia"/>
              </w:rPr>
            </w:pPr>
            <w:r>
              <w:rPr>
                <w:rFonts w:hint="eastAsia"/>
              </w:rPr>
              <w:t>采矿业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9983FE6"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20D831C6" w14:textId="77777777" w:rsidR="0066529D" w:rsidRDefault="00A901FF">
            <w:pPr>
              <w:pStyle w:val="biaogeright"/>
              <w:wordWrap w:val="0"/>
              <w:rPr>
                <w:rFonts w:hint="eastAsia"/>
              </w:rPr>
            </w:pPr>
            <w:r>
              <w:t>-</w:t>
            </w:r>
          </w:p>
        </w:tc>
      </w:tr>
      <w:tr w:rsidR="0066529D" w14:paraId="6C24F0B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AFEC701" w14:textId="77777777" w:rsidR="0066529D" w:rsidRDefault="00A901FF">
            <w:pPr>
              <w:pStyle w:val="biaogecenter"/>
              <w:wordWrap w:val="0"/>
              <w:rPr>
                <w:rFonts w:hint="eastAsia"/>
              </w:rPr>
            </w:pPr>
            <w:r>
              <w:rPr>
                <w:rFonts w:hint="eastAsia"/>
              </w:rPr>
              <w:t>C</w:t>
            </w:r>
          </w:p>
        </w:tc>
        <w:tc>
          <w:tcPr>
            <w:tcW w:w="3101" w:type="dxa"/>
            <w:tcBorders>
              <w:top w:val="single" w:sz="8" w:space="0" w:color="000000"/>
              <w:left w:val="single" w:sz="8" w:space="0" w:color="000000"/>
              <w:bottom w:val="single" w:sz="6" w:space="0" w:color="000000"/>
              <w:right w:val="single" w:sz="8" w:space="0" w:color="000000"/>
            </w:tcBorders>
            <w:vAlign w:val="center"/>
          </w:tcPr>
          <w:p w14:paraId="5B25327A" w14:textId="77777777" w:rsidR="0066529D" w:rsidRDefault="00A901FF">
            <w:pPr>
              <w:pStyle w:val="biaogeleft"/>
              <w:wordWrap w:val="0"/>
              <w:rPr>
                <w:rFonts w:hint="eastAsia"/>
              </w:rPr>
            </w:pPr>
            <w:r>
              <w:rPr>
                <w:rFonts w:hint="eastAsia"/>
              </w:rPr>
              <w:t>制造业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D0E463E" w14:textId="77777777" w:rsidR="0066529D" w:rsidRDefault="00A901FF">
            <w:pPr>
              <w:pStyle w:val="biaogeright"/>
              <w:wordWrap w:val="0"/>
              <w:rPr>
                <w:rFonts w:hint="eastAsia"/>
              </w:rPr>
            </w:pPr>
            <w:r>
              <w:t>6,840,892.96</w:t>
            </w:r>
          </w:p>
        </w:tc>
        <w:tc>
          <w:tcPr>
            <w:tcW w:w="2596" w:type="dxa"/>
            <w:tcBorders>
              <w:top w:val="single" w:sz="8" w:space="0" w:color="000000"/>
              <w:left w:val="single" w:sz="8" w:space="0" w:color="000000"/>
              <w:bottom w:val="single" w:sz="8" w:space="0" w:color="000000"/>
              <w:right w:val="single" w:sz="8" w:space="0" w:color="000000"/>
            </w:tcBorders>
            <w:vAlign w:val="center"/>
          </w:tcPr>
          <w:p w14:paraId="67A97CC8" w14:textId="77777777" w:rsidR="0066529D" w:rsidRDefault="00A901FF">
            <w:pPr>
              <w:pStyle w:val="biaogeright"/>
              <w:wordWrap w:val="0"/>
              <w:rPr>
                <w:rFonts w:hint="eastAsia"/>
              </w:rPr>
            </w:pPr>
            <w:r>
              <w:t>80.73</w:t>
            </w:r>
          </w:p>
        </w:tc>
      </w:tr>
      <w:tr w:rsidR="0066529D" w14:paraId="4493070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0330061" w14:textId="77777777" w:rsidR="0066529D" w:rsidRDefault="00A901FF">
            <w:pPr>
              <w:pStyle w:val="biaogecenter"/>
              <w:wordWrap w:val="0"/>
              <w:rPr>
                <w:rFonts w:hint="eastAsia"/>
              </w:rPr>
            </w:pPr>
            <w:r>
              <w:rPr>
                <w:rFonts w:hAnsi="等线" w:hint="eastAsia"/>
                <w:color w:val="000000"/>
              </w:rPr>
              <w:t>D</w:t>
            </w:r>
          </w:p>
        </w:tc>
        <w:tc>
          <w:tcPr>
            <w:tcW w:w="3101" w:type="dxa"/>
            <w:tcBorders>
              <w:top w:val="single" w:sz="8" w:space="0" w:color="000000"/>
              <w:left w:val="single" w:sz="8" w:space="0" w:color="000000"/>
              <w:bottom w:val="single" w:sz="6" w:space="0" w:color="000000"/>
              <w:right w:val="single" w:sz="8" w:space="0" w:color="000000"/>
            </w:tcBorders>
            <w:vAlign w:val="center"/>
          </w:tcPr>
          <w:p w14:paraId="1FA28519" w14:textId="77777777" w:rsidR="0066529D" w:rsidRDefault="00A901FF">
            <w:pPr>
              <w:pStyle w:val="biaogeleft"/>
              <w:wordWrap w:val="0"/>
              <w:rPr>
                <w:rFonts w:hint="eastAsia"/>
              </w:rPr>
            </w:pPr>
            <w:r>
              <w:rPr>
                <w:rFonts w:hint="eastAsia"/>
              </w:rPr>
              <w:t>电力、热力、燃气及水生产和供应业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8D8CD39"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7045E5EF" w14:textId="77777777" w:rsidR="0066529D" w:rsidRDefault="00A901FF">
            <w:pPr>
              <w:pStyle w:val="biaogeright"/>
              <w:wordWrap w:val="0"/>
              <w:rPr>
                <w:rFonts w:hint="eastAsia"/>
              </w:rPr>
            </w:pPr>
            <w:r>
              <w:t>-</w:t>
            </w:r>
          </w:p>
        </w:tc>
      </w:tr>
      <w:tr w:rsidR="0066529D" w14:paraId="69777C3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822F8D" w14:textId="77777777" w:rsidR="0066529D" w:rsidRDefault="00A901FF">
            <w:pPr>
              <w:pStyle w:val="biaogecenter"/>
              <w:wordWrap w:val="0"/>
              <w:rPr>
                <w:rFonts w:hint="eastAsia"/>
              </w:rPr>
            </w:pPr>
            <w:r>
              <w:rPr>
                <w:rFonts w:hint="eastAsia"/>
              </w:rPr>
              <w:t>E</w:t>
            </w:r>
          </w:p>
        </w:tc>
        <w:tc>
          <w:tcPr>
            <w:tcW w:w="3101" w:type="dxa"/>
            <w:tcBorders>
              <w:top w:val="single" w:sz="8" w:space="0" w:color="000000"/>
              <w:left w:val="single" w:sz="8" w:space="0" w:color="000000"/>
              <w:bottom w:val="single" w:sz="6" w:space="0" w:color="000000"/>
              <w:right w:val="single" w:sz="8" w:space="0" w:color="000000"/>
            </w:tcBorders>
            <w:vAlign w:val="center"/>
          </w:tcPr>
          <w:p w14:paraId="3867060C" w14:textId="77777777" w:rsidR="0066529D" w:rsidRDefault="00A901FF">
            <w:pPr>
              <w:pStyle w:val="biaogeleft"/>
              <w:wordWrap w:val="0"/>
              <w:rPr>
                <w:rFonts w:hint="eastAsia"/>
              </w:rPr>
            </w:pPr>
            <w:r>
              <w:rPr>
                <w:rFonts w:hint="eastAsia"/>
              </w:rPr>
              <w:t>建筑业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35FBB52"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6AA22522" w14:textId="77777777" w:rsidR="0066529D" w:rsidRDefault="00A901FF">
            <w:pPr>
              <w:pStyle w:val="biaogeright"/>
              <w:wordWrap w:val="0"/>
              <w:rPr>
                <w:rFonts w:hint="eastAsia"/>
              </w:rPr>
            </w:pPr>
            <w:r>
              <w:t>-</w:t>
            </w:r>
          </w:p>
        </w:tc>
      </w:tr>
      <w:tr w:rsidR="0066529D" w14:paraId="7F74101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7E53548" w14:textId="77777777" w:rsidR="0066529D" w:rsidRDefault="00A901FF">
            <w:pPr>
              <w:pStyle w:val="biaogecenter"/>
              <w:wordWrap w:val="0"/>
              <w:rPr>
                <w:rFonts w:hint="eastAsia"/>
              </w:rPr>
            </w:pPr>
            <w:r>
              <w:rPr>
                <w:rFonts w:hAnsi="等线" w:hint="eastAsia"/>
                <w:color w:val="000000"/>
              </w:rPr>
              <w:t>F</w:t>
            </w:r>
          </w:p>
        </w:tc>
        <w:tc>
          <w:tcPr>
            <w:tcW w:w="3101" w:type="dxa"/>
            <w:tcBorders>
              <w:top w:val="single" w:sz="8" w:space="0" w:color="000000"/>
              <w:left w:val="single" w:sz="8" w:space="0" w:color="000000"/>
              <w:bottom w:val="single" w:sz="6" w:space="0" w:color="000000"/>
              <w:right w:val="single" w:sz="8" w:space="0" w:color="000000"/>
            </w:tcBorders>
            <w:vAlign w:val="center"/>
          </w:tcPr>
          <w:p w14:paraId="1F39C2D5" w14:textId="77777777" w:rsidR="0066529D" w:rsidRDefault="00A901FF">
            <w:pPr>
              <w:pStyle w:val="biaogeleft"/>
              <w:wordWrap w:val="0"/>
              <w:rPr>
                <w:rFonts w:hint="eastAsia"/>
              </w:rPr>
            </w:pPr>
            <w:r>
              <w:rPr>
                <w:rFonts w:hint="eastAsia"/>
              </w:rPr>
              <w:t>批发和零售业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05F41749" w14:textId="77777777" w:rsidR="0066529D" w:rsidRDefault="00A901FF">
            <w:pPr>
              <w:pStyle w:val="biaogeright"/>
              <w:wordWrap w:val="0"/>
              <w:rPr>
                <w:rFonts w:hint="eastAsia"/>
              </w:rPr>
            </w:pPr>
            <w:r>
              <w:t>525,525.00</w:t>
            </w:r>
          </w:p>
        </w:tc>
        <w:tc>
          <w:tcPr>
            <w:tcW w:w="2596" w:type="dxa"/>
            <w:tcBorders>
              <w:top w:val="single" w:sz="8" w:space="0" w:color="000000"/>
              <w:left w:val="single" w:sz="8" w:space="0" w:color="000000"/>
              <w:bottom w:val="single" w:sz="8" w:space="0" w:color="000000"/>
              <w:right w:val="single" w:sz="8" w:space="0" w:color="000000"/>
            </w:tcBorders>
            <w:vAlign w:val="center"/>
          </w:tcPr>
          <w:p w14:paraId="002DFDF3" w14:textId="77777777" w:rsidR="0066529D" w:rsidRDefault="00A901FF">
            <w:pPr>
              <w:pStyle w:val="biaogeright"/>
              <w:wordWrap w:val="0"/>
              <w:rPr>
                <w:rFonts w:hint="eastAsia"/>
              </w:rPr>
            </w:pPr>
            <w:r>
              <w:t>6.20</w:t>
            </w:r>
          </w:p>
        </w:tc>
      </w:tr>
      <w:tr w:rsidR="0066529D" w14:paraId="78C873B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29B3B9F" w14:textId="77777777" w:rsidR="0066529D" w:rsidRDefault="00A901FF">
            <w:pPr>
              <w:pStyle w:val="biaogecenter"/>
              <w:wordWrap w:val="0"/>
              <w:rPr>
                <w:rFonts w:hint="eastAsia"/>
              </w:rPr>
            </w:pPr>
            <w:r>
              <w:rPr>
                <w:rFonts w:hAnsi="等线" w:hint="eastAsia"/>
                <w:color w:val="000000"/>
              </w:rPr>
              <w:t>G</w:t>
            </w:r>
          </w:p>
        </w:tc>
        <w:tc>
          <w:tcPr>
            <w:tcW w:w="3101" w:type="dxa"/>
            <w:tcBorders>
              <w:top w:val="single" w:sz="8" w:space="0" w:color="000000"/>
              <w:left w:val="single" w:sz="8" w:space="0" w:color="000000"/>
              <w:bottom w:val="single" w:sz="6" w:space="0" w:color="000000"/>
              <w:right w:val="single" w:sz="8" w:space="0" w:color="000000"/>
            </w:tcBorders>
            <w:vAlign w:val="center"/>
          </w:tcPr>
          <w:p w14:paraId="384B1A0E" w14:textId="77777777" w:rsidR="0066529D" w:rsidRDefault="00A901FF">
            <w:pPr>
              <w:pStyle w:val="biaogeleft"/>
              <w:wordWrap w:val="0"/>
              <w:rPr>
                <w:rFonts w:hint="eastAsia"/>
              </w:rPr>
            </w:pPr>
            <w:r>
              <w:rPr>
                <w:rFonts w:hint="eastAsia"/>
              </w:rPr>
              <w:t>交通运输、仓储和邮政业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34335604"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3077A382" w14:textId="77777777" w:rsidR="0066529D" w:rsidRDefault="00A901FF">
            <w:pPr>
              <w:pStyle w:val="biaogeright"/>
              <w:wordWrap w:val="0"/>
              <w:rPr>
                <w:rFonts w:hint="eastAsia"/>
              </w:rPr>
            </w:pPr>
            <w:r>
              <w:t>-</w:t>
            </w:r>
          </w:p>
        </w:tc>
      </w:tr>
      <w:tr w:rsidR="0066529D" w14:paraId="13E97C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D0C03E1" w14:textId="77777777" w:rsidR="0066529D" w:rsidRDefault="00A901FF">
            <w:pPr>
              <w:pStyle w:val="biaogecenter"/>
              <w:wordWrap w:val="0"/>
              <w:rPr>
                <w:rFonts w:hint="eastAsia"/>
              </w:rPr>
            </w:pPr>
            <w:r>
              <w:rPr>
                <w:rFonts w:hAnsi="等线" w:hint="eastAsia"/>
                <w:color w:val="000000"/>
              </w:rPr>
              <w:t>H</w:t>
            </w:r>
          </w:p>
        </w:tc>
        <w:tc>
          <w:tcPr>
            <w:tcW w:w="3101" w:type="dxa"/>
            <w:tcBorders>
              <w:top w:val="single" w:sz="8" w:space="0" w:color="000000"/>
              <w:left w:val="single" w:sz="8" w:space="0" w:color="000000"/>
              <w:bottom w:val="single" w:sz="6" w:space="0" w:color="000000"/>
              <w:right w:val="single" w:sz="8" w:space="0" w:color="000000"/>
            </w:tcBorders>
            <w:vAlign w:val="center"/>
          </w:tcPr>
          <w:p w14:paraId="10FDA4D6" w14:textId="77777777" w:rsidR="0066529D" w:rsidRDefault="00A901FF">
            <w:pPr>
              <w:pStyle w:val="biaogeleft"/>
              <w:wordWrap w:val="0"/>
              <w:rPr>
                <w:rFonts w:hint="eastAsia"/>
              </w:rPr>
            </w:pPr>
            <w:r>
              <w:rPr>
                <w:rFonts w:hint="eastAsia"/>
              </w:rPr>
              <w:t>住宿和餐饮业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DA94DE7"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131E7E8C" w14:textId="77777777" w:rsidR="0066529D" w:rsidRDefault="00A901FF">
            <w:pPr>
              <w:pStyle w:val="biaogeright"/>
              <w:wordWrap w:val="0"/>
              <w:rPr>
                <w:rFonts w:hint="eastAsia"/>
              </w:rPr>
            </w:pPr>
            <w:r>
              <w:t>-</w:t>
            </w:r>
          </w:p>
        </w:tc>
      </w:tr>
      <w:tr w:rsidR="0066529D" w14:paraId="1FCA746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F574AF1" w14:textId="77777777" w:rsidR="0066529D" w:rsidRDefault="00A901FF">
            <w:pPr>
              <w:pStyle w:val="biaogecenter"/>
              <w:wordWrap w:val="0"/>
              <w:rPr>
                <w:rFonts w:hint="eastAsia"/>
              </w:rPr>
            </w:pPr>
            <w:r>
              <w:rPr>
                <w:rFonts w:hAnsi="等线" w:hint="eastAsia"/>
                <w:color w:val="000000"/>
              </w:rPr>
              <w:t>I</w:t>
            </w:r>
          </w:p>
        </w:tc>
        <w:tc>
          <w:tcPr>
            <w:tcW w:w="3101" w:type="dxa"/>
            <w:tcBorders>
              <w:top w:val="single" w:sz="8" w:space="0" w:color="000000"/>
              <w:left w:val="single" w:sz="8" w:space="0" w:color="000000"/>
              <w:bottom w:val="single" w:sz="6" w:space="0" w:color="000000"/>
              <w:right w:val="single" w:sz="8" w:space="0" w:color="000000"/>
            </w:tcBorders>
            <w:vAlign w:val="center"/>
          </w:tcPr>
          <w:p w14:paraId="52E30E97" w14:textId="77777777" w:rsidR="0066529D" w:rsidRDefault="00A901FF">
            <w:pPr>
              <w:pStyle w:val="biaogeleft"/>
              <w:wordWrap w:val="0"/>
              <w:rPr>
                <w:rFonts w:hint="eastAsia"/>
              </w:rPr>
            </w:pPr>
            <w:r>
              <w:rPr>
                <w:rFonts w:hint="eastAsia"/>
              </w:rPr>
              <w:t>信息传输、软件和信息技术服务业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6BB38740" w14:textId="77777777" w:rsidR="0066529D" w:rsidRDefault="00A901FF">
            <w:pPr>
              <w:pStyle w:val="biaogeright"/>
              <w:wordWrap w:val="0"/>
              <w:rPr>
                <w:rFonts w:hint="eastAsia"/>
              </w:rPr>
            </w:pPr>
            <w:r>
              <w:t>285,201.00</w:t>
            </w:r>
          </w:p>
        </w:tc>
        <w:tc>
          <w:tcPr>
            <w:tcW w:w="2596" w:type="dxa"/>
            <w:tcBorders>
              <w:top w:val="single" w:sz="8" w:space="0" w:color="000000"/>
              <w:left w:val="single" w:sz="8" w:space="0" w:color="000000"/>
              <w:bottom w:val="single" w:sz="8" w:space="0" w:color="000000"/>
              <w:right w:val="single" w:sz="8" w:space="0" w:color="000000"/>
            </w:tcBorders>
            <w:vAlign w:val="center"/>
          </w:tcPr>
          <w:p w14:paraId="61589EA1" w14:textId="77777777" w:rsidR="0066529D" w:rsidRDefault="00A901FF">
            <w:pPr>
              <w:pStyle w:val="biaogeright"/>
              <w:wordWrap w:val="0"/>
              <w:rPr>
                <w:rFonts w:hint="eastAsia"/>
              </w:rPr>
            </w:pPr>
            <w:r>
              <w:t>3.37</w:t>
            </w:r>
          </w:p>
        </w:tc>
      </w:tr>
      <w:tr w:rsidR="0066529D" w14:paraId="029ADDB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4E0A587" w14:textId="77777777" w:rsidR="0066529D" w:rsidRDefault="00A901FF">
            <w:pPr>
              <w:pStyle w:val="biaogecenter"/>
              <w:wordWrap w:val="0"/>
              <w:rPr>
                <w:rFonts w:hint="eastAsia"/>
              </w:rPr>
            </w:pPr>
            <w:r>
              <w:rPr>
                <w:rFonts w:hAnsi="等线" w:hint="eastAsia"/>
                <w:color w:val="000000"/>
              </w:rPr>
              <w:t>J</w:t>
            </w:r>
          </w:p>
        </w:tc>
        <w:tc>
          <w:tcPr>
            <w:tcW w:w="3101" w:type="dxa"/>
            <w:tcBorders>
              <w:top w:val="single" w:sz="8" w:space="0" w:color="000000"/>
              <w:left w:val="single" w:sz="8" w:space="0" w:color="000000"/>
              <w:bottom w:val="single" w:sz="6" w:space="0" w:color="000000"/>
              <w:right w:val="single" w:sz="8" w:space="0" w:color="000000"/>
            </w:tcBorders>
            <w:vAlign w:val="center"/>
          </w:tcPr>
          <w:p w14:paraId="293B0D87" w14:textId="77777777" w:rsidR="0066529D" w:rsidRDefault="00A901FF">
            <w:pPr>
              <w:pStyle w:val="biaogeleft"/>
              <w:wordWrap w:val="0"/>
              <w:rPr>
                <w:rFonts w:hint="eastAsia"/>
              </w:rPr>
            </w:pPr>
            <w:r>
              <w:rPr>
                <w:rFonts w:hint="eastAsia"/>
              </w:rPr>
              <w:t>金融业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5982B395"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0630362C" w14:textId="77777777" w:rsidR="0066529D" w:rsidRDefault="00A901FF">
            <w:pPr>
              <w:pStyle w:val="biaogeright"/>
              <w:wordWrap w:val="0"/>
              <w:rPr>
                <w:rFonts w:hint="eastAsia"/>
              </w:rPr>
            </w:pPr>
            <w:r>
              <w:t>-</w:t>
            </w:r>
          </w:p>
        </w:tc>
      </w:tr>
      <w:tr w:rsidR="0066529D" w14:paraId="785E422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A37D9D9" w14:textId="77777777" w:rsidR="0066529D" w:rsidRDefault="00A901FF">
            <w:pPr>
              <w:pStyle w:val="biaogecenter"/>
              <w:wordWrap w:val="0"/>
              <w:rPr>
                <w:rFonts w:hint="eastAsia"/>
              </w:rPr>
            </w:pPr>
            <w:r>
              <w:rPr>
                <w:rFonts w:hAnsi="等线" w:hint="eastAsia"/>
                <w:color w:val="000000"/>
              </w:rPr>
              <w:t>K</w:t>
            </w:r>
          </w:p>
        </w:tc>
        <w:tc>
          <w:tcPr>
            <w:tcW w:w="3101" w:type="dxa"/>
            <w:tcBorders>
              <w:top w:val="single" w:sz="8" w:space="0" w:color="000000"/>
              <w:left w:val="single" w:sz="8" w:space="0" w:color="000000"/>
              <w:bottom w:val="single" w:sz="6" w:space="0" w:color="000000"/>
              <w:right w:val="single" w:sz="8" w:space="0" w:color="000000"/>
            </w:tcBorders>
            <w:vAlign w:val="center"/>
          </w:tcPr>
          <w:p w14:paraId="1BAD07B1" w14:textId="77777777" w:rsidR="0066529D" w:rsidRDefault="00A901FF">
            <w:pPr>
              <w:pStyle w:val="biaogeleft"/>
              <w:wordWrap w:val="0"/>
              <w:rPr>
                <w:rFonts w:hint="eastAsia"/>
              </w:rPr>
            </w:pPr>
            <w:r>
              <w:rPr>
                <w:rFonts w:hint="eastAsia"/>
              </w:rPr>
              <w:t>房地产业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580CE210"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0149696E" w14:textId="77777777" w:rsidR="0066529D" w:rsidRDefault="00A901FF">
            <w:pPr>
              <w:pStyle w:val="biaogeright"/>
              <w:wordWrap w:val="0"/>
              <w:rPr>
                <w:rFonts w:hint="eastAsia"/>
              </w:rPr>
            </w:pPr>
            <w:r>
              <w:t>-</w:t>
            </w:r>
          </w:p>
        </w:tc>
      </w:tr>
      <w:tr w:rsidR="0066529D" w14:paraId="6142DAB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31CBDEA" w14:textId="77777777" w:rsidR="0066529D" w:rsidRDefault="00A901FF">
            <w:pPr>
              <w:pStyle w:val="biaogecenter"/>
              <w:wordWrap w:val="0"/>
              <w:rPr>
                <w:rFonts w:hint="eastAsia"/>
              </w:rPr>
            </w:pPr>
            <w:r>
              <w:rPr>
                <w:rFonts w:hAnsi="等线" w:hint="eastAsia"/>
                <w:color w:val="000000"/>
              </w:rPr>
              <w:t>L</w:t>
            </w:r>
          </w:p>
        </w:tc>
        <w:tc>
          <w:tcPr>
            <w:tcW w:w="3101" w:type="dxa"/>
            <w:tcBorders>
              <w:top w:val="single" w:sz="8" w:space="0" w:color="000000"/>
              <w:left w:val="single" w:sz="8" w:space="0" w:color="000000"/>
              <w:bottom w:val="single" w:sz="6" w:space="0" w:color="000000"/>
              <w:right w:val="single" w:sz="8" w:space="0" w:color="000000"/>
            </w:tcBorders>
            <w:vAlign w:val="center"/>
          </w:tcPr>
          <w:p w14:paraId="10AEA708" w14:textId="77777777" w:rsidR="0066529D" w:rsidRDefault="00A901FF">
            <w:pPr>
              <w:pStyle w:val="biaogeleft"/>
              <w:wordWrap w:val="0"/>
              <w:rPr>
                <w:rFonts w:hint="eastAsia"/>
              </w:rPr>
            </w:pPr>
            <w:r>
              <w:rPr>
                <w:rFonts w:hint="eastAsia"/>
              </w:rPr>
              <w:t>租赁和商务服务业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174A9C66"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245EBB44" w14:textId="77777777" w:rsidR="0066529D" w:rsidRDefault="00A901FF">
            <w:pPr>
              <w:pStyle w:val="biaogeright"/>
              <w:wordWrap w:val="0"/>
              <w:rPr>
                <w:rFonts w:hint="eastAsia"/>
              </w:rPr>
            </w:pPr>
            <w:r>
              <w:t>-</w:t>
            </w:r>
          </w:p>
        </w:tc>
      </w:tr>
      <w:tr w:rsidR="0066529D" w14:paraId="42EBB28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CCEB052" w14:textId="77777777" w:rsidR="0066529D" w:rsidRDefault="00A901FF">
            <w:pPr>
              <w:pStyle w:val="biaogecenter"/>
              <w:wordWrap w:val="0"/>
              <w:rPr>
                <w:rFonts w:hint="eastAsia"/>
              </w:rPr>
            </w:pPr>
            <w:r>
              <w:rPr>
                <w:rFonts w:hAnsi="等线" w:hint="eastAsia"/>
                <w:color w:val="000000"/>
              </w:rPr>
              <w:t>M</w:t>
            </w:r>
          </w:p>
        </w:tc>
        <w:tc>
          <w:tcPr>
            <w:tcW w:w="3101" w:type="dxa"/>
            <w:tcBorders>
              <w:top w:val="single" w:sz="8" w:space="0" w:color="000000"/>
              <w:left w:val="single" w:sz="8" w:space="0" w:color="000000"/>
              <w:bottom w:val="single" w:sz="6" w:space="0" w:color="000000"/>
              <w:right w:val="single" w:sz="8" w:space="0" w:color="000000"/>
            </w:tcBorders>
            <w:vAlign w:val="center"/>
          </w:tcPr>
          <w:p w14:paraId="004F18F4" w14:textId="77777777" w:rsidR="0066529D" w:rsidRDefault="00A901FF">
            <w:pPr>
              <w:pStyle w:val="biaogeleft"/>
              <w:wordWrap w:val="0"/>
              <w:rPr>
                <w:rFonts w:hint="eastAsia"/>
              </w:rPr>
            </w:pPr>
            <w:r>
              <w:rPr>
                <w:rFonts w:hint="eastAsia"/>
              </w:rPr>
              <w:t>科学研究和技术服务业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757CEFFA"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550F3186" w14:textId="77777777" w:rsidR="0066529D" w:rsidRDefault="00A901FF">
            <w:pPr>
              <w:pStyle w:val="biaogeright"/>
              <w:wordWrap w:val="0"/>
              <w:rPr>
                <w:rFonts w:hint="eastAsia"/>
              </w:rPr>
            </w:pPr>
            <w:r>
              <w:t>-</w:t>
            </w:r>
          </w:p>
        </w:tc>
      </w:tr>
      <w:tr w:rsidR="0066529D" w14:paraId="38C4DE5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72CBE81" w14:textId="77777777" w:rsidR="0066529D" w:rsidRDefault="00A901FF">
            <w:pPr>
              <w:pStyle w:val="biaogecenter"/>
              <w:wordWrap w:val="0"/>
              <w:rPr>
                <w:rFonts w:hint="eastAsia"/>
              </w:rPr>
            </w:pPr>
            <w:r>
              <w:rPr>
                <w:rFonts w:hAnsi="等线" w:hint="eastAsia"/>
                <w:color w:val="000000"/>
              </w:rPr>
              <w:t>N</w:t>
            </w:r>
          </w:p>
        </w:tc>
        <w:tc>
          <w:tcPr>
            <w:tcW w:w="3101" w:type="dxa"/>
            <w:tcBorders>
              <w:top w:val="single" w:sz="8" w:space="0" w:color="000000"/>
              <w:left w:val="single" w:sz="8" w:space="0" w:color="000000"/>
              <w:bottom w:val="single" w:sz="6" w:space="0" w:color="000000"/>
              <w:right w:val="single" w:sz="8" w:space="0" w:color="000000"/>
            </w:tcBorders>
            <w:vAlign w:val="center"/>
          </w:tcPr>
          <w:p w14:paraId="3A95566C" w14:textId="77777777" w:rsidR="0066529D" w:rsidRDefault="00A901FF">
            <w:pPr>
              <w:pStyle w:val="biaogeleft"/>
              <w:wordWrap w:val="0"/>
              <w:rPr>
                <w:rFonts w:hint="eastAsia"/>
              </w:rPr>
            </w:pPr>
            <w:r>
              <w:rPr>
                <w:rFonts w:hint="eastAsia"/>
              </w:rPr>
              <w:t>水利、环境和公共设施管理</w:t>
            </w:r>
            <w:r>
              <w:rPr>
                <w:rFonts w:hint="eastAsia"/>
              </w:rPr>
              <w:lastRenderedPageBreak/>
              <w:t>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0E2134DF" w14:textId="77777777" w:rsidR="0066529D" w:rsidRDefault="00A901FF">
            <w:pPr>
              <w:pStyle w:val="biaogeright"/>
              <w:wordWrap w:val="0"/>
              <w:rPr>
                <w:rFonts w:hint="eastAsia"/>
              </w:rPr>
            </w:pPr>
            <w:r>
              <w:lastRenderedPageBreak/>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2AF5F501" w14:textId="77777777" w:rsidR="0066529D" w:rsidRDefault="00A901FF">
            <w:pPr>
              <w:pStyle w:val="biaogeright"/>
              <w:wordWrap w:val="0"/>
              <w:rPr>
                <w:rFonts w:hint="eastAsia"/>
              </w:rPr>
            </w:pPr>
            <w:r>
              <w:t>-</w:t>
            </w:r>
          </w:p>
        </w:tc>
      </w:tr>
      <w:tr w:rsidR="0066529D" w14:paraId="1C3B9A8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9355B2" w14:textId="77777777" w:rsidR="0066529D" w:rsidRDefault="00A901FF">
            <w:pPr>
              <w:pStyle w:val="biaogecenter"/>
              <w:wordWrap w:val="0"/>
              <w:rPr>
                <w:rFonts w:hint="eastAsia"/>
              </w:rPr>
            </w:pPr>
            <w:r>
              <w:rPr>
                <w:rFonts w:hAnsi="等线" w:hint="eastAsia"/>
                <w:color w:val="000000"/>
              </w:rPr>
              <w:t>O</w:t>
            </w:r>
          </w:p>
        </w:tc>
        <w:tc>
          <w:tcPr>
            <w:tcW w:w="3101" w:type="dxa"/>
            <w:tcBorders>
              <w:top w:val="single" w:sz="8" w:space="0" w:color="000000"/>
              <w:left w:val="single" w:sz="8" w:space="0" w:color="000000"/>
              <w:bottom w:val="single" w:sz="6" w:space="0" w:color="000000"/>
              <w:right w:val="single" w:sz="8" w:space="0" w:color="000000"/>
            </w:tcBorders>
            <w:vAlign w:val="center"/>
          </w:tcPr>
          <w:p w14:paraId="764B8B8A" w14:textId="77777777" w:rsidR="0066529D" w:rsidRDefault="00A901FF">
            <w:pPr>
              <w:pStyle w:val="biaogeleft"/>
              <w:wordWrap w:val="0"/>
              <w:rPr>
                <w:rFonts w:hint="eastAsia"/>
              </w:rPr>
            </w:pPr>
            <w:r>
              <w:rPr>
                <w:rFonts w:hint="eastAsia"/>
              </w:rPr>
              <w:t>居民服务、修理和其他服务业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4B353354"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52FF03A4" w14:textId="77777777" w:rsidR="0066529D" w:rsidRDefault="00A901FF">
            <w:pPr>
              <w:pStyle w:val="biaogeright"/>
              <w:wordWrap w:val="0"/>
              <w:rPr>
                <w:rFonts w:hint="eastAsia"/>
              </w:rPr>
            </w:pPr>
            <w:r>
              <w:t>-</w:t>
            </w:r>
          </w:p>
        </w:tc>
      </w:tr>
      <w:tr w:rsidR="0066529D" w14:paraId="4F45397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A3C865" w14:textId="77777777" w:rsidR="0066529D" w:rsidRDefault="00A901FF">
            <w:pPr>
              <w:pStyle w:val="biaogecenter"/>
              <w:wordWrap w:val="0"/>
              <w:rPr>
                <w:rFonts w:hint="eastAsia"/>
              </w:rPr>
            </w:pPr>
            <w:r>
              <w:rPr>
                <w:rFonts w:hAnsi="等线" w:hint="eastAsia"/>
                <w:color w:val="000000"/>
              </w:rPr>
              <w:t>P</w:t>
            </w:r>
          </w:p>
        </w:tc>
        <w:tc>
          <w:tcPr>
            <w:tcW w:w="3101" w:type="dxa"/>
            <w:tcBorders>
              <w:top w:val="single" w:sz="8" w:space="0" w:color="000000"/>
              <w:left w:val="single" w:sz="8" w:space="0" w:color="000000"/>
              <w:bottom w:val="single" w:sz="6" w:space="0" w:color="000000"/>
              <w:right w:val="single" w:sz="8" w:space="0" w:color="000000"/>
            </w:tcBorders>
            <w:vAlign w:val="center"/>
          </w:tcPr>
          <w:p w14:paraId="674B89A1" w14:textId="77777777" w:rsidR="0066529D" w:rsidRDefault="00A901FF">
            <w:pPr>
              <w:pStyle w:val="biaogeleft"/>
              <w:wordWrap w:val="0"/>
              <w:rPr>
                <w:rFonts w:hint="eastAsia"/>
              </w:rPr>
            </w:pPr>
            <w:r>
              <w:rPr>
                <w:rFonts w:hint="eastAsia"/>
              </w:rPr>
              <w:t>教育</w:t>
            </w:r>
          </w:p>
        </w:tc>
        <w:tc>
          <w:tcPr>
            <w:tcW w:w="1937" w:type="dxa"/>
            <w:tcBorders>
              <w:top w:val="single" w:sz="8" w:space="0" w:color="000000"/>
              <w:left w:val="single" w:sz="8" w:space="0" w:color="000000"/>
              <w:bottom w:val="single" w:sz="8" w:space="0" w:color="000000"/>
              <w:right w:val="single" w:sz="8" w:space="0" w:color="000000"/>
            </w:tcBorders>
            <w:vAlign w:val="center"/>
          </w:tcPr>
          <w:p w14:paraId="57EBD581"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0D6AA4E9" w14:textId="77777777" w:rsidR="0066529D" w:rsidRDefault="00A901FF">
            <w:pPr>
              <w:pStyle w:val="biaogeright"/>
              <w:wordWrap w:val="0"/>
              <w:rPr>
                <w:rFonts w:hint="eastAsia"/>
              </w:rPr>
            </w:pPr>
            <w:r>
              <w:t>-</w:t>
            </w:r>
          </w:p>
        </w:tc>
      </w:tr>
      <w:tr w:rsidR="0066529D" w14:paraId="3871BC9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DBA5443" w14:textId="77777777" w:rsidR="0066529D" w:rsidRDefault="00A901FF">
            <w:pPr>
              <w:pStyle w:val="biaogecenter"/>
              <w:wordWrap w:val="0"/>
              <w:rPr>
                <w:rFonts w:hint="eastAsia"/>
              </w:rPr>
            </w:pPr>
            <w:r>
              <w:rPr>
                <w:rFonts w:hAnsi="等线" w:hint="eastAsia"/>
                <w:color w:val="000000"/>
              </w:rPr>
              <w:t>Q</w:t>
            </w:r>
          </w:p>
        </w:tc>
        <w:tc>
          <w:tcPr>
            <w:tcW w:w="3101" w:type="dxa"/>
            <w:tcBorders>
              <w:top w:val="single" w:sz="8" w:space="0" w:color="000000"/>
              <w:left w:val="single" w:sz="8" w:space="0" w:color="000000"/>
              <w:bottom w:val="single" w:sz="6" w:space="0" w:color="000000"/>
              <w:right w:val="single" w:sz="8" w:space="0" w:color="000000"/>
            </w:tcBorders>
            <w:vAlign w:val="center"/>
          </w:tcPr>
          <w:p w14:paraId="603F537F" w14:textId="77777777" w:rsidR="0066529D" w:rsidRDefault="00A901FF">
            <w:pPr>
              <w:pStyle w:val="biaogeleft"/>
              <w:wordWrap w:val="0"/>
              <w:rPr>
                <w:rFonts w:hint="eastAsia"/>
              </w:rPr>
            </w:pPr>
            <w:r>
              <w:rPr>
                <w:rFonts w:hint="eastAsia"/>
              </w:rPr>
              <w:t>卫生和社会工作</w:t>
            </w:r>
          </w:p>
        </w:tc>
        <w:tc>
          <w:tcPr>
            <w:tcW w:w="1937" w:type="dxa"/>
            <w:tcBorders>
              <w:top w:val="single" w:sz="8" w:space="0" w:color="000000"/>
              <w:left w:val="single" w:sz="8" w:space="0" w:color="000000"/>
              <w:bottom w:val="single" w:sz="8" w:space="0" w:color="000000"/>
              <w:right w:val="single" w:sz="8" w:space="0" w:color="000000"/>
            </w:tcBorders>
            <w:vAlign w:val="center"/>
          </w:tcPr>
          <w:p w14:paraId="78732213"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73EF252A" w14:textId="77777777" w:rsidR="0066529D" w:rsidRDefault="00A901FF">
            <w:pPr>
              <w:pStyle w:val="biaogeright"/>
              <w:wordWrap w:val="0"/>
              <w:rPr>
                <w:rFonts w:hint="eastAsia"/>
              </w:rPr>
            </w:pPr>
            <w:r>
              <w:t>-</w:t>
            </w:r>
          </w:p>
        </w:tc>
      </w:tr>
      <w:tr w:rsidR="0066529D" w14:paraId="4AAF736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E5D8C5A" w14:textId="77777777" w:rsidR="0066529D" w:rsidRDefault="00A901FF">
            <w:pPr>
              <w:pStyle w:val="biaogecenter"/>
              <w:wordWrap w:val="0"/>
              <w:rPr>
                <w:rFonts w:hint="eastAsia"/>
              </w:rPr>
            </w:pPr>
            <w:r>
              <w:rPr>
                <w:rFonts w:hAnsi="等线" w:hint="eastAsia"/>
                <w:color w:val="000000"/>
              </w:rPr>
              <w:t>R</w:t>
            </w:r>
          </w:p>
        </w:tc>
        <w:tc>
          <w:tcPr>
            <w:tcW w:w="3101" w:type="dxa"/>
            <w:tcBorders>
              <w:top w:val="single" w:sz="8" w:space="0" w:color="000000"/>
              <w:left w:val="single" w:sz="8" w:space="0" w:color="000000"/>
              <w:bottom w:val="single" w:sz="6" w:space="0" w:color="000000"/>
              <w:right w:val="single" w:sz="8" w:space="0" w:color="000000"/>
            </w:tcBorders>
            <w:vAlign w:val="center"/>
          </w:tcPr>
          <w:p w14:paraId="65DE572C" w14:textId="77777777" w:rsidR="0066529D" w:rsidRDefault="00A901FF">
            <w:pPr>
              <w:pStyle w:val="biaogeleft"/>
              <w:wordWrap w:val="0"/>
              <w:rPr>
                <w:rFonts w:hint="eastAsia"/>
              </w:rPr>
            </w:pPr>
            <w:r>
              <w:rPr>
                <w:rFonts w:hint="eastAsia"/>
              </w:rPr>
              <w:t>文化、体育和娱乐业</w:t>
            </w:r>
          </w:p>
        </w:tc>
        <w:tc>
          <w:tcPr>
            <w:tcW w:w="1937" w:type="dxa"/>
            <w:tcBorders>
              <w:top w:val="single" w:sz="8" w:space="0" w:color="000000"/>
              <w:left w:val="single" w:sz="8" w:space="0" w:color="000000"/>
              <w:bottom w:val="single" w:sz="8" w:space="0" w:color="000000"/>
              <w:right w:val="single" w:sz="8" w:space="0" w:color="000000"/>
            </w:tcBorders>
            <w:vAlign w:val="center"/>
          </w:tcPr>
          <w:p w14:paraId="1DC32434" w14:textId="77777777" w:rsidR="0066529D" w:rsidRDefault="00A901FF">
            <w:pPr>
              <w:pStyle w:val="biaogeright"/>
              <w:wordWrap w:val="0"/>
              <w:rPr>
                <w:rFonts w:hint="eastAsia"/>
              </w:rPr>
            </w:pPr>
            <w:r>
              <w:t>38,950.00</w:t>
            </w:r>
          </w:p>
        </w:tc>
        <w:tc>
          <w:tcPr>
            <w:tcW w:w="2596" w:type="dxa"/>
            <w:tcBorders>
              <w:top w:val="single" w:sz="8" w:space="0" w:color="000000"/>
              <w:left w:val="single" w:sz="8" w:space="0" w:color="000000"/>
              <w:bottom w:val="single" w:sz="8" w:space="0" w:color="000000"/>
              <w:right w:val="single" w:sz="8" w:space="0" w:color="000000"/>
            </w:tcBorders>
            <w:vAlign w:val="center"/>
          </w:tcPr>
          <w:p w14:paraId="6250A3F9" w14:textId="77777777" w:rsidR="0066529D" w:rsidRDefault="00A901FF">
            <w:pPr>
              <w:pStyle w:val="biaogeright"/>
              <w:wordWrap w:val="0"/>
              <w:rPr>
                <w:rFonts w:hint="eastAsia"/>
              </w:rPr>
            </w:pPr>
            <w:r>
              <w:t>0.46</w:t>
            </w:r>
          </w:p>
        </w:tc>
      </w:tr>
      <w:tr w:rsidR="0066529D" w14:paraId="2B8017B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7EC12FC" w14:textId="77777777" w:rsidR="0066529D" w:rsidRDefault="00A901FF">
            <w:pPr>
              <w:pStyle w:val="biaogecenter"/>
              <w:wordWrap w:val="0"/>
              <w:rPr>
                <w:rFonts w:hint="eastAsia"/>
              </w:rPr>
            </w:pPr>
            <w:r>
              <w:rPr>
                <w:rFonts w:hAnsi="等线" w:hint="eastAsia"/>
                <w:color w:val="000000"/>
              </w:rPr>
              <w:t>S</w:t>
            </w:r>
          </w:p>
        </w:tc>
        <w:tc>
          <w:tcPr>
            <w:tcW w:w="3101" w:type="dxa"/>
            <w:tcBorders>
              <w:top w:val="single" w:sz="8" w:space="0" w:color="000000"/>
              <w:left w:val="single" w:sz="8" w:space="0" w:color="000000"/>
              <w:bottom w:val="single" w:sz="6" w:space="0" w:color="000000"/>
              <w:right w:val="single" w:sz="8" w:space="0" w:color="000000"/>
            </w:tcBorders>
            <w:vAlign w:val="center"/>
          </w:tcPr>
          <w:p w14:paraId="46A12716" w14:textId="77777777" w:rsidR="0066529D" w:rsidRDefault="00A901FF">
            <w:pPr>
              <w:pStyle w:val="biaogeleft"/>
              <w:wordWrap w:val="0"/>
              <w:rPr>
                <w:rFonts w:hint="eastAsia"/>
              </w:rPr>
            </w:pPr>
            <w:r>
              <w:rPr>
                <w:rFonts w:hint="eastAsia"/>
              </w:rPr>
              <w:t>综合</w:t>
            </w:r>
          </w:p>
        </w:tc>
        <w:tc>
          <w:tcPr>
            <w:tcW w:w="1937" w:type="dxa"/>
            <w:tcBorders>
              <w:top w:val="single" w:sz="8" w:space="0" w:color="000000"/>
              <w:left w:val="single" w:sz="8" w:space="0" w:color="000000"/>
              <w:bottom w:val="single" w:sz="8" w:space="0" w:color="000000"/>
              <w:right w:val="single" w:sz="8" w:space="0" w:color="000000"/>
            </w:tcBorders>
            <w:vAlign w:val="center"/>
          </w:tcPr>
          <w:p w14:paraId="2F655328" w14:textId="77777777" w:rsidR="0066529D" w:rsidRDefault="00A901FF">
            <w:pPr>
              <w:pStyle w:val="biaogeright"/>
              <w:wordWrap w:val="0"/>
              <w:rPr>
                <w:rFonts w:hint="eastAsia"/>
              </w:rPr>
            </w:pPr>
            <w:r>
              <w:t>-</w:t>
            </w:r>
          </w:p>
        </w:tc>
        <w:tc>
          <w:tcPr>
            <w:tcW w:w="2596" w:type="dxa"/>
            <w:tcBorders>
              <w:top w:val="single" w:sz="8" w:space="0" w:color="000000"/>
              <w:left w:val="single" w:sz="8" w:space="0" w:color="000000"/>
              <w:bottom w:val="single" w:sz="8" w:space="0" w:color="000000"/>
              <w:right w:val="single" w:sz="8" w:space="0" w:color="000000"/>
            </w:tcBorders>
            <w:vAlign w:val="center"/>
          </w:tcPr>
          <w:p w14:paraId="5D33E90A" w14:textId="77777777" w:rsidR="0066529D" w:rsidRDefault="00A901FF">
            <w:pPr>
              <w:pStyle w:val="biaogeright"/>
              <w:wordWrap w:val="0"/>
              <w:rPr>
                <w:rFonts w:hint="eastAsia"/>
              </w:rPr>
            </w:pPr>
            <w:r>
              <w:t>-</w:t>
            </w:r>
          </w:p>
        </w:tc>
      </w:tr>
      <w:tr w:rsidR="0066529D" w14:paraId="1F977A7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C1AEE0B" w14:textId="77777777" w:rsidR="0066529D" w:rsidRDefault="0066529D">
            <w:pPr>
              <w:widowControl/>
              <w:jc w:val="left"/>
              <w:rPr>
                <w:rFonts w:cs="宋体"/>
                <w:kern w:val="0"/>
                <w:sz w:val="20"/>
                <w:szCs w:val="20"/>
              </w:rPr>
            </w:pPr>
          </w:p>
        </w:tc>
        <w:tc>
          <w:tcPr>
            <w:tcW w:w="3101" w:type="dxa"/>
            <w:tcBorders>
              <w:top w:val="single" w:sz="8" w:space="0" w:color="000000"/>
              <w:left w:val="single" w:sz="8" w:space="0" w:color="000000"/>
              <w:bottom w:val="single" w:sz="6" w:space="0" w:color="000000"/>
              <w:right w:val="single" w:sz="8" w:space="0" w:color="000000"/>
            </w:tcBorders>
            <w:vAlign w:val="center"/>
          </w:tcPr>
          <w:p w14:paraId="602B1408" w14:textId="77777777" w:rsidR="0066529D" w:rsidRDefault="00A901FF">
            <w:pPr>
              <w:pStyle w:val="biaogeleft"/>
              <w:wordWrap w:val="0"/>
              <w:rPr>
                <w:rFonts w:hint="eastAsia"/>
              </w:rPr>
            </w:pPr>
            <w:r>
              <w:rPr>
                <w:rFonts w:hint="eastAsia"/>
              </w:rPr>
              <w:t>合计</w:t>
            </w:r>
          </w:p>
        </w:tc>
        <w:tc>
          <w:tcPr>
            <w:tcW w:w="1937" w:type="dxa"/>
            <w:tcBorders>
              <w:top w:val="single" w:sz="8" w:space="0" w:color="000000"/>
              <w:left w:val="single" w:sz="8" w:space="0" w:color="000000"/>
              <w:bottom w:val="single" w:sz="8" w:space="0" w:color="000000"/>
              <w:right w:val="single" w:sz="8" w:space="0" w:color="000000"/>
            </w:tcBorders>
            <w:vAlign w:val="center"/>
          </w:tcPr>
          <w:p w14:paraId="6FAC504B" w14:textId="77777777" w:rsidR="0066529D" w:rsidRDefault="00A901FF">
            <w:pPr>
              <w:pStyle w:val="biaogeright"/>
              <w:wordWrap w:val="0"/>
              <w:rPr>
                <w:rFonts w:hint="eastAsia"/>
              </w:rPr>
            </w:pPr>
            <w:r>
              <w:t>7,690,568.96</w:t>
            </w:r>
          </w:p>
        </w:tc>
        <w:tc>
          <w:tcPr>
            <w:tcW w:w="2596" w:type="dxa"/>
            <w:tcBorders>
              <w:top w:val="single" w:sz="8" w:space="0" w:color="000000"/>
              <w:left w:val="single" w:sz="8" w:space="0" w:color="000000"/>
              <w:bottom w:val="single" w:sz="8" w:space="0" w:color="000000"/>
              <w:right w:val="single" w:sz="8" w:space="0" w:color="000000"/>
            </w:tcBorders>
            <w:vAlign w:val="center"/>
          </w:tcPr>
          <w:p w14:paraId="409141D6" w14:textId="77777777" w:rsidR="0066529D" w:rsidRDefault="00A901FF">
            <w:pPr>
              <w:pStyle w:val="biaogeright"/>
              <w:wordWrap w:val="0"/>
              <w:rPr>
                <w:rFonts w:hint="eastAsia"/>
              </w:rPr>
            </w:pPr>
            <w:r>
              <w:t>90.76</w:t>
            </w:r>
          </w:p>
        </w:tc>
      </w:tr>
    </w:tbl>
    <w:p w14:paraId="2041C169" w14:textId="77777777" w:rsidR="0066529D" w:rsidRDefault="0066529D">
      <w:pPr>
        <w:autoSpaceDE w:val="0"/>
        <w:autoSpaceDN w:val="0"/>
        <w:spacing w:line="360" w:lineRule="auto"/>
        <w:ind w:firstLineChars="150" w:firstLine="360"/>
        <w:textAlignment w:val="bottom"/>
        <w:rPr>
          <w:rFonts w:asciiTheme="minorEastAsia" w:hAnsiTheme="minorEastAsia" w:cs="Times New Roman" w:hint="eastAsia"/>
          <w:bCs/>
          <w:sz w:val="24"/>
          <w:szCs w:val="24"/>
        </w:rPr>
      </w:pPr>
    </w:p>
    <w:p w14:paraId="15A59730" w14:textId="77777777" w:rsidR="0066529D" w:rsidRDefault="00A901FF">
      <w:pPr>
        <w:autoSpaceDE w:val="0"/>
        <w:autoSpaceDN w:val="0"/>
        <w:spacing w:line="360" w:lineRule="auto"/>
        <w:ind w:firstLineChars="150" w:firstLine="36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2）报告期末按行业分类的港股通投资股票投资组合</w:t>
      </w:r>
    </w:p>
    <w:p w14:paraId="445A5F4C" w14:textId="77777777" w:rsidR="0066529D" w:rsidRDefault="00A901FF">
      <w:pPr>
        <w:pStyle w:val="neirong"/>
        <w:spacing w:line="360" w:lineRule="auto"/>
        <w:ind w:leftChars="7" w:firstLineChars="200" w:firstLine="480"/>
        <w:rPr>
          <w:rFonts w:asciiTheme="minorEastAsia" w:eastAsiaTheme="minorEastAsia" w:hAnsiTheme="minorEastAsia" w:hint="eastAsia"/>
        </w:rPr>
      </w:pPr>
      <w:r>
        <w:rPr>
          <w:rFonts w:asciiTheme="minorEastAsia" w:eastAsiaTheme="minorEastAsia" w:hAnsiTheme="minorEastAsia" w:hint="eastAsia"/>
        </w:rPr>
        <w:t>本基金报告期末未持有港股通股票。</w:t>
      </w:r>
    </w:p>
    <w:p w14:paraId="5A06B489" w14:textId="77777777" w:rsidR="0066529D" w:rsidRDefault="0066529D">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E48C203"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3、报告期末按公允价值占基金资产净值比例大小排序的前十名股票投资明细</w:t>
      </w:r>
    </w:p>
    <w:tbl>
      <w:tblPr>
        <w:tblW w:w="0" w:type="auto"/>
        <w:tblInd w:w="108" w:type="dxa"/>
        <w:tblLook w:val="04A0" w:firstRow="1" w:lastRow="0" w:firstColumn="1" w:lastColumn="0" w:noHBand="0" w:noVBand="1"/>
      </w:tblPr>
      <w:tblGrid>
        <w:gridCol w:w="471"/>
        <w:gridCol w:w="1355"/>
        <w:gridCol w:w="1613"/>
        <w:gridCol w:w="1647"/>
        <w:gridCol w:w="1647"/>
        <w:gridCol w:w="1681"/>
      </w:tblGrid>
      <w:tr w:rsidR="0066529D" w14:paraId="35CD1401"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4BD50A96" w14:textId="77777777" w:rsidR="0066529D" w:rsidRDefault="00A901FF">
            <w:pPr>
              <w:pStyle w:val="biaogecenter"/>
              <w:wordWrap w:val="0"/>
              <w:rPr>
                <w:rFonts w:hint="eastAsia"/>
              </w:rPr>
            </w:pPr>
            <w:r>
              <w:rPr>
                <w:rFonts w:hAnsi="等线" w:hint="eastAsia"/>
                <w:color w:val="000000"/>
              </w:rPr>
              <w:t>序号</w:t>
            </w:r>
          </w:p>
        </w:tc>
        <w:tc>
          <w:tcPr>
            <w:tcW w:w="1355" w:type="dxa"/>
            <w:tcBorders>
              <w:top w:val="single" w:sz="8" w:space="0" w:color="000000"/>
              <w:left w:val="single" w:sz="8" w:space="0" w:color="000000"/>
              <w:bottom w:val="single" w:sz="6" w:space="0" w:color="000000"/>
              <w:right w:val="single" w:sz="8" w:space="0" w:color="000000"/>
            </w:tcBorders>
            <w:vAlign w:val="center"/>
          </w:tcPr>
          <w:p w14:paraId="4703E878" w14:textId="77777777" w:rsidR="0066529D" w:rsidRDefault="00A901FF">
            <w:pPr>
              <w:pStyle w:val="biaogecenter"/>
              <w:wordWrap w:val="0"/>
              <w:rPr>
                <w:rFonts w:hint="eastAsia"/>
              </w:rPr>
            </w:pPr>
            <w:r>
              <w:rPr>
                <w:rFonts w:hAnsi="等线" w:hint="eastAsia"/>
                <w:color w:val="000000"/>
              </w:rPr>
              <w:t>股票代码</w:t>
            </w:r>
          </w:p>
        </w:tc>
        <w:tc>
          <w:tcPr>
            <w:tcW w:w="1613" w:type="dxa"/>
            <w:tcBorders>
              <w:top w:val="single" w:sz="8" w:space="0" w:color="000000"/>
              <w:left w:val="single" w:sz="8" w:space="0" w:color="000000"/>
              <w:bottom w:val="single" w:sz="6" w:space="0" w:color="000000"/>
              <w:right w:val="single" w:sz="8" w:space="0" w:color="000000"/>
            </w:tcBorders>
            <w:vAlign w:val="center"/>
          </w:tcPr>
          <w:p w14:paraId="7BFA2479" w14:textId="77777777" w:rsidR="0066529D" w:rsidRDefault="00A901FF">
            <w:pPr>
              <w:pStyle w:val="biaogecenter"/>
              <w:wordWrap w:val="0"/>
              <w:rPr>
                <w:rFonts w:hint="eastAsia"/>
              </w:rPr>
            </w:pPr>
            <w:r>
              <w:rPr>
                <w:rFonts w:hAnsi="等线" w:hint="eastAsia"/>
                <w:color w:val="000000"/>
              </w:rPr>
              <w:t>股票名称</w:t>
            </w:r>
          </w:p>
        </w:tc>
        <w:tc>
          <w:tcPr>
            <w:tcW w:w="1647" w:type="dxa"/>
            <w:tcBorders>
              <w:top w:val="single" w:sz="8" w:space="0" w:color="000000"/>
              <w:left w:val="single" w:sz="8" w:space="0" w:color="000000"/>
              <w:bottom w:val="single" w:sz="6" w:space="0" w:color="000000"/>
              <w:right w:val="single" w:sz="8" w:space="0" w:color="000000"/>
            </w:tcBorders>
            <w:vAlign w:val="center"/>
          </w:tcPr>
          <w:p w14:paraId="465630D7" w14:textId="77777777" w:rsidR="0066529D" w:rsidRDefault="00A901FF">
            <w:pPr>
              <w:pStyle w:val="biaogecenter"/>
              <w:wordWrap w:val="0"/>
              <w:rPr>
                <w:rFonts w:hint="eastAsia"/>
              </w:rPr>
            </w:pPr>
            <w:r>
              <w:rPr>
                <w:rFonts w:hAnsi="等线" w:hint="eastAsia"/>
                <w:color w:val="000000"/>
              </w:rPr>
              <w:t>数量(股)</w:t>
            </w:r>
          </w:p>
        </w:tc>
        <w:tc>
          <w:tcPr>
            <w:tcW w:w="1647" w:type="dxa"/>
            <w:tcBorders>
              <w:top w:val="single" w:sz="8" w:space="0" w:color="000000"/>
              <w:left w:val="single" w:sz="8" w:space="0" w:color="000000"/>
              <w:bottom w:val="single" w:sz="6" w:space="0" w:color="000000"/>
              <w:right w:val="single" w:sz="8" w:space="0" w:color="000000"/>
            </w:tcBorders>
            <w:vAlign w:val="center"/>
          </w:tcPr>
          <w:p w14:paraId="739C7DBF" w14:textId="77777777" w:rsidR="0066529D" w:rsidRDefault="00A901FF">
            <w:pPr>
              <w:pStyle w:val="biaogecenter"/>
              <w:wordWrap w:val="0"/>
              <w:rPr>
                <w:rFonts w:hint="eastAsia"/>
              </w:rPr>
            </w:pPr>
            <w:r>
              <w:rPr>
                <w:rFonts w:hAnsi="等线" w:hint="eastAsia"/>
                <w:color w:val="000000"/>
              </w:rPr>
              <w:t>公允价值(元)</w:t>
            </w:r>
          </w:p>
        </w:tc>
        <w:tc>
          <w:tcPr>
            <w:tcW w:w="1681" w:type="dxa"/>
            <w:tcBorders>
              <w:top w:val="single" w:sz="8" w:space="0" w:color="000000"/>
              <w:left w:val="single" w:sz="8" w:space="0" w:color="000000"/>
              <w:bottom w:val="single" w:sz="6" w:space="0" w:color="000000"/>
              <w:right w:val="single" w:sz="8" w:space="0" w:color="000000"/>
            </w:tcBorders>
            <w:vAlign w:val="center"/>
          </w:tcPr>
          <w:p w14:paraId="5590F9D4" w14:textId="77777777" w:rsidR="0066529D" w:rsidRDefault="00A901FF">
            <w:pPr>
              <w:pStyle w:val="biaogecenter"/>
              <w:wordWrap w:val="0"/>
              <w:rPr>
                <w:rFonts w:hint="eastAsia"/>
              </w:rPr>
            </w:pPr>
            <w:r>
              <w:rPr>
                <w:rFonts w:hAnsi="等线" w:hint="eastAsia"/>
                <w:color w:val="000000"/>
              </w:rPr>
              <w:t>占基金资产净值比例（％）</w:t>
            </w:r>
          </w:p>
        </w:tc>
      </w:tr>
      <w:tr w:rsidR="0066529D" w14:paraId="2382BD4B"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178549F9" w14:textId="77777777" w:rsidR="0066529D" w:rsidRDefault="00A901FF">
            <w:pPr>
              <w:pStyle w:val="biaogecenter"/>
              <w:wordWrap w:val="0"/>
              <w:rPr>
                <w:rFonts w:hint="eastAsia"/>
              </w:rPr>
            </w:pPr>
            <w:r>
              <w:rPr>
                <w:rFonts w:hAnsi="等线" w:hint="eastAsia"/>
                <w:color w:val="000000"/>
              </w:rPr>
              <w:t>1</w:t>
            </w:r>
          </w:p>
        </w:tc>
        <w:tc>
          <w:tcPr>
            <w:tcW w:w="1355" w:type="dxa"/>
            <w:tcBorders>
              <w:top w:val="single" w:sz="8" w:space="0" w:color="000000"/>
              <w:left w:val="single" w:sz="8" w:space="0" w:color="000000"/>
              <w:bottom w:val="single" w:sz="6" w:space="0" w:color="000000"/>
              <w:right w:val="single" w:sz="8" w:space="0" w:color="000000"/>
            </w:tcBorders>
            <w:vAlign w:val="center"/>
          </w:tcPr>
          <w:p w14:paraId="6F73A69A" w14:textId="77777777" w:rsidR="0066529D" w:rsidRDefault="00A901FF">
            <w:pPr>
              <w:pStyle w:val="biaogeleft"/>
              <w:wordWrap w:val="0"/>
              <w:rPr>
                <w:rFonts w:hint="eastAsia"/>
              </w:rPr>
            </w:pPr>
            <w:r>
              <w:rPr>
                <w:rFonts w:hAnsi="等线"/>
                <w:color w:val="000000"/>
              </w:rPr>
              <w:t>300430</w:t>
            </w:r>
          </w:p>
        </w:tc>
        <w:tc>
          <w:tcPr>
            <w:tcW w:w="1613" w:type="dxa"/>
            <w:tcBorders>
              <w:top w:val="single" w:sz="8" w:space="0" w:color="000000"/>
              <w:left w:val="single" w:sz="8" w:space="0" w:color="000000"/>
              <w:bottom w:val="single" w:sz="6" w:space="0" w:color="000000"/>
              <w:right w:val="single" w:sz="8" w:space="0" w:color="000000"/>
            </w:tcBorders>
            <w:vAlign w:val="center"/>
          </w:tcPr>
          <w:p w14:paraId="42CB5748" w14:textId="77777777" w:rsidR="0066529D" w:rsidRDefault="00A901FF">
            <w:pPr>
              <w:pStyle w:val="biaogeleft"/>
              <w:wordWrap w:val="0"/>
              <w:rPr>
                <w:rFonts w:hint="eastAsia"/>
              </w:rPr>
            </w:pPr>
            <w:proofErr w:type="gramStart"/>
            <w:r>
              <w:rPr>
                <w:rFonts w:hAnsi="等线"/>
                <w:color w:val="000000"/>
              </w:rPr>
              <w:t>诚益通</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0DE0503B" w14:textId="77777777" w:rsidR="0066529D" w:rsidRDefault="00A901FF">
            <w:pPr>
              <w:pStyle w:val="biaogeright"/>
              <w:wordWrap w:val="0"/>
              <w:rPr>
                <w:rFonts w:hint="eastAsia"/>
              </w:rPr>
            </w:pPr>
            <w:r>
              <w:rPr>
                <w:rFonts w:hAnsi="等线"/>
                <w:color w:val="000000"/>
              </w:rPr>
              <w:t>42,400</w:t>
            </w:r>
          </w:p>
        </w:tc>
        <w:tc>
          <w:tcPr>
            <w:tcW w:w="1647" w:type="dxa"/>
            <w:tcBorders>
              <w:top w:val="single" w:sz="8" w:space="0" w:color="000000"/>
              <w:left w:val="single" w:sz="8" w:space="0" w:color="000000"/>
              <w:bottom w:val="single" w:sz="6" w:space="0" w:color="000000"/>
              <w:right w:val="single" w:sz="8" w:space="0" w:color="000000"/>
            </w:tcBorders>
            <w:vAlign w:val="center"/>
          </w:tcPr>
          <w:p w14:paraId="7172B090" w14:textId="77777777" w:rsidR="0066529D" w:rsidRDefault="00A901FF">
            <w:pPr>
              <w:pStyle w:val="biaogeright"/>
              <w:wordWrap w:val="0"/>
              <w:rPr>
                <w:rFonts w:hint="eastAsia"/>
              </w:rPr>
            </w:pPr>
            <w:r>
              <w:rPr>
                <w:rFonts w:hAnsi="等线"/>
                <w:color w:val="000000"/>
              </w:rPr>
              <w:t>639,392.00</w:t>
            </w:r>
          </w:p>
        </w:tc>
        <w:tc>
          <w:tcPr>
            <w:tcW w:w="1681" w:type="dxa"/>
            <w:tcBorders>
              <w:top w:val="single" w:sz="8" w:space="0" w:color="000000"/>
              <w:left w:val="single" w:sz="8" w:space="0" w:color="000000"/>
              <w:bottom w:val="single" w:sz="6" w:space="0" w:color="000000"/>
              <w:right w:val="single" w:sz="8" w:space="0" w:color="000000"/>
            </w:tcBorders>
            <w:vAlign w:val="center"/>
          </w:tcPr>
          <w:p w14:paraId="57EC68F1" w14:textId="77777777" w:rsidR="0066529D" w:rsidRDefault="00A901FF">
            <w:pPr>
              <w:pStyle w:val="biaogeright"/>
              <w:wordWrap w:val="0"/>
              <w:rPr>
                <w:rFonts w:hint="eastAsia"/>
              </w:rPr>
            </w:pPr>
            <w:r>
              <w:rPr>
                <w:rFonts w:hAnsi="等线"/>
                <w:color w:val="000000"/>
              </w:rPr>
              <w:t>7.55</w:t>
            </w:r>
          </w:p>
        </w:tc>
      </w:tr>
      <w:tr w:rsidR="0066529D" w14:paraId="1D02D2C4"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69A4B49E" w14:textId="77777777" w:rsidR="0066529D" w:rsidRDefault="00A901FF">
            <w:pPr>
              <w:pStyle w:val="biaogecenter"/>
              <w:wordWrap w:val="0"/>
              <w:rPr>
                <w:rFonts w:hint="eastAsia"/>
              </w:rPr>
            </w:pPr>
            <w:r>
              <w:rPr>
                <w:rFonts w:hAnsi="等线" w:hint="eastAsia"/>
                <w:color w:val="000000"/>
              </w:rPr>
              <w:t>2</w:t>
            </w:r>
          </w:p>
        </w:tc>
        <w:tc>
          <w:tcPr>
            <w:tcW w:w="1355" w:type="dxa"/>
            <w:tcBorders>
              <w:top w:val="single" w:sz="8" w:space="0" w:color="000000"/>
              <w:left w:val="single" w:sz="8" w:space="0" w:color="000000"/>
              <w:bottom w:val="single" w:sz="6" w:space="0" w:color="000000"/>
              <w:right w:val="single" w:sz="8" w:space="0" w:color="000000"/>
            </w:tcBorders>
            <w:vAlign w:val="center"/>
          </w:tcPr>
          <w:p w14:paraId="6EB21173" w14:textId="77777777" w:rsidR="0066529D" w:rsidRDefault="00A901FF">
            <w:pPr>
              <w:pStyle w:val="biaogeleft"/>
              <w:wordWrap w:val="0"/>
              <w:rPr>
                <w:rFonts w:hint="eastAsia"/>
              </w:rPr>
            </w:pPr>
            <w:r>
              <w:rPr>
                <w:rFonts w:hAnsi="等线"/>
                <w:color w:val="000000"/>
              </w:rPr>
              <w:t>688358</w:t>
            </w:r>
          </w:p>
        </w:tc>
        <w:tc>
          <w:tcPr>
            <w:tcW w:w="1613" w:type="dxa"/>
            <w:tcBorders>
              <w:top w:val="single" w:sz="8" w:space="0" w:color="000000"/>
              <w:left w:val="single" w:sz="8" w:space="0" w:color="000000"/>
              <w:bottom w:val="single" w:sz="6" w:space="0" w:color="000000"/>
              <w:right w:val="single" w:sz="8" w:space="0" w:color="000000"/>
            </w:tcBorders>
            <w:vAlign w:val="center"/>
          </w:tcPr>
          <w:p w14:paraId="405452E0" w14:textId="77777777" w:rsidR="0066529D" w:rsidRDefault="00A901FF">
            <w:pPr>
              <w:pStyle w:val="biaogeleft"/>
              <w:wordWrap w:val="0"/>
              <w:rPr>
                <w:rFonts w:hint="eastAsia"/>
              </w:rPr>
            </w:pPr>
            <w:proofErr w:type="gramStart"/>
            <w:r>
              <w:rPr>
                <w:rFonts w:hAnsi="等线"/>
                <w:color w:val="000000"/>
              </w:rPr>
              <w:t>祥生医疗</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7DFC3D01" w14:textId="77777777" w:rsidR="0066529D" w:rsidRDefault="00A901FF">
            <w:pPr>
              <w:pStyle w:val="biaogeright"/>
              <w:wordWrap w:val="0"/>
              <w:rPr>
                <w:rFonts w:hint="eastAsia"/>
              </w:rPr>
            </w:pPr>
            <w:r>
              <w:rPr>
                <w:rFonts w:hAnsi="等线"/>
                <w:color w:val="000000"/>
              </w:rPr>
              <w:t>22,552</w:t>
            </w:r>
          </w:p>
        </w:tc>
        <w:tc>
          <w:tcPr>
            <w:tcW w:w="1647" w:type="dxa"/>
            <w:tcBorders>
              <w:top w:val="single" w:sz="8" w:space="0" w:color="000000"/>
              <w:left w:val="single" w:sz="8" w:space="0" w:color="000000"/>
              <w:bottom w:val="single" w:sz="6" w:space="0" w:color="000000"/>
              <w:right w:val="single" w:sz="8" w:space="0" w:color="000000"/>
            </w:tcBorders>
            <w:vAlign w:val="center"/>
          </w:tcPr>
          <w:p w14:paraId="50BD4334" w14:textId="77777777" w:rsidR="0066529D" w:rsidRDefault="00A901FF">
            <w:pPr>
              <w:pStyle w:val="biaogeright"/>
              <w:wordWrap w:val="0"/>
              <w:rPr>
                <w:rFonts w:hint="eastAsia"/>
              </w:rPr>
            </w:pPr>
            <w:r>
              <w:rPr>
                <w:rFonts w:hAnsi="等线"/>
                <w:color w:val="000000"/>
              </w:rPr>
              <w:t>585,675.44</w:t>
            </w:r>
          </w:p>
        </w:tc>
        <w:tc>
          <w:tcPr>
            <w:tcW w:w="1681" w:type="dxa"/>
            <w:tcBorders>
              <w:top w:val="single" w:sz="8" w:space="0" w:color="000000"/>
              <w:left w:val="single" w:sz="8" w:space="0" w:color="000000"/>
              <w:bottom w:val="single" w:sz="6" w:space="0" w:color="000000"/>
              <w:right w:val="single" w:sz="8" w:space="0" w:color="000000"/>
            </w:tcBorders>
            <w:vAlign w:val="center"/>
          </w:tcPr>
          <w:p w14:paraId="07C7F4B1" w14:textId="77777777" w:rsidR="0066529D" w:rsidRDefault="00A901FF">
            <w:pPr>
              <w:pStyle w:val="biaogeright"/>
              <w:wordWrap w:val="0"/>
              <w:rPr>
                <w:rFonts w:hint="eastAsia"/>
              </w:rPr>
            </w:pPr>
            <w:r>
              <w:rPr>
                <w:rFonts w:hAnsi="等线"/>
                <w:color w:val="000000"/>
              </w:rPr>
              <w:t>6.91</w:t>
            </w:r>
          </w:p>
        </w:tc>
      </w:tr>
      <w:tr w:rsidR="0066529D" w14:paraId="461F5BE8"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105C5FFB" w14:textId="77777777" w:rsidR="0066529D" w:rsidRDefault="00A901FF">
            <w:pPr>
              <w:pStyle w:val="biaogecenter"/>
              <w:wordWrap w:val="0"/>
              <w:rPr>
                <w:rFonts w:hint="eastAsia"/>
              </w:rPr>
            </w:pPr>
            <w:r>
              <w:rPr>
                <w:rFonts w:hAnsi="等线" w:hint="eastAsia"/>
                <w:color w:val="000000"/>
              </w:rPr>
              <w:t>3</w:t>
            </w:r>
          </w:p>
        </w:tc>
        <w:tc>
          <w:tcPr>
            <w:tcW w:w="1355" w:type="dxa"/>
            <w:tcBorders>
              <w:top w:val="single" w:sz="8" w:space="0" w:color="000000"/>
              <w:left w:val="single" w:sz="8" w:space="0" w:color="000000"/>
              <w:bottom w:val="single" w:sz="6" w:space="0" w:color="000000"/>
              <w:right w:val="single" w:sz="8" w:space="0" w:color="000000"/>
            </w:tcBorders>
            <w:vAlign w:val="center"/>
          </w:tcPr>
          <w:p w14:paraId="42DACB31" w14:textId="77777777" w:rsidR="0066529D" w:rsidRDefault="00A901FF">
            <w:pPr>
              <w:pStyle w:val="biaogeleft"/>
              <w:wordWrap w:val="0"/>
              <w:rPr>
                <w:rFonts w:hint="eastAsia"/>
              </w:rPr>
            </w:pPr>
            <w:r>
              <w:rPr>
                <w:rFonts w:hAnsi="等线"/>
                <w:color w:val="000000"/>
              </w:rPr>
              <w:t>601607</w:t>
            </w:r>
          </w:p>
        </w:tc>
        <w:tc>
          <w:tcPr>
            <w:tcW w:w="1613" w:type="dxa"/>
            <w:tcBorders>
              <w:top w:val="single" w:sz="8" w:space="0" w:color="000000"/>
              <w:left w:val="single" w:sz="8" w:space="0" w:color="000000"/>
              <w:bottom w:val="single" w:sz="6" w:space="0" w:color="000000"/>
              <w:right w:val="single" w:sz="8" w:space="0" w:color="000000"/>
            </w:tcBorders>
            <w:vAlign w:val="center"/>
          </w:tcPr>
          <w:p w14:paraId="5EB1FAAE" w14:textId="77777777" w:rsidR="0066529D" w:rsidRDefault="00A901FF">
            <w:pPr>
              <w:pStyle w:val="biaogeleft"/>
              <w:wordWrap w:val="0"/>
              <w:rPr>
                <w:rFonts w:hint="eastAsia"/>
              </w:rPr>
            </w:pPr>
            <w:r>
              <w:rPr>
                <w:rFonts w:hAnsi="等线"/>
                <w:color w:val="000000"/>
              </w:rPr>
              <w:t>上海医药</w:t>
            </w:r>
          </w:p>
        </w:tc>
        <w:tc>
          <w:tcPr>
            <w:tcW w:w="1647" w:type="dxa"/>
            <w:tcBorders>
              <w:top w:val="single" w:sz="8" w:space="0" w:color="000000"/>
              <w:left w:val="single" w:sz="8" w:space="0" w:color="000000"/>
              <w:bottom w:val="single" w:sz="6" w:space="0" w:color="000000"/>
              <w:right w:val="single" w:sz="8" w:space="0" w:color="000000"/>
            </w:tcBorders>
            <w:vAlign w:val="center"/>
          </w:tcPr>
          <w:p w14:paraId="6CEAC3EB" w14:textId="77777777" w:rsidR="0066529D" w:rsidRDefault="00A901FF">
            <w:pPr>
              <w:pStyle w:val="biaogeright"/>
              <w:wordWrap w:val="0"/>
              <w:rPr>
                <w:rFonts w:hint="eastAsia"/>
              </w:rPr>
            </w:pPr>
            <w:r>
              <w:rPr>
                <w:rFonts w:hAnsi="等线"/>
                <w:color w:val="000000"/>
              </w:rPr>
              <w:t>27,500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56AFEFE" w14:textId="77777777" w:rsidR="0066529D" w:rsidRDefault="00A901FF">
            <w:pPr>
              <w:pStyle w:val="biaogeright"/>
              <w:wordWrap w:val="0"/>
              <w:rPr>
                <w:rFonts w:hint="eastAsia"/>
              </w:rPr>
            </w:pPr>
            <w:r>
              <w:rPr>
                <w:rFonts w:hAnsi="等线"/>
                <w:color w:val="000000"/>
              </w:rPr>
              <w:t>525,525.00</w:t>
            </w:r>
          </w:p>
        </w:tc>
        <w:tc>
          <w:tcPr>
            <w:tcW w:w="1681" w:type="dxa"/>
            <w:tcBorders>
              <w:top w:val="single" w:sz="8" w:space="0" w:color="000000"/>
              <w:left w:val="single" w:sz="8" w:space="0" w:color="000000"/>
              <w:bottom w:val="single" w:sz="6" w:space="0" w:color="000000"/>
              <w:right w:val="single" w:sz="8" w:space="0" w:color="000000"/>
            </w:tcBorders>
            <w:vAlign w:val="center"/>
          </w:tcPr>
          <w:p w14:paraId="74C50A0C" w14:textId="77777777" w:rsidR="0066529D" w:rsidRDefault="00A901FF">
            <w:pPr>
              <w:pStyle w:val="biaogeright"/>
              <w:wordWrap w:val="0"/>
              <w:rPr>
                <w:rFonts w:hint="eastAsia"/>
              </w:rPr>
            </w:pPr>
            <w:r>
              <w:rPr>
                <w:rFonts w:hAnsi="等线"/>
                <w:color w:val="000000"/>
              </w:rPr>
              <w:t>6.20</w:t>
            </w:r>
          </w:p>
        </w:tc>
      </w:tr>
      <w:tr w:rsidR="0066529D" w14:paraId="23637D5E"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C159C30" w14:textId="77777777" w:rsidR="0066529D" w:rsidRDefault="00A901FF">
            <w:pPr>
              <w:pStyle w:val="biaogecenter"/>
              <w:wordWrap w:val="0"/>
              <w:rPr>
                <w:rFonts w:hint="eastAsia"/>
              </w:rPr>
            </w:pPr>
            <w:r>
              <w:rPr>
                <w:rFonts w:hAnsi="等线" w:hint="eastAsia"/>
                <w:color w:val="000000"/>
              </w:rPr>
              <w:t>4</w:t>
            </w:r>
          </w:p>
        </w:tc>
        <w:tc>
          <w:tcPr>
            <w:tcW w:w="1355" w:type="dxa"/>
            <w:tcBorders>
              <w:top w:val="single" w:sz="8" w:space="0" w:color="000000"/>
              <w:left w:val="single" w:sz="8" w:space="0" w:color="000000"/>
              <w:bottom w:val="single" w:sz="6" w:space="0" w:color="000000"/>
              <w:right w:val="single" w:sz="8" w:space="0" w:color="000000"/>
            </w:tcBorders>
            <w:vAlign w:val="center"/>
          </w:tcPr>
          <w:p w14:paraId="2415AD2A" w14:textId="77777777" w:rsidR="0066529D" w:rsidRDefault="00A901FF">
            <w:pPr>
              <w:pStyle w:val="biaogeleft"/>
              <w:wordWrap w:val="0"/>
              <w:rPr>
                <w:rFonts w:hint="eastAsia"/>
              </w:rPr>
            </w:pPr>
            <w:r>
              <w:rPr>
                <w:rFonts w:hAnsi="等线"/>
                <w:color w:val="000000"/>
              </w:rPr>
              <w:t>688687</w:t>
            </w:r>
          </w:p>
        </w:tc>
        <w:tc>
          <w:tcPr>
            <w:tcW w:w="1613" w:type="dxa"/>
            <w:tcBorders>
              <w:top w:val="single" w:sz="8" w:space="0" w:color="000000"/>
              <w:left w:val="single" w:sz="8" w:space="0" w:color="000000"/>
              <w:bottom w:val="single" w:sz="6" w:space="0" w:color="000000"/>
              <w:right w:val="single" w:sz="8" w:space="0" w:color="000000"/>
            </w:tcBorders>
            <w:vAlign w:val="center"/>
          </w:tcPr>
          <w:p w14:paraId="6EA0E1EC" w14:textId="77777777" w:rsidR="0066529D" w:rsidRDefault="00A901FF">
            <w:pPr>
              <w:pStyle w:val="biaogeleft"/>
              <w:wordWrap w:val="0"/>
              <w:rPr>
                <w:rFonts w:hint="eastAsia"/>
              </w:rPr>
            </w:pPr>
            <w:r>
              <w:rPr>
                <w:rFonts w:hAnsi="等线"/>
                <w:color w:val="000000"/>
              </w:rPr>
              <w:t>凯因科技</w:t>
            </w:r>
          </w:p>
        </w:tc>
        <w:tc>
          <w:tcPr>
            <w:tcW w:w="1647" w:type="dxa"/>
            <w:tcBorders>
              <w:top w:val="single" w:sz="8" w:space="0" w:color="000000"/>
              <w:left w:val="single" w:sz="8" w:space="0" w:color="000000"/>
              <w:bottom w:val="single" w:sz="6" w:space="0" w:color="000000"/>
              <w:right w:val="single" w:sz="8" w:space="0" w:color="000000"/>
            </w:tcBorders>
            <w:vAlign w:val="center"/>
          </w:tcPr>
          <w:p w14:paraId="2D080762" w14:textId="77777777" w:rsidR="0066529D" w:rsidRDefault="00A901FF">
            <w:pPr>
              <w:pStyle w:val="biaogeright"/>
              <w:wordWrap w:val="0"/>
              <w:rPr>
                <w:rFonts w:hint="eastAsia"/>
              </w:rPr>
            </w:pPr>
            <w:r>
              <w:rPr>
                <w:rFonts w:hAnsi="等线"/>
                <w:color w:val="000000"/>
              </w:rPr>
              <w:t>16,871</w:t>
            </w:r>
          </w:p>
        </w:tc>
        <w:tc>
          <w:tcPr>
            <w:tcW w:w="1647" w:type="dxa"/>
            <w:tcBorders>
              <w:top w:val="single" w:sz="8" w:space="0" w:color="000000"/>
              <w:left w:val="single" w:sz="8" w:space="0" w:color="000000"/>
              <w:bottom w:val="single" w:sz="6" w:space="0" w:color="000000"/>
              <w:right w:val="single" w:sz="8" w:space="0" w:color="000000"/>
            </w:tcBorders>
            <w:vAlign w:val="center"/>
          </w:tcPr>
          <w:p w14:paraId="280FFC9D" w14:textId="77777777" w:rsidR="0066529D" w:rsidRDefault="00A901FF">
            <w:pPr>
              <w:pStyle w:val="biaogeright"/>
              <w:wordWrap w:val="0"/>
              <w:rPr>
                <w:rFonts w:hint="eastAsia"/>
              </w:rPr>
            </w:pPr>
            <w:r>
              <w:rPr>
                <w:rFonts w:hAnsi="等线"/>
                <w:color w:val="000000"/>
              </w:rPr>
              <w:t>430,379.21</w:t>
            </w:r>
          </w:p>
        </w:tc>
        <w:tc>
          <w:tcPr>
            <w:tcW w:w="1681" w:type="dxa"/>
            <w:tcBorders>
              <w:top w:val="single" w:sz="8" w:space="0" w:color="000000"/>
              <w:left w:val="single" w:sz="8" w:space="0" w:color="000000"/>
              <w:bottom w:val="single" w:sz="6" w:space="0" w:color="000000"/>
              <w:right w:val="single" w:sz="8" w:space="0" w:color="000000"/>
            </w:tcBorders>
            <w:vAlign w:val="center"/>
          </w:tcPr>
          <w:p w14:paraId="085AEDDA" w14:textId="77777777" w:rsidR="0066529D" w:rsidRDefault="00A901FF">
            <w:pPr>
              <w:pStyle w:val="biaogeright"/>
              <w:wordWrap w:val="0"/>
              <w:rPr>
                <w:rFonts w:hint="eastAsia"/>
              </w:rPr>
            </w:pPr>
            <w:r>
              <w:rPr>
                <w:rFonts w:hAnsi="等线"/>
                <w:color w:val="000000"/>
              </w:rPr>
              <w:t>5.08</w:t>
            </w:r>
          </w:p>
        </w:tc>
      </w:tr>
      <w:tr w:rsidR="0066529D" w14:paraId="1DAE68AC"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ACD4954" w14:textId="77777777" w:rsidR="0066529D" w:rsidRDefault="00A901FF">
            <w:pPr>
              <w:pStyle w:val="biaogecenter"/>
              <w:wordWrap w:val="0"/>
              <w:rPr>
                <w:rFonts w:hint="eastAsia"/>
              </w:rPr>
            </w:pPr>
            <w:r>
              <w:rPr>
                <w:rFonts w:hAnsi="等线" w:hint="eastAsia"/>
                <w:color w:val="000000"/>
              </w:rPr>
              <w:t>5</w:t>
            </w:r>
          </w:p>
        </w:tc>
        <w:tc>
          <w:tcPr>
            <w:tcW w:w="1355" w:type="dxa"/>
            <w:tcBorders>
              <w:top w:val="single" w:sz="8" w:space="0" w:color="000000"/>
              <w:left w:val="single" w:sz="8" w:space="0" w:color="000000"/>
              <w:bottom w:val="single" w:sz="6" w:space="0" w:color="000000"/>
              <w:right w:val="single" w:sz="8" w:space="0" w:color="000000"/>
            </w:tcBorders>
            <w:vAlign w:val="center"/>
          </w:tcPr>
          <w:p w14:paraId="7082EE9C" w14:textId="77777777" w:rsidR="0066529D" w:rsidRDefault="00A901FF">
            <w:pPr>
              <w:pStyle w:val="biaogeleft"/>
              <w:wordWrap w:val="0"/>
              <w:rPr>
                <w:rFonts w:hint="eastAsia"/>
              </w:rPr>
            </w:pPr>
            <w:r>
              <w:rPr>
                <w:rFonts w:hAnsi="等线"/>
                <w:color w:val="000000"/>
              </w:rPr>
              <w:t>002019</w:t>
            </w:r>
          </w:p>
        </w:tc>
        <w:tc>
          <w:tcPr>
            <w:tcW w:w="1613" w:type="dxa"/>
            <w:tcBorders>
              <w:top w:val="single" w:sz="8" w:space="0" w:color="000000"/>
              <w:left w:val="single" w:sz="8" w:space="0" w:color="000000"/>
              <w:bottom w:val="single" w:sz="6" w:space="0" w:color="000000"/>
              <w:right w:val="single" w:sz="8" w:space="0" w:color="000000"/>
            </w:tcBorders>
            <w:vAlign w:val="center"/>
          </w:tcPr>
          <w:p w14:paraId="6A08C15E" w14:textId="77777777" w:rsidR="0066529D" w:rsidRDefault="00A901FF">
            <w:pPr>
              <w:pStyle w:val="biaogeleft"/>
              <w:wordWrap w:val="0"/>
              <w:rPr>
                <w:rFonts w:hint="eastAsia"/>
              </w:rPr>
            </w:pPr>
            <w:proofErr w:type="gramStart"/>
            <w:r>
              <w:rPr>
                <w:rFonts w:hAnsi="等线"/>
                <w:color w:val="000000"/>
              </w:rPr>
              <w:t>亿帆医药</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6CEF2629" w14:textId="77777777" w:rsidR="0066529D" w:rsidRDefault="00A901FF">
            <w:pPr>
              <w:pStyle w:val="biaogeright"/>
              <w:wordWrap w:val="0"/>
              <w:rPr>
                <w:rFonts w:hint="eastAsia"/>
              </w:rPr>
            </w:pPr>
            <w:r>
              <w:rPr>
                <w:rFonts w:hAnsi="等线"/>
                <w:color w:val="000000"/>
              </w:rPr>
              <w:t>34,700</w:t>
            </w:r>
          </w:p>
        </w:tc>
        <w:tc>
          <w:tcPr>
            <w:tcW w:w="1647" w:type="dxa"/>
            <w:tcBorders>
              <w:top w:val="single" w:sz="8" w:space="0" w:color="000000"/>
              <w:left w:val="single" w:sz="8" w:space="0" w:color="000000"/>
              <w:bottom w:val="single" w:sz="6" w:space="0" w:color="000000"/>
              <w:right w:val="single" w:sz="8" w:space="0" w:color="000000"/>
            </w:tcBorders>
            <w:vAlign w:val="center"/>
          </w:tcPr>
          <w:p w14:paraId="2D97EC21" w14:textId="77777777" w:rsidR="0066529D" w:rsidRDefault="00A901FF">
            <w:pPr>
              <w:pStyle w:val="biaogeright"/>
              <w:wordWrap w:val="0"/>
              <w:rPr>
                <w:rFonts w:hint="eastAsia"/>
              </w:rPr>
            </w:pPr>
            <w:r>
              <w:rPr>
                <w:rFonts w:hAnsi="等线"/>
                <w:color w:val="000000"/>
              </w:rPr>
              <w:t>428,892.00</w:t>
            </w:r>
          </w:p>
        </w:tc>
        <w:tc>
          <w:tcPr>
            <w:tcW w:w="1681" w:type="dxa"/>
            <w:tcBorders>
              <w:top w:val="single" w:sz="8" w:space="0" w:color="000000"/>
              <w:left w:val="single" w:sz="8" w:space="0" w:color="000000"/>
              <w:bottom w:val="single" w:sz="6" w:space="0" w:color="000000"/>
              <w:right w:val="single" w:sz="8" w:space="0" w:color="000000"/>
            </w:tcBorders>
            <w:vAlign w:val="center"/>
          </w:tcPr>
          <w:p w14:paraId="384A83C8" w14:textId="77777777" w:rsidR="0066529D" w:rsidRDefault="00A901FF">
            <w:pPr>
              <w:pStyle w:val="biaogeright"/>
              <w:wordWrap w:val="0"/>
              <w:rPr>
                <w:rFonts w:hint="eastAsia"/>
              </w:rPr>
            </w:pPr>
            <w:r>
              <w:rPr>
                <w:rFonts w:hAnsi="等线"/>
                <w:color w:val="000000"/>
              </w:rPr>
              <w:t>5.06</w:t>
            </w:r>
          </w:p>
        </w:tc>
      </w:tr>
      <w:tr w:rsidR="0066529D" w14:paraId="78A097AB"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46F2603B" w14:textId="77777777" w:rsidR="0066529D" w:rsidRDefault="00A901FF">
            <w:pPr>
              <w:pStyle w:val="biaogecenter"/>
              <w:wordWrap w:val="0"/>
              <w:rPr>
                <w:rFonts w:hint="eastAsia"/>
              </w:rPr>
            </w:pPr>
            <w:r>
              <w:rPr>
                <w:rFonts w:hAnsi="等线" w:hint="eastAsia"/>
                <w:color w:val="000000"/>
              </w:rPr>
              <w:t>6</w:t>
            </w:r>
          </w:p>
        </w:tc>
        <w:tc>
          <w:tcPr>
            <w:tcW w:w="1355" w:type="dxa"/>
            <w:tcBorders>
              <w:top w:val="single" w:sz="8" w:space="0" w:color="000000"/>
              <w:left w:val="single" w:sz="8" w:space="0" w:color="000000"/>
              <w:bottom w:val="single" w:sz="6" w:space="0" w:color="000000"/>
              <w:right w:val="single" w:sz="8" w:space="0" w:color="000000"/>
            </w:tcBorders>
            <w:vAlign w:val="center"/>
          </w:tcPr>
          <w:p w14:paraId="5B6297CA" w14:textId="77777777" w:rsidR="0066529D" w:rsidRDefault="00A901FF">
            <w:pPr>
              <w:pStyle w:val="biaogeleft"/>
              <w:wordWrap w:val="0"/>
              <w:rPr>
                <w:rFonts w:hint="eastAsia"/>
              </w:rPr>
            </w:pPr>
            <w:r>
              <w:rPr>
                <w:rFonts w:hAnsi="等线"/>
                <w:color w:val="000000"/>
              </w:rPr>
              <w:t>301033</w:t>
            </w:r>
          </w:p>
        </w:tc>
        <w:tc>
          <w:tcPr>
            <w:tcW w:w="1613" w:type="dxa"/>
            <w:tcBorders>
              <w:top w:val="single" w:sz="8" w:space="0" w:color="000000"/>
              <w:left w:val="single" w:sz="8" w:space="0" w:color="000000"/>
              <w:bottom w:val="single" w:sz="6" w:space="0" w:color="000000"/>
              <w:right w:val="single" w:sz="8" w:space="0" w:color="000000"/>
            </w:tcBorders>
            <w:vAlign w:val="center"/>
          </w:tcPr>
          <w:p w14:paraId="706610D9" w14:textId="77777777" w:rsidR="0066529D" w:rsidRDefault="00A901FF">
            <w:pPr>
              <w:pStyle w:val="biaogeleft"/>
              <w:wordWrap w:val="0"/>
              <w:rPr>
                <w:rFonts w:hint="eastAsia"/>
              </w:rPr>
            </w:pPr>
            <w:r>
              <w:rPr>
                <w:rFonts w:hAnsi="等线"/>
                <w:color w:val="000000"/>
              </w:rPr>
              <w:t>迈普医学</w:t>
            </w:r>
          </w:p>
        </w:tc>
        <w:tc>
          <w:tcPr>
            <w:tcW w:w="1647" w:type="dxa"/>
            <w:tcBorders>
              <w:top w:val="single" w:sz="8" w:space="0" w:color="000000"/>
              <w:left w:val="single" w:sz="8" w:space="0" w:color="000000"/>
              <w:bottom w:val="single" w:sz="6" w:space="0" w:color="000000"/>
              <w:right w:val="single" w:sz="8" w:space="0" w:color="000000"/>
            </w:tcBorders>
            <w:vAlign w:val="center"/>
          </w:tcPr>
          <w:p w14:paraId="16A14753" w14:textId="77777777" w:rsidR="0066529D" w:rsidRDefault="00A901FF">
            <w:pPr>
              <w:pStyle w:val="biaogeright"/>
              <w:wordWrap w:val="0"/>
              <w:rPr>
                <w:rFonts w:hint="eastAsia"/>
              </w:rPr>
            </w:pPr>
            <w:r>
              <w:rPr>
                <w:rFonts w:hAnsi="等线"/>
                <w:color w:val="000000"/>
              </w:rPr>
              <w:t>10,000</w:t>
            </w:r>
          </w:p>
        </w:tc>
        <w:tc>
          <w:tcPr>
            <w:tcW w:w="1647" w:type="dxa"/>
            <w:tcBorders>
              <w:top w:val="single" w:sz="8" w:space="0" w:color="000000"/>
              <w:left w:val="single" w:sz="8" w:space="0" w:color="000000"/>
              <w:bottom w:val="single" w:sz="6" w:space="0" w:color="000000"/>
              <w:right w:val="single" w:sz="8" w:space="0" w:color="000000"/>
            </w:tcBorders>
            <w:vAlign w:val="center"/>
          </w:tcPr>
          <w:p w14:paraId="443A039C" w14:textId="77777777" w:rsidR="0066529D" w:rsidRDefault="00A901FF">
            <w:pPr>
              <w:pStyle w:val="biaogeright"/>
              <w:wordWrap w:val="0"/>
              <w:rPr>
                <w:rFonts w:hint="eastAsia"/>
              </w:rPr>
            </w:pPr>
            <w:r>
              <w:rPr>
                <w:rFonts w:hAnsi="等线"/>
                <w:color w:val="000000"/>
              </w:rPr>
              <w:t>391,100.00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00A943F4" w14:textId="77777777" w:rsidR="0066529D" w:rsidRDefault="00A901FF">
            <w:pPr>
              <w:pStyle w:val="biaogeright"/>
              <w:wordWrap w:val="0"/>
              <w:rPr>
                <w:rFonts w:hint="eastAsia"/>
              </w:rPr>
            </w:pPr>
            <w:r>
              <w:rPr>
                <w:rFonts w:hAnsi="等线"/>
                <w:color w:val="000000"/>
              </w:rPr>
              <w:t>4.62</w:t>
            </w:r>
          </w:p>
        </w:tc>
      </w:tr>
      <w:tr w:rsidR="0066529D" w14:paraId="3CAE5600"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43E76585" w14:textId="77777777" w:rsidR="0066529D" w:rsidRDefault="00A901FF">
            <w:pPr>
              <w:pStyle w:val="biaogecenter"/>
              <w:wordWrap w:val="0"/>
              <w:rPr>
                <w:rFonts w:hint="eastAsia"/>
              </w:rPr>
            </w:pPr>
            <w:r>
              <w:rPr>
                <w:rFonts w:hAnsi="等线" w:hint="eastAsia"/>
                <w:color w:val="000000"/>
              </w:rPr>
              <w:t>7</w:t>
            </w:r>
          </w:p>
        </w:tc>
        <w:tc>
          <w:tcPr>
            <w:tcW w:w="1355" w:type="dxa"/>
            <w:tcBorders>
              <w:top w:val="single" w:sz="8" w:space="0" w:color="000000"/>
              <w:left w:val="single" w:sz="8" w:space="0" w:color="000000"/>
              <w:bottom w:val="single" w:sz="6" w:space="0" w:color="000000"/>
              <w:right w:val="single" w:sz="8" w:space="0" w:color="000000"/>
            </w:tcBorders>
            <w:vAlign w:val="center"/>
          </w:tcPr>
          <w:p w14:paraId="1F2E8200" w14:textId="77777777" w:rsidR="0066529D" w:rsidRDefault="00A901FF">
            <w:pPr>
              <w:pStyle w:val="biaogeleft"/>
              <w:wordWrap w:val="0"/>
              <w:rPr>
                <w:rFonts w:hint="eastAsia"/>
              </w:rPr>
            </w:pPr>
            <w:r>
              <w:rPr>
                <w:rFonts w:hAnsi="等线"/>
                <w:color w:val="000000"/>
              </w:rPr>
              <w:t>605116</w:t>
            </w:r>
          </w:p>
        </w:tc>
        <w:tc>
          <w:tcPr>
            <w:tcW w:w="1613" w:type="dxa"/>
            <w:tcBorders>
              <w:top w:val="single" w:sz="8" w:space="0" w:color="000000"/>
              <w:left w:val="single" w:sz="8" w:space="0" w:color="000000"/>
              <w:bottom w:val="single" w:sz="6" w:space="0" w:color="000000"/>
              <w:right w:val="single" w:sz="8" w:space="0" w:color="000000"/>
            </w:tcBorders>
            <w:vAlign w:val="center"/>
          </w:tcPr>
          <w:p w14:paraId="563DF5F1" w14:textId="77777777" w:rsidR="0066529D" w:rsidRDefault="00A901FF">
            <w:pPr>
              <w:pStyle w:val="biaogeleft"/>
              <w:wordWrap w:val="0"/>
              <w:rPr>
                <w:rFonts w:hint="eastAsia"/>
              </w:rPr>
            </w:pPr>
            <w:proofErr w:type="gramStart"/>
            <w:r>
              <w:rPr>
                <w:rFonts w:hAnsi="等线"/>
                <w:color w:val="000000"/>
              </w:rPr>
              <w:t>奥锐特</w:t>
            </w:r>
            <w:proofErr w:type="gramEnd"/>
          </w:p>
        </w:tc>
        <w:tc>
          <w:tcPr>
            <w:tcW w:w="1647" w:type="dxa"/>
            <w:tcBorders>
              <w:top w:val="single" w:sz="8" w:space="0" w:color="000000"/>
              <w:left w:val="single" w:sz="8" w:space="0" w:color="000000"/>
              <w:bottom w:val="single" w:sz="6" w:space="0" w:color="000000"/>
              <w:right w:val="single" w:sz="8" w:space="0" w:color="000000"/>
            </w:tcBorders>
            <w:vAlign w:val="center"/>
          </w:tcPr>
          <w:p w14:paraId="22110461" w14:textId="77777777" w:rsidR="0066529D" w:rsidRDefault="00A901FF">
            <w:pPr>
              <w:pStyle w:val="biaogeright"/>
              <w:wordWrap w:val="0"/>
              <w:rPr>
                <w:rFonts w:hint="eastAsia"/>
              </w:rPr>
            </w:pPr>
            <w:r>
              <w:rPr>
                <w:rFonts w:hAnsi="等线"/>
                <w:color w:val="000000"/>
              </w:rPr>
              <w:t>15,200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1E1D150" w14:textId="77777777" w:rsidR="0066529D" w:rsidRDefault="00A901FF">
            <w:pPr>
              <w:pStyle w:val="biaogeright"/>
              <w:wordWrap w:val="0"/>
              <w:rPr>
                <w:rFonts w:hint="eastAsia"/>
              </w:rPr>
            </w:pPr>
            <w:r>
              <w:rPr>
                <w:rFonts w:hAnsi="等线"/>
                <w:color w:val="000000"/>
              </w:rPr>
              <w:t>380,456.00</w:t>
            </w:r>
          </w:p>
        </w:tc>
        <w:tc>
          <w:tcPr>
            <w:tcW w:w="1681" w:type="dxa"/>
            <w:tcBorders>
              <w:top w:val="single" w:sz="8" w:space="0" w:color="000000"/>
              <w:left w:val="single" w:sz="8" w:space="0" w:color="000000"/>
              <w:bottom w:val="single" w:sz="6" w:space="0" w:color="000000"/>
              <w:right w:val="single" w:sz="8" w:space="0" w:color="000000"/>
            </w:tcBorders>
            <w:vAlign w:val="center"/>
          </w:tcPr>
          <w:p w14:paraId="4F2795E5" w14:textId="77777777" w:rsidR="0066529D" w:rsidRDefault="00A901FF">
            <w:pPr>
              <w:pStyle w:val="biaogeright"/>
              <w:wordWrap w:val="0"/>
              <w:rPr>
                <w:rFonts w:hint="eastAsia"/>
              </w:rPr>
            </w:pPr>
            <w:r>
              <w:rPr>
                <w:rFonts w:hAnsi="等线"/>
                <w:color w:val="000000"/>
              </w:rPr>
              <w:t>4.49</w:t>
            </w:r>
          </w:p>
        </w:tc>
      </w:tr>
      <w:tr w:rsidR="0066529D" w14:paraId="02BA2842"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7260662" w14:textId="77777777" w:rsidR="0066529D" w:rsidRDefault="00A901FF">
            <w:pPr>
              <w:pStyle w:val="biaogecenter"/>
              <w:wordWrap w:val="0"/>
              <w:rPr>
                <w:rFonts w:hint="eastAsia"/>
              </w:rPr>
            </w:pPr>
            <w:r>
              <w:rPr>
                <w:rFonts w:hAnsi="等线" w:hint="eastAsia"/>
                <w:color w:val="000000"/>
              </w:rPr>
              <w:t>8</w:t>
            </w:r>
          </w:p>
        </w:tc>
        <w:tc>
          <w:tcPr>
            <w:tcW w:w="1355" w:type="dxa"/>
            <w:tcBorders>
              <w:top w:val="single" w:sz="8" w:space="0" w:color="000000"/>
              <w:left w:val="single" w:sz="8" w:space="0" w:color="000000"/>
              <w:bottom w:val="single" w:sz="6" w:space="0" w:color="000000"/>
              <w:right w:val="single" w:sz="8" w:space="0" w:color="000000"/>
            </w:tcBorders>
            <w:vAlign w:val="center"/>
          </w:tcPr>
          <w:p w14:paraId="58CFA2E9" w14:textId="77777777" w:rsidR="0066529D" w:rsidRDefault="00A901FF">
            <w:pPr>
              <w:pStyle w:val="biaogeleft"/>
              <w:wordWrap w:val="0"/>
              <w:rPr>
                <w:rFonts w:hint="eastAsia"/>
              </w:rPr>
            </w:pPr>
            <w:r>
              <w:rPr>
                <w:rFonts w:hAnsi="等线"/>
                <w:color w:val="000000"/>
              </w:rPr>
              <w:t>301122</w:t>
            </w:r>
          </w:p>
        </w:tc>
        <w:tc>
          <w:tcPr>
            <w:tcW w:w="1613" w:type="dxa"/>
            <w:tcBorders>
              <w:top w:val="single" w:sz="8" w:space="0" w:color="000000"/>
              <w:left w:val="single" w:sz="8" w:space="0" w:color="000000"/>
              <w:bottom w:val="single" w:sz="6" w:space="0" w:color="000000"/>
              <w:right w:val="single" w:sz="8" w:space="0" w:color="000000"/>
            </w:tcBorders>
            <w:vAlign w:val="center"/>
          </w:tcPr>
          <w:p w14:paraId="30A99F29" w14:textId="77777777" w:rsidR="0066529D" w:rsidRDefault="00A901FF">
            <w:pPr>
              <w:pStyle w:val="biaogeleft"/>
              <w:wordWrap w:val="0"/>
              <w:rPr>
                <w:rFonts w:hint="eastAsia"/>
              </w:rPr>
            </w:pPr>
            <w:r>
              <w:rPr>
                <w:rFonts w:hAnsi="等线"/>
                <w:color w:val="000000"/>
              </w:rPr>
              <w:t>采纳股份</w:t>
            </w:r>
          </w:p>
        </w:tc>
        <w:tc>
          <w:tcPr>
            <w:tcW w:w="1647" w:type="dxa"/>
            <w:tcBorders>
              <w:top w:val="single" w:sz="8" w:space="0" w:color="000000"/>
              <w:left w:val="single" w:sz="8" w:space="0" w:color="000000"/>
              <w:bottom w:val="single" w:sz="6" w:space="0" w:color="000000"/>
              <w:right w:val="single" w:sz="8" w:space="0" w:color="000000"/>
            </w:tcBorders>
            <w:vAlign w:val="center"/>
          </w:tcPr>
          <w:p w14:paraId="764BAB8D" w14:textId="77777777" w:rsidR="0066529D" w:rsidRDefault="00A901FF">
            <w:pPr>
              <w:pStyle w:val="biaogeright"/>
              <w:wordWrap w:val="0"/>
              <w:rPr>
                <w:rFonts w:hint="eastAsia"/>
              </w:rPr>
            </w:pPr>
            <w:r>
              <w:rPr>
                <w:rFonts w:hAnsi="等线"/>
                <w:color w:val="000000"/>
              </w:rPr>
              <w:t>19,430</w:t>
            </w:r>
          </w:p>
        </w:tc>
        <w:tc>
          <w:tcPr>
            <w:tcW w:w="1647" w:type="dxa"/>
            <w:tcBorders>
              <w:top w:val="single" w:sz="8" w:space="0" w:color="000000"/>
              <w:left w:val="single" w:sz="8" w:space="0" w:color="000000"/>
              <w:bottom w:val="single" w:sz="6" w:space="0" w:color="000000"/>
              <w:right w:val="single" w:sz="8" w:space="0" w:color="000000"/>
            </w:tcBorders>
            <w:vAlign w:val="center"/>
          </w:tcPr>
          <w:p w14:paraId="50014140" w14:textId="77777777" w:rsidR="0066529D" w:rsidRDefault="00A901FF">
            <w:pPr>
              <w:pStyle w:val="biaogeright"/>
              <w:wordWrap w:val="0"/>
              <w:rPr>
                <w:rFonts w:hint="eastAsia"/>
              </w:rPr>
            </w:pPr>
            <w:r>
              <w:rPr>
                <w:rFonts w:hAnsi="等线"/>
                <w:color w:val="000000"/>
              </w:rPr>
              <w:t>365,866.90</w:t>
            </w:r>
          </w:p>
        </w:tc>
        <w:tc>
          <w:tcPr>
            <w:tcW w:w="1681" w:type="dxa"/>
            <w:tcBorders>
              <w:top w:val="single" w:sz="8" w:space="0" w:color="000000"/>
              <w:left w:val="single" w:sz="8" w:space="0" w:color="000000"/>
              <w:bottom w:val="single" w:sz="6" w:space="0" w:color="000000"/>
              <w:right w:val="single" w:sz="8" w:space="0" w:color="000000"/>
            </w:tcBorders>
            <w:vAlign w:val="center"/>
          </w:tcPr>
          <w:p w14:paraId="5B3105D8" w14:textId="77777777" w:rsidR="0066529D" w:rsidRDefault="00A901FF">
            <w:pPr>
              <w:pStyle w:val="biaogeright"/>
              <w:wordWrap w:val="0"/>
              <w:rPr>
                <w:rFonts w:hint="eastAsia"/>
              </w:rPr>
            </w:pPr>
            <w:r>
              <w:rPr>
                <w:rFonts w:hAnsi="等线"/>
                <w:color w:val="000000"/>
              </w:rPr>
              <w:t>4.32</w:t>
            </w:r>
          </w:p>
        </w:tc>
      </w:tr>
      <w:tr w:rsidR="0066529D" w14:paraId="4404FB4D"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3AA717F6" w14:textId="77777777" w:rsidR="0066529D" w:rsidRDefault="00A901FF">
            <w:pPr>
              <w:pStyle w:val="biaogecenter"/>
              <w:wordWrap w:val="0"/>
              <w:rPr>
                <w:rFonts w:hint="eastAsia"/>
              </w:rPr>
            </w:pPr>
            <w:r>
              <w:rPr>
                <w:rFonts w:hAnsi="等线" w:hint="eastAsia"/>
                <w:color w:val="000000"/>
              </w:rPr>
              <w:t>9</w:t>
            </w:r>
          </w:p>
        </w:tc>
        <w:tc>
          <w:tcPr>
            <w:tcW w:w="1355" w:type="dxa"/>
            <w:tcBorders>
              <w:top w:val="single" w:sz="8" w:space="0" w:color="000000"/>
              <w:left w:val="single" w:sz="8" w:space="0" w:color="000000"/>
              <w:bottom w:val="single" w:sz="6" w:space="0" w:color="000000"/>
              <w:right w:val="single" w:sz="8" w:space="0" w:color="000000"/>
            </w:tcBorders>
            <w:vAlign w:val="center"/>
          </w:tcPr>
          <w:p w14:paraId="374F03C0" w14:textId="77777777" w:rsidR="0066529D" w:rsidRDefault="00A901FF">
            <w:pPr>
              <w:pStyle w:val="biaogeleft"/>
              <w:wordWrap w:val="0"/>
              <w:rPr>
                <w:rFonts w:hint="eastAsia"/>
              </w:rPr>
            </w:pPr>
            <w:r>
              <w:rPr>
                <w:rFonts w:hAnsi="等线"/>
                <w:color w:val="000000"/>
              </w:rPr>
              <w:t>603309</w:t>
            </w:r>
          </w:p>
        </w:tc>
        <w:tc>
          <w:tcPr>
            <w:tcW w:w="1613" w:type="dxa"/>
            <w:tcBorders>
              <w:top w:val="single" w:sz="8" w:space="0" w:color="000000"/>
              <w:left w:val="single" w:sz="8" w:space="0" w:color="000000"/>
              <w:bottom w:val="single" w:sz="6" w:space="0" w:color="000000"/>
              <w:right w:val="single" w:sz="8" w:space="0" w:color="000000"/>
            </w:tcBorders>
            <w:vAlign w:val="center"/>
          </w:tcPr>
          <w:p w14:paraId="6D4F9CE3" w14:textId="77777777" w:rsidR="0066529D" w:rsidRDefault="00A901FF">
            <w:pPr>
              <w:pStyle w:val="biaogeleft"/>
              <w:wordWrap w:val="0"/>
              <w:rPr>
                <w:rFonts w:hint="eastAsia"/>
              </w:rPr>
            </w:pPr>
            <w:r>
              <w:rPr>
                <w:rFonts w:hAnsi="等线"/>
                <w:color w:val="000000"/>
              </w:rPr>
              <w:t>维力医疗</w:t>
            </w:r>
          </w:p>
        </w:tc>
        <w:tc>
          <w:tcPr>
            <w:tcW w:w="1647" w:type="dxa"/>
            <w:tcBorders>
              <w:top w:val="single" w:sz="8" w:space="0" w:color="000000"/>
              <w:left w:val="single" w:sz="8" w:space="0" w:color="000000"/>
              <w:bottom w:val="single" w:sz="6" w:space="0" w:color="000000"/>
              <w:right w:val="single" w:sz="8" w:space="0" w:color="000000"/>
            </w:tcBorders>
            <w:vAlign w:val="center"/>
          </w:tcPr>
          <w:p w14:paraId="22429CE3" w14:textId="77777777" w:rsidR="0066529D" w:rsidRDefault="00A901FF">
            <w:pPr>
              <w:pStyle w:val="biaogeright"/>
              <w:wordWrap w:val="0"/>
              <w:rPr>
                <w:rFonts w:hint="eastAsia"/>
              </w:rPr>
            </w:pPr>
            <w:r>
              <w:rPr>
                <w:rFonts w:hAnsi="等线"/>
                <w:color w:val="000000"/>
              </w:rPr>
              <w:t>33,000</w:t>
            </w:r>
          </w:p>
        </w:tc>
        <w:tc>
          <w:tcPr>
            <w:tcW w:w="1647" w:type="dxa"/>
            <w:tcBorders>
              <w:top w:val="single" w:sz="8" w:space="0" w:color="000000"/>
              <w:left w:val="single" w:sz="8" w:space="0" w:color="000000"/>
              <w:bottom w:val="single" w:sz="6" w:space="0" w:color="000000"/>
              <w:right w:val="single" w:sz="8" w:space="0" w:color="000000"/>
            </w:tcBorders>
            <w:vAlign w:val="center"/>
          </w:tcPr>
          <w:p w14:paraId="70898402" w14:textId="77777777" w:rsidR="0066529D" w:rsidRDefault="00A901FF">
            <w:pPr>
              <w:pStyle w:val="biaogeright"/>
              <w:wordWrap w:val="0"/>
              <w:rPr>
                <w:rFonts w:hint="eastAsia"/>
              </w:rPr>
            </w:pPr>
            <w:r>
              <w:rPr>
                <w:rFonts w:hAnsi="等线"/>
                <w:color w:val="000000"/>
              </w:rPr>
              <w:t>363,330.00</w:t>
            </w:r>
          </w:p>
        </w:tc>
        <w:tc>
          <w:tcPr>
            <w:tcW w:w="1681" w:type="dxa"/>
            <w:tcBorders>
              <w:top w:val="single" w:sz="8" w:space="0" w:color="000000"/>
              <w:left w:val="single" w:sz="8" w:space="0" w:color="000000"/>
              <w:bottom w:val="single" w:sz="6" w:space="0" w:color="000000"/>
              <w:right w:val="single" w:sz="8" w:space="0" w:color="000000"/>
            </w:tcBorders>
            <w:vAlign w:val="center"/>
          </w:tcPr>
          <w:p w14:paraId="669A2EDE" w14:textId="77777777" w:rsidR="0066529D" w:rsidRDefault="00A901FF">
            <w:pPr>
              <w:pStyle w:val="biaogeright"/>
              <w:wordWrap w:val="0"/>
              <w:rPr>
                <w:rFonts w:hint="eastAsia"/>
              </w:rPr>
            </w:pPr>
            <w:r>
              <w:rPr>
                <w:rFonts w:hAnsi="等线"/>
                <w:color w:val="000000"/>
              </w:rPr>
              <w:t>4.29</w:t>
            </w:r>
          </w:p>
        </w:tc>
      </w:tr>
      <w:tr w:rsidR="0066529D" w14:paraId="112014D5" w14:textId="77777777">
        <w:tc>
          <w:tcPr>
            <w:tcW w:w="471" w:type="dxa"/>
            <w:tcBorders>
              <w:top w:val="single" w:sz="8" w:space="0" w:color="000000"/>
              <w:left w:val="single" w:sz="8" w:space="0" w:color="000000"/>
              <w:bottom w:val="single" w:sz="6" w:space="0" w:color="000000"/>
              <w:right w:val="single" w:sz="8" w:space="0" w:color="000000"/>
            </w:tcBorders>
            <w:vAlign w:val="center"/>
          </w:tcPr>
          <w:p w14:paraId="0E298E18" w14:textId="77777777" w:rsidR="0066529D" w:rsidRDefault="00A901FF">
            <w:pPr>
              <w:pStyle w:val="biaogecenter"/>
              <w:wordWrap w:val="0"/>
              <w:rPr>
                <w:rFonts w:hint="eastAsia"/>
              </w:rPr>
            </w:pPr>
            <w:r>
              <w:rPr>
                <w:rFonts w:hAnsi="等线" w:hint="eastAsia"/>
                <w:color w:val="000000"/>
              </w:rPr>
              <w:t>10</w:t>
            </w:r>
          </w:p>
        </w:tc>
        <w:tc>
          <w:tcPr>
            <w:tcW w:w="1355" w:type="dxa"/>
            <w:tcBorders>
              <w:top w:val="single" w:sz="8" w:space="0" w:color="000000"/>
              <w:left w:val="single" w:sz="8" w:space="0" w:color="000000"/>
              <w:bottom w:val="single" w:sz="6" w:space="0" w:color="000000"/>
              <w:right w:val="single" w:sz="8" w:space="0" w:color="000000"/>
            </w:tcBorders>
            <w:vAlign w:val="center"/>
          </w:tcPr>
          <w:p w14:paraId="6B3CEF61" w14:textId="77777777" w:rsidR="0066529D" w:rsidRDefault="00A901FF">
            <w:pPr>
              <w:pStyle w:val="biaogeleft"/>
              <w:wordWrap w:val="0"/>
              <w:rPr>
                <w:rFonts w:hint="eastAsia"/>
              </w:rPr>
            </w:pPr>
            <w:r>
              <w:rPr>
                <w:rFonts w:hAnsi="等线"/>
                <w:color w:val="000000"/>
              </w:rPr>
              <w:t>000403</w:t>
            </w:r>
          </w:p>
        </w:tc>
        <w:tc>
          <w:tcPr>
            <w:tcW w:w="1613" w:type="dxa"/>
            <w:tcBorders>
              <w:top w:val="single" w:sz="8" w:space="0" w:color="000000"/>
              <w:left w:val="single" w:sz="8" w:space="0" w:color="000000"/>
              <w:bottom w:val="single" w:sz="6" w:space="0" w:color="000000"/>
              <w:right w:val="single" w:sz="8" w:space="0" w:color="000000"/>
            </w:tcBorders>
            <w:vAlign w:val="center"/>
          </w:tcPr>
          <w:p w14:paraId="1BB85314" w14:textId="77777777" w:rsidR="0066529D" w:rsidRDefault="00A901FF">
            <w:pPr>
              <w:pStyle w:val="biaogeleft"/>
              <w:wordWrap w:val="0"/>
              <w:rPr>
                <w:rFonts w:hint="eastAsia"/>
              </w:rPr>
            </w:pPr>
            <w:r>
              <w:rPr>
                <w:rFonts w:hAnsi="等线"/>
                <w:color w:val="000000"/>
              </w:rPr>
              <w:t>派林生物</w:t>
            </w:r>
          </w:p>
        </w:tc>
        <w:tc>
          <w:tcPr>
            <w:tcW w:w="1647" w:type="dxa"/>
            <w:tcBorders>
              <w:top w:val="single" w:sz="8" w:space="0" w:color="000000"/>
              <w:left w:val="single" w:sz="8" w:space="0" w:color="000000"/>
              <w:bottom w:val="single" w:sz="6" w:space="0" w:color="000000"/>
              <w:right w:val="single" w:sz="8" w:space="0" w:color="000000"/>
            </w:tcBorders>
            <w:vAlign w:val="center"/>
          </w:tcPr>
          <w:p w14:paraId="0957DCE4" w14:textId="77777777" w:rsidR="0066529D" w:rsidRDefault="00A901FF">
            <w:pPr>
              <w:pStyle w:val="biaogeright"/>
              <w:wordWrap w:val="0"/>
              <w:rPr>
                <w:rFonts w:hint="eastAsia"/>
              </w:rPr>
            </w:pPr>
            <w:r>
              <w:rPr>
                <w:rFonts w:hAnsi="等线"/>
                <w:color w:val="000000"/>
              </w:rPr>
              <w:t>13,200</w:t>
            </w:r>
          </w:p>
        </w:tc>
        <w:tc>
          <w:tcPr>
            <w:tcW w:w="1647" w:type="dxa"/>
            <w:tcBorders>
              <w:top w:val="single" w:sz="8" w:space="0" w:color="000000"/>
              <w:left w:val="single" w:sz="8" w:space="0" w:color="000000"/>
              <w:bottom w:val="single" w:sz="6" w:space="0" w:color="000000"/>
              <w:right w:val="single" w:sz="8" w:space="0" w:color="000000"/>
            </w:tcBorders>
            <w:vAlign w:val="center"/>
          </w:tcPr>
          <w:p w14:paraId="0AC1DA44" w14:textId="77777777" w:rsidR="0066529D" w:rsidRDefault="00A901FF">
            <w:pPr>
              <w:pStyle w:val="biaogeright"/>
              <w:wordWrap w:val="0"/>
              <w:rPr>
                <w:rFonts w:hint="eastAsia"/>
              </w:rPr>
            </w:pPr>
            <w:r>
              <w:rPr>
                <w:rFonts w:hAnsi="等线"/>
                <w:color w:val="000000"/>
              </w:rPr>
              <w:t>351,912.00</w:t>
            </w:r>
          </w:p>
        </w:tc>
        <w:tc>
          <w:tcPr>
            <w:tcW w:w="1681" w:type="dxa"/>
            <w:tcBorders>
              <w:top w:val="single" w:sz="8" w:space="0" w:color="000000"/>
              <w:left w:val="single" w:sz="8" w:space="0" w:color="000000"/>
              <w:bottom w:val="single" w:sz="6" w:space="0" w:color="000000"/>
              <w:right w:val="single" w:sz="8" w:space="0" w:color="000000"/>
            </w:tcBorders>
            <w:vAlign w:val="center"/>
          </w:tcPr>
          <w:p w14:paraId="49DF2876" w14:textId="77777777" w:rsidR="0066529D" w:rsidRDefault="00A901FF">
            <w:pPr>
              <w:pStyle w:val="biaogeright"/>
              <w:wordWrap w:val="0"/>
              <w:rPr>
                <w:rFonts w:hint="eastAsia"/>
              </w:rPr>
            </w:pPr>
            <w:r>
              <w:rPr>
                <w:rFonts w:hAnsi="等线"/>
                <w:color w:val="000000"/>
              </w:rPr>
              <w:t>4.15</w:t>
            </w:r>
          </w:p>
        </w:tc>
      </w:tr>
    </w:tbl>
    <w:p w14:paraId="2F149222" w14:textId="77777777" w:rsidR="0066529D" w:rsidRDefault="0066529D">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336F380" w14:textId="77777777" w:rsidR="0066529D" w:rsidRDefault="00A901FF">
      <w:pPr>
        <w:autoSpaceDE w:val="0"/>
        <w:autoSpaceDN w:val="0"/>
        <w:spacing w:line="360" w:lineRule="auto"/>
        <w:ind w:firstLineChars="200" w:firstLine="480"/>
        <w:textAlignment w:val="bottom"/>
        <w:rPr>
          <w:rFonts w:asciiTheme="minorEastAsia" w:hAnsiTheme="minorEastAsia" w:hint="eastAsia"/>
          <w:kern w:val="0"/>
          <w:sz w:val="24"/>
        </w:rPr>
      </w:pPr>
      <w:r>
        <w:rPr>
          <w:rFonts w:asciiTheme="minorEastAsia" w:hAnsiTheme="minorEastAsia" w:cs="Times New Roman"/>
          <w:bCs/>
          <w:sz w:val="24"/>
          <w:szCs w:val="24"/>
        </w:rPr>
        <w:t>4、报告期末按债券品种分类的</w:t>
      </w:r>
      <w:r>
        <w:rPr>
          <w:rFonts w:asciiTheme="minorEastAsia" w:hAnsiTheme="minorEastAsia"/>
          <w:kern w:val="0"/>
          <w:sz w:val="24"/>
        </w:rPr>
        <w:t>债券投资组合</w:t>
      </w:r>
    </w:p>
    <w:tbl>
      <w:tblPr>
        <w:tblW w:w="9080" w:type="dxa"/>
        <w:tblInd w:w="108" w:type="dxa"/>
        <w:tblLook w:val="04A0" w:firstRow="1" w:lastRow="0" w:firstColumn="1" w:lastColumn="0" w:noHBand="0" w:noVBand="1"/>
      </w:tblPr>
      <w:tblGrid>
        <w:gridCol w:w="1210"/>
        <w:gridCol w:w="3481"/>
        <w:gridCol w:w="2573"/>
        <w:gridCol w:w="1816"/>
      </w:tblGrid>
      <w:tr w:rsidR="0066529D" w14:paraId="67E8CBCD"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1CC35012" w14:textId="77777777" w:rsidR="0066529D" w:rsidRDefault="00A901FF">
            <w:pPr>
              <w:pStyle w:val="biaogecenter"/>
              <w:wordWrap w:val="0"/>
              <w:rPr>
                <w:rFonts w:hint="eastAsia"/>
              </w:rPr>
            </w:pPr>
            <w:r>
              <w:rPr>
                <w:rFonts w:hAnsi="等线"/>
                <w:color w:val="000000"/>
              </w:rPr>
              <w:t>序号</w:t>
            </w:r>
          </w:p>
        </w:tc>
        <w:tc>
          <w:tcPr>
            <w:tcW w:w="3450" w:type="dxa"/>
            <w:tcBorders>
              <w:top w:val="single" w:sz="8" w:space="0" w:color="000000"/>
              <w:left w:val="single" w:sz="8" w:space="0" w:color="000000"/>
              <w:bottom w:val="single" w:sz="6" w:space="0" w:color="000000"/>
              <w:right w:val="single" w:sz="8" w:space="0" w:color="000000"/>
            </w:tcBorders>
            <w:vAlign w:val="center"/>
          </w:tcPr>
          <w:p w14:paraId="0BE37E90" w14:textId="77777777" w:rsidR="0066529D" w:rsidRDefault="00A901FF">
            <w:pPr>
              <w:pStyle w:val="biaogecenter"/>
              <w:wordWrap w:val="0"/>
              <w:rPr>
                <w:rFonts w:hint="eastAsia"/>
              </w:rPr>
            </w:pPr>
            <w:r>
              <w:rPr>
                <w:rFonts w:hAnsi="等线"/>
                <w:color w:val="000000"/>
              </w:rPr>
              <w:t>债券品种</w:t>
            </w:r>
          </w:p>
        </w:tc>
        <w:tc>
          <w:tcPr>
            <w:tcW w:w="2550" w:type="dxa"/>
            <w:tcBorders>
              <w:top w:val="single" w:sz="8" w:space="0" w:color="000000"/>
              <w:left w:val="single" w:sz="8" w:space="0" w:color="000000"/>
              <w:bottom w:val="single" w:sz="6" w:space="0" w:color="000000"/>
              <w:right w:val="single" w:sz="8" w:space="0" w:color="000000"/>
            </w:tcBorders>
            <w:vAlign w:val="center"/>
          </w:tcPr>
          <w:p w14:paraId="317B08C5" w14:textId="77777777" w:rsidR="0066529D" w:rsidRDefault="00A901FF">
            <w:pPr>
              <w:pStyle w:val="biaogecenter"/>
              <w:wordWrap w:val="0"/>
              <w:rPr>
                <w:rFonts w:hint="eastAsia"/>
              </w:rPr>
            </w:pPr>
            <w:r>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tcPr>
          <w:p w14:paraId="580C38B8" w14:textId="77777777" w:rsidR="0066529D" w:rsidRDefault="00A901FF">
            <w:pPr>
              <w:pStyle w:val="biaogecenter"/>
              <w:wordWrap w:val="0"/>
              <w:rPr>
                <w:rFonts w:hint="eastAsia"/>
              </w:rPr>
            </w:pPr>
            <w:r>
              <w:rPr>
                <w:rFonts w:hAnsi="等线"/>
                <w:color w:val="000000"/>
              </w:rPr>
              <w:t>占基金资产净值比例（％）</w:t>
            </w:r>
          </w:p>
        </w:tc>
      </w:tr>
      <w:tr w:rsidR="0066529D" w14:paraId="7C2F6320"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68DF52F5" w14:textId="77777777" w:rsidR="0066529D" w:rsidRDefault="00A901FF">
            <w:pPr>
              <w:pStyle w:val="biaogecenter"/>
              <w:wordWrap w:val="0"/>
              <w:rPr>
                <w:rFonts w:hint="eastAsia"/>
              </w:rPr>
            </w:pPr>
            <w:r>
              <w:rPr>
                <w:rFonts w:hAnsi="等线"/>
                <w:color w:val="000000"/>
              </w:rPr>
              <w:t>1</w:t>
            </w:r>
          </w:p>
        </w:tc>
        <w:tc>
          <w:tcPr>
            <w:tcW w:w="3450" w:type="dxa"/>
            <w:tcBorders>
              <w:top w:val="single" w:sz="8" w:space="0" w:color="000000"/>
              <w:left w:val="single" w:sz="8" w:space="0" w:color="000000"/>
              <w:bottom w:val="single" w:sz="6" w:space="0" w:color="000000"/>
              <w:right w:val="single" w:sz="8" w:space="0" w:color="000000"/>
            </w:tcBorders>
            <w:vAlign w:val="center"/>
          </w:tcPr>
          <w:p w14:paraId="5A7E78E3" w14:textId="77777777" w:rsidR="0066529D" w:rsidRDefault="00A901FF">
            <w:pPr>
              <w:pStyle w:val="biaogeleft"/>
              <w:wordWrap w:val="0"/>
              <w:rPr>
                <w:rFonts w:hint="eastAsia"/>
              </w:rPr>
            </w:pPr>
            <w:r>
              <w:rPr>
                <w:rFonts w:hAnsi="等线"/>
                <w:color w:val="000000"/>
              </w:rPr>
              <w:t>国家债券</w:t>
            </w:r>
          </w:p>
        </w:tc>
        <w:tc>
          <w:tcPr>
            <w:tcW w:w="2550" w:type="dxa"/>
            <w:tcBorders>
              <w:top w:val="single" w:sz="8" w:space="0" w:color="000000"/>
              <w:left w:val="single" w:sz="8" w:space="0" w:color="000000"/>
              <w:bottom w:val="single" w:sz="6" w:space="0" w:color="000000"/>
              <w:right w:val="single" w:sz="8" w:space="0" w:color="000000"/>
            </w:tcBorders>
            <w:vAlign w:val="center"/>
          </w:tcPr>
          <w:p w14:paraId="40F08E48" w14:textId="77777777" w:rsidR="0066529D" w:rsidRDefault="00A901FF">
            <w:pPr>
              <w:pStyle w:val="biaogeright"/>
              <w:wordWrap w:val="0"/>
              <w:rPr>
                <w:rFonts w:hint="eastAsia"/>
              </w:rPr>
            </w:pPr>
            <w:r>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tcPr>
          <w:p w14:paraId="678F369F" w14:textId="77777777" w:rsidR="0066529D" w:rsidRDefault="00A901FF">
            <w:pPr>
              <w:pStyle w:val="biaogeright"/>
              <w:wordWrap w:val="0"/>
              <w:rPr>
                <w:rFonts w:hint="eastAsia"/>
              </w:rPr>
            </w:pPr>
            <w:r>
              <w:rPr>
                <w:rFonts w:hAnsi="等线"/>
                <w:color w:val="000000"/>
              </w:rPr>
              <w:t>2.39</w:t>
            </w:r>
          </w:p>
        </w:tc>
      </w:tr>
      <w:tr w:rsidR="0066529D" w14:paraId="5AC9DAF0"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40FABC02" w14:textId="77777777" w:rsidR="0066529D" w:rsidRDefault="00A901FF">
            <w:pPr>
              <w:pStyle w:val="biaogecenter"/>
              <w:wordWrap w:val="0"/>
              <w:rPr>
                <w:rFonts w:hint="eastAsia"/>
              </w:rPr>
            </w:pPr>
            <w:r>
              <w:rPr>
                <w:rFonts w:hAnsi="等线"/>
                <w:color w:val="000000"/>
              </w:rPr>
              <w:t>2</w:t>
            </w:r>
          </w:p>
        </w:tc>
        <w:tc>
          <w:tcPr>
            <w:tcW w:w="3450" w:type="dxa"/>
            <w:tcBorders>
              <w:top w:val="single" w:sz="8" w:space="0" w:color="000000"/>
              <w:left w:val="single" w:sz="8" w:space="0" w:color="000000"/>
              <w:bottom w:val="single" w:sz="6" w:space="0" w:color="000000"/>
              <w:right w:val="single" w:sz="8" w:space="0" w:color="000000"/>
            </w:tcBorders>
            <w:vAlign w:val="center"/>
          </w:tcPr>
          <w:p w14:paraId="6E0B7C74" w14:textId="77777777" w:rsidR="0066529D" w:rsidRDefault="00A901FF">
            <w:pPr>
              <w:pStyle w:val="biaogeleft"/>
              <w:wordWrap w:val="0"/>
              <w:rPr>
                <w:rFonts w:hint="eastAsia"/>
              </w:rPr>
            </w:pPr>
            <w:r>
              <w:rPr>
                <w:rFonts w:hAnsi="等线"/>
                <w:color w:val="000000"/>
              </w:rPr>
              <w:t>央行票据</w:t>
            </w:r>
          </w:p>
        </w:tc>
        <w:tc>
          <w:tcPr>
            <w:tcW w:w="2550" w:type="dxa"/>
            <w:tcBorders>
              <w:top w:val="single" w:sz="8" w:space="0" w:color="000000"/>
              <w:left w:val="single" w:sz="8" w:space="0" w:color="000000"/>
              <w:bottom w:val="single" w:sz="6" w:space="0" w:color="000000"/>
              <w:right w:val="single" w:sz="8" w:space="0" w:color="000000"/>
            </w:tcBorders>
            <w:vAlign w:val="center"/>
          </w:tcPr>
          <w:p w14:paraId="49B26547" w14:textId="77777777" w:rsidR="0066529D" w:rsidRDefault="00A901FF">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5BE42770" w14:textId="77777777" w:rsidR="0066529D" w:rsidRDefault="00A901FF">
            <w:pPr>
              <w:pStyle w:val="biaogeright"/>
              <w:wordWrap w:val="0"/>
              <w:rPr>
                <w:rFonts w:hint="eastAsia"/>
              </w:rPr>
            </w:pPr>
            <w:r>
              <w:rPr>
                <w:rFonts w:hAnsi="等线"/>
                <w:color w:val="000000"/>
              </w:rPr>
              <w:t>-</w:t>
            </w:r>
          </w:p>
        </w:tc>
      </w:tr>
      <w:tr w:rsidR="0066529D" w14:paraId="3561273D"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0CE10E92" w14:textId="77777777" w:rsidR="0066529D" w:rsidRDefault="00A901FF">
            <w:pPr>
              <w:pStyle w:val="biaogecenter"/>
              <w:wordWrap w:val="0"/>
              <w:rPr>
                <w:rFonts w:hint="eastAsia"/>
              </w:rPr>
            </w:pPr>
            <w:r>
              <w:rPr>
                <w:rFonts w:hAnsi="等线"/>
                <w:color w:val="000000"/>
              </w:rPr>
              <w:lastRenderedPageBreak/>
              <w:t>3</w:t>
            </w:r>
          </w:p>
        </w:tc>
        <w:tc>
          <w:tcPr>
            <w:tcW w:w="3450" w:type="dxa"/>
            <w:tcBorders>
              <w:top w:val="single" w:sz="8" w:space="0" w:color="000000"/>
              <w:left w:val="single" w:sz="8" w:space="0" w:color="000000"/>
              <w:bottom w:val="single" w:sz="6" w:space="0" w:color="000000"/>
              <w:right w:val="single" w:sz="8" w:space="0" w:color="000000"/>
            </w:tcBorders>
            <w:vAlign w:val="center"/>
          </w:tcPr>
          <w:p w14:paraId="30F8A14D" w14:textId="77777777" w:rsidR="0066529D" w:rsidRDefault="00A901FF">
            <w:pPr>
              <w:pStyle w:val="biaogeleft"/>
              <w:wordWrap w:val="0"/>
              <w:rPr>
                <w:rFonts w:hint="eastAsia"/>
              </w:rPr>
            </w:pPr>
            <w:r>
              <w:rPr>
                <w:rFonts w:hAnsi="等线"/>
                <w:color w:val="000000"/>
              </w:rPr>
              <w:t>金融债券</w:t>
            </w:r>
          </w:p>
        </w:tc>
        <w:tc>
          <w:tcPr>
            <w:tcW w:w="2550" w:type="dxa"/>
            <w:tcBorders>
              <w:top w:val="single" w:sz="8" w:space="0" w:color="000000"/>
              <w:left w:val="single" w:sz="8" w:space="0" w:color="000000"/>
              <w:bottom w:val="single" w:sz="6" w:space="0" w:color="000000"/>
              <w:right w:val="single" w:sz="8" w:space="0" w:color="000000"/>
            </w:tcBorders>
            <w:vAlign w:val="center"/>
          </w:tcPr>
          <w:p w14:paraId="4D50CB88" w14:textId="77777777" w:rsidR="0066529D" w:rsidRDefault="00A901FF">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2F9D01F7" w14:textId="77777777" w:rsidR="0066529D" w:rsidRDefault="00A901FF">
            <w:pPr>
              <w:pStyle w:val="biaogeright"/>
              <w:wordWrap w:val="0"/>
              <w:rPr>
                <w:rFonts w:hint="eastAsia"/>
              </w:rPr>
            </w:pPr>
            <w:r>
              <w:rPr>
                <w:rFonts w:hAnsi="等线"/>
                <w:color w:val="000000"/>
              </w:rPr>
              <w:t>-</w:t>
            </w:r>
          </w:p>
        </w:tc>
      </w:tr>
      <w:tr w:rsidR="0066529D" w14:paraId="07D84212"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6B2B2613" w14:textId="77777777" w:rsidR="0066529D" w:rsidRDefault="0066529D"/>
        </w:tc>
        <w:tc>
          <w:tcPr>
            <w:tcW w:w="3450" w:type="dxa"/>
            <w:tcBorders>
              <w:top w:val="single" w:sz="8" w:space="0" w:color="000000"/>
              <w:left w:val="single" w:sz="8" w:space="0" w:color="000000"/>
              <w:bottom w:val="single" w:sz="6" w:space="0" w:color="000000"/>
              <w:right w:val="single" w:sz="8" w:space="0" w:color="000000"/>
            </w:tcBorders>
            <w:vAlign w:val="center"/>
          </w:tcPr>
          <w:p w14:paraId="71609BB6" w14:textId="77777777" w:rsidR="0066529D" w:rsidRDefault="00A901FF">
            <w:pPr>
              <w:pStyle w:val="biaogeleft"/>
              <w:wordWrap w:val="0"/>
              <w:rPr>
                <w:rFonts w:hint="eastAsia"/>
              </w:rPr>
            </w:pPr>
            <w:r>
              <w:rPr>
                <w:rFonts w:hAnsi="等线"/>
                <w:color w:val="000000"/>
              </w:rPr>
              <w:t>其中：政策性金融债</w:t>
            </w:r>
          </w:p>
        </w:tc>
        <w:tc>
          <w:tcPr>
            <w:tcW w:w="2550" w:type="dxa"/>
            <w:tcBorders>
              <w:top w:val="single" w:sz="8" w:space="0" w:color="000000"/>
              <w:left w:val="single" w:sz="8" w:space="0" w:color="000000"/>
              <w:bottom w:val="single" w:sz="6" w:space="0" w:color="000000"/>
              <w:right w:val="single" w:sz="8" w:space="0" w:color="000000"/>
            </w:tcBorders>
            <w:vAlign w:val="center"/>
          </w:tcPr>
          <w:p w14:paraId="22429C37" w14:textId="77777777" w:rsidR="0066529D" w:rsidRDefault="00A901FF">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706FB0A3" w14:textId="77777777" w:rsidR="0066529D" w:rsidRDefault="00A901FF">
            <w:pPr>
              <w:pStyle w:val="biaogeright"/>
              <w:wordWrap w:val="0"/>
              <w:rPr>
                <w:rFonts w:hint="eastAsia"/>
              </w:rPr>
            </w:pPr>
            <w:r>
              <w:rPr>
                <w:rFonts w:hAnsi="等线"/>
                <w:color w:val="000000"/>
              </w:rPr>
              <w:t>-</w:t>
            </w:r>
          </w:p>
        </w:tc>
      </w:tr>
      <w:tr w:rsidR="0066529D" w14:paraId="02734EF4"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0E6B72E6" w14:textId="77777777" w:rsidR="0066529D" w:rsidRDefault="00A901FF">
            <w:pPr>
              <w:pStyle w:val="biaogecenter"/>
              <w:wordWrap w:val="0"/>
              <w:rPr>
                <w:rFonts w:hint="eastAsia"/>
              </w:rPr>
            </w:pPr>
            <w:r>
              <w:rPr>
                <w:rFonts w:hAnsi="等线"/>
                <w:color w:val="000000"/>
              </w:rPr>
              <w:t>4</w:t>
            </w:r>
          </w:p>
        </w:tc>
        <w:tc>
          <w:tcPr>
            <w:tcW w:w="3450" w:type="dxa"/>
            <w:tcBorders>
              <w:top w:val="single" w:sz="8" w:space="0" w:color="000000"/>
              <w:left w:val="single" w:sz="8" w:space="0" w:color="000000"/>
              <w:bottom w:val="single" w:sz="6" w:space="0" w:color="000000"/>
              <w:right w:val="single" w:sz="8" w:space="0" w:color="000000"/>
            </w:tcBorders>
            <w:vAlign w:val="center"/>
          </w:tcPr>
          <w:p w14:paraId="4B23AA89" w14:textId="77777777" w:rsidR="0066529D" w:rsidRDefault="00A901FF">
            <w:pPr>
              <w:pStyle w:val="biaogeleft"/>
              <w:wordWrap w:val="0"/>
              <w:rPr>
                <w:rFonts w:hint="eastAsia"/>
              </w:rPr>
            </w:pPr>
            <w:r>
              <w:rPr>
                <w:rFonts w:hAnsi="等线"/>
                <w:color w:val="000000"/>
              </w:rPr>
              <w:t>企业债券</w:t>
            </w:r>
          </w:p>
        </w:tc>
        <w:tc>
          <w:tcPr>
            <w:tcW w:w="2550" w:type="dxa"/>
            <w:tcBorders>
              <w:top w:val="single" w:sz="8" w:space="0" w:color="000000"/>
              <w:left w:val="single" w:sz="8" w:space="0" w:color="000000"/>
              <w:bottom w:val="single" w:sz="6" w:space="0" w:color="000000"/>
              <w:right w:val="single" w:sz="8" w:space="0" w:color="000000"/>
            </w:tcBorders>
            <w:vAlign w:val="center"/>
          </w:tcPr>
          <w:p w14:paraId="32522076" w14:textId="77777777" w:rsidR="0066529D" w:rsidRDefault="00A901FF">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13B42EC7" w14:textId="77777777" w:rsidR="0066529D" w:rsidRDefault="00A901FF">
            <w:pPr>
              <w:pStyle w:val="biaogeright"/>
              <w:wordWrap w:val="0"/>
              <w:rPr>
                <w:rFonts w:hint="eastAsia"/>
              </w:rPr>
            </w:pPr>
            <w:r>
              <w:rPr>
                <w:rFonts w:hAnsi="等线"/>
                <w:color w:val="000000"/>
              </w:rPr>
              <w:t>-</w:t>
            </w:r>
          </w:p>
        </w:tc>
      </w:tr>
      <w:tr w:rsidR="0066529D" w14:paraId="0B88DADF"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1CA8A522" w14:textId="77777777" w:rsidR="0066529D" w:rsidRDefault="00A901FF">
            <w:pPr>
              <w:pStyle w:val="biaogecenter"/>
              <w:wordWrap w:val="0"/>
              <w:rPr>
                <w:rFonts w:hint="eastAsia"/>
              </w:rPr>
            </w:pPr>
            <w:r>
              <w:rPr>
                <w:rFonts w:hAnsi="等线"/>
                <w:color w:val="000000"/>
              </w:rPr>
              <w:t>5</w:t>
            </w:r>
          </w:p>
        </w:tc>
        <w:tc>
          <w:tcPr>
            <w:tcW w:w="3450" w:type="dxa"/>
            <w:tcBorders>
              <w:top w:val="single" w:sz="8" w:space="0" w:color="000000"/>
              <w:left w:val="single" w:sz="8" w:space="0" w:color="000000"/>
              <w:bottom w:val="single" w:sz="6" w:space="0" w:color="000000"/>
              <w:right w:val="single" w:sz="8" w:space="0" w:color="000000"/>
            </w:tcBorders>
            <w:vAlign w:val="center"/>
          </w:tcPr>
          <w:p w14:paraId="0CD3CF91" w14:textId="77777777" w:rsidR="0066529D" w:rsidRDefault="00A901FF">
            <w:pPr>
              <w:pStyle w:val="biaogeleft"/>
              <w:wordWrap w:val="0"/>
              <w:rPr>
                <w:rFonts w:hint="eastAsia"/>
              </w:rPr>
            </w:pPr>
            <w:r>
              <w:rPr>
                <w:rFonts w:hAnsi="等线"/>
                <w:color w:val="000000"/>
              </w:rPr>
              <w:t>企业短期融资</w:t>
            </w:r>
            <w:proofErr w:type="gramStart"/>
            <w:r>
              <w:rPr>
                <w:rFonts w:hAnsi="等线"/>
                <w:color w:val="000000"/>
              </w:rPr>
              <w:t>券</w:t>
            </w:r>
            <w:proofErr w:type="gramEnd"/>
          </w:p>
        </w:tc>
        <w:tc>
          <w:tcPr>
            <w:tcW w:w="2550" w:type="dxa"/>
            <w:tcBorders>
              <w:top w:val="single" w:sz="8" w:space="0" w:color="000000"/>
              <w:left w:val="single" w:sz="8" w:space="0" w:color="000000"/>
              <w:bottom w:val="single" w:sz="6" w:space="0" w:color="000000"/>
              <w:right w:val="single" w:sz="8" w:space="0" w:color="000000"/>
            </w:tcBorders>
            <w:vAlign w:val="center"/>
          </w:tcPr>
          <w:p w14:paraId="34CE995C" w14:textId="77777777" w:rsidR="0066529D" w:rsidRDefault="00A901FF">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74DE3449" w14:textId="77777777" w:rsidR="0066529D" w:rsidRDefault="00A901FF">
            <w:pPr>
              <w:pStyle w:val="biaogeright"/>
              <w:wordWrap w:val="0"/>
              <w:rPr>
                <w:rFonts w:hint="eastAsia"/>
              </w:rPr>
            </w:pPr>
            <w:r>
              <w:rPr>
                <w:rFonts w:hAnsi="等线"/>
                <w:color w:val="000000"/>
              </w:rPr>
              <w:t>-</w:t>
            </w:r>
          </w:p>
        </w:tc>
      </w:tr>
      <w:tr w:rsidR="0066529D" w14:paraId="4D61061F"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1C41445A" w14:textId="77777777" w:rsidR="0066529D" w:rsidRDefault="00A901FF">
            <w:pPr>
              <w:pStyle w:val="biaogecenter"/>
              <w:wordWrap w:val="0"/>
              <w:rPr>
                <w:rFonts w:hint="eastAsia"/>
              </w:rPr>
            </w:pPr>
            <w:r>
              <w:rPr>
                <w:rFonts w:hAnsi="等线"/>
                <w:color w:val="000000"/>
              </w:rPr>
              <w:t>6</w:t>
            </w:r>
          </w:p>
        </w:tc>
        <w:tc>
          <w:tcPr>
            <w:tcW w:w="3450" w:type="dxa"/>
            <w:tcBorders>
              <w:top w:val="single" w:sz="8" w:space="0" w:color="000000"/>
              <w:left w:val="single" w:sz="8" w:space="0" w:color="000000"/>
              <w:bottom w:val="single" w:sz="6" w:space="0" w:color="000000"/>
              <w:right w:val="single" w:sz="8" w:space="0" w:color="000000"/>
            </w:tcBorders>
            <w:vAlign w:val="center"/>
          </w:tcPr>
          <w:p w14:paraId="0EE7F209" w14:textId="77777777" w:rsidR="0066529D" w:rsidRDefault="00A901FF">
            <w:pPr>
              <w:pStyle w:val="biaogeleft"/>
              <w:wordWrap w:val="0"/>
              <w:rPr>
                <w:rFonts w:hint="eastAsia"/>
              </w:rPr>
            </w:pPr>
            <w:r>
              <w:rPr>
                <w:rFonts w:hAnsi="等线"/>
                <w:color w:val="000000"/>
              </w:rPr>
              <w:t>中期票据</w:t>
            </w:r>
          </w:p>
        </w:tc>
        <w:tc>
          <w:tcPr>
            <w:tcW w:w="2550" w:type="dxa"/>
            <w:tcBorders>
              <w:top w:val="single" w:sz="8" w:space="0" w:color="000000"/>
              <w:left w:val="single" w:sz="8" w:space="0" w:color="000000"/>
              <w:bottom w:val="single" w:sz="6" w:space="0" w:color="000000"/>
              <w:right w:val="single" w:sz="8" w:space="0" w:color="000000"/>
            </w:tcBorders>
            <w:vAlign w:val="center"/>
          </w:tcPr>
          <w:p w14:paraId="733D05BA" w14:textId="77777777" w:rsidR="0066529D" w:rsidRDefault="00A901FF">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0711B532" w14:textId="77777777" w:rsidR="0066529D" w:rsidRDefault="00A901FF">
            <w:pPr>
              <w:pStyle w:val="biaogeright"/>
              <w:wordWrap w:val="0"/>
              <w:rPr>
                <w:rFonts w:hint="eastAsia"/>
              </w:rPr>
            </w:pPr>
            <w:r>
              <w:rPr>
                <w:rFonts w:hAnsi="等线"/>
                <w:color w:val="000000"/>
              </w:rPr>
              <w:t>-</w:t>
            </w:r>
          </w:p>
        </w:tc>
      </w:tr>
      <w:tr w:rsidR="0066529D" w14:paraId="49A0FA82"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1E34ADA1" w14:textId="77777777" w:rsidR="0066529D" w:rsidRDefault="00A901FF">
            <w:pPr>
              <w:pStyle w:val="biaogecenter"/>
              <w:wordWrap w:val="0"/>
              <w:rPr>
                <w:rFonts w:hint="eastAsia"/>
              </w:rPr>
            </w:pPr>
            <w:r>
              <w:rPr>
                <w:rFonts w:hAnsi="等线"/>
                <w:color w:val="000000"/>
              </w:rPr>
              <w:t>7</w:t>
            </w:r>
          </w:p>
        </w:tc>
        <w:tc>
          <w:tcPr>
            <w:tcW w:w="3450" w:type="dxa"/>
            <w:tcBorders>
              <w:top w:val="single" w:sz="8" w:space="0" w:color="000000"/>
              <w:left w:val="single" w:sz="8" w:space="0" w:color="000000"/>
              <w:bottom w:val="single" w:sz="6" w:space="0" w:color="000000"/>
              <w:right w:val="single" w:sz="8" w:space="0" w:color="000000"/>
            </w:tcBorders>
            <w:vAlign w:val="center"/>
          </w:tcPr>
          <w:p w14:paraId="65F5AF36" w14:textId="77777777" w:rsidR="0066529D" w:rsidRDefault="00A901FF">
            <w:pPr>
              <w:pStyle w:val="biaogeleft"/>
              <w:wordWrap w:val="0"/>
              <w:rPr>
                <w:rFonts w:hint="eastAsia"/>
              </w:rPr>
            </w:pPr>
            <w:r>
              <w:rPr>
                <w:rFonts w:hAnsi="等线"/>
                <w:color w:val="000000"/>
              </w:rPr>
              <w:t>可转债（可交换债）</w:t>
            </w:r>
          </w:p>
        </w:tc>
        <w:tc>
          <w:tcPr>
            <w:tcW w:w="2550" w:type="dxa"/>
            <w:tcBorders>
              <w:top w:val="single" w:sz="8" w:space="0" w:color="000000"/>
              <w:left w:val="single" w:sz="8" w:space="0" w:color="000000"/>
              <w:bottom w:val="single" w:sz="6" w:space="0" w:color="000000"/>
              <w:right w:val="single" w:sz="8" w:space="0" w:color="000000"/>
            </w:tcBorders>
            <w:vAlign w:val="center"/>
          </w:tcPr>
          <w:p w14:paraId="1D4F8D86" w14:textId="77777777" w:rsidR="0066529D" w:rsidRDefault="00A901FF">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0FF51E88" w14:textId="77777777" w:rsidR="0066529D" w:rsidRDefault="00A901FF">
            <w:pPr>
              <w:pStyle w:val="biaogeright"/>
              <w:wordWrap w:val="0"/>
              <w:rPr>
                <w:rFonts w:hint="eastAsia"/>
              </w:rPr>
            </w:pPr>
            <w:r>
              <w:rPr>
                <w:rFonts w:hAnsi="等线"/>
                <w:color w:val="000000"/>
              </w:rPr>
              <w:t>-</w:t>
            </w:r>
          </w:p>
        </w:tc>
      </w:tr>
      <w:tr w:rsidR="0066529D" w14:paraId="3D41C192"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3FB7226C" w14:textId="77777777" w:rsidR="0066529D" w:rsidRDefault="00A901FF">
            <w:pPr>
              <w:pStyle w:val="biaogecenter"/>
              <w:wordWrap w:val="0"/>
              <w:rPr>
                <w:rFonts w:hint="eastAsia"/>
              </w:rPr>
            </w:pPr>
            <w:r>
              <w:rPr>
                <w:rFonts w:hAnsi="等线"/>
                <w:color w:val="000000"/>
              </w:rPr>
              <w:t>8</w:t>
            </w:r>
          </w:p>
        </w:tc>
        <w:tc>
          <w:tcPr>
            <w:tcW w:w="3450" w:type="dxa"/>
            <w:tcBorders>
              <w:top w:val="single" w:sz="8" w:space="0" w:color="000000"/>
              <w:left w:val="single" w:sz="8" w:space="0" w:color="000000"/>
              <w:bottom w:val="single" w:sz="6" w:space="0" w:color="000000"/>
              <w:right w:val="single" w:sz="8" w:space="0" w:color="000000"/>
            </w:tcBorders>
            <w:vAlign w:val="center"/>
          </w:tcPr>
          <w:p w14:paraId="6FB050DD" w14:textId="77777777" w:rsidR="0066529D" w:rsidRDefault="00A901FF">
            <w:pPr>
              <w:pStyle w:val="biaogeleft"/>
              <w:wordWrap w:val="0"/>
              <w:rPr>
                <w:rFonts w:hint="eastAsia"/>
              </w:rPr>
            </w:pPr>
            <w:r>
              <w:rPr>
                <w:rFonts w:hAnsi="等线"/>
                <w:color w:val="000000"/>
              </w:rPr>
              <w:t>同业存单</w:t>
            </w:r>
          </w:p>
        </w:tc>
        <w:tc>
          <w:tcPr>
            <w:tcW w:w="2550" w:type="dxa"/>
            <w:tcBorders>
              <w:top w:val="single" w:sz="8" w:space="0" w:color="000000"/>
              <w:left w:val="single" w:sz="8" w:space="0" w:color="000000"/>
              <w:bottom w:val="single" w:sz="6" w:space="0" w:color="000000"/>
              <w:right w:val="single" w:sz="8" w:space="0" w:color="000000"/>
            </w:tcBorders>
            <w:vAlign w:val="center"/>
          </w:tcPr>
          <w:p w14:paraId="5A1B2100" w14:textId="77777777" w:rsidR="0066529D" w:rsidRDefault="00A901FF">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5DCDDA6F" w14:textId="77777777" w:rsidR="0066529D" w:rsidRDefault="00A901FF">
            <w:pPr>
              <w:pStyle w:val="biaogeright"/>
              <w:wordWrap w:val="0"/>
              <w:rPr>
                <w:rFonts w:hint="eastAsia"/>
              </w:rPr>
            </w:pPr>
            <w:r>
              <w:rPr>
                <w:rFonts w:hAnsi="等线"/>
                <w:color w:val="000000"/>
              </w:rPr>
              <w:t>-</w:t>
            </w:r>
          </w:p>
        </w:tc>
      </w:tr>
      <w:tr w:rsidR="0066529D" w14:paraId="1912BAA9"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1EABD170" w14:textId="77777777" w:rsidR="0066529D" w:rsidRDefault="00A901FF">
            <w:pPr>
              <w:pStyle w:val="biaogecenter"/>
              <w:wordWrap w:val="0"/>
              <w:rPr>
                <w:rFonts w:hint="eastAsia"/>
              </w:rPr>
            </w:pPr>
            <w:r>
              <w:rPr>
                <w:rFonts w:hAnsi="等线"/>
                <w:color w:val="000000"/>
              </w:rPr>
              <w:t>9</w:t>
            </w:r>
          </w:p>
        </w:tc>
        <w:tc>
          <w:tcPr>
            <w:tcW w:w="3450" w:type="dxa"/>
            <w:tcBorders>
              <w:top w:val="single" w:sz="8" w:space="0" w:color="000000"/>
              <w:left w:val="single" w:sz="8" w:space="0" w:color="000000"/>
              <w:bottom w:val="single" w:sz="6" w:space="0" w:color="000000"/>
              <w:right w:val="single" w:sz="8" w:space="0" w:color="000000"/>
            </w:tcBorders>
            <w:vAlign w:val="center"/>
          </w:tcPr>
          <w:p w14:paraId="408E6F88" w14:textId="77777777" w:rsidR="0066529D" w:rsidRDefault="00A901FF">
            <w:pPr>
              <w:pStyle w:val="biaogeleft"/>
              <w:wordWrap w:val="0"/>
              <w:rPr>
                <w:rFonts w:hint="eastAsia"/>
              </w:rPr>
            </w:pPr>
            <w:r>
              <w:rPr>
                <w:rFonts w:hAnsi="等线"/>
                <w:color w:val="000000"/>
              </w:rPr>
              <w:t>其他</w:t>
            </w:r>
          </w:p>
        </w:tc>
        <w:tc>
          <w:tcPr>
            <w:tcW w:w="2550" w:type="dxa"/>
            <w:tcBorders>
              <w:top w:val="single" w:sz="8" w:space="0" w:color="000000"/>
              <w:left w:val="single" w:sz="8" w:space="0" w:color="000000"/>
              <w:bottom w:val="single" w:sz="6" w:space="0" w:color="000000"/>
              <w:right w:val="single" w:sz="8" w:space="0" w:color="000000"/>
            </w:tcBorders>
            <w:vAlign w:val="center"/>
          </w:tcPr>
          <w:p w14:paraId="335996F0" w14:textId="77777777" w:rsidR="0066529D" w:rsidRDefault="00A901FF">
            <w:pPr>
              <w:pStyle w:val="biaogeright"/>
              <w:wordWrap w:val="0"/>
              <w:rPr>
                <w:rFonts w:hint="eastAsia"/>
              </w:rPr>
            </w:pPr>
            <w:r>
              <w:rPr>
                <w:rFonts w:hAnsi="等线"/>
                <w:color w:val="000000"/>
              </w:rPr>
              <w:t>-</w:t>
            </w:r>
          </w:p>
        </w:tc>
        <w:tc>
          <w:tcPr>
            <w:tcW w:w="1800" w:type="dxa"/>
            <w:tcBorders>
              <w:top w:val="single" w:sz="8" w:space="0" w:color="000000"/>
              <w:left w:val="single" w:sz="8" w:space="0" w:color="000000"/>
              <w:bottom w:val="single" w:sz="6" w:space="0" w:color="000000"/>
              <w:right w:val="single" w:sz="8" w:space="0" w:color="000000"/>
            </w:tcBorders>
            <w:vAlign w:val="center"/>
          </w:tcPr>
          <w:p w14:paraId="0F00498F" w14:textId="77777777" w:rsidR="0066529D" w:rsidRDefault="00A901FF">
            <w:pPr>
              <w:pStyle w:val="biaogeright"/>
              <w:wordWrap w:val="0"/>
              <w:rPr>
                <w:rFonts w:hint="eastAsia"/>
              </w:rPr>
            </w:pPr>
            <w:r>
              <w:rPr>
                <w:rFonts w:hAnsi="等线"/>
                <w:color w:val="000000"/>
              </w:rPr>
              <w:t>-</w:t>
            </w:r>
          </w:p>
        </w:tc>
      </w:tr>
      <w:tr w:rsidR="0066529D" w14:paraId="5B0F0E8B" w14:textId="77777777">
        <w:tc>
          <w:tcPr>
            <w:tcW w:w="1200" w:type="dxa"/>
            <w:tcBorders>
              <w:top w:val="single" w:sz="8" w:space="0" w:color="000000"/>
              <w:left w:val="single" w:sz="8" w:space="0" w:color="000000"/>
              <w:bottom w:val="single" w:sz="6" w:space="0" w:color="000000"/>
              <w:right w:val="single" w:sz="8" w:space="0" w:color="000000"/>
            </w:tcBorders>
            <w:vAlign w:val="center"/>
          </w:tcPr>
          <w:p w14:paraId="7E8F9259" w14:textId="77777777" w:rsidR="0066529D" w:rsidRDefault="00A901FF">
            <w:pPr>
              <w:pStyle w:val="biaogecenter"/>
              <w:wordWrap w:val="0"/>
              <w:rPr>
                <w:rFonts w:hint="eastAsia"/>
              </w:rPr>
            </w:pPr>
            <w:r>
              <w:rPr>
                <w:rFonts w:hAnsi="等线"/>
                <w:color w:val="000000"/>
              </w:rPr>
              <w:t>10</w:t>
            </w:r>
          </w:p>
        </w:tc>
        <w:tc>
          <w:tcPr>
            <w:tcW w:w="3450" w:type="dxa"/>
            <w:tcBorders>
              <w:top w:val="single" w:sz="8" w:space="0" w:color="000000"/>
              <w:left w:val="single" w:sz="8" w:space="0" w:color="000000"/>
              <w:bottom w:val="single" w:sz="6" w:space="0" w:color="000000"/>
              <w:right w:val="single" w:sz="8" w:space="0" w:color="000000"/>
            </w:tcBorders>
            <w:vAlign w:val="center"/>
          </w:tcPr>
          <w:p w14:paraId="64EE5FEF" w14:textId="77777777" w:rsidR="0066529D" w:rsidRDefault="00A901FF">
            <w:pPr>
              <w:pStyle w:val="biaogeleft"/>
              <w:wordWrap w:val="0"/>
              <w:rPr>
                <w:rFonts w:hint="eastAsia"/>
              </w:rPr>
            </w:pPr>
            <w:r>
              <w:rPr>
                <w:rFonts w:hAnsi="等线"/>
                <w:color w:val="000000"/>
              </w:rPr>
              <w:t>合计</w:t>
            </w:r>
          </w:p>
        </w:tc>
        <w:tc>
          <w:tcPr>
            <w:tcW w:w="2550" w:type="dxa"/>
            <w:tcBorders>
              <w:top w:val="single" w:sz="8" w:space="0" w:color="000000"/>
              <w:left w:val="single" w:sz="8" w:space="0" w:color="000000"/>
              <w:bottom w:val="single" w:sz="6" w:space="0" w:color="000000"/>
              <w:right w:val="single" w:sz="8" w:space="0" w:color="000000"/>
            </w:tcBorders>
            <w:vAlign w:val="center"/>
          </w:tcPr>
          <w:p w14:paraId="27E33A8D" w14:textId="77777777" w:rsidR="0066529D" w:rsidRDefault="00A901FF">
            <w:pPr>
              <w:pStyle w:val="biaogeright"/>
              <w:wordWrap w:val="0"/>
              <w:rPr>
                <w:rFonts w:hint="eastAsia"/>
              </w:rPr>
            </w:pPr>
            <w:r>
              <w:rPr>
                <w:rFonts w:hAnsi="等线"/>
                <w:color w:val="000000"/>
              </w:rPr>
              <w:t>202,450.68</w:t>
            </w:r>
          </w:p>
        </w:tc>
        <w:tc>
          <w:tcPr>
            <w:tcW w:w="1800" w:type="dxa"/>
            <w:tcBorders>
              <w:top w:val="single" w:sz="8" w:space="0" w:color="000000"/>
              <w:left w:val="single" w:sz="8" w:space="0" w:color="000000"/>
              <w:bottom w:val="single" w:sz="6" w:space="0" w:color="000000"/>
              <w:right w:val="single" w:sz="8" w:space="0" w:color="000000"/>
            </w:tcBorders>
            <w:vAlign w:val="center"/>
          </w:tcPr>
          <w:p w14:paraId="534A0E2F" w14:textId="77777777" w:rsidR="0066529D" w:rsidRDefault="00A901FF">
            <w:pPr>
              <w:pStyle w:val="biaogeright"/>
              <w:wordWrap w:val="0"/>
              <w:rPr>
                <w:rFonts w:hint="eastAsia"/>
              </w:rPr>
            </w:pPr>
            <w:r>
              <w:rPr>
                <w:rFonts w:hAnsi="等线"/>
                <w:color w:val="000000"/>
              </w:rPr>
              <w:t>2.39</w:t>
            </w:r>
          </w:p>
        </w:tc>
      </w:tr>
    </w:tbl>
    <w:p w14:paraId="73F25DA1" w14:textId="77777777" w:rsidR="0066529D" w:rsidRDefault="0066529D">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45151909"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5、报告期末按公允价值占基金资产净值比例大小排序的前五名债券投资明细</w:t>
      </w:r>
    </w:p>
    <w:tbl>
      <w:tblPr>
        <w:tblW w:w="9080" w:type="dxa"/>
        <w:tblInd w:w="108" w:type="dxa"/>
        <w:tblLook w:val="04A0" w:firstRow="1" w:lastRow="0" w:firstColumn="1" w:lastColumn="0" w:noHBand="0" w:noVBand="1"/>
      </w:tblPr>
      <w:tblGrid>
        <w:gridCol w:w="472"/>
        <w:gridCol w:w="1334"/>
        <w:gridCol w:w="1924"/>
        <w:gridCol w:w="1490"/>
        <w:gridCol w:w="2075"/>
        <w:gridCol w:w="1785"/>
      </w:tblGrid>
      <w:tr w:rsidR="0066529D" w14:paraId="512C0AC7" w14:textId="77777777">
        <w:tc>
          <w:tcPr>
            <w:tcW w:w="300" w:type="dxa"/>
            <w:tcBorders>
              <w:top w:val="single" w:sz="8" w:space="0" w:color="000000"/>
              <w:left w:val="single" w:sz="8" w:space="0" w:color="000000"/>
              <w:bottom w:val="single" w:sz="6" w:space="0" w:color="000000"/>
              <w:right w:val="single" w:sz="8" w:space="0" w:color="000000"/>
            </w:tcBorders>
            <w:vAlign w:val="center"/>
          </w:tcPr>
          <w:p w14:paraId="370A8444" w14:textId="77777777" w:rsidR="0066529D" w:rsidRDefault="00A901FF">
            <w:pPr>
              <w:pStyle w:val="biaogecenter"/>
              <w:wordWrap w:val="0"/>
              <w:rPr>
                <w:rFonts w:hint="eastAsia"/>
              </w:rPr>
            </w:pPr>
            <w:r>
              <w:rPr>
                <w:rFonts w:hAnsi="等线"/>
                <w:color w:val="000000"/>
              </w:rPr>
              <w:t>序号</w:t>
            </w:r>
          </w:p>
        </w:tc>
        <w:tc>
          <w:tcPr>
            <w:tcW w:w="1350" w:type="dxa"/>
            <w:tcBorders>
              <w:top w:val="single" w:sz="8" w:space="0" w:color="000000"/>
              <w:left w:val="single" w:sz="8" w:space="0" w:color="000000"/>
              <w:bottom w:val="single" w:sz="6" w:space="0" w:color="000000"/>
              <w:right w:val="single" w:sz="8" w:space="0" w:color="000000"/>
            </w:tcBorders>
            <w:vAlign w:val="center"/>
          </w:tcPr>
          <w:p w14:paraId="2980E4D8" w14:textId="77777777" w:rsidR="0066529D" w:rsidRDefault="00A901FF">
            <w:pPr>
              <w:pStyle w:val="biaogecenter"/>
              <w:wordWrap w:val="0"/>
              <w:rPr>
                <w:rFonts w:hint="eastAsia"/>
              </w:rPr>
            </w:pPr>
            <w:r>
              <w:rPr>
                <w:rFonts w:hAnsi="等线"/>
                <w:color w:val="000000"/>
              </w:rPr>
              <w:t>债券代码</w:t>
            </w:r>
          </w:p>
        </w:tc>
        <w:tc>
          <w:tcPr>
            <w:tcW w:w="1950" w:type="dxa"/>
            <w:tcBorders>
              <w:top w:val="single" w:sz="8" w:space="0" w:color="000000"/>
              <w:left w:val="single" w:sz="8" w:space="0" w:color="000000"/>
              <w:bottom w:val="single" w:sz="6" w:space="0" w:color="000000"/>
              <w:right w:val="single" w:sz="8" w:space="0" w:color="000000"/>
            </w:tcBorders>
            <w:vAlign w:val="center"/>
          </w:tcPr>
          <w:p w14:paraId="50D7F887" w14:textId="77777777" w:rsidR="0066529D" w:rsidRDefault="00A901FF">
            <w:pPr>
              <w:pStyle w:val="biaogecenter"/>
              <w:wordWrap w:val="0"/>
              <w:rPr>
                <w:rFonts w:hint="eastAsia"/>
              </w:rPr>
            </w:pPr>
            <w:r>
              <w:rPr>
                <w:rFonts w:hAnsi="等线"/>
                <w:color w:val="000000"/>
              </w:rPr>
              <w:t>债券名称</w:t>
            </w:r>
          </w:p>
        </w:tc>
        <w:tc>
          <w:tcPr>
            <w:tcW w:w="1500" w:type="dxa"/>
            <w:tcBorders>
              <w:top w:val="single" w:sz="8" w:space="0" w:color="000000"/>
              <w:left w:val="single" w:sz="8" w:space="0" w:color="000000"/>
              <w:bottom w:val="single" w:sz="6" w:space="0" w:color="000000"/>
              <w:right w:val="single" w:sz="8" w:space="0" w:color="000000"/>
            </w:tcBorders>
            <w:vAlign w:val="center"/>
          </w:tcPr>
          <w:p w14:paraId="08662684" w14:textId="77777777" w:rsidR="0066529D" w:rsidRDefault="00A901FF">
            <w:pPr>
              <w:pStyle w:val="biaogecenter"/>
              <w:wordWrap w:val="0"/>
              <w:rPr>
                <w:rFonts w:hint="eastAsia"/>
              </w:rPr>
            </w:pPr>
            <w:r>
              <w:rPr>
                <w:rFonts w:hAnsi="等线"/>
                <w:color w:val="000000"/>
              </w:rPr>
              <w:t>数量（张）</w:t>
            </w:r>
          </w:p>
        </w:tc>
        <w:tc>
          <w:tcPr>
            <w:tcW w:w="2100" w:type="dxa"/>
            <w:tcBorders>
              <w:top w:val="single" w:sz="8" w:space="0" w:color="000000"/>
              <w:left w:val="single" w:sz="8" w:space="0" w:color="000000"/>
              <w:bottom w:val="single" w:sz="6" w:space="0" w:color="000000"/>
              <w:right w:val="single" w:sz="8" w:space="0" w:color="000000"/>
            </w:tcBorders>
            <w:vAlign w:val="center"/>
          </w:tcPr>
          <w:p w14:paraId="51E056C4" w14:textId="77777777" w:rsidR="0066529D" w:rsidRDefault="00A901FF">
            <w:pPr>
              <w:pStyle w:val="biaogecenter"/>
              <w:wordWrap w:val="0"/>
              <w:rPr>
                <w:rFonts w:hint="eastAsia"/>
              </w:rPr>
            </w:pPr>
            <w:r>
              <w:rPr>
                <w:rFonts w:hAnsi="等线"/>
                <w:color w:val="000000"/>
              </w:rPr>
              <w:t>公允价值(元)</w:t>
            </w:r>
          </w:p>
        </w:tc>
        <w:tc>
          <w:tcPr>
            <w:tcW w:w="1800" w:type="dxa"/>
            <w:tcBorders>
              <w:top w:val="single" w:sz="8" w:space="0" w:color="000000"/>
              <w:left w:val="single" w:sz="8" w:space="0" w:color="000000"/>
              <w:bottom w:val="single" w:sz="6" w:space="0" w:color="000000"/>
              <w:right w:val="single" w:sz="8" w:space="0" w:color="000000"/>
            </w:tcBorders>
            <w:vAlign w:val="center"/>
          </w:tcPr>
          <w:p w14:paraId="266D7B9D" w14:textId="77777777" w:rsidR="0066529D" w:rsidRDefault="00A901FF">
            <w:pPr>
              <w:pStyle w:val="biaogecenter"/>
              <w:wordWrap w:val="0"/>
              <w:rPr>
                <w:rFonts w:hint="eastAsia"/>
              </w:rPr>
            </w:pPr>
            <w:r>
              <w:rPr>
                <w:rFonts w:hAnsi="等线"/>
                <w:color w:val="000000"/>
              </w:rPr>
              <w:t>占基金资产净值比例（％）</w:t>
            </w:r>
          </w:p>
        </w:tc>
      </w:tr>
      <w:tr w:rsidR="0066529D" w14:paraId="7B49AC0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1A65ED8" w14:textId="77777777" w:rsidR="0066529D" w:rsidRDefault="00A901FF">
            <w:pPr>
              <w:pStyle w:val="biaogecenter"/>
              <w:wordWrap w:val="0"/>
              <w:rPr>
                <w:rFonts w:hint="eastAsia"/>
              </w:rPr>
            </w:pPr>
            <w:r>
              <w:rPr>
                <w:rFonts w:hAnsi="等线"/>
                <w:color w:val="000000"/>
              </w:rPr>
              <w:t>1</w:t>
            </w:r>
          </w:p>
        </w:tc>
        <w:tc>
          <w:tcPr>
            <w:tcW w:w="1350" w:type="dxa"/>
            <w:tcBorders>
              <w:top w:val="single" w:sz="8" w:space="0" w:color="000000"/>
              <w:left w:val="single" w:sz="8" w:space="0" w:color="000000"/>
              <w:bottom w:val="single" w:sz="6" w:space="0" w:color="000000"/>
              <w:right w:val="single" w:sz="8" w:space="0" w:color="000000"/>
            </w:tcBorders>
            <w:vAlign w:val="center"/>
          </w:tcPr>
          <w:p w14:paraId="06914330" w14:textId="77777777" w:rsidR="0066529D" w:rsidRDefault="00A901FF">
            <w:pPr>
              <w:pStyle w:val="biaogeleft"/>
              <w:wordWrap w:val="0"/>
              <w:rPr>
                <w:rFonts w:hint="eastAsia"/>
              </w:rPr>
            </w:pPr>
            <w:r>
              <w:rPr>
                <w:rFonts w:hAnsi="等线"/>
                <w:color w:val="000000"/>
              </w:rPr>
              <w:t>019698</w:t>
            </w:r>
          </w:p>
        </w:tc>
        <w:tc>
          <w:tcPr>
            <w:tcW w:w="1950" w:type="dxa"/>
            <w:tcBorders>
              <w:top w:val="single" w:sz="8" w:space="0" w:color="000000"/>
              <w:left w:val="single" w:sz="8" w:space="0" w:color="000000"/>
              <w:bottom w:val="single" w:sz="6" w:space="0" w:color="000000"/>
              <w:right w:val="single" w:sz="8" w:space="0" w:color="000000"/>
            </w:tcBorders>
            <w:vAlign w:val="center"/>
          </w:tcPr>
          <w:p w14:paraId="0DCB3D31" w14:textId="77777777" w:rsidR="0066529D" w:rsidRDefault="00A901FF">
            <w:pPr>
              <w:pStyle w:val="biaogeleft"/>
              <w:wordWrap w:val="0"/>
              <w:rPr>
                <w:rFonts w:hint="eastAsia"/>
              </w:rPr>
            </w:pPr>
            <w:r>
              <w:rPr>
                <w:rFonts w:hAnsi="等线"/>
                <w:color w:val="000000"/>
              </w:rPr>
              <w:t>23国债05</w:t>
            </w:r>
          </w:p>
        </w:tc>
        <w:tc>
          <w:tcPr>
            <w:tcW w:w="1500" w:type="dxa"/>
            <w:tcBorders>
              <w:top w:val="single" w:sz="8" w:space="0" w:color="000000"/>
              <w:left w:val="single" w:sz="8" w:space="0" w:color="000000"/>
              <w:bottom w:val="single" w:sz="6" w:space="0" w:color="000000"/>
              <w:right w:val="single" w:sz="8" w:space="0" w:color="000000"/>
            </w:tcBorders>
            <w:vAlign w:val="center"/>
          </w:tcPr>
          <w:p w14:paraId="48F72F7B" w14:textId="77777777" w:rsidR="0066529D" w:rsidRDefault="00A901FF">
            <w:pPr>
              <w:pStyle w:val="biaogeright"/>
              <w:wordWrap w:val="0"/>
              <w:rPr>
                <w:rFonts w:hint="eastAsia"/>
              </w:rPr>
            </w:pPr>
            <w:r>
              <w:rPr>
                <w:rFonts w:hAnsi="等线"/>
                <w:color w:val="000000"/>
              </w:rPr>
              <w:t>2,000</w:t>
            </w:r>
          </w:p>
        </w:tc>
        <w:tc>
          <w:tcPr>
            <w:tcW w:w="2100" w:type="dxa"/>
            <w:tcBorders>
              <w:top w:val="single" w:sz="8" w:space="0" w:color="000000"/>
              <w:left w:val="single" w:sz="8" w:space="0" w:color="000000"/>
              <w:bottom w:val="single" w:sz="6" w:space="0" w:color="000000"/>
              <w:right w:val="single" w:sz="8" w:space="0" w:color="000000"/>
            </w:tcBorders>
            <w:vAlign w:val="center"/>
          </w:tcPr>
          <w:p w14:paraId="4DE561BE" w14:textId="77777777" w:rsidR="0066529D" w:rsidRDefault="00A901FF">
            <w:pPr>
              <w:pStyle w:val="biaogeright"/>
              <w:wordWrap w:val="0"/>
              <w:rPr>
                <w:rFonts w:hint="eastAsia"/>
              </w:rPr>
            </w:pPr>
            <w:r>
              <w:rPr>
                <w:rFonts w:hAnsi="等线"/>
                <w:color w:val="000000"/>
              </w:rPr>
              <w:t>202,450.68</w:t>
            </w:r>
          </w:p>
        </w:tc>
        <w:tc>
          <w:tcPr>
            <w:tcW w:w="0" w:type="auto"/>
            <w:tcBorders>
              <w:top w:val="single" w:sz="8" w:space="0" w:color="000000"/>
              <w:left w:val="single" w:sz="8" w:space="0" w:color="000000"/>
              <w:bottom w:val="single" w:sz="6" w:space="0" w:color="000000"/>
              <w:right w:val="single" w:sz="8" w:space="0" w:color="000000"/>
            </w:tcBorders>
            <w:vAlign w:val="center"/>
          </w:tcPr>
          <w:p w14:paraId="73E38A9D" w14:textId="77777777" w:rsidR="0066529D" w:rsidRDefault="00A901FF">
            <w:pPr>
              <w:pStyle w:val="biaogeright"/>
              <w:wordWrap w:val="0"/>
              <w:rPr>
                <w:rFonts w:hint="eastAsia"/>
              </w:rPr>
            </w:pPr>
            <w:r>
              <w:rPr>
                <w:rFonts w:hAnsi="等线"/>
                <w:color w:val="000000"/>
              </w:rPr>
              <w:t>2.39</w:t>
            </w:r>
          </w:p>
        </w:tc>
      </w:tr>
    </w:tbl>
    <w:p w14:paraId="246F964D" w14:textId="77777777" w:rsidR="0066529D" w:rsidRDefault="0066529D">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3527671D"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 xml:space="preserve">6、 </w:t>
      </w:r>
      <w:r>
        <w:rPr>
          <w:rFonts w:asciiTheme="minorEastAsia" w:hAnsiTheme="minorEastAsia" w:cs="Times New Roman" w:hint="eastAsia"/>
          <w:bCs/>
          <w:sz w:val="24"/>
          <w:szCs w:val="24"/>
        </w:rPr>
        <w:t>报告期末按公允价值占基金资产净值比例大小排序的前十名资产支持证券投资明细</w:t>
      </w:r>
    </w:p>
    <w:p w14:paraId="49F6E974"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本基金本报告期末未持有资产支持证券。</w:t>
      </w:r>
    </w:p>
    <w:p w14:paraId="2066E939" w14:textId="77777777" w:rsidR="0066529D" w:rsidRDefault="0066529D">
      <w:pPr>
        <w:autoSpaceDE w:val="0"/>
        <w:autoSpaceDN w:val="0"/>
        <w:spacing w:line="360" w:lineRule="auto"/>
        <w:ind w:firstLineChars="200" w:firstLine="420"/>
        <w:textAlignment w:val="bottom"/>
        <w:rPr>
          <w:rFonts w:asciiTheme="minorEastAsia" w:hAnsiTheme="minorEastAsia" w:cs="Times New Roman" w:hint="eastAsia"/>
          <w:bCs/>
        </w:rPr>
      </w:pPr>
    </w:p>
    <w:p w14:paraId="270E00A2"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7、报告期末按公允价值占基金资产净值比例大小排序的前五名贵金属投资明细</w:t>
      </w:r>
    </w:p>
    <w:p w14:paraId="76D38334"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本基金本报告期末未持有贵金属。</w:t>
      </w:r>
    </w:p>
    <w:p w14:paraId="2B5D5129" w14:textId="77777777" w:rsidR="0066529D" w:rsidRDefault="0066529D">
      <w:pPr>
        <w:autoSpaceDE w:val="0"/>
        <w:autoSpaceDN w:val="0"/>
        <w:spacing w:line="360" w:lineRule="auto"/>
        <w:ind w:firstLineChars="200" w:firstLine="420"/>
        <w:textAlignment w:val="bottom"/>
        <w:rPr>
          <w:rFonts w:asciiTheme="minorEastAsia" w:hAnsiTheme="minorEastAsia" w:cs="Times New Roman" w:hint="eastAsia"/>
          <w:bCs/>
        </w:rPr>
      </w:pPr>
    </w:p>
    <w:p w14:paraId="35FF61B2"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8、报告期末按公允价值占基金资产净值比例大小排序的前五名权证投资明细</w:t>
      </w:r>
    </w:p>
    <w:p w14:paraId="52573B1A"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本基金本报告期末未持有权证。</w:t>
      </w:r>
    </w:p>
    <w:p w14:paraId="77832BBC" w14:textId="77777777" w:rsidR="0066529D" w:rsidRDefault="0066529D">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7E31BC96"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9、报告期末本基金投资的股指期货交易情况说明</w:t>
      </w:r>
    </w:p>
    <w:p w14:paraId="551CB8E8"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1）报告期末本基金投资的股指期货持仓和损益明细</w:t>
      </w:r>
    </w:p>
    <w:p w14:paraId="271AF1A9"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本基金报告期末未投资股指期货。</w:t>
      </w:r>
    </w:p>
    <w:p w14:paraId="4FB5A853"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2）本基金投资股指期货的投资政策</w:t>
      </w:r>
    </w:p>
    <w:p w14:paraId="07076062"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本基金报告期末未投资股指期货。</w:t>
      </w:r>
    </w:p>
    <w:p w14:paraId="4109361D" w14:textId="77777777" w:rsidR="0066529D" w:rsidRDefault="0066529D">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196DDE50"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10、报告期末本基金投资的国债期货交易情况说明</w:t>
      </w:r>
    </w:p>
    <w:p w14:paraId="26F66C7E"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1）本期国债期货投资政策</w:t>
      </w:r>
    </w:p>
    <w:p w14:paraId="56ACF7E9"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本基金报告期末未投资国债期货。</w:t>
      </w:r>
    </w:p>
    <w:p w14:paraId="44AF9331"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2）报告期末本基金投资的国债期货持仓和损益明细</w:t>
      </w:r>
    </w:p>
    <w:p w14:paraId="0FCDFE5A"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本期报告期末未投资国债期货。</w:t>
      </w:r>
    </w:p>
    <w:p w14:paraId="6CA388FA"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3）本期国债期货投资评价</w:t>
      </w:r>
    </w:p>
    <w:p w14:paraId="58CAC732"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本基金报告期末未投资国债期货。</w:t>
      </w:r>
    </w:p>
    <w:p w14:paraId="7648A40D" w14:textId="77777777" w:rsidR="0066529D" w:rsidRDefault="0066529D">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5BCA6D39"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 xml:space="preserve">11、投资组合报告附注 </w:t>
      </w:r>
    </w:p>
    <w:p w14:paraId="7FCD1020" w14:textId="77777777" w:rsidR="0066529D" w:rsidRDefault="00A901FF">
      <w:pPr>
        <w:pStyle w:val="zhangjiep2"/>
        <w:ind w:firstLineChars="200" w:firstLine="480"/>
        <w:rPr>
          <w:rFonts w:asciiTheme="minorEastAsia" w:hAnsiTheme="minorEastAsia" w:cs="Times New Roman" w:hint="eastAsia"/>
          <w:bCs/>
        </w:rPr>
      </w:pPr>
      <w:r>
        <w:rPr>
          <w:rFonts w:asciiTheme="minorEastAsia" w:hAnsiTheme="minorEastAsia" w:cs="Times New Roman" w:hint="eastAsia"/>
          <w:bCs/>
        </w:rPr>
        <w:t>（</w:t>
      </w:r>
      <w:r>
        <w:rPr>
          <w:rFonts w:asciiTheme="minorEastAsia" w:hAnsiTheme="minorEastAsia" w:cs="Times New Roman"/>
          <w:bCs/>
        </w:rPr>
        <w:t>1）</w:t>
      </w:r>
      <w:r>
        <w:rPr>
          <w:rFonts w:hAnsi="等线"/>
          <w:b/>
          <w:color w:val="000000"/>
        </w:rPr>
        <w:t>本基金本报告期投资的前十名证券的发行主体，本报告期没有出现被监管部门立案调查的情形，也没有出现在报告编制日前一年内受到公开谴责、处罚的情形。</w:t>
      </w:r>
    </w:p>
    <w:p w14:paraId="78F09575" w14:textId="77777777" w:rsidR="0066529D" w:rsidRDefault="00A901FF">
      <w:pPr>
        <w:autoSpaceDE w:val="0"/>
        <w:autoSpaceDN w:val="0"/>
        <w:spacing w:line="360" w:lineRule="auto"/>
        <w:ind w:firstLine="420"/>
        <w:textAlignment w:val="bottom"/>
        <w:rPr>
          <w:rFonts w:asciiTheme="minorEastAsia" w:hAnsiTheme="minorEastAsia" w:cs="Times New Roman" w:hint="eastAsia"/>
          <w:b/>
          <w:kern w:val="0"/>
          <w:sz w:val="30"/>
          <w:szCs w:val="30"/>
        </w:rPr>
      </w:pPr>
      <w:r>
        <w:rPr>
          <w:rFonts w:asciiTheme="minorEastAsia" w:hAnsiTheme="minorEastAsia" w:cs="Times New Roman" w:hint="eastAsia"/>
          <w:bCs/>
          <w:sz w:val="24"/>
          <w:szCs w:val="24"/>
        </w:rPr>
        <w:t>（</w:t>
      </w:r>
      <w:r>
        <w:rPr>
          <w:rFonts w:asciiTheme="minorEastAsia" w:hAnsiTheme="minorEastAsia" w:cs="Times New Roman"/>
          <w:bCs/>
          <w:sz w:val="24"/>
          <w:szCs w:val="24"/>
        </w:rPr>
        <w:t>2）</w:t>
      </w:r>
      <w:r>
        <w:rPr>
          <w:rFonts w:asciiTheme="minorEastAsia" w:hAnsiTheme="minorEastAsia" w:cs="Times New Roman" w:hint="eastAsia"/>
          <w:bCs/>
          <w:sz w:val="24"/>
          <w:szCs w:val="24"/>
        </w:rPr>
        <w:t>本基金投资的前十名股票没有超出基金合同规定的备选股票库。</w:t>
      </w:r>
    </w:p>
    <w:p w14:paraId="40A290D5" w14:textId="77777777" w:rsidR="0066529D" w:rsidRDefault="00A901FF">
      <w:pPr>
        <w:autoSpaceDE w:val="0"/>
        <w:autoSpaceDN w:val="0"/>
        <w:spacing w:line="360" w:lineRule="auto"/>
        <w:ind w:firstLine="42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3）其他资产构成</w:t>
      </w:r>
    </w:p>
    <w:tbl>
      <w:tblPr>
        <w:tblW w:w="9045" w:type="dxa"/>
        <w:tblInd w:w="108" w:type="dxa"/>
        <w:tblLook w:val="04A0" w:firstRow="1" w:lastRow="0" w:firstColumn="1" w:lastColumn="0" w:noHBand="0" w:noVBand="1"/>
      </w:tblPr>
      <w:tblGrid>
        <w:gridCol w:w="1276"/>
        <w:gridCol w:w="3709"/>
        <w:gridCol w:w="4060"/>
      </w:tblGrid>
      <w:tr w:rsidR="0066529D" w14:paraId="7E706A25"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66D5CFFD" w14:textId="77777777" w:rsidR="0066529D" w:rsidRDefault="00A901FF">
            <w:pPr>
              <w:pStyle w:val="biaogecenter"/>
              <w:wordWrap w:val="0"/>
              <w:rPr>
                <w:rFonts w:hint="eastAsia"/>
              </w:rPr>
            </w:pPr>
            <w:r>
              <w:rPr>
                <w:rFonts w:hAnsi="等线" w:hint="eastAsia"/>
                <w:color w:val="000000"/>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33990835" w14:textId="77777777" w:rsidR="0066529D" w:rsidRDefault="00A901FF">
            <w:pPr>
              <w:pStyle w:val="biaogecenter"/>
              <w:wordWrap w:val="0"/>
              <w:rPr>
                <w:rFonts w:hint="eastAsia"/>
              </w:rPr>
            </w:pPr>
            <w:r>
              <w:rPr>
                <w:rFonts w:hint="eastAsia"/>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10DCB74B" w14:textId="77777777" w:rsidR="0066529D" w:rsidRDefault="00A901FF">
            <w:pPr>
              <w:pStyle w:val="biaogecenter"/>
              <w:wordWrap w:val="0"/>
              <w:rPr>
                <w:rFonts w:hint="eastAsia"/>
              </w:rPr>
            </w:pPr>
            <w:r>
              <w:rPr>
                <w:rFonts w:hint="eastAsia"/>
              </w:rPr>
              <w:t>金额(元)</w:t>
            </w:r>
          </w:p>
        </w:tc>
      </w:tr>
      <w:tr w:rsidR="0066529D" w14:paraId="24286EE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9A50C98" w14:textId="77777777" w:rsidR="0066529D" w:rsidRDefault="00A901FF">
            <w:pPr>
              <w:pStyle w:val="biaogecenter"/>
              <w:wordWrap w:val="0"/>
              <w:rPr>
                <w:rFonts w:hint="eastAsia"/>
              </w:rPr>
            </w:pPr>
            <w:r>
              <w:rPr>
                <w:rFonts w:hAnsi="等线" w:hint="eastAsia"/>
                <w:color w:val="000000"/>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0BE10681" w14:textId="77777777" w:rsidR="0066529D" w:rsidRDefault="00A901FF">
            <w:pPr>
              <w:pStyle w:val="biaogeleft"/>
              <w:wordWrap w:val="0"/>
              <w:rPr>
                <w:rFonts w:hint="eastAsia"/>
              </w:rPr>
            </w:pPr>
            <w:r>
              <w:rPr>
                <w:rFonts w:hint="eastAsia"/>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52C329D3" w14:textId="77777777" w:rsidR="0066529D" w:rsidRDefault="00A901FF">
            <w:pPr>
              <w:pStyle w:val="biaogeright"/>
              <w:wordWrap w:val="0"/>
              <w:rPr>
                <w:rFonts w:hint="eastAsia"/>
              </w:rPr>
            </w:pPr>
            <w:r>
              <w:rPr>
                <w:rFonts w:hAnsi="等线"/>
                <w:color w:val="000000"/>
              </w:rPr>
              <w:t>20,621.73</w:t>
            </w:r>
          </w:p>
        </w:tc>
      </w:tr>
      <w:tr w:rsidR="0066529D" w14:paraId="2369822D"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E325E71" w14:textId="77777777" w:rsidR="0066529D" w:rsidRDefault="00A901FF">
            <w:pPr>
              <w:pStyle w:val="biaogecenter"/>
              <w:wordWrap w:val="0"/>
              <w:rPr>
                <w:rFonts w:hint="eastAsia"/>
              </w:rPr>
            </w:pPr>
            <w:r>
              <w:rPr>
                <w:rFonts w:hAnsi="等线" w:hint="eastAsia"/>
                <w:color w:val="000000"/>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2D5DF170" w14:textId="77777777" w:rsidR="0066529D" w:rsidRDefault="00A901FF">
            <w:pPr>
              <w:pStyle w:val="biaogeleft"/>
              <w:wordWrap w:val="0"/>
              <w:rPr>
                <w:rFonts w:hint="eastAsia"/>
              </w:rPr>
            </w:pPr>
            <w:r>
              <w:rPr>
                <w:rFonts w:hint="eastAsia"/>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08042E1B" w14:textId="77777777" w:rsidR="0066529D" w:rsidRDefault="00A901FF">
            <w:pPr>
              <w:pStyle w:val="biaogeright"/>
              <w:wordWrap w:val="0"/>
              <w:rPr>
                <w:rFonts w:hint="eastAsia"/>
              </w:rPr>
            </w:pPr>
            <w:r>
              <w:rPr>
                <w:rFonts w:hAnsi="等线"/>
                <w:color w:val="000000"/>
              </w:rPr>
              <w:t>477,361.07</w:t>
            </w:r>
          </w:p>
        </w:tc>
      </w:tr>
      <w:tr w:rsidR="0066529D" w14:paraId="114E21C4"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21B3ACF3" w14:textId="77777777" w:rsidR="0066529D" w:rsidRDefault="00A901FF">
            <w:pPr>
              <w:pStyle w:val="biaogecenter"/>
              <w:wordWrap w:val="0"/>
              <w:rPr>
                <w:rFonts w:hint="eastAsia"/>
              </w:rPr>
            </w:pPr>
            <w:r>
              <w:rPr>
                <w:rFonts w:hAnsi="等线" w:hint="eastAsia"/>
                <w:color w:val="000000"/>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04FEAD63" w14:textId="77777777" w:rsidR="0066529D" w:rsidRDefault="00A901FF">
            <w:pPr>
              <w:pStyle w:val="biaogeleft"/>
              <w:wordWrap w:val="0"/>
              <w:rPr>
                <w:rFonts w:hint="eastAsia"/>
              </w:rPr>
            </w:pPr>
            <w:r>
              <w:rPr>
                <w:rFonts w:hint="eastAsia"/>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394E70E7" w14:textId="77777777" w:rsidR="0066529D" w:rsidRDefault="00A901FF">
            <w:pPr>
              <w:pStyle w:val="biaogeright"/>
              <w:wordWrap w:val="0"/>
              <w:rPr>
                <w:rFonts w:hint="eastAsia"/>
              </w:rPr>
            </w:pPr>
            <w:r>
              <w:rPr>
                <w:rFonts w:hAnsi="等线"/>
                <w:color w:val="000000"/>
              </w:rPr>
              <w:t>-</w:t>
            </w:r>
          </w:p>
        </w:tc>
      </w:tr>
      <w:tr w:rsidR="0066529D" w14:paraId="2A21646F"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D72197E" w14:textId="77777777" w:rsidR="0066529D" w:rsidRDefault="00A901FF">
            <w:pPr>
              <w:pStyle w:val="biaogecenter"/>
              <w:wordWrap w:val="0"/>
              <w:rPr>
                <w:rFonts w:hint="eastAsia"/>
              </w:rPr>
            </w:pPr>
            <w:r>
              <w:rPr>
                <w:rFonts w:hAnsi="等线" w:hint="eastAsia"/>
                <w:color w:val="000000"/>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1D48E6F2" w14:textId="77777777" w:rsidR="0066529D" w:rsidRDefault="00A901FF">
            <w:pPr>
              <w:pStyle w:val="biaogeleft"/>
              <w:wordWrap w:val="0"/>
              <w:rPr>
                <w:rFonts w:hint="eastAsia"/>
              </w:rPr>
            </w:pPr>
            <w:r>
              <w:rPr>
                <w:rFonts w:hint="eastAsia"/>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10D0823F" w14:textId="77777777" w:rsidR="0066529D" w:rsidRDefault="00A901FF">
            <w:pPr>
              <w:pStyle w:val="biaogeright"/>
              <w:wordWrap w:val="0"/>
              <w:rPr>
                <w:rFonts w:hint="eastAsia"/>
              </w:rPr>
            </w:pPr>
            <w:r>
              <w:rPr>
                <w:rFonts w:hAnsi="等线"/>
                <w:color w:val="000000"/>
              </w:rPr>
              <w:t>-</w:t>
            </w:r>
          </w:p>
        </w:tc>
      </w:tr>
      <w:tr w:rsidR="0066529D" w14:paraId="3D8DE883"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E16BCFB" w14:textId="77777777" w:rsidR="0066529D" w:rsidRDefault="00A901FF">
            <w:pPr>
              <w:pStyle w:val="biaogecenter"/>
              <w:wordWrap w:val="0"/>
              <w:rPr>
                <w:rFonts w:hint="eastAsia"/>
              </w:rPr>
            </w:pPr>
            <w:r>
              <w:rPr>
                <w:rFonts w:hAnsi="等线" w:hint="eastAsia"/>
                <w:color w:val="000000"/>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295CCE0A" w14:textId="77777777" w:rsidR="0066529D" w:rsidRDefault="00A901FF">
            <w:pPr>
              <w:pStyle w:val="biaogeleft"/>
              <w:wordWrap w:val="0"/>
              <w:rPr>
                <w:rFonts w:hint="eastAsia"/>
              </w:rPr>
            </w:pPr>
            <w:r>
              <w:rPr>
                <w:rFonts w:hint="eastAsia"/>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68591BD7" w14:textId="77777777" w:rsidR="0066529D" w:rsidRDefault="00A901FF">
            <w:pPr>
              <w:pStyle w:val="biaogeright"/>
              <w:wordWrap w:val="0"/>
              <w:rPr>
                <w:rFonts w:hint="eastAsia"/>
              </w:rPr>
            </w:pPr>
            <w:r>
              <w:rPr>
                <w:rFonts w:hAnsi="等线"/>
                <w:color w:val="000000"/>
              </w:rPr>
              <w:t>3,218.00</w:t>
            </w:r>
          </w:p>
        </w:tc>
      </w:tr>
      <w:tr w:rsidR="0066529D" w14:paraId="5B5F4A9C"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81DC887" w14:textId="77777777" w:rsidR="0066529D" w:rsidRDefault="00A901FF">
            <w:pPr>
              <w:pStyle w:val="biaogecenter"/>
              <w:wordWrap w:val="0"/>
              <w:rPr>
                <w:rFonts w:hint="eastAsia"/>
              </w:rPr>
            </w:pPr>
            <w:r>
              <w:rPr>
                <w:rFonts w:hAnsi="等线" w:hint="eastAsia"/>
                <w:color w:val="000000"/>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79A29BD6" w14:textId="77777777" w:rsidR="0066529D" w:rsidRDefault="00A901FF">
            <w:pPr>
              <w:pStyle w:val="biaogeleft"/>
              <w:wordWrap w:val="0"/>
              <w:rPr>
                <w:rFonts w:hint="eastAsia"/>
              </w:rPr>
            </w:pPr>
            <w:r>
              <w:rPr>
                <w:rFonts w:hint="eastAsia"/>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6E4154CE" w14:textId="77777777" w:rsidR="0066529D" w:rsidRDefault="00A901FF">
            <w:pPr>
              <w:pStyle w:val="biaogeright"/>
              <w:wordWrap w:val="0"/>
              <w:rPr>
                <w:rFonts w:hint="eastAsia"/>
              </w:rPr>
            </w:pPr>
            <w:r>
              <w:rPr>
                <w:rFonts w:hAnsi="等线"/>
                <w:color w:val="000000"/>
              </w:rPr>
              <w:t>-</w:t>
            </w:r>
          </w:p>
        </w:tc>
      </w:tr>
      <w:tr w:rsidR="0066529D" w14:paraId="02C73DC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71BE3289" w14:textId="77777777" w:rsidR="0066529D" w:rsidRDefault="00A901FF">
            <w:pPr>
              <w:pStyle w:val="biaogecenter"/>
              <w:wordWrap w:val="0"/>
              <w:rPr>
                <w:rFonts w:hint="eastAsia"/>
              </w:rPr>
            </w:pPr>
            <w:r>
              <w:rPr>
                <w:rFonts w:hAnsi="等线" w:hint="eastAsia"/>
                <w:color w:val="000000"/>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28A5B93E" w14:textId="77777777" w:rsidR="0066529D" w:rsidRDefault="00A901FF">
            <w:pPr>
              <w:pStyle w:val="biaogeleft"/>
              <w:wordWrap w:val="0"/>
              <w:rPr>
                <w:rFonts w:hint="eastAsia"/>
              </w:rPr>
            </w:pPr>
            <w:r>
              <w:rPr>
                <w:rFonts w:hint="eastAsia"/>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78C04295" w14:textId="77777777" w:rsidR="0066529D" w:rsidRDefault="00A901FF">
            <w:pPr>
              <w:pStyle w:val="biaogeright"/>
              <w:wordWrap w:val="0"/>
              <w:rPr>
                <w:rFonts w:hint="eastAsia"/>
              </w:rPr>
            </w:pPr>
            <w:r>
              <w:rPr>
                <w:rFonts w:hAnsi="等线"/>
                <w:color w:val="000000"/>
              </w:rPr>
              <w:t>-</w:t>
            </w:r>
          </w:p>
        </w:tc>
      </w:tr>
      <w:tr w:rsidR="0066529D" w14:paraId="4D4800D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099A122" w14:textId="77777777" w:rsidR="0066529D" w:rsidRDefault="00A901FF">
            <w:pPr>
              <w:pStyle w:val="biaogecenter"/>
              <w:wordWrap w:val="0"/>
              <w:rPr>
                <w:rFonts w:hint="eastAsia"/>
              </w:rPr>
            </w:pPr>
            <w:r>
              <w:rPr>
                <w:rFonts w:hAnsi="等线" w:hint="eastAsia"/>
                <w:color w:val="000000"/>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10C764C8" w14:textId="77777777" w:rsidR="0066529D" w:rsidRDefault="00A901FF">
            <w:pPr>
              <w:pStyle w:val="biaogeleft"/>
              <w:wordWrap w:val="0"/>
              <w:rPr>
                <w:rFonts w:hint="eastAsia"/>
              </w:rPr>
            </w:pPr>
            <w:r>
              <w:rPr>
                <w:rFonts w:hint="eastAsia"/>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4C720574" w14:textId="77777777" w:rsidR="0066529D" w:rsidRDefault="00A901FF">
            <w:pPr>
              <w:pStyle w:val="biaogeright"/>
              <w:wordWrap w:val="0"/>
              <w:rPr>
                <w:rFonts w:hint="eastAsia"/>
              </w:rPr>
            </w:pPr>
            <w:r>
              <w:rPr>
                <w:rFonts w:hAnsi="等线"/>
                <w:color w:val="000000"/>
              </w:rPr>
              <w:t>501,200.80</w:t>
            </w:r>
          </w:p>
        </w:tc>
      </w:tr>
    </w:tbl>
    <w:p w14:paraId="5729CB03"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4）报告期末持有的处于转股期的可转换债券明细</w:t>
      </w:r>
    </w:p>
    <w:p w14:paraId="2531BDD1" w14:textId="77777777" w:rsidR="0066529D" w:rsidRDefault="00A901FF">
      <w:pPr>
        <w:pStyle w:val="neirong"/>
        <w:spacing w:line="360" w:lineRule="auto"/>
        <w:ind w:leftChars="7" w:firstLineChars="200" w:firstLine="480"/>
        <w:rPr>
          <w:rFonts w:asciiTheme="minorEastAsia" w:eastAsiaTheme="minorEastAsia" w:hAnsiTheme="minorEastAsia" w:hint="eastAsia"/>
        </w:rPr>
      </w:pPr>
      <w:r>
        <w:rPr>
          <w:rFonts w:asciiTheme="minorEastAsia" w:eastAsiaTheme="minorEastAsia" w:hAnsiTheme="minorEastAsia" w:hint="eastAsia"/>
        </w:rPr>
        <w:t>本基金本报告期末未持有处于转股期的可转换债券。</w:t>
      </w:r>
    </w:p>
    <w:p w14:paraId="004BC329"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5）报告</w:t>
      </w:r>
      <w:proofErr w:type="gramStart"/>
      <w:r>
        <w:rPr>
          <w:rFonts w:asciiTheme="minorEastAsia" w:hAnsiTheme="minorEastAsia" w:cs="Times New Roman" w:hint="eastAsia"/>
          <w:bCs/>
          <w:sz w:val="24"/>
          <w:szCs w:val="24"/>
        </w:rPr>
        <w:t>期末前</w:t>
      </w:r>
      <w:proofErr w:type="gramEnd"/>
      <w:r>
        <w:rPr>
          <w:rFonts w:asciiTheme="minorEastAsia" w:hAnsiTheme="minorEastAsia" w:cs="Times New Roman" w:hint="eastAsia"/>
          <w:bCs/>
          <w:sz w:val="24"/>
          <w:szCs w:val="24"/>
        </w:rPr>
        <w:t>十名股票中存在流通受限情况的说明</w:t>
      </w:r>
    </w:p>
    <w:p w14:paraId="1C5FF22B"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本基金本报告</w:t>
      </w:r>
      <w:proofErr w:type="gramStart"/>
      <w:r>
        <w:rPr>
          <w:rFonts w:asciiTheme="minorEastAsia" w:hAnsiTheme="minorEastAsia" w:cs="Times New Roman" w:hint="eastAsia"/>
          <w:bCs/>
          <w:sz w:val="24"/>
          <w:szCs w:val="24"/>
        </w:rPr>
        <w:t>期末前</w:t>
      </w:r>
      <w:proofErr w:type="gramEnd"/>
      <w:r>
        <w:rPr>
          <w:rFonts w:asciiTheme="minorEastAsia" w:hAnsiTheme="minorEastAsia" w:cs="Times New Roman" w:hint="eastAsia"/>
          <w:bCs/>
          <w:sz w:val="24"/>
          <w:szCs w:val="24"/>
        </w:rPr>
        <w:t>十名股票中不存在流通受限股票。</w:t>
      </w:r>
    </w:p>
    <w:p w14:paraId="27DA122C"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6）投资组合报告附注的其他文字描述部分</w:t>
      </w:r>
    </w:p>
    <w:p w14:paraId="73F7DE73"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lastRenderedPageBreak/>
        <w:t>由于四舍五入原因，分项之和与合计可能有尾差。</w:t>
      </w:r>
    </w:p>
    <w:p w14:paraId="071DD206"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九、基金净值表现</w:t>
      </w:r>
    </w:p>
    <w:p w14:paraId="1E0EE78E"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CD5EEFB"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1）富荣福康混合A（基金代码：005104） </w:t>
      </w:r>
    </w:p>
    <w:tbl>
      <w:tblPr>
        <w:tblW w:w="9371" w:type="dxa"/>
        <w:jc w:val="center"/>
        <w:tblLayout w:type="fixed"/>
        <w:tblLook w:val="04A0" w:firstRow="1" w:lastRow="0" w:firstColumn="1" w:lastColumn="0" w:noHBand="0" w:noVBand="1"/>
      </w:tblPr>
      <w:tblGrid>
        <w:gridCol w:w="2567"/>
        <w:gridCol w:w="1044"/>
        <w:gridCol w:w="1121"/>
        <w:gridCol w:w="1121"/>
        <w:gridCol w:w="1399"/>
        <w:gridCol w:w="1121"/>
        <w:gridCol w:w="998"/>
      </w:tblGrid>
      <w:tr w:rsidR="0066529D" w14:paraId="696CC66D" w14:textId="77777777">
        <w:trPr>
          <w:trHeight w:val="1417"/>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763DD617"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阶段</w:t>
            </w:r>
          </w:p>
        </w:tc>
        <w:tc>
          <w:tcPr>
            <w:tcW w:w="1044" w:type="dxa"/>
            <w:tcBorders>
              <w:top w:val="single" w:sz="8" w:space="0" w:color="000000"/>
              <w:left w:val="single" w:sz="8" w:space="0" w:color="000000"/>
              <w:bottom w:val="single" w:sz="8" w:space="0" w:color="000000"/>
              <w:right w:val="single" w:sz="8" w:space="0" w:color="000000"/>
            </w:tcBorders>
            <w:vAlign w:val="center"/>
          </w:tcPr>
          <w:p w14:paraId="3D4B386D" w14:textId="77777777" w:rsidR="0066529D" w:rsidRDefault="00A901F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09C0820C" w14:textId="77777777" w:rsidR="0066529D" w:rsidRDefault="00A901F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3949AEAC" w14:textId="77777777" w:rsidR="0066529D" w:rsidRDefault="00A901F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5ABECBAF" w14:textId="77777777" w:rsidR="0066529D" w:rsidRDefault="00A901F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6498D230" w14:textId="77777777" w:rsidR="0066529D" w:rsidRDefault="00A901F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①-③</w:t>
            </w:r>
          </w:p>
        </w:tc>
        <w:tc>
          <w:tcPr>
            <w:tcW w:w="998" w:type="dxa"/>
            <w:tcBorders>
              <w:top w:val="single" w:sz="8" w:space="0" w:color="000000"/>
              <w:left w:val="single" w:sz="8" w:space="0" w:color="000000"/>
              <w:bottom w:val="single" w:sz="8" w:space="0" w:color="000000"/>
              <w:right w:val="single" w:sz="8" w:space="0" w:color="000000"/>
            </w:tcBorders>
            <w:vAlign w:val="center"/>
          </w:tcPr>
          <w:p w14:paraId="55C45E91" w14:textId="77777777" w:rsidR="0066529D" w:rsidRDefault="00A901FF">
            <w:pPr>
              <w:pStyle w:val="biaogecenter"/>
              <w:wordWrap w:val="0"/>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②-④</w:t>
            </w:r>
          </w:p>
        </w:tc>
      </w:tr>
      <w:tr w:rsidR="0066529D" w14:paraId="701B677A"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D05371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2018.02.11~2018.12.31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1C1E3722"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-28.54%</w:t>
            </w:r>
          </w:p>
        </w:tc>
        <w:tc>
          <w:tcPr>
            <w:tcW w:w="1121" w:type="dxa"/>
            <w:tcBorders>
              <w:top w:val="single" w:sz="8" w:space="0" w:color="000000"/>
              <w:left w:val="single" w:sz="8" w:space="0" w:color="000000"/>
              <w:bottom w:val="single" w:sz="8" w:space="0" w:color="000000"/>
              <w:right w:val="single" w:sz="8" w:space="0" w:color="000000"/>
            </w:tcBorders>
            <w:vAlign w:val="center"/>
          </w:tcPr>
          <w:p w14:paraId="4E35D06B"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01897423"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11391F56"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5773D7B2"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-15.27%</w:t>
            </w:r>
          </w:p>
        </w:tc>
        <w:tc>
          <w:tcPr>
            <w:tcW w:w="998" w:type="dxa"/>
            <w:tcBorders>
              <w:top w:val="single" w:sz="8" w:space="0" w:color="000000"/>
              <w:left w:val="single" w:sz="8" w:space="0" w:color="000000"/>
              <w:bottom w:val="single" w:sz="8" w:space="0" w:color="000000"/>
              <w:right w:val="single" w:sz="8" w:space="0" w:color="000000"/>
            </w:tcBorders>
            <w:vAlign w:val="center"/>
          </w:tcPr>
          <w:p w14:paraId="1226A883"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0.09%</w:t>
            </w:r>
          </w:p>
        </w:tc>
      </w:tr>
      <w:tr w:rsidR="0066529D" w14:paraId="01C1FDF4"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665DB4DF"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2019.01.01~2019.12.31</w:t>
            </w:r>
          </w:p>
        </w:tc>
        <w:tc>
          <w:tcPr>
            <w:tcW w:w="1044" w:type="dxa"/>
            <w:tcBorders>
              <w:top w:val="single" w:sz="8" w:space="0" w:color="000000"/>
              <w:left w:val="single" w:sz="8" w:space="0" w:color="000000"/>
              <w:bottom w:val="single" w:sz="8" w:space="0" w:color="000000"/>
              <w:right w:val="single" w:sz="8" w:space="0" w:color="000000"/>
            </w:tcBorders>
            <w:vAlign w:val="center"/>
          </w:tcPr>
          <w:p w14:paraId="33F0AB1A"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22.99%</w:t>
            </w:r>
          </w:p>
        </w:tc>
        <w:tc>
          <w:tcPr>
            <w:tcW w:w="1121" w:type="dxa"/>
            <w:tcBorders>
              <w:top w:val="single" w:sz="8" w:space="0" w:color="000000"/>
              <w:left w:val="single" w:sz="8" w:space="0" w:color="000000"/>
              <w:bottom w:val="single" w:sz="8" w:space="0" w:color="000000"/>
              <w:right w:val="single" w:sz="8" w:space="0" w:color="000000"/>
            </w:tcBorders>
            <w:vAlign w:val="center"/>
          </w:tcPr>
          <w:p w14:paraId="32E0C0FD"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73587AC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246A3DF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1AD71BE6"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-3.40%</w:t>
            </w:r>
          </w:p>
        </w:tc>
        <w:tc>
          <w:tcPr>
            <w:tcW w:w="998" w:type="dxa"/>
            <w:tcBorders>
              <w:top w:val="single" w:sz="8" w:space="0" w:color="000000"/>
              <w:left w:val="single" w:sz="8" w:space="0" w:color="000000"/>
              <w:bottom w:val="single" w:sz="8" w:space="0" w:color="000000"/>
              <w:right w:val="single" w:sz="8" w:space="0" w:color="000000"/>
            </w:tcBorders>
            <w:vAlign w:val="center"/>
          </w:tcPr>
          <w:p w14:paraId="4955F5C2"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0.14%</w:t>
            </w:r>
          </w:p>
        </w:tc>
      </w:tr>
      <w:tr w:rsidR="0066529D" w14:paraId="6D3BFD5F"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0A383164"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28CB8234"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10.01%</w:t>
            </w:r>
          </w:p>
        </w:tc>
        <w:tc>
          <w:tcPr>
            <w:tcW w:w="1121" w:type="dxa"/>
            <w:tcBorders>
              <w:top w:val="single" w:sz="8" w:space="0" w:color="000000"/>
              <w:left w:val="single" w:sz="8" w:space="0" w:color="000000"/>
              <w:bottom w:val="single" w:sz="8" w:space="0" w:color="000000"/>
              <w:right w:val="single" w:sz="8" w:space="0" w:color="000000"/>
            </w:tcBorders>
            <w:vAlign w:val="center"/>
          </w:tcPr>
          <w:p w14:paraId="224ECA3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43AF851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3F90B567"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2D8C18DF"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-10.08%</w:t>
            </w:r>
          </w:p>
        </w:tc>
        <w:tc>
          <w:tcPr>
            <w:tcW w:w="998" w:type="dxa"/>
            <w:tcBorders>
              <w:top w:val="single" w:sz="8" w:space="0" w:color="000000"/>
              <w:left w:val="single" w:sz="8" w:space="0" w:color="000000"/>
              <w:bottom w:val="single" w:sz="8" w:space="0" w:color="000000"/>
              <w:right w:val="single" w:sz="8" w:space="0" w:color="000000"/>
            </w:tcBorders>
            <w:vAlign w:val="center"/>
          </w:tcPr>
          <w:p w14:paraId="72A2DE6D"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0.52%</w:t>
            </w:r>
          </w:p>
        </w:tc>
      </w:tr>
      <w:tr w:rsidR="0066529D" w14:paraId="0272EFD8"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219AE0EA"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44" w:type="dxa"/>
            <w:tcBorders>
              <w:top w:val="single" w:sz="8" w:space="0" w:color="000000"/>
              <w:left w:val="single" w:sz="8" w:space="0" w:color="000000"/>
              <w:bottom w:val="single" w:sz="8" w:space="0" w:color="000000"/>
              <w:right w:val="single" w:sz="8" w:space="0" w:color="000000"/>
            </w:tcBorders>
            <w:vAlign w:val="center"/>
          </w:tcPr>
          <w:p w14:paraId="4DB33844"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26.91%</w:t>
            </w:r>
          </w:p>
        </w:tc>
        <w:tc>
          <w:tcPr>
            <w:tcW w:w="1121" w:type="dxa"/>
            <w:tcBorders>
              <w:top w:val="single" w:sz="8" w:space="0" w:color="000000"/>
              <w:left w:val="single" w:sz="8" w:space="0" w:color="000000"/>
              <w:bottom w:val="single" w:sz="8" w:space="0" w:color="000000"/>
              <w:right w:val="single" w:sz="8" w:space="0" w:color="000000"/>
            </w:tcBorders>
            <w:vAlign w:val="center"/>
          </w:tcPr>
          <w:p w14:paraId="6F825893"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768CF15E"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181487A1"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66A3F54A"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28.63%</w:t>
            </w:r>
          </w:p>
        </w:tc>
        <w:tc>
          <w:tcPr>
            <w:tcW w:w="998" w:type="dxa"/>
            <w:tcBorders>
              <w:top w:val="single" w:sz="8" w:space="0" w:color="000000"/>
              <w:left w:val="single" w:sz="8" w:space="0" w:color="000000"/>
              <w:bottom w:val="single" w:sz="8" w:space="0" w:color="000000"/>
              <w:right w:val="single" w:sz="8" w:space="0" w:color="000000"/>
            </w:tcBorders>
            <w:vAlign w:val="center"/>
          </w:tcPr>
          <w:p w14:paraId="3B0614DD"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0.45%</w:t>
            </w:r>
          </w:p>
        </w:tc>
      </w:tr>
      <w:tr w:rsidR="0066529D" w14:paraId="56404599"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vAlign w:val="center"/>
          </w:tcPr>
          <w:p w14:paraId="146B91A0"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044" w:type="dxa"/>
            <w:tcBorders>
              <w:top w:val="single" w:sz="8" w:space="0" w:color="000000"/>
              <w:left w:val="single" w:sz="8" w:space="0" w:color="000000"/>
              <w:bottom w:val="single" w:sz="8" w:space="0" w:color="000000"/>
              <w:right w:val="single" w:sz="8" w:space="0" w:color="000000"/>
            </w:tcBorders>
          </w:tcPr>
          <w:p w14:paraId="7DBE7067" w14:textId="77777777" w:rsidR="0066529D" w:rsidRDefault="00A901FF">
            <w:pPr>
              <w:pStyle w:val="biaogecenter"/>
              <w:jc w:val="left"/>
              <w:rPr>
                <w:rFonts w:hint="eastAsia"/>
                <w:sz w:val="21"/>
                <w:szCs w:val="21"/>
              </w:rPr>
            </w:pPr>
            <w:r>
              <w:rPr>
                <w:sz w:val="21"/>
                <w:szCs w:val="21"/>
              </w:rPr>
              <w:t>-13.83%</w:t>
            </w:r>
          </w:p>
        </w:tc>
        <w:tc>
          <w:tcPr>
            <w:tcW w:w="1121" w:type="dxa"/>
            <w:tcBorders>
              <w:top w:val="single" w:sz="8" w:space="0" w:color="000000"/>
              <w:left w:val="single" w:sz="8" w:space="0" w:color="000000"/>
              <w:bottom w:val="single" w:sz="8" w:space="0" w:color="000000"/>
              <w:right w:val="single" w:sz="8" w:space="0" w:color="000000"/>
            </w:tcBorders>
          </w:tcPr>
          <w:p w14:paraId="0DEB11FD" w14:textId="77777777" w:rsidR="0066529D" w:rsidRDefault="00A901FF">
            <w:pPr>
              <w:pStyle w:val="biaogecenter"/>
              <w:jc w:val="left"/>
              <w:rPr>
                <w:rFonts w:hint="eastAsia"/>
                <w:sz w:val="21"/>
                <w:szCs w:val="21"/>
              </w:rPr>
            </w:pPr>
            <w:r>
              <w:rPr>
                <w:sz w:val="21"/>
                <w:szCs w:val="21"/>
              </w:rPr>
              <w:t>1.52%</w:t>
            </w:r>
          </w:p>
        </w:tc>
        <w:tc>
          <w:tcPr>
            <w:tcW w:w="1121" w:type="dxa"/>
            <w:tcBorders>
              <w:top w:val="single" w:sz="8" w:space="0" w:color="000000"/>
              <w:left w:val="single" w:sz="8" w:space="0" w:color="000000"/>
              <w:bottom w:val="single" w:sz="8" w:space="0" w:color="000000"/>
              <w:right w:val="single" w:sz="8" w:space="0" w:color="000000"/>
            </w:tcBorders>
          </w:tcPr>
          <w:p w14:paraId="0E1DC00D" w14:textId="77777777" w:rsidR="0066529D" w:rsidRDefault="00A901FF">
            <w:pPr>
              <w:pStyle w:val="biaogecenter"/>
              <w:jc w:val="left"/>
              <w:rPr>
                <w:rFonts w:hint="eastAsia"/>
                <w:sz w:val="21"/>
                <w:szCs w:val="21"/>
              </w:rPr>
            </w:pPr>
            <w:r>
              <w:rPr>
                <w:sz w:val="21"/>
                <w:szCs w:val="21"/>
              </w:rPr>
              <w:t>-14.45%</w:t>
            </w:r>
          </w:p>
        </w:tc>
        <w:tc>
          <w:tcPr>
            <w:tcW w:w="1399" w:type="dxa"/>
            <w:tcBorders>
              <w:top w:val="single" w:sz="8" w:space="0" w:color="000000"/>
              <w:left w:val="single" w:sz="8" w:space="0" w:color="000000"/>
              <w:bottom w:val="single" w:sz="8" w:space="0" w:color="000000"/>
              <w:right w:val="single" w:sz="8" w:space="0" w:color="000000"/>
            </w:tcBorders>
          </w:tcPr>
          <w:p w14:paraId="265D5B7C" w14:textId="77777777" w:rsidR="0066529D" w:rsidRDefault="00A901FF">
            <w:pPr>
              <w:pStyle w:val="biaogecenter"/>
              <w:jc w:val="left"/>
              <w:rPr>
                <w:rFonts w:hint="eastAsia"/>
                <w:sz w:val="21"/>
                <w:szCs w:val="21"/>
              </w:rPr>
            </w:pPr>
            <w:r>
              <w:rPr>
                <w:sz w:val="21"/>
                <w:szCs w:val="21"/>
              </w:rPr>
              <w:t>0.90%</w:t>
            </w:r>
          </w:p>
        </w:tc>
        <w:tc>
          <w:tcPr>
            <w:tcW w:w="1121" w:type="dxa"/>
            <w:tcBorders>
              <w:top w:val="single" w:sz="8" w:space="0" w:color="000000"/>
              <w:left w:val="single" w:sz="8" w:space="0" w:color="000000"/>
              <w:bottom w:val="single" w:sz="8" w:space="0" w:color="000000"/>
              <w:right w:val="single" w:sz="8" w:space="0" w:color="000000"/>
            </w:tcBorders>
          </w:tcPr>
          <w:p w14:paraId="668B76B1" w14:textId="77777777" w:rsidR="0066529D" w:rsidRDefault="00A901FF">
            <w:pPr>
              <w:pStyle w:val="biaogecenter"/>
              <w:jc w:val="left"/>
              <w:rPr>
                <w:rFonts w:hint="eastAsia"/>
                <w:sz w:val="21"/>
                <w:szCs w:val="21"/>
              </w:rPr>
            </w:pPr>
            <w:r>
              <w:rPr>
                <w:sz w:val="21"/>
                <w:szCs w:val="21"/>
              </w:rPr>
              <w:t>0.62%</w:t>
            </w:r>
          </w:p>
        </w:tc>
        <w:tc>
          <w:tcPr>
            <w:tcW w:w="998" w:type="dxa"/>
            <w:tcBorders>
              <w:top w:val="single" w:sz="8" w:space="0" w:color="000000"/>
              <w:left w:val="single" w:sz="8" w:space="0" w:color="000000"/>
              <w:bottom w:val="single" w:sz="8" w:space="0" w:color="000000"/>
              <w:right w:val="single" w:sz="8" w:space="0" w:color="000000"/>
            </w:tcBorders>
          </w:tcPr>
          <w:p w14:paraId="0F554B8E" w14:textId="77777777" w:rsidR="0066529D" w:rsidRDefault="00A901FF">
            <w:pPr>
              <w:pStyle w:val="biaogecenter"/>
              <w:jc w:val="left"/>
              <w:rPr>
                <w:rFonts w:hint="eastAsia"/>
                <w:sz w:val="21"/>
                <w:szCs w:val="21"/>
              </w:rPr>
            </w:pPr>
            <w:r>
              <w:rPr>
                <w:sz w:val="21"/>
                <w:szCs w:val="21"/>
              </w:rPr>
              <w:t>0.62%</w:t>
            </w:r>
          </w:p>
        </w:tc>
      </w:tr>
      <w:tr w:rsidR="0066529D" w14:paraId="1A2CA561"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tcPr>
          <w:p w14:paraId="2EA7224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2023.01.01~2023.12.31</w:t>
            </w:r>
          </w:p>
        </w:tc>
        <w:tc>
          <w:tcPr>
            <w:tcW w:w="1044" w:type="dxa"/>
            <w:tcBorders>
              <w:top w:val="single" w:sz="8" w:space="0" w:color="000000"/>
              <w:left w:val="single" w:sz="8" w:space="0" w:color="000000"/>
              <w:bottom w:val="single" w:sz="8" w:space="0" w:color="000000"/>
              <w:right w:val="single" w:sz="8" w:space="0" w:color="000000"/>
            </w:tcBorders>
          </w:tcPr>
          <w:p w14:paraId="5CD9F5B9"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-11.06%</w:t>
            </w:r>
          </w:p>
        </w:tc>
        <w:tc>
          <w:tcPr>
            <w:tcW w:w="1121" w:type="dxa"/>
            <w:tcBorders>
              <w:top w:val="single" w:sz="8" w:space="0" w:color="000000"/>
              <w:left w:val="single" w:sz="8" w:space="0" w:color="000000"/>
              <w:bottom w:val="single" w:sz="8" w:space="0" w:color="000000"/>
              <w:right w:val="single" w:sz="8" w:space="0" w:color="000000"/>
            </w:tcBorders>
          </w:tcPr>
          <w:p w14:paraId="30B4997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1.02%</w:t>
            </w:r>
          </w:p>
        </w:tc>
        <w:tc>
          <w:tcPr>
            <w:tcW w:w="1121" w:type="dxa"/>
            <w:tcBorders>
              <w:top w:val="single" w:sz="8" w:space="0" w:color="000000"/>
              <w:left w:val="single" w:sz="8" w:space="0" w:color="000000"/>
              <w:bottom w:val="single" w:sz="8" w:space="0" w:color="000000"/>
              <w:right w:val="single" w:sz="8" w:space="0" w:color="000000"/>
            </w:tcBorders>
          </w:tcPr>
          <w:p w14:paraId="1B6F58B9"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-6.52%</w:t>
            </w:r>
          </w:p>
        </w:tc>
        <w:tc>
          <w:tcPr>
            <w:tcW w:w="1399" w:type="dxa"/>
            <w:tcBorders>
              <w:top w:val="single" w:sz="8" w:space="0" w:color="000000"/>
              <w:left w:val="single" w:sz="8" w:space="0" w:color="000000"/>
              <w:bottom w:val="single" w:sz="8" w:space="0" w:color="000000"/>
              <w:right w:val="single" w:sz="8" w:space="0" w:color="000000"/>
            </w:tcBorders>
          </w:tcPr>
          <w:p w14:paraId="19AB6E6D"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0.59%</w:t>
            </w:r>
          </w:p>
        </w:tc>
        <w:tc>
          <w:tcPr>
            <w:tcW w:w="1121" w:type="dxa"/>
            <w:tcBorders>
              <w:top w:val="single" w:sz="8" w:space="0" w:color="000000"/>
              <w:left w:val="single" w:sz="8" w:space="0" w:color="000000"/>
              <w:bottom w:val="single" w:sz="8" w:space="0" w:color="000000"/>
              <w:right w:val="single" w:sz="8" w:space="0" w:color="000000"/>
            </w:tcBorders>
          </w:tcPr>
          <w:p w14:paraId="60B80E6F"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-4.54%</w:t>
            </w:r>
          </w:p>
        </w:tc>
        <w:tc>
          <w:tcPr>
            <w:tcW w:w="998" w:type="dxa"/>
            <w:tcBorders>
              <w:top w:val="single" w:sz="8" w:space="0" w:color="000000"/>
              <w:left w:val="single" w:sz="8" w:space="0" w:color="000000"/>
              <w:bottom w:val="single" w:sz="8" w:space="0" w:color="000000"/>
              <w:right w:val="single" w:sz="8" w:space="0" w:color="000000"/>
            </w:tcBorders>
          </w:tcPr>
          <w:p w14:paraId="100E931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0.43%</w:t>
            </w:r>
          </w:p>
        </w:tc>
      </w:tr>
      <w:tr w:rsidR="0066529D" w14:paraId="18A42A8F" w14:textId="77777777">
        <w:trPr>
          <w:trHeight w:val="340"/>
          <w:jc w:val="center"/>
        </w:trPr>
        <w:tc>
          <w:tcPr>
            <w:tcW w:w="2567" w:type="dxa"/>
            <w:tcBorders>
              <w:top w:val="single" w:sz="8" w:space="0" w:color="000000"/>
              <w:left w:val="single" w:sz="8" w:space="0" w:color="000000"/>
              <w:bottom w:val="single" w:sz="8" w:space="0" w:color="000000"/>
              <w:right w:val="single" w:sz="8" w:space="0" w:color="000000"/>
            </w:tcBorders>
          </w:tcPr>
          <w:p w14:paraId="3174166E"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自基金合同生效日至2024.06.30</w:t>
            </w:r>
          </w:p>
        </w:tc>
        <w:tc>
          <w:tcPr>
            <w:tcW w:w="1044" w:type="dxa"/>
            <w:tcBorders>
              <w:top w:val="single" w:sz="8" w:space="0" w:color="000000"/>
              <w:left w:val="single" w:sz="8" w:space="0" w:color="000000"/>
              <w:bottom w:val="single" w:sz="8" w:space="0" w:color="000000"/>
              <w:right w:val="single" w:sz="8" w:space="0" w:color="000000"/>
            </w:tcBorders>
          </w:tcPr>
          <w:p w14:paraId="4D8D499C"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-21.49%</w:t>
            </w:r>
          </w:p>
        </w:tc>
        <w:tc>
          <w:tcPr>
            <w:tcW w:w="1121" w:type="dxa"/>
            <w:tcBorders>
              <w:top w:val="single" w:sz="8" w:space="0" w:color="000000"/>
              <w:left w:val="single" w:sz="8" w:space="0" w:color="000000"/>
              <w:bottom w:val="single" w:sz="8" w:space="0" w:color="000000"/>
              <w:right w:val="single" w:sz="8" w:space="0" w:color="000000"/>
            </w:tcBorders>
          </w:tcPr>
          <w:p w14:paraId="404DC2BC"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1.32%</w:t>
            </w:r>
          </w:p>
        </w:tc>
        <w:tc>
          <w:tcPr>
            <w:tcW w:w="1121" w:type="dxa"/>
            <w:tcBorders>
              <w:top w:val="single" w:sz="8" w:space="0" w:color="000000"/>
              <w:left w:val="single" w:sz="8" w:space="0" w:color="000000"/>
              <w:bottom w:val="single" w:sz="8" w:space="0" w:color="000000"/>
              <w:right w:val="single" w:sz="8" w:space="0" w:color="000000"/>
            </w:tcBorders>
          </w:tcPr>
          <w:p w14:paraId="023470B4"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5.55%</w:t>
            </w:r>
          </w:p>
        </w:tc>
        <w:tc>
          <w:tcPr>
            <w:tcW w:w="1399" w:type="dxa"/>
            <w:tcBorders>
              <w:top w:val="single" w:sz="8" w:space="0" w:color="000000"/>
              <w:left w:val="single" w:sz="8" w:space="0" w:color="000000"/>
              <w:bottom w:val="single" w:sz="8" w:space="0" w:color="000000"/>
              <w:right w:val="single" w:sz="8" w:space="0" w:color="000000"/>
            </w:tcBorders>
          </w:tcPr>
          <w:p w14:paraId="30D46B07"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0.84%</w:t>
            </w:r>
          </w:p>
        </w:tc>
        <w:tc>
          <w:tcPr>
            <w:tcW w:w="1121" w:type="dxa"/>
            <w:tcBorders>
              <w:top w:val="single" w:sz="8" w:space="0" w:color="000000"/>
              <w:left w:val="single" w:sz="8" w:space="0" w:color="000000"/>
              <w:bottom w:val="single" w:sz="8" w:space="0" w:color="000000"/>
              <w:right w:val="single" w:sz="8" w:space="0" w:color="000000"/>
            </w:tcBorders>
          </w:tcPr>
          <w:p w14:paraId="601AC9E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-27.04%</w:t>
            </w:r>
          </w:p>
        </w:tc>
        <w:tc>
          <w:tcPr>
            <w:tcW w:w="998" w:type="dxa"/>
            <w:tcBorders>
              <w:top w:val="single" w:sz="8" w:space="0" w:color="000000"/>
              <w:left w:val="single" w:sz="8" w:space="0" w:color="000000"/>
              <w:bottom w:val="single" w:sz="8" w:space="0" w:color="000000"/>
              <w:right w:val="single" w:sz="8" w:space="0" w:color="000000"/>
            </w:tcBorders>
          </w:tcPr>
          <w:p w14:paraId="7EBFA183"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0.48%</w:t>
            </w:r>
          </w:p>
        </w:tc>
      </w:tr>
    </w:tbl>
    <w:p w14:paraId="6D016F1D" w14:textId="77777777" w:rsidR="0066529D" w:rsidRDefault="0066529D">
      <w:pPr>
        <w:autoSpaceDE w:val="0"/>
        <w:autoSpaceDN w:val="0"/>
        <w:spacing w:line="360" w:lineRule="auto"/>
        <w:ind w:firstLineChars="200" w:firstLine="480"/>
        <w:textAlignment w:val="bottom"/>
        <w:rPr>
          <w:rFonts w:asciiTheme="minorEastAsia" w:hAnsiTheme="minorEastAsia" w:cs="Times New Roman" w:hint="eastAsia"/>
          <w:bCs/>
          <w:sz w:val="24"/>
          <w:szCs w:val="24"/>
        </w:rPr>
      </w:pPr>
    </w:p>
    <w:p w14:paraId="6B108A18"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2）富荣福康混合C（基金代码：005105） </w:t>
      </w:r>
    </w:p>
    <w:tbl>
      <w:tblPr>
        <w:tblW w:w="9377" w:type="dxa"/>
        <w:jc w:val="center"/>
        <w:tblLayout w:type="fixed"/>
        <w:tblLook w:val="04A0" w:firstRow="1" w:lastRow="0" w:firstColumn="1" w:lastColumn="0" w:noHBand="0" w:noVBand="1"/>
      </w:tblPr>
      <w:tblGrid>
        <w:gridCol w:w="2573"/>
        <w:gridCol w:w="1086"/>
        <w:gridCol w:w="1121"/>
        <w:gridCol w:w="1121"/>
        <w:gridCol w:w="1399"/>
        <w:gridCol w:w="1121"/>
        <w:gridCol w:w="956"/>
      </w:tblGrid>
      <w:tr w:rsidR="0066529D" w14:paraId="116CF01F" w14:textId="77777777">
        <w:trPr>
          <w:trHeight w:val="1619"/>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48E9D8C"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阶段</w:t>
            </w:r>
          </w:p>
        </w:tc>
        <w:tc>
          <w:tcPr>
            <w:tcW w:w="1086" w:type="dxa"/>
            <w:tcBorders>
              <w:top w:val="single" w:sz="8" w:space="0" w:color="000000"/>
              <w:left w:val="single" w:sz="8" w:space="0" w:color="000000"/>
              <w:bottom w:val="single" w:sz="8" w:space="0" w:color="000000"/>
              <w:right w:val="single" w:sz="8" w:space="0" w:color="000000"/>
            </w:tcBorders>
            <w:vAlign w:val="center"/>
          </w:tcPr>
          <w:p w14:paraId="1E3EF42E"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份额净值增长率①</w:t>
            </w:r>
          </w:p>
        </w:tc>
        <w:tc>
          <w:tcPr>
            <w:tcW w:w="1121" w:type="dxa"/>
            <w:tcBorders>
              <w:top w:val="single" w:sz="8" w:space="0" w:color="000000"/>
              <w:left w:val="single" w:sz="8" w:space="0" w:color="000000"/>
              <w:bottom w:val="single" w:sz="8" w:space="0" w:color="000000"/>
              <w:right w:val="single" w:sz="8" w:space="0" w:color="000000"/>
            </w:tcBorders>
            <w:vAlign w:val="center"/>
          </w:tcPr>
          <w:p w14:paraId="702A46F9"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份额净值增长率标准差②</w:t>
            </w:r>
          </w:p>
        </w:tc>
        <w:tc>
          <w:tcPr>
            <w:tcW w:w="1121" w:type="dxa"/>
            <w:tcBorders>
              <w:top w:val="single" w:sz="8" w:space="0" w:color="000000"/>
              <w:left w:val="single" w:sz="8" w:space="0" w:color="000000"/>
              <w:bottom w:val="single" w:sz="8" w:space="0" w:color="000000"/>
              <w:right w:val="single" w:sz="8" w:space="0" w:color="000000"/>
            </w:tcBorders>
            <w:vAlign w:val="center"/>
          </w:tcPr>
          <w:p w14:paraId="20F1BC7D"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业绩比较基准收益率③</w:t>
            </w:r>
          </w:p>
        </w:tc>
        <w:tc>
          <w:tcPr>
            <w:tcW w:w="1399" w:type="dxa"/>
            <w:tcBorders>
              <w:top w:val="single" w:sz="8" w:space="0" w:color="000000"/>
              <w:left w:val="single" w:sz="8" w:space="0" w:color="000000"/>
              <w:bottom w:val="single" w:sz="8" w:space="0" w:color="000000"/>
              <w:right w:val="single" w:sz="8" w:space="0" w:color="000000"/>
            </w:tcBorders>
            <w:vAlign w:val="center"/>
          </w:tcPr>
          <w:p w14:paraId="74D8CEF7"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业绩比较基准收益率标准差④</w:t>
            </w:r>
          </w:p>
        </w:tc>
        <w:tc>
          <w:tcPr>
            <w:tcW w:w="1121" w:type="dxa"/>
            <w:tcBorders>
              <w:top w:val="single" w:sz="8" w:space="0" w:color="000000"/>
              <w:left w:val="single" w:sz="8" w:space="0" w:color="000000"/>
              <w:bottom w:val="single" w:sz="8" w:space="0" w:color="000000"/>
              <w:right w:val="single" w:sz="8" w:space="0" w:color="000000"/>
            </w:tcBorders>
            <w:vAlign w:val="center"/>
          </w:tcPr>
          <w:p w14:paraId="3C88C57A"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①-③</w:t>
            </w:r>
          </w:p>
        </w:tc>
        <w:tc>
          <w:tcPr>
            <w:tcW w:w="956" w:type="dxa"/>
            <w:tcBorders>
              <w:top w:val="single" w:sz="8" w:space="0" w:color="000000"/>
              <w:left w:val="single" w:sz="8" w:space="0" w:color="000000"/>
              <w:bottom w:val="single" w:sz="8" w:space="0" w:color="000000"/>
              <w:right w:val="single" w:sz="8" w:space="0" w:color="000000"/>
            </w:tcBorders>
            <w:vAlign w:val="center"/>
          </w:tcPr>
          <w:p w14:paraId="660CBAF3"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②-④</w:t>
            </w:r>
          </w:p>
        </w:tc>
      </w:tr>
      <w:tr w:rsidR="0066529D" w14:paraId="50803923"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1B4481B2"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2018.02.11~2018.12.31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2E30587D"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-28.57%</w:t>
            </w:r>
          </w:p>
        </w:tc>
        <w:tc>
          <w:tcPr>
            <w:tcW w:w="1121" w:type="dxa"/>
            <w:tcBorders>
              <w:top w:val="single" w:sz="8" w:space="0" w:color="000000"/>
              <w:left w:val="single" w:sz="8" w:space="0" w:color="000000"/>
              <w:bottom w:val="single" w:sz="8" w:space="0" w:color="000000"/>
              <w:right w:val="single" w:sz="8" w:space="0" w:color="000000"/>
            </w:tcBorders>
            <w:vAlign w:val="center"/>
          </w:tcPr>
          <w:p w14:paraId="0FBF908D"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1.03%</w:t>
            </w:r>
          </w:p>
        </w:tc>
        <w:tc>
          <w:tcPr>
            <w:tcW w:w="1121" w:type="dxa"/>
            <w:tcBorders>
              <w:top w:val="single" w:sz="8" w:space="0" w:color="000000"/>
              <w:left w:val="single" w:sz="8" w:space="0" w:color="000000"/>
              <w:bottom w:val="single" w:sz="8" w:space="0" w:color="000000"/>
              <w:right w:val="single" w:sz="8" w:space="0" w:color="000000"/>
            </w:tcBorders>
            <w:vAlign w:val="center"/>
          </w:tcPr>
          <w:p w14:paraId="43191C3B"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-13.27%</w:t>
            </w:r>
          </w:p>
        </w:tc>
        <w:tc>
          <w:tcPr>
            <w:tcW w:w="1399" w:type="dxa"/>
            <w:tcBorders>
              <w:top w:val="single" w:sz="8" w:space="0" w:color="000000"/>
              <w:left w:val="single" w:sz="8" w:space="0" w:color="000000"/>
              <w:bottom w:val="single" w:sz="8" w:space="0" w:color="000000"/>
              <w:right w:val="single" w:sz="8" w:space="0" w:color="000000"/>
            </w:tcBorders>
            <w:vAlign w:val="center"/>
          </w:tcPr>
          <w:p w14:paraId="355CE750"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0.94%</w:t>
            </w:r>
          </w:p>
        </w:tc>
        <w:tc>
          <w:tcPr>
            <w:tcW w:w="1121" w:type="dxa"/>
            <w:tcBorders>
              <w:top w:val="single" w:sz="8" w:space="0" w:color="000000"/>
              <w:left w:val="single" w:sz="8" w:space="0" w:color="000000"/>
              <w:bottom w:val="single" w:sz="8" w:space="0" w:color="000000"/>
              <w:right w:val="single" w:sz="8" w:space="0" w:color="000000"/>
            </w:tcBorders>
            <w:vAlign w:val="center"/>
          </w:tcPr>
          <w:p w14:paraId="4822C6C6"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-15.30%</w:t>
            </w:r>
          </w:p>
        </w:tc>
        <w:tc>
          <w:tcPr>
            <w:tcW w:w="956" w:type="dxa"/>
            <w:tcBorders>
              <w:top w:val="single" w:sz="8" w:space="0" w:color="000000"/>
              <w:left w:val="single" w:sz="8" w:space="0" w:color="000000"/>
              <w:bottom w:val="single" w:sz="8" w:space="0" w:color="000000"/>
              <w:right w:val="single" w:sz="8" w:space="0" w:color="000000"/>
            </w:tcBorders>
            <w:vAlign w:val="center"/>
          </w:tcPr>
          <w:p w14:paraId="7930642E"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0.09%</w:t>
            </w:r>
          </w:p>
        </w:tc>
      </w:tr>
      <w:tr w:rsidR="0066529D" w14:paraId="3D440AD4"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21CDA7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2019.01.01~2019.12.31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07F4FC04"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22.90%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C74EC8F"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1.01%</w:t>
            </w:r>
          </w:p>
        </w:tc>
        <w:tc>
          <w:tcPr>
            <w:tcW w:w="1121" w:type="dxa"/>
            <w:tcBorders>
              <w:top w:val="single" w:sz="8" w:space="0" w:color="000000"/>
              <w:left w:val="single" w:sz="8" w:space="0" w:color="000000"/>
              <w:bottom w:val="single" w:sz="8" w:space="0" w:color="000000"/>
              <w:right w:val="single" w:sz="8" w:space="0" w:color="000000"/>
            </w:tcBorders>
            <w:vAlign w:val="center"/>
          </w:tcPr>
          <w:p w14:paraId="0CA41241"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26.39%</w:t>
            </w:r>
          </w:p>
        </w:tc>
        <w:tc>
          <w:tcPr>
            <w:tcW w:w="1399" w:type="dxa"/>
            <w:tcBorders>
              <w:top w:val="single" w:sz="8" w:space="0" w:color="000000"/>
              <w:left w:val="single" w:sz="8" w:space="0" w:color="000000"/>
              <w:bottom w:val="single" w:sz="8" w:space="0" w:color="000000"/>
              <w:right w:val="single" w:sz="8" w:space="0" w:color="000000"/>
            </w:tcBorders>
            <w:vAlign w:val="center"/>
          </w:tcPr>
          <w:p w14:paraId="0D5CF519"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0.87%</w:t>
            </w:r>
          </w:p>
        </w:tc>
        <w:tc>
          <w:tcPr>
            <w:tcW w:w="1121" w:type="dxa"/>
            <w:tcBorders>
              <w:top w:val="single" w:sz="8" w:space="0" w:color="000000"/>
              <w:left w:val="single" w:sz="8" w:space="0" w:color="000000"/>
              <w:bottom w:val="single" w:sz="8" w:space="0" w:color="000000"/>
              <w:right w:val="single" w:sz="8" w:space="0" w:color="000000"/>
            </w:tcBorders>
            <w:vAlign w:val="center"/>
          </w:tcPr>
          <w:p w14:paraId="42337D60"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-3.49%</w:t>
            </w:r>
          </w:p>
        </w:tc>
        <w:tc>
          <w:tcPr>
            <w:tcW w:w="956" w:type="dxa"/>
            <w:tcBorders>
              <w:top w:val="single" w:sz="8" w:space="0" w:color="000000"/>
              <w:left w:val="single" w:sz="8" w:space="0" w:color="000000"/>
              <w:bottom w:val="single" w:sz="8" w:space="0" w:color="000000"/>
              <w:right w:val="single" w:sz="8" w:space="0" w:color="000000"/>
            </w:tcBorders>
            <w:vAlign w:val="center"/>
          </w:tcPr>
          <w:p w14:paraId="4C5D95AE"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0.14%</w:t>
            </w:r>
          </w:p>
        </w:tc>
      </w:tr>
      <w:tr w:rsidR="0066529D" w14:paraId="50697F2E"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76603FF4"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2020.01.01~2020.</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58264C8"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8.58%</w:t>
            </w:r>
          </w:p>
        </w:tc>
        <w:tc>
          <w:tcPr>
            <w:tcW w:w="1121" w:type="dxa"/>
            <w:tcBorders>
              <w:top w:val="single" w:sz="8" w:space="0" w:color="000000"/>
              <w:left w:val="single" w:sz="8" w:space="0" w:color="000000"/>
              <w:bottom w:val="single" w:sz="8" w:space="0" w:color="000000"/>
              <w:right w:val="single" w:sz="8" w:space="0" w:color="000000"/>
            </w:tcBorders>
            <w:vAlign w:val="center"/>
          </w:tcPr>
          <w:p w14:paraId="56613149"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1.54%</w:t>
            </w:r>
          </w:p>
        </w:tc>
        <w:tc>
          <w:tcPr>
            <w:tcW w:w="1121" w:type="dxa"/>
            <w:tcBorders>
              <w:top w:val="single" w:sz="8" w:space="0" w:color="000000"/>
              <w:left w:val="single" w:sz="8" w:space="0" w:color="000000"/>
              <w:bottom w:val="single" w:sz="8" w:space="0" w:color="000000"/>
              <w:right w:val="single" w:sz="8" w:space="0" w:color="000000"/>
            </w:tcBorders>
            <w:vAlign w:val="center"/>
          </w:tcPr>
          <w:p w14:paraId="69AC952F"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20.09%</w:t>
            </w:r>
          </w:p>
        </w:tc>
        <w:tc>
          <w:tcPr>
            <w:tcW w:w="1399" w:type="dxa"/>
            <w:tcBorders>
              <w:top w:val="single" w:sz="8" w:space="0" w:color="000000"/>
              <w:left w:val="single" w:sz="8" w:space="0" w:color="000000"/>
              <w:bottom w:val="single" w:sz="8" w:space="0" w:color="000000"/>
              <w:right w:val="single" w:sz="8" w:space="0" w:color="000000"/>
            </w:tcBorders>
            <w:vAlign w:val="center"/>
          </w:tcPr>
          <w:p w14:paraId="1CE419D9"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1.00%</w:t>
            </w:r>
          </w:p>
        </w:tc>
        <w:tc>
          <w:tcPr>
            <w:tcW w:w="1121" w:type="dxa"/>
            <w:tcBorders>
              <w:top w:val="single" w:sz="8" w:space="0" w:color="000000"/>
              <w:left w:val="single" w:sz="8" w:space="0" w:color="000000"/>
              <w:bottom w:val="single" w:sz="8" w:space="0" w:color="000000"/>
              <w:right w:val="single" w:sz="8" w:space="0" w:color="000000"/>
            </w:tcBorders>
            <w:vAlign w:val="center"/>
          </w:tcPr>
          <w:p w14:paraId="75C05147"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-11.51%</w:t>
            </w:r>
          </w:p>
        </w:tc>
        <w:tc>
          <w:tcPr>
            <w:tcW w:w="956" w:type="dxa"/>
            <w:tcBorders>
              <w:top w:val="single" w:sz="8" w:space="0" w:color="000000"/>
              <w:left w:val="single" w:sz="8" w:space="0" w:color="000000"/>
              <w:bottom w:val="single" w:sz="8" w:space="0" w:color="000000"/>
              <w:right w:val="single" w:sz="8" w:space="0" w:color="000000"/>
            </w:tcBorders>
            <w:vAlign w:val="center"/>
          </w:tcPr>
          <w:p w14:paraId="6DFAFA84"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0.54%</w:t>
            </w:r>
          </w:p>
        </w:tc>
      </w:tr>
      <w:tr w:rsidR="0066529D" w14:paraId="023089F8"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43E24293"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color w:val="000000"/>
                <w:sz w:val="21"/>
                <w:szCs w:val="21"/>
              </w:rPr>
              <w:t>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.01.01~202</w:t>
            </w:r>
            <w:r>
              <w:rPr>
                <w:rFonts w:asciiTheme="minorEastAsia" w:eastAsiaTheme="minorEastAsia" w:hAnsiTheme="minorEastAsia" w:hint="eastAsia"/>
                <w:color w:val="000000"/>
                <w:sz w:val="21"/>
                <w:szCs w:val="21"/>
              </w:rPr>
              <w:t>1</w:t>
            </w:r>
            <w:r>
              <w:rPr>
                <w:rFonts w:asciiTheme="minorEastAsia" w:eastAsiaTheme="minorEastAsia" w:hAnsiTheme="minorEastAsia"/>
                <w:color w:val="000000"/>
                <w:sz w:val="21"/>
                <w:szCs w:val="21"/>
              </w:rPr>
              <w:t>.</w:t>
            </w:r>
            <w:r>
              <w:rPr>
                <w:rFonts w:asciiTheme="minorEastAsia" w:eastAsiaTheme="minorEastAsia" w:hAnsiTheme="minorEastAsia" w:hint="eastAsia"/>
                <w:color w:val="000000"/>
                <w:sz w:val="21"/>
                <w:szCs w:val="21"/>
              </w:rPr>
              <w:t>12</w:t>
            </w:r>
            <w:r>
              <w:rPr>
                <w:rFonts w:asciiTheme="minorEastAsia" w:eastAsiaTheme="minorEastAsia" w:hAnsiTheme="minorEastAsia"/>
                <w:color w:val="000000"/>
                <w:sz w:val="21"/>
                <w:szCs w:val="21"/>
              </w:rPr>
              <w:t>.3</w:t>
            </w:r>
            <w:r>
              <w:rPr>
                <w:rFonts w:asciiTheme="minorEastAsia" w:eastAsiaTheme="minorEastAsia" w:hAnsiTheme="minorEastAsia" w:hint="eastAsia"/>
                <w:color w:val="000000"/>
                <w:sz w:val="21"/>
                <w:szCs w:val="21"/>
              </w:rPr>
              <w:t>1</w:t>
            </w:r>
          </w:p>
        </w:tc>
        <w:tc>
          <w:tcPr>
            <w:tcW w:w="1086" w:type="dxa"/>
            <w:tcBorders>
              <w:top w:val="single" w:sz="8" w:space="0" w:color="000000"/>
              <w:left w:val="single" w:sz="8" w:space="0" w:color="000000"/>
              <w:bottom w:val="single" w:sz="8" w:space="0" w:color="000000"/>
              <w:right w:val="single" w:sz="8" w:space="0" w:color="000000"/>
            </w:tcBorders>
            <w:vAlign w:val="center"/>
          </w:tcPr>
          <w:p w14:paraId="5A20DE63"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26.90%</w:t>
            </w:r>
          </w:p>
        </w:tc>
        <w:tc>
          <w:tcPr>
            <w:tcW w:w="1121" w:type="dxa"/>
            <w:tcBorders>
              <w:top w:val="single" w:sz="8" w:space="0" w:color="000000"/>
              <w:left w:val="single" w:sz="8" w:space="0" w:color="000000"/>
              <w:bottom w:val="single" w:sz="8" w:space="0" w:color="000000"/>
              <w:right w:val="single" w:sz="8" w:space="0" w:color="000000"/>
            </w:tcBorders>
            <w:vAlign w:val="center"/>
          </w:tcPr>
          <w:p w14:paraId="3A0065C4"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1.27%</w:t>
            </w:r>
          </w:p>
        </w:tc>
        <w:tc>
          <w:tcPr>
            <w:tcW w:w="1121" w:type="dxa"/>
            <w:tcBorders>
              <w:top w:val="single" w:sz="8" w:space="0" w:color="000000"/>
              <w:left w:val="single" w:sz="8" w:space="0" w:color="000000"/>
              <w:bottom w:val="single" w:sz="8" w:space="0" w:color="000000"/>
              <w:right w:val="single" w:sz="8" w:space="0" w:color="000000"/>
            </w:tcBorders>
            <w:vAlign w:val="center"/>
          </w:tcPr>
          <w:p w14:paraId="3C4CD5F6"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-1.72%</w:t>
            </w:r>
          </w:p>
        </w:tc>
        <w:tc>
          <w:tcPr>
            <w:tcW w:w="1399" w:type="dxa"/>
            <w:tcBorders>
              <w:top w:val="single" w:sz="8" w:space="0" w:color="000000"/>
              <w:left w:val="single" w:sz="8" w:space="0" w:color="000000"/>
              <w:bottom w:val="single" w:sz="8" w:space="0" w:color="000000"/>
              <w:right w:val="single" w:sz="8" w:space="0" w:color="000000"/>
            </w:tcBorders>
            <w:vAlign w:val="center"/>
          </w:tcPr>
          <w:p w14:paraId="6AB91C53"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0.82%</w:t>
            </w:r>
          </w:p>
        </w:tc>
        <w:tc>
          <w:tcPr>
            <w:tcW w:w="1121" w:type="dxa"/>
            <w:tcBorders>
              <w:top w:val="single" w:sz="8" w:space="0" w:color="000000"/>
              <w:left w:val="single" w:sz="8" w:space="0" w:color="000000"/>
              <w:bottom w:val="single" w:sz="8" w:space="0" w:color="000000"/>
              <w:right w:val="single" w:sz="8" w:space="0" w:color="000000"/>
            </w:tcBorders>
            <w:vAlign w:val="center"/>
          </w:tcPr>
          <w:p w14:paraId="5A8093D0"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28.62%</w:t>
            </w:r>
          </w:p>
        </w:tc>
        <w:tc>
          <w:tcPr>
            <w:tcW w:w="956" w:type="dxa"/>
            <w:tcBorders>
              <w:top w:val="single" w:sz="8" w:space="0" w:color="000000"/>
              <w:left w:val="single" w:sz="8" w:space="0" w:color="000000"/>
              <w:bottom w:val="single" w:sz="8" w:space="0" w:color="000000"/>
              <w:right w:val="single" w:sz="8" w:space="0" w:color="000000"/>
            </w:tcBorders>
            <w:vAlign w:val="center"/>
          </w:tcPr>
          <w:p w14:paraId="11B36F7A" w14:textId="77777777" w:rsidR="0066529D" w:rsidRDefault="00A901FF">
            <w:pPr>
              <w:pStyle w:val="biaogecenter"/>
              <w:jc w:val="left"/>
              <w:rPr>
                <w:rFonts w:asciiTheme="minorEastAsia" w:eastAsiaTheme="minorEastAsia" w:hAnsiTheme="minorEastAsia" w:hint="eastAsia"/>
                <w:color w:val="000000"/>
                <w:sz w:val="21"/>
                <w:szCs w:val="21"/>
              </w:rPr>
            </w:pPr>
            <w:r>
              <w:rPr>
                <w:sz w:val="21"/>
                <w:szCs w:val="21"/>
              </w:rPr>
              <w:t>0.45%</w:t>
            </w:r>
          </w:p>
        </w:tc>
      </w:tr>
      <w:tr w:rsidR="0066529D" w14:paraId="65D12F56"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vAlign w:val="center"/>
          </w:tcPr>
          <w:p w14:paraId="6CC5628B"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2022.01.01~2022.12.31</w:t>
            </w:r>
          </w:p>
        </w:tc>
        <w:tc>
          <w:tcPr>
            <w:tcW w:w="1086" w:type="dxa"/>
            <w:tcBorders>
              <w:top w:val="single" w:sz="8" w:space="0" w:color="000000"/>
              <w:left w:val="single" w:sz="8" w:space="0" w:color="000000"/>
              <w:bottom w:val="single" w:sz="8" w:space="0" w:color="000000"/>
              <w:right w:val="single" w:sz="8" w:space="0" w:color="000000"/>
            </w:tcBorders>
            <w:vAlign w:val="center"/>
          </w:tcPr>
          <w:p w14:paraId="6B62561F" w14:textId="77777777" w:rsidR="0066529D" w:rsidRDefault="00A901FF">
            <w:pPr>
              <w:pStyle w:val="biaogecenter"/>
              <w:jc w:val="left"/>
              <w:rPr>
                <w:rFonts w:hint="eastAsia"/>
                <w:sz w:val="21"/>
                <w:szCs w:val="21"/>
              </w:rPr>
            </w:pPr>
            <w:r>
              <w:rPr>
                <w:rFonts w:hAnsi="等线"/>
                <w:color w:val="000000"/>
                <w:sz w:val="21"/>
                <w:szCs w:val="21"/>
              </w:rPr>
              <w:t>-13.84%</w:t>
            </w:r>
          </w:p>
        </w:tc>
        <w:tc>
          <w:tcPr>
            <w:tcW w:w="1121" w:type="dxa"/>
            <w:tcBorders>
              <w:top w:val="single" w:sz="8" w:space="0" w:color="000000"/>
              <w:left w:val="single" w:sz="8" w:space="0" w:color="000000"/>
              <w:bottom w:val="single" w:sz="8" w:space="0" w:color="000000"/>
              <w:right w:val="single" w:sz="8" w:space="0" w:color="000000"/>
            </w:tcBorders>
            <w:vAlign w:val="center"/>
          </w:tcPr>
          <w:p w14:paraId="368EC532" w14:textId="77777777" w:rsidR="0066529D" w:rsidRDefault="00A901FF">
            <w:pPr>
              <w:pStyle w:val="biaogecenter"/>
              <w:jc w:val="left"/>
              <w:rPr>
                <w:rFonts w:hint="eastAsia"/>
                <w:sz w:val="21"/>
                <w:szCs w:val="21"/>
              </w:rPr>
            </w:pPr>
            <w:r>
              <w:rPr>
                <w:rFonts w:hAnsi="等线"/>
                <w:color w:val="000000"/>
                <w:sz w:val="21"/>
                <w:szCs w:val="21"/>
              </w:rPr>
              <w:t>1.52%</w:t>
            </w:r>
          </w:p>
        </w:tc>
        <w:tc>
          <w:tcPr>
            <w:tcW w:w="1121" w:type="dxa"/>
            <w:tcBorders>
              <w:top w:val="single" w:sz="8" w:space="0" w:color="000000"/>
              <w:left w:val="single" w:sz="8" w:space="0" w:color="000000"/>
              <w:bottom w:val="single" w:sz="8" w:space="0" w:color="000000"/>
              <w:right w:val="single" w:sz="8" w:space="0" w:color="000000"/>
            </w:tcBorders>
            <w:vAlign w:val="center"/>
          </w:tcPr>
          <w:p w14:paraId="1E2FD23A" w14:textId="77777777" w:rsidR="0066529D" w:rsidRDefault="00A901FF">
            <w:pPr>
              <w:pStyle w:val="biaogecenter"/>
              <w:jc w:val="left"/>
              <w:rPr>
                <w:rFonts w:hint="eastAsia"/>
                <w:sz w:val="21"/>
                <w:szCs w:val="21"/>
              </w:rPr>
            </w:pPr>
            <w:r>
              <w:rPr>
                <w:rFonts w:hAnsi="等线"/>
                <w:color w:val="000000"/>
                <w:sz w:val="21"/>
                <w:szCs w:val="21"/>
              </w:rPr>
              <w:t>-14.45%</w:t>
            </w:r>
          </w:p>
        </w:tc>
        <w:tc>
          <w:tcPr>
            <w:tcW w:w="1399" w:type="dxa"/>
            <w:tcBorders>
              <w:top w:val="single" w:sz="8" w:space="0" w:color="000000"/>
              <w:left w:val="single" w:sz="8" w:space="0" w:color="000000"/>
              <w:bottom w:val="single" w:sz="8" w:space="0" w:color="000000"/>
              <w:right w:val="single" w:sz="8" w:space="0" w:color="000000"/>
            </w:tcBorders>
            <w:vAlign w:val="center"/>
          </w:tcPr>
          <w:p w14:paraId="2BA0C45A" w14:textId="77777777" w:rsidR="0066529D" w:rsidRDefault="00A901FF">
            <w:pPr>
              <w:pStyle w:val="biaogecenter"/>
              <w:jc w:val="left"/>
              <w:rPr>
                <w:rFonts w:hint="eastAsia"/>
                <w:sz w:val="21"/>
                <w:szCs w:val="21"/>
              </w:rPr>
            </w:pPr>
            <w:r>
              <w:rPr>
                <w:rFonts w:hAnsi="等线"/>
                <w:color w:val="000000"/>
                <w:sz w:val="21"/>
                <w:szCs w:val="21"/>
              </w:rPr>
              <w:t>0.90%</w:t>
            </w:r>
          </w:p>
        </w:tc>
        <w:tc>
          <w:tcPr>
            <w:tcW w:w="1121" w:type="dxa"/>
            <w:tcBorders>
              <w:top w:val="single" w:sz="8" w:space="0" w:color="000000"/>
              <w:left w:val="single" w:sz="8" w:space="0" w:color="000000"/>
              <w:bottom w:val="single" w:sz="8" w:space="0" w:color="000000"/>
              <w:right w:val="single" w:sz="8" w:space="0" w:color="000000"/>
            </w:tcBorders>
            <w:vAlign w:val="center"/>
          </w:tcPr>
          <w:p w14:paraId="51997CE6" w14:textId="77777777" w:rsidR="0066529D" w:rsidRDefault="00A901FF">
            <w:pPr>
              <w:pStyle w:val="biaogecenter"/>
              <w:jc w:val="left"/>
              <w:rPr>
                <w:rFonts w:hint="eastAsia"/>
                <w:sz w:val="21"/>
                <w:szCs w:val="21"/>
              </w:rPr>
            </w:pPr>
            <w:r>
              <w:rPr>
                <w:rFonts w:hAnsi="等线"/>
                <w:color w:val="000000"/>
                <w:sz w:val="21"/>
                <w:szCs w:val="21"/>
              </w:rPr>
              <w:t>0.61%</w:t>
            </w:r>
          </w:p>
        </w:tc>
        <w:tc>
          <w:tcPr>
            <w:tcW w:w="956" w:type="dxa"/>
            <w:tcBorders>
              <w:top w:val="single" w:sz="8" w:space="0" w:color="000000"/>
              <w:left w:val="single" w:sz="8" w:space="0" w:color="000000"/>
              <w:bottom w:val="single" w:sz="8" w:space="0" w:color="000000"/>
              <w:right w:val="single" w:sz="8" w:space="0" w:color="000000"/>
            </w:tcBorders>
            <w:vAlign w:val="center"/>
          </w:tcPr>
          <w:p w14:paraId="085952FB" w14:textId="77777777" w:rsidR="0066529D" w:rsidRDefault="00A901FF">
            <w:pPr>
              <w:pStyle w:val="biaogecenter"/>
              <w:jc w:val="left"/>
              <w:rPr>
                <w:rFonts w:hint="eastAsia"/>
                <w:sz w:val="21"/>
                <w:szCs w:val="21"/>
              </w:rPr>
            </w:pPr>
            <w:r>
              <w:rPr>
                <w:rFonts w:hAnsi="等线"/>
                <w:color w:val="000000"/>
                <w:sz w:val="21"/>
                <w:szCs w:val="21"/>
              </w:rPr>
              <w:t>0.62%</w:t>
            </w:r>
          </w:p>
        </w:tc>
      </w:tr>
      <w:tr w:rsidR="0066529D" w14:paraId="23C2E1B3"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tcPr>
          <w:p w14:paraId="5A09ACC7"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2023.01.01~2023.12.31</w:t>
            </w:r>
          </w:p>
        </w:tc>
        <w:tc>
          <w:tcPr>
            <w:tcW w:w="1086" w:type="dxa"/>
            <w:tcBorders>
              <w:top w:val="single" w:sz="8" w:space="0" w:color="000000"/>
              <w:left w:val="single" w:sz="8" w:space="0" w:color="000000"/>
              <w:bottom w:val="single" w:sz="8" w:space="0" w:color="000000"/>
              <w:right w:val="single" w:sz="8" w:space="0" w:color="000000"/>
            </w:tcBorders>
          </w:tcPr>
          <w:p w14:paraId="40362EF3"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-11.06%</w:t>
            </w:r>
          </w:p>
        </w:tc>
        <w:tc>
          <w:tcPr>
            <w:tcW w:w="1121" w:type="dxa"/>
            <w:tcBorders>
              <w:top w:val="single" w:sz="8" w:space="0" w:color="000000"/>
              <w:left w:val="single" w:sz="8" w:space="0" w:color="000000"/>
              <w:bottom w:val="single" w:sz="8" w:space="0" w:color="000000"/>
              <w:right w:val="single" w:sz="8" w:space="0" w:color="000000"/>
            </w:tcBorders>
          </w:tcPr>
          <w:p w14:paraId="79B40640"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1.02%</w:t>
            </w:r>
          </w:p>
        </w:tc>
        <w:tc>
          <w:tcPr>
            <w:tcW w:w="1121" w:type="dxa"/>
            <w:tcBorders>
              <w:top w:val="single" w:sz="8" w:space="0" w:color="000000"/>
              <w:left w:val="single" w:sz="8" w:space="0" w:color="000000"/>
              <w:bottom w:val="single" w:sz="8" w:space="0" w:color="000000"/>
              <w:right w:val="single" w:sz="8" w:space="0" w:color="000000"/>
            </w:tcBorders>
          </w:tcPr>
          <w:p w14:paraId="0A60CDA0"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-6.52%</w:t>
            </w:r>
          </w:p>
        </w:tc>
        <w:tc>
          <w:tcPr>
            <w:tcW w:w="1399" w:type="dxa"/>
            <w:tcBorders>
              <w:top w:val="single" w:sz="8" w:space="0" w:color="000000"/>
              <w:left w:val="single" w:sz="8" w:space="0" w:color="000000"/>
              <w:bottom w:val="single" w:sz="8" w:space="0" w:color="000000"/>
              <w:right w:val="single" w:sz="8" w:space="0" w:color="000000"/>
            </w:tcBorders>
          </w:tcPr>
          <w:p w14:paraId="3EBD16B7"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0.59%</w:t>
            </w:r>
          </w:p>
        </w:tc>
        <w:tc>
          <w:tcPr>
            <w:tcW w:w="1121" w:type="dxa"/>
            <w:tcBorders>
              <w:top w:val="single" w:sz="8" w:space="0" w:color="000000"/>
              <w:left w:val="single" w:sz="8" w:space="0" w:color="000000"/>
              <w:bottom w:val="single" w:sz="8" w:space="0" w:color="000000"/>
              <w:right w:val="single" w:sz="8" w:space="0" w:color="000000"/>
            </w:tcBorders>
          </w:tcPr>
          <w:p w14:paraId="771D4F08"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-4.54%</w:t>
            </w:r>
          </w:p>
        </w:tc>
        <w:tc>
          <w:tcPr>
            <w:tcW w:w="956" w:type="dxa"/>
            <w:tcBorders>
              <w:top w:val="single" w:sz="8" w:space="0" w:color="000000"/>
              <w:left w:val="single" w:sz="8" w:space="0" w:color="000000"/>
              <w:bottom w:val="single" w:sz="8" w:space="0" w:color="000000"/>
              <w:right w:val="single" w:sz="8" w:space="0" w:color="000000"/>
            </w:tcBorders>
          </w:tcPr>
          <w:p w14:paraId="3A6DDCF8"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0.43%</w:t>
            </w:r>
          </w:p>
        </w:tc>
      </w:tr>
      <w:tr w:rsidR="0066529D" w14:paraId="23A7831A" w14:textId="77777777">
        <w:trPr>
          <w:trHeight w:val="20"/>
          <w:jc w:val="center"/>
        </w:trPr>
        <w:tc>
          <w:tcPr>
            <w:tcW w:w="2573" w:type="dxa"/>
            <w:tcBorders>
              <w:top w:val="single" w:sz="8" w:space="0" w:color="000000"/>
              <w:left w:val="single" w:sz="8" w:space="0" w:color="000000"/>
              <w:bottom w:val="single" w:sz="8" w:space="0" w:color="000000"/>
              <w:right w:val="single" w:sz="8" w:space="0" w:color="000000"/>
            </w:tcBorders>
          </w:tcPr>
          <w:p w14:paraId="7A40F0D5"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自基金合同生效日至</w:t>
            </w:r>
            <w:r>
              <w:rPr>
                <w:rFonts w:asciiTheme="minorEastAsia" w:eastAsiaTheme="minorEastAsia" w:hAnsiTheme="minorEastAsia" w:hint="eastAsia"/>
                <w:color w:val="000000"/>
                <w:sz w:val="21"/>
                <w:szCs w:val="21"/>
              </w:rPr>
              <w:lastRenderedPageBreak/>
              <w:t>2024.06.30</w:t>
            </w:r>
          </w:p>
        </w:tc>
        <w:tc>
          <w:tcPr>
            <w:tcW w:w="1086" w:type="dxa"/>
            <w:tcBorders>
              <w:top w:val="single" w:sz="8" w:space="0" w:color="000000"/>
              <w:left w:val="single" w:sz="8" w:space="0" w:color="000000"/>
              <w:bottom w:val="single" w:sz="8" w:space="0" w:color="000000"/>
              <w:right w:val="single" w:sz="8" w:space="0" w:color="000000"/>
            </w:tcBorders>
          </w:tcPr>
          <w:p w14:paraId="28641584"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lastRenderedPageBreak/>
              <w:t>-22.63%</w:t>
            </w:r>
          </w:p>
        </w:tc>
        <w:tc>
          <w:tcPr>
            <w:tcW w:w="1121" w:type="dxa"/>
            <w:tcBorders>
              <w:top w:val="single" w:sz="8" w:space="0" w:color="000000"/>
              <w:left w:val="single" w:sz="8" w:space="0" w:color="000000"/>
              <w:bottom w:val="single" w:sz="8" w:space="0" w:color="000000"/>
              <w:right w:val="single" w:sz="8" w:space="0" w:color="000000"/>
            </w:tcBorders>
          </w:tcPr>
          <w:p w14:paraId="229A1F6E"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1.32%</w:t>
            </w:r>
          </w:p>
        </w:tc>
        <w:tc>
          <w:tcPr>
            <w:tcW w:w="1121" w:type="dxa"/>
            <w:tcBorders>
              <w:top w:val="single" w:sz="8" w:space="0" w:color="000000"/>
              <w:left w:val="single" w:sz="8" w:space="0" w:color="000000"/>
              <w:bottom w:val="single" w:sz="8" w:space="0" w:color="000000"/>
              <w:right w:val="single" w:sz="8" w:space="0" w:color="000000"/>
            </w:tcBorders>
          </w:tcPr>
          <w:p w14:paraId="0DB47477"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5.55%</w:t>
            </w:r>
          </w:p>
        </w:tc>
        <w:tc>
          <w:tcPr>
            <w:tcW w:w="1399" w:type="dxa"/>
            <w:tcBorders>
              <w:top w:val="single" w:sz="8" w:space="0" w:color="000000"/>
              <w:left w:val="single" w:sz="8" w:space="0" w:color="000000"/>
              <w:bottom w:val="single" w:sz="8" w:space="0" w:color="000000"/>
              <w:right w:val="single" w:sz="8" w:space="0" w:color="000000"/>
            </w:tcBorders>
          </w:tcPr>
          <w:p w14:paraId="5EE4A0DE"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0.84%</w:t>
            </w:r>
          </w:p>
        </w:tc>
        <w:tc>
          <w:tcPr>
            <w:tcW w:w="1121" w:type="dxa"/>
            <w:tcBorders>
              <w:top w:val="single" w:sz="8" w:space="0" w:color="000000"/>
              <w:left w:val="single" w:sz="8" w:space="0" w:color="000000"/>
              <w:bottom w:val="single" w:sz="8" w:space="0" w:color="000000"/>
              <w:right w:val="single" w:sz="8" w:space="0" w:color="000000"/>
            </w:tcBorders>
          </w:tcPr>
          <w:p w14:paraId="03FC41DD"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-28.18%</w:t>
            </w:r>
          </w:p>
        </w:tc>
        <w:tc>
          <w:tcPr>
            <w:tcW w:w="956" w:type="dxa"/>
            <w:tcBorders>
              <w:top w:val="single" w:sz="8" w:space="0" w:color="000000"/>
              <w:left w:val="single" w:sz="8" w:space="0" w:color="000000"/>
              <w:bottom w:val="single" w:sz="8" w:space="0" w:color="000000"/>
              <w:right w:val="single" w:sz="8" w:space="0" w:color="000000"/>
            </w:tcBorders>
          </w:tcPr>
          <w:p w14:paraId="7F776D42" w14:textId="77777777" w:rsidR="0066529D" w:rsidRDefault="00A901FF">
            <w:pPr>
              <w:pStyle w:val="biaogecenter"/>
              <w:jc w:val="left"/>
              <w:rPr>
                <w:rFonts w:asciiTheme="minorEastAsia" w:eastAsiaTheme="minorEastAsia" w:hAnsiTheme="minorEastAsia" w:hint="eastAsia"/>
                <w:color w:val="000000"/>
                <w:sz w:val="21"/>
                <w:szCs w:val="21"/>
              </w:rPr>
            </w:pPr>
            <w:r>
              <w:rPr>
                <w:rFonts w:asciiTheme="minorEastAsia" w:eastAsiaTheme="minorEastAsia" w:hAnsiTheme="minorEastAsia" w:hint="eastAsia"/>
                <w:color w:val="000000"/>
                <w:sz w:val="21"/>
                <w:szCs w:val="21"/>
              </w:rPr>
              <w:t>0.48%</w:t>
            </w:r>
          </w:p>
        </w:tc>
      </w:tr>
    </w:tbl>
    <w:p w14:paraId="6C5D3550"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注：本基金的业绩比较基准为：中</w:t>
      </w:r>
      <w:proofErr w:type="gramStart"/>
      <w:r>
        <w:rPr>
          <w:rFonts w:asciiTheme="minorEastAsia" w:hAnsiTheme="minorEastAsia" w:cs="Times New Roman" w:hint="eastAsia"/>
          <w:bCs/>
          <w:sz w:val="24"/>
          <w:szCs w:val="24"/>
        </w:rPr>
        <w:t>证全债指数</w:t>
      </w:r>
      <w:proofErr w:type="gramEnd"/>
      <w:r>
        <w:rPr>
          <w:rFonts w:asciiTheme="minorEastAsia" w:hAnsiTheme="minorEastAsia" w:cs="Times New Roman" w:hint="eastAsia"/>
          <w:bCs/>
          <w:sz w:val="24"/>
          <w:szCs w:val="24"/>
        </w:rPr>
        <w:t>收益率×</w:t>
      </w:r>
      <w:r>
        <w:rPr>
          <w:rFonts w:asciiTheme="minorEastAsia" w:hAnsiTheme="minorEastAsia" w:cs="Times New Roman"/>
          <w:bCs/>
          <w:sz w:val="24"/>
          <w:szCs w:val="24"/>
        </w:rPr>
        <w:t xml:space="preserve">30%+沪深300指数收益率×70%。 </w:t>
      </w:r>
    </w:p>
    <w:p w14:paraId="4ED33918"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rPr>
      </w:pPr>
      <w:r>
        <w:rPr>
          <w:rFonts w:asciiTheme="minorEastAsia" w:hAnsiTheme="minorEastAsia" w:cs="Times New Roman"/>
          <w:bCs/>
          <w:sz w:val="24"/>
          <w:szCs w:val="24"/>
        </w:rPr>
        <w:t>2、自基金合同生效以来基金累计净值增长率变动及其与同期业绩比较基准收益率变动的比较</w:t>
      </w:r>
    </w:p>
    <w:p w14:paraId="63F9C8B8" w14:textId="77777777" w:rsidR="0066529D" w:rsidRDefault="00A901FF">
      <w:pPr>
        <w:pStyle w:val="biaogeleft"/>
        <w:spacing w:line="360" w:lineRule="auto"/>
        <w:rPr>
          <w:rFonts w:hint="eastAsia"/>
        </w:rPr>
      </w:pPr>
      <w:r>
        <w:rPr>
          <w:rFonts w:hAnsi="等线"/>
          <w:noProof/>
          <w:color w:val="000000"/>
        </w:rPr>
        <w:drawing>
          <wp:inline distT="0" distB="0" distL="0" distR="0" wp14:anchorId="1D07C5E4" wp14:editId="4E3F7513">
            <wp:extent cx="5274310" cy="342900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5274310" cy="3429000"/>
                    </a:xfrm>
                    <a:prstGeom prst="rect">
                      <a:avLst/>
                    </a:prstGeom>
                    <a:noFill/>
                    <a:ln>
                      <a:noFill/>
                    </a:ln>
                  </pic:spPr>
                </pic:pic>
              </a:graphicData>
            </a:graphic>
          </wp:inline>
        </w:drawing>
      </w:r>
      <w:r>
        <w:rPr>
          <w:rFonts w:hAnsi="等线"/>
          <w:noProof/>
          <w:color w:val="000000"/>
        </w:rPr>
        <w:drawing>
          <wp:inline distT="0" distB="0" distL="0" distR="0" wp14:anchorId="737B2B0C" wp14:editId="572F60B2">
            <wp:extent cx="5274310" cy="34290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a:xfrm>
                      <a:off x="0" y="0"/>
                      <a:ext cx="5274310" cy="3429000"/>
                    </a:xfrm>
                    <a:prstGeom prst="rect">
                      <a:avLst/>
                    </a:prstGeom>
                    <a:noFill/>
                    <a:ln>
                      <a:noFill/>
                    </a:ln>
                  </pic:spPr>
                </pic:pic>
              </a:graphicData>
            </a:graphic>
          </wp:inline>
        </w:drawing>
      </w:r>
    </w:p>
    <w:p w14:paraId="7B42924E" w14:textId="77777777" w:rsidR="0066529D" w:rsidRDefault="0066529D">
      <w:pPr>
        <w:autoSpaceDE w:val="0"/>
        <w:autoSpaceDN w:val="0"/>
        <w:spacing w:line="360" w:lineRule="auto"/>
        <w:textAlignment w:val="bottom"/>
        <w:rPr>
          <w:rFonts w:asciiTheme="minorEastAsia" w:hAnsiTheme="minorEastAsia" w:cs="Times New Roman" w:hint="eastAsia"/>
          <w:b/>
          <w:kern w:val="0"/>
          <w:sz w:val="30"/>
          <w:szCs w:val="30"/>
        </w:rPr>
        <w:sectPr w:rsidR="0066529D">
          <w:footerReference w:type="default" r:id="rId33"/>
          <w:pgSz w:w="11906" w:h="16838"/>
          <w:pgMar w:top="1440" w:right="1800" w:bottom="1440" w:left="1800" w:header="851" w:footer="992" w:gutter="0"/>
          <w:pgNumType w:chapStyle="1"/>
          <w:cols w:space="720"/>
          <w:docGrid w:type="lines" w:linePitch="312"/>
        </w:sectPr>
      </w:pPr>
    </w:p>
    <w:p w14:paraId="6E94180A" w14:textId="77777777" w:rsidR="0066529D" w:rsidRDefault="00A901FF">
      <w:pPr>
        <w:pStyle w:val="1"/>
        <w:jc w:val="center"/>
        <w:rPr>
          <w:rFonts w:asciiTheme="minorEastAsia" w:eastAsiaTheme="minorEastAsia" w:hAnsiTheme="minorEastAsia" w:hint="eastAsia"/>
          <w:sz w:val="30"/>
          <w:szCs w:val="30"/>
        </w:rPr>
      </w:pPr>
      <w:bookmarkStart w:id="211" w:name="_Toc416264546"/>
      <w:bookmarkStart w:id="212" w:name="_Toc146096086"/>
      <w:bookmarkStart w:id="213" w:name="_Toc139991741"/>
      <w:bookmarkStart w:id="214" w:name="_Toc141703891"/>
      <w:bookmarkStart w:id="215" w:name="_Toc16789"/>
      <w:bookmarkStart w:id="216" w:name="_Toc31469"/>
      <w:bookmarkStart w:id="217" w:name="_Toc14725"/>
      <w:bookmarkStart w:id="218" w:name="_Toc26084"/>
      <w:bookmarkStart w:id="219" w:name="_Toc123102458"/>
      <w:bookmarkStart w:id="220" w:name="_Toc2255"/>
      <w:bookmarkStart w:id="221" w:name="_Toc48649710"/>
      <w:bookmarkStart w:id="222" w:name="_Toc123112239"/>
      <w:bookmarkStart w:id="223" w:name="_Toc21886"/>
      <w:bookmarkStart w:id="224" w:name="_Toc22674"/>
      <w:bookmarkStart w:id="225" w:name="_Toc19520"/>
      <w:bookmarkStart w:id="226" w:name="_Toc98560357"/>
      <w:bookmarkStart w:id="227" w:name="_Toc79392624"/>
      <w:bookmarkStart w:id="228" w:name="_Toc26152"/>
      <w:bookmarkStart w:id="229" w:name="_Toc26383"/>
      <w:bookmarkStart w:id="230" w:name="_Toc352229757"/>
      <w:bookmarkStart w:id="231" w:name="_Toc3244"/>
      <w:bookmarkStart w:id="232" w:name="_Toc123051457"/>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r>
        <w:rPr>
          <w:rFonts w:asciiTheme="minorEastAsia" w:eastAsiaTheme="minorEastAsia" w:hAnsiTheme="minorEastAsia" w:hint="eastAsia"/>
          <w:sz w:val="30"/>
          <w:szCs w:val="30"/>
        </w:rPr>
        <w:lastRenderedPageBreak/>
        <w:t>第十部分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基金的财产</w:t>
      </w:r>
      <w:bookmarkEnd w:id="211"/>
      <w:bookmarkEnd w:id="212"/>
    </w:p>
    <w:p w14:paraId="426B351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bookmarkStart w:id="233" w:name="_Toc214873600"/>
      <w:bookmarkStart w:id="234" w:name="_Toc263092319"/>
      <w:bookmarkStart w:id="235" w:name="_Toc416264547"/>
      <w:bookmarkStart w:id="236" w:name="_Toc21917"/>
      <w:bookmarkStart w:id="237" w:name="_Toc11395"/>
      <w:bookmarkStart w:id="238" w:name="_Toc3872"/>
      <w:bookmarkStart w:id="239" w:name="_Toc13343"/>
      <w:bookmarkStart w:id="240" w:name="_Toc5477"/>
      <w:bookmarkStart w:id="241" w:name="_Toc11351"/>
      <w:bookmarkStart w:id="242" w:name="_Toc578"/>
      <w:bookmarkStart w:id="243" w:name="_Toc352229758"/>
      <w:bookmarkStart w:id="244" w:name="_Toc2981"/>
      <w:bookmarkStart w:id="245" w:name="_Toc22538"/>
      <w:bookmarkStart w:id="246" w:name="_Toc16437"/>
      <w:bookmarkStart w:id="247" w:name="_Toc801"/>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r>
        <w:rPr>
          <w:rFonts w:asciiTheme="minorEastAsia" w:hAnsiTheme="minorEastAsia" w:hint="eastAsia"/>
          <w:bCs/>
          <w:sz w:val="24"/>
        </w:rPr>
        <w:t>一、基金资产总值</w:t>
      </w:r>
    </w:p>
    <w:p w14:paraId="25E0F34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基金资产总值是指购买的各类证券及票据价值、银行存款本息和基金应收的申购基金款以及其他投资所形成的价值总和。</w:t>
      </w:r>
    </w:p>
    <w:p w14:paraId="41E098B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二、基金资产净值</w:t>
      </w:r>
    </w:p>
    <w:p w14:paraId="604EB23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基金资产净值是指基金资产总值减去基金负债后的价值。</w:t>
      </w:r>
    </w:p>
    <w:p w14:paraId="4617C1B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三、基金财产的账户</w:t>
      </w:r>
    </w:p>
    <w:p w14:paraId="1870871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根据相关法律法规、规范性文件为本基金开立资金账户、证券账户、期货账户以及投资所需的其他专用账户。开立的基金专用账户与基金管理人、基金托管人、基金销售机构和基金登记机构自有的财产账户以及其他基金财产账户相独立。</w:t>
      </w:r>
      <w:bookmarkStart w:id="248" w:name="_Hlt88841837"/>
      <w:bookmarkEnd w:id="248"/>
    </w:p>
    <w:p w14:paraId="2FFB5AD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四、基金财产的保管和处分</w:t>
      </w:r>
      <w:bookmarkStart w:id="249" w:name="_Hlt88900062"/>
      <w:bookmarkEnd w:id="249"/>
    </w:p>
    <w:p w14:paraId="58D9C47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hAnsiTheme="minorEastAsia" w:hint="eastAsia"/>
          <w:bCs/>
          <w:sz w:val="24"/>
        </w:rPr>
        <w:t>律法规</w:t>
      </w:r>
      <w:proofErr w:type="gramEnd"/>
      <w:r>
        <w:rPr>
          <w:rFonts w:asciiTheme="minorEastAsia" w:hAnsiTheme="minorEastAsia" w:hint="eastAsia"/>
          <w:bCs/>
          <w:sz w:val="24"/>
        </w:rPr>
        <w:t>和《基金合同》的规定处分外，基金财产不得被处分。</w:t>
      </w:r>
    </w:p>
    <w:p w14:paraId="036CB66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sectPr w:rsidR="0066529D">
          <w:footerReference w:type="default" r:id="rId34"/>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hAnsiTheme="minorEastAsia" w:hint="eastAsia"/>
          <w:bCs/>
          <w:sz w:val="24"/>
        </w:rPr>
        <w:t>抵销</w:t>
      </w:r>
      <w:proofErr w:type="gramEnd"/>
      <w:r>
        <w:rPr>
          <w:rFonts w:asciiTheme="minorEastAsia" w:hAnsiTheme="minorEastAsia" w:hint="eastAsia"/>
          <w:bCs/>
          <w:sz w:val="24"/>
        </w:rPr>
        <w:t>；基金管理人管理运作不同基金的基金财产所产生的债权债务不得相互</w:t>
      </w:r>
      <w:proofErr w:type="gramStart"/>
      <w:r>
        <w:rPr>
          <w:rFonts w:asciiTheme="minorEastAsia" w:hAnsiTheme="minorEastAsia" w:hint="eastAsia"/>
          <w:bCs/>
          <w:sz w:val="24"/>
        </w:rPr>
        <w:t>抵销</w:t>
      </w:r>
      <w:proofErr w:type="gramEnd"/>
      <w:r>
        <w:rPr>
          <w:rFonts w:asciiTheme="minorEastAsia" w:hAnsiTheme="minorEastAsia" w:hint="eastAsia"/>
          <w:bCs/>
          <w:sz w:val="24"/>
        </w:rPr>
        <w:t>。</w:t>
      </w:r>
    </w:p>
    <w:p w14:paraId="7A065982" w14:textId="77777777" w:rsidR="0066529D" w:rsidRDefault="00A901FF">
      <w:pPr>
        <w:pStyle w:val="1"/>
        <w:jc w:val="center"/>
        <w:rPr>
          <w:rFonts w:asciiTheme="minorEastAsia" w:eastAsiaTheme="minorEastAsia" w:hAnsiTheme="minorEastAsia" w:hint="eastAsia"/>
          <w:sz w:val="30"/>
          <w:szCs w:val="30"/>
        </w:rPr>
      </w:pPr>
      <w:bookmarkStart w:id="250" w:name="_Toc146096087"/>
      <w:r>
        <w:rPr>
          <w:rFonts w:asciiTheme="minorEastAsia" w:eastAsiaTheme="minorEastAsia" w:hAnsiTheme="minorEastAsia" w:hint="eastAsia"/>
          <w:sz w:val="30"/>
          <w:szCs w:val="30"/>
        </w:rPr>
        <w:lastRenderedPageBreak/>
        <w:t>第十一部分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基金资产的估值</w:t>
      </w:r>
      <w:bookmarkEnd w:id="233"/>
      <w:bookmarkEnd w:id="234"/>
      <w:bookmarkEnd w:id="235"/>
      <w:bookmarkEnd w:id="250"/>
    </w:p>
    <w:p w14:paraId="60A4D59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一、估值日</w:t>
      </w:r>
    </w:p>
    <w:p w14:paraId="2EA334B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本基金的估值日为本基金相关的证券交易场所的交易日以及国家法律法规规定需要对外披露基金净值的</w:t>
      </w:r>
      <w:proofErr w:type="gramStart"/>
      <w:r>
        <w:rPr>
          <w:rFonts w:asciiTheme="minorEastAsia" w:hAnsiTheme="minorEastAsia" w:hint="eastAsia"/>
          <w:bCs/>
          <w:sz w:val="24"/>
        </w:rPr>
        <w:t>非交易</w:t>
      </w:r>
      <w:proofErr w:type="gramEnd"/>
      <w:r>
        <w:rPr>
          <w:rFonts w:asciiTheme="minorEastAsia" w:hAnsiTheme="minorEastAsia" w:hint="eastAsia"/>
          <w:bCs/>
          <w:sz w:val="24"/>
        </w:rPr>
        <w:t>日。</w:t>
      </w:r>
    </w:p>
    <w:p w14:paraId="4629F3B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二、估值对象</w:t>
      </w:r>
    </w:p>
    <w:p w14:paraId="5276DBB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基金所拥有的股票、</w:t>
      </w:r>
      <w:r>
        <w:rPr>
          <w:rFonts w:asciiTheme="minorEastAsia" w:hAnsiTheme="minorEastAsia" w:cs="Times New Roman" w:hint="eastAsia"/>
          <w:bCs/>
          <w:sz w:val="24"/>
          <w:szCs w:val="24"/>
        </w:rPr>
        <w:t>存托凭证、</w:t>
      </w:r>
      <w:r>
        <w:rPr>
          <w:rFonts w:asciiTheme="minorEastAsia" w:hAnsiTheme="minorEastAsia" w:hint="eastAsia"/>
          <w:bCs/>
          <w:sz w:val="24"/>
        </w:rPr>
        <w:t>股指期货合约、国债期货合约、股票期权合约、权证、债券和银行存款本息、应收款项、其它投资等资产及负债。</w:t>
      </w:r>
    </w:p>
    <w:p w14:paraId="34D8C6F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三、估值方法</w:t>
      </w:r>
    </w:p>
    <w:p w14:paraId="7B55BB6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rPr>
        <w:t>1、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3028DA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2、交易所市场交易的固定收益品种的估值</w:t>
      </w:r>
    </w:p>
    <w:p w14:paraId="3400D44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（1）对在交易所市场上市交易或挂牌转让的固定收益品种，选取第三方估值机构提供的相应品种当日的估值净价进行估值；</w:t>
      </w:r>
    </w:p>
    <w:p w14:paraId="1EDC596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（2）对在交易所市场上市交易的可转换债券，按估值日收盘价减去可转换债券收盘价中所含债券应收利息后得到的净价进行估值；</w:t>
      </w:r>
      <w:r>
        <w:rPr>
          <w:rFonts w:asciiTheme="minorEastAsia" w:hAnsiTheme="minorEastAsia" w:hint="eastAsia"/>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065E5AF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（3）对在交易所市场挂牌转让的资产支持证券，采用估值技术确定公允价值，在估值技术难以可靠计量公允价值的情况下，按成本估值；</w:t>
      </w:r>
    </w:p>
    <w:p w14:paraId="6CD4CFC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（4）对在交易所市场发行未上市或未挂牌转让的固定收益品种，采用估值技术确定公允价值，在估值技术难以可靠计量公允价值的情况下，按成本估值。</w:t>
      </w:r>
    </w:p>
    <w:p w14:paraId="3B3416E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3、银行间市场交易的固定收益品种的估值</w:t>
      </w:r>
    </w:p>
    <w:p w14:paraId="585E8CE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（1）银行间市场交易的固定收益品种，选取第三方估值机构提供的相应品</w:t>
      </w:r>
      <w:r>
        <w:rPr>
          <w:rFonts w:asciiTheme="minorEastAsia" w:hAnsiTheme="minorEastAsia" w:hint="eastAsia"/>
          <w:bCs/>
          <w:sz w:val="24"/>
          <w:szCs w:val="24"/>
        </w:rPr>
        <w:lastRenderedPageBreak/>
        <w:t>种当日的估值净价进行估值。</w:t>
      </w:r>
    </w:p>
    <w:p w14:paraId="3E4F771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（2）对银行间市场未上市，且第三方估值机构未提供估值价格的固定收益品种，按成本估值。</w:t>
      </w:r>
    </w:p>
    <w:p w14:paraId="0998A80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、处于未上市期间的有价证券应区分如下情况处理：</w:t>
      </w:r>
    </w:p>
    <w:p w14:paraId="4072623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（1）送股、转增股、配股和公开增发的新股，按估值日在证券交易所挂牌的同一股票的估值方法估值；该日无交易的，以最近一日的市价（收盘价）估值；</w:t>
      </w:r>
    </w:p>
    <w:p w14:paraId="7F2DC93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（2）首次公开发行未上市的股票、债券和权证，采用估值技术确定公允价值，在估值技术难以可靠计量公允价值的情况下，按成本估值；</w:t>
      </w:r>
    </w:p>
    <w:p w14:paraId="1A8E286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（3）首次公开发行有明确锁定期的股票，同一股票在交易所上市后，按交易所上市的同一股票的估值方法估值；非公开发行有明确锁定期的股票，按监管机构或行业协会有关规定确定公允价值。</w:t>
      </w:r>
    </w:p>
    <w:p w14:paraId="5AB0484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5、同一债券同时在两个或两个以上市场交易的，按债券所处的市场分别估值。</w:t>
      </w:r>
    </w:p>
    <w:p w14:paraId="37D20F0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6、本基金投资股指期货、国债期货合约，一般以估值当日结算价进行估值，估值当日无结算价的，且最近交易日后经济环境未发生重大变化的，采用最近交易日结算价估值。</w:t>
      </w:r>
    </w:p>
    <w:p w14:paraId="1098739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7、中小企业私募债券，采用估值技术确定公允价值。在估值技术难以可靠计量公允价值的情况下，按成本估值。</w:t>
      </w:r>
    </w:p>
    <w:p w14:paraId="43962F3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8、本基金投资股票期权，根据相关法律法规以及监管部门的规定估值。</w:t>
      </w:r>
    </w:p>
    <w:p w14:paraId="739ED50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9、当本基金发生大额申购或赎回情形时，基金管理人可以对本基金采用摆动定价机制，以确保基金估值的公平性。</w:t>
      </w:r>
    </w:p>
    <w:p w14:paraId="2F606622" w14:textId="77777777" w:rsidR="0066529D" w:rsidRDefault="00A901FF">
      <w:pPr>
        <w:autoSpaceDE w:val="0"/>
        <w:autoSpaceDN w:val="0"/>
        <w:spacing w:line="360" w:lineRule="auto"/>
        <w:ind w:firstLineChars="200" w:firstLine="480"/>
        <w:textAlignment w:val="bottom"/>
        <w:rPr>
          <w:bCs/>
          <w:sz w:val="24"/>
        </w:rPr>
      </w:pPr>
      <w:r>
        <w:rPr>
          <w:rFonts w:asciiTheme="minorEastAsia" w:hAnsiTheme="minorEastAsia"/>
          <w:bCs/>
          <w:sz w:val="24"/>
        </w:rPr>
        <w:t>10</w:t>
      </w:r>
      <w:r>
        <w:rPr>
          <w:rFonts w:asciiTheme="minorEastAsia" w:hAnsiTheme="minorEastAsia" w:hint="eastAsia"/>
          <w:bCs/>
          <w:sz w:val="24"/>
        </w:rPr>
        <w:t>、</w:t>
      </w:r>
      <w:r>
        <w:rPr>
          <w:rFonts w:hint="eastAsia"/>
          <w:bCs/>
          <w:sz w:val="24"/>
        </w:rPr>
        <w:t>本基金投资存托凭证的估值核算，依照境内上市交易的股票执行。</w:t>
      </w:r>
    </w:p>
    <w:p w14:paraId="203AFD7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hint="eastAsia"/>
          <w:bCs/>
          <w:sz w:val="24"/>
        </w:rPr>
        <w:t>11</w:t>
      </w:r>
      <w:r>
        <w:rPr>
          <w:rFonts w:hint="eastAsia"/>
          <w:bCs/>
          <w:sz w:val="24"/>
        </w:rPr>
        <w:t>、</w:t>
      </w:r>
      <w:r>
        <w:rPr>
          <w:rFonts w:asciiTheme="minorEastAsia" w:hAnsiTheme="minorEastAsia" w:hint="eastAsia"/>
          <w:bCs/>
          <w:sz w:val="24"/>
        </w:rPr>
        <w:t>如有确凿证据表明按上述方法进行估值不能客观反映其公允价值的，基金管理人可根据具体情况与基金托管人商定后，按最能反映公允价值的价格估值。</w:t>
      </w:r>
    </w:p>
    <w:p w14:paraId="121BAE2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1</w:t>
      </w:r>
      <w:r>
        <w:rPr>
          <w:rFonts w:asciiTheme="minorEastAsia" w:hAnsiTheme="minorEastAsia" w:hint="eastAsia"/>
          <w:bCs/>
          <w:sz w:val="24"/>
        </w:rPr>
        <w:t>2、相关法律法规以及监管部门有强制规定的，从其规定。如有新增事项，按国家最新规定估值。</w:t>
      </w:r>
    </w:p>
    <w:p w14:paraId="4AF3FC48" w14:textId="77777777" w:rsidR="0066529D" w:rsidRDefault="00A901FF">
      <w:pPr>
        <w:autoSpaceDE w:val="0"/>
        <w:autoSpaceDN w:val="0"/>
        <w:spacing w:line="360" w:lineRule="auto"/>
        <w:ind w:firstLineChars="200" w:firstLine="480"/>
        <w:textAlignment w:val="bottom"/>
        <w:rPr>
          <w:rFonts w:asciiTheme="minorEastAsia" w:hAnsiTheme="minorEastAsia" w:hint="eastAsia"/>
          <w:sz w:val="24"/>
        </w:rPr>
      </w:pPr>
      <w:r>
        <w:rPr>
          <w:rFonts w:asciiTheme="minorEastAsia" w:hAnsiTheme="minorEastAsia" w:hint="eastAsia"/>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D223D4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7594E46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四、估值程序</w:t>
      </w:r>
    </w:p>
    <w:p w14:paraId="6C0BB5B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1、各类基金份额净值是按照每个工作日闭市后，该类基金资产净值除以当日该类基金份额的余额数量计算，精确到</w:t>
      </w:r>
      <w:r>
        <w:rPr>
          <w:rFonts w:asciiTheme="minorEastAsia" w:hAnsiTheme="minorEastAsia"/>
          <w:bCs/>
          <w:sz w:val="24"/>
        </w:rPr>
        <w:t>0.0001</w:t>
      </w:r>
      <w:r>
        <w:rPr>
          <w:rFonts w:asciiTheme="minorEastAsia" w:hAnsiTheme="minorEastAsia" w:hint="eastAsia"/>
          <w:bCs/>
          <w:sz w:val="24"/>
        </w:rPr>
        <w:t>元，小数点后第</w:t>
      </w:r>
      <w:r>
        <w:rPr>
          <w:rFonts w:asciiTheme="minorEastAsia" w:hAnsiTheme="minorEastAsia"/>
          <w:bCs/>
          <w:sz w:val="24"/>
        </w:rPr>
        <w:t>5</w:t>
      </w:r>
      <w:r>
        <w:rPr>
          <w:rFonts w:asciiTheme="minorEastAsia" w:hAnsiTheme="minorEastAsia" w:hint="eastAsia"/>
          <w:bCs/>
          <w:sz w:val="24"/>
        </w:rPr>
        <w:t>位四舍五入。国家另有规定的，从其规定。</w:t>
      </w:r>
    </w:p>
    <w:p w14:paraId="1847D79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每个工作日计算基金资产净值及两类基金份额净值，并按规定公告。</w:t>
      </w:r>
    </w:p>
    <w:p w14:paraId="1727BF0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w:t>
      </w:r>
      <w:proofErr w:type="gramStart"/>
      <w:r>
        <w:rPr>
          <w:rFonts w:asciiTheme="minorEastAsia" w:hAnsiTheme="minorEastAsia" w:hint="eastAsia"/>
          <w:bCs/>
          <w:sz w:val="24"/>
        </w:rPr>
        <w:t>应每个</w:t>
      </w:r>
      <w:proofErr w:type="gramEnd"/>
      <w:r>
        <w:rPr>
          <w:rFonts w:asciiTheme="minorEastAsia" w:hAnsiTheme="minorEastAsia" w:hint="eastAsia"/>
          <w:bCs/>
          <w:sz w:val="24"/>
        </w:rPr>
        <w:t>工作日对基金资产估值。但基金管理人根据法律法规或基金合同的规定暂停估值时除外。基金管理人每个工作日对基金资产估值后，将两类基金份额净值结果发送基金托管人，经基金托管人复核无误后，由基金管理人对外公布。</w:t>
      </w:r>
    </w:p>
    <w:p w14:paraId="6AD79E2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五、估值错误的处理</w:t>
      </w:r>
    </w:p>
    <w:p w14:paraId="6CDBCDC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基金管理人和基金托管人将采取必要、适当、合理的措施确保基金资产估值的准确性、及时性。当基金份额净值小数点后</w:t>
      </w:r>
      <w:r>
        <w:rPr>
          <w:rFonts w:asciiTheme="minorEastAsia" w:hAnsiTheme="minorEastAsia"/>
          <w:bCs/>
          <w:sz w:val="24"/>
        </w:rPr>
        <w:t>4</w:t>
      </w:r>
      <w:r>
        <w:rPr>
          <w:rFonts w:asciiTheme="minorEastAsia" w:hAnsiTheme="minorEastAsia" w:hint="eastAsia"/>
          <w:bCs/>
          <w:sz w:val="24"/>
        </w:rPr>
        <w:t>位以内（含第</w:t>
      </w:r>
      <w:r>
        <w:rPr>
          <w:rFonts w:asciiTheme="minorEastAsia" w:hAnsiTheme="minorEastAsia"/>
          <w:bCs/>
          <w:sz w:val="24"/>
        </w:rPr>
        <w:t>4</w:t>
      </w:r>
      <w:r>
        <w:rPr>
          <w:rFonts w:asciiTheme="minorEastAsia" w:hAnsiTheme="minorEastAsia" w:hint="eastAsia"/>
          <w:bCs/>
          <w:sz w:val="24"/>
        </w:rPr>
        <w:t>位）发生估值错误时，视为基金份额净值错误。</w:t>
      </w:r>
    </w:p>
    <w:p w14:paraId="47725CB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基金合同的当事人应按照以下约定处理：</w:t>
      </w:r>
    </w:p>
    <w:p w14:paraId="095C3B2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1、估值错误类型</w:t>
      </w:r>
    </w:p>
    <w:p w14:paraId="3255995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18E7659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上述估值错误的主要类型包括但不限于：资料申报差错、数据传输差错、数据计算差错、系统故障差错、下达指令差错等。</w:t>
      </w:r>
    </w:p>
    <w:p w14:paraId="0031D97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2、估值错误处理原则</w:t>
      </w:r>
    </w:p>
    <w:p w14:paraId="1370116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w:t>
      </w:r>
      <w:r>
        <w:rPr>
          <w:rFonts w:asciiTheme="minorEastAsia" w:hAnsiTheme="minorEastAsia" w:hint="eastAsia"/>
          <w:bCs/>
          <w:sz w:val="24"/>
        </w:rPr>
        <w:lastRenderedPageBreak/>
        <w:t>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D597E1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）估值错误的责任方对有关当事人的直接损失负责，不对间接损失负责，并且仅对估值错误的有关直接当事人负责，不对第三方负责。</w:t>
      </w:r>
    </w:p>
    <w:p w14:paraId="7D46BAA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）因估值错误而获得不当得利的当事人负有及时返还不当得利的义务。但估值错误责任方仍应对估值错误负责。如果由于获得不当得利的当事人</w:t>
      </w:r>
      <w:proofErr w:type="gramStart"/>
      <w:r>
        <w:rPr>
          <w:rFonts w:asciiTheme="minorEastAsia" w:hAnsiTheme="minorEastAsia" w:hint="eastAsia"/>
          <w:bCs/>
          <w:sz w:val="24"/>
        </w:rPr>
        <w:t>不</w:t>
      </w:r>
      <w:proofErr w:type="gramEnd"/>
      <w:r>
        <w:rPr>
          <w:rFonts w:asciiTheme="minorEastAsia" w:hAnsiTheme="minorEastAsia" w:hint="eastAsia"/>
          <w:bCs/>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73B8F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）估值错误调整采用尽量恢复至假设未发生估值错误的正确情形的方式。</w:t>
      </w:r>
    </w:p>
    <w:p w14:paraId="7B8ABD6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3、估值错误处理程序</w:t>
      </w:r>
    </w:p>
    <w:p w14:paraId="1491200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估值错误被发现后，有关的当事人应当及时进行处理，处理的程序如下：</w:t>
      </w:r>
    </w:p>
    <w:p w14:paraId="1E86F0C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（1）查明估值错误发生的原因，列明所有的当事人，并根据估值错误发生的原因确定估值错误的责任方；</w:t>
      </w:r>
    </w:p>
    <w:p w14:paraId="39CFF7A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）根据估值错误处理原则或当事人协商的方法对因估值错误造成的损失进行评估；</w:t>
      </w:r>
    </w:p>
    <w:p w14:paraId="7A5BC68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）根据估值错误处理原则或当事人协商的方法由估值错误的责任方进行更正和赔偿损失；</w:t>
      </w:r>
    </w:p>
    <w:p w14:paraId="2DDD4B7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4</w:t>
      </w:r>
      <w:r>
        <w:rPr>
          <w:rFonts w:asciiTheme="minorEastAsia" w:hAnsiTheme="minorEastAsia" w:hint="eastAsia"/>
          <w:bCs/>
          <w:sz w:val="24"/>
        </w:rPr>
        <w:t>）根据估值错误处理的方法，需要修改基金登记机构交易数据的，由基金登记机构进行更正，并就估值错误的更正向有关当事人进行确认。</w:t>
      </w:r>
    </w:p>
    <w:p w14:paraId="1DA412A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4、基金份额净值估值错误处理的方法如下：</w:t>
      </w:r>
    </w:p>
    <w:p w14:paraId="3A6D74E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（1）基金份额净值计算出现错误时，基金管理人应当立即予以纠正，通报基金托管人，并采取合理的措施防止损失进一步扩大。</w:t>
      </w:r>
    </w:p>
    <w:p w14:paraId="1429A32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）错误偏差达到基金份额净值的0.25%时，基金管理人应当通报基金托管人并报中国证监会备案；错误偏差达到基金份额净值的0.5%时，基金管理人应当</w:t>
      </w:r>
      <w:r>
        <w:rPr>
          <w:rFonts w:asciiTheme="minorEastAsia" w:hAnsiTheme="minorEastAsia" w:hint="eastAsia"/>
          <w:bCs/>
          <w:sz w:val="24"/>
        </w:rPr>
        <w:lastRenderedPageBreak/>
        <w:t>公告。</w:t>
      </w:r>
    </w:p>
    <w:p w14:paraId="1C64A041"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（3）前述内容如法律法规或者监管部门另有规定的，从其规定。如果行业另有通行做法，双方当事人应本着平等和保护基金份额持有人利益的原则进行协商。</w:t>
      </w:r>
    </w:p>
    <w:p w14:paraId="5B64A0F9"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六、暂停估值的情形</w:t>
      </w:r>
    </w:p>
    <w:p w14:paraId="3E80559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1、基金投资所涉及的证券、期货交易市场遇法定节假日或因其他原因暂停营业时；</w:t>
      </w:r>
    </w:p>
    <w:p w14:paraId="5C6123C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2、因不可抗力致使基金管理人、基金托管人无法准确评估基金资产价值时；</w:t>
      </w:r>
    </w:p>
    <w:p w14:paraId="15A5740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3、当前一估值日基金资产净值</w:t>
      </w:r>
      <w:r>
        <w:rPr>
          <w:rFonts w:asciiTheme="minorEastAsia" w:hAnsiTheme="minorEastAsia"/>
          <w:bCs/>
          <w:sz w:val="24"/>
        </w:rPr>
        <w:t xml:space="preserve"> </w:t>
      </w:r>
      <w:r>
        <w:rPr>
          <w:rFonts w:asciiTheme="minorEastAsia" w:hAnsiTheme="minorEastAsia" w:hint="eastAsia"/>
          <w:bCs/>
          <w:sz w:val="24"/>
        </w:rPr>
        <w:t>50%以上的资产出现无可参考的活跃市场价格且采用估值技术</w:t>
      </w:r>
      <w:proofErr w:type="gramStart"/>
      <w:r>
        <w:rPr>
          <w:rFonts w:asciiTheme="minorEastAsia" w:hAnsiTheme="minorEastAsia" w:hint="eastAsia"/>
          <w:bCs/>
          <w:sz w:val="24"/>
        </w:rPr>
        <w:t>仍导致</w:t>
      </w:r>
      <w:proofErr w:type="gramEnd"/>
      <w:r>
        <w:rPr>
          <w:rFonts w:asciiTheme="minorEastAsia" w:hAnsiTheme="minorEastAsia" w:hint="eastAsia"/>
          <w:bCs/>
          <w:sz w:val="24"/>
        </w:rPr>
        <w:t>公允价值存在重大不确定性时，经与基金托管人协商一致的；</w:t>
      </w:r>
    </w:p>
    <w:p w14:paraId="07615DB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4、中国证监会和基金合同认定的其它情形。</w:t>
      </w:r>
    </w:p>
    <w:p w14:paraId="3D54937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七、基金净值的确认</w:t>
      </w:r>
    </w:p>
    <w:p w14:paraId="70AA043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用于基金信息披露的基金资产净值和两类基金份额净值由基金管理人负责计算，基金托管人负责进行复核。基金管理人应于每个开放日交易结束后计算当日的基金资产净值和两类基金份额净值并发送给基金托管人。基金托管人对净值计算结果复核确认后发送给基金管理人，由基金管理人对基金净值按约定予以公布。</w:t>
      </w:r>
    </w:p>
    <w:p w14:paraId="457160F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八、特殊情况的处理</w:t>
      </w:r>
    </w:p>
    <w:p w14:paraId="29A2B90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1、基金管理人或基金托管人按估值方法的第11项进行估值时，所造成的误差不作为基金资产估值错误处理。</w:t>
      </w:r>
    </w:p>
    <w:p w14:paraId="22FCCD06" w14:textId="77777777" w:rsidR="0066529D" w:rsidRDefault="00A901FF">
      <w:pPr>
        <w:widowControl/>
        <w:spacing w:line="360" w:lineRule="auto"/>
        <w:ind w:firstLineChars="200" w:firstLine="480"/>
        <w:jc w:val="left"/>
        <w:rPr>
          <w:rFonts w:asciiTheme="minorEastAsia" w:hAnsiTheme="minorEastAsia" w:cs="Times New Roman" w:hint="eastAsia"/>
          <w:b/>
          <w:bCs/>
          <w:kern w:val="0"/>
          <w:sz w:val="24"/>
          <w:szCs w:val="24"/>
        </w:rPr>
        <w:sectPr w:rsidR="0066529D">
          <w:footerReference w:type="default" r:id="rId35"/>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2、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 </w:t>
      </w:r>
    </w:p>
    <w:p w14:paraId="5BC95792" w14:textId="77777777" w:rsidR="0066529D" w:rsidRDefault="00A901FF">
      <w:pPr>
        <w:pStyle w:val="1"/>
        <w:jc w:val="center"/>
        <w:rPr>
          <w:rFonts w:asciiTheme="minorEastAsia" w:eastAsiaTheme="minorEastAsia" w:hAnsiTheme="minorEastAsia" w:hint="eastAsia"/>
          <w:sz w:val="30"/>
          <w:szCs w:val="30"/>
        </w:rPr>
      </w:pPr>
      <w:bookmarkStart w:id="251" w:name="_Toc263092320"/>
      <w:bookmarkStart w:id="252" w:name="_Toc146096088"/>
      <w:bookmarkStart w:id="253" w:name="_Toc416264548"/>
      <w:bookmarkEnd w:id="236"/>
      <w:bookmarkEnd w:id="237"/>
      <w:bookmarkEnd w:id="238"/>
      <w:bookmarkEnd w:id="239"/>
      <w:bookmarkEnd w:id="240"/>
      <w:bookmarkEnd w:id="241"/>
      <w:bookmarkEnd w:id="242"/>
      <w:bookmarkEnd w:id="243"/>
      <w:bookmarkEnd w:id="244"/>
      <w:bookmarkEnd w:id="245"/>
      <w:bookmarkEnd w:id="246"/>
      <w:bookmarkEnd w:id="247"/>
      <w:r>
        <w:rPr>
          <w:rFonts w:asciiTheme="minorEastAsia" w:eastAsiaTheme="minorEastAsia" w:hAnsiTheme="minorEastAsia" w:hint="eastAsia"/>
          <w:sz w:val="30"/>
          <w:szCs w:val="30"/>
        </w:rPr>
        <w:lastRenderedPageBreak/>
        <w:t>第十二部分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基金的收益分配</w:t>
      </w:r>
      <w:bookmarkEnd w:id="251"/>
      <w:bookmarkEnd w:id="252"/>
      <w:bookmarkEnd w:id="253"/>
    </w:p>
    <w:p w14:paraId="563167E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bookmarkStart w:id="254" w:name="_Toc147463128"/>
      <w:bookmarkStart w:id="255" w:name="_Toc12357181"/>
      <w:bookmarkStart w:id="256" w:name="_Toc416264549"/>
      <w:bookmarkStart w:id="257" w:name="_Toc263092321"/>
      <w:bookmarkStart w:id="258" w:name="_Toc214873602"/>
      <w:bookmarkStart w:id="259" w:name="_Toc21073401"/>
      <w:bookmarkStart w:id="260" w:name="_Toc19714"/>
      <w:bookmarkStart w:id="261" w:name="_Toc352229760"/>
      <w:bookmarkStart w:id="262" w:name="_Toc7802"/>
      <w:bookmarkStart w:id="263" w:name="_Toc139991744"/>
      <w:bookmarkStart w:id="264" w:name="_Toc17782"/>
      <w:bookmarkStart w:id="265" w:name="_Toc27832"/>
      <w:bookmarkStart w:id="266" w:name="_Toc2623"/>
      <w:bookmarkStart w:id="267" w:name="_Toc31917"/>
      <w:bookmarkStart w:id="268" w:name="_Toc871"/>
      <w:bookmarkStart w:id="269" w:name="_Toc141703894"/>
      <w:r>
        <w:rPr>
          <w:rFonts w:asciiTheme="minorEastAsia" w:hAnsiTheme="minorEastAsia" w:hint="eastAsia"/>
          <w:bCs/>
          <w:sz w:val="24"/>
        </w:rPr>
        <w:t>一、基金利润的构成</w:t>
      </w:r>
    </w:p>
    <w:p w14:paraId="406D2B3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基金利润指基金利息收入、投资收益、公允价值变动收益和其他收入扣除相关费用后的余额，基金已实现收益指基金利润减去公允价值变动收益后的余额。</w:t>
      </w:r>
    </w:p>
    <w:p w14:paraId="3720C72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二、基金可供分配利润</w:t>
      </w:r>
    </w:p>
    <w:p w14:paraId="7F8631D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基金可供分配利润指截至收益分配基准日基金未分配利润与未分配利润中已实现收益的孰低数。</w:t>
      </w:r>
    </w:p>
    <w:p w14:paraId="5A33B25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三、基金收益分配原则</w:t>
      </w:r>
    </w:p>
    <w:p w14:paraId="0C4CAEC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1、在符合有关基金分红条件的前提下，本基金管理人可以根据实际情况进行收益分配，具体分配方案以公告为准，若《基金合同》生效不满3个月可不进行收益分配；</w:t>
      </w:r>
    </w:p>
    <w:p w14:paraId="74D9207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2、本基金收益分配方式分两种：现金分红与红利再投资，投资者可选择现金红利或将现金红利自动转为相应类别基金份额进行再投资；若投资者不选择，本基金默认的收益分配方式是现金分红；</w:t>
      </w:r>
    </w:p>
    <w:p w14:paraId="48BE725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3、基金收益分配后基金份额净值不能低于面值，即基金收益分配基准日的基金份额净值减去每单位基金份额收益分配金额后不能低于面值；</w:t>
      </w:r>
    </w:p>
    <w:p w14:paraId="4D34F44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4、A</w:t>
      </w:r>
      <w:r>
        <w:rPr>
          <w:rFonts w:asciiTheme="minorEastAsia" w:hAnsiTheme="minorEastAsia"/>
          <w:bCs/>
          <w:sz w:val="24"/>
        </w:rPr>
        <w:t xml:space="preserve"> </w:t>
      </w:r>
      <w:r>
        <w:rPr>
          <w:rFonts w:asciiTheme="minorEastAsia" w:hAnsiTheme="minorEastAsia" w:hint="eastAsia"/>
          <w:bCs/>
          <w:sz w:val="24"/>
        </w:rPr>
        <w:t>类基金份额和C类基金份额之间由于A类基金份额不收取而C类基金份额收取销售服务费将导致在可供分配利润上有所不同；本基金同一类别的每份基金份额享有同等分配权；</w:t>
      </w:r>
    </w:p>
    <w:p w14:paraId="038C39F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5、法律法规或监管机关另有规定的，从其规定。</w:t>
      </w:r>
    </w:p>
    <w:p w14:paraId="35994B7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在对基金份额持有人利益无实质不利影响的前提下，基金管理人可与基金托管人协商一致后调整基金收益分配原则和支付方式，不需召开基金份额持有人大会。</w:t>
      </w:r>
    </w:p>
    <w:p w14:paraId="54F1FD8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四、收益分配方案</w:t>
      </w:r>
    </w:p>
    <w:p w14:paraId="629845A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基金收益分配方案中应载明截止收益分配基准日的可供分配利润、基金收益分配对象、分配时间、分配数额及比例、分配方式等内容。</w:t>
      </w:r>
    </w:p>
    <w:p w14:paraId="06B55CE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五、收益分配方案的确定、公告与实施</w:t>
      </w:r>
    </w:p>
    <w:p w14:paraId="76B9009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本基金收益分配方案由基金管理人拟定，并由基金托管人复核，依据相关规定在指定媒介公告。</w:t>
      </w:r>
    </w:p>
    <w:p w14:paraId="3257E34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基金红利发放</w:t>
      </w:r>
      <w:proofErr w:type="gramStart"/>
      <w:r>
        <w:rPr>
          <w:rFonts w:asciiTheme="minorEastAsia" w:hAnsiTheme="minorEastAsia" w:hint="eastAsia"/>
          <w:bCs/>
          <w:sz w:val="24"/>
        </w:rPr>
        <w:t>日距离</w:t>
      </w:r>
      <w:proofErr w:type="gramEnd"/>
      <w:r>
        <w:rPr>
          <w:rFonts w:asciiTheme="minorEastAsia" w:hAnsiTheme="minorEastAsia" w:hint="eastAsia"/>
          <w:bCs/>
          <w:sz w:val="24"/>
        </w:rPr>
        <w:t>收益分配基准日（即可供分配利润计算截止日）的时间不得超过15个工作日。</w:t>
      </w:r>
    </w:p>
    <w:p w14:paraId="70B675D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六、基金收益分配中发生的费用</w:t>
      </w:r>
    </w:p>
    <w:p w14:paraId="6FB72D09" w14:textId="77777777" w:rsidR="0066529D" w:rsidRDefault="00A901FF">
      <w:pPr>
        <w:adjustRightInd w:val="0"/>
        <w:snapToGrid w:val="0"/>
        <w:spacing w:line="360" w:lineRule="auto"/>
        <w:ind w:firstLineChars="200" w:firstLine="480"/>
        <w:rPr>
          <w:rFonts w:asciiTheme="minorEastAsia" w:hAnsiTheme="minorEastAsia" w:cs="Times New Roman" w:hint="eastAsia"/>
          <w:bCs/>
          <w:sz w:val="24"/>
          <w:szCs w:val="24"/>
        </w:rPr>
        <w:sectPr w:rsidR="0066529D">
          <w:footerReference w:type="default" r:id="rId36"/>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相应类别基金份额。红利再投资的计算方法，依照《业务规则》执行。</w:t>
      </w:r>
    </w:p>
    <w:p w14:paraId="3D905B38" w14:textId="77777777" w:rsidR="0066529D" w:rsidRDefault="00A901FF">
      <w:pPr>
        <w:pStyle w:val="1"/>
        <w:jc w:val="center"/>
        <w:rPr>
          <w:rFonts w:asciiTheme="minorEastAsia" w:eastAsiaTheme="minorEastAsia" w:hAnsiTheme="minorEastAsia" w:hint="eastAsia"/>
          <w:sz w:val="30"/>
          <w:szCs w:val="30"/>
        </w:rPr>
      </w:pPr>
      <w:bookmarkStart w:id="270" w:name="_Toc146096089"/>
      <w:r>
        <w:rPr>
          <w:rFonts w:asciiTheme="minorEastAsia" w:eastAsiaTheme="minorEastAsia" w:hAnsiTheme="minorEastAsia" w:hint="eastAsia"/>
          <w:sz w:val="30"/>
          <w:szCs w:val="30"/>
        </w:rPr>
        <w:lastRenderedPageBreak/>
        <w:t>第十三部分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基金费用与税收</w:t>
      </w:r>
      <w:bookmarkEnd w:id="254"/>
      <w:bookmarkEnd w:id="255"/>
      <w:bookmarkEnd w:id="256"/>
      <w:bookmarkEnd w:id="257"/>
      <w:bookmarkEnd w:id="258"/>
      <w:bookmarkEnd w:id="259"/>
      <w:bookmarkEnd w:id="270"/>
    </w:p>
    <w:p w14:paraId="66083B6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bookmarkStart w:id="271" w:name="_Toc214873603"/>
      <w:bookmarkStart w:id="272" w:name="_Toc263092322"/>
      <w:bookmarkStart w:id="273" w:name="_Toc416264550"/>
      <w:bookmarkStart w:id="274" w:name="_Toc15779"/>
      <w:bookmarkStart w:id="275" w:name="_Toc141703895"/>
      <w:bookmarkStart w:id="276" w:name="_Toc32041"/>
      <w:bookmarkStart w:id="277" w:name="_Toc32046"/>
      <w:bookmarkStart w:id="278" w:name="_Toc3365"/>
      <w:bookmarkStart w:id="279" w:name="_Toc12105"/>
      <w:bookmarkStart w:id="280" w:name="_Toc32227"/>
      <w:bookmarkStart w:id="281" w:name="_Toc19706"/>
      <w:bookmarkStart w:id="282" w:name="_Toc13987"/>
      <w:bookmarkStart w:id="283" w:name="_Toc352229761"/>
      <w:bookmarkStart w:id="284" w:name="_Toc6493"/>
      <w:bookmarkStart w:id="285" w:name="_Toc24601"/>
      <w:bookmarkStart w:id="286" w:name="_Toc19752"/>
      <w:bookmarkStart w:id="287" w:name="_Toc139991745"/>
      <w:bookmarkEnd w:id="260"/>
      <w:bookmarkEnd w:id="261"/>
      <w:bookmarkEnd w:id="262"/>
      <w:bookmarkEnd w:id="263"/>
      <w:bookmarkEnd w:id="264"/>
      <w:bookmarkEnd w:id="265"/>
      <w:bookmarkEnd w:id="266"/>
      <w:bookmarkEnd w:id="267"/>
      <w:bookmarkEnd w:id="268"/>
      <w:bookmarkEnd w:id="269"/>
      <w:r>
        <w:rPr>
          <w:rFonts w:asciiTheme="minorEastAsia" w:hAnsiTheme="minorEastAsia" w:hint="eastAsia"/>
          <w:bCs/>
          <w:sz w:val="24"/>
        </w:rPr>
        <w:t>一、基金费用的种类</w:t>
      </w:r>
    </w:p>
    <w:p w14:paraId="64DC946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1、基金管理人的管理费；</w:t>
      </w:r>
    </w:p>
    <w:p w14:paraId="7D35D1B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14BA357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3、C类基金份额的销售服务费；</w:t>
      </w:r>
    </w:p>
    <w:p w14:paraId="46A1D8B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、《基金合同》生效后与基金相关的信息披露费用；</w:t>
      </w:r>
    </w:p>
    <w:p w14:paraId="4A02DC8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5</w:t>
      </w:r>
      <w:r>
        <w:rPr>
          <w:rFonts w:asciiTheme="minorEastAsia" w:hAnsiTheme="minorEastAsia" w:hint="eastAsia"/>
          <w:bCs/>
          <w:sz w:val="24"/>
        </w:rPr>
        <w:t>、《基金合同》生效后与基金相关的会计师费、律师费、诉讼费和仲裁费；</w:t>
      </w:r>
    </w:p>
    <w:p w14:paraId="6AD4471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6</w:t>
      </w:r>
      <w:r>
        <w:rPr>
          <w:rFonts w:asciiTheme="minorEastAsia" w:hAnsiTheme="minorEastAsia" w:hint="eastAsia"/>
          <w:bCs/>
          <w:sz w:val="24"/>
        </w:rPr>
        <w:t>、基金份额持有人大会费用；</w:t>
      </w:r>
    </w:p>
    <w:p w14:paraId="6CB93CB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7</w:t>
      </w:r>
      <w:r>
        <w:rPr>
          <w:rFonts w:asciiTheme="minorEastAsia" w:hAnsiTheme="minorEastAsia" w:hint="eastAsia"/>
          <w:bCs/>
          <w:sz w:val="24"/>
        </w:rPr>
        <w:t>、基金的证券、期货交易费用；</w:t>
      </w:r>
    </w:p>
    <w:p w14:paraId="195A104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8</w:t>
      </w:r>
      <w:r>
        <w:rPr>
          <w:rFonts w:asciiTheme="minorEastAsia" w:hAnsiTheme="minorEastAsia" w:hint="eastAsia"/>
          <w:bCs/>
          <w:sz w:val="24"/>
        </w:rPr>
        <w:t>、基金的银行汇划费用；</w:t>
      </w:r>
    </w:p>
    <w:p w14:paraId="2F2EE2E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9</w:t>
      </w:r>
      <w:r>
        <w:rPr>
          <w:rFonts w:asciiTheme="minorEastAsia" w:hAnsiTheme="minorEastAsia" w:hint="eastAsia"/>
          <w:bCs/>
          <w:sz w:val="24"/>
        </w:rPr>
        <w:t>、基金的账户开户费用、账户维护费用；</w:t>
      </w:r>
    </w:p>
    <w:p w14:paraId="34C4C9A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10、按照国家有关规定和《基金合同》约定，可以在基金财产中列支的其他费用。</w:t>
      </w:r>
    </w:p>
    <w:p w14:paraId="7C7A16C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二、基金费用计提方法、计提标准和支付方式</w:t>
      </w:r>
    </w:p>
    <w:p w14:paraId="72C82F0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 xml:space="preserve">1、基金管理人的管理费 </w:t>
      </w:r>
    </w:p>
    <w:p w14:paraId="04C0E08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本基金的管理费按前一日基金资产净值的</w:t>
      </w:r>
      <w:r>
        <w:rPr>
          <w:rFonts w:asciiTheme="minorEastAsia" w:hAnsiTheme="minorEastAsia"/>
          <w:bCs/>
          <w:sz w:val="24"/>
        </w:rPr>
        <w:t>1.2</w:t>
      </w:r>
      <w:r>
        <w:rPr>
          <w:rFonts w:asciiTheme="minorEastAsia" w:hAnsiTheme="minorEastAsia" w:hint="eastAsia"/>
          <w:bCs/>
          <w:sz w:val="24"/>
        </w:rPr>
        <w:t>%年费率计提。管理费的计算方法如下：</w:t>
      </w:r>
    </w:p>
    <w:p w14:paraId="7671A14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1.2</w:t>
      </w:r>
      <w:r>
        <w:rPr>
          <w:rFonts w:asciiTheme="minorEastAsia" w:hAnsiTheme="minorEastAsia" w:hint="eastAsia"/>
          <w:bCs/>
          <w:sz w:val="24"/>
        </w:rPr>
        <w:t>%÷当年天数</w:t>
      </w:r>
    </w:p>
    <w:p w14:paraId="004540F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H为每日应计提的基金管理费</w:t>
      </w:r>
    </w:p>
    <w:p w14:paraId="7BDB113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E为前一日的基金资产净值</w:t>
      </w:r>
    </w:p>
    <w:p w14:paraId="1E31172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于次月前5个工作日内从基金财产中一次性支付给基金管理人。若遇法定节假日、公休假等，支付日期顺延。</w:t>
      </w:r>
    </w:p>
    <w:p w14:paraId="5C51C15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2、基金托管人的托管费</w:t>
      </w:r>
    </w:p>
    <w:p w14:paraId="47729A0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本基金的托管费按前一日基金资产净值的</w:t>
      </w:r>
      <w:r>
        <w:rPr>
          <w:rFonts w:asciiTheme="minorEastAsia" w:hAnsiTheme="minorEastAsia"/>
          <w:bCs/>
          <w:sz w:val="24"/>
        </w:rPr>
        <w:t>0.15</w:t>
      </w:r>
      <w:r>
        <w:rPr>
          <w:rFonts w:asciiTheme="minorEastAsia" w:hAnsiTheme="minorEastAsia" w:hint="eastAsia"/>
          <w:bCs/>
          <w:sz w:val="24"/>
        </w:rPr>
        <w:t>%的年费率计提。托管费的计算方法如下：</w:t>
      </w:r>
    </w:p>
    <w:p w14:paraId="128B77E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H＝E×</w:t>
      </w:r>
      <w:r>
        <w:rPr>
          <w:rFonts w:asciiTheme="minorEastAsia" w:hAnsiTheme="minorEastAsia"/>
          <w:bCs/>
          <w:sz w:val="24"/>
        </w:rPr>
        <w:t>0.15%</w:t>
      </w:r>
      <w:r>
        <w:rPr>
          <w:rFonts w:asciiTheme="minorEastAsia" w:hAnsiTheme="minorEastAsia" w:hint="eastAsia"/>
          <w:bCs/>
          <w:sz w:val="24"/>
        </w:rPr>
        <w:t>÷当年天数</w:t>
      </w:r>
    </w:p>
    <w:p w14:paraId="0B829FD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H为每日应计提的基金托管费</w:t>
      </w:r>
    </w:p>
    <w:p w14:paraId="2D3B08A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E为前一日的基金资产净值</w:t>
      </w:r>
    </w:p>
    <w:p w14:paraId="4CC7805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于次月前5个工作日内从基金财产中一次性支取。若遇法定节假日、公休日等，支付日期顺延。</w:t>
      </w:r>
      <w:r>
        <w:rPr>
          <w:rFonts w:asciiTheme="minorEastAsia" w:hAnsiTheme="minorEastAsia" w:cs="宋体" w:hint="eastAsia"/>
          <w:bCs/>
          <w:color w:val="000000"/>
          <w:sz w:val="24"/>
        </w:rPr>
        <w:t>费用自动扣划后，基金管理人应进行核对，如发现数据不符，及时联系基金托管人协商解决。</w:t>
      </w:r>
    </w:p>
    <w:p w14:paraId="1C93D17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、C类基金份额的销售服务费</w:t>
      </w:r>
    </w:p>
    <w:p w14:paraId="6DD6A03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w:t>
      </w:r>
      <w:r>
        <w:rPr>
          <w:rFonts w:asciiTheme="minorEastAsia" w:hAnsiTheme="minorEastAsia"/>
          <w:bCs/>
          <w:sz w:val="24"/>
        </w:rPr>
        <w:t>A</w:t>
      </w:r>
      <w:r>
        <w:rPr>
          <w:rFonts w:asciiTheme="minorEastAsia" w:hAnsiTheme="minorEastAsia" w:hint="eastAsia"/>
          <w:bCs/>
          <w:sz w:val="24"/>
        </w:rPr>
        <w:t>类基金份额不收取销售服务费，</w:t>
      </w:r>
      <w:r>
        <w:rPr>
          <w:rFonts w:asciiTheme="minorEastAsia" w:hAnsiTheme="minorEastAsia"/>
          <w:bCs/>
          <w:sz w:val="24"/>
        </w:rPr>
        <w:t>C</w:t>
      </w:r>
      <w:r>
        <w:rPr>
          <w:rFonts w:asciiTheme="minorEastAsia" w:hAnsiTheme="minorEastAsia" w:hint="eastAsia"/>
          <w:bCs/>
          <w:sz w:val="24"/>
        </w:rPr>
        <w:t>类基金份额的销售服务费年费率为</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w:t>
      </w:r>
    </w:p>
    <w:p w14:paraId="5DCE02E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本基金销售服务费将专门用于本基金的销售与基金份额持有人服务，销售服务费计提的计算公式如下：</w:t>
      </w:r>
      <w:r>
        <w:rPr>
          <w:rFonts w:asciiTheme="minorEastAsia" w:hAnsiTheme="minorEastAsia"/>
          <w:bCs/>
          <w:sz w:val="24"/>
        </w:rPr>
        <w:t xml:space="preserve"> </w:t>
      </w:r>
    </w:p>
    <w:p w14:paraId="4351269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H=E</w:t>
      </w:r>
      <w:r>
        <w:rPr>
          <w:rFonts w:asciiTheme="minorEastAsia" w:hAnsiTheme="minorEastAsia" w:hint="eastAsia"/>
          <w:bCs/>
          <w:sz w:val="24"/>
        </w:rPr>
        <w:t>×</w:t>
      </w:r>
      <w:r>
        <w:rPr>
          <w:rFonts w:asciiTheme="minorEastAsia" w:hAnsiTheme="minorEastAsia"/>
          <w:bCs/>
          <w:sz w:val="24"/>
        </w:rPr>
        <w:t>0.</w:t>
      </w:r>
      <w:r>
        <w:rPr>
          <w:rFonts w:asciiTheme="minorEastAsia" w:hAnsiTheme="minorEastAsia" w:hint="eastAsia"/>
          <w:bCs/>
          <w:sz w:val="24"/>
        </w:rPr>
        <w:t>5</w:t>
      </w:r>
      <w:r>
        <w:rPr>
          <w:rFonts w:asciiTheme="minorEastAsia" w:hAnsiTheme="minorEastAsia"/>
          <w:bCs/>
          <w:sz w:val="24"/>
        </w:rPr>
        <w:t>%</w:t>
      </w:r>
      <w:r>
        <w:rPr>
          <w:rFonts w:asciiTheme="minorEastAsia" w:hAnsiTheme="minorEastAsia" w:hint="eastAsia"/>
          <w:bCs/>
          <w:sz w:val="24"/>
        </w:rPr>
        <w:t>÷当年天数</w:t>
      </w:r>
    </w:p>
    <w:p w14:paraId="1B413E5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H</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类基金份额每日应计提的销售服务费</w:t>
      </w:r>
    </w:p>
    <w:p w14:paraId="3100D21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E</w:t>
      </w:r>
      <w:r>
        <w:rPr>
          <w:rFonts w:asciiTheme="minorEastAsia" w:hAnsiTheme="minorEastAsia" w:hint="eastAsia"/>
          <w:bCs/>
          <w:sz w:val="24"/>
        </w:rPr>
        <w:t>为</w:t>
      </w:r>
      <w:r>
        <w:rPr>
          <w:rFonts w:asciiTheme="minorEastAsia" w:hAnsiTheme="minorEastAsia"/>
          <w:bCs/>
          <w:sz w:val="24"/>
        </w:rPr>
        <w:t>C</w:t>
      </w:r>
      <w:r>
        <w:rPr>
          <w:rFonts w:asciiTheme="minorEastAsia" w:hAnsiTheme="minorEastAsia" w:hint="eastAsia"/>
          <w:bCs/>
          <w:sz w:val="24"/>
        </w:rPr>
        <w:t>类基金份额前一日基金资产净值</w:t>
      </w:r>
    </w:p>
    <w:p w14:paraId="0788915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基金销售服务费每日计算，逐日累计至每月月末，按月支付。经基金管理人与基金托管人双方核对无误后，基金托管人</w:t>
      </w:r>
      <w:r>
        <w:rPr>
          <w:rFonts w:asciiTheme="minorEastAsia" w:hAnsiTheme="minorEastAsia" w:hint="eastAsia"/>
          <w:bCs/>
          <w:sz w:val="24"/>
          <w:szCs w:val="24"/>
        </w:rPr>
        <w:t>按照</w:t>
      </w:r>
      <w:r>
        <w:rPr>
          <w:rFonts w:asciiTheme="minorEastAsia" w:hAnsiTheme="minorEastAsia" w:hint="eastAsia"/>
          <w:sz w:val="24"/>
          <w:szCs w:val="24"/>
        </w:rPr>
        <w:t>与基金管理人协商一致的方式</w:t>
      </w:r>
      <w:r>
        <w:rPr>
          <w:rFonts w:asciiTheme="minorEastAsia" w:hAnsiTheme="minorEastAsia" w:hint="eastAsia"/>
          <w:bCs/>
          <w:sz w:val="24"/>
        </w:rPr>
        <w:t>于次月前</w:t>
      </w:r>
      <w:r>
        <w:rPr>
          <w:rFonts w:asciiTheme="minorEastAsia" w:hAnsiTheme="minorEastAsia"/>
          <w:bCs/>
          <w:sz w:val="24"/>
        </w:rPr>
        <w:t>5</w:t>
      </w:r>
      <w:r>
        <w:rPr>
          <w:rFonts w:asciiTheme="minorEastAsia" w:hAnsiTheme="minorEastAsia" w:hint="eastAsia"/>
          <w:bCs/>
          <w:sz w:val="24"/>
        </w:rPr>
        <w:t>个工作日内从基金财产中一次性支付给基金管理人。若遇法定节假日、公休假等，支付日期顺延。</w:t>
      </w:r>
    </w:p>
    <w:p w14:paraId="1D3BF63F" w14:textId="77777777" w:rsidR="0066529D" w:rsidRDefault="00A901FF">
      <w:pPr>
        <w:autoSpaceDE w:val="0"/>
        <w:autoSpaceDN w:val="0"/>
        <w:spacing w:line="360" w:lineRule="auto"/>
        <w:ind w:firstLineChars="200" w:firstLine="482"/>
        <w:textAlignment w:val="bottom"/>
        <w:rPr>
          <w:rFonts w:asciiTheme="minorEastAsia" w:hAnsiTheme="minorEastAsia" w:hint="eastAsia"/>
          <w:b/>
          <w:bCs/>
          <w:sz w:val="24"/>
        </w:rPr>
      </w:pPr>
      <w:r>
        <w:rPr>
          <w:rFonts w:asciiTheme="minorEastAsia" w:hAnsiTheme="minorEastAsia" w:hint="eastAsia"/>
          <w:b/>
          <w:bCs/>
          <w:sz w:val="24"/>
        </w:rPr>
        <w:t>自</w:t>
      </w:r>
      <w:r>
        <w:rPr>
          <w:rFonts w:asciiTheme="minorEastAsia" w:hAnsiTheme="minorEastAsia"/>
          <w:b/>
          <w:bCs/>
          <w:sz w:val="24"/>
        </w:rPr>
        <w:t>2019年7月4日起，C类基金份额销</w:t>
      </w:r>
      <w:r>
        <w:rPr>
          <w:rFonts w:asciiTheme="minorEastAsia" w:hAnsiTheme="minorEastAsia" w:hint="eastAsia"/>
          <w:b/>
          <w:bCs/>
          <w:sz w:val="24"/>
        </w:rPr>
        <w:t>售服务费优惠费率为</w:t>
      </w:r>
      <w:r>
        <w:rPr>
          <w:rFonts w:asciiTheme="minorEastAsia" w:hAnsiTheme="minorEastAsia"/>
          <w:b/>
          <w:bCs/>
          <w:sz w:val="24"/>
        </w:rPr>
        <w:t>0.01%，优惠</w:t>
      </w:r>
      <w:r>
        <w:rPr>
          <w:rFonts w:asciiTheme="minorEastAsia" w:hAnsiTheme="minorEastAsia" w:hint="eastAsia"/>
          <w:b/>
          <w:bCs/>
          <w:sz w:val="24"/>
        </w:rPr>
        <w:t>活动结束时间另行公告。</w:t>
      </w:r>
    </w:p>
    <w:p w14:paraId="2062813E" w14:textId="77777777" w:rsidR="0066529D" w:rsidRDefault="00A901FF">
      <w:pPr>
        <w:autoSpaceDE w:val="0"/>
        <w:autoSpaceDN w:val="0"/>
        <w:spacing w:line="360" w:lineRule="auto"/>
        <w:ind w:firstLineChars="200" w:firstLine="480"/>
        <w:textAlignment w:val="bottom"/>
        <w:rPr>
          <w:rFonts w:asciiTheme="minorEastAsia" w:hAnsiTheme="minorEastAsia" w:hint="eastAsia"/>
          <w:bCs/>
          <w:kern w:val="0"/>
          <w:sz w:val="24"/>
        </w:rPr>
      </w:pPr>
      <w:r>
        <w:rPr>
          <w:rFonts w:asciiTheme="minorEastAsia" w:hAnsiTheme="minorEastAsia" w:hint="eastAsia"/>
          <w:bCs/>
          <w:kern w:val="0"/>
          <w:sz w:val="24"/>
        </w:rPr>
        <w:t>上述“一、基金费用的种类”中第</w:t>
      </w:r>
      <w:r>
        <w:rPr>
          <w:rFonts w:asciiTheme="minorEastAsia" w:hAnsiTheme="minorEastAsia"/>
          <w:bCs/>
          <w:kern w:val="0"/>
          <w:sz w:val="24"/>
        </w:rPr>
        <w:t>4</w:t>
      </w:r>
      <w:r>
        <w:rPr>
          <w:rFonts w:asciiTheme="minorEastAsia" w:hAnsiTheme="minorEastAsia" w:hint="eastAsia"/>
          <w:bCs/>
          <w:kern w:val="0"/>
          <w:sz w:val="24"/>
        </w:rPr>
        <w:t>－</w:t>
      </w:r>
      <w:r>
        <w:rPr>
          <w:rFonts w:asciiTheme="minorEastAsia" w:hAnsiTheme="minorEastAsia"/>
          <w:bCs/>
          <w:kern w:val="0"/>
          <w:sz w:val="24"/>
        </w:rPr>
        <w:t>10</w:t>
      </w:r>
      <w:r>
        <w:rPr>
          <w:rFonts w:asciiTheme="minorEastAsia" w:hAnsiTheme="minorEastAsia" w:hint="eastAsia"/>
          <w:bCs/>
          <w:kern w:val="0"/>
          <w:sz w:val="24"/>
        </w:rPr>
        <w:t>项费用，根据有关法规及相应协议规定，按费用实际支出金额列入当期费用，由基金托管人从基金财产中支付。</w:t>
      </w:r>
    </w:p>
    <w:p w14:paraId="7E04DD6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三、不列入基金费用的项目</w:t>
      </w:r>
    </w:p>
    <w:p w14:paraId="1BAE5C8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下列费用不列入基金费用：</w:t>
      </w:r>
    </w:p>
    <w:p w14:paraId="0B20BC8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1、基金管理人和基金托管人因未履行或未完全履行义务导致的费用支出或基金财产的损失；</w:t>
      </w:r>
    </w:p>
    <w:p w14:paraId="01ED48D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2、基金管理人和基金托管人处理与基金运作无关的事项发生的费用；</w:t>
      </w:r>
    </w:p>
    <w:p w14:paraId="070FD94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3、《基金合同》生效前的相关费用；</w:t>
      </w:r>
    </w:p>
    <w:p w14:paraId="060FB16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4、其他根据相关法律法规及中国证监会的有关规定不得列入基金费用的项</w:t>
      </w:r>
      <w:r>
        <w:rPr>
          <w:rFonts w:asciiTheme="minorEastAsia" w:hAnsiTheme="minorEastAsia" w:hint="eastAsia"/>
          <w:bCs/>
          <w:sz w:val="24"/>
        </w:rPr>
        <w:lastRenderedPageBreak/>
        <w:t>目。</w:t>
      </w:r>
      <w:bookmarkStart w:id="288" w:name="_Hlt88827255"/>
      <w:bookmarkEnd w:id="288"/>
    </w:p>
    <w:p w14:paraId="231635E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四、基金税收</w:t>
      </w:r>
    </w:p>
    <w:p w14:paraId="261F641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本基金运作过程中涉及的各纳税主体，其纳税义务按国家税收法律、法规执行。</w:t>
      </w:r>
    </w:p>
    <w:p w14:paraId="74AACC76"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Cs/>
          <w:sz w:val="24"/>
          <w:szCs w:val="24"/>
        </w:rPr>
        <w:sectPr w:rsidR="0066529D">
          <w:footerReference w:type="default" r:id="rId37"/>
          <w:pgSz w:w="11906" w:h="16838"/>
          <w:pgMar w:top="1440" w:right="1800" w:bottom="1440" w:left="1800" w:header="851" w:footer="992" w:gutter="0"/>
          <w:pgNumType w:chapStyle="1"/>
          <w:cols w:space="720"/>
          <w:docGrid w:type="lines" w:linePitch="312"/>
        </w:sectPr>
      </w:pPr>
      <w:r>
        <w:rPr>
          <w:rFonts w:asciiTheme="minorEastAsia" w:hAnsiTheme="minorEastAsia" w:hint="eastAsia"/>
          <w:bCs/>
          <w:sz w:val="24"/>
        </w:rPr>
        <w:t>基金财产投资的相关税收，由基金份额持有人承担，基金管理人或者其他扣缴义务人按照国家有关税收征收的规定代扣代缴。</w:t>
      </w:r>
    </w:p>
    <w:p w14:paraId="77392CF1" w14:textId="77777777" w:rsidR="0066529D" w:rsidRDefault="00A901FF">
      <w:pPr>
        <w:pStyle w:val="1"/>
        <w:jc w:val="center"/>
        <w:rPr>
          <w:rFonts w:asciiTheme="minorEastAsia" w:eastAsiaTheme="minorEastAsia" w:hAnsiTheme="minorEastAsia" w:hint="eastAsia"/>
          <w:sz w:val="30"/>
          <w:szCs w:val="30"/>
        </w:rPr>
      </w:pPr>
      <w:bookmarkStart w:id="289" w:name="_Toc146096090"/>
      <w:r>
        <w:rPr>
          <w:rFonts w:asciiTheme="minorEastAsia" w:eastAsiaTheme="minorEastAsia" w:hAnsiTheme="minorEastAsia" w:hint="eastAsia"/>
          <w:sz w:val="30"/>
          <w:szCs w:val="30"/>
        </w:rPr>
        <w:lastRenderedPageBreak/>
        <w:t>第十四部分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基金的会计与审计</w:t>
      </w:r>
      <w:bookmarkEnd w:id="271"/>
      <w:bookmarkEnd w:id="272"/>
      <w:bookmarkEnd w:id="273"/>
      <w:bookmarkEnd w:id="289"/>
    </w:p>
    <w:p w14:paraId="677E023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一、基金会计政策</w:t>
      </w:r>
    </w:p>
    <w:p w14:paraId="68283B7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1、基金管理人为本基金的基金会计责任方；</w:t>
      </w:r>
    </w:p>
    <w:p w14:paraId="6A7E409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2、基金的会计年度为公历年度的1月1日至12月31日；基金首次募集的会计年度按如下原则：如果《基金合同》生效少于2个月，可以并入下一个会计年度披露；</w:t>
      </w:r>
    </w:p>
    <w:p w14:paraId="08818E9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3、基金核算以人民币为记账本位币，以人民币元为记账单位；</w:t>
      </w:r>
    </w:p>
    <w:p w14:paraId="6D48229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4、会计制度执行国家有关会计制度；</w:t>
      </w:r>
    </w:p>
    <w:p w14:paraId="03644F6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5、本基金独立建账、独立核算；</w:t>
      </w:r>
    </w:p>
    <w:p w14:paraId="3A47EE9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6、基金管理人及基金托管人各自保留完整的会计账目、凭证并进行日常的会计核算，按照有关规定编制基金会计报表；</w:t>
      </w:r>
    </w:p>
    <w:p w14:paraId="74985F6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7、基金托管人每月与基金管理人就基金的会计核算、报表编制等进行核对并以书面方式确认。</w:t>
      </w:r>
    </w:p>
    <w:p w14:paraId="1491091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二、基金的年度审计</w:t>
      </w:r>
    </w:p>
    <w:p w14:paraId="1B16E8B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1、基金管理人聘请与基金管理人、基金托管人相互独立的具有证券、期货相关业务资格具有证券从业资格的会计师事务所及其注册会计师对本基金的年度财务报表进行审计。</w:t>
      </w:r>
    </w:p>
    <w:p w14:paraId="58EA65C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2、会计师事务所更换经办注册会计师，应事先征得基金管理人同意。</w:t>
      </w:r>
    </w:p>
    <w:p w14:paraId="334F976D"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bCs/>
          <w:sz w:val="24"/>
        </w:rPr>
        <w:t>3、</w:t>
      </w:r>
      <w:bookmarkStart w:id="290" w:name="_Hlt4221115"/>
      <w:bookmarkEnd w:id="290"/>
      <w:r>
        <w:rPr>
          <w:rFonts w:asciiTheme="minorEastAsia" w:hAnsiTheme="minorEastAsia" w:hint="eastAsia"/>
          <w:bCs/>
          <w:sz w:val="24"/>
        </w:rPr>
        <w:t>基金管理人认为有充足理由更换会计师事务所，须通报基金托管人。更换会计师事务所需在2个工作日内在指定媒介公告。</w:t>
      </w:r>
    </w:p>
    <w:p w14:paraId="0E5839E9" w14:textId="77777777" w:rsidR="0066529D" w:rsidRDefault="0066529D">
      <w:pPr>
        <w:widowControl/>
        <w:spacing w:line="360" w:lineRule="auto"/>
        <w:jc w:val="left"/>
        <w:rPr>
          <w:rFonts w:asciiTheme="minorEastAsia" w:hAnsiTheme="minorEastAsia" w:cs="Times New Roman" w:hint="eastAsia"/>
          <w:b/>
          <w:kern w:val="0"/>
          <w:sz w:val="24"/>
          <w:szCs w:val="24"/>
        </w:rPr>
        <w:sectPr w:rsidR="0066529D">
          <w:footerReference w:type="default" r:id="rId38"/>
          <w:pgSz w:w="11906" w:h="16838"/>
          <w:pgMar w:top="1440" w:right="1800" w:bottom="1440" w:left="1800" w:header="851" w:footer="992" w:gutter="0"/>
          <w:pgNumType w:chapStyle="1"/>
          <w:cols w:space="720"/>
          <w:docGrid w:type="lines" w:linePitch="312"/>
        </w:sectPr>
      </w:pPr>
    </w:p>
    <w:p w14:paraId="7F429580" w14:textId="77777777" w:rsidR="0066529D" w:rsidRDefault="00A901FF">
      <w:pPr>
        <w:pStyle w:val="1"/>
        <w:jc w:val="center"/>
        <w:rPr>
          <w:rFonts w:asciiTheme="minorEastAsia" w:eastAsiaTheme="minorEastAsia" w:hAnsiTheme="minorEastAsia" w:hint="eastAsia"/>
          <w:sz w:val="30"/>
          <w:szCs w:val="30"/>
        </w:rPr>
      </w:pPr>
      <w:bookmarkStart w:id="291" w:name="_Toc214873604"/>
      <w:bookmarkStart w:id="292" w:name="_Toc416264551"/>
      <w:bookmarkStart w:id="293" w:name="_Toc263092323"/>
      <w:bookmarkStart w:id="294" w:name="_Toc146096091"/>
      <w:bookmarkStart w:id="295" w:name="_Toc79978642"/>
      <w:bookmarkStart w:id="296" w:name="_Toc352229762"/>
      <w:bookmarkStart w:id="297" w:name="_Toc25883"/>
      <w:bookmarkStart w:id="298" w:name="_Toc128310499"/>
      <w:bookmarkStart w:id="299" w:name="_Toc12761"/>
      <w:bookmarkStart w:id="300" w:name="_Toc139991746"/>
      <w:bookmarkStart w:id="301" w:name="_Toc3656"/>
      <w:bookmarkStart w:id="302" w:name="_Toc19558"/>
      <w:bookmarkStart w:id="303" w:name="_Toc93226149"/>
      <w:bookmarkStart w:id="304" w:name="_Toc21829"/>
      <w:bookmarkStart w:id="305" w:name="_Toc1617"/>
      <w:bookmarkStart w:id="306" w:name="_Toc178"/>
      <w:bookmarkStart w:id="307" w:name="_Toc15525"/>
      <w:bookmarkStart w:id="308" w:name="_Toc22552"/>
      <w:bookmarkStart w:id="309" w:name="_Toc20052"/>
      <w:bookmarkStart w:id="310" w:name="_Toc141703896"/>
      <w:bookmarkStart w:id="311" w:name="_Toc92662707"/>
      <w:bookmarkStart w:id="312" w:name="_Toc15351"/>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r>
        <w:rPr>
          <w:rFonts w:asciiTheme="minorEastAsia" w:eastAsiaTheme="minorEastAsia" w:hAnsiTheme="minorEastAsia" w:hint="eastAsia"/>
          <w:sz w:val="30"/>
          <w:szCs w:val="30"/>
        </w:rPr>
        <w:lastRenderedPageBreak/>
        <w:t>第十五部分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基金的信息披露</w:t>
      </w:r>
      <w:bookmarkEnd w:id="291"/>
      <w:bookmarkEnd w:id="292"/>
      <w:bookmarkEnd w:id="293"/>
      <w:bookmarkEnd w:id="294"/>
      <w:bookmarkEnd w:id="295"/>
    </w:p>
    <w:p w14:paraId="386E5B0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一、本基金的信息披露应符合《基金法》、《运作办法》、《信息披露办法》、《基金合同》及其他有关规定。</w:t>
      </w:r>
    </w:p>
    <w:p w14:paraId="7CA68AA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二、信息披露义务人</w:t>
      </w:r>
    </w:p>
    <w:p w14:paraId="1C233A7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本基金信息披露义务人包括基金管理人、基金托管人、召集基金份额持有人大会的基金份额持有人等法律法规和中国证监会规定的自然人、法人和非法人组织。</w:t>
      </w:r>
    </w:p>
    <w:p w14:paraId="0E858CA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3472358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信息披露义务人应当在中国证监会规定时间内，将应予披露的基金信息通过中国证监会指定的媒介和基金管理人、基金托管人的互联网网站（以下简称“网站”）等媒介披露，并保证基金投资者能够按照《基金合同》约定的时间和方式查阅或者复制公开披露的信息资料。</w:t>
      </w:r>
    </w:p>
    <w:p w14:paraId="1C7BE80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三、本基金信息披露义务人承诺公开披露的基金信息，不得有下列行为：</w:t>
      </w:r>
    </w:p>
    <w:p w14:paraId="58818E5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1、虚假记载、误导性陈述或者重大遗漏；</w:t>
      </w:r>
    </w:p>
    <w:p w14:paraId="7D3F719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2、对证券投资业绩进行预测；</w:t>
      </w:r>
    </w:p>
    <w:p w14:paraId="05F62FC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3、违规承诺收益或者承担损失；</w:t>
      </w:r>
    </w:p>
    <w:p w14:paraId="5093076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4、诋毁其他基金管理人、基金托管人或者基金销售机构；</w:t>
      </w:r>
    </w:p>
    <w:p w14:paraId="33900A2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5、登载任何自然人、法人或者非法人组织的祝贺性、恭维性或推荐性的文字；</w:t>
      </w:r>
    </w:p>
    <w:p w14:paraId="37E17CA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6、中国证监会禁止的其他行为。</w:t>
      </w:r>
    </w:p>
    <w:p w14:paraId="6078561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四、本基金公开披露的信息应采用中文文本。如同时采用外文文本的，基金信息披露义务人应保证不同文本的内容一致。不同文本之间发生歧义的，以中文文本为准。</w:t>
      </w:r>
    </w:p>
    <w:p w14:paraId="038B32A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本基金公开披露的信息采用阿拉伯数字；除特别说明外，货币单位为人民币元。</w:t>
      </w:r>
    </w:p>
    <w:p w14:paraId="0E2408E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五、公开披露的基金信息</w:t>
      </w:r>
    </w:p>
    <w:p w14:paraId="1775D7D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公开披露的基金信息包括：</w:t>
      </w:r>
    </w:p>
    <w:p w14:paraId="1EE611B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（一）基金招募说明书、《基金合同》、基金托管协议、基金产品资料概要</w:t>
      </w:r>
    </w:p>
    <w:p w14:paraId="7B43A08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1、《基金合同》是界定《基金合同》当事人的各项权利、义务关系，明确基金份额持有人大会召开的规则及具体程序，说明基金产品的特性等涉及基金投资者重大利益的事项的法律文件。</w:t>
      </w:r>
    </w:p>
    <w:p w14:paraId="6C725A9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7A0972D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3、基金托管协议是界定基金托管人和基金管理人在基金财产保管及基金运作监督等活动中的权利、义务关系的法律文件。</w:t>
      </w:r>
    </w:p>
    <w:p w14:paraId="5788BB2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33801DB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5017DF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（二）基金份额发售公告</w:t>
      </w:r>
    </w:p>
    <w:p w14:paraId="354AC10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基金管理人应当就基金份额发售的具体事宜编制基金份额发售公告，并在披露招募说明书的当日登载于指定媒介上。</w:t>
      </w:r>
    </w:p>
    <w:p w14:paraId="0FDB0D6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（三）《基金合同》生效公告</w:t>
      </w:r>
    </w:p>
    <w:p w14:paraId="619DA0D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基金管理人应当在收到中国证监会确认文件的次日在指定媒介上登载《基金</w:t>
      </w:r>
      <w:r>
        <w:rPr>
          <w:rFonts w:asciiTheme="minorEastAsia" w:hAnsiTheme="minorEastAsia" w:hint="eastAsia"/>
          <w:bCs/>
          <w:sz w:val="24"/>
        </w:rPr>
        <w:lastRenderedPageBreak/>
        <w:t>合同》生效公告。</w:t>
      </w:r>
    </w:p>
    <w:p w14:paraId="773097C5"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（四）基金净值信息</w:t>
      </w:r>
    </w:p>
    <w:p w14:paraId="1E3B52D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《基金合同》生效后，在开始办理基金份额申购或者赎回前，基金管理人应当至少每周在指定网站披露一次基金份额净值和基金份额累计净值。</w:t>
      </w:r>
    </w:p>
    <w:p w14:paraId="64E58F5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在开始办理基金份额申购或者赎回后，基金管理人应当在不晚于每个开放日的次日，通过其指定网站、基金销售机构网站或营业网点披露开放日的基金份额净值和基金份额累计净值。</w:t>
      </w:r>
    </w:p>
    <w:p w14:paraId="55B9E8C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基金管理人应在不晚于半年度和年度最后一日的次日，在指定网站披露半年度和年度最后一日的基金份额净值和基金份额累计净值。</w:t>
      </w:r>
    </w:p>
    <w:p w14:paraId="58232B9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（五）基金份额申购、赎回价格</w:t>
      </w:r>
    </w:p>
    <w:p w14:paraId="584D681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基金管理人应当在《基金合同》、招募说明书等信息披露文件上载</w:t>
      </w:r>
      <w:proofErr w:type="gramStart"/>
      <w:r>
        <w:rPr>
          <w:rFonts w:asciiTheme="minorEastAsia" w:hAnsiTheme="minorEastAsia" w:hint="eastAsia"/>
          <w:bCs/>
          <w:sz w:val="24"/>
        </w:rPr>
        <w:t>明基金</w:t>
      </w:r>
      <w:proofErr w:type="gramEnd"/>
      <w:r>
        <w:rPr>
          <w:rFonts w:asciiTheme="minorEastAsia" w:hAnsiTheme="minorEastAsia" w:hint="eastAsia"/>
          <w:bCs/>
          <w:sz w:val="24"/>
        </w:rPr>
        <w:t>份额申购、赎回价格的计算方式及有关申购、赎回费率，并保证投资者能够在基金销售机构网站或营业网点查阅或者复制前述信息库资料。</w:t>
      </w:r>
    </w:p>
    <w:p w14:paraId="2C9F722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（六）基金定期报告，包括基金年度报告、基金中期报告和基金季度报告</w:t>
      </w:r>
    </w:p>
    <w:p w14:paraId="7BEB31A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年结束之日起三个月内，编制完成基金年度报告，将年度报告登载在指定网站上，将年度报告提示性公告登载在指定报刊上。基金年度报告中的财务会计报告应当经过具有证券、期货相关业务资格的会计师事务所审计。</w:t>
      </w:r>
    </w:p>
    <w:p w14:paraId="08DD050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基金管理人应当在上半年结束之日起两个月内，编制完成基金中期报告，将中期报告登载在指定网站上，并将中期报告提示性公告登载在指定报刊上。</w:t>
      </w:r>
    </w:p>
    <w:p w14:paraId="22168EE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基金管理人应当在每个季度结束之日起15个工作日内，编制完成基金季度报告，将季度报告登载在指定网站上，并将季度报告提示性公告登载在指定报刊上。</w:t>
      </w:r>
    </w:p>
    <w:p w14:paraId="5675C21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《基金合同》生效不足2个月的，基金管理人可以不编制当期季度报告、中期报告或者年度报告。</w:t>
      </w:r>
    </w:p>
    <w:p w14:paraId="7EA485D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8B0330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本基金持续运作过程中，应当在基金年度报告和中期报告中披露基金组合资</w:t>
      </w:r>
      <w:r>
        <w:rPr>
          <w:rFonts w:asciiTheme="minorEastAsia" w:hAnsiTheme="minorEastAsia" w:hint="eastAsia"/>
          <w:bCs/>
          <w:sz w:val="24"/>
        </w:rPr>
        <w:lastRenderedPageBreak/>
        <w:t>产情况及其流动性风险分析等。</w:t>
      </w:r>
    </w:p>
    <w:p w14:paraId="6AA2287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（七）临时报告</w:t>
      </w:r>
    </w:p>
    <w:p w14:paraId="69F6914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本基金发生重大事件，有关信息披露义务人应在2日内编制临时报告书，并登载在指定报刊和指定网站上。</w:t>
      </w:r>
    </w:p>
    <w:p w14:paraId="332F3D6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前款所称重大事件，是指可能对基金份额持有人权益或者基金份额的价格产生重大影响的下列事件：</w:t>
      </w:r>
    </w:p>
    <w:p w14:paraId="3653B3F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1、基金份额持有人大会的召开及决定的事项；</w:t>
      </w:r>
    </w:p>
    <w:p w14:paraId="442C0E3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2、基金终止上市交易、基金合同终止、基金清算；</w:t>
      </w:r>
    </w:p>
    <w:p w14:paraId="692ABEC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3、转换基金运作方式、基金合并；</w:t>
      </w:r>
    </w:p>
    <w:p w14:paraId="27E6C8B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4、更换基金管理人、基金托管人、基金份额登记机构，基金改聘会计师事务所；</w:t>
      </w:r>
    </w:p>
    <w:p w14:paraId="5BAEF33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5、基金管理人委托基金服务机构代为办理基金的份额登记、核算、估值等事项，基金托管人委托基金服务机构代为办理基金的核算、估值、复核等事项；</w:t>
      </w:r>
    </w:p>
    <w:p w14:paraId="61B4690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6、基金管理人、基金托管人的法定名称、住所发生变更；</w:t>
      </w:r>
    </w:p>
    <w:p w14:paraId="612F182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7、基金管理人变更持有百分之五以上股权的股东、基金管理人的实际控制人变更；</w:t>
      </w:r>
    </w:p>
    <w:p w14:paraId="66BE506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8、基金募集期延长或提前结束募集；</w:t>
      </w:r>
    </w:p>
    <w:p w14:paraId="2E1E8CA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9、基金管理人的高级管理人员、基金经理和基金托管人专门基金托管部门负责人发生变动；</w:t>
      </w:r>
    </w:p>
    <w:p w14:paraId="6505CBD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10、基金管理人的董事在最近12个月内变更超过百分之五十，基金管理人、基金托管人专门基金托管部门的主要业务人员在最近12个月内，变动超过百分之三十；</w:t>
      </w:r>
    </w:p>
    <w:p w14:paraId="2A69B84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11、涉及基金财产、基金管理业务、基金托管业务的诉讼或仲裁；</w:t>
      </w:r>
    </w:p>
    <w:p w14:paraId="34CFF02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12、基金管理人或其高级管理人员、基金经理因基金管理业务相关行为受到重大行政处罚、刑事处罚，基金托管人或其专门基金托管部门负责人因基金托管业务相关行为受到重大行政处罚、刑事处罚；</w:t>
      </w:r>
    </w:p>
    <w:p w14:paraId="283C2ED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13、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DE4D9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14、基金收益分配事项；</w:t>
      </w:r>
    </w:p>
    <w:p w14:paraId="165479D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15、管理费、托管费、申购费、赎回费等费用计提标准、计提方式和费率发生变更；</w:t>
      </w:r>
    </w:p>
    <w:p w14:paraId="41D420D3"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16、基金份额净值计价错误</w:t>
      </w:r>
      <w:proofErr w:type="gramStart"/>
      <w:r>
        <w:rPr>
          <w:rFonts w:asciiTheme="minorEastAsia" w:hAnsiTheme="minorEastAsia" w:hint="eastAsia"/>
          <w:bCs/>
          <w:sz w:val="24"/>
        </w:rPr>
        <w:t>达基金</w:t>
      </w:r>
      <w:proofErr w:type="gramEnd"/>
      <w:r>
        <w:rPr>
          <w:rFonts w:asciiTheme="minorEastAsia" w:hAnsiTheme="minorEastAsia" w:hint="eastAsia"/>
          <w:bCs/>
          <w:sz w:val="24"/>
        </w:rPr>
        <w:t>份额净值百分之零点五；</w:t>
      </w:r>
    </w:p>
    <w:p w14:paraId="01FC1D1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17、本基金开始办理申购、赎回；</w:t>
      </w:r>
    </w:p>
    <w:p w14:paraId="3FF3C38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18、本基金暂定接受申购、赎回申请或重新接受申购、赎回申请；</w:t>
      </w:r>
    </w:p>
    <w:p w14:paraId="05A2092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19、基金变更标的指数；</w:t>
      </w:r>
    </w:p>
    <w:p w14:paraId="3445596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20、基金份额停牌、复牌、暂停上市、恢复上市或终止上市交易；</w:t>
      </w:r>
    </w:p>
    <w:p w14:paraId="6384C95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21、调整最小申购赎回单位、申购赎回方式及申购对价、赎回对价组成；</w:t>
      </w:r>
    </w:p>
    <w:p w14:paraId="782E176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22、调整基金份额类别的设置；</w:t>
      </w:r>
    </w:p>
    <w:p w14:paraId="1B43C43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23、基金推出新业务或服务；</w:t>
      </w:r>
    </w:p>
    <w:p w14:paraId="11CB8C6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24、基金信息披露义务人认为可能对基金份额持有人权益或者基金份额的价格产生重大影响的其他事项或中国证监会规定的其他事项。</w:t>
      </w:r>
    </w:p>
    <w:p w14:paraId="48D6597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（八）澄清公告</w:t>
      </w:r>
    </w:p>
    <w:p w14:paraId="6233AC8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36DD57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（九）清算报告</w:t>
      </w:r>
    </w:p>
    <w:p w14:paraId="57A3E33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基金合同终止的，基金管理人应当依法组织基金财产清算小组对基金财产进行清算并</w:t>
      </w:r>
      <w:proofErr w:type="gramStart"/>
      <w:r>
        <w:rPr>
          <w:rFonts w:asciiTheme="minorEastAsia" w:hAnsiTheme="minorEastAsia" w:hint="eastAsia"/>
          <w:bCs/>
          <w:sz w:val="24"/>
        </w:rPr>
        <w:t>作出</w:t>
      </w:r>
      <w:proofErr w:type="gramEnd"/>
      <w:r>
        <w:rPr>
          <w:rFonts w:asciiTheme="minorEastAsia" w:hAnsiTheme="minorEastAsia" w:hint="eastAsia"/>
          <w:bCs/>
          <w:sz w:val="24"/>
        </w:rPr>
        <w:t>清算报告。基金财产清算小组应当将清算报告登载在指定网站上，并将清算报告提示性公告登载在指定报刊上。</w:t>
      </w:r>
    </w:p>
    <w:p w14:paraId="4550A7D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（十）基金份额持有人大会决议</w:t>
      </w:r>
    </w:p>
    <w:p w14:paraId="4243F4C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基金份额持有人大会决定的事项，应当依法报中国证监会备案，并予以公告。</w:t>
      </w:r>
    </w:p>
    <w:p w14:paraId="4411E13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（十一）投资股指期货的信息披露</w:t>
      </w:r>
    </w:p>
    <w:p w14:paraId="7CFAB96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39A86363"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（十二）投资国债期货的信息披露</w:t>
      </w:r>
    </w:p>
    <w:p w14:paraId="0BF9B040"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04EB2E37"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（十三）投资股票期权的信息披露</w:t>
      </w:r>
    </w:p>
    <w:p w14:paraId="4D58B8D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FB7E72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（十四）投资中小企业私募债券的信息披露</w:t>
      </w:r>
    </w:p>
    <w:p w14:paraId="2D2C5F5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在基金投资中小企业私募债券后2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1A5397E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（十五）投资资产支持证券的信息披露</w:t>
      </w:r>
    </w:p>
    <w:p w14:paraId="13F845D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投资资产支持证券，基金管理人应在基金年报及中期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369B8A9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（十六）中国证监会规定的其他信息。</w:t>
      </w:r>
    </w:p>
    <w:p w14:paraId="0821968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六、信息披露事务管理</w:t>
      </w:r>
    </w:p>
    <w:p w14:paraId="0B97BB2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基金管理人、基金托管人应当建立健全信息披露管理制度，指定专门部门及高级管理人员负责管理信息披露事务。</w:t>
      </w:r>
    </w:p>
    <w:p w14:paraId="56F40E1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基金信息披露义务人公开披露基金信息，应当符合中国证监会相关基金信息披露内容与格式准则等法规的规定。</w:t>
      </w:r>
    </w:p>
    <w:p w14:paraId="6BCDDF1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w:t>
      </w:r>
      <w:r>
        <w:rPr>
          <w:rFonts w:asciiTheme="minorEastAsia" w:hAnsiTheme="minorEastAsia" w:hint="eastAsia"/>
          <w:bCs/>
          <w:sz w:val="24"/>
        </w:rPr>
        <w:lastRenderedPageBreak/>
        <w:t>的相关基金信息</w:t>
      </w:r>
      <w:proofErr w:type="gramStart"/>
      <w:r>
        <w:rPr>
          <w:rFonts w:asciiTheme="minorEastAsia" w:hAnsiTheme="minorEastAsia" w:hint="eastAsia"/>
          <w:bCs/>
          <w:sz w:val="24"/>
        </w:rPr>
        <w:t>进行进行</w:t>
      </w:r>
      <w:proofErr w:type="gramEnd"/>
      <w:r>
        <w:rPr>
          <w:rFonts w:asciiTheme="minorEastAsia" w:hAnsiTheme="minorEastAsia" w:hint="eastAsia"/>
          <w:bCs/>
          <w:sz w:val="24"/>
        </w:rPr>
        <w:t>复核、审查，并向基金管理人进行书面或电子确认。</w:t>
      </w:r>
    </w:p>
    <w:p w14:paraId="53F4B24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D6717F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270E587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基金管理人、基金托管人除按法律法规要求披露信息外、也可着眼于为投资者决策提供有用信息的角度，在保证公平对待投资者、</w:t>
      </w:r>
      <w:proofErr w:type="gramStart"/>
      <w:r>
        <w:rPr>
          <w:rFonts w:asciiTheme="minorEastAsia" w:hAnsiTheme="minorEastAsia" w:hint="eastAsia"/>
          <w:bCs/>
          <w:sz w:val="24"/>
        </w:rPr>
        <w:t>不</w:t>
      </w:r>
      <w:proofErr w:type="gramEnd"/>
      <w:r>
        <w:rPr>
          <w:rFonts w:asciiTheme="minorEastAsia" w:hAnsiTheme="minorEastAsia"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C646D8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为基金信息披露义务人公开披露的基金信息出具审计报告、法律意见书的专业机构，应当制作工作底稿，并将相关档案至少保存到《基金合同》终止后</w:t>
      </w:r>
      <w:r>
        <w:rPr>
          <w:rFonts w:asciiTheme="minorEastAsia" w:hAnsiTheme="minorEastAsia"/>
          <w:bCs/>
          <w:sz w:val="24"/>
        </w:rPr>
        <w:t>10</w:t>
      </w:r>
      <w:r>
        <w:rPr>
          <w:rFonts w:asciiTheme="minorEastAsia" w:hAnsiTheme="minorEastAsia" w:hint="eastAsia"/>
          <w:bCs/>
          <w:sz w:val="24"/>
        </w:rPr>
        <w:t>年。</w:t>
      </w:r>
    </w:p>
    <w:p w14:paraId="63CA928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七、信息披露文件的存放与查阅</w:t>
      </w:r>
    </w:p>
    <w:p w14:paraId="6D645820" w14:textId="77777777" w:rsidR="0066529D" w:rsidRDefault="00A901FF">
      <w:pPr>
        <w:autoSpaceDE w:val="0"/>
        <w:autoSpaceDN w:val="0"/>
        <w:spacing w:line="360" w:lineRule="auto"/>
        <w:ind w:firstLineChars="200" w:firstLine="480"/>
        <w:textAlignment w:val="bottom"/>
        <w:rPr>
          <w:rFonts w:asciiTheme="minorEastAsia" w:hAnsiTheme="minorEastAsia" w:cs="Times New Roman" w:hint="eastAsia"/>
          <w:b/>
          <w:bCs/>
          <w:sz w:val="24"/>
          <w:szCs w:val="24"/>
        </w:rPr>
      </w:pPr>
      <w:r>
        <w:rPr>
          <w:rFonts w:asciiTheme="minorEastAsia" w:hAnsiTheme="minorEastAsia" w:hint="eastAsia"/>
          <w:bCs/>
          <w:sz w:val="24"/>
        </w:rPr>
        <w:t>依法必须披露的信息发布后，基金管理人、基金托管人应当按照相关法律法规规定将信息置备于公司住所、基金上市交易的证券交易所，供社会公众查阅、复制。</w:t>
      </w:r>
    </w:p>
    <w:p w14:paraId="05F75E8C" w14:textId="77777777" w:rsidR="0066529D" w:rsidRDefault="0066529D">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66529D">
          <w:footerReference w:type="default" r:id="rId39"/>
          <w:pgSz w:w="11906" w:h="16838"/>
          <w:pgMar w:top="1440" w:right="1800" w:bottom="1440" w:left="1800" w:header="851" w:footer="992" w:gutter="0"/>
          <w:pgNumType w:chapStyle="1"/>
          <w:cols w:space="720"/>
          <w:docGrid w:type="lines" w:linePitch="312"/>
        </w:sectPr>
      </w:pPr>
      <w:bookmarkStart w:id="313" w:name="_Toc12357178"/>
      <w:bookmarkStart w:id="314" w:name="_Toc263092324"/>
      <w:bookmarkStart w:id="315" w:name="_Toc214873605"/>
      <w:bookmarkStart w:id="316" w:name="_Toc147463125"/>
      <w:bookmarkStart w:id="317" w:name="_Toc416264552"/>
      <w:bookmarkStart w:id="318" w:name="_Toc21073398"/>
      <w:bookmarkStart w:id="319" w:name="_Toc92662708"/>
      <w:bookmarkStart w:id="320" w:name="_Toc93226150"/>
      <w:bookmarkStart w:id="321" w:name="_Toc352229763"/>
      <w:bookmarkStart w:id="322" w:name="_Toc21206"/>
      <w:bookmarkStart w:id="323" w:name="_Toc23859"/>
      <w:bookmarkStart w:id="324" w:name="_Toc128310500"/>
      <w:bookmarkStart w:id="325" w:name="_Toc18747"/>
      <w:bookmarkStart w:id="326" w:name="_Toc10894"/>
      <w:bookmarkStart w:id="327" w:name="_Toc13255"/>
      <w:bookmarkStart w:id="328" w:name="_Toc1043"/>
      <w:bookmarkStart w:id="329" w:name="_Toc17499"/>
      <w:bookmarkStart w:id="330" w:name="_Toc28961"/>
      <w:bookmarkStart w:id="331" w:name="_Toc31736"/>
      <w:bookmarkStart w:id="332" w:name="_Toc141703897"/>
      <w:bookmarkStart w:id="333" w:name="_Toc29695"/>
      <w:bookmarkStart w:id="334" w:name="_Toc18007"/>
      <w:bookmarkStart w:id="335" w:name="_Toc139991747"/>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p w14:paraId="32FFAAF0" w14:textId="77777777" w:rsidR="0066529D" w:rsidRDefault="00A901FF">
      <w:pPr>
        <w:pStyle w:val="1"/>
        <w:jc w:val="center"/>
        <w:rPr>
          <w:rFonts w:asciiTheme="minorEastAsia" w:eastAsiaTheme="minorEastAsia" w:hAnsiTheme="minorEastAsia" w:hint="eastAsia"/>
          <w:sz w:val="30"/>
          <w:szCs w:val="30"/>
        </w:rPr>
      </w:pPr>
      <w:bookmarkStart w:id="336" w:name="_Toc146096092"/>
      <w:r>
        <w:rPr>
          <w:rFonts w:asciiTheme="minorEastAsia" w:eastAsiaTheme="minorEastAsia" w:hAnsiTheme="minorEastAsia" w:hint="eastAsia"/>
          <w:sz w:val="30"/>
          <w:szCs w:val="30"/>
        </w:rPr>
        <w:lastRenderedPageBreak/>
        <w:t>第十六部分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风险揭示</w:t>
      </w:r>
      <w:bookmarkEnd w:id="313"/>
      <w:bookmarkEnd w:id="314"/>
      <w:bookmarkEnd w:id="315"/>
      <w:bookmarkEnd w:id="316"/>
      <w:bookmarkEnd w:id="317"/>
      <w:bookmarkEnd w:id="318"/>
      <w:bookmarkEnd w:id="336"/>
    </w:p>
    <w:p w14:paraId="154D80AC"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594E04E6"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11ED129"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64AD10F"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6F430B02"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7A0A2E67"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73A32E29"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562EC7C4"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B28132"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6A133094"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7D3BA0A9"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738F801B"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633290CE"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1）拟投资市场、行业及资产的流动性风险评估</w:t>
      </w:r>
    </w:p>
    <w:p w14:paraId="25EA1890"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20BD0B1B"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 xml:space="preserve">2）巨额赎回情形下的流动性风险管理措施 </w:t>
      </w:r>
    </w:p>
    <w:p w14:paraId="0F5FC688"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684FF9F7"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3）实施备用的流动性风险管理工具的情形、程序及对投资者的潜在影响</w:t>
      </w:r>
    </w:p>
    <w:p w14:paraId="5F355929"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CAA7155"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51CA91E2"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634B7A4B"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619F7E5D"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3EBF9DF0"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581AC618"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162E729E"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0EEFE075"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23829FCE"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65395742"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3D56C5F"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0DAB59D9"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01A28B70"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53CC049A"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4、资产支持证券投资风险</w:t>
      </w:r>
    </w:p>
    <w:p w14:paraId="54D97BA3"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w:t>
      </w:r>
      <w:r>
        <w:rPr>
          <w:rFonts w:asciiTheme="minorEastAsia" w:hAnsiTheme="minorEastAsia" w:cs="Arial"/>
          <w:bCs/>
          <w:sz w:val="24"/>
          <w:szCs w:val="24"/>
        </w:rPr>
        <w:t>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668EC8A"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5、股票期权投资风险</w:t>
      </w:r>
    </w:p>
    <w:p w14:paraId="7247392E"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31698BC1"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6、存托凭证投资风险</w:t>
      </w:r>
    </w:p>
    <w:p w14:paraId="39233046"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15FFBA02"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0E8FAAA2"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891BC67"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49F5940F"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6D3DD8B7"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8AFD971"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0D35B2B9" w14:textId="77777777" w:rsidR="0066529D" w:rsidRDefault="00A901FF">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54F527F2" w14:textId="77777777" w:rsidR="0066529D" w:rsidRDefault="0066529D">
      <w:pPr>
        <w:widowControl/>
        <w:spacing w:line="360" w:lineRule="auto"/>
        <w:jc w:val="left"/>
        <w:rPr>
          <w:rFonts w:asciiTheme="minorEastAsia" w:hAnsiTheme="minorEastAsia" w:cs="Times New Roman" w:hint="eastAsia"/>
          <w:b/>
          <w:bCs/>
          <w:kern w:val="44"/>
          <w:sz w:val="24"/>
          <w:szCs w:val="24"/>
        </w:rPr>
        <w:sectPr w:rsidR="0066529D">
          <w:footerReference w:type="default" r:id="rId40"/>
          <w:pgSz w:w="11906" w:h="16838"/>
          <w:pgMar w:top="1440" w:right="1800" w:bottom="1440" w:left="1800" w:header="851" w:footer="992" w:gutter="0"/>
          <w:pgNumType w:chapStyle="1"/>
          <w:cols w:space="720"/>
          <w:docGrid w:type="lines" w:linePitch="312"/>
        </w:sectPr>
      </w:pPr>
    </w:p>
    <w:p w14:paraId="4C14B65D" w14:textId="77777777" w:rsidR="0066529D" w:rsidRDefault="00A901FF">
      <w:pPr>
        <w:pStyle w:val="1"/>
        <w:jc w:val="center"/>
        <w:rPr>
          <w:rFonts w:asciiTheme="minorEastAsia" w:eastAsiaTheme="minorEastAsia" w:hAnsiTheme="minorEastAsia" w:hint="eastAsia"/>
          <w:sz w:val="30"/>
          <w:szCs w:val="30"/>
        </w:rPr>
      </w:pPr>
      <w:bookmarkStart w:id="337" w:name="_Toc146096093"/>
      <w:r>
        <w:rPr>
          <w:rFonts w:asciiTheme="minorEastAsia" w:eastAsiaTheme="minorEastAsia" w:hAnsiTheme="minorEastAsia" w:hint="eastAsia"/>
          <w:sz w:val="30"/>
          <w:szCs w:val="30"/>
        </w:rPr>
        <w:lastRenderedPageBreak/>
        <w:t>第十七部分</w:t>
      </w:r>
      <w:r>
        <w:rPr>
          <w:rFonts w:asciiTheme="minorEastAsia" w:eastAsiaTheme="minorEastAsia" w:hAnsiTheme="minorEastAsia"/>
          <w:sz w:val="30"/>
          <w:szCs w:val="30"/>
        </w:rPr>
        <w:t xml:space="preserve">  </w:t>
      </w:r>
      <w:bookmarkEnd w:id="319"/>
      <w:bookmarkEnd w:id="320"/>
      <w:r>
        <w:rPr>
          <w:rFonts w:asciiTheme="minorEastAsia" w:eastAsiaTheme="minorEastAsia" w:hAnsiTheme="minorEastAsia" w:hint="eastAsia"/>
          <w:sz w:val="30"/>
          <w:szCs w:val="30"/>
        </w:rPr>
        <w:t>基金合同的变更、终止与基金财产的清算</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7"/>
    </w:p>
    <w:p w14:paraId="51A4F350" w14:textId="77777777" w:rsidR="0066529D" w:rsidRDefault="0066529D">
      <w:pPr>
        <w:spacing w:line="360" w:lineRule="auto"/>
        <w:ind w:firstLineChars="200" w:firstLine="480"/>
        <w:rPr>
          <w:rFonts w:asciiTheme="minorEastAsia" w:hAnsiTheme="minorEastAsia" w:cs="Times New Roman" w:hint="eastAsia"/>
          <w:bCs/>
          <w:sz w:val="24"/>
          <w:szCs w:val="24"/>
        </w:rPr>
      </w:pPr>
    </w:p>
    <w:p w14:paraId="4017229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bookmarkStart w:id="338" w:name="_Toc79392639"/>
      <w:bookmarkStart w:id="339" w:name="_Toc31866"/>
      <w:bookmarkStart w:id="340" w:name="_Toc21351"/>
      <w:bookmarkStart w:id="341" w:name="_Toc29289"/>
      <w:bookmarkStart w:id="342" w:name="_Toc8512"/>
      <w:bookmarkStart w:id="343" w:name="_Toc128310501"/>
      <w:bookmarkStart w:id="344" w:name="_Toc141703898"/>
      <w:bookmarkStart w:id="345" w:name="_Toc93226151"/>
      <w:bookmarkStart w:id="346" w:name="_Toc11049"/>
      <w:bookmarkStart w:id="347" w:name="_Toc1421"/>
      <w:bookmarkStart w:id="348" w:name="_Toc12028"/>
      <w:bookmarkStart w:id="349" w:name="_Toc352229764"/>
      <w:bookmarkStart w:id="350" w:name="_Toc1173"/>
      <w:bookmarkStart w:id="351" w:name="_Toc92662709"/>
      <w:bookmarkStart w:id="352" w:name="_Toc193"/>
      <w:bookmarkStart w:id="353" w:name="_Toc139991748"/>
      <w:bookmarkStart w:id="354" w:name="_Toc11802"/>
      <w:bookmarkStart w:id="355" w:name="_Toc3056"/>
      <w:r>
        <w:rPr>
          <w:rFonts w:asciiTheme="minorEastAsia" w:hAnsiTheme="minorEastAsia" w:hint="eastAsia"/>
          <w:bCs/>
          <w:sz w:val="24"/>
        </w:rPr>
        <w:t>一、《基金合同》的变更</w:t>
      </w:r>
      <w:bookmarkEnd w:id="338"/>
    </w:p>
    <w:p w14:paraId="5298107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1、变更基金合同涉及法律法规规定或基金合同约定应经基金份额持有人大会决议通过的事项的，应召</w:t>
      </w:r>
      <w:proofErr w:type="gramStart"/>
      <w:r>
        <w:rPr>
          <w:rFonts w:asciiTheme="minorEastAsia" w:hAnsiTheme="minorEastAsia" w:hint="eastAsia"/>
          <w:bCs/>
          <w:sz w:val="24"/>
        </w:rPr>
        <w:t>开基金</w:t>
      </w:r>
      <w:proofErr w:type="gramEnd"/>
      <w:r>
        <w:rPr>
          <w:rFonts w:asciiTheme="minorEastAsia" w:hAnsiTheme="minorEastAsia" w:hint="eastAsia"/>
          <w:bCs/>
          <w:sz w:val="24"/>
        </w:rPr>
        <w:t>份额持有人大会决议通过。对于可不经基金份额持有人大会决议通过的事项，由基金管理人和基金托管人同意后变更并公告，并报中国证监会备案。</w:t>
      </w:r>
    </w:p>
    <w:p w14:paraId="2EBBA15C"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 xml:space="preserve"> </w:t>
      </w:r>
      <w:r>
        <w:rPr>
          <w:rFonts w:asciiTheme="minorEastAsia" w:hAnsiTheme="minorEastAsia" w:hint="eastAsia"/>
          <w:bCs/>
          <w:sz w:val="24"/>
        </w:rPr>
        <w:t>2、关于《基金合同》变更的基金份额持有人大会决议自生效后方可执行，并</w:t>
      </w:r>
      <w:proofErr w:type="gramStart"/>
      <w:r>
        <w:rPr>
          <w:rFonts w:asciiTheme="minorEastAsia" w:hAnsiTheme="minorEastAsia" w:hint="eastAsia"/>
          <w:bCs/>
          <w:sz w:val="24"/>
        </w:rPr>
        <w:t>自决议</w:t>
      </w:r>
      <w:proofErr w:type="gramEnd"/>
      <w:r>
        <w:rPr>
          <w:rFonts w:asciiTheme="minorEastAsia" w:hAnsiTheme="minorEastAsia" w:hint="eastAsia"/>
          <w:bCs/>
          <w:sz w:val="24"/>
        </w:rPr>
        <w:t>生效后两个工作日内在指定媒介公告。</w:t>
      </w:r>
    </w:p>
    <w:p w14:paraId="6F2A05E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二、《基金合同》的终止事由</w:t>
      </w:r>
    </w:p>
    <w:p w14:paraId="3A30A989"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有下列情形之一的，《基金合同》应当终止：</w:t>
      </w:r>
    </w:p>
    <w:p w14:paraId="77E4BF1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1、基金份额持有人大会决定终止的；</w:t>
      </w:r>
    </w:p>
    <w:p w14:paraId="1D84AD4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2、基金管理人、基金托管人职责终止，在6个月内没有新基金管理人、新基金托管人承接的；</w:t>
      </w:r>
    </w:p>
    <w:p w14:paraId="05F84C7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3</w:t>
      </w:r>
      <w:r>
        <w:rPr>
          <w:rFonts w:asciiTheme="minorEastAsia" w:hAnsiTheme="minorEastAsia" w:hint="eastAsia"/>
          <w:bCs/>
          <w:sz w:val="24"/>
        </w:rPr>
        <w:t>、《基金合同》约定的其他情形；</w:t>
      </w:r>
    </w:p>
    <w:p w14:paraId="2199681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bCs/>
          <w:sz w:val="24"/>
        </w:rPr>
        <w:t>4</w:t>
      </w:r>
      <w:r>
        <w:rPr>
          <w:rFonts w:asciiTheme="minorEastAsia" w:hAnsiTheme="minorEastAsia" w:hint="eastAsia"/>
          <w:bCs/>
          <w:sz w:val="24"/>
        </w:rPr>
        <w:t>、相关法律法规和中国证监会规定的其他情况。</w:t>
      </w:r>
    </w:p>
    <w:p w14:paraId="153BEAF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三、基金财产的清算</w:t>
      </w:r>
    </w:p>
    <w:p w14:paraId="36B0E130"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1、基金财产清算小组：自出现《基金合同》终止事由之日起30个工作日内成立清算小组，基金管理人组织基金财产清算小组并在中国证监会的监督下进行基金清算。</w:t>
      </w:r>
    </w:p>
    <w:p w14:paraId="3ABBCCC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2、基金财产清算小组组成：基金财产清算小组成员由基金管理人、基金托管人、具有证券、期货相关业务资格的注册会计师、律师以及中国证监会指定的人员组成。基金财产清算小组可以聘用必要的工作人员。</w:t>
      </w:r>
    </w:p>
    <w:p w14:paraId="51AB95B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3、基金财产清算小组职责：基金财产清算小组负责基金财产的保管、清理、估价、变现和分配。基金财产清算小组可以依法进行必要的民事活动。</w:t>
      </w:r>
    </w:p>
    <w:p w14:paraId="3E9B090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4、基金财产清算程序：</w:t>
      </w:r>
    </w:p>
    <w:p w14:paraId="5CB7692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（1）《基金合同》终止情形出现时，由基金财产清算小组统一接管基金；</w:t>
      </w:r>
    </w:p>
    <w:p w14:paraId="0349DBC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（2）对基金财产和债权债务进行清理和确认；</w:t>
      </w:r>
    </w:p>
    <w:p w14:paraId="4382311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（3）对基金财产进行估值和变现；</w:t>
      </w:r>
    </w:p>
    <w:p w14:paraId="74A3507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lastRenderedPageBreak/>
        <w:t>（4）制作清算报告；</w:t>
      </w:r>
    </w:p>
    <w:p w14:paraId="3852229F"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（5）聘请具有证券、期货相关业务资格的会计师事务所对清算报告进行外部审计，聘请律师事务所对清算报告出具法律意见书；</w:t>
      </w:r>
    </w:p>
    <w:p w14:paraId="4206F55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（6）将清算报告报中国证监会备案并公告；</w:t>
      </w:r>
    </w:p>
    <w:p w14:paraId="1FFE102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（7）对基金剩余财产进行分配。</w:t>
      </w:r>
    </w:p>
    <w:p w14:paraId="70BF497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5、基金财产清算的期限为</w:t>
      </w:r>
      <w:r>
        <w:rPr>
          <w:rFonts w:asciiTheme="minorEastAsia" w:hAnsiTheme="minorEastAsia"/>
          <w:bCs/>
          <w:sz w:val="24"/>
        </w:rPr>
        <w:t>6</w:t>
      </w:r>
      <w:r>
        <w:rPr>
          <w:rFonts w:asciiTheme="minorEastAsia" w:hAnsiTheme="minorEastAsia" w:hint="eastAsia"/>
          <w:bCs/>
          <w:sz w:val="24"/>
        </w:rPr>
        <w:t>个月。</w:t>
      </w:r>
    </w:p>
    <w:p w14:paraId="7572402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四、清算费用</w:t>
      </w:r>
    </w:p>
    <w:p w14:paraId="3B133364"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清算费用是指基金财产清算小组在进行基金清算过程中发生的所有合理费用，清算费用由基金财产清算小组优先从基金财产中支付。</w:t>
      </w:r>
    </w:p>
    <w:p w14:paraId="6AA7517A"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五、基金财产清算剩余资产的分配</w:t>
      </w:r>
    </w:p>
    <w:p w14:paraId="2FEDA07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依据基金财产清算的分配方案，将基金财产清算后的全部剩余资产扣除基金财产清算费用、交纳所欠税款并清偿基金债务后，按基金份额持有人持有的基金份额比例进行分配。</w:t>
      </w:r>
    </w:p>
    <w:p w14:paraId="4A31EBB1"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六、基金财产清算的公告</w:t>
      </w:r>
    </w:p>
    <w:p w14:paraId="782BC5CE"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清算过程中的有关重大事项须及时公告；基金财产清算报告经具有证券、期货相关业务资格的会计师事务所审计并由律师事务所出具法律意见书后报中国证监会备案并公告。基金财产清算公告于基金财产清算报告报中国证监会备案后</w:t>
      </w:r>
      <w:r>
        <w:rPr>
          <w:rFonts w:asciiTheme="minorEastAsia" w:hAnsiTheme="minorEastAsia"/>
          <w:bCs/>
          <w:sz w:val="24"/>
        </w:rPr>
        <w:t>5</w:t>
      </w:r>
      <w:r>
        <w:rPr>
          <w:rFonts w:asciiTheme="minorEastAsia" w:hAnsiTheme="minorEastAsia" w:hint="eastAsia"/>
          <w:bCs/>
          <w:sz w:val="24"/>
        </w:rPr>
        <w:t>个工作日内由基金财产清算小组进行公告。</w:t>
      </w:r>
    </w:p>
    <w:p w14:paraId="42506E3D"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七、基金财产清算账册及文件的保存</w:t>
      </w:r>
    </w:p>
    <w:p w14:paraId="22A2047C"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bCs/>
          <w:sz w:val="24"/>
        </w:rPr>
        <w:t>基金财产清算账册及有关文件由基金托管人保存</w:t>
      </w:r>
      <w:r>
        <w:rPr>
          <w:rFonts w:asciiTheme="minorEastAsia" w:hAnsiTheme="minorEastAsia"/>
          <w:bCs/>
          <w:sz w:val="24"/>
        </w:rPr>
        <w:t>15</w:t>
      </w:r>
      <w:r>
        <w:rPr>
          <w:rFonts w:asciiTheme="minorEastAsia" w:hAnsiTheme="minorEastAsia" w:hint="eastAsia"/>
          <w:bCs/>
          <w:sz w:val="24"/>
        </w:rPr>
        <w:t>年以上</w:t>
      </w:r>
      <w:r>
        <w:rPr>
          <w:rFonts w:asciiTheme="minorEastAsia" w:hAnsiTheme="minorEastAsia" w:cs="Times New Roman" w:hint="eastAsia"/>
          <w:sz w:val="24"/>
          <w:szCs w:val="24"/>
        </w:rPr>
        <w:t>。</w:t>
      </w:r>
    </w:p>
    <w:p w14:paraId="2D048032" w14:textId="77777777" w:rsidR="0066529D" w:rsidRDefault="0066529D">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66529D">
          <w:footerReference w:type="default" r:id="rId41"/>
          <w:pgSz w:w="11906" w:h="16838"/>
          <w:pgMar w:top="1440" w:right="1800" w:bottom="1440" w:left="1800" w:header="851" w:footer="992" w:gutter="0"/>
          <w:pgNumType w:chapStyle="1"/>
          <w:cols w:space="720"/>
          <w:docGrid w:type="lines" w:linePitch="312"/>
        </w:sectPr>
      </w:pPr>
      <w:bookmarkStart w:id="356" w:name="_Toc214873607"/>
      <w:bookmarkStart w:id="357" w:name="_Toc416264553"/>
      <w:bookmarkStart w:id="358" w:name="_Toc263092326"/>
      <w:bookmarkStart w:id="359" w:name="_Toc8059"/>
      <w:bookmarkStart w:id="360" w:name="_Toc29891"/>
      <w:bookmarkStart w:id="361" w:name="_Toc9005"/>
      <w:bookmarkStart w:id="362" w:name="_Toc98560364"/>
      <w:bookmarkStart w:id="363" w:name="_Toc139991749"/>
      <w:bookmarkStart w:id="364" w:name="_Toc8049"/>
      <w:bookmarkStart w:id="365" w:name="_Toc22978"/>
      <w:bookmarkStart w:id="366" w:name="_Toc6237"/>
      <w:bookmarkStart w:id="367" w:name="_Toc10006"/>
      <w:bookmarkStart w:id="368" w:name="_Toc123112247"/>
      <w:bookmarkStart w:id="369" w:name="_Toc141703899"/>
      <w:bookmarkStart w:id="370" w:name="_Toc123102466"/>
      <w:bookmarkStart w:id="371" w:name="_Toc27464"/>
      <w:bookmarkStart w:id="372" w:name="_Toc7170"/>
      <w:bookmarkStart w:id="373" w:name="_Toc352229765"/>
      <w:bookmarkStart w:id="374" w:name="_Toc11113"/>
      <w:bookmarkStart w:id="375" w:name="_Toc25647"/>
      <w:bookmarkStart w:id="376" w:name="_Toc123051465"/>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14:paraId="68A420D1" w14:textId="77777777" w:rsidR="0066529D" w:rsidRDefault="00A901FF">
      <w:pPr>
        <w:pStyle w:val="1"/>
        <w:jc w:val="center"/>
        <w:rPr>
          <w:rFonts w:asciiTheme="minorEastAsia" w:eastAsiaTheme="minorEastAsia" w:hAnsiTheme="minorEastAsia" w:hint="eastAsia"/>
          <w:sz w:val="30"/>
          <w:szCs w:val="30"/>
        </w:rPr>
      </w:pPr>
      <w:bookmarkStart w:id="377" w:name="_Toc146096094"/>
      <w:r>
        <w:rPr>
          <w:rFonts w:asciiTheme="minorEastAsia" w:eastAsiaTheme="minorEastAsia" w:hAnsiTheme="minorEastAsia" w:hint="eastAsia"/>
          <w:sz w:val="30"/>
          <w:szCs w:val="30"/>
        </w:rPr>
        <w:lastRenderedPageBreak/>
        <w:t>第十八部分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基金合同的内容摘要</w:t>
      </w:r>
      <w:bookmarkEnd w:id="356"/>
      <w:bookmarkEnd w:id="357"/>
      <w:bookmarkEnd w:id="358"/>
      <w:bookmarkEnd w:id="377"/>
    </w:p>
    <w:p w14:paraId="7B8BEC3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41F197E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bCs/>
          <w:sz w:val="24"/>
          <w:szCs w:val="24"/>
        </w:rPr>
        <w:tab/>
      </w:r>
      <w:r>
        <w:rPr>
          <w:rFonts w:asciiTheme="minorEastAsia" w:hAnsiTheme="minorEastAsia" w:cs="Times New Roman" w:hint="eastAsia"/>
          <w:bCs/>
          <w:sz w:val="24"/>
          <w:szCs w:val="24"/>
        </w:rPr>
        <w:t>基金管理人的权利与义务</w:t>
      </w:r>
    </w:p>
    <w:p w14:paraId="6C5C587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1、根据《基金法》、《运作办法》及其他有关规定，基金管理人的权利包括但不限于：</w:t>
      </w:r>
    </w:p>
    <w:p w14:paraId="2DBBDE1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w:t>
      </w:r>
    </w:p>
    <w:p w14:paraId="1B44368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2）自《基金合同》生效之日起，根据法律法规和《基金合同》独立运用并管理基金财产；</w:t>
      </w:r>
    </w:p>
    <w:p w14:paraId="22ECC3E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3）依照《基金合同》收取基金管理费以及法律法规规定或中国证监会批准的其他费用；</w:t>
      </w:r>
    </w:p>
    <w:p w14:paraId="7023DC6A"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4）销售基金份额；</w:t>
      </w:r>
    </w:p>
    <w:p w14:paraId="2ACBBF8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5）按照规定召集基金份额持有人大会；</w:t>
      </w:r>
    </w:p>
    <w:p w14:paraId="657E680A"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3D6A3FF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7）在基金托管人更换时，提名新的基金托管人；</w:t>
      </w:r>
    </w:p>
    <w:p w14:paraId="3024DBF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8）选择、更换基金销售机构，对基金销售机构的相关行为进行监督和处理； </w:t>
      </w:r>
    </w:p>
    <w:p w14:paraId="1118836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7474ED7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10）依据《基金合同》及有关法律规定决定基金收益的分配方案；</w:t>
      </w:r>
      <w:r>
        <w:rPr>
          <w:rFonts w:asciiTheme="minorEastAsia" w:hAnsiTheme="minorEastAsia" w:cs="Times New Roman"/>
          <w:bCs/>
          <w:sz w:val="24"/>
          <w:szCs w:val="24"/>
        </w:rPr>
        <w:tab/>
      </w:r>
    </w:p>
    <w:p w14:paraId="44C7B8AA"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 xml:space="preserve">11）在《基金合同》约定的范围内，拒绝或暂停受理申购与赎回申请； </w:t>
      </w:r>
    </w:p>
    <w:p w14:paraId="3D042D1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12）依照法律法规为基金的利益对被投资公司行使股东权利，为基金的利益行使因基金财产投资于证券所产生的权利；</w:t>
      </w:r>
      <w:r>
        <w:rPr>
          <w:rFonts w:asciiTheme="minorEastAsia" w:hAnsiTheme="minorEastAsia" w:cs="Times New Roman"/>
          <w:bCs/>
          <w:sz w:val="24"/>
          <w:szCs w:val="24"/>
        </w:rPr>
        <w:tab/>
      </w:r>
    </w:p>
    <w:p w14:paraId="6442DBAA"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13）以基金管理人的名义，代表基金份额持有人的利益行使诉讼权利或者实施其他法律行为；</w:t>
      </w:r>
      <w:r>
        <w:rPr>
          <w:rFonts w:asciiTheme="minorEastAsia" w:hAnsiTheme="minorEastAsia" w:cs="Times New Roman"/>
          <w:bCs/>
          <w:sz w:val="24"/>
          <w:szCs w:val="24"/>
        </w:rPr>
        <w:tab/>
      </w:r>
    </w:p>
    <w:p w14:paraId="73F202D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14）选择、更换律师事务所、会计师事务所、证券经纪商、期货经纪商或其他为基金提供服务的外部机构；</w:t>
      </w:r>
      <w:r>
        <w:rPr>
          <w:rFonts w:asciiTheme="minorEastAsia" w:hAnsiTheme="minorEastAsia" w:cs="Times New Roman"/>
          <w:bCs/>
          <w:sz w:val="24"/>
          <w:szCs w:val="24"/>
        </w:rPr>
        <w:tab/>
      </w:r>
    </w:p>
    <w:p w14:paraId="2662E1A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3A7748F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16）法律法规及中国证监会规定的和《基金合同》约定的其他权利。</w:t>
      </w:r>
    </w:p>
    <w:p w14:paraId="0D37E7C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2、根据《基金法》、《运作办法》及其他有关规定，基金管理人的义务包括但不限于：</w:t>
      </w:r>
    </w:p>
    <w:p w14:paraId="34C39D4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1）依法募集资金，办理或者委托经中国证监会认定的其他机构代为办理基金份额的发售、申购、赎回和登记事宜；</w:t>
      </w:r>
    </w:p>
    <w:p w14:paraId="4F757A6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2）办理基金备案手续；</w:t>
      </w:r>
    </w:p>
    <w:p w14:paraId="68E63B9A"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3）自《基金合同》生效之日起，以诚实信用、谨慎勤勉的原则管理和运用基金财产；</w:t>
      </w:r>
    </w:p>
    <w:p w14:paraId="63896FE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4）配备足够的具有专业资格的人员进行基金投资分析、决策，以专业化的经营方式管理和运作基金财产；</w:t>
      </w:r>
    </w:p>
    <w:p w14:paraId="2A965BB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5）建立健全内部风险控制、监察与稽核、财务管理及人事管理等制度，保证所管理的基金财产和基金管理人的财产相互独立，对所管理的不同基金分别管理，分别记账，进行证券投资；</w:t>
      </w:r>
    </w:p>
    <w:p w14:paraId="654945C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4707F73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7）依法接受基金托管人的监督；</w:t>
      </w:r>
    </w:p>
    <w:p w14:paraId="17A474E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w:t>
      </w:r>
      <w:r>
        <w:rPr>
          <w:rFonts w:asciiTheme="minorEastAsia" w:hAnsiTheme="minorEastAsia" w:cs="Times New Roman" w:hint="eastAsia"/>
          <w:bCs/>
          <w:sz w:val="24"/>
          <w:szCs w:val="24"/>
        </w:rPr>
        <w:t>基金净值信息，确定基金份额申购、赎回对价，编制申购赎回清单；</w:t>
      </w:r>
    </w:p>
    <w:p w14:paraId="1B251C3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9）进行基金会计核算并编制基金财务会计报告；</w:t>
      </w:r>
    </w:p>
    <w:p w14:paraId="79B8CF4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10）编制季度</w:t>
      </w:r>
      <w:r>
        <w:rPr>
          <w:rFonts w:asciiTheme="minorEastAsia" w:hAnsiTheme="minorEastAsia" w:cs="Times New Roman" w:hint="eastAsia"/>
          <w:bCs/>
          <w:sz w:val="24"/>
          <w:szCs w:val="24"/>
        </w:rPr>
        <w:t>报告、中期报告和年度报告；</w:t>
      </w:r>
    </w:p>
    <w:p w14:paraId="41F4104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11）严格按照《基金法》、《基金合同》及其他有关规定，履行信息披露及报告义务；</w:t>
      </w:r>
    </w:p>
    <w:p w14:paraId="4B219D5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12）保守基金商业秘密，不泄露基金投资计划、投资意向等。除《基金法》、《基金合同》及其他有关规定另有规定外，在基金信息公开披露前应予保密，不向他人泄露；</w:t>
      </w:r>
    </w:p>
    <w:p w14:paraId="639E87E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13）按《基金合同》的约定确定基金收益分配方案，及时向基金份额持有人分配基金收益；</w:t>
      </w:r>
    </w:p>
    <w:p w14:paraId="53D136BC"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14）按规定受理申购与赎回申请，及时、足额支付赎回款项；</w:t>
      </w:r>
    </w:p>
    <w:p w14:paraId="1C2DA783"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1E7FFE9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16）按规定保存基金财产管理业务活动的会计账册、报表、记录和其他相关资料15年以上；</w:t>
      </w:r>
    </w:p>
    <w:p w14:paraId="2F55E06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C8FE16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18）组织并参加基金财产清算小组，参与基金财产的保管、清理、估价、变现和分配；</w:t>
      </w:r>
    </w:p>
    <w:p w14:paraId="06C73FE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19）面临解散、依法被撤销或者被依法宣告破产时，及时报告中国证监会并通知基金托管人；</w:t>
      </w:r>
    </w:p>
    <w:p w14:paraId="24EA6033"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4E79469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1D96D6D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22）当基金管理人将其义务委托第三方处理时，应当对第三方处理有关基金事务的行为承担责任；</w:t>
      </w:r>
    </w:p>
    <w:p w14:paraId="3EBBEB5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23）以基金管理人名义，代表基金份额持有人利益行使诉讼权利或实施其他法律行为；</w:t>
      </w:r>
    </w:p>
    <w:p w14:paraId="4A40332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1BF77B7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25）执行生效的基金份额持有人大会的决议；</w:t>
      </w:r>
    </w:p>
    <w:p w14:paraId="004880B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26）建立并保存基金份额持有人名册；</w:t>
      </w:r>
    </w:p>
    <w:p w14:paraId="787DAE7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27）法律法规及中国证监会规定的和《基金合同》约定的其他义务。</w:t>
      </w:r>
    </w:p>
    <w:p w14:paraId="089ACC8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bCs/>
          <w:sz w:val="24"/>
          <w:szCs w:val="24"/>
        </w:rPr>
        <w:tab/>
      </w:r>
      <w:r>
        <w:rPr>
          <w:rFonts w:asciiTheme="minorEastAsia" w:hAnsiTheme="minorEastAsia" w:cs="Times New Roman" w:hint="eastAsia"/>
          <w:bCs/>
          <w:sz w:val="24"/>
          <w:szCs w:val="24"/>
        </w:rPr>
        <w:t>基金托管人的权利与义务</w:t>
      </w:r>
    </w:p>
    <w:p w14:paraId="35A3EE1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1、根据《基金法》、《运作办法》及其他有关规定，基金托管人的权利包括但不限于：</w:t>
      </w:r>
    </w:p>
    <w:p w14:paraId="6CF1CCE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134ED75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2）依《基金合同》约定获得基金托管费以及法律法规规定或监管部门批准的其他费用；</w:t>
      </w:r>
    </w:p>
    <w:p w14:paraId="52A8169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576C37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4）根据相关市场规则，为基金开设资金账户、证券账户</w:t>
      </w:r>
      <w:r>
        <w:rPr>
          <w:rFonts w:asciiTheme="minorEastAsia" w:hAnsiTheme="minorEastAsia" w:cs="Times New Roman" w:hint="eastAsia"/>
          <w:bCs/>
          <w:sz w:val="24"/>
          <w:szCs w:val="24"/>
        </w:rPr>
        <w:t>、期货账户等投资所需账户，为基金办理证券交易资金清算；</w:t>
      </w:r>
    </w:p>
    <w:p w14:paraId="0834AF2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5）提议召开或召集基金份额持有人大会；</w:t>
      </w:r>
    </w:p>
    <w:p w14:paraId="6831251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6）在基金管理人更换时，提名新的基金管理人；</w:t>
      </w:r>
    </w:p>
    <w:p w14:paraId="4069CC9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7）法律法规及中国证监会规定的和《基金合同》约定的其他权利。</w:t>
      </w:r>
    </w:p>
    <w:p w14:paraId="35DA646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2、根据《基金法》、《运作办法》及其他有关规定，基金托管人的义务包括但不限于：</w:t>
      </w:r>
    </w:p>
    <w:p w14:paraId="164B331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1）以诚实信用、勤勉尽责的原则持有并安全保管基金财产；</w:t>
      </w:r>
    </w:p>
    <w:p w14:paraId="5DF4BBF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10DD050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A16736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4）除依据《基金法》、《基金合同》及其他有关规定外，不得利用基金财产为自己及任何第三人谋取利益，不得委托第三人托管基金财产；</w:t>
      </w:r>
    </w:p>
    <w:p w14:paraId="1A56D193"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5）保管由基金管理人代表基金签订的与基金有关的重大合同及有关凭证；</w:t>
      </w:r>
    </w:p>
    <w:p w14:paraId="0FB2B7F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6）按规定开设基金财产的资金账户、证券账户</w:t>
      </w:r>
      <w:r>
        <w:rPr>
          <w:rFonts w:asciiTheme="minorEastAsia" w:hAnsiTheme="minorEastAsia" w:cs="Times New Roman" w:hint="eastAsia"/>
          <w:bCs/>
          <w:sz w:val="24"/>
          <w:szCs w:val="24"/>
        </w:rPr>
        <w:t>、期货账户等投资所需账户，按照《基金合同》的约定，根据基金管理人的投资指令，及时办理清算、交割事宜；</w:t>
      </w:r>
    </w:p>
    <w:p w14:paraId="5649389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7）保守基金商业秘密，除《基金法》、《基金合同》及其他有关规定另有规定外，在基金信息公开披露前予以保密，不得向他人泄露；</w:t>
      </w:r>
    </w:p>
    <w:p w14:paraId="520D680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8）复核、审查基金管理人计算的</w:t>
      </w:r>
      <w:r>
        <w:rPr>
          <w:rFonts w:asciiTheme="minorEastAsia" w:hAnsiTheme="minorEastAsia" w:cs="Times New Roman" w:hint="eastAsia"/>
          <w:bCs/>
          <w:sz w:val="24"/>
          <w:szCs w:val="24"/>
        </w:rPr>
        <w:t>基金资产净值、基金份额净值、基金份额申购、赎回价格；</w:t>
      </w:r>
    </w:p>
    <w:p w14:paraId="675CA69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9）办理与基金托管业务活动有关的信息披露事项；</w:t>
      </w:r>
    </w:p>
    <w:p w14:paraId="686FC4B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10）对基金财务会计报告、季度</w:t>
      </w:r>
      <w:r>
        <w:rPr>
          <w:rFonts w:asciiTheme="minorEastAsia" w:hAnsiTheme="minorEastAsia" w:cs="Times New Roman" w:hint="eastAsia"/>
          <w:bCs/>
          <w:sz w:val="24"/>
          <w:szCs w:val="24"/>
        </w:rPr>
        <w:t>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和年度报告出具意见，说明基金管理人在各重要方面的运作是否严格按照《基金合同》的规定进行；如果基金管理人有未执行《基金合同》规定的行为，还应当说明基金托管人是否采取了适当的措施；</w:t>
      </w:r>
    </w:p>
    <w:p w14:paraId="22DACD3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11）保存基金托管业务活动的记录、账册、报表和其他相关资料15年以上；</w:t>
      </w:r>
    </w:p>
    <w:p w14:paraId="3EFE9E6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w:t>
      </w:r>
      <w:r>
        <w:rPr>
          <w:rFonts w:asciiTheme="minorEastAsia" w:hAnsiTheme="minorEastAsia" w:cs="Times New Roman" w:hint="eastAsia"/>
          <w:bCs/>
          <w:sz w:val="24"/>
          <w:szCs w:val="24"/>
        </w:rPr>
        <w:t>从基金管理人或其委托的登记机构处接收并保存基金份额持有人名册；</w:t>
      </w:r>
    </w:p>
    <w:p w14:paraId="49109C5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13）按规定制作相关账册并与基金管理人核对；</w:t>
      </w:r>
    </w:p>
    <w:p w14:paraId="1D4A2F7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14）依据基金管理人的指令或有关规定向基金份额持有人支付基金收益和赎回款项；</w:t>
      </w:r>
    </w:p>
    <w:p w14:paraId="420B9FC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52FC797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16）按照法律法规和《基金合同》的规定监督基金管理人的投资运作；</w:t>
      </w:r>
    </w:p>
    <w:p w14:paraId="3ACBC51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17）参加基金财产清算小组，参与基金财产的保管、清理、估价、变现和分配；</w:t>
      </w:r>
    </w:p>
    <w:p w14:paraId="3654991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18）面临解散、依法被撤销或者被依法宣告破产时，及时报告中国证监会和银行监管机构，并通知基金管理人；</w:t>
      </w:r>
    </w:p>
    <w:p w14:paraId="6681AE6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19）因违反《基金合同》导致基金财产损失时，应承担赔偿责任，其赔偿责任不因其退任而免除；</w:t>
      </w:r>
    </w:p>
    <w:p w14:paraId="180C248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24E1D54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21）执行生效的基金份额持有人大会的决议；</w:t>
      </w:r>
    </w:p>
    <w:p w14:paraId="06BF481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22）法律法规及中国证监会规定的和《基金合同》约定的其他义务。</w:t>
      </w:r>
    </w:p>
    <w:p w14:paraId="733DE25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2820F5B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137FBD6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同一类别每份基金份额具有同等的合法权益。本基金</w:t>
      </w:r>
      <w:r>
        <w:rPr>
          <w:rFonts w:asciiTheme="minorEastAsia" w:hAnsiTheme="minorEastAsia" w:cs="Times New Roman"/>
          <w:bCs/>
          <w:sz w:val="24"/>
          <w:szCs w:val="24"/>
        </w:rPr>
        <w:t>A类基金份额与C类基金份额由于基金份额净值的不同，基金收益分配的金额以及参与清算后的剩余基金财产分配的数量将可能有所不同。</w:t>
      </w:r>
    </w:p>
    <w:p w14:paraId="26921AA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1、根据《基金法》、《运作办法》及其他有关规定，基金份额持有人的权利包括但不限于：</w:t>
      </w:r>
    </w:p>
    <w:p w14:paraId="4E14F9F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1）分享基金财产收益；</w:t>
      </w:r>
    </w:p>
    <w:p w14:paraId="15C56FC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2）参与分配清算后的剩余基金财产；</w:t>
      </w:r>
    </w:p>
    <w:p w14:paraId="525D642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3）依法申请赎回其持有的基金份额；</w:t>
      </w:r>
    </w:p>
    <w:p w14:paraId="63D9187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4）按照规定要求召开基金份额持有人大会或者召集基金份额持有人大会；</w:t>
      </w:r>
    </w:p>
    <w:p w14:paraId="1A8C92A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5）出席或者委派代表出席基金份额持有人大会，对基金份额持有人大会审议事项行使表决权；</w:t>
      </w:r>
    </w:p>
    <w:p w14:paraId="1DE3E3F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6）查阅或者复制公开披露的基金信息资料；</w:t>
      </w:r>
    </w:p>
    <w:p w14:paraId="4AAC805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7）监督基金管理人的投资运作；</w:t>
      </w:r>
    </w:p>
    <w:p w14:paraId="56C5A4F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8）对基金管理人、基金托管人、基金服务机构损害其合法权益的行为依法提起诉讼或仲裁；</w:t>
      </w:r>
    </w:p>
    <w:p w14:paraId="7756532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9）法律法规及中国证监会规定的和《基金合同》约定的其他权利。</w:t>
      </w:r>
    </w:p>
    <w:p w14:paraId="45C0B43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2、根据《基金法》、《运作办法》及其他有关规定，基金份额持有人的义务包括但不限于：</w:t>
      </w:r>
    </w:p>
    <w:p w14:paraId="0CCE92E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1）认真阅读并遵守《基金合同》、招募说明书等信息披露文件；</w:t>
      </w:r>
    </w:p>
    <w:p w14:paraId="6BE6512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2）了解所投资基金产品，了解自身风险承受能力，自主判断基金的投资价值，自主做出投资决策，自行承担投资风险；</w:t>
      </w:r>
    </w:p>
    <w:p w14:paraId="7DC3351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3）关注基金信息披露，及时行使权利和履行义务；</w:t>
      </w:r>
    </w:p>
    <w:p w14:paraId="44D8353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4）缴纳基金认购、申购款项及法律法规和《基金合同》所规定的费用；</w:t>
      </w:r>
    </w:p>
    <w:p w14:paraId="357EE0B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5）在其持有的基金份额范围内，承担基金亏损或者《基金合同》终止的有限责任；</w:t>
      </w:r>
    </w:p>
    <w:p w14:paraId="5F80975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6）不从事任何有损基金及其他《基金合同》当事人合法权益的活动；</w:t>
      </w:r>
    </w:p>
    <w:p w14:paraId="633BA96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7）执行生效的基金份额持有人大会的决议；</w:t>
      </w:r>
    </w:p>
    <w:p w14:paraId="02DF578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8）返还在基金交易过程中因任何原因获得的不当得利；</w:t>
      </w:r>
    </w:p>
    <w:p w14:paraId="4D2D678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9）法律法规及中国证监会规定的和《基金合同》约定的其他义务。</w:t>
      </w:r>
    </w:p>
    <w:p w14:paraId="61E87FB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2F7803F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2A3C0F7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w:t>
      </w:r>
    </w:p>
    <w:p w14:paraId="5D29223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0E1177D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1、当出现或需要决定下列事由之一的，应当召开基金份额持有人大会：</w:t>
      </w:r>
    </w:p>
    <w:p w14:paraId="4F30066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1）终止《基金合同》，但《基金合同》另有约定的除外；</w:t>
      </w:r>
    </w:p>
    <w:p w14:paraId="0072118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2）更换基金管理人；</w:t>
      </w:r>
    </w:p>
    <w:p w14:paraId="3316604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3）更换基金托管人；</w:t>
      </w:r>
    </w:p>
    <w:p w14:paraId="7C78322C"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4）转换基金运作方式；</w:t>
      </w:r>
    </w:p>
    <w:p w14:paraId="2A29B80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5）调整基金管理人、基金托管人</w:t>
      </w:r>
      <w:r>
        <w:rPr>
          <w:rFonts w:asciiTheme="minorEastAsia" w:hAnsiTheme="minorEastAsia" w:hint="eastAsia"/>
          <w:bCs/>
          <w:sz w:val="24"/>
          <w:szCs w:val="24"/>
        </w:rPr>
        <w:t>报酬标准</w:t>
      </w:r>
      <w:r>
        <w:rPr>
          <w:rFonts w:asciiTheme="minorEastAsia" w:hAnsiTheme="minorEastAsia" w:cs="Times New Roman" w:hint="eastAsia"/>
          <w:bCs/>
          <w:sz w:val="24"/>
          <w:szCs w:val="24"/>
        </w:rPr>
        <w:t>或调高销售服务费率；</w:t>
      </w:r>
    </w:p>
    <w:p w14:paraId="1D85FEAC"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6）变更基金类别；</w:t>
      </w:r>
    </w:p>
    <w:p w14:paraId="3887D85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7）本基金与其他基金的合并；</w:t>
      </w:r>
    </w:p>
    <w:p w14:paraId="4E82480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8）变更基金投资目标、范围或策略；</w:t>
      </w:r>
    </w:p>
    <w:p w14:paraId="7711517C"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9）变更基金份额持有人大会程序；</w:t>
      </w:r>
    </w:p>
    <w:p w14:paraId="6E6FFD4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10）基金管理人或基金托管人要求召开基金份额持有人大会；</w:t>
      </w:r>
    </w:p>
    <w:p w14:paraId="59556B8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w:t>
      </w:r>
      <w:r>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3D0B244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12）对基金合同当事人权利和义务产生重大影响的其他事项；</w:t>
      </w:r>
    </w:p>
    <w:p w14:paraId="6F7BE33A"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13）法律法规、《基金合同》或中国证监会规定的其他应当召开基金份额持有人大会的事项。</w:t>
      </w:r>
    </w:p>
    <w:p w14:paraId="7EC918A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2、以下情况可由基金管理人和基金托管人协商后修改，不需召开基金份额持有人大会：</w:t>
      </w:r>
    </w:p>
    <w:p w14:paraId="03C4F21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1）调低销售服务费；</w:t>
      </w:r>
    </w:p>
    <w:p w14:paraId="3587B08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2）法律法规要求增加的基金费用的收取；</w:t>
      </w:r>
    </w:p>
    <w:p w14:paraId="318BD48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5C66173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539470D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5）对《基金合同》的修改对基金份额持有人利益无实质性不利影响或修改不涉及《基金合同》当事人权利义务关系发生重大变化；</w:t>
      </w:r>
    </w:p>
    <w:p w14:paraId="00B9D13C"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6）按照法律法规和《基金合同》规定不需召开基金份额持有人大会的其他情形。</w:t>
      </w:r>
    </w:p>
    <w:p w14:paraId="739C9833"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5987DF9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1、除法律法规规定或《基金合同》另有约定外，基金份额持有人大会由基金管理人召集；</w:t>
      </w:r>
    </w:p>
    <w:p w14:paraId="4C990A4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2、基金管理人未按规定召集或不能召集时，由基金托管人召集；</w:t>
      </w:r>
    </w:p>
    <w:p w14:paraId="262D2E8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日60日内召开；基金管理人决定不召集，基金托管人仍认为有必要召开的，应当由基金托管人自行召集，并自出具书面决定之日起60日内召开并告知基金管理人，基金管理人应当配合；</w:t>
      </w:r>
    </w:p>
    <w:p w14:paraId="2E5DA803"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5A0347D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AE6F6C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6、基金份额持有人会议的召集人负责选择确定开会时间、地点、方式和权益登记日。</w:t>
      </w:r>
    </w:p>
    <w:p w14:paraId="19958EE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199700C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1、召开基金份额持有人大会，召集人应于会议召开前30日，在指定媒介公告。基金份额持有人大会通知应至少载明以下内容：</w:t>
      </w:r>
    </w:p>
    <w:p w14:paraId="51052D6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1）会议召开的时间、地点和会议形式；</w:t>
      </w:r>
    </w:p>
    <w:p w14:paraId="4EACA0B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4F9E587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3）有权出席基金份额持有人大会的基金份额持有人的权益登记日；</w:t>
      </w:r>
    </w:p>
    <w:p w14:paraId="08B4616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4）授权委托证明的内容要求（包括但不限于代理人身份，代理权限和代理有效期限等）、送达时间和地点；</w:t>
      </w:r>
    </w:p>
    <w:p w14:paraId="0B08E77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5）会务常设联系人姓名及联系电话；</w:t>
      </w:r>
    </w:p>
    <w:p w14:paraId="6FA555B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6）出席会议者必须准备的文件和必须履行的手续；</w:t>
      </w:r>
    </w:p>
    <w:p w14:paraId="34D5326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7）召集人需要通知的其他事项。</w:t>
      </w:r>
    </w:p>
    <w:p w14:paraId="71FA8D6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40E896C"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2CBABD4A"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12FC9D8C"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34B94A"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1B4EC8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4E3BE8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001233E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555EE9B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353824A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1）会议召集人按《基金合同》约定公布会议通知后，在2个工作日内连续公布相关提示性公告；</w:t>
      </w:r>
    </w:p>
    <w:p w14:paraId="45E2CF0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92DB19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5901AF9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0BAECC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0E19965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06A91C2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（五）议事内容与程序</w:t>
      </w:r>
    </w:p>
    <w:p w14:paraId="20A93BB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1、议事内容及提案权</w:t>
      </w:r>
    </w:p>
    <w:p w14:paraId="17649C8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9D5674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5AE78A7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7FB7231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2、议事程序</w:t>
      </w:r>
    </w:p>
    <w:p w14:paraId="2FC9DD8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1）现场开会</w:t>
      </w:r>
    </w:p>
    <w:p w14:paraId="6E4387E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2FC0EA2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16E2C5B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2）通讯开会</w:t>
      </w:r>
    </w:p>
    <w:p w14:paraId="14C89DA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w:t>
      </w:r>
      <w:r>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6F55002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2AF30AD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48F3C8ED"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4B6FF86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2198514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6B72881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23DC249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F7471EC"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414345F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4CE12A9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1、现场开会</w:t>
      </w:r>
    </w:p>
    <w:p w14:paraId="752CC73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1E35E53"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2）监票人应当在基金份额持有人表决后立即进行清点并由大会主持人当场公布计票结果。</w:t>
      </w:r>
    </w:p>
    <w:p w14:paraId="1AA66BCC"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7D823C2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4）计票过程应由公证机关予以公证，基金管理人或基金托管人拒不出席大会的，不影响计票的效力。</w:t>
      </w:r>
    </w:p>
    <w:p w14:paraId="084BD76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2、通讯开会</w:t>
      </w:r>
    </w:p>
    <w:p w14:paraId="6094504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34D8B24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783BF24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w:t>
      </w:r>
      <w:r>
        <w:rPr>
          <w:rFonts w:asciiTheme="minorEastAsia" w:hAnsiTheme="minorEastAsia" w:cs="Times New Roman"/>
          <w:bCs/>
          <w:sz w:val="24"/>
          <w:szCs w:val="24"/>
        </w:rPr>
        <w:t>5日内报中国证监会备案。</w:t>
      </w:r>
    </w:p>
    <w:p w14:paraId="2ECA9F9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2E59C31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w:t>
      </w:r>
      <w:r>
        <w:rPr>
          <w:rFonts w:asciiTheme="minorEastAsia" w:hAnsiTheme="minorEastAsia" w:cs="Times New Roman"/>
          <w:bCs/>
          <w:sz w:val="24"/>
          <w:szCs w:val="24"/>
        </w:rPr>
        <w:t>2个工作日内在指定媒介上公告。如果采用通讯方式进行表决，在公告基金份额持有人大会决议时，必须将公证书全文、公证机构、公证员姓名等一同公告。</w:t>
      </w:r>
    </w:p>
    <w:p w14:paraId="449D4123"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FD8AD03"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672290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349BC7D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574E004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66CC18F"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754A862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4708918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有下列情形之一的，《基金合同》应当终止：</w:t>
      </w:r>
    </w:p>
    <w:p w14:paraId="2EC2E2E6"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1、基金份额持有人大会决定终止的；</w:t>
      </w:r>
    </w:p>
    <w:p w14:paraId="05874DA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2、基金管理人、基金托管人职责终止，在6个月内没有新基金管理人、新基金托管人承接的；</w:t>
      </w:r>
    </w:p>
    <w:p w14:paraId="32BAA6B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3、《基金合同》约定的其他情形；</w:t>
      </w:r>
    </w:p>
    <w:p w14:paraId="3D9A399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4、相关法律法规和中国证监会规定的其他情况。</w:t>
      </w:r>
    </w:p>
    <w:p w14:paraId="609FDC13"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6FCAA1A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1、基金财产清算小组：自出现《基金合同》终止事由之日起30个工作日内成立清算小组，基金管理人组织基金财产清算小组并在中国证监会的监督下进行基金清算。</w:t>
      </w:r>
    </w:p>
    <w:p w14:paraId="4BA8CBA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2、基金财产清算小组组成：基金财产清算小组成员由基金管理人、基金托管人、</w:t>
      </w:r>
      <w:r>
        <w:rPr>
          <w:rFonts w:asciiTheme="minorEastAsia" w:hAnsiTheme="minorEastAsia" w:cs="Times New Roman" w:hint="eastAsia"/>
          <w:bCs/>
          <w:sz w:val="24"/>
          <w:szCs w:val="24"/>
        </w:rPr>
        <w:t>具有证券、期货相关业务资格的注册会计师、律师以及中国证监会指定的人员组成。基金财产清算小组可以聘用必要的工作人员。</w:t>
      </w:r>
    </w:p>
    <w:p w14:paraId="259997D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1063DD1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4、基金财产清算程序：</w:t>
      </w:r>
    </w:p>
    <w:p w14:paraId="62259318"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1）《基金合同》终止情形出现时，由基金财产清算小组统一接管基金；</w:t>
      </w:r>
    </w:p>
    <w:p w14:paraId="5688F475"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2）对基金财产和债权债务进行清理和确认；</w:t>
      </w:r>
    </w:p>
    <w:p w14:paraId="5F170631"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3）对基金财产进行估值和变现；</w:t>
      </w:r>
    </w:p>
    <w:p w14:paraId="11556FE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4）制作清算报告；</w:t>
      </w:r>
    </w:p>
    <w:p w14:paraId="15B2AC30"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5）聘请</w:t>
      </w:r>
      <w:r>
        <w:rPr>
          <w:rFonts w:asciiTheme="minorEastAsia" w:hAnsiTheme="minorEastAsia" w:cs="Times New Roman" w:hint="eastAsia"/>
          <w:bCs/>
          <w:sz w:val="24"/>
          <w:szCs w:val="24"/>
        </w:rPr>
        <w:t>具有证券、期货相关业务资格的会计师事务所对清算报告进行外部审计，聘请律师事务所对清算报告出具法律意见书；</w:t>
      </w:r>
    </w:p>
    <w:p w14:paraId="02847AEB"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6）将清算报告报中国证监会备案并公告；</w:t>
      </w:r>
    </w:p>
    <w:p w14:paraId="2F6C35CE"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7）对基金剩余财产进行分配。</w:t>
      </w:r>
    </w:p>
    <w:p w14:paraId="6558EEA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bCs/>
          <w:sz w:val="24"/>
          <w:szCs w:val="24"/>
        </w:rPr>
        <w:t>5、基金财产清算的期限为6个月。</w:t>
      </w:r>
    </w:p>
    <w:p w14:paraId="1FC8BD89"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731BF913"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132F329C"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14B542F2"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hint="eastAsia"/>
          <w:bCs/>
          <w:sz w:val="24"/>
        </w:rPr>
        <w:t>《基金合同》受中国法律（不含港澳台立法）管辖</w:t>
      </w:r>
      <w:r>
        <w:rPr>
          <w:rFonts w:asciiTheme="minorEastAsia" w:hAnsiTheme="minorEastAsia" w:cs="Times New Roman" w:hint="eastAsia"/>
          <w:bCs/>
          <w:sz w:val="24"/>
          <w:szCs w:val="24"/>
        </w:rPr>
        <w:t>。</w:t>
      </w:r>
    </w:p>
    <w:p w14:paraId="08D60134"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五、基金合同存放地和投资人取得基金合同的方式</w:t>
      </w:r>
    </w:p>
    <w:p w14:paraId="14F8DFB7" w14:textId="77777777" w:rsidR="0066529D" w:rsidRDefault="00A901FF">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《基金合同》可印制成册，供投资者在基金管理人、基金托管人、销售机构的办公场所和营业场所查阅。</w:t>
      </w:r>
    </w:p>
    <w:p w14:paraId="13C60CD5" w14:textId="77777777" w:rsidR="0066529D" w:rsidRDefault="0066529D">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66529D">
          <w:footerReference w:type="default" r:id="rId42"/>
          <w:pgSz w:w="11906" w:h="16838"/>
          <w:pgMar w:top="1440" w:right="1800" w:bottom="1440" w:left="1800" w:header="851" w:footer="992" w:gutter="0"/>
          <w:pgNumType w:chapStyle="1"/>
          <w:cols w:space="720"/>
          <w:docGrid w:type="lines" w:linePitch="312"/>
        </w:sectPr>
      </w:pPr>
      <w:bookmarkStart w:id="378" w:name="_Toc263092327"/>
      <w:bookmarkStart w:id="379" w:name="_Toc214873614"/>
      <w:bookmarkStart w:id="380" w:name="_Toc416264554"/>
      <w:bookmarkStart w:id="381" w:name="_Toc12191"/>
      <w:bookmarkStart w:id="382" w:name="_Toc23022"/>
      <w:bookmarkStart w:id="383" w:name="_Toc123051466"/>
      <w:bookmarkStart w:id="384" w:name="_Toc141703901"/>
      <w:bookmarkStart w:id="385" w:name="_Toc123112248"/>
      <w:bookmarkStart w:id="386" w:name="_Toc8710"/>
      <w:bookmarkStart w:id="387" w:name="_Toc123102467"/>
      <w:bookmarkStart w:id="388" w:name="_Toc28549"/>
      <w:bookmarkStart w:id="389" w:name="_Toc352229766"/>
      <w:bookmarkStart w:id="390" w:name="_Toc48649720"/>
      <w:bookmarkStart w:id="391" w:name="_Toc13398"/>
      <w:bookmarkStart w:id="392" w:name="_Toc27058"/>
      <w:bookmarkStart w:id="393" w:name="_Toc23166"/>
      <w:bookmarkStart w:id="394" w:name="_Toc9708"/>
      <w:bookmarkStart w:id="395" w:name="_Toc7367"/>
      <w:bookmarkStart w:id="396" w:name="_Toc79392641"/>
      <w:bookmarkStart w:id="397" w:name="_Toc139991750"/>
      <w:bookmarkStart w:id="398" w:name="_Toc30645"/>
      <w:bookmarkStart w:id="399" w:name="_Toc98560365"/>
      <w:bookmarkStart w:id="400" w:name="_Toc21240"/>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p>
    <w:p w14:paraId="04432D57" w14:textId="77777777" w:rsidR="0066529D" w:rsidRDefault="00A901FF">
      <w:pPr>
        <w:pStyle w:val="1"/>
        <w:jc w:val="center"/>
        <w:rPr>
          <w:rFonts w:asciiTheme="minorEastAsia" w:eastAsiaTheme="minorEastAsia" w:hAnsiTheme="minorEastAsia" w:hint="eastAsia"/>
          <w:sz w:val="30"/>
          <w:szCs w:val="30"/>
        </w:rPr>
      </w:pPr>
      <w:bookmarkStart w:id="401" w:name="_Toc146096095"/>
      <w:r>
        <w:rPr>
          <w:rFonts w:asciiTheme="minorEastAsia" w:eastAsiaTheme="minorEastAsia" w:hAnsiTheme="minorEastAsia" w:hint="eastAsia"/>
          <w:sz w:val="30"/>
          <w:szCs w:val="30"/>
        </w:rPr>
        <w:lastRenderedPageBreak/>
        <w:t>第十九部分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基金托管协议的内容摘要</w:t>
      </w:r>
      <w:bookmarkEnd w:id="378"/>
      <w:bookmarkEnd w:id="379"/>
      <w:bookmarkEnd w:id="380"/>
      <w:bookmarkEnd w:id="401"/>
    </w:p>
    <w:p w14:paraId="202F2033" w14:textId="77777777" w:rsidR="0066529D" w:rsidRDefault="00A901F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一、托管协议当事人</w:t>
      </w:r>
    </w:p>
    <w:p w14:paraId="4AF303D7"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w:t>
      </w:r>
    </w:p>
    <w:p w14:paraId="67E73B99"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2CE65D63"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1C995BA9"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办公地址：广东省深圳市福田区八卦四路</w:t>
      </w:r>
      <w:r>
        <w:rPr>
          <w:rFonts w:asciiTheme="minorEastAsia" w:hAnsiTheme="minorEastAsia" w:cs="Arial"/>
          <w:kern w:val="0"/>
          <w:sz w:val="24"/>
          <w:szCs w:val="24"/>
        </w:rPr>
        <w:t>52号安吉</w:t>
      </w:r>
      <w:r>
        <w:rPr>
          <w:rFonts w:asciiTheme="minorEastAsia" w:hAnsiTheme="minorEastAsia" w:cs="Arial" w:hint="eastAsia"/>
          <w:kern w:val="0"/>
          <w:sz w:val="24"/>
          <w:szCs w:val="24"/>
        </w:rPr>
        <w:t>尔大厦</w:t>
      </w:r>
      <w:r>
        <w:rPr>
          <w:rFonts w:asciiTheme="minorEastAsia" w:hAnsiTheme="minorEastAsia" w:cs="Arial"/>
          <w:kern w:val="0"/>
          <w:sz w:val="24"/>
          <w:szCs w:val="24"/>
        </w:rPr>
        <w:t>24层</w:t>
      </w:r>
    </w:p>
    <w:p w14:paraId="425E1AD1"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邮政编码：</w:t>
      </w:r>
      <w:r>
        <w:rPr>
          <w:rFonts w:asciiTheme="minorEastAsia" w:hAnsiTheme="minorEastAsia" w:cs="Arial"/>
          <w:kern w:val="0"/>
          <w:sz w:val="24"/>
          <w:szCs w:val="24"/>
        </w:rPr>
        <w:t>518038</w:t>
      </w:r>
    </w:p>
    <w:p w14:paraId="2F379526"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0261A8C0"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w:t>
      </w:r>
      <w:r>
        <w:rPr>
          <w:rFonts w:asciiTheme="minorEastAsia" w:hAnsiTheme="minorEastAsia" w:cs="Arial"/>
          <w:kern w:val="0"/>
          <w:sz w:val="24"/>
          <w:szCs w:val="24"/>
        </w:rPr>
        <w:t>2016年1月25日</w:t>
      </w:r>
      <w:r>
        <w:rPr>
          <w:rFonts w:asciiTheme="minorEastAsia" w:hAnsiTheme="minorEastAsia" w:cs="Arial"/>
          <w:kern w:val="0"/>
          <w:sz w:val="24"/>
          <w:szCs w:val="24"/>
        </w:rPr>
        <w:tab/>
      </w:r>
    </w:p>
    <w:p w14:paraId="77938E56"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w:t>
      </w:r>
      <w:r>
        <w:rPr>
          <w:rFonts w:asciiTheme="minorEastAsia" w:hAnsiTheme="minorEastAsia" w:cs="Arial"/>
          <w:kern w:val="0"/>
          <w:sz w:val="24"/>
          <w:szCs w:val="24"/>
        </w:rPr>
        <w:t>2015】3118号</w:t>
      </w:r>
    </w:p>
    <w:p w14:paraId="72C8691C"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D754F49"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686F5D96" w14:textId="77777777" w:rsidR="0066529D" w:rsidRDefault="00A901FF">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存续期间：持续经营</w:t>
      </w:r>
    </w:p>
    <w:p w14:paraId="13663AEE"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经营范围：基金募集、基金销售、特定客户资产管理、资产管理和中国证监会许可的其他业务</w:t>
      </w:r>
    </w:p>
    <w:p w14:paraId="53EF8477" w14:textId="77777777" w:rsidR="0066529D" w:rsidRDefault="00A901FF">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26B9B86D"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名称：中国光大银行股份有限公司</w:t>
      </w:r>
    </w:p>
    <w:p w14:paraId="3DE4F65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住所：北京市西城区太平桥大街</w:t>
      </w:r>
      <w:r>
        <w:rPr>
          <w:rFonts w:asciiTheme="minorEastAsia" w:hAnsiTheme="minorEastAsia" w:cs="Arial"/>
          <w:sz w:val="24"/>
          <w:szCs w:val="24"/>
        </w:rPr>
        <w:t xml:space="preserve">25 </w:t>
      </w:r>
      <w:r>
        <w:rPr>
          <w:rFonts w:asciiTheme="minorEastAsia" w:hAnsiTheme="minorEastAsia" w:cs="Arial" w:hint="eastAsia"/>
          <w:sz w:val="24"/>
          <w:szCs w:val="24"/>
        </w:rPr>
        <w:t>号、甲</w:t>
      </w:r>
      <w:r>
        <w:rPr>
          <w:rFonts w:asciiTheme="minorEastAsia" w:hAnsiTheme="minorEastAsia" w:cs="Arial"/>
          <w:sz w:val="24"/>
          <w:szCs w:val="24"/>
        </w:rPr>
        <w:t xml:space="preserve">25 </w:t>
      </w:r>
      <w:r>
        <w:rPr>
          <w:rFonts w:asciiTheme="minorEastAsia" w:hAnsiTheme="minorEastAsia" w:cs="Arial" w:hint="eastAsia"/>
          <w:sz w:val="24"/>
          <w:szCs w:val="24"/>
        </w:rPr>
        <w:t>号中国光大中心</w:t>
      </w:r>
    </w:p>
    <w:p w14:paraId="13CBC2D9"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邮政编码：</w:t>
      </w:r>
      <w:r>
        <w:rPr>
          <w:rFonts w:asciiTheme="minorEastAsia" w:hAnsiTheme="minorEastAsia" w:cs="Arial"/>
          <w:sz w:val="24"/>
          <w:szCs w:val="24"/>
        </w:rPr>
        <w:t>100033</w:t>
      </w:r>
    </w:p>
    <w:p w14:paraId="0AFEC4BE"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法定代表人：王江</w:t>
      </w:r>
      <w:r>
        <w:rPr>
          <w:rFonts w:asciiTheme="minorEastAsia" w:hAnsiTheme="minorEastAsia" w:cs="Arial"/>
          <w:sz w:val="24"/>
          <w:szCs w:val="24"/>
        </w:rPr>
        <w:t xml:space="preserve"> </w:t>
      </w:r>
    </w:p>
    <w:p w14:paraId="6ACE728E"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成立日期：</w:t>
      </w:r>
      <w:r>
        <w:rPr>
          <w:rFonts w:asciiTheme="minorEastAsia" w:hAnsiTheme="minorEastAsia" w:cs="Arial"/>
          <w:sz w:val="24"/>
          <w:szCs w:val="24"/>
        </w:rPr>
        <w:t>1992年6月18日</w:t>
      </w:r>
    </w:p>
    <w:p w14:paraId="0D0DA102"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批准设立机关和批准设立文号：国务院、国函</w:t>
      </w:r>
      <w:r>
        <w:rPr>
          <w:rFonts w:asciiTheme="minorEastAsia" w:hAnsiTheme="minorEastAsia" w:cs="Arial"/>
          <w:sz w:val="24"/>
          <w:szCs w:val="24"/>
        </w:rPr>
        <w:t>[1992]7号</w:t>
      </w:r>
    </w:p>
    <w:p w14:paraId="5EE68119"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经营范围：吸收公众存款；发放短期、中期和长期贷款；办理国内外结算；办理票据贴现；发行金融债券；代理发行、代理兑付、承销政府债券；买卖政府债券；从事同业拆借；买卖、代理买卖外汇；提供信用证服务及担保；代理收付款项及代理保险业务；提供保管箱服务；经中国人民银行和国家外汇管理局批准的其他业务。</w:t>
      </w:r>
    </w:p>
    <w:p w14:paraId="4BF37ED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组织形式：股份有限公司</w:t>
      </w:r>
    </w:p>
    <w:p w14:paraId="5755C104"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注册资本：人民币</w:t>
      </w:r>
      <w:r>
        <w:rPr>
          <w:rFonts w:asciiTheme="minorEastAsia" w:hAnsiTheme="minorEastAsia" w:cs="Arial"/>
          <w:sz w:val="24"/>
          <w:szCs w:val="24"/>
        </w:rPr>
        <w:t>466.79095亿元人民币</w:t>
      </w:r>
    </w:p>
    <w:p w14:paraId="0FDA982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存续期间：持续经营</w:t>
      </w:r>
    </w:p>
    <w:p w14:paraId="500C3157" w14:textId="77777777" w:rsidR="0066529D" w:rsidRDefault="00A901F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二、基金托管人对基金管理人的业务监督和核查</w:t>
      </w:r>
    </w:p>
    <w:p w14:paraId="7ECDA547"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（一）基金托管人根据有关法律法规的规定及基金合同的约定，对基金投资范围、投资比例进行监督。</w:t>
      </w:r>
    </w:p>
    <w:p w14:paraId="324A8A5B"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asciiTheme="minorEastAsia" w:hAnsiTheme="minorEastAsia" w:hint="eastAsia"/>
          <w:bCs/>
          <w:sz w:val="24"/>
        </w:rPr>
        <w:t>，债券（含国债、金融债、企业债、公司债、央行票据、中期票据、短期融资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、超短期融资</w:t>
      </w:r>
      <w:proofErr w:type="gramStart"/>
      <w:r>
        <w:rPr>
          <w:rFonts w:asciiTheme="minorEastAsia" w:hAnsiTheme="minorEastAsia" w:hint="eastAsia"/>
          <w:bCs/>
          <w:sz w:val="24"/>
        </w:rPr>
        <w:t>券</w:t>
      </w:r>
      <w:proofErr w:type="gramEnd"/>
      <w:r>
        <w:rPr>
          <w:rFonts w:asciiTheme="minorEastAsia" w:hAnsiTheme="minorEastAsia" w:hint="eastAsia"/>
          <w:bCs/>
          <w:sz w:val="24"/>
        </w:rPr>
        <w:t>、政府支持机构债、地方政府债、公开发行的次级债、可转换债券、可交换债券、中小企业私募</w:t>
      </w:r>
      <w:proofErr w:type="gramStart"/>
      <w:r>
        <w:rPr>
          <w:rFonts w:asciiTheme="minorEastAsia" w:hAnsiTheme="minorEastAsia" w:hint="eastAsia"/>
          <w:bCs/>
          <w:sz w:val="24"/>
        </w:rPr>
        <w:t>债及其</w:t>
      </w:r>
      <w:proofErr w:type="gramEnd"/>
      <w:r>
        <w:rPr>
          <w:rFonts w:asciiTheme="minorEastAsia" w:hAnsiTheme="minorEastAsia"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70AA9EBF"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hint="eastAsia"/>
          <w:bCs/>
          <w:sz w:val="24"/>
        </w:rPr>
        <w:t>基金的投资组合比例为：股票资产占基金资产的</w:t>
      </w:r>
      <w:r>
        <w:rPr>
          <w:rFonts w:asciiTheme="minorEastAsia" w:hAnsiTheme="minorEastAsia"/>
          <w:bCs/>
          <w:sz w:val="24"/>
        </w:rPr>
        <w:t>5</w:t>
      </w:r>
      <w:r>
        <w:rPr>
          <w:rFonts w:asciiTheme="minorEastAsia" w:hAnsiTheme="minorEastAsia" w:hint="eastAsia"/>
          <w:bCs/>
          <w:sz w:val="24"/>
        </w:rPr>
        <w:t>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C98EF7C" w14:textId="77777777" w:rsidR="0066529D" w:rsidRDefault="00A901FF">
      <w:pPr>
        <w:widowControl/>
        <w:spacing w:line="360" w:lineRule="auto"/>
        <w:ind w:firstLineChars="200" w:firstLine="480"/>
        <w:jc w:val="left"/>
        <w:rPr>
          <w:rFonts w:asciiTheme="minorEastAsia" w:hAnsiTheme="minorEastAsia" w:hint="eastAsia"/>
          <w:sz w:val="24"/>
          <w:szCs w:val="24"/>
        </w:rPr>
      </w:pPr>
      <w:r>
        <w:rPr>
          <w:rFonts w:asciiTheme="minorEastAsia" w:hAnsiTheme="minorEastAsia" w:hint="eastAsia"/>
          <w:sz w:val="24"/>
          <w:szCs w:val="24"/>
        </w:rPr>
        <w:t>管理人在进行个股票期权等投资前，务必须与托管人就交收结算、核算估值等业务规则和流程进行沟通确定，在系统测试通过后才可投资，否则，由此产生的风险由管理人承担。</w:t>
      </w:r>
    </w:p>
    <w:p w14:paraId="722849AD" w14:textId="77777777" w:rsidR="0066529D" w:rsidRDefault="00A901FF">
      <w:pPr>
        <w:spacing w:line="360" w:lineRule="auto"/>
        <w:ind w:firstLineChars="200" w:firstLine="480"/>
        <w:rPr>
          <w:rFonts w:asciiTheme="minorEastAsia" w:hAnsiTheme="minorEastAsia" w:cs="宋体" w:hint="eastAsia"/>
          <w:color w:val="000000"/>
          <w:sz w:val="24"/>
          <w:szCs w:val="24"/>
        </w:rPr>
      </w:pPr>
      <w:r>
        <w:rPr>
          <w:rFonts w:asciiTheme="minorEastAsia" w:hAnsiTheme="minorEastAsia" w:hint="eastAsia"/>
          <w:sz w:val="24"/>
          <w:szCs w:val="24"/>
        </w:rPr>
        <w:t>如果法律法规或中国证监会变更投资品种的投资比例限制，基金管理人在履行适当程序后，可以调整上述投资品种的投资比例。</w:t>
      </w:r>
    </w:p>
    <w:p w14:paraId="0E9F65B1"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140CE3E3"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4D8F31DD"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（1）股票投资占基金资产的比例为</w:t>
      </w:r>
      <w:r>
        <w:rPr>
          <w:rFonts w:asciiTheme="minorEastAsia" w:hAnsiTheme="minorEastAsia"/>
          <w:bCs/>
          <w:sz w:val="24"/>
        </w:rPr>
        <w:t>5</w:t>
      </w:r>
      <w:r>
        <w:rPr>
          <w:rFonts w:asciiTheme="minorEastAsia" w:hAnsiTheme="minorEastAsia" w:hint="eastAsia"/>
          <w:bCs/>
          <w:sz w:val="24"/>
        </w:rPr>
        <w:t>0%–95%；</w:t>
      </w:r>
    </w:p>
    <w:p w14:paraId="0978C02F"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2</w:t>
      </w:r>
      <w:r>
        <w:rPr>
          <w:rFonts w:asciiTheme="minorEastAsia" w:hAnsiTheme="minorEastAsia" w:hint="eastAsia"/>
          <w:bCs/>
          <w:sz w:val="24"/>
        </w:rPr>
        <w:t>）每个交易日日终在扣除股指期货、国债期货合约需缴纳的交易保证金后，保持不低于基金资产净值5％的现金或者到期日在一年以内的政府债券，其中现金不包括结算备付金、存出保证金、应收申购款等；</w:t>
      </w:r>
    </w:p>
    <w:p w14:paraId="787176D4"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3</w:t>
      </w:r>
      <w:r>
        <w:rPr>
          <w:rFonts w:asciiTheme="minorEastAsia" w:hAnsiTheme="minorEastAsia" w:hint="eastAsia"/>
          <w:bCs/>
          <w:sz w:val="24"/>
        </w:rPr>
        <w:t>）</w:t>
      </w:r>
      <w:r>
        <w:rPr>
          <w:rStyle w:val="fontstyle01"/>
          <w:rFonts w:asciiTheme="minorEastAsia" w:eastAsiaTheme="minorEastAsia" w:hAnsiTheme="minorEastAsia" w:hint="default"/>
        </w:rPr>
        <w:t>本基金持有一家公司发行的证券</w:t>
      </w:r>
      <w:r>
        <w:rPr>
          <w:rFonts w:asciiTheme="minorEastAsia" w:hAnsiTheme="minorEastAsia" w:hint="eastAsia"/>
          <w:bCs/>
          <w:sz w:val="24"/>
        </w:rPr>
        <w:t>，其市值不超过基金资产净值的10％；</w:t>
      </w:r>
    </w:p>
    <w:p w14:paraId="33E8A637"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w:t>
      </w:r>
      <w:r>
        <w:rPr>
          <w:rFonts w:asciiTheme="minorEastAsia" w:hAnsiTheme="minorEastAsia"/>
          <w:bCs/>
          <w:sz w:val="24"/>
        </w:rPr>
        <w:t>4</w:t>
      </w:r>
      <w:r>
        <w:rPr>
          <w:rFonts w:asciiTheme="minorEastAsia" w:hAnsiTheme="minorEastAsia" w:hint="eastAsia"/>
          <w:bCs/>
          <w:sz w:val="24"/>
        </w:rPr>
        <w:t>）本基金管理人管理的全部基金持有一家公司发行的证券，不超过该证券的10％；</w:t>
      </w:r>
    </w:p>
    <w:p w14:paraId="7F3D67EA"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5</w:t>
      </w:r>
      <w:r>
        <w:rPr>
          <w:rFonts w:asciiTheme="minorEastAsia" w:hAnsiTheme="minorEastAsia" w:hint="eastAsia"/>
          <w:bCs/>
          <w:sz w:val="24"/>
        </w:rPr>
        <w:t>）本基金持有的全部权证，其市值不得超过基金资产净值的3％；</w:t>
      </w:r>
    </w:p>
    <w:p w14:paraId="71C87756"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6</w:t>
      </w:r>
      <w:r>
        <w:rPr>
          <w:rFonts w:asciiTheme="minorEastAsia" w:hAnsiTheme="minorEastAsia" w:hint="eastAsia"/>
          <w:bCs/>
          <w:sz w:val="24"/>
        </w:rPr>
        <w:t>）本基金管理人管理的全部基金持有的同一权证，不得超过该权证的</w:t>
      </w:r>
      <w:r>
        <w:rPr>
          <w:rFonts w:asciiTheme="minorEastAsia" w:hAnsiTheme="minorEastAsia"/>
          <w:bCs/>
          <w:sz w:val="24"/>
        </w:rPr>
        <w:t xml:space="preserve">   </w:t>
      </w:r>
      <w:r>
        <w:rPr>
          <w:rFonts w:asciiTheme="minorEastAsia" w:hAnsiTheme="minorEastAsia" w:hint="eastAsia"/>
          <w:bCs/>
          <w:sz w:val="24"/>
        </w:rPr>
        <w:t>10％；</w:t>
      </w:r>
    </w:p>
    <w:p w14:paraId="32971DD9"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7</w:t>
      </w:r>
      <w:r>
        <w:rPr>
          <w:rFonts w:asciiTheme="minorEastAsia" w:hAnsiTheme="minorEastAsia" w:hint="eastAsia"/>
          <w:bCs/>
          <w:sz w:val="24"/>
        </w:rPr>
        <w:t>）本基金在任何交易日买入权证的总金额，不得超过上一交易日基金资产净值的0.5％；</w:t>
      </w:r>
    </w:p>
    <w:p w14:paraId="6A60CE31"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8</w:t>
      </w:r>
      <w:r>
        <w:rPr>
          <w:rFonts w:asciiTheme="minorEastAsia" w:hAnsiTheme="minorEastAsia" w:hint="eastAsia"/>
          <w:bCs/>
          <w:sz w:val="24"/>
        </w:rPr>
        <w:t>）本基金投资于同一原始权益人的各类资产支持证券的比例，不得超过基金资产净值的10％；</w:t>
      </w:r>
    </w:p>
    <w:p w14:paraId="1ED32F21"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9</w:t>
      </w:r>
      <w:r>
        <w:rPr>
          <w:rFonts w:asciiTheme="minorEastAsia" w:hAnsiTheme="minorEastAsia" w:hint="eastAsia"/>
          <w:bCs/>
          <w:sz w:val="24"/>
        </w:rPr>
        <w:t>）本基金持有的全部资产支持证券，其市值不得超过基金资产净值的20％，中国证监会规定的特殊品种除外；</w:t>
      </w:r>
    </w:p>
    <w:p w14:paraId="26C3CC19"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w:t>
      </w:r>
      <w:r>
        <w:rPr>
          <w:rFonts w:asciiTheme="minorEastAsia" w:hAnsiTheme="minorEastAsia"/>
          <w:bCs/>
          <w:sz w:val="24"/>
        </w:rPr>
        <w:t>10</w:t>
      </w:r>
      <w:r>
        <w:rPr>
          <w:rFonts w:asciiTheme="minorEastAsia" w:hAnsiTheme="minorEastAsia" w:hint="eastAsia"/>
          <w:bCs/>
          <w:sz w:val="24"/>
        </w:rPr>
        <w:t>）本基金持有的同一(指同一信用级别)资产支持证券的比例，不得超过该资产支持证券规模的10％；</w:t>
      </w:r>
    </w:p>
    <w:p w14:paraId="40799D05"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1</w:t>
      </w:r>
      <w:r>
        <w:rPr>
          <w:rFonts w:asciiTheme="minorEastAsia" w:hAnsiTheme="minorEastAsia" w:hint="eastAsia"/>
          <w:bCs/>
          <w:sz w:val="24"/>
        </w:rPr>
        <w:t>）本基金管理人管理的全部基金投资于同一原始权益人的各类资产支持证券，不得超过其各类资产支持证券合计规模的10％；</w:t>
      </w:r>
    </w:p>
    <w:p w14:paraId="14899CAA"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2</w:t>
      </w:r>
      <w:r>
        <w:rPr>
          <w:rFonts w:asciiTheme="minorEastAsia" w:hAnsiTheme="minorEastAsia" w:hint="eastAsia"/>
          <w:bCs/>
          <w:sz w:val="24"/>
        </w:rPr>
        <w:t>）本基金应投资于信用级别评级为BBB以上(含BBB)的资产支持证券。基金持有资产支持证券期间，如果其信用等级下降、不再符合投资标准，应在评级报告发布之日起3个月内予以全部卖出；</w:t>
      </w:r>
    </w:p>
    <w:p w14:paraId="7E4BE30C"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3</w:t>
      </w:r>
      <w:r>
        <w:rPr>
          <w:rFonts w:asciiTheme="minorEastAsia" w:hAnsiTheme="minorEastAsia" w:hint="eastAsia"/>
          <w:bCs/>
          <w:sz w:val="24"/>
        </w:rPr>
        <w:t>）基金财产参与股票发行申购，本基金所申报的金额不超过本基金的总资产，本基金所申报的股票数量不超过拟发行股票公司本次发行股票的总量；</w:t>
      </w:r>
    </w:p>
    <w:p w14:paraId="40523387"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w:t>
      </w:r>
      <w:r>
        <w:rPr>
          <w:rFonts w:asciiTheme="minorEastAsia" w:hAnsiTheme="minorEastAsia"/>
          <w:bCs/>
          <w:sz w:val="24"/>
        </w:rPr>
        <w:t>4</w:t>
      </w:r>
      <w:r>
        <w:rPr>
          <w:rFonts w:asciiTheme="minorEastAsia" w:hAnsiTheme="minorEastAsia" w:hint="eastAsia"/>
          <w:bCs/>
          <w:sz w:val="24"/>
        </w:rPr>
        <w:t>）本基金进入全国银行间同业市场进行债券回购的资金余额不得超过基金资产净值的40%，在全国银行间同业市场的债券回购最长期限为1年，债券回购到期后不得展期；</w:t>
      </w:r>
    </w:p>
    <w:p w14:paraId="2C8F98BD"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（15）本基金总资产不得超过基金净资产的</w:t>
      </w:r>
      <w:r>
        <w:rPr>
          <w:rFonts w:asciiTheme="minorEastAsia" w:hAnsiTheme="minorEastAsia"/>
          <w:bCs/>
          <w:sz w:val="24"/>
        </w:rPr>
        <w:t xml:space="preserve"> </w:t>
      </w:r>
      <w:r>
        <w:rPr>
          <w:rFonts w:asciiTheme="minorEastAsia" w:hAnsiTheme="minorEastAsia" w:hint="eastAsia"/>
          <w:bCs/>
          <w:sz w:val="24"/>
        </w:rPr>
        <w:t>140%；</w:t>
      </w:r>
    </w:p>
    <w:p w14:paraId="1BE34435"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（16）本基金持有单只中小企业私募债券，其市值不得超过本基金资产净值的10%；基金投资于中小企业私募债的比例不超过基金资产净值的</w:t>
      </w:r>
      <w:r>
        <w:rPr>
          <w:rFonts w:asciiTheme="minorEastAsia" w:hAnsiTheme="minorEastAsia"/>
          <w:bCs/>
          <w:sz w:val="24"/>
        </w:rPr>
        <w:t>20%</w:t>
      </w:r>
      <w:r>
        <w:rPr>
          <w:rFonts w:asciiTheme="minorEastAsia" w:hAnsiTheme="minorEastAsia" w:hint="eastAsia"/>
          <w:bCs/>
          <w:sz w:val="24"/>
        </w:rPr>
        <w:t>；</w:t>
      </w:r>
    </w:p>
    <w:p w14:paraId="78BC6BE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（17）本基金参与股指期货、国债期货交易，需遵守下列规定：</w:t>
      </w:r>
    </w:p>
    <w:p w14:paraId="6F84AE7F"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1）本基金在任何交易日日终，持有的买入股指期货合约价值，不得超过基金资产净值的10%；</w:t>
      </w:r>
    </w:p>
    <w:p w14:paraId="50272ADB"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lastRenderedPageBreak/>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09A402FB"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3）本基金在任何交易日日终，持有的卖出股指期货合约价值不得超过基金持有的股票总市值的20%；</w:t>
      </w:r>
    </w:p>
    <w:p w14:paraId="74130E7A"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4）本基金在任何交易日内交易（不包括平仓）的股指期货合约的成交金额不得超过上一交易日基金资产净值的20%；</w:t>
      </w:r>
    </w:p>
    <w:p w14:paraId="1A1F6079"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5）本基金所持有的股票市值和买入、卖出股指期货合约价值，合计（轧差计算）应当符合基金合同关于股票投资比例的有关规定；</w:t>
      </w:r>
    </w:p>
    <w:p w14:paraId="40C4C910"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6）本基金在任何交易日日终，持有的买入国债期货合约价值，不得超过基金资产净值的15%；</w:t>
      </w:r>
    </w:p>
    <w:p w14:paraId="5862531D"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7）本基金在任何交易日日终，持有的卖出国债期货合约价值不得超过基金持有的债券总市值的30%；</w:t>
      </w:r>
    </w:p>
    <w:p w14:paraId="4F1B5361"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8）本基金在任何交易日内交易（不包括平仓）的国债期货合约的成交金额不得超过上一交易日基金资产净值的30%；</w:t>
      </w:r>
    </w:p>
    <w:p w14:paraId="665A93E4" w14:textId="77777777" w:rsidR="0066529D" w:rsidRDefault="00A901FF">
      <w:pPr>
        <w:spacing w:line="360" w:lineRule="auto"/>
        <w:ind w:firstLineChars="200" w:firstLine="480"/>
        <w:rPr>
          <w:rFonts w:asciiTheme="minorEastAsia" w:hAnsiTheme="minorEastAsia" w:hint="eastAsia"/>
          <w:sz w:val="24"/>
        </w:rPr>
      </w:pPr>
      <w:r>
        <w:rPr>
          <w:rFonts w:asciiTheme="minorEastAsia" w:hAnsiTheme="minorEastAsia" w:hint="eastAsia"/>
          <w:sz w:val="24"/>
        </w:rPr>
        <w:t>（18）本基金参与股票期权交易，需遵守下列投资比例限制：</w:t>
      </w:r>
    </w:p>
    <w:p w14:paraId="3BE881FF" w14:textId="77777777" w:rsidR="0066529D" w:rsidRDefault="00A901FF">
      <w:pPr>
        <w:spacing w:line="360" w:lineRule="auto"/>
        <w:ind w:firstLineChars="200" w:firstLine="480"/>
        <w:rPr>
          <w:rFonts w:asciiTheme="minorEastAsia" w:hAnsiTheme="minorEastAsia" w:hint="eastAsia"/>
          <w:sz w:val="24"/>
        </w:rPr>
      </w:pPr>
      <w:r>
        <w:rPr>
          <w:rFonts w:asciiTheme="minorEastAsia" w:hAnsiTheme="minorEastAsia" w:hint="eastAsia"/>
          <w:sz w:val="24"/>
        </w:rPr>
        <w:t>1）本基金因未平仓的期权合约支付和收取的权利金总额不得超过基金资产净值的10%；</w:t>
      </w:r>
    </w:p>
    <w:p w14:paraId="61CFEA41" w14:textId="77777777" w:rsidR="0066529D" w:rsidRDefault="00A901FF">
      <w:pPr>
        <w:spacing w:line="360" w:lineRule="auto"/>
        <w:ind w:firstLineChars="200" w:firstLine="480"/>
        <w:rPr>
          <w:rFonts w:asciiTheme="minorEastAsia" w:hAnsiTheme="minorEastAsia" w:hint="eastAsia"/>
          <w:sz w:val="24"/>
        </w:rPr>
      </w:pPr>
      <w:r>
        <w:rPr>
          <w:rFonts w:asciiTheme="minorEastAsia" w:hAnsiTheme="minorEastAsia" w:hint="eastAsia"/>
          <w:sz w:val="24"/>
        </w:rPr>
        <w:t>2）本基金开仓卖出认购期权的，应持有足额标的证券；开仓卖出认沽期权的，应持有合约行权所需的全额现金或交易所规则认可的可冲抵期权保证金的现金等价物；</w:t>
      </w:r>
    </w:p>
    <w:p w14:paraId="005A988F"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sz w:val="24"/>
        </w:rPr>
        <w:t>3）本基金未平仓的期权合约面值不得超过基金资产净值的20%。其中，合约面值按照行权价乘以合约乘数计算；</w:t>
      </w:r>
    </w:p>
    <w:p w14:paraId="2E9B4A5E"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1680B645"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（20）本基金主动投资于流动性受限资产的市值合计不得超过基金资产净值</w:t>
      </w:r>
      <w:r>
        <w:rPr>
          <w:rFonts w:asciiTheme="minorEastAsia" w:hAnsiTheme="minorEastAsia" w:hint="eastAsia"/>
          <w:bCs/>
          <w:sz w:val="24"/>
        </w:rPr>
        <w:lastRenderedPageBreak/>
        <w:t>的15%；</w:t>
      </w:r>
    </w:p>
    <w:p w14:paraId="62DD26D1"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因证券市场波动、上市公司股票停牌、基金规模变动等基金管理人之外的因素致使基金不符合前款所规定比例限制的，基金管理人不得主动新增流动性受限资产的投资；</w:t>
      </w:r>
    </w:p>
    <w:p w14:paraId="59271124" w14:textId="77777777" w:rsidR="0066529D" w:rsidRDefault="00A901FF">
      <w:pPr>
        <w:spacing w:line="360" w:lineRule="auto"/>
        <w:ind w:firstLineChars="200" w:firstLine="480"/>
        <w:rPr>
          <w:rFonts w:asciiTheme="minorEastAsia" w:hAnsiTheme="minorEastAsia" w:hint="eastAsia"/>
          <w:bCs/>
          <w:sz w:val="24"/>
        </w:rPr>
      </w:pPr>
      <w:r>
        <w:rPr>
          <w:rFonts w:asciiTheme="minorEastAsia" w:hAnsiTheme="minorEastAsia" w:hint="eastAsia"/>
          <w:bCs/>
          <w:sz w:val="24"/>
        </w:rPr>
        <w:t>（21）本基金与私募类</w:t>
      </w:r>
      <w:proofErr w:type="gramStart"/>
      <w:r>
        <w:rPr>
          <w:rFonts w:asciiTheme="minorEastAsia" w:hAnsiTheme="minorEastAsia" w:hint="eastAsia"/>
          <w:bCs/>
          <w:sz w:val="24"/>
        </w:rPr>
        <w:t>证券资管产品</w:t>
      </w:r>
      <w:proofErr w:type="gramEnd"/>
      <w:r>
        <w:rPr>
          <w:rFonts w:asciiTheme="minorEastAsia" w:hAnsiTheme="minorEastAsia" w:hint="eastAsia"/>
          <w:bCs/>
          <w:sz w:val="24"/>
        </w:rPr>
        <w:t>及中国证监会认定的其他主体为交易对手开展逆回购交易的，可接受质押品的资质要求应当与基金合同约定的投资范围保持一致；</w:t>
      </w:r>
    </w:p>
    <w:p w14:paraId="4AC97D86"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（22）本基金投资存托凭证的比例限制依照境内上市交易的股票执行，与境内上市交易的股票合并计算；</w:t>
      </w:r>
    </w:p>
    <w:p w14:paraId="2EE169A7"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（23）法律法规及中国证监会规定的和《基金合同》约定的其他投资限制。</w:t>
      </w:r>
    </w:p>
    <w:p w14:paraId="189EFBB2"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除上述第（2）、（1</w:t>
      </w:r>
      <w:r>
        <w:rPr>
          <w:rFonts w:asciiTheme="minorEastAsia" w:hAnsiTheme="minorEastAsia"/>
          <w:bCs/>
          <w:sz w:val="24"/>
        </w:rPr>
        <w:t>2</w:t>
      </w:r>
      <w:r>
        <w:rPr>
          <w:rFonts w:asciiTheme="minorEastAsia" w:hAnsiTheme="minorEastAsia" w:hint="eastAsia"/>
          <w:bCs/>
          <w:sz w:val="24"/>
        </w:rPr>
        <w:t>）、（</w:t>
      </w:r>
      <w:r>
        <w:rPr>
          <w:rFonts w:asciiTheme="minorEastAsia" w:hAnsiTheme="minorEastAsia"/>
          <w:bCs/>
          <w:sz w:val="24"/>
        </w:rPr>
        <w:t>20</w:t>
      </w:r>
      <w:r>
        <w:rPr>
          <w:rFonts w:asciiTheme="minorEastAsia" w:hAnsiTheme="minorEastAsia" w:hint="eastAsia"/>
          <w:bCs/>
          <w:sz w:val="24"/>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62A8ED8" w14:textId="77777777" w:rsidR="0066529D" w:rsidRDefault="00A901FF">
      <w:pPr>
        <w:autoSpaceDE w:val="0"/>
        <w:autoSpaceDN w:val="0"/>
        <w:spacing w:line="360" w:lineRule="auto"/>
        <w:ind w:firstLineChars="200" w:firstLine="480"/>
        <w:textAlignment w:val="bottom"/>
        <w:rPr>
          <w:rFonts w:asciiTheme="minorEastAsia" w:hAnsiTheme="minorEastAsia" w:hint="eastAsia"/>
          <w:bCs/>
          <w:sz w:val="24"/>
        </w:rPr>
      </w:pPr>
      <w:r>
        <w:rPr>
          <w:rFonts w:asciiTheme="minorEastAsia" w:hAnsiTheme="minorEastAsia" w:hint="eastAsia"/>
          <w:bCs/>
          <w:sz w:val="24"/>
        </w:rPr>
        <w:t>基金管理人应当自基金合同生效之日起6个月内使基金的投资组合比例符合基金合同的有关约定。在上述期间内，本基金的投资范围、投资策略应当符合基金合同的约定。基金托管人对基金的投资的监督与检查自本基金合同生效之日起开始。</w:t>
      </w:r>
    </w:p>
    <w:p w14:paraId="49B6AA44"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7FAEDC93"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（三）基金托管人根据有关法律法规的规定及基金合同的约定，对本托管协议第十五条第（十二）</w:t>
      </w:r>
      <w:proofErr w:type="gramStart"/>
      <w:r>
        <w:rPr>
          <w:rFonts w:asciiTheme="minorEastAsia" w:hAnsiTheme="minorEastAsia" w:cs="Arial" w:hint="eastAsia"/>
          <w:color w:val="000000"/>
          <w:sz w:val="24"/>
          <w:szCs w:val="24"/>
        </w:rPr>
        <w:t>款基金</w:t>
      </w:r>
      <w:proofErr w:type="gramEnd"/>
      <w:r>
        <w:rPr>
          <w:rFonts w:asciiTheme="minorEastAsia" w:hAnsiTheme="minorEastAsia" w:cs="Arial" w:hint="eastAsia"/>
          <w:color w:val="000000"/>
          <w:sz w:val="24"/>
          <w:szCs w:val="24"/>
        </w:rPr>
        <w:t>投资禁止行为进行监督。</w:t>
      </w:r>
    </w:p>
    <w:p w14:paraId="7250E67D"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4A7499D"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（四）基金托管人根据有关法律法规的规定及基金合同的约定，对基金管理</w:t>
      </w:r>
      <w:r>
        <w:rPr>
          <w:rFonts w:asciiTheme="minorEastAsia" w:hAnsiTheme="minorEastAsia" w:cs="Arial" w:hint="eastAsia"/>
          <w:color w:val="000000"/>
          <w:sz w:val="24"/>
          <w:szCs w:val="24"/>
        </w:rPr>
        <w:lastRenderedPageBreak/>
        <w:t>人参与银行间债券市场进行监督。</w:t>
      </w:r>
    </w:p>
    <w:p w14:paraId="40BFDDC8"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理由，并在与交易对手发生交易前</w:t>
      </w:r>
      <w:r>
        <w:rPr>
          <w:rFonts w:asciiTheme="minorEastAsia" w:hAnsiTheme="minorEastAsia" w:cs="Arial"/>
          <w:color w:val="000000"/>
          <w:sz w:val="24"/>
          <w:szCs w:val="24"/>
        </w:rPr>
        <w:t>3个工作日内与基金托管人协商解决。</w:t>
      </w:r>
    </w:p>
    <w:p w14:paraId="1BAC2204"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5A1BD8F"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五）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18F1E314"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六）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12A13EB9"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（七）基金管理人投资中小企业</w:t>
      </w:r>
      <w:proofErr w:type="gramStart"/>
      <w:r>
        <w:rPr>
          <w:rFonts w:asciiTheme="minorEastAsia" w:hAnsiTheme="minorEastAsia" w:cs="Arial" w:hint="eastAsia"/>
          <w:color w:val="000000"/>
          <w:sz w:val="24"/>
          <w:szCs w:val="24"/>
        </w:rPr>
        <w:t>私募债应符合</w:t>
      </w:r>
      <w:proofErr w:type="gramEnd"/>
      <w:r>
        <w:rPr>
          <w:rFonts w:asciiTheme="minorEastAsia" w:hAnsiTheme="minorEastAsia" w:cs="Arial" w:hint="eastAsia"/>
          <w:color w:val="000000"/>
          <w:sz w:val="24"/>
          <w:szCs w:val="24"/>
        </w:rPr>
        <w:t>相关法律法规约定。基金管理人应根据本协议的规定与基金托管人签订投资中小企业私募</w:t>
      </w:r>
      <w:proofErr w:type="gramStart"/>
      <w:r>
        <w:rPr>
          <w:rFonts w:asciiTheme="minorEastAsia" w:hAnsiTheme="minorEastAsia" w:cs="Arial" w:hint="eastAsia"/>
          <w:color w:val="000000"/>
          <w:sz w:val="24"/>
          <w:szCs w:val="24"/>
        </w:rPr>
        <w:t>债风险</w:t>
      </w:r>
      <w:proofErr w:type="gramEnd"/>
      <w:r>
        <w:rPr>
          <w:rFonts w:asciiTheme="minorEastAsia" w:hAnsiTheme="minorEastAsia" w:cs="Arial" w:hint="eastAsia"/>
          <w:color w:val="000000"/>
          <w:sz w:val="24"/>
          <w:szCs w:val="24"/>
        </w:rPr>
        <w:t>控制补充协议。基金管理人在投资中小企业私募债前，应向基金托管人提供经基金管理人董事会批准的投资中小企业私募债券的相关制度。在投资中小企业私募债券的过程中，基金管理人应合</w:t>
      </w:r>
      <w:proofErr w:type="gramStart"/>
      <w:r>
        <w:rPr>
          <w:rFonts w:asciiTheme="minorEastAsia" w:hAnsiTheme="minorEastAsia" w:cs="Arial" w:hint="eastAsia"/>
          <w:color w:val="000000"/>
          <w:sz w:val="24"/>
          <w:szCs w:val="24"/>
        </w:rPr>
        <w:t>理控制</w:t>
      </w:r>
      <w:proofErr w:type="gramEnd"/>
      <w:r>
        <w:rPr>
          <w:rFonts w:asciiTheme="minorEastAsia" w:hAnsiTheme="minorEastAsia" w:cs="Arial" w:hint="eastAsia"/>
          <w:color w:val="000000"/>
          <w:sz w:val="24"/>
          <w:szCs w:val="24"/>
        </w:rPr>
        <w:t>投资中小企业私募债的比例。基金托管人将严格按照</w:t>
      </w:r>
      <w:r>
        <w:rPr>
          <w:rFonts w:asciiTheme="minorEastAsia" w:hAnsiTheme="minorEastAsia" w:cs="Arial" w:hint="eastAsia"/>
          <w:color w:val="000000"/>
          <w:sz w:val="24"/>
          <w:szCs w:val="24"/>
        </w:rPr>
        <w:lastRenderedPageBreak/>
        <w:t>补充协议中的约定对相关业务进行监督和审核。</w:t>
      </w:r>
    </w:p>
    <w:p w14:paraId="4EF00B7C"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八）基金托管人根据有关法律法规的规定及基金合同的约定，对基金资产净值计算、各类基金份额净值计算、应收资金到账、基金费用开支及收入确定、基金收益分配、相关信息披露、基金宣传推介材料中登载基金业绩表现数据等进行监督和核查。</w:t>
      </w:r>
    </w:p>
    <w:p w14:paraId="69F56A70"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（九）基金托管人发现基金管理人的上述事项及投资指令或实际投资运作违反法律法规、基金合同和本托管协议的规定，应及时以电话提醒或书面提示等方式通知基金管理人限期纠正。</w:t>
      </w:r>
    </w:p>
    <w:p w14:paraId="07013517"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545E6422"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（十）基金管理人有义务配合和协助基金托管人依照法律法规、基金合同和本托管协议对基金业务执行核查。</w:t>
      </w:r>
    </w:p>
    <w:p w14:paraId="44344FB5"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对基金托管人发出的书面提示，基金管理人应在规定时间内答复并改正，或就基金托管人合理的疑义进行解释或举证；对基金托管人按照法律法规、基金合同和本托管协议的要求需向中国证监会报送基金监督报告的事项，基金管理人应积极配合提供相关数据资料和制度等。</w:t>
      </w:r>
    </w:p>
    <w:p w14:paraId="25E2A70D"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（十一）</w:t>
      </w: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w:t>
      </w:r>
    </w:p>
    <w:p w14:paraId="032F5E77"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（十二）基金托管人发现基金管理人有重大违规行为，应及时报告中国证监会，同时通知基金管理人限期纠正，并将纠正结果报告中国证监会。</w:t>
      </w:r>
    </w:p>
    <w:p w14:paraId="4B47AC4F" w14:textId="77777777" w:rsidR="0066529D" w:rsidRDefault="00A901FF">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17AA2B92" w14:textId="77777777" w:rsidR="0066529D" w:rsidRDefault="00A901F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7656347C"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（一）基金管理人对基金托管人履行托管职责情况进行核查，核查事项包括</w:t>
      </w:r>
      <w:r>
        <w:rPr>
          <w:rFonts w:asciiTheme="minorEastAsia" w:hAnsiTheme="minorEastAsia" w:cs="Arial" w:hint="eastAsia"/>
          <w:sz w:val="24"/>
          <w:szCs w:val="24"/>
        </w:rPr>
        <w:lastRenderedPageBreak/>
        <w:t>基金托管人安全保管基金财产、开设基金财产的资金账户、证券账户和期货账户等投资所需账户、复核基金管理人计算的基金资产净值和基金份额净值、根据基金管理人指令办理清算交收、相关信息披露和监督基金投资运作等行为。</w:t>
      </w:r>
    </w:p>
    <w:p w14:paraId="64287EF1"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009AD42C"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Theme="minorEastAsia" w:hAnsiTheme="minorEastAsia" w:cs="Arial" w:hint="eastAsia"/>
          <w:sz w:val="24"/>
          <w:szCs w:val="24"/>
        </w:rPr>
        <w:t>供基金</w:t>
      </w:r>
      <w:proofErr w:type="gramEnd"/>
      <w:r>
        <w:rPr>
          <w:rFonts w:asciiTheme="minorEastAsia" w:hAnsiTheme="minorEastAsia" w:cs="Arial" w:hint="eastAsia"/>
          <w:sz w:val="24"/>
          <w:szCs w:val="24"/>
        </w:rPr>
        <w:t>管理人核查托管财产的完整性和真实性，在规定时间内答复基金管理人并改正。</w:t>
      </w:r>
    </w:p>
    <w:p w14:paraId="4ECA4FAF"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（三）基金管理人发现基金托管人有重大违规行为，应及时报告中国证监会，同时通知基金托管人限期纠正，并将纠正结果报告中国证监会。</w:t>
      </w:r>
    </w:p>
    <w:p w14:paraId="425FD327"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p>
    <w:p w14:paraId="713457A8" w14:textId="77777777" w:rsidR="0066529D" w:rsidRDefault="00A901F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0013B5BB"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（一）基金财产保管的原则</w:t>
      </w:r>
    </w:p>
    <w:p w14:paraId="0F2F776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1．基金财产应独立于基金管理人、基金托管人的固有财产；</w:t>
      </w:r>
    </w:p>
    <w:p w14:paraId="2B04E4FE"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2．基金托管人应安全保管基金财产；</w:t>
      </w:r>
    </w:p>
    <w:p w14:paraId="75D1B057"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3．基金托管人按照规定开设基金财产的资金账户、证券账户和期货账户等投资所需账户；</w:t>
      </w:r>
    </w:p>
    <w:p w14:paraId="0866FFF5"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4．基金托管人对所托管的不同基金财产分别设置账户，确保基金财产的完整与独立； </w:t>
      </w:r>
    </w:p>
    <w:p w14:paraId="72760157"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5．基金托管人根据基金管理人的指令，按照基金合同和本协议的约定保管基金财产，如有特殊情况双方可另行协商解决；</w:t>
      </w:r>
    </w:p>
    <w:p w14:paraId="341E4E4F"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w:t>
      </w:r>
      <w:r>
        <w:rPr>
          <w:rFonts w:asciiTheme="minorEastAsia" w:hAnsiTheme="minorEastAsia" w:cs="Arial"/>
          <w:sz w:val="24"/>
          <w:szCs w:val="24"/>
        </w:rPr>
        <w:lastRenderedPageBreak/>
        <w:t>的，基金管理人应负责向有关当事人追偿基金财产的损失；</w:t>
      </w:r>
    </w:p>
    <w:p w14:paraId="09AEEF2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7．除依据法律法规和基金合同的规定外，基金托管人不得委托第三人托管</w:t>
      </w:r>
      <w:r>
        <w:rPr>
          <w:rFonts w:asciiTheme="minorEastAsia" w:hAnsiTheme="minorEastAsia" w:cs="Arial" w:hint="eastAsia"/>
          <w:sz w:val="24"/>
          <w:szCs w:val="24"/>
        </w:rPr>
        <w:t>基金财产。</w:t>
      </w:r>
    </w:p>
    <w:p w14:paraId="1719D628"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（二）基金募集期间及募集资金的验资</w:t>
      </w:r>
    </w:p>
    <w:p w14:paraId="5539835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1．基金募集期间募集的资金应存于基金管理人开立的“基金募集专户”。该账户由基金管理人开立并管理。</w:t>
      </w:r>
    </w:p>
    <w:p w14:paraId="1A706D09"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6613B03C"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募集期限届满，未能达到基金合同生效的条件，由基金管理人按规定办理退款等事宜。</w:t>
      </w:r>
    </w:p>
    <w:p w14:paraId="1C5CCFF5"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（三）基金托管专户的开立和管理</w:t>
      </w:r>
    </w:p>
    <w:p w14:paraId="2FA29B88"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基金托管专户的名称</w:t>
      </w:r>
      <w:r>
        <w:rPr>
          <w:rFonts w:asciiTheme="minorEastAsia" w:hAnsiTheme="minorEastAsia" w:cs="Arial"/>
          <w:sz w:val="24"/>
          <w:szCs w:val="24"/>
        </w:rPr>
        <w:t xml:space="preserve">: </w:t>
      </w:r>
      <w:r>
        <w:rPr>
          <w:rFonts w:asciiTheme="minorEastAsia" w:hAnsiTheme="minorEastAsia" w:cs="Arial" w:hint="eastAsia"/>
          <w:sz w:val="24"/>
          <w:szCs w:val="24"/>
        </w:rPr>
        <w:t>富荣福康混合型证券投资基金</w:t>
      </w:r>
    </w:p>
    <w:p w14:paraId="0C358CB9"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托管账户开户行</w:t>
      </w:r>
      <w:r>
        <w:rPr>
          <w:rFonts w:asciiTheme="minorEastAsia" w:hAnsiTheme="minorEastAsia" w:cs="Arial"/>
          <w:sz w:val="24"/>
          <w:szCs w:val="24"/>
        </w:rPr>
        <w:t>:中国光大银行深圳分行营业部</w:t>
      </w:r>
    </w:p>
    <w:p w14:paraId="7D64404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0A0341BC"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9FD7DAC"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3．基金托管专户的开立和管理应符合有关法律法规以及银行业监督管理机构的其他有关规定</w:t>
      </w:r>
      <w:r>
        <w:rPr>
          <w:rFonts w:asciiTheme="minorEastAsia" w:hAnsiTheme="minorEastAsia" w:cs="Arial" w:hint="eastAsia"/>
          <w:sz w:val="24"/>
          <w:szCs w:val="24"/>
        </w:rPr>
        <w:t>。</w:t>
      </w:r>
    </w:p>
    <w:p w14:paraId="4CCB080D"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（四）基金证券账户和结算备付金账户的开立和管理</w:t>
      </w:r>
    </w:p>
    <w:p w14:paraId="2400A90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1．基金托管人在中国证券登记结算有限责任公司上海分公司、深圳分公司为基金开立基金托管人与基金联名的证券账户。</w:t>
      </w:r>
    </w:p>
    <w:p w14:paraId="48611DE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50C4EEC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lastRenderedPageBreak/>
        <w:t>3．基金证券账户的开立和证券账户卡的保管由基金托管人负责，账户资产的管理和运用由基金管理人负责。</w:t>
      </w:r>
    </w:p>
    <w:p w14:paraId="2E090330"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2ACC1970"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5．若中国证监会或其他监管机构在本托管协议订立日之后允许基金从事其他投资品种的投资业务，涉及相关账户的开立、使用的，若无相关规定，</w:t>
      </w:r>
      <w:proofErr w:type="gramStart"/>
      <w:r>
        <w:rPr>
          <w:rFonts w:asciiTheme="minorEastAsia" w:hAnsiTheme="minorEastAsia" w:cs="Arial" w:hint="eastAsia"/>
          <w:sz w:val="24"/>
          <w:szCs w:val="24"/>
        </w:rPr>
        <w:t>则基金</w:t>
      </w:r>
      <w:proofErr w:type="gramEnd"/>
      <w:r>
        <w:rPr>
          <w:rFonts w:asciiTheme="minorEastAsia" w:hAnsiTheme="minorEastAsia" w:cs="Arial" w:hint="eastAsia"/>
          <w:sz w:val="24"/>
          <w:szCs w:val="24"/>
        </w:rPr>
        <w:t>托管人比照上述关于账户开立、使用的规定执行。</w:t>
      </w:r>
    </w:p>
    <w:p w14:paraId="72F89EB9"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（五）银行间债券托管专户的开设和管理</w:t>
      </w:r>
    </w:p>
    <w:p w14:paraId="46EE128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托管人保管协议正本，基金管理人保存协议副本。</w:t>
      </w:r>
    </w:p>
    <w:p w14:paraId="36496723"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（六）其他账户的开立和管理</w:t>
      </w:r>
    </w:p>
    <w:p w14:paraId="390675FE"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47E967A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（七）基金财产投资的有关有价凭证等的保管</w:t>
      </w:r>
    </w:p>
    <w:p w14:paraId="603ACF28"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基金财产投资的有关实物证券等有价凭证由基金托管人存放于基金托管人的保管库，也可存入中央国债登记结算有限责任公司、中国证券登记结算有限责任公司上海分公司</w:t>
      </w:r>
      <w:r>
        <w:rPr>
          <w:rFonts w:asciiTheme="minorEastAsia" w:hAnsiTheme="minorEastAsia" w:cs="Arial"/>
          <w:sz w:val="24"/>
          <w:szCs w:val="24"/>
        </w:rPr>
        <w:t>/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r>
        <w:rPr>
          <w:rFonts w:asciiTheme="minorEastAsia" w:hAnsiTheme="minorEastAsia" w:cs="Arial" w:hint="eastAsia"/>
          <w:sz w:val="24"/>
          <w:szCs w:val="24"/>
        </w:rPr>
        <w:t>。</w:t>
      </w:r>
    </w:p>
    <w:p w14:paraId="4B2A08AC"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（八）与基金财产有关的重大合同的保管</w:t>
      </w:r>
    </w:p>
    <w:p w14:paraId="269B91D7"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与基金财产有关的重大合同的签署，由基金管理人负责。由基金管理人代表基金签署的、与基金财产有关的重大合同的原件分别由基金管理人、基金托管人</w:t>
      </w:r>
      <w:r>
        <w:rPr>
          <w:rFonts w:asciiTheme="minorEastAsia" w:hAnsiTheme="minorEastAsia" w:cs="Arial" w:hint="eastAsia"/>
          <w:sz w:val="24"/>
          <w:szCs w:val="24"/>
        </w:rPr>
        <w:lastRenderedPageBreak/>
        <w:t>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w:t>
      </w:r>
      <w:r>
        <w:rPr>
          <w:rFonts w:asciiTheme="minorEastAsia" w:hAnsiTheme="minorEastAsia" w:cs="Arial"/>
          <w:sz w:val="24"/>
          <w:szCs w:val="24"/>
        </w:rPr>
        <w:t>30个工作日内将正本送达基金托管人处。重大合同的保管期限为基金合同终止后15年。</w:t>
      </w:r>
    </w:p>
    <w:p w14:paraId="3936B967"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 xml:space="preserve"> 对于无法取得二份以上正本的，基金管理人应向基金托管人提供与合同原件核对一致的加盖公章的合同传真件，未经双方协商一致或未在合同约定范围内，合同原件不得转移。</w:t>
      </w:r>
    </w:p>
    <w:p w14:paraId="03736529" w14:textId="77777777" w:rsidR="0066529D" w:rsidRDefault="00A901F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7CFC86F8"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7ED2D752"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1．基金资产净值</w:t>
      </w:r>
    </w:p>
    <w:p w14:paraId="799B4F1C"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基金资产净值是指基金资产总值减去负债后的价值。基金份额净值是指计算日基金资产净值除以计算日该基金份额总数后的价值。</w:t>
      </w:r>
    </w:p>
    <w:p w14:paraId="5636DBC8"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计算公式为</w:t>
      </w:r>
      <w:r>
        <w:rPr>
          <w:rFonts w:asciiTheme="minorEastAsia" w:hAnsiTheme="minorEastAsia" w:cs="Arial"/>
          <w:sz w:val="24"/>
          <w:szCs w:val="24"/>
        </w:rPr>
        <w:t xml:space="preserve">: </w:t>
      </w:r>
      <w:r>
        <w:rPr>
          <w:rFonts w:asciiTheme="minorEastAsia" w:hAnsiTheme="minorEastAsia" w:cs="Arial" w:hint="eastAsia"/>
          <w:sz w:val="24"/>
          <w:szCs w:val="24"/>
        </w:rPr>
        <w:t>计算日各类基金份额净值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计算日该类基金份额基金资产净值</w:t>
      </w:r>
      <w:r>
        <w:rPr>
          <w:rFonts w:asciiTheme="minorEastAsia" w:hAnsiTheme="minorEastAsia" w:cs="Arial"/>
          <w:sz w:val="24"/>
          <w:szCs w:val="24"/>
        </w:rPr>
        <w:t xml:space="preserve"> / </w:t>
      </w:r>
      <w:r>
        <w:rPr>
          <w:rFonts w:asciiTheme="minorEastAsia" w:hAnsiTheme="minorEastAsia" w:cs="Arial" w:hint="eastAsia"/>
          <w:sz w:val="24"/>
          <w:szCs w:val="24"/>
        </w:rPr>
        <w:t>计算日该类基金份额的总份额。基金份额净值的计算均精确到</w:t>
      </w:r>
      <w:r>
        <w:rPr>
          <w:rFonts w:asciiTheme="minorEastAsia" w:hAnsiTheme="minorEastAsia" w:cs="Arial"/>
          <w:sz w:val="24"/>
          <w:szCs w:val="24"/>
        </w:rPr>
        <w:t xml:space="preserve">0.0001 </w:t>
      </w:r>
      <w:r>
        <w:rPr>
          <w:rFonts w:asciiTheme="minorEastAsia" w:hAnsiTheme="minorEastAsia" w:cs="Arial" w:hint="eastAsia"/>
          <w:sz w:val="24"/>
          <w:szCs w:val="24"/>
        </w:rPr>
        <w:t>元，小数点后第</w:t>
      </w:r>
      <w:r>
        <w:rPr>
          <w:rFonts w:asciiTheme="minorEastAsia" w:hAnsiTheme="minorEastAsia" w:cs="Arial"/>
          <w:sz w:val="24"/>
          <w:szCs w:val="24"/>
        </w:rPr>
        <w:t>5位四舍五入。国家另有规定的，从其规定。</w:t>
      </w:r>
    </w:p>
    <w:p w14:paraId="119A762E"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基金管理人每个工作日计算基金资产净值和两类基金份额净值，并按规定公告。</w:t>
      </w:r>
    </w:p>
    <w:p w14:paraId="6DB4731D"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2．复核程序</w:t>
      </w:r>
    </w:p>
    <w:p w14:paraId="3EB1066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基金管理人每个工作日对基金资产进行估值后，将基金份额净值结果发送基金托管人，经基金托管人复核无误后，由基金管理人按规定对外公布。但基金管理人根据法律法规或基金合同的规定暂停估值时除外。</w:t>
      </w:r>
    </w:p>
    <w:p w14:paraId="284FD31F"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（二）基金会计核算</w:t>
      </w:r>
    </w:p>
    <w:p w14:paraId="19631219"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1、基金账册的建立</w:t>
      </w:r>
    </w:p>
    <w:p w14:paraId="08BA07A7"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基金管理人进行基金会计核算并编制基金财务会计报告。基金管理人独立地设置、记录和保管本基金的全套账册。</w:t>
      </w:r>
      <w:proofErr w:type="gramStart"/>
      <w:r>
        <w:rPr>
          <w:rFonts w:asciiTheme="minorEastAsia" w:hAnsiTheme="minorEastAsia" w:cs="Arial" w:hint="eastAsia"/>
          <w:sz w:val="24"/>
          <w:szCs w:val="24"/>
        </w:rPr>
        <w:t>若基金</w:t>
      </w:r>
      <w:proofErr w:type="gramEnd"/>
      <w:r>
        <w:rPr>
          <w:rFonts w:asciiTheme="minorEastAsia" w:hAnsiTheme="minorEastAsia" w:cs="Arial"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p>
    <w:p w14:paraId="63C4387B"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、基金财务报表与报告的编制和复核</w:t>
      </w:r>
    </w:p>
    <w:p w14:paraId="79B7A3F7"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1）</w:t>
      </w:r>
      <w:r>
        <w:rPr>
          <w:rFonts w:asciiTheme="minorEastAsia" w:hAnsiTheme="minorEastAsia" w:cs="Arial" w:hint="eastAsia"/>
          <w:sz w:val="24"/>
          <w:szCs w:val="24"/>
        </w:rPr>
        <w:t>财务报表的编制</w:t>
      </w:r>
    </w:p>
    <w:p w14:paraId="151A4068"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基金财务报表由基金管理人编制，基金托管人复核。</w:t>
      </w:r>
    </w:p>
    <w:p w14:paraId="2B258B0F"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2）</w:t>
      </w:r>
      <w:r>
        <w:rPr>
          <w:rFonts w:asciiTheme="minorEastAsia" w:hAnsiTheme="minorEastAsia" w:cs="Arial" w:hint="eastAsia"/>
          <w:sz w:val="24"/>
          <w:szCs w:val="24"/>
        </w:rPr>
        <w:t>报表复核</w:t>
      </w:r>
    </w:p>
    <w:p w14:paraId="5A54778B"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基金托管人在收到基金管理人编制的基金财务报表后，进行独立的复核。核对不符时，应及时通知基金管理人共同查出原因，进行调整，直至双方数据完全一致。</w:t>
      </w:r>
    </w:p>
    <w:p w14:paraId="757AF911"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w:t>
      </w:r>
      <w:r>
        <w:rPr>
          <w:rFonts w:asciiTheme="minorEastAsia" w:hAnsiTheme="minorEastAsia" w:cs="Arial"/>
          <w:sz w:val="24"/>
          <w:szCs w:val="24"/>
        </w:rPr>
        <w:t>3）</w:t>
      </w:r>
      <w:r>
        <w:rPr>
          <w:rFonts w:asciiTheme="minorEastAsia" w:hAnsiTheme="minorEastAsia" w:cs="Arial" w:hint="eastAsia"/>
          <w:sz w:val="24"/>
          <w:szCs w:val="24"/>
        </w:rPr>
        <w:t>财务报表的编制与复核时间安排</w:t>
      </w:r>
    </w:p>
    <w:p w14:paraId="09B1FEC2"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报表的编制</w:t>
      </w:r>
    </w:p>
    <w:p w14:paraId="0C871C71"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基金管理人应当在每月结束后</w:t>
      </w:r>
      <w:r>
        <w:rPr>
          <w:rFonts w:asciiTheme="minorEastAsia" w:hAnsiTheme="minorEastAsia" w:cs="Arial"/>
          <w:sz w:val="24"/>
          <w:szCs w:val="24"/>
        </w:rPr>
        <w:t>5个工作日内完成月度报表的编制；在每个季度结束之日起15个工作日内完成基金季度报告的编制；在上半年结束之日起</w:t>
      </w:r>
      <w:r>
        <w:rPr>
          <w:rFonts w:asciiTheme="minorEastAsia" w:hAnsiTheme="minorEastAsia" w:cs="Arial" w:hint="eastAsia"/>
          <w:sz w:val="24"/>
          <w:szCs w:val="24"/>
        </w:rPr>
        <w:t>两个月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365AC4DD"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报表的复核</w:t>
      </w:r>
    </w:p>
    <w:p w14:paraId="533F1366"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35D803FA"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基金管理人应留足充分的时间，便于基金托管人复核相关报表及报告。</w:t>
      </w:r>
    </w:p>
    <w:p w14:paraId="3B1D5215" w14:textId="77777777" w:rsidR="0066529D" w:rsidRDefault="00A901F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6EE2B54F"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基金份额持有人名册至少应包括基金份额持有人的名称和持有的基金份额。基金份额持有人名册由基金登记机构根据基金管理人的指令编制和保管</w:t>
      </w:r>
      <w:r>
        <w:rPr>
          <w:rFonts w:asciiTheme="minorEastAsia" w:hAnsiTheme="minorEastAsia" w:cs="Arial"/>
          <w:sz w:val="24"/>
          <w:szCs w:val="24"/>
        </w:rPr>
        <w:t>.基金管理人应定期向基金托管人提供基金份额持有人名册，基金托管人得到基金管理人提供的持有人名册后与基金管理人分别进行保管。保管方式可以采用电子或文档的形式，保存期不少于15年，法律法规另有规定或有权机关另有要求的除外。如不能妥善保管，则按相关法规承担责任。</w:t>
      </w:r>
    </w:p>
    <w:p w14:paraId="0A52950F" w14:textId="77777777" w:rsidR="0066529D" w:rsidRDefault="00A901FF">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1D2D0F95" w14:textId="77777777" w:rsidR="0066529D" w:rsidRDefault="00A901F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64BB8445"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各方当事人同意，因基金合同而产生的或与基金合同有关的一切争议，如经</w:t>
      </w:r>
      <w:r>
        <w:rPr>
          <w:rFonts w:asciiTheme="minorEastAsia" w:hAnsiTheme="minorEastAsia" w:cs="Times New Roman" w:hint="eastAsia"/>
          <w:sz w:val="24"/>
          <w:szCs w:val="24"/>
        </w:rPr>
        <w:lastRenderedPageBreak/>
        <w:t>友好协商未能解决的，任何一方均有权将争议提交华南国际经济贸易仲裁委员会，按照该会届时有效的仲裁规则进行仲裁。仲裁地点为深圳市。仲裁裁决是终局的，对各方当事人均有约束力，仲裁费用和律师费用由败诉方承担。</w:t>
      </w:r>
    </w:p>
    <w:p w14:paraId="08CE2D4D"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争议处理期间，双方当事人应恪守基金管理人和基金托管人职责，各自继续忠实、勤勉、尽责地履行基金合同和本托管协议规定的义务，维护基金份额持有人的合法权益。</w:t>
      </w:r>
    </w:p>
    <w:p w14:paraId="68AC9B77"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本协议受中华人民共和国法律（不含港澳台立法）管辖。</w:t>
      </w:r>
    </w:p>
    <w:p w14:paraId="40D522C9" w14:textId="77777777" w:rsidR="0066529D" w:rsidRDefault="00A901FF">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4BA44AD7" w14:textId="77777777" w:rsidR="0066529D" w:rsidRDefault="00A901FF">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（一）托管协议的变更程序</w:t>
      </w:r>
    </w:p>
    <w:p w14:paraId="78D8016E" w14:textId="77777777" w:rsidR="0066529D" w:rsidRDefault="00A901FF">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本协议双方当事人经协商一致，可以对协议进行修改。修改后的新协议，其内容不得与基金合同的规定有任何冲突。基金托管协议的变更报中国证监会备案。</w:t>
      </w:r>
    </w:p>
    <w:p w14:paraId="11BBC54F" w14:textId="77777777" w:rsidR="0066529D" w:rsidRDefault="00A901FF">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（二）基金托管协议终止出现的情形</w:t>
      </w:r>
    </w:p>
    <w:p w14:paraId="6B8D3459" w14:textId="77777777" w:rsidR="0066529D" w:rsidRDefault="00A901FF">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1．基金合同终止；</w:t>
      </w:r>
    </w:p>
    <w:p w14:paraId="231E3391" w14:textId="77777777" w:rsidR="0066529D" w:rsidRDefault="00A901FF">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2．基金托管人解散、依法被撤销、破产或由其他基金托管人接管基金资产；</w:t>
      </w:r>
    </w:p>
    <w:p w14:paraId="58AD179E" w14:textId="77777777" w:rsidR="0066529D" w:rsidRDefault="00A901FF">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3．基金管理人解散、依法被撤销、破产或由其他基金管理人接管基金管理权；</w:t>
      </w:r>
    </w:p>
    <w:p w14:paraId="036FEF5B" w14:textId="77777777" w:rsidR="0066529D" w:rsidRDefault="00A901FF">
      <w:pPr>
        <w:spacing w:line="360" w:lineRule="auto"/>
        <w:ind w:firstLineChars="200" w:firstLine="480"/>
        <w:rPr>
          <w:rFonts w:asciiTheme="minorEastAsia" w:hAnsiTheme="minorEastAsia" w:hint="eastAsia"/>
          <w:sz w:val="24"/>
          <w:szCs w:val="24"/>
        </w:rPr>
      </w:pPr>
      <w:r>
        <w:rPr>
          <w:rFonts w:asciiTheme="minorEastAsia" w:hAnsiTheme="minorEastAsia"/>
          <w:sz w:val="24"/>
          <w:szCs w:val="24"/>
        </w:rPr>
        <w:t>4．发生法律法规或基金合同规定的终止事项</w:t>
      </w:r>
      <w:r>
        <w:rPr>
          <w:rFonts w:asciiTheme="minorEastAsia" w:hAnsiTheme="minorEastAsia" w:hint="eastAsia"/>
          <w:sz w:val="24"/>
          <w:szCs w:val="24"/>
        </w:rPr>
        <w:t>。</w:t>
      </w:r>
    </w:p>
    <w:p w14:paraId="783E1932" w14:textId="77777777" w:rsidR="0066529D" w:rsidRDefault="00A901FF">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（三）基金财产的清算</w:t>
      </w:r>
    </w:p>
    <w:p w14:paraId="01599AA3" w14:textId="77777777" w:rsidR="0066529D" w:rsidRDefault="00A901FF">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10340CFC" w14:textId="77777777" w:rsidR="0066529D" w:rsidRDefault="0066529D">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66529D">
          <w:footerReference w:type="default" r:id="rId43"/>
          <w:pgSz w:w="11906" w:h="16838"/>
          <w:pgMar w:top="1440" w:right="1800" w:bottom="1440" w:left="1800" w:header="851" w:footer="992" w:gutter="0"/>
          <w:pgNumType w:chapStyle="1"/>
          <w:cols w:space="720"/>
          <w:docGrid w:type="lines" w:linePitch="312"/>
        </w:sectPr>
      </w:pPr>
      <w:bookmarkStart w:id="402" w:name="_Toc12357176"/>
      <w:bookmarkStart w:id="403" w:name="_Toc416264555"/>
      <w:bookmarkStart w:id="404" w:name="_Toc147463123"/>
      <w:bookmarkStart w:id="405" w:name="_Toc214873621"/>
      <w:bookmarkStart w:id="406" w:name="_Toc21073396"/>
      <w:bookmarkStart w:id="407" w:name="_Toc263092328"/>
      <w:bookmarkStart w:id="408" w:name="_Toc139991751"/>
      <w:bookmarkStart w:id="409" w:name="_Toc123112249"/>
      <w:bookmarkStart w:id="410" w:name="_Toc123051467"/>
      <w:bookmarkStart w:id="411" w:name="_Toc7288"/>
      <w:bookmarkStart w:id="412" w:name="_Toc21983"/>
      <w:bookmarkStart w:id="413" w:name="_Toc3319"/>
      <w:bookmarkStart w:id="414" w:name="_Toc123102468"/>
      <w:bookmarkStart w:id="415" w:name="_Toc98560366"/>
      <w:bookmarkStart w:id="416" w:name="_Toc1790"/>
      <w:bookmarkStart w:id="417" w:name="_Toc6110"/>
      <w:bookmarkStart w:id="418" w:name="_Toc352229767"/>
      <w:bookmarkStart w:id="419" w:name="_Toc30350"/>
      <w:bookmarkStart w:id="420" w:name="_Toc141703902"/>
      <w:bookmarkStart w:id="421" w:name="_Toc6202"/>
      <w:bookmarkStart w:id="422" w:name="_Toc8636"/>
      <w:bookmarkStart w:id="423" w:name="_Toc23999"/>
      <w:bookmarkStart w:id="424" w:name="_Toc24923"/>
      <w:bookmarkStart w:id="425" w:name="_Toc25651"/>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p>
    <w:p w14:paraId="18C5C714" w14:textId="77777777" w:rsidR="0066529D" w:rsidRDefault="00A901FF">
      <w:pPr>
        <w:pStyle w:val="1"/>
        <w:jc w:val="center"/>
        <w:rPr>
          <w:rFonts w:asciiTheme="minorEastAsia" w:eastAsiaTheme="minorEastAsia" w:hAnsiTheme="minorEastAsia" w:hint="eastAsia"/>
          <w:sz w:val="30"/>
          <w:szCs w:val="30"/>
        </w:rPr>
      </w:pPr>
      <w:bookmarkStart w:id="426" w:name="_Toc146096096"/>
      <w:r>
        <w:rPr>
          <w:rFonts w:asciiTheme="minorEastAsia" w:eastAsiaTheme="minorEastAsia" w:hAnsiTheme="minorEastAsia" w:hint="eastAsia"/>
          <w:sz w:val="30"/>
          <w:szCs w:val="30"/>
        </w:rPr>
        <w:lastRenderedPageBreak/>
        <w:t>第二十部分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对基金份额持有人的服务</w:t>
      </w:r>
      <w:bookmarkEnd w:id="426"/>
    </w:p>
    <w:p w14:paraId="524E93FE"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B905AEE"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5BFD2644"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19B1D553"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565183BA"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103767B7"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38929599"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A81D84F"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125444B7"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45DCD72E"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4437CA1D"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2B51A28A"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75D5401A"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11091996"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252757F3"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7165D18D"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6A250AFA"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2A23034C" w14:textId="77777777" w:rsidR="0066529D" w:rsidRDefault="00A901FF">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p>
    <w:p w14:paraId="11D6D115" w14:textId="77777777" w:rsidR="0066529D" w:rsidRDefault="0066529D">
      <w:pPr>
        <w:spacing w:line="360" w:lineRule="auto"/>
        <w:ind w:firstLineChars="200" w:firstLine="480"/>
        <w:rPr>
          <w:rFonts w:asciiTheme="minorEastAsia" w:hAnsiTheme="minorEastAsia" w:cs="Arial" w:hint="eastAsia"/>
          <w:sz w:val="24"/>
          <w:szCs w:val="24"/>
        </w:rPr>
      </w:pPr>
    </w:p>
    <w:p w14:paraId="52870C12" w14:textId="77777777" w:rsidR="0066529D" w:rsidRDefault="0066529D">
      <w:pPr>
        <w:spacing w:line="360" w:lineRule="auto"/>
        <w:ind w:firstLineChars="200" w:firstLine="480"/>
        <w:rPr>
          <w:rFonts w:asciiTheme="minorEastAsia" w:hAnsiTheme="minorEastAsia" w:hint="eastAsia"/>
          <w:sz w:val="24"/>
          <w:szCs w:val="24"/>
        </w:rPr>
        <w:sectPr w:rsidR="0066529D">
          <w:footerReference w:type="default" r:id="rId44"/>
          <w:pgSz w:w="11906" w:h="16838"/>
          <w:pgMar w:top="1440" w:right="1800" w:bottom="1440" w:left="1800" w:header="851" w:footer="992" w:gutter="0"/>
          <w:pgNumType w:chapStyle="1"/>
          <w:cols w:space="720"/>
          <w:docGrid w:type="lines" w:linePitch="312"/>
        </w:sectPr>
      </w:pPr>
    </w:p>
    <w:p w14:paraId="169FB4EA" w14:textId="77777777" w:rsidR="0066529D" w:rsidRDefault="00A901FF">
      <w:pPr>
        <w:pStyle w:val="1"/>
        <w:jc w:val="center"/>
        <w:rPr>
          <w:rFonts w:asciiTheme="minorEastAsia" w:eastAsiaTheme="minorEastAsia" w:hAnsiTheme="minorEastAsia" w:hint="eastAsia"/>
          <w:sz w:val="30"/>
          <w:szCs w:val="30"/>
        </w:rPr>
      </w:pPr>
      <w:bookmarkStart w:id="427" w:name="_Toc30359"/>
      <w:bookmarkStart w:id="428" w:name="_Toc520207207"/>
      <w:bookmarkStart w:id="429" w:name="_Toc482624810"/>
      <w:bookmarkStart w:id="430" w:name="_Toc256666809"/>
      <w:bookmarkStart w:id="431" w:name="_Toc146096097"/>
      <w:bookmarkStart w:id="432" w:name="_Toc256666929"/>
      <w:bookmarkStart w:id="433" w:name="_Toc263092329"/>
      <w:bookmarkStart w:id="434" w:name="_Toc530223198"/>
      <w:bookmarkStart w:id="435" w:name="_Toc214873622"/>
      <w:bookmarkStart w:id="436" w:name="_Toc416264556"/>
      <w:bookmarkEnd w:id="402"/>
      <w:bookmarkEnd w:id="403"/>
      <w:bookmarkEnd w:id="404"/>
      <w:bookmarkEnd w:id="405"/>
      <w:bookmarkEnd w:id="406"/>
      <w:bookmarkEnd w:id="407"/>
      <w:r>
        <w:rPr>
          <w:rFonts w:asciiTheme="minorEastAsia" w:eastAsiaTheme="minorEastAsia" w:hAnsiTheme="minorEastAsia" w:hint="eastAsia"/>
          <w:sz w:val="30"/>
          <w:szCs w:val="30"/>
        </w:rPr>
        <w:lastRenderedPageBreak/>
        <w:t>第二十一部分  其他应披露事项</w:t>
      </w:r>
      <w:bookmarkEnd w:id="427"/>
      <w:bookmarkEnd w:id="428"/>
      <w:bookmarkEnd w:id="429"/>
      <w:bookmarkEnd w:id="430"/>
      <w:bookmarkEnd w:id="431"/>
      <w:bookmarkEnd w:id="432"/>
    </w:p>
    <w:tbl>
      <w:tblP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514"/>
      </w:tblGrid>
      <w:tr w:rsidR="0066529D" w14:paraId="4BC904A2"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1EAA94E" w14:textId="77777777" w:rsidR="0066529D" w:rsidRDefault="00A901FF">
            <w:pPr>
              <w:jc w:val="center"/>
              <w:rPr>
                <w:rFonts w:asciiTheme="minorEastAsia" w:hAnsiTheme="minorEastAsia" w:cs="Arial" w:hint="eastAsia"/>
                <w:sz w:val="24"/>
                <w:szCs w:val="24"/>
              </w:rPr>
            </w:pPr>
            <w:r>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6DDBB2" w14:textId="77777777" w:rsidR="0066529D" w:rsidRDefault="00A901FF">
            <w:pPr>
              <w:jc w:val="center"/>
              <w:rPr>
                <w:rFonts w:asciiTheme="minorEastAsia" w:hAnsiTheme="minorEastAsia" w:hint="eastAsia"/>
                <w:color w:val="000000"/>
                <w:sz w:val="24"/>
                <w:szCs w:val="24"/>
              </w:rPr>
            </w:pPr>
            <w:r>
              <w:rPr>
                <w:rFonts w:asciiTheme="minorEastAsia" w:hAnsiTheme="minorEastAsia" w:hint="eastAsia"/>
                <w:color w:val="000000"/>
                <w:sz w:val="24"/>
                <w:szCs w:val="24"/>
              </w:rPr>
              <w:t>公告事项</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B9204A6" w14:textId="77777777" w:rsidR="0066529D" w:rsidRDefault="00A901FF">
            <w:pPr>
              <w:jc w:val="center"/>
              <w:rPr>
                <w:rFonts w:asciiTheme="minorEastAsia" w:hAnsiTheme="minorEastAsia" w:hint="eastAsia"/>
                <w:color w:val="000000"/>
                <w:sz w:val="24"/>
                <w:szCs w:val="24"/>
              </w:rPr>
            </w:pPr>
            <w:r>
              <w:rPr>
                <w:rFonts w:asciiTheme="minorEastAsia" w:hAnsiTheme="minorEastAsia" w:hint="eastAsia"/>
                <w:color w:val="000000"/>
                <w:sz w:val="24"/>
                <w:szCs w:val="24"/>
              </w:rPr>
              <w:t>披露日期</w:t>
            </w:r>
          </w:p>
        </w:tc>
      </w:tr>
      <w:tr w:rsidR="0066529D" w14:paraId="6834AB5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9C39AC2"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014F17F"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富荣基金管理有限公司旗下全部基金2023年中期报告提示性公告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E817A11"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2023年8月31日</w:t>
            </w:r>
          </w:p>
        </w:tc>
      </w:tr>
      <w:tr w:rsidR="0066529D" w14:paraId="6BB9F89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79E78FB"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594147F"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富荣基金管理有限公司关于旗下基金新增上海大智慧基金销售有限公司为销售机构、开通基金定期定额投资业务和基金转换业务并参加申购及定期定额投资申购费率优惠活动的公告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CE30169"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2023年9月8日</w:t>
            </w:r>
          </w:p>
        </w:tc>
      </w:tr>
      <w:tr w:rsidR="0066529D" w14:paraId="40CC94FF"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8831585"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7DD669C"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富荣基金管理有限公司关于旗下部分公开募集证券投资基金更新招募说明书及产品资料概要的提示性公告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3B6399A"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2023年9月23日</w:t>
            </w:r>
          </w:p>
        </w:tc>
      </w:tr>
      <w:tr w:rsidR="0066529D" w14:paraId="2EE947E7"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037CE27E"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909A5CE"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富荣基金管理有限公司关于旗下基金新增上海华夏财富投资管理有限公司为销售机构、开通基金定期定额投资业务和基金转换业务并参加申购及定期定额投资申购费率优惠活动的公告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22ACC38"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2023年10月13日</w:t>
            </w:r>
          </w:p>
        </w:tc>
      </w:tr>
      <w:tr w:rsidR="0066529D" w14:paraId="44329209"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6782E4D"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B952175"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富荣基金管理有限公司旗下全部基金2023年第3季度报告提示性公告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331450A"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2023年10月25日</w:t>
            </w:r>
          </w:p>
        </w:tc>
      </w:tr>
      <w:tr w:rsidR="0066529D" w14:paraId="28FC6D84"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19316B"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889C104"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富荣基金管理有限公司关于旗下基金新增上海</w:t>
            </w:r>
            <w:proofErr w:type="gramStart"/>
            <w:r>
              <w:rPr>
                <w:rFonts w:asciiTheme="minorEastAsia" w:hAnsiTheme="minorEastAsia" w:hint="eastAsia"/>
                <w:color w:val="000000"/>
                <w:sz w:val="22"/>
              </w:rPr>
              <w:t>中正达广基金</w:t>
            </w:r>
            <w:proofErr w:type="gramEnd"/>
            <w:r>
              <w:rPr>
                <w:rFonts w:asciiTheme="minorEastAsia" w:hAnsiTheme="minorEastAsia" w:hint="eastAsia"/>
                <w:color w:val="000000"/>
                <w:sz w:val="22"/>
              </w:rPr>
              <w:t>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7BEACEA"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2023年11月1日</w:t>
            </w:r>
          </w:p>
        </w:tc>
      </w:tr>
      <w:tr w:rsidR="0066529D" w14:paraId="11563471"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70238FE"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B515286"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富荣基金管理有限公司关于提醒投资者防范不法分子假冒本公司名义从事诈骗活动的公告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9D7A808"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2023年11月9日</w:t>
            </w:r>
          </w:p>
        </w:tc>
      </w:tr>
      <w:tr w:rsidR="0066529D" w14:paraId="3D17F4CB"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3269E5B"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B95D196"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富荣基金管理有限公司关于提醒投资者防范不法分子假冒本公司名义从事诈骗活动的公告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D966119"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2023年11月14日</w:t>
            </w:r>
          </w:p>
        </w:tc>
      </w:tr>
      <w:tr w:rsidR="0066529D" w14:paraId="1982D49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B16DB33"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6E409FF"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w:t>
            </w:r>
            <w:proofErr w:type="gramStart"/>
            <w:r>
              <w:rPr>
                <w:rFonts w:asciiTheme="minorEastAsia" w:hAnsiTheme="minorEastAsia" w:hint="eastAsia"/>
                <w:color w:val="000000"/>
                <w:sz w:val="22"/>
              </w:rPr>
              <w:t>新增国</w:t>
            </w:r>
            <w:proofErr w:type="gramEnd"/>
            <w:r>
              <w:rPr>
                <w:rFonts w:asciiTheme="minorEastAsia" w:hAnsiTheme="minorEastAsia" w:hint="eastAsia"/>
                <w:color w:val="000000"/>
                <w:sz w:val="22"/>
              </w:rPr>
              <w:t>金证券股份有限公司为销售机构、开通基金定期定额投资业务和基金转换业务并参加申购及定期定额投资申购费率优惠活动的公告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56046A4"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2023年11月20日</w:t>
            </w:r>
          </w:p>
        </w:tc>
      </w:tr>
      <w:tr w:rsidR="0066529D" w14:paraId="6A24EF79"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B22D550"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5E2ED7"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富荣基金管理有限公司关于督察</w:t>
            </w:r>
            <w:proofErr w:type="gramStart"/>
            <w:r>
              <w:rPr>
                <w:rFonts w:asciiTheme="minorEastAsia" w:hAnsiTheme="minorEastAsia" w:hint="eastAsia"/>
                <w:color w:val="000000"/>
                <w:sz w:val="22"/>
              </w:rPr>
              <w:t>长恢复</w:t>
            </w:r>
            <w:proofErr w:type="gramEnd"/>
            <w:r>
              <w:rPr>
                <w:rFonts w:asciiTheme="minorEastAsia" w:hAnsiTheme="minorEastAsia" w:hint="eastAsia"/>
                <w:color w:val="000000"/>
                <w:sz w:val="22"/>
              </w:rPr>
              <w:t>履行职务的公告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2379A3D"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2023年12月12日</w:t>
            </w:r>
          </w:p>
        </w:tc>
      </w:tr>
      <w:tr w:rsidR="0066529D" w14:paraId="76A65B30"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03E294"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1817A3"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富荣基金管理有限公司关于系统升级维护的公告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D4FBA2D"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2023年12月14日</w:t>
            </w:r>
          </w:p>
        </w:tc>
      </w:tr>
      <w:tr w:rsidR="0066529D" w14:paraId="176EFD4E"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705309A"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268100"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关于以通讯方式召开富荣福康混合型证券投资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92FBCE8"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2023年12月28日</w:t>
            </w:r>
          </w:p>
        </w:tc>
      </w:tr>
      <w:tr w:rsidR="0066529D" w14:paraId="3E4B4978"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7F857D4"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D4E263A"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关于以通讯方式召开富荣福康混合型证券投资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份额持有人大会的第一次提示性公告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A1D3A1E"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2023年12月29日</w:t>
            </w:r>
          </w:p>
        </w:tc>
      </w:tr>
      <w:tr w:rsidR="0066529D" w14:paraId="4302F62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94E5FC0"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BC3CCF"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关于以通讯方式召开富荣福康混合型证券投资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份额持有人大会的第二次提示性公告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675DF44"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2023年12月30日</w:t>
            </w:r>
          </w:p>
        </w:tc>
      </w:tr>
      <w:tr w:rsidR="0066529D" w14:paraId="7B1ECF0C"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AA8784"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201DC020"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富荣基金管理有限公司旗下全部基金2023年第4季度报告提示性公告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3060580E"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2024年1月22日</w:t>
            </w:r>
          </w:p>
        </w:tc>
      </w:tr>
      <w:tr w:rsidR="0066529D" w14:paraId="5C0B53D9"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7FA07E0"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0D1AC7"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富荣福康混合型证券投资</w:t>
            </w:r>
            <w:proofErr w:type="gramStart"/>
            <w:r>
              <w:rPr>
                <w:rFonts w:asciiTheme="minorEastAsia" w:hAnsiTheme="minorEastAsia" w:hint="eastAsia"/>
                <w:color w:val="000000"/>
                <w:sz w:val="22"/>
              </w:rPr>
              <w:t>基金基金</w:t>
            </w:r>
            <w:proofErr w:type="gramEnd"/>
            <w:r>
              <w:rPr>
                <w:rFonts w:asciiTheme="minorEastAsia" w:hAnsiTheme="minorEastAsia" w:hint="eastAsia"/>
                <w:color w:val="000000"/>
                <w:sz w:val="22"/>
              </w:rPr>
              <w:t>份额持有人大会表决结果</w:t>
            </w:r>
            <w:proofErr w:type="gramStart"/>
            <w:r>
              <w:rPr>
                <w:rFonts w:asciiTheme="minorEastAsia" w:hAnsiTheme="minorEastAsia" w:hint="eastAsia"/>
                <w:color w:val="000000"/>
                <w:sz w:val="22"/>
              </w:rPr>
              <w:t>暨决议</w:t>
            </w:r>
            <w:proofErr w:type="gramEnd"/>
            <w:r>
              <w:rPr>
                <w:rFonts w:asciiTheme="minorEastAsia" w:hAnsiTheme="minorEastAsia" w:hint="eastAsia"/>
                <w:color w:val="000000"/>
                <w:sz w:val="22"/>
              </w:rPr>
              <w:t>生效的公告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7C92E8A"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2024年2月2日</w:t>
            </w:r>
          </w:p>
        </w:tc>
      </w:tr>
      <w:tr w:rsidR="0066529D" w14:paraId="6E86BDB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99CA55E"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980D273"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富荣基金管理有限公司关于旗下基金新增华西证券股份有限公司为销售机构、开通基金定期定额投资业务和基金</w:t>
            </w:r>
            <w:r>
              <w:rPr>
                <w:rFonts w:asciiTheme="minorEastAsia" w:hAnsiTheme="minorEastAsia" w:hint="eastAsia"/>
                <w:color w:val="000000"/>
                <w:sz w:val="22"/>
              </w:rPr>
              <w:lastRenderedPageBreak/>
              <w:t>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E1674AB"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lastRenderedPageBreak/>
              <w:t>2024年2月22日</w:t>
            </w:r>
          </w:p>
        </w:tc>
      </w:tr>
      <w:tr w:rsidR="0066529D" w14:paraId="3B80AD15"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2298148"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D51729C"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富荣基金管理有限公司关于董事变更的公告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48A6A124"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2024年3月1日</w:t>
            </w:r>
          </w:p>
        </w:tc>
      </w:tr>
      <w:tr w:rsidR="0066529D" w14:paraId="5A82B37E"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27CD1A6"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19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983B109"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富荣基金管理有限公司关于提醒投资者持续完善身份信息资料的公告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C2B770A"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2024年3月20日</w:t>
            </w:r>
          </w:p>
        </w:tc>
      </w:tr>
      <w:tr w:rsidR="0066529D" w14:paraId="6DB4CF73"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32CC229"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721937C"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富荣基金管理有限公司关于旗下基金新增上海中欧财富基金销售有限公司为销售机构、开通基金定期定额投资业务和基金转换业务并参加申购及定期定额投资申购费率优惠活动的公告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E23C7CC"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2024年3月29日</w:t>
            </w:r>
          </w:p>
        </w:tc>
      </w:tr>
      <w:tr w:rsidR="0066529D" w14:paraId="72AB9430"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C874FCF"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E0D9ABA"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富荣基金管理有限公司旗下全部基金2023年年度报告提示性公告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AF5CC4D"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2024年3月30日</w:t>
            </w:r>
          </w:p>
        </w:tc>
      </w:tr>
      <w:tr w:rsidR="0066529D" w14:paraId="1D3BE5F9"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B60FD22"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2DBD965"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富荣基金管理有限公司旗下全部基金2024年第1季度报告提示性公告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72FBB94"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2024年4月22日</w:t>
            </w:r>
          </w:p>
        </w:tc>
      </w:tr>
      <w:tr w:rsidR="0066529D" w14:paraId="07E63C7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DF246B1"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23</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28EC7D8"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富荣基金管理有限公司关于旗下部分基金新增销售机构、开通基金定期定额投资业务和基金转换业务并参加申购及定期定额投资申购费率优惠活动的公告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A95979C"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2024年6月17日</w:t>
            </w:r>
          </w:p>
        </w:tc>
      </w:tr>
      <w:tr w:rsidR="0066529D" w14:paraId="56690B87"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AAD104"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24</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2213EE1"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富荣基金管理有限公司关于旗下基金新增上海云湾基金销售有限公司为销售机构、开通基金定期定额投资业务和基金转换业务并参加申购及定期定额投资申购费率优惠活动的公告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5075E899"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2024年6月18日</w:t>
            </w:r>
          </w:p>
        </w:tc>
      </w:tr>
      <w:tr w:rsidR="0066529D" w14:paraId="50A6C901"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16EC11A3"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25</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796D5AA6"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富荣基金管理有限公司关于旗下部分公开募集证券投资基金更新产品资料概要的提示性公告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33B9A99"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2024年6月27日</w:t>
            </w:r>
          </w:p>
        </w:tc>
      </w:tr>
      <w:tr w:rsidR="0066529D" w14:paraId="768770D2"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97A1B15"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26</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4C6DC7CD"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富荣基金管理有限公司关于旗下基金新增深圳</w:t>
            </w:r>
            <w:proofErr w:type="gramStart"/>
            <w:r>
              <w:rPr>
                <w:rFonts w:asciiTheme="minorEastAsia" w:hAnsiTheme="minorEastAsia" w:hint="eastAsia"/>
                <w:color w:val="000000"/>
                <w:sz w:val="22"/>
              </w:rPr>
              <w:t>腾元基金</w:t>
            </w:r>
            <w:proofErr w:type="gramEnd"/>
            <w:r>
              <w:rPr>
                <w:rFonts w:asciiTheme="minorEastAsia" w:hAnsiTheme="minorEastAsia" w:hint="eastAsia"/>
                <w:color w:val="000000"/>
                <w:sz w:val="22"/>
              </w:rPr>
              <w:t>销售有限公司为销售机构、开通基金定期定额投资业务和基金转换业务并参加申购及定期定额投资申购费率优惠活动的公告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A96CEC7"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2024年6月28日</w:t>
            </w:r>
          </w:p>
        </w:tc>
      </w:tr>
      <w:tr w:rsidR="0066529D" w14:paraId="62B54E1B"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450021E6"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27</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12146E7"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富荣基金管理有限公司旗下全部基金2024年第2季度报告提示性公告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64A9D74B"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2024年7月19日</w:t>
            </w:r>
          </w:p>
        </w:tc>
      </w:tr>
      <w:tr w:rsidR="0066529D" w14:paraId="2A23B0AA"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6082574B"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28</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35BD142"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富荣基金管理有限公司关于终止喜鹊财富基金销售有限公司办理旗下基金相关销售业务的公告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47791DD"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2024年7月24日</w:t>
            </w:r>
          </w:p>
        </w:tc>
      </w:tr>
      <w:tr w:rsidR="0066529D" w14:paraId="12EBDCDB"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363D3A75"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29</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65F86608"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富荣基金管理有限公司关于旗下部分基金新增兴业银行股份有限公司为销售机构、开通基金定期定额投资业务和基金转换业务并参加申购及定期定额投资申购费率优惠活动的公告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056F1E59"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2024年7月30日</w:t>
            </w:r>
          </w:p>
        </w:tc>
      </w:tr>
      <w:tr w:rsidR="0066529D" w14:paraId="3CDA8757"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7D846A96"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30</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5BFA0310"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富荣基金管理有限公司关于旗下部分基金新增山西证券股份有限公司为销售机构、开通基金定期定额投资业务和基金转换业务并参加申购及定期定额投资申购费率优惠活动的公告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21545F58"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2024年7月31日</w:t>
            </w:r>
          </w:p>
        </w:tc>
      </w:tr>
      <w:tr w:rsidR="0066529D" w14:paraId="42EB22C2"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686DC50"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31</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1EBEBC63"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富荣基金管理有限公司关于旗下基金</w:t>
            </w:r>
            <w:proofErr w:type="gramStart"/>
            <w:r>
              <w:rPr>
                <w:rFonts w:asciiTheme="minorEastAsia" w:hAnsiTheme="minorEastAsia" w:hint="eastAsia"/>
                <w:color w:val="000000"/>
                <w:sz w:val="22"/>
              </w:rPr>
              <w:t>新增洪泰财富</w:t>
            </w:r>
            <w:proofErr w:type="gramEnd"/>
            <w:r>
              <w:rPr>
                <w:rFonts w:asciiTheme="minorEastAsia" w:hAnsiTheme="minorEastAsia" w:hint="eastAsia"/>
                <w:color w:val="000000"/>
                <w:sz w:val="22"/>
              </w:rPr>
              <w:t>（青岛）基金销售有限责任公司为销售机构、开通基金定期定额投资业务和基金转换业务并参加申购及定期定额投资申购费率优惠活动的公告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164DD4D8"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2024年8月8日</w:t>
            </w:r>
          </w:p>
        </w:tc>
      </w:tr>
      <w:tr w:rsidR="0066529D" w14:paraId="2CC5735E"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51A14078" w14:textId="77777777" w:rsidR="0066529D" w:rsidRDefault="00A901FF">
            <w:pPr>
              <w:jc w:val="center"/>
              <w:rPr>
                <w:rFonts w:asciiTheme="minorEastAsia" w:hAnsiTheme="minorEastAsia" w:cs="Arial" w:hint="eastAsia"/>
                <w:sz w:val="22"/>
              </w:rPr>
            </w:pPr>
            <w:r>
              <w:rPr>
                <w:rFonts w:asciiTheme="minorEastAsia" w:hAnsiTheme="minorEastAsia" w:cs="Arial" w:hint="eastAsia"/>
                <w:sz w:val="22"/>
              </w:rPr>
              <w:t>32</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32332D30" w14:textId="77777777" w:rsidR="0066529D" w:rsidRDefault="00A901FF">
            <w:pPr>
              <w:jc w:val="left"/>
              <w:rPr>
                <w:rFonts w:asciiTheme="minorEastAsia" w:hAnsiTheme="minorEastAsia" w:hint="eastAsia"/>
                <w:color w:val="000000"/>
                <w:sz w:val="22"/>
              </w:rPr>
            </w:pPr>
            <w:r>
              <w:rPr>
                <w:rFonts w:asciiTheme="minorEastAsia" w:hAnsiTheme="minorEastAsia" w:hint="eastAsia"/>
                <w:color w:val="000000"/>
                <w:sz w:val="22"/>
              </w:rPr>
              <w:t>富荣基金管理有限公司关于提醒投资者防范不法分子假冒本公司名义从事诈骗活动的公告</w:t>
            </w:r>
          </w:p>
        </w:tc>
        <w:tc>
          <w:tcPr>
            <w:tcW w:w="2514" w:type="dxa"/>
            <w:tcBorders>
              <w:top w:val="single" w:sz="4" w:space="0" w:color="auto"/>
              <w:left w:val="single" w:sz="4" w:space="0" w:color="auto"/>
              <w:bottom w:val="single" w:sz="4" w:space="0" w:color="auto"/>
              <w:right w:val="single" w:sz="4" w:space="0" w:color="auto"/>
            </w:tcBorders>
            <w:shd w:val="clear" w:color="auto" w:fill="auto"/>
          </w:tcPr>
          <w:p w14:paraId="70594BFF" w14:textId="77777777" w:rsidR="0066529D" w:rsidRDefault="00A901FF">
            <w:pPr>
              <w:jc w:val="center"/>
              <w:rPr>
                <w:rFonts w:asciiTheme="minorEastAsia" w:hAnsiTheme="minorEastAsia" w:hint="eastAsia"/>
                <w:color w:val="000000"/>
                <w:sz w:val="22"/>
              </w:rPr>
            </w:pPr>
            <w:r>
              <w:rPr>
                <w:rFonts w:asciiTheme="minorEastAsia" w:hAnsiTheme="minorEastAsia" w:hint="eastAsia"/>
                <w:color w:val="000000"/>
                <w:sz w:val="22"/>
              </w:rPr>
              <w:t>2024年8月16日</w:t>
            </w:r>
          </w:p>
        </w:tc>
      </w:tr>
    </w:tbl>
    <w:p w14:paraId="42C0D9AA" w14:textId="77777777" w:rsidR="0066529D" w:rsidRDefault="0066529D">
      <w:pPr>
        <w:adjustRightInd w:val="0"/>
        <w:snapToGrid w:val="0"/>
        <w:spacing w:line="360" w:lineRule="auto"/>
        <w:rPr>
          <w:rFonts w:asciiTheme="minorEastAsia" w:hAnsiTheme="minorEastAsia" w:cs="Arial" w:hint="eastAsia"/>
          <w:sz w:val="24"/>
          <w:szCs w:val="24"/>
        </w:rPr>
      </w:pPr>
    </w:p>
    <w:p w14:paraId="195614B6" w14:textId="77777777" w:rsidR="0066529D" w:rsidRDefault="00A901FF">
      <w:pPr>
        <w:pStyle w:val="1"/>
        <w:jc w:val="center"/>
        <w:rPr>
          <w:rFonts w:asciiTheme="minorEastAsia" w:eastAsiaTheme="minorEastAsia" w:hAnsiTheme="minorEastAsia" w:hint="eastAsia"/>
          <w:sz w:val="30"/>
          <w:szCs w:val="30"/>
        </w:rPr>
      </w:pPr>
      <w:bookmarkStart w:id="437" w:name="_Toc146096098"/>
      <w:r>
        <w:rPr>
          <w:rFonts w:asciiTheme="minorEastAsia" w:eastAsiaTheme="minorEastAsia" w:hAnsiTheme="minorEastAsia" w:hint="eastAsia"/>
          <w:sz w:val="30"/>
          <w:szCs w:val="30"/>
        </w:rPr>
        <w:t>第二十二部分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招募说明书存放及查阅方式</w:t>
      </w:r>
      <w:bookmarkEnd w:id="433"/>
      <w:bookmarkEnd w:id="434"/>
      <w:bookmarkEnd w:id="435"/>
      <w:bookmarkEnd w:id="436"/>
      <w:bookmarkEnd w:id="437"/>
    </w:p>
    <w:p w14:paraId="166538BA"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443DEA4C"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t>
      </w:r>
      <w:r>
        <w:rPr>
          <w:rFonts w:asciiTheme="minorEastAsia" w:hAnsiTheme="minorEastAsia" w:cs="Arial"/>
          <w:kern w:val="0"/>
          <w:sz w:val="24"/>
          <w:szCs w:val="24"/>
        </w:rPr>
        <w:t>www.furamc.com.cn）查阅和下载招募说明书</w:t>
      </w:r>
      <w:r>
        <w:rPr>
          <w:rFonts w:asciiTheme="minorEastAsia" w:hAnsiTheme="minorEastAsia" w:cs="Arial" w:hint="eastAsia"/>
          <w:kern w:val="0"/>
          <w:sz w:val="24"/>
          <w:szCs w:val="24"/>
        </w:rPr>
        <w:t>。</w:t>
      </w:r>
    </w:p>
    <w:p w14:paraId="16523E54" w14:textId="77777777" w:rsidR="0066529D" w:rsidRDefault="0066529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3ABB6B07" w14:textId="77777777" w:rsidR="0066529D" w:rsidRDefault="0066529D">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66529D">
          <w:footerReference w:type="default" r:id="rId45"/>
          <w:pgSz w:w="11906" w:h="16838"/>
          <w:pgMar w:top="1440" w:right="1800" w:bottom="1440" w:left="1800" w:header="851" w:footer="992" w:gutter="0"/>
          <w:cols w:space="425"/>
          <w:docGrid w:type="lines" w:linePitch="312"/>
        </w:sectPr>
      </w:pPr>
      <w:bookmarkStart w:id="438" w:name="_Toc263092330"/>
      <w:bookmarkStart w:id="439" w:name="_Toc416268879"/>
    </w:p>
    <w:p w14:paraId="34ED10CF" w14:textId="77777777" w:rsidR="0066529D" w:rsidRDefault="00A901FF">
      <w:pPr>
        <w:pStyle w:val="1"/>
        <w:jc w:val="center"/>
        <w:rPr>
          <w:rFonts w:asciiTheme="minorEastAsia" w:eastAsiaTheme="minorEastAsia" w:hAnsiTheme="minorEastAsia" w:hint="eastAsia"/>
          <w:sz w:val="30"/>
          <w:szCs w:val="30"/>
        </w:rPr>
      </w:pPr>
      <w:bookmarkStart w:id="440" w:name="_Toc146096099"/>
      <w:bookmarkEnd w:id="63"/>
      <w:bookmarkEnd w:id="64"/>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38"/>
      <w:bookmarkEnd w:id="439"/>
      <w:r>
        <w:rPr>
          <w:rFonts w:asciiTheme="minorEastAsia" w:eastAsiaTheme="minorEastAsia" w:hAnsiTheme="minorEastAsia" w:hint="eastAsia"/>
          <w:sz w:val="30"/>
          <w:szCs w:val="30"/>
        </w:rPr>
        <w:lastRenderedPageBreak/>
        <w:t>第二十三部分</w:t>
      </w:r>
      <w:r>
        <w:rPr>
          <w:rFonts w:asciiTheme="minorEastAsia" w:eastAsiaTheme="minorEastAsia" w:hAnsiTheme="minorEastAsia"/>
          <w:sz w:val="30"/>
          <w:szCs w:val="30"/>
        </w:rPr>
        <w:t xml:space="preserve">  </w:t>
      </w:r>
      <w:r>
        <w:rPr>
          <w:rFonts w:asciiTheme="minorEastAsia" w:eastAsiaTheme="minorEastAsia" w:hAnsiTheme="minorEastAsia" w:hint="eastAsia"/>
          <w:sz w:val="30"/>
          <w:szCs w:val="30"/>
        </w:rPr>
        <w:t>备查文件</w:t>
      </w:r>
      <w:bookmarkEnd w:id="440"/>
    </w:p>
    <w:p w14:paraId="05AA9DF5" w14:textId="77777777" w:rsidR="0066529D" w:rsidRDefault="0066529D">
      <w:pPr>
        <w:rPr>
          <w:rFonts w:asciiTheme="minorEastAsia" w:hAnsiTheme="minorEastAsia" w:cs="Times New Roman" w:hint="eastAsia"/>
          <w:sz w:val="24"/>
          <w:szCs w:val="24"/>
        </w:rPr>
      </w:pPr>
    </w:p>
    <w:p w14:paraId="7D7A81CA"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5FD20EA7"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188908A4"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（二）《富荣福康混合型证券投资基金基金合同》 </w:t>
      </w:r>
    </w:p>
    <w:p w14:paraId="5C1D4B9A"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（三）《富荣福康混合型证券投资基金托管协议》 </w:t>
      </w:r>
    </w:p>
    <w:p w14:paraId="6AEA2C7B"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34B96D36"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489F7447"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富荣福康混合型证券投资基金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83CA275"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3931341A" w14:textId="77777777" w:rsidR="0066529D" w:rsidRDefault="00A901FF">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2FA89BDE" w14:textId="77777777" w:rsidR="0066529D" w:rsidRDefault="0066529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727065FE" w14:textId="77777777" w:rsidR="0066529D" w:rsidRDefault="0066529D">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D05B303"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EB1701A"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8267282"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603AFA2"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46759B7D"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28DAE8BF"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711FB529"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6875D490"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0B687D18" w14:textId="77777777" w:rsidR="0066529D" w:rsidRDefault="00A901FF">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富荣基金管理有限公司</w:t>
      </w:r>
      <w:r>
        <w:rPr>
          <w:rFonts w:asciiTheme="minorEastAsia" w:hAnsiTheme="minorEastAsia" w:cs="Arial"/>
          <w:kern w:val="0"/>
          <w:sz w:val="24"/>
          <w:szCs w:val="24"/>
        </w:rPr>
        <w:t xml:space="preserve"> </w:t>
      </w:r>
    </w:p>
    <w:p w14:paraId="4293C0F5" w14:textId="77777777" w:rsidR="0066529D" w:rsidRDefault="0066529D">
      <w:pPr>
        <w:widowControl/>
        <w:adjustRightInd w:val="0"/>
        <w:snapToGrid w:val="0"/>
        <w:spacing w:line="360" w:lineRule="auto"/>
        <w:ind w:rightChars="-85" w:right="-178"/>
        <w:jc w:val="right"/>
        <w:rPr>
          <w:rFonts w:asciiTheme="minorEastAsia" w:hAnsiTheme="minorEastAsia" w:cs="Arial" w:hint="eastAsia"/>
          <w:kern w:val="0"/>
          <w:sz w:val="24"/>
          <w:szCs w:val="24"/>
        </w:rPr>
      </w:pPr>
    </w:p>
    <w:p w14:paraId="395E5C88" w14:textId="19B2FEAC" w:rsidR="0066529D" w:rsidRDefault="00A901FF">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kern w:val="0"/>
          <w:sz w:val="24"/>
          <w:szCs w:val="24"/>
        </w:rPr>
        <w:t>202</w:t>
      </w:r>
      <w:r>
        <w:rPr>
          <w:rFonts w:asciiTheme="minorEastAsia" w:hAnsiTheme="minorEastAsia" w:cs="Arial" w:hint="eastAsia"/>
          <w:kern w:val="0"/>
          <w:sz w:val="24"/>
          <w:szCs w:val="24"/>
        </w:rPr>
        <w:t>5年2月18日</w:t>
      </w:r>
    </w:p>
    <w:p w14:paraId="7410ABF7"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EA20569"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68B66F86"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39E1547A"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14729C46"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0BE1D5A4" w14:textId="77777777" w:rsidR="0066529D" w:rsidRDefault="0066529D">
      <w:pPr>
        <w:widowControl/>
        <w:adjustRightInd w:val="0"/>
        <w:snapToGrid w:val="0"/>
        <w:spacing w:line="360" w:lineRule="auto"/>
        <w:ind w:rightChars="-85" w:right="-178" w:firstLineChars="200" w:firstLine="420"/>
        <w:rPr>
          <w:rFonts w:asciiTheme="minorEastAsia" w:hAnsiTheme="minorEastAsia" w:cs="Arial" w:hint="eastAsia"/>
          <w:kern w:val="0"/>
          <w:szCs w:val="21"/>
        </w:rPr>
      </w:pPr>
    </w:p>
    <w:p w14:paraId="71CDAE7F" w14:textId="77777777" w:rsidR="0066529D" w:rsidRDefault="0066529D">
      <w:pPr>
        <w:widowControl/>
        <w:adjustRightInd w:val="0"/>
        <w:snapToGrid w:val="0"/>
        <w:spacing w:line="360" w:lineRule="auto"/>
        <w:ind w:rightChars="-85" w:right="-178"/>
        <w:rPr>
          <w:rFonts w:asciiTheme="minorEastAsia" w:hAnsiTheme="minorEastAsia" w:hint="eastAsia"/>
        </w:rPr>
      </w:pPr>
    </w:p>
    <w:sectPr w:rsidR="0066529D">
      <w:footerReference w:type="default" r:id="rId4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CB35C" w14:textId="77777777" w:rsidR="00A80BA7" w:rsidRDefault="00A80BA7">
      <w:r>
        <w:separator/>
      </w:r>
    </w:p>
  </w:endnote>
  <w:endnote w:type="continuationSeparator" w:id="0">
    <w:p w14:paraId="4DFF8740" w14:textId="77777777" w:rsidR="00A80BA7" w:rsidRDefault="00A80B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微软雅黑"/>
    <w:charset w:val="86"/>
    <w:family w:val="auto"/>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41728549"/>
    </w:sdtPr>
    <w:sdtContent>
      <w:p w14:paraId="755729DA"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3</w:t>
        </w:r>
        <w:r>
          <w:rPr>
            <w:lang w:val="zh-CN"/>
          </w:rPr>
          <w:fldChar w:fldCharType="end"/>
        </w:r>
      </w:p>
    </w:sdtContent>
  </w:sdt>
  <w:p w14:paraId="2BED811D" w14:textId="77777777" w:rsidR="00A901FF" w:rsidRDefault="00A901FF">
    <w:pPr>
      <w:pStyle w:val="a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1469772"/>
    </w:sdtPr>
    <w:sdtContent>
      <w:p w14:paraId="10F6B923"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4</w:t>
        </w:r>
        <w:r>
          <w:rPr>
            <w:lang w:val="zh-CN"/>
          </w:rPr>
          <w:fldChar w:fldCharType="end"/>
        </w:r>
      </w:p>
    </w:sdtContent>
  </w:sdt>
  <w:p w14:paraId="64293E1E" w14:textId="77777777" w:rsidR="00A901FF" w:rsidRDefault="00A901FF">
    <w:pPr>
      <w:pStyle w:val="a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9497496"/>
    </w:sdtPr>
    <w:sdtContent>
      <w:p w14:paraId="5ECD11E3"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14</w:t>
        </w:r>
        <w:r>
          <w:rPr>
            <w:lang w:val="zh-CN"/>
          </w:rPr>
          <w:fldChar w:fldCharType="end"/>
        </w:r>
      </w:p>
    </w:sdtContent>
  </w:sdt>
  <w:p w14:paraId="7C34259A" w14:textId="77777777" w:rsidR="00A901FF" w:rsidRDefault="00A901FF">
    <w:pPr>
      <w:pStyle w:val="a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37229504"/>
    </w:sdtPr>
    <w:sdtContent>
      <w:p w14:paraId="6EC732D0"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36</w:t>
        </w:r>
        <w:r>
          <w:rPr>
            <w:lang w:val="zh-CN"/>
          </w:rPr>
          <w:fldChar w:fldCharType="end"/>
        </w:r>
      </w:p>
    </w:sdtContent>
  </w:sdt>
  <w:p w14:paraId="6AF53B3D" w14:textId="77777777" w:rsidR="00A901FF" w:rsidRDefault="00A901FF">
    <w:pPr>
      <w:pStyle w:val="ae"/>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14574829"/>
    </w:sdtPr>
    <w:sdtContent>
      <w:p w14:paraId="44A70A6A"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37</w:t>
        </w:r>
        <w:r>
          <w:rPr>
            <w:lang w:val="zh-CN"/>
          </w:rPr>
          <w:fldChar w:fldCharType="end"/>
        </w:r>
      </w:p>
    </w:sdtContent>
  </w:sdt>
  <w:p w14:paraId="57476A69" w14:textId="77777777" w:rsidR="00A901FF" w:rsidRDefault="00A901FF">
    <w:pPr>
      <w:pStyle w:val="ae"/>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855541"/>
    </w:sdtPr>
    <w:sdtContent>
      <w:p w14:paraId="0934EE27"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38</w:t>
        </w:r>
        <w:r>
          <w:rPr>
            <w:lang w:val="zh-CN"/>
          </w:rPr>
          <w:fldChar w:fldCharType="end"/>
        </w:r>
      </w:p>
    </w:sdtContent>
  </w:sdt>
  <w:p w14:paraId="4EA10BFC" w14:textId="77777777" w:rsidR="00A901FF" w:rsidRDefault="00A901FF">
    <w:pPr>
      <w:pStyle w:val="ae"/>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162473"/>
    </w:sdtPr>
    <w:sdtContent>
      <w:p w14:paraId="5585BD56"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49</w:t>
        </w:r>
        <w:r>
          <w:rPr>
            <w:lang w:val="zh-CN"/>
          </w:rPr>
          <w:fldChar w:fldCharType="end"/>
        </w:r>
      </w:p>
    </w:sdtContent>
  </w:sdt>
  <w:p w14:paraId="06BD67CF" w14:textId="77777777" w:rsidR="00A901FF" w:rsidRDefault="00A901FF">
    <w:pPr>
      <w:pStyle w:val="ae"/>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6867518"/>
    </w:sdtPr>
    <w:sdtContent>
      <w:p w14:paraId="6FE5B7D8"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64</w:t>
        </w:r>
        <w:r>
          <w:rPr>
            <w:lang w:val="zh-CN"/>
          </w:rPr>
          <w:fldChar w:fldCharType="end"/>
        </w:r>
      </w:p>
    </w:sdtContent>
  </w:sdt>
  <w:p w14:paraId="5ACAD6AC" w14:textId="77777777" w:rsidR="00A901FF" w:rsidRDefault="00A901FF">
    <w:pPr>
      <w:pStyle w:val="ae"/>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14318167"/>
    </w:sdtPr>
    <w:sdtContent>
      <w:p w14:paraId="6A23C52A"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65</w:t>
        </w:r>
        <w:r>
          <w:rPr>
            <w:lang w:val="zh-CN"/>
          </w:rPr>
          <w:fldChar w:fldCharType="end"/>
        </w:r>
      </w:p>
    </w:sdtContent>
  </w:sdt>
  <w:p w14:paraId="794FBDBD" w14:textId="77777777" w:rsidR="00A901FF" w:rsidRDefault="00A901FF">
    <w:pPr>
      <w:pStyle w:val="ae"/>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5095341"/>
    </w:sdtPr>
    <w:sdtContent>
      <w:p w14:paraId="38902C5A"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70</w:t>
        </w:r>
        <w:r>
          <w:rPr>
            <w:lang w:val="zh-CN"/>
          </w:rPr>
          <w:fldChar w:fldCharType="end"/>
        </w:r>
      </w:p>
    </w:sdtContent>
  </w:sdt>
  <w:p w14:paraId="0E0246C7" w14:textId="77777777" w:rsidR="00A901FF" w:rsidRDefault="00A901FF">
    <w:pPr>
      <w:pStyle w:val="ae"/>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76720435"/>
    </w:sdtPr>
    <w:sdtContent>
      <w:p w14:paraId="301106E8"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72</w:t>
        </w:r>
        <w:r>
          <w:rPr>
            <w:lang w:val="zh-CN"/>
          </w:rPr>
          <w:fldChar w:fldCharType="end"/>
        </w:r>
      </w:p>
    </w:sdtContent>
  </w:sdt>
  <w:p w14:paraId="1842ACE1" w14:textId="77777777" w:rsidR="00A901FF" w:rsidRDefault="00A901FF">
    <w:pPr>
      <w:pStyle w:val="ae"/>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3008983"/>
    </w:sdtPr>
    <w:sdtContent>
      <w:p w14:paraId="786837CE"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75</w:t>
        </w:r>
        <w:r>
          <w:rPr>
            <w:lang w:val="zh-CN"/>
          </w:rPr>
          <w:fldChar w:fldCharType="end"/>
        </w:r>
      </w:p>
    </w:sdtContent>
  </w:sdt>
  <w:p w14:paraId="5131CBA7" w14:textId="77777777" w:rsidR="00A901FF" w:rsidRDefault="00A901FF">
    <w:pPr>
      <w:pStyle w:val="ae"/>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082047"/>
    </w:sdtPr>
    <w:sdtContent>
      <w:p w14:paraId="0E9B9598"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76</w:t>
        </w:r>
        <w:r>
          <w:rPr>
            <w:lang w:val="zh-CN"/>
          </w:rPr>
          <w:fldChar w:fldCharType="end"/>
        </w:r>
      </w:p>
    </w:sdtContent>
  </w:sdt>
  <w:p w14:paraId="01C690E9" w14:textId="77777777" w:rsidR="00A901FF" w:rsidRDefault="00A901FF">
    <w:pPr>
      <w:pStyle w:val="ae"/>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09749182"/>
    </w:sdtPr>
    <w:sdtContent>
      <w:p w14:paraId="77E9A560"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83</w:t>
        </w:r>
        <w:r>
          <w:rPr>
            <w:lang w:val="zh-CN"/>
          </w:rPr>
          <w:fldChar w:fldCharType="end"/>
        </w:r>
      </w:p>
    </w:sdtContent>
  </w:sdt>
  <w:p w14:paraId="597A4FE1" w14:textId="77777777" w:rsidR="00A901FF" w:rsidRDefault="00A901FF">
    <w:pPr>
      <w:pStyle w:val="ae"/>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69785194"/>
    </w:sdtPr>
    <w:sdtContent>
      <w:p w14:paraId="667B0A92"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87</w:t>
        </w:r>
        <w:r>
          <w:rPr>
            <w:lang w:val="zh-CN"/>
          </w:rPr>
          <w:fldChar w:fldCharType="end"/>
        </w:r>
      </w:p>
    </w:sdtContent>
  </w:sdt>
  <w:p w14:paraId="19515E87" w14:textId="77777777" w:rsidR="00A901FF" w:rsidRDefault="00A901FF">
    <w:pPr>
      <w:pStyle w:val="ae"/>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8676496"/>
    </w:sdtPr>
    <w:sdtContent>
      <w:p w14:paraId="7334B020"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89</w:t>
        </w:r>
        <w:r>
          <w:rPr>
            <w:lang w:val="zh-CN"/>
          </w:rPr>
          <w:fldChar w:fldCharType="end"/>
        </w:r>
      </w:p>
    </w:sdtContent>
  </w:sdt>
  <w:p w14:paraId="4755B875" w14:textId="77777777" w:rsidR="00A901FF" w:rsidRDefault="00A901FF">
    <w:pPr>
      <w:pStyle w:val="ae"/>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0007213"/>
    </w:sdtPr>
    <w:sdtContent>
      <w:p w14:paraId="08A1ACFE"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105</w:t>
        </w:r>
        <w:r>
          <w:rPr>
            <w:lang w:val="zh-CN"/>
          </w:rPr>
          <w:fldChar w:fldCharType="end"/>
        </w:r>
      </w:p>
    </w:sdtContent>
  </w:sdt>
  <w:p w14:paraId="3D764166" w14:textId="77777777" w:rsidR="00A901FF" w:rsidRDefault="00A901FF">
    <w:pPr>
      <w:pStyle w:val="ae"/>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2734758"/>
    </w:sdtPr>
    <w:sdtContent>
      <w:p w14:paraId="2F0A7438"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118</w:t>
        </w:r>
        <w:r>
          <w:rPr>
            <w:lang w:val="zh-CN"/>
          </w:rPr>
          <w:fldChar w:fldCharType="end"/>
        </w:r>
      </w:p>
    </w:sdtContent>
  </w:sdt>
  <w:p w14:paraId="3F195EE3" w14:textId="77777777" w:rsidR="00A901FF" w:rsidRDefault="00A901FF">
    <w:pPr>
      <w:pStyle w:val="ae"/>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8904440"/>
    </w:sdtPr>
    <w:sdtContent>
      <w:p w14:paraId="56362396"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120</w:t>
        </w:r>
        <w:r>
          <w:rPr>
            <w:lang w:val="zh-CN"/>
          </w:rPr>
          <w:fldChar w:fldCharType="end"/>
        </w:r>
      </w:p>
    </w:sdtContent>
  </w:sdt>
  <w:p w14:paraId="76001598" w14:textId="77777777" w:rsidR="00A901FF" w:rsidRDefault="00A901FF">
    <w:pPr>
      <w:pStyle w:val="ae"/>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405084"/>
    </w:sdtPr>
    <w:sdtContent>
      <w:p w14:paraId="2554DEB6"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123</w:t>
        </w:r>
        <w:r>
          <w:rPr>
            <w:lang w:val="zh-CN"/>
          </w:rPr>
          <w:fldChar w:fldCharType="end"/>
        </w:r>
      </w:p>
    </w:sdtContent>
  </w:sdt>
  <w:p w14:paraId="43F0A7FC" w14:textId="77777777" w:rsidR="00A901FF" w:rsidRDefault="00A901FF">
    <w:pPr>
      <w:pStyle w:val="ae"/>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2306275"/>
    </w:sdtPr>
    <w:sdtContent>
      <w:p w14:paraId="1CCB66F9" w14:textId="77777777" w:rsidR="00A901FF" w:rsidRDefault="00A901FF">
        <w:pPr>
          <w:pStyle w:val="ae"/>
          <w:jc w:val="center"/>
        </w:pPr>
        <w:r>
          <w:rPr>
            <w:lang w:val="zh-CN"/>
          </w:rPr>
          <w:fldChar w:fldCharType="begin"/>
        </w:r>
        <w:r>
          <w:rPr>
            <w:lang w:val="zh-CN"/>
          </w:rPr>
          <w:instrText>PAGE   \* MERGEFORMAT</w:instrText>
        </w:r>
        <w:r>
          <w:rPr>
            <w:lang w:val="zh-CN"/>
          </w:rPr>
          <w:fldChar w:fldCharType="separate"/>
        </w:r>
        <w:r w:rsidR="00C47A65">
          <w:rPr>
            <w:noProof/>
            <w:lang w:val="zh-CN"/>
          </w:rPr>
          <w:t>124</w:t>
        </w:r>
        <w:r>
          <w:rPr>
            <w:lang w:val="zh-CN"/>
          </w:rPr>
          <w:fldChar w:fldCharType="end"/>
        </w:r>
      </w:p>
    </w:sdtContent>
  </w:sdt>
  <w:p w14:paraId="423A3048" w14:textId="77777777" w:rsidR="00A901FF" w:rsidRDefault="00A901FF">
    <w:pPr>
      <w:pStyle w:val="a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52497" w14:textId="77777777" w:rsidR="00A80BA7" w:rsidRDefault="00A80BA7">
      <w:r>
        <w:separator/>
      </w:r>
    </w:p>
  </w:footnote>
  <w:footnote w:type="continuationSeparator" w:id="0">
    <w:p w14:paraId="2BF879E6" w14:textId="77777777" w:rsidR="00A80BA7" w:rsidRDefault="00A80B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38302" w14:textId="02E0C941" w:rsidR="00A901FF" w:rsidRDefault="00A901FF">
    <w:pPr>
      <w:pStyle w:val="af0"/>
      <w:jc w:val="both"/>
    </w:pPr>
    <w:r>
      <w:rPr>
        <w:rFonts w:ascii="Arial" w:hAnsi="Arial" w:cs="Arial" w:hint="eastAsia"/>
        <w:szCs w:val="21"/>
      </w:rPr>
      <w:t>富荣福康混合型证券投资基金更新的招募说明书（</w:t>
    </w:r>
    <w:r>
      <w:rPr>
        <w:rFonts w:ascii="Arial" w:hAnsi="Arial" w:cs="Arial" w:hint="eastAsia"/>
        <w:szCs w:val="21"/>
      </w:rPr>
      <w:t>2025</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r>
      <w:rPr>
        <w:rFonts w:ascii="Arial" w:hAnsi="Arial" w:cs="Arial" w:hint="eastAsia"/>
        <w:szCs w:val="21"/>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num w:numId="1" w16cid:durableId="645935879">
    <w:abstractNumId w:val="0"/>
  </w:num>
  <w:num w:numId="2" w16cid:durableId="20824099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0923"/>
    <w:rsid w:val="00000B3B"/>
    <w:rsid w:val="000026B6"/>
    <w:rsid w:val="0000336D"/>
    <w:rsid w:val="00011E0C"/>
    <w:rsid w:val="000150A1"/>
    <w:rsid w:val="00016B2F"/>
    <w:rsid w:val="00021C39"/>
    <w:rsid w:val="00021C6F"/>
    <w:rsid w:val="00022A34"/>
    <w:rsid w:val="0002581E"/>
    <w:rsid w:val="00025857"/>
    <w:rsid w:val="00026A47"/>
    <w:rsid w:val="00026DA2"/>
    <w:rsid w:val="0002708B"/>
    <w:rsid w:val="00027A1A"/>
    <w:rsid w:val="000319C7"/>
    <w:rsid w:val="00032C15"/>
    <w:rsid w:val="00037654"/>
    <w:rsid w:val="00041EB7"/>
    <w:rsid w:val="00043AE3"/>
    <w:rsid w:val="000455CE"/>
    <w:rsid w:val="000507C1"/>
    <w:rsid w:val="00050E32"/>
    <w:rsid w:val="000514BB"/>
    <w:rsid w:val="0005270F"/>
    <w:rsid w:val="00055285"/>
    <w:rsid w:val="00055889"/>
    <w:rsid w:val="00056512"/>
    <w:rsid w:val="00056541"/>
    <w:rsid w:val="0006090B"/>
    <w:rsid w:val="000619E8"/>
    <w:rsid w:val="00061EFE"/>
    <w:rsid w:val="0006254D"/>
    <w:rsid w:val="00062C1B"/>
    <w:rsid w:val="000648FC"/>
    <w:rsid w:val="00065FA9"/>
    <w:rsid w:val="00066597"/>
    <w:rsid w:val="0006715B"/>
    <w:rsid w:val="00067F02"/>
    <w:rsid w:val="00072066"/>
    <w:rsid w:val="000721D0"/>
    <w:rsid w:val="00074D28"/>
    <w:rsid w:val="000752DA"/>
    <w:rsid w:val="00075A2F"/>
    <w:rsid w:val="00076E9C"/>
    <w:rsid w:val="000776EE"/>
    <w:rsid w:val="00077F44"/>
    <w:rsid w:val="000817BB"/>
    <w:rsid w:val="00081AEC"/>
    <w:rsid w:val="00082EAF"/>
    <w:rsid w:val="00084A9D"/>
    <w:rsid w:val="00092FE3"/>
    <w:rsid w:val="00093B11"/>
    <w:rsid w:val="0009505B"/>
    <w:rsid w:val="0009610D"/>
    <w:rsid w:val="00096D0E"/>
    <w:rsid w:val="000A043B"/>
    <w:rsid w:val="000A1798"/>
    <w:rsid w:val="000A2809"/>
    <w:rsid w:val="000A34E4"/>
    <w:rsid w:val="000A68DF"/>
    <w:rsid w:val="000A6900"/>
    <w:rsid w:val="000A749E"/>
    <w:rsid w:val="000B0075"/>
    <w:rsid w:val="000B0476"/>
    <w:rsid w:val="000B2275"/>
    <w:rsid w:val="000B2D1B"/>
    <w:rsid w:val="000B32D2"/>
    <w:rsid w:val="000B4DA0"/>
    <w:rsid w:val="000B5D4C"/>
    <w:rsid w:val="000B6836"/>
    <w:rsid w:val="000B720D"/>
    <w:rsid w:val="000B7428"/>
    <w:rsid w:val="000B7ACE"/>
    <w:rsid w:val="000C28BF"/>
    <w:rsid w:val="000C2A62"/>
    <w:rsid w:val="000C3020"/>
    <w:rsid w:val="000C365B"/>
    <w:rsid w:val="000C36FD"/>
    <w:rsid w:val="000C39C0"/>
    <w:rsid w:val="000C4C8F"/>
    <w:rsid w:val="000C4CDF"/>
    <w:rsid w:val="000D3337"/>
    <w:rsid w:val="000D48FE"/>
    <w:rsid w:val="000D5178"/>
    <w:rsid w:val="000D718E"/>
    <w:rsid w:val="000E1E9B"/>
    <w:rsid w:val="000E2274"/>
    <w:rsid w:val="000E3D34"/>
    <w:rsid w:val="000E4187"/>
    <w:rsid w:val="000E4C06"/>
    <w:rsid w:val="000E6811"/>
    <w:rsid w:val="000F294B"/>
    <w:rsid w:val="000F4000"/>
    <w:rsid w:val="000F5C40"/>
    <w:rsid w:val="000F63F5"/>
    <w:rsid w:val="00100174"/>
    <w:rsid w:val="0010210E"/>
    <w:rsid w:val="00102D5B"/>
    <w:rsid w:val="001035D3"/>
    <w:rsid w:val="0010455F"/>
    <w:rsid w:val="00105C79"/>
    <w:rsid w:val="00106771"/>
    <w:rsid w:val="00106F56"/>
    <w:rsid w:val="00110E6E"/>
    <w:rsid w:val="001117AE"/>
    <w:rsid w:val="00111FD3"/>
    <w:rsid w:val="00112609"/>
    <w:rsid w:val="00112ACF"/>
    <w:rsid w:val="00116E09"/>
    <w:rsid w:val="0012019B"/>
    <w:rsid w:val="001240ED"/>
    <w:rsid w:val="001252C4"/>
    <w:rsid w:val="00125D1A"/>
    <w:rsid w:val="001275BA"/>
    <w:rsid w:val="00127ED5"/>
    <w:rsid w:val="00131320"/>
    <w:rsid w:val="00132839"/>
    <w:rsid w:val="0013292C"/>
    <w:rsid w:val="00132DD5"/>
    <w:rsid w:val="00133E49"/>
    <w:rsid w:val="0013445E"/>
    <w:rsid w:val="00135275"/>
    <w:rsid w:val="001357CB"/>
    <w:rsid w:val="00135938"/>
    <w:rsid w:val="00135BC6"/>
    <w:rsid w:val="00135DD6"/>
    <w:rsid w:val="001369D9"/>
    <w:rsid w:val="001445DD"/>
    <w:rsid w:val="00145063"/>
    <w:rsid w:val="00147C35"/>
    <w:rsid w:val="00151916"/>
    <w:rsid w:val="00151B6A"/>
    <w:rsid w:val="00154429"/>
    <w:rsid w:val="001569AD"/>
    <w:rsid w:val="001609F9"/>
    <w:rsid w:val="001616B4"/>
    <w:rsid w:val="001634E3"/>
    <w:rsid w:val="001635EE"/>
    <w:rsid w:val="00166406"/>
    <w:rsid w:val="0016706A"/>
    <w:rsid w:val="00167922"/>
    <w:rsid w:val="00172537"/>
    <w:rsid w:val="001745C9"/>
    <w:rsid w:val="00180DAD"/>
    <w:rsid w:val="00181F45"/>
    <w:rsid w:val="00183CCD"/>
    <w:rsid w:val="00183F89"/>
    <w:rsid w:val="00184AAE"/>
    <w:rsid w:val="00184E9F"/>
    <w:rsid w:val="00185938"/>
    <w:rsid w:val="00187570"/>
    <w:rsid w:val="00194E71"/>
    <w:rsid w:val="00195FCE"/>
    <w:rsid w:val="001968DF"/>
    <w:rsid w:val="001A0D71"/>
    <w:rsid w:val="001A1315"/>
    <w:rsid w:val="001A1C76"/>
    <w:rsid w:val="001A3539"/>
    <w:rsid w:val="001A4CAD"/>
    <w:rsid w:val="001B0534"/>
    <w:rsid w:val="001B101B"/>
    <w:rsid w:val="001B1C13"/>
    <w:rsid w:val="001B48A6"/>
    <w:rsid w:val="001B523F"/>
    <w:rsid w:val="001B598D"/>
    <w:rsid w:val="001B716E"/>
    <w:rsid w:val="001B7598"/>
    <w:rsid w:val="001C404F"/>
    <w:rsid w:val="001D075D"/>
    <w:rsid w:val="001D31E9"/>
    <w:rsid w:val="001D4C82"/>
    <w:rsid w:val="001D577F"/>
    <w:rsid w:val="001D761E"/>
    <w:rsid w:val="001E05E8"/>
    <w:rsid w:val="001E099D"/>
    <w:rsid w:val="001E12AB"/>
    <w:rsid w:val="001E1CF9"/>
    <w:rsid w:val="001E3B99"/>
    <w:rsid w:val="001E4D17"/>
    <w:rsid w:val="001E6662"/>
    <w:rsid w:val="001F029F"/>
    <w:rsid w:val="001F141D"/>
    <w:rsid w:val="001F2A1F"/>
    <w:rsid w:val="001F2B4F"/>
    <w:rsid w:val="001F2D36"/>
    <w:rsid w:val="001F32BF"/>
    <w:rsid w:val="001F6581"/>
    <w:rsid w:val="001F7512"/>
    <w:rsid w:val="001F7F4A"/>
    <w:rsid w:val="00201AB5"/>
    <w:rsid w:val="00203A84"/>
    <w:rsid w:val="002078F3"/>
    <w:rsid w:val="00207CD5"/>
    <w:rsid w:val="00210026"/>
    <w:rsid w:val="00216176"/>
    <w:rsid w:val="0022118B"/>
    <w:rsid w:val="00221BB5"/>
    <w:rsid w:val="00223443"/>
    <w:rsid w:val="00224EE1"/>
    <w:rsid w:val="0022543F"/>
    <w:rsid w:val="0022597A"/>
    <w:rsid w:val="00225DB5"/>
    <w:rsid w:val="00227859"/>
    <w:rsid w:val="002346A4"/>
    <w:rsid w:val="0023618C"/>
    <w:rsid w:val="0023684F"/>
    <w:rsid w:val="00241ACA"/>
    <w:rsid w:val="00242D1E"/>
    <w:rsid w:val="002430FE"/>
    <w:rsid w:val="002472F8"/>
    <w:rsid w:val="002507FE"/>
    <w:rsid w:val="0025184A"/>
    <w:rsid w:val="002518DB"/>
    <w:rsid w:val="0025398C"/>
    <w:rsid w:val="00256DDD"/>
    <w:rsid w:val="002601E9"/>
    <w:rsid w:val="00260AE0"/>
    <w:rsid w:val="00263BCA"/>
    <w:rsid w:val="002641B7"/>
    <w:rsid w:val="00264614"/>
    <w:rsid w:val="00266A12"/>
    <w:rsid w:val="002701CE"/>
    <w:rsid w:val="0027140E"/>
    <w:rsid w:val="0027156A"/>
    <w:rsid w:val="00272867"/>
    <w:rsid w:val="00272F3A"/>
    <w:rsid w:val="0027410A"/>
    <w:rsid w:val="00274F39"/>
    <w:rsid w:val="002775A2"/>
    <w:rsid w:val="00283A8E"/>
    <w:rsid w:val="00283F15"/>
    <w:rsid w:val="002863C8"/>
    <w:rsid w:val="00287C51"/>
    <w:rsid w:val="0029145F"/>
    <w:rsid w:val="00291943"/>
    <w:rsid w:val="00293220"/>
    <w:rsid w:val="00294254"/>
    <w:rsid w:val="002959F8"/>
    <w:rsid w:val="002966EC"/>
    <w:rsid w:val="002969E2"/>
    <w:rsid w:val="002A0FDE"/>
    <w:rsid w:val="002A17C1"/>
    <w:rsid w:val="002A1DD0"/>
    <w:rsid w:val="002A6E10"/>
    <w:rsid w:val="002B01D8"/>
    <w:rsid w:val="002B1A83"/>
    <w:rsid w:val="002B1C7A"/>
    <w:rsid w:val="002B397E"/>
    <w:rsid w:val="002B440F"/>
    <w:rsid w:val="002B64A8"/>
    <w:rsid w:val="002C0754"/>
    <w:rsid w:val="002C084A"/>
    <w:rsid w:val="002C0907"/>
    <w:rsid w:val="002C0F09"/>
    <w:rsid w:val="002C1768"/>
    <w:rsid w:val="002C2DAA"/>
    <w:rsid w:val="002C438F"/>
    <w:rsid w:val="002C782A"/>
    <w:rsid w:val="002C799C"/>
    <w:rsid w:val="002D1207"/>
    <w:rsid w:val="002D32E2"/>
    <w:rsid w:val="002D3DC9"/>
    <w:rsid w:val="002E2B52"/>
    <w:rsid w:val="002E330E"/>
    <w:rsid w:val="002E342B"/>
    <w:rsid w:val="002E3582"/>
    <w:rsid w:val="002E5FC9"/>
    <w:rsid w:val="002E6559"/>
    <w:rsid w:val="002E7690"/>
    <w:rsid w:val="002F0AEB"/>
    <w:rsid w:val="002F2F08"/>
    <w:rsid w:val="002F77DC"/>
    <w:rsid w:val="002F7CB8"/>
    <w:rsid w:val="003015F4"/>
    <w:rsid w:val="0030539A"/>
    <w:rsid w:val="003155E3"/>
    <w:rsid w:val="00315D57"/>
    <w:rsid w:val="0031687C"/>
    <w:rsid w:val="003226CC"/>
    <w:rsid w:val="00322E28"/>
    <w:rsid w:val="00325616"/>
    <w:rsid w:val="00325B78"/>
    <w:rsid w:val="00326A72"/>
    <w:rsid w:val="00327A3E"/>
    <w:rsid w:val="00327DF4"/>
    <w:rsid w:val="00327F7E"/>
    <w:rsid w:val="00331C50"/>
    <w:rsid w:val="00331EAA"/>
    <w:rsid w:val="0033271C"/>
    <w:rsid w:val="0033347C"/>
    <w:rsid w:val="00333E36"/>
    <w:rsid w:val="00342CBA"/>
    <w:rsid w:val="00344461"/>
    <w:rsid w:val="003464D5"/>
    <w:rsid w:val="003505A5"/>
    <w:rsid w:val="00350E58"/>
    <w:rsid w:val="00351CCF"/>
    <w:rsid w:val="00352C16"/>
    <w:rsid w:val="003532A3"/>
    <w:rsid w:val="00353591"/>
    <w:rsid w:val="00354A44"/>
    <w:rsid w:val="003559C3"/>
    <w:rsid w:val="00355E38"/>
    <w:rsid w:val="00357378"/>
    <w:rsid w:val="00357BC7"/>
    <w:rsid w:val="00363318"/>
    <w:rsid w:val="00365C58"/>
    <w:rsid w:val="0036697D"/>
    <w:rsid w:val="00366D39"/>
    <w:rsid w:val="003677C0"/>
    <w:rsid w:val="00367DD2"/>
    <w:rsid w:val="00367E2C"/>
    <w:rsid w:val="00370B4F"/>
    <w:rsid w:val="0037193D"/>
    <w:rsid w:val="00371EC6"/>
    <w:rsid w:val="00371ED5"/>
    <w:rsid w:val="00372E3E"/>
    <w:rsid w:val="003749A9"/>
    <w:rsid w:val="00377542"/>
    <w:rsid w:val="00386439"/>
    <w:rsid w:val="00386A86"/>
    <w:rsid w:val="00390432"/>
    <w:rsid w:val="00390719"/>
    <w:rsid w:val="003928DF"/>
    <w:rsid w:val="00392C0F"/>
    <w:rsid w:val="0039339F"/>
    <w:rsid w:val="003962D5"/>
    <w:rsid w:val="003A1C92"/>
    <w:rsid w:val="003A3022"/>
    <w:rsid w:val="003A6148"/>
    <w:rsid w:val="003A733C"/>
    <w:rsid w:val="003A797A"/>
    <w:rsid w:val="003B18F6"/>
    <w:rsid w:val="003B2407"/>
    <w:rsid w:val="003B318D"/>
    <w:rsid w:val="003B374D"/>
    <w:rsid w:val="003B3CAD"/>
    <w:rsid w:val="003B3D76"/>
    <w:rsid w:val="003B77F3"/>
    <w:rsid w:val="003C0A28"/>
    <w:rsid w:val="003C0C60"/>
    <w:rsid w:val="003C3BD4"/>
    <w:rsid w:val="003C4DC0"/>
    <w:rsid w:val="003C4E68"/>
    <w:rsid w:val="003C6835"/>
    <w:rsid w:val="003C6950"/>
    <w:rsid w:val="003C71FB"/>
    <w:rsid w:val="003C7991"/>
    <w:rsid w:val="003C7BE4"/>
    <w:rsid w:val="003D32C5"/>
    <w:rsid w:val="003D4F54"/>
    <w:rsid w:val="003E027C"/>
    <w:rsid w:val="003E33DE"/>
    <w:rsid w:val="003E5A95"/>
    <w:rsid w:val="003E62C9"/>
    <w:rsid w:val="003E6C2C"/>
    <w:rsid w:val="003F024E"/>
    <w:rsid w:val="003F0B66"/>
    <w:rsid w:val="003F0D6B"/>
    <w:rsid w:val="003F1495"/>
    <w:rsid w:val="003F1645"/>
    <w:rsid w:val="003F2BD6"/>
    <w:rsid w:val="003F2C03"/>
    <w:rsid w:val="003F2F14"/>
    <w:rsid w:val="003F5E9A"/>
    <w:rsid w:val="003F7179"/>
    <w:rsid w:val="00400EAE"/>
    <w:rsid w:val="00402349"/>
    <w:rsid w:val="004052E3"/>
    <w:rsid w:val="004062DD"/>
    <w:rsid w:val="00407289"/>
    <w:rsid w:val="00407951"/>
    <w:rsid w:val="0041206B"/>
    <w:rsid w:val="00412850"/>
    <w:rsid w:val="00413B26"/>
    <w:rsid w:val="00416668"/>
    <w:rsid w:val="0041693E"/>
    <w:rsid w:val="00416A03"/>
    <w:rsid w:val="00417728"/>
    <w:rsid w:val="0042179E"/>
    <w:rsid w:val="00421C84"/>
    <w:rsid w:val="004239F5"/>
    <w:rsid w:val="004254CB"/>
    <w:rsid w:val="00425D00"/>
    <w:rsid w:val="00427D57"/>
    <w:rsid w:val="004307A3"/>
    <w:rsid w:val="00431DC0"/>
    <w:rsid w:val="00432722"/>
    <w:rsid w:val="004334EC"/>
    <w:rsid w:val="004340C3"/>
    <w:rsid w:val="004344F1"/>
    <w:rsid w:val="00434ACE"/>
    <w:rsid w:val="00436C40"/>
    <w:rsid w:val="0043746E"/>
    <w:rsid w:val="004419FB"/>
    <w:rsid w:val="004432D0"/>
    <w:rsid w:val="00443D7D"/>
    <w:rsid w:val="00445451"/>
    <w:rsid w:val="00446D95"/>
    <w:rsid w:val="00451215"/>
    <w:rsid w:val="00452DBD"/>
    <w:rsid w:val="00453D1D"/>
    <w:rsid w:val="004542A1"/>
    <w:rsid w:val="004549DF"/>
    <w:rsid w:val="00454D30"/>
    <w:rsid w:val="00457352"/>
    <w:rsid w:val="0046082E"/>
    <w:rsid w:val="00462135"/>
    <w:rsid w:val="004635C4"/>
    <w:rsid w:val="00463AC0"/>
    <w:rsid w:val="00463D15"/>
    <w:rsid w:val="004657EA"/>
    <w:rsid w:val="004665ED"/>
    <w:rsid w:val="00467352"/>
    <w:rsid w:val="00467F0E"/>
    <w:rsid w:val="00470701"/>
    <w:rsid w:val="00481714"/>
    <w:rsid w:val="004822AA"/>
    <w:rsid w:val="004822FB"/>
    <w:rsid w:val="004827F4"/>
    <w:rsid w:val="00483521"/>
    <w:rsid w:val="0048715E"/>
    <w:rsid w:val="00487357"/>
    <w:rsid w:val="00487C6F"/>
    <w:rsid w:val="004906C4"/>
    <w:rsid w:val="00494FA6"/>
    <w:rsid w:val="00496B25"/>
    <w:rsid w:val="004A07AB"/>
    <w:rsid w:val="004A65D7"/>
    <w:rsid w:val="004B388E"/>
    <w:rsid w:val="004B62CB"/>
    <w:rsid w:val="004B6544"/>
    <w:rsid w:val="004C0D5A"/>
    <w:rsid w:val="004C27F1"/>
    <w:rsid w:val="004C3C4A"/>
    <w:rsid w:val="004C4A0F"/>
    <w:rsid w:val="004C6542"/>
    <w:rsid w:val="004D0579"/>
    <w:rsid w:val="004D0F65"/>
    <w:rsid w:val="004D2D86"/>
    <w:rsid w:val="004D3208"/>
    <w:rsid w:val="004D73CA"/>
    <w:rsid w:val="004D7A1C"/>
    <w:rsid w:val="004E08FD"/>
    <w:rsid w:val="004E131A"/>
    <w:rsid w:val="004E231D"/>
    <w:rsid w:val="004E3ABE"/>
    <w:rsid w:val="004E3FD5"/>
    <w:rsid w:val="004E4528"/>
    <w:rsid w:val="004E5BE5"/>
    <w:rsid w:val="004F02E3"/>
    <w:rsid w:val="004F1743"/>
    <w:rsid w:val="004F2ED3"/>
    <w:rsid w:val="004F458A"/>
    <w:rsid w:val="004F4E5A"/>
    <w:rsid w:val="004F7007"/>
    <w:rsid w:val="005030B1"/>
    <w:rsid w:val="00503979"/>
    <w:rsid w:val="005043F9"/>
    <w:rsid w:val="00506A9D"/>
    <w:rsid w:val="005113A3"/>
    <w:rsid w:val="00514CF8"/>
    <w:rsid w:val="00517167"/>
    <w:rsid w:val="00520016"/>
    <w:rsid w:val="005213D4"/>
    <w:rsid w:val="005215B8"/>
    <w:rsid w:val="005221B4"/>
    <w:rsid w:val="005222B6"/>
    <w:rsid w:val="005248CC"/>
    <w:rsid w:val="005266D4"/>
    <w:rsid w:val="00526E92"/>
    <w:rsid w:val="005303D1"/>
    <w:rsid w:val="00530E6A"/>
    <w:rsid w:val="0053159D"/>
    <w:rsid w:val="005378A4"/>
    <w:rsid w:val="00540285"/>
    <w:rsid w:val="00540709"/>
    <w:rsid w:val="005435FB"/>
    <w:rsid w:val="00546AE8"/>
    <w:rsid w:val="00550B96"/>
    <w:rsid w:val="00552750"/>
    <w:rsid w:val="0055353E"/>
    <w:rsid w:val="00554FBF"/>
    <w:rsid w:val="005559B3"/>
    <w:rsid w:val="00555BA2"/>
    <w:rsid w:val="00556041"/>
    <w:rsid w:val="00556D92"/>
    <w:rsid w:val="0055734F"/>
    <w:rsid w:val="00561B52"/>
    <w:rsid w:val="005622B6"/>
    <w:rsid w:val="00562DCF"/>
    <w:rsid w:val="00565596"/>
    <w:rsid w:val="00566BEE"/>
    <w:rsid w:val="005677AD"/>
    <w:rsid w:val="00571308"/>
    <w:rsid w:val="005730A9"/>
    <w:rsid w:val="0057704C"/>
    <w:rsid w:val="005803F4"/>
    <w:rsid w:val="00581FB9"/>
    <w:rsid w:val="005847BA"/>
    <w:rsid w:val="00585A88"/>
    <w:rsid w:val="0059053F"/>
    <w:rsid w:val="0059102D"/>
    <w:rsid w:val="005916C4"/>
    <w:rsid w:val="00591CD5"/>
    <w:rsid w:val="0059486A"/>
    <w:rsid w:val="00595C87"/>
    <w:rsid w:val="00597B85"/>
    <w:rsid w:val="005A098B"/>
    <w:rsid w:val="005A3605"/>
    <w:rsid w:val="005A373E"/>
    <w:rsid w:val="005A4328"/>
    <w:rsid w:val="005A7A85"/>
    <w:rsid w:val="005B04E6"/>
    <w:rsid w:val="005B2034"/>
    <w:rsid w:val="005B2081"/>
    <w:rsid w:val="005B766D"/>
    <w:rsid w:val="005C5145"/>
    <w:rsid w:val="005C689C"/>
    <w:rsid w:val="005D2142"/>
    <w:rsid w:val="005D2220"/>
    <w:rsid w:val="005D3D69"/>
    <w:rsid w:val="005D5CC3"/>
    <w:rsid w:val="005E1405"/>
    <w:rsid w:val="005E4F62"/>
    <w:rsid w:val="005F02EA"/>
    <w:rsid w:val="005F39AA"/>
    <w:rsid w:val="005F3AD5"/>
    <w:rsid w:val="005F62D9"/>
    <w:rsid w:val="005F6C53"/>
    <w:rsid w:val="00601DA1"/>
    <w:rsid w:val="00601E16"/>
    <w:rsid w:val="00602B88"/>
    <w:rsid w:val="006038C3"/>
    <w:rsid w:val="00604E3F"/>
    <w:rsid w:val="00605B0C"/>
    <w:rsid w:val="00606C72"/>
    <w:rsid w:val="00607B97"/>
    <w:rsid w:val="00607CA9"/>
    <w:rsid w:val="00611423"/>
    <w:rsid w:val="00611677"/>
    <w:rsid w:val="00611CEA"/>
    <w:rsid w:val="006132D5"/>
    <w:rsid w:val="0061396F"/>
    <w:rsid w:val="006140CC"/>
    <w:rsid w:val="0061438B"/>
    <w:rsid w:val="00614DDD"/>
    <w:rsid w:val="006212EC"/>
    <w:rsid w:val="00621934"/>
    <w:rsid w:val="006224D2"/>
    <w:rsid w:val="00624228"/>
    <w:rsid w:val="006259CB"/>
    <w:rsid w:val="00626425"/>
    <w:rsid w:val="00627DBF"/>
    <w:rsid w:val="006305AC"/>
    <w:rsid w:val="00632249"/>
    <w:rsid w:val="00634488"/>
    <w:rsid w:val="00635709"/>
    <w:rsid w:val="006367A1"/>
    <w:rsid w:val="00637A2B"/>
    <w:rsid w:val="006411E7"/>
    <w:rsid w:val="00641FA1"/>
    <w:rsid w:val="006424F1"/>
    <w:rsid w:val="00646484"/>
    <w:rsid w:val="0064649E"/>
    <w:rsid w:val="00646DF1"/>
    <w:rsid w:val="00647036"/>
    <w:rsid w:val="006504A9"/>
    <w:rsid w:val="00656429"/>
    <w:rsid w:val="00656F9A"/>
    <w:rsid w:val="00660F8B"/>
    <w:rsid w:val="006620BA"/>
    <w:rsid w:val="00662717"/>
    <w:rsid w:val="00662A0F"/>
    <w:rsid w:val="00664560"/>
    <w:rsid w:val="0066529D"/>
    <w:rsid w:val="006662A1"/>
    <w:rsid w:val="00667665"/>
    <w:rsid w:val="00673644"/>
    <w:rsid w:val="00673746"/>
    <w:rsid w:val="00673BD7"/>
    <w:rsid w:val="0067414F"/>
    <w:rsid w:val="00674566"/>
    <w:rsid w:val="006748D6"/>
    <w:rsid w:val="00675885"/>
    <w:rsid w:val="0068156F"/>
    <w:rsid w:val="006827D6"/>
    <w:rsid w:val="006837BA"/>
    <w:rsid w:val="006845DD"/>
    <w:rsid w:val="00695707"/>
    <w:rsid w:val="00695780"/>
    <w:rsid w:val="006958B8"/>
    <w:rsid w:val="00695E91"/>
    <w:rsid w:val="006A2263"/>
    <w:rsid w:val="006A3AEA"/>
    <w:rsid w:val="006A609D"/>
    <w:rsid w:val="006A62A6"/>
    <w:rsid w:val="006A7859"/>
    <w:rsid w:val="006B1357"/>
    <w:rsid w:val="006B324A"/>
    <w:rsid w:val="006B4060"/>
    <w:rsid w:val="006B5E4E"/>
    <w:rsid w:val="006B788D"/>
    <w:rsid w:val="006C082D"/>
    <w:rsid w:val="006C19EA"/>
    <w:rsid w:val="006C1C6C"/>
    <w:rsid w:val="006C27D1"/>
    <w:rsid w:val="006C2816"/>
    <w:rsid w:val="006C4485"/>
    <w:rsid w:val="006C51E4"/>
    <w:rsid w:val="006C632A"/>
    <w:rsid w:val="006D0194"/>
    <w:rsid w:val="006D0CE5"/>
    <w:rsid w:val="006D11CD"/>
    <w:rsid w:val="006D1F47"/>
    <w:rsid w:val="006D2BE4"/>
    <w:rsid w:val="006D4512"/>
    <w:rsid w:val="006D6E03"/>
    <w:rsid w:val="006E1102"/>
    <w:rsid w:val="006E55E8"/>
    <w:rsid w:val="006F1B08"/>
    <w:rsid w:val="006F36D3"/>
    <w:rsid w:val="006F4638"/>
    <w:rsid w:val="006F6F4F"/>
    <w:rsid w:val="006F774D"/>
    <w:rsid w:val="00702DD7"/>
    <w:rsid w:val="00703A67"/>
    <w:rsid w:val="00703F25"/>
    <w:rsid w:val="00704D7F"/>
    <w:rsid w:val="007066B5"/>
    <w:rsid w:val="00710D35"/>
    <w:rsid w:val="00713346"/>
    <w:rsid w:val="00716D3B"/>
    <w:rsid w:val="00722704"/>
    <w:rsid w:val="00723B1D"/>
    <w:rsid w:val="00731F99"/>
    <w:rsid w:val="00732DA2"/>
    <w:rsid w:val="00736572"/>
    <w:rsid w:val="00736608"/>
    <w:rsid w:val="00740060"/>
    <w:rsid w:val="00740CBA"/>
    <w:rsid w:val="00742372"/>
    <w:rsid w:val="00742F81"/>
    <w:rsid w:val="00743C6B"/>
    <w:rsid w:val="0074463C"/>
    <w:rsid w:val="007451E4"/>
    <w:rsid w:val="00746029"/>
    <w:rsid w:val="00750314"/>
    <w:rsid w:val="00750772"/>
    <w:rsid w:val="00751181"/>
    <w:rsid w:val="00751456"/>
    <w:rsid w:val="0075335F"/>
    <w:rsid w:val="0075534A"/>
    <w:rsid w:val="00760BD6"/>
    <w:rsid w:val="0076246F"/>
    <w:rsid w:val="00763F5F"/>
    <w:rsid w:val="00766DBF"/>
    <w:rsid w:val="00767E9E"/>
    <w:rsid w:val="00770C2E"/>
    <w:rsid w:val="00771C0C"/>
    <w:rsid w:val="00771D0E"/>
    <w:rsid w:val="00773E87"/>
    <w:rsid w:val="00774210"/>
    <w:rsid w:val="007743FF"/>
    <w:rsid w:val="0077712F"/>
    <w:rsid w:val="007807AF"/>
    <w:rsid w:val="00780A15"/>
    <w:rsid w:val="00782F15"/>
    <w:rsid w:val="00785310"/>
    <w:rsid w:val="00785A76"/>
    <w:rsid w:val="00790FC7"/>
    <w:rsid w:val="007929DD"/>
    <w:rsid w:val="00795893"/>
    <w:rsid w:val="00795A6A"/>
    <w:rsid w:val="00796614"/>
    <w:rsid w:val="00796706"/>
    <w:rsid w:val="007A2C74"/>
    <w:rsid w:val="007A559F"/>
    <w:rsid w:val="007A57BE"/>
    <w:rsid w:val="007A659F"/>
    <w:rsid w:val="007A708A"/>
    <w:rsid w:val="007B0530"/>
    <w:rsid w:val="007B11A4"/>
    <w:rsid w:val="007B1A77"/>
    <w:rsid w:val="007B35C5"/>
    <w:rsid w:val="007B4EB1"/>
    <w:rsid w:val="007B61BB"/>
    <w:rsid w:val="007C09AB"/>
    <w:rsid w:val="007C30A7"/>
    <w:rsid w:val="007C384C"/>
    <w:rsid w:val="007C5AC5"/>
    <w:rsid w:val="007C5BF3"/>
    <w:rsid w:val="007C7D83"/>
    <w:rsid w:val="007D0529"/>
    <w:rsid w:val="007D3828"/>
    <w:rsid w:val="007D3B33"/>
    <w:rsid w:val="007D3D79"/>
    <w:rsid w:val="007D43A4"/>
    <w:rsid w:val="007D6C16"/>
    <w:rsid w:val="007E0DDF"/>
    <w:rsid w:val="007E174A"/>
    <w:rsid w:val="007E6165"/>
    <w:rsid w:val="007E645D"/>
    <w:rsid w:val="007E6BA9"/>
    <w:rsid w:val="007E7483"/>
    <w:rsid w:val="007F0460"/>
    <w:rsid w:val="007F0F86"/>
    <w:rsid w:val="007F1829"/>
    <w:rsid w:val="007F189E"/>
    <w:rsid w:val="007F3452"/>
    <w:rsid w:val="007F39A8"/>
    <w:rsid w:val="007F3CE7"/>
    <w:rsid w:val="007F610C"/>
    <w:rsid w:val="007F72A0"/>
    <w:rsid w:val="00800562"/>
    <w:rsid w:val="00800633"/>
    <w:rsid w:val="008042D3"/>
    <w:rsid w:val="00806000"/>
    <w:rsid w:val="008101DA"/>
    <w:rsid w:val="00810FC5"/>
    <w:rsid w:val="0081243C"/>
    <w:rsid w:val="00813295"/>
    <w:rsid w:val="00815169"/>
    <w:rsid w:val="00816C19"/>
    <w:rsid w:val="008170B0"/>
    <w:rsid w:val="008178C9"/>
    <w:rsid w:val="00817FFC"/>
    <w:rsid w:val="0082067E"/>
    <w:rsid w:val="0082089D"/>
    <w:rsid w:val="00821726"/>
    <w:rsid w:val="00822A8A"/>
    <w:rsid w:val="00822AB2"/>
    <w:rsid w:val="00824FDE"/>
    <w:rsid w:val="008253FA"/>
    <w:rsid w:val="0082588A"/>
    <w:rsid w:val="00826E64"/>
    <w:rsid w:val="00827565"/>
    <w:rsid w:val="008276B4"/>
    <w:rsid w:val="00827F46"/>
    <w:rsid w:val="00831A98"/>
    <w:rsid w:val="00835495"/>
    <w:rsid w:val="008436D1"/>
    <w:rsid w:val="00844951"/>
    <w:rsid w:val="00847C44"/>
    <w:rsid w:val="00847C56"/>
    <w:rsid w:val="008524D9"/>
    <w:rsid w:val="00853093"/>
    <w:rsid w:val="00861559"/>
    <w:rsid w:val="00864D27"/>
    <w:rsid w:val="0086578E"/>
    <w:rsid w:val="00865A22"/>
    <w:rsid w:val="00865F42"/>
    <w:rsid w:val="008663FA"/>
    <w:rsid w:val="008667D3"/>
    <w:rsid w:val="00866D71"/>
    <w:rsid w:val="00872D8F"/>
    <w:rsid w:val="00872EAF"/>
    <w:rsid w:val="00875A9F"/>
    <w:rsid w:val="00881FEF"/>
    <w:rsid w:val="00884B02"/>
    <w:rsid w:val="00886530"/>
    <w:rsid w:val="0088667C"/>
    <w:rsid w:val="00886917"/>
    <w:rsid w:val="00886EAA"/>
    <w:rsid w:val="00890371"/>
    <w:rsid w:val="00890E0F"/>
    <w:rsid w:val="0089172A"/>
    <w:rsid w:val="008929A7"/>
    <w:rsid w:val="0089384B"/>
    <w:rsid w:val="00897455"/>
    <w:rsid w:val="008A35AA"/>
    <w:rsid w:val="008A3777"/>
    <w:rsid w:val="008A4553"/>
    <w:rsid w:val="008B2070"/>
    <w:rsid w:val="008B23EF"/>
    <w:rsid w:val="008B2FEF"/>
    <w:rsid w:val="008B3CDD"/>
    <w:rsid w:val="008C0C03"/>
    <w:rsid w:val="008C71A7"/>
    <w:rsid w:val="008C72FF"/>
    <w:rsid w:val="008D2EA1"/>
    <w:rsid w:val="008D4429"/>
    <w:rsid w:val="008D682A"/>
    <w:rsid w:val="008D696E"/>
    <w:rsid w:val="008D769B"/>
    <w:rsid w:val="008E00A7"/>
    <w:rsid w:val="008E0352"/>
    <w:rsid w:val="008E3E70"/>
    <w:rsid w:val="008E6BDD"/>
    <w:rsid w:val="008E6F35"/>
    <w:rsid w:val="008E7FA1"/>
    <w:rsid w:val="008F0670"/>
    <w:rsid w:val="008F3918"/>
    <w:rsid w:val="008F4A1A"/>
    <w:rsid w:val="008F6E7A"/>
    <w:rsid w:val="008F6E8B"/>
    <w:rsid w:val="0090135A"/>
    <w:rsid w:val="00902224"/>
    <w:rsid w:val="00904611"/>
    <w:rsid w:val="009046B4"/>
    <w:rsid w:val="00904EB3"/>
    <w:rsid w:val="0090511D"/>
    <w:rsid w:val="00905381"/>
    <w:rsid w:val="009061AD"/>
    <w:rsid w:val="00906588"/>
    <w:rsid w:val="00913D49"/>
    <w:rsid w:val="0091567A"/>
    <w:rsid w:val="00916A1B"/>
    <w:rsid w:val="00917135"/>
    <w:rsid w:val="009202B7"/>
    <w:rsid w:val="009230E5"/>
    <w:rsid w:val="00923E49"/>
    <w:rsid w:val="009277AE"/>
    <w:rsid w:val="00934F92"/>
    <w:rsid w:val="00943D86"/>
    <w:rsid w:val="00943E94"/>
    <w:rsid w:val="0095094F"/>
    <w:rsid w:val="009515C2"/>
    <w:rsid w:val="00953446"/>
    <w:rsid w:val="0095700E"/>
    <w:rsid w:val="00961263"/>
    <w:rsid w:val="00961F52"/>
    <w:rsid w:val="009639D8"/>
    <w:rsid w:val="009643A6"/>
    <w:rsid w:val="00965E53"/>
    <w:rsid w:val="00967A13"/>
    <w:rsid w:val="00971061"/>
    <w:rsid w:val="00971974"/>
    <w:rsid w:val="009771EE"/>
    <w:rsid w:val="00980EE0"/>
    <w:rsid w:val="00982F8A"/>
    <w:rsid w:val="00985231"/>
    <w:rsid w:val="00986F18"/>
    <w:rsid w:val="0098753F"/>
    <w:rsid w:val="0099002D"/>
    <w:rsid w:val="009904FF"/>
    <w:rsid w:val="00990719"/>
    <w:rsid w:val="00992BC7"/>
    <w:rsid w:val="009942CD"/>
    <w:rsid w:val="00994D65"/>
    <w:rsid w:val="0099664A"/>
    <w:rsid w:val="00997021"/>
    <w:rsid w:val="009974C2"/>
    <w:rsid w:val="00997664"/>
    <w:rsid w:val="00997906"/>
    <w:rsid w:val="009A1160"/>
    <w:rsid w:val="009A22FD"/>
    <w:rsid w:val="009A2800"/>
    <w:rsid w:val="009A30DA"/>
    <w:rsid w:val="009A5496"/>
    <w:rsid w:val="009A5870"/>
    <w:rsid w:val="009A5C6A"/>
    <w:rsid w:val="009A72FF"/>
    <w:rsid w:val="009B15A5"/>
    <w:rsid w:val="009B2161"/>
    <w:rsid w:val="009B33F0"/>
    <w:rsid w:val="009B5534"/>
    <w:rsid w:val="009B5614"/>
    <w:rsid w:val="009C148D"/>
    <w:rsid w:val="009C4184"/>
    <w:rsid w:val="009C4CCC"/>
    <w:rsid w:val="009C4D5D"/>
    <w:rsid w:val="009C6E4C"/>
    <w:rsid w:val="009D11EF"/>
    <w:rsid w:val="009D1F6B"/>
    <w:rsid w:val="009D29A9"/>
    <w:rsid w:val="009D2A5A"/>
    <w:rsid w:val="009D2B1D"/>
    <w:rsid w:val="009D3F2E"/>
    <w:rsid w:val="009D4992"/>
    <w:rsid w:val="009D5E69"/>
    <w:rsid w:val="009D6111"/>
    <w:rsid w:val="009D6F91"/>
    <w:rsid w:val="009E0008"/>
    <w:rsid w:val="009E71B1"/>
    <w:rsid w:val="009F05AC"/>
    <w:rsid w:val="009F2352"/>
    <w:rsid w:val="009F527B"/>
    <w:rsid w:val="009F54F9"/>
    <w:rsid w:val="00A037E1"/>
    <w:rsid w:val="00A0497F"/>
    <w:rsid w:val="00A04FD9"/>
    <w:rsid w:val="00A06405"/>
    <w:rsid w:val="00A10026"/>
    <w:rsid w:val="00A10B82"/>
    <w:rsid w:val="00A13228"/>
    <w:rsid w:val="00A13DCC"/>
    <w:rsid w:val="00A161D3"/>
    <w:rsid w:val="00A20267"/>
    <w:rsid w:val="00A21518"/>
    <w:rsid w:val="00A233EB"/>
    <w:rsid w:val="00A25549"/>
    <w:rsid w:val="00A25F53"/>
    <w:rsid w:val="00A268F2"/>
    <w:rsid w:val="00A27A58"/>
    <w:rsid w:val="00A303E5"/>
    <w:rsid w:val="00A34762"/>
    <w:rsid w:val="00A35E32"/>
    <w:rsid w:val="00A36D05"/>
    <w:rsid w:val="00A40719"/>
    <w:rsid w:val="00A4419B"/>
    <w:rsid w:val="00A441D8"/>
    <w:rsid w:val="00A44360"/>
    <w:rsid w:val="00A45AC5"/>
    <w:rsid w:val="00A53A3B"/>
    <w:rsid w:val="00A54116"/>
    <w:rsid w:val="00A576DD"/>
    <w:rsid w:val="00A608E8"/>
    <w:rsid w:val="00A61321"/>
    <w:rsid w:val="00A617C7"/>
    <w:rsid w:val="00A64091"/>
    <w:rsid w:val="00A66633"/>
    <w:rsid w:val="00A70800"/>
    <w:rsid w:val="00A70CD3"/>
    <w:rsid w:val="00A737CD"/>
    <w:rsid w:val="00A758EB"/>
    <w:rsid w:val="00A80BA7"/>
    <w:rsid w:val="00A83261"/>
    <w:rsid w:val="00A83AE2"/>
    <w:rsid w:val="00A85BF2"/>
    <w:rsid w:val="00A86555"/>
    <w:rsid w:val="00A87854"/>
    <w:rsid w:val="00A901FF"/>
    <w:rsid w:val="00A902FD"/>
    <w:rsid w:val="00A90C15"/>
    <w:rsid w:val="00A92336"/>
    <w:rsid w:val="00A94934"/>
    <w:rsid w:val="00A94EE3"/>
    <w:rsid w:val="00A96EC4"/>
    <w:rsid w:val="00A9733E"/>
    <w:rsid w:val="00AA00C1"/>
    <w:rsid w:val="00AA06B3"/>
    <w:rsid w:val="00AA23F2"/>
    <w:rsid w:val="00AA5252"/>
    <w:rsid w:val="00AB0858"/>
    <w:rsid w:val="00AB2A46"/>
    <w:rsid w:val="00AB38E7"/>
    <w:rsid w:val="00AB7A62"/>
    <w:rsid w:val="00AC0802"/>
    <w:rsid w:val="00AC160A"/>
    <w:rsid w:val="00AC48B9"/>
    <w:rsid w:val="00AC4A47"/>
    <w:rsid w:val="00AC5048"/>
    <w:rsid w:val="00AC6648"/>
    <w:rsid w:val="00AC6ACB"/>
    <w:rsid w:val="00AC6FDC"/>
    <w:rsid w:val="00AC76DE"/>
    <w:rsid w:val="00AC7FFA"/>
    <w:rsid w:val="00AD2515"/>
    <w:rsid w:val="00AD352B"/>
    <w:rsid w:val="00AD4A06"/>
    <w:rsid w:val="00AD5119"/>
    <w:rsid w:val="00AD6A1A"/>
    <w:rsid w:val="00AE3BBE"/>
    <w:rsid w:val="00AE5186"/>
    <w:rsid w:val="00AE51A0"/>
    <w:rsid w:val="00AE58E1"/>
    <w:rsid w:val="00AF0459"/>
    <w:rsid w:val="00AF2BE9"/>
    <w:rsid w:val="00AF2EDB"/>
    <w:rsid w:val="00AF42DA"/>
    <w:rsid w:val="00AF661B"/>
    <w:rsid w:val="00AF666B"/>
    <w:rsid w:val="00AF7806"/>
    <w:rsid w:val="00B00CB2"/>
    <w:rsid w:val="00B01097"/>
    <w:rsid w:val="00B013D2"/>
    <w:rsid w:val="00B045DE"/>
    <w:rsid w:val="00B05F2B"/>
    <w:rsid w:val="00B06B61"/>
    <w:rsid w:val="00B11BD0"/>
    <w:rsid w:val="00B13E02"/>
    <w:rsid w:val="00B208BE"/>
    <w:rsid w:val="00B230AC"/>
    <w:rsid w:val="00B23BD5"/>
    <w:rsid w:val="00B257F8"/>
    <w:rsid w:val="00B26126"/>
    <w:rsid w:val="00B3218B"/>
    <w:rsid w:val="00B35517"/>
    <w:rsid w:val="00B362A4"/>
    <w:rsid w:val="00B378E1"/>
    <w:rsid w:val="00B4667C"/>
    <w:rsid w:val="00B51F1F"/>
    <w:rsid w:val="00B52A6F"/>
    <w:rsid w:val="00B53466"/>
    <w:rsid w:val="00B57460"/>
    <w:rsid w:val="00B57A86"/>
    <w:rsid w:val="00B57EA4"/>
    <w:rsid w:val="00B60CAE"/>
    <w:rsid w:val="00B64BBB"/>
    <w:rsid w:val="00B6572D"/>
    <w:rsid w:val="00B6627B"/>
    <w:rsid w:val="00B67EAC"/>
    <w:rsid w:val="00B713F9"/>
    <w:rsid w:val="00B725B9"/>
    <w:rsid w:val="00B72E29"/>
    <w:rsid w:val="00B7394E"/>
    <w:rsid w:val="00B76A24"/>
    <w:rsid w:val="00B8145F"/>
    <w:rsid w:val="00B8243F"/>
    <w:rsid w:val="00B841A9"/>
    <w:rsid w:val="00B84C0E"/>
    <w:rsid w:val="00B86DF9"/>
    <w:rsid w:val="00B94476"/>
    <w:rsid w:val="00B961F4"/>
    <w:rsid w:val="00B97216"/>
    <w:rsid w:val="00BA46F3"/>
    <w:rsid w:val="00BA6526"/>
    <w:rsid w:val="00BB1BFC"/>
    <w:rsid w:val="00BB21E7"/>
    <w:rsid w:val="00BB329F"/>
    <w:rsid w:val="00BC6CE3"/>
    <w:rsid w:val="00BD0931"/>
    <w:rsid w:val="00BD5195"/>
    <w:rsid w:val="00BD5B5F"/>
    <w:rsid w:val="00BE059D"/>
    <w:rsid w:val="00BE3049"/>
    <w:rsid w:val="00BE31E8"/>
    <w:rsid w:val="00BE41B3"/>
    <w:rsid w:val="00BE52BC"/>
    <w:rsid w:val="00BE5CE3"/>
    <w:rsid w:val="00BF2EB5"/>
    <w:rsid w:val="00BF303E"/>
    <w:rsid w:val="00BF439A"/>
    <w:rsid w:val="00BF5CAD"/>
    <w:rsid w:val="00BF7B8F"/>
    <w:rsid w:val="00C002BD"/>
    <w:rsid w:val="00C0132B"/>
    <w:rsid w:val="00C01DB3"/>
    <w:rsid w:val="00C02B65"/>
    <w:rsid w:val="00C0377D"/>
    <w:rsid w:val="00C04E7F"/>
    <w:rsid w:val="00C05960"/>
    <w:rsid w:val="00C13C8B"/>
    <w:rsid w:val="00C169CD"/>
    <w:rsid w:val="00C17620"/>
    <w:rsid w:val="00C273CC"/>
    <w:rsid w:val="00C315E9"/>
    <w:rsid w:val="00C3180D"/>
    <w:rsid w:val="00C325B9"/>
    <w:rsid w:val="00C33B54"/>
    <w:rsid w:val="00C348D2"/>
    <w:rsid w:val="00C3564E"/>
    <w:rsid w:val="00C3703F"/>
    <w:rsid w:val="00C427B6"/>
    <w:rsid w:val="00C43018"/>
    <w:rsid w:val="00C4420B"/>
    <w:rsid w:val="00C45E81"/>
    <w:rsid w:val="00C46747"/>
    <w:rsid w:val="00C46A1B"/>
    <w:rsid w:val="00C47A65"/>
    <w:rsid w:val="00C54D07"/>
    <w:rsid w:val="00C55372"/>
    <w:rsid w:val="00C553BF"/>
    <w:rsid w:val="00C569CB"/>
    <w:rsid w:val="00C61360"/>
    <w:rsid w:val="00C61A87"/>
    <w:rsid w:val="00C62978"/>
    <w:rsid w:val="00C63530"/>
    <w:rsid w:val="00C63609"/>
    <w:rsid w:val="00C70AB7"/>
    <w:rsid w:val="00C70DA5"/>
    <w:rsid w:val="00C71655"/>
    <w:rsid w:val="00C716C4"/>
    <w:rsid w:val="00C71CCE"/>
    <w:rsid w:val="00C734EA"/>
    <w:rsid w:val="00C73F8C"/>
    <w:rsid w:val="00C74060"/>
    <w:rsid w:val="00C7408A"/>
    <w:rsid w:val="00C7780F"/>
    <w:rsid w:val="00C800F1"/>
    <w:rsid w:val="00C816EA"/>
    <w:rsid w:val="00C82227"/>
    <w:rsid w:val="00C86C23"/>
    <w:rsid w:val="00C8745B"/>
    <w:rsid w:val="00C879BA"/>
    <w:rsid w:val="00C87F34"/>
    <w:rsid w:val="00C9344D"/>
    <w:rsid w:val="00CA184C"/>
    <w:rsid w:val="00CA200C"/>
    <w:rsid w:val="00CA3D1C"/>
    <w:rsid w:val="00CA4149"/>
    <w:rsid w:val="00CA4831"/>
    <w:rsid w:val="00CA6AB3"/>
    <w:rsid w:val="00CA6AE2"/>
    <w:rsid w:val="00CB25B8"/>
    <w:rsid w:val="00CB483E"/>
    <w:rsid w:val="00CB4C34"/>
    <w:rsid w:val="00CB7CC8"/>
    <w:rsid w:val="00CB7FDF"/>
    <w:rsid w:val="00CC016C"/>
    <w:rsid w:val="00CC1524"/>
    <w:rsid w:val="00CC38BC"/>
    <w:rsid w:val="00CC38D5"/>
    <w:rsid w:val="00CC3FD6"/>
    <w:rsid w:val="00CC4646"/>
    <w:rsid w:val="00CC4BBF"/>
    <w:rsid w:val="00CC5029"/>
    <w:rsid w:val="00CC65D6"/>
    <w:rsid w:val="00CC6F62"/>
    <w:rsid w:val="00CD0F84"/>
    <w:rsid w:val="00CD1D45"/>
    <w:rsid w:val="00CD3951"/>
    <w:rsid w:val="00CD585F"/>
    <w:rsid w:val="00CD6407"/>
    <w:rsid w:val="00CE0FC7"/>
    <w:rsid w:val="00CE2DE5"/>
    <w:rsid w:val="00CE433D"/>
    <w:rsid w:val="00CE50FA"/>
    <w:rsid w:val="00CE64A8"/>
    <w:rsid w:val="00CF1707"/>
    <w:rsid w:val="00CF2220"/>
    <w:rsid w:val="00CF242D"/>
    <w:rsid w:val="00CF48EF"/>
    <w:rsid w:val="00CF6984"/>
    <w:rsid w:val="00D0390E"/>
    <w:rsid w:val="00D076A0"/>
    <w:rsid w:val="00D12C1D"/>
    <w:rsid w:val="00D153A1"/>
    <w:rsid w:val="00D15D01"/>
    <w:rsid w:val="00D201F4"/>
    <w:rsid w:val="00D20D5E"/>
    <w:rsid w:val="00D21C3E"/>
    <w:rsid w:val="00D24C41"/>
    <w:rsid w:val="00D250D0"/>
    <w:rsid w:val="00D27077"/>
    <w:rsid w:val="00D32E0A"/>
    <w:rsid w:val="00D3314C"/>
    <w:rsid w:val="00D3588A"/>
    <w:rsid w:val="00D3594F"/>
    <w:rsid w:val="00D36466"/>
    <w:rsid w:val="00D40DD3"/>
    <w:rsid w:val="00D40F56"/>
    <w:rsid w:val="00D425A8"/>
    <w:rsid w:val="00D42938"/>
    <w:rsid w:val="00D436A2"/>
    <w:rsid w:val="00D44ADE"/>
    <w:rsid w:val="00D4649C"/>
    <w:rsid w:val="00D46710"/>
    <w:rsid w:val="00D476FA"/>
    <w:rsid w:val="00D51F1D"/>
    <w:rsid w:val="00D54704"/>
    <w:rsid w:val="00D56867"/>
    <w:rsid w:val="00D579D9"/>
    <w:rsid w:val="00D60C57"/>
    <w:rsid w:val="00D627C7"/>
    <w:rsid w:val="00D62D7A"/>
    <w:rsid w:val="00D62E9F"/>
    <w:rsid w:val="00D646EF"/>
    <w:rsid w:val="00D65943"/>
    <w:rsid w:val="00D678EB"/>
    <w:rsid w:val="00D67A9A"/>
    <w:rsid w:val="00D67B99"/>
    <w:rsid w:val="00D67D25"/>
    <w:rsid w:val="00D705DD"/>
    <w:rsid w:val="00D71E6B"/>
    <w:rsid w:val="00D72B9B"/>
    <w:rsid w:val="00D72D13"/>
    <w:rsid w:val="00D72F9D"/>
    <w:rsid w:val="00D73195"/>
    <w:rsid w:val="00D73D18"/>
    <w:rsid w:val="00D74935"/>
    <w:rsid w:val="00D74B31"/>
    <w:rsid w:val="00D81268"/>
    <w:rsid w:val="00D84CBE"/>
    <w:rsid w:val="00D85C71"/>
    <w:rsid w:val="00D86EBE"/>
    <w:rsid w:val="00D87C54"/>
    <w:rsid w:val="00D87E89"/>
    <w:rsid w:val="00D90250"/>
    <w:rsid w:val="00D9048A"/>
    <w:rsid w:val="00D91460"/>
    <w:rsid w:val="00D92DD8"/>
    <w:rsid w:val="00D9445F"/>
    <w:rsid w:val="00D9458E"/>
    <w:rsid w:val="00D963EA"/>
    <w:rsid w:val="00DA3702"/>
    <w:rsid w:val="00DA3803"/>
    <w:rsid w:val="00DA3916"/>
    <w:rsid w:val="00DA4881"/>
    <w:rsid w:val="00DA53A0"/>
    <w:rsid w:val="00DA5FBF"/>
    <w:rsid w:val="00DA6765"/>
    <w:rsid w:val="00DA79A0"/>
    <w:rsid w:val="00DB14B2"/>
    <w:rsid w:val="00DB2F5F"/>
    <w:rsid w:val="00DB36A1"/>
    <w:rsid w:val="00DB371C"/>
    <w:rsid w:val="00DB6A8E"/>
    <w:rsid w:val="00DC09FD"/>
    <w:rsid w:val="00DC1499"/>
    <w:rsid w:val="00DC18B9"/>
    <w:rsid w:val="00DC18DB"/>
    <w:rsid w:val="00DC29D9"/>
    <w:rsid w:val="00DD0A4B"/>
    <w:rsid w:val="00DD2068"/>
    <w:rsid w:val="00DD27F1"/>
    <w:rsid w:val="00DD3443"/>
    <w:rsid w:val="00DD4408"/>
    <w:rsid w:val="00DD4528"/>
    <w:rsid w:val="00DD53A7"/>
    <w:rsid w:val="00DD53E9"/>
    <w:rsid w:val="00DD56A4"/>
    <w:rsid w:val="00DD6105"/>
    <w:rsid w:val="00DD7EA6"/>
    <w:rsid w:val="00DE3476"/>
    <w:rsid w:val="00DE4B9A"/>
    <w:rsid w:val="00DE58BF"/>
    <w:rsid w:val="00DE633F"/>
    <w:rsid w:val="00DE702B"/>
    <w:rsid w:val="00DF1293"/>
    <w:rsid w:val="00DF2A40"/>
    <w:rsid w:val="00DF304F"/>
    <w:rsid w:val="00DF38F8"/>
    <w:rsid w:val="00DF45B1"/>
    <w:rsid w:val="00DF5641"/>
    <w:rsid w:val="00DF7BE4"/>
    <w:rsid w:val="00E009F7"/>
    <w:rsid w:val="00E02857"/>
    <w:rsid w:val="00E102A0"/>
    <w:rsid w:val="00E10FD6"/>
    <w:rsid w:val="00E12766"/>
    <w:rsid w:val="00E14466"/>
    <w:rsid w:val="00E14B36"/>
    <w:rsid w:val="00E15CB2"/>
    <w:rsid w:val="00E16212"/>
    <w:rsid w:val="00E174CD"/>
    <w:rsid w:val="00E228CB"/>
    <w:rsid w:val="00E229E8"/>
    <w:rsid w:val="00E240DA"/>
    <w:rsid w:val="00E2460D"/>
    <w:rsid w:val="00E24BAE"/>
    <w:rsid w:val="00E30609"/>
    <w:rsid w:val="00E312EF"/>
    <w:rsid w:val="00E33B1F"/>
    <w:rsid w:val="00E355E6"/>
    <w:rsid w:val="00E365A5"/>
    <w:rsid w:val="00E36F74"/>
    <w:rsid w:val="00E41248"/>
    <w:rsid w:val="00E420B8"/>
    <w:rsid w:val="00E44F94"/>
    <w:rsid w:val="00E4532C"/>
    <w:rsid w:val="00E51132"/>
    <w:rsid w:val="00E5151B"/>
    <w:rsid w:val="00E5173A"/>
    <w:rsid w:val="00E5327D"/>
    <w:rsid w:val="00E55236"/>
    <w:rsid w:val="00E5556B"/>
    <w:rsid w:val="00E616B7"/>
    <w:rsid w:val="00E62684"/>
    <w:rsid w:val="00E63661"/>
    <w:rsid w:val="00E63ED8"/>
    <w:rsid w:val="00E640F0"/>
    <w:rsid w:val="00E669D9"/>
    <w:rsid w:val="00E70940"/>
    <w:rsid w:val="00E70FC5"/>
    <w:rsid w:val="00E7129C"/>
    <w:rsid w:val="00E717B9"/>
    <w:rsid w:val="00E7181D"/>
    <w:rsid w:val="00E74B49"/>
    <w:rsid w:val="00E76519"/>
    <w:rsid w:val="00E80778"/>
    <w:rsid w:val="00E80F55"/>
    <w:rsid w:val="00E84156"/>
    <w:rsid w:val="00E85501"/>
    <w:rsid w:val="00E86CD1"/>
    <w:rsid w:val="00E94FCE"/>
    <w:rsid w:val="00E953B4"/>
    <w:rsid w:val="00E9733B"/>
    <w:rsid w:val="00EA478E"/>
    <w:rsid w:val="00EA5748"/>
    <w:rsid w:val="00EA71F7"/>
    <w:rsid w:val="00EB12C5"/>
    <w:rsid w:val="00EB13D2"/>
    <w:rsid w:val="00EB1C04"/>
    <w:rsid w:val="00EB38E8"/>
    <w:rsid w:val="00EB41A1"/>
    <w:rsid w:val="00EB5346"/>
    <w:rsid w:val="00EB7500"/>
    <w:rsid w:val="00EC02DA"/>
    <w:rsid w:val="00EC0806"/>
    <w:rsid w:val="00EC0E9A"/>
    <w:rsid w:val="00EC35C2"/>
    <w:rsid w:val="00EC3DA3"/>
    <w:rsid w:val="00EC5CCC"/>
    <w:rsid w:val="00ED00EB"/>
    <w:rsid w:val="00ED0C88"/>
    <w:rsid w:val="00ED161A"/>
    <w:rsid w:val="00ED60A1"/>
    <w:rsid w:val="00ED6B62"/>
    <w:rsid w:val="00ED759A"/>
    <w:rsid w:val="00ED7A4A"/>
    <w:rsid w:val="00EE0269"/>
    <w:rsid w:val="00EE211E"/>
    <w:rsid w:val="00EE292D"/>
    <w:rsid w:val="00EE2CAD"/>
    <w:rsid w:val="00EE2DDB"/>
    <w:rsid w:val="00EE361C"/>
    <w:rsid w:val="00EE769B"/>
    <w:rsid w:val="00EF005C"/>
    <w:rsid w:val="00EF0BA8"/>
    <w:rsid w:val="00EF2D18"/>
    <w:rsid w:val="00EF666F"/>
    <w:rsid w:val="00F0312E"/>
    <w:rsid w:val="00F1298F"/>
    <w:rsid w:val="00F13903"/>
    <w:rsid w:val="00F152EA"/>
    <w:rsid w:val="00F16B98"/>
    <w:rsid w:val="00F21671"/>
    <w:rsid w:val="00F32B8F"/>
    <w:rsid w:val="00F3334E"/>
    <w:rsid w:val="00F35928"/>
    <w:rsid w:val="00F37574"/>
    <w:rsid w:val="00F42802"/>
    <w:rsid w:val="00F45010"/>
    <w:rsid w:val="00F46BD2"/>
    <w:rsid w:val="00F47904"/>
    <w:rsid w:val="00F52598"/>
    <w:rsid w:val="00F53671"/>
    <w:rsid w:val="00F554A3"/>
    <w:rsid w:val="00F559B1"/>
    <w:rsid w:val="00F562CC"/>
    <w:rsid w:val="00F56458"/>
    <w:rsid w:val="00F5696E"/>
    <w:rsid w:val="00F5736C"/>
    <w:rsid w:val="00F57BAE"/>
    <w:rsid w:val="00F61C4E"/>
    <w:rsid w:val="00F61F55"/>
    <w:rsid w:val="00F6295C"/>
    <w:rsid w:val="00F655F5"/>
    <w:rsid w:val="00F677AE"/>
    <w:rsid w:val="00F71129"/>
    <w:rsid w:val="00F76506"/>
    <w:rsid w:val="00F77AB2"/>
    <w:rsid w:val="00F80437"/>
    <w:rsid w:val="00F808D9"/>
    <w:rsid w:val="00F80BE3"/>
    <w:rsid w:val="00F8118C"/>
    <w:rsid w:val="00F8348C"/>
    <w:rsid w:val="00F86EA6"/>
    <w:rsid w:val="00F87422"/>
    <w:rsid w:val="00F90D8B"/>
    <w:rsid w:val="00F919AC"/>
    <w:rsid w:val="00F92807"/>
    <w:rsid w:val="00F92CCB"/>
    <w:rsid w:val="00F93F13"/>
    <w:rsid w:val="00F94719"/>
    <w:rsid w:val="00F961CD"/>
    <w:rsid w:val="00F974D6"/>
    <w:rsid w:val="00FA20E0"/>
    <w:rsid w:val="00FA371A"/>
    <w:rsid w:val="00FA588E"/>
    <w:rsid w:val="00FA6603"/>
    <w:rsid w:val="00FA67CF"/>
    <w:rsid w:val="00FA6943"/>
    <w:rsid w:val="00FA759F"/>
    <w:rsid w:val="00FB360B"/>
    <w:rsid w:val="00FB389B"/>
    <w:rsid w:val="00FB433A"/>
    <w:rsid w:val="00FB44D3"/>
    <w:rsid w:val="00FB5917"/>
    <w:rsid w:val="00FC105B"/>
    <w:rsid w:val="00FC761C"/>
    <w:rsid w:val="00FD0BDF"/>
    <w:rsid w:val="00FD13AE"/>
    <w:rsid w:val="00FD3125"/>
    <w:rsid w:val="00FD40A6"/>
    <w:rsid w:val="00FD654D"/>
    <w:rsid w:val="00FD7847"/>
    <w:rsid w:val="00FE09BA"/>
    <w:rsid w:val="00FE1EBD"/>
    <w:rsid w:val="00FE2DA6"/>
    <w:rsid w:val="00FE4DB0"/>
    <w:rsid w:val="00FE6303"/>
    <w:rsid w:val="00FE71D4"/>
    <w:rsid w:val="00FF171F"/>
    <w:rsid w:val="00FF1AC9"/>
    <w:rsid w:val="00FF3265"/>
    <w:rsid w:val="00FF4029"/>
    <w:rsid w:val="00FF5B67"/>
    <w:rsid w:val="050F59D2"/>
    <w:rsid w:val="0C672BC6"/>
    <w:rsid w:val="193105E3"/>
    <w:rsid w:val="6A9242F2"/>
    <w:rsid w:val="7E235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5D8C66"/>
  <w15:docId w15:val="{56AC7FA0-F929-402A-9E95-50E7DB144C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a">
    <w:name w:val="Plain Text"/>
    <w:basedOn w:val="a"/>
    <w:link w:val="ab"/>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c">
    <w:name w:val="Balloon Text"/>
    <w:basedOn w:val="a"/>
    <w:link w:val="ad"/>
    <w:semiHidden/>
    <w:unhideWhenUsed/>
    <w:qFormat/>
    <w:rPr>
      <w:rFonts w:ascii="Times New Roman" w:eastAsia="宋体" w:hAnsi="Times New Roman" w:cs="Times New Roman"/>
      <w:sz w:val="18"/>
      <w:szCs w:val="20"/>
    </w:rPr>
  </w:style>
  <w:style w:type="paragraph" w:styleId="ae">
    <w:name w:val="footer"/>
    <w:basedOn w:val="a"/>
    <w:link w:val="af"/>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0">
    <w:name w:val="header"/>
    <w:basedOn w:val="a"/>
    <w:link w:val="af1"/>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2">
    <w:name w:val="footnote text"/>
    <w:basedOn w:val="a"/>
    <w:link w:val="af3"/>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4">
    <w:name w:val="Title"/>
    <w:basedOn w:val="a"/>
    <w:next w:val="a"/>
    <w:link w:val="af5"/>
    <w:qFormat/>
    <w:pPr>
      <w:spacing w:before="240" w:after="60"/>
      <w:jc w:val="center"/>
      <w:outlineLvl w:val="0"/>
    </w:pPr>
    <w:rPr>
      <w:rFonts w:ascii="Cambria" w:eastAsia="宋体" w:hAnsi="Cambria" w:cs="Times New Roman"/>
      <w:b/>
      <w:sz w:val="32"/>
    </w:rPr>
  </w:style>
  <w:style w:type="paragraph" w:styleId="af6">
    <w:name w:val="annotation subject"/>
    <w:basedOn w:val="a6"/>
    <w:next w:val="a6"/>
    <w:link w:val="af7"/>
    <w:semiHidden/>
    <w:unhideWhenUsed/>
    <w:qFormat/>
    <w:rPr>
      <w:b/>
    </w:rPr>
  </w:style>
  <w:style w:type="table" w:styleId="af8">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9">
    <w:name w:val="FollowedHyperlink"/>
    <w:basedOn w:val="a0"/>
    <w:uiPriority w:val="99"/>
    <w:semiHidden/>
    <w:unhideWhenUsed/>
    <w:qFormat/>
    <w:rPr>
      <w:color w:val="800080" w:themeColor="followedHyperlink"/>
      <w:u w:val="single"/>
    </w:rPr>
  </w:style>
  <w:style w:type="character" w:styleId="afa">
    <w:name w:val="Hyperlink"/>
    <w:uiPriority w:val="99"/>
    <w:unhideWhenUsed/>
    <w:qFormat/>
    <w:rPr>
      <w:color w:val="0000FF"/>
      <w:u w:val="single"/>
    </w:rPr>
  </w:style>
  <w:style w:type="character" w:styleId="afb">
    <w:name w:val="annotation reference"/>
    <w:uiPriority w:val="99"/>
    <w:unhideWhenUsed/>
    <w:qFormat/>
    <w:rPr>
      <w:sz w:val="21"/>
    </w:rPr>
  </w:style>
  <w:style w:type="character" w:styleId="afc">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3">
    <w:name w:val="脚注文本 字符"/>
    <w:basedOn w:val="a0"/>
    <w:link w:val="af2"/>
    <w:semiHidden/>
    <w:qFormat/>
    <w:rPr>
      <w:rFonts w:ascii="Times New Roman" w:eastAsia="宋体" w:hAnsi="Times New Roman" w:cs="Times New Roman"/>
      <w:sz w:val="18"/>
      <w:szCs w:val="20"/>
    </w:rPr>
  </w:style>
  <w:style w:type="character" w:customStyle="1" w:styleId="Char">
    <w:name w:val="批注文字 Char"/>
    <w:basedOn w:val="a0"/>
    <w:uiPriority w:val="99"/>
    <w:qFormat/>
  </w:style>
  <w:style w:type="character" w:customStyle="1" w:styleId="af1">
    <w:name w:val="页眉 字符"/>
    <w:basedOn w:val="a0"/>
    <w:link w:val="af0"/>
    <w:uiPriority w:val="99"/>
    <w:qFormat/>
    <w:rPr>
      <w:rFonts w:ascii="Times New Roman" w:eastAsia="宋体" w:hAnsi="Times New Roman" w:cs="Times New Roman"/>
      <w:sz w:val="18"/>
      <w:szCs w:val="18"/>
    </w:rPr>
  </w:style>
  <w:style w:type="character" w:customStyle="1" w:styleId="af">
    <w:name w:val="页脚 字符"/>
    <w:basedOn w:val="a0"/>
    <w:link w:val="ae"/>
    <w:uiPriority w:val="99"/>
    <w:qFormat/>
    <w:rPr>
      <w:rFonts w:ascii="Times New Roman" w:eastAsia="宋体" w:hAnsi="Times New Roman" w:cs="Times New Roman"/>
      <w:sz w:val="18"/>
      <w:szCs w:val="18"/>
    </w:rPr>
  </w:style>
  <w:style w:type="character" w:customStyle="1" w:styleId="af5">
    <w:name w:val="标题 字符"/>
    <w:basedOn w:val="a0"/>
    <w:link w:val="af4"/>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b">
    <w:name w:val="纯文本 字符"/>
    <w:basedOn w:val="a0"/>
    <w:link w:val="aa"/>
    <w:semiHidden/>
    <w:qFormat/>
    <w:rPr>
      <w:rFonts w:ascii="宋体" w:eastAsia="宋体" w:hAnsi="Courier New" w:cs="Times New Roman"/>
      <w:kern w:val="0"/>
      <w:szCs w:val="20"/>
    </w:rPr>
  </w:style>
  <w:style w:type="character" w:customStyle="1" w:styleId="af7">
    <w:name w:val="批注主题 字符"/>
    <w:basedOn w:val="Char"/>
    <w:link w:val="af6"/>
    <w:semiHidden/>
    <w:qFormat/>
    <w:rPr>
      <w:rFonts w:ascii="Times New Roman" w:eastAsia="宋体" w:hAnsi="Times New Roman" w:cs="Times New Roman"/>
      <w:b/>
      <w:szCs w:val="20"/>
    </w:rPr>
  </w:style>
  <w:style w:type="character" w:customStyle="1" w:styleId="ad">
    <w:name w:val="批注框文本 字符"/>
    <w:basedOn w:val="a0"/>
    <w:link w:val="ac"/>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d">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e">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4" w:line="288" w:lineRule="auto"/>
      <w:ind w:left="15"/>
      <w:jc w:val="lef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dazhangjie">
    <w:name w:val="dazhangjie"/>
    <w:basedOn w:val="a"/>
    <w:qFormat/>
    <w:pPr>
      <w:widowControl/>
      <w:autoSpaceDE w:val="0"/>
      <w:autoSpaceDN w:val="0"/>
      <w:adjustRightInd w:val="0"/>
      <w:spacing w:before="30" w:line="288" w:lineRule="auto"/>
      <w:ind w:left="15"/>
      <w:jc w:val="center"/>
      <w:outlineLvl w:val="0"/>
    </w:pPr>
    <w:rPr>
      <w:rFonts w:ascii="宋体" w:eastAsia="宋体" w:hAnsi="宋体" w:cs="宋体"/>
      <w:kern w:val="0"/>
      <w:sz w:val="24"/>
      <w:szCs w:val="24"/>
    </w:rPr>
  </w:style>
  <w:style w:type="paragraph" w:customStyle="1" w:styleId="qisshowcfid-ptguyouzijintouzibenjijinjiaoyimingxi">
    <w:name w:val="$q_isshow_cfid-pt_guyouzijintouzibenjijinjiaoyimingxi"/>
    <w:basedOn w:val="a"/>
    <w:qFormat/>
    <w:pPr>
      <w:widowControl/>
      <w:spacing w:before="100" w:beforeAutospacing="1" w:after="100" w:afterAutospacing="1"/>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character" w:customStyle="1" w:styleId="12">
    <w:name w:val="未处理的提及1"/>
    <w:basedOn w:val="a0"/>
    <w:uiPriority w:val="99"/>
    <w:semiHidden/>
    <w:unhideWhenUsed/>
    <w:qFormat/>
    <w:rPr>
      <w:color w:val="605E5C"/>
      <w:shd w:val="clear" w:color="auto" w:fill="E1DFDD"/>
    </w:rPr>
  </w:style>
  <w:style w:type="character" w:customStyle="1" w:styleId="24">
    <w:name w:val="未处理的提及2"/>
    <w:basedOn w:val="a0"/>
    <w:uiPriority w:val="99"/>
    <w:semiHidden/>
    <w:unhideWhenUsed/>
    <w:qFormat/>
    <w:rPr>
      <w:color w:val="605E5C"/>
      <w:shd w:val="clear" w:color="auto" w:fill="E1DFDD"/>
    </w:rPr>
  </w:style>
  <w:style w:type="table" w:customStyle="1" w:styleId="13">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0">
    <w:name w:val="Revision"/>
    <w:hidden/>
    <w:uiPriority w:val="99"/>
    <w:unhideWhenUsed/>
    <w:rsid w:val="000619E8"/>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www.jjmmw.com" TargetMode="External"/><Relationship Id="rId26" Type="http://schemas.openxmlformats.org/officeDocument/2006/relationships/hyperlink" Target="http://www.licaike.com" TargetMode="External"/><Relationship Id="rId39" Type="http://schemas.openxmlformats.org/officeDocument/2006/relationships/footer" Target="footer14.xml"/><Relationship Id="rId21" Type="http://schemas.openxmlformats.org/officeDocument/2006/relationships/hyperlink" Target="http://www.vstonewealth.com" TargetMode="External"/><Relationship Id="rId34" Type="http://schemas.openxmlformats.org/officeDocument/2006/relationships/footer" Target="footer9.xml"/><Relationship Id="rId42" Type="http://schemas.openxmlformats.org/officeDocument/2006/relationships/footer" Target="footer17.xml"/><Relationship Id="rId47"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5ifund.com" TargetMode="External"/><Relationship Id="rId29"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www.puyifund.com" TargetMode="External"/><Relationship Id="rId32" Type="http://schemas.openxmlformats.org/officeDocument/2006/relationships/image" Target="media/image2.jpeg"/><Relationship Id="rId37" Type="http://schemas.openxmlformats.org/officeDocument/2006/relationships/footer" Target="footer12.xml"/><Relationship Id="rId40" Type="http://schemas.openxmlformats.org/officeDocument/2006/relationships/footer" Target="footer15.xml"/><Relationship Id="rId45" Type="http://schemas.openxmlformats.org/officeDocument/2006/relationships/footer" Target="footer20.xml"/><Relationship Id="rId5" Type="http://schemas.openxmlformats.org/officeDocument/2006/relationships/numbering" Target="numbering.xml"/><Relationship Id="rId15" Type="http://schemas.openxmlformats.org/officeDocument/2006/relationships/hyperlink" Target="http://www.jiyufund.com.cn/" TargetMode="External"/><Relationship Id="rId23" Type="http://schemas.openxmlformats.org/officeDocument/2006/relationships/hyperlink" Target="http://www.snjijin" TargetMode="External"/><Relationship Id="rId28" Type="http://schemas.openxmlformats.org/officeDocument/2006/relationships/footer" Target="footer5.xml"/><Relationship Id="rId36" Type="http://schemas.openxmlformats.org/officeDocument/2006/relationships/footer" Target="footer11.xml"/><Relationship Id="rId10" Type="http://schemas.openxmlformats.org/officeDocument/2006/relationships/endnotes" Target="endnotes.xml"/><Relationship Id="rId19" Type="http://schemas.openxmlformats.org/officeDocument/2006/relationships/hyperlink" Target="http://danjuanapp.com/" TargetMode="External"/><Relationship Id="rId31" Type="http://schemas.openxmlformats.org/officeDocument/2006/relationships/image" Target="media/image1.jpeg"/><Relationship Id="rId44"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3.xml"/><Relationship Id="rId22" Type="http://schemas.openxmlformats.org/officeDocument/2006/relationships/hyperlink" Target="http://www.taixincf.com" TargetMode="External"/><Relationship Id="rId27" Type="http://schemas.openxmlformats.org/officeDocument/2006/relationships/footer" Target="footer4.xml"/><Relationship Id="rId30" Type="http://schemas.openxmlformats.org/officeDocument/2006/relationships/footer" Target="footer7.xml"/><Relationship Id="rId35" Type="http://schemas.openxmlformats.org/officeDocument/2006/relationships/footer" Target="footer10.xml"/><Relationship Id="rId43" Type="http://schemas.openxmlformats.org/officeDocument/2006/relationships/footer" Target="footer18.xml"/><Relationship Id="rId48" Type="http://schemas.openxmlformats.org/officeDocument/2006/relationships/theme" Target="theme/theme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www.zlfund.cn" TargetMode="External"/><Relationship Id="rId25" Type="http://schemas.openxmlformats.org/officeDocument/2006/relationships/hyperlink" Target="http://www.txfund.com" TargetMode="External"/><Relationship Id="rId33" Type="http://schemas.openxmlformats.org/officeDocument/2006/relationships/footer" Target="footer8.xml"/><Relationship Id="rId38" Type="http://schemas.openxmlformats.org/officeDocument/2006/relationships/footer" Target="footer13.xml"/><Relationship Id="rId46" Type="http://schemas.openxmlformats.org/officeDocument/2006/relationships/footer" Target="footer21.xml"/><Relationship Id="rId20" Type="http://schemas.openxmlformats.org/officeDocument/2006/relationships/hyperlink" Target="http://www.wacaijijin.com" TargetMode="External"/><Relationship Id="rId41" Type="http://schemas.openxmlformats.org/officeDocument/2006/relationships/footer" Target="foot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661AB1-9A58-4CF6-BF77-97BFEA448508}">
  <ds:schemaRefs>
    <ds:schemaRef ds:uri="http://schemas.openxmlformats.org/officeDocument/2006/bibliography"/>
  </ds:schemaRefs>
</ds:datastoreItem>
</file>

<file path=customXml/itemProps2.xml><?xml version="1.0" encoding="utf-8"?>
<ds:datastoreItem xmlns:ds="http://schemas.openxmlformats.org/officeDocument/2006/customXml" ds:itemID="{FE46BBDC-9339-4D76-A8C7-427ACB6A9A11}">
  <ds:schemaRefs>
    <ds:schemaRef ds:uri="http://schemas.openxmlformats.org/officeDocument/2006/bibliography"/>
  </ds:schemaRefs>
</ds:datastoreItem>
</file>

<file path=customXml/itemProps3.xml><?xml version="1.0" encoding="utf-8"?>
<ds:datastoreItem xmlns:ds="http://schemas.openxmlformats.org/officeDocument/2006/customXml" ds:itemID="{33A7C478-67B9-4EB4-812E-7CA1ADD8F3E5}">
  <ds:schemaRefs>
    <ds:schemaRef ds:uri="http://schemas.openxmlformats.org/officeDocument/2006/bibliography"/>
  </ds:schemaRefs>
</ds:datastoreItem>
</file>

<file path=customXml/itemProps4.xml><?xml version="1.0" encoding="utf-8"?>
<ds:datastoreItem xmlns:ds="http://schemas.openxmlformats.org/officeDocument/2006/customXml" ds:itemID="{F0D8DD2E-E2A7-4A2C-895E-1724E405B8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123</Pages>
  <Words>13168</Words>
  <Characters>75059</Characters>
  <Application>Microsoft Office Word</Application>
  <DocSecurity>0</DocSecurity>
  <Lines>625</Lines>
  <Paragraphs>176</Paragraphs>
  <ScaleCrop>false</ScaleCrop>
  <Company/>
  <LinksUpToDate>false</LinksUpToDate>
  <CharactersWithSpaces>88051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范柔淳</dc:creator>
  <cp:lastModifiedBy>徐铮</cp:lastModifiedBy>
  <cp:revision>133</cp:revision>
  <cp:lastPrinted>2019-03-01T06:01:00Z</cp:lastPrinted>
  <dcterms:created xsi:type="dcterms:W3CDTF">2023-03-08T04:38:00Z</dcterms:created>
  <dcterms:modified xsi:type="dcterms:W3CDTF">2025-02-14T07:22:00Z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eyJoZGlkIjoiOTJiNGIxMWYyMGQxMGUwNzEzNjg5OWFkODNmZmRmYWEiLCJ1c2VySWQiOiIzNTU5Mzk0MTIifQ==</vt:lpwstr>
  </property>
  <property fmtid="{D5CDD505-2E9C-101B-9397-08002B2CF9AE}" pid="4" name="ICV">
    <vt:lpwstr>12D3708386264710B82895BAAB1DE069_13</vt:lpwstr>
  </property>
</Properties>
</file>