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A0CC7" w14:textId="77777777" w:rsidR="00BD090D" w:rsidRPr="00BD090D" w:rsidRDefault="00BD090D" w:rsidP="00BD090D">
      <w:pPr>
        <w:spacing w:line="360" w:lineRule="auto"/>
        <w:ind w:firstLineChars="200" w:firstLine="420"/>
        <w:rPr>
          <w:rFonts w:ascii="宋体" w:eastAsia="宋体" w:hAnsi="宋体"/>
          <w:szCs w:val="21"/>
        </w:rPr>
      </w:pPr>
    </w:p>
    <w:p w14:paraId="126916BF" w14:textId="77777777" w:rsidR="00BD090D" w:rsidRPr="00BD090D" w:rsidRDefault="00BD090D" w:rsidP="00BD090D">
      <w:pPr>
        <w:spacing w:line="360" w:lineRule="auto"/>
        <w:ind w:firstLineChars="200" w:firstLine="420"/>
        <w:rPr>
          <w:rFonts w:ascii="宋体" w:eastAsia="宋体" w:hAnsi="宋体"/>
          <w:szCs w:val="21"/>
        </w:rPr>
      </w:pPr>
    </w:p>
    <w:p w14:paraId="649A6444" w14:textId="77777777" w:rsidR="00BD090D" w:rsidRDefault="00BD090D" w:rsidP="00BD090D">
      <w:pPr>
        <w:spacing w:line="360" w:lineRule="auto"/>
        <w:ind w:firstLineChars="200" w:firstLine="420"/>
        <w:rPr>
          <w:rFonts w:ascii="宋体" w:eastAsia="宋体" w:hAnsi="宋体"/>
          <w:szCs w:val="21"/>
        </w:rPr>
      </w:pPr>
    </w:p>
    <w:p w14:paraId="12057E77" w14:textId="77777777" w:rsidR="00BD090D" w:rsidRDefault="00BD090D" w:rsidP="00BD090D">
      <w:pPr>
        <w:spacing w:line="360" w:lineRule="auto"/>
        <w:ind w:firstLineChars="200" w:firstLine="420"/>
        <w:rPr>
          <w:rFonts w:ascii="宋体" w:eastAsia="宋体" w:hAnsi="宋体"/>
          <w:szCs w:val="21"/>
        </w:rPr>
      </w:pPr>
    </w:p>
    <w:p w14:paraId="77D15512" w14:textId="77777777" w:rsidR="00BD090D" w:rsidRDefault="00BD090D" w:rsidP="00BD090D">
      <w:pPr>
        <w:spacing w:line="360" w:lineRule="auto"/>
        <w:ind w:firstLineChars="200" w:firstLine="420"/>
        <w:rPr>
          <w:rFonts w:ascii="宋体" w:eastAsia="宋体" w:hAnsi="宋体"/>
          <w:szCs w:val="21"/>
        </w:rPr>
      </w:pPr>
    </w:p>
    <w:p w14:paraId="34B99C6F" w14:textId="77777777" w:rsidR="00BD090D" w:rsidRPr="00BD090D" w:rsidRDefault="00BD090D" w:rsidP="00BD090D">
      <w:pPr>
        <w:spacing w:line="360" w:lineRule="auto"/>
        <w:ind w:firstLineChars="200" w:firstLine="420"/>
        <w:rPr>
          <w:rFonts w:ascii="宋体" w:eastAsia="宋体" w:hAnsi="宋体"/>
          <w:szCs w:val="21"/>
        </w:rPr>
      </w:pPr>
    </w:p>
    <w:p w14:paraId="2649AE3E" w14:textId="0D850AD4" w:rsidR="00BD090D" w:rsidRDefault="00BD090D" w:rsidP="00BD090D">
      <w:pPr>
        <w:pStyle w:val="2"/>
        <w:ind w:firstLineChars="0" w:firstLine="0"/>
        <w:jc w:val="center"/>
        <w:rPr>
          <w:rFonts w:ascii="宋体" w:hAnsi="宋体"/>
          <w:b/>
          <w:sz w:val="48"/>
          <w:szCs w:val="48"/>
        </w:rPr>
      </w:pPr>
      <w:r w:rsidRPr="00BD090D">
        <w:rPr>
          <w:rFonts w:ascii="宋体" w:hAnsi="宋体" w:hint="eastAsia"/>
          <w:b/>
          <w:sz w:val="48"/>
          <w:szCs w:val="48"/>
        </w:rPr>
        <w:t>富荣富合一年定期</w:t>
      </w:r>
      <w:proofErr w:type="gramStart"/>
      <w:r w:rsidRPr="00BD090D">
        <w:rPr>
          <w:rFonts w:ascii="宋体" w:hAnsi="宋体" w:hint="eastAsia"/>
          <w:b/>
          <w:sz w:val="48"/>
          <w:szCs w:val="48"/>
        </w:rPr>
        <w:t>开放纯债债券</w:t>
      </w:r>
      <w:proofErr w:type="gramEnd"/>
      <w:r w:rsidRPr="00BD090D">
        <w:rPr>
          <w:rFonts w:ascii="宋体" w:hAnsi="宋体" w:hint="eastAsia"/>
          <w:b/>
          <w:sz w:val="48"/>
          <w:szCs w:val="48"/>
        </w:rPr>
        <w:t>型发起式证券投资基金</w:t>
      </w:r>
      <w:r w:rsidR="005E542D">
        <w:rPr>
          <w:rFonts w:ascii="宋体" w:hAnsi="宋体" w:hint="eastAsia"/>
          <w:b/>
          <w:sz w:val="48"/>
          <w:szCs w:val="48"/>
        </w:rPr>
        <w:t>更新的</w:t>
      </w:r>
      <w:r w:rsidRPr="00BD090D">
        <w:rPr>
          <w:rFonts w:ascii="宋体" w:hAnsi="宋体" w:hint="eastAsia"/>
          <w:b/>
          <w:sz w:val="48"/>
          <w:szCs w:val="48"/>
        </w:rPr>
        <w:t>招募说明书</w:t>
      </w:r>
    </w:p>
    <w:p w14:paraId="73AE4FB8" w14:textId="65FB475E" w:rsidR="00B54B11" w:rsidRDefault="005E542D" w:rsidP="00BD090D">
      <w:pPr>
        <w:pStyle w:val="2"/>
        <w:ind w:firstLineChars="0" w:firstLine="0"/>
        <w:jc w:val="center"/>
        <w:rPr>
          <w:rFonts w:ascii="宋体" w:hAnsi="宋体"/>
          <w:b/>
          <w:sz w:val="48"/>
          <w:szCs w:val="48"/>
        </w:rPr>
      </w:pPr>
      <w:r>
        <w:rPr>
          <w:rFonts w:ascii="宋体" w:hAnsi="宋体" w:hint="eastAsia"/>
          <w:b/>
          <w:sz w:val="48"/>
          <w:szCs w:val="48"/>
        </w:rPr>
        <w:t>（</w:t>
      </w:r>
      <w:r w:rsidR="006F2DBA">
        <w:rPr>
          <w:rFonts w:ascii="宋体" w:hAnsi="宋体" w:hint="eastAsia"/>
          <w:b/>
          <w:sz w:val="48"/>
          <w:szCs w:val="48"/>
        </w:rPr>
        <w:t>2022年第1号</w:t>
      </w:r>
      <w:r>
        <w:rPr>
          <w:rFonts w:ascii="宋体" w:hAnsi="宋体" w:hint="eastAsia"/>
          <w:b/>
          <w:sz w:val="48"/>
          <w:szCs w:val="48"/>
        </w:rPr>
        <w:t>）</w:t>
      </w:r>
    </w:p>
    <w:p w14:paraId="0822EE76" w14:textId="77777777" w:rsidR="005E542D" w:rsidRPr="00BD090D" w:rsidRDefault="005E542D" w:rsidP="00BD090D">
      <w:pPr>
        <w:pStyle w:val="2"/>
        <w:ind w:firstLineChars="0" w:firstLine="0"/>
        <w:jc w:val="center"/>
        <w:rPr>
          <w:rFonts w:ascii="宋体" w:hAnsi="宋体"/>
          <w:b/>
          <w:sz w:val="48"/>
          <w:szCs w:val="48"/>
        </w:rPr>
      </w:pPr>
    </w:p>
    <w:p w14:paraId="013545D3" w14:textId="77777777" w:rsidR="00BD090D" w:rsidRPr="00BD090D" w:rsidRDefault="00BD090D" w:rsidP="00BD090D">
      <w:pPr>
        <w:spacing w:line="360" w:lineRule="auto"/>
        <w:jc w:val="center"/>
        <w:rPr>
          <w:rFonts w:ascii="Times New Roman" w:eastAsia="宋体" w:hAnsi="Times New Roman" w:cs="Times New Roman"/>
          <w:sz w:val="36"/>
          <w:szCs w:val="36"/>
        </w:rPr>
      </w:pPr>
      <w:r w:rsidRPr="00BD090D">
        <w:rPr>
          <w:rFonts w:ascii="Times New Roman" w:eastAsia="宋体" w:hAnsi="Times New Roman" w:cs="Times New Roman" w:hint="eastAsia"/>
          <w:sz w:val="36"/>
          <w:szCs w:val="36"/>
        </w:rPr>
        <w:t>【本基金不向个人投资者销售】</w:t>
      </w:r>
    </w:p>
    <w:p w14:paraId="73C46C6B" w14:textId="77777777" w:rsidR="00BD090D" w:rsidRPr="00BD090D" w:rsidRDefault="00BD090D" w:rsidP="00BD090D">
      <w:pPr>
        <w:spacing w:line="360" w:lineRule="auto"/>
        <w:ind w:firstLineChars="200" w:firstLine="420"/>
        <w:rPr>
          <w:rFonts w:ascii="宋体" w:eastAsia="宋体" w:hAnsi="宋体"/>
          <w:szCs w:val="21"/>
        </w:rPr>
      </w:pPr>
    </w:p>
    <w:p w14:paraId="51802AA0" w14:textId="77777777" w:rsidR="00BD090D" w:rsidRPr="00BD090D" w:rsidRDefault="00BD090D" w:rsidP="00BD090D">
      <w:pPr>
        <w:spacing w:line="360" w:lineRule="auto"/>
        <w:ind w:firstLineChars="200" w:firstLine="420"/>
        <w:rPr>
          <w:rFonts w:ascii="宋体" w:eastAsia="宋体" w:hAnsi="宋体"/>
          <w:szCs w:val="21"/>
        </w:rPr>
      </w:pPr>
    </w:p>
    <w:p w14:paraId="3CF014C4" w14:textId="77777777" w:rsidR="00BD090D" w:rsidRDefault="00BD090D" w:rsidP="00BD090D">
      <w:pPr>
        <w:spacing w:line="360" w:lineRule="auto"/>
        <w:ind w:firstLineChars="200" w:firstLine="420"/>
        <w:rPr>
          <w:rFonts w:ascii="宋体" w:eastAsia="宋体" w:hAnsi="宋体"/>
          <w:szCs w:val="21"/>
        </w:rPr>
      </w:pPr>
    </w:p>
    <w:p w14:paraId="61597878" w14:textId="77777777" w:rsidR="00411BD1" w:rsidRDefault="00411BD1" w:rsidP="00BD090D">
      <w:pPr>
        <w:spacing w:line="360" w:lineRule="auto"/>
        <w:ind w:firstLineChars="200" w:firstLine="420"/>
        <w:rPr>
          <w:rFonts w:ascii="宋体" w:eastAsia="宋体" w:hAnsi="宋体"/>
          <w:szCs w:val="21"/>
        </w:rPr>
      </w:pPr>
    </w:p>
    <w:p w14:paraId="406F888F" w14:textId="77777777" w:rsidR="00411BD1" w:rsidRDefault="00411BD1" w:rsidP="00BD090D">
      <w:pPr>
        <w:spacing w:line="360" w:lineRule="auto"/>
        <w:ind w:firstLineChars="200" w:firstLine="420"/>
        <w:rPr>
          <w:rFonts w:ascii="宋体" w:eastAsia="宋体" w:hAnsi="宋体"/>
          <w:szCs w:val="21"/>
        </w:rPr>
      </w:pPr>
    </w:p>
    <w:p w14:paraId="11D69E2F" w14:textId="77777777" w:rsidR="00411BD1" w:rsidRDefault="00411BD1" w:rsidP="00BD090D">
      <w:pPr>
        <w:spacing w:line="360" w:lineRule="auto"/>
        <w:ind w:firstLineChars="200" w:firstLine="420"/>
        <w:rPr>
          <w:rFonts w:ascii="宋体" w:eastAsia="宋体" w:hAnsi="宋体"/>
          <w:szCs w:val="21"/>
        </w:rPr>
      </w:pPr>
    </w:p>
    <w:p w14:paraId="717F2872" w14:textId="77777777" w:rsidR="00411BD1" w:rsidRDefault="00411BD1" w:rsidP="00BD090D">
      <w:pPr>
        <w:spacing w:line="360" w:lineRule="auto"/>
        <w:ind w:firstLineChars="200" w:firstLine="420"/>
        <w:rPr>
          <w:rFonts w:ascii="宋体" w:eastAsia="宋体" w:hAnsi="宋体"/>
          <w:szCs w:val="21"/>
        </w:rPr>
      </w:pPr>
    </w:p>
    <w:p w14:paraId="363F802C" w14:textId="77777777" w:rsidR="00411BD1" w:rsidRDefault="00411BD1" w:rsidP="00BD090D">
      <w:pPr>
        <w:spacing w:line="360" w:lineRule="auto"/>
        <w:ind w:firstLineChars="200" w:firstLine="420"/>
        <w:rPr>
          <w:rFonts w:ascii="宋体" w:eastAsia="宋体" w:hAnsi="宋体"/>
          <w:szCs w:val="21"/>
        </w:rPr>
      </w:pPr>
    </w:p>
    <w:p w14:paraId="3D24DB0C" w14:textId="77777777" w:rsidR="00411BD1" w:rsidRPr="00BD090D" w:rsidRDefault="00411BD1" w:rsidP="00BD090D">
      <w:pPr>
        <w:spacing w:line="360" w:lineRule="auto"/>
        <w:ind w:firstLineChars="200" w:firstLine="420"/>
        <w:rPr>
          <w:rFonts w:ascii="宋体" w:eastAsia="宋体" w:hAnsi="宋体"/>
          <w:szCs w:val="21"/>
        </w:rPr>
      </w:pPr>
    </w:p>
    <w:p w14:paraId="49F424A4" w14:textId="77777777" w:rsidR="00BD090D" w:rsidRPr="00BD090D" w:rsidRDefault="00BD090D" w:rsidP="00BD090D">
      <w:pPr>
        <w:snapToGrid w:val="0"/>
        <w:spacing w:line="360" w:lineRule="auto"/>
        <w:jc w:val="center"/>
        <w:rPr>
          <w:rFonts w:ascii="Arial Unicode MS" w:eastAsia="宋体" w:hAnsi="Arial Unicode MS" w:cs="Arial"/>
          <w:b/>
          <w:sz w:val="36"/>
          <w:szCs w:val="36"/>
        </w:rPr>
      </w:pPr>
      <w:r w:rsidRPr="00BD090D">
        <w:rPr>
          <w:rFonts w:ascii="Arial Unicode MS" w:eastAsia="宋体" w:hAnsi="Arial Unicode MS" w:cs="Arial" w:hint="eastAsia"/>
          <w:b/>
          <w:sz w:val="36"/>
          <w:szCs w:val="36"/>
        </w:rPr>
        <w:t>基金管理人：富荣基金管理有限公司</w:t>
      </w:r>
    </w:p>
    <w:p w14:paraId="362E73C8" w14:textId="77777777" w:rsidR="00BD090D" w:rsidRPr="00BD090D" w:rsidRDefault="00BD090D" w:rsidP="00BD090D">
      <w:pPr>
        <w:snapToGrid w:val="0"/>
        <w:spacing w:line="360" w:lineRule="auto"/>
        <w:jc w:val="center"/>
        <w:rPr>
          <w:rFonts w:ascii="Arial Unicode MS" w:eastAsia="宋体" w:hAnsi="Arial Unicode MS" w:cs="Arial"/>
          <w:b/>
          <w:sz w:val="36"/>
          <w:szCs w:val="36"/>
        </w:rPr>
      </w:pPr>
      <w:r w:rsidRPr="00BD090D">
        <w:rPr>
          <w:rFonts w:ascii="Arial Unicode MS" w:eastAsia="宋体" w:hAnsi="Arial Unicode MS" w:cs="Arial" w:hint="eastAsia"/>
          <w:b/>
          <w:sz w:val="36"/>
          <w:szCs w:val="36"/>
        </w:rPr>
        <w:t>基金托管人：中国民生银行股份有限公司</w:t>
      </w:r>
    </w:p>
    <w:p w14:paraId="2F1C8F15" w14:textId="77777777" w:rsidR="00BD090D" w:rsidRPr="00BD090D" w:rsidRDefault="00BD090D" w:rsidP="00BD090D">
      <w:pPr>
        <w:spacing w:line="360" w:lineRule="auto"/>
        <w:ind w:firstLineChars="200" w:firstLine="420"/>
        <w:rPr>
          <w:rFonts w:ascii="宋体" w:eastAsia="宋体" w:hAnsi="宋体"/>
          <w:szCs w:val="21"/>
        </w:rPr>
      </w:pPr>
    </w:p>
    <w:p w14:paraId="75A9E0C8" w14:textId="73EDD1FD" w:rsidR="00BD090D" w:rsidRDefault="00BD090D" w:rsidP="00BD090D">
      <w:pPr>
        <w:snapToGrid w:val="0"/>
        <w:spacing w:line="360" w:lineRule="auto"/>
        <w:jc w:val="center"/>
        <w:rPr>
          <w:rFonts w:ascii="Times New Roman" w:eastAsia="宋体" w:hAnsi="Times New Roman" w:cs="Times New Roman"/>
          <w:b/>
          <w:sz w:val="30"/>
          <w:szCs w:val="30"/>
        </w:rPr>
      </w:pPr>
      <w:r w:rsidRPr="00BD090D">
        <w:rPr>
          <w:rFonts w:ascii="Times New Roman" w:eastAsia="宋体" w:hAnsi="Times New Roman" w:cs="Times New Roman" w:hint="eastAsia"/>
          <w:b/>
          <w:sz w:val="30"/>
          <w:szCs w:val="30"/>
        </w:rPr>
        <w:t>二〇二</w:t>
      </w:r>
      <w:r w:rsidR="006F2DBA">
        <w:rPr>
          <w:rFonts w:ascii="Times New Roman" w:eastAsia="宋体" w:hAnsi="Times New Roman" w:cs="Times New Roman" w:hint="eastAsia"/>
          <w:b/>
          <w:sz w:val="30"/>
          <w:szCs w:val="30"/>
        </w:rPr>
        <w:t>二</w:t>
      </w:r>
      <w:r w:rsidRPr="00BD090D">
        <w:rPr>
          <w:rFonts w:ascii="Times New Roman" w:eastAsia="宋体" w:hAnsi="Times New Roman" w:cs="Times New Roman" w:hint="eastAsia"/>
          <w:b/>
          <w:sz w:val="30"/>
          <w:szCs w:val="30"/>
        </w:rPr>
        <w:t>年</w:t>
      </w:r>
      <w:r w:rsidR="005453C9">
        <w:rPr>
          <w:rFonts w:ascii="Times New Roman" w:eastAsia="宋体" w:hAnsi="Times New Roman" w:cs="Times New Roman" w:hint="eastAsia"/>
          <w:b/>
          <w:sz w:val="30"/>
          <w:szCs w:val="30"/>
        </w:rPr>
        <w:t>十</w:t>
      </w:r>
      <w:r w:rsidR="00695C7E">
        <w:rPr>
          <w:rFonts w:ascii="Times New Roman" w:eastAsia="宋体" w:hAnsi="Times New Roman" w:cs="Times New Roman" w:hint="eastAsia"/>
          <w:b/>
          <w:sz w:val="30"/>
          <w:szCs w:val="30"/>
        </w:rPr>
        <w:t>二</w:t>
      </w:r>
      <w:r w:rsidRPr="00BD090D">
        <w:rPr>
          <w:rFonts w:ascii="Times New Roman" w:eastAsia="宋体" w:hAnsi="Times New Roman" w:cs="Times New Roman" w:hint="eastAsia"/>
          <w:b/>
          <w:sz w:val="30"/>
          <w:szCs w:val="30"/>
        </w:rPr>
        <w:t>月</w:t>
      </w:r>
      <w:r w:rsidRPr="00BD090D">
        <w:rPr>
          <w:rFonts w:ascii="Times New Roman" w:eastAsia="宋体" w:hAnsi="Times New Roman" w:cs="Times New Roman" w:hint="eastAsia"/>
          <w:b/>
          <w:sz w:val="30"/>
          <w:szCs w:val="30"/>
        </w:rPr>
        <w:t xml:space="preserve"> </w:t>
      </w:r>
    </w:p>
    <w:p w14:paraId="112155CA" w14:textId="77777777" w:rsidR="00BD090D" w:rsidRDefault="00BD090D">
      <w:pPr>
        <w:widowControl/>
        <w:jc w:val="left"/>
        <w:rPr>
          <w:rFonts w:ascii="Times New Roman" w:eastAsia="宋体" w:hAnsi="Times New Roman" w:cs="Times New Roman"/>
          <w:b/>
          <w:sz w:val="30"/>
          <w:szCs w:val="30"/>
        </w:rPr>
      </w:pPr>
      <w:r>
        <w:rPr>
          <w:rFonts w:ascii="Times New Roman" w:eastAsia="宋体" w:hAnsi="Times New Roman" w:cs="Times New Roman"/>
          <w:b/>
          <w:sz w:val="30"/>
          <w:szCs w:val="30"/>
        </w:rPr>
        <w:br w:type="page"/>
      </w:r>
    </w:p>
    <w:p w14:paraId="46E4E70C" w14:textId="77777777" w:rsidR="00BD090D" w:rsidRPr="00BD090D" w:rsidRDefault="00BD090D" w:rsidP="00BD090D">
      <w:pPr>
        <w:autoSpaceDE w:val="0"/>
        <w:autoSpaceDN w:val="0"/>
        <w:adjustRightInd w:val="0"/>
        <w:snapToGrid w:val="0"/>
        <w:spacing w:line="360" w:lineRule="auto"/>
        <w:jc w:val="center"/>
        <w:rPr>
          <w:rFonts w:ascii="Arial Unicode MS" w:eastAsia="宋体" w:hAnsi="Arial Unicode MS" w:cs="Arial"/>
          <w:b/>
          <w:bCs/>
          <w:sz w:val="28"/>
          <w:szCs w:val="28"/>
        </w:rPr>
      </w:pPr>
      <w:r w:rsidRPr="00BD090D">
        <w:rPr>
          <w:rFonts w:ascii="Arial Unicode MS" w:eastAsia="宋体" w:hAnsi="Arial Unicode MS" w:cs="Arial" w:hint="eastAsia"/>
          <w:b/>
          <w:bCs/>
          <w:sz w:val="28"/>
          <w:szCs w:val="28"/>
        </w:rPr>
        <w:lastRenderedPageBreak/>
        <w:t>【重要提示】</w:t>
      </w:r>
    </w:p>
    <w:p w14:paraId="568087D5" w14:textId="77777777" w:rsidR="00BD090D" w:rsidRPr="00BD090D" w:rsidRDefault="00BD090D" w:rsidP="00BD090D">
      <w:pPr>
        <w:spacing w:line="360" w:lineRule="auto"/>
        <w:ind w:firstLineChars="200" w:firstLine="420"/>
        <w:rPr>
          <w:rFonts w:ascii="宋体" w:eastAsia="宋体" w:hAnsi="宋体"/>
          <w:szCs w:val="21"/>
        </w:rPr>
      </w:pPr>
    </w:p>
    <w:p w14:paraId="1BE7D35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1、本基金根据</w:t>
      </w:r>
      <w:r w:rsidR="00C21C3B">
        <w:rPr>
          <w:rFonts w:ascii="宋体" w:eastAsia="宋体" w:hAnsi="宋体" w:hint="eastAsia"/>
          <w:szCs w:val="21"/>
        </w:rPr>
        <w:t>2020</w:t>
      </w:r>
      <w:r w:rsidRPr="00BD090D">
        <w:rPr>
          <w:rFonts w:ascii="宋体" w:eastAsia="宋体" w:hAnsi="宋体" w:hint="eastAsia"/>
          <w:szCs w:val="21"/>
        </w:rPr>
        <w:t>年</w:t>
      </w:r>
      <w:r w:rsidR="00C21C3B">
        <w:rPr>
          <w:rFonts w:ascii="宋体" w:eastAsia="宋体" w:hAnsi="宋体" w:hint="eastAsia"/>
          <w:szCs w:val="21"/>
        </w:rPr>
        <w:t>11</w:t>
      </w:r>
      <w:r w:rsidRPr="00BD090D">
        <w:rPr>
          <w:rFonts w:ascii="宋体" w:eastAsia="宋体" w:hAnsi="宋体" w:hint="eastAsia"/>
          <w:szCs w:val="21"/>
        </w:rPr>
        <w:t>月</w:t>
      </w:r>
      <w:r w:rsidR="00C21C3B">
        <w:rPr>
          <w:rFonts w:ascii="宋体" w:eastAsia="宋体" w:hAnsi="宋体" w:hint="eastAsia"/>
          <w:szCs w:val="21"/>
        </w:rPr>
        <w:t>18</w:t>
      </w:r>
      <w:r w:rsidRPr="00BD090D">
        <w:rPr>
          <w:rFonts w:ascii="宋体" w:eastAsia="宋体" w:hAnsi="宋体" w:hint="eastAsia"/>
          <w:szCs w:val="21"/>
        </w:rPr>
        <w:t>日中国证券监督管理委员会（以下简称“中国证监会”）</w:t>
      </w:r>
      <w:r w:rsidR="005E23C2" w:rsidRPr="00BD090D">
        <w:rPr>
          <w:rFonts w:ascii="宋体" w:eastAsia="宋体" w:hAnsi="宋体" w:hint="eastAsia"/>
          <w:szCs w:val="21"/>
        </w:rPr>
        <w:t>《关于</w:t>
      </w:r>
      <w:r w:rsidR="005E23C2">
        <w:rPr>
          <w:rFonts w:ascii="宋体" w:eastAsia="宋体" w:hAnsi="宋体" w:hint="eastAsia"/>
          <w:szCs w:val="21"/>
        </w:rPr>
        <w:t>准予富荣富合一年定期开放纯债债券型发起式证券投资基金</w:t>
      </w:r>
      <w:r w:rsidR="00A722CD">
        <w:rPr>
          <w:rFonts w:ascii="宋体" w:eastAsia="宋体" w:hAnsi="宋体" w:hint="eastAsia"/>
          <w:szCs w:val="21"/>
        </w:rPr>
        <w:t>变更注册</w:t>
      </w:r>
      <w:r w:rsidRPr="00BD090D">
        <w:rPr>
          <w:rFonts w:ascii="宋体" w:eastAsia="宋体" w:hAnsi="宋体" w:hint="eastAsia"/>
          <w:szCs w:val="21"/>
        </w:rPr>
        <w:t>的批复》（证监许可</w:t>
      </w:r>
      <w:r w:rsidR="003A4A92" w:rsidRPr="00BD090D">
        <w:rPr>
          <w:rFonts w:ascii="宋体" w:eastAsia="宋体" w:hAnsi="宋体" w:hint="eastAsia"/>
          <w:szCs w:val="21"/>
        </w:rPr>
        <w:t>【</w:t>
      </w:r>
      <w:r w:rsidR="003A4A92">
        <w:rPr>
          <w:rFonts w:ascii="宋体" w:eastAsia="宋体" w:hAnsi="宋体" w:hint="eastAsia"/>
          <w:szCs w:val="21"/>
        </w:rPr>
        <w:t>2020</w:t>
      </w:r>
      <w:r w:rsidRPr="00BD090D">
        <w:rPr>
          <w:rFonts w:ascii="宋体" w:eastAsia="宋体" w:hAnsi="宋体" w:hint="eastAsia"/>
          <w:szCs w:val="21"/>
        </w:rPr>
        <w:t>】</w:t>
      </w:r>
      <w:r w:rsidR="003A4A92">
        <w:rPr>
          <w:rFonts w:ascii="宋体" w:eastAsia="宋体" w:hAnsi="宋体" w:hint="eastAsia"/>
          <w:szCs w:val="21"/>
        </w:rPr>
        <w:t>3101</w:t>
      </w:r>
      <w:r w:rsidRPr="00BD090D">
        <w:rPr>
          <w:rFonts w:ascii="宋体" w:eastAsia="宋体" w:hAnsi="宋体" w:hint="eastAsia"/>
          <w:szCs w:val="21"/>
        </w:rPr>
        <w:t>号）进行募集。</w:t>
      </w:r>
    </w:p>
    <w:p w14:paraId="27A480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2、基金管理人保证招募说明书的内容真实、准确、完整。本招募说明书经中国证监会注册，但中国证监会对本基金募集的注册，并不表明其对本基金的投资价值和市场前景</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实质性判断或保证，也不表明投资于本基金没有风险。</w:t>
      </w:r>
    </w:p>
    <w:p w14:paraId="6CE5C0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投资有风险，投资者认购（或申购）基金份额时应认真阅读基金合同、本招募说明书、基金产品资料概要等信息披露文件，自主判断基金的投资价值，全面认识本基金产品的风险收益特征，应充分考虑投资者自身的风险承受能力，并对认购（或申购）基金的意愿、时机、数量等投资行为</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独立决策。基金管理人提醒投资者基金投资的“买者自负”原则，在投资者</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投资决策后，基金运营状况与基金净值变化导致的投资风险，由投资者自行负担。</w:t>
      </w:r>
    </w:p>
    <w:p w14:paraId="26BF2A11" w14:textId="5E503811" w:rsidR="00BD090D" w:rsidRPr="00BD090D" w:rsidRDefault="00BD090D" w:rsidP="00DE5F02">
      <w:pPr>
        <w:spacing w:line="360" w:lineRule="auto"/>
        <w:ind w:firstLineChars="200" w:firstLine="420"/>
        <w:rPr>
          <w:rFonts w:ascii="宋体" w:eastAsia="宋体" w:hAnsi="宋体"/>
          <w:szCs w:val="21"/>
        </w:rPr>
      </w:pPr>
      <w:r w:rsidRPr="00BD090D">
        <w:rPr>
          <w:rFonts w:ascii="宋体" w:eastAsia="宋体" w:hAnsi="宋体" w:hint="eastAsia"/>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w:t>
      </w:r>
    </w:p>
    <w:p w14:paraId="0EBD92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5、本基金属于债券型证券投资基金，其预期风险收益水平低于股票型基金、混合型基金，高于货币市场基金。</w:t>
      </w:r>
    </w:p>
    <w:p w14:paraId="19B037F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6、本基金份额发售面值为人民币1.00 元。在市场波动因素影响下，本基金净值可能低于发售面值，本基金投资者有可能出现亏损。</w:t>
      </w:r>
    </w:p>
    <w:p w14:paraId="186089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7、基金的过往业绩并不预示其未来表现，基金管理人管理的其他基金的业绩也不构成对本基金业绩表现的保证。</w:t>
      </w:r>
    </w:p>
    <w:p w14:paraId="4A7B59E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8、基金管理人依照恪尽职守、诚实信用、谨慎勤勉的原则管理和运用基金财产，但不保证基金一定盈利，也不保证最低收益。</w:t>
      </w:r>
    </w:p>
    <w:p w14:paraId="793451CC" w14:textId="3EA821F0" w:rsid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9、本基金允许单一投资者或构成一致行动人的多个投资者持有基金份额比例达到或者超过 50%，且本基金不向个人投资者销售。法律法规或监管机构另有约定的除外。</w:t>
      </w:r>
    </w:p>
    <w:p w14:paraId="148C3523" w14:textId="42F598A9" w:rsidR="00C12B9A" w:rsidRPr="00C12B9A" w:rsidRDefault="00C12B9A" w:rsidP="00C12B9A">
      <w:pPr>
        <w:spacing w:line="360" w:lineRule="auto"/>
        <w:ind w:firstLineChars="200" w:firstLine="420"/>
        <w:rPr>
          <w:rFonts w:ascii="宋体" w:eastAsia="宋体" w:hAnsi="宋体"/>
          <w:szCs w:val="21"/>
        </w:rPr>
      </w:pPr>
      <w:r>
        <w:rPr>
          <w:rFonts w:ascii="宋体" w:eastAsia="宋体" w:hAnsi="宋体"/>
          <w:szCs w:val="21"/>
        </w:rPr>
        <w:lastRenderedPageBreak/>
        <w:t>10</w:t>
      </w:r>
      <w:r>
        <w:rPr>
          <w:rFonts w:ascii="宋体" w:eastAsia="宋体" w:hAnsi="宋体" w:hint="eastAsia"/>
          <w:szCs w:val="21"/>
        </w:rPr>
        <w:t>、</w:t>
      </w:r>
      <w:r w:rsidRPr="00C12B9A">
        <w:rPr>
          <w:rFonts w:ascii="宋体" w:eastAsia="宋体" w:hAnsi="宋体" w:hint="eastAsia"/>
          <w:szCs w:val="21"/>
        </w:rPr>
        <w:t>本招募说明书所载内容截止日为</w:t>
      </w:r>
      <w:r w:rsidR="006F2DBA" w:rsidRPr="00C12B9A">
        <w:rPr>
          <w:rFonts w:ascii="宋体" w:eastAsia="宋体" w:hAnsi="宋体" w:hint="eastAsia"/>
          <w:szCs w:val="21"/>
        </w:rPr>
        <w:t>202</w:t>
      </w:r>
      <w:r w:rsidR="006F2DBA">
        <w:rPr>
          <w:rFonts w:ascii="宋体" w:eastAsia="宋体" w:hAnsi="宋体"/>
          <w:szCs w:val="21"/>
        </w:rPr>
        <w:t>2</w:t>
      </w:r>
      <w:r w:rsidRPr="00C12B9A">
        <w:rPr>
          <w:rFonts w:ascii="宋体" w:eastAsia="宋体" w:hAnsi="宋体" w:hint="eastAsia"/>
          <w:szCs w:val="21"/>
        </w:rPr>
        <w:t>年</w:t>
      </w:r>
      <w:r>
        <w:rPr>
          <w:rFonts w:ascii="宋体" w:eastAsia="宋体" w:hAnsi="宋体"/>
          <w:szCs w:val="21"/>
        </w:rPr>
        <w:t>11</w:t>
      </w:r>
      <w:r w:rsidRPr="00C12B9A">
        <w:rPr>
          <w:rFonts w:ascii="宋体" w:eastAsia="宋体" w:hAnsi="宋体" w:hint="eastAsia"/>
          <w:szCs w:val="21"/>
        </w:rPr>
        <w:t>月</w:t>
      </w:r>
      <w:r>
        <w:rPr>
          <w:rFonts w:ascii="宋体" w:eastAsia="宋体" w:hAnsi="宋体"/>
          <w:szCs w:val="21"/>
        </w:rPr>
        <w:t>1</w:t>
      </w:r>
      <w:r w:rsidRPr="00C12B9A">
        <w:rPr>
          <w:rFonts w:ascii="宋体" w:eastAsia="宋体" w:hAnsi="宋体" w:hint="eastAsia"/>
          <w:szCs w:val="21"/>
        </w:rPr>
        <w:t>日，有关财务数据截止日为</w:t>
      </w:r>
      <w:r w:rsidR="006F2DBA" w:rsidRPr="00C12B9A">
        <w:rPr>
          <w:rFonts w:ascii="宋体" w:eastAsia="宋体" w:hAnsi="宋体" w:hint="eastAsia"/>
          <w:szCs w:val="21"/>
        </w:rPr>
        <w:t>202</w:t>
      </w:r>
      <w:r w:rsidR="006F2DBA">
        <w:rPr>
          <w:rFonts w:ascii="宋体" w:eastAsia="宋体" w:hAnsi="宋体"/>
          <w:szCs w:val="21"/>
        </w:rPr>
        <w:t>2</w:t>
      </w:r>
      <w:r w:rsidRPr="00C12B9A">
        <w:rPr>
          <w:rFonts w:ascii="宋体" w:eastAsia="宋体" w:hAnsi="宋体" w:hint="eastAsia"/>
          <w:szCs w:val="21"/>
        </w:rPr>
        <w:t>年</w:t>
      </w:r>
      <w:r>
        <w:rPr>
          <w:rFonts w:ascii="宋体" w:eastAsia="宋体" w:hAnsi="宋体"/>
          <w:szCs w:val="21"/>
        </w:rPr>
        <w:t>9</w:t>
      </w:r>
      <w:r w:rsidRPr="00C12B9A">
        <w:rPr>
          <w:rFonts w:ascii="宋体" w:eastAsia="宋体" w:hAnsi="宋体" w:hint="eastAsia"/>
          <w:szCs w:val="21"/>
        </w:rPr>
        <w:t>月30日，净值表现截止日为</w:t>
      </w:r>
      <w:r w:rsidR="006F2DBA" w:rsidRPr="00C12B9A">
        <w:rPr>
          <w:rFonts w:ascii="宋体" w:eastAsia="宋体" w:hAnsi="宋体" w:hint="eastAsia"/>
          <w:szCs w:val="21"/>
        </w:rPr>
        <w:t>202</w:t>
      </w:r>
      <w:r w:rsidR="006F2DBA">
        <w:rPr>
          <w:rFonts w:ascii="宋体" w:eastAsia="宋体" w:hAnsi="宋体"/>
          <w:szCs w:val="21"/>
        </w:rPr>
        <w:t>2</w:t>
      </w:r>
      <w:r w:rsidRPr="00C12B9A">
        <w:rPr>
          <w:rFonts w:ascii="宋体" w:eastAsia="宋体" w:hAnsi="宋体" w:hint="eastAsia"/>
          <w:szCs w:val="21"/>
        </w:rPr>
        <w:t>年</w:t>
      </w:r>
      <w:r>
        <w:rPr>
          <w:rFonts w:ascii="宋体" w:eastAsia="宋体" w:hAnsi="宋体"/>
          <w:szCs w:val="21"/>
        </w:rPr>
        <w:t>9</w:t>
      </w:r>
      <w:r w:rsidRPr="00C12B9A">
        <w:rPr>
          <w:rFonts w:ascii="宋体" w:eastAsia="宋体" w:hAnsi="宋体" w:hint="eastAsia"/>
          <w:szCs w:val="21"/>
        </w:rPr>
        <w:t>月30日。（财务数据未经审计）。</w:t>
      </w:r>
    </w:p>
    <w:p w14:paraId="532ACC27" w14:textId="264FF044" w:rsidR="00C12B9A" w:rsidRPr="00C12B9A" w:rsidRDefault="00C12B9A" w:rsidP="00C12B9A">
      <w:pPr>
        <w:spacing w:line="360" w:lineRule="auto"/>
        <w:ind w:firstLineChars="200" w:firstLine="420"/>
        <w:rPr>
          <w:rFonts w:ascii="宋体" w:eastAsia="宋体" w:hAnsi="宋体"/>
          <w:szCs w:val="21"/>
        </w:rPr>
      </w:pPr>
      <w:r w:rsidRPr="00C12B9A">
        <w:rPr>
          <w:rFonts w:ascii="宋体" w:eastAsia="宋体" w:hAnsi="宋体" w:hint="eastAsia"/>
          <w:szCs w:val="21"/>
        </w:rPr>
        <w:t>本基金托管人中国民生银行股份有限公司已复核了本次更新的招募说明书。</w:t>
      </w:r>
    </w:p>
    <w:p w14:paraId="6732F45F" w14:textId="59E31178" w:rsidR="00572BE2" w:rsidRDefault="00572BE2" w:rsidP="00BD090D">
      <w:pPr>
        <w:spacing w:line="360" w:lineRule="auto"/>
        <w:ind w:firstLineChars="200" w:firstLine="420"/>
        <w:rPr>
          <w:rFonts w:ascii="宋体" w:eastAsia="宋体" w:hAnsi="宋体"/>
          <w:szCs w:val="21"/>
        </w:rPr>
      </w:pPr>
      <w:r>
        <w:rPr>
          <w:rFonts w:ascii="宋体" w:eastAsia="宋体" w:hAnsi="宋体"/>
          <w:szCs w:val="21"/>
        </w:rPr>
        <w:br w:type="page"/>
      </w:r>
    </w:p>
    <w:p w14:paraId="77220C3F" w14:textId="77777777" w:rsidR="00BD090D" w:rsidRPr="006E10CB" w:rsidRDefault="00BD090D" w:rsidP="00BD090D">
      <w:pPr>
        <w:spacing w:line="360" w:lineRule="auto"/>
        <w:ind w:firstLineChars="200" w:firstLine="420"/>
        <w:rPr>
          <w:rFonts w:ascii="宋体" w:eastAsia="宋体" w:hAnsi="宋体"/>
          <w:szCs w:val="21"/>
        </w:rPr>
      </w:pPr>
    </w:p>
    <w:p w14:paraId="28D5C4B1" w14:textId="77777777" w:rsidR="005F5D9A" w:rsidRDefault="005F5D9A" w:rsidP="005F5D9A">
      <w:pPr>
        <w:snapToGrid w:val="0"/>
        <w:spacing w:line="360" w:lineRule="auto"/>
        <w:jc w:val="center"/>
        <w:rPr>
          <w:rFonts w:ascii="Arial Unicode MS" w:hAnsi="Arial Unicode MS" w:cs="Arial"/>
          <w:b/>
          <w:bCs/>
          <w:spacing w:val="120"/>
          <w:sz w:val="28"/>
          <w:szCs w:val="21"/>
        </w:rPr>
      </w:pPr>
      <w:r>
        <w:rPr>
          <w:rFonts w:ascii="Arial Unicode MS" w:hAnsi="Arial Unicode MS" w:cs="Arial"/>
          <w:b/>
          <w:bCs/>
          <w:spacing w:val="120"/>
          <w:sz w:val="28"/>
          <w:szCs w:val="21"/>
        </w:rPr>
        <w:t>目录</w:t>
      </w:r>
    </w:p>
    <w:p w14:paraId="48F9AACE" w14:textId="4DB14695" w:rsidR="00C22C6E" w:rsidRDefault="005F5D9A" w:rsidP="001A5EC1">
      <w:pPr>
        <w:pStyle w:val="TOC1"/>
        <w:rPr>
          <w:noProof/>
        </w:rPr>
      </w:pPr>
      <w:r w:rsidRPr="005F5D9A">
        <w:rPr>
          <w:rStyle w:val="a9"/>
          <w:rFonts w:eastAsia="宋体"/>
          <w:caps/>
        </w:rPr>
        <w:fldChar w:fldCharType="begin"/>
      </w:r>
      <w:r w:rsidRPr="005F5D9A">
        <w:rPr>
          <w:rStyle w:val="a9"/>
          <w:rFonts w:eastAsia="宋体"/>
          <w:caps/>
        </w:rPr>
        <w:instrText xml:space="preserve"> TOC \o "1-1" \h \z </w:instrText>
      </w:r>
      <w:r w:rsidRPr="005F5D9A">
        <w:rPr>
          <w:rStyle w:val="a9"/>
          <w:rFonts w:eastAsia="宋体"/>
          <w:caps/>
        </w:rPr>
        <w:fldChar w:fldCharType="separate"/>
      </w:r>
      <w:hyperlink w:anchor="_Toc121901709" w:history="1">
        <w:r w:rsidR="00C22C6E" w:rsidRPr="00DB781D">
          <w:rPr>
            <w:rStyle w:val="a9"/>
            <w:rFonts w:ascii="Arial Unicode MS" w:eastAsia="宋体" w:hAnsi="Arial Unicode MS" w:cs="Arial"/>
            <w:noProof/>
            <w:kern w:val="0"/>
          </w:rPr>
          <w:t>第一部分</w:t>
        </w:r>
        <w:r w:rsidR="00C22C6E" w:rsidRPr="00DB781D">
          <w:rPr>
            <w:rStyle w:val="a9"/>
            <w:rFonts w:ascii="Arial Unicode MS" w:eastAsia="宋体" w:hAnsi="Arial Unicode MS" w:cs="Arial"/>
            <w:noProof/>
            <w:kern w:val="0"/>
          </w:rPr>
          <w:t xml:space="preserve">  </w:t>
        </w:r>
        <w:r w:rsidR="00C22C6E" w:rsidRPr="00DB781D">
          <w:rPr>
            <w:rStyle w:val="a9"/>
            <w:rFonts w:ascii="Arial Unicode MS" w:eastAsia="宋体" w:hAnsi="Arial Unicode MS" w:cs="Arial"/>
            <w:noProof/>
            <w:kern w:val="0"/>
          </w:rPr>
          <w:t>绪言</w:t>
        </w:r>
        <w:r w:rsidR="00C22C6E">
          <w:rPr>
            <w:noProof/>
            <w:webHidden/>
          </w:rPr>
          <w:tab/>
        </w:r>
        <w:r w:rsidR="00C22C6E">
          <w:rPr>
            <w:noProof/>
            <w:webHidden/>
          </w:rPr>
          <w:fldChar w:fldCharType="begin"/>
        </w:r>
        <w:r w:rsidR="00C22C6E">
          <w:rPr>
            <w:noProof/>
            <w:webHidden/>
          </w:rPr>
          <w:instrText xml:space="preserve"> PAGEREF _Toc121901709 \h </w:instrText>
        </w:r>
        <w:r w:rsidR="00C22C6E">
          <w:rPr>
            <w:noProof/>
            <w:webHidden/>
          </w:rPr>
        </w:r>
        <w:r w:rsidR="00C22C6E">
          <w:rPr>
            <w:noProof/>
            <w:webHidden/>
          </w:rPr>
          <w:fldChar w:fldCharType="separate"/>
        </w:r>
        <w:r w:rsidR="00C22C6E">
          <w:rPr>
            <w:noProof/>
            <w:webHidden/>
          </w:rPr>
          <w:t>5</w:t>
        </w:r>
        <w:r w:rsidR="00C22C6E">
          <w:rPr>
            <w:noProof/>
            <w:webHidden/>
          </w:rPr>
          <w:fldChar w:fldCharType="end"/>
        </w:r>
      </w:hyperlink>
    </w:p>
    <w:p w14:paraId="2D1A6ED6" w14:textId="29D7F8DC" w:rsidR="00C22C6E" w:rsidRDefault="00C22C6E" w:rsidP="001A5EC1">
      <w:pPr>
        <w:pStyle w:val="TOC1"/>
        <w:rPr>
          <w:noProof/>
        </w:rPr>
      </w:pPr>
      <w:hyperlink w:anchor="_Toc121901710" w:history="1">
        <w:r w:rsidRPr="00DB781D">
          <w:rPr>
            <w:rStyle w:val="a9"/>
            <w:rFonts w:ascii="Arial Unicode MS" w:eastAsia="宋体" w:hAnsi="Arial Unicode MS" w:cs="Arial"/>
            <w:noProof/>
            <w:kern w:val="0"/>
          </w:rPr>
          <w:t>第二部分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释义</w:t>
        </w:r>
        <w:r>
          <w:rPr>
            <w:noProof/>
            <w:webHidden/>
          </w:rPr>
          <w:tab/>
        </w:r>
        <w:r>
          <w:rPr>
            <w:noProof/>
            <w:webHidden/>
          </w:rPr>
          <w:fldChar w:fldCharType="begin"/>
        </w:r>
        <w:r>
          <w:rPr>
            <w:noProof/>
            <w:webHidden/>
          </w:rPr>
          <w:instrText xml:space="preserve"> PAGEREF _Toc121901710 \h </w:instrText>
        </w:r>
        <w:r>
          <w:rPr>
            <w:noProof/>
            <w:webHidden/>
          </w:rPr>
        </w:r>
        <w:r>
          <w:rPr>
            <w:noProof/>
            <w:webHidden/>
          </w:rPr>
          <w:fldChar w:fldCharType="separate"/>
        </w:r>
        <w:r>
          <w:rPr>
            <w:noProof/>
            <w:webHidden/>
          </w:rPr>
          <w:t>6</w:t>
        </w:r>
        <w:r>
          <w:rPr>
            <w:noProof/>
            <w:webHidden/>
          </w:rPr>
          <w:fldChar w:fldCharType="end"/>
        </w:r>
      </w:hyperlink>
    </w:p>
    <w:p w14:paraId="6A1AE4F3" w14:textId="7EDB483E" w:rsidR="00C22C6E" w:rsidRDefault="00C22C6E" w:rsidP="001A5EC1">
      <w:pPr>
        <w:pStyle w:val="TOC1"/>
        <w:rPr>
          <w:noProof/>
        </w:rPr>
      </w:pPr>
      <w:hyperlink w:anchor="_Toc121901711" w:history="1">
        <w:r w:rsidRPr="00DB781D">
          <w:rPr>
            <w:rStyle w:val="a9"/>
            <w:rFonts w:ascii="Arial Unicode MS" w:eastAsia="宋体" w:hAnsi="Arial Unicode MS" w:cs="Arial"/>
            <w:noProof/>
            <w:kern w:val="0"/>
          </w:rPr>
          <w:t>第三部分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基金管理人</w:t>
        </w:r>
        <w:r>
          <w:rPr>
            <w:noProof/>
            <w:webHidden/>
          </w:rPr>
          <w:tab/>
        </w:r>
        <w:r>
          <w:rPr>
            <w:noProof/>
            <w:webHidden/>
          </w:rPr>
          <w:fldChar w:fldCharType="begin"/>
        </w:r>
        <w:r>
          <w:rPr>
            <w:noProof/>
            <w:webHidden/>
          </w:rPr>
          <w:instrText xml:space="preserve"> PAGEREF _Toc121901711 \h </w:instrText>
        </w:r>
        <w:r>
          <w:rPr>
            <w:noProof/>
            <w:webHidden/>
          </w:rPr>
        </w:r>
        <w:r>
          <w:rPr>
            <w:noProof/>
            <w:webHidden/>
          </w:rPr>
          <w:fldChar w:fldCharType="separate"/>
        </w:r>
        <w:r>
          <w:rPr>
            <w:noProof/>
            <w:webHidden/>
          </w:rPr>
          <w:t>11</w:t>
        </w:r>
        <w:r>
          <w:rPr>
            <w:noProof/>
            <w:webHidden/>
          </w:rPr>
          <w:fldChar w:fldCharType="end"/>
        </w:r>
      </w:hyperlink>
    </w:p>
    <w:p w14:paraId="24CE3CFC" w14:textId="2E29D905" w:rsidR="00C22C6E" w:rsidRDefault="00C22C6E" w:rsidP="001A5EC1">
      <w:pPr>
        <w:pStyle w:val="TOC1"/>
        <w:rPr>
          <w:noProof/>
        </w:rPr>
      </w:pPr>
      <w:hyperlink w:anchor="_Toc121901712" w:history="1">
        <w:r w:rsidRPr="00DB781D">
          <w:rPr>
            <w:rStyle w:val="a9"/>
            <w:rFonts w:ascii="Arial Unicode MS" w:eastAsia="宋体" w:hAnsi="Arial Unicode MS" w:cs="Arial"/>
            <w:noProof/>
            <w:kern w:val="0"/>
          </w:rPr>
          <w:t>第四部分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基金托管人</w:t>
        </w:r>
        <w:r>
          <w:rPr>
            <w:noProof/>
            <w:webHidden/>
          </w:rPr>
          <w:tab/>
        </w:r>
        <w:r>
          <w:rPr>
            <w:noProof/>
            <w:webHidden/>
          </w:rPr>
          <w:fldChar w:fldCharType="begin"/>
        </w:r>
        <w:r>
          <w:rPr>
            <w:noProof/>
            <w:webHidden/>
          </w:rPr>
          <w:instrText xml:space="preserve"> PAGEREF _Toc121901712 \h </w:instrText>
        </w:r>
        <w:r>
          <w:rPr>
            <w:noProof/>
            <w:webHidden/>
          </w:rPr>
        </w:r>
        <w:r>
          <w:rPr>
            <w:noProof/>
            <w:webHidden/>
          </w:rPr>
          <w:fldChar w:fldCharType="separate"/>
        </w:r>
        <w:r>
          <w:rPr>
            <w:noProof/>
            <w:webHidden/>
          </w:rPr>
          <w:t>21</w:t>
        </w:r>
        <w:r>
          <w:rPr>
            <w:noProof/>
            <w:webHidden/>
          </w:rPr>
          <w:fldChar w:fldCharType="end"/>
        </w:r>
      </w:hyperlink>
    </w:p>
    <w:p w14:paraId="170648F2" w14:textId="2523A558" w:rsidR="00C22C6E" w:rsidRDefault="00C22C6E" w:rsidP="001A5EC1">
      <w:pPr>
        <w:pStyle w:val="TOC1"/>
        <w:rPr>
          <w:noProof/>
        </w:rPr>
      </w:pPr>
      <w:hyperlink w:anchor="_Toc121901713" w:history="1">
        <w:r w:rsidRPr="00DB781D">
          <w:rPr>
            <w:rStyle w:val="a9"/>
            <w:rFonts w:ascii="Arial Unicode MS" w:eastAsia="宋体" w:hAnsi="Arial Unicode MS" w:cs="Arial"/>
            <w:noProof/>
            <w:kern w:val="0"/>
          </w:rPr>
          <w:t>第五部分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相关服务机构</w:t>
        </w:r>
        <w:r>
          <w:rPr>
            <w:noProof/>
            <w:webHidden/>
          </w:rPr>
          <w:tab/>
        </w:r>
        <w:r>
          <w:rPr>
            <w:noProof/>
            <w:webHidden/>
          </w:rPr>
          <w:fldChar w:fldCharType="begin"/>
        </w:r>
        <w:r>
          <w:rPr>
            <w:noProof/>
            <w:webHidden/>
          </w:rPr>
          <w:instrText xml:space="preserve"> PAGEREF _Toc121901713 \h </w:instrText>
        </w:r>
        <w:r>
          <w:rPr>
            <w:noProof/>
            <w:webHidden/>
          </w:rPr>
        </w:r>
        <w:r>
          <w:rPr>
            <w:noProof/>
            <w:webHidden/>
          </w:rPr>
          <w:fldChar w:fldCharType="separate"/>
        </w:r>
        <w:r>
          <w:rPr>
            <w:noProof/>
            <w:webHidden/>
          </w:rPr>
          <w:t>26</w:t>
        </w:r>
        <w:r>
          <w:rPr>
            <w:noProof/>
            <w:webHidden/>
          </w:rPr>
          <w:fldChar w:fldCharType="end"/>
        </w:r>
      </w:hyperlink>
    </w:p>
    <w:p w14:paraId="672924A2" w14:textId="33AF820B" w:rsidR="00C22C6E" w:rsidRDefault="00C22C6E" w:rsidP="001A5EC1">
      <w:pPr>
        <w:pStyle w:val="TOC1"/>
        <w:rPr>
          <w:noProof/>
        </w:rPr>
      </w:pPr>
      <w:hyperlink w:anchor="_Toc121901714" w:history="1">
        <w:r w:rsidRPr="00DB781D">
          <w:rPr>
            <w:rStyle w:val="a9"/>
            <w:rFonts w:ascii="Arial Unicode MS" w:eastAsia="宋体" w:hAnsi="Arial Unicode MS" w:cs="Arial"/>
            <w:noProof/>
            <w:kern w:val="0"/>
          </w:rPr>
          <w:t>第六部分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基金的募集</w:t>
        </w:r>
        <w:r>
          <w:rPr>
            <w:noProof/>
            <w:webHidden/>
          </w:rPr>
          <w:tab/>
        </w:r>
        <w:r>
          <w:rPr>
            <w:noProof/>
            <w:webHidden/>
          </w:rPr>
          <w:fldChar w:fldCharType="begin"/>
        </w:r>
        <w:r>
          <w:rPr>
            <w:noProof/>
            <w:webHidden/>
          </w:rPr>
          <w:instrText xml:space="preserve"> PAGEREF _Toc121901714 \h </w:instrText>
        </w:r>
        <w:r>
          <w:rPr>
            <w:noProof/>
            <w:webHidden/>
          </w:rPr>
        </w:r>
        <w:r>
          <w:rPr>
            <w:noProof/>
            <w:webHidden/>
          </w:rPr>
          <w:fldChar w:fldCharType="separate"/>
        </w:r>
        <w:r>
          <w:rPr>
            <w:noProof/>
            <w:webHidden/>
          </w:rPr>
          <w:t>28</w:t>
        </w:r>
        <w:r>
          <w:rPr>
            <w:noProof/>
            <w:webHidden/>
          </w:rPr>
          <w:fldChar w:fldCharType="end"/>
        </w:r>
      </w:hyperlink>
    </w:p>
    <w:p w14:paraId="306F47F3" w14:textId="378D8331" w:rsidR="00C22C6E" w:rsidRDefault="00C22C6E" w:rsidP="001A5EC1">
      <w:pPr>
        <w:pStyle w:val="TOC1"/>
        <w:rPr>
          <w:noProof/>
        </w:rPr>
      </w:pPr>
      <w:hyperlink w:anchor="_Toc121901715" w:history="1">
        <w:r w:rsidRPr="00DB781D">
          <w:rPr>
            <w:rStyle w:val="a9"/>
            <w:rFonts w:ascii="Arial Unicode MS" w:eastAsia="宋体" w:hAnsi="Arial Unicode MS" w:cs="Arial"/>
            <w:noProof/>
            <w:kern w:val="0"/>
          </w:rPr>
          <w:t>第七部分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基金合同的生效</w:t>
        </w:r>
        <w:r>
          <w:rPr>
            <w:noProof/>
            <w:webHidden/>
          </w:rPr>
          <w:tab/>
        </w:r>
        <w:r>
          <w:rPr>
            <w:noProof/>
            <w:webHidden/>
          </w:rPr>
          <w:fldChar w:fldCharType="begin"/>
        </w:r>
        <w:r>
          <w:rPr>
            <w:noProof/>
            <w:webHidden/>
          </w:rPr>
          <w:instrText xml:space="preserve"> PAGEREF _Toc121901715 \h </w:instrText>
        </w:r>
        <w:r>
          <w:rPr>
            <w:noProof/>
            <w:webHidden/>
          </w:rPr>
        </w:r>
        <w:r>
          <w:rPr>
            <w:noProof/>
            <w:webHidden/>
          </w:rPr>
          <w:fldChar w:fldCharType="separate"/>
        </w:r>
        <w:r>
          <w:rPr>
            <w:noProof/>
            <w:webHidden/>
          </w:rPr>
          <w:t>29</w:t>
        </w:r>
        <w:r>
          <w:rPr>
            <w:noProof/>
            <w:webHidden/>
          </w:rPr>
          <w:fldChar w:fldCharType="end"/>
        </w:r>
      </w:hyperlink>
    </w:p>
    <w:p w14:paraId="3827FABD" w14:textId="5D94F098" w:rsidR="00C22C6E" w:rsidRDefault="00C22C6E" w:rsidP="001A5EC1">
      <w:pPr>
        <w:pStyle w:val="TOC1"/>
        <w:rPr>
          <w:noProof/>
        </w:rPr>
      </w:pPr>
      <w:hyperlink w:anchor="_Toc121901716" w:history="1">
        <w:r w:rsidRPr="00DB781D">
          <w:rPr>
            <w:rStyle w:val="a9"/>
            <w:rFonts w:ascii="Arial Unicode MS" w:eastAsia="宋体" w:hAnsi="Arial Unicode MS" w:cs="Arial"/>
            <w:noProof/>
            <w:kern w:val="0"/>
          </w:rPr>
          <w:t>第八部分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基金的封闭期和开放期</w:t>
        </w:r>
        <w:r>
          <w:rPr>
            <w:noProof/>
            <w:webHidden/>
          </w:rPr>
          <w:tab/>
        </w:r>
        <w:r>
          <w:rPr>
            <w:noProof/>
            <w:webHidden/>
          </w:rPr>
          <w:fldChar w:fldCharType="begin"/>
        </w:r>
        <w:r>
          <w:rPr>
            <w:noProof/>
            <w:webHidden/>
          </w:rPr>
          <w:instrText xml:space="preserve"> PAGEREF _Toc121901716 \h </w:instrText>
        </w:r>
        <w:r>
          <w:rPr>
            <w:noProof/>
            <w:webHidden/>
          </w:rPr>
        </w:r>
        <w:r>
          <w:rPr>
            <w:noProof/>
            <w:webHidden/>
          </w:rPr>
          <w:fldChar w:fldCharType="separate"/>
        </w:r>
        <w:r>
          <w:rPr>
            <w:noProof/>
            <w:webHidden/>
          </w:rPr>
          <w:t>30</w:t>
        </w:r>
        <w:r>
          <w:rPr>
            <w:noProof/>
            <w:webHidden/>
          </w:rPr>
          <w:fldChar w:fldCharType="end"/>
        </w:r>
      </w:hyperlink>
    </w:p>
    <w:p w14:paraId="70CAE6BF" w14:textId="2B948A63" w:rsidR="00C22C6E" w:rsidRDefault="00C22C6E" w:rsidP="001A5EC1">
      <w:pPr>
        <w:pStyle w:val="TOC1"/>
        <w:rPr>
          <w:noProof/>
        </w:rPr>
      </w:pPr>
      <w:hyperlink w:anchor="_Toc121901717" w:history="1">
        <w:r w:rsidRPr="00DB781D">
          <w:rPr>
            <w:rStyle w:val="a9"/>
            <w:rFonts w:ascii="Arial Unicode MS" w:eastAsia="宋体" w:hAnsi="Arial Unicode MS" w:cs="Arial"/>
            <w:noProof/>
            <w:kern w:val="0"/>
          </w:rPr>
          <w:t>第九部分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基金份额的申购与赎回</w:t>
        </w:r>
        <w:r>
          <w:rPr>
            <w:noProof/>
            <w:webHidden/>
          </w:rPr>
          <w:tab/>
        </w:r>
        <w:r>
          <w:rPr>
            <w:noProof/>
            <w:webHidden/>
          </w:rPr>
          <w:fldChar w:fldCharType="begin"/>
        </w:r>
        <w:r>
          <w:rPr>
            <w:noProof/>
            <w:webHidden/>
          </w:rPr>
          <w:instrText xml:space="preserve"> PAGEREF _Toc121901717 \h </w:instrText>
        </w:r>
        <w:r>
          <w:rPr>
            <w:noProof/>
            <w:webHidden/>
          </w:rPr>
        </w:r>
        <w:r>
          <w:rPr>
            <w:noProof/>
            <w:webHidden/>
          </w:rPr>
          <w:fldChar w:fldCharType="separate"/>
        </w:r>
        <w:r>
          <w:rPr>
            <w:noProof/>
            <w:webHidden/>
          </w:rPr>
          <w:t>31</w:t>
        </w:r>
        <w:r>
          <w:rPr>
            <w:noProof/>
            <w:webHidden/>
          </w:rPr>
          <w:fldChar w:fldCharType="end"/>
        </w:r>
      </w:hyperlink>
    </w:p>
    <w:p w14:paraId="33030F2B" w14:textId="412BFD39" w:rsidR="00C22C6E" w:rsidRDefault="00C22C6E" w:rsidP="001A5EC1">
      <w:pPr>
        <w:pStyle w:val="TOC1"/>
        <w:rPr>
          <w:noProof/>
        </w:rPr>
      </w:pPr>
      <w:hyperlink w:anchor="_Toc121901718" w:history="1">
        <w:r w:rsidRPr="00DB781D">
          <w:rPr>
            <w:rStyle w:val="a9"/>
            <w:rFonts w:ascii="Arial Unicode MS" w:eastAsia="宋体" w:hAnsi="Arial Unicode MS" w:cs="Arial"/>
            <w:noProof/>
            <w:kern w:val="0"/>
          </w:rPr>
          <w:t>第十部分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基金的投资</w:t>
        </w:r>
        <w:r>
          <w:rPr>
            <w:noProof/>
            <w:webHidden/>
          </w:rPr>
          <w:tab/>
        </w:r>
        <w:r>
          <w:rPr>
            <w:noProof/>
            <w:webHidden/>
          </w:rPr>
          <w:fldChar w:fldCharType="begin"/>
        </w:r>
        <w:r>
          <w:rPr>
            <w:noProof/>
            <w:webHidden/>
          </w:rPr>
          <w:instrText xml:space="preserve"> PAGEREF _Toc121901718 \h </w:instrText>
        </w:r>
        <w:r>
          <w:rPr>
            <w:noProof/>
            <w:webHidden/>
          </w:rPr>
        </w:r>
        <w:r>
          <w:rPr>
            <w:noProof/>
            <w:webHidden/>
          </w:rPr>
          <w:fldChar w:fldCharType="separate"/>
        </w:r>
        <w:r>
          <w:rPr>
            <w:noProof/>
            <w:webHidden/>
          </w:rPr>
          <w:t>40</w:t>
        </w:r>
        <w:r>
          <w:rPr>
            <w:noProof/>
            <w:webHidden/>
          </w:rPr>
          <w:fldChar w:fldCharType="end"/>
        </w:r>
      </w:hyperlink>
    </w:p>
    <w:p w14:paraId="1769C01D" w14:textId="2116644E" w:rsidR="00C22C6E" w:rsidRDefault="00C22C6E" w:rsidP="001A5EC1">
      <w:pPr>
        <w:pStyle w:val="TOC1"/>
        <w:rPr>
          <w:noProof/>
        </w:rPr>
      </w:pPr>
      <w:hyperlink w:anchor="_Toc121901719" w:history="1">
        <w:r w:rsidRPr="00DB781D">
          <w:rPr>
            <w:rStyle w:val="a9"/>
            <w:rFonts w:ascii="Arial Unicode MS" w:eastAsia="宋体" w:hAnsi="Arial Unicode MS" w:cs="Arial"/>
            <w:noProof/>
            <w:kern w:val="0"/>
          </w:rPr>
          <w:t>第十一部分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基金的财产</w:t>
        </w:r>
        <w:r>
          <w:rPr>
            <w:noProof/>
            <w:webHidden/>
          </w:rPr>
          <w:tab/>
        </w:r>
        <w:r>
          <w:rPr>
            <w:noProof/>
            <w:webHidden/>
          </w:rPr>
          <w:fldChar w:fldCharType="begin"/>
        </w:r>
        <w:r>
          <w:rPr>
            <w:noProof/>
            <w:webHidden/>
          </w:rPr>
          <w:instrText xml:space="preserve"> PAGEREF _Toc121901719 \h </w:instrText>
        </w:r>
        <w:r>
          <w:rPr>
            <w:noProof/>
            <w:webHidden/>
          </w:rPr>
        </w:r>
        <w:r>
          <w:rPr>
            <w:noProof/>
            <w:webHidden/>
          </w:rPr>
          <w:fldChar w:fldCharType="separate"/>
        </w:r>
        <w:r>
          <w:rPr>
            <w:noProof/>
            <w:webHidden/>
          </w:rPr>
          <w:t>51</w:t>
        </w:r>
        <w:r>
          <w:rPr>
            <w:noProof/>
            <w:webHidden/>
          </w:rPr>
          <w:fldChar w:fldCharType="end"/>
        </w:r>
      </w:hyperlink>
    </w:p>
    <w:p w14:paraId="4EFBC3B1" w14:textId="2D91A4B8" w:rsidR="00C22C6E" w:rsidRDefault="00C22C6E" w:rsidP="001A5EC1">
      <w:pPr>
        <w:pStyle w:val="TOC1"/>
        <w:rPr>
          <w:noProof/>
        </w:rPr>
      </w:pPr>
      <w:hyperlink w:anchor="_Toc121901720" w:history="1">
        <w:r w:rsidRPr="00DB781D">
          <w:rPr>
            <w:rStyle w:val="a9"/>
            <w:rFonts w:ascii="Arial Unicode MS" w:eastAsia="宋体" w:hAnsi="Arial Unicode MS" w:cs="Arial"/>
            <w:noProof/>
            <w:kern w:val="0"/>
          </w:rPr>
          <w:t>第十二部分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基金资产的估值</w:t>
        </w:r>
        <w:r>
          <w:rPr>
            <w:noProof/>
            <w:webHidden/>
          </w:rPr>
          <w:tab/>
        </w:r>
        <w:r>
          <w:rPr>
            <w:noProof/>
            <w:webHidden/>
          </w:rPr>
          <w:fldChar w:fldCharType="begin"/>
        </w:r>
        <w:r>
          <w:rPr>
            <w:noProof/>
            <w:webHidden/>
          </w:rPr>
          <w:instrText xml:space="preserve"> PAGEREF _Toc121901720 \h </w:instrText>
        </w:r>
        <w:r>
          <w:rPr>
            <w:noProof/>
            <w:webHidden/>
          </w:rPr>
        </w:r>
        <w:r>
          <w:rPr>
            <w:noProof/>
            <w:webHidden/>
          </w:rPr>
          <w:fldChar w:fldCharType="separate"/>
        </w:r>
        <w:r>
          <w:rPr>
            <w:noProof/>
            <w:webHidden/>
          </w:rPr>
          <w:t>52</w:t>
        </w:r>
        <w:r>
          <w:rPr>
            <w:noProof/>
            <w:webHidden/>
          </w:rPr>
          <w:fldChar w:fldCharType="end"/>
        </w:r>
      </w:hyperlink>
    </w:p>
    <w:p w14:paraId="2B8F4F1E" w14:textId="6E7537E0" w:rsidR="00C22C6E" w:rsidRDefault="00C22C6E" w:rsidP="001A5EC1">
      <w:pPr>
        <w:pStyle w:val="TOC1"/>
        <w:rPr>
          <w:noProof/>
        </w:rPr>
      </w:pPr>
      <w:hyperlink w:anchor="_Toc121901721" w:history="1">
        <w:r w:rsidRPr="00DB781D">
          <w:rPr>
            <w:rStyle w:val="a9"/>
            <w:rFonts w:ascii="Arial Unicode MS" w:eastAsia="宋体" w:hAnsi="Arial Unicode MS" w:cs="Arial"/>
            <w:noProof/>
            <w:kern w:val="0"/>
          </w:rPr>
          <w:t>第十三部分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基金的收益分配</w:t>
        </w:r>
        <w:r>
          <w:rPr>
            <w:noProof/>
            <w:webHidden/>
          </w:rPr>
          <w:tab/>
        </w:r>
        <w:r>
          <w:rPr>
            <w:noProof/>
            <w:webHidden/>
          </w:rPr>
          <w:fldChar w:fldCharType="begin"/>
        </w:r>
        <w:r>
          <w:rPr>
            <w:noProof/>
            <w:webHidden/>
          </w:rPr>
          <w:instrText xml:space="preserve"> PAGEREF _Toc121901721 \h </w:instrText>
        </w:r>
        <w:r>
          <w:rPr>
            <w:noProof/>
            <w:webHidden/>
          </w:rPr>
        </w:r>
        <w:r>
          <w:rPr>
            <w:noProof/>
            <w:webHidden/>
          </w:rPr>
          <w:fldChar w:fldCharType="separate"/>
        </w:r>
        <w:r>
          <w:rPr>
            <w:noProof/>
            <w:webHidden/>
          </w:rPr>
          <w:t>58</w:t>
        </w:r>
        <w:r>
          <w:rPr>
            <w:noProof/>
            <w:webHidden/>
          </w:rPr>
          <w:fldChar w:fldCharType="end"/>
        </w:r>
      </w:hyperlink>
    </w:p>
    <w:p w14:paraId="33DB085E" w14:textId="5A262CF0" w:rsidR="00C22C6E" w:rsidRDefault="00C22C6E" w:rsidP="001A5EC1">
      <w:pPr>
        <w:pStyle w:val="TOC1"/>
        <w:rPr>
          <w:noProof/>
        </w:rPr>
      </w:pPr>
      <w:hyperlink w:anchor="_Toc121901722" w:history="1">
        <w:r w:rsidRPr="00DB781D">
          <w:rPr>
            <w:rStyle w:val="a9"/>
            <w:rFonts w:ascii="Arial Unicode MS" w:eastAsia="宋体" w:hAnsi="Arial Unicode MS" w:cs="Arial"/>
            <w:noProof/>
            <w:kern w:val="0"/>
          </w:rPr>
          <w:t>第十四部分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基金费用与税收</w:t>
        </w:r>
        <w:r>
          <w:rPr>
            <w:noProof/>
            <w:webHidden/>
          </w:rPr>
          <w:tab/>
        </w:r>
        <w:r>
          <w:rPr>
            <w:noProof/>
            <w:webHidden/>
          </w:rPr>
          <w:fldChar w:fldCharType="begin"/>
        </w:r>
        <w:r>
          <w:rPr>
            <w:noProof/>
            <w:webHidden/>
          </w:rPr>
          <w:instrText xml:space="preserve"> PAGEREF _Toc121901722 \h </w:instrText>
        </w:r>
        <w:r>
          <w:rPr>
            <w:noProof/>
            <w:webHidden/>
          </w:rPr>
        </w:r>
        <w:r>
          <w:rPr>
            <w:noProof/>
            <w:webHidden/>
          </w:rPr>
          <w:fldChar w:fldCharType="separate"/>
        </w:r>
        <w:r>
          <w:rPr>
            <w:noProof/>
            <w:webHidden/>
          </w:rPr>
          <w:t>60</w:t>
        </w:r>
        <w:r>
          <w:rPr>
            <w:noProof/>
            <w:webHidden/>
          </w:rPr>
          <w:fldChar w:fldCharType="end"/>
        </w:r>
      </w:hyperlink>
    </w:p>
    <w:p w14:paraId="74DCC926" w14:textId="7A79B956" w:rsidR="00C22C6E" w:rsidRDefault="00C22C6E" w:rsidP="001A5EC1">
      <w:pPr>
        <w:pStyle w:val="TOC1"/>
        <w:rPr>
          <w:noProof/>
        </w:rPr>
      </w:pPr>
      <w:hyperlink w:anchor="_Toc121901723" w:history="1">
        <w:r w:rsidRPr="00DB781D">
          <w:rPr>
            <w:rStyle w:val="a9"/>
            <w:rFonts w:ascii="Arial Unicode MS" w:eastAsia="宋体" w:hAnsi="Arial Unicode MS" w:cs="Arial"/>
            <w:noProof/>
            <w:kern w:val="0"/>
          </w:rPr>
          <w:t>第十五部分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基金的会计与审计</w:t>
        </w:r>
        <w:r>
          <w:rPr>
            <w:noProof/>
            <w:webHidden/>
          </w:rPr>
          <w:tab/>
        </w:r>
        <w:r>
          <w:rPr>
            <w:noProof/>
            <w:webHidden/>
          </w:rPr>
          <w:fldChar w:fldCharType="begin"/>
        </w:r>
        <w:r>
          <w:rPr>
            <w:noProof/>
            <w:webHidden/>
          </w:rPr>
          <w:instrText xml:space="preserve"> PAGEREF _Toc121901723 \h </w:instrText>
        </w:r>
        <w:r>
          <w:rPr>
            <w:noProof/>
            <w:webHidden/>
          </w:rPr>
        </w:r>
        <w:r>
          <w:rPr>
            <w:noProof/>
            <w:webHidden/>
          </w:rPr>
          <w:fldChar w:fldCharType="separate"/>
        </w:r>
        <w:r>
          <w:rPr>
            <w:noProof/>
            <w:webHidden/>
          </w:rPr>
          <w:t>62</w:t>
        </w:r>
        <w:r>
          <w:rPr>
            <w:noProof/>
            <w:webHidden/>
          </w:rPr>
          <w:fldChar w:fldCharType="end"/>
        </w:r>
      </w:hyperlink>
    </w:p>
    <w:p w14:paraId="551DB030" w14:textId="6CB0ADEC" w:rsidR="00C22C6E" w:rsidRDefault="00C22C6E" w:rsidP="001A5EC1">
      <w:pPr>
        <w:pStyle w:val="TOC1"/>
        <w:rPr>
          <w:noProof/>
        </w:rPr>
      </w:pPr>
      <w:hyperlink w:anchor="_Toc121901724" w:history="1">
        <w:r w:rsidRPr="00DB781D">
          <w:rPr>
            <w:rStyle w:val="a9"/>
            <w:rFonts w:ascii="Arial Unicode MS" w:eastAsia="宋体" w:hAnsi="Arial Unicode MS" w:cs="Arial"/>
            <w:noProof/>
            <w:kern w:val="0"/>
          </w:rPr>
          <w:t>第十六部分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基金的信息披露</w:t>
        </w:r>
        <w:r>
          <w:rPr>
            <w:noProof/>
            <w:webHidden/>
          </w:rPr>
          <w:tab/>
        </w:r>
        <w:r>
          <w:rPr>
            <w:noProof/>
            <w:webHidden/>
          </w:rPr>
          <w:fldChar w:fldCharType="begin"/>
        </w:r>
        <w:r>
          <w:rPr>
            <w:noProof/>
            <w:webHidden/>
          </w:rPr>
          <w:instrText xml:space="preserve"> PAGEREF _Toc121901724 \h </w:instrText>
        </w:r>
        <w:r>
          <w:rPr>
            <w:noProof/>
            <w:webHidden/>
          </w:rPr>
        </w:r>
        <w:r>
          <w:rPr>
            <w:noProof/>
            <w:webHidden/>
          </w:rPr>
          <w:fldChar w:fldCharType="separate"/>
        </w:r>
        <w:r>
          <w:rPr>
            <w:noProof/>
            <w:webHidden/>
          </w:rPr>
          <w:t>63</w:t>
        </w:r>
        <w:r>
          <w:rPr>
            <w:noProof/>
            <w:webHidden/>
          </w:rPr>
          <w:fldChar w:fldCharType="end"/>
        </w:r>
      </w:hyperlink>
    </w:p>
    <w:p w14:paraId="6EFD052A" w14:textId="3D447723" w:rsidR="00C22C6E" w:rsidRDefault="00C22C6E" w:rsidP="001A5EC1">
      <w:pPr>
        <w:pStyle w:val="TOC1"/>
        <w:rPr>
          <w:noProof/>
        </w:rPr>
      </w:pPr>
      <w:hyperlink w:anchor="_Toc121901725" w:history="1">
        <w:r w:rsidRPr="00DB781D">
          <w:rPr>
            <w:rStyle w:val="a9"/>
            <w:rFonts w:ascii="Arial Unicode MS" w:eastAsia="宋体" w:hAnsi="Arial Unicode MS" w:cs="Arial"/>
            <w:noProof/>
            <w:kern w:val="0"/>
          </w:rPr>
          <w:t>第十七部分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侧袋机制</w:t>
        </w:r>
        <w:r>
          <w:rPr>
            <w:noProof/>
            <w:webHidden/>
          </w:rPr>
          <w:tab/>
        </w:r>
        <w:r>
          <w:rPr>
            <w:noProof/>
            <w:webHidden/>
          </w:rPr>
          <w:fldChar w:fldCharType="begin"/>
        </w:r>
        <w:r>
          <w:rPr>
            <w:noProof/>
            <w:webHidden/>
          </w:rPr>
          <w:instrText xml:space="preserve"> PAGEREF _Toc121901725 \h </w:instrText>
        </w:r>
        <w:r>
          <w:rPr>
            <w:noProof/>
            <w:webHidden/>
          </w:rPr>
        </w:r>
        <w:r>
          <w:rPr>
            <w:noProof/>
            <w:webHidden/>
          </w:rPr>
          <w:fldChar w:fldCharType="separate"/>
        </w:r>
        <w:r>
          <w:rPr>
            <w:noProof/>
            <w:webHidden/>
          </w:rPr>
          <w:t>69</w:t>
        </w:r>
        <w:r>
          <w:rPr>
            <w:noProof/>
            <w:webHidden/>
          </w:rPr>
          <w:fldChar w:fldCharType="end"/>
        </w:r>
      </w:hyperlink>
    </w:p>
    <w:p w14:paraId="7BBC1364" w14:textId="381BD82C" w:rsidR="00C22C6E" w:rsidRDefault="00C22C6E" w:rsidP="001A5EC1">
      <w:pPr>
        <w:pStyle w:val="TOC1"/>
        <w:rPr>
          <w:noProof/>
        </w:rPr>
      </w:pPr>
      <w:hyperlink w:anchor="_Toc121901726" w:history="1">
        <w:r w:rsidRPr="00DB781D">
          <w:rPr>
            <w:rStyle w:val="a9"/>
            <w:rFonts w:ascii="Arial Unicode MS" w:eastAsia="宋体" w:hAnsi="Arial Unicode MS" w:cs="Arial"/>
            <w:noProof/>
            <w:kern w:val="0"/>
          </w:rPr>
          <w:t>第十八部分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风险揭示</w:t>
        </w:r>
        <w:r>
          <w:rPr>
            <w:noProof/>
            <w:webHidden/>
          </w:rPr>
          <w:tab/>
        </w:r>
        <w:r>
          <w:rPr>
            <w:noProof/>
            <w:webHidden/>
          </w:rPr>
          <w:fldChar w:fldCharType="begin"/>
        </w:r>
        <w:r>
          <w:rPr>
            <w:noProof/>
            <w:webHidden/>
          </w:rPr>
          <w:instrText xml:space="preserve"> PAGEREF _Toc121901726 \h </w:instrText>
        </w:r>
        <w:r>
          <w:rPr>
            <w:noProof/>
            <w:webHidden/>
          </w:rPr>
        </w:r>
        <w:r>
          <w:rPr>
            <w:noProof/>
            <w:webHidden/>
          </w:rPr>
          <w:fldChar w:fldCharType="separate"/>
        </w:r>
        <w:r>
          <w:rPr>
            <w:noProof/>
            <w:webHidden/>
          </w:rPr>
          <w:t>71</w:t>
        </w:r>
        <w:r>
          <w:rPr>
            <w:noProof/>
            <w:webHidden/>
          </w:rPr>
          <w:fldChar w:fldCharType="end"/>
        </w:r>
      </w:hyperlink>
    </w:p>
    <w:p w14:paraId="7940DC56" w14:textId="4053A38F" w:rsidR="00C22C6E" w:rsidRDefault="00C22C6E" w:rsidP="001A5EC1">
      <w:pPr>
        <w:pStyle w:val="TOC1"/>
        <w:rPr>
          <w:noProof/>
        </w:rPr>
      </w:pPr>
      <w:hyperlink w:anchor="_Toc121901727" w:history="1">
        <w:r w:rsidRPr="00DB781D">
          <w:rPr>
            <w:rStyle w:val="a9"/>
            <w:rFonts w:ascii="Arial Unicode MS" w:eastAsia="宋体" w:hAnsi="Arial Unicode MS" w:cs="Arial"/>
            <w:noProof/>
            <w:kern w:val="0"/>
          </w:rPr>
          <w:t>第十九部分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基金合同的变更、终止与基金财产的清算</w:t>
        </w:r>
        <w:r>
          <w:rPr>
            <w:noProof/>
            <w:webHidden/>
          </w:rPr>
          <w:tab/>
        </w:r>
        <w:r>
          <w:rPr>
            <w:noProof/>
            <w:webHidden/>
          </w:rPr>
          <w:fldChar w:fldCharType="begin"/>
        </w:r>
        <w:r>
          <w:rPr>
            <w:noProof/>
            <w:webHidden/>
          </w:rPr>
          <w:instrText xml:space="preserve"> PAGEREF _Toc121901727 \h </w:instrText>
        </w:r>
        <w:r>
          <w:rPr>
            <w:noProof/>
            <w:webHidden/>
          </w:rPr>
        </w:r>
        <w:r>
          <w:rPr>
            <w:noProof/>
            <w:webHidden/>
          </w:rPr>
          <w:fldChar w:fldCharType="separate"/>
        </w:r>
        <w:r>
          <w:rPr>
            <w:noProof/>
            <w:webHidden/>
          </w:rPr>
          <w:t>75</w:t>
        </w:r>
        <w:r>
          <w:rPr>
            <w:noProof/>
            <w:webHidden/>
          </w:rPr>
          <w:fldChar w:fldCharType="end"/>
        </w:r>
      </w:hyperlink>
    </w:p>
    <w:p w14:paraId="4851B691" w14:textId="042DBB82" w:rsidR="00C22C6E" w:rsidRDefault="00C22C6E" w:rsidP="001A5EC1">
      <w:pPr>
        <w:pStyle w:val="TOC1"/>
        <w:rPr>
          <w:noProof/>
        </w:rPr>
      </w:pPr>
      <w:hyperlink w:anchor="_Toc121901728" w:history="1">
        <w:r w:rsidRPr="00DB781D">
          <w:rPr>
            <w:rStyle w:val="a9"/>
            <w:rFonts w:ascii="Arial Unicode MS" w:eastAsia="宋体" w:hAnsi="Arial Unicode MS" w:cs="Arial"/>
            <w:noProof/>
            <w:kern w:val="0"/>
          </w:rPr>
          <w:t>第二十部分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基金合同的内容摘要</w:t>
        </w:r>
        <w:r>
          <w:rPr>
            <w:noProof/>
            <w:webHidden/>
          </w:rPr>
          <w:tab/>
        </w:r>
        <w:r>
          <w:rPr>
            <w:noProof/>
            <w:webHidden/>
          </w:rPr>
          <w:fldChar w:fldCharType="begin"/>
        </w:r>
        <w:r>
          <w:rPr>
            <w:noProof/>
            <w:webHidden/>
          </w:rPr>
          <w:instrText xml:space="preserve"> PAGEREF _Toc121901728 \h </w:instrText>
        </w:r>
        <w:r>
          <w:rPr>
            <w:noProof/>
            <w:webHidden/>
          </w:rPr>
        </w:r>
        <w:r>
          <w:rPr>
            <w:noProof/>
            <w:webHidden/>
          </w:rPr>
          <w:fldChar w:fldCharType="separate"/>
        </w:r>
        <w:r>
          <w:rPr>
            <w:noProof/>
            <w:webHidden/>
          </w:rPr>
          <w:t>77</w:t>
        </w:r>
        <w:r>
          <w:rPr>
            <w:noProof/>
            <w:webHidden/>
          </w:rPr>
          <w:fldChar w:fldCharType="end"/>
        </w:r>
      </w:hyperlink>
    </w:p>
    <w:p w14:paraId="01D5C51A" w14:textId="0DC6EE4F" w:rsidR="00C22C6E" w:rsidRDefault="00C22C6E" w:rsidP="001A5EC1">
      <w:pPr>
        <w:pStyle w:val="TOC1"/>
        <w:rPr>
          <w:noProof/>
        </w:rPr>
      </w:pPr>
      <w:hyperlink w:anchor="_Toc121901729" w:history="1">
        <w:r w:rsidRPr="00DB781D">
          <w:rPr>
            <w:rStyle w:val="a9"/>
            <w:rFonts w:ascii="Arial Unicode MS" w:eastAsia="宋体" w:hAnsi="Arial Unicode MS" w:cs="Arial"/>
            <w:noProof/>
            <w:kern w:val="0"/>
          </w:rPr>
          <w:t>第二十一部分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基金托管协议的内容摘要</w:t>
        </w:r>
        <w:r>
          <w:rPr>
            <w:noProof/>
            <w:webHidden/>
          </w:rPr>
          <w:tab/>
        </w:r>
        <w:r>
          <w:rPr>
            <w:noProof/>
            <w:webHidden/>
          </w:rPr>
          <w:fldChar w:fldCharType="begin"/>
        </w:r>
        <w:r>
          <w:rPr>
            <w:noProof/>
            <w:webHidden/>
          </w:rPr>
          <w:instrText xml:space="preserve"> PAGEREF _Toc121901729 \h </w:instrText>
        </w:r>
        <w:r>
          <w:rPr>
            <w:noProof/>
            <w:webHidden/>
          </w:rPr>
        </w:r>
        <w:r>
          <w:rPr>
            <w:noProof/>
            <w:webHidden/>
          </w:rPr>
          <w:fldChar w:fldCharType="separate"/>
        </w:r>
        <w:r>
          <w:rPr>
            <w:noProof/>
            <w:webHidden/>
          </w:rPr>
          <w:t>92</w:t>
        </w:r>
        <w:r>
          <w:rPr>
            <w:noProof/>
            <w:webHidden/>
          </w:rPr>
          <w:fldChar w:fldCharType="end"/>
        </w:r>
      </w:hyperlink>
    </w:p>
    <w:p w14:paraId="00F7238E" w14:textId="311A33B4" w:rsidR="00C22C6E" w:rsidRDefault="00C22C6E" w:rsidP="001A5EC1">
      <w:pPr>
        <w:pStyle w:val="TOC1"/>
        <w:rPr>
          <w:noProof/>
        </w:rPr>
      </w:pPr>
      <w:hyperlink w:anchor="_Toc121901730" w:history="1">
        <w:r w:rsidRPr="00DB781D">
          <w:rPr>
            <w:rStyle w:val="a9"/>
            <w:rFonts w:ascii="Arial Unicode MS" w:eastAsia="宋体" w:hAnsi="Arial Unicode MS" w:cs="Arial"/>
            <w:noProof/>
            <w:kern w:val="0"/>
          </w:rPr>
          <w:t>第二十二部分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对基金份额持有人的服务</w:t>
        </w:r>
        <w:r>
          <w:rPr>
            <w:noProof/>
            <w:webHidden/>
          </w:rPr>
          <w:tab/>
        </w:r>
        <w:r>
          <w:rPr>
            <w:noProof/>
            <w:webHidden/>
          </w:rPr>
          <w:fldChar w:fldCharType="begin"/>
        </w:r>
        <w:r>
          <w:rPr>
            <w:noProof/>
            <w:webHidden/>
          </w:rPr>
          <w:instrText xml:space="preserve"> PAGEREF _Toc121901730 \h </w:instrText>
        </w:r>
        <w:r>
          <w:rPr>
            <w:noProof/>
            <w:webHidden/>
          </w:rPr>
        </w:r>
        <w:r>
          <w:rPr>
            <w:noProof/>
            <w:webHidden/>
          </w:rPr>
          <w:fldChar w:fldCharType="separate"/>
        </w:r>
        <w:r>
          <w:rPr>
            <w:noProof/>
            <w:webHidden/>
          </w:rPr>
          <w:t>108</w:t>
        </w:r>
        <w:r>
          <w:rPr>
            <w:noProof/>
            <w:webHidden/>
          </w:rPr>
          <w:fldChar w:fldCharType="end"/>
        </w:r>
      </w:hyperlink>
    </w:p>
    <w:p w14:paraId="241BBF67" w14:textId="499713A5" w:rsidR="00C22C6E" w:rsidRDefault="00C22C6E" w:rsidP="001A5EC1">
      <w:pPr>
        <w:pStyle w:val="TOC1"/>
        <w:rPr>
          <w:noProof/>
        </w:rPr>
      </w:pPr>
      <w:hyperlink w:anchor="_Toc121901731" w:history="1">
        <w:r w:rsidRPr="00DB781D">
          <w:rPr>
            <w:rStyle w:val="a9"/>
            <w:rFonts w:ascii="Arial Unicode MS" w:eastAsia="宋体" w:hAnsi="Arial Unicode MS" w:cs="Arial"/>
            <w:noProof/>
            <w:kern w:val="0"/>
          </w:rPr>
          <w:t>第二十三部分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其他应披露事项</w:t>
        </w:r>
        <w:r>
          <w:rPr>
            <w:noProof/>
            <w:webHidden/>
          </w:rPr>
          <w:tab/>
        </w:r>
        <w:r>
          <w:rPr>
            <w:noProof/>
            <w:webHidden/>
          </w:rPr>
          <w:fldChar w:fldCharType="begin"/>
        </w:r>
        <w:r>
          <w:rPr>
            <w:noProof/>
            <w:webHidden/>
          </w:rPr>
          <w:instrText xml:space="preserve"> PAGEREF _Toc121901731 \h </w:instrText>
        </w:r>
        <w:r>
          <w:rPr>
            <w:noProof/>
            <w:webHidden/>
          </w:rPr>
        </w:r>
        <w:r>
          <w:rPr>
            <w:noProof/>
            <w:webHidden/>
          </w:rPr>
          <w:fldChar w:fldCharType="separate"/>
        </w:r>
        <w:r>
          <w:rPr>
            <w:noProof/>
            <w:webHidden/>
          </w:rPr>
          <w:t>110</w:t>
        </w:r>
        <w:r>
          <w:rPr>
            <w:noProof/>
            <w:webHidden/>
          </w:rPr>
          <w:fldChar w:fldCharType="end"/>
        </w:r>
      </w:hyperlink>
    </w:p>
    <w:p w14:paraId="578AA176" w14:textId="1850AC23" w:rsidR="00C22C6E" w:rsidRDefault="00C22C6E" w:rsidP="001A5EC1">
      <w:pPr>
        <w:pStyle w:val="TOC1"/>
        <w:rPr>
          <w:noProof/>
        </w:rPr>
      </w:pPr>
      <w:hyperlink w:anchor="_Toc121901732" w:history="1">
        <w:r w:rsidRPr="00DB781D">
          <w:rPr>
            <w:rStyle w:val="a9"/>
            <w:rFonts w:ascii="Arial Unicode MS" w:eastAsia="宋体" w:hAnsi="Arial Unicode MS" w:cs="Arial"/>
            <w:noProof/>
            <w:kern w:val="0"/>
          </w:rPr>
          <w:t>第二十四部分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招募说明书的存放及查阅方式</w:t>
        </w:r>
        <w:r>
          <w:rPr>
            <w:noProof/>
            <w:webHidden/>
          </w:rPr>
          <w:tab/>
        </w:r>
        <w:r>
          <w:rPr>
            <w:noProof/>
            <w:webHidden/>
          </w:rPr>
          <w:fldChar w:fldCharType="begin"/>
        </w:r>
        <w:r>
          <w:rPr>
            <w:noProof/>
            <w:webHidden/>
          </w:rPr>
          <w:instrText xml:space="preserve"> PAGEREF _Toc121901732 \h </w:instrText>
        </w:r>
        <w:r>
          <w:rPr>
            <w:noProof/>
            <w:webHidden/>
          </w:rPr>
        </w:r>
        <w:r>
          <w:rPr>
            <w:noProof/>
            <w:webHidden/>
          </w:rPr>
          <w:fldChar w:fldCharType="separate"/>
        </w:r>
        <w:r>
          <w:rPr>
            <w:noProof/>
            <w:webHidden/>
          </w:rPr>
          <w:t>112</w:t>
        </w:r>
        <w:r>
          <w:rPr>
            <w:noProof/>
            <w:webHidden/>
          </w:rPr>
          <w:fldChar w:fldCharType="end"/>
        </w:r>
      </w:hyperlink>
    </w:p>
    <w:p w14:paraId="7C610AC3" w14:textId="7543E265" w:rsidR="00C22C6E" w:rsidRDefault="00C22C6E" w:rsidP="001A5EC1">
      <w:pPr>
        <w:pStyle w:val="TOC1"/>
        <w:rPr>
          <w:noProof/>
        </w:rPr>
      </w:pPr>
      <w:hyperlink w:anchor="_Toc121901733" w:history="1">
        <w:r w:rsidRPr="00DB781D">
          <w:rPr>
            <w:rStyle w:val="a9"/>
            <w:rFonts w:ascii="Arial Unicode MS" w:eastAsia="宋体" w:hAnsi="Arial Unicode MS" w:cs="Arial"/>
            <w:noProof/>
            <w:kern w:val="0"/>
          </w:rPr>
          <w:t>第二十五部分</w:t>
        </w:r>
        <w:r w:rsidRPr="00DB781D">
          <w:rPr>
            <w:rStyle w:val="a9"/>
            <w:rFonts w:ascii="Arial Unicode MS" w:eastAsia="宋体" w:hAnsi="Arial Unicode MS" w:cs="Arial"/>
            <w:noProof/>
            <w:kern w:val="0"/>
          </w:rPr>
          <w:t xml:space="preserve">  </w:t>
        </w:r>
        <w:r w:rsidRPr="00DB781D">
          <w:rPr>
            <w:rStyle w:val="a9"/>
            <w:rFonts w:ascii="Arial Unicode MS" w:eastAsia="宋体" w:hAnsi="Arial Unicode MS" w:cs="Arial"/>
            <w:noProof/>
            <w:kern w:val="0"/>
          </w:rPr>
          <w:t>备查文件</w:t>
        </w:r>
        <w:r>
          <w:rPr>
            <w:noProof/>
            <w:webHidden/>
          </w:rPr>
          <w:tab/>
        </w:r>
        <w:r>
          <w:rPr>
            <w:noProof/>
            <w:webHidden/>
          </w:rPr>
          <w:fldChar w:fldCharType="begin"/>
        </w:r>
        <w:r>
          <w:rPr>
            <w:noProof/>
            <w:webHidden/>
          </w:rPr>
          <w:instrText xml:space="preserve"> PAGEREF _Toc121901733 \h </w:instrText>
        </w:r>
        <w:r>
          <w:rPr>
            <w:noProof/>
            <w:webHidden/>
          </w:rPr>
        </w:r>
        <w:r>
          <w:rPr>
            <w:noProof/>
            <w:webHidden/>
          </w:rPr>
          <w:fldChar w:fldCharType="separate"/>
        </w:r>
        <w:r>
          <w:rPr>
            <w:noProof/>
            <w:webHidden/>
          </w:rPr>
          <w:t>113</w:t>
        </w:r>
        <w:r>
          <w:rPr>
            <w:noProof/>
            <w:webHidden/>
          </w:rPr>
          <w:fldChar w:fldCharType="end"/>
        </w:r>
      </w:hyperlink>
    </w:p>
    <w:p w14:paraId="5616D8CF" w14:textId="31E6C9BC" w:rsidR="007230CF" w:rsidRDefault="005F5D9A" w:rsidP="001A5EC1">
      <w:pPr>
        <w:pStyle w:val="TOC1"/>
        <w:rPr>
          <w:rStyle w:val="a9"/>
          <w:rFonts w:eastAsia="宋体"/>
          <w:caps/>
        </w:rPr>
      </w:pPr>
      <w:r w:rsidRPr="005F5D9A">
        <w:rPr>
          <w:rStyle w:val="a9"/>
          <w:rFonts w:eastAsia="宋体"/>
          <w:caps/>
        </w:rPr>
        <w:fldChar w:fldCharType="end"/>
      </w:r>
    </w:p>
    <w:p w14:paraId="45885B29" w14:textId="20E1F56D" w:rsidR="0005222B" w:rsidRDefault="0005222B">
      <w:pPr>
        <w:widowControl/>
        <w:jc w:val="left"/>
        <w:rPr>
          <w:rFonts w:ascii="宋体" w:eastAsia="宋体" w:hAnsi="宋体"/>
          <w:szCs w:val="21"/>
        </w:rPr>
      </w:pPr>
      <w:r>
        <w:rPr>
          <w:rFonts w:ascii="宋体" w:eastAsia="宋体" w:hAnsi="宋体"/>
          <w:szCs w:val="21"/>
        </w:rPr>
        <w:br w:type="page"/>
      </w:r>
    </w:p>
    <w:p w14:paraId="179113AB" w14:textId="77777777" w:rsidR="00BD090D" w:rsidRPr="00BD090D" w:rsidRDefault="00BD090D" w:rsidP="001A5EC1">
      <w:pPr>
        <w:pStyle w:val="TOC1"/>
      </w:pPr>
    </w:p>
    <w:p w14:paraId="1B1E0532"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0" w:name="_Toc121901709"/>
      <w:r w:rsidRPr="00BD090D">
        <w:rPr>
          <w:rFonts w:ascii="Arial Unicode MS" w:eastAsia="宋体" w:hAnsi="Arial Unicode MS" w:cs="Arial" w:hint="eastAsia"/>
          <w:kern w:val="0"/>
          <w:sz w:val="28"/>
          <w:szCs w:val="28"/>
        </w:rPr>
        <w:t>第一部分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绪言</w:t>
      </w:r>
      <w:bookmarkEnd w:id="0"/>
    </w:p>
    <w:p w14:paraId="69BA05B6" w14:textId="77777777" w:rsidR="00BD090D" w:rsidRPr="00BD090D" w:rsidRDefault="00BD090D" w:rsidP="00BD090D">
      <w:pPr>
        <w:spacing w:line="360" w:lineRule="auto"/>
        <w:ind w:firstLineChars="200" w:firstLine="420"/>
        <w:rPr>
          <w:rFonts w:ascii="宋体" w:eastAsia="宋体" w:hAnsi="宋体"/>
          <w:szCs w:val="21"/>
        </w:rPr>
      </w:pPr>
    </w:p>
    <w:p w14:paraId="2079F9F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富荣富合一年定期开放纯债债券型发起式证券投资基金招募说明书》（以下简称“招募说明书”或“本招募说明书”）依照《中华人民共和国证券投资基金法》（以下简称“《基金法》”）、《公开募集证券投资基金运作管理办法》（以下简称“《运作办法》”）、《</w:t>
      </w:r>
      <w:r w:rsidR="00A1050D">
        <w:rPr>
          <w:rFonts w:ascii="宋体" w:eastAsia="宋体" w:hAnsi="宋体" w:hint="eastAsia"/>
          <w:szCs w:val="21"/>
        </w:rPr>
        <w:t>公开募集</w:t>
      </w:r>
      <w:r w:rsidRPr="00BD090D">
        <w:rPr>
          <w:rFonts w:ascii="宋体" w:eastAsia="宋体" w:hAnsi="宋体" w:hint="eastAsia"/>
          <w:szCs w:val="21"/>
        </w:rPr>
        <w:t>证券投资基金销售</w:t>
      </w:r>
      <w:r w:rsidR="00A1050D">
        <w:rPr>
          <w:rFonts w:ascii="宋体" w:eastAsia="宋体" w:hAnsi="宋体" w:hint="eastAsia"/>
          <w:szCs w:val="21"/>
        </w:rPr>
        <w:t>监督管理</w:t>
      </w:r>
      <w:r w:rsidRPr="00BD090D">
        <w:rPr>
          <w:rFonts w:ascii="宋体" w:eastAsia="宋体" w:hAnsi="宋体" w:hint="eastAsia"/>
          <w:szCs w:val="21"/>
        </w:rPr>
        <w:t>管理办法》（以下简称“《销售办法》”）、《公开募集证券投资基金信息披露管理办法》（以下简称“《信息披露办法》”）、《公开募集开放式证券投资基金流动性风险管理规定》（以下简称“《流动性风险管理规定》”）和其他有关法律法规以及《富荣富合一年定期开放纯债债券型发起式证券投资基金基金合同》（以下简称“基金合同”）编写。</w:t>
      </w:r>
    </w:p>
    <w:p w14:paraId="0276A9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本招募说明书阐述了富荣富合一年定期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型发起式证券投资基金的投资目标、策略、风险、费率等与投资人投资决策有关的必要事项，投资人在</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投资决策前应仔细阅读本招募说明书。</w:t>
      </w:r>
    </w:p>
    <w:p w14:paraId="1D4441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基金管理人承诺本招募说明书不存在任何虚假记载、误导性陈述或重大遗漏，并对其真实性、准确性、完整性承担法律责任。</w:t>
      </w:r>
    </w:p>
    <w:p w14:paraId="5E82F0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059A5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本招募说明书根据本基金的基金合同编写，并经中国证监会注册。基金合同是约定基金合同当事人之间权利、义务的法律文件。基金</w:t>
      </w:r>
      <w:proofErr w:type="gramStart"/>
      <w:r w:rsidRPr="00BD090D">
        <w:rPr>
          <w:rFonts w:ascii="宋体" w:eastAsia="宋体" w:hAnsi="宋体" w:hint="eastAsia"/>
          <w:szCs w:val="21"/>
        </w:rPr>
        <w:t>投资者自依基金</w:t>
      </w:r>
      <w:proofErr w:type="gramEnd"/>
      <w:r w:rsidRPr="00BD090D">
        <w:rPr>
          <w:rFonts w:ascii="宋体" w:eastAsia="宋体" w:hAnsi="宋体" w:hint="eastAsia"/>
          <w:szCs w:val="21"/>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6A1BC8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6F6AF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0A9C988"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CA50488" w14:textId="77777777" w:rsidR="00E93E50" w:rsidRDefault="00E93E50">
      <w:pPr>
        <w:widowControl/>
        <w:jc w:val="left"/>
        <w:rPr>
          <w:rFonts w:ascii="宋体" w:eastAsia="宋体" w:hAnsi="宋体"/>
          <w:szCs w:val="21"/>
        </w:rPr>
      </w:pPr>
      <w:r>
        <w:rPr>
          <w:rFonts w:ascii="宋体" w:eastAsia="宋体" w:hAnsi="宋体"/>
          <w:szCs w:val="21"/>
        </w:rPr>
        <w:br w:type="page"/>
      </w:r>
    </w:p>
    <w:p w14:paraId="31AB89A2"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 w:name="_Toc121901710"/>
      <w:r w:rsidRPr="00BD090D">
        <w:rPr>
          <w:rFonts w:ascii="Arial Unicode MS" w:eastAsia="宋体" w:hAnsi="Arial Unicode MS" w:cs="Arial" w:hint="eastAsia"/>
          <w:kern w:val="0"/>
          <w:sz w:val="28"/>
          <w:szCs w:val="28"/>
        </w:rPr>
        <w:lastRenderedPageBreak/>
        <w:t>第二部分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释义</w:t>
      </w:r>
      <w:bookmarkEnd w:id="1"/>
    </w:p>
    <w:p w14:paraId="1CCBE1FC" w14:textId="77777777" w:rsidR="00BD090D" w:rsidRPr="00BD090D" w:rsidRDefault="00BD090D" w:rsidP="00BD090D">
      <w:pPr>
        <w:spacing w:line="360" w:lineRule="auto"/>
        <w:ind w:firstLineChars="200" w:firstLine="420"/>
        <w:rPr>
          <w:rFonts w:ascii="宋体" w:eastAsia="宋体" w:hAnsi="宋体"/>
          <w:szCs w:val="21"/>
        </w:rPr>
      </w:pPr>
    </w:p>
    <w:p w14:paraId="54A93F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在本招募说明书中，除非文义另有所指，下列词语具有以下含义：</w:t>
      </w:r>
    </w:p>
    <w:p w14:paraId="7BF118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1、基金或本基金：指富荣富合一年定期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w:t>
      </w:r>
    </w:p>
    <w:p w14:paraId="6B3C7D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2、基金管理人：指富荣基金管理有限公司      </w:t>
      </w:r>
    </w:p>
    <w:p w14:paraId="0AB9F6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3、基金托管人：指中国民生银行股份有限公司    </w:t>
      </w:r>
    </w:p>
    <w:p w14:paraId="1B32712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4、基金合同：指《富荣富合一年定期开放纯债债券型发起式证券投资基金基金合同》及对基金合同的任何有效修订和补充</w:t>
      </w:r>
    </w:p>
    <w:p w14:paraId="792AD6A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5、托管协议：指基金管理人与基金托管人就本基金签订之《富荣富合一年定期开放纯债债券型发起式证券投资基金托管协议》及对该托管协议的任何有效修订和补充</w:t>
      </w:r>
    </w:p>
    <w:p w14:paraId="7B79B2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6、招募说明书或本招募说明书：指《富荣富合一年定期开放纯债债券型发起式证券投资基金招募说明书》及其更新</w:t>
      </w:r>
    </w:p>
    <w:p w14:paraId="06BF50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7、基金份额发售公告：指《富荣富合一年定期开放纯债债券型发起式证券投资基金基金份额发售公告》</w:t>
      </w:r>
    </w:p>
    <w:p w14:paraId="7482E1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8、法律法规：指中国现行有效并公布实施的法律、行政法规、规范性文件、司法解释、行政规章以及其他对基金合同当事人有约束力的决定、决议、通知等</w:t>
      </w:r>
    </w:p>
    <w:p w14:paraId="5C1D83D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正的《中华人民共和国证券投资基金法》及颁布机关对其不时做出的修订</w:t>
      </w:r>
    </w:p>
    <w:p w14:paraId="735787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10、《销售办法》：指中国证监会</w:t>
      </w:r>
      <w:r w:rsidR="00A1050D" w:rsidRPr="00BD090D">
        <w:rPr>
          <w:rFonts w:ascii="宋体" w:eastAsia="宋体" w:hAnsi="宋体" w:hint="eastAsia"/>
          <w:szCs w:val="21"/>
        </w:rPr>
        <w:t>20</w:t>
      </w:r>
      <w:r w:rsidR="00A1050D">
        <w:rPr>
          <w:rFonts w:ascii="宋体" w:eastAsia="宋体" w:hAnsi="宋体" w:hint="eastAsia"/>
          <w:szCs w:val="21"/>
        </w:rPr>
        <w:t>20</w:t>
      </w:r>
      <w:r w:rsidRPr="00BD090D">
        <w:rPr>
          <w:rFonts w:ascii="宋体" w:eastAsia="宋体" w:hAnsi="宋体" w:hint="eastAsia"/>
          <w:szCs w:val="21"/>
        </w:rPr>
        <w:t>年</w:t>
      </w:r>
      <w:r w:rsidR="00A1050D">
        <w:rPr>
          <w:rFonts w:ascii="宋体" w:eastAsia="宋体" w:hAnsi="宋体" w:hint="eastAsia"/>
          <w:szCs w:val="21"/>
        </w:rPr>
        <w:t>8</w:t>
      </w:r>
      <w:r w:rsidRPr="00BD090D">
        <w:rPr>
          <w:rFonts w:ascii="宋体" w:eastAsia="宋体" w:hAnsi="宋体" w:hint="eastAsia"/>
          <w:szCs w:val="21"/>
        </w:rPr>
        <w:t>月</w:t>
      </w:r>
      <w:r w:rsidR="00A1050D">
        <w:rPr>
          <w:rFonts w:ascii="宋体" w:eastAsia="宋体" w:hAnsi="宋体" w:hint="eastAsia"/>
          <w:szCs w:val="21"/>
        </w:rPr>
        <w:t>28</w:t>
      </w:r>
      <w:r w:rsidRPr="00BD090D">
        <w:rPr>
          <w:rFonts w:ascii="宋体" w:eastAsia="宋体" w:hAnsi="宋体" w:hint="eastAsia"/>
          <w:szCs w:val="21"/>
        </w:rPr>
        <w:t>日颁布、同年</w:t>
      </w:r>
      <w:r w:rsidR="00A1050D">
        <w:rPr>
          <w:rFonts w:ascii="宋体" w:eastAsia="宋体" w:hAnsi="宋体" w:hint="eastAsia"/>
          <w:szCs w:val="21"/>
        </w:rPr>
        <w:t>10</w:t>
      </w:r>
      <w:r w:rsidRPr="00BD090D">
        <w:rPr>
          <w:rFonts w:ascii="宋体" w:eastAsia="宋体" w:hAnsi="宋体" w:hint="eastAsia"/>
          <w:szCs w:val="21"/>
        </w:rPr>
        <w:t>月1日起实施的《</w:t>
      </w:r>
      <w:r w:rsidR="00A1050D">
        <w:rPr>
          <w:rFonts w:ascii="宋体" w:eastAsia="宋体" w:hAnsi="宋体" w:hint="eastAsia"/>
          <w:szCs w:val="21"/>
        </w:rPr>
        <w:t>公开募集</w:t>
      </w:r>
      <w:r w:rsidRPr="00BD090D">
        <w:rPr>
          <w:rFonts w:ascii="宋体" w:eastAsia="宋体" w:hAnsi="宋体" w:hint="eastAsia"/>
          <w:szCs w:val="21"/>
        </w:rPr>
        <w:t>证券投资基金销售</w:t>
      </w:r>
      <w:r w:rsidR="00A1050D">
        <w:rPr>
          <w:rFonts w:ascii="宋体" w:eastAsia="宋体" w:hAnsi="宋体" w:hint="eastAsia"/>
          <w:szCs w:val="21"/>
        </w:rPr>
        <w:t>机构监督</w:t>
      </w:r>
      <w:r w:rsidRPr="00BD090D">
        <w:rPr>
          <w:rFonts w:ascii="宋体" w:eastAsia="宋体" w:hAnsi="宋体" w:hint="eastAsia"/>
          <w:szCs w:val="21"/>
        </w:rPr>
        <w:t>管理办法》及颁布机关对其不时做出的修订</w:t>
      </w:r>
    </w:p>
    <w:p w14:paraId="7FE5D8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11、《信息披露办法》：指中国证监会 2019年7月26日颁布、同年9月1日实施的，并经2020年3月20日中国证监会公布的《关于修改部分证券期货规章的决定》修正的《公开募集证券投资基金信息披露管理办法》及颁布机关对其不时做出的修订</w:t>
      </w:r>
    </w:p>
    <w:p w14:paraId="2F9DE6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12、《运作办法》：指中国证监会2014年7月7日颁布、同年8月8日实施的《公开募集证券投资基金运作管理办法》及颁布机关对其不时做出的修订</w:t>
      </w:r>
    </w:p>
    <w:p w14:paraId="579EBC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13、《流动性风险管理规定》：指中国证监会2017年8月31日颁布、同年10月1日实</w:t>
      </w:r>
      <w:r w:rsidRPr="00BD090D">
        <w:rPr>
          <w:rFonts w:ascii="宋体" w:eastAsia="宋体" w:hAnsi="宋体" w:hint="eastAsia"/>
          <w:szCs w:val="21"/>
        </w:rPr>
        <w:lastRenderedPageBreak/>
        <w:t>施的《公开募集开放式证券投资基金流动性风险管理规定》及颁布机关对其不时做出的修订</w:t>
      </w:r>
    </w:p>
    <w:p w14:paraId="7FB20B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14、中国证监会：指中国证券监督管理委员会</w:t>
      </w:r>
    </w:p>
    <w:p w14:paraId="6C61FD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15、银行业监督管理机构：指中国人民银行和/或中国银行保险监督管理委员会</w:t>
      </w:r>
    </w:p>
    <w:p w14:paraId="064BE1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16、基金合同当事人：指受基金合同约束，根据基金合同享有权利并承担义务的法律主体，包括基金管理人、基金托管人和基金份额持有人</w:t>
      </w:r>
    </w:p>
    <w:p w14:paraId="2806A3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17、个人投资者：指依据有关法律法规规定可投资于证券投资基金的自然人。本基金不向个人投资者销售</w:t>
      </w:r>
    </w:p>
    <w:p w14:paraId="21AD84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18、机构投资者：指依法可以投资证券投资基金的、在中华人民共和国境内合法登记并存续或经有关政府部门批准设立并存续的企业法人、事业法人、社会团体或其他组织</w:t>
      </w:r>
    </w:p>
    <w:p w14:paraId="18D350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19、合格境外机构投资者：指符合相关法律法规的规定可以投资于在中国境内依法募集的证券投资基金的中国境外的机构投资者</w:t>
      </w:r>
    </w:p>
    <w:p w14:paraId="7DB2C56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20、投资人、投资者：指机构投资者、合格境外机构投资者、发起资金提供方以及法律法规或中国证监会允许购买证券投资基金的其他投资人的合称</w:t>
      </w:r>
    </w:p>
    <w:p w14:paraId="4E4C19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21、基金份额持有人：指依基金合同和招募说明书合法取得基金份额的投资人</w:t>
      </w:r>
    </w:p>
    <w:p w14:paraId="588C39C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22、基金销售业务：指基金管理人或销售机构宣传推介基金，发售基金份额、办理基金份额的申购、赎回、转换、转托管及定期定额投资等业务</w:t>
      </w:r>
    </w:p>
    <w:p w14:paraId="16921BA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23、销售机构：指富荣基金管理有限公司以及符合《销售办法》和中国证监会规定的其他条件，取得基金销售业务资格并与基金管理人签订了基金销售服务协议，办理基金销售业务的机构</w:t>
      </w:r>
    </w:p>
    <w:p w14:paraId="7E3AC5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24、直销机构：指富荣基金管理有限公司</w:t>
      </w:r>
    </w:p>
    <w:p w14:paraId="2FA974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25、非直销销售机构：指符合《销售办法》和中国证监会规定的其他条件，取得基金销售业务资格并与基金管理人签订了基金销售服务协议，办理基金销售业务的机构</w:t>
      </w:r>
    </w:p>
    <w:p w14:paraId="12E47A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26、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过户等</w:t>
      </w:r>
    </w:p>
    <w:p w14:paraId="622CFE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27、登记机构：</w:t>
      </w:r>
      <w:proofErr w:type="gramStart"/>
      <w:r w:rsidRPr="00BD090D">
        <w:rPr>
          <w:rFonts w:ascii="宋体" w:eastAsia="宋体" w:hAnsi="宋体" w:hint="eastAsia"/>
          <w:szCs w:val="21"/>
        </w:rPr>
        <w:t>指办理</w:t>
      </w:r>
      <w:proofErr w:type="gramEnd"/>
      <w:r w:rsidRPr="00BD090D">
        <w:rPr>
          <w:rFonts w:ascii="宋体" w:eastAsia="宋体" w:hAnsi="宋体" w:hint="eastAsia"/>
          <w:szCs w:val="21"/>
        </w:rPr>
        <w:t>登记业务的机构。基金的登记机构为富荣基金管理有限公司或接受富荣基金管理有限公司委托代为办理登记业务的机构</w:t>
      </w:r>
    </w:p>
    <w:p w14:paraId="73312F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28、基金账户：指登记机构为投资人开立的、记录其持有的、基金管理人所管理的基金份额余额及其变动情况的账户</w:t>
      </w:r>
    </w:p>
    <w:p w14:paraId="40F405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29、基金交易账户：指销售机构为投资人开立的、记录投资人通过该销售机构办理认购、</w:t>
      </w:r>
      <w:r w:rsidRPr="00BD090D">
        <w:rPr>
          <w:rFonts w:ascii="宋体" w:eastAsia="宋体" w:hAnsi="宋体" w:hint="eastAsia"/>
          <w:szCs w:val="21"/>
        </w:rPr>
        <w:lastRenderedPageBreak/>
        <w:t>申购、赎回、转换、转托管等业务而引起的基金份额变动及结余情况的账户</w:t>
      </w:r>
    </w:p>
    <w:p w14:paraId="6C8097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30、基金合同生效日：指基金募集达到法律法规规定及基金合同规定的条件，基金管理人向中国证监会办理基金备案手续完毕，并获得中国证监会书面确认的日期</w:t>
      </w:r>
    </w:p>
    <w:p w14:paraId="1C424F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31、基金合同终止日：指基金合同规定的基金合同终止事由出现后，基金财产清算完毕，清算结果报中国证监会备案并予以公告的日期</w:t>
      </w:r>
    </w:p>
    <w:p w14:paraId="36ED7E0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32、基金募集期：指自基金份额发售之日起至发售结束之日止的期间，最长不得超过3个月</w:t>
      </w:r>
    </w:p>
    <w:p w14:paraId="5008E1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33、存续期：指基金合同生效至终止之间的不定期期限</w:t>
      </w:r>
    </w:p>
    <w:p w14:paraId="7FC5C1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34、工作日：指上海证券交易所、深圳证券交易所的正常交易日</w:t>
      </w:r>
    </w:p>
    <w:p w14:paraId="609658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35、T日：指销售机构在规定时间受理投资人申购、赎回或其他业务申请的开放日</w:t>
      </w:r>
    </w:p>
    <w:p w14:paraId="02BDE9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36、</w:t>
      </w:r>
      <w:proofErr w:type="spellStart"/>
      <w:r w:rsidRPr="00BD090D">
        <w:rPr>
          <w:rFonts w:ascii="宋体" w:eastAsia="宋体" w:hAnsi="宋体" w:hint="eastAsia"/>
          <w:szCs w:val="21"/>
        </w:rPr>
        <w:t>T+n</w:t>
      </w:r>
      <w:proofErr w:type="spellEnd"/>
      <w:r w:rsidRPr="00BD090D">
        <w:rPr>
          <w:rFonts w:ascii="宋体" w:eastAsia="宋体" w:hAnsi="宋体" w:hint="eastAsia"/>
          <w:szCs w:val="21"/>
        </w:rPr>
        <w:t>日：指自T日起第n</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工作日(不包含T日)</w:t>
      </w:r>
    </w:p>
    <w:p w14:paraId="4ABAA0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37、定期开放：指本基金采取的在封闭期内封闭运作、封闭期与封闭期之间定期开放的运作模式 </w:t>
      </w:r>
    </w:p>
    <w:p w14:paraId="749B56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38、封闭期：本基金的封闭期为自基金合同生效日起（包括基金合同生效日）或自每一开放期结束之日次日起（包括该日）一年的期间。第一个封闭期为基金合同生效日起至基金合同生效日一年后对应日的前一日止，第二个封闭期为第一个开放期结束之日次日起至该封闭期首日的一年后对应日的前一日止，以此类推。本基金封闭期内不办理申购与赎回业务，也不上市交易 </w:t>
      </w:r>
    </w:p>
    <w:p w14:paraId="064742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39、开放期：本基金自每个封闭期结束之后第一个工作日起（包括该日）进入开放期，期间可以办理申购与赎回业务。开放期间原则上为5至20个工作日，开放期的具体时间由基金管理人在每一开放期开始前依照《信息披露办法》的有关规定在规定媒介上予以公告。 </w:t>
      </w:r>
    </w:p>
    <w:p w14:paraId="76D44C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40、一年后对应日：指某一特定日期在后续第12个日历月的对应日期，如该对应日期为非工作日，则顺延至下一工作日，若该日历月份不存在对应日期的，则顺延至该月最后一日的下一工作日</w:t>
      </w:r>
    </w:p>
    <w:p w14:paraId="4979F4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41、开放日：指在开放期内为投资人办理基金份额申购、赎回或其他业务的工作日</w:t>
      </w:r>
    </w:p>
    <w:p w14:paraId="66AA2ED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42、开放时间：指开放日基金接受申购、赎回或其他交易的时间段</w:t>
      </w:r>
    </w:p>
    <w:p w14:paraId="29D38E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43、《业务规则》：指《富荣基金管理有限公司证券投资基金注册登记业务规则》，是规范基金管理人所管理的开放式证券投资基金登记方面的业务规则，由基金管理人和投资人共同遵守</w:t>
      </w:r>
    </w:p>
    <w:p w14:paraId="341363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44、认购：指在基金募集期内，投资人根据基金合同和招募说明书的规定申请购买基金</w:t>
      </w:r>
      <w:r w:rsidRPr="00BD090D">
        <w:rPr>
          <w:rFonts w:ascii="宋体" w:eastAsia="宋体" w:hAnsi="宋体" w:hint="eastAsia"/>
          <w:szCs w:val="21"/>
        </w:rPr>
        <w:lastRenderedPageBreak/>
        <w:t>份额的行为</w:t>
      </w:r>
    </w:p>
    <w:p w14:paraId="66DDC58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45、申购：指基金合同生效后，投资人根据基金合同和招募说明书的规定申请购买基金份额的行为</w:t>
      </w:r>
    </w:p>
    <w:p w14:paraId="64EF883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46、赎回：指基金合同生效后，基金份额持有人按基金合同和招募说明书规定的条件要求将基金份额兑换为现金的行为</w:t>
      </w:r>
    </w:p>
    <w:p w14:paraId="544953F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47、基金转换：指基金份额持有人按照基金合同和基金管理人届时有效公告规定的条件，申请将其持有基金管理人管理的、某一基金的基金份额转换为基金管理人管理的其他</w:t>
      </w:r>
      <w:proofErr w:type="gramStart"/>
      <w:r w:rsidRPr="00BD090D">
        <w:rPr>
          <w:rFonts w:ascii="宋体" w:eastAsia="宋体" w:hAnsi="宋体" w:hint="eastAsia"/>
          <w:szCs w:val="21"/>
        </w:rPr>
        <w:t>基金基金</w:t>
      </w:r>
      <w:proofErr w:type="gramEnd"/>
      <w:r w:rsidRPr="00BD090D">
        <w:rPr>
          <w:rFonts w:ascii="宋体" w:eastAsia="宋体" w:hAnsi="宋体" w:hint="eastAsia"/>
          <w:szCs w:val="21"/>
        </w:rPr>
        <w:t>份额的行为</w:t>
      </w:r>
    </w:p>
    <w:p w14:paraId="1C27D8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48、转托管：指基金份额持有人在本基金的不同销售机构之间实施的变更所持基金份额销售机构的操作</w:t>
      </w:r>
    </w:p>
    <w:p w14:paraId="3FADF8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49、定期定额投资计划：指投资人通过有关销售机构提出申请，约定每期申购日、扣款金额及扣款方式，由销售机构于每期约定扣款日在投资人指定银行账户内自动完成扣款及受理基金申购申请的一种投资方式</w:t>
      </w:r>
    </w:p>
    <w:p w14:paraId="102B84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50、巨额赎回：指本基金开放期单个开放日，基金净赎回申请(赎回申请份额总数加上基金转换中转出申请份额总数后扣除申购申请份额总数及基金转换中转入申请份额总数后的余额)超过前一工作日的基金总份额的20%</w:t>
      </w:r>
    </w:p>
    <w:p w14:paraId="707700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51、元：指人民币元</w:t>
      </w:r>
    </w:p>
    <w:p w14:paraId="20529E2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52、基金收益：指基金投资所得债券利息、票据投资收益、买卖证券价差、银行存款利息以及其他收入，因运用基金财产带来的成本和费用的节约计入收益</w:t>
      </w:r>
    </w:p>
    <w:p w14:paraId="1C8A097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53、基金资产总值：指基金拥有的各类有价证券、银行存款本息、基金应收申购款及其他资产的价值总和</w:t>
      </w:r>
    </w:p>
    <w:p w14:paraId="769A2F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54、基金资产净值：指基金资产总值减去基金负债后的价值</w:t>
      </w:r>
    </w:p>
    <w:p w14:paraId="141CA1A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55、基金份额净值：指计算日基金资产净值除以计算日基金份额总数</w:t>
      </w:r>
    </w:p>
    <w:p w14:paraId="29727C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56、基金资产估值：指计算评估基金资产和负债的价值，以确定基金资产净值和基金份额净值的过程</w:t>
      </w:r>
    </w:p>
    <w:p w14:paraId="281A60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57、规定媒介：指符合中国证监会规定条件的用以进行信息披露的全国性报刊及《信息披露办法》规定的互联网网站（包括基金管理人网站、基金托管人网站、中国证监会基金电子披露网站）等媒介</w:t>
      </w:r>
    </w:p>
    <w:p w14:paraId="16F95C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58、不可抗力：指基金合同当事人不能预见、不能避免且不能克服的客观事件</w:t>
      </w:r>
    </w:p>
    <w:p w14:paraId="776DB2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59、发起式基金：指按照《运作办法》及中国证监会规定的条件募集、运作，募集资金</w:t>
      </w:r>
      <w:r w:rsidRPr="00BD090D">
        <w:rPr>
          <w:rFonts w:ascii="宋体" w:eastAsia="宋体" w:hAnsi="宋体" w:hint="eastAsia"/>
          <w:szCs w:val="21"/>
        </w:rPr>
        <w:lastRenderedPageBreak/>
        <w:t xml:space="preserve">中发起资金不少于规定金额且发起资金认购的基金份额持有期限不少于三年的证券投资基金 </w:t>
      </w:r>
    </w:p>
    <w:p w14:paraId="466C8F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60、发起资金：指用于认购发起</w:t>
      </w:r>
      <w:proofErr w:type="gramStart"/>
      <w:r w:rsidRPr="00BD090D">
        <w:rPr>
          <w:rFonts w:ascii="宋体" w:eastAsia="宋体" w:hAnsi="宋体" w:hint="eastAsia"/>
          <w:szCs w:val="21"/>
        </w:rPr>
        <w:t>式基金</w:t>
      </w:r>
      <w:proofErr w:type="gramEnd"/>
      <w:r w:rsidRPr="00BD090D">
        <w:rPr>
          <w:rFonts w:ascii="宋体" w:eastAsia="宋体" w:hAnsi="宋体" w:hint="eastAsia"/>
          <w:szCs w:val="21"/>
        </w:rPr>
        <w:t>且来源于基金管理</w:t>
      </w:r>
      <w:proofErr w:type="gramStart"/>
      <w:r w:rsidRPr="00BD090D">
        <w:rPr>
          <w:rFonts w:ascii="宋体" w:eastAsia="宋体" w:hAnsi="宋体" w:hint="eastAsia"/>
          <w:szCs w:val="21"/>
        </w:rPr>
        <w:t>人股东</w:t>
      </w:r>
      <w:proofErr w:type="gramEnd"/>
      <w:r w:rsidRPr="00BD090D">
        <w:rPr>
          <w:rFonts w:ascii="宋体" w:eastAsia="宋体" w:hAnsi="宋体" w:hint="eastAsia"/>
          <w:szCs w:val="21"/>
        </w:rPr>
        <w:t>资金、基金管理人固有资金、基金管理人高级管理人员或基金经理（指基金管理人员工中依法具有基金经理资格者，包括但可能不限于本基金的基金经理、公司投</w:t>
      </w:r>
      <w:proofErr w:type="gramStart"/>
      <w:r w:rsidRPr="00BD090D">
        <w:rPr>
          <w:rFonts w:ascii="宋体" w:eastAsia="宋体" w:hAnsi="宋体" w:hint="eastAsia"/>
          <w:szCs w:val="21"/>
        </w:rPr>
        <w:t>研</w:t>
      </w:r>
      <w:proofErr w:type="gramEnd"/>
      <w:r w:rsidRPr="00BD090D">
        <w:rPr>
          <w:rFonts w:ascii="宋体" w:eastAsia="宋体" w:hAnsi="宋体" w:hint="eastAsia"/>
          <w:szCs w:val="21"/>
        </w:rPr>
        <w:t xml:space="preserve">人员）等人员的资金 </w:t>
      </w:r>
    </w:p>
    <w:p w14:paraId="4DD7AB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61、发起资金提供方：指以发起资金认购本基金且承诺以发起资金认购的基金份额持有期自基金合同生效日起不少于3年的基金管理人的股东、基金管理人、基金管理人高级管理人员或基金经理等人员</w:t>
      </w:r>
    </w:p>
    <w:p w14:paraId="65E9E9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62、流动性受限资产：是指由于法律法规、监管、合同或操作障碍等原因无法以合理价格予以变现的资产，包括但不限于到期日在10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交易日以上的逆回购与银行定期存款（</w:t>
      </w:r>
      <w:proofErr w:type="gramStart"/>
      <w:r w:rsidRPr="00BD090D">
        <w:rPr>
          <w:rFonts w:ascii="宋体" w:eastAsia="宋体" w:hAnsi="宋体" w:hint="eastAsia"/>
          <w:szCs w:val="21"/>
        </w:rPr>
        <w:t>含协议</w:t>
      </w:r>
      <w:proofErr w:type="gramEnd"/>
      <w:r w:rsidRPr="00BD090D">
        <w:rPr>
          <w:rFonts w:ascii="宋体" w:eastAsia="宋体" w:hAnsi="宋体" w:hint="eastAsia"/>
          <w:szCs w:val="21"/>
        </w:rPr>
        <w:t>约定有条件提前支取的银行存款）、停牌股票、流通受限的新股及非公开发行股票、资产支持证券、因发行人债务违约无法进行转让或交易的债券等</w:t>
      </w:r>
    </w:p>
    <w:p w14:paraId="59ADAD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63、摆动定价机制：指当开放式基金遭遇大额申购赎回时，通过调整基金份额净值的方式，将基金调整投资组合的市场冲击成本分配给实际申购、赎回的投资者。具体处理原则与操作规范遵循相关法律法规以及监管部门、自律规则的规定</w:t>
      </w:r>
    </w:p>
    <w:p w14:paraId="76DD68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64、</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：指将基金投资组合中的特定资产从原有账户分离至一个专门账户进行处置清算，目的在于有效隔离并化解风险，确保投资者得到公平对待，属于流动性风险管理工具。</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实施期间，原有账户称为主袋账户，专门账户</w:t>
      </w:r>
      <w:proofErr w:type="gramStart"/>
      <w:r w:rsidRPr="00BD090D">
        <w:rPr>
          <w:rFonts w:ascii="宋体" w:eastAsia="宋体" w:hAnsi="宋体" w:hint="eastAsia"/>
          <w:szCs w:val="21"/>
        </w:rPr>
        <w:t>称为侧袋账户</w:t>
      </w:r>
      <w:proofErr w:type="gramEnd"/>
    </w:p>
    <w:p w14:paraId="26EF18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65、特定资产：包括：（一）无可参考的活跃市场价格且采用估值技术</w:t>
      </w:r>
      <w:proofErr w:type="gramStart"/>
      <w:r w:rsidRPr="00BD090D">
        <w:rPr>
          <w:rFonts w:ascii="宋体" w:eastAsia="宋体" w:hAnsi="宋体" w:hint="eastAsia"/>
          <w:szCs w:val="21"/>
        </w:rPr>
        <w:t>仍导致</w:t>
      </w:r>
      <w:proofErr w:type="gramEnd"/>
      <w:r w:rsidRPr="00BD090D">
        <w:rPr>
          <w:rFonts w:ascii="宋体" w:eastAsia="宋体" w:hAnsi="宋体" w:hint="eastAsia"/>
          <w:szCs w:val="21"/>
        </w:rPr>
        <w:t>公允价值存在重大不确定性的资产；（二）</w:t>
      </w:r>
      <w:proofErr w:type="gramStart"/>
      <w:r w:rsidRPr="00BD090D">
        <w:rPr>
          <w:rFonts w:ascii="宋体" w:eastAsia="宋体" w:hAnsi="宋体" w:hint="eastAsia"/>
          <w:szCs w:val="21"/>
        </w:rPr>
        <w:t>按摊余成本</w:t>
      </w:r>
      <w:proofErr w:type="gramEnd"/>
      <w:r w:rsidRPr="00BD090D">
        <w:rPr>
          <w:rFonts w:ascii="宋体" w:eastAsia="宋体" w:hAnsi="宋体" w:hint="eastAsia"/>
          <w:szCs w:val="21"/>
        </w:rPr>
        <w:t>计量且计提资产减值</w:t>
      </w:r>
      <w:proofErr w:type="gramStart"/>
      <w:r w:rsidRPr="00BD090D">
        <w:rPr>
          <w:rFonts w:ascii="宋体" w:eastAsia="宋体" w:hAnsi="宋体" w:hint="eastAsia"/>
          <w:szCs w:val="21"/>
        </w:rPr>
        <w:t>准备仍导致</w:t>
      </w:r>
      <w:proofErr w:type="gramEnd"/>
      <w:r w:rsidRPr="00BD090D">
        <w:rPr>
          <w:rFonts w:ascii="宋体" w:eastAsia="宋体" w:hAnsi="宋体" w:hint="eastAsia"/>
          <w:szCs w:val="21"/>
        </w:rPr>
        <w:t>资产价值存在重大不确定性的资产；（三）其他资产价值存在重大不确定性的资产</w:t>
      </w:r>
    </w:p>
    <w:p w14:paraId="3D878CA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66、基金产品资料概要：指《富荣富合一年定期开放纯债债券型证券投资基金基金产品资料概要》及其更新</w:t>
      </w:r>
    </w:p>
    <w:p w14:paraId="142C5BE2" w14:textId="77777777" w:rsidR="00BD090D" w:rsidRPr="00BD090D" w:rsidRDefault="00BD090D" w:rsidP="00BD090D">
      <w:pPr>
        <w:spacing w:line="360" w:lineRule="auto"/>
        <w:ind w:firstLineChars="200" w:firstLine="420"/>
        <w:rPr>
          <w:rFonts w:ascii="宋体" w:eastAsia="宋体" w:hAnsi="宋体"/>
          <w:szCs w:val="21"/>
        </w:rPr>
      </w:pPr>
    </w:p>
    <w:p w14:paraId="04CDA5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05F5662"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481D96C"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447EECAF"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 w:name="_Toc121901711"/>
      <w:r w:rsidRPr="00BD090D">
        <w:rPr>
          <w:rFonts w:ascii="Arial Unicode MS" w:eastAsia="宋体" w:hAnsi="Arial Unicode MS" w:cs="Arial" w:hint="eastAsia"/>
          <w:kern w:val="0"/>
          <w:sz w:val="28"/>
          <w:szCs w:val="28"/>
        </w:rPr>
        <w:lastRenderedPageBreak/>
        <w:t>第三部分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基金管理人</w:t>
      </w:r>
      <w:bookmarkEnd w:id="2"/>
    </w:p>
    <w:p w14:paraId="544AD75B" w14:textId="77777777" w:rsidR="00BD090D" w:rsidRPr="00BD090D" w:rsidRDefault="00BD090D" w:rsidP="00BD090D">
      <w:pPr>
        <w:spacing w:line="360" w:lineRule="auto"/>
        <w:ind w:firstLineChars="200" w:firstLine="420"/>
        <w:rPr>
          <w:rFonts w:ascii="宋体" w:eastAsia="宋体" w:hAnsi="宋体"/>
          <w:szCs w:val="21"/>
        </w:rPr>
      </w:pPr>
    </w:p>
    <w:p w14:paraId="563499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一、基金管理人概况</w:t>
      </w:r>
    </w:p>
    <w:p w14:paraId="3AF081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名称：富荣基金管理有限公司</w:t>
      </w:r>
    </w:p>
    <w:p w14:paraId="37A54E2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住所：广州市南沙区海滨路171号南沙金融大厦11楼1101之一J20室</w:t>
      </w:r>
    </w:p>
    <w:p w14:paraId="5BB4775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24层</w:t>
      </w:r>
    </w:p>
    <w:p w14:paraId="355386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法定代表人：杨小舟</w:t>
      </w:r>
    </w:p>
    <w:p w14:paraId="6050F9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成立时间：2016年1月25日</w:t>
      </w:r>
    </w:p>
    <w:p w14:paraId="1D9280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注册资本：2亿元人民币</w:t>
      </w:r>
    </w:p>
    <w:p w14:paraId="1869CCA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存续期间：永续经营</w:t>
      </w:r>
    </w:p>
    <w:p w14:paraId="2DDD35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联系人：蔡晓忠</w:t>
      </w:r>
    </w:p>
    <w:p w14:paraId="1A66D5F7" w14:textId="6423B929"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联系电话：</w:t>
      </w:r>
      <w:r w:rsidR="00C057EB" w:rsidRPr="00BD090D">
        <w:rPr>
          <w:rFonts w:ascii="宋体" w:eastAsia="宋体" w:hAnsi="宋体" w:hint="eastAsia"/>
          <w:szCs w:val="21"/>
        </w:rPr>
        <w:t>0755-8435663</w:t>
      </w:r>
      <w:r w:rsidR="00C057EB">
        <w:rPr>
          <w:rFonts w:ascii="宋体" w:eastAsia="宋体" w:hAnsi="宋体" w:hint="eastAsia"/>
          <w:szCs w:val="21"/>
        </w:rPr>
        <w:t>3</w:t>
      </w:r>
    </w:p>
    <w:p w14:paraId="762B374C" w14:textId="77777777" w:rsid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股权结构： </w:t>
      </w:r>
    </w:p>
    <w:tbl>
      <w:tblPr>
        <w:tblStyle w:val="ab"/>
        <w:tblW w:w="0" w:type="auto"/>
        <w:tblInd w:w="534" w:type="dxa"/>
        <w:tblLook w:val="04A0" w:firstRow="1" w:lastRow="0" w:firstColumn="1" w:lastColumn="0" w:noHBand="0" w:noVBand="1"/>
      </w:tblPr>
      <w:tblGrid>
        <w:gridCol w:w="4252"/>
        <w:gridCol w:w="3736"/>
      </w:tblGrid>
      <w:tr w:rsidR="00FF14D9" w14:paraId="185600BB" w14:textId="77777777" w:rsidTr="00B711AC">
        <w:tc>
          <w:tcPr>
            <w:tcW w:w="4252" w:type="dxa"/>
          </w:tcPr>
          <w:p w14:paraId="72F56541" w14:textId="77777777" w:rsidR="00FF14D9" w:rsidRDefault="00FF14D9" w:rsidP="00BD090D">
            <w:pPr>
              <w:spacing w:line="360" w:lineRule="auto"/>
              <w:rPr>
                <w:rFonts w:ascii="宋体" w:eastAsia="宋体" w:hAnsi="宋体"/>
                <w:szCs w:val="21"/>
              </w:rPr>
            </w:pPr>
            <w:r w:rsidRPr="00EE7C7F">
              <w:rPr>
                <w:rFonts w:hint="eastAsia"/>
              </w:rPr>
              <w:t>股东名称</w:t>
            </w:r>
          </w:p>
        </w:tc>
        <w:tc>
          <w:tcPr>
            <w:tcW w:w="3736" w:type="dxa"/>
          </w:tcPr>
          <w:p w14:paraId="4B3A5830" w14:textId="77777777" w:rsidR="00FF14D9" w:rsidRDefault="00FF14D9" w:rsidP="00BD090D">
            <w:pPr>
              <w:spacing w:line="360" w:lineRule="auto"/>
              <w:rPr>
                <w:rFonts w:ascii="宋体" w:eastAsia="宋体" w:hAnsi="宋体"/>
                <w:szCs w:val="21"/>
              </w:rPr>
            </w:pPr>
            <w:r w:rsidRPr="00EE7C7F">
              <w:rPr>
                <w:rFonts w:hint="eastAsia"/>
              </w:rPr>
              <w:t>出资比例</w:t>
            </w:r>
          </w:p>
        </w:tc>
      </w:tr>
      <w:tr w:rsidR="00FF14D9" w14:paraId="19CD1D18" w14:textId="77777777" w:rsidTr="00B711AC">
        <w:tc>
          <w:tcPr>
            <w:tcW w:w="4252" w:type="dxa"/>
          </w:tcPr>
          <w:p w14:paraId="3666D0DD" w14:textId="77777777" w:rsidR="00FF14D9" w:rsidRDefault="00FF14D9" w:rsidP="00BD090D">
            <w:pPr>
              <w:spacing w:line="360" w:lineRule="auto"/>
              <w:rPr>
                <w:rFonts w:ascii="宋体" w:eastAsia="宋体" w:hAnsi="宋体"/>
                <w:szCs w:val="21"/>
              </w:rPr>
            </w:pPr>
            <w:r w:rsidRPr="00EE7C7F">
              <w:rPr>
                <w:rFonts w:hint="eastAsia"/>
              </w:rPr>
              <w:t>广州科技金融创新投资控股有限公司</w:t>
            </w:r>
          </w:p>
        </w:tc>
        <w:tc>
          <w:tcPr>
            <w:tcW w:w="3736" w:type="dxa"/>
          </w:tcPr>
          <w:p w14:paraId="21677A57" w14:textId="77777777" w:rsidR="00FF14D9" w:rsidRDefault="00FF14D9" w:rsidP="00BD090D">
            <w:pPr>
              <w:spacing w:line="360" w:lineRule="auto"/>
              <w:rPr>
                <w:rFonts w:ascii="宋体" w:eastAsia="宋体" w:hAnsi="宋体"/>
                <w:szCs w:val="21"/>
              </w:rPr>
            </w:pPr>
            <w:r w:rsidRPr="00EE7C7F">
              <w:rPr>
                <w:rFonts w:hint="eastAsia"/>
              </w:rPr>
              <w:t>50%</w:t>
            </w:r>
          </w:p>
        </w:tc>
      </w:tr>
      <w:tr w:rsidR="00FF14D9" w14:paraId="5E0484ED" w14:textId="77777777" w:rsidTr="00B711AC">
        <w:tc>
          <w:tcPr>
            <w:tcW w:w="4252" w:type="dxa"/>
          </w:tcPr>
          <w:p w14:paraId="6CE1F21D" w14:textId="77777777" w:rsidR="00FF14D9" w:rsidRDefault="00FF14D9" w:rsidP="00BD090D">
            <w:pPr>
              <w:spacing w:line="360" w:lineRule="auto"/>
              <w:rPr>
                <w:rFonts w:ascii="宋体" w:eastAsia="宋体" w:hAnsi="宋体"/>
                <w:szCs w:val="21"/>
              </w:rPr>
            </w:pPr>
            <w:r w:rsidRPr="00EE7C7F">
              <w:rPr>
                <w:rFonts w:hint="eastAsia"/>
              </w:rPr>
              <w:t>深圳嘉年实业股份有限公司</w:t>
            </w:r>
          </w:p>
        </w:tc>
        <w:tc>
          <w:tcPr>
            <w:tcW w:w="3736" w:type="dxa"/>
          </w:tcPr>
          <w:p w14:paraId="33123EEB" w14:textId="77777777" w:rsidR="00FF14D9" w:rsidRDefault="00FF14D9" w:rsidP="00BD090D">
            <w:pPr>
              <w:spacing w:line="360" w:lineRule="auto"/>
              <w:rPr>
                <w:rFonts w:ascii="宋体" w:eastAsia="宋体" w:hAnsi="宋体"/>
                <w:szCs w:val="21"/>
              </w:rPr>
            </w:pPr>
            <w:r w:rsidRPr="00EE7C7F">
              <w:rPr>
                <w:rFonts w:hint="eastAsia"/>
              </w:rPr>
              <w:t>45.1%</w:t>
            </w:r>
          </w:p>
        </w:tc>
      </w:tr>
      <w:tr w:rsidR="00FF14D9" w14:paraId="472BEE41" w14:textId="77777777" w:rsidTr="00B711AC">
        <w:tc>
          <w:tcPr>
            <w:tcW w:w="4252" w:type="dxa"/>
          </w:tcPr>
          <w:p w14:paraId="6E6C63D8" w14:textId="77777777" w:rsidR="00FF14D9" w:rsidRDefault="00FF14D9" w:rsidP="00BD090D">
            <w:pPr>
              <w:spacing w:line="360" w:lineRule="auto"/>
              <w:rPr>
                <w:rFonts w:ascii="宋体" w:eastAsia="宋体" w:hAnsi="宋体"/>
                <w:szCs w:val="21"/>
              </w:rPr>
            </w:pPr>
            <w:r w:rsidRPr="00EE7C7F">
              <w:rPr>
                <w:rFonts w:hint="eastAsia"/>
              </w:rPr>
              <w:t>湖南典勤投资开发有限公司</w:t>
            </w:r>
          </w:p>
        </w:tc>
        <w:tc>
          <w:tcPr>
            <w:tcW w:w="3736" w:type="dxa"/>
          </w:tcPr>
          <w:p w14:paraId="4F3F36F3" w14:textId="77777777" w:rsidR="00FF14D9" w:rsidRDefault="00FF14D9" w:rsidP="00BD090D">
            <w:pPr>
              <w:spacing w:line="360" w:lineRule="auto"/>
              <w:rPr>
                <w:rFonts w:ascii="宋体" w:eastAsia="宋体" w:hAnsi="宋体"/>
                <w:szCs w:val="21"/>
              </w:rPr>
            </w:pPr>
            <w:r w:rsidRPr="00EE7C7F">
              <w:rPr>
                <w:rFonts w:hint="eastAsia"/>
              </w:rPr>
              <w:t>4.9%</w:t>
            </w:r>
          </w:p>
        </w:tc>
      </w:tr>
    </w:tbl>
    <w:p w14:paraId="7B60159E" w14:textId="77777777" w:rsidR="00BD090D" w:rsidRPr="00BD090D" w:rsidRDefault="00BD090D" w:rsidP="00BD090D">
      <w:pPr>
        <w:spacing w:line="360" w:lineRule="auto"/>
        <w:ind w:firstLineChars="200" w:firstLine="420"/>
        <w:rPr>
          <w:rFonts w:ascii="宋体" w:eastAsia="宋体" w:hAnsi="宋体"/>
          <w:szCs w:val="21"/>
        </w:rPr>
      </w:pPr>
    </w:p>
    <w:p w14:paraId="302A3E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二、主要成员情况</w:t>
      </w:r>
    </w:p>
    <w:p w14:paraId="5FB4D7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1、董事会成员</w:t>
      </w:r>
    </w:p>
    <w:p w14:paraId="5D1D1AC8" w14:textId="7D4CD6D0" w:rsidR="00572BE2" w:rsidRPr="00572BE2" w:rsidRDefault="00572BE2" w:rsidP="00572BE2">
      <w:pPr>
        <w:spacing w:line="360" w:lineRule="auto"/>
        <w:ind w:firstLineChars="200" w:firstLine="420"/>
        <w:rPr>
          <w:rFonts w:ascii="宋体" w:eastAsia="宋体" w:hAnsi="宋体"/>
          <w:szCs w:val="21"/>
        </w:rPr>
      </w:pPr>
      <w:r w:rsidRPr="00572BE2">
        <w:rPr>
          <w:rFonts w:ascii="宋体" w:eastAsia="宋体" w:hAnsi="宋体" w:hint="eastAsia"/>
          <w:szCs w:val="21"/>
        </w:rPr>
        <w:t>杨小舟先生，董事长</w:t>
      </w:r>
      <w:r w:rsidR="00C057EB" w:rsidRPr="003E1763">
        <w:rPr>
          <w:rFonts w:asciiTheme="minorEastAsia" w:hAnsiTheme="minorEastAsia" w:cs="Arial" w:hint="eastAsia"/>
          <w:kern w:val="0"/>
          <w:szCs w:val="24"/>
        </w:rPr>
        <w:t>、代行总经理</w:t>
      </w:r>
      <w:r w:rsidRPr="00572BE2">
        <w:rPr>
          <w:rFonts w:ascii="宋体" w:eastAsia="宋体" w:hAnsi="宋体" w:hint="eastAsia"/>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6B12218" w14:textId="77777777" w:rsidR="00572BE2" w:rsidRPr="00572BE2" w:rsidRDefault="00572BE2" w:rsidP="00572BE2">
      <w:pPr>
        <w:spacing w:line="360" w:lineRule="auto"/>
        <w:ind w:firstLineChars="200" w:firstLine="420"/>
        <w:rPr>
          <w:rFonts w:ascii="宋体" w:eastAsia="宋体" w:hAnsi="宋体"/>
          <w:szCs w:val="21"/>
        </w:rPr>
      </w:pPr>
      <w:r w:rsidRPr="00572BE2">
        <w:rPr>
          <w:rFonts w:ascii="宋体" w:eastAsia="宋体" w:hAnsi="宋体" w:hint="eastAsia"/>
          <w:szCs w:val="21"/>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475E6A2" w14:textId="77777777" w:rsidR="00572BE2" w:rsidRPr="00572BE2" w:rsidRDefault="00572BE2" w:rsidP="00572BE2">
      <w:pPr>
        <w:spacing w:line="360" w:lineRule="auto"/>
        <w:ind w:firstLineChars="200" w:firstLine="420"/>
        <w:rPr>
          <w:rFonts w:ascii="宋体" w:eastAsia="宋体" w:hAnsi="宋体"/>
          <w:szCs w:val="21"/>
        </w:rPr>
      </w:pPr>
      <w:r w:rsidRPr="00572BE2">
        <w:rPr>
          <w:rFonts w:ascii="宋体" w:eastAsia="宋体" w:hAnsi="宋体" w:hint="eastAsia"/>
          <w:szCs w:val="21"/>
        </w:rPr>
        <w:t>郭涛先生，董事，上海高级金融学院研究生（在读）。现任深圳市益德置业有限公司总经理、深圳福元德租赁有限公司董事长兼总经理、</w:t>
      </w:r>
      <w:proofErr w:type="gramStart"/>
      <w:r w:rsidRPr="00572BE2">
        <w:rPr>
          <w:rFonts w:ascii="宋体" w:eastAsia="宋体" w:hAnsi="宋体" w:hint="eastAsia"/>
          <w:szCs w:val="21"/>
        </w:rPr>
        <w:t>深圳融博融资租赁</w:t>
      </w:r>
      <w:proofErr w:type="gramEnd"/>
      <w:r w:rsidRPr="00572BE2">
        <w:rPr>
          <w:rFonts w:ascii="宋体" w:eastAsia="宋体" w:hAnsi="宋体" w:hint="eastAsia"/>
          <w:szCs w:val="21"/>
        </w:rPr>
        <w:t>有限公司董事长兼总经</w:t>
      </w:r>
      <w:r w:rsidRPr="00572BE2">
        <w:rPr>
          <w:rFonts w:ascii="宋体" w:eastAsia="宋体" w:hAnsi="宋体" w:hint="eastAsia"/>
          <w:szCs w:val="21"/>
        </w:rPr>
        <w:lastRenderedPageBreak/>
        <w:t>理、深圳市天汇</w:t>
      </w:r>
      <w:proofErr w:type="gramStart"/>
      <w:r w:rsidRPr="00572BE2">
        <w:rPr>
          <w:rFonts w:ascii="宋体" w:eastAsia="宋体" w:hAnsi="宋体" w:hint="eastAsia"/>
          <w:szCs w:val="21"/>
        </w:rPr>
        <w:t>鑫</w:t>
      </w:r>
      <w:proofErr w:type="gramEnd"/>
      <w:r w:rsidRPr="00572BE2">
        <w:rPr>
          <w:rFonts w:ascii="宋体" w:eastAsia="宋体" w:hAnsi="宋体" w:hint="eastAsia"/>
          <w:szCs w:val="21"/>
        </w:rPr>
        <w:t>达担保有限公司总经理、</w:t>
      </w:r>
      <w:proofErr w:type="gramStart"/>
      <w:r w:rsidRPr="00572BE2">
        <w:rPr>
          <w:rFonts w:ascii="宋体" w:eastAsia="宋体" w:hAnsi="宋体" w:hint="eastAsia"/>
          <w:szCs w:val="21"/>
        </w:rPr>
        <w:t>深圳市亿尔德</w:t>
      </w:r>
      <w:proofErr w:type="gramEnd"/>
      <w:r w:rsidRPr="00572BE2">
        <w:rPr>
          <w:rFonts w:ascii="宋体" w:eastAsia="宋体" w:hAnsi="宋体" w:hint="eastAsia"/>
          <w:szCs w:val="21"/>
        </w:rPr>
        <w:t>投资有限公司法人、嘉年实业股份有限公司董事、富荣基金管理有限公司董事。</w:t>
      </w:r>
    </w:p>
    <w:p w14:paraId="1A1DAE9E" w14:textId="77777777" w:rsidR="00572BE2" w:rsidRPr="00572BE2" w:rsidRDefault="00572BE2" w:rsidP="00572BE2">
      <w:pPr>
        <w:spacing w:line="360" w:lineRule="auto"/>
        <w:ind w:firstLineChars="200" w:firstLine="420"/>
        <w:rPr>
          <w:rFonts w:ascii="宋体" w:eastAsia="宋体" w:hAnsi="宋体"/>
          <w:szCs w:val="21"/>
        </w:rPr>
      </w:pPr>
      <w:r w:rsidRPr="00572BE2">
        <w:rPr>
          <w:rFonts w:ascii="宋体" w:eastAsia="宋体" w:hAnsi="宋体" w:hint="eastAsia"/>
          <w:szCs w:val="21"/>
        </w:rPr>
        <w:t>余</w:t>
      </w:r>
      <w:proofErr w:type="gramStart"/>
      <w:r w:rsidRPr="00572BE2">
        <w:rPr>
          <w:rFonts w:ascii="宋体" w:eastAsia="宋体" w:hAnsi="宋体" w:hint="eastAsia"/>
          <w:szCs w:val="21"/>
        </w:rPr>
        <w:t>关健</w:t>
      </w:r>
      <w:proofErr w:type="gramEnd"/>
      <w:r w:rsidRPr="00572BE2">
        <w:rPr>
          <w:rFonts w:ascii="宋体" w:eastAsia="宋体" w:hAnsi="宋体" w:hint="eastAsia"/>
          <w:szCs w:val="21"/>
        </w:rPr>
        <w:t>先生，独立董事，西南财经大学工业经济硕士研究生。曾任中国银行深圳分行信贷处处长、中国银行深圳分行风险管理处处长、深圳赛格、深圳特发集团董事、</w:t>
      </w:r>
      <w:proofErr w:type="gramStart"/>
      <w:r w:rsidRPr="00572BE2">
        <w:rPr>
          <w:rFonts w:ascii="宋体" w:eastAsia="宋体" w:hAnsi="宋体" w:hint="eastAsia"/>
          <w:szCs w:val="21"/>
        </w:rPr>
        <w:t>邦</w:t>
      </w:r>
      <w:proofErr w:type="gramEnd"/>
      <w:r w:rsidRPr="00572BE2">
        <w:rPr>
          <w:rFonts w:ascii="宋体" w:eastAsia="宋体" w:hAnsi="宋体" w:hint="eastAsia"/>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7FC0AE19" w14:textId="6F3A5C75" w:rsidR="00572BE2" w:rsidRPr="00572BE2" w:rsidRDefault="00572BE2" w:rsidP="00572BE2">
      <w:pPr>
        <w:spacing w:line="360" w:lineRule="auto"/>
        <w:ind w:firstLineChars="200" w:firstLine="420"/>
        <w:rPr>
          <w:rFonts w:ascii="宋体" w:eastAsia="宋体" w:hAnsi="宋体"/>
          <w:szCs w:val="21"/>
        </w:rPr>
      </w:pPr>
      <w:r w:rsidRPr="00572BE2">
        <w:rPr>
          <w:rFonts w:ascii="宋体" w:eastAsia="宋体" w:hAnsi="宋体" w:hint="eastAsia"/>
          <w:szCs w:val="21"/>
        </w:rPr>
        <w:t>李晓英女士，独立董事，本科学</w:t>
      </w:r>
      <w:r w:rsidR="00016488">
        <w:rPr>
          <w:rFonts w:ascii="宋体" w:eastAsia="宋体" w:hAnsi="宋体" w:hint="eastAsia"/>
          <w:szCs w:val="21"/>
        </w:rPr>
        <w:t>历</w:t>
      </w:r>
      <w:r w:rsidRPr="00572BE2">
        <w:rPr>
          <w:rFonts w:ascii="宋体" w:eastAsia="宋体" w:hAnsi="宋体" w:hint="eastAsia"/>
          <w:szCs w:val="21"/>
        </w:rPr>
        <w:t>。现任广东一粤律师事务所专职律师。曾任广东同益律师事务所专职律师。主要从事法律顾问、商事诉讼、仲裁等。</w:t>
      </w:r>
    </w:p>
    <w:p w14:paraId="02A38310" w14:textId="1DE3F8F5" w:rsidR="00BD090D" w:rsidRPr="00BD090D" w:rsidRDefault="00572BE2" w:rsidP="00572BE2">
      <w:pPr>
        <w:spacing w:line="360" w:lineRule="auto"/>
        <w:ind w:firstLineChars="200" w:firstLine="420"/>
        <w:rPr>
          <w:rFonts w:ascii="宋体" w:eastAsia="宋体" w:hAnsi="宋体"/>
          <w:szCs w:val="21"/>
        </w:rPr>
      </w:pPr>
      <w:r w:rsidRPr="00572BE2">
        <w:rPr>
          <w:rFonts w:ascii="宋体" w:eastAsia="宋体" w:hAnsi="宋体" w:hint="eastAsia"/>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55E7B6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2、监事会成员</w:t>
      </w:r>
    </w:p>
    <w:p w14:paraId="355FCD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基金管理人不设监事会，设监事两名，其中一名为职工监事。</w:t>
      </w:r>
    </w:p>
    <w:p w14:paraId="374F165C" w14:textId="69C442A6" w:rsidR="00BD090D" w:rsidRPr="00BD090D" w:rsidRDefault="00572BE2" w:rsidP="00BD090D">
      <w:pPr>
        <w:spacing w:line="360" w:lineRule="auto"/>
        <w:ind w:firstLineChars="200" w:firstLine="420"/>
        <w:rPr>
          <w:rFonts w:ascii="宋体" w:eastAsia="宋体" w:hAnsi="宋体"/>
          <w:szCs w:val="21"/>
        </w:rPr>
      </w:pPr>
      <w:r w:rsidRPr="00572BE2">
        <w:rPr>
          <w:rFonts w:ascii="宋体" w:eastAsia="宋体" w:hAnsi="宋体" w:hint="eastAsia"/>
          <w:szCs w:val="21"/>
        </w:rPr>
        <w:t>郑廉明先生，监事，硕士。原广发银行副行长（已退休），现任富荣基金管理有限公司监事。</w:t>
      </w:r>
    </w:p>
    <w:p w14:paraId="701987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魏丽红女士，职工监事，</w:t>
      </w:r>
      <w:r w:rsidR="00E66B64">
        <w:rPr>
          <w:rFonts w:ascii="宋体" w:eastAsia="宋体" w:hAnsi="宋体" w:hint="eastAsia"/>
          <w:szCs w:val="21"/>
        </w:rPr>
        <w:t>大专</w:t>
      </w:r>
      <w:r w:rsidRPr="00BD090D">
        <w:rPr>
          <w:rFonts w:ascii="宋体" w:eastAsia="宋体" w:hAnsi="宋体" w:hint="eastAsia"/>
          <w:szCs w:val="21"/>
        </w:rPr>
        <w:t>。现任富荣基金管理有限公司</w:t>
      </w:r>
      <w:r w:rsidR="004E294C">
        <w:rPr>
          <w:rFonts w:ascii="宋体" w:eastAsia="宋体" w:hAnsi="宋体" w:hint="eastAsia"/>
          <w:szCs w:val="21"/>
        </w:rPr>
        <w:t>职工</w:t>
      </w:r>
      <w:r w:rsidRPr="00BD090D">
        <w:rPr>
          <w:rFonts w:ascii="宋体" w:eastAsia="宋体" w:hAnsi="宋体" w:hint="eastAsia"/>
          <w:szCs w:val="21"/>
        </w:rPr>
        <w:t>监事。</w:t>
      </w:r>
    </w:p>
    <w:p w14:paraId="1E6406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3、高级管理人员</w:t>
      </w:r>
    </w:p>
    <w:p w14:paraId="2218B7F6" w14:textId="44F51038" w:rsidR="00572BE2" w:rsidRPr="00572BE2" w:rsidRDefault="00572BE2" w:rsidP="00572BE2">
      <w:pPr>
        <w:spacing w:line="360" w:lineRule="auto"/>
        <w:ind w:firstLineChars="200" w:firstLine="420"/>
        <w:rPr>
          <w:rFonts w:ascii="宋体" w:eastAsia="宋体" w:hAnsi="宋体"/>
          <w:szCs w:val="21"/>
        </w:rPr>
      </w:pPr>
      <w:r w:rsidRPr="00572BE2">
        <w:rPr>
          <w:rFonts w:ascii="宋体" w:eastAsia="宋体" w:hAnsi="宋体" w:hint="eastAsia"/>
          <w:szCs w:val="21"/>
        </w:rPr>
        <w:t>杨小舟先生，董事长</w:t>
      </w:r>
      <w:r w:rsidR="00C057EB" w:rsidRPr="003E1763">
        <w:rPr>
          <w:rFonts w:asciiTheme="minorEastAsia" w:hAnsiTheme="minorEastAsia" w:cs="Arial" w:hint="eastAsia"/>
          <w:kern w:val="0"/>
          <w:szCs w:val="24"/>
        </w:rPr>
        <w:t>、代行总经理</w:t>
      </w:r>
      <w:r w:rsidRPr="00572BE2">
        <w:rPr>
          <w:rFonts w:ascii="宋体" w:eastAsia="宋体" w:hAnsi="宋体" w:hint="eastAsia"/>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CAB20C1" w14:textId="681F0BF6" w:rsidR="00C725C5" w:rsidRPr="00300697" w:rsidRDefault="00572BE2" w:rsidP="00572BE2">
      <w:pPr>
        <w:spacing w:line="360" w:lineRule="auto"/>
        <w:ind w:firstLineChars="200" w:firstLine="420"/>
        <w:rPr>
          <w:rFonts w:ascii="宋体" w:eastAsia="宋体" w:hAnsi="宋体"/>
          <w:szCs w:val="21"/>
        </w:rPr>
      </w:pPr>
      <w:r w:rsidRPr="00572BE2">
        <w:rPr>
          <w:rFonts w:ascii="宋体" w:eastAsia="宋体" w:hAnsi="宋体" w:hint="eastAsia"/>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6C2848F" w14:textId="5387F6A9" w:rsidR="00BD090D" w:rsidRPr="00BD090D" w:rsidRDefault="00BD090D" w:rsidP="00300697">
      <w:pPr>
        <w:spacing w:line="360" w:lineRule="auto"/>
        <w:ind w:firstLineChars="200" w:firstLine="420"/>
        <w:rPr>
          <w:rFonts w:ascii="宋体" w:eastAsia="宋体" w:hAnsi="宋体"/>
          <w:szCs w:val="21"/>
        </w:rPr>
      </w:pPr>
      <w:r w:rsidRPr="00BD090D">
        <w:rPr>
          <w:rFonts w:ascii="宋体" w:eastAsia="宋体" w:hAnsi="宋体" w:hint="eastAsia"/>
          <w:szCs w:val="21"/>
        </w:rPr>
        <w:t>4、本</w:t>
      </w:r>
      <w:proofErr w:type="gramStart"/>
      <w:r w:rsidRPr="00BD090D">
        <w:rPr>
          <w:rFonts w:ascii="宋体" w:eastAsia="宋体" w:hAnsi="宋体" w:hint="eastAsia"/>
          <w:szCs w:val="21"/>
        </w:rPr>
        <w:t>基金基金</w:t>
      </w:r>
      <w:proofErr w:type="gramEnd"/>
      <w:r w:rsidRPr="00BD090D">
        <w:rPr>
          <w:rFonts w:ascii="宋体" w:eastAsia="宋体" w:hAnsi="宋体" w:hint="eastAsia"/>
          <w:szCs w:val="21"/>
        </w:rPr>
        <w:t>经理</w:t>
      </w:r>
    </w:p>
    <w:p w14:paraId="5F6429E1" w14:textId="08D2E595" w:rsidR="00BD090D" w:rsidRPr="00BD090D" w:rsidRDefault="0093048E" w:rsidP="00BD090D">
      <w:pPr>
        <w:spacing w:line="360" w:lineRule="auto"/>
        <w:ind w:firstLineChars="200" w:firstLine="420"/>
        <w:rPr>
          <w:rFonts w:ascii="宋体" w:eastAsia="宋体" w:hAnsi="宋体"/>
          <w:szCs w:val="21"/>
        </w:rPr>
      </w:pPr>
      <w:r w:rsidRPr="00E66B64">
        <w:rPr>
          <w:rFonts w:ascii="宋体" w:eastAsia="宋体" w:hAnsi="宋体" w:hint="eastAsia"/>
          <w:szCs w:val="21"/>
        </w:rPr>
        <w:t>王丹女士，北京大学工商管理硕士、厦门大学理学学士，</w:t>
      </w:r>
      <w:r>
        <w:rPr>
          <w:rFonts w:ascii="宋体" w:eastAsia="宋体" w:hAnsi="宋体"/>
          <w:szCs w:val="21"/>
        </w:rPr>
        <w:t>10</w:t>
      </w:r>
      <w:r w:rsidRPr="00E66B64">
        <w:rPr>
          <w:rFonts w:ascii="宋体" w:eastAsia="宋体" w:hAnsi="宋体" w:hint="eastAsia"/>
          <w:szCs w:val="21"/>
        </w:rPr>
        <w:t>年</w:t>
      </w:r>
      <w:r>
        <w:rPr>
          <w:rFonts w:ascii="宋体" w:eastAsia="宋体" w:hAnsi="宋体" w:hint="eastAsia"/>
          <w:szCs w:val="21"/>
        </w:rPr>
        <w:t>以上</w:t>
      </w:r>
      <w:r w:rsidRPr="00E66B64">
        <w:rPr>
          <w:rFonts w:ascii="宋体" w:eastAsia="宋体" w:hAnsi="宋体" w:hint="eastAsia"/>
          <w:szCs w:val="21"/>
        </w:rPr>
        <w:t>金融行业从业经验。</w:t>
      </w:r>
      <w:r w:rsidRPr="00E66B64">
        <w:rPr>
          <w:rFonts w:ascii="宋体" w:eastAsia="宋体" w:hAnsi="宋体" w:hint="eastAsia"/>
          <w:szCs w:val="21"/>
        </w:rPr>
        <w:lastRenderedPageBreak/>
        <w:t>曾任寰富投资咨询上海有限公司金融衍生品交易员，长盛基金管理有限公司债券交易员，嘉</w:t>
      </w:r>
      <w:proofErr w:type="gramStart"/>
      <w:r w:rsidRPr="00E66B64">
        <w:rPr>
          <w:rFonts w:ascii="宋体" w:eastAsia="宋体" w:hAnsi="宋体" w:hint="eastAsia"/>
          <w:szCs w:val="21"/>
        </w:rPr>
        <w:t>实基金</w:t>
      </w:r>
      <w:proofErr w:type="gramEnd"/>
      <w:r w:rsidRPr="00E66B64">
        <w:rPr>
          <w:rFonts w:ascii="宋体" w:eastAsia="宋体" w:hAnsi="宋体" w:hint="eastAsia"/>
          <w:szCs w:val="21"/>
        </w:rPr>
        <w:t>管理有限公司投资经理，</w:t>
      </w:r>
      <w:proofErr w:type="gramStart"/>
      <w:r w:rsidRPr="00E66B64">
        <w:rPr>
          <w:rFonts w:ascii="宋体" w:eastAsia="宋体" w:hAnsi="宋体" w:hint="eastAsia"/>
          <w:szCs w:val="21"/>
        </w:rPr>
        <w:t>华融证券股份有限公司固收</w:t>
      </w:r>
      <w:proofErr w:type="gramEnd"/>
      <w:r w:rsidRPr="00E66B64">
        <w:rPr>
          <w:rFonts w:ascii="宋体" w:eastAsia="宋体" w:hAnsi="宋体" w:hint="eastAsia"/>
          <w:szCs w:val="21"/>
        </w:rPr>
        <w:t>研究、交易主管。现任富荣基金管理有限公司</w:t>
      </w:r>
      <w:r w:rsidRPr="003E1763">
        <w:rPr>
          <w:rFonts w:asciiTheme="minorEastAsia" w:hAnsiTheme="minorEastAsia" w:hint="eastAsia"/>
          <w:color w:val="000000"/>
          <w:szCs w:val="21"/>
          <w:shd w:val="clear" w:color="auto" w:fill="FFFFFF"/>
        </w:rPr>
        <w:t>固定收益部总经理助理、</w:t>
      </w:r>
      <w:r w:rsidRPr="003E1763">
        <w:rPr>
          <w:rFonts w:asciiTheme="minorEastAsia" w:hAnsiTheme="minorEastAsia" w:hint="eastAsia"/>
          <w:color w:val="000000"/>
          <w:kern w:val="0"/>
          <w:szCs w:val="21"/>
        </w:rPr>
        <w:t>投资决策委员会委员、富荣货币市场</w:t>
      </w:r>
      <w:proofErr w:type="gramStart"/>
      <w:r w:rsidRPr="003E1763">
        <w:rPr>
          <w:rFonts w:asciiTheme="minorEastAsia" w:hAnsiTheme="minorEastAsia" w:hint="eastAsia"/>
          <w:color w:val="000000"/>
          <w:kern w:val="0"/>
          <w:szCs w:val="21"/>
        </w:rPr>
        <w:t>基金</w:t>
      </w:r>
      <w:r w:rsidRPr="003E1763">
        <w:rPr>
          <w:rFonts w:asciiTheme="minorEastAsia" w:hAnsiTheme="minorEastAsia" w:hint="eastAsia"/>
          <w:szCs w:val="21"/>
        </w:rPr>
        <w:t>基金</w:t>
      </w:r>
      <w:proofErr w:type="gramEnd"/>
      <w:r w:rsidRPr="003E1763">
        <w:rPr>
          <w:rFonts w:asciiTheme="minorEastAsia" w:hAnsiTheme="minorEastAsia" w:hint="eastAsia"/>
          <w:szCs w:val="21"/>
        </w:rPr>
        <w:t>经理</w:t>
      </w:r>
      <w:r w:rsidRPr="003E1763">
        <w:rPr>
          <w:rFonts w:asciiTheme="minorEastAsia" w:hAnsiTheme="minorEastAsia" w:hint="eastAsia"/>
          <w:color w:val="000000"/>
          <w:szCs w:val="21"/>
          <w:shd w:val="clear" w:color="auto" w:fill="FFFFFF"/>
        </w:rPr>
        <w:t>（自2019年8月12日起任职）、</w:t>
      </w:r>
      <w:proofErr w:type="gramStart"/>
      <w:r w:rsidRPr="003E1763">
        <w:rPr>
          <w:rFonts w:asciiTheme="minorEastAsia" w:hAnsiTheme="minorEastAsia" w:hint="eastAsia"/>
          <w:color w:val="000000"/>
          <w:szCs w:val="21"/>
          <w:shd w:val="clear" w:color="auto" w:fill="FFFFFF"/>
        </w:rPr>
        <w:t>富荣富乾债券</w:t>
      </w:r>
      <w:proofErr w:type="gramEnd"/>
      <w:r w:rsidRPr="003E1763">
        <w:rPr>
          <w:rFonts w:asciiTheme="minorEastAsia" w:hAnsiTheme="minorEastAsia" w:hint="eastAsia"/>
          <w:color w:val="000000"/>
          <w:szCs w:val="21"/>
          <w:shd w:val="clear" w:color="auto" w:fill="FFFFFF"/>
        </w:rPr>
        <w:t>型证券投资</w:t>
      </w:r>
      <w:proofErr w:type="gramStart"/>
      <w:r w:rsidRPr="003E1763">
        <w:rPr>
          <w:rFonts w:asciiTheme="minorEastAsia" w:hAnsiTheme="minorEastAsia" w:hint="eastAsia"/>
          <w:color w:val="000000"/>
          <w:szCs w:val="21"/>
          <w:shd w:val="clear" w:color="auto" w:fill="FFFFFF"/>
        </w:rPr>
        <w:t>基金基金</w:t>
      </w:r>
      <w:proofErr w:type="gramEnd"/>
      <w:r w:rsidRPr="003E1763">
        <w:rPr>
          <w:rFonts w:asciiTheme="minorEastAsia" w:hAnsiTheme="minorEastAsia" w:hint="eastAsia"/>
          <w:color w:val="000000"/>
          <w:szCs w:val="21"/>
          <w:shd w:val="clear" w:color="auto" w:fill="FFFFFF"/>
        </w:rPr>
        <w:t>经理（自2019年8月12日起任职）、</w:t>
      </w:r>
      <w:proofErr w:type="gramStart"/>
      <w:r w:rsidRPr="003E1763">
        <w:rPr>
          <w:rFonts w:asciiTheme="minorEastAsia" w:hAnsiTheme="minorEastAsia" w:hint="eastAsia"/>
          <w:color w:val="000000"/>
          <w:szCs w:val="21"/>
          <w:shd w:val="clear" w:color="auto" w:fill="FFFFFF"/>
        </w:rPr>
        <w:t>富荣富金专项</w:t>
      </w:r>
      <w:proofErr w:type="gramEnd"/>
      <w:r w:rsidRPr="003E1763">
        <w:rPr>
          <w:rFonts w:asciiTheme="minorEastAsia" w:hAnsiTheme="minorEastAsia" w:hint="eastAsia"/>
          <w:color w:val="000000"/>
          <w:szCs w:val="21"/>
          <w:shd w:val="clear" w:color="auto" w:fill="FFFFFF"/>
        </w:rPr>
        <w:t>金融</w:t>
      </w:r>
      <w:proofErr w:type="gramStart"/>
      <w:r w:rsidRPr="003E1763">
        <w:rPr>
          <w:rFonts w:asciiTheme="minorEastAsia" w:hAnsiTheme="minorEastAsia" w:hint="eastAsia"/>
          <w:color w:val="000000"/>
          <w:szCs w:val="21"/>
          <w:shd w:val="clear" w:color="auto" w:fill="FFFFFF"/>
        </w:rPr>
        <w:t>债纯债</w:t>
      </w:r>
      <w:proofErr w:type="gramEnd"/>
      <w:r w:rsidRPr="003E1763">
        <w:rPr>
          <w:rFonts w:asciiTheme="minorEastAsia" w:hAnsiTheme="minorEastAsia" w:hint="eastAsia"/>
          <w:color w:val="000000"/>
          <w:szCs w:val="21"/>
          <w:shd w:val="clear" w:color="auto" w:fill="FFFFFF"/>
        </w:rPr>
        <w:t>债券型证券投资基金（已清盘）基金经理（自2019年8月12日至2021年3月30日）、富荣福</w:t>
      </w:r>
      <w:proofErr w:type="gramStart"/>
      <w:r w:rsidRPr="003E1763">
        <w:rPr>
          <w:rFonts w:asciiTheme="minorEastAsia" w:hAnsiTheme="minorEastAsia" w:hint="eastAsia"/>
          <w:color w:val="000000"/>
          <w:szCs w:val="21"/>
          <w:shd w:val="clear" w:color="auto" w:fill="FFFFFF"/>
        </w:rPr>
        <w:t>鑫</w:t>
      </w:r>
      <w:proofErr w:type="gramEnd"/>
      <w:r w:rsidRPr="003E1763">
        <w:rPr>
          <w:rFonts w:asciiTheme="minorEastAsia" w:hAnsiTheme="minorEastAsia" w:hint="eastAsia"/>
          <w:color w:val="000000"/>
          <w:szCs w:val="21"/>
          <w:shd w:val="clear" w:color="auto" w:fill="FFFFFF"/>
        </w:rPr>
        <w:t>灵活配置混合型证券投资</w:t>
      </w:r>
      <w:proofErr w:type="gramStart"/>
      <w:r w:rsidRPr="003E1763">
        <w:rPr>
          <w:rFonts w:asciiTheme="minorEastAsia" w:hAnsiTheme="minorEastAsia" w:hint="eastAsia"/>
          <w:color w:val="000000"/>
          <w:szCs w:val="21"/>
          <w:shd w:val="clear" w:color="auto" w:fill="FFFFFF"/>
        </w:rPr>
        <w:t>基金基金</w:t>
      </w:r>
      <w:proofErr w:type="gramEnd"/>
      <w:r w:rsidRPr="003E1763">
        <w:rPr>
          <w:rFonts w:asciiTheme="minorEastAsia" w:hAnsiTheme="minorEastAsia" w:hint="eastAsia"/>
          <w:color w:val="000000"/>
          <w:szCs w:val="21"/>
          <w:shd w:val="clear" w:color="auto" w:fill="FFFFFF"/>
        </w:rPr>
        <w:t>经理（自2020年5月12日起任职）、富荣价值精选灵活配置混合型发起式证券投资</w:t>
      </w:r>
      <w:proofErr w:type="gramStart"/>
      <w:r w:rsidRPr="003E1763">
        <w:rPr>
          <w:rFonts w:asciiTheme="minorEastAsia" w:hAnsiTheme="minorEastAsia" w:hint="eastAsia"/>
          <w:color w:val="000000"/>
          <w:szCs w:val="21"/>
          <w:shd w:val="clear" w:color="auto" w:fill="FFFFFF"/>
        </w:rPr>
        <w:t>基金基金</w:t>
      </w:r>
      <w:proofErr w:type="gramEnd"/>
      <w:r w:rsidRPr="003E1763">
        <w:rPr>
          <w:rFonts w:asciiTheme="minorEastAsia" w:hAnsiTheme="minorEastAsia" w:hint="eastAsia"/>
          <w:color w:val="000000"/>
          <w:szCs w:val="21"/>
          <w:shd w:val="clear" w:color="auto" w:fill="FFFFFF"/>
        </w:rPr>
        <w:t>经理（自2020年5月12日至2021年11月12日）、富荣富合一年定期</w:t>
      </w:r>
      <w:proofErr w:type="gramStart"/>
      <w:r w:rsidRPr="003E1763">
        <w:rPr>
          <w:rFonts w:asciiTheme="minorEastAsia" w:hAnsiTheme="minorEastAsia" w:hint="eastAsia"/>
          <w:color w:val="000000"/>
          <w:szCs w:val="21"/>
          <w:shd w:val="clear" w:color="auto" w:fill="FFFFFF"/>
        </w:rPr>
        <w:t>开放纯债债券</w:t>
      </w:r>
      <w:proofErr w:type="gramEnd"/>
      <w:r w:rsidRPr="003E1763">
        <w:rPr>
          <w:rFonts w:asciiTheme="minorEastAsia" w:hAnsiTheme="minorEastAsia" w:hint="eastAsia"/>
          <w:color w:val="000000"/>
          <w:szCs w:val="21"/>
          <w:shd w:val="clear" w:color="auto" w:fill="FFFFFF"/>
        </w:rPr>
        <w:t>型发起式证券投资</w:t>
      </w:r>
      <w:proofErr w:type="gramStart"/>
      <w:r w:rsidRPr="003E1763">
        <w:rPr>
          <w:rFonts w:asciiTheme="minorEastAsia" w:hAnsiTheme="minorEastAsia" w:hint="eastAsia"/>
          <w:color w:val="000000"/>
          <w:szCs w:val="21"/>
          <w:shd w:val="clear" w:color="auto" w:fill="FFFFFF"/>
        </w:rPr>
        <w:t>基金基金</w:t>
      </w:r>
      <w:proofErr w:type="gramEnd"/>
      <w:r w:rsidRPr="003E1763">
        <w:rPr>
          <w:rFonts w:asciiTheme="minorEastAsia" w:hAnsiTheme="minorEastAsia" w:hint="eastAsia"/>
          <w:color w:val="000000"/>
          <w:szCs w:val="21"/>
          <w:shd w:val="clear" w:color="auto" w:fill="FFFFFF"/>
        </w:rPr>
        <w:t>经理（自2020年12月31日起任职）、富荣中短债债券型证券投资</w:t>
      </w:r>
      <w:proofErr w:type="gramStart"/>
      <w:r w:rsidRPr="003E1763">
        <w:rPr>
          <w:rFonts w:asciiTheme="minorEastAsia" w:hAnsiTheme="minorEastAsia" w:hint="eastAsia"/>
          <w:color w:val="000000"/>
          <w:szCs w:val="21"/>
          <w:shd w:val="clear" w:color="auto" w:fill="FFFFFF"/>
        </w:rPr>
        <w:t>基金基金</w:t>
      </w:r>
      <w:proofErr w:type="gramEnd"/>
      <w:r w:rsidRPr="003E1763">
        <w:rPr>
          <w:rFonts w:asciiTheme="minorEastAsia" w:hAnsiTheme="minorEastAsia" w:hint="eastAsia"/>
          <w:color w:val="000000"/>
          <w:szCs w:val="21"/>
          <w:shd w:val="clear" w:color="auto" w:fill="FFFFFF"/>
        </w:rPr>
        <w:t>经理（自2021年12月8日起任职）、</w:t>
      </w:r>
      <w:proofErr w:type="gramStart"/>
      <w:r w:rsidRPr="003E1763">
        <w:rPr>
          <w:rFonts w:asciiTheme="minorEastAsia" w:hAnsiTheme="minorEastAsia" w:hint="eastAsia"/>
          <w:color w:val="000000"/>
          <w:szCs w:val="21"/>
          <w:shd w:val="clear" w:color="auto" w:fill="FFFFFF"/>
        </w:rPr>
        <w:t>富荣富开</w:t>
      </w:r>
      <w:proofErr w:type="gramEnd"/>
      <w:r w:rsidRPr="003E1763">
        <w:rPr>
          <w:rFonts w:asciiTheme="minorEastAsia" w:hAnsiTheme="minorEastAsia" w:hint="eastAsia"/>
          <w:color w:val="000000"/>
          <w:szCs w:val="21"/>
          <w:shd w:val="clear" w:color="auto" w:fill="FFFFFF"/>
        </w:rPr>
        <w:t>1-3年国</w:t>
      </w:r>
      <w:proofErr w:type="gramStart"/>
      <w:r w:rsidRPr="003E1763">
        <w:rPr>
          <w:rFonts w:asciiTheme="minorEastAsia" w:hAnsiTheme="minorEastAsia" w:hint="eastAsia"/>
          <w:color w:val="000000"/>
          <w:szCs w:val="21"/>
          <w:shd w:val="clear" w:color="auto" w:fill="FFFFFF"/>
        </w:rPr>
        <w:t>开债纯债</w:t>
      </w:r>
      <w:proofErr w:type="gramEnd"/>
      <w:r w:rsidRPr="003E1763">
        <w:rPr>
          <w:rFonts w:asciiTheme="minorEastAsia" w:hAnsiTheme="minorEastAsia" w:hint="eastAsia"/>
          <w:color w:val="000000"/>
          <w:szCs w:val="21"/>
          <w:shd w:val="clear" w:color="auto" w:fill="FFFFFF"/>
        </w:rPr>
        <w:t>债券型证券投资</w:t>
      </w:r>
      <w:proofErr w:type="gramStart"/>
      <w:r w:rsidRPr="003E1763">
        <w:rPr>
          <w:rFonts w:asciiTheme="minorEastAsia" w:hAnsiTheme="minorEastAsia" w:hint="eastAsia"/>
          <w:color w:val="000000"/>
          <w:szCs w:val="21"/>
          <w:shd w:val="clear" w:color="auto" w:fill="FFFFFF"/>
        </w:rPr>
        <w:t>基金基金</w:t>
      </w:r>
      <w:proofErr w:type="gramEnd"/>
      <w:r w:rsidRPr="003E1763">
        <w:rPr>
          <w:rFonts w:asciiTheme="minorEastAsia" w:hAnsiTheme="minorEastAsia" w:hint="eastAsia"/>
          <w:color w:val="000000"/>
          <w:szCs w:val="21"/>
          <w:shd w:val="clear" w:color="auto" w:fill="FFFFFF"/>
        </w:rPr>
        <w:t>经理（自2022年3月4日起任职）、</w:t>
      </w:r>
      <w:proofErr w:type="gramStart"/>
      <w:r w:rsidRPr="003E1763">
        <w:rPr>
          <w:rFonts w:asciiTheme="minorEastAsia" w:hAnsiTheme="minorEastAsia" w:hint="eastAsia"/>
          <w:color w:val="000000"/>
          <w:szCs w:val="21"/>
          <w:shd w:val="clear" w:color="auto" w:fill="FFFFFF"/>
        </w:rPr>
        <w:t>富荣富恒两年</w:t>
      </w:r>
      <w:proofErr w:type="gramEnd"/>
      <w:r w:rsidRPr="003E1763">
        <w:rPr>
          <w:rFonts w:asciiTheme="minorEastAsia" w:hAnsiTheme="minorEastAsia" w:hint="eastAsia"/>
          <w:color w:val="000000"/>
          <w:szCs w:val="21"/>
          <w:shd w:val="clear" w:color="auto" w:fill="FFFFFF"/>
        </w:rPr>
        <w:t>定期开放债券型证券投资</w:t>
      </w:r>
      <w:proofErr w:type="gramStart"/>
      <w:r w:rsidRPr="003E1763">
        <w:rPr>
          <w:rFonts w:asciiTheme="minorEastAsia" w:hAnsiTheme="minorEastAsia" w:hint="eastAsia"/>
          <w:color w:val="000000"/>
          <w:szCs w:val="21"/>
          <w:shd w:val="clear" w:color="auto" w:fill="FFFFFF"/>
        </w:rPr>
        <w:t>基金基金</w:t>
      </w:r>
      <w:proofErr w:type="gramEnd"/>
      <w:r w:rsidRPr="003E1763">
        <w:rPr>
          <w:rFonts w:asciiTheme="minorEastAsia" w:hAnsiTheme="minorEastAsia" w:hint="eastAsia"/>
          <w:color w:val="000000"/>
          <w:szCs w:val="21"/>
          <w:shd w:val="clear" w:color="auto" w:fill="FFFFFF"/>
        </w:rPr>
        <w:t>经理（自2022年3月4日起任职）</w:t>
      </w:r>
      <w:r w:rsidRPr="003E1763">
        <w:rPr>
          <w:rFonts w:asciiTheme="minorEastAsia" w:hAnsiTheme="minorEastAsia" w:hint="eastAsia"/>
          <w:szCs w:val="21"/>
        </w:rPr>
        <w:t>。</w:t>
      </w:r>
    </w:p>
    <w:p w14:paraId="20A784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5、投资决策委员会成员的姓名、职务</w:t>
      </w:r>
    </w:p>
    <w:p w14:paraId="3A35A891" w14:textId="77777777" w:rsidR="0076316B" w:rsidRDefault="0093048E" w:rsidP="0076316B">
      <w:pPr>
        <w:spacing w:line="360" w:lineRule="auto"/>
        <w:ind w:firstLineChars="200" w:firstLine="420"/>
        <w:rPr>
          <w:rFonts w:asciiTheme="minorEastAsia" w:hAnsiTheme="minorEastAsia"/>
          <w:color w:val="000000"/>
          <w:szCs w:val="21"/>
          <w:shd w:val="clear" w:color="auto" w:fill="FFFFFF"/>
        </w:rPr>
      </w:pPr>
      <w:r w:rsidRPr="00013D11">
        <w:rPr>
          <w:rFonts w:asciiTheme="minorEastAsia" w:hAnsiTheme="minorEastAsia" w:hint="eastAsia"/>
          <w:color w:val="000000"/>
          <w:szCs w:val="21"/>
          <w:shd w:val="clear" w:color="auto" w:fill="FFFFFF"/>
        </w:rPr>
        <w:t>邓宇翔先生，代行投资决策委员会主任委员、权益投资部总经理、基金经理。</w:t>
      </w:r>
    </w:p>
    <w:p w14:paraId="43583409" w14:textId="77777777" w:rsidR="0076316B" w:rsidRDefault="0093048E" w:rsidP="0076316B">
      <w:pPr>
        <w:spacing w:line="360" w:lineRule="auto"/>
        <w:ind w:firstLineChars="200" w:firstLine="420"/>
        <w:rPr>
          <w:rFonts w:asciiTheme="minorEastAsia" w:hAnsiTheme="minorEastAsia"/>
          <w:color w:val="000000"/>
          <w:szCs w:val="21"/>
          <w:shd w:val="clear" w:color="auto" w:fill="FFFFFF"/>
        </w:rPr>
      </w:pPr>
      <w:r w:rsidRPr="00013D11">
        <w:rPr>
          <w:rFonts w:asciiTheme="minorEastAsia" w:hAnsiTheme="minorEastAsia" w:hint="eastAsia"/>
          <w:color w:val="000000"/>
          <w:szCs w:val="21"/>
          <w:shd w:val="clear" w:color="auto" w:fill="FFFFFF"/>
        </w:rPr>
        <w:t>郎骋成先生，投资决策委员会委员、研究部总经理、基金经理。</w:t>
      </w:r>
    </w:p>
    <w:p w14:paraId="30413BB1" w14:textId="3790A6B5" w:rsidR="0093048E" w:rsidRPr="00013D11" w:rsidRDefault="0093048E" w:rsidP="0076316B">
      <w:pPr>
        <w:spacing w:line="360" w:lineRule="auto"/>
        <w:ind w:firstLineChars="200" w:firstLine="420"/>
        <w:rPr>
          <w:rFonts w:asciiTheme="minorEastAsia" w:hAnsiTheme="minorEastAsia"/>
          <w:color w:val="000000"/>
          <w:szCs w:val="21"/>
          <w:shd w:val="clear" w:color="auto" w:fill="FFFFFF"/>
        </w:rPr>
      </w:pPr>
      <w:r w:rsidRPr="00013D11">
        <w:rPr>
          <w:rFonts w:asciiTheme="minorEastAsia" w:hAnsiTheme="minorEastAsia" w:hint="eastAsia"/>
          <w:color w:val="000000"/>
          <w:szCs w:val="21"/>
          <w:shd w:val="clear" w:color="auto" w:fill="FFFFFF"/>
        </w:rPr>
        <w:t>黄祥斌先生，投资决策委员会委员、投资一部总经理、基金经理。</w:t>
      </w:r>
    </w:p>
    <w:p w14:paraId="644F9CA5" w14:textId="77777777" w:rsidR="0076316B" w:rsidRDefault="0093048E" w:rsidP="0076316B">
      <w:pPr>
        <w:spacing w:line="360" w:lineRule="auto"/>
        <w:ind w:firstLineChars="200" w:firstLine="420"/>
        <w:rPr>
          <w:rFonts w:asciiTheme="minorEastAsia" w:hAnsiTheme="minorEastAsia"/>
          <w:color w:val="000000"/>
          <w:szCs w:val="21"/>
          <w:shd w:val="clear" w:color="auto" w:fill="FFFFFF"/>
        </w:rPr>
      </w:pPr>
      <w:r w:rsidRPr="00013D11">
        <w:rPr>
          <w:rFonts w:asciiTheme="minorEastAsia" w:hAnsiTheme="minorEastAsia" w:hint="eastAsia"/>
          <w:color w:val="000000"/>
          <w:szCs w:val="21"/>
          <w:shd w:val="clear" w:color="auto" w:fill="FFFFFF"/>
        </w:rPr>
        <w:t>唐奥先生，投资决策委员会委员、基金经理。</w:t>
      </w:r>
    </w:p>
    <w:p w14:paraId="6046F6AE" w14:textId="579E05C1" w:rsidR="0093048E" w:rsidRPr="00013D11" w:rsidRDefault="0093048E" w:rsidP="0076316B">
      <w:pPr>
        <w:spacing w:line="360" w:lineRule="auto"/>
        <w:ind w:firstLineChars="200" w:firstLine="420"/>
        <w:rPr>
          <w:rFonts w:asciiTheme="minorEastAsia" w:hAnsiTheme="minorEastAsia"/>
          <w:color w:val="000000"/>
          <w:szCs w:val="21"/>
          <w:shd w:val="clear" w:color="auto" w:fill="FFFFFF"/>
        </w:rPr>
      </w:pPr>
      <w:r w:rsidRPr="00013D11">
        <w:rPr>
          <w:rFonts w:asciiTheme="minorEastAsia" w:hAnsiTheme="minorEastAsia" w:hint="eastAsia"/>
          <w:color w:val="000000"/>
          <w:szCs w:val="21"/>
          <w:shd w:val="clear" w:color="auto" w:fill="FFFFFF"/>
        </w:rPr>
        <w:t>王丹女士，投资决策委员会委员、基金经理。</w:t>
      </w:r>
    </w:p>
    <w:p w14:paraId="46FCDA3A" w14:textId="7CFCE586" w:rsidR="004F087B" w:rsidRDefault="0093048E" w:rsidP="003101F2">
      <w:pPr>
        <w:spacing w:line="360" w:lineRule="auto"/>
        <w:ind w:firstLineChars="200" w:firstLine="420"/>
        <w:rPr>
          <w:rFonts w:ascii="宋体" w:eastAsia="宋体" w:hAnsi="宋体"/>
          <w:szCs w:val="21"/>
        </w:rPr>
      </w:pPr>
      <w:r w:rsidRPr="00013D11">
        <w:rPr>
          <w:rFonts w:asciiTheme="minorEastAsia" w:hAnsiTheme="minorEastAsia" w:hint="eastAsia"/>
          <w:color w:val="000000"/>
          <w:szCs w:val="21"/>
          <w:shd w:val="clear" w:color="auto" w:fill="FFFFFF"/>
        </w:rPr>
        <w:t>李延峥先生，投资决策委员会委员、投资决策委员会秘书、基金经理。</w:t>
      </w:r>
    </w:p>
    <w:p w14:paraId="6D4CAEAC" w14:textId="77777777" w:rsidR="00BD090D" w:rsidRPr="00BD090D" w:rsidRDefault="00BD090D" w:rsidP="00300697">
      <w:pPr>
        <w:spacing w:line="360" w:lineRule="auto"/>
        <w:ind w:firstLineChars="200" w:firstLine="420"/>
        <w:rPr>
          <w:rFonts w:ascii="宋体" w:eastAsia="宋体" w:hAnsi="宋体"/>
          <w:szCs w:val="21"/>
        </w:rPr>
      </w:pPr>
      <w:r w:rsidRPr="00BD090D">
        <w:rPr>
          <w:rFonts w:ascii="宋体" w:eastAsia="宋体" w:hAnsi="宋体" w:hint="eastAsia"/>
          <w:szCs w:val="21"/>
        </w:rPr>
        <w:t>6、上述人员之间不存在近亲属关系。</w:t>
      </w:r>
    </w:p>
    <w:p w14:paraId="31D5E0E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三、基金管理人的职责</w:t>
      </w:r>
    </w:p>
    <w:p w14:paraId="75214D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1、依法募集资金，办理或者委托经中国证监会认定的其他机构代为办理基金份额的发售、申购、赎回和登记事宜；</w:t>
      </w:r>
    </w:p>
    <w:p w14:paraId="19AA6DA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2、办理基金备案手续；</w:t>
      </w:r>
    </w:p>
    <w:p w14:paraId="3A3C6F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3、自《基金合同》生效之日起，以诚实信用、谨慎勤勉的原则管理和运用基金财产；</w:t>
      </w:r>
    </w:p>
    <w:p w14:paraId="3BA00C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4、配备足够的具有专业资格的人员进行基金投资分析、决策，以专业化的经营方式管理和运作基金财产；</w:t>
      </w:r>
    </w:p>
    <w:p w14:paraId="060201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5、建立健全内部风险控制、监察与稽核、财务管理及人事管理等制度，保证所管理的基金财产和基金管理人的财产相互独立，对所管理的不同基金分别管理，分别记账，进行证券投资；</w:t>
      </w:r>
    </w:p>
    <w:p w14:paraId="15FDDC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6、除依据《基金法》、《基金合同》及其他有关规定外，不得利用基金财产为自己及任何第三人谋取利益，不得委托第三人运作基金财产；</w:t>
      </w:r>
    </w:p>
    <w:p w14:paraId="47024C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7、依法接受基金托管人的监督；</w:t>
      </w:r>
    </w:p>
    <w:p w14:paraId="3E2EAD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8、采取适当合理的措施使计算基金份额认购、申购、赎回和注销价格的方法符合《基金合同》等法律文件的规定，按有关规定计算并公告基金资产净值、基金份额净值，确定基金份额申购、赎回的价格；</w:t>
      </w:r>
    </w:p>
    <w:p w14:paraId="1FD3628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9、进行基金会计核算并编制基金财务会计报告；</w:t>
      </w:r>
    </w:p>
    <w:p w14:paraId="0B785B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10、编制季度报告、中期报告和年度报告；</w:t>
      </w:r>
    </w:p>
    <w:p w14:paraId="235E9B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11、严格按照《基金法》、《基金合同》及其他有关规定，履行信息披露及报告义务；</w:t>
      </w:r>
    </w:p>
    <w:p w14:paraId="7F8724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12、保守基金商业秘密，不泄露基金投资计划、投资意向等。除《基金法》、《基金合同》及其他有关规定另有规定外，在基金信息公开披露前应予保密，不向他人泄露；</w:t>
      </w:r>
    </w:p>
    <w:p w14:paraId="7E8859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13、按《基金合同》的约定确定基金收益分配方案，及时向基金份额持有人分配基金收益；</w:t>
      </w:r>
    </w:p>
    <w:p w14:paraId="4FDA2C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14、按规定受理申购与赎回申请，及时、足额支付赎回款项；</w:t>
      </w:r>
    </w:p>
    <w:p w14:paraId="7FF61F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15、依据《基金法》、《基金合同》及其他有关规定召集基金份额持有人大会或配合基金托管人、基金份额持有人依法召集基金份额持有人大会；</w:t>
      </w:r>
    </w:p>
    <w:p w14:paraId="20242A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16、按规定保存基金财产管理业务活动的会计账册、报表、记录和其他相关资料15年以上；</w:t>
      </w:r>
    </w:p>
    <w:p w14:paraId="266FF9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0CEAC2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18、组织并参加基金财产清算小组，参与基金财产的保管、清理、估价、变现和分配；</w:t>
      </w:r>
    </w:p>
    <w:p w14:paraId="03AE17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19、面临解散、依法被撤销或者被依法宣告破产时，及时报告中国证监会并通知基金托管人；</w:t>
      </w:r>
    </w:p>
    <w:p w14:paraId="48B9F5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20、因违反《基金合同》导致基金财产的损失或损害基金份额持有人合法权益时，应当承担赔偿责任，其赔偿责任不因其退任而免除；</w:t>
      </w:r>
    </w:p>
    <w:p w14:paraId="211599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21、监督基金托管人按法律法规和《基金合同》规定履行自己的义务，基金托管人违反《基金合同》造成基金财产损失时，基金管理人应为基金份额持有人利益向基金托管人追偿；</w:t>
      </w:r>
    </w:p>
    <w:p w14:paraId="54AA9E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22、当基金管理人将其义务委托第三方处理时，应当对第三方处理有关基金事务的行为承担责任；</w:t>
      </w:r>
    </w:p>
    <w:p w14:paraId="30A068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23、以基金管理人名义，代表基金份额持有人利益行使诉讼权利或实施其他法律行为；</w:t>
      </w:r>
    </w:p>
    <w:p w14:paraId="14E643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24、基金管理人在募集期间未能达到基金的备案条件，《基金合同》不能生效，基金管理人承担全部募集费用，将已募集资金加计银行同期活期存款利息在基金募集期结束后30日内退还基金认购人；</w:t>
      </w:r>
    </w:p>
    <w:p w14:paraId="60A867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25、执行生效的基金份额持有人大会的决议；</w:t>
      </w:r>
    </w:p>
    <w:p w14:paraId="37996D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26、建立并保存基金份额持有人名册；</w:t>
      </w:r>
    </w:p>
    <w:p w14:paraId="141558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27、法律法规及中国证监会规定的和《基金合同》约定的其他义务。</w:t>
      </w:r>
    </w:p>
    <w:p w14:paraId="11E41A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四、基金管理人的承诺</w:t>
      </w:r>
    </w:p>
    <w:p w14:paraId="76CCFE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1、基金管理人承诺不从事违反《中华人民共和国证券法》的行为，并承诺建立健全内部控制制度，采取有效措施，防止违反《中华人民共和国证券法》行为的发生； </w:t>
      </w:r>
    </w:p>
    <w:p w14:paraId="3157B8C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2、基金管理人承诺不从事违反《基金法》的行为，并承诺建立健全内部风险控制制度，采取有效措施，防止下列行为的发生：</w:t>
      </w:r>
    </w:p>
    <w:p w14:paraId="0D581D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（1）将基金管理人固有财产或者他人财产混同于基金财产从事证券投资；</w:t>
      </w:r>
    </w:p>
    <w:p w14:paraId="086A0F7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（2）不公平地对待管理的不同基金财产；</w:t>
      </w:r>
    </w:p>
    <w:p w14:paraId="67DFE3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（3）利用基金财产或者职务之便为基金份额持有人以外的第三人牟取利益；</w:t>
      </w:r>
    </w:p>
    <w:p w14:paraId="132A8A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（4）向基金份额持有人违规承诺收益或者承担损失；</w:t>
      </w:r>
    </w:p>
    <w:p w14:paraId="61FF9E3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（5）侵占、挪用基金财产；</w:t>
      </w:r>
      <w:r w:rsidRPr="00BD090D">
        <w:rPr>
          <w:rFonts w:ascii="宋体" w:eastAsia="宋体" w:hAnsi="宋体" w:hint="eastAsia"/>
          <w:szCs w:val="21"/>
        </w:rPr>
        <w:tab/>
      </w:r>
    </w:p>
    <w:p w14:paraId="2664AC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（6）泄露因职务便利获取的未公开信息、利用该信息从事或者明示、暗示他人从事相关的交易活动；</w:t>
      </w:r>
    </w:p>
    <w:p w14:paraId="7F47BBA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（7）玩忽职守，不按照规定履行职责；</w:t>
      </w:r>
    </w:p>
    <w:p w14:paraId="7DF6BF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（8）法律、行政法规和中国证监会规定禁止的其他行为。 </w:t>
      </w:r>
    </w:p>
    <w:p w14:paraId="7E24FB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3、基金管理人承诺严格遵守基金合同，并承诺建立健全内部控制制度，采取有效措施，防止违反基金合同行为的发生； </w:t>
      </w:r>
    </w:p>
    <w:p w14:paraId="6BC52D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4、基金管理人承诺加强人员管理，强化职业操守，督促和约束员工遵守国家有关法律法规及行业规范，诚实信用、勤勉尽责；</w:t>
      </w:r>
    </w:p>
    <w:p w14:paraId="065F9E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5、基金管理人承诺不从事其他法规规定禁止从事的行为。 </w:t>
      </w:r>
    </w:p>
    <w:p w14:paraId="1D48CCD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五、基金经理承诺</w:t>
      </w:r>
    </w:p>
    <w:p w14:paraId="0CE5FD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1、依照有关法律法规和基金合同的规定，本着谨慎的原则为基金份额持有人谋取最大利益；</w:t>
      </w:r>
    </w:p>
    <w:p w14:paraId="6E2A1CC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2、不利用职务之便为自己、受雇人或任何第三者牟取利益； </w:t>
      </w:r>
    </w:p>
    <w:p w14:paraId="60A034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3、不泄露在任职期间知悉的有关证券、基金的商业秘密，尚未依法公开的基金投资内容、基金投资计划等信息，或利用该信息从事或者明示、暗示他人从事相关的交易活动；</w:t>
      </w:r>
    </w:p>
    <w:p w14:paraId="7D1568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4、不以任何形式为其他组织或个人进行证券交易。</w:t>
      </w:r>
    </w:p>
    <w:p w14:paraId="394DFE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六、基金管理人的内部控制制度</w:t>
      </w:r>
    </w:p>
    <w:p w14:paraId="0035C3E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1、风险控制目标</w:t>
      </w:r>
    </w:p>
    <w:p w14:paraId="29A8B0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（1）在有效控制风险的前提下，实现基金份额持有人利益最大化；</w:t>
      </w:r>
    </w:p>
    <w:p w14:paraId="4779EB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（2）确保国家有关法律法规、行业规章和公司各项规章制度的贯彻执行；</w:t>
      </w:r>
    </w:p>
    <w:p w14:paraId="2B5D01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（3）建立符合现代企业制度要求的法人治理结构，形成科学合理的决策机制、执行机制和监督机制；</w:t>
      </w:r>
    </w:p>
    <w:p w14:paraId="29FDFF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（4）将各种风险控制在合理的范围内，保障公司发展战略和经营目标的全面实施，维护基金份额持有人、公司及公司股东的合法权益；</w:t>
      </w:r>
    </w:p>
    <w:p w14:paraId="103813E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（5）建立行之有效的风险控制系统，保障业务稳健运行，减轻或规避各种风险对公司发展战略和经营目标的干扰。</w:t>
      </w:r>
    </w:p>
    <w:p w14:paraId="526134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2、建立风险控制制度应遵循的原则</w:t>
      </w:r>
    </w:p>
    <w:p w14:paraId="762BD9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（1）全面性原则：风险控制制度应覆盖公司的各项业务、各个部门和各级人员，并渗透到决策、执行、监督、反馈等各个经营环节；</w:t>
      </w:r>
    </w:p>
    <w:p w14:paraId="0B32B1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（2）审慎性原则：内部风险控制的核心是有效防范各种风险，公司组织体系的构成、内部管理制度的建立都要以防范风险、审慎经营为出发点；</w:t>
      </w:r>
    </w:p>
    <w:p w14:paraId="32C2C8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585A0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25A77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（5）适时性原则：内部风险控制应随着公司经营战略、经营方针、经营理念等内部环境的变化和国家法律、法规、政策制度等外部环境的改变及时进行相应的修改和完善；</w:t>
      </w:r>
    </w:p>
    <w:p w14:paraId="03A672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3、风险控制体系</w:t>
      </w:r>
    </w:p>
    <w:p w14:paraId="237B5B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（1）风险控制制度体系</w:t>
      </w:r>
    </w:p>
    <w:p w14:paraId="4E629C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公司风险控制制度体系由三个不同层次的制度构成：第一个层次是公司章程、内部控制大纲；第二个层次是基本管理制度；第三个层次是部门管理制度及各项业务规则。</w:t>
      </w:r>
    </w:p>
    <w:p w14:paraId="38106E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（2）风险控制组织体系</w:t>
      </w:r>
    </w:p>
    <w:p w14:paraId="696F1A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风险控制组织体系包括两个层次：</w:t>
      </w:r>
    </w:p>
    <w:p w14:paraId="664E03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第一层次：公司董事会层面对公司经营管理过程中的各类风险进行预防和控制的组织，主要是通过董事会下设的风险控制委员会和督察长来实现的。</w:t>
      </w:r>
    </w:p>
    <w:p w14:paraId="59EC1C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219F5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②督察</w:t>
      </w:r>
      <w:proofErr w:type="gramStart"/>
      <w:r w:rsidRPr="00BD090D">
        <w:rPr>
          <w:rFonts w:ascii="宋体" w:eastAsia="宋体" w:hAnsi="宋体" w:hint="eastAsia"/>
          <w:szCs w:val="21"/>
        </w:rPr>
        <w:t>长履行</w:t>
      </w:r>
      <w:proofErr w:type="gramEnd"/>
      <w:r w:rsidRPr="00BD090D">
        <w:rPr>
          <w:rFonts w:ascii="宋体" w:eastAsia="宋体" w:hAnsi="宋体"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48DC16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第二层次：公司经营管理层包括风险控制委员会、监察稽核部及各职能部门对经营风险的预防和控制。</w:t>
      </w:r>
    </w:p>
    <w:p w14:paraId="3E4C67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43577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②监察稽核部的主要职责是在督察长的领导下，组织和协调公司内部控制制度的编写、修订工作，确保公司内部控制制度合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咨询、合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培训、离任审查等工作。</w:t>
      </w:r>
    </w:p>
    <w:p w14:paraId="6231D8B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54F1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4、关于授权、研究、投资、交易等方面的控制点</w:t>
      </w:r>
    </w:p>
    <w:p w14:paraId="2EC84E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（1）授权制度</w:t>
      </w:r>
    </w:p>
    <w:p w14:paraId="558A40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3E322F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（2）研究业务</w:t>
      </w:r>
    </w:p>
    <w:p w14:paraId="2BC0A1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7F771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（3）基金投资业务</w:t>
      </w:r>
    </w:p>
    <w:p w14:paraId="0ABC37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基金投资应确立科学的投资理念，根据决策的风险防范原则和效率性原则制定合理的决策程序；在进行投资时应有明确的投资授权制度，并应建立与所授权</w:t>
      </w:r>
      <w:proofErr w:type="gramStart"/>
      <w:r w:rsidRPr="00BD090D">
        <w:rPr>
          <w:rFonts w:ascii="宋体" w:eastAsia="宋体" w:hAnsi="宋体" w:hint="eastAsia"/>
          <w:szCs w:val="21"/>
        </w:rPr>
        <w:t>限相应</w:t>
      </w:r>
      <w:proofErr w:type="gramEnd"/>
      <w:r w:rsidRPr="00BD090D">
        <w:rPr>
          <w:rFonts w:ascii="宋体" w:eastAsia="宋体" w:hAnsi="宋体" w:hint="eastAsia"/>
          <w:szCs w:val="21"/>
        </w:rPr>
        <w:t>的约束制度和考核制度；建立严格的投资禁止和投资限制制度，保证基金投资的合法合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性；建立投资风险评估与管理制度，将重点投资限制在一定的风险权限额度内；对于投资结果建立科学的投资管理业绩评价体系。</w:t>
      </w:r>
    </w:p>
    <w:p w14:paraId="71B6EAB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（4）交易业务</w:t>
      </w:r>
    </w:p>
    <w:p w14:paraId="1156CC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9F758E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（5）基金会计核算</w:t>
      </w:r>
    </w:p>
    <w:p w14:paraId="311B3F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D61308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（6）信息披露</w:t>
      </w:r>
    </w:p>
    <w:p w14:paraId="148F89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建立了完善的信息披露制度，保证公开披露的信息真实、准确、完整；设立了信息披露负责人，并建立了相应的程序进行信息的收集、组织、审核和发布，加强对信息的审查核对，</w:t>
      </w:r>
      <w:r w:rsidRPr="00BD090D">
        <w:rPr>
          <w:rFonts w:ascii="宋体" w:eastAsia="宋体" w:hAnsi="宋体" w:hint="eastAsia"/>
          <w:szCs w:val="21"/>
        </w:rPr>
        <w:lastRenderedPageBreak/>
        <w:t>使所公布的信息符合法律法规的规定；加强对信息披露的检查和评价，对存在的问题及时提出改进方法。</w:t>
      </w:r>
    </w:p>
    <w:p w14:paraId="6187BCC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（7）监察稽核</w:t>
      </w:r>
    </w:p>
    <w:p w14:paraId="2F633C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公司设立督察长。督察长由董事会聘任或解聘，报中国证监会或其指定的机构备案，并向董事会负责。督察</w:t>
      </w:r>
      <w:proofErr w:type="gramStart"/>
      <w:r w:rsidRPr="00BD090D">
        <w:rPr>
          <w:rFonts w:ascii="宋体" w:eastAsia="宋体" w:hAnsi="宋体" w:hint="eastAsia"/>
          <w:szCs w:val="21"/>
        </w:rPr>
        <w:t>长依据</w:t>
      </w:r>
      <w:proofErr w:type="gramEnd"/>
      <w:r w:rsidRPr="00BD090D">
        <w:rPr>
          <w:rFonts w:ascii="宋体" w:eastAsia="宋体" w:hAnsi="宋体"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D0372F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85D9E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5、风险管理和内部控制的措施</w:t>
      </w:r>
    </w:p>
    <w:p w14:paraId="1AA600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（1）建立内控结构，完善内控制度：公司建立、健全了内控结构，高管人员具有明确的内控分工，确保各项业务活动有恰当的组织和授权，确保监察活动的独立进行，并得到高管人员的支持。</w:t>
      </w:r>
    </w:p>
    <w:p w14:paraId="6D7A70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（2）建立相互分离、相互制衡的内控机制：建立、健全了各项制度，做到基金经理、投资经理分开，研究、决策分开，基金交易集中，形成不同部门、不同岗位之间的制衡机制，从制度上减少和防范风险。</w:t>
      </w:r>
    </w:p>
    <w:p w14:paraId="0D3F790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（3）建立、健全岗位责任制：建立、健全了岗位责任制，使每个员工都明确自己的任务、职责，并及时将各自工作领域中的风险隐患上报，以防范和减少风险。</w:t>
      </w:r>
    </w:p>
    <w:p w14:paraId="5712BF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54400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（5）建立有效的内部监控系统：建立了足够、有效的内部监控系统，如计算机预警系统、投资监控系统，能对可能出现的各种风险进行全面和实时的监控。</w:t>
      </w:r>
    </w:p>
    <w:p w14:paraId="1CD973B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（6）使用数量化的风险管理手段：采取数量化、技术化的风险控制手段，建立数量化的风险管理模型，用以提示市场风险，以便公司及时采取有效的措施，对风险进行分散、控制和规避，尽可能地减少损失。</w:t>
      </w:r>
    </w:p>
    <w:p w14:paraId="5D38E8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（7）提供足够的培训：制定了完整的培训计划，为所有员工提供足够和适当的培训，使员工明确其职责所在，控制风险。</w:t>
      </w:r>
    </w:p>
    <w:p w14:paraId="6B4333B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6、基金管理人承诺上述关于内部控制的披露真实、准确，并承诺将根据市场环境的变化及公司的发展不断完善合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控制。</w:t>
      </w:r>
    </w:p>
    <w:p w14:paraId="0C2347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0835B0D"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A48C935"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255BB4AC"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3" w:name="_Toc121901712"/>
      <w:r w:rsidRPr="00BD090D">
        <w:rPr>
          <w:rFonts w:ascii="Arial Unicode MS" w:eastAsia="宋体" w:hAnsi="Arial Unicode MS" w:cs="Arial" w:hint="eastAsia"/>
          <w:kern w:val="0"/>
          <w:sz w:val="28"/>
          <w:szCs w:val="28"/>
        </w:rPr>
        <w:lastRenderedPageBreak/>
        <w:t>第四部分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基金托管人</w:t>
      </w:r>
      <w:bookmarkEnd w:id="3"/>
    </w:p>
    <w:p w14:paraId="4A2EE9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w:t>
      </w:r>
      <w:proofErr w:type="gramStart"/>
      <w:r w:rsidRPr="00BD090D">
        <w:rPr>
          <w:rFonts w:ascii="宋体" w:eastAsia="宋体" w:hAnsi="宋体" w:hint="eastAsia"/>
          <w:szCs w:val="21"/>
        </w:rPr>
        <w:t>一</w:t>
      </w:r>
      <w:proofErr w:type="gramEnd"/>
      <w:r w:rsidRPr="00BD090D">
        <w:rPr>
          <w:rFonts w:ascii="宋体" w:eastAsia="宋体" w:hAnsi="宋体" w:hint="eastAsia"/>
          <w:szCs w:val="21"/>
        </w:rPr>
        <w:t>)基金托管人概况</w:t>
      </w:r>
    </w:p>
    <w:p w14:paraId="09653890" w14:textId="77777777" w:rsidR="005373A2" w:rsidRPr="005373A2" w:rsidRDefault="005373A2" w:rsidP="005373A2">
      <w:pPr>
        <w:spacing w:line="360" w:lineRule="auto"/>
        <w:ind w:firstLineChars="200" w:firstLine="420"/>
        <w:rPr>
          <w:rFonts w:ascii="宋体" w:eastAsia="宋体" w:hAnsi="宋体"/>
          <w:szCs w:val="21"/>
        </w:rPr>
      </w:pPr>
      <w:r w:rsidRPr="005373A2">
        <w:rPr>
          <w:rFonts w:ascii="宋体" w:eastAsia="宋体" w:hAnsi="宋体" w:hint="eastAsia"/>
          <w:szCs w:val="21"/>
        </w:rPr>
        <w:t>1.</w:t>
      </w:r>
      <w:r w:rsidRPr="005373A2">
        <w:rPr>
          <w:rFonts w:ascii="宋体" w:eastAsia="宋体" w:hAnsi="宋体" w:hint="eastAsia"/>
          <w:szCs w:val="21"/>
        </w:rPr>
        <w:tab/>
        <w:t>基本情况</w:t>
      </w:r>
    </w:p>
    <w:p w14:paraId="4485B41F"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名称：中国民生银行股份有限公司（以下简称“中国民生银行”）</w:t>
      </w:r>
    </w:p>
    <w:p w14:paraId="585BDAEF"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住所：北京市西城区复兴门内大街2号</w:t>
      </w:r>
    </w:p>
    <w:p w14:paraId="56EADC36"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办公地址：北京市西城区复兴门内大街2号</w:t>
      </w:r>
    </w:p>
    <w:p w14:paraId="0B0EF836"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法定代表人：高迎欣</w:t>
      </w:r>
    </w:p>
    <w:p w14:paraId="5854D501"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成立日期：1996年2月7日</w:t>
      </w:r>
    </w:p>
    <w:p w14:paraId="497C79B4"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基金托管业务批准文号：证</w:t>
      </w:r>
      <w:proofErr w:type="gramStart"/>
      <w:r w:rsidRPr="001B2EE6">
        <w:rPr>
          <w:rFonts w:ascii="宋体" w:eastAsia="宋体" w:hAnsi="宋体" w:hint="eastAsia"/>
          <w:szCs w:val="21"/>
        </w:rPr>
        <w:t>监基金字</w:t>
      </w:r>
      <w:proofErr w:type="gramEnd"/>
      <w:r w:rsidRPr="001B2EE6">
        <w:rPr>
          <w:rFonts w:ascii="宋体" w:eastAsia="宋体" w:hAnsi="宋体" w:hint="eastAsia"/>
          <w:szCs w:val="21"/>
        </w:rPr>
        <w:t>［2004］101号</w:t>
      </w:r>
    </w:p>
    <w:p w14:paraId="4755CF46"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组织形式：其他股份有限公司（上市）</w:t>
      </w:r>
    </w:p>
    <w:p w14:paraId="41FD84F3"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注册资本：43,782,418,502元人民币</w:t>
      </w:r>
    </w:p>
    <w:p w14:paraId="35E233EC"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 xml:space="preserve">电话：010-58560666 </w:t>
      </w:r>
    </w:p>
    <w:p w14:paraId="41EEAFD0"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联系人：罗菲菲</w:t>
      </w:r>
    </w:p>
    <w:p w14:paraId="7CDB988C"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中国民生银行成立于1996年，是中国第一家主要由民营企业发起设立的全国性股份制商业银行，也是严格按照中国《公司法》和《商业银行法》设立的一家现代金融企业。</w:t>
      </w:r>
    </w:p>
    <w:p w14:paraId="50774D01" w14:textId="1BE8E3F6" w:rsidR="005373A2" w:rsidRPr="005373A2" w:rsidRDefault="001B2EE6" w:rsidP="005373A2">
      <w:pPr>
        <w:spacing w:line="360" w:lineRule="auto"/>
        <w:ind w:firstLineChars="200" w:firstLine="420"/>
        <w:rPr>
          <w:rFonts w:ascii="宋体" w:eastAsia="宋体" w:hAnsi="宋体"/>
          <w:szCs w:val="21"/>
        </w:rPr>
      </w:pPr>
      <w:r w:rsidRPr="001B2EE6">
        <w:rPr>
          <w:rFonts w:ascii="宋体" w:eastAsia="宋体" w:hAnsi="宋体" w:hint="eastAsia"/>
          <w:szCs w:val="21"/>
        </w:rPr>
        <w:t>2000年12月19日，中国民生银行A 股股票（代码：600016）在上海证券交易所挂牌上市。2005年10月26日，中国民生银行完成股权分置改革，成为国内首家实施股权分置改革的商业银行。2009年11月26日，中国民生银行H股股票（代码：01988）在香港证券交易所挂牌上市。上市以来，中国民生银行不断完善公司治理，大力推进改革转型，持续创新商业模式和产品服务，致力于成为一家“让人信赖、受人尊敬”的上市公司。</w:t>
      </w:r>
    </w:p>
    <w:p w14:paraId="0BD1F216" w14:textId="77777777" w:rsidR="005373A2" w:rsidRPr="005373A2" w:rsidRDefault="005373A2" w:rsidP="005373A2">
      <w:pPr>
        <w:spacing w:line="360" w:lineRule="auto"/>
        <w:ind w:firstLineChars="200" w:firstLine="420"/>
        <w:rPr>
          <w:rFonts w:ascii="宋体" w:eastAsia="宋体" w:hAnsi="宋体"/>
          <w:szCs w:val="21"/>
        </w:rPr>
      </w:pPr>
      <w:r w:rsidRPr="005373A2">
        <w:rPr>
          <w:rFonts w:ascii="宋体" w:eastAsia="宋体" w:hAnsi="宋体" w:hint="eastAsia"/>
          <w:szCs w:val="21"/>
        </w:rPr>
        <w:t>2、主要人员情况</w:t>
      </w:r>
    </w:p>
    <w:p w14:paraId="1040FDDA" w14:textId="12D98346" w:rsidR="005373A2" w:rsidRPr="005373A2" w:rsidRDefault="001B2EE6" w:rsidP="005373A2">
      <w:pPr>
        <w:spacing w:line="360" w:lineRule="auto"/>
        <w:ind w:firstLineChars="200" w:firstLine="420"/>
        <w:rPr>
          <w:rFonts w:ascii="宋体" w:eastAsia="宋体" w:hAnsi="宋体"/>
          <w:szCs w:val="21"/>
        </w:rPr>
      </w:pPr>
      <w:r w:rsidRPr="001B2EE6">
        <w:rPr>
          <w:rFonts w:ascii="宋体" w:eastAsia="宋体" w:hAnsi="宋体" w:hint="eastAsia"/>
          <w:szCs w:val="21"/>
        </w:rPr>
        <w:t>崔岩女士，中国民生银行资产托管部负责人，博士研究生，具有基金托管人高级管理人员任职资格，从事</w:t>
      </w:r>
      <w:proofErr w:type="gramStart"/>
      <w:r w:rsidRPr="001B2EE6">
        <w:rPr>
          <w:rFonts w:ascii="宋体" w:eastAsia="宋体" w:hAnsi="宋体" w:hint="eastAsia"/>
          <w:szCs w:val="21"/>
        </w:rPr>
        <w:t>过全球</w:t>
      </w:r>
      <w:proofErr w:type="gramEnd"/>
      <w:r w:rsidRPr="001B2EE6">
        <w:rPr>
          <w:rFonts w:ascii="宋体" w:eastAsia="宋体" w:hAnsi="宋体" w:hint="eastAsia"/>
          <w:szCs w:val="21"/>
        </w:rPr>
        <w:t>托管业务、托管业务运作、银行信息管理等工作，具有多年金融从业经历，具备扎实的总部管理经历。曾任中国工商银行总行资产托管部营销专家。</w:t>
      </w:r>
    </w:p>
    <w:p w14:paraId="28574F17" w14:textId="77777777" w:rsidR="005373A2" w:rsidRPr="005373A2" w:rsidRDefault="005373A2" w:rsidP="005373A2">
      <w:pPr>
        <w:spacing w:line="360" w:lineRule="auto"/>
        <w:ind w:firstLineChars="200" w:firstLine="420"/>
        <w:rPr>
          <w:rFonts w:ascii="宋体" w:eastAsia="宋体" w:hAnsi="宋体"/>
          <w:szCs w:val="21"/>
        </w:rPr>
      </w:pPr>
      <w:r w:rsidRPr="005373A2">
        <w:rPr>
          <w:rFonts w:ascii="宋体" w:eastAsia="宋体" w:hAnsi="宋体" w:hint="eastAsia"/>
          <w:szCs w:val="21"/>
        </w:rPr>
        <w:t>3、基金托管业务经营情况</w:t>
      </w:r>
    </w:p>
    <w:p w14:paraId="1116F329"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中国民生银行股份有限公司于2004年7月9日获得基金托管资格，成为《中华人民共和国证券投资基金法》颁布后首家获</w:t>
      </w:r>
      <w:proofErr w:type="gramStart"/>
      <w:r w:rsidRPr="001B2EE6">
        <w:rPr>
          <w:rFonts w:ascii="宋体" w:eastAsia="宋体" w:hAnsi="宋体" w:hint="eastAsia"/>
          <w:szCs w:val="21"/>
        </w:rPr>
        <w:t>批从事</w:t>
      </w:r>
      <w:proofErr w:type="gramEnd"/>
      <w:r w:rsidRPr="001B2EE6">
        <w:rPr>
          <w:rFonts w:ascii="宋体" w:eastAsia="宋体" w:hAnsi="宋体" w:hint="eastAsia"/>
          <w:szCs w:val="21"/>
        </w:rPr>
        <w:t>基金托管业务的银行。为了更好地发挥后发优势，大力发展托管业务，中国民生银行股份有限公司资产托管部从成立伊始就本着充分保护基金持有人的利益、为客户提供高品质托管服务的原则，高起点地建立系统、完善制度、组织人</w:t>
      </w:r>
      <w:r w:rsidRPr="001B2EE6">
        <w:rPr>
          <w:rFonts w:ascii="宋体" w:eastAsia="宋体" w:hAnsi="宋体" w:hint="eastAsia"/>
          <w:szCs w:val="21"/>
        </w:rPr>
        <w:lastRenderedPageBreak/>
        <w:t>员。资产托管部目前共有员工85人，平均年龄38岁，100%员工拥有大学本科以上学历，64%以上员工具有硕士以上学位。</w:t>
      </w:r>
    </w:p>
    <w:p w14:paraId="387B31A7"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中国民生银行坚持以客户需求为导向，秉承“诚信、严谨、高效、务实”的经营理念，依托丰富的资产托管经验、专业的托管业务服务和先进的托管业务平台，为境内外客户提供安全、准确、及时、高效的专业托管服务。中国民生银行资产托管部于2018年2月6日发布了“爱托管”品牌，近百余</w:t>
      </w:r>
      <w:proofErr w:type="gramStart"/>
      <w:r w:rsidRPr="001B2EE6">
        <w:rPr>
          <w:rFonts w:ascii="宋体" w:eastAsia="宋体" w:hAnsi="宋体" w:hint="eastAsia"/>
          <w:szCs w:val="21"/>
        </w:rPr>
        <w:t>家资管</w:t>
      </w:r>
      <w:proofErr w:type="gramEnd"/>
      <w:r w:rsidRPr="001B2EE6">
        <w:rPr>
          <w:rFonts w:ascii="宋体" w:eastAsia="宋体" w:hAnsi="宋体" w:hint="eastAsia"/>
          <w:szCs w:val="21"/>
        </w:rPr>
        <w:t>机构及合作客户的代表受邀参加了启动仪式。资产托管部始终坚持以客户为中心，致力于为客户提供全面的综合金融服务。对内大力整合行内资源，对外广泛搭建客户服务平台，向各类托管客户提供专业化、增值化的托管综合金融服务，得到各界的充分认可，也在市场上树立了良好品牌形象，成为市场上一家有特色的托管银行。自2010年至今，中国民生银行荣获《金融理财》杂志颁发的“最具潜力托管银行”、“最佳创新托管银行”、“金牌创新力托管银行”奖和“年度金牌托管银行”奖，荣获《21世纪经济报道》颁发的“最佳金融服务托管银行”奖，连续三年获评中央国债登记结算有限责任公司颁发的“优秀资产托管机构”奖项，尤其继2019年被《金融时报》评为年度唯一“最佳资产托管银行”之后，在2020年度再次被评为唯一“最具资产托管创新力银行”。</w:t>
      </w:r>
    </w:p>
    <w:p w14:paraId="39270609" w14:textId="424C3A28" w:rsidR="005373A2" w:rsidRPr="005373A2" w:rsidRDefault="001B2EE6" w:rsidP="005373A2">
      <w:pPr>
        <w:spacing w:line="360" w:lineRule="auto"/>
        <w:ind w:firstLineChars="200" w:firstLine="420"/>
        <w:rPr>
          <w:rFonts w:ascii="宋体" w:eastAsia="宋体" w:hAnsi="宋体"/>
          <w:szCs w:val="21"/>
        </w:rPr>
      </w:pPr>
      <w:r w:rsidRPr="001B2EE6">
        <w:rPr>
          <w:rFonts w:ascii="宋体" w:eastAsia="宋体" w:hAnsi="宋体" w:hint="eastAsia"/>
          <w:szCs w:val="21"/>
        </w:rPr>
        <w:t>截至2022年9月30日，中国民生银行托管建</w:t>
      </w:r>
      <w:proofErr w:type="gramStart"/>
      <w:r w:rsidRPr="001B2EE6">
        <w:rPr>
          <w:rFonts w:ascii="宋体" w:eastAsia="宋体" w:hAnsi="宋体" w:hint="eastAsia"/>
          <w:szCs w:val="21"/>
        </w:rPr>
        <w:t>信稳定</w:t>
      </w:r>
      <w:proofErr w:type="gramEnd"/>
      <w:r w:rsidRPr="001B2EE6">
        <w:rPr>
          <w:rFonts w:ascii="宋体" w:eastAsia="宋体" w:hAnsi="宋体" w:hint="eastAsia"/>
          <w:szCs w:val="21"/>
        </w:rPr>
        <w:t>得利债券型证券投资基金、中银新趋势灵活配置混合型证券投资基金、长信利盈灵活配置混合型证券投资基金等共346只证券投资基金，基金托管规模11635.78亿元。</w:t>
      </w:r>
    </w:p>
    <w:p w14:paraId="291F4FBA" w14:textId="77777777" w:rsidR="005373A2" w:rsidRPr="005373A2" w:rsidRDefault="005373A2" w:rsidP="005373A2">
      <w:pPr>
        <w:spacing w:line="360" w:lineRule="auto"/>
        <w:ind w:firstLineChars="200" w:firstLine="420"/>
        <w:rPr>
          <w:rFonts w:ascii="宋体" w:eastAsia="宋体" w:hAnsi="宋体"/>
          <w:szCs w:val="21"/>
        </w:rPr>
      </w:pPr>
      <w:r w:rsidRPr="005373A2">
        <w:rPr>
          <w:rFonts w:ascii="宋体" w:eastAsia="宋体" w:hAnsi="宋体" w:hint="eastAsia"/>
          <w:szCs w:val="21"/>
        </w:rPr>
        <w:t>(二)基金托管人的内部控制制度</w:t>
      </w:r>
    </w:p>
    <w:p w14:paraId="31425ED9" w14:textId="77777777" w:rsidR="005373A2" w:rsidRPr="005373A2" w:rsidRDefault="005373A2" w:rsidP="005373A2">
      <w:pPr>
        <w:spacing w:line="360" w:lineRule="auto"/>
        <w:ind w:firstLineChars="200" w:firstLine="420"/>
        <w:rPr>
          <w:rFonts w:ascii="宋体" w:eastAsia="宋体" w:hAnsi="宋体"/>
          <w:szCs w:val="21"/>
        </w:rPr>
      </w:pPr>
      <w:r w:rsidRPr="005373A2">
        <w:rPr>
          <w:rFonts w:ascii="宋体" w:eastAsia="宋体" w:hAnsi="宋体" w:hint="eastAsia"/>
          <w:szCs w:val="21"/>
        </w:rPr>
        <w:t>1.内部风险控制目标</w:t>
      </w:r>
    </w:p>
    <w:p w14:paraId="36E88E2D"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(1)建立完整、严密、高效的风险控制体系，形成科学的决策机制、执行机制和监督机制，防范和化解经营风险，保障资产托管业务的稳健运行和托管财产的安全完整。</w:t>
      </w:r>
    </w:p>
    <w:p w14:paraId="12A33815"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(2)大力培育合</w:t>
      </w:r>
      <w:proofErr w:type="gramStart"/>
      <w:r w:rsidRPr="001B2EE6">
        <w:rPr>
          <w:rFonts w:ascii="宋体" w:eastAsia="宋体" w:hAnsi="宋体" w:hint="eastAsia"/>
          <w:szCs w:val="21"/>
        </w:rPr>
        <w:t>规</w:t>
      </w:r>
      <w:proofErr w:type="gramEnd"/>
      <w:r w:rsidRPr="001B2EE6">
        <w:rPr>
          <w:rFonts w:ascii="宋体" w:eastAsia="宋体" w:hAnsi="宋体" w:hint="eastAsia"/>
          <w:szCs w:val="21"/>
        </w:rPr>
        <w:t>文化，自觉形成守法经营、规范运作的经营思想和经营理念，严格控制合</w:t>
      </w:r>
      <w:proofErr w:type="gramStart"/>
      <w:r w:rsidRPr="001B2EE6">
        <w:rPr>
          <w:rFonts w:ascii="宋体" w:eastAsia="宋体" w:hAnsi="宋体" w:hint="eastAsia"/>
          <w:szCs w:val="21"/>
        </w:rPr>
        <w:t>规</w:t>
      </w:r>
      <w:proofErr w:type="gramEnd"/>
      <w:r w:rsidRPr="001B2EE6">
        <w:rPr>
          <w:rFonts w:ascii="宋体" w:eastAsia="宋体" w:hAnsi="宋体" w:hint="eastAsia"/>
          <w:szCs w:val="21"/>
        </w:rPr>
        <w:t>风险，保证资产托管业务符合国家有关法律法规和行业监管规则。</w:t>
      </w:r>
    </w:p>
    <w:p w14:paraId="1AAB280A"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(3)以相互制衡健全有效的</w:t>
      </w:r>
      <w:proofErr w:type="gramStart"/>
      <w:r w:rsidRPr="001B2EE6">
        <w:rPr>
          <w:rFonts w:ascii="宋体" w:eastAsia="宋体" w:hAnsi="宋体" w:hint="eastAsia"/>
          <w:szCs w:val="21"/>
        </w:rPr>
        <w:t>风控组织</w:t>
      </w:r>
      <w:proofErr w:type="gramEnd"/>
      <w:r w:rsidRPr="001B2EE6">
        <w:rPr>
          <w:rFonts w:ascii="宋体" w:eastAsia="宋体" w:hAnsi="宋体" w:hint="eastAsia"/>
          <w:szCs w:val="21"/>
        </w:rPr>
        <w:t>结构为保障，以完善健全的制度为基础，以落实到位的过程控制为着眼点，以先进的信息技术手段为依托，建立全面、系统、动态、主动、有利于差错防弊、堵塞漏洞、消除隐患、保证业务稳健运行的风险控制制度，确保托管业务信息真实、准确、完整、及时。</w:t>
      </w:r>
    </w:p>
    <w:p w14:paraId="332BDA21"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2.内部风险控制组织结构</w:t>
      </w:r>
    </w:p>
    <w:p w14:paraId="345BFD4E"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总行高级管理</w:t>
      </w:r>
      <w:proofErr w:type="gramStart"/>
      <w:r w:rsidRPr="001B2EE6">
        <w:rPr>
          <w:rFonts w:ascii="宋体" w:eastAsia="宋体" w:hAnsi="宋体" w:hint="eastAsia"/>
          <w:szCs w:val="21"/>
        </w:rPr>
        <w:t>层负责</w:t>
      </w:r>
      <w:proofErr w:type="gramEnd"/>
      <w:r w:rsidRPr="001B2EE6">
        <w:rPr>
          <w:rFonts w:ascii="宋体" w:eastAsia="宋体" w:hAnsi="宋体" w:hint="eastAsia"/>
          <w:szCs w:val="21"/>
        </w:rPr>
        <w:t>部署全行的风险管理工作。总行风险管理委员会是总行高级管理层下设的风险管理专业委员会，对高级管理层负责，支持高级管理</w:t>
      </w:r>
      <w:proofErr w:type="gramStart"/>
      <w:r w:rsidRPr="001B2EE6">
        <w:rPr>
          <w:rFonts w:ascii="宋体" w:eastAsia="宋体" w:hAnsi="宋体" w:hint="eastAsia"/>
          <w:szCs w:val="21"/>
        </w:rPr>
        <w:t>层履行</w:t>
      </w:r>
      <w:proofErr w:type="gramEnd"/>
      <w:r w:rsidRPr="001B2EE6">
        <w:rPr>
          <w:rFonts w:ascii="宋体" w:eastAsia="宋体" w:hAnsi="宋体" w:hint="eastAsia"/>
          <w:szCs w:val="21"/>
        </w:rPr>
        <w:t>职责。资产托管业务</w:t>
      </w:r>
      <w:r w:rsidRPr="001B2EE6">
        <w:rPr>
          <w:rFonts w:ascii="宋体" w:eastAsia="宋体" w:hAnsi="宋体" w:hint="eastAsia"/>
          <w:szCs w:val="21"/>
        </w:rPr>
        <w:lastRenderedPageBreak/>
        <w:t>风险控制工作在总行风险管理委员会的统一部署和指导下开展。</w:t>
      </w:r>
    </w:p>
    <w:p w14:paraId="48116098"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总行各部门紧密配合，共同把</w:t>
      </w:r>
      <w:proofErr w:type="gramStart"/>
      <w:r w:rsidRPr="001B2EE6">
        <w:rPr>
          <w:rFonts w:ascii="宋体" w:eastAsia="宋体" w:hAnsi="宋体" w:hint="eastAsia"/>
          <w:szCs w:val="21"/>
        </w:rPr>
        <w:t>控资产</w:t>
      </w:r>
      <w:proofErr w:type="gramEnd"/>
      <w:r w:rsidRPr="001B2EE6">
        <w:rPr>
          <w:rFonts w:ascii="宋体" w:eastAsia="宋体" w:hAnsi="宋体" w:hint="eastAsia"/>
          <w:szCs w:val="21"/>
        </w:rPr>
        <w:t>托管业务运行中的风险，具体职责与分工如下：总行风险管理部作为总行风险管理委员会秘书机构，是全行风险管理的统筹部门，对资产托管部的风险控制工作进行指导；总行法律合</w:t>
      </w:r>
      <w:proofErr w:type="gramStart"/>
      <w:r w:rsidRPr="001B2EE6">
        <w:rPr>
          <w:rFonts w:ascii="宋体" w:eastAsia="宋体" w:hAnsi="宋体" w:hint="eastAsia"/>
          <w:szCs w:val="21"/>
        </w:rPr>
        <w:t>规</w:t>
      </w:r>
      <w:proofErr w:type="gramEnd"/>
      <w:r w:rsidRPr="001B2EE6">
        <w:rPr>
          <w:rFonts w:ascii="宋体" w:eastAsia="宋体" w:hAnsi="宋体" w:hint="eastAsia"/>
          <w:szCs w:val="21"/>
        </w:rPr>
        <w:t>部负责资产托管业务项下的相关合同、协议等法律性文件的审定，对业务开展进行合</w:t>
      </w:r>
      <w:proofErr w:type="gramStart"/>
      <w:r w:rsidRPr="001B2EE6">
        <w:rPr>
          <w:rFonts w:ascii="宋体" w:eastAsia="宋体" w:hAnsi="宋体" w:hint="eastAsia"/>
          <w:szCs w:val="21"/>
        </w:rPr>
        <w:t>规</w:t>
      </w:r>
      <w:proofErr w:type="gramEnd"/>
      <w:r w:rsidRPr="001B2EE6">
        <w:rPr>
          <w:rFonts w:ascii="宋体" w:eastAsia="宋体" w:hAnsi="宋体" w:hint="eastAsia"/>
          <w:szCs w:val="21"/>
        </w:rPr>
        <w:t>检查并督导问题整改落实；总行审计部对全行托管业务进行内部审计，包括定期内部审计、现场和非现场检查等；总行办公室与资产托管部共同制定声誉风险应急预案。</w:t>
      </w:r>
    </w:p>
    <w:p w14:paraId="5DB37717"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3.内部风险控制原则</w:t>
      </w:r>
    </w:p>
    <w:p w14:paraId="48EC9F52"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(1)合法合</w:t>
      </w:r>
      <w:proofErr w:type="gramStart"/>
      <w:r w:rsidRPr="001B2EE6">
        <w:rPr>
          <w:rFonts w:ascii="宋体" w:eastAsia="宋体" w:hAnsi="宋体" w:hint="eastAsia"/>
          <w:szCs w:val="21"/>
        </w:rPr>
        <w:t>规</w:t>
      </w:r>
      <w:proofErr w:type="gramEnd"/>
      <w:r w:rsidRPr="001B2EE6">
        <w:rPr>
          <w:rFonts w:ascii="宋体" w:eastAsia="宋体" w:hAnsi="宋体" w:hint="eastAsia"/>
          <w:szCs w:val="21"/>
        </w:rPr>
        <w:t>原则。风险控制应符合和体现国家法律、法规、规章和各项政策。</w:t>
      </w:r>
    </w:p>
    <w:p w14:paraId="38A8F132"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(2)全面性原则。风险控制覆盖托管部的各个业务中心、各个岗位和各级人员，并涵盖资产托管业务各环节。</w:t>
      </w:r>
    </w:p>
    <w:p w14:paraId="4439CDED"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(3)有效性原则。资产托管业务从业人员应全力维护内部控制制度的有效执行，任何人都没有超越制度约束的权力。</w:t>
      </w:r>
    </w:p>
    <w:p w14:paraId="789DD0DD"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(4)预防性原则。必须树立“预防为主”的管理理念，控制资产托管业务中风险发生的源头，防患于未然，尽量避免业务操作中各种问题的产生。</w:t>
      </w:r>
    </w:p>
    <w:p w14:paraId="5962B155"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(5)及时性原则。资产托管业务风险控制制度的制定应当具有前瞻性，并且随着托管部经营战略、经营方针、经营理念等内部环境的变化和国家法律法规、政策制度等外部环境的改变进行及时的修改或完善。发现问题，要及时处理，堵塞漏洞。</w:t>
      </w:r>
    </w:p>
    <w:p w14:paraId="3A39FE3E"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(6)独立性原则。各业务中心、各岗位职能上保持相对独立性。风险合</w:t>
      </w:r>
      <w:proofErr w:type="gramStart"/>
      <w:r w:rsidRPr="001B2EE6">
        <w:rPr>
          <w:rFonts w:ascii="宋体" w:eastAsia="宋体" w:hAnsi="宋体" w:hint="eastAsia"/>
          <w:szCs w:val="21"/>
        </w:rPr>
        <w:t>规</w:t>
      </w:r>
      <w:proofErr w:type="gramEnd"/>
      <w:r w:rsidRPr="001B2EE6">
        <w:rPr>
          <w:rFonts w:ascii="宋体" w:eastAsia="宋体" w:hAnsi="宋体" w:hint="eastAsia"/>
          <w:szCs w:val="21"/>
        </w:rPr>
        <w:t>管理中心是资产托管部下设的执行机构，不受其他业务中心和个人干涉。业务操作人员和检查人员严格分开，以保证风险控制机构的工作不受干扰。</w:t>
      </w:r>
    </w:p>
    <w:p w14:paraId="5DDB6DBC"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(7)相互制约原则。各业务中心、各岗位权责明确，相互牵制，通过切实可行的相互制衡措施来消除风险控制的盲点。</w:t>
      </w:r>
    </w:p>
    <w:p w14:paraId="460D9DA3"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(8)防火墙原则。托管银行自身财务与托管资产财务严格分开；托管业务日常操作部门与行政、研发和营销等部门隔离。</w:t>
      </w:r>
    </w:p>
    <w:p w14:paraId="136555FA"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4.内部风险控制制度和措施</w:t>
      </w:r>
    </w:p>
    <w:p w14:paraId="31A0108B"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(1)制度建设：建立了明确的岗位职责、科学的业务流程、详细的操作手册、严格的人员行为规范等一系列规章制度。</w:t>
      </w:r>
    </w:p>
    <w:p w14:paraId="64A76B3A"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(2)建立健全的组织管理结构：前后台分离，不同部门、岗位相互牵制。</w:t>
      </w:r>
    </w:p>
    <w:p w14:paraId="05C97BE5"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(3)风险识别与评估：定期组织进行风险识别、评估，制定并实施风险控制措施。</w:t>
      </w:r>
    </w:p>
    <w:p w14:paraId="1DA2C248"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lastRenderedPageBreak/>
        <w:t>(4)相对独立的业务操作空间：业务</w:t>
      </w:r>
      <w:proofErr w:type="gramStart"/>
      <w:r w:rsidRPr="001B2EE6">
        <w:rPr>
          <w:rFonts w:ascii="宋体" w:eastAsia="宋体" w:hAnsi="宋体" w:hint="eastAsia"/>
          <w:szCs w:val="21"/>
        </w:rPr>
        <w:t>操作区</w:t>
      </w:r>
      <w:proofErr w:type="gramEnd"/>
      <w:r w:rsidRPr="001B2EE6">
        <w:rPr>
          <w:rFonts w:ascii="宋体" w:eastAsia="宋体" w:hAnsi="宋体" w:hint="eastAsia"/>
          <w:szCs w:val="21"/>
        </w:rPr>
        <w:t>相对独立，实施门禁管理和音像监控。</w:t>
      </w:r>
    </w:p>
    <w:p w14:paraId="0803FF94"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(5)人员管理：进行定期的业务与职业道德培训，使员工树立风险防范与控制理念，并签订承诺书。</w:t>
      </w:r>
    </w:p>
    <w:p w14:paraId="1C7085D1"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(6)应急预案：制定完备的应急预案，并组织员工定期演练；建立</w:t>
      </w:r>
      <w:proofErr w:type="gramStart"/>
      <w:r w:rsidRPr="001B2EE6">
        <w:rPr>
          <w:rFonts w:ascii="宋体" w:eastAsia="宋体" w:hAnsi="宋体" w:hint="eastAsia"/>
          <w:szCs w:val="21"/>
        </w:rPr>
        <w:t>异地灾备中心</w:t>
      </w:r>
      <w:proofErr w:type="gramEnd"/>
      <w:r w:rsidRPr="001B2EE6">
        <w:rPr>
          <w:rFonts w:ascii="宋体" w:eastAsia="宋体" w:hAnsi="宋体" w:hint="eastAsia"/>
          <w:szCs w:val="21"/>
        </w:rPr>
        <w:t>，保证业务不中断。</w:t>
      </w:r>
    </w:p>
    <w:p w14:paraId="23CA6D7B"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5.资产托管部内部风险控制</w:t>
      </w:r>
    </w:p>
    <w:p w14:paraId="27D6D742"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中国民生银行股份有限公司从控制环境、风险评估、控制活动、信息沟通、监控等五个方面构建了托管业务风险控制体系。</w:t>
      </w:r>
    </w:p>
    <w:p w14:paraId="780CD511"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(1)坚持风险管理与业务发展同等重要的理念。中国民生银行股份有限公司资产托管部从成立之日起就特别强调规范运作，一直将建立一个系统、高效的风险防范和控制体系作为工作重点。随着市场环境的变化和托管业务的快速发展，新问题新情况不断出现，我们始终将风险管理放在与业务发展同等重要的位置，</w:t>
      </w:r>
      <w:proofErr w:type="gramStart"/>
      <w:r w:rsidRPr="001B2EE6">
        <w:rPr>
          <w:rFonts w:ascii="宋体" w:eastAsia="宋体" w:hAnsi="宋体" w:hint="eastAsia"/>
          <w:szCs w:val="21"/>
        </w:rPr>
        <w:t>视风险</w:t>
      </w:r>
      <w:proofErr w:type="gramEnd"/>
      <w:r w:rsidRPr="001B2EE6">
        <w:rPr>
          <w:rFonts w:ascii="宋体" w:eastAsia="宋体" w:hAnsi="宋体" w:hint="eastAsia"/>
          <w:szCs w:val="21"/>
        </w:rPr>
        <w:t>防范和控制为托管业务生存和发展的生命线。</w:t>
      </w:r>
    </w:p>
    <w:p w14:paraId="1F56E211"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(2)实施全员风险管理。将风险控制责任落实到具体业务中心和业务岗位，每位员工对自己岗位职责范围内的风险负责。</w:t>
      </w:r>
    </w:p>
    <w:p w14:paraId="632B6770"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(3)建立分工明确、相互牵制的风险控制组织结构。我们通过建立纵向双</w:t>
      </w:r>
      <w:proofErr w:type="gramStart"/>
      <w:r w:rsidRPr="001B2EE6">
        <w:rPr>
          <w:rFonts w:ascii="宋体" w:eastAsia="宋体" w:hAnsi="宋体" w:hint="eastAsia"/>
          <w:szCs w:val="21"/>
        </w:rPr>
        <w:t>人制</w:t>
      </w:r>
      <w:proofErr w:type="gramEnd"/>
      <w:r w:rsidRPr="001B2EE6">
        <w:rPr>
          <w:rFonts w:ascii="宋体" w:eastAsia="宋体" w:hAnsi="宋体" w:hint="eastAsia"/>
          <w:szCs w:val="21"/>
        </w:rPr>
        <w:t>，横向多中心制的内部组织结构，形成不同中心、不同岗位相互制衡的组织结构。</w:t>
      </w:r>
    </w:p>
    <w:p w14:paraId="132C158C"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(4)以制度建设作为风险管理的核心。我们十分重视内部控制制度的建设，已经建立了一整套内部风险控制制度，包括业务管理办法、内部控制制度、员工行为规范、岗位职责及涵括所有后台运作环节的操作手册。以上制度随着外部环境和业务的发展还会不断增加和完善。</w:t>
      </w:r>
    </w:p>
    <w:p w14:paraId="1D4357E1"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(5)制度的执行和监督是风险控制的关键。制度落实检查是风险控制管理的有力保证。资产托管部内部设置风险合</w:t>
      </w:r>
      <w:proofErr w:type="gramStart"/>
      <w:r w:rsidRPr="001B2EE6">
        <w:rPr>
          <w:rFonts w:ascii="宋体" w:eastAsia="宋体" w:hAnsi="宋体" w:hint="eastAsia"/>
          <w:szCs w:val="21"/>
        </w:rPr>
        <w:t>规</w:t>
      </w:r>
      <w:proofErr w:type="gramEnd"/>
      <w:r w:rsidRPr="001B2EE6">
        <w:rPr>
          <w:rFonts w:ascii="宋体" w:eastAsia="宋体" w:hAnsi="宋体" w:hint="eastAsia"/>
          <w:szCs w:val="21"/>
        </w:rPr>
        <w:t>管理中心，依照有关法律规章，定期对业务的运行进行检查。总行审计部不定期对托管业务进行审计。</w:t>
      </w:r>
    </w:p>
    <w:p w14:paraId="78419AF8" w14:textId="0D93DF6E" w:rsidR="005373A2" w:rsidRPr="005373A2" w:rsidRDefault="001B2EE6" w:rsidP="005373A2">
      <w:pPr>
        <w:spacing w:line="360" w:lineRule="auto"/>
        <w:ind w:firstLineChars="200" w:firstLine="420"/>
        <w:rPr>
          <w:rFonts w:ascii="宋体" w:eastAsia="宋体" w:hAnsi="宋体"/>
          <w:szCs w:val="21"/>
        </w:rPr>
      </w:pPr>
      <w:r w:rsidRPr="001B2EE6">
        <w:rPr>
          <w:rFonts w:ascii="宋体" w:eastAsia="宋体" w:hAnsi="宋体" w:hint="eastAsia"/>
          <w:szCs w:val="21"/>
        </w:rPr>
        <w:t>(6)将先进的技术手段运用于风险控制中。托管业务系统需求不仅从业务方面而且从风险控制方面都要经过多方论证，托管业务技术系统具有较强的自动风险控制功能。</w:t>
      </w:r>
    </w:p>
    <w:p w14:paraId="07E31016" w14:textId="77777777" w:rsidR="005373A2" w:rsidRPr="005373A2" w:rsidRDefault="005373A2" w:rsidP="005373A2">
      <w:pPr>
        <w:spacing w:line="360" w:lineRule="auto"/>
        <w:ind w:firstLineChars="200" w:firstLine="420"/>
        <w:rPr>
          <w:rFonts w:ascii="宋体" w:eastAsia="宋体" w:hAnsi="宋体"/>
          <w:szCs w:val="21"/>
        </w:rPr>
      </w:pPr>
      <w:r w:rsidRPr="005373A2">
        <w:rPr>
          <w:rFonts w:ascii="宋体" w:eastAsia="宋体" w:hAnsi="宋体" w:hint="eastAsia"/>
          <w:szCs w:val="21"/>
        </w:rPr>
        <w:t>(三)基金托管人对基金管理人运作基金进行监督的方法和程序</w:t>
      </w:r>
    </w:p>
    <w:p w14:paraId="5C0945C0"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根据《中华人民共和国证券投资基金法》《公开募集证券投资基金运作管理办法》《公开募集证券投资基金信息披露管理办法》等有关法律法规的规定及基金合同、基金托管协议的约定，基金托管人对基金的投资范围、基金投资比例、基金资产的核算、基金资产净值的计</w:t>
      </w:r>
      <w:r w:rsidRPr="001B2EE6">
        <w:rPr>
          <w:rFonts w:ascii="宋体" w:eastAsia="宋体" w:hAnsi="宋体" w:hint="eastAsia"/>
          <w:szCs w:val="21"/>
        </w:rPr>
        <w:lastRenderedPageBreak/>
        <w:t>算、基金管理人报酬的计提和支付、基金托管人报酬的计提和支付、基金申购及赎回的价格、基金申购资金的到账和赎回资金的划付、基金收益分配等进行监督和核查。</w:t>
      </w:r>
    </w:p>
    <w:p w14:paraId="6AC5B0D0" w14:textId="77777777" w:rsidR="001B2EE6" w:rsidRPr="001B2EE6" w:rsidRDefault="001B2EE6" w:rsidP="001B2EE6">
      <w:pPr>
        <w:spacing w:line="360" w:lineRule="auto"/>
        <w:ind w:firstLineChars="200" w:firstLine="420"/>
        <w:rPr>
          <w:rFonts w:ascii="宋体" w:eastAsia="宋体" w:hAnsi="宋体"/>
          <w:szCs w:val="21"/>
        </w:rPr>
      </w:pPr>
      <w:r w:rsidRPr="001B2EE6">
        <w:rPr>
          <w:rFonts w:ascii="宋体" w:eastAsia="宋体" w:hAnsi="宋体" w:hint="eastAsia"/>
          <w:szCs w:val="21"/>
        </w:rPr>
        <w:t>基金托管人发现基金管理人违反《中华人民共和国证券投资基金法》等有关法律法规规定及基金合同、基金托管协议约定的行为，应及时以书面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0A5C0612" w14:textId="18CCFE20" w:rsidR="00BD090D" w:rsidRPr="00BD090D" w:rsidRDefault="001B2EE6" w:rsidP="005373A2">
      <w:pPr>
        <w:spacing w:line="360" w:lineRule="auto"/>
        <w:ind w:firstLineChars="200" w:firstLine="420"/>
        <w:rPr>
          <w:rFonts w:ascii="宋体" w:eastAsia="宋体" w:hAnsi="宋体"/>
          <w:szCs w:val="21"/>
        </w:rPr>
      </w:pPr>
      <w:r w:rsidRPr="001B2EE6">
        <w:rPr>
          <w:rFonts w:ascii="宋体" w:eastAsia="宋体" w:hAnsi="宋体" w:hint="eastAsia"/>
          <w:szCs w:val="21"/>
        </w:rPr>
        <w:t>基金托管人发现基金管理人有重大违规行为，应立即报告中国证监会，同时通知基金管理人限期纠正。</w:t>
      </w:r>
    </w:p>
    <w:p w14:paraId="07619119" w14:textId="77777777" w:rsidR="00BD090D" w:rsidRPr="00BD090D" w:rsidRDefault="00BD090D" w:rsidP="00BD090D">
      <w:pPr>
        <w:spacing w:line="360" w:lineRule="auto"/>
        <w:ind w:firstLineChars="200" w:firstLine="420"/>
        <w:rPr>
          <w:rFonts w:ascii="宋体" w:eastAsia="宋体" w:hAnsi="宋体"/>
          <w:szCs w:val="21"/>
        </w:rPr>
      </w:pPr>
    </w:p>
    <w:p w14:paraId="4508142B"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1FA9647"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656407C5"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4" w:name="_Toc121901713"/>
      <w:r w:rsidRPr="00BD090D">
        <w:rPr>
          <w:rFonts w:ascii="Arial Unicode MS" w:eastAsia="宋体" w:hAnsi="Arial Unicode MS" w:cs="Arial" w:hint="eastAsia"/>
          <w:kern w:val="0"/>
          <w:sz w:val="28"/>
          <w:szCs w:val="28"/>
        </w:rPr>
        <w:lastRenderedPageBreak/>
        <w:t>第五部分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相关服务机构</w:t>
      </w:r>
      <w:bookmarkEnd w:id="4"/>
    </w:p>
    <w:p w14:paraId="498AF293" w14:textId="77777777" w:rsidR="00BD090D" w:rsidRPr="00BD090D" w:rsidRDefault="00BD090D" w:rsidP="00BD090D">
      <w:pPr>
        <w:spacing w:line="360" w:lineRule="auto"/>
        <w:ind w:firstLineChars="200" w:firstLine="420"/>
        <w:rPr>
          <w:rFonts w:ascii="宋体" w:eastAsia="宋体" w:hAnsi="宋体"/>
          <w:szCs w:val="21"/>
        </w:rPr>
      </w:pPr>
    </w:p>
    <w:p w14:paraId="7288BB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一、基金份额发售机构</w:t>
      </w:r>
    </w:p>
    <w:p w14:paraId="028876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1、直销机构：富荣基金管理有限公司直销中心</w:t>
      </w:r>
    </w:p>
    <w:p w14:paraId="483B35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注册地址：广州市南沙区海滨路171号南沙金融大厦11楼1101之一J20室 </w:t>
      </w:r>
    </w:p>
    <w:p w14:paraId="228EF8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24层</w:t>
      </w:r>
    </w:p>
    <w:p w14:paraId="61E2BE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法定代表人：杨小舟</w:t>
      </w:r>
    </w:p>
    <w:p w14:paraId="52C155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电话：0755-84356629</w:t>
      </w:r>
    </w:p>
    <w:p w14:paraId="5E0ACB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传真：0755-83230902</w:t>
      </w:r>
    </w:p>
    <w:p w14:paraId="5F367B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客服电话：4006855600</w:t>
      </w:r>
    </w:p>
    <w:p w14:paraId="483A5F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网址：www.furamc.com.cn</w:t>
      </w:r>
    </w:p>
    <w:p w14:paraId="027CA34A" w14:textId="4D581CEC" w:rsid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2、其他销售机构：</w:t>
      </w:r>
    </w:p>
    <w:tbl>
      <w:tblPr>
        <w:tblStyle w:val="ab"/>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2693"/>
        <w:gridCol w:w="5103"/>
      </w:tblGrid>
      <w:tr w:rsidR="00CB5438" w14:paraId="1BE7B4CE" w14:textId="77777777" w:rsidTr="00CB5438">
        <w:trPr>
          <w:trHeight w:val="14"/>
        </w:trPr>
        <w:tc>
          <w:tcPr>
            <w:tcW w:w="851" w:type="dxa"/>
          </w:tcPr>
          <w:p w14:paraId="4709DF8B" w14:textId="77777777" w:rsidR="00CB5438" w:rsidRDefault="00CB5438" w:rsidP="00AC0E14">
            <w:pPr>
              <w:snapToGrid w:val="0"/>
              <w:spacing w:line="360" w:lineRule="auto"/>
              <w:jc w:val="center"/>
              <w:rPr>
                <w:rFonts w:asciiTheme="minorEastAsia" w:hAnsiTheme="minorEastAsia" w:cs="Arial"/>
                <w:sz w:val="24"/>
                <w:szCs w:val="24"/>
              </w:rPr>
            </w:pPr>
            <w:r>
              <w:rPr>
                <w:rFonts w:asciiTheme="minorEastAsia" w:hAnsiTheme="minorEastAsia" w:cs="Arial" w:hint="eastAsia"/>
                <w:sz w:val="24"/>
                <w:szCs w:val="24"/>
              </w:rPr>
              <w:t>序号</w:t>
            </w:r>
          </w:p>
        </w:tc>
        <w:tc>
          <w:tcPr>
            <w:tcW w:w="2693" w:type="dxa"/>
          </w:tcPr>
          <w:p w14:paraId="60D1AAE4" w14:textId="77777777" w:rsidR="00CB5438" w:rsidRDefault="00CB5438" w:rsidP="00AC0E14">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Pr>
          <w:p w14:paraId="6695CD09" w14:textId="77777777" w:rsidR="00CB5438" w:rsidRDefault="00CB5438" w:rsidP="00AC0E14">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代销机构信息</w:t>
            </w:r>
          </w:p>
        </w:tc>
      </w:tr>
      <w:tr w:rsidR="00CB5438" w:rsidRPr="005F5714" w14:paraId="213CA8E6" w14:textId="77777777" w:rsidTr="00CB5438">
        <w:trPr>
          <w:trHeight w:val="14"/>
        </w:trPr>
        <w:tc>
          <w:tcPr>
            <w:tcW w:w="851" w:type="dxa"/>
          </w:tcPr>
          <w:p w14:paraId="230FF0D8" w14:textId="77777777" w:rsidR="00CB5438" w:rsidRPr="005F5714" w:rsidRDefault="00CB5438" w:rsidP="00AC0E14">
            <w:pPr>
              <w:snapToGrid w:val="0"/>
              <w:spacing w:line="360" w:lineRule="auto"/>
              <w:rPr>
                <w:rFonts w:asciiTheme="minorEastAsia" w:hAnsiTheme="minorEastAsia" w:cs="Arial"/>
                <w:szCs w:val="21"/>
              </w:rPr>
            </w:pPr>
            <w:r w:rsidRPr="005F5714">
              <w:rPr>
                <w:rFonts w:asciiTheme="minorEastAsia" w:hAnsiTheme="minorEastAsia" w:cs="Arial"/>
                <w:szCs w:val="21"/>
              </w:rPr>
              <w:t>1</w:t>
            </w:r>
          </w:p>
        </w:tc>
        <w:tc>
          <w:tcPr>
            <w:tcW w:w="2693" w:type="dxa"/>
          </w:tcPr>
          <w:p w14:paraId="3597562D" w14:textId="77777777" w:rsidR="00CB5438" w:rsidRPr="005F5714" w:rsidRDefault="00CB5438" w:rsidP="00AC0E14">
            <w:pPr>
              <w:snapToGrid w:val="0"/>
              <w:spacing w:line="360" w:lineRule="auto"/>
              <w:rPr>
                <w:rFonts w:asciiTheme="minorEastAsia" w:hAnsiTheme="minorEastAsia" w:cs="Arial"/>
                <w:szCs w:val="21"/>
              </w:rPr>
            </w:pPr>
            <w:r w:rsidRPr="005F5714">
              <w:rPr>
                <w:rFonts w:asciiTheme="minorEastAsia" w:hAnsiTheme="minorEastAsia" w:cs="Arial" w:hint="eastAsia"/>
                <w:szCs w:val="21"/>
              </w:rPr>
              <w:t>中</w:t>
            </w:r>
            <w:proofErr w:type="gramStart"/>
            <w:r w:rsidRPr="005F5714">
              <w:rPr>
                <w:rFonts w:asciiTheme="minorEastAsia" w:hAnsiTheme="minorEastAsia" w:cs="Arial" w:hint="eastAsia"/>
                <w:szCs w:val="21"/>
              </w:rPr>
              <w:t>邮证券</w:t>
            </w:r>
            <w:proofErr w:type="gramEnd"/>
            <w:r w:rsidRPr="005F5714">
              <w:rPr>
                <w:rFonts w:asciiTheme="minorEastAsia" w:hAnsiTheme="minorEastAsia" w:cs="Arial" w:hint="eastAsia"/>
                <w:szCs w:val="21"/>
              </w:rPr>
              <w:t>有限责任公司</w:t>
            </w:r>
          </w:p>
        </w:tc>
        <w:tc>
          <w:tcPr>
            <w:tcW w:w="5103" w:type="dxa"/>
          </w:tcPr>
          <w:p w14:paraId="09D1CFAC"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注册地址：陕西省西安市</w:t>
            </w:r>
            <w:proofErr w:type="gramStart"/>
            <w:r w:rsidRPr="005F5714">
              <w:rPr>
                <w:rFonts w:asciiTheme="minorEastAsia" w:hAnsiTheme="minorEastAsia" w:cs="Arial" w:hint="eastAsia"/>
                <w:szCs w:val="21"/>
              </w:rPr>
              <w:t>唐延路</w:t>
            </w:r>
            <w:proofErr w:type="gramEnd"/>
            <w:r w:rsidRPr="005F5714">
              <w:rPr>
                <w:rFonts w:asciiTheme="minorEastAsia" w:hAnsiTheme="minorEastAsia" w:cs="Arial"/>
                <w:szCs w:val="21"/>
              </w:rPr>
              <w:t>5号(陕西邮政信息大厦9-11层)</w:t>
            </w:r>
          </w:p>
          <w:p w14:paraId="5118AC5C"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客户服务电话：</w:t>
            </w:r>
            <w:r w:rsidRPr="005F5714">
              <w:rPr>
                <w:rFonts w:asciiTheme="minorEastAsia" w:hAnsiTheme="minorEastAsia" w:cs="Arial"/>
                <w:szCs w:val="21"/>
              </w:rPr>
              <w:t>4008888005</w:t>
            </w:r>
          </w:p>
          <w:p w14:paraId="3A992C13"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网址：</w:t>
            </w:r>
            <w:r w:rsidRPr="005F5714">
              <w:rPr>
                <w:rFonts w:asciiTheme="minorEastAsia" w:hAnsiTheme="minorEastAsia" w:cs="Arial"/>
                <w:szCs w:val="21"/>
              </w:rPr>
              <w:t>www.cnpsec.com</w:t>
            </w:r>
          </w:p>
        </w:tc>
      </w:tr>
      <w:tr w:rsidR="00CB5438" w:rsidRPr="005F5714" w14:paraId="691DECC0" w14:textId="77777777" w:rsidTr="00CB5438">
        <w:trPr>
          <w:trHeight w:val="14"/>
        </w:trPr>
        <w:tc>
          <w:tcPr>
            <w:tcW w:w="851" w:type="dxa"/>
          </w:tcPr>
          <w:p w14:paraId="2F284AC9" w14:textId="77777777" w:rsidR="00CB5438" w:rsidRPr="005F5714" w:rsidRDefault="00CB5438" w:rsidP="00AC0E14">
            <w:pPr>
              <w:snapToGrid w:val="0"/>
              <w:spacing w:line="360" w:lineRule="auto"/>
              <w:rPr>
                <w:rFonts w:asciiTheme="minorEastAsia" w:hAnsiTheme="minorEastAsia" w:cs="Arial"/>
                <w:szCs w:val="21"/>
              </w:rPr>
            </w:pPr>
            <w:r w:rsidRPr="005F5714">
              <w:rPr>
                <w:rFonts w:asciiTheme="minorEastAsia" w:hAnsiTheme="minorEastAsia" w:cs="Arial"/>
                <w:szCs w:val="21"/>
              </w:rPr>
              <w:t>2</w:t>
            </w:r>
          </w:p>
        </w:tc>
        <w:tc>
          <w:tcPr>
            <w:tcW w:w="2693" w:type="dxa"/>
          </w:tcPr>
          <w:p w14:paraId="37C9C295" w14:textId="77777777" w:rsidR="00CB5438" w:rsidRPr="005F5714" w:rsidRDefault="00CB5438" w:rsidP="00AC0E14">
            <w:pPr>
              <w:snapToGrid w:val="0"/>
              <w:spacing w:line="360" w:lineRule="auto"/>
              <w:rPr>
                <w:rFonts w:asciiTheme="minorEastAsia" w:hAnsiTheme="minorEastAsia" w:cs="Arial"/>
                <w:szCs w:val="21"/>
              </w:rPr>
            </w:pPr>
            <w:r w:rsidRPr="005F5714">
              <w:rPr>
                <w:rFonts w:asciiTheme="minorEastAsia" w:hAnsiTheme="minorEastAsia" w:cs="Arial" w:hint="eastAsia"/>
                <w:szCs w:val="21"/>
              </w:rPr>
              <w:t>平安银行股份有限公司</w:t>
            </w:r>
          </w:p>
        </w:tc>
        <w:tc>
          <w:tcPr>
            <w:tcW w:w="5103" w:type="dxa"/>
          </w:tcPr>
          <w:p w14:paraId="523AA57F"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注册地址：广东省深圳市罗湖区深南东路5047号</w:t>
            </w:r>
          </w:p>
          <w:p w14:paraId="2EEBCB09"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客户服务电话：</w:t>
            </w:r>
            <w:r w:rsidRPr="005F5714">
              <w:rPr>
                <w:rFonts w:asciiTheme="minorEastAsia" w:hAnsiTheme="minorEastAsia" w:cs="Arial"/>
                <w:szCs w:val="21"/>
              </w:rPr>
              <w:t>4008895511</w:t>
            </w:r>
          </w:p>
          <w:p w14:paraId="26D8E034"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网址：</w:t>
            </w:r>
            <w:r w:rsidRPr="005F5714">
              <w:rPr>
                <w:rFonts w:asciiTheme="minorEastAsia" w:hAnsiTheme="minorEastAsia" w:cs="Arial"/>
                <w:szCs w:val="21"/>
              </w:rPr>
              <w:t>bank.pingan.com</w:t>
            </w:r>
          </w:p>
        </w:tc>
      </w:tr>
      <w:tr w:rsidR="00CB5438" w:rsidRPr="005F5714" w14:paraId="72D03D14" w14:textId="77777777" w:rsidTr="00CB5438">
        <w:trPr>
          <w:trHeight w:val="14"/>
        </w:trPr>
        <w:tc>
          <w:tcPr>
            <w:tcW w:w="851" w:type="dxa"/>
          </w:tcPr>
          <w:p w14:paraId="3C1074FE" w14:textId="77777777" w:rsidR="00CB5438" w:rsidRPr="005F5714" w:rsidRDefault="00CB5438" w:rsidP="00AC0E14">
            <w:pPr>
              <w:snapToGrid w:val="0"/>
              <w:spacing w:line="360" w:lineRule="auto"/>
              <w:rPr>
                <w:rFonts w:asciiTheme="minorEastAsia" w:hAnsiTheme="minorEastAsia" w:cs="Arial"/>
                <w:szCs w:val="21"/>
              </w:rPr>
            </w:pPr>
            <w:r w:rsidRPr="005F5714">
              <w:rPr>
                <w:rFonts w:asciiTheme="minorEastAsia" w:hAnsiTheme="minorEastAsia" w:cs="Arial"/>
                <w:szCs w:val="21"/>
              </w:rPr>
              <w:t>3</w:t>
            </w:r>
          </w:p>
        </w:tc>
        <w:tc>
          <w:tcPr>
            <w:tcW w:w="2693" w:type="dxa"/>
          </w:tcPr>
          <w:p w14:paraId="5E64F5AF" w14:textId="77777777" w:rsidR="00CB5438" w:rsidRPr="005F5714" w:rsidRDefault="00CB5438" w:rsidP="00AC0E14">
            <w:pPr>
              <w:snapToGrid w:val="0"/>
              <w:spacing w:line="360" w:lineRule="auto"/>
              <w:rPr>
                <w:rFonts w:asciiTheme="minorEastAsia" w:hAnsiTheme="minorEastAsia" w:cs="Arial"/>
                <w:szCs w:val="21"/>
              </w:rPr>
            </w:pPr>
            <w:r w:rsidRPr="005F5714">
              <w:rPr>
                <w:rFonts w:asciiTheme="minorEastAsia" w:hAnsiTheme="minorEastAsia" w:cs="Arial" w:hint="eastAsia"/>
                <w:szCs w:val="21"/>
              </w:rPr>
              <w:t>宁波银行股份有限公司</w:t>
            </w:r>
          </w:p>
        </w:tc>
        <w:tc>
          <w:tcPr>
            <w:tcW w:w="5103" w:type="dxa"/>
          </w:tcPr>
          <w:p w14:paraId="62322A5E"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注册地址：浙江省宁波市</w:t>
            </w:r>
            <w:proofErr w:type="gramStart"/>
            <w:r w:rsidRPr="005F5714">
              <w:rPr>
                <w:rFonts w:asciiTheme="minorEastAsia" w:hAnsiTheme="minorEastAsia" w:cs="Arial" w:hint="eastAsia"/>
                <w:szCs w:val="21"/>
              </w:rPr>
              <w:t>鄞</w:t>
            </w:r>
            <w:proofErr w:type="gramEnd"/>
            <w:r w:rsidRPr="005F5714">
              <w:rPr>
                <w:rFonts w:asciiTheme="minorEastAsia" w:hAnsiTheme="minorEastAsia" w:cs="Arial" w:hint="eastAsia"/>
                <w:szCs w:val="21"/>
              </w:rPr>
              <w:t>州区宁东路</w:t>
            </w:r>
            <w:r w:rsidRPr="005F5714">
              <w:rPr>
                <w:rFonts w:asciiTheme="minorEastAsia" w:hAnsiTheme="minorEastAsia" w:cs="Arial"/>
                <w:szCs w:val="21"/>
              </w:rPr>
              <w:t>345</w:t>
            </w:r>
            <w:r w:rsidRPr="005F5714">
              <w:rPr>
                <w:rFonts w:asciiTheme="minorEastAsia" w:hAnsiTheme="minorEastAsia" w:cs="Arial" w:hint="eastAsia"/>
                <w:szCs w:val="21"/>
              </w:rPr>
              <w:t>号</w:t>
            </w:r>
          </w:p>
          <w:p w14:paraId="3990324A"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客户服务电话：</w:t>
            </w:r>
            <w:r w:rsidRPr="005F5714">
              <w:rPr>
                <w:rFonts w:asciiTheme="minorEastAsia" w:hAnsiTheme="minorEastAsia" w:cs="Arial"/>
                <w:szCs w:val="21"/>
              </w:rPr>
              <w:t>95574</w:t>
            </w:r>
          </w:p>
          <w:p w14:paraId="6BE60810"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网址：</w:t>
            </w:r>
            <w:r w:rsidRPr="005F5714">
              <w:rPr>
                <w:rFonts w:asciiTheme="minorEastAsia" w:hAnsiTheme="minorEastAsia" w:cs="Arial"/>
                <w:szCs w:val="21"/>
              </w:rPr>
              <w:t>www.nbcb.com.cn</w:t>
            </w:r>
          </w:p>
        </w:tc>
      </w:tr>
      <w:tr w:rsidR="00CB5438" w:rsidRPr="005F5714" w14:paraId="00575E02" w14:textId="77777777" w:rsidTr="00CB5438">
        <w:trPr>
          <w:trHeight w:val="14"/>
        </w:trPr>
        <w:tc>
          <w:tcPr>
            <w:tcW w:w="851" w:type="dxa"/>
          </w:tcPr>
          <w:p w14:paraId="39C41E6E" w14:textId="77777777" w:rsidR="00CB5438" w:rsidRPr="005F5714" w:rsidRDefault="00CB5438" w:rsidP="00AC0E14">
            <w:pPr>
              <w:snapToGrid w:val="0"/>
              <w:spacing w:line="360" w:lineRule="auto"/>
              <w:rPr>
                <w:rFonts w:asciiTheme="minorEastAsia" w:hAnsiTheme="minorEastAsia" w:cs="Arial"/>
                <w:szCs w:val="21"/>
              </w:rPr>
            </w:pPr>
            <w:r w:rsidRPr="005F5714">
              <w:rPr>
                <w:rFonts w:asciiTheme="minorEastAsia" w:hAnsiTheme="minorEastAsia" w:cs="Arial"/>
                <w:szCs w:val="21"/>
              </w:rPr>
              <w:t>4</w:t>
            </w:r>
          </w:p>
        </w:tc>
        <w:tc>
          <w:tcPr>
            <w:tcW w:w="2693" w:type="dxa"/>
          </w:tcPr>
          <w:p w14:paraId="33D026AC" w14:textId="77777777" w:rsidR="00CB5438" w:rsidRPr="005F5714" w:rsidRDefault="00CB5438" w:rsidP="00AC0E14">
            <w:pPr>
              <w:snapToGrid w:val="0"/>
              <w:spacing w:line="360" w:lineRule="auto"/>
              <w:rPr>
                <w:rFonts w:asciiTheme="minorEastAsia" w:hAnsiTheme="minorEastAsia" w:cs="Arial"/>
                <w:szCs w:val="21"/>
              </w:rPr>
            </w:pPr>
            <w:r w:rsidRPr="005F5714">
              <w:rPr>
                <w:rFonts w:asciiTheme="minorEastAsia" w:hAnsiTheme="minorEastAsia" w:cs="Arial" w:hint="eastAsia"/>
                <w:szCs w:val="21"/>
              </w:rPr>
              <w:t>九州证券股份有限公司</w:t>
            </w:r>
          </w:p>
        </w:tc>
        <w:tc>
          <w:tcPr>
            <w:tcW w:w="5103" w:type="dxa"/>
          </w:tcPr>
          <w:p w14:paraId="53685D9D"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注册地址：青海省西宁市南川工业园区创业路108号</w:t>
            </w:r>
          </w:p>
          <w:p w14:paraId="65DC34A9"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客户服务电话：</w:t>
            </w:r>
            <w:r w:rsidRPr="005F5714">
              <w:rPr>
                <w:rFonts w:asciiTheme="minorEastAsia" w:hAnsiTheme="minorEastAsia" w:cs="Arial"/>
                <w:szCs w:val="21"/>
              </w:rPr>
              <w:t>95305</w:t>
            </w:r>
          </w:p>
          <w:p w14:paraId="4BDD356C" w14:textId="77777777" w:rsidR="00CB5438" w:rsidRPr="005F5714" w:rsidRDefault="00CB5438" w:rsidP="00AC0E14">
            <w:pPr>
              <w:snapToGrid w:val="0"/>
              <w:rPr>
                <w:rFonts w:asciiTheme="minorEastAsia" w:hAnsiTheme="minorEastAsia" w:cs="Arial"/>
                <w:szCs w:val="21"/>
              </w:rPr>
            </w:pPr>
            <w:r w:rsidRPr="005F5714">
              <w:rPr>
                <w:rFonts w:asciiTheme="minorEastAsia" w:hAnsiTheme="minorEastAsia" w:cs="Arial" w:hint="eastAsia"/>
                <w:szCs w:val="21"/>
              </w:rPr>
              <w:t>网址：</w:t>
            </w:r>
            <w:r w:rsidRPr="005F5714">
              <w:rPr>
                <w:rFonts w:asciiTheme="minorEastAsia" w:hAnsiTheme="minorEastAsia" w:cs="Arial"/>
                <w:szCs w:val="21"/>
              </w:rPr>
              <w:t>www.jzsec.com</w:t>
            </w:r>
          </w:p>
        </w:tc>
      </w:tr>
      <w:tr w:rsidR="00CB5438" w:rsidRPr="005F5714" w14:paraId="183A5EE1" w14:textId="77777777" w:rsidTr="00CB5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
        </w:trPr>
        <w:tc>
          <w:tcPr>
            <w:tcW w:w="851" w:type="dxa"/>
          </w:tcPr>
          <w:p w14:paraId="1AB0457F" w14:textId="0961B28C" w:rsidR="00CB5438" w:rsidRPr="005F5714" w:rsidRDefault="00CB5438" w:rsidP="00013D11">
            <w:pPr>
              <w:snapToGrid w:val="0"/>
              <w:spacing w:line="360" w:lineRule="auto"/>
              <w:rPr>
                <w:rFonts w:asciiTheme="minorEastAsia" w:hAnsiTheme="minorEastAsia" w:cs="Arial"/>
                <w:szCs w:val="21"/>
              </w:rPr>
            </w:pPr>
            <w:r>
              <w:rPr>
                <w:rFonts w:asciiTheme="minorEastAsia" w:hAnsiTheme="minorEastAsia" w:cs="Arial"/>
                <w:szCs w:val="21"/>
              </w:rPr>
              <w:t>5</w:t>
            </w:r>
          </w:p>
        </w:tc>
        <w:tc>
          <w:tcPr>
            <w:tcW w:w="2693" w:type="dxa"/>
          </w:tcPr>
          <w:p w14:paraId="7766E2CA" w14:textId="77777777" w:rsidR="00CB5438" w:rsidRPr="005F5714" w:rsidRDefault="00CB5438" w:rsidP="00013D11">
            <w:pPr>
              <w:snapToGrid w:val="0"/>
              <w:spacing w:line="360" w:lineRule="auto"/>
              <w:rPr>
                <w:rFonts w:asciiTheme="minorEastAsia" w:hAnsiTheme="minorEastAsia" w:cs="Arial"/>
                <w:szCs w:val="21"/>
              </w:rPr>
            </w:pPr>
            <w:r w:rsidRPr="00013D11">
              <w:rPr>
                <w:rFonts w:asciiTheme="minorEastAsia" w:hAnsiTheme="minorEastAsia" w:cs="Arial" w:hint="eastAsia"/>
                <w:szCs w:val="21"/>
              </w:rPr>
              <w:t>北京</w:t>
            </w:r>
            <w:proofErr w:type="gramStart"/>
            <w:r w:rsidRPr="00013D11">
              <w:rPr>
                <w:rFonts w:asciiTheme="minorEastAsia" w:hAnsiTheme="minorEastAsia" w:cs="Arial" w:hint="eastAsia"/>
                <w:szCs w:val="21"/>
              </w:rPr>
              <w:t>创金启富基金</w:t>
            </w:r>
            <w:proofErr w:type="gramEnd"/>
            <w:r w:rsidRPr="00013D11">
              <w:rPr>
                <w:rFonts w:asciiTheme="minorEastAsia" w:hAnsiTheme="minorEastAsia" w:cs="Arial" w:hint="eastAsia"/>
                <w:szCs w:val="21"/>
              </w:rPr>
              <w:t>销售有限公司</w:t>
            </w:r>
          </w:p>
        </w:tc>
        <w:tc>
          <w:tcPr>
            <w:tcW w:w="5103" w:type="dxa"/>
          </w:tcPr>
          <w:p w14:paraId="41174E6D" w14:textId="77777777" w:rsidR="00CB5438" w:rsidRPr="00013D11" w:rsidRDefault="00CB5438" w:rsidP="00013D11">
            <w:pPr>
              <w:snapToGrid w:val="0"/>
              <w:rPr>
                <w:rFonts w:asciiTheme="minorEastAsia" w:hAnsiTheme="minorEastAsia" w:cs="Arial"/>
                <w:szCs w:val="21"/>
              </w:rPr>
            </w:pPr>
            <w:r w:rsidRPr="00013D11">
              <w:rPr>
                <w:rFonts w:asciiTheme="minorEastAsia" w:hAnsiTheme="minorEastAsia" w:cs="Arial" w:hint="eastAsia"/>
                <w:szCs w:val="21"/>
              </w:rPr>
              <w:t>注册（办公）地址：北京市西城区白纸坊东街</w:t>
            </w:r>
            <w:r w:rsidRPr="00013D11">
              <w:rPr>
                <w:rFonts w:asciiTheme="minorEastAsia" w:hAnsiTheme="minorEastAsia" w:cs="Arial"/>
                <w:szCs w:val="21"/>
              </w:rPr>
              <w:t>2</w:t>
            </w:r>
            <w:r w:rsidRPr="00013D11">
              <w:rPr>
                <w:rFonts w:asciiTheme="minorEastAsia" w:hAnsiTheme="minorEastAsia" w:cs="Arial" w:hint="eastAsia"/>
                <w:szCs w:val="21"/>
              </w:rPr>
              <w:t>号经济日报社</w:t>
            </w:r>
            <w:r w:rsidRPr="00013D11">
              <w:rPr>
                <w:rFonts w:asciiTheme="minorEastAsia" w:hAnsiTheme="minorEastAsia" w:cs="Arial"/>
                <w:szCs w:val="21"/>
              </w:rPr>
              <w:t>A</w:t>
            </w:r>
            <w:proofErr w:type="gramStart"/>
            <w:r w:rsidRPr="00013D11">
              <w:rPr>
                <w:rFonts w:asciiTheme="minorEastAsia" w:hAnsiTheme="minorEastAsia" w:cs="Arial" w:hint="eastAsia"/>
                <w:szCs w:val="21"/>
              </w:rPr>
              <w:t>座综合</w:t>
            </w:r>
            <w:proofErr w:type="gramEnd"/>
            <w:r w:rsidRPr="00013D11">
              <w:rPr>
                <w:rFonts w:asciiTheme="minorEastAsia" w:hAnsiTheme="minorEastAsia" w:cs="Arial" w:hint="eastAsia"/>
                <w:szCs w:val="21"/>
              </w:rPr>
              <w:t>楼</w:t>
            </w:r>
            <w:r w:rsidRPr="00013D11">
              <w:rPr>
                <w:rFonts w:asciiTheme="minorEastAsia" w:hAnsiTheme="minorEastAsia" w:cs="Arial"/>
                <w:szCs w:val="21"/>
              </w:rPr>
              <w:t>712</w:t>
            </w:r>
            <w:r w:rsidRPr="00013D11">
              <w:rPr>
                <w:rFonts w:asciiTheme="minorEastAsia" w:hAnsiTheme="minorEastAsia" w:cs="Arial" w:hint="eastAsia"/>
                <w:szCs w:val="21"/>
              </w:rPr>
              <w:t>室</w:t>
            </w:r>
          </w:p>
          <w:p w14:paraId="36288CEE" w14:textId="77777777" w:rsidR="00CB5438" w:rsidRPr="00013D11" w:rsidRDefault="00CB5438" w:rsidP="00013D11">
            <w:pPr>
              <w:snapToGrid w:val="0"/>
              <w:rPr>
                <w:rFonts w:asciiTheme="minorEastAsia" w:hAnsiTheme="minorEastAsia" w:cs="Arial"/>
                <w:szCs w:val="21"/>
              </w:rPr>
            </w:pPr>
            <w:r w:rsidRPr="00013D11">
              <w:rPr>
                <w:rFonts w:asciiTheme="minorEastAsia" w:hAnsiTheme="minorEastAsia" w:cs="Arial" w:hint="eastAsia"/>
                <w:szCs w:val="21"/>
              </w:rPr>
              <w:t>客服电话：</w:t>
            </w:r>
            <w:r w:rsidRPr="00013D11">
              <w:rPr>
                <w:rFonts w:asciiTheme="minorEastAsia" w:hAnsiTheme="minorEastAsia" w:cs="Arial"/>
                <w:szCs w:val="21"/>
              </w:rPr>
              <w:t xml:space="preserve">010-66154828 </w:t>
            </w:r>
          </w:p>
          <w:p w14:paraId="4CB35E6D" w14:textId="77777777" w:rsidR="00CB5438" w:rsidRPr="005F5714" w:rsidRDefault="00CB5438" w:rsidP="00013D11">
            <w:pPr>
              <w:snapToGrid w:val="0"/>
              <w:rPr>
                <w:rFonts w:asciiTheme="minorEastAsia" w:hAnsiTheme="minorEastAsia" w:cs="Arial"/>
                <w:szCs w:val="21"/>
              </w:rPr>
            </w:pPr>
            <w:r w:rsidRPr="00013D11">
              <w:rPr>
                <w:rFonts w:asciiTheme="minorEastAsia" w:hAnsiTheme="minorEastAsia" w:cs="Arial" w:hint="eastAsia"/>
                <w:szCs w:val="21"/>
              </w:rPr>
              <w:t>公司网站：</w:t>
            </w:r>
            <w:r w:rsidRPr="00013D11">
              <w:rPr>
                <w:rFonts w:asciiTheme="minorEastAsia" w:hAnsiTheme="minorEastAsia" w:cs="Arial"/>
                <w:szCs w:val="21"/>
              </w:rPr>
              <w:t>corp.5irich.com</w:t>
            </w:r>
          </w:p>
        </w:tc>
      </w:tr>
      <w:tr w:rsidR="00CB5438" w:rsidRPr="005F5714" w14:paraId="70CDDBE7" w14:textId="77777777" w:rsidTr="00CB5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
        </w:trPr>
        <w:tc>
          <w:tcPr>
            <w:tcW w:w="851" w:type="dxa"/>
          </w:tcPr>
          <w:p w14:paraId="1256AB11" w14:textId="22FD36E5" w:rsidR="00CB5438" w:rsidRPr="005F5714" w:rsidRDefault="00CB5438" w:rsidP="00013D11">
            <w:pPr>
              <w:snapToGrid w:val="0"/>
              <w:spacing w:line="360" w:lineRule="auto"/>
              <w:rPr>
                <w:rFonts w:asciiTheme="minorEastAsia" w:hAnsiTheme="minorEastAsia" w:cs="Arial"/>
                <w:szCs w:val="21"/>
              </w:rPr>
            </w:pPr>
            <w:r>
              <w:rPr>
                <w:rFonts w:asciiTheme="minorEastAsia" w:hAnsiTheme="minorEastAsia" w:cs="Arial"/>
                <w:szCs w:val="21"/>
              </w:rPr>
              <w:t>6</w:t>
            </w:r>
          </w:p>
        </w:tc>
        <w:tc>
          <w:tcPr>
            <w:tcW w:w="2693" w:type="dxa"/>
          </w:tcPr>
          <w:p w14:paraId="2CEFE056" w14:textId="7DAB733C" w:rsidR="00CB5438" w:rsidRPr="005F5714" w:rsidRDefault="00CB5438" w:rsidP="00013D11">
            <w:pPr>
              <w:snapToGrid w:val="0"/>
              <w:spacing w:line="360" w:lineRule="auto"/>
              <w:rPr>
                <w:rFonts w:asciiTheme="minorEastAsia" w:hAnsiTheme="minorEastAsia" w:cs="Arial"/>
                <w:szCs w:val="21"/>
              </w:rPr>
            </w:pPr>
            <w:r w:rsidRPr="00013D11">
              <w:rPr>
                <w:rFonts w:asciiTheme="minorEastAsia" w:hAnsiTheme="minorEastAsia" w:cs="Arial" w:hint="eastAsia"/>
                <w:szCs w:val="21"/>
              </w:rPr>
              <w:t>和讯信息科技有限公司</w:t>
            </w:r>
          </w:p>
        </w:tc>
        <w:tc>
          <w:tcPr>
            <w:tcW w:w="5103" w:type="dxa"/>
          </w:tcPr>
          <w:p w14:paraId="097E1FA2" w14:textId="77777777" w:rsidR="00CB5438" w:rsidRPr="00013D11" w:rsidRDefault="00CB5438" w:rsidP="00013D11">
            <w:pPr>
              <w:snapToGrid w:val="0"/>
              <w:rPr>
                <w:rFonts w:asciiTheme="minorEastAsia" w:hAnsiTheme="minorEastAsia" w:cs="Arial"/>
                <w:szCs w:val="21"/>
              </w:rPr>
            </w:pPr>
            <w:r w:rsidRPr="00013D11">
              <w:rPr>
                <w:rFonts w:asciiTheme="minorEastAsia" w:hAnsiTheme="minorEastAsia" w:cs="Arial" w:hint="eastAsia"/>
                <w:szCs w:val="21"/>
              </w:rPr>
              <w:t>注册（办公）地址：北京市朝外大街</w:t>
            </w:r>
            <w:r w:rsidRPr="00013D11">
              <w:rPr>
                <w:rFonts w:asciiTheme="minorEastAsia" w:hAnsiTheme="minorEastAsia" w:cs="Arial"/>
                <w:szCs w:val="21"/>
              </w:rPr>
              <w:t>22</w:t>
            </w:r>
            <w:r w:rsidRPr="00013D11">
              <w:rPr>
                <w:rFonts w:asciiTheme="minorEastAsia" w:hAnsiTheme="minorEastAsia" w:cs="Arial" w:hint="eastAsia"/>
                <w:szCs w:val="21"/>
              </w:rPr>
              <w:t>号</w:t>
            </w:r>
            <w:r w:rsidRPr="00013D11">
              <w:rPr>
                <w:rFonts w:asciiTheme="minorEastAsia" w:hAnsiTheme="minorEastAsia" w:cs="Arial"/>
                <w:szCs w:val="21"/>
              </w:rPr>
              <w:t xml:space="preserve"> </w:t>
            </w:r>
            <w:proofErr w:type="gramStart"/>
            <w:r w:rsidRPr="00013D11">
              <w:rPr>
                <w:rFonts w:asciiTheme="minorEastAsia" w:hAnsiTheme="minorEastAsia" w:cs="Arial" w:hint="eastAsia"/>
                <w:szCs w:val="21"/>
              </w:rPr>
              <w:t>泛利大厦</w:t>
            </w:r>
            <w:proofErr w:type="gramEnd"/>
            <w:r w:rsidRPr="00013D11">
              <w:rPr>
                <w:rFonts w:asciiTheme="minorEastAsia" w:hAnsiTheme="minorEastAsia" w:cs="Arial"/>
                <w:szCs w:val="21"/>
              </w:rPr>
              <w:t>10</w:t>
            </w:r>
            <w:r w:rsidRPr="00013D11">
              <w:rPr>
                <w:rFonts w:asciiTheme="minorEastAsia" w:hAnsiTheme="minorEastAsia" w:cs="Arial" w:hint="eastAsia"/>
                <w:szCs w:val="21"/>
              </w:rPr>
              <w:t>层</w:t>
            </w:r>
          </w:p>
          <w:p w14:paraId="46903BE7" w14:textId="77777777" w:rsidR="00CB5438" w:rsidRPr="00013D11" w:rsidRDefault="00CB5438" w:rsidP="00013D11">
            <w:pPr>
              <w:snapToGrid w:val="0"/>
              <w:rPr>
                <w:rFonts w:asciiTheme="minorEastAsia" w:hAnsiTheme="minorEastAsia" w:cs="Arial"/>
                <w:szCs w:val="21"/>
              </w:rPr>
            </w:pPr>
            <w:r w:rsidRPr="00013D11">
              <w:rPr>
                <w:rFonts w:asciiTheme="minorEastAsia" w:hAnsiTheme="minorEastAsia" w:cs="Arial" w:hint="eastAsia"/>
                <w:szCs w:val="21"/>
              </w:rPr>
              <w:t>客服电话：</w:t>
            </w:r>
            <w:r w:rsidRPr="00013D11">
              <w:rPr>
                <w:rFonts w:asciiTheme="minorEastAsia" w:hAnsiTheme="minorEastAsia" w:cs="Arial"/>
                <w:szCs w:val="21"/>
              </w:rPr>
              <w:t>400-920-0022</w:t>
            </w:r>
          </w:p>
          <w:p w14:paraId="2656F3A6" w14:textId="77777777" w:rsidR="00CB5438" w:rsidRPr="005F5714" w:rsidRDefault="00CB5438" w:rsidP="00013D11">
            <w:pPr>
              <w:snapToGrid w:val="0"/>
              <w:rPr>
                <w:rFonts w:asciiTheme="minorEastAsia" w:hAnsiTheme="minorEastAsia" w:cs="Arial"/>
                <w:szCs w:val="21"/>
              </w:rPr>
            </w:pPr>
            <w:r w:rsidRPr="00013D11">
              <w:rPr>
                <w:rFonts w:asciiTheme="minorEastAsia" w:hAnsiTheme="minorEastAsia" w:cs="Arial" w:hint="eastAsia"/>
                <w:szCs w:val="21"/>
              </w:rPr>
              <w:t>公司网站：</w:t>
            </w:r>
            <w:r w:rsidRPr="00013D11">
              <w:rPr>
                <w:rFonts w:asciiTheme="minorEastAsia" w:hAnsiTheme="minorEastAsia" w:cs="Arial"/>
                <w:szCs w:val="21"/>
              </w:rPr>
              <w:fldChar w:fldCharType="begin"/>
            </w:r>
            <w:r w:rsidRPr="00013D11">
              <w:rPr>
                <w:rFonts w:asciiTheme="minorEastAsia" w:hAnsiTheme="minorEastAsia" w:cs="Arial"/>
                <w:szCs w:val="21"/>
              </w:rPr>
              <w:instrText xml:space="preserve"> HYPERLINK "http://www.licaike.com" </w:instrText>
            </w:r>
            <w:r w:rsidRPr="00013D11">
              <w:rPr>
                <w:rFonts w:asciiTheme="minorEastAsia" w:hAnsiTheme="minorEastAsia" w:cs="Arial"/>
                <w:szCs w:val="21"/>
              </w:rPr>
            </w:r>
            <w:r w:rsidRPr="00013D11">
              <w:rPr>
                <w:rFonts w:asciiTheme="minorEastAsia" w:hAnsiTheme="minorEastAsia" w:cs="Arial"/>
                <w:szCs w:val="21"/>
              </w:rPr>
              <w:fldChar w:fldCharType="separate"/>
            </w:r>
            <w:r w:rsidRPr="00013D11">
              <w:rPr>
                <w:rFonts w:asciiTheme="minorEastAsia" w:hAnsiTheme="minorEastAsia" w:cs="Arial"/>
                <w:szCs w:val="21"/>
              </w:rPr>
              <w:t>www.licaike.com</w:t>
            </w:r>
            <w:r w:rsidRPr="00013D11">
              <w:rPr>
                <w:rFonts w:asciiTheme="minorEastAsia" w:hAnsiTheme="minorEastAsia" w:cs="Arial"/>
                <w:szCs w:val="21"/>
              </w:rPr>
              <w:fldChar w:fldCharType="end"/>
            </w:r>
          </w:p>
        </w:tc>
      </w:tr>
    </w:tbl>
    <w:p w14:paraId="029106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二、登记机构</w:t>
      </w:r>
    </w:p>
    <w:p w14:paraId="10C58E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名称：富荣基金管理有限公司 </w:t>
      </w:r>
    </w:p>
    <w:p w14:paraId="05F4A6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住所：广东省广州市南沙区海滨路171号南沙金融大厦11楼1101之一J20 </w:t>
      </w:r>
    </w:p>
    <w:p w14:paraId="15B3EB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 xml:space="preserve">24层 </w:t>
      </w:r>
    </w:p>
    <w:p w14:paraId="326E4B4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 xml:space="preserve">法定代表人：杨小舟 </w:t>
      </w:r>
    </w:p>
    <w:p w14:paraId="4C4B31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联系人：黄文飞</w:t>
      </w:r>
    </w:p>
    <w:p w14:paraId="7BA433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电话： 0755-84356604</w:t>
      </w:r>
    </w:p>
    <w:p w14:paraId="655D84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传真： 0755-83230787</w:t>
      </w:r>
    </w:p>
    <w:p w14:paraId="4FBB7F5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三、出具法律意见书的律师事务所</w:t>
      </w:r>
    </w:p>
    <w:p w14:paraId="671002A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名称：上海市通力律师事务所</w:t>
      </w:r>
    </w:p>
    <w:p w14:paraId="6C4335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住所：上海市银城中路68号时代金融中心19楼</w:t>
      </w:r>
    </w:p>
    <w:p w14:paraId="6966B3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办公地址：上海市银城中路68号时代金融中心19楼</w:t>
      </w:r>
    </w:p>
    <w:p w14:paraId="23FF3C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负责人：韩炯</w:t>
      </w:r>
    </w:p>
    <w:p w14:paraId="11D373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电话：021-31358666</w:t>
      </w:r>
    </w:p>
    <w:p w14:paraId="77F75B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传真：021-31358600</w:t>
      </w:r>
    </w:p>
    <w:p w14:paraId="0A49AD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经办律师：安冬 陆奇</w:t>
      </w:r>
    </w:p>
    <w:p w14:paraId="478262D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联系人： 陆奇</w:t>
      </w:r>
    </w:p>
    <w:p w14:paraId="701776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四、审计基金财产的会计师事务所</w:t>
      </w:r>
    </w:p>
    <w:p w14:paraId="4F2617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名称：安永华明会计师事务所（特殊普通合伙）</w:t>
      </w:r>
    </w:p>
    <w:p w14:paraId="0352DC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住所：中国北京市东城区东长安街1号东方广场安永大楼16层</w:t>
      </w:r>
    </w:p>
    <w:p w14:paraId="1CE02B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办公地址：中国北京市东城区东长安街1号东方广场安永大楼16层</w:t>
      </w:r>
    </w:p>
    <w:p w14:paraId="5EE634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w:t>
      </w:r>
      <w:proofErr w:type="gramStart"/>
      <w:r w:rsidRPr="00BD090D">
        <w:rPr>
          <w:rFonts w:ascii="宋体" w:eastAsia="宋体" w:hAnsi="宋体" w:hint="eastAsia"/>
          <w:szCs w:val="21"/>
        </w:rPr>
        <w:t>毛鞍宁</w:t>
      </w:r>
      <w:proofErr w:type="gramEnd"/>
    </w:p>
    <w:p w14:paraId="407120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电话：+86 10 58153000</w:t>
      </w:r>
    </w:p>
    <w:p w14:paraId="4EEF0C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传真：+86 10 85188298</w:t>
      </w:r>
    </w:p>
    <w:p w14:paraId="43C018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签字注册会计师：吴翠蓉  高鹤</w:t>
      </w:r>
    </w:p>
    <w:p w14:paraId="3B88B79A"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联系人：吴翠蓉 </w:t>
      </w:r>
    </w:p>
    <w:p w14:paraId="06F86CAF"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036E31F8" w14:textId="4D579F56"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5" w:name="_Toc121901714"/>
      <w:r w:rsidRPr="00BD090D">
        <w:rPr>
          <w:rFonts w:ascii="Arial Unicode MS" w:eastAsia="宋体" w:hAnsi="Arial Unicode MS" w:cs="Arial" w:hint="eastAsia"/>
          <w:kern w:val="0"/>
          <w:sz w:val="28"/>
          <w:szCs w:val="28"/>
        </w:rPr>
        <w:lastRenderedPageBreak/>
        <w:t>第六部分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w:t>
      </w:r>
      <w:r w:rsidR="00581396">
        <w:rPr>
          <w:rFonts w:ascii="Arial Unicode MS" w:eastAsia="宋体" w:hAnsi="Arial Unicode MS" w:cs="Arial" w:hint="eastAsia"/>
          <w:kern w:val="0"/>
          <w:sz w:val="28"/>
          <w:szCs w:val="28"/>
        </w:rPr>
        <w:t>的募集</w:t>
      </w:r>
      <w:bookmarkEnd w:id="5"/>
    </w:p>
    <w:p w14:paraId="357FBA01" w14:textId="77777777" w:rsidR="00BD090D" w:rsidRPr="00BD090D" w:rsidRDefault="00BD090D" w:rsidP="00BD090D">
      <w:pPr>
        <w:spacing w:line="360" w:lineRule="auto"/>
        <w:ind w:firstLineChars="200" w:firstLine="420"/>
        <w:rPr>
          <w:rFonts w:ascii="宋体" w:eastAsia="宋体" w:hAnsi="宋体"/>
          <w:szCs w:val="21"/>
        </w:rPr>
      </w:pPr>
    </w:p>
    <w:p w14:paraId="000F9A13" w14:textId="0482B75C"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基金管理人按照《基金法》、《运作办法》、《销售办法》、基金合同及其他有关规定募集本基金，并于20</w:t>
      </w:r>
      <w:r w:rsidR="00CD0B04">
        <w:rPr>
          <w:rFonts w:ascii="宋体" w:eastAsia="宋体" w:hAnsi="宋体" w:hint="eastAsia"/>
          <w:szCs w:val="21"/>
        </w:rPr>
        <w:t>20</w:t>
      </w:r>
      <w:r w:rsidRPr="00BD090D">
        <w:rPr>
          <w:rFonts w:ascii="宋体" w:eastAsia="宋体" w:hAnsi="宋体" w:hint="eastAsia"/>
          <w:szCs w:val="21"/>
        </w:rPr>
        <w:t>年</w:t>
      </w:r>
      <w:r w:rsidR="00CD0B04">
        <w:rPr>
          <w:rFonts w:ascii="宋体" w:eastAsia="宋体" w:hAnsi="宋体" w:hint="eastAsia"/>
          <w:szCs w:val="21"/>
        </w:rPr>
        <w:t>11</w:t>
      </w:r>
      <w:r w:rsidRPr="00BD090D">
        <w:rPr>
          <w:rFonts w:ascii="宋体" w:eastAsia="宋体" w:hAnsi="宋体" w:hint="eastAsia"/>
          <w:szCs w:val="21"/>
        </w:rPr>
        <w:t>月</w:t>
      </w:r>
      <w:r w:rsidR="00CD0B04">
        <w:rPr>
          <w:rFonts w:ascii="宋体" w:eastAsia="宋体" w:hAnsi="宋体" w:hint="eastAsia"/>
          <w:szCs w:val="21"/>
        </w:rPr>
        <w:t>18</w:t>
      </w:r>
      <w:r w:rsidRPr="00BD090D">
        <w:rPr>
          <w:rFonts w:ascii="宋体" w:eastAsia="宋体" w:hAnsi="宋体" w:hint="eastAsia"/>
          <w:szCs w:val="21"/>
        </w:rPr>
        <w:t>日经中国证监会证监许可[</w:t>
      </w:r>
      <w:r w:rsidR="00CD0B04">
        <w:rPr>
          <w:rFonts w:ascii="宋体" w:eastAsia="宋体" w:hAnsi="宋体" w:hint="eastAsia"/>
          <w:szCs w:val="21"/>
        </w:rPr>
        <w:t>2020</w:t>
      </w:r>
      <w:r w:rsidRPr="00BD090D">
        <w:rPr>
          <w:rFonts w:ascii="宋体" w:eastAsia="宋体" w:hAnsi="宋体" w:hint="eastAsia"/>
          <w:szCs w:val="21"/>
        </w:rPr>
        <w:t>]</w:t>
      </w:r>
      <w:r w:rsidR="00CD0B04">
        <w:rPr>
          <w:rFonts w:ascii="宋体" w:eastAsia="宋体" w:hAnsi="宋体" w:hint="eastAsia"/>
          <w:szCs w:val="21"/>
        </w:rPr>
        <w:t>3101</w:t>
      </w:r>
      <w:r w:rsidRPr="00BD090D">
        <w:rPr>
          <w:rFonts w:ascii="宋体" w:eastAsia="宋体" w:hAnsi="宋体" w:hint="eastAsia"/>
          <w:szCs w:val="21"/>
        </w:rPr>
        <w:t>号文准予注册募集。</w:t>
      </w:r>
      <w:r w:rsidR="00581396">
        <w:rPr>
          <w:rFonts w:ascii="宋体" w:eastAsia="宋体" w:hAnsi="宋体" w:hint="eastAsia"/>
          <w:szCs w:val="21"/>
        </w:rPr>
        <w:t>本基金自2</w:t>
      </w:r>
      <w:r w:rsidR="00581396">
        <w:rPr>
          <w:rFonts w:ascii="宋体" w:eastAsia="宋体" w:hAnsi="宋体"/>
          <w:szCs w:val="21"/>
        </w:rPr>
        <w:t>020</w:t>
      </w:r>
      <w:r w:rsidR="00581396">
        <w:rPr>
          <w:rFonts w:ascii="宋体" w:eastAsia="宋体" w:hAnsi="宋体" w:hint="eastAsia"/>
          <w:szCs w:val="21"/>
        </w:rPr>
        <w:t>年1</w:t>
      </w:r>
      <w:r w:rsidR="00581396">
        <w:rPr>
          <w:rFonts w:ascii="宋体" w:eastAsia="宋体" w:hAnsi="宋体"/>
          <w:szCs w:val="21"/>
        </w:rPr>
        <w:t>2</w:t>
      </w:r>
      <w:r w:rsidR="00581396">
        <w:rPr>
          <w:rFonts w:ascii="宋体" w:eastAsia="宋体" w:hAnsi="宋体" w:hint="eastAsia"/>
          <w:szCs w:val="21"/>
        </w:rPr>
        <w:t>月</w:t>
      </w:r>
      <w:r w:rsidR="00581396">
        <w:rPr>
          <w:rFonts w:ascii="宋体" w:eastAsia="宋体" w:hAnsi="宋体"/>
          <w:szCs w:val="21"/>
        </w:rPr>
        <w:t>21</w:t>
      </w:r>
      <w:r w:rsidR="00581396">
        <w:rPr>
          <w:rFonts w:ascii="宋体" w:eastAsia="宋体" w:hAnsi="宋体" w:hint="eastAsia"/>
          <w:szCs w:val="21"/>
        </w:rPr>
        <w:t>日通过销售机构公开募集，截至2</w:t>
      </w:r>
      <w:r w:rsidR="00581396">
        <w:rPr>
          <w:rFonts w:ascii="宋体" w:eastAsia="宋体" w:hAnsi="宋体"/>
          <w:szCs w:val="21"/>
        </w:rPr>
        <w:t>020</w:t>
      </w:r>
      <w:r w:rsidR="00581396">
        <w:rPr>
          <w:rFonts w:ascii="宋体" w:eastAsia="宋体" w:hAnsi="宋体" w:hint="eastAsia"/>
          <w:szCs w:val="21"/>
        </w:rPr>
        <w:t>年1</w:t>
      </w:r>
      <w:r w:rsidR="00581396">
        <w:rPr>
          <w:rFonts w:ascii="宋体" w:eastAsia="宋体" w:hAnsi="宋体"/>
          <w:szCs w:val="21"/>
        </w:rPr>
        <w:t>2</w:t>
      </w:r>
      <w:r w:rsidR="00581396">
        <w:rPr>
          <w:rFonts w:ascii="宋体" w:eastAsia="宋体" w:hAnsi="宋体" w:hint="eastAsia"/>
          <w:szCs w:val="21"/>
        </w:rPr>
        <w:t>月3</w:t>
      </w:r>
      <w:r w:rsidR="00581396">
        <w:rPr>
          <w:rFonts w:ascii="宋体" w:eastAsia="宋体" w:hAnsi="宋体"/>
          <w:szCs w:val="21"/>
        </w:rPr>
        <w:t>0</w:t>
      </w:r>
      <w:r w:rsidR="00581396">
        <w:rPr>
          <w:rFonts w:ascii="宋体" w:eastAsia="宋体" w:hAnsi="宋体" w:hint="eastAsia"/>
          <w:szCs w:val="21"/>
        </w:rPr>
        <w:t>日，基金募集工作已顺利结束。</w:t>
      </w:r>
    </w:p>
    <w:p w14:paraId="0C9E7F37"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378323D1"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6" w:name="_Toc121901715"/>
      <w:r w:rsidRPr="00BD090D">
        <w:rPr>
          <w:rFonts w:ascii="Arial Unicode MS" w:eastAsia="宋体" w:hAnsi="Arial Unicode MS" w:cs="Arial" w:hint="eastAsia"/>
          <w:kern w:val="0"/>
          <w:sz w:val="28"/>
          <w:szCs w:val="28"/>
        </w:rPr>
        <w:lastRenderedPageBreak/>
        <w:t>第七部分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基金合同的生效</w:t>
      </w:r>
      <w:bookmarkEnd w:id="6"/>
    </w:p>
    <w:p w14:paraId="3D01E3AA" w14:textId="77777777" w:rsidR="00BD090D" w:rsidRPr="00BD090D" w:rsidRDefault="00BD090D" w:rsidP="00BD090D">
      <w:pPr>
        <w:spacing w:line="360" w:lineRule="auto"/>
        <w:ind w:firstLineChars="200" w:firstLine="420"/>
        <w:rPr>
          <w:rFonts w:ascii="宋体" w:eastAsia="宋体" w:hAnsi="宋体"/>
          <w:szCs w:val="21"/>
        </w:rPr>
      </w:pPr>
    </w:p>
    <w:p w14:paraId="4F5B01A4" w14:textId="5D68BBF1" w:rsidR="006C7E99" w:rsidRPr="00BD090D" w:rsidRDefault="006F69A3" w:rsidP="00BD090D">
      <w:pPr>
        <w:spacing w:line="360" w:lineRule="auto"/>
        <w:ind w:firstLineChars="200" w:firstLine="420"/>
        <w:rPr>
          <w:rFonts w:ascii="宋体" w:eastAsia="宋体" w:hAnsi="宋体"/>
          <w:szCs w:val="21"/>
        </w:rPr>
      </w:pPr>
      <w:r w:rsidRPr="006F69A3">
        <w:rPr>
          <w:rFonts w:ascii="宋体" w:eastAsia="宋体" w:hAnsi="宋体" w:hint="eastAsia"/>
          <w:szCs w:val="21"/>
        </w:rPr>
        <w:t>根据《基金法》、《运作办法》以及基金合同、招募说明书、基金份额发售公告的有关规定，本基金募集结果符合有关条件，本基金管理人于20</w:t>
      </w:r>
      <w:r w:rsidR="006C7E99">
        <w:rPr>
          <w:rFonts w:ascii="宋体" w:eastAsia="宋体" w:hAnsi="宋体"/>
          <w:szCs w:val="21"/>
        </w:rPr>
        <w:t>20</w:t>
      </w:r>
      <w:r w:rsidRPr="006F69A3">
        <w:rPr>
          <w:rFonts w:ascii="宋体" w:eastAsia="宋体" w:hAnsi="宋体" w:hint="eastAsia"/>
          <w:szCs w:val="21"/>
        </w:rPr>
        <w:t>年</w:t>
      </w:r>
      <w:r>
        <w:rPr>
          <w:rFonts w:ascii="宋体" w:eastAsia="宋体" w:hAnsi="宋体"/>
          <w:szCs w:val="21"/>
        </w:rPr>
        <w:t>12</w:t>
      </w:r>
      <w:r w:rsidRPr="006F69A3">
        <w:rPr>
          <w:rFonts w:ascii="宋体" w:eastAsia="宋体" w:hAnsi="宋体" w:hint="eastAsia"/>
          <w:szCs w:val="21"/>
        </w:rPr>
        <w:t>月</w:t>
      </w:r>
      <w:r>
        <w:rPr>
          <w:rFonts w:ascii="宋体" w:eastAsia="宋体" w:hAnsi="宋体"/>
          <w:szCs w:val="21"/>
        </w:rPr>
        <w:t>31</w:t>
      </w:r>
      <w:r w:rsidRPr="006F69A3">
        <w:rPr>
          <w:rFonts w:ascii="宋体" w:eastAsia="宋体" w:hAnsi="宋体" w:hint="eastAsia"/>
          <w:szCs w:val="21"/>
        </w:rPr>
        <w:t>日向中国证监会办理完毕基金备案手续并已获书面确认，基金合同自该日期</w:t>
      </w:r>
      <w:r w:rsidR="00016488">
        <w:rPr>
          <w:rFonts w:ascii="宋体" w:eastAsia="宋体" w:hAnsi="宋体" w:hint="eastAsia"/>
          <w:szCs w:val="21"/>
        </w:rPr>
        <w:t>起</w:t>
      </w:r>
      <w:r w:rsidRPr="006F69A3">
        <w:rPr>
          <w:rFonts w:ascii="宋体" w:eastAsia="宋体" w:hAnsi="宋体" w:hint="eastAsia"/>
          <w:szCs w:val="21"/>
        </w:rPr>
        <w:t>正式生效。自基金合同生效之日起，本基金管理人正式开始管理本基金。</w:t>
      </w:r>
    </w:p>
    <w:p w14:paraId="4371854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基金合同生效满三年后的对应日，若本基金资产净值低于2亿元，基金合同应当终止，且不得通过召开基金份额持有人大会的方式延续基金合同期限。</w:t>
      </w:r>
    </w:p>
    <w:p w14:paraId="7513B5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日起三年后继续存续的，连续20个工作日出现基金份额持有人数量不满200人或者基金资产净值低于5000万元情形的，基金管理人应当在定期报告中予以披露；连续60个工作日出现前述情形的，基金管理人应当十个工作日内向中国证监会报告并提出解决方案，如持续运作、转换运作方式、与其他基金合并或者终止基金合同等，并六个月内召集基金份额持有人大会进行表决。</w:t>
      </w:r>
    </w:p>
    <w:p w14:paraId="102640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法律法规或监管机构另有规定时，从其规定。</w:t>
      </w:r>
    </w:p>
    <w:p w14:paraId="2674CD47"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69F3F55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7" w:name="_Toc121901716"/>
      <w:r w:rsidRPr="00BD090D">
        <w:rPr>
          <w:rFonts w:ascii="Arial Unicode MS" w:eastAsia="宋体" w:hAnsi="Arial Unicode MS" w:cs="Arial" w:hint="eastAsia"/>
          <w:kern w:val="0"/>
          <w:sz w:val="28"/>
          <w:szCs w:val="28"/>
        </w:rPr>
        <w:lastRenderedPageBreak/>
        <w:t>第八部分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基金的封闭期和开放期</w:t>
      </w:r>
      <w:bookmarkEnd w:id="7"/>
    </w:p>
    <w:p w14:paraId="4F1898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一、 基金的封闭期 </w:t>
      </w:r>
    </w:p>
    <w:p w14:paraId="7DA7C3E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封闭期为自基金合同生效日起（包括基金合同生效日）或自每一开放期结束之日次日起（包括该日）一年的期间。第一个封闭期为基金合同生效日起至基金合同生效日一年后对应日的前一日止，第二个封闭期为第一个开放期结束之日次日起至该封闭期首日的一年后对应日的前一日止，以此类推。本基金封闭期内不办理申购与赎回业务，也不上市交易。</w:t>
      </w:r>
    </w:p>
    <w:p w14:paraId="281449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 基金的开放期</w:t>
      </w:r>
    </w:p>
    <w:p w14:paraId="2D4D89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自每个封闭期结束之后第一个工作日起进入开放期，期间可以办理申购与赎回业务。开放期间原则上为5至20个工作日，开放期的具体时间由基金管理人在每一开放期开始前依照《信息披露办法》的有关规定在规定媒介上予以公告。</w:t>
      </w:r>
    </w:p>
    <w:p w14:paraId="12AAAF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如封闭期结束后或在开放期内发生不可抗力或其他情形致使基金无法按时开放申购与赎回业务的，开放</w:t>
      </w:r>
      <w:proofErr w:type="gramStart"/>
      <w:r w:rsidRPr="00BD090D">
        <w:rPr>
          <w:rFonts w:ascii="宋体" w:eastAsia="宋体" w:hAnsi="宋体" w:hint="eastAsia"/>
          <w:szCs w:val="21"/>
        </w:rPr>
        <w:t>期时间</w:t>
      </w:r>
      <w:proofErr w:type="gramEnd"/>
      <w:r w:rsidRPr="00BD090D">
        <w:rPr>
          <w:rFonts w:ascii="宋体" w:eastAsia="宋体" w:hAnsi="宋体" w:hint="eastAsia"/>
          <w:szCs w:val="21"/>
        </w:rPr>
        <w:t>中止计算，在不可抗力或其他情形影响因素消除之日次</w:t>
      </w:r>
      <w:proofErr w:type="gramStart"/>
      <w:r w:rsidRPr="00BD090D">
        <w:rPr>
          <w:rFonts w:ascii="宋体" w:eastAsia="宋体" w:hAnsi="宋体" w:hint="eastAsia"/>
          <w:szCs w:val="21"/>
        </w:rPr>
        <w:t>一</w:t>
      </w:r>
      <w:proofErr w:type="gramEnd"/>
      <w:r w:rsidRPr="00BD090D">
        <w:rPr>
          <w:rFonts w:ascii="宋体" w:eastAsia="宋体" w:hAnsi="宋体" w:hint="eastAsia"/>
          <w:szCs w:val="21"/>
        </w:rPr>
        <w:t>工作日起，继续计算该开放期时间，直至满足开放期的时间要求，具体时间以基金管理人届时公告为准。</w:t>
      </w:r>
    </w:p>
    <w:p w14:paraId="391965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三、 封闭期与开放期示例 </w:t>
      </w:r>
    </w:p>
    <w:p w14:paraId="1E513B3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例如，本基金的基金合同于 2017年6月19日生效，则本基金的第一个封闭期为基金合同生效之日起一年的期间，即 2017年6月19日至 2018年6月18日，首个封闭期结束之后第一个工作日为 2018 年6月19日，假设第一个开放</w:t>
      </w:r>
      <w:proofErr w:type="gramStart"/>
      <w:r w:rsidRPr="00BD090D">
        <w:rPr>
          <w:rFonts w:ascii="宋体" w:eastAsia="宋体" w:hAnsi="宋体" w:hint="eastAsia"/>
          <w:szCs w:val="21"/>
        </w:rPr>
        <w:t>期时间</w:t>
      </w:r>
      <w:proofErr w:type="gramEnd"/>
      <w:r w:rsidRPr="00BD090D">
        <w:rPr>
          <w:rFonts w:ascii="宋体" w:eastAsia="宋体" w:hAnsi="宋体" w:hint="eastAsia"/>
          <w:szCs w:val="21"/>
        </w:rPr>
        <w:t xml:space="preserve">为5个工作日，首个开放期为 2018 年6月19日至 2018年6月25日； 第二个封闭期为首个开放期结束之日次日起（包括该日）一年的期间，即 2018年6月26日至 2019年6月25日，以此类推。 </w:t>
      </w:r>
    </w:p>
    <w:p w14:paraId="2D59251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又如，本基金的基金合同于2017年7月4日生效，则本基金的第一个封闭期为基金合同生效之日起一年的期间，即 2017年7月4日至 2018 年7月3日，假设第一个开放</w:t>
      </w:r>
      <w:proofErr w:type="gramStart"/>
      <w:r w:rsidRPr="00BD090D">
        <w:rPr>
          <w:rFonts w:ascii="宋体" w:eastAsia="宋体" w:hAnsi="宋体" w:hint="eastAsia"/>
          <w:szCs w:val="21"/>
        </w:rPr>
        <w:t>期时间</w:t>
      </w:r>
      <w:proofErr w:type="gramEnd"/>
      <w:r w:rsidRPr="00BD090D">
        <w:rPr>
          <w:rFonts w:ascii="宋体" w:eastAsia="宋体" w:hAnsi="宋体" w:hint="eastAsia"/>
          <w:szCs w:val="21"/>
        </w:rPr>
        <w:t>为5个工作日，首个封闭期结束之后第一个工作日为 2018 年7月4日，首个开放期为自 2018 年7月4日至 2018 年7月10日；第二个封闭期为首个开放期结束之日次日起（包括该日）一年的期间，即 2018 年7月11日至2019年7月10日，以此类推。</w:t>
      </w:r>
    </w:p>
    <w:p w14:paraId="4FF1A0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3AB10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49E654B"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5BA0D4F9"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8" w:name="_Toc121901717"/>
      <w:r w:rsidRPr="00BD090D">
        <w:rPr>
          <w:rFonts w:ascii="Arial Unicode MS" w:eastAsia="宋体" w:hAnsi="Arial Unicode MS" w:cs="Arial" w:hint="eastAsia"/>
          <w:kern w:val="0"/>
          <w:sz w:val="28"/>
          <w:szCs w:val="28"/>
        </w:rPr>
        <w:lastRenderedPageBreak/>
        <w:t>第九部分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基金份额的申购与赎回</w:t>
      </w:r>
      <w:bookmarkEnd w:id="8"/>
    </w:p>
    <w:p w14:paraId="44172F6C" w14:textId="77777777" w:rsidR="00BD090D" w:rsidRPr="00BD090D" w:rsidRDefault="00BD090D" w:rsidP="00BD090D">
      <w:pPr>
        <w:spacing w:line="360" w:lineRule="auto"/>
        <w:ind w:firstLineChars="200" w:firstLine="420"/>
        <w:rPr>
          <w:rFonts w:ascii="宋体" w:eastAsia="宋体" w:hAnsi="宋体"/>
          <w:szCs w:val="21"/>
        </w:rPr>
      </w:pPr>
    </w:p>
    <w:p w14:paraId="488309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一、申购与赎回的场所</w:t>
      </w:r>
    </w:p>
    <w:p w14:paraId="660A36E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 </w:t>
      </w:r>
    </w:p>
    <w:p w14:paraId="30E936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二、申购与赎回办理的开放日及时间</w:t>
      </w:r>
    </w:p>
    <w:p w14:paraId="7DCE4D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1、开放日及开放时间 </w:t>
      </w:r>
    </w:p>
    <w:p w14:paraId="6E778CF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办理基金份额的申购和赎回的开放日为开放期内的每个工作日。投资人在开放日办理基金份额的申购和赎回，具体办理时间为上海证券交易所、深圳证券交易所的正常交易日的交易时间。但基金管理人根据法律法规、中国证监会的要求或基金合同的规定公告暂停申购、赎回时除外。封闭期内，本基金不办理申购与赎回业务。 </w:t>
      </w:r>
    </w:p>
    <w:p w14:paraId="7B6790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基金合同生效后，若出现新的证券交易市场、证券交易所交易时间变更或其他特殊情况，基金管理人将视情况对前述开放日及开放时间进行相应的调整，但应在实施日前依照《信息披露办法》的有关规定在规定媒介上公告。 </w:t>
      </w:r>
    </w:p>
    <w:p w14:paraId="4F0E6F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2、开放期及业务办理时间 </w:t>
      </w:r>
    </w:p>
    <w:p w14:paraId="77D5C30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除法律法规或基金合同另有约定外，自首个封闭期结束之后第一个工作日起（包括该日），本基金进入首个开放期，开始办理申购和赎回业务。本基金每个封闭期结束之后第一个工作日起进入下一个开放期。 </w:t>
      </w:r>
    </w:p>
    <w:p w14:paraId="5EA7A4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基金管理人不得在基金合同约定之外的日期或者时间办理基金份额的申购、赎回或者转换。在开放期内，投资人在基金合同约定之外的日期和时间提出申购、赎回或转换申请</w:t>
      </w:r>
      <w:proofErr w:type="gramStart"/>
      <w:r w:rsidRPr="00BD090D">
        <w:rPr>
          <w:rFonts w:ascii="宋体" w:eastAsia="宋体" w:hAnsi="宋体" w:hint="eastAsia"/>
          <w:szCs w:val="21"/>
        </w:rPr>
        <w:t>且登记</w:t>
      </w:r>
      <w:proofErr w:type="gramEnd"/>
      <w:r w:rsidRPr="00BD090D">
        <w:rPr>
          <w:rFonts w:ascii="宋体" w:eastAsia="宋体" w:hAnsi="宋体" w:hint="eastAsia"/>
          <w:szCs w:val="21"/>
        </w:rPr>
        <w:t>机构确认接受的，其基金份额申购、赎回价格为开放期内下一开放日基金份额申购、赎回的价格；但若投资人在开放期最后一日业务办理时间结束之后提出申购、赎回或者转换申请的，视为无效申请。开放期以及开放</w:t>
      </w:r>
      <w:proofErr w:type="gramStart"/>
      <w:r w:rsidRPr="00BD090D">
        <w:rPr>
          <w:rFonts w:ascii="宋体" w:eastAsia="宋体" w:hAnsi="宋体" w:hint="eastAsia"/>
          <w:szCs w:val="21"/>
        </w:rPr>
        <w:t>期办理</w:t>
      </w:r>
      <w:proofErr w:type="gramEnd"/>
      <w:r w:rsidRPr="00BD090D">
        <w:rPr>
          <w:rFonts w:ascii="宋体" w:eastAsia="宋体" w:hAnsi="宋体" w:hint="eastAsia"/>
          <w:szCs w:val="21"/>
        </w:rPr>
        <w:t>申购与赎回业务的具体事宜见招募说明书及基金管理人届时发布的相关公告。</w:t>
      </w:r>
    </w:p>
    <w:p w14:paraId="606D349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三、申购与赎回的原则</w:t>
      </w:r>
    </w:p>
    <w:p w14:paraId="588656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1、“未知价”原则，即申购、赎回价格以申请当日收市后计算的基金份额净值为基准进行计算； </w:t>
      </w:r>
    </w:p>
    <w:p w14:paraId="34B40C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 xml:space="preserve">2、“金额申购、份额赎回”原则，即申购以金额申请，赎回以份额申请； </w:t>
      </w:r>
    </w:p>
    <w:p w14:paraId="7A4540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3、当日的申购与赎回申请可以在基金管理人规定的时间以内撤销； </w:t>
      </w:r>
    </w:p>
    <w:p w14:paraId="4DB6CA5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4、赎回遵循“先进先出”原则，即按照投资人认购、申购的先后次序进行顺序赎回。 </w:t>
      </w:r>
    </w:p>
    <w:p w14:paraId="787CB4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5、办理申购、赎回业务时，应当遵循基金份额持有人利益优先原则，确保投资者的合法权益不受损害并得到公平对待。</w:t>
      </w:r>
    </w:p>
    <w:p w14:paraId="6320F2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基金管理人可在法律法规允许的情况下，对上述原则进行调整。基金管理人必须在新规则开始实施前依照《信息披露办法》的有关规定在规定媒介上公告。 </w:t>
      </w:r>
    </w:p>
    <w:p w14:paraId="020271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四、申购与赎回的数额限制</w:t>
      </w:r>
    </w:p>
    <w:p w14:paraId="32BDDE03" w14:textId="5BA8863A" w:rsidR="00BD090D" w:rsidRPr="00BD090D" w:rsidRDefault="00BD090D" w:rsidP="005A6C07">
      <w:pPr>
        <w:spacing w:line="360" w:lineRule="auto"/>
        <w:ind w:firstLineChars="200" w:firstLine="420"/>
        <w:rPr>
          <w:rFonts w:ascii="宋体" w:eastAsia="宋体" w:hAnsi="宋体"/>
          <w:szCs w:val="21"/>
        </w:rPr>
      </w:pPr>
      <w:r w:rsidRPr="00BD090D">
        <w:rPr>
          <w:rFonts w:ascii="宋体" w:eastAsia="宋体" w:hAnsi="宋体" w:hint="eastAsia"/>
          <w:szCs w:val="21"/>
        </w:rPr>
        <w:t>1、每个基金交易账户首次申购基金份额的最低金额为1.00元，追加单笔申购最低金额为1.00元；详情请见当地销售机构公告；</w:t>
      </w:r>
    </w:p>
    <w:p w14:paraId="38FAF82D" w14:textId="4E93EF1E"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2、每个基金交易账户最低持有基金份额余额为1份，若某笔赎回导致单个基金交易账户的基金份额余额少于1份时，余额部分基金份额必须一同赎回； </w:t>
      </w:r>
    </w:p>
    <w:p w14:paraId="0F0FB416" w14:textId="5D26126F"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3、本基金目前对单个投资人累计持有份额不设上限限制，基金管理人可以规定单个投资者累计持有的基金份额数量限制，具体规定见定期更新的招募说明书或相关公告；</w:t>
      </w:r>
    </w:p>
    <w:p w14:paraId="687C6C62" w14:textId="4153F298"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4、基金管理人有权规定单一投资者单日或单笔申购金额上限，具体金额请参见更新的招募说明书或相关公告。</w:t>
      </w:r>
    </w:p>
    <w:p w14:paraId="0856D4E1" w14:textId="6300E146"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5、基金管理人有权规定本基金的总规模限额和单日净申购比例上限，具体规模或比例上限请参见更新招募说明书或相关公告。</w:t>
      </w:r>
    </w:p>
    <w:p w14:paraId="06317716" w14:textId="1F93C901"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BD090D">
        <w:rPr>
          <w:rFonts w:ascii="宋体" w:eastAsia="宋体" w:hAnsi="宋体" w:hint="eastAsia"/>
          <w:szCs w:val="21"/>
        </w:rPr>
        <w:t>见基金</w:t>
      </w:r>
      <w:proofErr w:type="gramEnd"/>
      <w:r w:rsidRPr="00BD090D">
        <w:rPr>
          <w:rFonts w:ascii="宋体" w:eastAsia="宋体" w:hAnsi="宋体" w:hint="eastAsia"/>
          <w:szCs w:val="21"/>
        </w:rPr>
        <w:t>管理人相关公告。</w:t>
      </w:r>
    </w:p>
    <w:p w14:paraId="32B23513" w14:textId="39893595"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7、基金管理人可在法律法规允许的情况下，调整上述规定申购金额和赎回份额等数量限制。基金管理人必须在调整实施前依照《信息披露办法》的有关规定在规定媒介上公告。</w:t>
      </w:r>
    </w:p>
    <w:p w14:paraId="79AAE8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五、申购与赎回的程序</w:t>
      </w:r>
    </w:p>
    <w:p w14:paraId="2CA944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1、申购和赎回的申请方式</w:t>
      </w:r>
    </w:p>
    <w:p w14:paraId="74C791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投资人必须根据销售机构规定的程序，在开放日的具体业务办理时间内提出申购或赎回的申请。</w:t>
      </w:r>
    </w:p>
    <w:p w14:paraId="27229FF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2、申购和赎回的款项支付</w:t>
      </w:r>
    </w:p>
    <w:p w14:paraId="765FCE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投资人申购基金份额时，必须全额交付申购款项，投资人交付申购款项，申购申请即为</w:t>
      </w:r>
      <w:r w:rsidRPr="00BD090D">
        <w:rPr>
          <w:rFonts w:ascii="宋体" w:eastAsia="宋体" w:hAnsi="宋体" w:hint="eastAsia"/>
          <w:szCs w:val="21"/>
        </w:rPr>
        <w:lastRenderedPageBreak/>
        <w:t>成立。登记机构确认基金份额时，申购生效。</w:t>
      </w:r>
    </w:p>
    <w:p w14:paraId="548A83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递交赎回申请，赎回成立；登记机构确认赎回时，赎回生效。基金份额持有人赎回申请成功后，基金管理人将在T+7日(包括该日)内支付赎回款项。在发生巨额赎回时，款项的支付办法参照基金合同有关条款处理。遇证券交易所或交易市场数据传输延迟、通讯系统故障、银行数据交换系统故障或其它</w:t>
      </w:r>
      <w:proofErr w:type="gramStart"/>
      <w:r w:rsidRPr="00BD090D">
        <w:rPr>
          <w:rFonts w:ascii="宋体" w:eastAsia="宋体" w:hAnsi="宋体" w:hint="eastAsia"/>
          <w:szCs w:val="21"/>
        </w:rPr>
        <w:t>非基金</w:t>
      </w:r>
      <w:proofErr w:type="gramEnd"/>
      <w:r w:rsidRPr="00BD090D">
        <w:rPr>
          <w:rFonts w:ascii="宋体" w:eastAsia="宋体" w:hAnsi="宋体" w:hint="eastAsia"/>
          <w:szCs w:val="21"/>
        </w:rPr>
        <w:t>管理人及基金托管人所能控制的因素影响业务处理流程时，赎回款项顺延至下一个工作日划出。在发生基金合同载明的延缓支付赎回款项的情形时，款项的支付办法参照基金合同有关条款处理。</w:t>
      </w:r>
    </w:p>
    <w:p w14:paraId="60D236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3、申购和赎回申请的确认</w:t>
      </w:r>
    </w:p>
    <w:p w14:paraId="7B7A2B1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退还给投资人。</w:t>
      </w:r>
    </w:p>
    <w:p w14:paraId="18D432F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销售机构对申购、赎回申请的受理并不代表该申请一定成功，而仅代表销售机构已经接收到申购、赎回申请。申购与赎回的确认以登记机构的确认结果为准。对于申请的确认情况，投资者应及时查询。</w:t>
      </w:r>
    </w:p>
    <w:p w14:paraId="1FB473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六、申购费率、赎回费率</w:t>
      </w:r>
    </w:p>
    <w:p w14:paraId="68AD44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1、投资者可以多次申购本基金，申购费率按每笔申购申请单独计算。</w:t>
      </w:r>
    </w:p>
    <w:p w14:paraId="5A206FB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w:t>
      </w:r>
      <w:proofErr w:type="gramStart"/>
      <w:r w:rsidRPr="00BD090D">
        <w:rPr>
          <w:rFonts w:ascii="宋体" w:eastAsia="宋体" w:hAnsi="宋体" w:hint="eastAsia"/>
          <w:szCs w:val="21"/>
        </w:rPr>
        <w:t>基金基金</w:t>
      </w:r>
      <w:proofErr w:type="gramEnd"/>
      <w:r w:rsidRPr="00BD090D">
        <w:rPr>
          <w:rFonts w:ascii="宋体" w:eastAsia="宋体" w:hAnsi="宋体" w:hint="eastAsia"/>
          <w:szCs w:val="21"/>
        </w:rPr>
        <w:t>份额采用前端收费模式收取基金申购费用。投资者的申购费用如下：</w:t>
      </w:r>
    </w:p>
    <w:p w14:paraId="296AB4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表2：本基金份额的申购费率</w:t>
      </w:r>
    </w:p>
    <w:tbl>
      <w:tblPr>
        <w:tblStyle w:val="ab"/>
        <w:tblW w:w="0" w:type="auto"/>
        <w:tblLook w:val="04A0" w:firstRow="1" w:lastRow="0" w:firstColumn="1" w:lastColumn="0" w:noHBand="0" w:noVBand="1"/>
      </w:tblPr>
      <w:tblGrid>
        <w:gridCol w:w="4261"/>
        <w:gridCol w:w="4261"/>
      </w:tblGrid>
      <w:tr w:rsidR="00C754A8" w:rsidRPr="00775B1F" w14:paraId="43A4C2FF" w14:textId="77777777" w:rsidTr="00C754A8">
        <w:tc>
          <w:tcPr>
            <w:tcW w:w="4261" w:type="dxa"/>
          </w:tcPr>
          <w:p w14:paraId="7D90A208"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申购金额（M）</w:t>
            </w:r>
          </w:p>
        </w:tc>
        <w:tc>
          <w:tcPr>
            <w:tcW w:w="4261" w:type="dxa"/>
          </w:tcPr>
          <w:p w14:paraId="30A4F702"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申购费率</w:t>
            </w:r>
          </w:p>
        </w:tc>
      </w:tr>
      <w:tr w:rsidR="00C754A8" w:rsidRPr="00775B1F" w14:paraId="6D8218B3" w14:textId="77777777" w:rsidTr="00C754A8">
        <w:tc>
          <w:tcPr>
            <w:tcW w:w="4261" w:type="dxa"/>
          </w:tcPr>
          <w:p w14:paraId="22D97E1D"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M＜100万元</w:t>
            </w:r>
          </w:p>
        </w:tc>
        <w:tc>
          <w:tcPr>
            <w:tcW w:w="4261" w:type="dxa"/>
          </w:tcPr>
          <w:p w14:paraId="0CC7F156"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0.80%</w:t>
            </w:r>
          </w:p>
        </w:tc>
      </w:tr>
      <w:tr w:rsidR="00C754A8" w:rsidRPr="00775B1F" w14:paraId="51788042" w14:textId="77777777" w:rsidTr="00C754A8">
        <w:tc>
          <w:tcPr>
            <w:tcW w:w="4261" w:type="dxa"/>
          </w:tcPr>
          <w:p w14:paraId="32FA8E87"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100万元≤M＜300万元</w:t>
            </w:r>
          </w:p>
        </w:tc>
        <w:tc>
          <w:tcPr>
            <w:tcW w:w="4261" w:type="dxa"/>
          </w:tcPr>
          <w:p w14:paraId="513AA27D"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0.50%</w:t>
            </w:r>
          </w:p>
        </w:tc>
      </w:tr>
      <w:tr w:rsidR="00C754A8" w:rsidRPr="00775B1F" w14:paraId="22DC85E1" w14:textId="77777777" w:rsidTr="00C754A8">
        <w:tc>
          <w:tcPr>
            <w:tcW w:w="4261" w:type="dxa"/>
          </w:tcPr>
          <w:p w14:paraId="16DD3E91"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300万元≤M＜500万元</w:t>
            </w:r>
          </w:p>
        </w:tc>
        <w:tc>
          <w:tcPr>
            <w:tcW w:w="4261" w:type="dxa"/>
          </w:tcPr>
          <w:p w14:paraId="40B60B4E"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0.30%</w:t>
            </w:r>
          </w:p>
        </w:tc>
      </w:tr>
      <w:tr w:rsidR="00C754A8" w:rsidRPr="00775B1F" w14:paraId="6AA0488E" w14:textId="77777777" w:rsidTr="00C754A8">
        <w:tc>
          <w:tcPr>
            <w:tcW w:w="4261" w:type="dxa"/>
          </w:tcPr>
          <w:p w14:paraId="0108DAB7"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M≥500万元</w:t>
            </w:r>
          </w:p>
        </w:tc>
        <w:tc>
          <w:tcPr>
            <w:tcW w:w="4261" w:type="dxa"/>
          </w:tcPr>
          <w:p w14:paraId="4BBB4704"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每笔1000元</w:t>
            </w:r>
          </w:p>
        </w:tc>
      </w:tr>
    </w:tbl>
    <w:p w14:paraId="220C6EAB" w14:textId="77777777" w:rsidR="00BD090D" w:rsidRPr="00BD090D" w:rsidRDefault="00BD090D" w:rsidP="00BD090D">
      <w:pPr>
        <w:spacing w:line="360" w:lineRule="auto"/>
        <w:ind w:firstLineChars="200" w:firstLine="420"/>
        <w:rPr>
          <w:rFonts w:ascii="宋体" w:eastAsia="宋体" w:hAnsi="宋体"/>
          <w:szCs w:val="21"/>
        </w:rPr>
      </w:pPr>
    </w:p>
    <w:p w14:paraId="51FE4B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本基金的申购费用由投资人承担，主要用于本基金的市场推广、销售、登记等各项费用，不列入基金财产。</w:t>
      </w:r>
    </w:p>
    <w:p w14:paraId="23B640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2、赎回费率见下表：</w:t>
      </w:r>
    </w:p>
    <w:p w14:paraId="21C6878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表3：本基金的赎回费率</w:t>
      </w:r>
    </w:p>
    <w:tbl>
      <w:tblPr>
        <w:tblStyle w:val="ab"/>
        <w:tblW w:w="0" w:type="auto"/>
        <w:tblLook w:val="04A0" w:firstRow="1" w:lastRow="0" w:firstColumn="1" w:lastColumn="0" w:noHBand="0" w:noVBand="1"/>
      </w:tblPr>
      <w:tblGrid>
        <w:gridCol w:w="4261"/>
        <w:gridCol w:w="4261"/>
      </w:tblGrid>
      <w:tr w:rsidR="00C8223B" w:rsidRPr="00731D58" w14:paraId="6F98D0A7" w14:textId="77777777" w:rsidTr="00C8223B">
        <w:tc>
          <w:tcPr>
            <w:tcW w:w="4261" w:type="dxa"/>
          </w:tcPr>
          <w:p w14:paraId="58493A13" w14:textId="77777777" w:rsidR="00C8223B" w:rsidRPr="00731D58" w:rsidRDefault="00C8223B" w:rsidP="00016488">
            <w:pPr>
              <w:spacing w:line="360" w:lineRule="auto"/>
              <w:rPr>
                <w:rFonts w:ascii="宋体" w:eastAsia="宋体" w:hAnsi="宋体"/>
                <w:szCs w:val="21"/>
              </w:rPr>
            </w:pPr>
            <w:r w:rsidRPr="00731D58">
              <w:rPr>
                <w:rFonts w:ascii="宋体" w:eastAsia="宋体" w:hAnsi="宋体" w:hint="eastAsia"/>
                <w:szCs w:val="21"/>
              </w:rPr>
              <w:lastRenderedPageBreak/>
              <w:t>持有期间（Y）</w:t>
            </w:r>
          </w:p>
        </w:tc>
        <w:tc>
          <w:tcPr>
            <w:tcW w:w="4261" w:type="dxa"/>
          </w:tcPr>
          <w:p w14:paraId="0C45DF6B" w14:textId="77777777" w:rsidR="00C8223B" w:rsidRPr="00731D58" w:rsidRDefault="00C8223B" w:rsidP="00016488">
            <w:pPr>
              <w:spacing w:line="360" w:lineRule="auto"/>
              <w:rPr>
                <w:rFonts w:ascii="宋体" w:eastAsia="宋体" w:hAnsi="宋体"/>
                <w:szCs w:val="21"/>
              </w:rPr>
            </w:pPr>
            <w:r w:rsidRPr="00731D58">
              <w:rPr>
                <w:rFonts w:ascii="宋体" w:eastAsia="宋体" w:hAnsi="宋体" w:hint="eastAsia"/>
                <w:szCs w:val="21"/>
              </w:rPr>
              <w:t>赎回费率</w:t>
            </w:r>
          </w:p>
        </w:tc>
      </w:tr>
      <w:tr w:rsidR="00C8223B" w:rsidRPr="00731D58" w14:paraId="35E0BF0D" w14:textId="77777777" w:rsidTr="00C8223B">
        <w:tc>
          <w:tcPr>
            <w:tcW w:w="4261" w:type="dxa"/>
          </w:tcPr>
          <w:p w14:paraId="54898D21" w14:textId="77777777" w:rsidR="00C8223B" w:rsidRPr="00731D58" w:rsidRDefault="00C8223B" w:rsidP="00016488">
            <w:pPr>
              <w:spacing w:line="360" w:lineRule="auto"/>
              <w:rPr>
                <w:rFonts w:ascii="宋体" w:eastAsia="宋体" w:hAnsi="宋体"/>
                <w:szCs w:val="21"/>
              </w:rPr>
            </w:pPr>
            <w:r w:rsidRPr="00731D58">
              <w:rPr>
                <w:rFonts w:ascii="宋体" w:eastAsia="宋体" w:hAnsi="宋体" w:hint="eastAsia"/>
                <w:szCs w:val="21"/>
              </w:rPr>
              <w:t>Y＜7日</w:t>
            </w:r>
          </w:p>
        </w:tc>
        <w:tc>
          <w:tcPr>
            <w:tcW w:w="4261" w:type="dxa"/>
          </w:tcPr>
          <w:p w14:paraId="3BF80B92" w14:textId="77777777" w:rsidR="00C8223B" w:rsidRPr="00731D58" w:rsidRDefault="00C8223B" w:rsidP="00016488">
            <w:pPr>
              <w:spacing w:line="360" w:lineRule="auto"/>
              <w:rPr>
                <w:rFonts w:ascii="宋体" w:eastAsia="宋体" w:hAnsi="宋体"/>
                <w:szCs w:val="21"/>
              </w:rPr>
            </w:pPr>
            <w:r w:rsidRPr="00731D58">
              <w:rPr>
                <w:rFonts w:ascii="宋体" w:eastAsia="宋体" w:hAnsi="宋体" w:hint="eastAsia"/>
                <w:szCs w:val="21"/>
              </w:rPr>
              <w:t>1.5%</w:t>
            </w:r>
          </w:p>
        </w:tc>
      </w:tr>
      <w:tr w:rsidR="00C8223B" w:rsidRPr="00731D58" w14:paraId="18CD42FD" w14:textId="77777777" w:rsidTr="00C8223B">
        <w:tc>
          <w:tcPr>
            <w:tcW w:w="4261" w:type="dxa"/>
          </w:tcPr>
          <w:p w14:paraId="0A0E157E" w14:textId="77777777" w:rsidR="00C8223B" w:rsidRPr="00731D58" w:rsidRDefault="00C8223B" w:rsidP="00016488">
            <w:pPr>
              <w:spacing w:line="360" w:lineRule="auto"/>
              <w:rPr>
                <w:rFonts w:ascii="宋体" w:eastAsia="宋体" w:hAnsi="宋体"/>
                <w:szCs w:val="21"/>
              </w:rPr>
            </w:pPr>
            <w:r w:rsidRPr="00731D58">
              <w:rPr>
                <w:rFonts w:ascii="宋体" w:eastAsia="宋体" w:hAnsi="宋体" w:hint="eastAsia"/>
                <w:szCs w:val="21"/>
              </w:rPr>
              <w:t>7日 ≤ Y&lt;一年</w:t>
            </w:r>
          </w:p>
        </w:tc>
        <w:tc>
          <w:tcPr>
            <w:tcW w:w="4261" w:type="dxa"/>
          </w:tcPr>
          <w:p w14:paraId="595B25FD" w14:textId="77777777" w:rsidR="00C8223B" w:rsidRPr="00731D58" w:rsidRDefault="00C8223B" w:rsidP="00016488">
            <w:pPr>
              <w:spacing w:line="360" w:lineRule="auto"/>
              <w:rPr>
                <w:rFonts w:ascii="宋体" w:eastAsia="宋体" w:hAnsi="宋体"/>
                <w:szCs w:val="21"/>
              </w:rPr>
            </w:pPr>
            <w:r w:rsidRPr="00731D58">
              <w:rPr>
                <w:rFonts w:ascii="宋体" w:eastAsia="宋体" w:hAnsi="宋体" w:hint="eastAsia"/>
                <w:szCs w:val="21"/>
              </w:rPr>
              <w:t>0.1%</w:t>
            </w:r>
          </w:p>
        </w:tc>
      </w:tr>
      <w:tr w:rsidR="00C8223B" w:rsidRPr="00731D58" w14:paraId="1048C9E1" w14:textId="77777777" w:rsidTr="00C8223B">
        <w:tc>
          <w:tcPr>
            <w:tcW w:w="4261" w:type="dxa"/>
          </w:tcPr>
          <w:p w14:paraId="158FA2DA" w14:textId="77777777" w:rsidR="00C8223B" w:rsidRPr="00731D58" w:rsidRDefault="00C8223B" w:rsidP="00016488">
            <w:pPr>
              <w:spacing w:line="360" w:lineRule="auto"/>
              <w:rPr>
                <w:rFonts w:ascii="宋体" w:eastAsia="宋体" w:hAnsi="宋体"/>
                <w:szCs w:val="21"/>
              </w:rPr>
            </w:pPr>
            <w:r w:rsidRPr="00731D58">
              <w:rPr>
                <w:rFonts w:ascii="宋体" w:eastAsia="宋体" w:hAnsi="宋体" w:hint="eastAsia"/>
                <w:szCs w:val="21"/>
              </w:rPr>
              <w:t>Y≥一年</w:t>
            </w:r>
          </w:p>
        </w:tc>
        <w:tc>
          <w:tcPr>
            <w:tcW w:w="4261" w:type="dxa"/>
          </w:tcPr>
          <w:p w14:paraId="42674EDA" w14:textId="77777777" w:rsidR="00C8223B" w:rsidRPr="00731D58" w:rsidRDefault="00C8223B" w:rsidP="00016488">
            <w:pPr>
              <w:spacing w:line="360" w:lineRule="auto"/>
              <w:rPr>
                <w:rFonts w:ascii="宋体" w:eastAsia="宋体" w:hAnsi="宋体"/>
                <w:szCs w:val="21"/>
              </w:rPr>
            </w:pPr>
            <w:r w:rsidRPr="00731D58">
              <w:rPr>
                <w:rFonts w:ascii="宋体" w:eastAsia="宋体" w:hAnsi="宋体" w:hint="eastAsia"/>
                <w:szCs w:val="21"/>
              </w:rPr>
              <w:t>0%</w:t>
            </w:r>
          </w:p>
        </w:tc>
      </w:tr>
    </w:tbl>
    <w:p w14:paraId="5375778E" w14:textId="0565552C"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注：1</w:t>
      </w:r>
      <w:r w:rsidR="00C74357">
        <w:rPr>
          <w:rFonts w:ascii="宋体" w:eastAsia="宋体" w:hAnsi="宋体" w:hint="eastAsia"/>
          <w:szCs w:val="21"/>
        </w:rPr>
        <w:t>年</w:t>
      </w:r>
      <w:r w:rsidRPr="00BD090D">
        <w:rPr>
          <w:rFonts w:ascii="宋体" w:eastAsia="宋体" w:hAnsi="宋体" w:hint="eastAsia"/>
          <w:szCs w:val="21"/>
        </w:rPr>
        <w:t>为</w:t>
      </w:r>
      <w:r w:rsidR="00C74357">
        <w:rPr>
          <w:rFonts w:ascii="宋体" w:eastAsia="宋体" w:hAnsi="宋体" w:hint="eastAsia"/>
          <w:szCs w:val="21"/>
        </w:rPr>
        <w:t>3</w:t>
      </w:r>
      <w:r w:rsidR="00C74357">
        <w:rPr>
          <w:rFonts w:ascii="宋体" w:eastAsia="宋体" w:hAnsi="宋体"/>
          <w:szCs w:val="21"/>
        </w:rPr>
        <w:t>65</w:t>
      </w:r>
      <w:r w:rsidR="00C74357">
        <w:rPr>
          <w:rFonts w:ascii="宋体" w:eastAsia="宋体" w:hAnsi="宋体" w:hint="eastAsia"/>
          <w:szCs w:val="21"/>
        </w:rPr>
        <w:t>天</w:t>
      </w:r>
    </w:p>
    <w:p w14:paraId="5C7872F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本基金的赎回费用由基金份额持有人承担，其中持有期小于7日的赎回费全额计入基金财产，其余情况的赎回费25%计入基金财产。</w:t>
      </w:r>
    </w:p>
    <w:p w14:paraId="13DFCC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七、申购份额与赎回金额的计算方式</w:t>
      </w:r>
    </w:p>
    <w:p w14:paraId="0BAF18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1.申购金额的计算方式：</w:t>
      </w:r>
    </w:p>
    <w:p w14:paraId="574D7E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1）申购费用适用比例费率的情形下：</w:t>
      </w:r>
    </w:p>
    <w:p w14:paraId="5304D8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净申购金额=申购金额/（1+申购费率）</w:t>
      </w:r>
    </w:p>
    <w:p w14:paraId="7BFC3C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申购费用=申购金额-净申购金额</w:t>
      </w:r>
    </w:p>
    <w:p w14:paraId="16B38D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申购份额=净申购金额/T日基金份额净值</w:t>
      </w:r>
    </w:p>
    <w:p w14:paraId="0143B7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2）申购费用适用固定金额的情形下：</w:t>
      </w:r>
    </w:p>
    <w:p w14:paraId="1DDDCD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申购费用=固定金额</w:t>
      </w:r>
    </w:p>
    <w:p w14:paraId="612F6CC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净申购金额=申购金额-固定金额</w:t>
      </w:r>
    </w:p>
    <w:p w14:paraId="736CFD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申购份额=净申购金额/T日基金份额净值</w:t>
      </w:r>
    </w:p>
    <w:p w14:paraId="373E3D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上述计算结果均按四舍五入方法，保留到小数点后2位，由此产生的收益或损失由基金财产承担。</w:t>
      </w:r>
    </w:p>
    <w:p w14:paraId="69C853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例3：假定T日基金份额净值为1.0560元，某投资人本次申购本基金40万元，对应的本次申购费率为0.80%，该投资人可得到的基金份额为：</w:t>
      </w:r>
    </w:p>
    <w:p w14:paraId="454760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净申购金额=400,000/（1+0.80%）＝396,825.40元</w:t>
      </w:r>
    </w:p>
    <w:p w14:paraId="5E47D5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申购费用=400,000-396,825.40＝3,174.60元</w:t>
      </w:r>
    </w:p>
    <w:p w14:paraId="04E4DE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申购份额=396,825.40/1.0560＝375,781.63份</w:t>
      </w:r>
    </w:p>
    <w:p w14:paraId="5B2FEC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即：投资人投资40万元申购本基金，对应的申购费率为0.80%，假定申购当日基金份额净值为1.0560元，可得到375,781.63份基金份额。</w:t>
      </w:r>
    </w:p>
    <w:p w14:paraId="58902EB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例4：假定T日基金份额净值为1.0560元，某投资人投资600万元申购本基金，对应的申购费用为1000元，则其可得到的申购份额为：</w:t>
      </w:r>
    </w:p>
    <w:p w14:paraId="2E5CB18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申购费用＝1000元</w:t>
      </w:r>
    </w:p>
    <w:p w14:paraId="3513E88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净申购金额＝6,000,000－1000＝5,999,000.00元</w:t>
      </w:r>
    </w:p>
    <w:p w14:paraId="57CC64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申购份额＝5,999,000.00/1.0560＝5,680,871.21份</w:t>
      </w:r>
    </w:p>
    <w:p w14:paraId="57338E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即：投资人投资600万元申购本基金，对应的申购费用为1000元，假定申购当日基金份额净值为1.0560元，可得到5,680,871.21份基金份额。</w:t>
      </w:r>
    </w:p>
    <w:p w14:paraId="6FFBB1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2、赎回金额的计算方式：</w:t>
      </w:r>
    </w:p>
    <w:p w14:paraId="25D0F0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赎回总金额=赎回份额×T日基金份额净值</w:t>
      </w:r>
    </w:p>
    <w:p w14:paraId="5B9F32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赎回费用=赎回总金额×赎回费率</w:t>
      </w:r>
    </w:p>
    <w:p w14:paraId="05520C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净赎回金额=赎回总金额—赎回费用</w:t>
      </w:r>
    </w:p>
    <w:p w14:paraId="37C4C9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上述计算结果均按四舍五入方法，保留到小数点后2位，由此产生的收益或损失由基金财产承担。</w:t>
      </w:r>
    </w:p>
    <w:p w14:paraId="137D16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例5：某投资者赎回本基金1万份基金份额，持有时间为三年，对应的赎回费率为0%，假设赎回当日基金份额净值是1.2500 元，则其可得到的赎回金额为：</w:t>
      </w:r>
    </w:p>
    <w:p w14:paraId="40CBA2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赎回总金额=10,000×1.2500=12,500.00 元</w:t>
      </w:r>
    </w:p>
    <w:p w14:paraId="5F1FBE9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赎回费用=12,500×0%=0.00 元</w:t>
      </w:r>
    </w:p>
    <w:p w14:paraId="5FDEAE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净赎回金额=12,500.00-0.00=12,500.00 元</w:t>
      </w:r>
    </w:p>
    <w:p w14:paraId="7CCBA9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即：投资者赎回本基金1万份基金份额，持有时间为三年，对应的赎回费率为0%，假设赎回当日基金份额净值是1.2500元，则其可得到的赎回金额为12,500.00元。</w:t>
      </w:r>
    </w:p>
    <w:p w14:paraId="2C3BB1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份额净值的计算，保留到小数点后4位，小数点后第5位四舍五入，由此产生的收益或损失由基金财产承担。基金合同生效后，在封闭期内，基金管理人应当至少每周公告一次基金份额净值和基金份额累计净值。在开放期内，T日的基金份额净值和基金份额累计净值在当天收市后计算，并在T+1日内公告。遇特殊情况，经中国证监会同意，可以适当延迟计算或公告。</w:t>
      </w:r>
    </w:p>
    <w:p w14:paraId="092375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4、基金管理人可以在基金合同约定的范围内调整费率或收费方式，并最迟应于新的费率或收费方式实施日前依照《信息披露办法》的有关规定在规定媒介上公告。</w:t>
      </w:r>
    </w:p>
    <w:p w14:paraId="305ADB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w:t>
      </w:r>
    </w:p>
    <w:p w14:paraId="2890D4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6、当本基金发生大额申购或赎回情形时，基金管理人可以对本基金采用摆动定价机制，以确保基金估值的公平性。具体处理原则与操作规范遵循相关法律法规以及监管部门、自律规则的规定。</w:t>
      </w:r>
    </w:p>
    <w:p w14:paraId="573857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八、申购与赎回的登记</w:t>
      </w:r>
    </w:p>
    <w:p w14:paraId="278D67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1、经基金销售机构同意，基金投资者提出的申购和赎回申请，在基金管理人规定的时间之前可以撤销。</w:t>
      </w:r>
    </w:p>
    <w:p w14:paraId="76C6C3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2、投资者申购基金成功后，登记机构在T+1日为投资者登记权益并办理登记手续，投资人自T+2日（含该日）后有权赎回该部分基金份额。</w:t>
      </w:r>
    </w:p>
    <w:p w14:paraId="42422B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3、投资人赎回基金成功后，登记机构在T+1日为投资者办理扣除权益的登记手续。</w:t>
      </w:r>
    </w:p>
    <w:p w14:paraId="7F98BB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4、基金管理人可以在法律法规允许的范围内，对上述登记办理时间进行调整，但不得实质影响投资者的合法权益，并最迟于开始实施前依照《信息披露办法》的有关规定进行公告。</w:t>
      </w:r>
    </w:p>
    <w:p w14:paraId="216133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九、拒绝或暂停申购的情形及处理</w:t>
      </w:r>
    </w:p>
    <w:p w14:paraId="28F6E1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在开放期内发生下列情况时，基金管理人可拒绝或暂停接受投资人的申购申请： </w:t>
      </w:r>
    </w:p>
    <w:p w14:paraId="22303D1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1、因不可抗力导致基金无法正常运作。 </w:t>
      </w:r>
    </w:p>
    <w:p w14:paraId="2FA598A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2、发生基金合同规定的暂停基金资产估值情况时。 </w:t>
      </w:r>
    </w:p>
    <w:p w14:paraId="7EDE99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3、证券交易所交易时间非正常停市，导致基金管理人无法计算当日基金资产净值。 </w:t>
      </w:r>
    </w:p>
    <w:p w14:paraId="3CBD85D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4、接受某笔或某些申购申请可能会影响或损害现有基金份额持有人利益时。 </w:t>
      </w:r>
    </w:p>
    <w:p w14:paraId="4DC34A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5、基金资产规模过大，使基金管理人无法找到合适的投资品种，或其他可能对基金业绩产生负面影响，或发生其他损害现有基金份额持有人利益的情形。 </w:t>
      </w:r>
    </w:p>
    <w:p w14:paraId="580A93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6、基金管理人、基金托管人、基金销售机构或登记机构的技术保障等异常情况发生导致基金销售系统或基金登记系统或基金会计系统无法正常运行。</w:t>
      </w:r>
    </w:p>
    <w:p w14:paraId="28D440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7、个人投资者申购。</w:t>
      </w:r>
    </w:p>
    <w:p w14:paraId="71B143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当一笔新的申购申请被确认成功，使本基金总规模超过基金管理人规定的本基金总规模上限时；或使本基金单日申购金额或净申购比例超过基金管理人规定的当日申购金额或净申购比例上限时；或该投资人累计持有的份额超过单个投资人累计持有的份额上限时；或该投资人当日申购金额超过单个投资人单日或单笔申购金额上限时。</w:t>
      </w:r>
    </w:p>
    <w:p w14:paraId="386AAE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9、当特定资产占前一估值日基金资产净值50%以上的，且与基金托管人协商一致的，基金管理人应当暂停接受申购申请。</w:t>
      </w:r>
    </w:p>
    <w:p w14:paraId="6FBEC5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10、法律法规规定或中国证监会认定的其他情形。 </w:t>
      </w:r>
    </w:p>
    <w:p w14:paraId="04A7EF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发生上述第 1、2、3、5、6、9、10项暂停申购情形之一</w:t>
      </w:r>
      <w:proofErr w:type="gramStart"/>
      <w:r w:rsidRPr="00BD090D">
        <w:rPr>
          <w:rFonts w:ascii="宋体" w:eastAsia="宋体" w:hAnsi="宋体" w:hint="eastAsia"/>
          <w:szCs w:val="21"/>
        </w:rPr>
        <w:t>且基金</w:t>
      </w:r>
      <w:proofErr w:type="gramEnd"/>
      <w:r w:rsidRPr="00BD090D">
        <w:rPr>
          <w:rFonts w:ascii="宋体" w:eastAsia="宋体" w:hAnsi="宋体" w:hint="eastAsia"/>
          <w:szCs w:val="21"/>
        </w:rPr>
        <w:t>管理人决定暂停基金投资者的申购申请时，基金管理人应当根据有关规定在规定媒介上刊登暂停申购公告。如果投资人的申购申请全部或部分被拒绝的，被拒绝的申购款项将退还给投资人。在暂停申购的情</w:t>
      </w:r>
      <w:r w:rsidRPr="00BD090D">
        <w:rPr>
          <w:rFonts w:ascii="宋体" w:eastAsia="宋体" w:hAnsi="宋体" w:hint="eastAsia"/>
          <w:szCs w:val="21"/>
        </w:rPr>
        <w:lastRenderedPageBreak/>
        <w:t>况消除时，基金管理人应及时恢复申购业务的办理，</w:t>
      </w:r>
      <w:proofErr w:type="gramStart"/>
      <w:r w:rsidRPr="00BD090D">
        <w:rPr>
          <w:rFonts w:ascii="宋体" w:eastAsia="宋体" w:hAnsi="宋体" w:hint="eastAsia"/>
          <w:szCs w:val="21"/>
        </w:rPr>
        <w:t>且开放</w:t>
      </w:r>
      <w:proofErr w:type="gramEnd"/>
      <w:r w:rsidRPr="00BD090D">
        <w:rPr>
          <w:rFonts w:ascii="宋体" w:eastAsia="宋体" w:hAnsi="宋体" w:hint="eastAsia"/>
          <w:szCs w:val="21"/>
        </w:rPr>
        <w:t xml:space="preserve">期按暂停申购的期间相应顺延，具体时间以基金管理人届时的公告为准。 </w:t>
      </w:r>
    </w:p>
    <w:p w14:paraId="399A63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十、暂停赎回或延缓支付赎回款项的情形  </w:t>
      </w:r>
    </w:p>
    <w:p w14:paraId="72DC73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在开放期内发生下列情形时，基金管理人可暂停接受投资人的赎回申请或延缓支付赎回款项：</w:t>
      </w:r>
    </w:p>
    <w:p w14:paraId="0E478C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1、因不可抗力导致基金管理人不能支付赎回款项。</w:t>
      </w:r>
    </w:p>
    <w:p w14:paraId="69D4C2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2、发生基金合同规定的暂停基金资产估值情况时。</w:t>
      </w:r>
    </w:p>
    <w:p w14:paraId="2236013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3、证券交易所交易时间非正常停市，导致基金管理人无法计算当日基金资产净值。</w:t>
      </w:r>
    </w:p>
    <w:p w14:paraId="0CDA54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4、基金管理人继续接受赎回申请将损害现有基金份额持有人利益的情形时。</w:t>
      </w:r>
    </w:p>
    <w:p w14:paraId="2ED96C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5、当特定资产占前一估值日基金资产净值50%以上的，且与基金托管人协商一致，基金管理人应当延缓支付赎回款项或暂停接受基金赎回申请。</w:t>
      </w:r>
    </w:p>
    <w:p w14:paraId="6626F1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6、法律法规规定或中国证监会认定的其他情形。</w:t>
      </w:r>
    </w:p>
    <w:p w14:paraId="7F1C2F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发生上述情形之一</w:t>
      </w:r>
      <w:proofErr w:type="gramStart"/>
      <w:r w:rsidRPr="00BD090D">
        <w:rPr>
          <w:rFonts w:ascii="宋体" w:eastAsia="宋体" w:hAnsi="宋体" w:hint="eastAsia"/>
          <w:szCs w:val="21"/>
        </w:rPr>
        <w:t>且基金</w:t>
      </w:r>
      <w:proofErr w:type="gramEnd"/>
      <w:r w:rsidRPr="00BD090D">
        <w:rPr>
          <w:rFonts w:ascii="宋体" w:eastAsia="宋体" w:hAnsi="宋体" w:hint="eastAsia"/>
          <w:szCs w:val="21"/>
        </w:rPr>
        <w:t>管理人决定拒绝接受或暂停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在暂停赎回的情况消除时，基金管理人应及时恢复赎回业务的办理并公告，</w:t>
      </w:r>
      <w:proofErr w:type="gramStart"/>
      <w:r w:rsidRPr="00BD090D">
        <w:rPr>
          <w:rFonts w:ascii="宋体" w:eastAsia="宋体" w:hAnsi="宋体" w:hint="eastAsia"/>
          <w:szCs w:val="21"/>
        </w:rPr>
        <w:t>且开放</w:t>
      </w:r>
      <w:proofErr w:type="gramEnd"/>
      <w:r w:rsidRPr="00BD090D">
        <w:rPr>
          <w:rFonts w:ascii="宋体" w:eastAsia="宋体" w:hAnsi="宋体" w:hint="eastAsia"/>
          <w:szCs w:val="21"/>
        </w:rPr>
        <w:t>期按暂停赎回的期间相应顺延，具体时间以基金管理人届时的公告为准。</w:t>
      </w:r>
    </w:p>
    <w:p w14:paraId="776833B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十一、巨额赎回的情形及处理方式</w:t>
      </w:r>
    </w:p>
    <w:p w14:paraId="739628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1、巨额赎回的认定</w:t>
      </w:r>
    </w:p>
    <w:p w14:paraId="62A3BC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若本基金开放期单个开放日内的基金份额净赎回申请(赎回申请份额总数加上基金转换中转出申请份额总数后扣除申购申请份额总数及基金转换中转入申请份额总数后的余额)超过前一工作日的基金总份额的20%，即认为是发生了巨额赎回。</w:t>
      </w:r>
    </w:p>
    <w:p w14:paraId="3E95C95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2、巨额赎回的处理方式</w:t>
      </w:r>
    </w:p>
    <w:p w14:paraId="135903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当基金出现巨额赎回时，基金管理人可以根据基金当时的资产组合状况决定全额赎回或部分延缓支付赎回款项。</w:t>
      </w:r>
    </w:p>
    <w:p w14:paraId="58FAD9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（1）全额赎回：当基金管理人有能力支付投资人的全部赎回申请时，按正常赎回程序执行。</w:t>
      </w:r>
    </w:p>
    <w:p w14:paraId="2A730B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（2）延缓支付赎回款项：</w:t>
      </w:r>
    </w:p>
    <w:p w14:paraId="1A969B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在开放期内，当基金出现巨额赎回时，在单个基金份额持有人赎回申请超过前一估值日</w:t>
      </w:r>
      <w:r w:rsidRPr="00BD090D">
        <w:rPr>
          <w:rFonts w:ascii="宋体" w:eastAsia="宋体" w:hAnsi="宋体" w:hint="eastAsia"/>
          <w:szCs w:val="21"/>
        </w:rPr>
        <w:lastRenderedPageBreak/>
        <w:t>基金总份额20% 的情形下，基金管理人可以根据第（1）项办理，亦可在对符合法律法规及基金合同约定的赎回申请全部接受和确认，当日按比例办理的赎回份额不得低于前一日基金总份额的20%，其余赎回申请采取延缓支付赎回款项的措施。</w:t>
      </w:r>
    </w:p>
    <w:p w14:paraId="1EDBDD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对于已接受的赎回申请，如基金管理人认为全额支付投资人的赎回款项有困难或认为全额支付投资人的赎回款项可能会对基金的资产净值造成较大波动的，基金管理人可以对赎回款项进行延缓支付，但不得超过20个工作日。延缓支付的赎回申请以赎回申请当日的基金份额净值为基础计算赎回金额。</w:t>
      </w:r>
    </w:p>
    <w:p w14:paraId="73D500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（3）延期办理：在开放期内，当基金出现巨额赎回时，在单个基金份额持有人赎回申请超过前一估值日基金总份额50%的情形下， 基金管理人可对该单个基金份额持有人超出该比例的赎回申请实施延期办理，对于此类持有人剩余部分赎回申请以及其他持有人的赎回申请，应当按上述第（1）、（2）项规则办理。对于上述持有人被延期办理的部分，如投资人在提交赎回申请时选择取消赎回的，当日未获办理部分将被撤销；如投资人在提交赎回申请时选择延期赎回或未作明确选择的，将自动转入下一个开放日继续赎回直至办理完毕，因此导致延期办理期限超过开放期的，开放期可以相应延长并公告，但延长的开放期最长不可超过20个工作日，延长的开放期内不办理申购亦不接受新的赎回申请，即基金管理人仅为</w:t>
      </w:r>
      <w:proofErr w:type="gramStart"/>
      <w:r w:rsidRPr="00BD090D">
        <w:rPr>
          <w:rFonts w:ascii="宋体" w:eastAsia="宋体" w:hAnsi="宋体" w:hint="eastAsia"/>
          <w:szCs w:val="21"/>
        </w:rPr>
        <w:t>原开放</w:t>
      </w:r>
      <w:proofErr w:type="gramEnd"/>
      <w:r w:rsidRPr="00BD090D">
        <w:rPr>
          <w:rFonts w:ascii="宋体" w:eastAsia="宋体" w:hAnsi="宋体" w:hint="eastAsia"/>
          <w:szCs w:val="21"/>
        </w:rPr>
        <w:t>期内因提交赎回申请超过基金总份额50%以上而被延期办理赎回的单个基金份额持有人办理赎回业务。延期的赎回申请与下一开放日赎回申请一并处理，无优先权</w:t>
      </w:r>
      <w:proofErr w:type="gramStart"/>
      <w:r w:rsidRPr="00BD090D">
        <w:rPr>
          <w:rFonts w:ascii="宋体" w:eastAsia="宋体" w:hAnsi="宋体" w:hint="eastAsia"/>
          <w:szCs w:val="21"/>
        </w:rPr>
        <w:t>并以下</w:t>
      </w:r>
      <w:proofErr w:type="gramEnd"/>
      <w:r w:rsidRPr="00BD090D">
        <w:rPr>
          <w:rFonts w:ascii="宋体" w:eastAsia="宋体" w:hAnsi="宋体" w:hint="eastAsia"/>
          <w:szCs w:val="21"/>
        </w:rPr>
        <w:t>一开放日基金份额净值为基础计算赎回金额，以此类推。部分延期赎回不受单笔赎回最低份额的限制。</w:t>
      </w:r>
    </w:p>
    <w:p w14:paraId="4D8CC4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3、巨额赎回的公告</w:t>
      </w:r>
    </w:p>
    <w:p w14:paraId="2C58E2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当发生上述巨额赎回并延缓支付赎回款项时，基金管理人应当通过邮寄、传真或者招募说明书规定的其他方式在3个交易日内通知基金份额持有人，说明有关处理方法，并在2日内在规定媒介上刊登公告。</w:t>
      </w:r>
    </w:p>
    <w:p w14:paraId="68EB36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十二、暂停申购或赎回的公告和重新开放申购或赎回的公告</w:t>
      </w:r>
    </w:p>
    <w:p w14:paraId="22982E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1、发生上述暂停申购或赎回情况的，基金管理人应在规定期限内在规定媒介上刊登暂停公告。</w:t>
      </w:r>
    </w:p>
    <w:p w14:paraId="4348C3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2、如发生暂停的时间为1日，基金管理人应于重新开放日，在规定媒介上刊登基金重新开放申购或赎回公告，并公布最近1个开放日的基金份额净值。</w:t>
      </w:r>
    </w:p>
    <w:p w14:paraId="598F017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3、如发生暂停的时间超过1日，暂停结束，基金重新开放申购或赎回时，基金管理人应根据《信息披露办法》的规定在规定媒介上刊登基金重新开放申购或赎回公告，并公告最</w:t>
      </w:r>
      <w:r w:rsidRPr="00BD090D">
        <w:rPr>
          <w:rFonts w:ascii="宋体" w:eastAsia="宋体" w:hAnsi="宋体" w:hint="eastAsia"/>
          <w:szCs w:val="21"/>
        </w:rPr>
        <w:lastRenderedPageBreak/>
        <w:t>近1个工作日的基金份额净值。</w:t>
      </w:r>
    </w:p>
    <w:p w14:paraId="5E3879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十三、基金转换</w:t>
      </w:r>
    </w:p>
    <w:p w14:paraId="3795C38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77ACF7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十四、基金份额的转让</w:t>
      </w:r>
    </w:p>
    <w:p w14:paraId="0D769F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ADCD6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十五、基金的</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w:t>
      </w:r>
    </w:p>
    <w:p w14:paraId="2527AA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基金的</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过户是指基金登记机构受理继承、捐赠和司法强制执行等情形而产生的</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过户以及登记机构认可、符合法律法规的其它</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过户。无论在上述何种情况下，接受划转的主体必须是依法可以持有本</w:t>
      </w:r>
      <w:proofErr w:type="gramStart"/>
      <w:r w:rsidRPr="00BD090D">
        <w:rPr>
          <w:rFonts w:ascii="宋体" w:eastAsia="宋体" w:hAnsi="宋体" w:hint="eastAsia"/>
          <w:szCs w:val="21"/>
        </w:rPr>
        <w:t>基金基金</w:t>
      </w:r>
      <w:proofErr w:type="gramEnd"/>
      <w:r w:rsidRPr="00BD090D">
        <w:rPr>
          <w:rFonts w:ascii="宋体" w:eastAsia="宋体" w:hAnsi="宋体" w:hint="eastAsia"/>
          <w:szCs w:val="21"/>
        </w:rPr>
        <w:t>份额的投资人。</w:t>
      </w:r>
    </w:p>
    <w:p w14:paraId="7DB7F75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继承是指基金份额持有人死亡，其持有的基金份额由其合法的继承人继承；</w:t>
      </w:r>
      <w:proofErr w:type="gramStart"/>
      <w:r w:rsidRPr="00BD090D">
        <w:rPr>
          <w:rFonts w:ascii="宋体" w:eastAsia="宋体" w:hAnsi="宋体" w:hint="eastAsia"/>
          <w:szCs w:val="21"/>
        </w:rPr>
        <w:t>捐赠指</w:t>
      </w:r>
      <w:proofErr w:type="gramEnd"/>
      <w:r w:rsidRPr="00BD090D">
        <w:rPr>
          <w:rFonts w:ascii="宋体" w:eastAsia="宋体" w:hAnsi="宋体" w:hint="eastAsia"/>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过户必须提供基金登记机构要求提供的相关资料，对于符合条件的</w:t>
      </w:r>
      <w:proofErr w:type="gramStart"/>
      <w:r w:rsidRPr="00BD090D">
        <w:rPr>
          <w:rFonts w:ascii="宋体" w:eastAsia="宋体" w:hAnsi="宋体" w:hint="eastAsia"/>
          <w:szCs w:val="21"/>
        </w:rPr>
        <w:t>非交易过户申请按</w:t>
      </w:r>
      <w:proofErr w:type="gramEnd"/>
      <w:r w:rsidRPr="00BD090D">
        <w:rPr>
          <w:rFonts w:ascii="宋体" w:eastAsia="宋体" w:hAnsi="宋体" w:hint="eastAsia"/>
          <w:szCs w:val="21"/>
        </w:rPr>
        <w:t>基金登记机构的规定办理，并按基金登记机构规定的标准收费。</w:t>
      </w:r>
    </w:p>
    <w:p w14:paraId="15993F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十六、基金的转托管</w:t>
      </w:r>
    </w:p>
    <w:p w14:paraId="332D36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基金份额持有人可办理已持有基金份额在不同销售机构之间的转托管，基金销售机构可以按照规定的标准收取转托管费。</w:t>
      </w:r>
    </w:p>
    <w:p w14:paraId="689E22F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十七、定期定额投资计划</w:t>
      </w:r>
    </w:p>
    <w:p w14:paraId="15B002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4C4A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十八、基金份额的冻结和解冻</w:t>
      </w:r>
    </w:p>
    <w:p w14:paraId="35C1A2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基金登记机构只受理国家有权机关依法要求的基金份额的冻结与解冻，以及登记机构认可、符合法律法规的其他情况下的冻结与解冻。</w:t>
      </w:r>
    </w:p>
    <w:p w14:paraId="6086B0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十九、实施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期间本基金的申购与赎回</w:t>
      </w:r>
    </w:p>
    <w:p w14:paraId="2A34BD6F" w14:textId="71466763" w:rsid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的，本基金的申购与赎回安排详见招募说明书“侧袋机制”部分的规定。</w:t>
      </w:r>
    </w:p>
    <w:p w14:paraId="34F9449D" w14:textId="6ECBBA5E" w:rsidR="003D56BB" w:rsidRDefault="003D56BB" w:rsidP="00BD090D">
      <w:pPr>
        <w:spacing w:line="360" w:lineRule="auto"/>
        <w:ind w:firstLineChars="200" w:firstLine="420"/>
        <w:rPr>
          <w:rFonts w:ascii="宋体" w:eastAsia="宋体" w:hAnsi="宋体"/>
          <w:szCs w:val="21"/>
        </w:rPr>
      </w:pPr>
    </w:p>
    <w:p w14:paraId="18B9A4C2" w14:textId="7983E3C8" w:rsidR="003D56BB" w:rsidRDefault="003D56BB" w:rsidP="00BD090D">
      <w:pPr>
        <w:spacing w:line="360" w:lineRule="auto"/>
        <w:ind w:firstLineChars="200" w:firstLine="420"/>
        <w:rPr>
          <w:rFonts w:ascii="宋体" w:eastAsia="宋体" w:hAnsi="宋体"/>
          <w:szCs w:val="21"/>
        </w:rPr>
      </w:pPr>
    </w:p>
    <w:p w14:paraId="53C665BE" w14:textId="77777777" w:rsidR="003D56BB" w:rsidRPr="00BD090D" w:rsidRDefault="003D56BB" w:rsidP="00BD090D">
      <w:pPr>
        <w:spacing w:line="360" w:lineRule="auto"/>
        <w:ind w:firstLineChars="200" w:firstLine="420"/>
        <w:rPr>
          <w:rFonts w:ascii="宋体" w:eastAsia="宋体" w:hAnsi="宋体"/>
          <w:szCs w:val="21"/>
        </w:rPr>
      </w:pPr>
    </w:p>
    <w:p w14:paraId="445403F8"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9" w:name="_Toc121901718"/>
      <w:r w:rsidRPr="00BD090D">
        <w:rPr>
          <w:rFonts w:ascii="Arial Unicode MS" w:eastAsia="宋体" w:hAnsi="Arial Unicode MS" w:cs="Arial" w:hint="eastAsia"/>
          <w:kern w:val="0"/>
          <w:sz w:val="28"/>
          <w:szCs w:val="28"/>
        </w:rPr>
        <w:t>第十部分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基金的投资</w:t>
      </w:r>
      <w:bookmarkEnd w:id="9"/>
    </w:p>
    <w:p w14:paraId="66292738" w14:textId="77777777" w:rsidR="00BD090D" w:rsidRPr="00BD090D" w:rsidRDefault="00BD090D" w:rsidP="00BD090D">
      <w:pPr>
        <w:spacing w:line="360" w:lineRule="auto"/>
        <w:ind w:firstLineChars="200" w:firstLine="420"/>
        <w:rPr>
          <w:rFonts w:ascii="宋体" w:eastAsia="宋体" w:hAnsi="宋体"/>
          <w:szCs w:val="21"/>
        </w:rPr>
      </w:pPr>
    </w:p>
    <w:p w14:paraId="53D27F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一、投资目标</w:t>
      </w:r>
    </w:p>
    <w:p w14:paraId="4D69FB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本基金在追求基金资产长期稳健增值的基础上，力争为基金份额持有人创造超越业绩比较基准的稳定收益。</w:t>
      </w:r>
    </w:p>
    <w:p w14:paraId="75E5DB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二、投资范围</w:t>
      </w:r>
    </w:p>
    <w:p w14:paraId="0E236D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本基金的投资范围主要为具有较好流动性的金融工具，包括国债、央行票据、地方政府债、金融债、企业债、公司债、短期融资</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、超短期融资</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、中期票据、公开发行的次级债、同业存单、资产支持证券、可分离交易可转债</w:t>
      </w:r>
      <w:proofErr w:type="gramStart"/>
      <w:r w:rsidRPr="00BD090D">
        <w:rPr>
          <w:rFonts w:ascii="宋体" w:eastAsia="宋体" w:hAnsi="宋体" w:hint="eastAsia"/>
          <w:szCs w:val="21"/>
        </w:rPr>
        <w:t>的纯债部分</w:t>
      </w:r>
      <w:proofErr w:type="gramEnd"/>
      <w:r w:rsidRPr="00BD090D">
        <w:rPr>
          <w:rFonts w:ascii="宋体" w:eastAsia="宋体" w:hAnsi="宋体" w:hint="eastAsia"/>
          <w:szCs w:val="21"/>
        </w:rPr>
        <w:t>、银行存款、债券回购、货币市场工具，以及法律法规或中国证监会允许基金投资的其他金融工具。</w:t>
      </w:r>
    </w:p>
    <w:p w14:paraId="002645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本基金不投资股票。</w:t>
      </w:r>
    </w:p>
    <w:p w14:paraId="5731D2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如法律法规或监管机构以后允许基金投资其他品种，基金管理人在履行适当程序后，可以将其纳入投资范围，其投资比例遵循届时有效法律法规或相关规定。</w:t>
      </w:r>
    </w:p>
    <w:p w14:paraId="2D7055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投资组合资产配置比例：本基金投资于债券的比例不低于基金资产的80%。但应开放期流动性需要，为保护基金份额持有人利益，在每次开放期前一个月、开放期及开放期结束后一个月的期间内，基金投资不受上述比例限制。</w:t>
      </w:r>
    </w:p>
    <w:p w14:paraId="4984F22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开放期内，本基金持有现金或者到期日在一年以内的政府债券的比例不低于基金资产净值的5%，其中现金不包括结算备付金、存出保证金、应收申购款等，在封闭期内，本基金不受上述5%的限制。</w:t>
      </w:r>
    </w:p>
    <w:p w14:paraId="0C4B1F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如果法律法规或中国证监会变更投资品种的投资比例限制，基金管理人在履行适当程序后，可以调整上述投资品种的投资比例。</w:t>
      </w:r>
    </w:p>
    <w:p w14:paraId="3912E6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三、投资策略</w:t>
      </w:r>
    </w:p>
    <w:p w14:paraId="252C84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本基金在封闭期与开放期采取不同的投资策略。</w:t>
      </w:r>
    </w:p>
    <w:p w14:paraId="37D13C8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（一）封闭期投资策略 </w:t>
      </w:r>
    </w:p>
    <w:p w14:paraId="710B23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 xml:space="preserve">1、资产配置策略 </w:t>
      </w:r>
    </w:p>
    <w:p w14:paraId="5367D63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将在基金合同约定的投资范围内，通过对宏观经济运行状况、国家货币政策和财政政策、国家产业政策及资本市场资金环境的研究，把握大类资产的预期收益率、利差水平、风险水平，在有效控制风险的基础上，对债券和货币市场工具等大类资产之间的配置比例进行定期或不定期的调整，以达到控制风险、增加收益的目的。 </w:t>
      </w:r>
    </w:p>
    <w:p w14:paraId="5190F4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2、利率预期策略</w:t>
      </w:r>
    </w:p>
    <w:p w14:paraId="40FE2FF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将通过对宏观经济以及货币政策等因素的深入研究，判断利率变化的方向和时间，利用情景分析模拟利率变化的各种情形，并在考虑封闭剩余期限的基础上，最终结合组合风险承受能力确定债券组合的目标久期。 </w:t>
      </w:r>
    </w:p>
    <w:p w14:paraId="728341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3、信用债券投资策略 </w:t>
      </w:r>
    </w:p>
    <w:p w14:paraId="307A16C8" w14:textId="77777777" w:rsidR="008426D5" w:rsidRDefault="008426D5" w:rsidP="00BD090D">
      <w:pPr>
        <w:spacing w:line="360" w:lineRule="auto"/>
        <w:ind w:firstLineChars="200" w:firstLine="420"/>
        <w:rPr>
          <w:rFonts w:ascii="宋体" w:eastAsia="宋体" w:hAnsi="宋体"/>
          <w:szCs w:val="21"/>
        </w:rPr>
      </w:pPr>
      <w:r w:rsidRPr="008426D5">
        <w:rPr>
          <w:rFonts w:ascii="宋体" w:eastAsia="宋体" w:hAnsi="宋体" w:hint="eastAsia"/>
          <w:szCs w:val="21"/>
        </w:rPr>
        <w:t>在信用债投资方面，本基金投资于主体评级不低于AA的短期融资</w:t>
      </w:r>
      <w:proofErr w:type="gramStart"/>
      <w:r w:rsidRPr="008426D5">
        <w:rPr>
          <w:rFonts w:ascii="宋体" w:eastAsia="宋体" w:hAnsi="宋体" w:hint="eastAsia"/>
          <w:szCs w:val="21"/>
        </w:rPr>
        <w:t>券</w:t>
      </w:r>
      <w:proofErr w:type="gramEnd"/>
      <w:r w:rsidRPr="008426D5">
        <w:rPr>
          <w:rFonts w:ascii="宋体" w:eastAsia="宋体" w:hAnsi="宋体" w:hint="eastAsia"/>
          <w:szCs w:val="21"/>
        </w:rPr>
        <w:t>、超短期融资</w:t>
      </w:r>
      <w:proofErr w:type="gramStart"/>
      <w:r w:rsidRPr="008426D5">
        <w:rPr>
          <w:rFonts w:ascii="宋体" w:eastAsia="宋体" w:hAnsi="宋体" w:hint="eastAsia"/>
          <w:szCs w:val="21"/>
        </w:rPr>
        <w:t>券</w:t>
      </w:r>
      <w:proofErr w:type="gramEnd"/>
      <w:r w:rsidRPr="008426D5">
        <w:rPr>
          <w:rFonts w:ascii="宋体" w:eastAsia="宋体" w:hAnsi="宋体" w:hint="eastAsia"/>
          <w:szCs w:val="21"/>
        </w:rPr>
        <w:t>，</w:t>
      </w:r>
      <w:proofErr w:type="gramStart"/>
      <w:r w:rsidRPr="008426D5">
        <w:rPr>
          <w:rFonts w:ascii="宋体" w:eastAsia="宋体" w:hAnsi="宋体" w:hint="eastAsia"/>
          <w:szCs w:val="21"/>
        </w:rPr>
        <w:t>投资于债项</w:t>
      </w:r>
      <w:proofErr w:type="gramEnd"/>
      <w:r w:rsidRPr="008426D5">
        <w:rPr>
          <w:rFonts w:ascii="宋体" w:eastAsia="宋体" w:hAnsi="宋体" w:hint="eastAsia"/>
          <w:szCs w:val="21"/>
        </w:rPr>
        <w:t>评级不低于AA的信用债（短期融资</w:t>
      </w:r>
      <w:proofErr w:type="gramStart"/>
      <w:r w:rsidRPr="008426D5">
        <w:rPr>
          <w:rFonts w:ascii="宋体" w:eastAsia="宋体" w:hAnsi="宋体" w:hint="eastAsia"/>
          <w:szCs w:val="21"/>
        </w:rPr>
        <w:t>券</w:t>
      </w:r>
      <w:proofErr w:type="gramEnd"/>
      <w:r w:rsidRPr="008426D5">
        <w:rPr>
          <w:rFonts w:ascii="宋体" w:eastAsia="宋体" w:hAnsi="宋体" w:hint="eastAsia"/>
          <w:szCs w:val="21"/>
        </w:rPr>
        <w:t>、超短期融资</w:t>
      </w:r>
      <w:proofErr w:type="gramStart"/>
      <w:r w:rsidRPr="008426D5">
        <w:rPr>
          <w:rFonts w:ascii="宋体" w:eastAsia="宋体" w:hAnsi="宋体" w:hint="eastAsia"/>
          <w:szCs w:val="21"/>
        </w:rPr>
        <w:t>券</w:t>
      </w:r>
      <w:proofErr w:type="gramEnd"/>
      <w:r w:rsidRPr="008426D5">
        <w:rPr>
          <w:rFonts w:ascii="宋体" w:eastAsia="宋体" w:hAnsi="宋体" w:hint="eastAsia"/>
          <w:szCs w:val="21"/>
        </w:rPr>
        <w:t>除外）。本基金持有的全部信用债中，</w:t>
      </w:r>
      <w:proofErr w:type="gramStart"/>
      <w:r w:rsidRPr="008426D5">
        <w:rPr>
          <w:rFonts w:ascii="宋体" w:eastAsia="宋体" w:hAnsi="宋体" w:hint="eastAsia"/>
          <w:szCs w:val="21"/>
        </w:rPr>
        <w:t>投资于债项</w:t>
      </w:r>
      <w:proofErr w:type="gramEnd"/>
      <w:r w:rsidRPr="008426D5">
        <w:rPr>
          <w:rFonts w:ascii="宋体" w:eastAsia="宋体" w:hAnsi="宋体" w:hint="eastAsia"/>
          <w:szCs w:val="21"/>
        </w:rPr>
        <w:t>评级AA信用债的比例不超过20%，</w:t>
      </w:r>
      <w:proofErr w:type="gramStart"/>
      <w:r w:rsidRPr="008426D5">
        <w:rPr>
          <w:rFonts w:ascii="宋体" w:eastAsia="宋体" w:hAnsi="宋体" w:hint="eastAsia"/>
          <w:szCs w:val="21"/>
        </w:rPr>
        <w:t>投资于债项</w:t>
      </w:r>
      <w:proofErr w:type="gramEnd"/>
      <w:r w:rsidRPr="008426D5">
        <w:rPr>
          <w:rFonts w:ascii="宋体" w:eastAsia="宋体" w:hAnsi="宋体" w:hint="eastAsia"/>
          <w:szCs w:val="21"/>
        </w:rPr>
        <w:t>评级AA+信用债的比例不超过50%，</w:t>
      </w:r>
      <w:proofErr w:type="gramStart"/>
      <w:r w:rsidRPr="008426D5">
        <w:rPr>
          <w:rFonts w:ascii="宋体" w:eastAsia="宋体" w:hAnsi="宋体" w:hint="eastAsia"/>
          <w:szCs w:val="21"/>
        </w:rPr>
        <w:t>投资于债项</w:t>
      </w:r>
      <w:proofErr w:type="gramEnd"/>
      <w:r w:rsidRPr="008426D5">
        <w:rPr>
          <w:rFonts w:ascii="宋体" w:eastAsia="宋体" w:hAnsi="宋体" w:hint="eastAsia"/>
          <w:szCs w:val="21"/>
        </w:rPr>
        <w:t>评级AAA信用债的比例不低于50%。</w:t>
      </w:r>
    </w:p>
    <w:p w14:paraId="56C8C7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信用类债券是本基金重要投资标的，信用风险管理对于提高债券组合收益率至关重要。本基金将根据宏观经济运行状况、行业发展周期、公司业务状况、公司治理结构、财务状况等因素综合评估信用风险，确定信用类债券的信用风险利差，有效管理组合的整体信用风险。同时，本基金将运用本基金管理人比较完善的信用债券评级体系，对信用债券发行人基本面的深入调研分析，结合流动性、信用利差、信用评级、违约风险等的综合评估结果，选取具有价格优势和套利机会的优质信用债券产品进行投资。 </w:t>
      </w:r>
    </w:p>
    <w:p w14:paraId="6F8EF9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4、收益率利差策略 </w:t>
      </w:r>
    </w:p>
    <w:p w14:paraId="5B13B9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除考虑系统性的利率风险对收益率曲线形状的影响之外，还将考虑债券市场微观因素对收益率曲线的影响，如历史期限结构、新债发行、回购及市场拆借利率等，形成一定阶段内的收益率曲线变动趋势的预期，并适时调整基金的债券投资组合。 </w:t>
      </w:r>
    </w:p>
    <w:p w14:paraId="1EB2AD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5、属类配置策略 </w:t>
      </w:r>
    </w:p>
    <w:p w14:paraId="47A42D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不同类型的债券在收益率、流动性和信用风险上存在差异，债券资产有必要配置于不同类型的债券品种以及在不同市场上进行配置，以寻求收益性、流动性和信用风险补偿间的最佳平衡点。本基金将综合信用分析、流动性分析、税收及 市场结构等因素分析的结果来决定投资组合的类别资产配置策略。 </w:t>
      </w:r>
    </w:p>
    <w:p w14:paraId="007240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w:t>
      </w:r>
      <w:proofErr w:type="gramStart"/>
      <w:r w:rsidRPr="00BD090D">
        <w:rPr>
          <w:rFonts w:ascii="宋体" w:eastAsia="宋体" w:hAnsi="宋体" w:hint="eastAsia"/>
          <w:szCs w:val="21"/>
        </w:rPr>
        <w:t>个券</w:t>
      </w:r>
      <w:proofErr w:type="gramEnd"/>
      <w:r w:rsidRPr="00BD090D">
        <w:rPr>
          <w:rFonts w:ascii="宋体" w:eastAsia="宋体" w:hAnsi="宋体" w:hint="eastAsia"/>
          <w:szCs w:val="21"/>
        </w:rPr>
        <w:t xml:space="preserve">选择策略 </w:t>
      </w:r>
    </w:p>
    <w:p w14:paraId="3A10D1B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 xml:space="preserve">本基金根据债券市场收益率数据，运用利率模型对单个债券进行估值分析，并结合债券的信用评级、流动性、息票率、税赋等因素，选择具有良好投资价值的债券品种进行投资。对于含权类债券品种，如可转换债券等，本基金还将结合公司基本面分析，综合运用衍生工具定价模型分析债券的内在价值。 </w:t>
      </w:r>
    </w:p>
    <w:p w14:paraId="32498D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7、资产支持证券的投资策略 </w:t>
      </w:r>
    </w:p>
    <w:p w14:paraId="4ACF0BB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本基金将在综合考虑市场利率、发行条款、支持资产的构成和质量等因素的基础上，对资产证券化产品的收益和风险匹配情况等进行定性和定量的全方面分析，评估其相对投资价值并</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 xml:space="preserve">相应的投资决策，力求在控制投资风险的前提下尽可能的提高本基金的收益。 </w:t>
      </w:r>
    </w:p>
    <w:p w14:paraId="04020C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（二）开放期投资策略 </w:t>
      </w:r>
    </w:p>
    <w:p w14:paraId="5D9735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开放期内，本基金为保持较高的组合流动性，方便投资人安排投资，在遵守本基金有关投资限制与投资比例的前提下，将主要投资于高流动性的投资品种，防范流动性风险，满足开放期流动性的需求。</w:t>
      </w:r>
    </w:p>
    <w:p w14:paraId="0CE6E43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四、投资决策流程</w:t>
      </w:r>
    </w:p>
    <w:p w14:paraId="10CCD0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具体的投资流程为：</w:t>
      </w:r>
    </w:p>
    <w:p w14:paraId="1C59D2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3CF0B8B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（2）固定收益部定期召开例会讨论固定收益产品投资方案和未来的行情判断，结合宏观经济、债券市场两方面研究结果确定下期的固定收益产品投资策略,并报投资决策委员会备案。</w:t>
      </w:r>
    </w:p>
    <w:p w14:paraId="79EAC70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（3）基金经理负责执行投资方案。</w:t>
      </w:r>
    </w:p>
    <w:p w14:paraId="3EE2382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（4）公司所管理的基金投资交易均采用集中交易制度。投资执行与投资决策严格分离，基金的所有证券买卖活动须通过交易部统一分配，集中交易完成。</w:t>
      </w:r>
    </w:p>
    <w:p w14:paraId="079002B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（5）基金经理根据市场变化在权限范围及时进行投资策略调整，超过投资权限的报投资决策委员会审议。</w:t>
      </w:r>
    </w:p>
    <w:p w14:paraId="3AC4C6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性控制从以下方面展开：</w:t>
      </w:r>
    </w:p>
    <w:p w14:paraId="2A0D5E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（1）风险管理委员会：通过对基金投资的研究、决策、执行等，从制度上、操作程序上进行控制，保证公司管理基金投资的各项制度、措施、工作流程符合相关法律、法规和基金合同的要求。</w:t>
      </w:r>
    </w:p>
    <w:p w14:paraId="5DF515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（2）督察长：可列席公司投资决策委员会议，全程监控交易指令的执行情况，保证合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性控制的实施。</w:t>
      </w:r>
    </w:p>
    <w:p w14:paraId="1E3801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（3）监察稽核部：可对基金投资管理过程的各环节进行例行和专项稽核，根据授权察看基金的交易情况，确保投资决策和交易指令得到全面、准确的执行。</w:t>
      </w:r>
    </w:p>
    <w:p w14:paraId="65A54B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（4）交易部负责对投资指令进行审核，对日常交易行为实时监控。</w:t>
      </w:r>
    </w:p>
    <w:p w14:paraId="115303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p w14:paraId="38C0F9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五、投资限制</w:t>
      </w:r>
    </w:p>
    <w:p w14:paraId="5E3B6A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1、组合限制</w:t>
      </w:r>
    </w:p>
    <w:p w14:paraId="2862A9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基金的投资组合应遵循以下限制：</w:t>
      </w:r>
    </w:p>
    <w:p w14:paraId="6BFC8C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（1）本基金对债券的投资比例不低于基金资产的80%；但应开放期流动性需要，为保护基金份额持有人利益，在每次开放期前一个月、开放期及开放期结束后一个月的期间内，基金投资不受上述比例限制；</w:t>
      </w:r>
    </w:p>
    <w:p w14:paraId="529696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（2）开放期内，本基金持有现金或者到期日在一年以内的政府债券的比例不低于基金资产净值的5%，其中现金不包括结算备付金、存出保证金、应收申购款等，在封闭期内，本基金不受上述5%的限制；</w:t>
      </w:r>
    </w:p>
    <w:p w14:paraId="762273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（3）本基金持有一家公司发行的证券，其市值不超过基金资产净值的10％；</w:t>
      </w:r>
    </w:p>
    <w:p w14:paraId="22A2E8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（4）本基金管理人管理的全部基金持有一家公司发行的证券，不超过该证券的10％；</w:t>
      </w:r>
    </w:p>
    <w:p w14:paraId="5EAECE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（5）本基金投资于同一原始权益人的各类资产支持证券的比例，不得超过基金资产净值的10％；</w:t>
      </w:r>
    </w:p>
    <w:p w14:paraId="7345AE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（6）本基金持有的全部资产支持证券，其市值不得超过基金资产净值的20％；</w:t>
      </w:r>
    </w:p>
    <w:p w14:paraId="53421C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（7）本基金持有的同一(指同一信用级别)资产支持证券的比例，不得超过该资产支持证券规模的10％；</w:t>
      </w:r>
    </w:p>
    <w:p w14:paraId="2A48CF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（8）本基金管理人管理的全部基金投资于同一原始权益人的各类资产支持证券，不得超过其各类资产支持证券合计规模的10％；</w:t>
      </w:r>
    </w:p>
    <w:p w14:paraId="4651DA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（9）本基金应投资于信用级别评级为BBB以上(含BBB)的资产支持证券。基金持有资产支持证券期间，如果其信用等级下降、不再符合投资标准，应在评级报告发布之日起3个月内予以全部卖出；</w:t>
      </w:r>
    </w:p>
    <w:p w14:paraId="4D3F2FD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（10）本基金在全国银行间同业市场中的债券回购最长期限为一年，债券回购到期后</w:t>
      </w:r>
      <w:proofErr w:type="gramStart"/>
      <w:r w:rsidRPr="00BD090D">
        <w:rPr>
          <w:rFonts w:ascii="宋体" w:eastAsia="宋体" w:hAnsi="宋体" w:hint="eastAsia"/>
          <w:szCs w:val="21"/>
        </w:rPr>
        <w:t>不</w:t>
      </w:r>
      <w:proofErr w:type="gramEnd"/>
      <w:r w:rsidRPr="00BD090D">
        <w:rPr>
          <w:rFonts w:ascii="宋体" w:eastAsia="宋体" w:hAnsi="宋体" w:hint="eastAsia"/>
          <w:szCs w:val="21"/>
        </w:rPr>
        <w:lastRenderedPageBreak/>
        <w:t>展期；</w:t>
      </w:r>
    </w:p>
    <w:p w14:paraId="0C1AEA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（11)在封闭期内，基金的总资产不得超过基金净资产的200%。开放期内，基金总资产不得超过基金净资产的140%；</w:t>
      </w:r>
    </w:p>
    <w:p w14:paraId="7FA02E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（12）开放期内，本基金主动投资于流动性受限资产的市值合计不得超过基金资产净值的15%；</w:t>
      </w:r>
    </w:p>
    <w:p w14:paraId="3F282C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因证券市场波动、基金规模变动等基金管理人之外的因素致使基金不符合前述比例限制的，基金管理人不得主动新增流动性受限资产的投资；</w:t>
      </w:r>
    </w:p>
    <w:p w14:paraId="033755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（13）本基金与私募类</w:t>
      </w:r>
      <w:proofErr w:type="gramStart"/>
      <w:r w:rsidRPr="00BD090D">
        <w:rPr>
          <w:rFonts w:ascii="宋体" w:eastAsia="宋体" w:hAnsi="宋体" w:hint="eastAsia"/>
          <w:szCs w:val="21"/>
        </w:rPr>
        <w:t>证券资管产品</w:t>
      </w:r>
      <w:proofErr w:type="gramEnd"/>
      <w:r w:rsidRPr="00BD090D">
        <w:rPr>
          <w:rFonts w:ascii="宋体" w:eastAsia="宋体" w:hAnsi="宋体" w:hint="eastAsia"/>
          <w:szCs w:val="21"/>
        </w:rPr>
        <w:t>及中国证监会认定的其他主体为交易对手开展逆回购交易的，可接受质押品的资质要求应当与基金合同约定的投资范围保持一致；</w:t>
      </w:r>
    </w:p>
    <w:p w14:paraId="7CE9CB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（14）法律法规及中国证监会规定的和《基金合同》约定的其他投资限制。</w:t>
      </w:r>
    </w:p>
    <w:p w14:paraId="3020C3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除上述第（2）、第（9）、第（12）-（13）项外，因证券市场波动、证券发行人合并、基金规模变动等基金管理人之外的因素致使基金投资比例不符合上述规定投资比例的，基金管理人应当在10个交易日内进行调整，但中国证监会规定的特殊情形或基金合同另有约定的除外。法律法规另有规定的，从其规定。</w:t>
      </w:r>
    </w:p>
    <w:p w14:paraId="73EA22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830CE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法律法规或监管部门对上述投资组合比例限制进行变更的，以变更后的规定为准；法律法规或监管部门取消上述限制，如适用于本基金，在履行适当程序后本基金投资不再受相关限制，不需要经过基金份额持有人大会审议。</w:t>
      </w:r>
    </w:p>
    <w:p w14:paraId="03731D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2、禁止行为</w:t>
      </w:r>
    </w:p>
    <w:p w14:paraId="72302D9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为维护基金份额持有人的合法权益，基金财产不得用于下列投资或者活动：</w:t>
      </w:r>
    </w:p>
    <w:p w14:paraId="3D5298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（1）承销证券；</w:t>
      </w:r>
    </w:p>
    <w:p w14:paraId="24A6F2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（2）违反规定向他人贷款或者提供担保；</w:t>
      </w:r>
    </w:p>
    <w:p w14:paraId="33A8E4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（3）从事承担无限责任的投资；</w:t>
      </w:r>
    </w:p>
    <w:p w14:paraId="715605B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（4）买卖其他基金份额，但是中国证监会另有规定的除外；</w:t>
      </w:r>
    </w:p>
    <w:p w14:paraId="0C2612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（5）向其基金管理人、基金托管人出资；</w:t>
      </w:r>
    </w:p>
    <w:p w14:paraId="2B98DF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（6）从事内幕交易、操纵证券交易价格及其他不正当的证券交易活动；</w:t>
      </w:r>
    </w:p>
    <w:p w14:paraId="22B4AF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（7）法律、行政法规和中国证监会规定禁止的其他活动。</w:t>
      </w:r>
    </w:p>
    <w:p w14:paraId="08C0C2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基金管理人运用基金财产买卖基金管理人、基金托管人及其控股股东、实际控制人或者</w:t>
      </w:r>
      <w:r w:rsidRPr="00BD090D">
        <w:rPr>
          <w:rFonts w:ascii="宋体" w:eastAsia="宋体" w:hAnsi="宋体" w:hint="eastAsia"/>
          <w:szCs w:val="21"/>
        </w:rPr>
        <w:lastRenderedPageBreak/>
        <w:t>与其他有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相关法律法规予以披露。重大关联交易应提交基金管理人董事会审议，并经过三分之二以上的独立董事通过。基金管理人董事会应至少每半年对关联交易事项进行审查。</w:t>
      </w:r>
    </w:p>
    <w:p w14:paraId="65F6F8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法律、行政法规或监管部门取消上述限制，如适用于本基金，基金管理人在履行适当程序后，则本基金投资不再受相关限制。</w:t>
      </w:r>
    </w:p>
    <w:p w14:paraId="4EB8413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六、业绩比较基准</w:t>
      </w:r>
    </w:p>
    <w:p w14:paraId="0DA9A4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本基金的业绩比较基准为中</w:t>
      </w:r>
      <w:proofErr w:type="gramStart"/>
      <w:r w:rsidRPr="00BD090D">
        <w:rPr>
          <w:rFonts w:ascii="宋体" w:eastAsia="宋体" w:hAnsi="宋体" w:hint="eastAsia"/>
          <w:szCs w:val="21"/>
        </w:rPr>
        <w:t>债综合</w:t>
      </w:r>
      <w:proofErr w:type="gramEnd"/>
      <w:r w:rsidRPr="00BD090D">
        <w:rPr>
          <w:rFonts w:ascii="宋体" w:eastAsia="宋体" w:hAnsi="宋体" w:hint="eastAsia"/>
          <w:szCs w:val="21"/>
        </w:rPr>
        <w:t>指数（总财富）收益率×90%+一年期定期存款利率（税后）×10%。</w:t>
      </w:r>
    </w:p>
    <w:p w14:paraId="402823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中</w:t>
      </w:r>
      <w:proofErr w:type="gramStart"/>
      <w:r w:rsidRPr="00BD090D">
        <w:rPr>
          <w:rFonts w:ascii="宋体" w:eastAsia="宋体" w:hAnsi="宋体" w:hint="eastAsia"/>
          <w:szCs w:val="21"/>
        </w:rPr>
        <w:t>债综合</w:t>
      </w:r>
      <w:proofErr w:type="gramEnd"/>
      <w:r w:rsidRPr="00BD090D">
        <w:rPr>
          <w:rFonts w:ascii="宋体" w:eastAsia="宋体" w:hAnsi="宋体" w:hint="eastAsia"/>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80%，持有现金或者到期日在一年以内的政府债券不低于基金资产净值的5%，采用90%作为业绩比较基准中债券投资所代表的权重，10%乘以一年定期银行存款利率（税后）作为资产所对应的权重可以较好的反映本基金的风险收益特征。</w:t>
      </w:r>
    </w:p>
    <w:p w14:paraId="5EDE7A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今后法律法规发生变化，或者有更权威的、更能为市场普遍接受的业绩比较基准推出，或者是市场上出现更加适合用于本基金的业绩基准的指数时，本基金管理人在与基金托管人协商一致，并履行适当程序后调整或变更业绩比较基准并及时公告，而无需召开基金份额持有人大会。</w:t>
      </w:r>
    </w:p>
    <w:p w14:paraId="180FE3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七、风险收益特征</w:t>
      </w:r>
    </w:p>
    <w:p w14:paraId="34A566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本基金属于债券型证券投资基金，其预期风险收益水平低于股票型基金、混合型基金，高于货币市场基金。</w:t>
      </w:r>
    </w:p>
    <w:p w14:paraId="48491F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八、基金管理人代表基金行使债权人权利的处理原则及方法</w:t>
      </w:r>
    </w:p>
    <w:p w14:paraId="385B60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1、有利于基金资产的安全与增值；</w:t>
      </w:r>
    </w:p>
    <w:p w14:paraId="24877E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2、基金管理人按照国家有关规定代表基金独立行使债权人权利，保护基金份额持有人的利益；</w:t>
      </w:r>
    </w:p>
    <w:p w14:paraId="7D141C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3、不通过关联交易为自身、雇员、授权代理人或任何存在利害关系的第三人牟取任何不当利益。</w:t>
      </w:r>
    </w:p>
    <w:p w14:paraId="0789B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九、</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的实施和投资运作安排</w:t>
      </w:r>
    </w:p>
    <w:p w14:paraId="49160F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BD090D">
        <w:rPr>
          <w:rFonts w:ascii="宋体" w:eastAsia="宋体" w:hAnsi="宋体" w:hint="eastAsia"/>
          <w:szCs w:val="21"/>
        </w:rPr>
        <w:t>启用侧袋机制</w:t>
      </w:r>
      <w:proofErr w:type="gramEnd"/>
      <w:r w:rsidRPr="00BD090D">
        <w:rPr>
          <w:rFonts w:ascii="宋体" w:eastAsia="宋体" w:hAnsi="宋体" w:hint="eastAsia"/>
          <w:szCs w:val="21"/>
        </w:rPr>
        <w:t>，无需召开基金份额持有人大会审议。</w:t>
      </w:r>
    </w:p>
    <w:p w14:paraId="6E674F34"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实施期间，本部分约定的投资组合比例、投资策略、组合限制、业绩比较基准、风险收益特征等约定仅</w:t>
      </w:r>
      <w:proofErr w:type="gramStart"/>
      <w:r w:rsidRPr="00BD090D">
        <w:rPr>
          <w:rFonts w:ascii="宋体" w:eastAsia="宋体" w:hAnsi="宋体" w:hint="eastAsia"/>
          <w:szCs w:val="21"/>
        </w:rPr>
        <w:t>适用于主袋账户</w:t>
      </w:r>
      <w:proofErr w:type="gramEnd"/>
      <w:r w:rsidRPr="00BD090D">
        <w:rPr>
          <w:rFonts w:ascii="宋体" w:eastAsia="宋体" w:hAnsi="宋体" w:hint="eastAsia"/>
          <w:szCs w:val="21"/>
        </w:rPr>
        <w:t>。</w:t>
      </w:r>
    </w:p>
    <w:p w14:paraId="0C5673E8"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 xml:space="preserve">的实施条件、实施程序、运作安排、投资安排、特定资产的处置变现和支付等对投资者权益有重大影响的事项详见招募说明书“侧袋机制”部分的规定。 </w:t>
      </w:r>
    </w:p>
    <w:p w14:paraId="5C596320" w14:textId="1CCD3B0F" w:rsidR="009E4620" w:rsidRDefault="009E4620" w:rsidP="009E4620">
      <w:pPr>
        <w:spacing w:line="360" w:lineRule="auto"/>
        <w:ind w:firstLineChars="200" w:firstLine="420"/>
        <w:rPr>
          <w:rFonts w:ascii="宋体" w:eastAsia="宋体" w:hAnsi="宋体"/>
          <w:szCs w:val="21"/>
        </w:rPr>
      </w:pPr>
      <w:r>
        <w:rPr>
          <w:rFonts w:ascii="宋体" w:eastAsia="宋体" w:hAnsi="宋体" w:hint="eastAsia"/>
          <w:szCs w:val="21"/>
        </w:rPr>
        <w:t>十</w:t>
      </w:r>
      <w:r w:rsidRPr="009E4620">
        <w:rPr>
          <w:rFonts w:ascii="宋体" w:eastAsia="宋体" w:hAnsi="宋体" w:hint="eastAsia"/>
          <w:szCs w:val="21"/>
        </w:rPr>
        <w:t>、基金投资组合报告</w:t>
      </w:r>
    </w:p>
    <w:p w14:paraId="4AF7434B" w14:textId="578EDD53" w:rsidR="009E4620" w:rsidRPr="009E4620" w:rsidRDefault="009E4620" w:rsidP="009E4620">
      <w:pPr>
        <w:spacing w:line="360" w:lineRule="auto"/>
        <w:ind w:firstLineChars="200" w:firstLine="420"/>
        <w:rPr>
          <w:rFonts w:ascii="宋体" w:eastAsia="宋体" w:hAnsi="宋体"/>
          <w:szCs w:val="21"/>
        </w:rPr>
      </w:pPr>
      <w:r w:rsidRPr="009E4620">
        <w:rPr>
          <w:rFonts w:ascii="宋体" w:eastAsia="宋体" w:hAnsi="宋体" w:hint="eastAsia"/>
          <w:szCs w:val="21"/>
        </w:rPr>
        <w:t>基金管理人的董事会及董事保证本报告所载资料不存在虚假记载、误导性陈述或重大遗漏，并对其内容的真实性、准确性和完整性承担个别及连带责任。基金托管人中国</w:t>
      </w:r>
      <w:r>
        <w:rPr>
          <w:rFonts w:ascii="宋体" w:eastAsia="宋体" w:hAnsi="宋体" w:hint="eastAsia"/>
          <w:szCs w:val="21"/>
        </w:rPr>
        <w:t>民生</w:t>
      </w:r>
      <w:r w:rsidRPr="009E4620">
        <w:rPr>
          <w:rFonts w:ascii="宋体" w:eastAsia="宋体" w:hAnsi="宋体" w:hint="eastAsia"/>
          <w:szCs w:val="21"/>
        </w:rPr>
        <w:t>银行股份有限公司根据本基金合同规定，已复核了本报告中的财务指标、净值表现和投资组合报告等内容，保证复核内容不存在虚假记载、误导性陈述或者重大遗漏。</w:t>
      </w:r>
    </w:p>
    <w:p w14:paraId="2C591CAB" w14:textId="09A73499" w:rsidR="009E4620" w:rsidRDefault="009E4620" w:rsidP="009E4620">
      <w:pPr>
        <w:spacing w:line="360" w:lineRule="auto"/>
        <w:ind w:firstLineChars="200" w:firstLine="420"/>
        <w:rPr>
          <w:rFonts w:ascii="宋体" w:eastAsia="宋体" w:hAnsi="宋体"/>
          <w:szCs w:val="21"/>
        </w:rPr>
      </w:pPr>
      <w:r w:rsidRPr="009E4620">
        <w:rPr>
          <w:rFonts w:ascii="宋体" w:eastAsia="宋体" w:hAnsi="宋体" w:hint="eastAsia"/>
          <w:szCs w:val="21"/>
        </w:rPr>
        <w:t>本投资组合报告所载数据截至</w:t>
      </w:r>
      <w:r w:rsidR="00166D75" w:rsidRPr="009E4620">
        <w:rPr>
          <w:rFonts w:ascii="宋体" w:eastAsia="宋体" w:hAnsi="宋体" w:hint="eastAsia"/>
          <w:szCs w:val="21"/>
        </w:rPr>
        <w:t>202</w:t>
      </w:r>
      <w:r w:rsidR="00166D75">
        <w:rPr>
          <w:rFonts w:ascii="宋体" w:eastAsia="宋体" w:hAnsi="宋体"/>
          <w:szCs w:val="21"/>
        </w:rPr>
        <w:t>2</w:t>
      </w:r>
      <w:r w:rsidRPr="009E4620">
        <w:rPr>
          <w:rFonts w:ascii="宋体" w:eastAsia="宋体" w:hAnsi="宋体" w:hint="eastAsia"/>
          <w:szCs w:val="21"/>
        </w:rPr>
        <w:t>年</w:t>
      </w:r>
      <w:r w:rsidR="003C2798">
        <w:rPr>
          <w:rFonts w:ascii="宋体" w:eastAsia="宋体" w:hAnsi="宋体" w:hint="eastAsia"/>
          <w:szCs w:val="21"/>
        </w:rPr>
        <w:t>9</w:t>
      </w:r>
      <w:r w:rsidRPr="009E4620">
        <w:rPr>
          <w:rFonts w:ascii="宋体" w:eastAsia="宋体" w:hAnsi="宋体" w:hint="eastAsia"/>
          <w:szCs w:val="21"/>
        </w:rPr>
        <w:t>月</w:t>
      </w:r>
      <w:r w:rsidR="003C2798">
        <w:rPr>
          <w:rFonts w:ascii="宋体" w:eastAsia="宋体" w:hAnsi="宋体" w:hint="eastAsia"/>
          <w:szCs w:val="21"/>
        </w:rPr>
        <w:t>3</w:t>
      </w:r>
      <w:r w:rsidR="003C2798">
        <w:rPr>
          <w:rFonts w:ascii="宋体" w:eastAsia="宋体" w:hAnsi="宋体"/>
          <w:szCs w:val="21"/>
        </w:rPr>
        <w:t>0</w:t>
      </w:r>
      <w:r w:rsidRPr="009E4620">
        <w:rPr>
          <w:rFonts w:ascii="宋体" w:eastAsia="宋体" w:hAnsi="宋体" w:hint="eastAsia"/>
          <w:szCs w:val="21"/>
        </w:rPr>
        <w:t>日，本报告中所列财务数据未经审计。</w:t>
      </w:r>
    </w:p>
    <w:p w14:paraId="59816519" w14:textId="77777777" w:rsidR="003C2798" w:rsidRPr="0058096F" w:rsidRDefault="003C2798" w:rsidP="003C2798">
      <w:pPr>
        <w:pStyle w:val="zhangjiep"/>
        <w:rPr>
          <w:rFonts w:cstheme="minorBidi"/>
          <w:kern w:val="2"/>
          <w:sz w:val="21"/>
          <w:szCs w:val="21"/>
        </w:rPr>
      </w:pPr>
      <w:bookmarkStart w:id="10" w:name="_Toc85725557"/>
      <w:r w:rsidRPr="0058096F">
        <w:rPr>
          <w:rFonts w:cstheme="minorBidi"/>
          <w:kern w:val="2"/>
          <w:sz w:val="21"/>
          <w:szCs w:val="21"/>
        </w:rPr>
        <w:t xml:space="preserve">1、 </w:t>
      </w:r>
      <w:r w:rsidRPr="0058096F">
        <w:rPr>
          <w:rFonts w:cstheme="minorBidi" w:hint="eastAsia"/>
          <w:kern w:val="2"/>
          <w:sz w:val="21"/>
          <w:szCs w:val="21"/>
        </w:rPr>
        <w:t>报告期末基金资产组合情况</w:t>
      </w:r>
      <w:bookmarkEnd w:id="10"/>
    </w:p>
    <w:tbl>
      <w:tblPr>
        <w:tblW w:w="0" w:type="auto"/>
        <w:tblInd w:w="108" w:type="dxa"/>
        <w:tblLook w:val="04A0" w:firstRow="1" w:lastRow="0" w:firstColumn="1" w:lastColumn="0" w:noHBand="0" w:noVBand="1"/>
      </w:tblPr>
      <w:tblGrid>
        <w:gridCol w:w="717"/>
        <w:gridCol w:w="2226"/>
        <w:gridCol w:w="3099"/>
        <w:gridCol w:w="2372"/>
      </w:tblGrid>
      <w:tr w:rsidR="003C2798" w:rsidRPr="003C2798" w14:paraId="39D6B24A" w14:textId="77777777" w:rsidTr="009C329C">
        <w:tc>
          <w:tcPr>
            <w:tcW w:w="717" w:type="dxa"/>
            <w:tcBorders>
              <w:top w:val="single" w:sz="8" w:space="0" w:color="000000"/>
              <w:left w:val="single" w:sz="8" w:space="0" w:color="000000"/>
              <w:bottom w:val="single" w:sz="6" w:space="0" w:color="000000"/>
              <w:right w:val="single" w:sz="8" w:space="0" w:color="000000"/>
            </w:tcBorders>
            <w:vAlign w:val="center"/>
            <w:hideMark/>
          </w:tcPr>
          <w:p w14:paraId="54106891"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序号</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14885F84"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项目</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4EC50074"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金额</w:t>
            </w:r>
            <w:r w:rsidRPr="0058096F">
              <w:rPr>
                <w:rFonts w:cstheme="minorBidi"/>
                <w:kern w:val="2"/>
                <w:sz w:val="21"/>
                <w:szCs w:val="21"/>
              </w:rPr>
              <w:t>(元)</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76AF3023"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占基金总资产的比例（</w:t>
            </w:r>
            <w:r w:rsidRPr="0058096F">
              <w:rPr>
                <w:rFonts w:cstheme="minorBidi"/>
                <w:kern w:val="2"/>
                <w:sz w:val="21"/>
                <w:szCs w:val="21"/>
              </w:rPr>
              <w:t>%）</w:t>
            </w:r>
          </w:p>
        </w:tc>
      </w:tr>
      <w:tr w:rsidR="009C329C" w:rsidRPr="003C2798" w14:paraId="36D10F49"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7C829938"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1</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393CFF77"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权益投资</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74215776" w14:textId="6E997791"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3E2544E6" w14:textId="108CF96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41349F29"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0D44344C" w14:textId="77777777" w:rsidR="009C329C" w:rsidRPr="00016488" w:rsidRDefault="009C329C" w:rsidP="009C329C">
            <w:pPr>
              <w:pStyle w:val="zhangjiep"/>
              <w:jc w:val="both"/>
              <w:rPr>
                <w:szCs w:val="21"/>
              </w:rPr>
            </w:pP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0C96F3BF"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其中：股票</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16119957" w14:textId="0B48A47C"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3C3465DD" w14:textId="7CDAE822"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5DF22504"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1ACAB380"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2</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6D54F38A"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基金投资</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6F0FDE41" w14:textId="75085E4E"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4ECE5DD2" w14:textId="5D16BD36"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4893CE48"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2D830197"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3</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15E0D05B"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固定收益投资</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6CA5E602" w14:textId="4C65A997"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1,168,403,453.91</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3375C859" w14:textId="7327F20D"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74.47</w:t>
            </w:r>
          </w:p>
        </w:tc>
      </w:tr>
      <w:tr w:rsidR="009C329C" w:rsidRPr="003C2798" w14:paraId="6628E616"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695D72BA" w14:textId="77777777" w:rsidR="009C329C" w:rsidRPr="00016488" w:rsidRDefault="009C329C" w:rsidP="009C329C">
            <w:pPr>
              <w:pStyle w:val="zhangjiep"/>
              <w:jc w:val="both"/>
              <w:rPr>
                <w:szCs w:val="21"/>
              </w:rPr>
            </w:pP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410729DA"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其中：债券</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4ADD79B2" w14:textId="5E7DC1A6"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1,168,403,453.91</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2D9271EA" w14:textId="197AF0EC"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74.47</w:t>
            </w:r>
          </w:p>
        </w:tc>
      </w:tr>
      <w:tr w:rsidR="009C329C" w:rsidRPr="003C2798" w14:paraId="0F1ED413"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4A0FD027" w14:textId="77777777" w:rsidR="009C329C" w:rsidRPr="00016488" w:rsidRDefault="009C329C" w:rsidP="009C329C">
            <w:pPr>
              <w:pStyle w:val="zhangjiep"/>
              <w:jc w:val="both"/>
              <w:rPr>
                <w:szCs w:val="21"/>
              </w:rPr>
            </w:pP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5BB1532A"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资产支持证券</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3CD05AC9" w14:textId="1C794BA1"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20379369" w14:textId="7457144F"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24028763"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2CBAA7D5"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C5626F"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贵金属投资</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225DFDD0" w14:textId="4BB31D13"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0ADEE4F7" w14:textId="316F3DD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38986CD8"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1010A886"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5</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6A1DE210"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金融衍生</w:t>
            </w:r>
            <w:proofErr w:type="gramStart"/>
            <w:r w:rsidRPr="0058096F">
              <w:rPr>
                <w:rFonts w:cstheme="minorBidi" w:hint="eastAsia"/>
                <w:kern w:val="2"/>
                <w:sz w:val="21"/>
                <w:szCs w:val="21"/>
              </w:rPr>
              <w:t>品投资</w:t>
            </w:r>
            <w:proofErr w:type="gramEnd"/>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1776614C" w14:textId="13A43614"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337F6026" w14:textId="1DBB4FFF"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470EF743"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4A94688B"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6</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3A7B80AD"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买入返售金融资产</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2F044112" w14:textId="35F89BFD"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400,096,526.63</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5141094F" w14:textId="1D851526"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25.50</w:t>
            </w:r>
          </w:p>
        </w:tc>
      </w:tr>
      <w:tr w:rsidR="009C329C" w:rsidRPr="003C2798" w14:paraId="1185807C"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24309DD5" w14:textId="77777777" w:rsidR="009C329C" w:rsidRPr="00016488" w:rsidRDefault="009C329C" w:rsidP="009C329C">
            <w:pPr>
              <w:pStyle w:val="zhangjiep"/>
              <w:jc w:val="both"/>
              <w:rPr>
                <w:szCs w:val="21"/>
              </w:rPr>
            </w:pP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7823BBB5"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其中：买断式回购的买入返售金融资产</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0DE50BF6" w14:textId="15891D49"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2708A3ED" w14:textId="48354220"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257C9D9B"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499ED02A"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7</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6CA4C128"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银行存款和结算备付金合计</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07931CF0" w14:textId="3E369FD7"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532,307.44</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31C9CAFA" w14:textId="509EC941"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0.0</w:t>
            </w:r>
            <w:r>
              <w:rPr>
                <w:rFonts w:cstheme="minorBidi"/>
                <w:kern w:val="2"/>
                <w:sz w:val="21"/>
                <w:szCs w:val="21"/>
              </w:rPr>
              <w:t>3</w:t>
            </w:r>
          </w:p>
        </w:tc>
      </w:tr>
      <w:tr w:rsidR="009C329C" w:rsidRPr="003C2798" w14:paraId="04A006C1"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38B71368"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8</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62705D4A"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其他资产</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0BB7B7ED" w14:textId="769BADC2" w:rsidR="009C329C" w:rsidRPr="0058096F" w:rsidRDefault="009C329C" w:rsidP="009C329C">
            <w:pPr>
              <w:pStyle w:val="biaogeright"/>
              <w:jc w:val="both"/>
              <w:rPr>
                <w:rFonts w:cstheme="minorBidi"/>
                <w:kern w:val="2"/>
                <w:sz w:val="21"/>
                <w:szCs w:val="21"/>
              </w:rPr>
            </w:pPr>
            <w:r>
              <w:rPr>
                <w:rFonts w:cstheme="minorBidi"/>
                <w:kern w:val="2"/>
                <w:sz w:val="21"/>
                <w:szCs w:val="21"/>
              </w:rPr>
              <w:t>-</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2217C2FC" w14:textId="4D65E1F0" w:rsidR="009C329C" w:rsidRPr="0058096F" w:rsidRDefault="009C329C" w:rsidP="009C329C">
            <w:pPr>
              <w:pStyle w:val="biaogeright"/>
              <w:jc w:val="both"/>
              <w:rPr>
                <w:rFonts w:cstheme="minorBidi"/>
                <w:kern w:val="2"/>
                <w:sz w:val="21"/>
                <w:szCs w:val="21"/>
              </w:rPr>
            </w:pPr>
            <w:r>
              <w:rPr>
                <w:rFonts w:cstheme="minorBidi"/>
                <w:kern w:val="2"/>
                <w:sz w:val="21"/>
                <w:szCs w:val="21"/>
              </w:rPr>
              <w:t>-</w:t>
            </w:r>
          </w:p>
        </w:tc>
      </w:tr>
      <w:tr w:rsidR="009C329C" w:rsidRPr="003C2798" w14:paraId="765A4A6D" w14:textId="77777777" w:rsidTr="009C329C">
        <w:tc>
          <w:tcPr>
            <w:tcW w:w="0" w:type="auto"/>
            <w:tcBorders>
              <w:top w:val="single" w:sz="8" w:space="0" w:color="000000"/>
              <w:left w:val="single" w:sz="8" w:space="0" w:color="000000"/>
              <w:bottom w:val="single" w:sz="6" w:space="0" w:color="000000"/>
              <w:right w:val="single" w:sz="8" w:space="0" w:color="000000"/>
            </w:tcBorders>
            <w:vAlign w:val="center"/>
            <w:hideMark/>
          </w:tcPr>
          <w:p w14:paraId="0A2FDF5A"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lastRenderedPageBreak/>
              <w:t>9</w:t>
            </w:r>
          </w:p>
        </w:tc>
        <w:tc>
          <w:tcPr>
            <w:tcW w:w="2226" w:type="dxa"/>
            <w:tcBorders>
              <w:top w:val="single" w:sz="8" w:space="0" w:color="000000"/>
              <w:left w:val="single" w:sz="8" w:space="0" w:color="000000"/>
              <w:bottom w:val="single" w:sz="6" w:space="0" w:color="000000"/>
              <w:right w:val="single" w:sz="8" w:space="0" w:color="000000"/>
            </w:tcBorders>
            <w:vAlign w:val="center"/>
            <w:hideMark/>
          </w:tcPr>
          <w:p w14:paraId="69982CE0"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合计</w:t>
            </w:r>
          </w:p>
        </w:tc>
        <w:tc>
          <w:tcPr>
            <w:tcW w:w="3099" w:type="dxa"/>
            <w:tcBorders>
              <w:top w:val="single" w:sz="8" w:space="0" w:color="000000"/>
              <w:left w:val="single" w:sz="8" w:space="0" w:color="000000"/>
              <w:bottom w:val="single" w:sz="6" w:space="0" w:color="000000"/>
              <w:right w:val="single" w:sz="8" w:space="0" w:color="000000"/>
            </w:tcBorders>
            <w:vAlign w:val="center"/>
            <w:hideMark/>
          </w:tcPr>
          <w:p w14:paraId="0DFE7B86" w14:textId="589994C5"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1,569,032,287.98</w:t>
            </w:r>
          </w:p>
        </w:tc>
        <w:tc>
          <w:tcPr>
            <w:tcW w:w="2372" w:type="dxa"/>
            <w:tcBorders>
              <w:top w:val="single" w:sz="8" w:space="0" w:color="000000"/>
              <w:left w:val="single" w:sz="8" w:space="0" w:color="000000"/>
              <w:bottom w:val="single" w:sz="6" w:space="0" w:color="000000"/>
              <w:right w:val="single" w:sz="8" w:space="0" w:color="000000"/>
            </w:tcBorders>
            <w:vAlign w:val="center"/>
            <w:hideMark/>
          </w:tcPr>
          <w:p w14:paraId="76D5779A" w14:textId="16ED2894"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100.00</w:t>
            </w:r>
          </w:p>
        </w:tc>
      </w:tr>
    </w:tbl>
    <w:p w14:paraId="00E61EA1" w14:textId="77777777" w:rsidR="003C2798" w:rsidRPr="0058096F" w:rsidRDefault="003C2798" w:rsidP="0058096F">
      <w:pPr>
        <w:pStyle w:val="zhangjiep"/>
        <w:jc w:val="both"/>
        <w:rPr>
          <w:rFonts w:cstheme="minorBidi"/>
          <w:kern w:val="2"/>
          <w:sz w:val="21"/>
          <w:szCs w:val="21"/>
        </w:rPr>
      </w:pPr>
    </w:p>
    <w:p w14:paraId="1731B0AD" w14:textId="77777777" w:rsidR="003C2798" w:rsidRPr="0058096F" w:rsidRDefault="003C2798" w:rsidP="0058096F">
      <w:pPr>
        <w:pStyle w:val="zhangjiep"/>
        <w:jc w:val="both"/>
        <w:rPr>
          <w:rFonts w:cstheme="minorBidi"/>
          <w:kern w:val="2"/>
          <w:sz w:val="21"/>
          <w:szCs w:val="21"/>
        </w:rPr>
      </w:pPr>
      <w:bookmarkStart w:id="11" w:name="_Toc85725558"/>
      <w:r w:rsidRPr="0058096F">
        <w:rPr>
          <w:rFonts w:cstheme="minorBidi"/>
          <w:kern w:val="2"/>
          <w:sz w:val="21"/>
          <w:szCs w:val="21"/>
        </w:rPr>
        <w:t xml:space="preserve">2、 </w:t>
      </w:r>
      <w:r w:rsidRPr="0058096F">
        <w:rPr>
          <w:rFonts w:cstheme="minorBidi" w:hint="eastAsia"/>
          <w:kern w:val="2"/>
          <w:sz w:val="21"/>
          <w:szCs w:val="21"/>
        </w:rPr>
        <w:t>报告期末按行业分类的股票投资组合</w:t>
      </w:r>
      <w:bookmarkEnd w:id="11"/>
    </w:p>
    <w:p w14:paraId="68539A70"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2.1 </w:t>
      </w:r>
      <w:r w:rsidRPr="0058096F">
        <w:rPr>
          <w:rFonts w:cstheme="minorBidi" w:hint="eastAsia"/>
          <w:kern w:val="2"/>
          <w:sz w:val="21"/>
          <w:szCs w:val="21"/>
        </w:rPr>
        <w:t>、报告期末按行业分类的境内股票投资组合</w:t>
      </w:r>
    </w:p>
    <w:p w14:paraId="6A58ABDD"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  本基金本报告期末未持有股票。</w:t>
      </w:r>
    </w:p>
    <w:p w14:paraId="66C63877"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2.2 </w:t>
      </w:r>
      <w:r w:rsidRPr="0058096F">
        <w:rPr>
          <w:rFonts w:cstheme="minorBidi" w:hint="eastAsia"/>
          <w:kern w:val="2"/>
          <w:sz w:val="21"/>
          <w:szCs w:val="21"/>
        </w:rPr>
        <w:t>、报告期末按行业分类的港股通投资股票投资组合</w:t>
      </w:r>
    </w:p>
    <w:p w14:paraId="5D711EBF"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  本基金本报告期末未持有港股通股票。</w:t>
      </w:r>
    </w:p>
    <w:p w14:paraId="57B56658" w14:textId="77777777" w:rsidR="003C2798" w:rsidRPr="00016488" w:rsidRDefault="003C2798" w:rsidP="0058096F">
      <w:pPr>
        <w:pStyle w:val="zhangjiep"/>
        <w:jc w:val="both"/>
        <w:rPr>
          <w:szCs w:val="21"/>
        </w:rPr>
      </w:pPr>
      <w:r w:rsidRPr="0058096F">
        <w:rPr>
          <w:rFonts w:cstheme="minorBidi"/>
          <w:kern w:val="2"/>
          <w:sz w:val="21"/>
          <w:szCs w:val="21"/>
        </w:rPr>
        <w:br/>
      </w:r>
      <w:bookmarkStart w:id="12" w:name="_Toc85725559"/>
      <w:r w:rsidRPr="0058096F">
        <w:rPr>
          <w:rFonts w:cstheme="minorBidi"/>
          <w:kern w:val="2"/>
          <w:sz w:val="21"/>
          <w:szCs w:val="21"/>
        </w:rPr>
        <w:t>3</w:t>
      </w:r>
      <w:r w:rsidRPr="0058096F">
        <w:rPr>
          <w:rFonts w:cstheme="minorBidi" w:hint="eastAsia"/>
          <w:kern w:val="2"/>
          <w:sz w:val="21"/>
          <w:szCs w:val="21"/>
        </w:rPr>
        <w:t>、</w:t>
      </w:r>
      <w:r w:rsidRPr="0058096F">
        <w:rPr>
          <w:rFonts w:cstheme="minorBidi"/>
          <w:kern w:val="2"/>
          <w:sz w:val="21"/>
          <w:szCs w:val="21"/>
        </w:rPr>
        <w:t xml:space="preserve"> </w:t>
      </w:r>
      <w:r w:rsidRPr="0058096F">
        <w:rPr>
          <w:rFonts w:cstheme="minorBidi" w:hint="eastAsia"/>
          <w:kern w:val="2"/>
          <w:sz w:val="21"/>
          <w:szCs w:val="21"/>
        </w:rPr>
        <w:t>报告期末按公允价值占基金资产净值比例大小排序的前十名股票投资明细</w:t>
      </w:r>
      <w:bookmarkEnd w:id="12"/>
    </w:p>
    <w:p w14:paraId="65241974"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  本基金本报告期末未持有股票。</w:t>
      </w:r>
    </w:p>
    <w:p w14:paraId="34F16F07" w14:textId="77777777" w:rsidR="003C2798" w:rsidRPr="0058096F" w:rsidRDefault="003C2798" w:rsidP="0058096F">
      <w:pPr>
        <w:pStyle w:val="biaogeright"/>
        <w:jc w:val="both"/>
        <w:rPr>
          <w:rFonts w:cstheme="minorBidi"/>
          <w:kern w:val="2"/>
          <w:sz w:val="21"/>
          <w:szCs w:val="21"/>
        </w:rPr>
      </w:pPr>
    </w:p>
    <w:p w14:paraId="2D3D2AFF" w14:textId="77777777" w:rsidR="003C2798" w:rsidRPr="00016488" w:rsidRDefault="003C2798" w:rsidP="0058096F">
      <w:pPr>
        <w:pStyle w:val="zhangjiep"/>
        <w:jc w:val="both"/>
        <w:rPr>
          <w:szCs w:val="21"/>
        </w:rPr>
      </w:pPr>
      <w:bookmarkStart w:id="13" w:name="_Toc85725560"/>
      <w:r w:rsidRPr="0058096F">
        <w:rPr>
          <w:rFonts w:cstheme="minorBidi"/>
          <w:kern w:val="2"/>
          <w:sz w:val="21"/>
          <w:szCs w:val="21"/>
        </w:rPr>
        <w:t>4</w:t>
      </w:r>
      <w:r w:rsidRPr="0058096F">
        <w:rPr>
          <w:rFonts w:cstheme="minorBidi" w:hint="eastAsia"/>
          <w:kern w:val="2"/>
          <w:sz w:val="21"/>
          <w:szCs w:val="21"/>
        </w:rPr>
        <w:t>、报告期末按债券品种分类的债券投资组合</w:t>
      </w:r>
      <w:bookmarkEnd w:id="13"/>
    </w:p>
    <w:tbl>
      <w:tblPr>
        <w:tblW w:w="9045" w:type="dxa"/>
        <w:tblInd w:w="108" w:type="dxa"/>
        <w:tblLayout w:type="fixed"/>
        <w:tblLook w:val="04A0" w:firstRow="1" w:lastRow="0" w:firstColumn="1" w:lastColumn="0" w:noHBand="0" w:noVBand="1"/>
      </w:tblPr>
      <w:tblGrid>
        <w:gridCol w:w="989"/>
        <w:gridCol w:w="2413"/>
        <w:gridCol w:w="3138"/>
        <w:gridCol w:w="2505"/>
      </w:tblGrid>
      <w:tr w:rsidR="003C2798" w:rsidRPr="003C2798" w14:paraId="4B17DEC5"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1EA74F1B"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序号</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139289D1"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债券品种</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77BDC394"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公允价值</w:t>
            </w:r>
            <w:r w:rsidRPr="0058096F">
              <w:rPr>
                <w:rFonts w:cstheme="minorBidi"/>
                <w:kern w:val="2"/>
                <w:sz w:val="21"/>
                <w:szCs w:val="21"/>
              </w:rPr>
              <w:t>(元)</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46050EDC"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占基金资产净值比例（％）</w:t>
            </w:r>
          </w:p>
        </w:tc>
      </w:tr>
      <w:tr w:rsidR="009C329C" w:rsidRPr="003C2798" w14:paraId="7894A584"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6DCA0507"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1</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7A2FD919"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国家债券</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18A88228" w14:textId="233A7588"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1395E591" w14:textId="14BBABFD"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32DCE141"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799EC1D8"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2</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5A7F7646"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央行票据</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66E9508A" w14:textId="7EC1CA9E"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1FC3BAAA" w14:textId="6B871B10"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2C4BB714"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5EBA37C1"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3</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28F9C959"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金融债券</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11AE13D5" w14:textId="392624D5"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1,168,403,453.91</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5E3B8434" w14:textId="075FC823"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111.98</w:t>
            </w:r>
          </w:p>
        </w:tc>
      </w:tr>
      <w:tr w:rsidR="009C329C" w:rsidRPr="003C2798" w14:paraId="13F33AE4"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6FBB3B3A" w14:textId="77777777" w:rsidR="009C329C" w:rsidRPr="00016488" w:rsidRDefault="009C329C" w:rsidP="009C329C">
            <w:pPr>
              <w:pStyle w:val="zhangjiep"/>
              <w:jc w:val="both"/>
              <w:rPr>
                <w:szCs w:val="21"/>
              </w:rPr>
            </w:pP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7CDC0C6A"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其中：政策性金融债</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20D53186" w14:textId="008DA882"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1,168,403,453.91</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2DD9B4A0" w14:textId="558622C5"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111.98</w:t>
            </w:r>
          </w:p>
        </w:tc>
      </w:tr>
      <w:tr w:rsidR="009C329C" w:rsidRPr="003C2798" w14:paraId="3B1939F8"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7526EB5B"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4</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711FFA8A"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企业债券</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72DB8354" w14:textId="15F0CB78"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6A4A2FD0" w14:textId="51BA68C0"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717A4671"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51D1BF27"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5</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769F0FC2"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企业短期融资</w:t>
            </w:r>
            <w:proofErr w:type="gramStart"/>
            <w:r w:rsidRPr="0058096F">
              <w:rPr>
                <w:rFonts w:cstheme="minorBidi" w:hint="eastAsia"/>
                <w:kern w:val="2"/>
                <w:sz w:val="21"/>
                <w:szCs w:val="21"/>
              </w:rPr>
              <w:t>券</w:t>
            </w:r>
            <w:proofErr w:type="gramEnd"/>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4F2C8873" w14:textId="77516364"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7A7B9118" w14:textId="085EE4C6"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22F31D8A"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7AED5FA6"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6</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7F7B5438"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中期票据</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395ADE5B" w14:textId="3B7B33B5"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6E112631" w14:textId="007B6DF1"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762DE61C"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63C0F4CC"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7</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7C7C22C1"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可转债（可交换债）</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414E2E7D" w14:textId="1A355918"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6F5A4C4C" w14:textId="0BA7BD72"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3F7733DC"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59E1AC98"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8</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41A716C4"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同业存单</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422124FC" w14:textId="3D1B8795"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0C94B1D7" w14:textId="642D340F"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25644BD8"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5B0D65F2"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9</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2C0CEBC0"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其他</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06BD01BD" w14:textId="35330C33"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1BF87319" w14:textId="0267D7D3"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w:t>
            </w:r>
          </w:p>
        </w:tc>
      </w:tr>
      <w:tr w:rsidR="009C329C" w:rsidRPr="003C2798" w14:paraId="05140791" w14:textId="77777777" w:rsidTr="00013D11">
        <w:tc>
          <w:tcPr>
            <w:tcW w:w="989" w:type="dxa"/>
            <w:tcBorders>
              <w:top w:val="single" w:sz="8" w:space="0" w:color="000000"/>
              <w:left w:val="single" w:sz="8" w:space="0" w:color="000000"/>
              <w:bottom w:val="single" w:sz="6" w:space="0" w:color="000000"/>
              <w:right w:val="single" w:sz="8" w:space="0" w:color="000000"/>
            </w:tcBorders>
            <w:vAlign w:val="center"/>
            <w:hideMark/>
          </w:tcPr>
          <w:p w14:paraId="13BE5512"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10</w:t>
            </w:r>
          </w:p>
        </w:tc>
        <w:tc>
          <w:tcPr>
            <w:tcW w:w="2413" w:type="dxa"/>
            <w:tcBorders>
              <w:top w:val="single" w:sz="8" w:space="0" w:color="000000"/>
              <w:left w:val="single" w:sz="8" w:space="0" w:color="000000"/>
              <w:bottom w:val="single" w:sz="6" w:space="0" w:color="000000"/>
              <w:right w:val="single" w:sz="8" w:space="0" w:color="000000"/>
            </w:tcBorders>
            <w:vAlign w:val="center"/>
            <w:hideMark/>
          </w:tcPr>
          <w:p w14:paraId="07D23E7A" w14:textId="77777777" w:rsidR="009C329C" w:rsidRPr="0058096F" w:rsidRDefault="009C329C" w:rsidP="009C329C">
            <w:pPr>
              <w:pStyle w:val="biaogeright"/>
              <w:jc w:val="both"/>
              <w:rPr>
                <w:rFonts w:cstheme="minorBidi"/>
                <w:kern w:val="2"/>
                <w:sz w:val="21"/>
                <w:szCs w:val="21"/>
              </w:rPr>
            </w:pPr>
            <w:r w:rsidRPr="0058096F">
              <w:rPr>
                <w:rFonts w:cstheme="minorBidi" w:hint="eastAsia"/>
                <w:kern w:val="2"/>
                <w:sz w:val="21"/>
                <w:szCs w:val="21"/>
              </w:rPr>
              <w:t>合计</w:t>
            </w:r>
          </w:p>
        </w:tc>
        <w:tc>
          <w:tcPr>
            <w:tcW w:w="3138" w:type="dxa"/>
            <w:tcBorders>
              <w:top w:val="single" w:sz="8" w:space="0" w:color="000000"/>
              <w:left w:val="single" w:sz="8" w:space="0" w:color="000000"/>
              <w:bottom w:val="single" w:sz="6" w:space="0" w:color="000000"/>
              <w:right w:val="single" w:sz="8" w:space="0" w:color="000000"/>
            </w:tcBorders>
            <w:vAlign w:val="center"/>
            <w:hideMark/>
          </w:tcPr>
          <w:p w14:paraId="27B384DF" w14:textId="64CF5E37" w:rsidR="009C329C" w:rsidRPr="0058096F" w:rsidRDefault="009C329C" w:rsidP="009C329C">
            <w:pPr>
              <w:pStyle w:val="biaogeright"/>
              <w:jc w:val="both"/>
              <w:rPr>
                <w:rFonts w:cstheme="minorBidi"/>
                <w:kern w:val="2"/>
                <w:sz w:val="21"/>
                <w:szCs w:val="21"/>
              </w:rPr>
            </w:pPr>
            <w:r w:rsidRPr="005F5714">
              <w:rPr>
                <w:rFonts w:cstheme="minorBidi"/>
                <w:kern w:val="2"/>
                <w:sz w:val="21"/>
                <w:szCs w:val="21"/>
              </w:rPr>
              <w:t>1,168,403,453.91</w:t>
            </w:r>
          </w:p>
        </w:tc>
        <w:tc>
          <w:tcPr>
            <w:tcW w:w="2505" w:type="dxa"/>
            <w:tcBorders>
              <w:top w:val="single" w:sz="8" w:space="0" w:color="000000"/>
              <w:left w:val="single" w:sz="8" w:space="0" w:color="000000"/>
              <w:bottom w:val="single" w:sz="6" w:space="0" w:color="000000"/>
              <w:right w:val="single" w:sz="8" w:space="0" w:color="000000"/>
            </w:tcBorders>
            <w:vAlign w:val="center"/>
            <w:hideMark/>
          </w:tcPr>
          <w:p w14:paraId="2CFD1B7B" w14:textId="025E5667" w:rsidR="009C329C" w:rsidRPr="0058096F" w:rsidRDefault="009C329C" w:rsidP="009C329C">
            <w:pPr>
              <w:pStyle w:val="biaogeright"/>
              <w:jc w:val="both"/>
              <w:rPr>
                <w:rFonts w:cstheme="minorBidi"/>
                <w:kern w:val="2"/>
                <w:sz w:val="21"/>
                <w:szCs w:val="21"/>
              </w:rPr>
            </w:pPr>
            <w:r w:rsidRPr="00A57476">
              <w:rPr>
                <w:rFonts w:cstheme="minorBidi" w:hint="eastAsia"/>
                <w:kern w:val="2"/>
                <w:sz w:val="21"/>
                <w:szCs w:val="21"/>
              </w:rPr>
              <w:t>111.98</w:t>
            </w:r>
          </w:p>
        </w:tc>
      </w:tr>
    </w:tbl>
    <w:p w14:paraId="6C72FCE5" w14:textId="77777777" w:rsidR="003C2798" w:rsidRPr="0058096F" w:rsidRDefault="003C2798" w:rsidP="0058096F">
      <w:pPr>
        <w:pStyle w:val="zhangjiep"/>
        <w:jc w:val="both"/>
        <w:rPr>
          <w:rFonts w:cstheme="minorBidi"/>
          <w:kern w:val="2"/>
          <w:sz w:val="21"/>
          <w:szCs w:val="21"/>
        </w:rPr>
      </w:pPr>
    </w:p>
    <w:p w14:paraId="125CD860" w14:textId="77777777" w:rsidR="003C2798" w:rsidRPr="0058096F" w:rsidRDefault="003C2798" w:rsidP="0058096F">
      <w:pPr>
        <w:pStyle w:val="zhangjiep"/>
        <w:jc w:val="both"/>
        <w:rPr>
          <w:rFonts w:cstheme="minorBidi"/>
          <w:kern w:val="2"/>
          <w:sz w:val="21"/>
          <w:szCs w:val="21"/>
        </w:rPr>
      </w:pPr>
      <w:bookmarkStart w:id="14" w:name="_Toc85725561"/>
      <w:r w:rsidRPr="0058096F">
        <w:rPr>
          <w:rFonts w:cstheme="minorBidi"/>
          <w:kern w:val="2"/>
          <w:sz w:val="21"/>
          <w:szCs w:val="21"/>
        </w:rPr>
        <w:t xml:space="preserve">5、 </w:t>
      </w:r>
      <w:r w:rsidRPr="0058096F">
        <w:rPr>
          <w:rFonts w:cstheme="minorBidi" w:hint="eastAsia"/>
          <w:kern w:val="2"/>
          <w:sz w:val="21"/>
          <w:szCs w:val="21"/>
        </w:rPr>
        <w:t>报告期末按公允价值占基金资产净值比例大小排序的前五名债券投资明细</w:t>
      </w:r>
      <w:bookmarkEnd w:id="14"/>
    </w:p>
    <w:tbl>
      <w:tblPr>
        <w:tblW w:w="10437" w:type="dxa"/>
        <w:tblInd w:w="-318" w:type="dxa"/>
        <w:tblLayout w:type="fixed"/>
        <w:tblLook w:val="04A0" w:firstRow="1" w:lastRow="0" w:firstColumn="1" w:lastColumn="0" w:noHBand="0" w:noVBand="1"/>
      </w:tblPr>
      <w:tblGrid>
        <w:gridCol w:w="444"/>
        <w:gridCol w:w="1400"/>
        <w:gridCol w:w="1600"/>
        <w:gridCol w:w="1944"/>
        <w:gridCol w:w="2409"/>
        <w:gridCol w:w="2640"/>
      </w:tblGrid>
      <w:tr w:rsidR="009C329C" w:rsidRPr="003C2798" w14:paraId="3E463FD8" w14:textId="77777777" w:rsidTr="009C329C">
        <w:tc>
          <w:tcPr>
            <w:tcW w:w="444" w:type="dxa"/>
            <w:tcBorders>
              <w:top w:val="single" w:sz="8" w:space="0" w:color="000000"/>
              <w:left w:val="single" w:sz="8" w:space="0" w:color="000000"/>
              <w:bottom w:val="single" w:sz="6" w:space="0" w:color="000000"/>
              <w:right w:val="single" w:sz="8" w:space="0" w:color="000000"/>
            </w:tcBorders>
            <w:vAlign w:val="center"/>
            <w:hideMark/>
          </w:tcPr>
          <w:p w14:paraId="0EE5A608"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序号</w:t>
            </w:r>
          </w:p>
        </w:tc>
        <w:tc>
          <w:tcPr>
            <w:tcW w:w="1400" w:type="dxa"/>
            <w:tcBorders>
              <w:top w:val="single" w:sz="8" w:space="0" w:color="000000"/>
              <w:left w:val="single" w:sz="8" w:space="0" w:color="000000"/>
              <w:bottom w:val="single" w:sz="6" w:space="0" w:color="000000"/>
              <w:right w:val="single" w:sz="8" w:space="0" w:color="000000"/>
            </w:tcBorders>
            <w:vAlign w:val="center"/>
            <w:hideMark/>
          </w:tcPr>
          <w:p w14:paraId="1B1F3B81"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债券代码</w:t>
            </w:r>
          </w:p>
        </w:tc>
        <w:tc>
          <w:tcPr>
            <w:tcW w:w="1600" w:type="dxa"/>
            <w:tcBorders>
              <w:top w:val="single" w:sz="8" w:space="0" w:color="000000"/>
              <w:left w:val="single" w:sz="8" w:space="0" w:color="000000"/>
              <w:bottom w:val="single" w:sz="6" w:space="0" w:color="000000"/>
              <w:right w:val="single" w:sz="8" w:space="0" w:color="000000"/>
            </w:tcBorders>
            <w:vAlign w:val="center"/>
            <w:hideMark/>
          </w:tcPr>
          <w:p w14:paraId="183A78FD"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债券名称</w:t>
            </w:r>
          </w:p>
        </w:tc>
        <w:tc>
          <w:tcPr>
            <w:tcW w:w="1944" w:type="dxa"/>
            <w:tcBorders>
              <w:top w:val="single" w:sz="8" w:space="0" w:color="000000"/>
              <w:left w:val="single" w:sz="8" w:space="0" w:color="000000"/>
              <w:bottom w:val="single" w:sz="6" w:space="0" w:color="000000"/>
              <w:right w:val="single" w:sz="8" w:space="0" w:color="000000"/>
            </w:tcBorders>
            <w:vAlign w:val="center"/>
            <w:hideMark/>
          </w:tcPr>
          <w:p w14:paraId="1640536F"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数量（张）</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3CCD94C7"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公允价值</w:t>
            </w:r>
            <w:r w:rsidRPr="0058096F">
              <w:rPr>
                <w:rFonts w:cstheme="minorBidi"/>
                <w:kern w:val="2"/>
                <w:sz w:val="21"/>
                <w:szCs w:val="21"/>
              </w:rPr>
              <w:t>(元)</w:t>
            </w:r>
          </w:p>
        </w:tc>
        <w:tc>
          <w:tcPr>
            <w:tcW w:w="2640" w:type="dxa"/>
            <w:tcBorders>
              <w:top w:val="single" w:sz="8" w:space="0" w:color="000000"/>
              <w:left w:val="single" w:sz="8" w:space="0" w:color="000000"/>
              <w:bottom w:val="single" w:sz="6" w:space="0" w:color="000000"/>
              <w:right w:val="single" w:sz="8" w:space="0" w:color="000000"/>
            </w:tcBorders>
            <w:vAlign w:val="center"/>
            <w:hideMark/>
          </w:tcPr>
          <w:p w14:paraId="35D16CC3"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占基金资产净值比例（％）</w:t>
            </w:r>
          </w:p>
        </w:tc>
      </w:tr>
      <w:tr w:rsidR="009C329C" w:rsidRPr="003C2798" w14:paraId="43BB9F33" w14:textId="77777777" w:rsidTr="009C329C">
        <w:tc>
          <w:tcPr>
            <w:tcW w:w="444" w:type="dxa"/>
            <w:tcBorders>
              <w:top w:val="single" w:sz="8" w:space="0" w:color="000000"/>
              <w:left w:val="single" w:sz="8" w:space="0" w:color="000000"/>
              <w:bottom w:val="single" w:sz="6" w:space="0" w:color="000000"/>
              <w:right w:val="single" w:sz="8" w:space="0" w:color="000000"/>
            </w:tcBorders>
            <w:vAlign w:val="center"/>
            <w:hideMark/>
          </w:tcPr>
          <w:p w14:paraId="280C147E"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1</w:t>
            </w:r>
          </w:p>
        </w:tc>
        <w:tc>
          <w:tcPr>
            <w:tcW w:w="1400" w:type="dxa"/>
            <w:tcBorders>
              <w:top w:val="single" w:sz="8" w:space="0" w:color="000000"/>
              <w:left w:val="single" w:sz="8" w:space="0" w:color="000000"/>
              <w:bottom w:val="single" w:sz="6" w:space="0" w:color="000000"/>
              <w:right w:val="single" w:sz="8" w:space="0" w:color="000000"/>
            </w:tcBorders>
            <w:vAlign w:val="center"/>
            <w:hideMark/>
          </w:tcPr>
          <w:p w14:paraId="727AE323" w14:textId="78255F8B" w:rsidR="009C329C" w:rsidRPr="0058096F" w:rsidRDefault="009C329C" w:rsidP="009C329C">
            <w:pPr>
              <w:pStyle w:val="biaogeright"/>
              <w:jc w:val="both"/>
              <w:rPr>
                <w:rFonts w:cstheme="minorBidi"/>
                <w:kern w:val="2"/>
                <w:sz w:val="21"/>
                <w:szCs w:val="21"/>
              </w:rPr>
            </w:pPr>
            <w:r w:rsidRPr="00544466">
              <w:rPr>
                <w:rFonts w:hAnsi="等线" w:hint="eastAsia"/>
                <w:color w:val="000000"/>
              </w:rPr>
              <w:t>220211</w:t>
            </w:r>
          </w:p>
        </w:tc>
        <w:tc>
          <w:tcPr>
            <w:tcW w:w="1600" w:type="dxa"/>
            <w:tcBorders>
              <w:top w:val="single" w:sz="8" w:space="0" w:color="000000"/>
              <w:left w:val="single" w:sz="8" w:space="0" w:color="000000"/>
              <w:bottom w:val="single" w:sz="6" w:space="0" w:color="000000"/>
              <w:right w:val="single" w:sz="8" w:space="0" w:color="000000"/>
            </w:tcBorders>
            <w:vAlign w:val="center"/>
            <w:hideMark/>
          </w:tcPr>
          <w:p w14:paraId="6F68ACD9" w14:textId="4371BC97" w:rsidR="009C329C" w:rsidRPr="0058096F" w:rsidRDefault="009C329C" w:rsidP="009C329C">
            <w:pPr>
              <w:pStyle w:val="biaogeright"/>
              <w:jc w:val="both"/>
              <w:rPr>
                <w:rFonts w:cstheme="minorBidi"/>
                <w:kern w:val="2"/>
                <w:sz w:val="21"/>
                <w:szCs w:val="21"/>
              </w:rPr>
            </w:pPr>
            <w:r w:rsidRPr="00544466">
              <w:rPr>
                <w:rFonts w:hAnsi="等线" w:hint="eastAsia"/>
                <w:color w:val="000000"/>
              </w:rPr>
              <w:t>22国开11</w:t>
            </w:r>
          </w:p>
        </w:tc>
        <w:tc>
          <w:tcPr>
            <w:tcW w:w="1944" w:type="dxa"/>
            <w:tcBorders>
              <w:top w:val="single" w:sz="8" w:space="0" w:color="000000"/>
              <w:left w:val="single" w:sz="8" w:space="0" w:color="000000"/>
              <w:bottom w:val="single" w:sz="6" w:space="0" w:color="000000"/>
              <w:right w:val="single" w:sz="8" w:space="0" w:color="000000"/>
            </w:tcBorders>
            <w:vAlign w:val="center"/>
            <w:hideMark/>
          </w:tcPr>
          <w:p w14:paraId="1DBBF9D8" w14:textId="7D5CCE55" w:rsidR="009C329C" w:rsidRPr="0058096F" w:rsidRDefault="009C329C" w:rsidP="009C329C">
            <w:pPr>
              <w:pStyle w:val="biaogeright"/>
              <w:jc w:val="both"/>
              <w:rPr>
                <w:rFonts w:cstheme="minorBidi"/>
                <w:kern w:val="2"/>
                <w:sz w:val="21"/>
                <w:szCs w:val="21"/>
              </w:rPr>
            </w:pPr>
            <w:r w:rsidRPr="00544466">
              <w:rPr>
                <w:rFonts w:hAnsi="等线" w:hint="eastAsia"/>
                <w:color w:val="000000"/>
              </w:rPr>
              <w:t>3,000,000</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4F6C946E" w14:textId="6C649F24" w:rsidR="009C329C" w:rsidRPr="0058096F" w:rsidRDefault="009C329C" w:rsidP="009C329C">
            <w:pPr>
              <w:pStyle w:val="biaogeright"/>
              <w:jc w:val="both"/>
              <w:rPr>
                <w:rFonts w:cstheme="minorBidi"/>
                <w:kern w:val="2"/>
                <w:sz w:val="21"/>
                <w:szCs w:val="21"/>
              </w:rPr>
            </w:pPr>
            <w:r w:rsidRPr="00544466">
              <w:rPr>
                <w:rFonts w:hAnsi="等线" w:hint="eastAsia"/>
                <w:color w:val="000000"/>
              </w:rPr>
              <w:t>300,599,589.04</w:t>
            </w:r>
          </w:p>
        </w:tc>
        <w:tc>
          <w:tcPr>
            <w:tcW w:w="2640" w:type="dxa"/>
            <w:tcBorders>
              <w:top w:val="single" w:sz="8" w:space="0" w:color="000000"/>
              <w:left w:val="single" w:sz="8" w:space="0" w:color="000000"/>
              <w:bottom w:val="single" w:sz="6" w:space="0" w:color="000000"/>
              <w:right w:val="single" w:sz="8" w:space="0" w:color="000000"/>
            </w:tcBorders>
            <w:vAlign w:val="center"/>
            <w:hideMark/>
          </w:tcPr>
          <w:p w14:paraId="13872C4F" w14:textId="6B3A297A" w:rsidR="009C329C" w:rsidRPr="0058096F" w:rsidRDefault="009C329C" w:rsidP="009C329C">
            <w:pPr>
              <w:pStyle w:val="biaogeright"/>
              <w:jc w:val="both"/>
              <w:rPr>
                <w:rFonts w:cstheme="minorBidi"/>
                <w:kern w:val="2"/>
                <w:sz w:val="21"/>
                <w:szCs w:val="21"/>
              </w:rPr>
            </w:pPr>
            <w:r w:rsidRPr="00544466">
              <w:rPr>
                <w:rFonts w:hAnsi="等线" w:hint="eastAsia"/>
                <w:color w:val="000000"/>
              </w:rPr>
              <w:t>28.81</w:t>
            </w:r>
          </w:p>
        </w:tc>
      </w:tr>
      <w:tr w:rsidR="009C329C" w:rsidRPr="003C2798" w14:paraId="00ADAE6B" w14:textId="77777777" w:rsidTr="009C329C">
        <w:tc>
          <w:tcPr>
            <w:tcW w:w="444" w:type="dxa"/>
            <w:tcBorders>
              <w:top w:val="single" w:sz="8" w:space="0" w:color="000000"/>
              <w:left w:val="single" w:sz="8" w:space="0" w:color="000000"/>
              <w:bottom w:val="single" w:sz="6" w:space="0" w:color="000000"/>
              <w:right w:val="single" w:sz="8" w:space="0" w:color="000000"/>
            </w:tcBorders>
            <w:vAlign w:val="center"/>
            <w:hideMark/>
          </w:tcPr>
          <w:p w14:paraId="0FD752D4"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2</w:t>
            </w:r>
          </w:p>
        </w:tc>
        <w:tc>
          <w:tcPr>
            <w:tcW w:w="1400" w:type="dxa"/>
            <w:tcBorders>
              <w:top w:val="single" w:sz="8" w:space="0" w:color="000000"/>
              <w:left w:val="single" w:sz="8" w:space="0" w:color="000000"/>
              <w:bottom w:val="single" w:sz="6" w:space="0" w:color="000000"/>
              <w:right w:val="single" w:sz="8" w:space="0" w:color="000000"/>
            </w:tcBorders>
            <w:vAlign w:val="center"/>
            <w:hideMark/>
          </w:tcPr>
          <w:p w14:paraId="529146B0" w14:textId="315621D6" w:rsidR="009C329C" w:rsidRPr="0058096F" w:rsidRDefault="009C329C" w:rsidP="009C329C">
            <w:pPr>
              <w:pStyle w:val="biaogeright"/>
              <w:jc w:val="both"/>
              <w:rPr>
                <w:rFonts w:cstheme="minorBidi"/>
                <w:kern w:val="2"/>
                <w:sz w:val="21"/>
                <w:szCs w:val="21"/>
              </w:rPr>
            </w:pPr>
            <w:r w:rsidRPr="00544466">
              <w:rPr>
                <w:rFonts w:hAnsi="等线" w:hint="eastAsia"/>
                <w:color w:val="000000"/>
              </w:rPr>
              <w:t>220306</w:t>
            </w:r>
          </w:p>
        </w:tc>
        <w:tc>
          <w:tcPr>
            <w:tcW w:w="1600" w:type="dxa"/>
            <w:tcBorders>
              <w:top w:val="single" w:sz="8" w:space="0" w:color="000000"/>
              <w:left w:val="single" w:sz="8" w:space="0" w:color="000000"/>
              <w:bottom w:val="single" w:sz="6" w:space="0" w:color="000000"/>
              <w:right w:val="single" w:sz="8" w:space="0" w:color="000000"/>
            </w:tcBorders>
            <w:vAlign w:val="center"/>
            <w:hideMark/>
          </w:tcPr>
          <w:p w14:paraId="2A51A634" w14:textId="59A4597A" w:rsidR="009C329C" w:rsidRPr="0058096F" w:rsidRDefault="009C329C" w:rsidP="009C329C">
            <w:pPr>
              <w:pStyle w:val="biaogeright"/>
              <w:jc w:val="both"/>
              <w:rPr>
                <w:rFonts w:cstheme="minorBidi"/>
                <w:kern w:val="2"/>
                <w:sz w:val="21"/>
                <w:szCs w:val="21"/>
              </w:rPr>
            </w:pPr>
            <w:r w:rsidRPr="00544466">
              <w:rPr>
                <w:rFonts w:hAnsi="等线" w:hint="eastAsia"/>
                <w:color w:val="000000"/>
              </w:rPr>
              <w:t>22进出06</w:t>
            </w:r>
          </w:p>
        </w:tc>
        <w:tc>
          <w:tcPr>
            <w:tcW w:w="1944" w:type="dxa"/>
            <w:tcBorders>
              <w:top w:val="single" w:sz="8" w:space="0" w:color="000000"/>
              <w:left w:val="single" w:sz="8" w:space="0" w:color="000000"/>
              <w:bottom w:val="single" w:sz="6" w:space="0" w:color="000000"/>
              <w:right w:val="single" w:sz="8" w:space="0" w:color="000000"/>
            </w:tcBorders>
            <w:vAlign w:val="center"/>
            <w:hideMark/>
          </w:tcPr>
          <w:p w14:paraId="1961F1AF" w14:textId="110975BD" w:rsidR="009C329C" w:rsidRPr="0058096F" w:rsidRDefault="009C329C" w:rsidP="009C329C">
            <w:pPr>
              <w:pStyle w:val="biaogeright"/>
              <w:jc w:val="both"/>
              <w:rPr>
                <w:rFonts w:cstheme="minorBidi"/>
                <w:kern w:val="2"/>
                <w:sz w:val="21"/>
                <w:szCs w:val="21"/>
              </w:rPr>
            </w:pPr>
            <w:r w:rsidRPr="00544466">
              <w:rPr>
                <w:rFonts w:hAnsi="等线" w:hint="eastAsia"/>
                <w:color w:val="000000"/>
              </w:rPr>
              <w:t>2,000,000</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5D81836A" w14:textId="32F69406" w:rsidR="009C329C" w:rsidRPr="0058096F" w:rsidRDefault="009C329C" w:rsidP="009C329C">
            <w:pPr>
              <w:pStyle w:val="biaogeright"/>
              <w:jc w:val="both"/>
              <w:rPr>
                <w:rFonts w:cstheme="minorBidi"/>
                <w:kern w:val="2"/>
                <w:sz w:val="21"/>
                <w:szCs w:val="21"/>
              </w:rPr>
            </w:pPr>
            <w:r w:rsidRPr="00544466">
              <w:rPr>
                <w:rFonts w:hAnsi="等线" w:hint="eastAsia"/>
                <w:color w:val="000000"/>
              </w:rPr>
              <w:t>200,244,876.71</w:t>
            </w:r>
          </w:p>
        </w:tc>
        <w:tc>
          <w:tcPr>
            <w:tcW w:w="2640" w:type="dxa"/>
            <w:tcBorders>
              <w:top w:val="single" w:sz="8" w:space="0" w:color="000000"/>
              <w:left w:val="single" w:sz="8" w:space="0" w:color="000000"/>
              <w:bottom w:val="single" w:sz="6" w:space="0" w:color="000000"/>
              <w:right w:val="single" w:sz="8" w:space="0" w:color="000000"/>
            </w:tcBorders>
            <w:vAlign w:val="center"/>
            <w:hideMark/>
          </w:tcPr>
          <w:p w14:paraId="4C9B663A" w14:textId="38998525" w:rsidR="009C329C" w:rsidRPr="0058096F" w:rsidRDefault="009C329C" w:rsidP="009C329C">
            <w:pPr>
              <w:pStyle w:val="biaogeright"/>
              <w:jc w:val="both"/>
              <w:rPr>
                <w:rFonts w:cstheme="minorBidi"/>
                <w:kern w:val="2"/>
                <w:sz w:val="21"/>
                <w:szCs w:val="21"/>
              </w:rPr>
            </w:pPr>
            <w:r w:rsidRPr="00544466">
              <w:rPr>
                <w:rFonts w:hAnsi="等线" w:hint="eastAsia"/>
                <w:color w:val="000000"/>
              </w:rPr>
              <w:t>19.19</w:t>
            </w:r>
          </w:p>
        </w:tc>
      </w:tr>
      <w:tr w:rsidR="009C329C" w:rsidRPr="003C2798" w14:paraId="2187C7B2" w14:textId="77777777" w:rsidTr="009C329C">
        <w:tc>
          <w:tcPr>
            <w:tcW w:w="444" w:type="dxa"/>
            <w:tcBorders>
              <w:top w:val="single" w:sz="8" w:space="0" w:color="000000"/>
              <w:left w:val="single" w:sz="8" w:space="0" w:color="000000"/>
              <w:bottom w:val="single" w:sz="6" w:space="0" w:color="000000"/>
              <w:right w:val="single" w:sz="8" w:space="0" w:color="000000"/>
            </w:tcBorders>
            <w:vAlign w:val="center"/>
            <w:hideMark/>
          </w:tcPr>
          <w:p w14:paraId="2208EF34"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3</w:t>
            </w:r>
          </w:p>
        </w:tc>
        <w:tc>
          <w:tcPr>
            <w:tcW w:w="1400" w:type="dxa"/>
            <w:tcBorders>
              <w:top w:val="single" w:sz="8" w:space="0" w:color="000000"/>
              <w:left w:val="single" w:sz="8" w:space="0" w:color="000000"/>
              <w:bottom w:val="single" w:sz="6" w:space="0" w:color="000000"/>
              <w:right w:val="single" w:sz="8" w:space="0" w:color="000000"/>
            </w:tcBorders>
            <w:vAlign w:val="center"/>
            <w:hideMark/>
          </w:tcPr>
          <w:p w14:paraId="4BCD5770" w14:textId="7495A38C" w:rsidR="009C329C" w:rsidRPr="0058096F" w:rsidRDefault="009C329C" w:rsidP="009C329C">
            <w:pPr>
              <w:pStyle w:val="biaogeright"/>
              <w:jc w:val="both"/>
              <w:rPr>
                <w:rFonts w:cstheme="minorBidi"/>
                <w:kern w:val="2"/>
                <w:sz w:val="21"/>
                <w:szCs w:val="21"/>
              </w:rPr>
            </w:pPr>
            <w:r w:rsidRPr="00544466">
              <w:rPr>
                <w:rFonts w:hAnsi="等线" w:hint="eastAsia"/>
                <w:color w:val="000000"/>
              </w:rPr>
              <w:t>200217</w:t>
            </w:r>
          </w:p>
        </w:tc>
        <w:tc>
          <w:tcPr>
            <w:tcW w:w="1600" w:type="dxa"/>
            <w:tcBorders>
              <w:top w:val="single" w:sz="8" w:space="0" w:color="000000"/>
              <w:left w:val="single" w:sz="8" w:space="0" w:color="000000"/>
              <w:bottom w:val="single" w:sz="6" w:space="0" w:color="000000"/>
              <w:right w:val="single" w:sz="8" w:space="0" w:color="000000"/>
            </w:tcBorders>
            <w:vAlign w:val="center"/>
            <w:hideMark/>
          </w:tcPr>
          <w:p w14:paraId="1FA035D9" w14:textId="7853B850" w:rsidR="009C329C" w:rsidRPr="0058096F" w:rsidRDefault="009C329C" w:rsidP="009C329C">
            <w:pPr>
              <w:pStyle w:val="biaogeright"/>
              <w:jc w:val="both"/>
              <w:rPr>
                <w:rFonts w:cstheme="minorBidi"/>
                <w:kern w:val="2"/>
                <w:sz w:val="21"/>
                <w:szCs w:val="21"/>
              </w:rPr>
            </w:pPr>
            <w:r w:rsidRPr="00544466">
              <w:rPr>
                <w:rFonts w:hAnsi="等线" w:hint="eastAsia"/>
                <w:color w:val="000000"/>
              </w:rPr>
              <w:t>20国开17</w:t>
            </w:r>
          </w:p>
        </w:tc>
        <w:tc>
          <w:tcPr>
            <w:tcW w:w="1944" w:type="dxa"/>
            <w:tcBorders>
              <w:top w:val="single" w:sz="8" w:space="0" w:color="000000"/>
              <w:left w:val="single" w:sz="8" w:space="0" w:color="000000"/>
              <w:bottom w:val="single" w:sz="6" w:space="0" w:color="000000"/>
              <w:right w:val="single" w:sz="8" w:space="0" w:color="000000"/>
            </w:tcBorders>
            <w:vAlign w:val="center"/>
            <w:hideMark/>
          </w:tcPr>
          <w:p w14:paraId="603E9302" w14:textId="3ED2C53B" w:rsidR="009C329C" w:rsidRPr="0058096F" w:rsidRDefault="009C329C" w:rsidP="009C329C">
            <w:pPr>
              <w:pStyle w:val="biaogeright"/>
              <w:jc w:val="both"/>
              <w:rPr>
                <w:rFonts w:cstheme="minorBidi"/>
                <w:kern w:val="2"/>
                <w:sz w:val="21"/>
                <w:szCs w:val="21"/>
              </w:rPr>
            </w:pPr>
            <w:r w:rsidRPr="00544466">
              <w:rPr>
                <w:rFonts w:hAnsi="等线" w:hint="eastAsia"/>
                <w:color w:val="000000"/>
              </w:rPr>
              <w:t>1,700,000</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5B9A9103" w14:textId="36E53F20" w:rsidR="009C329C" w:rsidRPr="0058096F" w:rsidRDefault="009C329C" w:rsidP="009C329C">
            <w:pPr>
              <w:pStyle w:val="biaogeright"/>
              <w:jc w:val="both"/>
              <w:rPr>
                <w:rFonts w:cstheme="minorBidi"/>
                <w:kern w:val="2"/>
                <w:sz w:val="21"/>
                <w:szCs w:val="21"/>
              </w:rPr>
            </w:pPr>
            <w:r w:rsidRPr="00544466">
              <w:rPr>
                <w:rFonts w:hAnsi="等线" w:hint="eastAsia"/>
                <w:color w:val="000000"/>
              </w:rPr>
              <w:t>171,139,280.22</w:t>
            </w:r>
          </w:p>
        </w:tc>
        <w:tc>
          <w:tcPr>
            <w:tcW w:w="2640" w:type="dxa"/>
            <w:tcBorders>
              <w:top w:val="single" w:sz="8" w:space="0" w:color="000000"/>
              <w:left w:val="single" w:sz="8" w:space="0" w:color="000000"/>
              <w:bottom w:val="single" w:sz="6" w:space="0" w:color="000000"/>
              <w:right w:val="single" w:sz="8" w:space="0" w:color="000000"/>
            </w:tcBorders>
            <w:vAlign w:val="center"/>
            <w:hideMark/>
          </w:tcPr>
          <w:p w14:paraId="53B9FF66" w14:textId="13B38E89" w:rsidR="009C329C" w:rsidRPr="0058096F" w:rsidRDefault="009C329C" w:rsidP="009C329C">
            <w:pPr>
              <w:pStyle w:val="biaogeright"/>
              <w:jc w:val="both"/>
              <w:rPr>
                <w:rFonts w:cstheme="minorBidi"/>
                <w:kern w:val="2"/>
                <w:sz w:val="21"/>
                <w:szCs w:val="21"/>
              </w:rPr>
            </w:pPr>
            <w:r w:rsidRPr="00544466">
              <w:rPr>
                <w:rFonts w:hAnsi="等线" w:hint="eastAsia"/>
                <w:color w:val="000000"/>
              </w:rPr>
              <w:t>16.40</w:t>
            </w:r>
          </w:p>
        </w:tc>
      </w:tr>
      <w:tr w:rsidR="009C329C" w:rsidRPr="003C2798" w14:paraId="2FBE21DE" w14:textId="77777777" w:rsidTr="009C329C">
        <w:tc>
          <w:tcPr>
            <w:tcW w:w="444" w:type="dxa"/>
            <w:tcBorders>
              <w:top w:val="single" w:sz="8" w:space="0" w:color="000000"/>
              <w:left w:val="single" w:sz="8" w:space="0" w:color="000000"/>
              <w:bottom w:val="single" w:sz="6" w:space="0" w:color="000000"/>
              <w:right w:val="single" w:sz="8" w:space="0" w:color="000000"/>
            </w:tcBorders>
            <w:vAlign w:val="center"/>
            <w:hideMark/>
          </w:tcPr>
          <w:p w14:paraId="7104B0C2"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t>4</w:t>
            </w:r>
          </w:p>
        </w:tc>
        <w:tc>
          <w:tcPr>
            <w:tcW w:w="1400" w:type="dxa"/>
            <w:tcBorders>
              <w:top w:val="single" w:sz="8" w:space="0" w:color="000000"/>
              <w:left w:val="single" w:sz="8" w:space="0" w:color="000000"/>
              <w:bottom w:val="single" w:sz="6" w:space="0" w:color="000000"/>
              <w:right w:val="single" w:sz="8" w:space="0" w:color="000000"/>
            </w:tcBorders>
            <w:vAlign w:val="center"/>
            <w:hideMark/>
          </w:tcPr>
          <w:p w14:paraId="5BFDEC0D" w14:textId="6A6FE46D" w:rsidR="009C329C" w:rsidRPr="0058096F" w:rsidRDefault="009C329C" w:rsidP="009C329C">
            <w:pPr>
              <w:pStyle w:val="biaogeright"/>
              <w:jc w:val="both"/>
              <w:rPr>
                <w:rFonts w:cstheme="minorBidi"/>
                <w:kern w:val="2"/>
                <w:sz w:val="21"/>
                <w:szCs w:val="21"/>
              </w:rPr>
            </w:pPr>
            <w:r w:rsidRPr="00544466">
              <w:rPr>
                <w:rFonts w:hAnsi="等线" w:hint="eastAsia"/>
                <w:color w:val="000000"/>
              </w:rPr>
              <w:t>210203</w:t>
            </w:r>
          </w:p>
        </w:tc>
        <w:tc>
          <w:tcPr>
            <w:tcW w:w="1600" w:type="dxa"/>
            <w:tcBorders>
              <w:top w:val="single" w:sz="8" w:space="0" w:color="000000"/>
              <w:left w:val="single" w:sz="8" w:space="0" w:color="000000"/>
              <w:bottom w:val="single" w:sz="6" w:space="0" w:color="000000"/>
              <w:right w:val="single" w:sz="8" w:space="0" w:color="000000"/>
            </w:tcBorders>
            <w:vAlign w:val="center"/>
            <w:hideMark/>
          </w:tcPr>
          <w:p w14:paraId="37558604" w14:textId="7D12BDBC" w:rsidR="009C329C" w:rsidRPr="0058096F" w:rsidRDefault="009C329C" w:rsidP="009C329C">
            <w:pPr>
              <w:pStyle w:val="biaogeright"/>
              <w:jc w:val="both"/>
              <w:rPr>
                <w:rFonts w:cstheme="minorBidi"/>
                <w:kern w:val="2"/>
                <w:sz w:val="21"/>
                <w:szCs w:val="21"/>
              </w:rPr>
            </w:pPr>
            <w:r w:rsidRPr="00544466">
              <w:rPr>
                <w:rFonts w:hAnsi="等线" w:hint="eastAsia"/>
                <w:color w:val="000000"/>
              </w:rPr>
              <w:t>21国开03</w:t>
            </w:r>
          </w:p>
        </w:tc>
        <w:tc>
          <w:tcPr>
            <w:tcW w:w="1944" w:type="dxa"/>
            <w:tcBorders>
              <w:top w:val="single" w:sz="8" w:space="0" w:color="000000"/>
              <w:left w:val="single" w:sz="8" w:space="0" w:color="000000"/>
              <w:bottom w:val="single" w:sz="6" w:space="0" w:color="000000"/>
              <w:right w:val="single" w:sz="8" w:space="0" w:color="000000"/>
            </w:tcBorders>
            <w:vAlign w:val="center"/>
            <w:hideMark/>
          </w:tcPr>
          <w:p w14:paraId="67031261" w14:textId="5305DA98" w:rsidR="009C329C" w:rsidRPr="0058096F" w:rsidRDefault="009C329C" w:rsidP="009C329C">
            <w:pPr>
              <w:pStyle w:val="biaogeright"/>
              <w:jc w:val="both"/>
              <w:rPr>
                <w:rFonts w:cstheme="minorBidi"/>
                <w:kern w:val="2"/>
                <w:sz w:val="21"/>
                <w:szCs w:val="21"/>
              </w:rPr>
            </w:pPr>
            <w:r w:rsidRPr="00544466">
              <w:rPr>
                <w:rFonts w:hAnsi="等线" w:hint="eastAsia"/>
                <w:color w:val="000000"/>
              </w:rPr>
              <w:t>1,200,000</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7BE505A7" w14:textId="229FD874" w:rsidR="009C329C" w:rsidRPr="0058096F" w:rsidRDefault="009C329C" w:rsidP="009C329C">
            <w:pPr>
              <w:pStyle w:val="biaogeright"/>
              <w:jc w:val="both"/>
              <w:rPr>
                <w:rFonts w:cstheme="minorBidi"/>
                <w:kern w:val="2"/>
                <w:sz w:val="21"/>
                <w:szCs w:val="21"/>
              </w:rPr>
            </w:pPr>
            <w:r w:rsidRPr="00544466">
              <w:rPr>
                <w:rFonts w:hAnsi="等线" w:hint="eastAsia"/>
                <w:color w:val="000000"/>
              </w:rPr>
              <w:t>125,480,054.79</w:t>
            </w:r>
          </w:p>
        </w:tc>
        <w:tc>
          <w:tcPr>
            <w:tcW w:w="2640" w:type="dxa"/>
            <w:tcBorders>
              <w:top w:val="single" w:sz="8" w:space="0" w:color="000000"/>
              <w:left w:val="single" w:sz="8" w:space="0" w:color="000000"/>
              <w:bottom w:val="single" w:sz="6" w:space="0" w:color="000000"/>
              <w:right w:val="single" w:sz="8" w:space="0" w:color="000000"/>
            </w:tcBorders>
            <w:vAlign w:val="center"/>
            <w:hideMark/>
          </w:tcPr>
          <w:p w14:paraId="1C16BF85" w14:textId="693FAECF" w:rsidR="009C329C" w:rsidRPr="0058096F" w:rsidRDefault="009C329C" w:rsidP="009C329C">
            <w:pPr>
              <w:pStyle w:val="biaogeright"/>
              <w:jc w:val="both"/>
              <w:rPr>
                <w:rFonts w:cstheme="minorBidi"/>
                <w:kern w:val="2"/>
                <w:sz w:val="21"/>
                <w:szCs w:val="21"/>
              </w:rPr>
            </w:pPr>
            <w:r w:rsidRPr="00544466">
              <w:rPr>
                <w:rFonts w:hAnsi="等线" w:hint="eastAsia"/>
                <w:color w:val="000000"/>
              </w:rPr>
              <w:t>12.03</w:t>
            </w:r>
          </w:p>
        </w:tc>
      </w:tr>
      <w:tr w:rsidR="009C329C" w:rsidRPr="003C2798" w14:paraId="14434D3A" w14:textId="77777777" w:rsidTr="009C329C">
        <w:tc>
          <w:tcPr>
            <w:tcW w:w="444" w:type="dxa"/>
            <w:tcBorders>
              <w:top w:val="single" w:sz="8" w:space="0" w:color="000000"/>
              <w:left w:val="single" w:sz="8" w:space="0" w:color="000000"/>
              <w:bottom w:val="single" w:sz="6" w:space="0" w:color="000000"/>
              <w:right w:val="single" w:sz="8" w:space="0" w:color="000000"/>
            </w:tcBorders>
            <w:vAlign w:val="center"/>
            <w:hideMark/>
          </w:tcPr>
          <w:p w14:paraId="2C25FF3E" w14:textId="77777777" w:rsidR="009C329C" w:rsidRPr="0058096F" w:rsidRDefault="009C329C" w:rsidP="009C329C">
            <w:pPr>
              <w:pStyle w:val="biaogeright"/>
              <w:jc w:val="both"/>
              <w:rPr>
                <w:rFonts w:cstheme="minorBidi"/>
                <w:kern w:val="2"/>
                <w:sz w:val="21"/>
                <w:szCs w:val="21"/>
              </w:rPr>
            </w:pPr>
            <w:r w:rsidRPr="0058096F">
              <w:rPr>
                <w:rFonts w:cstheme="minorBidi"/>
                <w:kern w:val="2"/>
                <w:sz w:val="21"/>
                <w:szCs w:val="21"/>
              </w:rPr>
              <w:lastRenderedPageBreak/>
              <w:t>5</w:t>
            </w:r>
          </w:p>
        </w:tc>
        <w:tc>
          <w:tcPr>
            <w:tcW w:w="1400" w:type="dxa"/>
            <w:tcBorders>
              <w:top w:val="single" w:sz="8" w:space="0" w:color="000000"/>
              <w:left w:val="single" w:sz="8" w:space="0" w:color="000000"/>
              <w:bottom w:val="single" w:sz="6" w:space="0" w:color="000000"/>
              <w:right w:val="single" w:sz="8" w:space="0" w:color="000000"/>
            </w:tcBorders>
            <w:vAlign w:val="center"/>
            <w:hideMark/>
          </w:tcPr>
          <w:p w14:paraId="48BDACD6" w14:textId="4B221EC7" w:rsidR="009C329C" w:rsidRPr="0058096F" w:rsidRDefault="009C329C" w:rsidP="009C329C">
            <w:pPr>
              <w:pStyle w:val="biaogeright"/>
              <w:jc w:val="both"/>
              <w:rPr>
                <w:rFonts w:cstheme="minorBidi"/>
                <w:kern w:val="2"/>
                <w:sz w:val="21"/>
                <w:szCs w:val="21"/>
              </w:rPr>
            </w:pPr>
            <w:r w:rsidRPr="00544466">
              <w:rPr>
                <w:rFonts w:hAnsi="等线" w:hint="eastAsia"/>
                <w:color w:val="000000"/>
              </w:rPr>
              <w:t>190208</w:t>
            </w:r>
          </w:p>
        </w:tc>
        <w:tc>
          <w:tcPr>
            <w:tcW w:w="1600" w:type="dxa"/>
            <w:tcBorders>
              <w:top w:val="single" w:sz="8" w:space="0" w:color="000000"/>
              <w:left w:val="single" w:sz="8" w:space="0" w:color="000000"/>
              <w:bottom w:val="single" w:sz="6" w:space="0" w:color="000000"/>
              <w:right w:val="single" w:sz="8" w:space="0" w:color="000000"/>
            </w:tcBorders>
            <w:vAlign w:val="center"/>
            <w:hideMark/>
          </w:tcPr>
          <w:p w14:paraId="2F9C7A3D" w14:textId="6A462F3A" w:rsidR="009C329C" w:rsidRPr="0058096F" w:rsidRDefault="009C329C" w:rsidP="009C329C">
            <w:pPr>
              <w:pStyle w:val="biaogeright"/>
              <w:jc w:val="both"/>
              <w:rPr>
                <w:rFonts w:cstheme="minorBidi"/>
                <w:kern w:val="2"/>
                <w:sz w:val="21"/>
                <w:szCs w:val="21"/>
              </w:rPr>
            </w:pPr>
            <w:r w:rsidRPr="00544466">
              <w:rPr>
                <w:rFonts w:hAnsi="等线" w:hint="eastAsia"/>
                <w:color w:val="000000"/>
              </w:rPr>
              <w:t>19国开08</w:t>
            </w:r>
          </w:p>
        </w:tc>
        <w:tc>
          <w:tcPr>
            <w:tcW w:w="1944" w:type="dxa"/>
            <w:tcBorders>
              <w:top w:val="single" w:sz="8" w:space="0" w:color="000000"/>
              <w:left w:val="single" w:sz="8" w:space="0" w:color="000000"/>
              <w:bottom w:val="single" w:sz="6" w:space="0" w:color="000000"/>
              <w:right w:val="single" w:sz="8" w:space="0" w:color="000000"/>
            </w:tcBorders>
            <w:vAlign w:val="center"/>
            <w:hideMark/>
          </w:tcPr>
          <w:p w14:paraId="210A509A" w14:textId="218EBFB4" w:rsidR="009C329C" w:rsidRPr="0058096F" w:rsidRDefault="009C329C" w:rsidP="009C329C">
            <w:pPr>
              <w:pStyle w:val="biaogeright"/>
              <w:jc w:val="both"/>
              <w:rPr>
                <w:rFonts w:cstheme="minorBidi"/>
                <w:kern w:val="2"/>
                <w:sz w:val="21"/>
                <w:szCs w:val="21"/>
              </w:rPr>
            </w:pPr>
            <w:r w:rsidRPr="00544466">
              <w:rPr>
                <w:rFonts w:hAnsi="等线" w:hint="eastAsia"/>
                <w:color w:val="000000"/>
              </w:rPr>
              <w:t>1,200,000</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23C2E0A4" w14:textId="7C5D2AFD" w:rsidR="009C329C" w:rsidRPr="0058096F" w:rsidRDefault="009C329C" w:rsidP="009C329C">
            <w:pPr>
              <w:pStyle w:val="biaogeright"/>
              <w:jc w:val="both"/>
              <w:rPr>
                <w:rFonts w:cstheme="minorBidi"/>
                <w:kern w:val="2"/>
                <w:sz w:val="21"/>
                <w:szCs w:val="21"/>
              </w:rPr>
            </w:pPr>
            <w:r w:rsidRPr="00544466">
              <w:rPr>
                <w:rFonts w:hAnsi="等线" w:hint="eastAsia"/>
                <w:color w:val="000000"/>
              </w:rPr>
              <w:t>123,531,189.04</w:t>
            </w:r>
          </w:p>
        </w:tc>
        <w:tc>
          <w:tcPr>
            <w:tcW w:w="2640" w:type="dxa"/>
            <w:tcBorders>
              <w:top w:val="single" w:sz="8" w:space="0" w:color="000000"/>
              <w:left w:val="single" w:sz="8" w:space="0" w:color="000000"/>
              <w:bottom w:val="single" w:sz="6" w:space="0" w:color="000000"/>
              <w:right w:val="single" w:sz="8" w:space="0" w:color="000000"/>
            </w:tcBorders>
            <w:vAlign w:val="center"/>
            <w:hideMark/>
          </w:tcPr>
          <w:p w14:paraId="0630AC01" w14:textId="1D471A82" w:rsidR="009C329C" w:rsidRPr="0058096F" w:rsidRDefault="009C329C" w:rsidP="009C329C">
            <w:pPr>
              <w:pStyle w:val="biaogeright"/>
              <w:jc w:val="both"/>
              <w:rPr>
                <w:rFonts w:cstheme="minorBidi"/>
                <w:kern w:val="2"/>
                <w:sz w:val="21"/>
                <w:szCs w:val="21"/>
              </w:rPr>
            </w:pPr>
            <w:r w:rsidRPr="00544466">
              <w:rPr>
                <w:rFonts w:hAnsi="等线" w:hint="eastAsia"/>
                <w:color w:val="000000"/>
              </w:rPr>
              <w:t>11.84</w:t>
            </w:r>
          </w:p>
        </w:tc>
      </w:tr>
    </w:tbl>
    <w:p w14:paraId="74F659A6" w14:textId="77777777" w:rsidR="003C2798" w:rsidRPr="0058096F" w:rsidRDefault="003C2798" w:rsidP="0058096F">
      <w:pPr>
        <w:pStyle w:val="zhangjiep"/>
        <w:jc w:val="both"/>
        <w:rPr>
          <w:rFonts w:cstheme="minorBidi"/>
          <w:kern w:val="2"/>
          <w:sz w:val="21"/>
          <w:szCs w:val="21"/>
        </w:rPr>
      </w:pPr>
    </w:p>
    <w:p w14:paraId="29DA1C42" w14:textId="77777777" w:rsidR="003C2798" w:rsidRPr="0058096F" w:rsidRDefault="003C2798" w:rsidP="0058096F">
      <w:pPr>
        <w:pStyle w:val="zhangjiep"/>
        <w:jc w:val="both"/>
        <w:rPr>
          <w:rFonts w:cstheme="minorBidi"/>
          <w:kern w:val="2"/>
          <w:sz w:val="21"/>
          <w:szCs w:val="21"/>
        </w:rPr>
      </w:pPr>
      <w:bookmarkStart w:id="15" w:name="_Toc85725562"/>
      <w:r w:rsidRPr="0058096F">
        <w:rPr>
          <w:rFonts w:cstheme="minorBidi"/>
          <w:kern w:val="2"/>
          <w:sz w:val="21"/>
          <w:szCs w:val="21"/>
        </w:rPr>
        <w:t xml:space="preserve">6 </w:t>
      </w:r>
      <w:r w:rsidRPr="0058096F">
        <w:rPr>
          <w:rFonts w:cstheme="minorBidi" w:hint="eastAsia"/>
          <w:kern w:val="2"/>
          <w:sz w:val="21"/>
          <w:szCs w:val="21"/>
        </w:rPr>
        <w:t>、报告期末按公允价值占基金资产净值比例大小排序的前十名资产支持证券投资明细</w:t>
      </w:r>
      <w:bookmarkEnd w:id="15"/>
    </w:p>
    <w:p w14:paraId="2F7AD9A2"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  本基金本报告期末未持有资产支持证券。</w:t>
      </w:r>
    </w:p>
    <w:p w14:paraId="16FBE489" w14:textId="77777777" w:rsidR="003C2798" w:rsidRPr="0058096F" w:rsidRDefault="003C2798" w:rsidP="0058096F">
      <w:pPr>
        <w:pStyle w:val="zhangjiep"/>
        <w:jc w:val="both"/>
        <w:rPr>
          <w:rFonts w:cstheme="minorBidi"/>
          <w:kern w:val="2"/>
          <w:sz w:val="21"/>
          <w:szCs w:val="21"/>
        </w:rPr>
      </w:pPr>
    </w:p>
    <w:p w14:paraId="587B1696" w14:textId="77777777" w:rsidR="003C2798" w:rsidRPr="0058096F" w:rsidRDefault="003C2798" w:rsidP="0058096F">
      <w:pPr>
        <w:pStyle w:val="zhangjiep"/>
        <w:jc w:val="both"/>
        <w:rPr>
          <w:rFonts w:cstheme="minorBidi"/>
          <w:kern w:val="2"/>
          <w:sz w:val="21"/>
          <w:szCs w:val="21"/>
        </w:rPr>
      </w:pPr>
      <w:bookmarkStart w:id="16" w:name="_Toc85725563"/>
      <w:r w:rsidRPr="0058096F">
        <w:rPr>
          <w:rFonts w:cstheme="minorBidi"/>
          <w:kern w:val="2"/>
          <w:sz w:val="21"/>
          <w:szCs w:val="21"/>
        </w:rPr>
        <w:t xml:space="preserve">7 </w:t>
      </w:r>
      <w:r w:rsidRPr="0058096F">
        <w:rPr>
          <w:rFonts w:cstheme="minorBidi" w:hint="eastAsia"/>
          <w:kern w:val="2"/>
          <w:sz w:val="21"/>
          <w:szCs w:val="21"/>
        </w:rPr>
        <w:t>、报告期末按公允价值占基金资产净值比例大小排序的前五名贵金属投资明细</w:t>
      </w:r>
      <w:bookmarkEnd w:id="16"/>
    </w:p>
    <w:p w14:paraId="051E68E3"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  本基金本报告期末未持有贵金属。</w:t>
      </w:r>
    </w:p>
    <w:p w14:paraId="7AAA919F" w14:textId="77777777" w:rsidR="003C2798" w:rsidRPr="0058096F" w:rsidRDefault="003C2798" w:rsidP="0058096F">
      <w:pPr>
        <w:pStyle w:val="zhangjiep"/>
        <w:jc w:val="both"/>
        <w:rPr>
          <w:rFonts w:cstheme="minorBidi"/>
          <w:kern w:val="2"/>
          <w:sz w:val="21"/>
          <w:szCs w:val="21"/>
        </w:rPr>
      </w:pPr>
    </w:p>
    <w:p w14:paraId="7CA173B3" w14:textId="77777777" w:rsidR="003C2798" w:rsidRPr="0058096F" w:rsidRDefault="003C2798" w:rsidP="0058096F">
      <w:pPr>
        <w:pStyle w:val="zhangjiep"/>
        <w:jc w:val="both"/>
        <w:rPr>
          <w:rFonts w:cstheme="minorBidi"/>
          <w:kern w:val="2"/>
          <w:sz w:val="21"/>
          <w:szCs w:val="21"/>
        </w:rPr>
      </w:pPr>
      <w:bookmarkStart w:id="17" w:name="_Toc85725564"/>
      <w:r w:rsidRPr="0058096F">
        <w:rPr>
          <w:rFonts w:cstheme="minorBidi"/>
          <w:kern w:val="2"/>
          <w:sz w:val="21"/>
          <w:szCs w:val="21"/>
        </w:rPr>
        <w:t xml:space="preserve">8 </w:t>
      </w:r>
      <w:r w:rsidRPr="0058096F">
        <w:rPr>
          <w:rFonts w:cstheme="minorBidi" w:hint="eastAsia"/>
          <w:kern w:val="2"/>
          <w:sz w:val="21"/>
          <w:szCs w:val="21"/>
        </w:rPr>
        <w:t>、报告期末按公允价值占基金资产净值比例大小排序的前五名权证投资明细</w:t>
      </w:r>
      <w:bookmarkEnd w:id="17"/>
    </w:p>
    <w:p w14:paraId="58E08C71"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  本基金本报告期末未持有权证。</w:t>
      </w:r>
    </w:p>
    <w:p w14:paraId="3978B2FA" w14:textId="77777777" w:rsidR="003C2798" w:rsidRPr="0058096F" w:rsidRDefault="003C2798" w:rsidP="0058096F">
      <w:pPr>
        <w:pStyle w:val="zhangjiep"/>
        <w:jc w:val="both"/>
        <w:rPr>
          <w:rFonts w:cstheme="minorBidi"/>
          <w:kern w:val="2"/>
          <w:sz w:val="21"/>
          <w:szCs w:val="21"/>
        </w:rPr>
      </w:pPr>
    </w:p>
    <w:p w14:paraId="6676F82F" w14:textId="77777777" w:rsidR="003C2798" w:rsidRPr="0058096F" w:rsidRDefault="003C2798" w:rsidP="0058096F">
      <w:pPr>
        <w:pStyle w:val="zhangjiep"/>
        <w:jc w:val="both"/>
        <w:rPr>
          <w:rFonts w:cstheme="minorBidi"/>
          <w:kern w:val="2"/>
          <w:sz w:val="21"/>
          <w:szCs w:val="21"/>
        </w:rPr>
      </w:pPr>
      <w:bookmarkStart w:id="18" w:name="_Toc85725565"/>
      <w:r w:rsidRPr="0058096F">
        <w:rPr>
          <w:rFonts w:cstheme="minorBidi"/>
          <w:kern w:val="2"/>
          <w:sz w:val="21"/>
          <w:szCs w:val="21"/>
        </w:rPr>
        <w:t xml:space="preserve">9 </w:t>
      </w:r>
      <w:r w:rsidRPr="0058096F">
        <w:rPr>
          <w:rFonts w:cstheme="minorBidi" w:hint="eastAsia"/>
          <w:kern w:val="2"/>
          <w:sz w:val="21"/>
          <w:szCs w:val="21"/>
        </w:rPr>
        <w:t>、报告期末本基金投资的股指期货交易情况说明</w:t>
      </w:r>
      <w:bookmarkEnd w:id="18"/>
    </w:p>
    <w:p w14:paraId="7D1C1B55"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9.1 </w:t>
      </w:r>
      <w:r w:rsidRPr="0058096F">
        <w:rPr>
          <w:rFonts w:cstheme="minorBidi" w:hint="eastAsia"/>
          <w:kern w:val="2"/>
          <w:sz w:val="21"/>
          <w:szCs w:val="21"/>
        </w:rPr>
        <w:t>、报告期末本基金投资的股指期货持仓和损益明细</w:t>
      </w:r>
    </w:p>
    <w:p w14:paraId="3A517A2D"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本基金本报告期末未投资股指期货。</w:t>
      </w:r>
    </w:p>
    <w:p w14:paraId="62C8D235" w14:textId="77777777" w:rsidR="003C2798" w:rsidRPr="0058096F" w:rsidRDefault="003C2798" w:rsidP="0058096F">
      <w:pPr>
        <w:pStyle w:val="zhangjiep"/>
        <w:jc w:val="both"/>
        <w:rPr>
          <w:rFonts w:cstheme="minorBidi"/>
          <w:kern w:val="2"/>
          <w:sz w:val="21"/>
          <w:szCs w:val="21"/>
        </w:rPr>
      </w:pPr>
    </w:p>
    <w:p w14:paraId="4D352E7E" w14:textId="77777777" w:rsidR="003C2798" w:rsidRPr="0058096F" w:rsidRDefault="003C2798" w:rsidP="0058096F">
      <w:pPr>
        <w:pStyle w:val="zhangjiep"/>
        <w:jc w:val="both"/>
        <w:rPr>
          <w:rFonts w:cstheme="minorBidi"/>
          <w:kern w:val="2"/>
          <w:sz w:val="21"/>
          <w:szCs w:val="21"/>
        </w:rPr>
      </w:pPr>
      <w:r w:rsidRPr="0058096F">
        <w:rPr>
          <w:rFonts w:cstheme="minorBidi"/>
          <w:kern w:val="2"/>
          <w:sz w:val="21"/>
          <w:szCs w:val="21"/>
        </w:rPr>
        <w:t xml:space="preserve">9.2、 </w:t>
      </w:r>
      <w:r w:rsidRPr="0058096F">
        <w:rPr>
          <w:rFonts w:cstheme="minorBidi" w:hint="eastAsia"/>
          <w:kern w:val="2"/>
          <w:sz w:val="21"/>
          <w:szCs w:val="21"/>
        </w:rPr>
        <w:t>本基金投资股指期货的投资政策</w:t>
      </w:r>
    </w:p>
    <w:p w14:paraId="0C457F8D"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本基金本报告期末未投资股指期货。</w:t>
      </w:r>
    </w:p>
    <w:p w14:paraId="613B0DA7" w14:textId="77777777" w:rsidR="003C2798" w:rsidRPr="0058096F" w:rsidRDefault="003C2798" w:rsidP="0058096F">
      <w:pPr>
        <w:pStyle w:val="zhangjiep"/>
        <w:jc w:val="both"/>
        <w:rPr>
          <w:rFonts w:cstheme="minorBidi"/>
          <w:kern w:val="2"/>
          <w:sz w:val="21"/>
          <w:szCs w:val="21"/>
        </w:rPr>
      </w:pPr>
    </w:p>
    <w:p w14:paraId="318799CF" w14:textId="77777777" w:rsidR="003C2798" w:rsidRPr="0058096F" w:rsidRDefault="003C2798" w:rsidP="0058096F">
      <w:pPr>
        <w:pStyle w:val="zhangjiep"/>
        <w:jc w:val="both"/>
        <w:rPr>
          <w:rFonts w:cstheme="minorBidi"/>
          <w:kern w:val="2"/>
          <w:sz w:val="21"/>
          <w:szCs w:val="21"/>
        </w:rPr>
      </w:pPr>
      <w:bookmarkStart w:id="19" w:name="_Toc85725566"/>
      <w:r w:rsidRPr="0058096F">
        <w:rPr>
          <w:rFonts w:cstheme="minorBidi"/>
          <w:kern w:val="2"/>
          <w:sz w:val="21"/>
          <w:szCs w:val="21"/>
        </w:rPr>
        <w:t xml:space="preserve">10 </w:t>
      </w:r>
      <w:r w:rsidRPr="0058096F">
        <w:rPr>
          <w:rFonts w:cstheme="minorBidi" w:hint="eastAsia"/>
          <w:kern w:val="2"/>
          <w:sz w:val="21"/>
          <w:szCs w:val="21"/>
        </w:rPr>
        <w:t>、报告期末本基金投资的国债期货交易情况说明</w:t>
      </w:r>
      <w:bookmarkEnd w:id="19"/>
    </w:p>
    <w:p w14:paraId="3A246162"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10.1 </w:t>
      </w:r>
      <w:r w:rsidRPr="0058096F">
        <w:rPr>
          <w:rFonts w:cstheme="minorBidi" w:hint="eastAsia"/>
          <w:kern w:val="2"/>
          <w:sz w:val="21"/>
          <w:szCs w:val="21"/>
        </w:rPr>
        <w:t>、本期国债期货投资政策</w:t>
      </w:r>
    </w:p>
    <w:p w14:paraId="20B8B582"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本基金本报告期末未投资国债期货。</w:t>
      </w:r>
    </w:p>
    <w:p w14:paraId="69180BF3" w14:textId="77777777" w:rsidR="003C2798" w:rsidRPr="0058096F" w:rsidRDefault="003C2798" w:rsidP="0058096F">
      <w:pPr>
        <w:pStyle w:val="zhangjiep"/>
        <w:jc w:val="both"/>
        <w:rPr>
          <w:rFonts w:cstheme="minorBidi"/>
          <w:kern w:val="2"/>
          <w:sz w:val="21"/>
          <w:szCs w:val="21"/>
        </w:rPr>
      </w:pPr>
    </w:p>
    <w:p w14:paraId="5A8F4D4E"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10.2、 </w:t>
      </w:r>
      <w:r w:rsidRPr="0058096F">
        <w:rPr>
          <w:rFonts w:cstheme="minorBidi" w:hint="eastAsia"/>
          <w:kern w:val="2"/>
          <w:sz w:val="21"/>
          <w:szCs w:val="21"/>
        </w:rPr>
        <w:t>报告期末本基金投资的国债期货持仓和损益明细</w:t>
      </w:r>
    </w:p>
    <w:p w14:paraId="469595FB"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本基金本报告期末未投资国债期货。</w:t>
      </w:r>
    </w:p>
    <w:p w14:paraId="73A7A68E" w14:textId="77777777" w:rsidR="003C2798" w:rsidRPr="0058096F" w:rsidRDefault="003C2798" w:rsidP="0058096F">
      <w:pPr>
        <w:pStyle w:val="zhangjiep"/>
        <w:jc w:val="both"/>
        <w:rPr>
          <w:rFonts w:cstheme="minorBidi"/>
          <w:kern w:val="2"/>
          <w:sz w:val="21"/>
          <w:szCs w:val="21"/>
        </w:rPr>
      </w:pPr>
    </w:p>
    <w:p w14:paraId="01AD96C4"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10.3 </w:t>
      </w:r>
      <w:r w:rsidRPr="0058096F">
        <w:rPr>
          <w:rFonts w:cstheme="minorBidi" w:hint="eastAsia"/>
          <w:kern w:val="2"/>
          <w:sz w:val="21"/>
          <w:szCs w:val="21"/>
        </w:rPr>
        <w:t>、本期国债期货投资评价</w:t>
      </w:r>
    </w:p>
    <w:p w14:paraId="7B7D965F"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本基金本报告期末未投资国债期货。</w:t>
      </w:r>
    </w:p>
    <w:p w14:paraId="1BFEAB0F" w14:textId="77777777" w:rsidR="003C2798" w:rsidRPr="0058096F" w:rsidRDefault="003C2798" w:rsidP="0058096F">
      <w:pPr>
        <w:pStyle w:val="zhangjiep"/>
        <w:jc w:val="both"/>
        <w:rPr>
          <w:rFonts w:cstheme="minorBidi"/>
          <w:kern w:val="2"/>
          <w:sz w:val="21"/>
          <w:szCs w:val="21"/>
        </w:rPr>
      </w:pPr>
    </w:p>
    <w:p w14:paraId="13F52243" w14:textId="77777777" w:rsidR="003C2798" w:rsidRPr="0058096F" w:rsidRDefault="003C2798" w:rsidP="0058096F">
      <w:pPr>
        <w:pStyle w:val="zhangjiep"/>
        <w:jc w:val="both"/>
        <w:rPr>
          <w:rFonts w:cstheme="minorBidi"/>
          <w:kern w:val="2"/>
          <w:sz w:val="21"/>
          <w:szCs w:val="21"/>
        </w:rPr>
      </w:pPr>
      <w:bookmarkStart w:id="20" w:name="_Toc85725567"/>
      <w:r w:rsidRPr="0058096F">
        <w:rPr>
          <w:rFonts w:cstheme="minorBidi"/>
          <w:kern w:val="2"/>
          <w:sz w:val="21"/>
          <w:szCs w:val="21"/>
        </w:rPr>
        <w:t xml:space="preserve">11 </w:t>
      </w:r>
      <w:r w:rsidRPr="0058096F">
        <w:rPr>
          <w:rFonts w:cstheme="minorBidi" w:hint="eastAsia"/>
          <w:kern w:val="2"/>
          <w:sz w:val="21"/>
          <w:szCs w:val="21"/>
        </w:rPr>
        <w:t>、投资组合报告附注</w:t>
      </w:r>
      <w:bookmarkEnd w:id="20"/>
      <w:r w:rsidRPr="0058096F">
        <w:rPr>
          <w:rFonts w:cstheme="minorBidi"/>
          <w:kern w:val="2"/>
          <w:sz w:val="21"/>
          <w:szCs w:val="21"/>
        </w:rPr>
        <w:t xml:space="preserve"> </w:t>
      </w:r>
    </w:p>
    <w:p w14:paraId="3E302694"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11.1、 </w:t>
      </w:r>
      <w:r w:rsidRPr="0058096F">
        <w:rPr>
          <w:rFonts w:cstheme="minorBidi" w:hint="eastAsia"/>
          <w:kern w:val="2"/>
          <w:sz w:val="21"/>
          <w:szCs w:val="21"/>
        </w:rPr>
        <w:t>本基金投资的前十名证券的发行主体中，中国进出口银行在报告编制日前一年内曾受到交易商协会、中国人民银行、中国银行保险监督管理委员会（含原中国银行业监督管理委员会、中国保险监督管理委员会）或其派出机构的处罚。</w:t>
      </w:r>
    </w:p>
    <w:p w14:paraId="5844C51F"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614B096E" w14:textId="77777777" w:rsidR="003C2798" w:rsidRPr="0058096F" w:rsidRDefault="003C2798" w:rsidP="0058096F">
      <w:pPr>
        <w:pStyle w:val="zhangjiep"/>
        <w:jc w:val="both"/>
        <w:rPr>
          <w:rFonts w:cstheme="minorBidi"/>
          <w:kern w:val="2"/>
          <w:sz w:val="21"/>
          <w:szCs w:val="21"/>
        </w:rPr>
      </w:pPr>
    </w:p>
    <w:p w14:paraId="16B5B2A1"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11.2 </w:t>
      </w:r>
      <w:r w:rsidRPr="0058096F">
        <w:rPr>
          <w:rFonts w:cstheme="minorBidi" w:hint="eastAsia"/>
          <w:kern w:val="2"/>
          <w:sz w:val="21"/>
          <w:szCs w:val="21"/>
        </w:rPr>
        <w:t>、本基金本报告期末未持有股票。</w:t>
      </w:r>
    </w:p>
    <w:p w14:paraId="53929305" w14:textId="77777777" w:rsidR="003C2798" w:rsidRPr="0058096F" w:rsidRDefault="003C2798" w:rsidP="0058096F">
      <w:pPr>
        <w:pStyle w:val="zhangjiep"/>
        <w:jc w:val="both"/>
        <w:rPr>
          <w:rFonts w:cstheme="minorBidi"/>
          <w:kern w:val="2"/>
          <w:sz w:val="21"/>
          <w:szCs w:val="21"/>
        </w:rPr>
      </w:pPr>
    </w:p>
    <w:p w14:paraId="391EFA10" w14:textId="0CB97C13" w:rsidR="003C2798" w:rsidRDefault="003C2798" w:rsidP="0058096F">
      <w:pPr>
        <w:pStyle w:val="biaogeright"/>
        <w:jc w:val="both"/>
        <w:rPr>
          <w:rFonts w:cstheme="minorBidi"/>
          <w:kern w:val="2"/>
          <w:sz w:val="21"/>
          <w:szCs w:val="21"/>
        </w:rPr>
      </w:pPr>
      <w:r w:rsidRPr="0058096F">
        <w:rPr>
          <w:rFonts w:cstheme="minorBidi"/>
          <w:kern w:val="2"/>
          <w:sz w:val="21"/>
          <w:szCs w:val="21"/>
        </w:rPr>
        <w:t xml:space="preserve">11.3 </w:t>
      </w:r>
      <w:r w:rsidRPr="0058096F">
        <w:rPr>
          <w:rFonts w:cstheme="minorBidi" w:hint="eastAsia"/>
          <w:kern w:val="2"/>
          <w:sz w:val="21"/>
          <w:szCs w:val="21"/>
        </w:rPr>
        <w:t>、其他资产构成</w:t>
      </w:r>
    </w:p>
    <w:p w14:paraId="42D9917C" w14:textId="5FA0AF9E" w:rsidR="009C329C" w:rsidRPr="0058096F" w:rsidRDefault="009C329C" w:rsidP="0058096F">
      <w:pPr>
        <w:pStyle w:val="biaogeright"/>
        <w:jc w:val="both"/>
        <w:rPr>
          <w:rFonts w:cstheme="minorBidi"/>
          <w:kern w:val="2"/>
          <w:sz w:val="21"/>
          <w:szCs w:val="21"/>
        </w:rPr>
      </w:pPr>
      <w:r w:rsidRPr="005F5714">
        <w:rPr>
          <w:rFonts w:cstheme="minorBidi" w:hint="eastAsia"/>
          <w:kern w:val="2"/>
          <w:sz w:val="21"/>
          <w:szCs w:val="21"/>
        </w:rPr>
        <w:t>本基金本报告期末未持有其他资产。</w:t>
      </w:r>
    </w:p>
    <w:p w14:paraId="7080FDAC" w14:textId="77777777" w:rsidR="003C2798" w:rsidRPr="0058096F" w:rsidRDefault="003C2798" w:rsidP="0058096F">
      <w:pPr>
        <w:pStyle w:val="zhangjiep"/>
        <w:jc w:val="both"/>
        <w:rPr>
          <w:rFonts w:cstheme="minorBidi"/>
          <w:kern w:val="2"/>
          <w:sz w:val="21"/>
          <w:szCs w:val="21"/>
        </w:rPr>
      </w:pPr>
    </w:p>
    <w:p w14:paraId="1F90A905"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11.4 </w:t>
      </w:r>
      <w:r w:rsidRPr="0058096F">
        <w:rPr>
          <w:rFonts w:cstheme="minorBidi" w:hint="eastAsia"/>
          <w:kern w:val="2"/>
          <w:sz w:val="21"/>
          <w:szCs w:val="21"/>
        </w:rPr>
        <w:t>、报告期末持有的处于转股期的可转换债券明细</w:t>
      </w:r>
    </w:p>
    <w:p w14:paraId="0BB0F046"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本基金本报告期末未持有处于转股期的可转换债券。</w:t>
      </w:r>
    </w:p>
    <w:p w14:paraId="1DFE5D89" w14:textId="77777777" w:rsidR="003C2798" w:rsidRPr="0058096F" w:rsidRDefault="003C2798" w:rsidP="0058096F">
      <w:pPr>
        <w:pStyle w:val="zhangjiep"/>
        <w:jc w:val="both"/>
        <w:rPr>
          <w:rFonts w:cstheme="minorBidi"/>
          <w:kern w:val="2"/>
          <w:sz w:val="21"/>
          <w:szCs w:val="21"/>
        </w:rPr>
      </w:pPr>
    </w:p>
    <w:p w14:paraId="42571BC6" w14:textId="77777777" w:rsidR="003C2798" w:rsidRPr="0058096F" w:rsidRDefault="003C2798" w:rsidP="0058096F">
      <w:pPr>
        <w:pStyle w:val="biaogeright"/>
        <w:jc w:val="both"/>
        <w:rPr>
          <w:rFonts w:cstheme="minorBidi"/>
          <w:kern w:val="2"/>
          <w:sz w:val="21"/>
          <w:szCs w:val="21"/>
        </w:rPr>
      </w:pPr>
      <w:r w:rsidRPr="0058096F">
        <w:rPr>
          <w:rFonts w:cstheme="minorBidi"/>
          <w:kern w:val="2"/>
          <w:sz w:val="21"/>
          <w:szCs w:val="21"/>
        </w:rPr>
        <w:t xml:space="preserve">11.5 </w:t>
      </w:r>
      <w:r w:rsidRPr="0058096F">
        <w:rPr>
          <w:rFonts w:cstheme="minorBidi" w:hint="eastAsia"/>
          <w:kern w:val="2"/>
          <w:sz w:val="21"/>
          <w:szCs w:val="21"/>
        </w:rPr>
        <w:t>、报告</w:t>
      </w:r>
      <w:proofErr w:type="gramStart"/>
      <w:r w:rsidRPr="0058096F">
        <w:rPr>
          <w:rFonts w:cstheme="minorBidi" w:hint="eastAsia"/>
          <w:kern w:val="2"/>
          <w:sz w:val="21"/>
          <w:szCs w:val="21"/>
        </w:rPr>
        <w:t>期末前</w:t>
      </w:r>
      <w:proofErr w:type="gramEnd"/>
      <w:r w:rsidRPr="0058096F">
        <w:rPr>
          <w:rFonts w:cstheme="minorBidi" w:hint="eastAsia"/>
          <w:kern w:val="2"/>
          <w:sz w:val="21"/>
          <w:szCs w:val="21"/>
        </w:rPr>
        <w:t>十名股票中存在流通受限情况的说明</w:t>
      </w:r>
    </w:p>
    <w:p w14:paraId="22D14DF4" w14:textId="77777777" w:rsidR="003C2798" w:rsidRPr="0058096F" w:rsidRDefault="003C2798" w:rsidP="0058096F">
      <w:pPr>
        <w:pStyle w:val="biaogeright"/>
        <w:jc w:val="both"/>
        <w:rPr>
          <w:rFonts w:cstheme="minorBidi"/>
          <w:kern w:val="2"/>
          <w:sz w:val="21"/>
          <w:szCs w:val="21"/>
        </w:rPr>
      </w:pPr>
      <w:r w:rsidRPr="0058096F">
        <w:rPr>
          <w:rFonts w:cstheme="minorBidi" w:hint="eastAsia"/>
          <w:kern w:val="2"/>
          <w:sz w:val="21"/>
          <w:szCs w:val="21"/>
        </w:rPr>
        <w:t>本基金本报告期末未持有股票。</w:t>
      </w:r>
    </w:p>
    <w:p w14:paraId="52A84702" w14:textId="77777777" w:rsidR="003C2798" w:rsidRPr="0058096F" w:rsidRDefault="003C2798" w:rsidP="0058096F">
      <w:pPr>
        <w:pStyle w:val="zhangjiep"/>
        <w:jc w:val="both"/>
        <w:rPr>
          <w:rFonts w:cstheme="minorBidi"/>
          <w:kern w:val="2"/>
          <w:sz w:val="21"/>
          <w:szCs w:val="21"/>
        </w:rPr>
      </w:pPr>
    </w:p>
    <w:p w14:paraId="03D4361D" w14:textId="77777777" w:rsidR="00644EF7" w:rsidRDefault="003C2798" w:rsidP="00644EF7">
      <w:pPr>
        <w:pStyle w:val="biaogeright"/>
        <w:jc w:val="both"/>
        <w:rPr>
          <w:rFonts w:cstheme="minorBidi"/>
          <w:kern w:val="2"/>
          <w:sz w:val="21"/>
          <w:szCs w:val="21"/>
        </w:rPr>
      </w:pPr>
      <w:r w:rsidRPr="0058096F">
        <w:rPr>
          <w:rFonts w:cstheme="minorBidi"/>
          <w:kern w:val="2"/>
          <w:sz w:val="21"/>
          <w:szCs w:val="21"/>
        </w:rPr>
        <w:t xml:space="preserve">11.6 </w:t>
      </w:r>
      <w:r w:rsidRPr="0058096F">
        <w:rPr>
          <w:rFonts w:cstheme="minorBidi" w:hint="eastAsia"/>
          <w:kern w:val="2"/>
          <w:sz w:val="21"/>
          <w:szCs w:val="21"/>
        </w:rPr>
        <w:t>、投资组合报告附注的其他文字描述部分</w:t>
      </w:r>
    </w:p>
    <w:p w14:paraId="0B7655C3" w14:textId="0CFA9288" w:rsidR="009E4620" w:rsidRDefault="003C2798" w:rsidP="00644EF7">
      <w:pPr>
        <w:pStyle w:val="biaogeright"/>
        <w:jc w:val="both"/>
        <w:rPr>
          <w:rFonts w:cstheme="minorBidi"/>
          <w:kern w:val="2"/>
          <w:sz w:val="21"/>
          <w:szCs w:val="21"/>
        </w:rPr>
      </w:pPr>
      <w:r w:rsidRPr="0058096F">
        <w:rPr>
          <w:rFonts w:cstheme="minorBidi" w:hint="eastAsia"/>
          <w:kern w:val="2"/>
          <w:sz w:val="21"/>
          <w:szCs w:val="21"/>
        </w:rPr>
        <w:t>由于四舍五入原因，分项之和与合计可能有尾差。</w:t>
      </w:r>
    </w:p>
    <w:p w14:paraId="09E7F7BA" w14:textId="77777777" w:rsidR="003C2798" w:rsidRPr="003C2798" w:rsidRDefault="003C2798" w:rsidP="0058096F">
      <w:pPr>
        <w:pStyle w:val="zhangjiep"/>
        <w:jc w:val="both"/>
        <w:rPr>
          <w:szCs w:val="21"/>
        </w:rPr>
      </w:pPr>
    </w:p>
    <w:p w14:paraId="5B277E92" w14:textId="01BB5289" w:rsidR="009E4620" w:rsidRPr="009E4620" w:rsidRDefault="009E4620" w:rsidP="009E4620">
      <w:pPr>
        <w:spacing w:line="360" w:lineRule="auto"/>
        <w:ind w:firstLineChars="200" w:firstLine="420"/>
        <w:rPr>
          <w:rFonts w:ascii="宋体" w:eastAsia="宋体" w:hAnsi="宋体"/>
          <w:szCs w:val="21"/>
        </w:rPr>
      </w:pPr>
      <w:r>
        <w:rPr>
          <w:rFonts w:ascii="宋体" w:eastAsia="宋体" w:hAnsi="宋体" w:hint="eastAsia"/>
          <w:szCs w:val="21"/>
        </w:rPr>
        <w:t>十一</w:t>
      </w:r>
      <w:r w:rsidRPr="009E4620">
        <w:rPr>
          <w:rFonts w:ascii="宋体" w:eastAsia="宋体" w:hAnsi="宋体" w:hint="eastAsia"/>
          <w:szCs w:val="21"/>
        </w:rPr>
        <w:t>、基金净值表现</w:t>
      </w:r>
    </w:p>
    <w:p w14:paraId="17017054" w14:textId="77777777" w:rsidR="003C2798" w:rsidRPr="0058096F" w:rsidRDefault="003C2798" w:rsidP="003C2798">
      <w:pPr>
        <w:pStyle w:val="a7"/>
        <w:spacing w:line="360" w:lineRule="auto"/>
        <w:ind w:firstLine="422"/>
        <w:rPr>
          <w:rFonts w:ascii="宋体" w:eastAsia="宋体" w:hAnsi="宋体"/>
          <w:sz w:val="21"/>
          <w:szCs w:val="21"/>
        </w:rPr>
      </w:pPr>
      <w:r w:rsidRPr="0058096F">
        <w:rPr>
          <w:rFonts w:ascii="宋体" w:eastAsia="宋体" w:hAnsi="宋体"/>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2D3EFBCB" w14:textId="77777777" w:rsidR="003C2798" w:rsidRPr="0058096F" w:rsidRDefault="003C2798" w:rsidP="0058096F">
      <w:pPr>
        <w:pStyle w:val="zhangjiep2"/>
        <w:ind w:firstLineChars="100" w:firstLine="210"/>
        <w:rPr>
          <w:rFonts w:cstheme="minorBidi"/>
          <w:kern w:val="2"/>
          <w:sz w:val="21"/>
          <w:szCs w:val="21"/>
        </w:rPr>
      </w:pPr>
      <w:r w:rsidRPr="0058096F">
        <w:rPr>
          <w:rFonts w:cstheme="minorBidi" w:hint="eastAsia"/>
          <w:kern w:val="2"/>
          <w:sz w:val="21"/>
          <w:szCs w:val="21"/>
        </w:rPr>
        <w:t>（</w:t>
      </w:r>
      <w:r w:rsidRPr="0058096F">
        <w:rPr>
          <w:rFonts w:cstheme="minorBidi"/>
          <w:kern w:val="2"/>
          <w:sz w:val="21"/>
          <w:szCs w:val="21"/>
        </w:rPr>
        <w:t>1）基金份额净值增长率及其与同期业绩比较基准收益率的比较</w:t>
      </w:r>
    </w:p>
    <w:tbl>
      <w:tblPr>
        <w:tblW w:w="9215" w:type="dxa"/>
        <w:tblInd w:w="-176" w:type="dxa"/>
        <w:tblLayout w:type="fixed"/>
        <w:tblLook w:val="04A0" w:firstRow="1" w:lastRow="0" w:firstColumn="1" w:lastColumn="0" w:noHBand="0" w:noVBand="1"/>
      </w:tblPr>
      <w:tblGrid>
        <w:gridCol w:w="6"/>
        <w:gridCol w:w="1400"/>
        <w:gridCol w:w="1120"/>
        <w:gridCol w:w="1217"/>
        <w:gridCol w:w="1264"/>
        <w:gridCol w:w="1264"/>
        <w:gridCol w:w="1471"/>
        <w:gridCol w:w="1473"/>
      </w:tblGrid>
      <w:tr w:rsidR="003C2798" w:rsidRPr="00B50B5B" w14:paraId="03FCD81E" w14:textId="77777777" w:rsidTr="00013D11">
        <w:tc>
          <w:tcPr>
            <w:tcW w:w="1406" w:type="dxa"/>
            <w:gridSpan w:val="2"/>
            <w:tcBorders>
              <w:top w:val="single" w:sz="8" w:space="0" w:color="000000"/>
              <w:left w:val="single" w:sz="8" w:space="0" w:color="000000"/>
              <w:bottom w:val="single" w:sz="6" w:space="0" w:color="000000"/>
              <w:right w:val="single" w:sz="8" w:space="0" w:color="000000"/>
            </w:tcBorders>
            <w:vAlign w:val="center"/>
            <w:hideMark/>
          </w:tcPr>
          <w:p w14:paraId="644E6AD8" w14:textId="77777777" w:rsidR="003C2798" w:rsidRPr="0058096F" w:rsidRDefault="003C2798" w:rsidP="0058096F">
            <w:pPr>
              <w:pStyle w:val="zhangjiep2"/>
              <w:ind w:firstLineChars="100" w:firstLine="210"/>
              <w:rPr>
                <w:rFonts w:cstheme="minorBidi"/>
                <w:kern w:val="2"/>
                <w:sz w:val="21"/>
                <w:szCs w:val="21"/>
              </w:rPr>
            </w:pPr>
            <w:r w:rsidRPr="0058096F">
              <w:rPr>
                <w:rFonts w:cstheme="minorBidi" w:hint="eastAsia"/>
                <w:kern w:val="2"/>
                <w:sz w:val="21"/>
                <w:szCs w:val="21"/>
              </w:rPr>
              <w:t>阶段</w:t>
            </w:r>
          </w:p>
        </w:tc>
        <w:tc>
          <w:tcPr>
            <w:tcW w:w="1120" w:type="dxa"/>
            <w:tcBorders>
              <w:top w:val="single" w:sz="8" w:space="0" w:color="000000"/>
              <w:left w:val="single" w:sz="8" w:space="0" w:color="000000"/>
              <w:bottom w:val="single" w:sz="6" w:space="0" w:color="000000"/>
              <w:right w:val="single" w:sz="8" w:space="0" w:color="000000"/>
            </w:tcBorders>
            <w:vAlign w:val="center"/>
            <w:hideMark/>
          </w:tcPr>
          <w:p w14:paraId="2F65C0FA" w14:textId="77777777" w:rsidR="003C2798" w:rsidRPr="0058096F" w:rsidRDefault="003C2798" w:rsidP="0058096F">
            <w:pPr>
              <w:pStyle w:val="zhangjiep2"/>
              <w:ind w:left="0"/>
              <w:rPr>
                <w:rFonts w:cstheme="minorBidi"/>
                <w:kern w:val="2"/>
                <w:sz w:val="21"/>
                <w:szCs w:val="21"/>
              </w:rPr>
            </w:pPr>
            <w:r w:rsidRPr="0058096F">
              <w:rPr>
                <w:rFonts w:cstheme="minorBidi" w:hint="eastAsia"/>
                <w:kern w:val="2"/>
                <w:sz w:val="21"/>
                <w:szCs w:val="21"/>
              </w:rPr>
              <w:t>净值增长率①</w:t>
            </w:r>
          </w:p>
        </w:tc>
        <w:tc>
          <w:tcPr>
            <w:tcW w:w="1217" w:type="dxa"/>
            <w:tcBorders>
              <w:top w:val="single" w:sz="8" w:space="0" w:color="000000"/>
              <w:left w:val="single" w:sz="8" w:space="0" w:color="000000"/>
              <w:bottom w:val="single" w:sz="6" w:space="0" w:color="000000"/>
              <w:right w:val="single" w:sz="8" w:space="0" w:color="000000"/>
            </w:tcBorders>
            <w:vAlign w:val="center"/>
            <w:hideMark/>
          </w:tcPr>
          <w:p w14:paraId="6DA90EDC" w14:textId="77777777" w:rsidR="003C2798" w:rsidRPr="0058096F" w:rsidRDefault="003C2798" w:rsidP="0058096F">
            <w:pPr>
              <w:pStyle w:val="zhangjiep2"/>
              <w:ind w:left="0"/>
              <w:rPr>
                <w:rFonts w:cstheme="minorBidi"/>
                <w:kern w:val="2"/>
                <w:sz w:val="21"/>
                <w:szCs w:val="21"/>
              </w:rPr>
            </w:pPr>
            <w:r w:rsidRPr="0058096F">
              <w:rPr>
                <w:rFonts w:cstheme="minorBidi" w:hint="eastAsia"/>
                <w:kern w:val="2"/>
                <w:sz w:val="21"/>
                <w:szCs w:val="21"/>
              </w:rPr>
              <w:t>净值增长率标准差②</w:t>
            </w:r>
          </w:p>
        </w:tc>
        <w:tc>
          <w:tcPr>
            <w:tcW w:w="1264" w:type="dxa"/>
            <w:tcBorders>
              <w:top w:val="single" w:sz="8" w:space="0" w:color="000000"/>
              <w:left w:val="single" w:sz="8" w:space="0" w:color="000000"/>
              <w:bottom w:val="single" w:sz="6" w:space="0" w:color="000000"/>
              <w:right w:val="single" w:sz="8" w:space="0" w:color="000000"/>
            </w:tcBorders>
            <w:vAlign w:val="center"/>
            <w:hideMark/>
          </w:tcPr>
          <w:p w14:paraId="09ABF82D" w14:textId="77777777" w:rsidR="003C2798" w:rsidRPr="0058096F" w:rsidRDefault="003C2798" w:rsidP="0058096F">
            <w:pPr>
              <w:pStyle w:val="zhangjiep2"/>
              <w:ind w:left="0"/>
              <w:rPr>
                <w:rFonts w:cstheme="minorBidi"/>
                <w:kern w:val="2"/>
                <w:sz w:val="21"/>
                <w:szCs w:val="21"/>
              </w:rPr>
            </w:pPr>
            <w:r w:rsidRPr="0058096F">
              <w:rPr>
                <w:rFonts w:cstheme="minorBidi" w:hint="eastAsia"/>
                <w:kern w:val="2"/>
                <w:sz w:val="21"/>
                <w:szCs w:val="21"/>
              </w:rPr>
              <w:t>业绩比较基准收益率③</w:t>
            </w:r>
          </w:p>
        </w:tc>
        <w:tc>
          <w:tcPr>
            <w:tcW w:w="1264" w:type="dxa"/>
            <w:tcBorders>
              <w:top w:val="single" w:sz="8" w:space="0" w:color="000000"/>
              <w:left w:val="single" w:sz="8" w:space="0" w:color="000000"/>
              <w:bottom w:val="single" w:sz="6" w:space="0" w:color="000000"/>
              <w:right w:val="single" w:sz="8" w:space="0" w:color="000000"/>
            </w:tcBorders>
            <w:vAlign w:val="center"/>
            <w:hideMark/>
          </w:tcPr>
          <w:p w14:paraId="255C7957" w14:textId="77777777" w:rsidR="003C2798" w:rsidRPr="0058096F" w:rsidRDefault="003C2798" w:rsidP="0058096F">
            <w:pPr>
              <w:pStyle w:val="zhangjiep2"/>
              <w:ind w:left="0"/>
              <w:rPr>
                <w:rFonts w:cstheme="minorBidi"/>
                <w:kern w:val="2"/>
                <w:sz w:val="21"/>
                <w:szCs w:val="21"/>
              </w:rPr>
            </w:pPr>
            <w:r w:rsidRPr="0058096F">
              <w:rPr>
                <w:rFonts w:cstheme="minorBidi" w:hint="eastAsia"/>
                <w:kern w:val="2"/>
                <w:sz w:val="21"/>
                <w:szCs w:val="21"/>
              </w:rPr>
              <w:t>业绩比较基准收益率标准差④</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67A7D1C6" w14:textId="1E476457" w:rsidR="003C2798" w:rsidRPr="0058096F" w:rsidRDefault="0081246B" w:rsidP="00013D11">
            <w:pPr>
              <w:pStyle w:val="zhangjiep2"/>
              <w:jc w:val="center"/>
              <w:rPr>
                <w:rFonts w:cstheme="minorBidi"/>
                <w:kern w:val="2"/>
                <w:sz w:val="21"/>
                <w:szCs w:val="21"/>
              </w:rPr>
            </w:pPr>
            <w:r w:rsidRPr="0058096F">
              <w:rPr>
                <w:rFonts w:cstheme="minorBidi" w:hint="eastAsia"/>
                <w:kern w:val="2"/>
                <w:sz w:val="21"/>
                <w:szCs w:val="21"/>
              </w:rPr>
              <w:t>①</w:t>
            </w:r>
            <w:r w:rsidR="003C2798" w:rsidRPr="0058096F">
              <w:rPr>
                <w:rFonts w:cstheme="minorBidi"/>
                <w:kern w:val="2"/>
                <w:sz w:val="21"/>
                <w:szCs w:val="21"/>
              </w:rPr>
              <w:t>-</w:t>
            </w:r>
            <w:r w:rsidRPr="0058096F">
              <w:rPr>
                <w:rFonts w:cstheme="minorBidi" w:hint="eastAsia"/>
                <w:kern w:val="2"/>
                <w:sz w:val="21"/>
                <w:szCs w:val="21"/>
              </w:rPr>
              <w:t>③</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2C278A99" w14:textId="5EA949A8" w:rsidR="003C2798" w:rsidRPr="0058096F" w:rsidRDefault="0081246B" w:rsidP="00013D11">
            <w:pPr>
              <w:pStyle w:val="zhangjiep2"/>
              <w:jc w:val="center"/>
              <w:rPr>
                <w:rFonts w:cstheme="minorBidi"/>
                <w:kern w:val="2"/>
                <w:sz w:val="21"/>
                <w:szCs w:val="21"/>
              </w:rPr>
            </w:pPr>
            <w:r w:rsidRPr="0058096F">
              <w:rPr>
                <w:rFonts w:cstheme="minorBidi" w:hint="eastAsia"/>
                <w:kern w:val="2"/>
                <w:sz w:val="21"/>
                <w:szCs w:val="21"/>
              </w:rPr>
              <w:t>②</w:t>
            </w:r>
            <w:r w:rsidR="003C2798" w:rsidRPr="0058096F">
              <w:rPr>
                <w:rFonts w:cstheme="minorBidi"/>
                <w:kern w:val="2"/>
                <w:sz w:val="21"/>
                <w:szCs w:val="21"/>
              </w:rPr>
              <w:t>-</w:t>
            </w:r>
            <w:r w:rsidRPr="0058096F">
              <w:rPr>
                <w:rFonts w:cstheme="minorBidi" w:hint="eastAsia"/>
                <w:kern w:val="2"/>
                <w:sz w:val="21"/>
                <w:szCs w:val="21"/>
              </w:rPr>
              <w:t>④</w:t>
            </w:r>
          </w:p>
        </w:tc>
      </w:tr>
      <w:tr w:rsidR="009C329C" w:rsidRPr="00B50B5B" w14:paraId="1DB27D9F" w14:textId="77777777" w:rsidTr="00013D11">
        <w:tc>
          <w:tcPr>
            <w:tcW w:w="1406" w:type="dxa"/>
            <w:gridSpan w:val="2"/>
            <w:tcBorders>
              <w:top w:val="single" w:sz="8" w:space="0" w:color="000000"/>
              <w:left w:val="single" w:sz="8" w:space="0" w:color="000000"/>
              <w:bottom w:val="single" w:sz="6" w:space="0" w:color="000000"/>
              <w:right w:val="single" w:sz="8" w:space="0" w:color="000000"/>
            </w:tcBorders>
            <w:vAlign w:val="center"/>
            <w:hideMark/>
          </w:tcPr>
          <w:p w14:paraId="15FBA3C9" w14:textId="77777777" w:rsidR="009C329C" w:rsidRPr="0058096F" w:rsidRDefault="009C329C" w:rsidP="009C329C">
            <w:pPr>
              <w:pStyle w:val="zhangjiep2"/>
              <w:rPr>
                <w:rFonts w:cstheme="minorBidi"/>
                <w:kern w:val="2"/>
                <w:sz w:val="21"/>
                <w:szCs w:val="21"/>
              </w:rPr>
            </w:pPr>
            <w:r w:rsidRPr="0058096F">
              <w:rPr>
                <w:rFonts w:cstheme="minorBidi" w:hint="eastAsia"/>
                <w:kern w:val="2"/>
                <w:sz w:val="21"/>
                <w:szCs w:val="21"/>
              </w:rPr>
              <w:t>过去三个月</w:t>
            </w:r>
          </w:p>
        </w:tc>
        <w:tc>
          <w:tcPr>
            <w:tcW w:w="1120" w:type="dxa"/>
            <w:tcBorders>
              <w:top w:val="single" w:sz="8" w:space="0" w:color="000000"/>
              <w:left w:val="single" w:sz="8" w:space="0" w:color="000000"/>
              <w:bottom w:val="single" w:sz="6" w:space="0" w:color="000000"/>
              <w:right w:val="single" w:sz="8" w:space="0" w:color="000000"/>
            </w:tcBorders>
            <w:vAlign w:val="center"/>
            <w:hideMark/>
          </w:tcPr>
          <w:p w14:paraId="71C701ED" w14:textId="1F7BACD7"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0.75%</w:t>
            </w:r>
          </w:p>
        </w:tc>
        <w:tc>
          <w:tcPr>
            <w:tcW w:w="1217" w:type="dxa"/>
            <w:tcBorders>
              <w:top w:val="single" w:sz="8" w:space="0" w:color="000000"/>
              <w:left w:val="single" w:sz="8" w:space="0" w:color="000000"/>
              <w:bottom w:val="single" w:sz="6" w:space="0" w:color="000000"/>
              <w:right w:val="single" w:sz="8" w:space="0" w:color="000000"/>
            </w:tcBorders>
            <w:vAlign w:val="center"/>
            <w:hideMark/>
          </w:tcPr>
          <w:p w14:paraId="7AA1CBDE" w14:textId="66A282C7"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0.04%</w:t>
            </w:r>
          </w:p>
        </w:tc>
        <w:tc>
          <w:tcPr>
            <w:tcW w:w="1264" w:type="dxa"/>
            <w:tcBorders>
              <w:top w:val="single" w:sz="8" w:space="0" w:color="000000"/>
              <w:left w:val="single" w:sz="8" w:space="0" w:color="000000"/>
              <w:bottom w:val="single" w:sz="6" w:space="0" w:color="000000"/>
              <w:right w:val="single" w:sz="8" w:space="0" w:color="000000"/>
            </w:tcBorders>
            <w:vAlign w:val="center"/>
            <w:hideMark/>
          </w:tcPr>
          <w:p w14:paraId="2C16FDB5" w14:textId="038001DC"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1.36%</w:t>
            </w:r>
          </w:p>
        </w:tc>
        <w:tc>
          <w:tcPr>
            <w:tcW w:w="1264" w:type="dxa"/>
            <w:tcBorders>
              <w:top w:val="single" w:sz="8" w:space="0" w:color="000000"/>
              <w:left w:val="single" w:sz="8" w:space="0" w:color="000000"/>
              <w:bottom w:val="single" w:sz="6" w:space="0" w:color="000000"/>
              <w:right w:val="single" w:sz="8" w:space="0" w:color="000000"/>
            </w:tcBorders>
            <w:vAlign w:val="center"/>
            <w:hideMark/>
          </w:tcPr>
          <w:p w14:paraId="090FDE8D" w14:textId="60D4082C"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0.04%</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40D979E0" w14:textId="414A631D"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-0.61%</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7225581E" w14:textId="5DC93549"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0.00%</w:t>
            </w:r>
          </w:p>
        </w:tc>
      </w:tr>
      <w:tr w:rsidR="009C329C" w:rsidRPr="00B50B5B" w14:paraId="1B810E09" w14:textId="77777777" w:rsidTr="00013D11">
        <w:tc>
          <w:tcPr>
            <w:tcW w:w="1406" w:type="dxa"/>
            <w:gridSpan w:val="2"/>
            <w:tcBorders>
              <w:top w:val="single" w:sz="8" w:space="0" w:color="000000"/>
              <w:left w:val="single" w:sz="8" w:space="0" w:color="000000"/>
              <w:bottom w:val="single" w:sz="6" w:space="0" w:color="000000"/>
              <w:right w:val="single" w:sz="8" w:space="0" w:color="000000"/>
            </w:tcBorders>
            <w:vAlign w:val="center"/>
            <w:hideMark/>
          </w:tcPr>
          <w:p w14:paraId="638A0704" w14:textId="77777777" w:rsidR="009C329C" w:rsidRPr="0058096F" w:rsidRDefault="009C329C" w:rsidP="009C329C">
            <w:pPr>
              <w:pStyle w:val="zhangjiep2"/>
              <w:rPr>
                <w:rFonts w:cstheme="minorBidi"/>
                <w:kern w:val="2"/>
                <w:sz w:val="21"/>
                <w:szCs w:val="21"/>
              </w:rPr>
            </w:pPr>
            <w:r w:rsidRPr="0058096F">
              <w:rPr>
                <w:rFonts w:cstheme="minorBidi" w:hint="eastAsia"/>
                <w:kern w:val="2"/>
                <w:sz w:val="21"/>
                <w:szCs w:val="21"/>
              </w:rPr>
              <w:t>过去六个月</w:t>
            </w:r>
          </w:p>
        </w:tc>
        <w:tc>
          <w:tcPr>
            <w:tcW w:w="1120" w:type="dxa"/>
            <w:tcBorders>
              <w:top w:val="single" w:sz="8" w:space="0" w:color="000000"/>
              <w:left w:val="single" w:sz="8" w:space="0" w:color="000000"/>
              <w:bottom w:val="single" w:sz="6" w:space="0" w:color="000000"/>
              <w:right w:val="single" w:sz="8" w:space="0" w:color="000000"/>
            </w:tcBorders>
            <w:vAlign w:val="center"/>
            <w:hideMark/>
          </w:tcPr>
          <w:p w14:paraId="413BFE84" w14:textId="0B0E24FD"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1.49%</w:t>
            </w:r>
          </w:p>
        </w:tc>
        <w:tc>
          <w:tcPr>
            <w:tcW w:w="1217" w:type="dxa"/>
            <w:tcBorders>
              <w:top w:val="single" w:sz="8" w:space="0" w:color="000000"/>
              <w:left w:val="single" w:sz="8" w:space="0" w:color="000000"/>
              <w:bottom w:val="single" w:sz="6" w:space="0" w:color="000000"/>
              <w:right w:val="single" w:sz="8" w:space="0" w:color="000000"/>
            </w:tcBorders>
            <w:vAlign w:val="center"/>
            <w:hideMark/>
          </w:tcPr>
          <w:p w14:paraId="359FF488" w14:textId="38ADADDD"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0.03%</w:t>
            </w:r>
          </w:p>
        </w:tc>
        <w:tc>
          <w:tcPr>
            <w:tcW w:w="1264" w:type="dxa"/>
            <w:tcBorders>
              <w:top w:val="single" w:sz="8" w:space="0" w:color="000000"/>
              <w:left w:val="single" w:sz="8" w:space="0" w:color="000000"/>
              <w:bottom w:val="single" w:sz="6" w:space="0" w:color="000000"/>
              <w:right w:val="single" w:sz="8" w:space="0" w:color="000000"/>
            </w:tcBorders>
            <w:vAlign w:val="center"/>
            <w:hideMark/>
          </w:tcPr>
          <w:p w14:paraId="5474D26E" w14:textId="79F3DAB6"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2.36%</w:t>
            </w:r>
          </w:p>
        </w:tc>
        <w:tc>
          <w:tcPr>
            <w:tcW w:w="1264" w:type="dxa"/>
            <w:tcBorders>
              <w:top w:val="single" w:sz="8" w:space="0" w:color="000000"/>
              <w:left w:val="single" w:sz="8" w:space="0" w:color="000000"/>
              <w:bottom w:val="single" w:sz="6" w:space="0" w:color="000000"/>
              <w:right w:val="single" w:sz="8" w:space="0" w:color="000000"/>
            </w:tcBorders>
            <w:vAlign w:val="center"/>
            <w:hideMark/>
          </w:tcPr>
          <w:p w14:paraId="20B9BBAD" w14:textId="1B1A79BF"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0.04%</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10619D0A" w14:textId="61BD5127"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-0.87%</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0BD23D29" w14:textId="36DF2AEC" w:rsidR="009C329C" w:rsidRPr="0058096F" w:rsidRDefault="009C329C" w:rsidP="009C329C">
            <w:pPr>
              <w:pStyle w:val="zhangjiep2"/>
              <w:ind w:firstLineChars="100" w:firstLine="210"/>
              <w:rPr>
                <w:rFonts w:cstheme="minorBidi"/>
                <w:kern w:val="2"/>
                <w:sz w:val="21"/>
                <w:szCs w:val="21"/>
              </w:rPr>
            </w:pPr>
            <w:r w:rsidRPr="005F5714">
              <w:rPr>
                <w:rFonts w:cstheme="minorBidi"/>
                <w:kern w:val="2"/>
                <w:sz w:val="21"/>
                <w:szCs w:val="21"/>
              </w:rPr>
              <w:t>-0.01%</w:t>
            </w:r>
          </w:p>
        </w:tc>
      </w:tr>
      <w:tr w:rsidR="009E6ECC" w:rsidRPr="00B50B5B" w14:paraId="6BA278E6" w14:textId="77777777" w:rsidTr="00013D11">
        <w:trPr>
          <w:gridBefore w:val="1"/>
          <w:wBefore w:w="6" w:type="dxa"/>
        </w:trPr>
        <w:tc>
          <w:tcPr>
            <w:tcW w:w="1400" w:type="dxa"/>
            <w:tcBorders>
              <w:top w:val="single" w:sz="8" w:space="0" w:color="000000"/>
              <w:left w:val="single" w:sz="8" w:space="0" w:color="000000"/>
              <w:bottom w:val="single" w:sz="6" w:space="0" w:color="000000"/>
              <w:right w:val="single" w:sz="8" w:space="0" w:color="000000"/>
            </w:tcBorders>
            <w:vAlign w:val="center"/>
          </w:tcPr>
          <w:p w14:paraId="3A6318B6" w14:textId="2C19908A" w:rsidR="009E6ECC" w:rsidRPr="0058096F" w:rsidRDefault="009E6ECC" w:rsidP="009E6ECC">
            <w:pPr>
              <w:pStyle w:val="zhangjiep2"/>
              <w:rPr>
                <w:rFonts w:cstheme="minorBidi"/>
                <w:kern w:val="2"/>
                <w:sz w:val="21"/>
                <w:szCs w:val="21"/>
              </w:rPr>
            </w:pPr>
            <w:r>
              <w:rPr>
                <w:rFonts w:cstheme="minorBidi" w:hint="eastAsia"/>
                <w:kern w:val="2"/>
                <w:sz w:val="21"/>
                <w:szCs w:val="21"/>
              </w:rPr>
              <w:t>2</w:t>
            </w:r>
            <w:r>
              <w:rPr>
                <w:rFonts w:cstheme="minorBidi"/>
                <w:kern w:val="2"/>
                <w:sz w:val="21"/>
                <w:szCs w:val="21"/>
              </w:rPr>
              <w:t>020.12.31-2021.12.31</w:t>
            </w:r>
          </w:p>
        </w:tc>
        <w:tc>
          <w:tcPr>
            <w:tcW w:w="1120" w:type="dxa"/>
            <w:tcBorders>
              <w:top w:val="single" w:sz="8" w:space="0" w:color="000000"/>
              <w:left w:val="single" w:sz="8" w:space="0" w:color="000000"/>
              <w:bottom w:val="single" w:sz="6" w:space="0" w:color="000000"/>
              <w:right w:val="single" w:sz="8" w:space="0" w:color="000000"/>
            </w:tcBorders>
            <w:vAlign w:val="center"/>
          </w:tcPr>
          <w:p w14:paraId="06B7DCAE" w14:textId="6BCAC311" w:rsidR="009E6ECC" w:rsidRPr="005F5714" w:rsidRDefault="009E6ECC" w:rsidP="009E6ECC">
            <w:pPr>
              <w:pStyle w:val="zhangjiep2"/>
              <w:ind w:firstLineChars="100" w:firstLine="210"/>
              <w:rPr>
                <w:rFonts w:cstheme="minorBidi"/>
                <w:kern w:val="2"/>
                <w:sz w:val="21"/>
                <w:szCs w:val="21"/>
              </w:rPr>
            </w:pPr>
            <w:r>
              <w:rPr>
                <w:rFonts w:cstheme="minorBidi" w:hint="eastAsia"/>
                <w:kern w:val="2"/>
                <w:sz w:val="21"/>
                <w:szCs w:val="21"/>
              </w:rPr>
              <w:t>2</w:t>
            </w:r>
            <w:r>
              <w:rPr>
                <w:rFonts w:cstheme="minorBidi"/>
                <w:kern w:val="2"/>
                <w:sz w:val="21"/>
                <w:szCs w:val="21"/>
              </w:rPr>
              <w:t>.28%</w:t>
            </w:r>
          </w:p>
        </w:tc>
        <w:tc>
          <w:tcPr>
            <w:tcW w:w="1217" w:type="dxa"/>
            <w:tcBorders>
              <w:top w:val="single" w:sz="8" w:space="0" w:color="000000"/>
              <w:left w:val="single" w:sz="8" w:space="0" w:color="000000"/>
              <w:bottom w:val="single" w:sz="6" w:space="0" w:color="000000"/>
              <w:right w:val="single" w:sz="8" w:space="0" w:color="000000"/>
            </w:tcBorders>
            <w:vAlign w:val="center"/>
          </w:tcPr>
          <w:p w14:paraId="5699BB87" w14:textId="5CAA4136" w:rsidR="009E6ECC" w:rsidRPr="005F5714" w:rsidRDefault="009E6ECC" w:rsidP="009E6ECC">
            <w:pPr>
              <w:pStyle w:val="zhangjiep2"/>
              <w:ind w:firstLineChars="100" w:firstLine="210"/>
              <w:rPr>
                <w:rFonts w:cstheme="minorBidi"/>
                <w:kern w:val="2"/>
                <w:sz w:val="21"/>
                <w:szCs w:val="21"/>
              </w:rPr>
            </w:pPr>
            <w:r>
              <w:rPr>
                <w:rFonts w:cstheme="minorBidi" w:hint="eastAsia"/>
                <w:kern w:val="2"/>
                <w:sz w:val="21"/>
                <w:szCs w:val="21"/>
              </w:rPr>
              <w:t>0</w:t>
            </w:r>
            <w:r>
              <w:rPr>
                <w:rFonts w:cstheme="minorBidi"/>
                <w:kern w:val="2"/>
                <w:sz w:val="21"/>
                <w:szCs w:val="21"/>
              </w:rPr>
              <w:t>.01%</w:t>
            </w:r>
          </w:p>
        </w:tc>
        <w:tc>
          <w:tcPr>
            <w:tcW w:w="1264" w:type="dxa"/>
            <w:tcBorders>
              <w:top w:val="single" w:sz="8" w:space="0" w:color="000000"/>
              <w:left w:val="single" w:sz="8" w:space="0" w:color="000000"/>
              <w:bottom w:val="single" w:sz="6" w:space="0" w:color="000000"/>
              <w:right w:val="single" w:sz="8" w:space="0" w:color="000000"/>
            </w:tcBorders>
            <w:vAlign w:val="center"/>
          </w:tcPr>
          <w:p w14:paraId="62BC0C59" w14:textId="0A948CF6" w:rsidR="009E6ECC" w:rsidRPr="005F5714" w:rsidRDefault="009E6ECC" w:rsidP="009E6ECC">
            <w:pPr>
              <w:pStyle w:val="zhangjiep2"/>
              <w:ind w:firstLineChars="100" w:firstLine="210"/>
              <w:rPr>
                <w:rFonts w:cstheme="minorBidi"/>
                <w:kern w:val="2"/>
                <w:sz w:val="21"/>
                <w:szCs w:val="21"/>
              </w:rPr>
            </w:pPr>
            <w:r>
              <w:rPr>
                <w:rFonts w:cstheme="minorBidi" w:hint="eastAsia"/>
                <w:kern w:val="2"/>
                <w:sz w:val="21"/>
                <w:szCs w:val="21"/>
              </w:rPr>
              <w:t>4</w:t>
            </w:r>
            <w:r>
              <w:rPr>
                <w:rFonts w:cstheme="minorBidi"/>
                <w:kern w:val="2"/>
                <w:sz w:val="21"/>
                <w:szCs w:val="21"/>
              </w:rPr>
              <w:t>.75%</w:t>
            </w:r>
          </w:p>
        </w:tc>
        <w:tc>
          <w:tcPr>
            <w:tcW w:w="1264" w:type="dxa"/>
            <w:tcBorders>
              <w:top w:val="single" w:sz="8" w:space="0" w:color="000000"/>
              <w:left w:val="single" w:sz="8" w:space="0" w:color="000000"/>
              <w:bottom w:val="single" w:sz="6" w:space="0" w:color="000000"/>
              <w:right w:val="single" w:sz="8" w:space="0" w:color="000000"/>
            </w:tcBorders>
            <w:vAlign w:val="center"/>
          </w:tcPr>
          <w:p w14:paraId="63329828" w14:textId="7FF072C2" w:rsidR="009E6ECC" w:rsidRPr="005F5714" w:rsidRDefault="009E6ECC" w:rsidP="009E6ECC">
            <w:pPr>
              <w:pStyle w:val="zhangjiep2"/>
              <w:ind w:firstLineChars="100" w:firstLine="210"/>
              <w:rPr>
                <w:rFonts w:cstheme="minorBidi"/>
                <w:kern w:val="2"/>
                <w:sz w:val="21"/>
                <w:szCs w:val="21"/>
              </w:rPr>
            </w:pPr>
            <w:r>
              <w:rPr>
                <w:rFonts w:cstheme="minorBidi" w:hint="eastAsia"/>
                <w:kern w:val="2"/>
                <w:sz w:val="21"/>
                <w:szCs w:val="21"/>
              </w:rPr>
              <w:t>0</w:t>
            </w:r>
            <w:r>
              <w:rPr>
                <w:rFonts w:cstheme="minorBidi"/>
                <w:kern w:val="2"/>
                <w:sz w:val="21"/>
                <w:szCs w:val="21"/>
              </w:rPr>
              <w:t>.04%</w:t>
            </w:r>
          </w:p>
        </w:tc>
        <w:tc>
          <w:tcPr>
            <w:tcW w:w="1471" w:type="dxa"/>
            <w:tcBorders>
              <w:top w:val="single" w:sz="8" w:space="0" w:color="000000"/>
              <w:left w:val="single" w:sz="8" w:space="0" w:color="000000"/>
              <w:bottom w:val="single" w:sz="6" w:space="0" w:color="000000"/>
              <w:right w:val="single" w:sz="8" w:space="0" w:color="000000"/>
            </w:tcBorders>
            <w:vAlign w:val="center"/>
          </w:tcPr>
          <w:p w14:paraId="270430F7" w14:textId="466F81EC" w:rsidR="009E6ECC" w:rsidRPr="005F5714" w:rsidRDefault="009E6ECC" w:rsidP="009E6ECC">
            <w:pPr>
              <w:pStyle w:val="zhangjiep2"/>
              <w:ind w:firstLineChars="100" w:firstLine="210"/>
              <w:rPr>
                <w:rFonts w:cstheme="minorBidi"/>
                <w:kern w:val="2"/>
                <w:sz w:val="21"/>
                <w:szCs w:val="21"/>
              </w:rPr>
            </w:pPr>
            <w:r>
              <w:rPr>
                <w:rFonts w:cstheme="minorBidi" w:hint="eastAsia"/>
                <w:kern w:val="2"/>
                <w:sz w:val="21"/>
                <w:szCs w:val="21"/>
              </w:rPr>
              <w:t>-</w:t>
            </w:r>
            <w:r>
              <w:rPr>
                <w:rFonts w:cstheme="minorBidi"/>
                <w:kern w:val="2"/>
                <w:sz w:val="21"/>
                <w:szCs w:val="21"/>
              </w:rPr>
              <w:t>2.47%</w:t>
            </w:r>
          </w:p>
        </w:tc>
        <w:tc>
          <w:tcPr>
            <w:tcW w:w="1473" w:type="dxa"/>
            <w:tcBorders>
              <w:top w:val="single" w:sz="8" w:space="0" w:color="000000"/>
              <w:left w:val="single" w:sz="8" w:space="0" w:color="000000"/>
              <w:bottom w:val="single" w:sz="6" w:space="0" w:color="000000"/>
              <w:right w:val="single" w:sz="8" w:space="0" w:color="000000"/>
            </w:tcBorders>
            <w:vAlign w:val="center"/>
          </w:tcPr>
          <w:p w14:paraId="66D745ED" w14:textId="3ED827E8" w:rsidR="009E6ECC" w:rsidRPr="005F5714" w:rsidRDefault="009E6ECC" w:rsidP="009E6ECC">
            <w:pPr>
              <w:pStyle w:val="zhangjiep2"/>
              <w:ind w:firstLineChars="100" w:firstLine="210"/>
              <w:rPr>
                <w:rFonts w:cstheme="minorBidi"/>
                <w:kern w:val="2"/>
                <w:sz w:val="21"/>
                <w:szCs w:val="21"/>
              </w:rPr>
            </w:pPr>
            <w:r>
              <w:rPr>
                <w:rFonts w:cstheme="minorBidi" w:hint="eastAsia"/>
                <w:kern w:val="2"/>
                <w:sz w:val="21"/>
                <w:szCs w:val="21"/>
              </w:rPr>
              <w:t>-</w:t>
            </w:r>
            <w:r>
              <w:rPr>
                <w:rFonts w:cstheme="minorBidi"/>
                <w:kern w:val="2"/>
                <w:sz w:val="21"/>
                <w:szCs w:val="21"/>
              </w:rPr>
              <w:t>0.03%</w:t>
            </w:r>
          </w:p>
        </w:tc>
      </w:tr>
      <w:tr w:rsidR="009E6ECC" w:rsidRPr="00B50B5B" w14:paraId="23AF7D01" w14:textId="77777777" w:rsidTr="00013D11">
        <w:tc>
          <w:tcPr>
            <w:tcW w:w="1406" w:type="dxa"/>
            <w:gridSpan w:val="2"/>
            <w:tcBorders>
              <w:top w:val="single" w:sz="8" w:space="0" w:color="000000"/>
              <w:left w:val="single" w:sz="8" w:space="0" w:color="000000"/>
              <w:bottom w:val="single" w:sz="6" w:space="0" w:color="000000"/>
              <w:right w:val="single" w:sz="8" w:space="0" w:color="000000"/>
            </w:tcBorders>
            <w:vAlign w:val="center"/>
            <w:hideMark/>
          </w:tcPr>
          <w:p w14:paraId="41043554" w14:textId="77777777" w:rsidR="009E6ECC" w:rsidRPr="0058096F" w:rsidRDefault="009E6ECC" w:rsidP="009E6ECC">
            <w:pPr>
              <w:pStyle w:val="zhangjiep2"/>
              <w:rPr>
                <w:rFonts w:cstheme="minorBidi"/>
                <w:kern w:val="2"/>
                <w:sz w:val="21"/>
                <w:szCs w:val="21"/>
              </w:rPr>
            </w:pPr>
            <w:r w:rsidRPr="0058096F">
              <w:rPr>
                <w:rFonts w:cstheme="minorBidi" w:hint="eastAsia"/>
                <w:kern w:val="2"/>
                <w:sz w:val="21"/>
                <w:szCs w:val="21"/>
              </w:rPr>
              <w:t>自基金合同生效起至今</w:t>
            </w:r>
          </w:p>
        </w:tc>
        <w:tc>
          <w:tcPr>
            <w:tcW w:w="1120" w:type="dxa"/>
            <w:tcBorders>
              <w:top w:val="single" w:sz="8" w:space="0" w:color="000000"/>
              <w:left w:val="single" w:sz="8" w:space="0" w:color="000000"/>
              <w:bottom w:val="single" w:sz="6" w:space="0" w:color="000000"/>
              <w:right w:val="single" w:sz="8" w:space="0" w:color="000000"/>
            </w:tcBorders>
            <w:vAlign w:val="center"/>
            <w:hideMark/>
          </w:tcPr>
          <w:p w14:paraId="597EAAFC" w14:textId="2A7E6CD6" w:rsidR="009E6ECC" w:rsidRPr="0058096F" w:rsidRDefault="009E6ECC" w:rsidP="009E6ECC">
            <w:pPr>
              <w:pStyle w:val="zhangjiep2"/>
              <w:ind w:firstLineChars="100" w:firstLine="210"/>
              <w:rPr>
                <w:rFonts w:cstheme="minorBidi"/>
                <w:kern w:val="2"/>
                <w:sz w:val="21"/>
                <w:szCs w:val="21"/>
              </w:rPr>
            </w:pPr>
            <w:r w:rsidRPr="005F5714">
              <w:rPr>
                <w:rFonts w:cstheme="minorBidi"/>
                <w:kern w:val="2"/>
                <w:sz w:val="21"/>
                <w:szCs w:val="21"/>
              </w:rPr>
              <w:t>4.34%</w:t>
            </w:r>
          </w:p>
        </w:tc>
        <w:tc>
          <w:tcPr>
            <w:tcW w:w="1217" w:type="dxa"/>
            <w:tcBorders>
              <w:top w:val="single" w:sz="8" w:space="0" w:color="000000"/>
              <w:left w:val="single" w:sz="8" w:space="0" w:color="000000"/>
              <w:bottom w:val="single" w:sz="6" w:space="0" w:color="000000"/>
              <w:right w:val="single" w:sz="8" w:space="0" w:color="000000"/>
            </w:tcBorders>
            <w:vAlign w:val="center"/>
            <w:hideMark/>
          </w:tcPr>
          <w:p w14:paraId="6B726CB9" w14:textId="4F22240F" w:rsidR="009E6ECC" w:rsidRPr="0058096F" w:rsidRDefault="009E6ECC" w:rsidP="009E6ECC">
            <w:pPr>
              <w:pStyle w:val="zhangjiep2"/>
              <w:ind w:firstLineChars="100" w:firstLine="210"/>
              <w:rPr>
                <w:rFonts w:cstheme="minorBidi"/>
                <w:kern w:val="2"/>
                <w:sz w:val="21"/>
                <w:szCs w:val="21"/>
              </w:rPr>
            </w:pPr>
            <w:r w:rsidRPr="005F5714">
              <w:rPr>
                <w:rFonts w:cstheme="minorBidi"/>
                <w:kern w:val="2"/>
                <w:sz w:val="21"/>
                <w:szCs w:val="21"/>
              </w:rPr>
              <w:t>0.02%</w:t>
            </w:r>
          </w:p>
        </w:tc>
        <w:tc>
          <w:tcPr>
            <w:tcW w:w="1264" w:type="dxa"/>
            <w:tcBorders>
              <w:top w:val="single" w:sz="8" w:space="0" w:color="000000"/>
              <w:left w:val="single" w:sz="8" w:space="0" w:color="000000"/>
              <w:bottom w:val="single" w:sz="6" w:space="0" w:color="000000"/>
              <w:right w:val="single" w:sz="8" w:space="0" w:color="000000"/>
            </w:tcBorders>
            <w:vAlign w:val="center"/>
            <w:hideMark/>
          </w:tcPr>
          <w:p w14:paraId="1FC1D39E" w14:textId="6BCE36E0" w:rsidR="009E6ECC" w:rsidRPr="0058096F" w:rsidRDefault="009E6ECC" w:rsidP="009E6ECC">
            <w:pPr>
              <w:pStyle w:val="zhangjiep2"/>
              <w:ind w:firstLineChars="100" w:firstLine="210"/>
              <w:rPr>
                <w:rFonts w:cstheme="minorBidi"/>
                <w:kern w:val="2"/>
                <w:sz w:val="21"/>
                <w:szCs w:val="21"/>
              </w:rPr>
            </w:pPr>
            <w:r w:rsidRPr="005F5714">
              <w:rPr>
                <w:rFonts w:cstheme="minorBidi"/>
                <w:kern w:val="2"/>
                <w:sz w:val="21"/>
                <w:szCs w:val="21"/>
              </w:rPr>
              <w:t>8.00%</w:t>
            </w:r>
          </w:p>
        </w:tc>
        <w:tc>
          <w:tcPr>
            <w:tcW w:w="1264" w:type="dxa"/>
            <w:tcBorders>
              <w:top w:val="single" w:sz="8" w:space="0" w:color="000000"/>
              <w:left w:val="single" w:sz="8" w:space="0" w:color="000000"/>
              <w:bottom w:val="single" w:sz="6" w:space="0" w:color="000000"/>
              <w:right w:val="single" w:sz="8" w:space="0" w:color="000000"/>
            </w:tcBorders>
            <w:vAlign w:val="center"/>
            <w:hideMark/>
          </w:tcPr>
          <w:p w14:paraId="69E02924" w14:textId="611C3100" w:rsidR="009E6ECC" w:rsidRPr="0058096F" w:rsidRDefault="009E6ECC" w:rsidP="009E6ECC">
            <w:pPr>
              <w:pStyle w:val="zhangjiep2"/>
              <w:ind w:firstLineChars="100" w:firstLine="210"/>
              <w:rPr>
                <w:rFonts w:cstheme="minorBidi"/>
                <w:kern w:val="2"/>
                <w:sz w:val="21"/>
                <w:szCs w:val="21"/>
              </w:rPr>
            </w:pPr>
            <w:r w:rsidRPr="005F5714">
              <w:rPr>
                <w:rFonts w:cstheme="minorBidi"/>
                <w:kern w:val="2"/>
                <w:sz w:val="21"/>
                <w:szCs w:val="21"/>
              </w:rPr>
              <w:t>0.04%</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579734A0" w14:textId="1190B022" w:rsidR="009E6ECC" w:rsidRPr="0058096F" w:rsidRDefault="009E6ECC" w:rsidP="009E6ECC">
            <w:pPr>
              <w:pStyle w:val="zhangjiep2"/>
              <w:ind w:firstLineChars="100" w:firstLine="210"/>
              <w:rPr>
                <w:rFonts w:cstheme="minorBidi"/>
                <w:kern w:val="2"/>
                <w:sz w:val="21"/>
                <w:szCs w:val="21"/>
              </w:rPr>
            </w:pPr>
            <w:r w:rsidRPr="005F5714">
              <w:rPr>
                <w:rFonts w:cstheme="minorBidi"/>
                <w:kern w:val="2"/>
                <w:sz w:val="21"/>
                <w:szCs w:val="21"/>
              </w:rPr>
              <w:t>-3.66%</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5ECAC334" w14:textId="76C1C7BD" w:rsidR="009E6ECC" w:rsidRPr="0058096F" w:rsidRDefault="009E6ECC" w:rsidP="009E6ECC">
            <w:pPr>
              <w:pStyle w:val="zhangjiep2"/>
              <w:ind w:firstLineChars="100" w:firstLine="210"/>
              <w:rPr>
                <w:rFonts w:cstheme="minorBidi"/>
                <w:kern w:val="2"/>
                <w:sz w:val="21"/>
                <w:szCs w:val="21"/>
              </w:rPr>
            </w:pPr>
            <w:r w:rsidRPr="005F5714">
              <w:rPr>
                <w:rFonts w:cstheme="minorBidi"/>
                <w:kern w:val="2"/>
                <w:sz w:val="21"/>
                <w:szCs w:val="21"/>
              </w:rPr>
              <w:t>-0.02%</w:t>
            </w:r>
          </w:p>
        </w:tc>
      </w:tr>
    </w:tbl>
    <w:p w14:paraId="1E5B6469" w14:textId="780E3795" w:rsidR="003C2798" w:rsidRPr="0058096F" w:rsidRDefault="003C2798" w:rsidP="003C2798">
      <w:pPr>
        <w:pStyle w:val="neirong"/>
        <w:rPr>
          <w:rFonts w:cstheme="minorBidi"/>
          <w:kern w:val="2"/>
          <w:sz w:val="21"/>
          <w:szCs w:val="21"/>
        </w:rPr>
      </w:pPr>
      <w:r w:rsidRPr="0058096F">
        <w:rPr>
          <w:rFonts w:cstheme="minorBidi" w:hint="eastAsia"/>
          <w:kern w:val="2"/>
          <w:sz w:val="21"/>
          <w:szCs w:val="21"/>
        </w:rPr>
        <w:t>注：本基金的业绩比较基准为中</w:t>
      </w:r>
      <w:proofErr w:type="gramStart"/>
      <w:r w:rsidRPr="0058096F">
        <w:rPr>
          <w:rFonts w:cstheme="minorBidi" w:hint="eastAsia"/>
          <w:kern w:val="2"/>
          <w:sz w:val="21"/>
          <w:szCs w:val="21"/>
        </w:rPr>
        <w:t>债综合</w:t>
      </w:r>
      <w:proofErr w:type="gramEnd"/>
      <w:r w:rsidRPr="0058096F">
        <w:rPr>
          <w:rFonts w:cstheme="minorBidi" w:hint="eastAsia"/>
          <w:kern w:val="2"/>
          <w:sz w:val="21"/>
          <w:szCs w:val="21"/>
        </w:rPr>
        <w:t>指数（总财富）收益率×</w:t>
      </w:r>
      <w:r w:rsidRPr="0058096F">
        <w:rPr>
          <w:rFonts w:cstheme="minorBidi"/>
          <w:kern w:val="2"/>
          <w:sz w:val="21"/>
          <w:szCs w:val="21"/>
        </w:rPr>
        <w:t>90%+1年期定期存款利率（税后）×10%</w:t>
      </w:r>
    </w:p>
    <w:p w14:paraId="3327C9D7" w14:textId="77777777" w:rsidR="003C2798" w:rsidRDefault="003C2798" w:rsidP="003C2798">
      <w:pPr>
        <w:widowControl/>
        <w:jc w:val="left"/>
        <w:rPr>
          <w:rFonts w:ascii="宋体" w:eastAsia="宋体" w:hAnsi="宋体" w:cs="宋体"/>
          <w:kern w:val="0"/>
          <w:sz w:val="24"/>
          <w:szCs w:val="24"/>
        </w:rPr>
      </w:pPr>
    </w:p>
    <w:p w14:paraId="187711B4" w14:textId="321AD93C" w:rsidR="003C2798" w:rsidRPr="0058096F" w:rsidRDefault="003C2798" w:rsidP="003C2798">
      <w:pPr>
        <w:pStyle w:val="zhangjiep2"/>
        <w:rPr>
          <w:rFonts w:cstheme="minorBidi"/>
          <w:kern w:val="2"/>
          <w:sz w:val="21"/>
          <w:szCs w:val="21"/>
        </w:rPr>
      </w:pPr>
      <w:r w:rsidRPr="0058096F">
        <w:rPr>
          <w:rFonts w:cstheme="minorBidi" w:hint="eastAsia"/>
          <w:kern w:val="2"/>
          <w:sz w:val="21"/>
          <w:szCs w:val="21"/>
        </w:rPr>
        <w:lastRenderedPageBreak/>
        <w:t>（</w:t>
      </w:r>
      <w:r w:rsidRPr="0058096F">
        <w:rPr>
          <w:rFonts w:cstheme="minorBidi"/>
          <w:kern w:val="2"/>
          <w:sz w:val="21"/>
          <w:szCs w:val="21"/>
        </w:rPr>
        <w:t>2）自基金合同生效以来基金累计净值增长率变动及其与同期业绩比较基准收益率变动的比较</w:t>
      </w:r>
    </w:p>
    <w:p w14:paraId="2AEEDCA4" w14:textId="6973CC4F" w:rsidR="003C2798" w:rsidRDefault="009C329C" w:rsidP="003C2798">
      <w:pPr>
        <w:pStyle w:val="biaogeleft"/>
      </w:pPr>
      <w:r w:rsidRPr="00544466">
        <w:rPr>
          <w:rFonts w:hAnsi="等线"/>
          <w:noProof/>
          <w:color w:val="000000"/>
        </w:rPr>
        <w:drawing>
          <wp:inline distT="0" distB="0" distL="0" distR="0" wp14:anchorId="09F71BD0" wp14:editId="278E51B3">
            <wp:extent cx="5274310" cy="3426460"/>
            <wp:effectExtent l="0" t="0" r="2540" b="2540"/>
            <wp:docPr id="2" name="图片 2"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 折线图&#10;&#10;描述已自动生成"/>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28934689" w14:textId="51D0195A" w:rsidR="003C2798" w:rsidRPr="0058096F" w:rsidRDefault="003C2798" w:rsidP="0058096F">
      <w:pPr>
        <w:pStyle w:val="zhangjiep2"/>
        <w:rPr>
          <w:rFonts w:cstheme="minorBidi"/>
          <w:kern w:val="2"/>
          <w:sz w:val="21"/>
          <w:szCs w:val="21"/>
        </w:rPr>
      </w:pPr>
      <w:r w:rsidRPr="0058096F">
        <w:rPr>
          <w:rFonts w:cstheme="minorBidi" w:hint="eastAsia"/>
          <w:kern w:val="2"/>
          <w:sz w:val="21"/>
          <w:szCs w:val="21"/>
        </w:rPr>
        <w:t>注：本基金的建仓期为</w:t>
      </w:r>
      <w:r w:rsidRPr="0058096F">
        <w:rPr>
          <w:rFonts w:cstheme="minorBidi"/>
          <w:kern w:val="2"/>
          <w:sz w:val="21"/>
          <w:szCs w:val="21"/>
        </w:rPr>
        <w:t>6个月，建仓期结束时各项资产配置比例符合合同约定。</w:t>
      </w:r>
    </w:p>
    <w:p w14:paraId="3505D022" w14:textId="77777777" w:rsidR="003C2798" w:rsidRPr="00703F86" w:rsidRDefault="003C2798" w:rsidP="003C2798">
      <w:pPr>
        <w:spacing w:line="360" w:lineRule="auto"/>
        <w:ind w:firstLineChars="200" w:firstLine="420"/>
        <w:rPr>
          <w:rFonts w:ascii="宋体" w:eastAsia="宋体" w:hAnsi="宋体"/>
          <w:szCs w:val="21"/>
        </w:rPr>
      </w:pPr>
    </w:p>
    <w:p w14:paraId="052A9875" w14:textId="23D46E4A" w:rsidR="009E4620" w:rsidRPr="003C2798" w:rsidRDefault="009E4620" w:rsidP="009E4620">
      <w:pPr>
        <w:spacing w:line="360" w:lineRule="auto"/>
        <w:ind w:firstLineChars="200" w:firstLine="420"/>
        <w:rPr>
          <w:rFonts w:ascii="宋体" w:eastAsia="宋体" w:hAnsi="宋体"/>
          <w:szCs w:val="21"/>
        </w:rPr>
      </w:pPr>
    </w:p>
    <w:p w14:paraId="2797C801" w14:textId="77777777" w:rsidR="009E4620" w:rsidRPr="00BD090D" w:rsidRDefault="009E4620" w:rsidP="009E4620">
      <w:pPr>
        <w:spacing w:line="360" w:lineRule="auto"/>
        <w:ind w:firstLineChars="200" w:firstLine="420"/>
        <w:rPr>
          <w:rFonts w:ascii="宋体" w:eastAsia="宋体" w:hAnsi="宋体"/>
          <w:szCs w:val="21"/>
        </w:rPr>
      </w:pPr>
    </w:p>
    <w:p w14:paraId="38451DCA" w14:textId="77777777" w:rsidR="0091134F" w:rsidRDefault="0091134F"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r>
        <w:rPr>
          <w:rFonts w:ascii="Arial Unicode MS" w:eastAsia="宋体" w:hAnsi="Arial Unicode MS" w:cs="Arial"/>
          <w:kern w:val="0"/>
          <w:sz w:val="28"/>
          <w:szCs w:val="28"/>
        </w:rPr>
        <w:br w:type="page"/>
      </w:r>
    </w:p>
    <w:p w14:paraId="5757E475" w14:textId="34082A22"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1" w:name="_Toc121901719"/>
      <w:r w:rsidRPr="00BD090D">
        <w:rPr>
          <w:rFonts w:ascii="Arial Unicode MS" w:eastAsia="宋体" w:hAnsi="Arial Unicode MS" w:cs="Arial" w:hint="eastAsia"/>
          <w:kern w:val="0"/>
          <w:sz w:val="28"/>
          <w:szCs w:val="28"/>
        </w:rPr>
        <w:lastRenderedPageBreak/>
        <w:t>第十一部分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基金的财产</w:t>
      </w:r>
      <w:bookmarkEnd w:id="21"/>
    </w:p>
    <w:p w14:paraId="61E44088" w14:textId="77777777" w:rsidR="00BD090D" w:rsidRPr="00BD090D" w:rsidRDefault="00BD090D" w:rsidP="00BD090D">
      <w:pPr>
        <w:spacing w:line="360" w:lineRule="auto"/>
        <w:ind w:firstLineChars="200" w:firstLine="420"/>
        <w:rPr>
          <w:rFonts w:ascii="宋体" w:eastAsia="宋体" w:hAnsi="宋体"/>
          <w:szCs w:val="21"/>
        </w:rPr>
      </w:pPr>
    </w:p>
    <w:p w14:paraId="0C8C8E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一、基金资产总值</w:t>
      </w:r>
    </w:p>
    <w:p w14:paraId="073271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基金资产总值是指基金拥有的各类有价证券、银行存款本息、基金应收申购款及其他资产的价值总和。</w:t>
      </w:r>
    </w:p>
    <w:p w14:paraId="3529A6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二、基金资产净值</w:t>
      </w:r>
    </w:p>
    <w:p w14:paraId="19F47E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基金资产净值是指基金资产总值减去基金负债后的价值。</w:t>
      </w:r>
    </w:p>
    <w:p w14:paraId="53AE6F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三、基金财产的账户</w:t>
      </w:r>
    </w:p>
    <w:p w14:paraId="6601EB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72C1A82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四、基金财产的保管和处分</w:t>
      </w:r>
    </w:p>
    <w:p w14:paraId="0A5D46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BD090D">
        <w:rPr>
          <w:rFonts w:ascii="宋体" w:eastAsia="宋体" w:hAnsi="宋体" w:hint="eastAsia"/>
          <w:szCs w:val="21"/>
        </w:rPr>
        <w:t>律法规</w:t>
      </w:r>
      <w:proofErr w:type="gramEnd"/>
      <w:r w:rsidRPr="00BD090D">
        <w:rPr>
          <w:rFonts w:ascii="宋体" w:eastAsia="宋体" w:hAnsi="宋体" w:hint="eastAsia"/>
          <w:szCs w:val="21"/>
        </w:rPr>
        <w:t>和《基金合同》的规定处分外，基金财产不得被处分。</w:t>
      </w:r>
    </w:p>
    <w:p w14:paraId="375DBE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BD090D">
        <w:rPr>
          <w:rFonts w:ascii="宋体" w:eastAsia="宋体" w:hAnsi="宋体" w:hint="eastAsia"/>
          <w:szCs w:val="21"/>
        </w:rPr>
        <w:t>抵销</w:t>
      </w:r>
      <w:proofErr w:type="gramEnd"/>
      <w:r w:rsidRPr="00BD090D">
        <w:rPr>
          <w:rFonts w:ascii="宋体" w:eastAsia="宋体" w:hAnsi="宋体" w:hint="eastAsia"/>
          <w:szCs w:val="21"/>
        </w:rPr>
        <w:t>；基金管理人管理运作不同基金的基金财产所产生的债权债务不得相互</w:t>
      </w:r>
      <w:proofErr w:type="gramStart"/>
      <w:r w:rsidRPr="00BD090D">
        <w:rPr>
          <w:rFonts w:ascii="宋体" w:eastAsia="宋体" w:hAnsi="宋体" w:hint="eastAsia"/>
          <w:szCs w:val="21"/>
        </w:rPr>
        <w:t>抵销</w:t>
      </w:r>
      <w:proofErr w:type="gramEnd"/>
      <w:r w:rsidRPr="00BD090D">
        <w:rPr>
          <w:rFonts w:ascii="宋体" w:eastAsia="宋体" w:hAnsi="宋体" w:hint="eastAsia"/>
          <w:szCs w:val="21"/>
        </w:rPr>
        <w:t>。非因基金财产本身承担的债务，不得对基金财产强制执行。</w:t>
      </w:r>
    </w:p>
    <w:p w14:paraId="225D45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F45531B"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1922B4B"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6F93B914"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2" w:name="_Toc121901720"/>
      <w:r w:rsidRPr="00BD090D">
        <w:rPr>
          <w:rFonts w:ascii="Arial Unicode MS" w:eastAsia="宋体" w:hAnsi="Arial Unicode MS" w:cs="Arial" w:hint="eastAsia"/>
          <w:kern w:val="0"/>
          <w:sz w:val="28"/>
          <w:szCs w:val="28"/>
        </w:rPr>
        <w:lastRenderedPageBreak/>
        <w:t>第十二部分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基金资产的估值</w:t>
      </w:r>
      <w:bookmarkEnd w:id="22"/>
    </w:p>
    <w:p w14:paraId="1130367F" w14:textId="77777777" w:rsidR="00BD090D" w:rsidRPr="00BD090D" w:rsidRDefault="00BD090D" w:rsidP="00BD090D">
      <w:pPr>
        <w:spacing w:line="360" w:lineRule="auto"/>
        <w:ind w:firstLineChars="200" w:firstLine="420"/>
        <w:rPr>
          <w:rFonts w:ascii="宋体" w:eastAsia="宋体" w:hAnsi="宋体"/>
          <w:szCs w:val="21"/>
        </w:rPr>
      </w:pPr>
    </w:p>
    <w:p w14:paraId="01A74D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一、估值日</w:t>
      </w:r>
    </w:p>
    <w:p w14:paraId="0A6541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本基金的估值日为本基金相关的证券交易场所的交易日以及国家法律法规规定需要对外披露基金净值的</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日。</w:t>
      </w:r>
    </w:p>
    <w:p w14:paraId="699D4B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二、估值对象</w:t>
      </w:r>
    </w:p>
    <w:p w14:paraId="525ACF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基金所拥有的各类有价证券、资产支持证券以及银行存款本息和其它资产及负债。</w:t>
      </w:r>
    </w:p>
    <w:p w14:paraId="00D8A16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三、估值原则 </w:t>
      </w:r>
    </w:p>
    <w:p w14:paraId="11B580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基金管理人在确定相关金融资产和金融负债的公允价值时，应符合《企业会计准则》、监管部门有关规定。</w:t>
      </w:r>
    </w:p>
    <w:p w14:paraId="7B0522A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0F0FA0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与上述投资品种形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5997E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C9398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（三）如经济环境发生重大变化或证券发行人发生影响证券价格的重大事件，使潜在估值调整对前一估值日的基金资产净值的影响在0.25%以上的，应对估值进行调整并确定公允价值。</w:t>
      </w:r>
    </w:p>
    <w:p w14:paraId="554C5B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四、估值方法</w:t>
      </w:r>
    </w:p>
    <w:p w14:paraId="6D6C9F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1、交易所市场交易的固定收益品种的估值</w:t>
      </w:r>
    </w:p>
    <w:p w14:paraId="7B2FBB2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（1）对在交易所市场上市交易或挂牌转让的固定收益品种（基金合同另有规定的除外），</w:t>
      </w:r>
      <w:r w:rsidRPr="00BD090D">
        <w:rPr>
          <w:rFonts w:ascii="宋体" w:eastAsia="宋体" w:hAnsi="宋体" w:hint="eastAsia"/>
          <w:szCs w:val="21"/>
        </w:rPr>
        <w:lastRenderedPageBreak/>
        <w:t>选取第三方估值机构提供的相应品种当日的估值净价进行估值；</w:t>
      </w:r>
    </w:p>
    <w:p w14:paraId="712BB6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（2）交易所上市交易的可转换债券，选取每日收盘价作为估值全价；</w:t>
      </w:r>
    </w:p>
    <w:p w14:paraId="34FCF6B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（3）对在交易所市场挂牌转让的资产支持证券，采用估值技术确定公允价值，在估值技术难以可靠计量公允价值的情况下，按成本估值；</w:t>
      </w:r>
    </w:p>
    <w:p w14:paraId="6792CA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（4）对在交易所市场发行未上市或未挂牌转让的固定收益品种，采用估值技术确定公允价值，在估值技术难以可靠计量公允价值的情况下，按成本估值。</w:t>
      </w:r>
    </w:p>
    <w:p w14:paraId="056933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2、银行间市场交易的固定收益品种的估值</w:t>
      </w:r>
    </w:p>
    <w:p w14:paraId="2FFC36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（1）银行间市场交易的固定收益品种，选取第三方估值机构提供的相应品种当日的估值净价进行估值。</w:t>
      </w:r>
    </w:p>
    <w:p w14:paraId="79B8DC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（2）对银行间市场未上市，且第三方估值机构未提供估值价格的固定收益品种，按成本估值。</w:t>
      </w:r>
    </w:p>
    <w:p w14:paraId="43FDA7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3、首次公开发行未上市的债券，采用估值技术确定公允价值，在估值技术难以可靠计量公允价值的情况下，按成本估值。</w:t>
      </w:r>
    </w:p>
    <w:p w14:paraId="7512D9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4、资产支持证券采用估值技术确定公允价值，在估值技术难以可靠计量公允价值的情况下，按成本估值。</w:t>
      </w:r>
    </w:p>
    <w:p w14:paraId="6F3CF2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5、同一债券同时在两个或两个以上市场交易的，按债券所处的市场分别估值。</w:t>
      </w:r>
    </w:p>
    <w:p w14:paraId="1024F6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6、当本基金发生大额申购或赎回情形时，基金管理人可以对本基金采用摆动定价机制，以确保基金估值的公平性。具体处理原则与操作规范遵循相关法律法规以及监管部门、自律组织的规定。</w:t>
      </w:r>
    </w:p>
    <w:p w14:paraId="750EBA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7、如有确凿证据表明按上述方法进行估值不能客观反映其公允价值的，基金管理人可根据具体情况与基金托管人商定后，按最能反映公允价值的价格估值。</w:t>
      </w:r>
    </w:p>
    <w:p w14:paraId="511D05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8、相关法律法规以及监管部门有强制规定的，从其规定。如有新增事项，按国家最新规定估值。</w:t>
      </w:r>
    </w:p>
    <w:p w14:paraId="615F1FE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95879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226CDC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五、估值程序</w:t>
      </w:r>
    </w:p>
    <w:p w14:paraId="55B1A1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净值是按照每个工作日闭市后，基金资产净值除以当日基金份额的余额数量计算，精确到0.0001元，小数点后第5位四舍五入。基金管理人可以设立大额赎回情形下的净值精度应急调整机制。国家另有规定的，从其规定。基金管理人每个工作日计算基金资产净值及基金份额净值，并按规定公告。</w:t>
      </w:r>
    </w:p>
    <w:p w14:paraId="1A90E4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w:t>
      </w:r>
      <w:proofErr w:type="gramStart"/>
      <w:r w:rsidRPr="00BD090D">
        <w:rPr>
          <w:rFonts w:ascii="宋体" w:eastAsia="宋体" w:hAnsi="宋体" w:hint="eastAsia"/>
          <w:szCs w:val="21"/>
        </w:rPr>
        <w:t>应每个</w:t>
      </w:r>
      <w:proofErr w:type="gramEnd"/>
      <w:r w:rsidRPr="00BD090D">
        <w:rPr>
          <w:rFonts w:ascii="宋体" w:eastAsia="宋体" w:hAnsi="宋体" w:hint="eastAsia"/>
          <w:szCs w:val="21"/>
        </w:rPr>
        <w:t>工作日对基金资产估值。但基金管理人根据法律法规或基金合同的规定暂停估值时除外。基金管理人每个工作日对基金资产估值后，将基金份额净值结果发送基金托管人，经基金托管人复核无误后，以约定的方式将复核结果提交给基金管理人，由基金管理人按约定对外公布。</w:t>
      </w:r>
    </w:p>
    <w:p w14:paraId="438FDA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六、估值错误的处理</w:t>
      </w:r>
    </w:p>
    <w:p w14:paraId="00CFE6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基金管理人和基金托管人将采取必要、适当、合理的措施确保基金资产估值的准确性、及时性。当基金份额净值小数点后4位以内(含第4位)发生估值错误时，视为基金份额净值错误。</w:t>
      </w:r>
    </w:p>
    <w:p w14:paraId="42B9AD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基金合同的当事人应按照以下约定处理：</w:t>
      </w:r>
    </w:p>
    <w:p w14:paraId="683C69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估值错误类型</w:t>
      </w:r>
    </w:p>
    <w:p w14:paraId="709814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55A7C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上述估值错误的主要类型包括但不限于：资料申报差错、数据传输差错、数据计算差错、系统故障差错、下达指令差错等。</w:t>
      </w:r>
    </w:p>
    <w:p w14:paraId="4B6E166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2、估值错误处理原则</w:t>
      </w:r>
    </w:p>
    <w:p w14:paraId="595F06B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D90D6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（2）估值错误的责任方对有关当事人的直接损失负责，不对间接损失负责，并且仅对估值错误的有关直接当事人负责，不对第三方负责。</w:t>
      </w:r>
    </w:p>
    <w:p w14:paraId="287710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（3）因估值错误而获得不当得利的当事人负有及时返还不当得利的义务。但估值错误责任方仍应对估值错误负责。如果由于获得不当得利的当事人</w:t>
      </w:r>
      <w:proofErr w:type="gramStart"/>
      <w:r w:rsidRPr="00BD090D">
        <w:rPr>
          <w:rFonts w:ascii="宋体" w:eastAsia="宋体" w:hAnsi="宋体" w:hint="eastAsia"/>
          <w:szCs w:val="21"/>
        </w:rPr>
        <w:t>不</w:t>
      </w:r>
      <w:proofErr w:type="gramEnd"/>
      <w:r w:rsidRPr="00BD090D">
        <w:rPr>
          <w:rFonts w:ascii="宋体" w:eastAsia="宋体" w:hAnsi="宋体" w:hint="eastAsia"/>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ABAA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（4）估值错误调整采用尽量恢复至假设未发生估值错误的正确情形的方式。</w:t>
      </w:r>
    </w:p>
    <w:p w14:paraId="657D855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3、估值错误处理程序</w:t>
      </w:r>
    </w:p>
    <w:p w14:paraId="1B7227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估值错误被发现后，有关的当事人应当及时进行处理，处理的程序如下：</w:t>
      </w:r>
    </w:p>
    <w:p w14:paraId="055728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（1）查明估值错误发生的原因，列明所有的当事人，并根据估值错误发生的原因确定估值错误的责任方；</w:t>
      </w:r>
    </w:p>
    <w:p w14:paraId="7BA9122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（2）根据估值错误处理原则或当事人协商的方法对因估值错误造成的损失进行评估；</w:t>
      </w:r>
    </w:p>
    <w:p w14:paraId="202962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（3）根据估值错误处理原则或当事人协商的方法由估值错误的责任方进行更正和赔偿损失；</w:t>
      </w:r>
    </w:p>
    <w:p w14:paraId="6EBFC15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（4）根据估值错误处理的方法，需要修改基金登记机构交易数据的，由基金登记机构进行更正，并就估值错误的更正向有关当事人进行确认。</w:t>
      </w:r>
    </w:p>
    <w:p w14:paraId="4D6803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4、基金份额净值估值错误处理的方法如下：</w:t>
      </w:r>
    </w:p>
    <w:p w14:paraId="2A57BBF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（1）基金份额净值估值出现错误时，基金管理人应当立即予以纠正，通报基金托管人，并采取合理的措施防止损失进一步扩大。</w:t>
      </w:r>
    </w:p>
    <w:p w14:paraId="02D2F7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（2）错误偏差达到基金份额净值的0.25%时，基金管理人应当通报基金托管人并报中国证监会备案；错误偏差达到基金份额净值的0.5%时，基金管理人应当公告，并报中国证监会备案。</w:t>
      </w:r>
    </w:p>
    <w:p w14:paraId="726824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（3）当基金份额净值计算差错给基金和基金份额持有人造成损失需要进行赔偿时，基金管理人和基金托管人应根据实际情况界定双方承担的责任，经确认后按以下条款进行赔偿：</w:t>
      </w:r>
    </w:p>
    <w:p w14:paraId="205B25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3AA45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w:t>
      </w:r>
      <w:r w:rsidRPr="00BD090D">
        <w:rPr>
          <w:rFonts w:ascii="宋体" w:eastAsia="宋体" w:hAnsi="宋体" w:hint="eastAsia"/>
          <w:szCs w:val="21"/>
        </w:rPr>
        <w:lastRenderedPageBreak/>
        <w:t>管理人和基金托管人有权向获得不当得利之主体主张返还不当得利。</w:t>
      </w:r>
    </w:p>
    <w:p w14:paraId="1631C7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14:paraId="0EC932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4）由于基金管理人提供的信息错误（包括但不限于基金申购或赎回金额等），进而导致基金份额净值计算错误而引起的基金份额持有人和基金财产的损失，由基金管理人负责赔付。</w:t>
      </w:r>
    </w:p>
    <w:p w14:paraId="5792B9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（4）基金管理人和基金托管人由于各自技术系统设置而产生的净值计算尾差，以基金管理人计算结果为准。</w:t>
      </w:r>
    </w:p>
    <w:p w14:paraId="32D5D42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（5）前述内容如法律法规或监管机关另有规定的，从其规定处理。如果行业另有通行做法，基金管理人和基金托管人应本着平等和保护基金份额持有人利益的原则进行协商。</w:t>
      </w:r>
    </w:p>
    <w:p w14:paraId="5037A9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七、暂停估值的情形</w:t>
      </w:r>
    </w:p>
    <w:p w14:paraId="02812B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1、基金投资所涉及的证券交易市场遇法定节假日或因其他原因暂停营业时；</w:t>
      </w:r>
    </w:p>
    <w:p w14:paraId="305B5B8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2、因不可抗力致使基金管理人、基金托管人无法准确评估基金资产价值时；</w:t>
      </w:r>
    </w:p>
    <w:p w14:paraId="3BD3B45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3、当特定资产占前一估值日基金资产净值 50%以上的，经与基金托管人协商一致的；</w:t>
      </w:r>
    </w:p>
    <w:p w14:paraId="43BA84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4、法律法规、中国证监会和基金合同认定的其它情形。</w:t>
      </w:r>
    </w:p>
    <w:p w14:paraId="657788D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八、基金净值的确认</w:t>
      </w:r>
    </w:p>
    <w:p w14:paraId="35C882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用于基金信息披露的基金资产净值和基金份额净值由基金管理人负责计算，基金托管人负责进行复核。基金管理人应于每个工作日交易结束后计算当日的基金资产净值和基金份额净值并发送给基金托管人。基金托管人对净值计算结果复核确认后发送给基金管理人，由基金管理人对基金净值按约定予以公布。</w:t>
      </w:r>
    </w:p>
    <w:p w14:paraId="683EB5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九、特殊情况的处理方法</w:t>
      </w:r>
    </w:p>
    <w:p w14:paraId="48D44F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1、基金管理人或基金托管人按估值方法的第7项进行估值时，所造成的误差不作为基金资产估值错误处理。</w:t>
      </w:r>
    </w:p>
    <w:p w14:paraId="13EC8F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由于不可抗力原因，或由于证券交易所、登记结算公司等机构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545A0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期间的基金资产估值</w:t>
      </w:r>
    </w:p>
    <w:p w14:paraId="0B1C0F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的，应根据本部分的约定</w:t>
      </w:r>
      <w:proofErr w:type="gramStart"/>
      <w:r w:rsidRPr="00BD090D">
        <w:rPr>
          <w:rFonts w:ascii="宋体" w:eastAsia="宋体" w:hAnsi="宋体" w:hint="eastAsia"/>
          <w:szCs w:val="21"/>
        </w:rPr>
        <w:t>对主袋账户</w:t>
      </w:r>
      <w:proofErr w:type="gramEnd"/>
      <w:r w:rsidRPr="00BD090D">
        <w:rPr>
          <w:rFonts w:ascii="宋体" w:eastAsia="宋体" w:hAnsi="宋体" w:hint="eastAsia"/>
          <w:szCs w:val="21"/>
        </w:rPr>
        <w:t>资产进行估值并</w:t>
      </w:r>
      <w:proofErr w:type="gramStart"/>
      <w:r w:rsidRPr="00BD090D">
        <w:rPr>
          <w:rFonts w:ascii="宋体" w:eastAsia="宋体" w:hAnsi="宋体" w:hint="eastAsia"/>
          <w:szCs w:val="21"/>
        </w:rPr>
        <w:t>披露主袋账户</w:t>
      </w:r>
      <w:proofErr w:type="gramEnd"/>
      <w:r w:rsidRPr="00BD090D">
        <w:rPr>
          <w:rFonts w:ascii="宋体" w:eastAsia="宋体" w:hAnsi="宋体" w:hint="eastAsia"/>
          <w:szCs w:val="21"/>
        </w:rPr>
        <w:lastRenderedPageBreak/>
        <w:t>的基金资产净值和基金份额净值，暂停</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的基金份额净值，估值安排详见招募说明书“侧袋机制”部分的规定。</w:t>
      </w:r>
    </w:p>
    <w:p w14:paraId="4E7E92B4" w14:textId="77777777" w:rsidR="00BD090D" w:rsidRPr="00BD090D" w:rsidRDefault="00BD090D" w:rsidP="00BD090D">
      <w:pPr>
        <w:spacing w:line="360" w:lineRule="auto"/>
        <w:ind w:firstLineChars="200" w:firstLine="420"/>
        <w:rPr>
          <w:rFonts w:ascii="宋体" w:eastAsia="宋体" w:hAnsi="宋体"/>
          <w:szCs w:val="21"/>
        </w:rPr>
      </w:pPr>
    </w:p>
    <w:p w14:paraId="68CED2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15DA560"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09E2D7D"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2F43F78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3" w:name="_Toc121901721"/>
      <w:r w:rsidRPr="00BD090D">
        <w:rPr>
          <w:rFonts w:ascii="Arial Unicode MS" w:eastAsia="宋体" w:hAnsi="Arial Unicode MS" w:cs="Arial" w:hint="eastAsia"/>
          <w:kern w:val="0"/>
          <w:sz w:val="28"/>
          <w:szCs w:val="28"/>
        </w:rPr>
        <w:lastRenderedPageBreak/>
        <w:t>第十三部分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基金的收益分配</w:t>
      </w:r>
      <w:bookmarkEnd w:id="23"/>
    </w:p>
    <w:p w14:paraId="5D7C4EE2" w14:textId="77777777" w:rsidR="00BD090D" w:rsidRPr="00BD090D" w:rsidRDefault="00BD090D" w:rsidP="00BD090D">
      <w:pPr>
        <w:spacing w:line="360" w:lineRule="auto"/>
        <w:ind w:firstLineChars="200" w:firstLine="420"/>
        <w:rPr>
          <w:rFonts w:ascii="宋体" w:eastAsia="宋体" w:hAnsi="宋体"/>
          <w:szCs w:val="21"/>
        </w:rPr>
      </w:pPr>
    </w:p>
    <w:p w14:paraId="04EB27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一、基金利润的构成</w:t>
      </w:r>
    </w:p>
    <w:p w14:paraId="4C59BB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基金利润指基金利息收入、投资收益、公允价值变动收益和其他收入扣除相关费用后的余额；基金已实现收益指基金利润减去公允价值变动损益后的余额。</w:t>
      </w:r>
    </w:p>
    <w:p w14:paraId="298DE2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二、基金可供分配利润</w:t>
      </w:r>
    </w:p>
    <w:p w14:paraId="433EEEA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基金可供分配利润指截至收益分配基准日基金未分配利润与未分配利润中已实现收益的孰低数。</w:t>
      </w:r>
    </w:p>
    <w:p w14:paraId="60565FA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三、基金收益分配原则</w:t>
      </w:r>
    </w:p>
    <w:p w14:paraId="6CA03B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1、在符合有关基金分红条件的前提下，基金管理人可以根据实际情况进行收益分配，具体分配方案以公告为准，</w:t>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合同生效不满3个月可不进行收益分配；</w:t>
      </w:r>
    </w:p>
    <w:p w14:paraId="5A08E99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2、本基金收益分配方式分两种：现金分红与红利再投资，投资者可选择现金红利或将现金红利自动转为基金份额进行再投资；若投资者不选择，本基金默认的收益分配方式是现金分红；</w:t>
      </w:r>
    </w:p>
    <w:p w14:paraId="22F6B4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3、基金收益分配后基金份额净值不能低于面值，即基金收益分配基准日的基金份额净值减去每单位基金份额收益分配金额后不能低于面值；</w:t>
      </w:r>
    </w:p>
    <w:p w14:paraId="6D88BFB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4、每一基金份额享有同等分配权；</w:t>
      </w:r>
    </w:p>
    <w:p w14:paraId="322FCFD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5、法律法规或监管机关另有规定的，从其规定。</w:t>
      </w:r>
    </w:p>
    <w:p w14:paraId="6F44FE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本基金每次收益分配比例详见届时基金管理人发布的公告。</w:t>
      </w:r>
    </w:p>
    <w:p w14:paraId="44D383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在不违反法律法规且对基金份额持有人利益无实质不利影响的前提下，基金管理人在履行适当程序后，可对上述基金收益分配原则进行调整。</w:t>
      </w:r>
    </w:p>
    <w:p w14:paraId="01790C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四、收益分配方案</w:t>
      </w:r>
    </w:p>
    <w:p w14:paraId="1BDA44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基金收益分配方案中应载明截止收益分配基准日的可供分配利润、基金收益分配对象、分配时间、分配数额及比例、分配方式等内容。</w:t>
      </w:r>
    </w:p>
    <w:p w14:paraId="1F831B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五、收益分配方案的确定、公告与实施</w:t>
      </w:r>
    </w:p>
    <w:p w14:paraId="03B74F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本基金收益分配方案由基金管理人拟定，并由基金托管人复核，在2日内在规定媒介公告。</w:t>
      </w:r>
    </w:p>
    <w:p w14:paraId="2A608D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六、基金收益分配中发生的费用</w:t>
      </w:r>
    </w:p>
    <w:p w14:paraId="553100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基金收益分配时所发生的银行转账或其他手续费用由投资者自行承担。当投资者的现金</w:t>
      </w:r>
      <w:r w:rsidRPr="00BD090D">
        <w:rPr>
          <w:rFonts w:ascii="宋体" w:eastAsia="宋体" w:hAnsi="宋体" w:hint="eastAsia"/>
          <w:szCs w:val="21"/>
        </w:rPr>
        <w:lastRenderedPageBreak/>
        <w:t>红利小于一定金额，不足以支付银行转账或其他手续费用时，基金登记机构可将基金份额持有人的现金红利自动转为基金份额。红利再投资的计算方法，依照《业务规则》执行。</w:t>
      </w:r>
    </w:p>
    <w:p w14:paraId="53E23AF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期间的收益分配</w:t>
      </w:r>
    </w:p>
    <w:p w14:paraId="28FE38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不进行收益分配。</w:t>
      </w:r>
    </w:p>
    <w:p w14:paraId="3BC1EE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9E20ED9"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06062FE"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5CC25AAD"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4" w:name="_Toc121901722"/>
      <w:r w:rsidRPr="00BD090D">
        <w:rPr>
          <w:rFonts w:ascii="Arial Unicode MS" w:eastAsia="宋体" w:hAnsi="Arial Unicode MS" w:cs="Arial" w:hint="eastAsia"/>
          <w:kern w:val="0"/>
          <w:sz w:val="28"/>
          <w:szCs w:val="28"/>
        </w:rPr>
        <w:lastRenderedPageBreak/>
        <w:t>第十四部分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基金费用与税收</w:t>
      </w:r>
      <w:bookmarkEnd w:id="24"/>
    </w:p>
    <w:p w14:paraId="271D85BA" w14:textId="77777777" w:rsidR="00BD090D" w:rsidRPr="00BD090D" w:rsidRDefault="00BD090D" w:rsidP="00BD090D">
      <w:pPr>
        <w:spacing w:line="360" w:lineRule="auto"/>
        <w:ind w:firstLineChars="200" w:firstLine="420"/>
        <w:rPr>
          <w:rFonts w:ascii="宋体" w:eastAsia="宋体" w:hAnsi="宋体"/>
          <w:szCs w:val="21"/>
        </w:rPr>
      </w:pPr>
    </w:p>
    <w:p w14:paraId="329FF3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一、基金费用的种类</w:t>
      </w:r>
    </w:p>
    <w:p w14:paraId="3D3E38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1、基金管理人的管理费；</w:t>
      </w:r>
    </w:p>
    <w:p w14:paraId="16F89A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2、基金托管人的托管费；</w:t>
      </w:r>
    </w:p>
    <w:p w14:paraId="5A4508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3、《基金合同》生效后与基金相关的信息披露费用；</w:t>
      </w:r>
    </w:p>
    <w:p w14:paraId="256769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4、《基金合同》生效后与基金运作相关的会计师费、律师费、诉讼费、仲裁费等；</w:t>
      </w:r>
    </w:p>
    <w:p w14:paraId="0B4D6C5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5、基金份额持有人大会费用；</w:t>
      </w:r>
    </w:p>
    <w:p w14:paraId="3440EC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6、基金的相关账户的开户及维护费用；</w:t>
      </w:r>
    </w:p>
    <w:p w14:paraId="39BC5B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7、基金的证券交易费用；</w:t>
      </w:r>
    </w:p>
    <w:p w14:paraId="0A1FBD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8、基金的银行汇划费用；</w:t>
      </w:r>
    </w:p>
    <w:p w14:paraId="7EAF5A1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9、按照国家有关规定和《基金合同》约定，可以在基金财产中列支的其他费用。</w:t>
      </w:r>
    </w:p>
    <w:p w14:paraId="282019F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二、基金费用计提方法、计提标准和支付方式</w:t>
      </w:r>
    </w:p>
    <w:p w14:paraId="729206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1、基金管理人的管理费</w:t>
      </w:r>
    </w:p>
    <w:p w14:paraId="66FD41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本基金的管理费按前一日基金资产净值的0.3%年费率计提。管理费的计算方法如下：</w:t>
      </w:r>
    </w:p>
    <w:p w14:paraId="1CBF51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H＝E×0.3%÷当年天数</w:t>
      </w:r>
    </w:p>
    <w:p w14:paraId="72AF718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H为每日应计提的基金管理费</w:t>
      </w:r>
    </w:p>
    <w:p w14:paraId="4FA47A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E为前一日的基金资产净值</w:t>
      </w:r>
    </w:p>
    <w:p w14:paraId="73ED1A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基金管理费每日计算，逐日累计至每月月末，按月支付。由基金托管人根据与基金管理人核对一致的财务数据，自动在次月初3</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 xml:space="preserve">工作日内、按照指定的账户路径进行资金支付，基金管理人无需再出具资金划拨指令。若遇法定节假日、公休假或不可抗力等，支付日期顺延。 </w:t>
      </w:r>
    </w:p>
    <w:p w14:paraId="6A271E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2、基金托管人的托管费、</w:t>
      </w:r>
    </w:p>
    <w:p w14:paraId="79D922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本基金的托管费按前一日基金资产净值的0.05%的年费率计提。托管费的计算方法如下：</w:t>
      </w:r>
    </w:p>
    <w:p w14:paraId="1A0A13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H＝E×0.05%÷当年天数</w:t>
      </w:r>
    </w:p>
    <w:p w14:paraId="0F9DCA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H为每日应计提的基金托管费</w:t>
      </w:r>
    </w:p>
    <w:p w14:paraId="337F3F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E为前一日的基金资产净值</w:t>
      </w:r>
    </w:p>
    <w:p w14:paraId="33B56F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基金托管费每日计算，逐日累计至每月月末，按月支付。由基金托管人根据与基金管理人核对一致的财务数据，自动在次月初3</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工作日内、按照指定的账户路径进行资金支付，</w:t>
      </w:r>
      <w:r w:rsidRPr="00BD090D">
        <w:rPr>
          <w:rFonts w:ascii="宋体" w:eastAsia="宋体" w:hAnsi="宋体" w:hint="eastAsia"/>
          <w:szCs w:val="21"/>
        </w:rPr>
        <w:lastRenderedPageBreak/>
        <w:t>基金管理人无需再出具资金划拨指令。若遇法定节假日、公休日或不可抗力等，支付日期顺延。</w:t>
      </w:r>
    </w:p>
    <w:p w14:paraId="5287DC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上述“一、基金费用的种类”中第3－9项费用，根据有关法规及相应协议规定，按费用实际支出金额列入当期费用，由基金托管人从基金财产中支付。</w:t>
      </w:r>
    </w:p>
    <w:p w14:paraId="4114049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三、不列入基金费用的项目</w:t>
      </w:r>
    </w:p>
    <w:p w14:paraId="3801470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下列费用不列入基金费用：</w:t>
      </w:r>
    </w:p>
    <w:p w14:paraId="240EFB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1、基金管理人和基金托管人因未履行或未完全履行义务导致的费用支出或基金财产的损失；</w:t>
      </w:r>
    </w:p>
    <w:p w14:paraId="6DE10D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2、基金管理人和基金托管人处理与基金运作无关的事项发生的费用；</w:t>
      </w:r>
    </w:p>
    <w:p w14:paraId="6DD854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3、《基金合同》生效前的相关费用；</w:t>
      </w:r>
    </w:p>
    <w:p w14:paraId="1F20AC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4、其他根据相关法律法规及中国证监会的有关规定不得列入基金费用的项目。</w:t>
      </w:r>
    </w:p>
    <w:p w14:paraId="4378AA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期间的基金费用</w:t>
      </w:r>
    </w:p>
    <w:p w14:paraId="072F378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w:t>
      </w:r>
      <w:proofErr w:type="gramStart"/>
      <w:r w:rsidRPr="00BD090D">
        <w:rPr>
          <w:rFonts w:ascii="宋体" w:eastAsia="宋体" w:hAnsi="宋体" w:hint="eastAsia"/>
          <w:szCs w:val="21"/>
        </w:rPr>
        <w:t>与侧袋账户</w:t>
      </w:r>
      <w:proofErr w:type="gramEnd"/>
      <w:r w:rsidRPr="00BD090D">
        <w:rPr>
          <w:rFonts w:ascii="宋体" w:eastAsia="宋体" w:hAnsi="宋体" w:hint="eastAsia"/>
          <w:szCs w:val="21"/>
        </w:rPr>
        <w:t>有关的费用可以</w:t>
      </w:r>
      <w:proofErr w:type="gramStart"/>
      <w:r w:rsidRPr="00BD090D">
        <w:rPr>
          <w:rFonts w:ascii="宋体" w:eastAsia="宋体" w:hAnsi="宋体" w:hint="eastAsia"/>
          <w:szCs w:val="21"/>
        </w:rPr>
        <w:t>从侧袋账户</w:t>
      </w:r>
      <w:proofErr w:type="gramEnd"/>
      <w:r w:rsidRPr="00BD090D">
        <w:rPr>
          <w:rFonts w:ascii="宋体" w:eastAsia="宋体" w:hAnsi="宋体" w:hint="eastAsia"/>
          <w:szCs w:val="21"/>
        </w:rPr>
        <w:t>中列支，但应</w:t>
      </w:r>
      <w:proofErr w:type="gramStart"/>
      <w:r w:rsidRPr="00BD090D">
        <w:rPr>
          <w:rFonts w:ascii="宋体" w:eastAsia="宋体" w:hAnsi="宋体" w:hint="eastAsia"/>
          <w:szCs w:val="21"/>
        </w:rPr>
        <w:t>待侧袋</w:t>
      </w:r>
      <w:proofErr w:type="gramEnd"/>
      <w:r w:rsidRPr="00BD090D">
        <w:rPr>
          <w:rFonts w:ascii="宋体" w:eastAsia="宋体" w:hAnsi="宋体" w:hint="eastAsia"/>
          <w:szCs w:val="21"/>
        </w:rPr>
        <w:t>账户资产变现后方可列支，有关费用可酌情收取或减免，但不得收取管理费，详见招募说明书“侧袋机制”部分的规定。</w:t>
      </w:r>
    </w:p>
    <w:p w14:paraId="3970CE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五、基金税收</w:t>
      </w:r>
    </w:p>
    <w:p w14:paraId="37AC8D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本基金运作过程中涉及的各纳税主体，其纳税义务按国家税收法律、法规执行。</w:t>
      </w:r>
    </w:p>
    <w:p w14:paraId="71C060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基金财产投资的相关税收，由基金份额持有人承担，基金管理人或者其他扣缴义务人按照国家有关税收征收的规定代扣代缴。</w:t>
      </w:r>
    </w:p>
    <w:p w14:paraId="7C3E15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74BE175C"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3B932C6B"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181BD26D"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5" w:name="_Toc121901723"/>
      <w:r w:rsidRPr="00BD090D">
        <w:rPr>
          <w:rFonts w:ascii="Arial Unicode MS" w:eastAsia="宋体" w:hAnsi="Arial Unicode MS" w:cs="Arial" w:hint="eastAsia"/>
          <w:kern w:val="0"/>
          <w:sz w:val="28"/>
          <w:szCs w:val="28"/>
        </w:rPr>
        <w:lastRenderedPageBreak/>
        <w:t>第十五部分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基金的会计与审计</w:t>
      </w:r>
      <w:bookmarkEnd w:id="25"/>
    </w:p>
    <w:p w14:paraId="7E6452FF" w14:textId="77777777" w:rsidR="00BD090D" w:rsidRPr="00BD090D" w:rsidRDefault="00BD090D" w:rsidP="00BD090D">
      <w:pPr>
        <w:spacing w:line="360" w:lineRule="auto"/>
        <w:ind w:firstLineChars="200" w:firstLine="420"/>
        <w:rPr>
          <w:rFonts w:ascii="宋体" w:eastAsia="宋体" w:hAnsi="宋体"/>
          <w:szCs w:val="21"/>
        </w:rPr>
      </w:pPr>
    </w:p>
    <w:p w14:paraId="69D0F1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一、基金会计政策</w:t>
      </w:r>
    </w:p>
    <w:p w14:paraId="0FD563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1、基金管理人为本基金的基金会计责任方；</w:t>
      </w:r>
    </w:p>
    <w:p w14:paraId="086942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2、基金的会计年度为公历年度的1月1日至12月31日；基金首次募集的会计年度按如下原则：如果基金合同生效少于2个月，可以并入下一个会计年度披露；</w:t>
      </w:r>
    </w:p>
    <w:p w14:paraId="492E58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3、基金核算以人民币为记账本位币，以人民币元为记账单位；</w:t>
      </w:r>
    </w:p>
    <w:p w14:paraId="120EDE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4、会计制度执行国家有关会计制度；</w:t>
      </w:r>
    </w:p>
    <w:p w14:paraId="5F89AC5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5、本基金独立建账、独立核算；</w:t>
      </w:r>
    </w:p>
    <w:p w14:paraId="3FA470F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6、基金管理人及基金托管人各自保留完整的会计账目、凭证并进行日常的会计核算，按照有关规定编制基金会计报表；</w:t>
      </w:r>
    </w:p>
    <w:p w14:paraId="228DE5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7、基金托管人每月与基金管理人就基金的会计核算、报表编制等进行核对并以书面方式确认。</w:t>
      </w:r>
    </w:p>
    <w:p w14:paraId="38B30D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二、基金的年度审计</w:t>
      </w:r>
    </w:p>
    <w:p w14:paraId="4815F36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1、基金管理人聘请与基金管理人、基金托管人相互独立的符合《中华人民共和国证券法》规定的会计师事务所及其注册会计师对本基金的年度财务报表进行审计。</w:t>
      </w:r>
    </w:p>
    <w:p w14:paraId="0D2849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2、会计师事务所更换经办注册会计师，应事先征得基金管理人同意。</w:t>
      </w:r>
    </w:p>
    <w:p w14:paraId="5D8F26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3、基金管理人认为有充足理由更换会计师事务所，须通报基金托管人。更换会计师事务所需在2日内在规定媒介公告。</w:t>
      </w:r>
    </w:p>
    <w:p w14:paraId="57BECEBE" w14:textId="77777777" w:rsidR="00BD090D" w:rsidRPr="00BD090D" w:rsidRDefault="00BD090D" w:rsidP="00BD090D">
      <w:pPr>
        <w:spacing w:line="360" w:lineRule="auto"/>
        <w:ind w:firstLineChars="200" w:firstLine="420"/>
        <w:rPr>
          <w:rFonts w:ascii="宋体" w:eastAsia="宋体" w:hAnsi="宋体"/>
          <w:szCs w:val="21"/>
        </w:rPr>
      </w:pPr>
    </w:p>
    <w:p w14:paraId="4E0E21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F28C4A2"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2A0C421C"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3350FC0C"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6" w:name="_Toc121901724"/>
      <w:r w:rsidRPr="00BD090D">
        <w:rPr>
          <w:rFonts w:ascii="Arial Unicode MS" w:eastAsia="宋体" w:hAnsi="Arial Unicode MS" w:cs="Arial" w:hint="eastAsia"/>
          <w:kern w:val="0"/>
          <w:sz w:val="28"/>
          <w:szCs w:val="28"/>
        </w:rPr>
        <w:lastRenderedPageBreak/>
        <w:t>第十六部分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基金的信息披露</w:t>
      </w:r>
      <w:bookmarkEnd w:id="26"/>
    </w:p>
    <w:p w14:paraId="44E223F6" w14:textId="77777777" w:rsidR="00BD090D" w:rsidRPr="00BD090D" w:rsidRDefault="00BD090D" w:rsidP="00BD090D">
      <w:pPr>
        <w:spacing w:line="360" w:lineRule="auto"/>
        <w:ind w:firstLineChars="200" w:firstLine="420"/>
        <w:rPr>
          <w:rFonts w:ascii="宋体" w:eastAsia="宋体" w:hAnsi="宋体"/>
          <w:szCs w:val="21"/>
        </w:rPr>
      </w:pPr>
    </w:p>
    <w:p w14:paraId="328A78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一、本基金的信息披露应符合《基金法》、《运作办法》、《信息披露办法》、《流动性风险管理规定》、《基金合同》及其他有关规定。相关法律法规关于信息披露的规定发生变化时，本基金从其最新规定。</w:t>
      </w:r>
    </w:p>
    <w:p w14:paraId="054806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二、信息披露义务人</w:t>
      </w:r>
    </w:p>
    <w:p w14:paraId="373588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本基金信息披露义务人包括基金管理人、基金托管人、召集基金份额持有人大会的基金份额持有人等法律、行政法规和中国证监会规定的自然人、法人和非法人组织。</w:t>
      </w:r>
    </w:p>
    <w:p w14:paraId="1BB1F7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本基金信息披露义务人以保护基金份额持有人利益为根本出发点，按照法律法规和中国证监会的规定披露基金信息，并保证所披露信息的真实性、准确性、完整性、及时性、简明性和易得性。</w:t>
      </w:r>
    </w:p>
    <w:p w14:paraId="15663A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0DCBC1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三、本基金信息披露义务人承诺公开披露的基金信息，不得有下列行为：</w:t>
      </w:r>
    </w:p>
    <w:p w14:paraId="5CD9B1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1、虚假记载、误导性陈述或者重大遗漏；</w:t>
      </w:r>
    </w:p>
    <w:p w14:paraId="266FD0E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2、对证券投资业绩进行预测；</w:t>
      </w:r>
    </w:p>
    <w:p w14:paraId="2AAE5D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3、违规承诺收益或者承担损失；</w:t>
      </w:r>
    </w:p>
    <w:p w14:paraId="7E3C3B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4、诋毁其他基金管理人、基金托管人或者基金销售机构；</w:t>
      </w:r>
    </w:p>
    <w:p w14:paraId="67C6D3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5、登载任何自然人、法人和非法人组织的祝贺性、恭维性或推荐性的文字；</w:t>
      </w:r>
    </w:p>
    <w:p w14:paraId="51AA69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6、中国证监会禁止的其他行为。</w:t>
      </w:r>
    </w:p>
    <w:p w14:paraId="11AD59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四、本基金公开披露的信息应采用中文文本。如同时采用外文文本的，基金信息披露义务人应保证不同文本的内容一致。不同文本之间发生歧义的，以中文文本为准。</w:t>
      </w:r>
    </w:p>
    <w:p w14:paraId="425CA3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本基金公开披露的信息采用阿拉伯数字；除特别说明外，货币单位为人民币元。</w:t>
      </w:r>
    </w:p>
    <w:p w14:paraId="76FE7A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五、公开披露的基金信息</w:t>
      </w:r>
    </w:p>
    <w:p w14:paraId="1BBB16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公开披露的基金信息包括：</w:t>
      </w:r>
    </w:p>
    <w:p w14:paraId="735412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（一）基金招募说明书、《基金合同》、基金托管协议、基金产品资料概要</w:t>
      </w:r>
    </w:p>
    <w:p w14:paraId="7B5C090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1、《基金合同》是界定《基金合同》当事人的各项权利、义务关系，明确基金份额持有</w:t>
      </w:r>
      <w:r w:rsidRPr="00BD090D">
        <w:rPr>
          <w:rFonts w:ascii="宋体" w:eastAsia="宋体" w:hAnsi="宋体" w:hint="eastAsia"/>
          <w:szCs w:val="21"/>
        </w:rPr>
        <w:lastRenderedPageBreak/>
        <w:t>人大会召开的规则及具体程序，说明基金产品的特性等涉及基金投资者重大利益的事项的法律文件。</w:t>
      </w:r>
    </w:p>
    <w:p w14:paraId="14D317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0131C3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3、基金托管协议是界定基金托管人和基金管理人在基金财产保管及基金运作监督等活动中的权利、义务关系的法律文件。</w:t>
      </w:r>
    </w:p>
    <w:p w14:paraId="6D12FB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0C5A18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募集申请经中国证监会注册后，基金管理人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网站上。</w:t>
      </w:r>
    </w:p>
    <w:p w14:paraId="775A0CA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（二）基金份额发售公告</w:t>
      </w:r>
    </w:p>
    <w:p w14:paraId="54A36F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基金管理人应当就基金份额发售的具体事宜编制基金份额发售公告，并在披露招募说明书的当日登载于规定媒介上。</w:t>
      </w:r>
    </w:p>
    <w:p w14:paraId="1CEB1B8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（三）《基金合同》生效公告</w:t>
      </w:r>
    </w:p>
    <w:p w14:paraId="028C02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基金管理人应当在收到中国证监会确认文件的次日在规定媒介上登载《基金合同》生效公告。</w:t>
      </w:r>
    </w:p>
    <w:p w14:paraId="504412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基金合同生效公告中将说明基金募集情况及基金管理人、基金管理人股东、基金管理人高级管理人员或基金经理持有的基金份额、承诺持有的期限等情况。</w:t>
      </w:r>
    </w:p>
    <w:p w14:paraId="5E78AC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（四）基金净值信息</w:t>
      </w:r>
    </w:p>
    <w:p w14:paraId="568AD88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《基金合同》生效后，在封闭期内，基金管理人应当至少每周在规定网站披露一次基金</w:t>
      </w:r>
      <w:r w:rsidRPr="00BD090D">
        <w:rPr>
          <w:rFonts w:ascii="宋体" w:eastAsia="宋体" w:hAnsi="宋体" w:hint="eastAsia"/>
          <w:szCs w:val="21"/>
        </w:rPr>
        <w:lastRenderedPageBreak/>
        <w:t>份额净值和基金份额累计净值。</w:t>
      </w:r>
    </w:p>
    <w:p w14:paraId="27A227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开放期内，基金管理人应当在不晚于每个开放日的次日，通过规定网站、基金销售机构网站或者营业网点披露开放日的基金份额净值和基金份额累计净值。基金管理人应当在不晚于半年度和年度最后一日的次日，在规定网站披露半年度和年度最后一日的基金份额净值和基金份额累计净值。</w:t>
      </w:r>
    </w:p>
    <w:p w14:paraId="12D940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（五）基金份额申购、赎回价格</w:t>
      </w:r>
    </w:p>
    <w:p w14:paraId="338F96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基金管理人应当在基金合同、招募说明书等信息披露文件上载</w:t>
      </w:r>
      <w:proofErr w:type="gramStart"/>
      <w:r w:rsidRPr="00BD090D">
        <w:rPr>
          <w:rFonts w:ascii="宋体" w:eastAsia="宋体" w:hAnsi="宋体" w:hint="eastAsia"/>
          <w:szCs w:val="21"/>
        </w:rPr>
        <w:t>明基金</w:t>
      </w:r>
      <w:proofErr w:type="gramEnd"/>
      <w:r w:rsidRPr="00BD090D">
        <w:rPr>
          <w:rFonts w:ascii="宋体" w:eastAsia="宋体" w:hAnsi="宋体" w:hint="eastAsia"/>
          <w:szCs w:val="21"/>
        </w:rPr>
        <w:t>份额申购、赎回价格的计算方式及有关申购、赎回费率，并保证投资者能够在基金销售机构网站或营业网点查阅或者复制前述信息资料。</w:t>
      </w:r>
    </w:p>
    <w:p w14:paraId="268ACE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（六）基金定期报告，包括基金年度报告、基金中期报告和基金季度报告</w:t>
      </w:r>
    </w:p>
    <w:p w14:paraId="363159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E454E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基金管理人应当在上半年结束之日起两个月内，编制完成基金中期报告，将中期报告登载在规定网站上，并将中期报告提示性公告登载在规定报刊上。</w:t>
      </w:r>
    </w:p>
    <w:p w14:paraId="63F2296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基金管理人应当在季度结束之日起15个工作日内，编制完成基金季度报告，将季度报告登载在规定网站上，并将季度报告提示性公告登载在规定报刊上。</w:t>
      </w:r>
    </w:p>
    <w:p w14:paraId="5C2C05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基金管理人应当在基金年度报告、基金中期报告和基金季度报告中针对发起资金部分分别披露基金管理人固有资金、基金管理人股东、基金管理人高级管理人员或基金经理等持有基金的份额、期限</w:t>
      </w:r>
      <w:proofErr w:type="gramStart"/>
      <w:r w:rsidRPr="00BD090D">
        <w:rPr>
          <w:rFonts w:ascii="宋体" w:eastAsia="宋体" w:hAnsi="宋体" w:hint="eastAsia"/>
          <w:szCs w:val="21"/>
        </w:rPr>
        <w:t>及期间</w:t>
      </w:r>
      <w:proofErr w:type="gramEnd"/>
      <w:r w:rsidRPr="00BD090D">
        <w:rPr>
          <w:rFonts w:ascii="宋体" w:eastAsia="宋体" w:hAnsi="宋体" w:hint="eastAsia"/>
          <w:szCs w:val="21"/>
        </w:rPr>
        <w:t>的变动情况。</w:t>
      </w:r>
    </w:p>
    <w:p w14:paraId="1FCB98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基金合同生效不足2个月的，基金管理人可以不编制当期季度报告、中期报告或者年度报告。</w:t>
      </w:r>
    </w:p>
    <w:p w14:paraId="60B47D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报告期内出现单一投资者持有基金份额达到或超过基金总份额20%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除外。</w:t>
      </w:r>
    </w:p>
    <w:p w14:paraId="0734E8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基金管理人应当在基金年度报告和中期报告中披露基金组合资产情况及其流动性风险分析等。</w:t>
      </w:r>
    </w:p>
    <w:p w14:paraId="13BD97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（七）临时报告</w:t>
      </w:r>
    </w:p>
    <w:p w14:paraId="6B698C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本基金发生重大事件，有关信息披露义务人应当在2日内编制临时报告书，并登载在规</w:t>
      </w:r>
      <w:r w:rsidRPr="00BD090D">
        <w:rPr>
          <w:rFonts w:ascii="宋体" w:eastAsia="宋体" w:hAnsi="宋体" w:hint="eastAsia"/>
          <w:szCs w:val="21"/>
        </w:rPr>
        <w:lastRenderedPageBreak/>
        <w:t>定报刊和规定网站上。</w:t>
      </w:r>
    </w:p>
    <w:p w14:paraId="4B4E27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前款所称重大事件，是指可能对基金份额持有人权益或者基金份额的价格产生重大影响的下列事件：</w:t>
      </w:r>
    </w:p>
    <w:p w14:paraId="104EF1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1、基金份额持有人大会的召开及决定的事项；</w:t>
      </w:r>
    </w:p>
    <w:p w14:paraId="3F8E1A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2、基金合同终止、基金清算；</w:t>
      </w:r>
    </w:p>
    <w:p w14:paraId="499411E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3、转换基金运作方式、基金合并（不包括本基金封闭期与开放期的转换）；</w:t>
      </w:r>
    </w:p>
    <w:p w14:paraId="507FB6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4、更换基金管理人、基金托管人、基金份额登记机构，基金改聘会计师事务所；</w:t>
      </w:r>
    </w:p>
    <w:p w14:paraId="4E89B9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5、基金管理人委托基金服务机构代为办理基金的份额登记、核算、估值等事项，基金托管人委托基金服务机构代为办理基金的核算、估值、复核等事项；</w:t>
      </w:r>
    </w:p>
    <w:p w14:paraId="149E2B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6、基金管理人、基金托管人的法定名称、住所发生变更；</w:t>
      </w:r>
    </w:p>
    <w:p w14:paraId="12EF43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7、基金管理人变更持有百分之五以上股权的股东、基金管理人的实际控制人变更；</w:t>
      </w:r>
    </w:p>
    <w:p w14:paraId="7FFB418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8、基金募集期延长或提前结束募集；</w:t>
      </w:r>
    </w:p>
    <w:p w14:paraId="650DE5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9、基金管理人的高级管理人员、基金经理和基金托管人专门基金托管部门负责人发生变动；</w:t>
      </w:r>
    </w:p>
    <w:p w14:paraId="6127A3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10、基金管理人的董事在最近12个月内变更超过百分之五十，基金管理人、基金托管人专门基金托管部门的主要业务人员在最近12个月内变动超过百分之三十；</w:t>
      </w:r>
    </w:p>
    <w:p w14:paraId="48C685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11、涉及基金管理业务、基金财产、基金托管业务的诉讼或者仲裁；</w:t>
      </w:r>
    </w:p>
    <w:p w14:paraId="030E3A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12、基金管理人或其高级管理人员、基金经理因基金管理业务相关行为受到重大行政处罚、刑事处罚，基金托管人或其专门基金托管部门负责人因基金托管业务相关行为受到重大行政处罚、刑事处罚；</w:t>
      </w:r>
    </w:p>
    <w:p w14:paraId="53E394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5CBC42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14、基金收益分配事项；</w:t>
      </w:r>
    </w:p>
    <w:p w14:paraId="3D45CB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15、管理费、托管费、申购费、赎回费等费用计提标准、计提方式和费率发生变更；</w:t>
      </w:r>
    </w:p>
    <w:p w14:paraId="399C76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16、基金份额净值估值错误</w:t>
      </w:r>
      <w:proofErr w:type="gramStart"/>
      <w:r w:rsidRPr="00BD090D">
        <w:rPr>
          <w:rFonts w:ascii="宋体" w:eastAsia="宋体" w:hAnsi="宋体" w:hint="eastAsia"/>
          <w:szCs w:val="21"/>
        </w:rPr>
        <w:t>达基金</w:t>
      </w:r>
      <w:proofErr w:type="gramEnd"/>
      <w:r w:rsidRPr="00BD090D">
        <w:rPr>
          <w:rFonts w:ascii="宋体" w:eastAsia="宋体" w:hAnsi="宋体" w:hint="eastAsia"/>
          <w:szCs w:val="21"/>
        </w:rPr>
        <w:t>份额净值百分之零点五；</w:t>
      </w:r>
    </w:p>
    <w:p w14:paraId="427A91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17、本基金进入开放期；</w:t>
      </w:r>
    </w:p>
    <w:p w14:paraId="7338FB2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18、本基金在开放期内发生巨额赎回并延缓支付赎回款项；</w:t>
      </w:r>
    </w:p>
    <w:p w14:paraId="6C080D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19、本基金暂停接受申购、赎回申请或重新接受申购、赎回申请；</w:t>
      </w:r>
    </w:p>
    <w:p w14:paraId="0BFB4E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20、发生涉及本基金申购、赎回事项调整或潜在影响投资者赎回等重大事项时；</w:t>
      </w:r>
    </w:p>
    <w:p w14:paraId="430544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21、本基金采用摆动定价机制进行估值；</w:t>
      </w:r>
    </w:p>
    <w:p w14:paraId="3C1F92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22、增加或调整基金份额类别；</w:t>
      </w:r>
    </w:p>
    <w:p w14:paraId="225142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23、基金信息披露义务人认为可能对基金份额持有人权益或者基金份额的价格产生重大影响的其他事项或中国证监会规定的其他事项。</w:t>
      </w:r>
    </w:p>
    <w:p w14:paraId="227521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（八）澄清公告</w:t>
      </w:r>
    </w:p>
    <w:p w14:paraId="02A097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w:t>
      </w:r>
    </w:p>
    <w:p w14:paraId="65DF7F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（九）基金份额持有人大会决议</w:t>
      </w:r>
    </w:p>
    <w:p w14:paraId="4A3C97A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基金份额持有人大会决定的事项，应当依法报中国证监会备案，并予以公告。</w:t>
      </w:r>
    </w:p>
    <w:p w14:paraId="11937E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（十）投资资产支持证券信息披露</w:t>
      </w:r>
    </w:p>
    <w:p w14:paraId="62732A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7740AF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（十一）实施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期间的信息披露</w:t>
      </w:r>
    </w:p>
    <w:p w14:paraId="0786E5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的，相关信息披露义务人应当根据法律法规、基金合同和招募说明书的规定进行信息披露，详见招募说明书“侧袋机制”部分的规定。</w:t>
      </w:r>
    </w:p>
    <w:p w14:paraId="5D2115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（十二）中国证监会规定的其他信息。</w:t>
      </w:r>
    </w:p>
    <w:p w14:paraId="5945DA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季度报告、中期报告、年度报告等定期报告和招募说明书（更新）中充分披露基金的相关情况并揭示相关风险，说明本基金单一投资者持有的基金份额或者构成一致行动人的多个投资者持有的基金份额可达到或者超过50%，且本基金不向个人投资者销售。</w:t>
      </w:r>
    </w:p>
    <w:p w14:paraId="67D3DE3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六、信息披露事务管理</w:t>
      </w:r>
    </w:p>
    <w:p w14:paraId="46019B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基金管理人、基金托管人应当建立健全信息披露管理制度，指定专门部门及高级管理人员负责管理信息披露事务。</w:t>
      </w:r>
    </w:p>
    <w:p w14:paraId="46A755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基金信息披露义务人公开披露基金信息，应当符合中国证监会相关基金信息披露内容与格式准则等法律规定。</w:t>
      </w:r>
    </w:p>
    <w:p w14:paraId="1C7717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基金托管人应当按照相关法律法规、中国证监会的规定和《基金合同》的约定，对基金管理人编制的基金资产净值、基金份额净值、基金份额申购赎回价格、基金定期报告、更新</w:t>
      </w:r>
      <w:r w:rsidRPr="00BD090D">
        <w:rPr>
          <w:rFonts w:ascii="宋体" w:eastAsia="宋体" w:hAnsi="宋体" w:hint="eastAsia"/>
          <w:szCs w:val="21"/>
        </w:rPr>
        <w:lastRenderedPageBreak/>
        <w:t>的招募说明书、基金产品资料概要、基金清算报告等公开披露的相关基金信息进行复核、审查，并向基金管理人进行书面或电子确认。</w:t>
      </w:r>
    </w:p>
    <w:p w14:paraId="1FDC277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基金管理人、基金托管人应当在规定报刊中选择披露信息的报刊。基金管理人、基金托管人应当向中国证监会基金电子披露网站报送拟披露的基金信息，并保证相关报送信息的真实、准确、完整、及时。</w:t>
      </w:r>
    </w:p>
    <w:p w14:paraId="5BE315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基金管理人、基金托管人除依法在规定媒介上披露信息外，还可以根据需要在其他公共媒介披露信息，但是其他公共媒介不得早于规定媒介披露信息，并且在不同媒介上披露同一信息的内容应当一致。</w:t>
      </w:r>
    </w:p>
    <w:p w14:paraId="31C7AF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为基金信息披露义务人公开披露的基金信息出具审计报告、法律意见书的专业机构，应当制作工作底稿，并将相关档案至少保存到《基金合同》终止后10年。</w:t>
      </w:r>
    </w:p>
    <w:p w14:paraId="5496B9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七、信息披露文件的存放与查阅</w:t>
      </w:r>
    </w:p>
    <w:p w14:paraId="35653F8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依法必须披露的信息发布后，基金管理人、基金托管人应当按照相关法律法规规定将信息置备于各自住所，供社会公众查阅、复制。</w:t>
      </w:r>
    </w:p>
    <w:p w14:paraId="0844167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八、暂停或延迟披露基金相关信息的情形</w:t>
      </w:r>
    </w:p>
    <w:p w14:paraId="371F5C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当出现下述情况时，基金管理人和基金托管人可暂停或延迟披露基金相关信息：</w:t>
      </w:r>
    </w:p>
    <w:p w14:paraId="491D2F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1、不可抗力；</w:t>
      </w:r>
    </w:p>
    <w:p w14:paraId="7FA4FA98" w14:textId="77777777" w:rsidR="00BD090D" w:rsidRPr="00BD090D" w:rsidRDefault="00322047" w:rsidP="00BD090D">
      <w:pPr>
        <w:spacing w:line="360" w:lineRule="auto"/>
        <w:ind w:firstLineChars="200" w:firstLine="420"/>
        <w:rPr>
          <w:rFonts w:ascii="宋体" w:eastAsia="宋体" w:hAnsi="宋体"/>
          <w:szCs w:val="21"/>
        </w:rPr>
      </w:pPr>
      <w:r>
        <w:rPr>
          <w:rFonts w:ascii="宋体" w:eastAsia="宋体" w:hAnsi="宋体" w:hint="eastAsia"/>
          <w:szCs w:val="21"/>
        </w:rPr>
        <w:t>2</w:t>
      </w:r>
      <w:r w:rsidR="00BD090D" w:rsidRPr="00BD090D">
        <w:rPr>
          <w:rFonts w:ascii="宋体" w:eastAsia="宋体" w:hAnsi="宋体" w:hint="eastAsia"/>
          <w:szCs w:val="21"/>
        </w:rPr>
        <w:t>、法律法规规定、基金合同约定或中国证监会认定的其他情形。</w:t>
      </w:r>
    </w:p>
    <w:p w14:paraId="772E86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EEF165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539EC3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A26D7AF" w14:textId="77777777" w:rsidR="004A4EC9"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F2D4425" w14:textId="77777777" w:rsidR="00BD090D" w:rsidRPr="00BD090D" w:rsidRDefault="004A4EC9" w:rsidP="004A4EC9">
      <w:pPr>
        <w:widowControl/>
        <w:jc w:val="left"/>
        <w:rPr>
          <w:rFonts w:ascii="宋体" w:eastAsia="宋体" w:hAnsi="宋体"/>
          <w:szCs w:val="21"/>
        </w:rPr>
      </w:pPr>
      <w:r>
        <w:rPr>
          <w:rFonts w:ascii="宋体" w:eastAsia="宋体" w:hAnsi="宋体"/>
          <w:szCs w:val="21"/>
        </w:rPr>
        <w:br w:type="page"/>
      </w:r>
    </w:p>
    <w:p w14:paraId="269C04AD"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7" w:name="_Toc121901725"/>
      <w:r w:rsidRPr="00BD090D">
        <w:rPr>
          <w:rFonts w:ascii="Arial Unicode MS" w:eastAsia="宋体" w:hAnsi="Arial Unicode MS" w:cs="Arial" w:hint="eastAsia"/>
          <w:kern w:val="0"/>
          <w:sz w:val="28"/>
          <w:szCs w:val="28"/>
        </w:rPr>
        <w:lastRenderedPageBreak/>
        <w:t>第十七部分</w:t>
      </w:r>
      <w:r w:rsidRPr="00BD090D">
        <w:rPr>
          <w:rFonts w:ascii="Arial Unicode MS" w:eastAsia="宋体" w:hAnsi="Arial Unicode MS" w:cs="Arial" w:hint="eastAsia"/>
          <w:kern w:val="0"/>
          <w:sz w:val="28"/>
          <w:szCs w:val="28"/>
        </w:rPr>
        <w:t xml:space="preserve">  </w:t>
      </w:r>
      <w:proofErr w:type="gramStart"/>
      <w:r w:rsidRPr="00BD090D">
        <w:rPr>
          <w:rFonts w:ascii="Arial Unicode MS" w:eastAsia="宋体" w:hAnsi="Arial Unicode MS" w:cs="Arial" w:hint="eastAsia"/>
          <w:kern w:val="0"/>
          <w:sz w:val="28"/>
          <w:szCs w:val="28"/>
        </w:rPr>
        <w:t>侧袋机制</w:t>
      </w:r>
      <w:bookmarkEnd w:id="27"/>
      <w:proofErr w:type="gramEnd"/>
    </w:p>
    <w:p w14:paraId="4A6C34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的实施条件</w:t>
      </w:r>
    </w:p>
    <w:p w14:paraId="3422CE7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BD090D">
        <w:rPr>
          <w:rFonts w:ascii="宋体" w:eastAsia="宋体" w:hAnsi="宋体" w:hint="eastAsia"/>
          <w:szCs w:val="21"/>
        </w:rPr>
        <w:t>启用侧袋机制</w:t>
      </w:r>
      <w:proofErr w:type="gramEnd"/>
      <w:r w:rsidRPr="00BD090D">
        <w:rPr>
          <w:rFonts w:ascii="宋体" w:eastAsia="宋体" w:hAnsi="宋体" w:hint="eastAsia"/>
          <w:szCs w:val="21"/>
        </w:rPr>
        <w:t>。</w:t>
      </w:r>
    </w:p>
    <w:p w14:paraId="3657D2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后及时发布临时公告，并及时聘请符合《中华人民共和国证券法》规定的会计师事务所进行审计并披露专项审计意见。</w:t>
      </w:r>
    </w:p>
    <w:p w14:paraId="622990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期间基金份额的申购与赎回</w:t>
      </w:r>
    </w:p>
    <w:p w14:paraId="6F865D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当日，基金登记机构以基金份额持有人的原有账户份额为基础，确认</w:t>
      </w:r>
      <w:proofErr w:type="gramStart"/>
      <w:r w:rsidRPr="00BD090D">
        <w:rPr>
          <w:rFonts w:ascii="宋体" w:eastAsia="宋体" w:hAnsi="宋体" w:hint="eastAsia"/>
          <w:szCs w:val="21"/>
        </w:rPr>
        <w:t>相应侧袋账户</w:t>
      </w:r>
      <w:proofErr w:type="gramEnd"/>
      <w:r w:rsidRPr="00BD090D">
        <w:rPr>
          <w:rFonts w:ascii="宋体" w:eastAsia="宋体" w:hAnsi="宋体" w:hint="eastAsia"/>
          <w:szCs w:val="21"/>
        </w:rPr>
        <w:t>基金份额持有人名册和份额；当日收到的申购申请，按照启用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w:t>
      </w:r>
      <w:proofErr w:type="gramStart"/>
      <w:r w:rsidRPr="00BD090D">
        <w:rPr>
          <w:rFonts w:ascii="宋体" w:eastAsia="宋体" w:hAnsi="宋体" w:hint="eastAsia"/>
          <w:szCs w:val="21"/>
        </w:rPr>
        <w:t>的主袋账户</w:t>
      </w:r>
      <w:proofErr w:type="gramEnd"/>
      <w:r w:rsidRPr="00BD090D">
        <w:rPr>
          <w:rFonts w:ascii="宋体" w:eastAsia="宋体" w:hAnsi="宋体" w:hint="eastAsia"/>
          <w:szCs w:val="21"/>
        </w:rPr>
        <w:t>份额办理；当日收到的赎回申请，仅</w:t>
      </w:r>
      <w:proofErr w:type="gramStart"/>
      <w:r w:rsidRPr="00BD090D">
        <w:rPr>
          <w:rFonts w:ascii="宋体" w:eastAsia="宋体" w:hAnsi="宋体" w:hint="eastAsia"/>
          <w:szCs w:val="21"/>
        </w:rPr>
        <w:t>办理主袋账户</w:t>
      </w:r>
      <w:proofErr w:type="gramEnd"/>
      <w:r w:rsidRPr="00BD090D">
        <w:rPr>
          <w:rFonts w:ascii="宋体" w:eastAsia="宋体" w:hAnsi="宋体" w:hint="eastAsia"/>
          <w:szCs w:val="21"/>
        </w:rPr>
        <w:t>的赎回申请并支付赎回款项。</w:t>
      </w:r>
    </w:p>
    <w:p w14:paraId="10B995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期间，基金管理人不</w:t>
      </w:r>
      <w:proofErr w:type="gramStart"/>
      <w:r w:rsidRPr="00BD090D">
        <w:rPr>
          <w:rFonts w:ascii="宋体" w:eastAsia="宋体" w:hAnsi="宋体" w:hint="eastAsia"/>
          <w:szCs w:val="21"/>
        </w:rPr>
        <w:t>办理侧袋账户</w:t>
      </w:r>
      <w:proofErr w:type="gramEnd"/>
      <w:r w:rsidRPr="00BD090D">
        <w:rPr>
          <w:rFonts w:ascii="宋体" w:eastAsia="宋体" w:hAnsi="宋体" w:hint="eastAsia"/>
          <w:szCs w:val="21"/>
        </w:rPr>
        <w:t>份额的申购、赎回和转换；同时，基金管理人按照基金合同和招募说明书的约定</w:t>
      </w:r>
      <w:proofErr w:type="gramStart"/>
      <w:r w:rsidRPr="00BD090D">
        <w:rPr>
          <w:rFonts w:ascii="宋体" w:eastAsia="宋体" w:hAnsi="宋体" w:hint="eastAsia"/>
          <w:szCs w:val="21"/>
        </w:rPr>
        <w:t>办理主袋账户</w:t>
      </w:r>
      <w:proofErr w:type="gramEnd"/>
      <w:r w:rsidRPr="00BD090D">
        <w:rPr>
          <w:rFonts w:ascii="宋体" w:eastAsia="宋体" w:hAnsi="宋体" w:hint="eastAsia"/>
          <w:szCs w:val="21"/>
        </w:rPr>
        <w:t>份额的赎回，并</w:t>
      </w:r>
      <w:proofErr w:type="gramStart"/>
      <w:r w:rsidRPr="00BD090D">
        <w:rPr>
          <w:rFonts w:ascii="宋体" w:eastAsia="宋体" w:hAnsi="宋体" w:hint="eastAsia"/>
          <w:szCs w:val="21"/>
        </w:rPr>
        <w:t>根据主袋账户</w:t>
      </w:r>
      <w:proofErr w:type="gramEnd"/>
      <w:r w:rsidRPr="00BD090D">
        <w:rPr>
          <w:rFonts w:ascii="宋体" w:eastAsia="宋体" w:hAnsi="宋体" w:hint="eastAsia"/>
          <w:szCs w:val="21"/>
        </w:rPr>
        <w:t>运作情况确定是否暂停申购。</w:t>
      </w:r>
    </w:p>
    <w:p w14:paraId="3AB4B6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3、除基金管理人应</w:t>
      </w:r>
      <w:proofErr w:type="gramStart"/>
      <w:r w:rsidRPr="00BD090D">
        <w:rPr>
          <w:rFonts w:ascii="宋体" w:eastAsia="宋体" w:hAnsi="宋体" w:hint="eastAsia"/>
          <w:szCs w:val="21"/>
        </w:rPr>
        <w:t>按照主袋账户</w:t>
      </w:r>
      <w:proofErr w:type="gramEnd"/>
      <w:r w:rsidRPr="00BD090D">
        <w:rPr>
          <w:rFonts w:ascii="宋体" w:eastAsia="宋体" w:hAnsi="宋体" w:hint="eastAsia"/>
          <w:szCs w:val="21"/>
        </w:rPr>
        <w:t>的份额净值</w:t>
      </w:r>
      <w:proofErr w:type="gramStart"/>
      <w:r w:rsidRPr="00BD090D">
        <w:rPr>
          <w:rFonts w:ascii="宋体" w:eastAsia="宋体" w:hAnsi="宋体" w:hint="eastAsia"/>
          <w:szCs w:val="21"/>
        </w:rPr>
        <w:t>办理主袋账户</w:t>
      </w:r>
      <w:proofErr w:type="gramEnd"/>
      <w:r w:rsidRPr="00BD090D">
        <w:rPr>
          <w:rFonts w:ascii="宋体" w:eastAsia="宋体" w:hAnsi="宋体" w:hint="eastAsia"/>
          <w:szCs w:val="21"/>
        </w:rPr>
        <w:t>份额的申购和赎回外，本招募说明书“基金份额的申购与赎回”部分的申购、赎回规定</w:t>
      </w:r>
      <w:proofErr w:type="gramStart"/>
      <w:r w:rsidRPr="00BD090D">
        <w:rPr>
          <w:rFonts w:ascii="宋体" w:eastAsia="宋体" w:hAnsi="宋体" w:hint="eastAsia"/>
          <w:szCs w:val="21"/>
        </w:rPr>
        <w:t>适用于主袋账户</w:t>
      </w:r>
      <w:proofErr w:type="gramEnd"/>
      <w:r w:rsidRPr="00BD090D">
        <w:rPr>
          <w:rFonts w:ascii="宋体" w:eastAsia="宋体" w:hAnsi="宋体" w:hint="eastAsia"/>
          <w:szCs w:val="21"/>
        </w:rPr>
        <w:t>份额。巨额赎回按照单个开放</w:t>
      </w:r>
      <w:proofErr w:type="gramStart"/>
      <w:r w:rsidRPr="00BD090D">
        <w:rPr>
          <w:rFonts w:ascii="宋体" w:eastAsia="宋体" w:hAnsi="宋体" w:hint="eastAsia"/>
          <w:szCs w:val="21"/>
        </w:rPr>
        <w:t>日内主袋账户</w:t>
      </w:r>
      <w:proofErr w:type="gramEnd"/>
      <w:r w:rsidRPr="00BD090D">
        <w:rPr>
          <w:rFonts w:ascii="宋体" w:eastAsia="宋体" w:hAnsi="宋体" w:hint="eastAsia"/>
          <w:szCs w:val="21"/>
        </w:rPr>
        <w:t>份额净赎回申请超过前一</w:t>
      </w:r>
      <w:proofErr w:type="gramStart"/>
      <w:r w:rsidRPr="00BD090D">
        <w:rPr>
          <w:rFonts w:ascii="宋体" w:eastAsia="宋体" w:hAnsi="宋体" w:hint="eastAsia"/>
          <w:szCs w:val="21"/>
        </w:rPr>
        <w:t>工作日主袋账户</w:t>
      </w:r>
      <w:proofErr w:type="gramEnd"/>
      <w:r w:rsidRPr="00BD090D">
        <w:rPr>
          <w:rFonts w:ascii="宋体" w:eastAsia="宋体" w:hAnsi="宋体" w:hint="eastAsia"/>
          <w:szCs w:val="21"/>
        </w:rPr>
        <w:t>总份额的20%认定。</w:t>
      </w:r>
    </w:p>
    <w:p w14:paraId="41CE50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期间的基金投资</w:t>
      </w:r>
    </w:p>
    <w:p w14:paraId="22E199E1"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实施期间，招募说明书“基金的投资”部分约定的投资组合比例、投资策略、组合限制、业绩比较基准、风险收益特征等约定仅</w:t>
      </w:r>
      <w:proofErr w:type="gramStart"/>
      <w:r w:rsidRPr="00BD090D">
        <w:rPr>
          <w:rFonts w:ascii="宋体" w:eastAsia="宋体" w:hAnsi="宋体" w:hint="eastAsia"/>
          <w:szCs w:val="21"/>
        </w:rPr>
        <w:t>适用于主袋账户</w:t>
      </w:r>
      <w:proofErr w:type="gramEnd"/>
      <w:r w:rsidRPr="00BD090D">
        <w:rPr>
          <w:rFonts w:ascii="宋体" w:eastAsia="宋体" w:hAnsi="宋体" w:hint="eastAsia"/>
          <w:szCs w:val="21"/>
        </w:rPr>
        <w:t>。基金管理人计算各项投资运作指标和基金业绩指标时仅需</w:t>
      </w:r>
      <w:proofErr w:type="gramStart"/>
      <w:r w:rsidRPr="00BD090D">
        <w:rPr>
          <w:rFonts w:ascii="宋体" w:eastAsia="宋体" w:hAnsi="宋体" w:hint="eastAsia"/>
          <w:szCs w:val="21"/>
        </w:rPr>
        <w:t>考虑主袋账户</w:t>
      </w:r>
      <w:proofErr w:type="gramEnd"/>
      <w:r w:rsidRPr="00BD090D">
        <w:rPr>
          <w:rFonts w:ascii="宋体" w:eastAsia="宋体" w:hAnsi="宋体" w:hint="eastAsia"/>
          <w:szCs w:val="21"/>
        </w:rPr>
        <w:t>资产。</w:t>
      </w:r>
    </w:p>
    <w:p w14:paraId="43D905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基金管理人原则上应当在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启用后20个交易日内完成</w:t>
      </w:r>
      <w:proofErr w:type="gramStart"/>
      <w:r w:rsidRPr="00BD090D">
        <w:rPr>
          <w:rFonts w:ascii="宋体" w:eastAsia="宋体" w:hAnsi="宋体" w:hint="eastAsia"/>
          <w:szCs w:val="21"/>
        </w:rPr>
        <w:t>对主袋账户</w:t>
      </w:r>
      <w:proofErr w:type="gramEnd"/>
      <w:r w:rsidRPr="00BD090D">
        <w:rPr>
          <w:rFonts w:ascii="宋体" w:eastAsia="宋体" w:hAnsi="宋体" w:hint="eastAsia"/>
          <w:szCs w:val="21"/>
        </w:rPr>
        <w:t>投资组合的调整，因资产流动性受限等中国证监会规定的情形除外。</w:t>
      </w:r>
    </w:p>
    <w:p w14:paraId="77A4E7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基金管理人不得</w:t>
      </w:r>
      <w:proofErr w:type="gramStart"/>
      <w:r w:rsidRPr="00BD090D">
        <w:rPr>
          <w:rFonts w:ascii="宋体" w:eastAsia="宋体" w:hAnsi="宋体" w:hint="eastAsia"/>
          <w:szCs w:val="21"/>
        </w:rPr>
        <w:t>在侧袋账户</w:t>
      </w:r>
      <w:proofErr w:type="gramEnd"/>
      <w:r w:rsidRPr="00BD090D">
        <w:rPr>
          <w:rFonts w:ascii="宋体" w:eastAsia="宋体" w:hAnsi="宋体" w:hint="eastAsia"/>
          <w:szCs w:val="21"/>
        </w:rPr>
        <w:t>中进行除特定资产处置变现以外的其他投资操作。</w:t>
      </w:r>
    </w:p>
    <w:p w14:paraId="0C483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期间的基金估值</w:t>
      </w:r>
    </w:p>
    <w:p w14:paraId="494A92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的，基金管理人和基金托管人</w:t>
      </w:r>
      <w:proofErr w:type="gramStart"/>
      <w:r w:rsidRPr="00BD090D">
        <w:rPr>
          <w:rFonts w:ascii="宋体" w:eastAsia="宋体" w:hAnsi="宋体" w:hint="eastAsia"/>
          <w:szCs w:val="21"/>
        </w:rPr>
        <w:t>应对主袋账户</w:t>
      </w:r>
      <w:proofErr w:type="gramEnd"/>
      <w:r w:rsidRPr="00BD090D">
        <w:rPr>
          <w:rFonts w:ascii="宋体" w:eastAsia="宋体" w:hAnsi="宋体" w:hint="eastAsia"/>
          <w:szCs w:val="21"/>
        </w:rPr>
        <w:t>资产进行估值并</w:t>
      </w:r>
      <w:proofErr w:type="gramStart"/>
      <w:r w:rsidRPr="00BD090D">
        <w:rPr>
          <w:rFonts w:ascii="宋体" w:eastAsia="宋体" w:hAnsi="宋体" w:hint="eastAsia"/>
          <w:szCs w:val="21"/>
        </w:rPr>
        <w:t>披露主袋账户</w:t>
      </w:r>
      <w:proofErr w:type="gramEnd"/>
      <w:r w:rsidRPr="00BD090D">
        <w:rPr>
          <w:rFonts w:ascii="宋体" w:eastAsia="宋体" w:hAnsi="宋体" w:hint="eastAsia"/>
          <w:szCs w:val="21"/>
        </w:rPr>
        <w:t>的基金资产净值和份额净值，暂停</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份额净值。</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的会计核算应符合《企业会计准则》的相关要求。</w:t>
      </w:r>
    </w:p>
    <w:p w14:paraId="4CD00B5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w:t>
      </w:r>
      <w:proofErr w:type="gramStart"/>
      <w:r w:rsidRPr="00BD090D">
        <w:rPr>
          <w:rFonts w:ascii="宋体" w:eastAsia="宋体" w:hAnsi="宋体" w:hint="eastAsia"/>
          <w:szCs w:val="21"/>
        </w:rPr>
        <w:t>实施侧袋账户</w:t>
      </w:r>
      <w:proofErr w:type="gramEnd"/>
      <w:r w:rsidRPr="00BD090D">
        <w:rPr>
          <w:rFonts w:ascii="宋体" w:eastAsia="宋体" w:hAnsi="宋体" w:hint="eastAsia"/>
          <w:szCs w:val="21"/>
        </w:rPr>
        <w:t>期间的基金费用</w:t>
      </w:r>
    </w:p>
    <w:p w14:paraId="644F5C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1、本基金实施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w:t>
      </w:r>
      <w:proofErr w:type="gramStart"/>
      <w:r w:rsidRPr="00BD090D">
        <w:rPr>
          <w:rFonts w:ascii="宋体" w:eastAsia="宋体" w:hAnsi="宋体" w:hint="eastAsia"/>
          <w:szCs w:val="21"/>
        </w:rPr>
        <w:t>主袋账户</w:t>
      </w:r>
      <w:proofErr w:type="gramEnd"/>
      <w:r w:rsidRPr="00BD090D">
        <w:rPr>
          <w:rFonts w:ascii="宋体" w:eastAsia="宋体" w:hAnsi="宋体" w:hint="eastAsia"/>
          <w:szCs w:val="21"/>
        </w:rPr>
        <w:t>的管理费和托管费</w:t>
      </w:r>
      <w:proofErr w:type="gramStart"/>
      <w:r w:rsidRPr="00BD090D">
        <w:rPr>
          <w:rFonts w:ascii="宋体" w:eastAsia="宋体" w:hAnsi="宋体" w:hint="eastAsia"/>
          <w:szCs w:val="21"/>
        </w:rPr>
        <w:t>按主袋账户</w:t>
      </w:r>
      <w:proofErr w:type="gramEnd"/>
      <w:r w:rsidRPr="00BD090D">
        <w:rPr>
          <w:rFonts w:ascii="宋体" w:eastAsia="宋体" w:hAnsi="宋体" w:hint="eastAsia"/>
          <w:szCs w:val="21"/>
        </w:rPr>
        <w:t>基金资产净值作为基数计提。</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的托管费根据法律法规</w:t>
      </w:r>
      <w:proofErr w:type="gramStart"/>
      <w:r w:rsidRPr="00BD090D">
        <w:rPr>
          <w:rFonts w:ascii="宋体" w:eastAsia="宋体" w:hAnsi="宋体" w:hint="eastAsia"/>
          <w:szCs w:val="21"/>
        </w:rPr>
        <w:t>按侧袋</w:t>
      </w:r>
      <w:proofErr w:type="gramEnd"/>
      <w:r w:rsidRPr="00BD090D">
        <w:rPr>
          <w:rFonts w:ascii="宋体" w:eastAsia="宋体" w:hAnsi="宋体" w:hint="eastAsia"/>
          <w:szCs w:val="21"/>
        </w:rPr>
        <w:t>账户资产净值为基数计提，法律法规对侧袋账户的计提基数等另有规定的，从其规定。</w:t>
      </w:r>
    </w:p>
    <w:p w14:paraId="53A128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proofErr w:type="gramStart"/>
      <w:r w:rsidRPr="00BD090D">
        <w:rPr>
          <w:rFonts w:ascii="宋体" w:eastAsia="宋体" w:hAnsi="宋体" w:hint="eastAsia"/>
          <w:szCs w:val="21"/>
        </w:rPr>
        <w:t>与侧袋账户</w:t>
      </w:r>
      <w:proofErr w:type="gramEnd"/>
      <w:r w:rsidRPr="00BD090D">
        <w:rPr>
          <w:rFonts w:ascii="宋体" w:eastAsia="宋体" w:hAnsi="宋体" w:hint="eastAsia"/>
          <w:szCs w:val="21"/>
        </w:rPr>
        <w:t>有关的费用可</w:t>
      </w:r>
      <w:proofErr w:type="gramStart"/>
      <w:r w:rsidRPr="00BD090D">
        <w:rPr>
          <w:rFonts w:ascii="宋体" w:eastAsia="宋体" w:hAnsi="宋体" w:hint="eastAsia"/>
          <w:szCs w:val="21"/>
        </w:rPr>
        <w:t>从侧袋账户</w:t>
      </w:r>
      <w:proofErr w:type="gramEnd"/>
      <w:r w:rsidRPr="00BD090D">
        <w:rPr>
          <w:rFonts w:ascii="宋体" w:eastAsia="宋体" w:hAnsi="宋体" w:hint="eastAsia"/>
          <w:szCs w:val="21"/>
        </w:rPr>
        <w:t>中列支，但应</w:t>
      </w:r>
      <w:proofErr w:type="gramStart"/>
      <w:r w:rsidRPr="00BD090D">
        <w:rPr>
          <w:rFonts w:ascii="宋体" w:eastAsia="宋体" w:hAnsi="宋体" w:hint="eastAsia"/>
          <w:szCs w:val="21"/>
        </w:rPr>
        <w:t>待侧袋</w:t>
      </w:r>
      <w:proofErr w:type="gramEnd"/>
      <w:r w:rsidRPr="00BD090D">
        <w:rPr>
          <w:rFonts w:ascii="宋体" w:eastAsia="宋体" w:hAnsi="宋体" w:hint="eastAsia"/>
          <w:szCs w:val="21"/>
        </w:rPr>
        <w:t>账户资产变现后方可列支，有关费用可酌情收取或减免，但不得收取管理费。</w:t>
      </w:r>
    </w:p>
    <w:p w14:paraId="688AC1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中特定资产的处置变现和支付</w:t>
      </w:r>
    </w:p>
    <w:p w14:paraId="2E342D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特定资产以可出售、可转让、恢复交易等方式恢复流动性后，基金管理人应当按照基金份额持有人利益最大化原则，采取将特定资产予以处置变现等方式，及时</w:t>
      </w:r>
      <w:proofErr w:type="gramStart"/>
      <w:r w:rsidRPr="00BD090D">
        <w:rPr>
          <w:rFonts w:ascii="宋体" w:eastAsia="宋体" w:hAnsi="宋体" w:hint="eastAsia"/>
          <w:szCs w:val="21"/>
        </w:rPr>
        <w:t>向侧袋账户</w:t>
      </w:r>
      <w:proofErr w:type="gramEnd"/>
      <w:r w:rsidRPr="00BD090D">
        <w:rPr>
          <w:rFonts w:ascii="宋体" w:eastAsia="宋体" w:hAnsi="宋体" w:hint="eastAsia"/>
          <w:szCs w:val="21"/>
        </w:rPr>
        <w:t>份额持有人支付对应变现款项。</w:t>
      </w:r>
    </w:p>
    <w:p w14:paraId="22C982BE"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w:t>
      </w:r>
      <w:proofErr w:type="gramStart"/>
      <w:r w:rsidRPr="00BD090D">
        <w:rPr>
          <w:rFonts w:ascii="宋体" w:eastAsia="宋体" w:hAnsi="宋体" w:hint="eastAsia"/>
          <w:szCs w:val="21"/>
        </w:rPr>
        <w:t>无论侧袋账户</w:t>
      </w:r>
      <w:proofErr w:type="gramEnd"/>
      <w:r w:rsidRPr="00BD090D">
        <w:rPr>
          <w:rFonts w:ascii="宋体" w:eastAsia="宋体" w:hAnsi="宋体" w:hint="eastAsia"/>
          <w:szCs w:val="21"/>
        </w:rPr>
        <w:t>资产是否全部完成变现，基金管理人都应当及时</w:t>
      </w:r>
      <w:proofErr w:type="gramStart"/>
      <w:r w:rsidRPr="00BD090D">
        <w:rPr>
          <w:rFonts w:ascii="宋体" w:eastAsia="宋体" w:hAnsi="宋体" w:hint="eastAsia"/>
          <w:szCs w:val="21"/>
        </w:rPr>
        <w:t>向侧袋账户</w:t>
      </w:r>
      <w:proofErr w:type="gramEnd"/>
      <w:r w:rsidRPr="00BD090D">
        <w:rPr>
          <w:rFonts w:ascii="宋体" w:eastAsia="宋体" w:hAnsi="宋体" w:hint="eastAsia"/>
          <w:szCs w:val="21"/>
        </w:rPr>
        <w:t>全部份额持有人支付已变现部分对应的款项。</w:t>
      </w:r>
      <w:proofErr w:type="gramStart"/>
      <w:r w:rsidRPr="00BD090D">
        <w:rPr>
          <w:rFonts w:ascii="宋体" w:eastAsia="宋体" w:hAnsi="宋体" w:hint="eastAsia"/>
          <w:szCs w:val="21"/>
        </w:rPr>
        <w:t>若侧袋</w:t>
      </w:r>
      <w:proofErr w:type="gramEnd"/>
      <w:r w:rsidRPr="00BD090D">
        <w:rPr>
          <w:rFonts w:ascii="宋体" w:eastAsia="宋体" w:hAnsi="宋体" w:hint="eastAsia"/>
          <w:szCs w:val="21"/>
        </w:rPr>
        <w:t>账户资产无法一次性完成处置变现，基金管理人在每次处置变现后均应按照相关法律法规要求及时发布临时公告。</w:t>
      </w:r>
    </w:p>
    <w:p w14:paraId="27A989A4"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资产全部完成变现并终止</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后，基金管理人应及时聘请符合《中华人民共和国证券法》规定的会计师事务所进行审计并披露专项审计意见。</w:t>
      </w:r>
    </w:p>
    <w:p w14:paraId="2E1231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的信息披露</w:t>
      </w:r>
    </w:p>
    <w:p w14:paraId="0B0286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1、临时公告</w:t>
      </w:r>
    </w:p>
    <w:p w14:paraId="7ADF2B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w:t>
      </w:r>
      <w:proofErr w:type="gramStart"/>
      <w:r w:rsidRPr="00BD090D">
        <w:rPr>
          <w:rFonts w:ascii="宋体" w:eastAsia="宋体" w:hAnsi="宋体" w:hint="eastAsia"/>
          <w:szCs w:val="21"/>
        </w:rPr>
        <w:t>启用侧袋机制</w:t>
      </w:r>
      <w:proofErr w:type="gramEnd"/>
      <w:r w:rsidRPr="00BD090D">
        <w:rPr>
          <w:rFonts w:ascii="宋体" w:eastAsia="宋体" w:hAnsi="宋体" w:hint="eastAsia"/>
          <w:szCs w:val="21"/>
        </w:rPr>
        <w:t>、处置特定资产、终止</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以及发生其他可能对投资者利益产生重大影响的事项后基金管理人应及时发布临时公告。</w:t>
      </w:r>
    </w:p>
    <w:p w14:paraId="5E890D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2、基金净值信息</w:t>
      </w:r>
    </w:p>
    <w:p w14:paraId="4ACE6C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基金管理人应按照招募说明书“基金的信息披露”部分规定的基金净值信息披露方式和频率</w:t>
      </w:r>
      <w:proofErr w:type="gramStart"/>
      <w:r w:rsidRPr="00BD090D">
        <w:rPr>
          <w:rFonts w:ascii="宋体" w:eastAsia="宋体" w:hAnsi="宋体" w:hint="eastAsia"/>
          <w:szCs w:val="21"/>
        </w:rPr>
        <w:t>披露主袋账户</w:t>
      </w:r>
      <w:proofErr w:type="gramEnd"/>
      <w:r w:rsidRPr="00BD090D">
        <w:rPr>
          <w:rFonts w:ascii="宋体" w:eastAsia="宋体" w:hAnsi="宋体" w:hint="eastAsia"/>
          <w:szCs w:val="21"/>
        </w:rPr>
        <w:t>份额的基金份额净值和基金份额累计净值。实施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期间本基金暂停</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份额净值和累计净值。</w:t>
      </w:r>
    </w:p>
    <w:p w14:paraId="6C2A13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3、定期报告</w:t>
      </w:r>
    </w:p>
    <w:p w14:paraId="252EE2D8"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实施期间，基金管理人应当在基金定期报告中披露报告期</w:t>
      </w:r>
      <w:proofErr w:type="gramStart"/>
      <w:r w:rsidRPr="00BD090D">
        <w:rPr>
          <w:rFonts w:ascii="宋体" w:eastAsia="宋体" w:hAnsi="宋体" w:hint="eastAsia"/>
          <w:szCs w:val="21"/>
        </w:rPr>
        <w:t>内侧袋</w:t>
      </w:r>
      <w:proofErr w:type="gramEnd"/>
      <w:r w:rsidRPr="00BD090D">
        <w:rPr>
          <w:rFonts w:ascii="宋体" w:eastAsia="宋体" w:hAnsi="宋体" w:hint="eastAsia"/>
          <w:szCs w:val="21"/>
        </w:rPr>
        <w:t>账户相关信息，基金定期报告中的基金会计报表仅需</w:t>
      </w:r>
      <w:proofErr w:type="gramStart"/>
      <w:r w:rsidRPr="00BD090D">
        <w:rPr>
          <w:rFonts w:ascii="宋体" w:eastAsia="宋体" w:hAnsi="宋体" w:hint="eastAsia"/>
          <w:szCs w:val="21"/>
        </w:rPr>
        <w:t>针对主袋账户</w:t>
      </w:r>
      <w:proofErr w:type="gramEnd"/>
      <w:r w:rsidRPr="00BD090D">
        <w:rPr>
          <w:rFonts w:ascii="宋体" w:eastAsia="宋体" w:hAnsi="宋体" w:hint="eastAsia"/>
          <w:szCs w:val="21"/>
        </w:rPr>
        <w:t>进行编制。会计师事务所对基金年度报告进行审计时，应对报告期内基金</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运行相关的会计核算和年度报告披露等发表审计意见。</w:t>
      </w:r>
    </w:p>
    <w:p w14:paraId="12C13A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9E1DC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8C24F1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2161ADD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8" w:name="_Toc121901726"/>
      <w:r w:rsidRPr="00BD090D">
        <w:rPr>
          <w:rFonts w:ascii="Arial Unicode MS" w:eastAsia="宋体" w:hAnsi="Arial Unicode MS" w:cs="Arial" w:hint="eastAsia"/>
          <w:kern w:val="0"/>
          <w:sz w:val="28"/>
          <w:szCs w:val="28"/>
        </w:rPr>
        <w:lastRenderedPageBreak/>
        <w:t>第十八部分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风险揭示</w:t>
      </w:r>
      <w:bookmarkEnd w:id="28"/>
    </w:p>
    <w:p w14:paraId="3B576561" w14:textId="77777777" w:rsidR="00BD090D" w:rsidRPr="00BD090D" w:rsidRDefault="00BD090D" w:rsidP="00BD090D">
      <w:pPr>
        <w:spacing w:line="360" w:lineRule="auto"/>
        <w:ind w:firstLineChars="200" w:firstLine="420"/>
        <w:rPr>
          <w:rFonts w:ascii="宋体" w:eastAsia="宋体" w:hAnsi="宋体"/>
          <w:szCs w:val="21"/>
        </w:rPr>
      </w:pPr>
    </w:p>
    <w:p w14:paraId="22D9044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一、投资于本基金的主要风险</w:t>
      </w:r>
    </w:p>
    <w:p w14:paraId="7A8590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投资于本基金的主要风险有：</w:t>
      </w:r>
    </w:p>
    <w:p w14:paraId="70FACD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1、市场风险</w:t>
      </w:r>
    </w:p>
    <w:p w14:paraId="60B025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证券市场价格受到各种因素的影响，导致基金收益水平变化而产生风险，主要包括：</w:t>
      </w:r>
    </w:p>
    <w:p w14:paraId="6095FBF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（1）政策风险。因国家宏观政策（如货币政策、财政政策、行业政策、地区发展政策等）发生变化，导致市场价格波动而产生风险。</w:t>
      </w:r>
    </w:p>
    <w:p w14:paraId="74F0C9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（2）经济周期风险。随着经济运行的周期性变化，证券市场的收益水平也呈周期性变化。本基金主要投资于债券，收益水平也会随之变化，从而产生风险。</w:t>
      </w:r>
    </w:p>
    <w:p w14:paraId="547EE7E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（3）利率风险。金融市场利率的波动会导致证券市场价格和收益率的变动。</w:t>
      </w:r>
    </w:p>
    <w:p w14:paraId="2393774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（4）通货膨胀风险。如果发生通货膨胀，基金投资于证券所获得的收益可能会被通货膨胀抵消，从而影响基金资产的保值增值。</w:t>
      </w:r>
    </w:p>
    <w:p w14:paraId="6B541AB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（5）再投资风险。再投资风险反映了利率下降对固定收益证券利息收入再投资收益的影响，这与利率上升所带来的价格风险（即利率风险）互为消长。</w:t>
      </w:r>
    </w:p>
    <w:p w14:paraId="1491A73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2、信用风险</w:t>
      </w:r>
    </w:p>
    <w:p w14:paraId="32C9910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9CD60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3、流动性风险</w:t>
      </w:r>
    </w:p>
    <w:p w14:paraId="56EAE0D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（1）基金申购、赎回安排</w:t>
      </w:r>
    </w:p>
    <w:p w14:paraId="0BC147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本基金的申购、赎回安排详见本招募说明书“第九部分 基金份额的申购与赎回” 章节。</w:t>
      </w:r>
    </w:p>
    <w:p w14:paraId="10EBF1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（2）拟投资市场、行业及资产的流动性风险评估</w:t>
      </w:r>
    </w:p>
    <w:p w14:paraId="469C31D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投资市场主要为证券交易所、全国银行间债券市场等流动性较好的规范性交易场所，主要投资对象为具有较好流动性的金融工具（包括国内依法发行上市的债券和货币市场工具等），同时本基金基于分散投资的原则在行业和个</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方面未有高集中度的特征，综合评估在正常市场环境下本基金的流动性风险适中。</w:t>
      </w:r>
    </w:p>
    <w:p w14:paraId="7130A8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（3）巨额赎回情形下的流动性风险管理措施</w:t>
      </w:r>
    </w:p>
    <w:p w14:paraId="72AABA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当本基金出现巨额赎回情形时，基金管理人可以根据基金当时的资产组合状况或巨额赎</w:t>
      </w:r>
      <w:r w:rsidRPr="00BD090D">
        <w:rPr>
          <w:rFonts w:ascii="宋体" w:eastAsia="宋体" w:hAnsi="宋体" w:hint="eastAsia"/>
          <w:szCs w:val="21"/>
        </w:rPr>
        <w:lastRenderedPageBreak/>
        <w:t xml:space="preserve">回份额占比情况决定全额赎回或延缓支付赎回款项或延期办理。同时，如本基金单个基金份额持有人在单个开放日申请赎回基金份额超过基金总份额一定比例以上的，基金管理人有权对其采取延缓支付赎回款项或延期办理赎回申请的措施。 </w:t>
      </w:r>
    </w:p>
    <w:p w14:paraId="1ABD11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（4）实施备用的流动性风险管理工具的情形、程序及对投资者的潜在影响</w:t>
      </w:r>
    </w:p>
    <w:p w14:paraId="6245E1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市场大幅波动、流动性枯竭等极端情况下发生无法应对投资者巨额赎回的情形时，基金管理人将以保障投资者合法权益为前提，严格按照法律法规及基金合同的规定，谨慎选取延期办理赎回申请、暂停接受赎回申请、延缓支付赎回款项、收取短期赎回费、采用摆动定价、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当本基金出现上述情形时，本基金可能无法及时满足所有投资者的赎回申请，投资者收到赎回款项的时间也可能晚于预期或可能增加投资者赎回的成本。</w:t>
      </w:r>
    </w:p>
    <w:p w14:paraId="2DEE508F"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是一种流动性风险管理工具，是将特定资产分离</w:t>
      </w:r>
      <w:proofErr w:type="gramStart"/>
      <w:r w:rsidRPr="00BD090D">
        <w:rPr>
          <w:rFonts w:ascii="宋体" w:eastAsia="宋体" w:hAnsi="宋体" w:hint="eastAsia"/>
          <w:szCs w:val="21"/>
        </w:rPr>
        <w:t>至专门的侧袋</w:t>
      </w:r>
      <w:proofErr w:type="gramEnd"/>
      <w:r w:rsidRPr="00BD090D">
        <w:rPr>
          <w:rFonts w:ascii="宋体" w:eastAsia="宋体" w:hAnsi="宋体" w:hint="eastAsia"/>
          <w:szCs w:val="21"/>
        </w:rPr>
        <w:t>账户进行处置清算，并以处置变现后的款项向基金份额持有人进行支付，目的在于有效隔离并化解风险。但基金启用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份额将停止披露基金份额净值，并不得办理申购、赎回和转换，</w:t>
      </w:r>
      <w:proofErr w:type="gramStart"/>
      <w:r w:rsidRPr="00BD090D">
        <w:rPr>
          <w:rFonts w:ascii="宋体" w:eastAsia="宋体" w:hAnsi="宋体" w:hint="eastAsia"/>
          <w:szCs w:val="21"/>
        </w:rPr>
        <w:t>仅主袋</w:t>
      </w:r>
      <w:proofErr w:type="gramEnd"/>
      <w:r w:rsidRPr="00BD090D">
        <w:rPr>
          <w:rFonts w:ascii="宋体" w:eastAsia="宋体" w:hAnsi="宋体" w:hint="eastAsia"/>
          <w:szCs w:val="21"/>
        </w:rPr>
        <w:t>账户份额正常开放赎回，因此启用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时持有基金份额的持有人将在启用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后同时</w:t>
      </w:r>
      <w:proofErr w:type="gramStart"/>
      <w:r w:rsidRPr="00BD090D">
        <w:rPr>
          <w:rFonts w:ascii="宋体" w:eastAsia="宋体" w:hAnsi="宋体" w:hint="eastAsia"/>
          <w:szCs w:val="21"/>
        </w:rPr>
        <w:t>持有主袋账户</w:t>
      </w:r>
      <w:proofErr w:type="gramEnd"/>
      <w:r w:rsidRPr="00BD090D">
        <w:rPr>
          <w:rFonts w:ascii="宋体" w:eastAsia="宋体" w:hAnsi="宋体" w:hint="eastAsia"/>
          <w:szCs w:val="21"/>
        </w:rPr>
        <w:t>份额和</w:t>
      </w:r>
      <w:proofErr w:type="gramStart"/>
      <w:r w:rsidRPr="00BD090D">
        <w:rPr>
          <w:rFonts w:ascii="宋体" w:eastAsia="宋体" w:hAnsi="宋体" w:hint="eastAsia"/>
          <w:szCs w:val="21"/>
        </w:rPr>
        <w:t>侧袋</w:t>
      </w:r>
      <w:proofErr w:type="gramEnd"/>
      <w:r w:rsidRPr="00BD090D">
        <w:rPr>
          <w:rFonts w:ascii="宋体" w:eastAsia="宋体" w:hAnsi="宋体" w:hint="eastAsia"/>
          <w:szCs w:val="21"/>
        </w:rPr>
        <w:t>账户份额，</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份额不能赎回，其对应特定资产的变现时间具有不确定性，最终变现价格也具有不确定性并且有可能大幅低于启用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时的特定资产的估值，基金份额持有人可能因此面临损失。</w:t>
      </w:r>
    </w:p>
    <w:p w14:paraId="2A953A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期间，因本基金不</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39FA643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基金管理人将</w:t>
      </w:r>
      <w:proofErr w:type="gramStart"/>
      <w:r w:rsidRPr="00BD090D">
        <w:rPr>
          <w:rFonts w:ascii="宋体" w:eastAsia="宋体" w:hAnsi="宋体" w:hint="eastAsia"/>
          <w:szCs w:val="21"/>
        </w:rPr>
        <w:t>根据主袋账户</w:t>
      </w:r>
      <w:proofErr w:type="gramEnd"/>
      <w:r w:rsidRPr="00BD090D">
        <w:rPr>
          <w:rFonts w:ascii="宋体" w:eastAsia="宋体" w:hAnsi="宋体" w:hint="eastAsia"/>
          <w:szCs w:val="21"/>
        </w:rPr>
        <w:t>运作情况合理确定申购政策, 因此实施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后主袋账户份额存在暂停申购的可能。</w:t>
      </w:r>
    </w:p>
    <w:p w14:paraId="55E41E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后，基金管理人计算各项投资运作指标和基金业绩指标时仅需</w:t>
      </w:r>
      <w:proofErr w:type="gramStart"/>
      <w:r w:rsidRPr="00BD090D">
        <w:rPr>
          <w:rFonts w:ascii="宋体" w:eastAsia="宋体" w:hAnsi="宋体" w:hint="eastAsia"/>
          <w:szCs w:val="21"/>
        </w:rPr>
        <w:t>考虑主袋账户</w:t>
      </w:r>
      <w:proofErr w:type="gramEnd"/>
      <w:r w:rsidRPr="00BD090D">
        <w:rPr>
          <w:rFonts w:ascii="宋体" w:eastAsia="宋体" w:hAnsi="宋体" w:hint="eastAsia"/>
          <w:szCs w:val="21"/>
        </w:rPr>
        <w:t>资产，</w:t>
      </w:r>
    </w:p>
    <w:p w14:paraId="2B8233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4、操作风险</w:t>
      </w:r>
    </w:p>
    <w:p w14:paraId="3D0CD5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操作风险是指基金运作过程中，因内部控制存在缺陷或者人为因素造成操作失误或违反操作规程等引致的风险，例如，越权违规交易、会计部门欺诈、交易错误、IT系统故障等风险。</w:t>
      </w:r>
    </w:p>
    <w:p w14:paraId="30652B5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5、管理风险</w:t>
      </w:r>
    </w:p>
    <w:p w14:paraId="343B7F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985A0C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风险</w:t>
      </w:r>
    </w:p>
    <w:p w14:paraId="467720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风险指基金管理或运作过程中，违反国家法律、法规的规定，或者违反《基金合同》有关规定的风险。</w:t>
      </w:r>
    </w:p>
    <w:p w14:paraId="633639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7、本基金的特有风险</w:t>
      </w:r>
    </w:p>
    <w:p w14:paraId="325624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（1）定期开放基金的特有风险</w:t>
      </w:r>
    </w:p>
    <w:p w14:paraId="2DBBA2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本基金以定期开放的方式进行运作，封闭期长度为一年，封闭期间不接受基金的申购、赎回；在某个封闭期结束和下一封闭期开始之间设置开放期，受理本基金的申购、赎回等申请，开放期的时长为 5 至 20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工作日。因此，在封闭期期内，基金份额持有人将面临不能赎回或卖出基金份额而出现的流动性约束。</w:t>
      </w:r>
    </w:p>
    <w:p w14:paraId="1253CEA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（2）发起</w:t>
      </w:r>
      <w:proofErr w:type="gramStart"/>
      <w:r w:rsidRPr="00BD090D">
        <w:rPr>
          <w:rFonts w:ascii="宋体" w:eastAsia="宋体" w:hAnsi="宋体" w:hint="eastAsia"/>
          <w:szCs w:val="21"/>
        </w:rPr>
        <w:t>式基金</w:t>
      </w:r>
      <w:proofErr w:type="gramEnd"/>
      <w:r w:rsidRPr="00BD090D">
        <w:rPr>
          <w:rFonts w:ascii="宋体" w:eastAsia="宋体" w:hAnsi="宋体" w:hint="eastAsia"/>
          <w:szCs w:val="21"/>
        </w:rPr>
        <w:t>的特有风险</w:t>
      </w:r>
    </w:p>
    <w:p w14:paraId="342B8AF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本基金同时为发起式基金，在基金募集时，发起资金提供方将运用发起资金认购本基金的金额不低于1000 万元，认购的基金份额持有期限不低于三年。基金管理人认购的基金份额持有期限满三年后，发起资金提供方将根据自身情况决定是否继续持有，届时，发起资金提供方有可能赎回认购的本基金份额。另外，在基金合同生效满三年后的对应日，若本基金资产净值低于2亿元，基金合同应当终止，且不得通过召开基金份额持有人大会的方式延续基金合同期限，投资者将面临基金合同可能终止的不确定性风险。</w:t>
      </w:r>
    </w:p>
    <w:p w14:paraId="057F56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（3）本基金允许单一投资者持有份额达到或超过50%的风险</w:t>
      </w:r>
    </w:p>
    <w:p w14:paraId="0114807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1&gt;单一投资者大额赎回导致的基金份额净值波动风险如果单一投资者大额赎回，可能会导致基金份额净值波动的风险。主要原因是，根据本基金招募说明书和基金合同的规定，基金份额净值的计算精确到 0.0001 元，小数点后第 5 位四舍五入，当单一投资者巨额赎回时，由于基金份额净值四舍五入产生的误差计入基金份额基金财产，导致基金份额净值发生大幅波动。基金份额净值计算符合基金合同和法律法规的相关规定，单日大幅波动是在现有估值方法下出现的特殊事件。 </w:t>
      </w:r>
    </w:p>
    <w:p w14:paraId="0A9156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 xml:space="preserve">2&gt;单一投资者大额赎回导致的流动性风险，如果单一投资者大额赎回，为应对赎回，可能迫使基金以不适当的价格大量 抛售证券，使基金的净值增长率受到不利影响。 </w:t>
      </w:r>
    </w:p>
    <w:p w14:paraId="04A9D3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3&gt;单一投资者大额赎回导致的巨额赎回风险 如果单一投资者大额赎回引发巨额赎回，基金管理人可能根据《基金合同》 的约定决定延缓支付赎回款项。 </w:t>
      </w:r>
    </w:p>
    <w:p w14:paraId="022196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4&gt;单一投资者大额赎回导致的基金资产净值较低的风险 在本基金成立三年后，如果单一投资者大额赎回导致基金资产净值较低，可能出现连续 60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工作日基金资产净值低于 5000 万元的情形，继而触发基金合同 终止条件导致基金无法继续存续。</w:t>
      </w:r>
    </w:p>
    <w:p w14:paraId="5D8C9D5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（4）投资资产支持证券的特有风险</w:t>
      </w:r>
    </w:p>
    <w:p w14:paraId="767D4D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本基金投资资产支持证券，资产支持证券具有一定的价格波动风险、流动性风险、信用风险等风险，基金管理人将本着谨慎和控制风险的原则进行资产支持证券投资。</w:t>
      </w:r>
    </w:p>
    <w:p w14:paraId="4024E1B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1&gt;与基础资产相关的风险主要包括特定原始权益人破产风险、现金</w:t>
      </w:r>
      <w:proofErr w:type="gramStart"/>
      <w:r w:rsidRPr="00BD090D">
        <w:rPr>
          <w:rFonts w:ascii="宋体" w:eastAsia="宋体" w:hAnsi="宋体" w:hint="eastAsia"/>
          <w:szCs w:val="21"/>
        </w:rPr>
        <w:t>流预测</w:t>
      </w:r>
      <w:proofErr w:type="gramEnd"/>
      <w:r w:rsidRPr="00BD090D">
        <w:rPr>
          <w:rFonts w:ascii="宋体" w:eastAsia="宋体" w:hAnsi="宋体" w:hint="eastAsia"/>
          <w:szCs w:val="21"/>
        </w:rPr>
        <w:t>风险等与基础资产相关的风险。</w:t>
      </w:r>
    </w:p>
    <w:p w14:paraId="61F4BD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2&gt;与资产支持证券相关的风险主要包括资产支持证券信用增</w:t>
      </w:r>
      <w:proofErr w:type="gramStart"/>
      <w:r w:rsidRPr="00BD090D">
        <w:rPr>
          <w:rFonts w:ascii="宋体" w:eastAsia="宋体" w:hAnsi="宋体" w:hint="eastAsia"/>
          <w:szCs w:val="21"/>
        </w:rPr>
        <w:t>级措施</w:t>
      </w:r>
      <w:proofErr w:type="gramEnd"/>
      <w:r w:rsidRPr="00BD090D">
        <w:rPr>
          <w:rFonts w:ascii="宋体" w:eastAsia="宋体" w:hAnsi="宋体" w:hint="eastAsia"/>
          <w:szCs w:val="21"/>
        </w:rPr>
        <w:t>相关风险、资产支持证券的利率风险、资产支持证券的流动性风险、评级风险等与资产支持证券相关的风险。</w:t>
      </w:r>
    </w:p>
    <w:p w14:paraId="051471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3&gt;其他风险主要包括政策风险、税收风险、发生不可抗力事件的风险、技术风险和操作风险。</w:t>
      </w:r>
    </w:p>
    <w:p w14:paraId="7C482AA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（5）基金管理人职责终止风险</w:t>
      </w:r>
    </w:p>
    <w:p w14:paraId="779993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BD090D">
        <w:rPr>
          <w:rFonts w:ascii="宋体" w:eastAsia="宋体" w:hAnsi="宋体" w:hint="eastAsia"/>
          <w:szCs w:val="21"/>
        </w:rPr>
        <w:t>新任基金</w:t>
      </w:r>
      <w:proofErr w:type="gramEnd"/>
      <w:r w:rsidRPr="00BD090D">
        <w:rPr>
          <w:rFonts w:ascii="宋体" w:eastAsia="宋体" w:hAnsi="宋体" w:hint="eastAsia"/>
          <w:szCs w:val="21"/>
        </w:rPr>
        <w:t>管理人之间责任划分的，相关基金管理人对各自履职行为依法承担责任。</w:t>
      </w:r>
    </w:p>
    <w:p w14:paraId="59CAC3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二、声明</w:t>
      </w:r>
    </w:p>
    <w:p w14:paraId="52B073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1、投资者投资于本基金，须自行承担投资风险；</w:t>
      </w:r>
    </w:p>
    <w:p w14:paraId="564F5ACB" w14:textId="136A079E"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00C64F6F">
        <w:rPr>
          <w:rFonts w:ascii="宋体" w:eastAsia="宋体" w:hAnsi="宋体" w:hint="eastAsia"/>
          <w:szCs w:val="21"/>
        </w:rPr>
        <w:t xml:space="preserve"> </w:t>
      </w:r>
      <w:r w:rsidRPr="00BD090D">
        <w:rPr>
          <w:rFonts w:ascii="宋体" w:eastAsia="宋体" w:hAnsi="宋体" w:hint="eastAsia"/>
          <w:szCs w:val="21"/>
        </w:rPr>
        <w:t>除基金管理人直接办理本基金的销售外，本基金还可以通过基金代销机构代理销售，基金管理人与基金代销机构都不能保证其收益或本金安全。</w:t>
      </w:r>
    </w:p>
    <w:p w14:paraId="3D5B1003" w14:textId="77777777" w:rsidR="00BD090D" w:rsidRPr="00BD090D" w:rsidRDefault="00BD090D" w:rsidP="00BD090D">
      <w:pPr>
        <w:spacing w:line="360" w:lineRule="auto"/>
        <w:ind w:firstLineChars="200" w:firstLine="420"/>
        <w:rPr>
          <w:rFonts w:ascii="宋体" w:eastAsia="宋体" w:hAnsi="宋体"/>
          <w:szCs w:val="21"/>
        </w:rPr>
      </w:pPr>
    </w:p>
    <w:p w14:paraId="69821D00" w14:textId="77777777" w:rsidR="00BD090D" w:rsidRPr="00BD090D" w:rsidRDefault="00BD090D" w:rsidP="00BD090D">
      <w:pPr>
        <w:spacing w:line="360" w:lineRule="auto"/>
        <w:ind w:firstLineChars="200" w:firstLine="420"/>
        <w:rPr>
          <w:rFonts w:ascii="宋体" w:eastAsia="宋体" w:hAnsi="宋体"/>
          <w:szCs w:val="21"/>
        </w:rPr>
      </w:pPr>
    </w:p>
    <w:p w14:paraId="3F9F88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63163A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FC80C74"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9" w:name="_Toc121901727"/>
      <w:r w:rsidRPr="00BD090D">
        <w:rPr>
          <w:rFonts w:ascii="Arial Unicode MS" w:eastAsia="宋体" w:hAnsi="Arial Unicode MS" w:cs="Arial" w:hint="eastAsia"/>
          <w:kern w:val="0"/>
          <w:sz w:val="28"/>
          <w:szCs w:val="28"/>
        </w:rPr>
        <w:lastRenderedPageBreak/>
        <w:t>第十九部分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基金合同的变更、终止与基金财产的清算</w:t>
      </w:r>
      <w:bookmarkEnd w:id="29"/>
    </w:p>
    <w:p w14:paraId="08928660" w14:textId="77777777" w:rsidR="00BD090D" w:rsidRPr="00BD090D" w:rsidRDefault="00BD090D" w:rsidP="00BD090D">
      <w:pPr>
        <w:spacing w:line="360" w:lineRule="auto"/>
        <w:ind w:firstLineChars="200" w:firstLine="420"/>
        <w:rPr>
          <w:rFonts w:ascii="宋体" w:eastAsia="宋体" w:hAnsi="宋体"/>
          <w:szCs w:val="21"/>
        </w:rPr>
      </w:pPr>
    </w:p>
    <w:p w14:paraId="7839C8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一、《基金合同》的变更</w:t>
      </w:r>
    </w:p>
    <w:p w14:paraId="5BC3FB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1、变更基金合同涉及法律法规规定或基金合同约定应经基金份额持有人大会决议通过的事项的，应召</w:t>
      </w:r>
      <w:proofErr w:type="gramStart"/>
      <w:r w:rsidRPr="00BD090D">
        <w:rPr>
          <w:rFonts w:ascii="宋体" w:eastAsia="宋体" w:hAnsi="宋体" w:hint="eastAsia"/>
          <w:szCs w:val="21"/>
        </w:rPr>
        <w:t>开基金</w:t>
      </w:r>
      <w:proofErr w:type="gramEnd"/>
      <w:r w:rsidRPr="00BD090D">
        <w:rPr>
          <w:rFonts w:ascii="宋体" w:eastAsia="宋体" w:hAnsi="宋体" w:hint="eastAsia"/>
          <w:szCs w:val="21"/>
        </w:rPr>
        <w:t>份额持有人大会决议通过。对于法律法规规定和基金合同约定可不经基金份额持有人大会决议通过的事项，由基金管理人和基金托管人同意后变更并公告，并报中国证监会备案。</w:t>
      </w:r>
    </w:p>
    <w:p w14:paraId="0899AC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2、关于《基金合同》变更的基金份额持有人大会决议自生效后方可执行，并</w:t>
      </w:r>
      <w:proofErr w:type="gramStart"/>
      <w:r w:rsidRPr="00BD090D">
        <w:rPr>
          <w:rFonts w:ascii="宋体" w:eastAsia="宋体" w:hAnsi="宋体" w:hint="eastAsia"/>
          <w:szCs w:val="21"/>
        </w:rPr>
        <w:t>自决议</w:t>
      </w:r>
      <w:proofErr w:type="gramEnd"/>
      <w:r w:rsidRPr="00BD090D">
        <w:rPr>
          <w:rFonts w:ascii="宋体" w:eastAsia="宋体" w:hAnsi="宋体" w:hint="eastAsia"/>
          <w:szCs w:val="21"/>
        </w:rPr>
        <w:t>生效后两日内在规定媒介公告。</w:t>
      </w:r>
    </w:p>
    <w:p w14:paraId="0A686BA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二、《基金合同》的终止事由</w:t>
      </w:r>
    </w:p>
    <w:p w14:paraId="62F665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有下列情形之一的，经履行相关程序后，《基金合同》应当终止：</w:t>
      </w:r>
    </w:p>
    <w:p w14:paraId="21930B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1、基金份额持有人大会决定终止的；</w:t>
      </w:r>
    </w:p>
    <w:p w14:paraId="213B0B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2、基金管理人、基金托管人职责终止，在6个月内没有新基金管理人、新基金托管人承接的；</w:t>
      </w:r>
    </w:p>
    <w:p w14:paraId="7140B4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3、《基金合同》约定的其他情形；</w:t>
      </w:r>
    </w:p>
    <w:p w14:paraId="5A5D5E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4、相关法律法规和中国证监会规定的其他情况。</w:t>
      </w:r>
    </w:p>
    <w:p w14:paraId="4B0B87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三、基金财产的清算</w:t>
      </w:r>
    </w:p>
    <w:p w14:paraId="145101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1、基金财产清算小组：自出现《基金合同》终止事由之日起30个工作日内成立清算小组，基金管理人或临时基金管理人组织基金财产清算小组并在中国证监会的监督下进行基金清算。</w:t>
      </w:r>
    </w:p>
    <w:p w14:paraId="02B4C9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财产清算小组组成：基金财产清算小组成员由基金管理人或临时基金管理人、基金托管人、具有从事证券相关业务资格的注册会计师、律师以及中国证监会指定的人员组成。基金财产清算小组可以聘用必要的工作人员。</w:t>
      </w:r>
    </w:p>
    <w:p w14:paraId="6CAAA5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3、基金财产清算小组职责：基金财产清算小组负责基金财产的保管、清理、估价、变现和分配。基金财产清算小组可以依法进行必要的民事活动。</w:t>
      </w:r>
    </w:p>
    <w:p w14:paraId="699099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4、基金财产清算程序：</w:t>
      </w:r>
    </w:p>
    <w:p w14:paraId="6B5149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（1）《基金合同》终止情形出现时，由基金财产清算小组统一接管基金；</w:t>
      </w:r>
    </w:p>
    <w:p w14:paraId="2883AA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（2）对基金财产和债权债务进行清理和确认；</w:t>
      </w:r>
    </w:p>
    <w:p w14:paraId="5E42A6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（3）对基金财产进行估值和变现；</w:t>
      </w:r>
    </w:p>
    <w:p w14:paraId="3DED6A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（4）制作清算报告；</w:t>
      </w:r>
    </w:p>
    <w:p w14:paraId="581506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（5）聘请会计师事务所对清算报告进行外部审计，聘请律师事务所对清算报告出具法律意见书；</w:t>
      </w:r>
    </w:p>
    <w:p w14:paraId="39B5FB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（6）将清算报告报中国证监会备案并公告；</w:t>
      </w:r>
    </w:p>
    <w:p w14:paraId="15765B5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（7）对基金剩余财产进行分配。</w:t>
      </w:r>
    </w:p>
    <w:p w14:paraId="789BE6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5、基金财产清算的期限为6个月，但因本基金所持证券的流动性受到限制而不能及时变现的，清算期限可相应顺延。</w:t>
      </w:r>
    </w:p>
    <w:p w14:paraId="0FF74B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四、清算费用</w:t>
      </w:r>
    </w:p>
    <w:p w14:paraId="1D08C3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清算费用是指基金财产清算小组在进行基金清算过程中发生的所有合理费用，清算费用由基金财产清算小组优先从基金财产中支付。</w:t>
      </w:r>
    </w:p>
    <w:p w14:paraId="74482D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五、基金财产清算剩余资产的分配</w:t>
      </w:r>
    </w:p>
    <w:p w14:paraId="0FFFA2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依据基金财产清算的分配方案，将基金财产清算后的全部剩余资产扣除基金财产清算费用、交纳所欠税款并清偿基金债务后，按基金份额持有人持有的基金份额比例进行分配。</w:t>
      </w:r>
    </w:p>
    <w:p w14:paraId="5D113C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六、基金财产清算的公告</w:t>
      </w:r>
    </w:p>
    <w:p w14:paraId="794C44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清算过程中的有关重大事项须及时公告；基金财产清算报告</w:t>
      </w:r>
      <w:proofErr w:type="gramStart"/>
      <w:r w:rsidRPr="00BD090D">
        <w:rPr>
          <w:rFonts w:ascii="宋体" w:eastAsia="宋体" w:hAnsi="宋体" w:hint="eastAsia"/>
          <w:szCs w:val="21"/>
        </w:rPr>
        <w:t>经符合</w:t>
      </w:r>
      <w:proofErr w:type="gramEnd"/>
      <w:r w:rsidRPr="00BD090D">
        <w:rPr>
          <w:rFonts w:ascii="宋体" w:eastAsia="宋体" w:hAnsi="宋体" w:hint="eastAsia"/>
          <w:szCs w:val="21"/>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DF103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七、基金财产清算账册及文件的保存</w:t>
      </w:r>
    </w:p>
    <w:p w14:paraId="222584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基金财产清算账册及有关文件由基金托管人保存不低于法律法规规定的最低期限。</w:t>
      </w:r>
    </w:p>
    <w:p w14:paraId="14670D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08ADF19" w14:textId="77777777" w:rsidR="00BD090D" w:rsidRPr="00BD090D" w:rsidRDefault="00BD090D" w:rsidP="00BD090D">
      <w:pPr>
        <w:spacing w:line="360" w:lineRule="auto"/>
        <w:ind w:firstLineChars="200" w:firstLine="420"/>
        <w:rPr>
          <w:rFonts w:ascii="宋体" w:eastAsia="宋体" w:hAnsi="宋体"/>
          <w:szCs w:val="21"/>
        </w:rPr>
      </w:pPr>
    </w:p>
    <w:p w14:paraId="7A9DB4CB" w14:textId="77777777" w:rsidR="00BD090D" w:rsidRPr="00BD090D" w:rsidRDefault="00BD090D" w:rsidP="00BD090D">
      <w:pPr>
        <w:spacing w:line="360" w:lineRule="auto"/>
        <w:ind w:firstLineChars="200" w:firstLine="420"/>
        <w:rPr>
          <w:rFonts w:ascii="宋体" w:eastAsia="宋体" w:hAnsi="宋体"/>
          <w:szCs w:val="21"/>
        </w:rPr>
      </w:pPr>
    </w:p>
    <w:p w14:paraId="0F2DD379" w14:textId="77777777" w:rsidR="00BD090D" w:rsidRPr="00BD090D" w:rsidRDefault="00BD090D" w:rsidP="00BD090D">
      <w:pPr>
        <w:spacing w:line="360" w:lineRule="auto"/>
        <w:ind w:firstLineChars="200" w:firstLine="420"/>
        <w:rPr>
          <w:rFonts w:ascii="宋体" w:eastAsia="宋体" w:hAnsi="宋体"/>
          <w:szCs w:val="21"/>
        </w:rPr>
      </w:pPr>
    </w:p>
    <w:p w14:paraId="6C168905" w14:textId="77777777" w:rsidR="00BD090D" w:rsidRPr="00BD090D" w:rsidRDefault="00BD090D" w:rsidP="00BD090D">
      <w:pPr>
        <w:spacing w:line="360" w:lineRule="auto"/>
        <w:ind w:firstLineChars="200" w:firstLine="420"/>
        <w:rPr>
          <w:rFonts w:ascii="宋体" w:eastAsia="宋体" w:hAnsi="宋体"/>
          <w:szCs w:val="21"/>
        </w:rPr>
      </w:pPr>
    </w:p>
    <w:p w14:paraId="37936A45" w14:textId="77777777" w:rsidR="00BD090D" w:rsidRPr="00BD090D" w:rsidRDefault="00BD090D" w:rsidP="00BD090D">
      <w:pPr>
        <w:spacing w:line="360" w:lineRule="auto"/>
        <w:ind w:firstLineChars="200" w:firstLine="420"/>
        <w:rPr>
          <w:rFonts w:ascii="宋体" w:eastAsia="宋体" w:hAnsi="宋体"/>
          <w:szCs w:val="21"/>
        </w:rPr>
      </w:pPr>
    </w:p>
    <w:p w14:paraId="2D60B0CF" w14:textId="77777777" w:rsidR="00BD090D" w:rsidRPr="00BD090D" w:rsidRDefault="00BD090D" w:rsidP="00BD090D">
      <w:pPr>
        <w:spacing w:line="360" w:lineRule="auto"/>
        <w:ind w:firstLineChars="200" w:firstLine="420"/>
        <w:rPr>
          <w:rFonts w:ascii="宋体" w:eastAsia="宋体" w:hAnsi="宋体"/>
          <w:szCs w:val="21"/>
        </w:rPr>
      </w:pPr>
    </w:p>
    <w:p w14:paraId="716BC392" w14:textId="77777777" w:rsidR="00BD090D" w:rsidRPr="00BD090D" w:rsidRDefault="00BD090D" w:rsidP="00BD090D">
      <w:pPr>
        <w:spacing w:line="360" w:lineRule="auto"/>
        <w:ind w:firstLineChars="200" w:firstLine="420"/>
        <w:rPr>
          <w:rFonts w:ascii="宋体" w:eastAsia="宋体" w:hAnsi="宋体"/>
          <w:szCs w:val="21"/>
        </w:rPr>
      </w:pPr>
    </w:p>
    <w:p w14:paraId="4E3AB817" w14:textId="77777777" w:rsidR="00BD090D" w:rsidRPr="00BD090D" w:rsidRDefault="00BD090D" w:rsidP="00BD090D">
      <w:pPr>
        <w:spacing w:line="360" w:lineRule="auto"/>
        <w:ind w:firstLineChars="200" w:firstLine="420"/>
        <w:rPr>
          <w:rFonts w:ascii="宋体" w:eastAsia="宋体" w:hAnsi="宋体"/>
          <w:szCs w:val="21"/>
        </w:rPr>
      </w:pPr>
    </w:p>
    <w:p w14:paraId="3DB53488"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30" w:name="_Toc121901728"/>
      <w:r w:rsidRPr="00BD090D">
        <w:rPr>
          <w:rFonts w:ascii="Arial Unicode MS" w:eastAsia="宋体" w:hAnsi="Arial Unicode MS" w:cs="Arial" w:hint="eastAsia"/>
          <w:kern w:val="0"/>
          <w:sz w:val="28"/>
          <w:szCs w:val="28"/>
        </w:rPr>
        <w:lastRenderedPageBreak/>
        <w:t>第二十部分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基金合同的内容摘要</w:t>
      </w:r>
      <w:bookmarkEnd w:id="30"/>
    </w:p>
    <w:p w14:paraId="6BAD07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一、基金份额持有人、基金管理人和基金托管人的权利、义务</w:t>
      </w:r>
    </w:p>
    <w:p w14:paraId="680B0E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1、根据《基金法》、《运作办法》及其他有关规定，基金管理人的权利包括但不限于：</w:t>
      </w:r>
    </w:p>
    <w:p w14:paraId="0B304CD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（1）依法募集资金；</w:t>
      </w:r>
    </w:p>
    <w:p w14:paraId="57013F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（2）自《基金合同》生效之日起，根据法律法规和《基金合同》独立运用并管理基金财产；</w:t>
      </w:r>
    </w:p>
    <w:p w14:paraId="65FA92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（3）依照《基金合同》收取基金管理费以及法律法规规定或中国证监会批准的其他费用；</w:t>
      </w:r>
    </w:p>
    <w:p w14:paraId="58DE23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（4）销售基金份额；</w:t>
      </w:r>
    </w:p>
    <w:p w14:paraId="5CF1AC1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（5）按照规定召集基金份额持有人大会；</w:t>
      </w:r>
    </w:p>
    <w:p w14:paraId="3E64AA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（6）依据《基金合同》及有关法律规定监督基金托管人，如认为基金托管人违反了《基金合同》及国家有关法律规定，应呈报中国证监会和其他监管部门，并采取必要措施保护基金投资者的利益；</w:t>
      </w:r>
    </w:p>
    <w:p w14:paraId="36F590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（7）在基金托管人更换时，提名新的基金托管人；</w:t>
      </w:r>
    </w:p>
    <w:p w14:paraId="05C411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（8）选择、更换基金销售机构，对基金销售机构的相关行为进行监督和处理；</w:t>
      </w:r>
    </w:p>
    <w:p w14:paraId="4DE449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（9）担任或委托其他符合条件的机构担任基金登记机构办理基金登记业务并获得《基金合同》规定的费用；</w:t>
      </w:r>
    </w:p>
    <w:p w14:paraId="49E611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（10）依据《基金合同》及有关法律规定决定基金收益的分配方案；</w:t>
      </w:r>
      <w:r w:rsidRPr="00BD090D">
        <w:rPr>
          <w:rFonts w:ascii="宋体" w:eastAsia="宋体" w:hAnsi="宋体" w:hint="eastAsia"/>
          <w:szCs w:val="21"/>
        </w:rPr>
        <w:tab/>
      </w:r>
    </w:p>
    <w:p w14:paraId="1A4D15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（11）在《基金合同》约定的范围内，拒绝或暂停受理申购与赎回申请；</w:t>
      </w:r>
    </w:p>
    <w:p w14:paraId="1A3D48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（12）依照法律法规为基金的利益对被投资公司行使股东权利，为基金的利益行使因基金财产投资于证券所产生的权利；</w:t>
      </w:r>
      <w:r w:rsidRPr="00BD090D">
        <w:rPr>
          <w:rFonts w:ascii="宋体" w:eastAsia="宋体" w:hAnsi="宋体" w:hint="eastAsia"/>
          <w:szCs w:val="21"/>
        </w:rPr>
        <w:tab/>
      </w:r>
    </w:p>
    <w:p w14:paraId="3C0202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（13）在法律法规允许的前提下，为基金的利益依法为基金进行融资、融券；</w:t>
      </w:r>
    </w:p>
    <w:p w14:paraId="341572B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（14）以基金管理人的名义，代表基金份额持有人的利益行使诉讼权利或者实施其他法律行为；</w:t>
      </w:r>
      <w:r w:rsidRPr="00BD090D">
        <w:rPr>
          <w:rFonts w:ascii="宋体" w:eastAsia="宋体" w:hAnsi="宋体" w:hint="eastAsia"/>
          <w:szCs w:val="21"/>
        </w:rPr>
        <w:tab/>
      </w:r>
    </w:p>
    <w:p w14:paraId="35DE56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（15）选择、更换律师事务所、会计师事务所、证券经纪商或其他为基金提供服务的外部机构；</w:t>
      </w:r>
      <w:r w:rsidRPr="00BD090D">
        <w:rPr>
          <w:rFonts w:ascii="宋体" w:eastAsia="宋体" w:hAnsi="宋体" w:hint="eastAsia"/>
          <w:szCs w:val="21"/>
        </w:rPr>
        <w:tab/>
      </w:r>
    </w:p>
    <w:p w14:paraId="2D9FE6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（16）在符合有关法律、法规的前提下，制订和调整有关基金认购、申购、赎回、转换和</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过户等业务规则；</w:t>
      </w:r>
    </w:p>
    <w:p w14:paraId="6A6A56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（17）法律法规及中国证监会规定的和《基金合同》约定的其他权利。</w:t>
      </w:r>
    </w:p>
    <w:p w14:paraId="0C8C29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2、根据《基金法》、《运作办法》及其他有关规定，基金管理人的义务包括但不限于：</w:t>
      </w:r>
    </w:p>
    <w:p w14:paraId="782006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（1）依法募集资金，办理或者委托经中国证监会认定的其他机构代为办理基金份额的发售、申购、赎回和登记事宜；</w:t>
      </w:r>
    </w:p>
    <w:p w14:paraId="7F9743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（2）办理基金备案手续；</w:t>
      </w:r>
    </w:p>
    <w:p w14:paraId="6900A6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（3）自《基金合同》生效之日起，以诚实信用、谨慎勤勉的原则管理和运用基金财产；</w:t>
      </w:r>
    </w:p>
    <w:p w14:paraId="590404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（4）配备足够的具有专业资格的人员进行基金投资分析、决策，以专业化的经营方式管理和运作基金财产；</w:t>
      </w:r>
    </w:p>
    <w:p w14:paraId="0A32BE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（5）建立健全内部风险控制、监察与稽核、财务管理及人事管理等制度，保证所管理的基金财产和基金管理人的财产相互独立，对所管理的不同基金分别管理，分别记账，进行证券投资；</w:t>
      </w:r>
    </w:p>
    <w:p w14:paraId="57D173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（6）除依据《基金法》、《基金合同》及其他有关规定外，不得利用基金财产为自己及任何第三人谋取利益，不得委托第三人运作基金财产；</w:t>
      </w:r>
    </w:p>
    <w:p w14:paraId="193BD9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（7）依法接受基金托管人的监督；</w:t>
      </w:r>
    </w:p>
    <w:p w14:paraId="280BCD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（8）采取适当合理的措施使计算基金份额认购、申购、赎回和注销价格的方法符合《基金合同》等法律文件的规定，按有关规定计算并公告基金净值信息，确定基金份额申购、赎回的价格；</w:t>
      </w:r>
    </w:p>
    <w:p w14:paraId="67CC8E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（9）进行基金会计核算并编制基金财务会计报告；</w:t>
      </w:r>
    </w:p>
    <w:p w14:paraId="2D94BD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（10）编制季度报告、中期报告和年度报告；</w:t>
      </w:r>
    </w:p>
    <w:p w14:paraId="3E2AF4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（11）严格按照《基金法》、《基金合同》及其他有关规定，履行信息披露及报告义务；</w:t>
      </w:r>
    </w:p>
    <w:p w14:paraId="10F24A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（12）保守基金商业秘密，不泄露基金投资计划、投资意向等。除《基金法》、《基金合同》及其他有关规定另有规定外，在基金信息公开披露前应予保密，不向他人泄露；</w:t>
      </w:r>
    </w:p>
    <w:p w14:paraId="3A25FF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（13）按《基金合同》的约定确定基金收益分配方案，及时向基金份额持有人分配基金收益；</w:t>
      </w:r>
    </w:p>
    <w:p w14:paraId="5ED7B6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（14）按规定受理申购与赎回申请，及时、足额支付赎回款项；</w:t>
      </w:r>
    </w:p>
    <w:p w14:paraId="148B08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（15）依据《基金法》、《基金合同》及其他有关规定召集基金份额持有人大会或配合基金托管人、基金份额持有人依法召集基金份额持有人大会；</w:t>
      </w:r>
    </w:p>
    <w:p w14:paraId="34E0F98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（16）按规定保存基金财产管理业务活动的会计账册、报表、记录和其他相关资料15年以上；</w:t>
      </w:r>
    </w:p>
    <w:p w14:paraId="35D297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（17）确保需要向基金投资者提供的各项文件或资料在规定时间发出，并且保证投资者能够按照《基金合同》规定的时间和方式，随时查阅到与基金有关的公开资料，并在支付合</w:t>
      </w:r>
      <w:r w:rsidRPr="00BD090D">
        <w:rPr>
          <w:rFonts w:ascii="宋体" w:eastAsia="宋体" w:hAnsi="宋体" w:hint="eastAsia"/>
          <w:szCs w:val="21"/>
        </w:rPr>
        <w:lastRenderedPageBreak/>
        <w:t>理成本的条件下得到有关资料的复印件；</w:t>
      </w:r>
    </w:p>
    <w:p w14:paraId="6B0CC35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（18）组织并参加基金财产清算小组，参与基金财产的保管、清理、估价、变现和分配；</w:t>
      </w:r>
    </w:p>
    <w:p w14:paraId="63AE55D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（19）面临解散、依法被撤销或者被依法宣告破产时，及时报告中国证监会并通知基金托管人；</w:t>
      </w:r>
    </w:p>
    <w:p w14:paraId="321F06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（20）因违反《基金合同》导致基金财产的损失或损害基金份额持有人合法权益时，应当承担赔偿责任，其赔偿责任不因其退任而免除；</w:t>
      </w:r>
    </w:p>
    <w:p w14:paraId="6B5397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（21）监督基金托管人按法律法规和《基金合同》规定履行自己的义务，基金托管人违反《基金合同》造成基金财产损失时，基金管理人应为基金份额持有人利益向基金托管人追偿；</w:t>
      </w:r>
    </w:p>
    <w:p w14:paraId="00DD2F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（22）当基金管理人将其义务委托第三方处理时，应当对第三方处理有关基金事务的行为承担责任；</w:t>
      </w:r>
    </w:p>
    <w:p w14:paraId="40748B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（23）以基金管理人名义，代表基金份额持有人利益行使诉讼权利或实施其他法律行为；</w:t>
      </w:r>
    </w:p>
    <w:p w14:paraId="521029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（24）基金管理人在募集期间未能达到基金的备案条件，《基金合同》不能生效，基金管理人承担全部募集费用，将已募集资金加计银行同期活期存款利息在基金募集期结束后30日内退还基金认购人；</w:t>
      </w:r>
    </w:p>
    <w:p w14:paraId="510443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（25）执行生效的基金份额持有人大会的决议；</w:t>
      </w:r>
    </w:p>
    <w:p w14:paraId="2B9697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（26）建立并保存基金份额持有人名册；</w:t>
      </w:r>
    </w:p>
    <w:p w14:paraId="4B3CCC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（27）法律法规及中国证监会规定的和《基金合同》约定的其他义务。</w:t>
      </w:r>
    </w:p>
    <w:p w14:paraId="76758DC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w:t>
      </w:r>
      <w:r w:rsidRPr="00BD090D">
        <w:rPr>
          <w:rFonts w:ascii="宋体" w:eastAsia="宋体" w:hAnsi="宋体" w:hint="eastAsia"/>
          <w:szCs w:val="21"/>
        </w:rPr>
        <w:tab/>
        <w:t>基金托管人的权利与义务</w:t>
      </w:r>
    </w:p>
    <w:p w14:paraId="16CD81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1、根据《基金法》、《运作办法》及其他有关规定，基金托管人的权利包括但不限于：</w:t>
      </w:r>
    </w:p>
    <w:p w14:paraId="64FF6C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（1）自《基金合同》生效之日起，依法</w:t>
      </w:r>
      <w:proofErr w:type="gramStart"/>
      <w:r w:rsidRPr="00BD090D">
        <w:rPr>
          <w:rFonts w:ascii="宋体" w:eastAsia="宋体" w:hAnsi="宋体" w:hint="eastAsia"/>
          <w:szCs w:val="21"/>
        </w:rPr>
        <w:t>律法规</w:t>
      </w:r>
      <w:proofErr w:type="gramEnd"/>
      <w:r w:rsidRPr="00BD090D">
        <w:rPr>
          <w:rFonts w:ascii="宋体" w:eastAsia="宋体" w:hAnsi="宋体" w:hint="eastAsia"/>
          <w:szCs w:val="21"/>
        </w:rPr>
        <w:t>和《基金合同》的规定安全保管基金财产；</w:t>
      </w:r>
    </w:p>
    <w:p w14:paraId="35EC4B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（2）依《基金合同》约定获得基金托管费以及法律法规规定或监管部门批准的其他费用；</w:t>
      </w:r>
    </w:p>
    <w:p w14:paraId="4521FD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40CDC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（4）根据相关市场规则，为基金开设资金账户、证券账户等投资所需账户，为基金办理证券交易资金清算；</w:t>
      </w:r>
    </w:p>
    <w:p w14:paraId="3C7E10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（5）提议召开或召集基金份额持有人大会；</w:t>
      </w:r>
    </w:p>
    <w:p w14:paraId="4B520B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（6）在基金管理人更换时，提名新的基金管理人；</w:t>
      </w:r>
    </w:p>
    <w:p w14:paraId="259D3F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（7）法律法规及中国证监会规定的和《基金合同》约定的其他权利。</w:t>
      </w:r>
    </w:p>
    <w:p w14:paraId="1C9055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2、根据《基金法》、《运作办法》及其他有关规定，基金托管人的义务包括但不限于：</w:t>
      </w:r>
    </w:p>
    <w:p w14:paraId="683325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（1）以诚实信用、勤勉尽责的原则持有并安全保管基金财产；</w:t>
      </w:r>
    </w:p>
    <w:p w14:paraId="0D2B3D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（2）设立专门的基金托管部门，具有符合要求的营业场所，配备足够的、合格的熟悉基金托管业务的专职人员，负责基金财产托管事宜；</w:t>
      </w:r>
    </w:p>
    <w:p w14:paraId="4EE86C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58FE1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（4）除依据《基金法》、《基金合同》及其他有关规定外，不得利用基金财产为自己及任何第三人谋取利益，不得委托第三人托管基金财产；</w:t>
      </w:r>
    </w:p>
    <w:p w14:paraId="3BC02F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（5）保管由基金管理人代表基金签订的与基金有关的重大合同及有关凭证；</w:t>
      </w:r>
    </w:p>
    <w:p w14:paraId="56E4B1B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（6）按规定开设基金财产的资金账户、证券账户等投资所需账户，按照《基金合同》的约定，根据基金管理人的投资指令，及时办理清算、交割事宜；</w:t>
      </w:r>
    </w:p>
    <w:p w14:paraId="1E835B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（7）保守基金商业秘密，除《基金法》、《基金合同》及其他有关规定另有规定外，在基金信息公开披露前予以保密，不得向他人泄露；</w:t>
      </w:r>
    </w:p>
    <w:p w14:paraId="3060E8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（8）复核、审查基金管理人计算的基金资产净值、基金份额净值、基金份额申购、赎回价格；</w:t>
      </w:r>
    </w:p>
    <w:p w14:paraId="10C9D1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（9）办理与基金托管业务活动有关的信息披露事项；</w:t>
      </w:r>
    </w:p>
    <w:p w14:paraId="2985EA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17E2B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（11）保存基金托管业务活动的记录、账册、报表和其他相关资料不低于法律法规规定的最低期限；</w:t>
      </w:r>
    </w:p>
    <w:p w14:paraId="30516BB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（12）从基金管理人或其委托的登记机构处接收并保存基金份额持有人名册；</w:t>
      </w:r>
    </w:p>
    <w:p w14:paraId="3E9F28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（13）按规定制作相关账册并与基金管理人核对；</w:t>
      </w:r>
    </w:p>
    <w:p w14:paraId="7AD8CD8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（14）依据基金管理人的指令或有关规定向基金份额持有人支付基金收益和赎回款项；</w:t>
      </w:r>
    </w:p>
    <w:p w14:paraId="6A50EA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（15）依据《基金法》、《基金合同》及其他有关规定，召集基金份额持有人大会或配合基金管理人、基金份额持有人依法召集基金份额持有人大会；</w:t>
      </w:r>
    </w:p>
    <w:p w14:paraId="3D3CC3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（16）按照法律法规和《基金合同》的规定监督基金管理人的投资运作；</w:t>
      </w:r>
    </w:p>
    <w:p w14:paraId="5F131F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（17）参加基金财产清算小组，参与基金财产的保管、清理、估价、变现和分配；</w:t>
      </w:r>
    </w:p>
    <w:p w14:paraId="7BB660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（18）面临解散、依法被撤销或者被依法宣告破产时，及时报告中国证监会和银行监管机构，并通知基金管理人；</w:t>
      </w:r>
    </w:p>
    <w:p w14:paraId="1E9FB3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（19）因违反《基金合同》导致基金财产损失时，应承担赔偿责任，其赔偿责任不因其退任而免除；</w:t>
      </w:r>
    </w:p>
    <w:p w14:paraId="6FACD8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（20）监督基金管理人按法律法规和《基金合同》规定履行自己的义务，基金管理人因违反《基金合同》造成基金财产损失时，应为基金份额持有人利益向基金管理人追偿；</w:t>
      </w:r>
    </w:p>
    <w:p w14:paraId="5509B4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（21）执行生效的基金份额持有人大会的决议；</w:t>
      </w:r>
    </w:p>
    <w:p w14:paraId="706F3C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（22）法律法规及中国证监会规定的和《基金合同》约定的其他义务。</w:t>
      </w:r>
    </w:p>
    <w:p w14:paraId="767D11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（三）基金份额持有人的权利和义务</w:t>
      </w:r>
    </w:p>
    <w:p w14:paraId="371F5F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1、根据《基金法》、《运作办法》及其他有关规定，基金份额持有人的权利包括但不限于：</w:t>
      </w:r>
    </w:p>
    <w:p w14:paraId="499211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（1）分享基金财产收益；</w:t>
      </w:r>
    </w:p>
    <w:p w14:paraId="03BB9C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（2）参与分配清算后的剩余基金财产；</w:t>
      </w:r>
    </w:p>
    <w:p w14:paraId="4F6D69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（3）依法申请赎回其持有的基金份额；</w:t>
      </w:r>
    </w:p>
    <w:p w14:paraId="3363F4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（4）按照规定要求召开基金份额持有人大会或者召集基金份额持有人大会；</w:t>
      </w:r>
    </w:p>
    <w:p w14:paraId="1CB84D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（5）出席或者委派代表出席基金份额持有人大会，对基金份额持有人大会审议事项行使表决权；</w:t>
      </w:r>
    </w:p>
    <w:p w14:paraId="657524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（6）查阅或者复制公开披露的基金信息资料；</w:t>
      </w:r>
    </w:p>
    <w:p w14:paraId="59F38C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（7）监督基金管理人的投资运作；</w:t>
      </w:r>
    </w:p>
    <w:p w14:paraId="6F6350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（8）对基金管理人、基金托管人、基金服务机构损害其合法权益的行为依法提起诉讼或仲裁；</w:t>
      </w:r>
    </w:p>
    <w:p w14:paraId="50221A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（9）法律法规及中国证监会规定的和《基金合同》约定的其他权利。</w:t>
      </w:r>
    </w:p>
    <w:p w14:paraId="475066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2、根据《基金法》、《运作办法》及其他有关规定，基金份额持有人的义务包括但不限于：</w:t>
      </w:r>
    </w:p>
    <w:p w14:paraId="7272B3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（1）认真阅读并遵守《基金合同》、招募说明书等信息披露文件；</w:t>
      </w:r>
    </w:p>
    <w:p w14:paraId="3561FE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（2）了解所投资基金产品，了解自身风险承受能力，自主判断基金的投资价值，自主做出投资决策，自行承担投资风险；</w:t>
      </w:r>
    </w:p>
    <w:p w14:paraId="0B7809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（3）关注基金信息披露，及时行使权利和履行义务；</w:t>
      </w:r>
    </w:p>
    <w:p w14:paraId="17176B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（4）交纳基金认购、申购款项及法律法规和《基金合同》所规定的费用；</w:t>
      </w:r>
    </w:p>
    <w:p w14:paraId="7880A53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（5）在其持有的基金份额范围内，承担基金亏损或者《基金合同》终止的有限责任；</w:t>
      </w:r>
    </w:p>
    <w:p w14:paraId="7A4FE5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（6）不从事任何有损基金及其他《基金合同》当事人合法权益的活动；</w:t>
      </w:r>
    </w:p>
    <w:p w14:paraId="6634D4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（7）执行生效的基金份额持有人大会的决议；</w:t>
      </w:r>
    </w:p>
    <w:p w14:paraId="13C7E6E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（8）返还在基金交易过程中因任何原因获得的不当得利；</w:t>
      </w:r>
    </w:p>
    <w:p w14:paraId="76F2B1B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（9）发起资金提供方持有认购的基金份额不少于3年；</w:t>
      </w:r>
    </w:p>
    <w:p w14:paraId="5798AC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（10）法律法规及中国证监会规定的和《基金合同》约定的其他义务。</w:t>
      </w:r>
    </w:p>
    <w:p w14:paraId="171897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二、基金份额持有人大会召集、议事及表决的程序和规则</w:t>
      </w:r>
    </w:p>
    <w:p w14:paraId="2572C9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基金份额持有人大会由基金份额持有人组成，基金份额持有人的合法授权代表有权代表基金份额持有人出席会议并表决。基金份额持有人持有的每一基金份额拥有平等的投票权。</w:t>
      </w:r>
    </w:p>
    <w:p w14:paraId="3FAD39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本基金份额持有人大会不设立日常机构。</w:t>
      </w:r>
    </w:p>
    <w:p w14:paraId="738FE0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w:t>
      </w:r>
      <w:proofErr w:type="gramStart"/>
      <w:r w:rsidRPr="00BD090D">
        <w:rPr>
          <w:rFonts w:ascii="宋体" w:eastAsia="宋体" w:hAnsi="宋体" w:hint="eastAsia"/>
          <w:szCs w:val="21"/>
        </w:rPr>
        <w:t>一</w:t>
      </w:r>
      <w:proofErr w:type="gramEnd"/>
      <w:r w:rsidRPr="00BD090D">
        <w:rPr>
          <w:rFonts w:ascii="宋体" w:eastAsia="宋体" w:hAnsi="宋体" w:hint="eastAsia"/>
          <w:szCs w:val="21"/>
        </w:rPr>
        <w:t>)召开事由</w:t>
      </w:r>
    </w:p>
    <w:p w14:paraId="7194B20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1、当出现或需要决定下列事由之一的，应当召开基金份额持有人大会，法律法规或中国证监会另有规定或基金合同另有约定的除外：</w:t>
      </w:r>
    </w:p>
    <w:p w14:paraId="707F01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（1）终止基金合同；</w:t>
      </w:r>
    </w:p>
    <w:p w14:paraId="5375CD8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（2）更换基金管理人；</w:t>
      </w:r>
    </w:p>
    <w:p w14:paraId="695B62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（3）更换基金托管人；</w:t>
      </w:r>
    </w:p>
    <w:p w14:paraId="71D43A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（4）转换基金运作方式；</w:t>
      </w:r>
    </w:p>
    <w:p w14:paraId="75CC0B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（5）调整基金管理人、基金托管人的报酬标准；</w:t>
      </w:r>
    </w:p>
    <w:p w14:paraId="2FE06F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（6）变更基金类别；</w:t>
      </w:r>
    </w:p>
    <w:p w14:paraId="502B25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（7）变更基金投资目标、范围或策略；</w:t>
      </w:r>
    </w:p>
    <w:p w14:paraId="22593D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（8）变更基金份额持有人大会程序；</w:t>
      </w:r>
    </w:p>
    <w:p w14:paraId="54A673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（9）基金管理人或基金托管人要求召开基金份额持有人大会；</w:t>
      </w:r>
    </w:p>
    <w:p w14:paraId="109C06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（10）单独或合计持有本基金总份额10%以上（含10%）基金份额的基金份额持有人（以基金管理人收到提议当日的基金份额计算，下同）就同一事项书面要求召开基金份额持有人大会；</w:t>
      </w:r>
    </w:p>
    <w:p w14:paraId="4CB5B8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（11）本基金与其他基金的合并；</w:t>
      </w:r>
    </w:p>
    <w:p w14:paraId="72826A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（12）对基金合同当事人权利和义务产生重大影响的其他事项；</w:t>
      </w:r>
    </w:p>
    <w:p w14:paraId="1038C3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（13）法律法规、《基金合同》或中国证监会规定的其他应当召开基金份额持有人大会的事项。</w:t>
      </w:r>
    </w:p>
    <w:p w14:paraId="6C9E42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2、在法律法规规定和《基金合同》约定的范围内且在对基金份额持有人利益无实质性不利影响的前提下，以下情况可由基金管理人和基金托管人协商后修改，不需召开基金份额持有人大会：</w:t>
      </w:r>
    </w:p>
    <w:p w14:paraId="0E7B3D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（1）法律法规要求增加的基金费用的收取；</w:t>
      </w:r>
    </w:p>
    <w:p w14:paraId="28F6B77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（2）调整本基金的申购费率、调低赎回费或变更收费方式、调整基金份额类别；</w:t>
      </w:r>
    </w:p>
    <w:p w14:paraId="1BE993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proofErr w:type="gramStart"/>
      <w:r w:rsidRPr="00BD090D">
        <w:rPr>
          <w:rFonts w:ascii="宋体" w:eastAsia="宋体" w:hAnsi="宋体" w:hint="eastAsia"/>
          <w:szCs w:val="21"/>
        </w:rPr>
        <w:t>因相应</w:t>
      </w:r>
      <w:proofErr w:type="gramEnd"/>
      <w:r w:rsidRPr="00BD090D">
        <w:rPr>
          <w:rFonts w:ascii="宋体" w:eastAsia="宋体" w:hAnsi="宋体" w:hint="eastAsia"/>
          <w:szCs w:val="21"/>
        </w:rPr>
        <w:t>的法律法规发生变动而应当对《基金合同》进行修改；</w:t>
      </w:r>
    </w:p>
    <w:p w14:paraId="6AC0B0C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（4）对《基金合同》的修改对基金份额持有人利益无实质性不利影响或修改不涉及《基金合同》当事人权利义务关系发生重大变化；</w:t>
      </w:r>
    </w:p>
    <w:p w14:paraId="7D4A339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（5）在对基金份额持有人利益无实质性不利影响的前提下，基金管理人、销售机构、登记机构调整有关基金认购、申购、赎回、转换、</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过户、转托管等业务的规则；</w:t>
      </w:r>
    </w:p>
    <w:p w14:paraId="22AAAA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（6）在对基金份额持有人利益无实质性不利影响的前提下推出新业务或服务；</w:t>
      </w:r>
    </w:p>
    <w:p w14:paraId="085938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（7）按照法律法规和《基金合同》规定不需召开基金份额持有人大会的其他情形。</w:t>
      </w:r>
    </w:p>
    <w:p w14:paraId="61CCAD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(二)会议召集人及召集方式</w:t>
      </w:r>
    </w:p>
    <w:p w14:paraId="042046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1、除法律法规规定或《基金合同》另有约定外，基金份额持有人大会由基金管理人召集。</w:t>
      </w:r>
    </w:p>
    <w:p w14:paraId="654132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2、基金管理人未按规定召集或不能召集时，由基金托管人召集。</w:t>
      </w:r>
    </w:p>
    <w:p w14:paraId="112FA7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份额持有人大会未设立日常机构的，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6C3871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份额持有人大会未设立日常机构的，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w:t>
      </w:r>
      <w:r w:rsidRPr="00BD090D">
        <w:rPr>
          <w:rFonts w:ascii="宋体" w:eastAsia="宋体" w:hAnsi="宋体" w:hint="eastAsia"/>
          <w:szCs w:val="21"/>
        </w:rPr>
        <w:lastRenderedPageBreak/>
        <w:t>应当配合。</w:t>
      </w:r>
    </w:p>
    <w:p w14:paraId="4C622D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D8B33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6、基金份额持有人会议的召集人负责选择确定开会时间、地点、方式和权益登记日。</w:t>
      </w:r>
    </w:p>
    <w:p w14:paraId="10335C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(三)召开基金份额持有人大会的通知时间、通知内容、通知方式</w:t>
      </w:r>
    </w:p>
    <w:p w14:paraId="1D7F23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1、召开基金份额持有人大会，召集人应于会议召开前30日，在规定媒介公告。基金份额持有人大会通知应至少载明以下内容：</w:t>
      </w:r>
    </w:p>
    <w:p w14:paraId="317027C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（1）会议召开的时间、地点和会议形式；</w:t>
      </w:r>
    </w:p>
    <w:p w14:paraId="36B2BB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（2）会议</w:t>
      </w:r>
      <w:proofErr w:type="gramStart"/>
      <w:r w:rsidRPr="00BD090D">
        <w:rPr>
          <w:rFonts w:ascii="宋体" w:eastAsia="宋体" w:hAnsi="宋体" w:hint="eastAsia"/>
          <w:szCs w:val="21"/>
        </w:rPr>
        <w:t>拟审议</w:t>
      </w:r>
      <w:proofErr w:type="gramEnd"/>
      <w:r w:rsidRPr="00BD090D">
        <w:rPr>
          <w:rFonts w:ascii="宋体" w:eastAsia="宋体" w:hAnsi="宋体" w:hint="eastAsia"/>
          <w:szCs w:val="21"/>
        </w:rPr>
        <w:t>的事项、议事程序和表决方式；</w:t>
      </w:r>
    </w:p>
    <w:p w14:paraId="01CC74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（3）有权出席基金份额持有人大会的基金份额持有人的权益登记日；</w:t>
      </w:r>
    </w:p>
    <w:p w14:paraId="1BAC850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（4）授权委托证明的内容要求（包括但不限于代理人身份，代理权限和代理有效期限等）、送达时间和地点；</w:t>
      </w:r>
    </w:p>
    <w:p w14:paraId="447814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（5）会务常设联系人姓名及联系电话；</w:t>
      </w:r>
    </w:p>
    <w:p w14:paraId="4DAD6F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（6）出席会议者必须准备的文件和必须履行的手续；</w:t>
      </w:r>
    </w:p>
    <w:p w14:paraId="11ABDC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（7）召集人需要通知的其他事项。</w:t>
      </w:r>
    </w:p>
    <w:p w14:paraId="0932ED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1DB91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BD090D">
        <w:rPr>
          <w:rFonts w:ascii="宋体" w:eastAsia="宋体" w:hAnsi="宋体" w:hint="eastAsia"/>
          <w:szCs w:val="21"/>
        </w:rPr>
        <w:t>拒不派</w:t>
      </w:r>
      <w:proofErr w:type="gramEnd"/>
      <w:r w:rsidRPr="00BD090D">
        <w:rPr>
          <w:rFonts w:ascii="宋体" w:eastAsia="宋体" w:hAnsi="宋体" w:hint="eastAsia"/>
          <w:szCs w:val="21"/>
        </w:rPr>
        <w:t>代表对表决意见的计票进行监督的，不影响表决意见的计票效力。</w:t>
      </w:r>
    </w:p>
    <w:p w14:paraId="5F78E5E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(四)基金份额持有人出席会议的方式</w:t>
      </w:r>
    </w:p>
    <w:p w14:paraId="3C1844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基金份额持有人大会可通过现场开会方式、通讯开会方式或法律法规、监管机关允许的其他方式召开，会议的召开方式由会议召集人确定。</w:t>
      </w:r>
    </w:p>
    <w:p w14:paraId="0A0EAF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1、现场开会。由基金份额持有人本人出席或以代理投票授权委托证明委派代表出席，</w:t>
      </w:r>
      <w:r w:rsidRPr="00BD090D">
        <w:rPr>
          <w:rFonts w:ascii="宋体" w:eastAsia="宋体" w:hAnsi="宋体" w:hint="eastAsia"/>
          <w:szCs w:val="21"/>
        </w:rPr>
        <w:lastRenderedPageBreak/>
        <w:t>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080219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E9484E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22BC5C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2、通讯开会。通讯开会系指基金份额持有人将其对表决事项的投票以书面形式</w:t>
      </w:r>
      <w:proofErr w:type="gramStart"/>
      <w:r w:rsidRPr="00BD090D">
        <w:rPr>
          <w:rFonts w:ascii="宋体" w:eastAsia="宋体" w:hAnsi="宋体" w:hint="eastAsia"/>
          <w:szCs w:val="21"/>
        </w:rPr>
        <w:t>或大会</w:t>
      </w:r>
      <w:proofErr w:type="gramEnd"/>
      <w:r w:rsidRPr="00BD090D">
        <w:rPr>
          <w:rFonts w:ascii="宋体" w:eastAsia="宋体" w:hAnsi="宋体" w:hint="eastAsia"/>
          <w:szCs w:val="21"/>
        </w:rPr>
        <w:t>公告载明的其他方式在表决截止日以前送达至召集人指定的地址。通讯开会应以书面方式</w:t>
      </w:r>
      <w:proofErr w:type="gramStart"/>
      <w:r w:rsidRPr="00BD090D">
        <w:rPr>
          <w:rFonts w:ascii="宋体" w:eastAsia="宋体" w:hAnsi="宋体" w:hint="eastAsia"/>
          <w:szCs w:val="21"/>
        </w:rPr>
        <w:t>或大会</w:t>
      </w:r>
      <w:proofErr w:type="gramEnd"/>
      <w:r w:rsidRPr="00BD090D">
        <w:rPr>
          <w:rFonts w:ascii="宋体" w:eastAsia="宋体" w:hAnsi="宋体" w:hint="eastAsia"/>
          <w:szCs w:val="21"/>
        </w:rPr>
        <w:t>公告载明的其他方式进行表决。</w:t>
      </w:r>
    </w:p>
    <w:p w14:paraId="2F32A3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在同时符合以下条件时，通讯开会的方式视为有效：</w:t>
      </w:r>
    </w:p>
    <w:p w14:paraId="44C3DA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（1）会议召集人按《基金合同》约定公布会议通知后，在2个工作日内连续公布相关提示性公告；</w:t>
      </w:r>
    </w:p>
    <w:p w14:paraId="28B09B9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1A4CDB8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118D7E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C3961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在法律法规和监管机关允许的情况下，本基金亦可采用网络、电话等其他非现场方式或者以非现场方式与现场方式结合的方式召开基金份额持有人大会，基金份额持有人可以采用书面、网络、电话、短信或其他方式进行表决，会议程序可比照现场开会和通讯方式开会的程序进行，具体方式由会议召集人确定并在会议通知中列明。</w:t>
      </w:r>
    </w:p>
    <w:p w14:paraId="405347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4、基金份额持有人授权他人代为出席会议并表决的，授权方式可以采用书面、网络、电话、短信或其他方式，具体方式由会议召集人确定并在会议通知中列明。</w:t>
      </w:r>
    </w:p>
    <w:p w14:paraId="55EA25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(五)议事内容与程序</w:t>
      </w:r>
    </w:p>
    <w:p w14:paraId="129C6F1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1、议事内容及提案权</w:t>
      </w:r>
    </w:p>
    <w:p w14:paraId="165E99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6339C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基金份额持有人大会的召集人发出召集会议的通知后，对原有提案的修改应当在基金份额持有人大会召开前及时公告。</w:t>
      </w:r>
    </w:p>
    <w:p w14:paraId="450E05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基金份额持有人大会不得对未事先公告的议事内容进行表决。</w:t>
      </w:r>
    </w:p>
    <w:p w14:paraId="45F398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2、议事程序</w:t>
      </w:r>
    </w:p>
    <w:p w14:paraId="2D21747A" w14:textId="1574B2A1" w:rsidR="00BD090D" w:rsidRPr="00BD090D" w:rsidRDefault="00BD090D" w:rsidP="0058096F">
      <w:pPr>
        <w:spacing w:line="360" w:lineRule="auto"/>
        <w:ind w:firstLine="420"/>
        <w:rPr>
          <w:rFonts w:ascii="宋体" w:eastAsia="宋体" w:hAnsi="宋体"/>
          <w:szCs w:val="21"/>
        </w:rPr>
      </w:pPr>
      <w:r w:rsidRPr="00BD090D">
        <w:rPr>
          <w:rFonts w:ascii="宋体" w:eastAsia="宋体" w:hAnsi="宋体" w:hint="eastAsia"/>
          <w:szCs w:val="21"/>
        </w:rPr>
        <w:t>（1）现场开会</w:t>
      </w:r>
    </w:p>
    <w:p w14:paraId="777E31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的决议的效力。</w:t>
      </w:r>
    </w:p>
    <w:p w14:paraId="3F3A28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会议召集人应当制作出席会议人员的签名册。签名</w:t>
      </w:r>
      <w:proofErr w:type="gramStart"/>
      <w:r w:rsidRPr="00BD090D">
        <w:rPr>
          <w:rFonts w:ascii="宋体" w:eastAsia="宋体" w:hAnsi="宋体" w:hint="eastAsia"/>
          <w:szCs w:val="21"/>
        </w:rPr>
        <w:t>册</w:t>
      </w:r>
      <w:proofErr w:type="gramEnd"/>
      <w:r w:rsidRPr="00BD090D">
        <w:rPr>
          <w:rFonts w:ascii="宋体" w:eastAsia="宋体" w:hAnsi="宋体" w:hint="eastAsia"/>
          <w:szCs w:val="21"/>
        </w:rPr>
        <w:t>载明参加会议人员姓名（或单位名称）、身份证明文件号码、持有或代表有表决权的基金份额、委托人姓名（或单位名称）和联系方式等事项。</w:t>
      </w:r>
    </w:p>
    <w:p w14:paraId="352C546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（2）通讯开会</w:t>
      </w:r>
    </w:p>
    <w:p w14:paraId="00AFBA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在通讯开会的情况下，首先由召集人提前30日公布提案，在所通知的表决截止日期后2个工作日内在公证机关监督下由召集人统计全部有效表决，在公证机关监督下形成决议。</w:t>
      </w:r>
    </w:p>
    <w:p w14:paraId="708375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(六)表决</w:t>
      </w:r>
    </w:p>
    <w:p w14:paraId="7E4CF0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基金份额持有人所持每份基金份额有一票表决权。</w:t>
      </w:r>
    </w:p>
    <w:p w14:paraId="68A32A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基金份额持有人大会决议分为一般决议和特别决议：</w:t>
      </w:r>
    </w:p>
    <w:p w14:paraId="569D692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FD7296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C5C05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基金份额持有人大会采取记名方式进行投票表决。</w:t>
      </w:r>
    </w:p>
    <w:p w14:paraId="613A72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1A54F8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基金份额持有人大会的各项提案或同一项提案内并列的各项议题应当分开审议、逐项表决。</w:t>
      </w:r>
    </w:p>
    <w:p w14:paraId="48D5CD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(七)计票</w:t>
      </w:r>
    </w:p>
    <w:p w14:paraId="4D303BD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1、现场开会</w:t>
      </w:r>
    </w:p>
    <w:p w14:paraId="4E7458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BD090D">
        <w:rPr>
          <w:rFonts w:ascii="宋体" w:eastAsia="宋体" w:hAnsi="宋体" w:hint="eastAsia"/>
          <w:szCs w:val="21"/>
        </w:rPr>
        <w:t>或大会</w:t>
      </w:r>
      <w:proofErr w:type="gramEnd"/>
      <w:r w:rsidRPr="00BD090D">
        <w:rPr>
          <w:rFonts w:ascii="宋体" w:eastAsia="宋体" w:hAnsi="宋体" w:hint="eastAsia"/>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0849A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（2）监票人应当在基金份额持有人表决后立即进行清点并由大会主持人当场公布计票结果。</w:t>
      </w:r>
    </w:p>
    <w:p w14:paraId="5A2D93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（3）如果会议主持人或基金份额持有人或代理人对于提交的表决结果有怀疑，可以在宣布表决结果后立即对所投票</w:t>
      </w:r>
      <w:proofErr w:type="gramStart"/>
      <w:r w:rsidRPr="00BD090D">
        <w:rPr>
          <w:rFonts w:ascii="宋体" w:eastAsia="宋体" w:hAnsi="宋体" w:hint="eastAsia"/>
          <w:szCs w:val="21"/>
        </w:rPr>
        <w:t>数要求</w:t>
      </w:r>
      <w:proofErr w:type="gramEnd"/>
      <w:r w:rsidRPr="00BD090D">
        <w:rPr>
          <w:rFonts w:ascii="宋体" w:eastAsia="宋体" w:hAnsi="宋体" w:hint="eastAsia"/>
          <w:szCs w:val="21"/>
        </w:rPr>
        <w:t>进行重新清点。监票人应当进行重新清点，重新清点以一次为限。重新清点后，大会主持人应当当场公布重新清点结果。</w:t>
      </w:r>
    </w:p>
    <w:p w14:paraId="217784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（4）计票过程应由公证机关予以公证，基金管理人或基金托管人拒不出席大会的，不影响计票的效力。</w:t>
      </w:r>
    </w:p>
    <w:p w14:paraId="0111B3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2、通讯开会</w:t>
      </w:r>
    </w:p>
    <w:p w14:paraId="1F157D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BD090D">
        <w:rPr>
          <w:rFonts w:ascii="宋体" w:eastAsia="宋体" w:hAnsi="宋体" w:hint="eastAsia"/>
          <w:szCs w:val="21"/>
        </w:rPr>
        <w:t>人拒派</w:t>
      </w:r>
      <w:proofErr w:type="gramEnd"/>
      <w:r w:rsidRPr="00BD090D">
        <w:rPr>
          <w:rFonts w:ascii="宋体" w:eastAsia="宋体" w:hAnsi="宋体" w:hint="eastAsia"/>
          <w:szCs w:val="21"/>
        </w:rPr>
        <w:t>代表对表决意见的计票进行监督的，不影响计票和表决结果。</w:t>
      </w:r>
    </w:p>
    <w:p w14:paraId="16696D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(八)生效与公告</w:t>
      </w:r>
    </w:p>
    <w:p w14:paraId="6596C5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基金份额持有人大会的决议，召集人应当自通过之日起5日内报中国证监会备案。</w:t>
      </w:r>
    </w:p>
    <w:p w14:paraId="642FF0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基金份额持有人大会的决议自表决通过之日起生效。</w:t>
      </w:r>
    </w:p>
    <w:p w14:paraId="1E32F3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基金份额持有人大会决议自生效之日起2日内在规定媒介上公告。如果采用通讯方式进行表决，在公告基金份额持有人大会决议时，必须将公证书全文、公证机构、公证员姓名等一同公告。</w:t>
      </w:r>
    </w:p>
    <w:p w14:paraId="23A9C1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基金管理人、基金托管人和基金份额持有人应当执行生效的基金份额持有人大会的决议。生效的基金份额持有人大会决议对全体基金份额持有人、基金管理人、基金托管人均有约束力。</w:t>
      </w:r>
    </w:p>
    <w:p w14:paraId="427F84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期间基金份额持有人大会的特殊约定</w:t>
      </w:r>
    </w:p>
    <w:p w14:paraId="311DDD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若本基金</w:t>
      </w:r>
      <w:proofErr w:type="gramStart"/>
      <w:r w:rsidRPr="00BD090D">
        <w:rPr>
          <w:rFonts w:ascii="宋体" w:eastAsia="宋体" w:hAnsi="宋体" w:hint="eastAsia"/>
          <w:szCs w:val="21"/>
        </w:rPr>
        <w:t>实施侧袋机制</w:t>
      </w:r>
      <w:proofErr w:type="gramEnd"/>
      <w:r w:rsidRPr="00BD090D">
        <w:rPr>
          <w:rFonts w:ascii="宋体" w:eastAsia="宋体" w:hAnsi="宋体" w:hint="eastAsia"/>
          <w:szCs w:val="21"/>
        </w:rPr>
        <w:t>，</w:t>
      </w:r>
      <w:proofErr w:type="gramStart"/>
      <w:r w:rsidRPr="00BD090D">
        <w:rPr>
          <w:rFonts w:ascii="宋体" w:eastAsia="宋体" w:hAnsi="宋体" w:hint="eastAsia"/>
          <w:szCs w:val="21"/>
        </w:rPr>
        <w:t>则相关</w:t>
      </w:r>
      <w:proofErr w:type="gramEnd"/>
      <w:r w:rsidRPr="00BD090D">
        <w:rPr>
          <w:rFonts w:ascii="宋体" w:eastAsia="宋体" w:hAnsi="宋体" w:hint="eastAsia"/>
          <w:szCs w:val="21"/>
        </w:rPr>
        <w:t>基金份额或表决权的比例</w:t>
      </w:r>
      <w:proofErr w:type="gramStart"/>
      <w:r w:rsidRPr="00BD090D">
        <w:rPr>
          <w:rFonts w:ascii="宋体" w:eastAsia="宋体" w:hAnsi="宋体" w:hint="eastAsia"/>
          <w:szCs w:val="21"/>
        </w:rPr>
        <w:t>指主袋份额</w:t>
      </w:r>
      <w:proofErr w:type="gramEnd"/>
      <w:r w:rsidRPr="00BD090D">
        <w:rPr>
          <w:rFonts w:ascii="宋体" w:eastAsia="宋体" w:hAnsi="宋体" w:hint="eastAsia"/>
          <w:szCs w:val="21"/>
        </w:rPr>
        <w:t>持有</w:t>
      </w:r>
      <w:proofErr w:type="gramStart"/>
      <w:r w:rsidRPr="00BD090D">
        <w:rPr>
          <w:rFonts w:ascii="宋体" w:eastAsia="宋体" w:hAnsi="宋体" w:hint="eastAsia"/>
          <w:szCs w:val="21"/>
        </w:rPr>
        <w:t>人和侧袋份额</w:t>
      </w:r>
      <w:proofErr w:type="gramEnd"/>
      <w:r w:rsidRPr="00BD090D">
        <w:rPr>
          <w:rFonts w:ascii="宋体" w:eastAsia="宋体" w:hAnsi="宋体" w:hint="eastAsia"/>
          <w:szCs w:val="21"/>
        </w:rPr>
        <w:t>持有人分别持有或代表的基金份额或表决权符合该等比例，但</w:t>
      </w:r>
      <w:proofErr w:type="gramStart"/>
      <w:r w:rsidRPr="00BD090D">
        <w:rPr>
          <w:rFonts w:ascii="宋体" w:eastAsia="宋体" w:hAnsi="宋体" w:hint="eastAsia"/>
          <w:szCs w:val="21"/>
        </w:rPr>
        <w:t>若相关</w:t>
      </w:r>
      <w:proofErr w:type="gramEnd"/>
      <w:r w:rsidRPr="00BD090D">
        <w:rPr>
          <w:rFonts w:ascii="宋体" w:eastAsia="宋体" w:hAnsi="宋体" w:hint="eastAsia"/>
          <w:szCs w:val="21"/>
        </w:rPr>
        <w:t>基金份额持有人大会召集和审议事项不</w:t>
      </w:r>
      <w:proofErr w:type="gramStart"/>
      <w:r w:rsidRPr="00BD090D">
        <w:rPr>
          <w:rFonts w:ascii="宋体" w:eastAsia="宋体" w:hAnsi="宋体" w:hint="eastAsia"/>
          <w:szCs w:val="21"/>
        </w:rPr>
        <w:t>涉及侧袋账户</w:t>
      </w:r>
      <w:proofErr w:type="gramEnd"/>
      <w:r w:rsidRPr="00BD090D">
        <w:rPr>
          <w:rFonts w:ascii="宋体" w:eastAsia="宋体" w:hAnsi="宋体" w:hint="eastAsia"/>
          <w:szCs w:val="21"/>
        </w:rPr>
        <w:t>的，则仅</w:t>
      </w:r>
      <w:proofErr w:type="gramStart"/>
      <w:r w:rsidRPr="00BD090D">
        <w:rPr>
          <w:rFonts w:ascii="宋体" w:eastAsia="宋体" w:hAnsi="宋体" w:hint="eastAsia"/>
          <w:szCs w:val="21"/>
        </w:rPr>
        <w:t>指主袋份额</w:t>
      </w:r>
      <w:proofErr w:type="gramEnd"/>
      <w:r w:rsidRPr="00BD090D">
        <w:rPr>
          <w:rFonts w:ascii="宋体" w:eastAsia="宋体" w:hAnsi="宋体" w:hint="eastAsia"/>
          <w:szCs w:val="21"/>
        </w:rPr>
        <w:t>持有人持有或代表的基金份额或表决权符合该等比例：</w:t>
      </w:r>
    </w:p>
    <w:p w14:paraId="61BC51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1、基金份额持有人行使提议权、召集权、提名权所需单独或合计代表相关基金份额10%以上（含10%）；</w:t>
      </w:r>
    </w:p>
    <w:p w14:paraId="109963F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2、现场开会的到会者在权益登记日代表的基金份额不少于本基金在权益登记</w:t>
      </w:r>
      <w:proofErr w:type="gramStart"/>
      <w:r w:rsidRPr="00BD090D">
        <w:rPr>
          <w:rFonts w:ascii="宋体" w:eastAsia="宋体" w:hAnsi="宋体" w:hint="eastAsia"/>
          <w:szCs w:val="21"/>
        </w:rPr>
        <w:t>日相关</w:t>
      </w:r>
      <w:proofErr w:type="gramEnd"/>
      <w:r w:rsidRPr="00BD090D">
        <w:rPr>
          <w:rFonts w:ascii="宋体" w:eastAsia="宋体" w:hAnsi="宋体" w:hint="eastAsia"/>
          <w:szCs w:val="21"/>
        </w:rPr>
        <w:t>基金份额的二分之一（含二分之一）；</w:t>
      </w:r>
    </w:p>
    <w:p w14:paraId="679C77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3、通讯开会的直接出具书面意见或授权他人代表出具书面意见的基金份额持有人所持有的基金份额不小于在权益登记</w:t>
      </w:r>
      <w:proofErr w:type="gramStart"/>
      <w:r w:rsidRPr="00BD090D">
        <w:rPr>
          <w:rFonts w:ascii="宋体" w:eastAsia="宋体" w:hAnsi="宋体" w:hint="eastAsia"/>
          <w:szCs w:val="21"/>
        </w:rPr>
        <w:t>日相关</w:t>
      </w:r>
      <w:proofErr w:type="gramEnd"/>
      <w:r w:rsidRPr="00BD090D">
        <w:rPr>
          <w:rFonts w:ascii="宋体" w:eastAsia="宋体" w:hAnsi="宋体" w:hint="eastAsia"/>
          <w:szCs w:val="21"/>
        </w:rPr>
        <w:t>基金份额的二分之一（含二分之一）；</w:t>
      </w:r>
    </w:p>
    <w:p w14:paraId="78AA36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4、在参与基金份额持有人大会投票的基金份额持有人所持有的基金份额小于在权益登记</w:t>
      </w:r>
      <w:proofErr w:type="gramStart"/>
      <w:r w:rsidRPr="00BD090D">
        <w:rPr>
          <w:rFonts w:ascii="宋体" w:eastAsia="宋体" w:hAnsi="宋体" w:hint="eastAsia"/>
          <w:szCs w:val="21"/>
        </w:rPr>
        <w:t>日相关</w:t>
      </w:r>
      <w:proofErr w:type="gramEnd"/>
      <w:r w:rsidRPr="00BD090D">
        <w:rPr>
          <w:rFonts w:ascii="宋体" w:eastAsia="宋体" w:hAnsi="宋体" w:hint="eastAsia"/>
          <w:szCs w:val="21"/>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50ABEF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5、现场开会由出席大会的基金份额持有人和代理人所持表决权的50%以上（含50%）选举产生一名基金份额持有人作为该次基金份额持有人大会的主持人；</w:t>
      </w:r>
    </w:p>
    <w:p w14:paraId="784D47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6、一般决议须经参加大会的基金份额持有人或其代理人所持表决权的二分之一以上（含二分之一）通过；</w:t>
      </w:r>
    </w:p>
    <w:p w14:paraId="47B7FD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7、特别决议应当经参加大会的基金份额持有人或其代理人所持表决权的三分之二以上（含三分之二）通过。</w:t>
      </w:r>
    </w:p>
    <w:p w14:paraId="7882FB04"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实施期间，基金份额持有人大会审议事项</w:t>
      </w:r>
      <w:proofErr w:type="gramStart"/>
      <w:r w:rsidRPr="00BD090D">
        <w:rPr>
          <w:rFonts w:ascii="宋体" w:eastAsia="宋体" w:hAnsi="宋体" w:hint="eastAsia"/>
          <w:szCs w:val="21"/>
        </w:rPr>
        <w:t>涉及主袋账户</w:t>
      </w:r>
      <w:proofErr w:type="gramEnd"/>
      <w:r w:rsidRPr="00BD090D">
        <w:rPr>
          <w:rFonts w:ascii="宋体" w:eastAsia="宋体" w:hAnsi="宋体" w:hint="eastAsia"/>
          <w:szCs w:val="21"/>
        </w:rPr>
        <w:t>和</w:t>
      </w:r>
      <w:proofErr w:type="gramStart"/>
      <w:r w:rsidRPr="00BD090D">
        <w:rPr>
          <w:rFonts w:ascii="宋体" w:eastAsia="宋体" w:hAnsi="宋体" w:hint="eastAsia"/>
          <w:szCs w:val="21"/>
        </w:rPr>
        <w:t>侧袋</w:t>
      </w:r>
      <w:proofErr w:type="gramEnd"/>
      <w:r w:rsidRPr="00BD090D">
        <w:rPr>
          <w:rFonts w:ascii="宋体" w:eastAsia="宋体" w:hAnsi="宋体" w:hint="eastAsia"/>
          <w:szCs w:val="21"/>
        </w:rPr>
        <w:t>账户的，应分别</w:t>
      </w:r>
      <w:proofErr w:type="gramStart"/>
      <w:r w:rsidRPr="00BD090D">
        <w:rPr>
          <w:rFonts w:ascii="宋体" w:eastAsia="宋体" w:hAnsi="宋体" w:hint="eastAsia"/>
          <w:szCs w:val="21"/>
        </w:rPr>
        <w:t>由主袋账户</w:t>
      </w:r>
      <w:proofErr w:type="gramEnd"/>
      <w:r w:rsidRPr="00BD090D">
        <w:rPr>
          <w:rFonts w:ascii="宋体" w:eastAsia="宋体" w:hAnsi="宋体" w:hint="eastAsia"/>
          <w:szCs w:val="21"/>
        </w:rPr>
        <w:t>、</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的基金份额持有人进行表决，同</w:t>
      </w:r>
      <w:proofErr w:type="gramStart"/>
      <w:r w:rsidRPr="00BD090D">
        <w:rPr>
          <w:rFonts w:ascii="宋体" w:eastAsia="宋体" w:hAnsi="宋体" w:hint="eastAsia"/>
          <w:szCs w:val="21"/>
        </w:rPr>
        <w:t>一主侧袋账户</w:t>
      </w:r>
      <w:proofErr w:type="gramEnd"/>
      <w:r w:rsidRPr="00BD090D">
        <w:rPr>
          <w:rFonts w:ascii="宋体" w:eastAsia="宋体" w:hAnsi="宋体" w:hint="eastAsia"/>
          <w:szCs w:val="21"/>
        </w:rPr>
        <w:t>内的每份基金份额具有平等的表决权。表决事项未</w:t>
      </w:r>
      <w:proofErr w:type="gramStart"/>
      <w:r w:rsidRPr="00BD090D">
        <w:rPr>
          <w:rFonts w:ascii="宋体" w:eastAsia="宋体" w:hAnsi="宋体" w:hint="eastAsia"/>
          <w:szCs w:val="21"/>
        </w:rPr>
        <w:t>涉及侧袋账户</w:t>
      </w:r>
      <w:proofErr w:type="gramEnd"/>
      <w:r w:rsidRPr="00BD090D">
        <w:rPr>
          <w:rFonts w:ascii="宋体" w:eastAsia="宋体" w:hAnsi="宋体" w:hint="eastAsia"/>
          <w:szCs w:val="21"/>
        </w:rPr>
        <w:t>的，</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份额无表决权。</w:t>
      </w:r>
    </w:p>
    <w:p w14:paraId="53E4CB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(十)本部</w:t>
      </w:r>
      <w:proofErr w:type="gramStart"/>
      <w:r w:rsidRPr="00BD090D">
        <w:rPr>
          <w:rFonts w:ascii="宋体" w:eastAsia="宋体" w:hAnsi="宋体" w:hint="eastAsia"/>
          <w:szCs w:val="21"/>
        </w:rPr>
        <w:t>分关于</w:t>
      </w:r>
      <w:proofErr w:type="gramEnd"/>
      <w:r w:rsidRPr="00BD090D">
        <w:rPr>
          <w:rFonts w:ascii="宋体" w:eastAsia="宋体" w:hAnsi="宋体" w:hint="eastAsia"/>
          <w:szCs w:val="21"/>
        </w:rPr>
        <w:t xml:space="preserve">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 </w:t>
      </w:r>
    </w:p>
    <w:p w14:paraId="0B5742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三、基金合同解除和终止的事由、程序以及基金财产清算方式</w:t>
      </w:r>
    </w:p>
    <w:p w14:paraId="2D985A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（一）《基金合同》的变更</w:t>
      </w:r>
    </w:p>
    <w:p w14:paraId="48DC31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1、变更基金合同涉及法律法规规定或本基金合同约定应经基金份额持有人大会决议通过的事项的，应召</w:t>
      </w:r>
      <w:proofErr w:type="gramStart"/>
      <w:r w:rsidRPr="00BD090D">
        <w:rPr>
          <w:rFonts w:ascii="宋体" w:eastAsia="宋体" w:hAnsi="宋体" w:hint="eastAsia"/>
          <w:szCs w:val="21"/>
        </w:rPr>
        <w:t>开基金</w:t>
      </w:r>
      <w:proofErr w:type="gramEnd"/>
      <w:r w:rsidRPr="00BD090D">
        <w:rPr>
          <w:rFonts w:ascii="宋体" w:eastAsia="宋体" w:hAnsi="宋体" w:hint="eastAsia"/>
          <w:szCs w:val="21"/>
        </w:rPr>
        <w:t>份额持有人大会决议通过。对于法律法规规定和基金合同约定可不经基金份额持有人大会决议通过的事项，由基金管理人和基金托管人同意后变更并公告，并报中国证监会备案。</w:t>
      </w:r>
    </w:p>
    <w:p w14:paraId="426DCA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2、关于《基金合同》变更的基金份额持有人大会决议自生效后方可执行，并</w:t>
      </w:r>
      <w:proofErr w:type="gramStart"/>
      <w:r w:rsidRPr="00BD090D">
        <w:rPr>
          <w:rFonts w:ascii="宋体" w:eastAsia="宋体" w:hAnsi="宋体" w:hint="eastAsia"/>
          <w:szCs w:val="21"/>
        </w:rPr>
        <w:t>自决议</w:t>
      </w:r>
      <w:proofErr w:type="gramEnd"/>
      <w:r w:rsidRPr="00BD090D">
        <w:rPr>
          <w:rFonts w:ascii="宋体" w:eastAsia="宋体" w:hAnsi="宋体" w:hint="eastAsia"/>
          <w:szCs w:val="21"/>
        </w:rPr>
        <w:t>生效后两日内在规定媒介公告。</w:t>
      </w:r>
    </w:p>
    <w:p w14:paraId="08F1ED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（二）《基金合同》的终止事由</w:t>
      </w:r>
    </w:p>
    <w:p w14:paraId="441DEB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有下列情形之一的，经履行相关程序后，《基金合同》应当终止：</w:t>
      </w:r>
    </w:p>
    <w:p w14:paraId="4AEE9F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1、基金份额持有人大会决定终止的；</w:t>
      </w:r>
    </w:p>
    <w:p w14:paraId="3F757A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2、基金管理人、基金托管人职责终止，在6个月内没有新基金管理人、新基金托管人承接的；</w:t>
      </w:r>
    </w:p>
    <w:p w14:paraId="18F6CE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3、《基金合同》约定的其他情形；</w:t>
      </w:r>
    </w:p>
    <w:p w14:paraId="4F6DD3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4、相关法律法规和中国证监会规定的其他情况。</w:t>
      </w:r>
    </w:p>
    <w:p w14:paraId="43675B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（三）基金财产的清算</w:t>
      </w:r>
    </w:p>
    <w:p w14:paraId="6F37A0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1、基金财产清算小组：自出现《基金合同》终止事由之日起30个工作日内成立清算小组，基金管理人或临时基金管理人组织基金财产清算小组并在中国证监会的监督下进行基金清算。</w:t>
      </w:r>
    </w:p>
    <w:p w14:paraId="4423A0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财产清算小组组成：基金财产清算小组成员由基金管理人或临时基金管理人、基金托管人、具有从事证券相关业务资格的注册会计师、律师以及中国证监会指定的人员组成。基金财产清算小组可以聘用必要的工作人员。</w:t>
      </w:r>
    </w:p>
    <w:p w14:paraId="25C56A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3、基金财产清算小组职责：基金财产清算小组负责基金财产的保管、清理、估价、变现和分配。基金财产清算小组可以依法进行必要的民事活动。</w:t>
      </w:r>
    </w:p>
    <w:p w14:paraId="2194275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4、基金财产清算程序：</w:t>
      </w:r>
    </w:p>
    <w:p w14:paraId="4BB50E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（1）《基金合同》终止情形出现时，由基金财产清算小组统一接管基金；</w:t>
      </w:r>
    </w:p>
    <w:p w14:paraId="7BF3F7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（2）对基金财产和债权债务进行清理和确认；</w:t>
      </w:r>
    </w:p>
    <w:p w14:paraId="595C401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（3）对基金财产进行估值和变现；</w:t>
      </w:r>
    </w:p>
    <w:p w14:paraId="4313BE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（4）制作清算报告；</w:t>
      </w:r>
    </w:p>
    <w:p w14:paraId="678D54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（5）聘请会计师事务所对清算报告进行外部审计，聘请律师事务所对清算报告出具法律意见书；</w:t>
      </w:r>
    </w:p>
    <w:p w14:paraId="33EC28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（6）将清算报告报中国证监会备案并公告；</w:t>
      </w:r>
    </w:p>
    <w:p w14:paraId="05CFD1A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（7）对基金剩余财产进行分配。</w:t>
      </w:r>
    </w:p>
    <w:p w14:paraId="10AA96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5、基金财产清算的期限为6个月，但因本基金所持证券的流动性受到限制而不能及时变现的，清算期限可相应顺延。</w:t>
      </w:r>
    </w:p>
    <w:p w14:paraId="7B6E24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（四）清算费用</w:t>
      </w:r>
    </w:p>
    <w:p w14:paraId="4B69C1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清算费用是指基金财产清算小组在进行基金清算过程中发生的所有合理费用，清算费用由基金财产清算小组优先从基金财产中支付。</w:t>
      </w:r>
    </w:p>
    <w:p w14:paraId="3332BB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（五）基金财产清算剩余资产的分配</w:t>
      </w:r>
    </w:p>
    <w:p w14:paraId="3C53CF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依据基金财产清算的分配方案，将基金财产清算后的全部剩余资产扣除基金财产清算费用、交纳所欠税款并清偿基金债务后，按基金份额持有人持有的基金份额比例进行分配。</w:t>
      </w:r>
    </w:p>
    <w:p w14:paraId="763BD4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（六）基金财产清算的公告</w:t>
      </w:r>
    </w:p>
    <w:p w14:paraId="704E99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清算过程中的有关重大事项须及时公告；基金财产清算报告</w:t>
      </w:r>
      <w:proofErr w:type="gramStart"/>
      <w:r w:rsidRPr="00BD090D">
        <w:rPr>
          <w:rFonts w:ascii="宋体" w:eastAsia="宋体" w:hAnsi="宋体" w:hint="eastAsia"/>
          <w:szCs w:val="21"/>
        </w:rPr>
        <w:t>经符合</w:t>
      </w:r>
      <w:proofErr w:type="gramEnd"/>
      <w:r w:rsidRPr="00BD090D">
        <w:rPr>
          <w:rFonts w:ascii="宋体" w:eastAsia="宋体" w:hAnsi="宋体" w:hint="eastAsia"/>
          <w:szCs w:val="21"/>
        </w:rPr>
        <w:t>《中华人民共和国证券法》规定的会计师事务所审计并由律师事务所出具法律意见书后报中国证监会备案并公告。</w:t>
      </w:r>
      <w:r w:rsidRPr="00BD090D">
        <w:rPr>
          <w:rFonts w:ascii="宋体" w:eastAsia="宋体" w:hAnsi="宋体" w:hint="eastAsia"/>
          <w:szCs w:val="21"/>
        </w:rPr>
        <w:lastRenderedPageBreak/>
        <w:t>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126B3E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（七）基金财产清算账册及文件的保存</w:t>
      </w:r>
    </w:p>
    <w:p w14:paraId="374C39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基金财产清算账册及有关文件由基金托管人保存不低于法律法规规定的最低期限。</w:t>
      </w:r>
    </w:p>
    <w:p w14:paraId="0236D6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四、争议解决方式</w:t>
      </w:r>
    </w:p>
    <w:p w14:paraId="0CDD95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各方当事人同意，因基金合同而产生的或与基金合同有关的一切争议，如经友好协商未能解决的，均应提交中国国际经济贸易仲裁委员会，按照申请仲裁时该会届时有效的仲裁规则进行仲裁，仲裁地点为北京市。仲裁裁决是终局的，并对各方当事人具有约束力。仲裁费、律师费用由败诉方承担，除非仲裁裁决另有决定。</w:t>
      </w:r>
    </w:p>
    <w:p w14:paraId="2BCCB2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争议处理期间，基金合同当事人应恪守各自的职责，继续忠实、勤勉、尽责地履行基金合同规定的义务，维护基金份额持有人的合法权益。</w:t>
      </w:r>
    </w:p>
    <w:p w14:paraId="66F866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基金合同受中国法律管辖。</w:t>
      </w:r>
    </w:p>
    <w:p w14:paraId="626E2F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五、基金合同存放地和投资人取得基金合同的方式</w:t>
      </w:r>
    </w:p>
    <w:p w14:paraId="381BA94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《基金合同》可印制成册，供投资人在基金管理人、基金托管人、销售机构的办公场所和营业场所查阅。 </w:t>
      </w:r>
    </w:p>
    <w:p w14:paraId="183AB063" w14:textId="77777777" w:rsidR="00A8367A"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E8D8F66" w14:textId="77777777" w:rsidR="00A8367A" w:rsidRDefault="00A8367A">
      <w:pPr>
        <w:widowControl/>
        <w:jc w:val="left"/>
        <w:rPr>
          <w:rFonts w:ascii="宋体" w:eastAsia="宋体" w:hAnsi="宋体"/>
          <w:szCs w:val="21"/>
        </w:rPr>
      </w:pPr>
      <w:r>
        <w:rPr>
          <w:rFonts w:ascii="宋体" w:eastAsia="宋体" w:hAnsi="宋体"/>
          <w:szCs w:val="21"/>
        </w:rPr>
        <w:br w:type="page"/>
      </w:r>
    </w:p>
    <w:p w14:paraId="37C2EFD5"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31" w:name="_Toc121901729"/>
      <w:r w:rsidRPr="00BD090D">
        <w:rPr>
          <w:rFonts w:ascii="Arial Unicode MS" w:eastAsia="宋体" w:hAnsi="Arial Unicode MS" w:cs="Arial" w:hint="eastAsia"/>
          <w:kern w:val="0"/>
          <w:sz w:val="28"/>
          <w:szCs w:val="28"/>
        </w:rPr>
        <w:lastRenderedPageBreak/>
        <w:t>第二十一部分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基金托管协议的内容摘要</w:t>
      </w:r>
      <w:bookmarkEnd w:id="31"/>
    </w:p>
    <w:p w14:paraId="4C77858F" w14:textId="77777777" w:rsidR="00BD090D" w:rsidRPr="00BD090D" w:rsidRDefault="00BD090D" w:rsidP="00BD090D">
      <w:pPr>
        <w:spacing w:line="360" w:lineRule="auto"/>
        <w:ind w:firstLineChars="200" w:firstLine="420"/>
        <w:rPr>
          <w:rFonts w:ascii="宋体" w:eastAsia="宋体" w:hAnsi="宋体"/>
          <w:szCs w:val="21"/>
        </w:rPr>
      </w:pPr>
    </w:p>
    <w:p w14:paraId="204BAE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一、托管协议当事人</w:t>
      </w:r>
    </w:p>
    <w:p w14:paraId="12676A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（一）基金管理人</w:t>
      </w:r>
    </w:p>
    <w:p w14:paraId="245CF23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名称：富荣基金管理有限公司</w:t>
      </w:r>
    </w:p>
    <w:p w14:paraId="1CC4A1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注册地址：广州市南沙区海滨路171号南沙金融大厦11楼1101之一J20室</w:t>
      </w:r>
    </w:p>
    <w:p w14:paraId="3E75ED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24层</w:t>
      </w:r>
    </w:p>
    <w:p w14:paraId="4D177F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邮政编码：518038</w:t>
      </w:r>
    </w:p>
    <w:p w14:paraId="1979C0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法定代表人：杨小舟</w:t>
      </w:r>
    </w:p>
    <w:p w14:paraId="6ECD3B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成立日期：2016年1月25日</w:t>
      </w:r>
    </w:p>
    <w:p w14:paraId="528305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批准设立机关及批准设立文号：中国证监会、证监许可[2015]3118号</w:t>
      </w:r>
    </w:p>
    <w:p w14:paraId="077C4F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组织形式：有限责任公司</w:t>
      </w:r>
    </w:p>
    <w:p w14:paraId="46FD035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注册资本： 2亿元人民币</w:t>
      </w:r>
    </w:p>
    <w:p w14:paraId="737509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存续期间：永续经营</w:t>
      </w:r>
    </w:p>
    <w:p w14:paraId="6BEDD9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经营范围：基金募集、基金销售、资产管理、特定客户资产管理和中国证监会许可的其他业务</w:t>
      </w:r>
    </w:p>
    <w:p w14:paraId="1EBE729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（二）基金托管人</w:t>
      </w:r>
    </w:p>
    <w:p w14:paraId="0B3F22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名称：中国民生银行股份有限公司</w:t>
      </w:r>
    </w:p>
    <w:p w14:paraId="102467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注册地址：北京市西城区复兴门内大街2号</w:t>
      </w:r>
    </w:p>
    <w:p w14:paraId="5F9A04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办公地址：北京市西城区复兴门内大街2号</w:t>
      </w:r>
    </w:p>
    <w:p w14:paraId="329C2A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邮政编码：100031</w:t>
      </w:r>
    </w:p>
    <w:p w14:paraId="2C29378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法定代表人：洪崎</w:t>
      </w:r>
    </w:p>
    <w:p w14:paraId="4444CC5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成立日期：1996年2月7日</w:t>
      </w:r>
    </w:p>
    <w:p w14:paraId="1E5F7D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基金托管业务批准文号：证</w:t>
      </w:r>
      <w:proofErr w:type="gramStart"/>
      <w:r w:rsidRPr="00BD090D">
        <w:rPr>
          <w:rFonts w:ascii="宋体" w:eastAsia="宋体" w:hAnsi="宋体" w:hint="eastAsia"/>
          <w:szCs w:val="21"/>
        </w:rPr>
        <w:t>监基金字</w:t>
      </w:r>
      <w:proofErr w:type="gramEnd"/>
      <w:r w:rsidRPr="00BD090D">
        <w:rPr>
          <w:rFonts w:ascii="宋体" w:eastAsia="宋体" w:hAnsi="宋体" w:hint="eastAsia"/>
          <w:szCs w:val="21"/>
        </w:rPr>
        <w:t>[2004]101号</w:t>
      </w:r>
    </w:p>
    <w:p w14:paraId="505F2A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组织形式：其他股份有限公司（上市）</w:t>
      </w:r>
    </w:p>
    <w:p w14:paraId="6DE808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注册资本：28,365,585,227元人民币</w:t>
      </w:r>
    </w:p>
    <w:p w14:paraId="79AD09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存续期间：持续经营</w:t>
      </w:r>
    </w:p>
    <w:p w14:paraId="7E47EF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经营范围：吸收公众存款；发放短期、中期和长期贷款；办理国内外结算；办理票据承兑与贴现、发行金融债券；代理发行、代理兑付、承销政府债券；买卖政府债券、金融债券；</w:t>
      </w:r>
      <w:r w:rsidRPr="00BD090D">
        <w:rPr>
          <w:rFonts w:ascii="宋体" w:eastAsia="宋体" w:hAnsi="宋体" w:hint="eastAsia"/>
          <w:szCs w:val="21"/>
        </w:rPr>
        <w:lastRenderedPageBreak/>
        <w:t>从事同业拆借；买卖、代理买卖外汇；从事结汇、售汇业务；从事银行卡业务；提供信用证服务及担保；代理收付款项；保险兼业代理业务（有效期至2020年02月18日）；提供保管箱服务；经国务院银行业监督管理机构批准的其他业务。</w:t>
      </w:r>
    </w:p>
    <w:p w14:paraId="28ABB9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二、基金托管人对基金管理人的业务监督和核查</w:t>
      </w:r>
    </w:p>
    <w:p w14:paraId="5EFBC2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（一）基金托管人根据有关法律法规的规定及基金合同的约定，对基金投资范围、投资对象进行监督。</w:t>
      </w:r>
    </w:p>
    <w:p w14:paraId="7B58F1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E2C7E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本基金的投资范围主要为具有较好流动性的金融工具，包括国债、央行票据、地方政府债、金融债、企业债、公司债、短期融资</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、超短期融资</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、中期票据、公开发行的次级债、同业存单、资产支持证券、可分离交易可转债</w:t>
      </w:r>
      <w:proofErr w:type="gramStart"/>
      <w:r w:rsidRPr="00BD090D">
        <w:rPr>
          <w:rFonts w:ascii="宋体" w:eastAsia="宋体" w:hAnsi="宋体" w:hint="eastAsia"/>
          <w:szCs w:val="21"/>
        </w:rPr>
        <w:t>的纯债部分</w:t>
      </w:r>
      <w:proofErr w:type="gramEnd"/>
      <w:r w:rsidRPr="00BD090D">
        <w:rPr>
          <w:rFonts w:ascii="宋体" w:eastAsia="宋体" w:hAnsi="宋体" w:hint="eastAsia"/>
          <w:szCs w:val="21"/>
        </w:rPr>
        <w:t>、银行存款、债券回购、货币市场工具，以及法律法规或中国证监会允许基金投资的其他金融工具。</w:t>
      </w:r>
    </w:p>
    <w:p w14:paraId="2BFE6C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本基金不投资股票。</w:t>
      </w:r>
    </w:p>
    <w:p w14:paraId="5A92E0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如法律法规或监管机构以后允许基金投资其他品种，基金管理人在履行适当程序后，可以将其纳入投资范围，其投资比例遵循届时有效法律法规或相关规定。</w:t>
      </w:r>
    </w:p>
    <w:p w14:paraId="4FB78F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为债券型基金，投资组合比例为：本基金投资于债券的比例不低于基金资产的80%；但应开放期流动性需要，为保护基金份额持有人利益，在每次开放期前一个月、开放期及开放期结束后一个月的期间内，基金投资不受上述比例限制。</w:t>
      </w:r>
    </w:p>
    <w:p w14:paraId="500847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开放期内，本基金持有现金或者到期日在一年以内的政府债券的比例不低于基金资产净值的5%，其中现金不包括结算备付金、存出保证金、应收申购款等，在封闭期内，本基金不受上述5%的限制。</w:t>
      </w:r>
    </w:p>
    <w:p w14:paraId="689DE1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如果法律法规或中国证监会变更投资品种的投资比例限制，基金管理人在履行适当程序后，可以调整上述投资品种的投资比例。</w:t>
      </w:r>
    </w:p>
    <w:p w14:paraId="0BD954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（二）基金托管人根据有关法律法规的规定及基金合同的约定，对基金投资、融资、融券比例进行监督。基金托管人按下述比例和调整期限进行监督：</w:t>
      </w:r>
    </w:p>
    <w:p w14:paraId="2B7DA4A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（1）本基金对于债券的投资比例不低于基金资产的80%；但应开放期流动性需要，为保护基金份额持有人利益，在每次开放期前一个月、开放期及开放期结束后一个月的期间内，基金投资不受上述比例限制；</w:t>
      </w:r>
    </w:p>
    <w:p w14:paraId="0E2237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（2）开放期内，本基金持有现金或者到期日在一年以内的政府债券的比例不低于基金</w:t>
      </w:r>
      <w:r w:rsidRPr="00BD090D">
        <w:rPr>
          <w:rFonts w:ascii="宋体" w:eastAsia="宋体" w:hAnsi="宋体" w:hint="eastAsia"/>
          <w:szCs w:val="21"/>
        </w:rPr>
        <w:lastRenderedPageBreak/>
        <w:t>资产净值的5%，其中现金不包括结算备付金、存出保证金、应收申购款等，在封闭期内，本基金不受上述5%的限制；</w:t>
      </w:r>
    </w:p>
    <w:p w14:paraId="51AFFA8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（3）本基金持有一家公司发行的证券，其市值不超过基金资产净值的10％；</w:t>
      </w:r>
    </w:p>
    <w:p w14:paraId="672C104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（4）本基金管理人管理的全部基金持有一家公司发行的证券，不超过该证券的10％；</w:t>
      </w:r>
    </w:p>
    <w:p w14:paraId="20791C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（5）本基金投资于同一原始权益人的各类资产支持证券的比例，不得超过基金资产净值的10％；</w:t>
      </w:r>
    </w:p>
    <w:p w14:paraId="614666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（6）本基金持有的全部资产支持证券，其市值不得超过基金资产净值的20％；</w:t>
      </w:r>
    </w:p>
    <w:p w14:paraId="64D1C2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（7）本基金持有的同一(指同一信用级别)资产支持证券的比例，不得超过该资产支持证券规模的10％；</w:t>
      </w:r>
    </w:p>
    <w:p w14:paraId="5E2ACAB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（8）本基金管理人管理的全部基金投资于同一原始权益人的各类资产支持证券，不得超过其各类资产支持证券合计规模的10％；</w:t>
      </w:r>
    </w:p>
    <w:p w14:paraId="2AB0FB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（9）本基金应投资于信用级别评级为BBB以上(含BBB)的资产支持证券。基金持有资产支持证券期间，如果其信用等级下降、不再符合投资标准，应在评级报告发布之日起3个月内予以全部卖出；</w:t>
      </w:r>
    </w:p>
    <w:p w14:paraId="62BC59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（10）本基金在全国银行间同业市场中的债券回购最长期限为一年，债券回购到期后</w:t>
      </w:r>
      <w:proofErr w:type="gramStart"/>
      <w:r w:rsidRPr="00BD090D">
        <w:rPr>
          <w:rFonts w:ascii="宋体" w:eastAsia="宋体" w:hAnsi="宋体" w:hint="eastAsia"/>
          <w:szCs w:val="21"/>
        </w:rPr>
        <w:t>不</w:t>
      </w:r>
      <w:proofErr w:type="gramEnd"/>
      <w:r w:rsidRPr="00BD090D">
        <w:rPr>
          <w:rFonts w:ascii="宋体" w:eastAsia="宋体" w:hAnsi="宋体" w:hint="eastAsia"/>
          <w:szCs w:val="21"/>
        </w:rPr>
        <w:t>展期；</w:t>
      </w:r>
    </w:p>
    <w:p w14:paraId="6EBCD7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（11）在封闭期内，基金的总资产不得超过基金净资产的200%。开放期内，基金总资产不得超过基金净资产的140%；</w:t>
      </w:r>
    </w:p>
    <w:p w14:paraId="5DAD6C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（12）开放期内，本基金主动投资于流动性受限资产的市值合计不得超过基金资产净值的15%；</w:t>
      </w:r>
    </w:p>
    <w:p w14:paraId="611A6B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因证券市场波动、基金规模变动等基金管理人之外的因素致使基金不符合前述比例限制的，基金管理人不得主动新增流动性受限资产的投资；</w:t>
      </w:r>
    </w:p>
    <w:p w14:paraId="4DAB74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（13）本基金与私募类</w:t>
      </w:r>
      <w:proofErr w:type="gramStart"/>
      <w:r w:rsidRPr="00BD090D">
        <w:rPr>
          <w:rFonts w:ascii="宋体" w:eastAsia="宋体" w:hAnsi="宋体" w:hint="eastAsia"/>
          <w:szCs w:val="21"/>
        </w:rPr>
        <w:t>证券资管产品</w:t>
      </w:r>
      <w:proofErr w:type="gramEnd"/>
      <w:r w:rsidRPr="00BD090D">
        <w:rPr>
          <w:rFonts w:ascii="宋体" w:eastAsia="宋体" w:hAnsi="宋体" w:hint="eastAsia"/>
          <w:szCs w:val="21"/>
        </w:rPr>
        <w:t>及中国证监会认定的其他主体为交易对手开展逆回购交易的，可接受质押品的资质要求应当与基金合同约定的投资范围保持一致；</w:t>
      </w:r>
    </w:p>
    <w:p w14:paraId="45B0D4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（14）法律法规及中国证监会规定的和基金合同约定的其他投资限制。</w:t>
      </w:r>
    </w:p>
    <w:p w14:paraId="2BCB91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法律法规或监管部门对基金合同约定投资组合比例限制进行变更的，以变更后的规定为准；法律法规或监管部门取消上述限制，如适用于本基金，基金管理人在履行适当程序后，则本基金投资不再受相关限制，不需要经基金份额持有人大会审议。</w:t>
      </w:r>
    </w:p>
    <w:p w14:paraId="3B9EF3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基金管理人应当自基金合同生效之日起6个月内使基金的投资组合比例符合基金合同的有关约定。在上述期间内，本基金的投资范围、投资策略应当符合基金合同的约定。基金</w:t>
      </w:r>
      <w:r w:rsidRPr="00BD090D">
        <w:rPr>
          <w:rFonts w:ascii="宋体" w:eastAsia="宋体" w:hAnsi="宋体" w:hint="eastAsia"/>
          <w:szCs w:val="21"/>
        </w:rPr>
        <w:lastRenderedPageBreak/>
        <w:t>托管人对基金的投资的监督与检查自基金合同生效之日起开始。</w:t>
      </w:r>
    </w:p>
    <w:p w14:paraId="5BFA0F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除上述第（2）、第（9）、第（12）、（13）项外，因证券市场波动、证券发行人合并、基金规模变动等基金管理人之外的因素致使基金投资比例不符合上述规定投资比例的，基金管理人应当在10个交易日内进行调整，但中国证监会规定的特殊情形或基金合同另有约定的除外。法律法规另有规定的，从其规定。</w:t>
      </w:r>
    </w:p>
    <w:p w14:paraId="2328DA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BD090D">
        <w:rPr>
          <w:rFonts w:ascii="宋体" w:eastAsia="宋体" w:hAnsi="宋体" w:hint="eastAsia"/>
          <w:szCs w:val="21"/>
        </w:rPr>
        <w:t>启用侧袋机制</w:t>
      </w:r>
      <w:proofErr w:type="gramEnd"/>
      <w:r w:rsidRPr="00BD090D">
        <w:rPr>
          <w:rFonts w:ascii="宋体" w:eastAsia="宋体" w:hAnsi="宋体" w:hint="eastAsia"/>
          <w:szCs w:val="21"/>
        </w:rPr>
        <w:t>，无需召开基金份额持有人大会审议。</w:t>
      </w:r>
    </w:p>
    <w:p w14:paraId="714BAF0F"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实施期间，本部分约定的投资组合比例、投资策略、组合限制、业绩比较基准、风险收益特征等约定仅</w:t>
      </w:r>
      <w:proofErr w:type="gramStart"/>
      <w:r w:rsidRPr="00BD090D">
        <w:rPr>
          <w:rFonts w:ascii="宋体" w:eastAsia="宋体" w:hAnsi="宋体" w:hint="eastAsia"/>
          <w:szCs w:val="21"/>
        </w:rPr>
        <w:t>适用于主袋账户</w:t>
      </w:r>
      <w:proofErr w:type="gramEnd"/>
      <w:r w:rsidRPr="00BD090D">
        <w:rPr>
          <w:rFonts w:ascii="宋体" w:eastAsia="宋体" w:hAnsi="宋体" w:hint="eastAsia"/>
          <w:szCs w:val="21"/>
        </w:rPr>
        <w:t>。</w:t>
      </w:r>
    </w:p>
    <w:p w14:paraId="7F87D2A6"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的具体规则依照相关法律法规的规定和基金合同的约定执行。</w:t>
      </w:r>
    </w:p>
    <w:p w14:paraId="18A922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（三）基金托管人根据有关法律法规的规定及基金合同的约定，对本托管协议第十五条第九款基金投资禁止行为进行监督。基金托管人通过事后监督方式对基金管理人基金投资禁止行为进行监督。</w:t>
      </w:r>
    </w:p>
    <w:p w14:paraId="2B9A1C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为维护基金份额持有人的合法权益，基金财产不得用于下列投资或者活动：</w:t>
      </w:r>
    </w:p>
    <w:p w14:paraId="52551A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（1）承销证券；</w:t>
      </w:r>
    </w:p>
    <w:p w14:paraId="25EB342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（2）违反规定向他人贷款或者提供担保；</w:t>
      </w:r>
    </w:p>
    <w:p w14:paraId="4B3BC5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（3）从事承担无限责任的投资；</w:t>
      </w:r>
    </w:p>
    <w:p w14:paraId="4F0864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（4）买卖其他基金份额，但是中国证监会另有规定的除外；</w:t>
      </w:r>
    </w:p>
    <w:p w14:paraId="101101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（5）向其基金管理人、基金托管人出资；</w:t>
      </w:r>
    </w:p>
    <w:p w14:paraId="7766948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（6）从事内幕交易、操纵证券交易价格及其他不正当的证券交易活动；</w:t>
      </w:r>
    </w:p>
    <w:p w14:paraId="355CEA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（7）法律、行政法规和中国证监会规定禁止的其他活动。</w:t>
      </w:r>
    </w:p>
    <w:p w14:paraId="48ADE89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运用基金财产买卖基金管理人、基金托管人及其控股股东、实际控制人或者与其他有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相关法律法规予以披露。重大关联交易应提交基金管理人董事会审议，并经过三分之二以上的独立董事通过。基金管理人董事会应至少每半年对关联交易事项进行审查。</w:t>
      </w:r>
    </w:p>
    <w:p w14:paraId="52C15F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法律、行政法规或监管部门取消上述限制，如适用于本基金，基金管理人在履行适当程</w:t>
      </w:r>
      <w:r w:rsidRPr="00BD090D">
        <w:rPr>
          <w:rFonts w:ascii="宋体" w:eastAsia="宋体" w:hAnsi="宋体" w:hint="eastAsia"/>
          <w:szCs w:val="21"/>
        </w:rPr>
        <w:lastRenderedPageBreak/>
        <w:t>序后，则本基金投资不再受相关限制。</w:t>
      </w:r>
    </w:p>
    <w:p w14:paraId="5F8B88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及时向基金托管人说明理由，协商解决。</w:t>
      </w:r>
    </w:p>
    <w:p w14:paraId="070F0D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如基金托管人事后发现基金管理人没有按照事先约定的交易对手或交易方式进行交易时，基金托管人应及时提醒基金管理人，基金托管人不承担由此造成的任何损失和责任。</w:t>
      </w:r>
    </w:p>
    <w:p w14:paraId="6777B2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管理人应当对投资中期票据业务进行研究，认真评估中期票据投资业务的风险，本着审慎、勤勉尽责的原则进行中期票据的投资业务。基金管理人根据法律、法规、监管部门的规定，制定了经公司董事会批准的基金投资中期票据相关制度(以下简称“《制度》”)，以规范对中期票据的投资决策流程、风险控制。基金管理人《制度》的内容与本协议不一致的，以本协议的约定为准。</w:t>
      </w:r>
    </w:p>
    <w:p w14:paraId="760EBB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如投资银行存款，基金托管人根据有关法律法规的规定及基金合同的约定，对基金投资银行存款的交易对手范围是否符合有关规定进行监督；基金管理人在签署银行存款协议前，应将草拟的银行存款协议</w:t>
      </w:r>
      <w:proofErr w:type="gramStart"/>
      <w:r w:rsidRPr="00BD090D">
        <w:rPr>
          <w:rFonts w:ascii="宋体" w:eastAsia="宋体" w:hAnsi="宋体" w:hint="eastAsia"/>
          <w:szCs w:val="21"/>
        </w:rPr>
        <w:t>送基金</w:t>
      </w:r>
      <w:proofErr w:type="gramEnd"/>
      <w:r w:rsidRPr="00BD090D">
        <w:rPr>
          <w:rFonts w:ascii="宋体" w:eastAsia="宋体" w:hAnsi="宋体" w:hint="eastAsia"/>
          <w:szCs w:val="21"/>
        </w:rPr>
        <w:t>托管人审核。</w:t>
      </w:r>
    </w:p>
    <w:p w14:paraId="2E3D80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8742FE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托管人发现基金管理人的上述事项及投资指令或实际投资运作违反法律法规、基金合同和本托管协议的规定，应及时以电话提醒或书面提示等方式通知基金管理人限期纠正，并及时向中国证监会报告。基金管理人应积极配合和协助基金托管人的监督和核查。基</w:t>
      </w:r>
      <w:r w:rsidRPr="00BD090D">
        <w:rPr>
          <w:rFonts w:ascii="宋体" w:eastAsia="宋体" w:hAnsi="宋体" w:hint="eastAsia"/>
          <w:szCs w:val="21"/>
        </w:rPr>
        <w:lastRenderedPageBreak/>
        <w:t>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6C5EC9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0B63F9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w:t>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托管人发现基金管理人依据交易程序已经生效的指令违反法律、行政法规和其他有关规定，或者违反基金合同约定的，应当立即通知基金管理人，由此造成的损失由基金管理人承担，并及时向中国证监会报告。</w:t>
      </w:r>
    </w:p>
    <w:p w14:paraId="1576EF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ED89A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三、基金管理人对基金托管人的业务监督、核查</w:t>
      </w:r>
    </w:p>
    <w:p w14:paraId="26BE36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管理人对基金托管人履行托管职责情况进行核查，核查事项包括基金托管人安全保管基金财产、开设基金财产的资金账户、证券账户等投资所需账户、复核基金管理人计算的基金资产净值、基金份额净值、根据基金管理人指令办理清算交收、相关信息披露和监督基金投资运作等行为。</w:t>
      </w:r>
    </w:p>
    <w:p w14:paraId="6A49F3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在下一工作日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BD090D">
        <w:rPr>
          <w:rFonts w:ascii="宋体" w:eastAsia="宋体" w:hAnsi="宋体" w:hint="eastAsia"/>
          <w:szCs w:val="21"/>
        </w:rPr>
        <w:t>供基金</w:t>
      </w:r>
      <w:proofErr w:type="gramEnd"/>
      <w:r w:rsidRPr="00BD090D">
        <w:rPr>
          <w:rFonts w:ascii="宋体" w:eastAsia="宋体" w:hAnsi="宋体" w:hint="eastAsia"/>
          <w:szCs w:val="21"/>
        </w:rPr>
        <w:t>管理人核查托管财产的完整性和真实性，在规定时间内答复基金管理人并改正。</w:t>
      </w:r>
    </w:p>
    <w:p w14:paraId="320F4D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102A10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四、基金财产的保管</w:t>
      </w:r>
    </w:p>
    <w:p w14:paraId="38D5CD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（一）基金财产保管的原则</w:t>
      </w:r>
    </w:p>
    <w:p w14:paraId="7D347C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基金财产应独立于基金管理人、基金托管人的固有财产。基金财产的债权、不得与基金管理人、基金托管人固有财产的债务相</w:t>
      </w:r>
      <w:proofErr w:type="gramStart"/>
      <w:r w:rsidRPr="00BD090D">
        <w:rPr>
          <w:rFonts w:ascii="宋体" w:eastAsia="宋体" w:hAnsi="宋体" w:hint="eastAsia"/>
          <w:szCs w:val="21"/>
        </w:rPr>
        <w:t>抵销</w:t>
      </w:r>
      <w:proofErr w:type="gramEnd"/>
      <w:r w:rsidRPr="00BD090D">
        <w:rPr>
          <w:rFonts w:ascii="宋体" w:eastAsia="宋体" w:hAnsi="宋体" w:hint="eastAsia"/>
          <w:szCs w:val="21"/>
        </w:rPr>
        <w:t>，不同基金财产的债权债务，不得相互</w:t>
      </w:r>
      <w:proofErr w:type="gramStart"/>
      <w:r w:rsidRPr="00BD090D">
        <w:rPr>
          <w:rFonts w:ascii="宋体" w:eastAsia="宋体" w:hAnsi="宋体" w:hint="eastAsia"/>
          <w:szCs w:val="21"/>
        </w:rPr>
        <w:t>抵销</w:t>
      </w:r>
      <w:proofErr w:type="gramEnd"/>
      <w:r w:rsidRPr="00BD090D">
        <w:rPr>
          <w:rFonts w:ascii="宋体" w:eastAsia="宋体" w:hAnsi="宋体" w:hint="eastAsia"/>
          <w:szCs w:val="21"/>
        </w:rPr>
        <w:t>。基金管理人、基金托管人以其自有资产承担法律责任，其债权人不得对基金财产行使请求冻结、扣押和其他权利。</w:t>
      </w:r>
    </w:p>
    <w:p w14:paraId="618F42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基金管理人、基金托管人因依法解散、被依法撤销或者被依法宣告破产等原因进行清算的，基金财产不属于其清算财产。</w:t>
      </w:r>
    </w:p>
    <w:p w14:paraId="4FF112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基金托管人应安全保管基金财产。未经基金管理人依据合法程序</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的合法合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指令，基金托管人不得自行运用、处分、分配基金的任何财产。非因基金财产本身承担的债务，不得对基金财产强制执行。</w:t>
      </w:r>
    </w:p>
    <w:p w14:paraId="6E5F54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基金托管人按照规定开设基金财产的资金账户和证券账户等投资需要的账户。</w:t>
      </w:r>
    </w:p>
    <w:p w14:paraId="5A3A6F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基金托管人对所托管的不同基金财产分别设置账户，独立核算，分账管理，确保基金财产的完整与独立。</w:t>
      </w:r>
    </w:p>
    <w:p w14:paraId="0EE66E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w:t>
      </w:r>
      <w:r w:rsidRPr="00BD090D">
        <w:rPr>
          <w:rFonts w:ascii="宋体" w:eastAsia="宋体" w:hAnsi="宋体" w:hint="eastAsia"/>
          <w:szCs w:val="21"/>
        </w:rPr>
        <w:tab/>
        <w:t>基金托管人根据基金管理人的指令，按照基金合同和本协议的约定保管基金财产，如有特殊情况双方可另行协商解决。</w:t>
      </w:r>
    </w:p>
    <w:p w14:paraId="392877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w:t>
      </w:r>
      <w:r w:rsidRPr="00BD090D">
        <w:rPr>
          <w:rFonts w:ascii="宋体" w:eastAsia="宋体" w:hAnsi="宋体" w:hint="eastAsia"/>
          <w:szCs w:val="21"/>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08C233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w:t>
      </w:r>
      <w:r w:rsidRPr="00BD090D">
        <w:rPr>
          <w:rFonts w:ascii="宋体" w:eastAsia="宋体" w:hAnsi="宋体" w:hint="eastAsia"/>
          <w:szCs w:val="21"/>
        </w:rPr>
        <w:tab/>
        <w:t>除依据法律法规和基金合同的规定外，基金托管人不得委托第三人托管基金财产。</w:t>
      </w:r>
    </w:p>
    <w:p w14:paraId="7B2F05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（二）基金募集期间及募集资金的验资</w:t>
      </w:r>
    </w:p>
    <w:p w14:paraId="56039A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基金募集期间应开立“基金募集专户”，用于存放募集的资金。该账户由基金管理人开立。</w:t>
      </w:r>
    </w:p>
    <w:p w14:paraId="635204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基金募集期满或基金停止募集时，募集的基金份额总额、基金募集金额、基金份额持有人人数符合《基金法》、《运作办法》等有关规定后，基金管理人应将属于基金财产的全</w:t>
      </w:r>
      <w:r w:rsidRPr="00BD090D">
        <w:rPr>
          <w:rFonts w:ascii="宋体" w:eastAsia="宋体" w:hAnsi="宋体" w:hint="eastAsia"/>
          <w:szCs w:val="21"/>
        </w:rPr>
        <w:lastRenderedPageBreak/>
        <w:t>部资金划入基金托管人为本基金开立的基金银行账户，同时在规定时间内，聘请具有从事证券相关业务资格的会计师事务所进行验资，出具验资报告。出具的验资报告由参加验资的2名或2名以上中国注册会计师签字并加盖会计师事务所公章方为有效。</w:t>
      </w:r>
    </w:p>
    <w:p w14:paraId="5C954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募集期限届满或基金停止募集时，未能达到基金合同生效的条件，由基金管理人按规定办理退款等事宜，基金托管人应提供充分协助。</w:t>
      </w:r>
    </w:p>
    <w:p w14:paraId="65A993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（三）基金银行账户的开立和管理</w:t>
      </w:r>
    </w:p>
    <w:p w14:paraId="359645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基金托管人应负责本基金的银行账户的开设和管理。</w:t>
      </w:r>
    </w:p>
    <w:p w14:paraId="60F354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基金托管人应以本基金名义在其营业机构开立基金的银行账户，并根据基金管理人合法合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的指令办理资金收付。账户名称、账户预留印鉴以基金管理人向基金托管人出具的开户委托文件为准，基金托管人负责账户预留印鉴的保管和使用。该账户为不可提现账户。</w:t>
      </w:r>
    </w:p>
    <w:p w14:paraId="71EB3E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基金银行账户的开立和使用，限于满足开展本基金业务的需要。基金托管人和基金管理人不得假借本基金的名义开立任何其他银行账户；亦不得使用基金的任何账户进行本基金业务以外的活动。</w:t>
      </w:r>
    </w:p>
    <w:p w14:paraId="68D12EA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基金银行账户的开立和管理应符合银行业监督管理机构的有关规定。</w:t>
      </w:r>
    </w:p>
    <w:p w14:paraId="3BF847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在符合法律法规规定的条件下，基金托管人可以通过基金托管人专用账户办理基金资产的支付。</w:t>
      </w:r>
    </w:p>
    <w:p w14:paraId="3EE119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（四）基金证券账户和结算备付金账户的开立和管理</w:t>
      </w:r>
    </w:p>
    <w:p w14:paraId="5C8F88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基金托管人在中国证券登记结算有限责任公司上海分公司、深圳分公司为本基金开立基金托管人与本基金联名的证券账户。</w:t>
      </w:r>
    </w:p>
    <w:p w14:paraId="09735B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基金证券账户的开立和使用，仅限于满足开展本基金业务的需要。基金托管人和基金管理人不得出借或未经对方书面同意擅自转让基金的任何证券账户，亦不得使用基金的任何账户进行本基金业务以外的活动。</w:t>
      </w:r>
    </w:p>
    <w:p w14:paraId="298949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基金证券账户的开立由基金托管人负责，账户资产的管理和运用由基金管理人负责。</w:t>
      </w:r>
    </w:p>
    <w:p w14:paraId="12C79A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基金托管人以自身法人名义在中国证券登记结算有限责任公司开立结算备付金账户，并代表所托管的基金完成与中国证券登记结算有限责任公司的一级法人清算工作，基金管理人应予以积极协助。结算备付金、证券结算保证金等的收取按照中国证券登记结算有限责任公司的规定执行。</w:t>
      </w:r>
    </w:p>
    <w:p w14:paraId="0E72C8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若中国证监会或其他监管机构在本托管协议订立日之后允许基金从事其他投资品种的投资业务，涉及相关账户的开立、使用的，若无相关规定，</w:t>
      </w:r>
      <w:proofErr w:type="gramStart"/>
      <w:r w:rsidRPr="00BD090D">
        <w:rPr>
          <w:rFonts w:ascii="宋体" w:eastAsia="宋体" w:hAnsi="宋体" w:hint="eastAsia"/>
          <w:szCs w:val="21"/>
        </w:rPr>
        <w:t>则基金</w:t>
      </w:r>
      <w:proofErr w:type="gramEnd"/>
      <w:r w:rsidRPr="00BD090D">
        <w:rPr>
          <w:rFonts w:ascii="宋体" w:eastAsia="宋体" w:hAnsi="宋体" w:hint="eastAsia"/>
          <w:szCs w:val="21"/>
        </w:rPr>
        <w:t>托管人比照上述关于账户开立、使用的规定执行。</w:t>
      </w:r>
    </w:p>
    <w:p w14:paraId="64727A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（五）债券托管账户的开设和管理</w:t>
      </w:r>
    </w:p>
    <w:p w14:paraId="16CA26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后，基金托管人根据中国人民银行、中央国债登记结算有限责任公司、银行间市场清算所股份有限公司的有关规定，在中央国债登记结算有限责任公司、银行间市场清算所股份有限公司开立债券托管账户，并代表基金进行银行间市场债券的结算。基金管理人和基金托管人共同代表基金签订全国银行间债券市场债券回购主协议。</w:t>
      </w:r>
    </w:p>
    <w:p w14:paraId="642A36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（六）定期存款账户的开设与管理</w:t>
      </w:r>
    </w:p>
    <w:p w14:paraId="426756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投资定期存款在存款机构开立的银行账户，包括实体或虚拟账户。定期存款账户户名应与托管专户保持一致,该账户预留印鉴经与基金托管人商议后预留。基金管理人应该在合理的时间内进行定期存款的投资和支取事宜。对于任何的定期存款投资，基金管理人都必须和存款机构签订定期存款协议，协议内容应至少包含起息日、到期日、存款金额、存款账户、存款利率、存款是否可以提前支取、定存到期支取账户、存款证实</w:t>
      </w:r>
      <w:proofErr w:type="gramStart"/>
      <w:r w:rsidRPr="00BD090D">
        <w:rPr>
          <w:rFonts w:ascii="宋体" w:eastAsia="宋体" w:hAnsi="宋体" w:hint="eastAsia"/>
          <w:szCs w:val="21"/>
        </w:rPr>
        <w:t>书如何</w:t>
      </w:r>
      <w:proofErr w:type="gramEnd"/>
      <w:r w:rsidRPr="00BD090D">
        <w:rPr>
          <w:rFonts w:ascii="宋体" w:eastAsia="宋体" w:hAnsi="宋体" w:hint="eastAsia"/>
          <w:szCs w:val="21"/>
        </w:rPr>
        <w:t>交接以及存款证实书不得转让质押等条款。协议须约定基金托管人经办行名称、地址和账户，并将本基金托管专户指定为唯一回款账户，协议中涉及基金托管人相关职责的约定须由基金管理人和基金托管人双方协商一致后签署。</w:t>
      </w:r>
    </w:p>
    <w:p w14:paraId="1175042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（七）其他账户的开立和管理</w:t>
      </w:r>
    </w:p>
    <w:p w14:paraId="512D86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因业务发展需要而开立的其他账户，可以根据法律法规和基金合同的规定开立，在基金管理人和基金托管人商议后由基金托管人负责开立。新账户按有关规定使用并管理。</w:t>
      </w:r>
    </w:p>
    <w:p w14:paraId="5A8E45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法律法规等有关规定对相关账户的开立和管理另有规定的，从其规定办理。</w:t>
      </w:r>
    </w:p>
    <w:p w14:paraId="1F19A1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（八）基金财产投资的有关有价凭证等的保管</w:t>
      </w:r>
    </w:p>
    <w:p w14:paraId="355A0E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投资的有关实物证券、银行存款开户证实书等有价凭证由基金托管人存放于基金托管人的保管库，也可存入中央国债登记结算有限责任公司、银行间市场清算所股份有限公司、中国证券登记结算有限责任公司上海分公司/深圳分公司或票据营业中心的代保管库，保管凭证由基金托管人持有。实物证券、银行存款开户证实书等有价凭证的购买和转让，由基金管理人和基金托管人共同办理。基金托管人对由基金托管人及基金托管人委托保管的机构以外机构实际有效控制的证券不承担保管责任，但基金托管人应妥善保管保管凭证。</w:t>
      </w:r>
    </w:p>
    <w:p w14:paraId="5AF6B79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（九）与基金财产有关的重大合同的保管</w:t>
      </w:r>
    </w:p>
    <w:p w14:paraId="45EE3C5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w:t>
      </w:r>
      <w:r w:rsidRPr="00BD090D">
        <w:rPr>
          <w:rFonts w:ascii="宋体" w:eastAsia="宋体" w:hAnsi="宋体" w:hint="eastAsia"/>
          <w:szCs w:val="21"/>
        </w:rPr>
        <w:lastRenderedPageBreak/>
        <w:t>托管人至少各持有一份正本的原件。重大合同的保管期限为基金合同终止后15年。</w:t>
      </w:r>
    </w:p>
    <w:p w14:paraId="5F8E25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五、基金资产净值计算和会计核算</w:t>
      </w:r>
    </w:p>
    <w:p w14:paraId="6B3CEE8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（一）基金资产净值的计算、复核与完成的时间及程序</w:t>
      </w:r>
    </w:p>
    <w:p w14:paraId="1B97874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基金资产净值</w:t>
      </w:r>
    </w:p>
    <w:p w14:paraId="1F2DD8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基金资产净值是指基金资产总值减去基金负债后的价值。</w:t>
      </w:r>
    </w:p>
    <w:p w14:paraId="3CC677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净值是按照每个工作日闭市后，基金资产净值除以当日基金份额的余额数量计算，精确到0.0001元，小数点后第5位四舍五入。基金管理人可以设立大额赎回情形下的净值精度应急调整机制。国家另有规定的，从其规定。</w:t>
      </w:r>
    </w:p>
    <w:p w14:paraId="24E0E2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基金管理人每个工作日计算基金资产净值及基金份额净值，经基金托管人复核，并按规定公告。</w:t>
      </w:r>
    </w:p>
    <w:p w14:paraId="62518D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复核程序</w:t>
      </w:r>
    </w:p>
    <w:p w14:paraId="6DB5CC1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基金管理人每工作日对基金资产进行估值后，将基金份额净值结果以双方约定的方式提交给基金托管人，经基金托管人复核无误后，以约定的方式将复核结果提交给基金管理人，由基金管理人按约定对外公布。</w:t>
      </w:r>
    </w:p>
    <w:p w14:paraId="726373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C5EA3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（二）基金资产估值方法和特殊情形的处理</w:t>
      </w:r>
    </w:p>
    <w:p w14:paraId="05C423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估值对象</w:t>
      </w:r>
    </w:p>
    <w:p w14:paraId="507F97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基金所拥有的各类有价证券、资产支持证券以及银行存款本息和其它资产及负债。</w:t>
      </w:r>
    </w:p>
    <w:p w14:paraId="49ECCD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估值方法</w:t>
      </w:r>
    </w:p>
    <w:p w14:paraId="1CA30E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（1）交易所市场交易的固定收益品种的估值</w:t>
      </w:r>
    </w:p>
    <w:p w14:paraId="3674DA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1）对在交易所市场上市交易或挂牌转让的固定收益品种（基金合同另有规定的除外），选取第三方估值机构提供的相应品种当日的估值净价进行估值；</w:t>
      </w:r>
    </w:p>
    <w:p w14:paraId="3BED75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2）交易所上市交易的可转换债券，选取每日收盘价作为估值全价</w:t>
      </w:r>
    </w:p>
    <w:p w14:paraId="1FB4FB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3）对在交易所市场挂牌转让的资产支持证券，采用估值技术确定公允价值，在估值技术难以可靠计量公允价值的情况下，按成本估值；</w:t>
      </w:r>
    </w:p>
    <w:p w14:paraId="7D1EEB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4）对在交易所市场发行未上市或未挂牌转让的固定收益品种，采用估值技术确定公允价值，在估值技术难以可靠计量公允价值的情况下，按成本估值。</w:t>
      </w:r>
    </w:p>
    <w:p w14:paraId="263B8C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（2）银行间市场交易的固定收益品种的估值</w:t>
      </w:r>
    </w:p>
    <w:p w14:paraId="559BD9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1）银行间市场交易的固定收益品种，选取第三方估值机构提供的相应品种当日的估值净价进行估值。</w:t>
      </w:r>
    </w:p>
    <w:p w14:paraId="56E2316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2）对银行间市场未上市，且第三方估值机构未提供估值价格的固定收益品种，按成本估值。</w:t>
      </w:r>
    </w:p>
    <w:p w14:paraId="3E8DC4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（3）首次公开发行未上市的债券，采用估值技术确定公允价值，在估值技术难以可靠计量公允价值的情况下，按成本估值。</w:t>
      </w:r>
    </w:p>
    <w:p w14:paraId="5FBB809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（4）资产支持证券采用估值技术确定公允价值，在估值技术难以可靠计量公允价值的情况下，按成本估值。</w:t>
      </w:r>
    </w:p>
    <w:p w14:paraId="3741E3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（5）同一债券同时在两个或两个以上市场交易的，按债券所处的市场分别估值。</w:t>
      </w:r>
    </w:p>
    <w:p w14:paraId="75CFBD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（6）当本基金发生大额申购或赎回情形时，基金管理人可以对本基金采用摆动定价机制，以确保基金估值的公平性。具体处理原则与操作规范遵循相关法律法规以及监管部门、自律组织的规定。</w:t>
      </w:r>
    </w:p>
    <w:p w14:paraId="3DB408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（7）如有确凿证据表明按上述方法进行估值不能客观反映其公允价值的，基金管理人可根据具体情况与基金托管人商定后，按最能反映公允价值的价格估值。</w:t>
      </w:r>
    </w:p>
    <w:p w14:paraId="3EB228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（8）相关法律法规以及监管部门有强制规定的，从其规定。如有新增事项，按国家最新规定估值。</w:t>
      </w:r>
    </w:p>
    <w:p w14:paraId="53BB8C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CFE828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特殊情形的处理</w:t>
      </w:r>
    </w:p>
    <w:p w14:paraId="2AE254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基金管理人、基金托管人按估值方法的第（7）项进行估值时，所造成的误差不作为基金资产估值错误处理。</w:t>
      </w:r>
    </w:p>
    <w:p w14:paraId="47D09C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由于不可抗力原因，或由于证券交易所、登记结算公司等机构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9005C1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 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期间的基金资产估值</w:t>
      </w:r>
    </w:p>
    <w:p w14:paraId="0DDAD5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的，应根据本部分的约定</w:t>
      </w:r>
      <w:proofErr w:type="gramStart"/>
      <w:r w:rsidRPr="00BD090D">
        <w:rPr>
          <w:rFonts w:ascii="宋体" w:eastAsia="宋体" w:hAnsi="宋体" w:hint="eastAsia"/>
          <w:szCs w:val="21"/>
        </w:rPr>
        <w:t>对主袋账户</w:t>
      </w:r>
      <w:proofErr w:type="gramEnd"/>
      <w:r w:rsidRPr="00BD090D">
        <w:rPr>
          <w:rFonts w:ascii="宋体" w:eastAsia="宋体" w:hAnsi="宋体" w:hint="eastAsia"/>
          <w:szCs w:val="21"/>
        </w:rPr>
        <w:t>资产进行估值并</w:t>
      </w:r>
      <w:proofErr w:type="gramStart"/>
      <w:r w:rsidRPr="00BD090D">
        <w:rPr>
          <w:rFonts w:ascii="宋体" w:eastAsia="宋体" w:hAnsi="宋体" w:hint="eastAsia"/>
          <w:szCs w:val="21"/>
        </w:rPr>
        <w:t>披露主袋账户</w:t>
      </w:r>
      <w:proofErr w:type="gramEnd"/>
      <w:r w:rsidRPr="00BD090D">
        <w:rPr>
          <w:rFonts w:ascii="宋体" w:eastAsia="宋体" w:hAnsi="宋体" w:hint="eastAsia"/>
          <w:szCs w:val="21"/>
        </w:rPr>
        <w:t>的基金资产净值和份额净值，暂停</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份额净值。</w:t>
      </w:r>
    </w:p>
    <w:p w14:paraId="1F32BB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（三）基金份额净值错误的处理方式</w:t>
      </w:r>
    </w:p>
    <w:p w14:paraId="785E8E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当基金份额净值小数点后4位以内(含第4位)发生估值错误时，视为基金份额净值错误；基金份额净值估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时，基金管理人应当公告，并报中国证监会备案；当发生净值计算错误时，由基金管理人负责处理，由此给基金份额持有人和基金造成损失的，应由基金管理人先行赔付，基金管理人按差错情形，有权向其他当事人追偿。</w:t>
      </w:r>
    </w:p>
    <w:p w14:paraId="5E82A7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当基金份额净值计算差错给基金和基金份额持有人造成损失需要进行赔偿时，基金管理人和基金托管人应根据实际情况界定双方承担的责任，经确认后按以下条款进行赔偿：</w:t>
      </w:r>
    </w:p>
    <w:p w14:paraId="55700D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A.</w:t>
      </w:r>
      <w:r w:rsidRPr="00BD090D">
        <w:rPr>
          <w:rFonts w:ascii="宋体" w:eastAsia="宋体" w:hAnsi="宋体" w:hint="eastAsia"/>
          <w:szCs w:val="21"/>
        </w:rPr>
        <w:tab/>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46B6636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B.</w:t>
      </w:r>
      <w:r w:rsidRPr="00BD090D">
        <w:rPr>
          <w:rFonts w:ascii="宋体" w:eastAsia="宋体" w:hAnsi="宋体" w:hint="eastAsia"/>
          <w:szCs w:val="21"/>
        </w:rPr>
        <w:tab/>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5E0FF0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C.</w:t>
      </w:r>
      <w:r w:rsidRPr="00BD090D">
        <w:rPr>
          <w:rFonts w:ascii="宋体" w:eastAsia="宋体" w:hAnsi="宋体" w:hint="eastAsia"/>
          <w:szCs w:val="21"/>
        </w:rPr>
        <w:tab/>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14:paraId="24913EF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D.</w:t>
      </w:r>
      <w:r w:rsidRPr="00BD090D">
        <w:rPr>
          <w:rFonts w:ascii="宋体" w:eastAsia="宋体" w:hAnsi="宋体" w:hint="eastAsia"/>
          <w:szCs w:val="21"/>
        </w:rPr>
        <w:tab/>
        <w:t>由于基金管理人提供的信息错误（包括但不限于基金申购或赎回金额等），进而导致基金份额净值计算错误而引起的基金份额持有人和基金财产的损失，由基金管理人负责赔付。</w:t>
      </w:r>
    </w:p>
    <w:p w14:paraId="732A72C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基金管理人和基金托管人由于各自技术系统设置而产生的净值计算尾差，以基金管理人计算结果为准。</w:t>
      </w:r>
    </w:p>
    <w:p w14:paraId="3E8355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前述内容如法律法规或者监管部门另有规定的，从其规定处理。如果行业另有通行做法，双方当事人应本着平等和保护基金份额持有人利益的原则进行协商。</w:t>
      </w:r>
    </w:p>
    <w:p w14:paraId="4F75E0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（四）暂停估值的情形</w:t>
      </w:r>
    </w:p>
    <w:p w14:paraId="78401B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1、基金投资所涉及的证券交易市场遇法定节假日或因其他原因暂停营业时；</w:t>
      </w:r>
    </w:p>
    <w:p w14:paraId="4E609E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2、因不可抗力致使基金管理人、基金托管人无法准确评估基金资产价值时；</w:t>
      </w:r>
    </w:p>
    <w:p w14:paraId="6BAB14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3、当特定资产占前一估值日基金资产净值 50%以上的，经与基金托管人协商一致的；    </w:t>
      </w:r>
    </w:p>
    <w:p w14:paraId="1D501F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4、法律法规、中国证监会和基金合同认定的其它情形。</w:t>
      </w:r>
    </w:p>
    <w:p w14:paraId="25CB93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（五）基金会计制度</w:t>
      </w:r>
    </w:p>
    <w:p w14:paraId="0DEEDF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按国家有关部门规定的会计制度执行。</w:t>
      </w:r>
    </w:p>
    <w:p w14:paraId="20103D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（六）基金账册的建立</w:t>
      </w:r>
    </w:p>
    <w:p w14:paraId="2A0760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基金管理人进行基金会计核算并编制基金财务会计报告。基金管理人、基金托管人分别独立地设置、记录和保管本基金的全套账册。基金托管人按规定制作相关账册并与基金管理人核对。</w:t>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780C27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（七）基金财务报表与报告的编制和复核</w:t>
      </w:r>
    </w:p>
    <w:p w14:paraId="0543AA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财务报表的编制</w:t>
      </w:r>
    </w:p>
    <w:p w14:paraId="0FF90B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基金财务报表由基金管理人编制，基金托管人复核。</w:t>
      </w:r>
    </w:p>
    <w:p w14:paraId="604AFD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报表复核</w:t>
      </w:r>
    </w:p>
    <w:p w14:paraId="37E27A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基金托管人在收到基金管理人编制的基金财务报表后，进行独立的复核。核对不符时，应及时通知基金管理人共同查出原因，进行调整，直至双方数据完全一致。</w:t>
      </w:r>
    </w:p>
    <w:p w14:paraId="066F7E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财务报表的编制与复核时间安排</w:t>
      </w:r>
    </w:p>
    <w:p w14:paraId="7E65795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报表的编制</w:t>
      </w:r>
    </w:p>
    <w:p w14:paraId="15ED6C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每月结束后5个工作日内完成月度报表的编制；在季度结束之日起15个工作日内完成基金季度报告的编制；在上半年结束之日起两个月内完成基金中期报告的编制；在每年结束之日起三个月内完成基金年度报告的编制。基金年度报告中的财务会计报告应当经过符合《中华人民共和国证券法》规定的会计师事务所审计。基金合同生效不足两个月的，基金管理人可以不编制当期季度报告、中期报告或者年度报告。</w:t>
      </w:r>
    </w:p>
    <w:p w14:paraId="50657F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报表的复核</w:t>
      </w:r>
    </w:p>
    <w:p w14:paraId="60E556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59281A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基金管理人应留足充分的时间，便于基金托管人复核相关报表及报告。</w:t>
      </w:r>
    </w:p>
    <w:p w14:paraId="727D0B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（八）基金管理人应在编制季度报告、中期报告或者年度报告之前及时向基金托管人提</w:t>
      </w:r>
      <w:r w:rsidRPr="00BD090D">
        <w:rPr>
          <w:rFonts w:ascii="宋体" w:eastAsia="宋体" w:hAnsi="宋体" w:hint="eastAsia"/>
          <w:szCs w:val="21"/>
        </w:rPr>
        <w:lastRenderedPageBreak/>
        <w:t>供基金业绩比较基准的基础数据和编制结果。</w:t>
      </w:r>
    </w:p>
    <w:p w14:paraId="28EDC2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六、基金份额持有人名册的保管</w:t>
      </w:r>
    </w:p>
    <w:p w14:paraId="444490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名册至少应包括基金份额持有人的名称和持有的基金份额。基金份额持有人名册由基金登记机构根据基金管理人的指令编制和保管，保存期自基金账户销户之日起不少于20年，基金管理人和基金托管人应分别保管基金份额持有人名册，保存期低于法律法规规定的最低期限不低于法律法规规定的最低期限，法律法规另有规定或有权机关另有要求的除外。如不能妥善保管，则按相关法规承担责任。</w:t>
      </w:r>
    </w:p>
    <w:p w14:paraId="1557B2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基金托管人要求或编制中期报告和年度报告前，基金管理人应将有关资料送交基金托管人，不得无故拒绝或延误提供，并保证其的真实性、准确性和完整性。基金托管人不得将所保管的基金份额持有人名册用于基金托管业务以外的其他用途，并应遵守保密义务。</w:t>
      </w:r>
    </w:p>
    <w:p w14:paraId="606A4F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七、争议解决方式</w:t>
      </w:r>
    </w:p>
    <w:p w14:paraId="696863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因本托管协议产生或与之相关的争议，双方当事人应通过协商、调解解决，协商、调解不能解决的，任何一方均有权将争议提交中国国际经济贸易仲裁委员会，按照该会届时有效的仲裁规则进行仲裁。仲裁地点为北京市。仲裁裁决是终局的，对各方当事人均有约束力，仲裁费、律师费用由败诉方承担，除非仲裁裁决另有决定。</w:t>
      </w:r>
    </w:p>
    <w:p w14:paraId="64AC805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争议处理期间，本托管协议双方当事人应恪守基金管理人和基金托管人职责，各自继续忠实、勤勉、尽责地履行基金合同和本托管协议规定的义务，维护基金份额持有人的合法权益。</w:t>
      </w:r>
    </w:p>
    <w:p w14:paraId="48C4D0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本协议受中国法律管辖。</w:t>
      </w:r>
    </w:p>
    <w:p w14:paraId="419261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八、托管协议的修改与终止与基金财产的清算</w:t>
      </w:r>
    </w:p>
    <w:p w14:paraId="27A0878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（一）本托管协议的变更程序</w:t>
      </w:r>
    </w:p>
    <w:p w14:paraId="547C454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本托管协议双方当事人经协商一致，可以对本托管协议进行修改。修改后的新托管协议，其内容不得与基金合同的规定有任何冲突。基金托管协议的变更报中国证监会备案。</w:t>
      </w:r>
    </w:p>
    <w:p w14:paraId="3E7A523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（二）基金托管协议终止出现的情形</w:t>
      </w:r>
    </w:p>
    <w:p w14:paraId="75B1D6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基金合同终止；</w:t>
      </w:r>
    </w:p>
    <w:p w14:paraId="4288C0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基金托管人解散、依法被撤销、破产或由其他基金托管人接管基金资产；</w:t>
      </w:r>
    </w:p>
    <w:p w14:paraId="134211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基金管理人解散、依法被撤销、破产或由其他基金管理人接管基金管理权；</w:t>
      </w:r>
    </w:p>
    <w:p w14:paraId="68A2BB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发生法律法规、中国证监会或基金合同规定的终止事项。</w:t>
      </w:r>
    </w:p>
    <w:p w14:paraId="45FCBC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（三）基金财产的清算</w:t>
      </w:r>
    </w:p>
    <w:p w14:paraId="0BCFE9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基金财产清算小组</w:t>
      </w:r>
    </w:p>
    <w:p w14:paraId="424846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1)</w:t>
      </w:r>
      <w:r w:rsidRPr="00BD090D">
        <w:rPr>
          <w:rFonts w:ascii="宋体" w:eastAsia="宋体" w:hAnsi="宋体" w:hint="eastAsia"/>
          <w:szCs w:val="21"/>
        </w:rPr>
        <w:tab/>
        <w:t>自出现基金合同终止事由之日起30个工作日内成立清算小组，基金管理人或临时基金管理人组织基金财产清算小组并在中国证监会的监督下进行基金清算。</w:t>
      </w:r>
    </w:p>
    <w:p w14:paraId="69B3EA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基金财产清算小组成员由基金管理人或临时基金管理人、基金托管人、具有从事证券相关业务资格的注册会计师、律师以及中国证监会指定的人员组成。基金财产清算小组可以聘用必要的工作人员。</w:t>
      </w:r>
    </w:p>
    <w:p w14:paraId="362B22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基金财产清算小组负责基金财产的保管、清理、估价、变现和分配。基金财产清算小组可以依法进行必要的民事活动。</w:t>
      </w:r>
    </w:p>
    <w:p w14:paraId="2FE103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基金财产清算程序</w:t>
      </w:r>
    </w:p>
    <w:p w14:paraId="6646B6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基金合同终止，应当按法律法规和基金合同的有关规定对基金财产进行清算。基金财产清算程序主要包括：</w:t>
      </w:r>
    </w:p>
    <w:p w14:paraId="41E15B5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基金合同终止情形出现时，由基金财产清算小组统一接管基金；</w:t>
      </w:r>
    </w:p>
    <w:p w14:paraId="7D797D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对基金财产和债权债务进行清理和确认；</w:t>
      </w:r>
    </w:p>
    <w:p w14:paraId="38D85A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对基金财产进行估值和变现；</w:t>
      </w:r>
    </w:p>
    <w:p w14:paraId="5F17A0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制作清算报告；</w:t>
      </w:r>
    </w:p>
    <w:p w14:paraId="287DEB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聘请会计师事务所对清算报告进行外部审计，聘请律师事务所对清算报告出具法律意见书；</w:t>
      </w:r>
    </w:p>
    <w:p w14:paraId="01D062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w:t>
      </w:r>
      <w:r w:rsidRPr="00BD090D">
        <w:rPr>
          <w:rFonts w:ascii="宋体" w:eastAsia="宋体" w:hAnsi="宋体" w:hint="eastAsia"/>
          <w:szCs w:val="21"/>
        </w:rPr>
        <w:tab/>
        <w:t>将清算报告报中国证监会备案并公告；</w:t>
      </w:r>
    </w:p>
    <w:p w14:paraId="326DF0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w:t>
      </w:r>
      <w:r w:rsidRPr="00BD090D">
        <w:rPr>
          <w:rFonts w:ascii="宋体" w:eastAsia="宋体" w:hAnsi="宋体" w:hint="eastAsia"/>
          <w:szCs w:val="21"/>
        </w:rPr>
        <w:tab/>
        <w:t>对基金剩余财产进行分配。</w:t>
      </w:r>
    </w:p>
    <w:p w14:paraId="3EA8E4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基金财产清算的期限为6个月，但因本基金所持证券的流动性受到限制而不能及时变现的，清算期限可相应顺延。</w:t>
      </w:r>
    </w:p>
    <w:p w14:paraId="705BEF9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清算费用</w:t>
      </w:r>
    </w:p>
    <w:p w14:paraId="12025D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清算费用是指基金财产清算小组在进行基金清算过程中发生的所有合理费用，清算费用由基金财产清算小组优先从基金财产中支付。</w:t>
      </w:r>
    </w:p>
    <w:p w14:paraId="7FC5F6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基金财产清算剩余资产的分配：</w:t>
      </w:r>
    </w:p>
    <w:p w14:paraId="687E70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依据基金财产清算的分配方案，将基金财产清算后的全部剩余资产扣除基金财产清算费用、交纳所欠税款并清偿基金债务后，按基金份额持有人持有的基金份额比例进行分配。</w:t>
      </w:r>
    </w:p>
    <w:p w14:paraId="55A61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基金财产清算的公告</w:t>
      </w:r>
    </w:p>
    <w:p w14:paraId="5FA51A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清算过程中的有关重大事项须及时公告；基金财产清算报告</w:t>
      </w:r>
      <w:proofErr w:type="gramStart"/>
      <w:r w:rsidRPr="00BD090D">
        <w:rPr>
          <w:rFonts w:ascii="宋体" w:eastAsia="宋体" w:hAnsi="宋体" w:hint="eastAsia"/>
          <w:szCs w:val="21"/>
        </w:rPr>
        <w:t>经符合</w:t>
      </w:r>
      <w:proofErr w:type="gramEnd"/>
      <w:r w:rsidRPr="00BD090D">
        <w:rPr>
          <w:rFonts w:ascii="宋体" w:eastAsia="宋体" w:hAnsi="宋体" w:hint="eastAsia"/>
          <w:szCs w:val="21"/>
        </w:rPr>
        <w:t>《中华人民共和国证券法》规定的会计师事务所审计并由律师事务所出具法律意见书后报中国证监会备案并公告。基金财产清算公告于基金财产清算报告报中国证监会备案后5个工作日内由基金财产清算</w:t>
      </w:r>
      <w:r w:rsidRPr="00BD090D">
        <w:rPr>
          <w:rFonts w:ascii="宋体" w:eastAsia="宋体" w:hAnsi="宋体" w:hint="eastAsia"/>
          <w:szCs w:val="21"/>
        </w:rPr>
        <w:lastRenderedPageBreak/>
        <w:t>小组进行公告，基金财产清算小组应当将清算报告登载在规定网站上，并将清算报告提示性公告登载在规定报刊上。</w:t>
      </w:r>
    </w:p>
    <w:p w14:paraId="5BF245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w:t>
      </w:r>
      <w:r w:rsidRPr="00BD090D">
        <w:rPr>
          <w:rFonts w:ascii="宋体" w:eastAsia="宋体" w:hAnsi="宋体" w:hint="eastAsia"/>
          <w:szCs w:val="21"/>
        </w:rPr>
        <w:tab/>
        <w:t>基金财产清算账册及文件的保存</w:t>
      </w:r>
    </w:p>
    <w:p w14:paraId="7865AF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基金财产清算账册及有关文件由基金托管人保存不低于法律法规规定的最低期限。</w:t>
      </w:r>
    </w:p>
    <w:p w14:paraId="7011E55A" w14:textId="77777777" w:rsidR="00BD090D" w:rsidRPr="00BD090D" w:rsidRDefault="00BD090D" w:rsidP="00BD090D">
      <w:pPr>
        <w:spacing w:line="360" w:lineRule="auto"/>
        <w:ind w:firstLineChars="200" w:firstLine="420"/>
        <w:rPr>
          <w:rFonts w:ascii="宋体" w:eastAsia="宋体" w:hAnsi="宋体"/>
          <w:szCs w:val="21"/>
        </w:rPr>
      </w:pPr>
    </w:p>
    <w:p w14:paraId="799895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DB0CC33" w14:textId="77777777" w:rsidR="00A8367A"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3296BFD5" w14:textId="77777777" w:rsidR="00BD090D" w:rsidRPr="00BD090D" w:rsidRDefault="00A8367A" w:rsidP="00A8367A">
      <w:pPr>
        <w:widowControl/>
        <w:jc w:val="left"/>
        <w:rPr>
          <w:rFonts w:ascii="宋体" w:eastAsia="宋体" w:hAnsi="宋体"/>
          <w:szCs w:val="21"/>
        </w:rPr>
      </w:pPr>
      <w:r>
        <w:rPr>
          <w:rFonts w:ascii="宋体" w:eastAsia="宋体" w:hAnsi="宋体"/>
          <w:szCs w:val="21"/>
        </w:rPr>
        <w:br w:type="page"/>
      </w:r>
    </w:p>
    <w:p w14:paraId="5C4A193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32" w:name="_Toc121901730"/>
      <w:r w:rsidRPr="00BD090D">
        <w:rPr>
          <w:rFonts w:ascii="Arial Unicode MS" w:eastAsia="宋体" w:hAnsi="Arial Unicode MS" w:cs="Arial" w:hint="eastAsia"/>
          <w:kern w:val="0"/>
          <w:sz w:val="28"/>
          <w:szCs w:val="28"/>
        </w:rPr>
        <w:lastRenderedPageBreak/>
        <w:t>第二十二部分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对基金份额持有人的服务</w:t>
      </w:r>
      <w:bookmarkEnd w:id="32"/>
    </w:p>
    <w:p w14:paraId="21B6D7E2" w14:textId="77777777" w:rsidR="00BD090D" w:rsidRPr="00BD090D" w:rsidRDefault="00BD090D" w:rsidP="00BD090D">
      <w:pPr>
        <w:spacing w:line="360" w:lineRule="auto"/>
        <w:ind w:firstLineChars="200" w:firstLine="420"/>
        <w:rPr>
          <w:rFonts w:ascii="宋体" w:eastAsia="宋体" w:hAnsi="宋体"/>
          <w:szCs w:val="21"/>
        </w:rPr>
      </w:pPr>
    </w:p>
    <w:p w14:paraId="7E84BEB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基金管理人承诺为基金份额持有人提供一系列服务，基金管理人根据基金份额持有人的需要和市场的变化，有权增加或变更服务项目。主要服务内容如下：</w:t>
      </w:r>
    </w:p>
    <w:p w14:paraId="45951C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（一）电话人工咨询服务</w:t>
      </w:r>
    </w:p>
    <w:p w14:paraId="04656A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1B80B8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（二）自助查询服务</w:t>
      </w:r>
    </w:p>
    <w:p w14:paraId="4CA056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投资者可通过基金管理人呼叫中心自动语音系统、基金管理人网上账户查询系统进行账户余额、交易情况、基金净值等信息查询。</w:t>
      </w:r>
    </w:p>
    <w:p w14:paraId="3E2FA9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（三）邮件咨询服务</w:t>
      </w:r>
    </w:p>
    <w:p w14:paraId="4581C8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投资者可通过电子邮件的形式向基金管理人提出疑问，针对投资者的问题，基金管理人将设有专员进行及时回复。</w:t>
      </w:r>
    </w:p>
    <w:p w14:paraId="1EE578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（四）免费信息订阅服务</w:t>
      </w:r>
    </w:p>
    <w:p w14:paraId="645D68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E81C3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（五）资料邮寄服务</w:t>
      </w:r>
    </w:p>
    <w:p w14:paraId="0348B30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基金管理人可免费为基金投资人提供基金持有证明和交易对账单邮寄服务。投资者可根据需要，通过基金管理人网站或客服热线定制、修改或取消该服务。</w:t>
      </w:r>
    </w:p>
    <w:p w14:paraId="1708DF9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（六）客户投诉受理服务</w:t>
      </w:r>
    </w:p>
    <w:p w14:paraId="4A76B2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投资人可以通过客服热线、书信、电子邮件等渠道，对基金管理人和销售机构所提供的服务进行投诉。</w:t>
      </w:r>
    </w:p>
    <w:p w14:paraId="469A43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对于工作日期间受理的投诉，以“及时回复”为处理原则，对于不能及时回复的投诉，</w:t>
      </w:r>
      <w:r w:rsidRPr="00BD090D">
        <w:rPr>
          <w:rFonts w:ascii="宋体" w:eastAsia="宋体" w:hAnsi="宋体" w:hint="eastAsia"/>
          <w:szCs w:val="21"/>
        </w:rPr>
        <w:lastRenderedPageBreak/>
        <w:t xml:space="preserve">基金管理人承诺在 3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 xml:space="preserve">工作日之内对基金投资人的投诉做出回复。对于非工作日提出的投诉，基金管理人将在顺延到下 1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工作日进行回复。</w:t>
      </w:r>
    </w:p>
    <w:p w14:paraId="272D41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（七）基金管理人联系方式 </w:t>
      </w:r>
    </w:p>
    <w:p w14:paraId="0E36BA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公司网址： www.furamc.com .</w:t>
      </w:r>
      <w:proofErr w:type="spellStart"/>
      <w:r w:rsidRPr="00BD090D">
        <w:rPr>
          <w:rFonts w:ascii="宋体" w:eastAsia="宋体" w:hAnsi="宋体" w:hint="eastAsia"/>
          <w:szCs w:val="21"/>
        </w:rPr>
        <w:t>cn</w:t>
      </w:r>
      <w:proofErr w:type="spellEnd"/>
    </w:p>
    <w:p w14:paraId="6493C8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电子信箱：service@furamc.com.cn</w:t>
      </w:r>
    </w:p>
    <w:p w14:paraId="147400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客服热线：4006855600</w:t>
      </w:r>
    </w:p>
    <w:p w14:paraId="414AD6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客户服务部门地址：深圳市福田区八卦四路52号安吉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24层，富荣基金管理有限公司客户服务部门（收）</w:t>
      </w:r>
    </w:p>
    <w:p w14:paraId="6F2203A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邮编：518038</w:t>
      </w:r>
    </w:p>
    <w:p w14:paraId="06F3D5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（八）如本招募说明书存在任何您/</w:t>
      </w:r>
      <w:proofErr w:type="gramStart"/>
      <w:r w:rsidRPr="00BD090D">
        <w:rPr>
          <w:rFonts w:ascii="宋体" w:eastAsia="宋体" w:hAnsi="宋体" w:hint="eastAsia"/>
          <w:szCs w:val="21"/>
        </w:rPr>
        <w:t>贵机构</w:t>
      </w:r>
      <w:proofErr w:type="gramEnd"/>
      <w:r w:rsidRPr="00BD090D">
        <w:rPr>
          <w:rFonts w:ascii="宋体" w:eastAsia="宋体" w:hAnsi="宋体" w:hint="eastAsia"/>
          <w:szCs w:val="21"/>
        </w:rPr>
        <w:t>无法理解的内容，请通过</w:t>
      </w:r>
      <w:proofErr w:type="gramStart"/>
      <w:r w:rsidRPr="00BD090D">
        <w:rPr>
          <w:rFonts w:ascii="宋体" w:eastAsia="宋体" w:hAnsi="宋体" w:hint="eastAsia"/>
          <w:szCs w:val="21"/>
        </w:rPr>
        <w:t>上述联系</w:t>
      </w:r>
      <w:proofErr w:type="gramEnd"/>
      <w:r w:rsidRPr="00BD090D">
        <w:rPr>
          <w:rFonts w:ascii="宋体" w:eastAsia="宋体" w:hAnsi="宋体" w:hint="eastAsia"/>
          <w:szCs w:val="21"/>
        </w:rPr>
        <w:t>方式联系基金管理人。</w:t>
      </w:r>
      <w:proofErr w:type="gramStart"/>
      <w:r w:rsidRPr="00BD090D">
        <w:rPr>
          <w:rFonts w:ascii="宋体" w:eastAsia="宋体" w:hAnsi="宋体" w:hint="eastAsia"/>
          <w:szCs w:val="21"/>
        </w:rPr>
        <w:t>请确保</w:t>
      </w:r>
      <w:proofErr w:type="gramEnd"/>
      <w:r w:rsidRPr="00BD090D">
        <w:rPr>
          <w:rFonts w:ascii="宋体" w:eastAsia="宋体" w:hAnsi="宋体" w:hint="eastAsia"/>
          <w:szCs w:val="21"/>
        </w:rPr>
        <w:t>投资前，您/</w:t>
      </w:r>
      <w:proofErr w:type="gramStart"/>
      <w:r w:rsidRPr="00BD090D">
        <w:rPr>
          <w:rFonts w:ascii="宋体" w:eastAsia="宋体" w:hAnsi="宋体" w:hint="eastAsia"/>
          <w:szCs w:val="21"/>
        </w:rPr>
        <w:t>贵机构</w:t>
      </w:r>
      <w:proofErr w:type="gramEnd"/>
      <w:r w:rsidRPr="00BD090D">
        <w:rPr>
          <w:rFonts w:ascii="宋体" w:eastAsia="宋体" w:hAnsi="宋体" w:hint="eastAsia"/>
          <w:szCs w:val="21"/>
        </w:rPr>
        <w:t xml:space="preserve">已经全面理解了本招募说明书。 </w:t>
      </w:r>
    </w:p>
    <w:p w14:paraId="535048E9" w14:textId="77777777" w:rsidR="00A8367A"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A09EBF5" w14:textId="29570EBE" w:rsidR="00F749C9" w:rsidRDefault="00A8367A" w:rsidP="00A8367A">
      <w:pPr>
        <w:widowControl/>
        <w:jc w:val="left"/>
        <w:rPr>
          <w:rFonts w:ascii="宋体" w:eastAsia="宋体" w:hAnsi="宋体"/>
          <w:szCs w:val="21"/>
        </w:rPr>
      </w:pPr>
      <w:r>
        <w:rPr>
          <w:rFonts w:ascii="宋体" w:eastAsia="宋体" w:hAnsi="宋体"/>
          <w:szCs w:val="21"/>
        </w:rPr>
        <w:br w:type="page"/>
      </w:r>
    </w:p>
    <w:p w14:paraId="43E980F9" w14:textId="39B80221" w:rsidR="00F749C9" w:rsidRPr="00F749C9" w:rsidRDefault="00F749C9" w:rsidP="00F749C9">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33" w:name="_Toc482624810"/>
      <w:bookmarkStart w:id="34" w:name="_Toc2677422"/>
      <w:bookmarkStart w:id="35" w:name="_Toc30359"/>
      <w:bookmarkStart w:id="36" w:name="_Toc256666929"/>
      <w:bookmarkStart w:id="37" w:name="_Toc32243"/>
      <w:bookmarkStart w:id="38" w:name="_Toc256666809"/>
      <w:bookmarkStart w:id="39" w:name="_Toc121901731"/>
      <w:r w:rsidRPr="00F749C9">
        <w:rPr>
          <w:rFonts w:ascii="Arial Unicode MS" w:eastAsia="宋体" w:hAnsi="Arial Unicode MS" w:cs="Arial" w:hint="eastAsia"/>
          <w:kern w:val="0"/>
          <w:sz w:val="28"/>
          <w:szCs w:val="28"/>
        </w:rPr>
        <w:lastRenderedPageBreak/>
        <w:t>第二十</w:t>
      </w:r>
      <w:r w:rsidR="008D2446">
        <w:rPr>
          <w:rFonts w:ascii="Arial Unicode MS" w:eastAsia="宋体" w:hAnsi="Arial Unicode MS" w:cs="Arial" w:hint="eastAsia"/>
          <w:kern w:val="0"/>
          <w:sz w:val="28"/>
          <w:szCs w:val="28"/>
        </w:rPr>
        <w:t>三</w:t>
      </w:r>
      <w:r w:rsidRPr="00F749C9">
        <w:rPr>
          <w:rFonts w:ascii="Arial Unicode MS" w:eastAsia="宋体" w:hAnsi="Arial Unicode MS" w:cs="Arial" w:hint="eastAsia"/>
          <w:kern w:val="0"/>
          <w:sz w:val="28"/>
          <w:szCs w:val="28"/>
        </w:rPr>
        <w:t>部分</w:t>
      </w:r>
      <w:r w:rsidRPr="00F749C9">
        <w:rPr>
          <w:rFonts w:ascii="Arial Unicode MS" w:eastAsia="宋体" w:hAnsi="Arial Unicode MS" w:cs="Arial"/>
          <w:kern w:val="0"/>
          <w:sz w:val="28"/>
          <w:szCs w:val="28"/>
        </w:rPr>
        <w:t xml:space="preserve">  </w:t>
      </w:r>
      <w:r w:rsidRPr="00F749C9">
        <w:rPr>
          <w:rFonts w:ascii="Arial Unicode MS" w:eastAsia="宋体" w:hAnsi="Arial Unicode MS" w:cs="Arial" w:hint="eastAsia"/>
          <w:kern w:val="0"/>
          <w:sz w:val="28"/>
          <w:szCs w:val="28"/>
        </w:rPr>
        <w:t>其他应披露事项</w:t>
      </w:r>
      <w:bookmarkEnd w:id="33"/>
      <w:bookmarkEnd w:id="34"/>
      <w:bookmarkEnd w:id="35"/>
      <w:bookmarkEnd w:id="36"/>
      <w:bookmarkEnd w:id="37"/>
      <w:bookmarkEnd w:id="38"/>
      <w:bookmarkEnd w:id="39"/>
    </w:p>
    <w:p w14:paraId="0DF40AC8" w14:textId="77777777" w:rsidR="00F749C9" w:rsidRPr="00F749C9" w:rsidRDefault="00F749C9">
      <w:pPr>
        <w:widowControl/>
        <w:jc w:val="left"/>
        <w:rPr>
          <w:rFonts w:ascii="宋体" w:eastAsia="宋体" w:hAnsi="宋体"/>
          <w:szCs w:val="21"/>
        </w:rPr>
      </w:pPr>
    </w:p>
    <w:p w14:paraId="12092E19" w14:textId="02C2D1D0" w:rsidR="00F749C9" w:rsidRDefault="00F749C9">
      <w:pPr>
        <w:widowControl/>
        <w:jc w:val="left"/>
        <w:rPr>
          <w:rFonts w:ascii="宋体" w:eastAsia="宋体" w:hAnsi="宋体"/>
          <w:szCs w:val="21"/>
        </w:rPr>
      </w:pPr>
      <w:r w:rsidRPr="00F749C9">
        <w:rPr>
          <w:rFonts w:ascii="宋体" w:eastAsia="宋体" w:hAnsi="宋体" w:hint="eastAsia"/>
          <w:szCs w:val="21"/>
        </w:rPr>
        <w:t>报告期内本基金及基金管理人的有关更新公告：</w:t>
      </w:r>
    </w:p>
    <w:tbl>
      <w:tblPr>
        <w:tblStyle w:val="ab"/>
        <w:tblW w:w="8856" w:type="dxa"/>
        <w:tblLayout w:type="fixed"/>
        <w:tblLook w:val="04A0" w:firstRow="1" w:lastRow="0" w:firstColumn="1" w:lastColumn="0" w:noHBand="0" w:noVBand="1"/>
      </w:tblPr>
      <w:tblGrid>
        <w:gridCol w:w="817"/>
        <w:gridCol w:w="5528"/>
        <w:gridCol w:w="2511"/>
      </w:tblGrid>
      <w:tr w:rsidR="006658B6" w:rsidRPr="009901B0" w14:paraId="5116F56D" w14:textId="77777777" w:rsidTr="006658B6">
        <w:tc>
          <w:tcPr>
            <w:tcW w:w="817" w:type="dxa"/>
          </w:tcPr>
          <w:p w14:paraId="73ACF687" w14:textId="77777777" w:rsidR="006658B6" w:rsidRPr="009901B0" w:rsidRDefault="006658B6" w:rsidP="00AC0E14">
            <w:pPr>
              <w:widowControl/>
              <w:jc w:val="left"/>
              <w:rPr>
                <w:rFonts w:ascii="宋体" w:eastAsia="宋体" w:hAnsi="宋体"/>
                <w:b/>
                <w:szCs w:val="21"/>
              </w:rPr>
            </w:pPr>
            <w:r w:rsidRPr="009901B0">
              <w:rPr>
                <w:rFonts w:ascii="宋体" w:eastAsia="宋体" w:hAnsi="宋体" w:hint="eastAsia"/>
                <w:b/>
                <w:szCs w:val="21"/>
              </w:rPr>
              <w:t>序号</w:t>
            </w:r>
          </w:p>
        </w:tc>
        <w:tc>
          <w:tcPr>
            <w:tcW w:w="5528" w:type="dxa"/>
          </w:tcPr>
          <w:p w14:paraId="4D7A944D" w14:textId="77777777" w:rsidR="006658B6" w:rsidRPr="009901B0" w:rsidRDefault="006658B6" w:rsidP="00AC0E14">
            <w:pPr>
              <w:widowControl/>
              <w:jc w:val="left"/>
              <w:rPr>
                <w:rFonts w:ascii="宋体" w:eastAsia="宋体" w:hAnsi="宋体"/>
                <w:b/>
                <w:szCs w:val="21"/>
              </w:rPr>
            </w:pPr>
            <w:r w:rsidRPr="009901B0">
              <w:rPr>
                <w:rFonts w:ascii="宋体" w:eastAsia="宋体" w:hAnsi="宋体" w:hint="eastAsia"/>
                <w:b/>
                <w:szCs w:val="21"/>
              </w:rPr>
              <w:t>公告事项</w:t>
            </w:r>
          </w:p>
        </w:tc>
        <w:tc>
          <w:tcPr>
            <w:tcW w:w="2511" w:type="dxa"/>
          </w:tcPr>
          <w:p w14:paraId="7298202B" w14:textId="77777777" w:rsidR="006658B6" w:rsidRPr="009901B0" w:rsidRDefault="006658B6" w:rsidP="00AC0E14">
            <w:pPr>
              <w:widowControl/>
              <w:jc w:val="left"/>
              <w:rPr>
                <w:rFonts w:ascii="宋体" w:eastAsia="宋体" w:hAnsi="宋体"/>
                <w:b/>
                <w:szCs w:val="21"/>
              </w:rPr>
            </w:pPr>
            <w:r w:rsidRPr="009901B0">
              <w:rPr>
                <w:rFonts w:ascii="宋体" w:eastAsia="宋体" w:hAnsi="宋体" w:hint="eastAsia"/>
                <w:b/>
                <w:szCs w:val="21"/>
              </w:rPr>
              <w:t>披露日期</w:t>
            </w:r>
          </w:p>
        </w:tc>
      </w:tr>
      <w:tr w:rsidR="006658B6" w:rsidRPr="009901B0" w14:paraId="381CA7DA" w14:textId="77777777" w:rsidTr="006658B6">
        <w:tc>
          <w:tcPr>
            <w:tcW w:w="817" w:type="dxa"/>
          </w:tcPr>
          <w:p w14:paraId="78D22E56" w14:textId="77777777" w:rsidR="006658B6" w:rsidRPr="00041C80" w:rsidRDefault="006658B6" w:rsidP="00AC0E14">
            <w:pPr>
              <w:widowControl/>
              <w:jc w:val="left"/>
            </w:pPr>
            <w:r>
              <w:rPr>
                <w:rFonts w:hint="eastAsia"/>
              </w:rPr>
              <w:t>1</w:t>
            </w:r>
          </w:p>
        </w:tc>
        <w:tc>
          <w:tcPr>
            <w:tcW w:w="5528" w:type="dxa"/>
          </w:tcPr>
          <w:p w14:paraId="32488DFB" w14:textId="77777777" w:rsidR="006658B6" w:rsidRDefault="006658B6" w:rsidP="00AC0E14">
            <w:pPr>
              <w:widowControl/>
              <w:jc w:val="left"/>
              <w:rPr>
                <w:color w:val="000000"/>
                <w:sz w:val="22"/>
              </w:rPr>
            </w:pPr>
            <w:r>
              <w:rPr>
                <w:rFonts w:hint="eastAsia"/>
                <w:color w:val="000000"/>
                <w:sz w:val="22"/>
              </w:rPr>
              <w:t>富荣富合一年定期</w:t>
            </w:r>
            <w:proofErr w:type="gramStart"/>
            <w:r>
              <w:rPr>
                <w:rFonts w:hint="eastAsia"/>
                <w:color w:val="000000"/>
                <w:sz w:val="22"/>
              </w:rPr>
              <w:t>开放纯债债券</w:t>
            </w:r>
            <w:proofErr w:type="gramEnd"/>
            <w:r>
              <w:rPr>
                <w:rFonts w:hint="eastAsia"/>
                <w:color w:val="000000"/>
                <w:sz w:val="22"/>
              </w:rPr>
              <w:t>型发起式证券投资基金招募说明书更新及产品资料概要更新的提示性公告</w:t>
            </w:r>
          </w:p>
        </w:tc>
        <w:tc>
          <w:tcPr>
            <w:tcW w:w="2511" w:type="dxa"/>
          </w:tcPr>
          <w:p w14:paraId="247BB006" w14:textId="77777777" w:rsidR="006658B6" w:rsidRPr="00E41190" w:rsidRDefault="006658B6" w:rsidP="00AC0E14">
            <w:pPr>
              <w:widowControl/>
              <w:jc w:val="left"/>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16</w:t>
            </w:r>
            <w:r>
              <w:rPr>
                <w:rFonts w:hint="eastAsia"/>
                <w:color w:val="000000"/>
                <w:sz w:val="22"/>
              </w:rPr>
              <w:t>日</w:t>
            </w:r>
          </w:p>
        </w:tc>
      </w:tr>
      <w:tr w:rsidR="006658B6" w:rsidRPr="009901B0" w14:paraId="23365290" w14:textId="77777777" w:rsidTr="006658B6">
        <w:tc>
          <w:tcPr>
            <w:tcW w:w="817" w:type="dxa"/>
          </w:tcPr>
          <w:p w14:paraId="3E602F96" w14:textId="77777777" w:rsidR="006658B6" w:rsidRPr="00041C80" w:rsidRDefault="006658B6" w:rsidP="00AC0E14">
            <w:pPr>
              <w:widowControl/>
              <w:jc w:val="left"/>
            </w:pPr>
            <w:r>
              <w:rPr>
                <w:rFonts w:hint="eastAsia"/>
              </w:rPr>
              <w:t>2</w:t>
            </w:r>
          </w:p>
        </w:tc>
        <w:tc>
          <w:tcPr>
            <w:tcW w:w="5528" w:type="dxa"/>
          </w:tcPr>
          <w:p w14:paraId="0B0E5BB9" w14:textId="77777777" w:rsidR="006658B6" w:rsidRDefault="006658B6" w:rsidP="00AC0E14">
            <w:pPr>
              <w:widowControl/>
              <w:jc w:val="left"/>
              <w:rPr>
                <w:color w:val="000000"/>
                <w:sz w:val="22"/>
              </w:rPr>
            </w:pPr>
            <w:r>
              <w:rPr>
                <w:rFonts w:hint="eastAsia"/>
                <w:color w:val="000000"/>
                <w:sz w:val="22"/>
              </w:rPr>
              <w:t>富荣富合一年定期</w:t>
            </w:r>
            <w:proofErr w:type="gramStart"/>
            <w:r>
              <w:rPr>
                <w:rFonts w:hint="eastAsia"/>
                <w:color w:val="000000"/>
                <w:sz w:val="22"/>
              </w:rPr>
              <w:t>开放纯债债券</w:t>
            </w:r>
            <w:proofErr w:type="gramEnd"/>
            <w:r>
              <w:rPr>
                <w:rFonts w:hint="eastAsia"/>
                <w:color w:val="000000"/>
                <w:sz w:val="22"/>
              </w:rPr>
              <w:t>型发起式证券投资基金开放申购、赎回和转换业务的公告</w:t>
            </w:r>
          </w:p>
        </w:tc>
        <w:tc>
          <w:tcPr>
            <w:tcW w:w="2511" w:type="dxa"/>
          </w:tcPr>
          <w:p w14:paraId="40E16D99" w14:textId="77777777" w:rsidR="006658B6" w:rsidRPr="00E41190" w:rsidRDefault="006658B6" w:rsidP="00AC0E14">
            <w:pPr>
              <w:widowControl/>
              <w:jc w:val="left"/>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29</w:t>
            </w:r>
            <w:r>
              <w:rPr>
                <w:rFonts w:hint="eastAsia"/>
                <w:color w:val="000000"/>
                <w:sz w:val="22"/>
              </w:rPr>
              <w:t>日</w:t>
            </w:r>
          </w:p>
        </w:tc>
      </w:tr>
      <w:tr w:rsidR="006658B6" w:rsidRPr="009901B0" w14:paraId="59C8D7AE" w14:textId="77777777" w:rsidTr="006658B6">
        <w:tc>
          <w:tcPr>
            <w:tcW w:w="817" w:type="dxa"/>
          </w:tcPr>
          <w:p w14:paraId="760A18D4" w14:textId="77777777" w:rsidR="006658B6" w:rsidRDefault="006658B6" w:rsidP="00AC0E14">
            <w:pPr>
              <w:widowControl/>
              <w:jc w:val="left"/>
            </w:pPr>
            <w:r>
              <w:rPr>
                <w:rFonts w:hint="eastAsia"/>
              </w:rPr>
              <w:t>3</w:t>
            </w:r>
          </w:p>
        </w:tc>
        <w:tc>
          <w:tcPr>
            <w:tcW w:w="5528" w:type="dxa"/>
          </w:tcPr>
          <w:p w14:paraId="7C6777E5" w14:textId="77777777" w:rsidR="006658B6" w:rsidRDefault="006658B6" w:rsidP="00AC0E14">
            <w:pPr>
              <w:widowControl/>
              <w:jc w:val="left"/>
              <w:rPr>
                <w:color w:val="000000"/>
                <w:sz w:val="22"/>
              </w:rPr>
            </w:pPr>
            <w:r>
              <w:rPr>
                <w:rFonts w:hint="eastAsia"/>
                <w:color w:val="000000"/>
                <w:sz w:val="22"/>
              </w:rPr>
              <w:t>富荣基金管理有限公司关于旗下公开募集证券投资基金执行新金融工具相关会计准则的公告</w:t>
            </w:r>
          </w:p>
        </w:tc>
        <w:tc>
          <w:tcPr>
            <w:tcW w:w="2511" w:type="dxa"/>
          </w:tcPr>
          <w:p w14:paraId="286F8833"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w:t>
            </w:r>
            <w:r>
              <w:rPr>
                <w:rFonts w:hint="eastAsia"/>
                <w:color w:val="000000"/>
                <w:sz w:val="22"/>
              </w:rPr>
              <w:t>日</w:t>
            </w:r>
          </w:p>
        </w:tc>
      </w:tr>
      <w:tr w:rsidR="006658B6" w:rsidRPr="009901B0" w14:paraId="79A34F1D" w14:textId="77777777" w:rsidTr="006658B6">
        <w:tc>
          <w:tcPr>
            <w:tcW w:w="817" w:type="dxa"/>
          </w:tcPr>
          <w:p w14:paraId="09070F2C" w14:textId="77777777" w:rsidR="006658B6" w:rsidRDefault="006658B6" w:rsidP="00AC0E14">
            <w:pPr>
              <w:widowControl/>
              <w:jc w:val="left"/>
            </w:pPr>
            <w:r>
              <w:rPr>
                <w:rFonts w:hint="eastAsia"/>
              </w:rPr>
              <w:t>4</w:t>
            </w:r>
          </w:p>
        </w:tc>
        <w:tc>
          <w:tcPr>
            <w:tcW w:w="5528" w:type="dxa"/>
          </w:tcPr>
          <w:p w14:paraId="6EDDC01B" w14:textId="77777777" w:rsidR="006658B6" w:rsidRDefault="006658B6" w:rsidP="00AC0E14">
            <w:pPr>
              <w:widowControl/>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511" w:type="dxa"/>
          </w:tcPr>
          <w:p w14:paraId="4C1FC3B2"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24</w:t>
            </w:r>
            <w:r>
              <w:rPr>
                <w:rFonts w:hint="eastAsia"/>
                <w:color w:val="000000"/>
                <w:sz w:val="22"/>
              </w:rPr>
              <w:t>日</w:t>
            </w:r>
          </w:p>
        </w:tc>
      </w:tr>
      <w:tr w:rsidR="006658B6" w:rsidRPr="009901B0" w14:paraId="15DDD8F4" w14:textId="77777777" w:rsidTr="006658B6">
        <w:tc>
          <w:tcPr>
            <w:tcW w:w="817" w:type="dxa"/>
          </w:tcPr>
          <w:p w14:paraId="091F085F" w14:textId="77777777" w:rsidR="006658B6" w:rsidRDefault="006658B6" w:rsidP="00AC0E14">
            <w:pPr>
              <w:widowControl/>
              <w:jc w:val="left"/>
            </w:pPr>
            <w:r>
              <w:rPr>
                <w:rFonts w:hint="eastAsia"/>
              </w:rPr>
              <w:t>5</w:t>
            </w:r>
          </w:p>
        </w:tc>
        <w:tc>
          <w:tcPr>
            <w:tcW w:w="5528" w:type="dxa"/>
          </w:tcPr>
          <w:p w14:paraId="0690C94E" w14:textId="77777777" w:rsidR="006658B6" w:rsidRDefault="006658B6" w:rsidP="00AC0E14">
            <w:pPr>
              <w:widowControl/>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年年度报告提示性公告</w:t>
            </w:r>
          </w:p>
        </w:tc>
        <w:tc>
          <w:tcPr>
            <w:tcW w:w="2511" w:type="dxa"/>
          </w:tcPr>
          <w:p w14:paraId="7B876FED"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6658B6" w:rsidRPr="009901B0" w14:paraId="194FE1E2" w14:textId="77777777" w:rsidTr="006658B6">
        <w:tc>
          <w:tcPr>
            <w:tcW w:w="817" w:type="dxa"/>
          </w:tcPr>
          <w:p w14:paraId="7AD8B3DF" w14:textId="77777777" w:rsidR="006658B6" w:rsidRDefault="006658B6" w:rsidP="00AC0E14">
            <w:pPr>
              <w:widowControl/>
              <w:jc w:val="left"/>
            </w:pPr>
            <w:r>
              <w:rPr>
                <w:rFonts w:hint="eastAsia"/>
              </w:rPr>
              <w:t>6</w:t>
            </w:r>
          </w:p>
        </w:tc>
        <w:tc>
          <w:tcPr>
            <w:tcW w:w="5528" w:type="dxa"/>
          </w:tcPr>
          <w:p w14:paraId="66796ACB" w14:textId="77777777" w:rsidR="006658B6" w:rsidRDefault="006658B6" w:rsidP="00AC0E14">
            <w:pPr>
              <w:widowControl/>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511" w:type="dxa"/>
          </w:tcPr>
          <w:p w14:paraId="5B02E674"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22</w:t>
            </w:r>
            <w:r>
              <w:rPr>
                <w:rFonts w:hint="eastAsia"/>
                <w:color w:val="000000"/>
                <w:sz w:val="22"/>
              </w:rPr>
              <w:t>日</w:t>
            </w:r>
          </w:p>
        </w:tc>
      </w:tr>
      <w:tr w:rsidR="006658B6" w:rsidRPr="009901B0" w14:paraId="6C089053" w14:textId="77777777" w:rsidTr="006658B6">
        <w:tc>
          <w:tcPr>
            <w:tcW w:w="817" w:type="dxa"/>
          </w:tcPr>
          <w:p w14:paraId="28996A9A" w14:textId="77777777" w:rsidR="006658B6" w:rsidRDefault="006658B6" w:rsidP="00AC0E14">
            <w:pPr>
              <w:widowControl/>
              <w:jc w:val="left"/>
            </w:pPr>
            <w:r>
              <w:rPr>
                <w:rFonts w:hint="eastAsia"/>
              </w:rPr>
              <w:t>7</w:t>
            </w:r>
          </w:p>
        </w:tc>
        <w:tc>
          <w:tcPr>
            <w:tcW w:w="5528" w:type="dxa"/>
          </w:tcPr>
          <w:p w14:paraId="209B6512" w14:textId="77777777" w:rsidR="006658B6" w:rsidRDefault="006658B6" w:rsidP="00AC0E14">
            <w:pPr>
              <w:widowControl/>
              <w:jc w:val="left"/>
              <w:rPr>
                <w:color w:val="000000"/>
                <w:sz w:val="22"/>
              </w:rPr>
            </w:pPr>
            <w:r>
              <w:rPr>
                <w:rFonts w:hint="eastAsia"/>
                <w:color w:val="000000"/>
                <w:sz w:val="22"/>
              </w:rPr>
              <w:t>富荣基金管理有限公司关于旗下基金参加北京</w:t>
            </w:r>
            <w:proofErr w:type="gramStart"/>
            <w:r>
              <w:rPr>
                <w:rFonts w:hint="eastAsia"/>
                <w:color w:val="000000"/>
                <w:sz w:val="22"/>
              </w:rPr>
              <w:t>创金启富基金</w:t>
            </w:r>
            <w:proofErr w:type="gramEnd"/>
            <w:r>
              <w:rPr>
                <w:rFonts w:hint="eastAsia"/>
                <w:color w:val="000000"/>
                <w:sz w:val="22"/>
              </w:rPr>
              <w:t>销售有限公司基金认购、申购及定期定额投资申购费率优惠活动的公告</w:t>
            </w:r>
          </w:p>
        </w:tc>
        <w:tc>
          <w:tcPr>
            <w:tcW w:w="2511" w:type="dxa"/>
          </w:tcPr>
          <w:p w14:paraId="04813630"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6658B6" w:rsidRPr="009901B0" w14:paraId="12F056AE" w14:textId="77777777" w:rsidTr="006658B6">
        <w:tc>
          <w:tcPr>
            <w:tcW w:w="817" w:type="dxa"/>
          </w:tcPr>
          <w:p w14:paraId="1F95A588" w14:textId="77777777" w:rsidR="006658B6" w:rsidRDefault="006658B6" w:rsidP="00AC0E14">
            <w:pPr>
              <w:widowControl/>
              <w:jc w:val="left"/>
            </w:pPr>
            <w:r>
              <w:rPr>
                <w:rFonts w:hint="eastAsia"/>
              </w:rPr>
              <w:t>8</w:t>
            </w:r>
          </w:p>
        </w:tc>
        <w:tc>
          <w:tcPr>
            <w:tcW w:w="5528" w:type="dxa"/>
          </w:tcPr>
          <w:p w14:paraId="4AFC231B" w14:textId="77777777" w:rsidR="006658B6" w:rsidRDefault="006658B6" w:rsidP="00AC0E14">
            <w:pPr>
              <w:widowControl/>
              <w:jc w:val="left"/>
              <w:rPr>
                <w:color w:val="000000"/>
                <w:sz w:val="22"/>
              </w:rPr>
            </w:pPr>
            <w:r>
              <w:rPr>
                <w:rFonts w:hint="eastAsia"/>
                <w:color w:val="000000"/>
                <w:sz w:val="22"/>
              </w:rPr>
              <w:t>富荣基金管理有限公司关于旗下基金参加和讯信息科技有限公司基金认购、申购及定期定额投资申购费率优惠活动的公告</w:t>
            </w:r>
          </w:p>
        </w:tc>
        <w:tc>
          <w:tcPr>
            <w:tcW w:w="2511" w:type="dxa"/>
          </w:tcPr>
          <w:p w14:paraId="45DB8E56"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6658B6" w:rsidRPr="009901B0" w14:paraId="6B3DF78D" w14:textId="77777777" w:rsidTr="006658B6">
        <w:tc>
          <w:tcPr>
            <w:tcW w:w="817" w:type="dxa"/>
          </w:tcPr>
          <w:p w14:paraId="293A1818" w14:textId="77777777" w:rsidR="006658B6" w:rsidRDefault="006658B6" w:rsidP="00AC0E14">
            <w:pPr>
              <w:widowControl/>
              <w:jc w:val="left"/>
            </w:pPr>
            <w:r>
              <w:rPr>
                <w:rFonts w:hint="eastAsia"/>
              </w:rPr>
              <w:t>9</w:t>
            </w:r>
          </w:p>
        </w:tc>
        <w:tc>
          <w:tcPr>
            <w:tcW w:w="5528" w:type="dxa"/>
          </w:tcPr>
          <w:p w14:paraId="34BB241D" w14:textId="77777777" w:rsidR="006658B6" w:rsidRDefault="006658B6" w:rsidP="00AC0E14">
            <w:pPr>
              <w:widowControl/>
              <w:jc w:val="left"/>
              <w:rPr>
                <w:color w:val="000000"/>
                <w:sz w:val="22"/>
              </w:rPr>
            </w:pPr>
            <w:r>
              <w:rPr>
                <w:rFonts w:hint="eastAsia"/>
                <w:color w:val="000000"/>
                <w:sz w:val="22"/>
              </w:rPr>
              <w:t>富荣基金管理有限公司关于旗下基金新增北京</w:t>
            </w:r>
            <w:proofErr w:type="gramStart"/>
            <w:r>
              <w:rPr>
                <w:rFonts w:hint="eastAsia"/>
                <w:color w:val="000000"/>
                <w:sz w:val="22"/>
              </w:rPr>
              <w:t>创金启富基金</w:t>
            </w:r>
            <w:proofErr w:type="gramEnd"/>
            <w:r>
              <w:rPr>
                <w:rFonts w:hint="eastAsia"/>
                <w:color w:val="000000"/>
                <w:sz w:val="22"/>
              </w:rPr>
              <w:t>销售有限公司为销售机构、开通基金定期定额投资业务和基金转换业务的公告</w:t>
            </w:r>
          </w:p>
        </w:tc>
        <w:tc>
          <w:tcPr>
            <w:tcW w:w="2511" w:type="dxa"/>
          </w:tcPr>
          <w:p w14:paraId="0A654CBF"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6658B6" w:rsidRPr="009901B0" w14:paraId="788DA6B5" w14:textId="77777777" w:rsidTr="006658B6">
        <w:tc>
          <w:tcPr>
            <w:tcW w:w="817" w:type="dxa"/>
          </w:tcPr>
          <w:p w14:paraId="434ED6F5" w14:textId="77777777" w:rsidR="006658B6" w:rsidRDefault="006658B6" w:rsidP="00AC0E14">
            <w:pPr>
              <w:widowControl/>
              <w:jc w:val="left"/>
            </w:pPr>
            <w:r>
              <w:rPr>
                <w:rFonts w:hint="eastAsia"/>
              </w:rPr>
              <w:t>1</w:t>
            </w:r>
            <w:r>
              <w:t>0</w:t>
            </w:r>
          </w:p>
        </w:tc>
        <w:tc>
          <w:tcPr>
            <w:tcW w:w="5528" w:type="dxa"/>
          </w:tcPr>
          <w:p w14:paraId="42993CDC" w14:textId="77777777" w:rsidR="006658B6" w:rsidRDefault="006658B6" w:rsidP="00AC0E14">
            <w:pPr>
              <w:widowControl/>
              <w:jc w:val="left"/>
              <w:rPr>
                <w:color w:val="000000"/>
                <w:sz w:val="22"/>
              </w:rPr>
            </w:pPr>
            <w:r>
              <w:rPr>
                <w:rFonts w:hint="eastAsia"/>
                <w:color w:val="000000"/>
                <w:sz w:val="22"/>
              </w:rPr>
              <w:t>富荣基金管理有限公司关于旗下基金新增和讯信息科技有限公司为销售机构、开通基金定期定额投资业务和基金转换业务的公告</w:t>
            </w:r>
          </w:p>
        </w:tc>
        <w:tc>
          <w:tcPr>
            <w:tcW w:w="2511" w:type="dxa"/>
          </w:tcPr>
          <w:p w14:paraId="0BC0A52F"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6658B6" w:rsidRPr="009901B0" w14:paraId="6FA1F636" w14:textId="77777777" w:rsidTr="006658B6">
        <w:tc>
          <w:tcPr>
            <w:tcW w:w="817" w:type="dxa"/>
          </w:tcPr>
          <w:p w14:paraId="6D415527" w14:textId="77777777" w:rsidR="006658B6" w:rsidRDefault="006658B6" w:rsidP="00AC0E14">
            <w:pPr>
              <w:widowControl/>
              <w:jc w:val="left"/>
            </w:pPr>
            <w:r>
              <w:rPr>
                <w:rFonts w:hint="eastAsia"/>
              </w:rPr>
              <w:t>1</w:t>
            </w:r>
            <w:r>
              <w:t>1</w:t>
            </w:r>
          </w:p>
        </w:tc>
        <w:tc>
          <w:tcPr>
            <w:tcW w:w="5528" w:type="dxa"/>
          </w:tcPr>
          <w:p w14:paraId="7E6CAC7B" w14:textId="77777777" w:rsidR="006658B6" w:rsidRDefault="006658B6" w:rsidP="00AC0E14">
            <w:pPr>
              <w:widowControl/>
              <w:jc w:val="left"/>
              <w:rPr>
                <w:color w:val="000000"/>
                <w:sz w:val="22"/>
              </w:rPr>
            </w:pPr>
            <w:r>
              <w:rPr>
                <w:rFonts w:hint="eastAsia"/>
                <w:color w:val="000000"/>
                <w:sz w:val="22"/>
              </w:rPr>
              <w:t>富荣基金管理有限公司关于基金经理结束产假恢复履行职务的公告</w:t>
            </w:r>
          </w:p>
        </w:tc>
        <w:tc>
          <w:tcPr>
            <w:tcW w:w="2511" w:type="dxa"/>
          </w:tcPr>
          <w:p w14:paraId="2A21D981"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27</w:t>
            </w:r>
            <w:r>
              <w:rPr>
                <w:rFonts w:hint="eastAsia"/>
                <w:color w:val="000000"/>
                <w:sz w:val="22"/>
              </w:rPr>
              <w:t>日</w:t>
            </w:r>
          </w:p>
        </w:tc>
      </w:tr>
      <w:tr w:rsidR="006658B6" w:rsidRPr="009901B0" w14:paraId="570C2603" w14:textId="77777777" w:rsidTr="006658B6">
        <w:tc>
          <w:tcPr>
            <w:tcW w:w="817" w:type="dxa"/>
          </w:tcPr>
          <w:p w14:paraId="336F7958" w14:textId="77777777" w:rsidR="006658B6" w:rsidRDefault="006658B6" w:rsidP="00AC0E14">
            <w:pPr>
              <w:widowControl/>
              <w:jc w:val="left"/>
            </w:pPr>
            <w:r>
              <w:rPr>
                <w:rFonts w:hint="eastAsia"/>
              </w:rPr>
              <w:t>1</w:t>
            </w:r>
            <w:r>
              <w:t>2</w:t>
            </w:r>
          </w:p>
        </w:tc>
        <w:tc>
          <w:tcPr>
            <w:tcW w:w="5528" w:type="dxa"/>
          </w:tcPr>
          <w:p w14:paraId="568EE508" w14:textId="77777777" w:rsidR="006658B6" w:rsidRDefault="006658B6" w:rsidP="00AC0E14">
            <w:pPr>
              <w:widowControl/>
              <w:jc w:val="left"/>
              <w:rPr>
                <w:color w:val="000000"/>
                <w:sz w:val="22"/>
              </w:rPr>
            </w:pPr>
            <w:r>
              <w:rPr>
                <w:rFonts w:hint="eastAsia"/>
                <w:color w:val="000000"/>
                <w:sz w:val="22"/>
              </w:rPr>
              <w:t>富荣基金管理有限公司关于开展旗下基金转换费率优惠活动的公告</w:t>
            </w:r>
          </w:p>
        </w:tc>
        <w:tc>
          <w:tcPr>
            <w:tcW w:w="2511" w:type="dxa"/>
          </w:tcPr>
          <w:p w14:paraId="42F5495C"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6658B6" w:rsidRPr="009901B0" w14:paraId="407AE554" w14:textId="77777777" w:rsidTr="006658B6">
        <w:tc>
          <w:tcPr>
            <w:tcW w:w="817" w:type="dxa"/>
          </w:tcPr>
          <w:p w14:paraId="081B27E5" w14:textId="77777777" w:rsidR="006658B6" w:rsidRDefault="006658B6" w:rsidP="00AC0E14">
            <w:pPr>
              <w:widowControl/>
              <w:jc w:val="left"/>
            </w:pPr>
            <w:r>
              <w:rPr>
                <w:rFonts w:hint="eastAsia"/>
              </w:rPr>
              <w:t>1</w:t>
            </w:r>
            <w:r>
              <w:t>3</w:t>
            </w:r>
          </w:p>
        </w:tc>
        <w:tc>
          <w:tcPr>
            <w:tcW w:w="5528" w:type="dxa"/>
          </w:tcPr>
          <w:p w14:paraId="14D637C3" w14:textId="77777777" w:rsidR="006658B6" w:rsidRDefault="006658B6" w:rsidP="00AC0E14">
            <w:pPr>
              <w:widowControl/>
              <w:jc w:val="left"/>
              <w:rPr>
                <w:color w:val="000000"/>
                <w:sz w:val="22"/>
              </w:rPr>
            </w:pPr>
            <w:r>
              <w:rPr>
                <w:rFonts w:hint="eastAsia"/>
                <w:color w:val="000000"/>
                <w:sz w:val="22"/>
              </w:rPr>
              <w:t>富荣基金管理有限公司关于旗下部分基金新增平安银行股份有限公司为销售机构、开通基金定期定额投资业务和基金转换业务并参加申购及定期定额投资申购费率优惠活动的公告</w:t>
            </w:r>
          </w:p>
        </w:tc>
        <w:tc>
          <w:tcPr>
            <w:tcW w:w="2511" w:type="dxa"/>
          </w:tcPr>
          <w:p w14:paraId="7925F6D3"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16</w:t>
            </w:r>
            <w:r>
              <w:rPr>
                <w:rFonts w:hint="eastAsia"/>
                <w:color w:val="000000"/>
                <w:sz w:val="22"/>
              </w:rPr>
              <w:t>日</w:t>
            </w:r>
          </w:p>
        </w:tc>
      </w:tr>
      <w:tr w:rsidR="006658B6" w:rsidRPr="009901B0" w14:paraId="335D00E8" w14:textId="77777777" w:rsidTr="006658B6">
        <w:tc>
          <w:tcPr>
            <w:tcW w:w="817" w:type="dxa"/>
          </w:tcPr>
          <w:p w14:paraId="45BC97EA" w14:textId="77777777" w:rsidR="006658B6" w:rsidRDefault="006658B6" w:rsidP="00AC0E14">
            <w:pPr>
              <w:widowControl/>
              <w:jc w:val="left"/>
            </w:pPr>
            <w:r>
              <w:rPr>
                <w:rFonts w:hint="eastAsia"/>
              </w:rPr>
              <w:t>1</w:t>
            </w:r>
            <w:r>
              <w:t>4</w:t>
            </w:r>
          </w:p>
        </w:tc>
        <w:tc>
          <w:tcPr>
            <w:tcW w:w="5528" w:type="dxa"/>
          </w:tcPr>
          <w:p w14:paraId="6F1CC206" w14:textId="77777777" w:rsidR="006658B6" w:rsidRDefault="006658B6" w:rsidP="00AC0E14">
            <w:pPr>
              <w:widowControl/>
              <w:jc w:val="left"/>
              <w:rPr>
                <w:color w:val="000000"/>
                <w:sz w:val="22"/>
              </w:rPr>
            </w:pPr>
            <w:r>
              <w:rPr>
                <w:rFonts w:hint="eastAsia"/>
                <w:color w:val="000000"/>
                <w:sz w:val="22"/>
              </w:rPr>
              <w:t>富荣基金管理有限公司关于提醒投资者持续完善身份信息资料的公告</w:t>
            </w:r>
          </w:p>
        </w:tc>
        <w:tc>
          <w:tcPr>
            <w:tcW w:w="2511" w:type="dxa"/>
          </w:tcPr>
          <w:p w14:paraId="3D4C4E1A"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6658B6" w:rsidRPr="009901B0" w14:paraId="1D9E39EE" w14:textId="77777777" w:rsidTr="006658B6">
        <w:tc>
          <w:tcPr>
            <w:tcW w:w="817" w:type="dxa"/>
          </w:tcPr>
          <w:p w14:paraId="11F8865F" w14:textId="77777777" w:rsidR="006658B6" w:rsidRDefault="006658B6" w:rsidP="00AC0E14">
            <w:pPr>
              <w:widowControl/>
              <w:jc w:val="left"/>
            </w:pPr>
            <w:r>
              <w:rPr>
                <w:rFonts w:hint="eastAsia"/>
              </w:rPr>
              <w:t>1</w:t>
            </w:r>
            <w:r>
              <w:t>5</w:t>
            </w:r>
          </w:p>
        </w:tc>
        <w:tc>
          <w:tcPr>
            <w:tcW w:w="5528" w:type="dxa"/>
          </w:tcPr>
          <w:p w14:paraId="0647A5EF" w14:textId="77777777" w:rsidR="006658B6" w:rsidRDefault="006658B6" w:rsidP="00AC0E14">
            <w:pPr>
              <w:widowControl/>
              <w:jc w:val="left"/>
              <w:rPr>
                <w:color w:val="000000"/>
                <w:sz w:val="22"/>
              </w:rPr>
            </w:pPr>
            <w:r>
              <w:rPr>
                <w:rFonts w:hint="eastAsia"/>
                <w:color w:val="000000"/>
                <w:sz w:val="22"/>
              </w:rPr>
              <w:t>富荣基金管理有限公司关于旗下部分基金新增中</w:t>
            </w:r>
            <w:proofErr w:type="gramStart"/>
            <w:r>
              <w:rPr>
                <w:rFonts w:hint="eastAsia"/>
                <w:color w:val="000000"/>
                <w:sz w:val="22"/>
              </w:rPr>
              <w:t>邮证券</w:t>
            </w:r>
            <w:proofErr w:type="gramEnd"/>
            <w:r>
              <w:rPr>
                <w:rFonts w:hint="eastAsia"/>
                <w:color w:val="000000"/>
                <w:sz w:val="22"/>
              </w:rPr>
              <w:t>有限责任公司为销售机构、开通基金定期定额投资业务和基金转换业务并参加申购及定期定额投资申购费率优惠活动的公告</w:t>
            </w:r>
          </w:p>
        </w:tc>
        <w:tc>
          <w:tcPr>
            <w:tcW w:w="2511" w:type="dxa"/>
          </w:tcPr>
          <w:p w14:paraId="05B576E1"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6658B6" w:rsidRPr="009901B0" w14:paraId="20379654" w14:textId="77777777" w:rsidTr="006658B6">
        <w:tc>
          <w:tcPr>
            <w:tcW w:w="817" w:type="dxa"/>
          </w:tcPr>
          <w:p w14:paraId="5A212F09" w14:textId="77777777" w:rsidR="006658B6" w:rsidRDefault="006658B6" w:rsidP="00AC0E14">
            <w:pPr>
              <w:widowControl/>
              <w:jc w:val="left"/>
            </w:pPr>
            <w:r>
              <w:rPr>
                <w:rFonts w:hint="eastAsia"/>
              </w:rPr>
              <w:t>1</w:t>
            </w:r>
            <w:r>
              <w:t>6</w:t>
            </w:r>
          </w:p>
        </w:tc>
        <w:tc>
          <w:tcPr>
            <w:tcW w:w="5528" w:type="dxa"/>
          </w:tcPr>
          <w:p w14:paraId="4616425D" w14:textId="77777777" w:rsidR="006658B6" w:rsidRDefault="006658B6" w:rsidP="00AC0E14">
            <w:pPr>
              <w:widowControl/>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w:t>
            </w:r>
            <w:r>
              <w:rPr>
                <w:rFonts w:hint="eastAsia"/>
                <w:color w:val="000000"/>
                <w:sz w:val="22"/>
              </w:rPr>
              <w:lastRenderedPageBreak/>
              <w:t>告提示性公告</w:t>
            </w:r>
          </w:p>
        </w:tc>
        <w:tc>
          <w:tcPr>
            <w:tcW w:w="2511" w:type="dxa"/>
          </w:tcPr>
          <w:p w14:paraId="5EFCB84F" w14:textId="77777777" w:rsidR="006658B6" w:rsidRDefault="006658B6" w:rsidP="00AC0E14">
            <w:pPr>
              <w:widowControl/>
              <w:jc w:val="left"/>
              <w:rPr>
                <w:color w:val="000000"/>
                <w:sz w:val="22"/>
              </w:rPr>
            </w:pPr>
            <w:r>
              <w:rPr>
                <w:rFonts w:hint="eastAsia"/>
                <w:color w:val="000000"/>
                <w:sz w:val="22"/>
              </w:rPr>
              <w:lastRenderedPageBreak/>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6658B6" w:rsidRPr="009901B0" w14:paraId="4F751942" w14:textId="77777777" w:rsidTr="006658B6">
        <w:tc>
          <w:tcPr>
            <w:tcW w:w="817" w:type="dxa"/>
          </w:tcPr>
          <w:p w14:paraId="0F8ED003" w14:textId="77777777" w:rsidR="006658B6" w:rsidRDefault="006658B6" w:rsidP="00AC0E14">
            <w:pPr>
              <w:widowControl/>
              <w:jc w:val="left"/>
            </w:pPr>
            <w:r>
              <w:rPr>
                <w:rFonts w:hint="eastAsia"/>
              </w:rPr>
              <w:t>1</w:t>
            </w:r>
            <w:r>
              <w:t>7</w:t>
            </w:r>
          </w:p>
        </w:tc>
        <w:tc>
          <w:tcPr>
            <w:tcW w:w="5528" w:type="dxa"/>
          </w:tcPr>
          <w:p w14:paraId="74CEBF1B" w14:textId="77777777" w:rsidR="006658B6" w:rsidRDefault="006658B6" w:rsidP="00AC0E14">
            <w:pPr>
              <w:widowControl/>
              <w:jc w:val="left"/>
              <w:rPr>
                <w:color w:val="000000"/>
                <w:sz w:val="22"/>
              </w:rPr>
            </w:pPr>
            <w:r>
              <w:rPr>
                <w:rFonts w:hint="eastAsia"/>
                <w:color w:val="000000"/>
                <w:sz w:val="22"/>
              </w:rPr>
              <w:t>富荣基金管理有限公司高级管理人员变更公告</w:t>
            </w:r>
          </w:p>
        </w:tc>
        <w:tc>
          <w:tcPr>
            <w:tcW w:w="2511" w:type="dxa"/>
          </w:tcPr>
          <w:p w14:paraId="3A865B9B"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r w:rsidR="006658B6" w:rsidRPr="009901B0" w14:paraId="3CEB3E04" w14:textId="77777777" w:rsidTr="006658B6">
        <w:tc>
          <w:tcPr>
            <w:tcW w:w="817" w:type="dxa"/>
          </w:tcPr>
          <w:p w14:paraId="5A56CB8C" w14:textId="77777777" w:rsidR="006658B6" w:rsidRDefault="006658B6" w:rsidP="00AC0E14">
            <w:pPr>
              <w:widowControl/>
              <w:jc w:val="left"/>
            </w:pPr>
            <w:r>
              <w:rPr>
                <w:rFonts w:hint="eastAsia"/>
              </w:rPr>
              <w:t>1</w:t>
            </w:r>
            <w:r>
              <w:t>8</w:t>
            </w:r>
          </w:p>
        </w:tc>
        <w:tc>
          <w:tcPr>
            <w:tcW w:w="5528" w:type="dxa"/>
          </w:tcPr>
          <w:p w14:paraId="4ECB9A24" w14:textId="77777777" w:rsidR="006658B6" w:rsidRDefault="006658B6" w:rsidP="00AC0E14">
            <w:pPr>
              <w:widowControl/>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年中期报告提示性公告</w:t>
            </w:r>
          </w:p>
        </w:tc>
        <w:tc>
          <w:tcPr>
            <w:tcW w:w="2511" w:type="dxa"/>
          </w:tcPr>
          <w:p w14:paraId="73E54093"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6658B6" w:rsidRPr="009901B0" w14:paraId="01F9C237" w14:textId="77777777" w:rsidTr="006658B6">
        <w:tc>
          <w:tcPr>
            <w:tcW w:w="817" w:type="dxa"/>
          </w:tcPr>
          <w:p w14:paraId="27B6E79C" w14:textId="77777777" w:rsidR="006658B6" w:rsidRDefault="006658B6" w:rsidP="00AC0E14">
            <w:pPr>
              <w:widowControl/>
              <w:jc w:val="left"/>
            </w:pPr>
            <w:r>
              <w:rPr>
                <w:rFonts w:hint="eastAsia"/>
              </w:rPr>
              <w:t>1</w:t>
            </w:r>
            <w:r>
              <w:t>9</w:t>
            </w:r>
          </w:p>
        </w:tc>
        <w:tc>
          <w:tcPr>
            <w:tcW w:w="5528" w:type="dxa"/>
          </w:tcPr>
          <w:p w14:paraId="2EE02271" w14:textId="77777777" w:rsidR="006658B6" w:rsidRDefault="006658B6" w:rsidP="00AC0E14">
            <w:pPr>
              <w:widowControl/>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2511" w:type="dxa"/>
          </w:tcPr>
          <w:p w14:paraId="67960990"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6658B6" w:rsidRPr="009901B0" w14:paraId="0C5FD402" w14:textId="77777777" w:rsidTr="006658B6">
        <w:tc>
          <w:tcPr>
            <w:tcW w:w="817" w:type="dxa"/>
          </w:tcPr>
          <w:p w14:paraId="659C76D8" w14:textId="77777777" w:rsidR="006658B6" w:rsidRDefault="006658B6" w:rsidP="00AC0E14">
            <w:pPr>
              <w:widowControl/>
              <w:jc w:val="left"/>
            </w:pPr>
            <w:r>
              <w:rPr>
                <w:rFonts w:hint="eastAsia"/>
              </w:rPr>
              <w:t>2</w:t>
            </w:r>
            <w:r>
              <w:t>0</w:t>
            </w:r>
          </w:p>
        </w:tc>
        <w:tc>
          <w:tcPr>
            <w:tcW w:w="5528" w:type="dxa"/>
          </w:tcPr>
          <w:p w14:paraId="3E882585" w14:textId="77777777" w:rsidR="006658B6" w:rsidRDefault="006658B6" w:rsidP="00AC0E14">
            <w:pPr>
              <w:widowControl/>
              <w:jc w:val="left"/>
              <w:rPr>
                <w:color w:val="000000"/>
                <w:sz w:val="22"/>
              </w:rPr>
            </w:pPr>
            <w:r>
              <w:rPr>
                <w:rFonts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2511" w:type="dxa"/>
          </w:tcPr>
          <w:p w14:paraId="08144320" w14:textId="77777777" w:rsidR="006658B6" w:rsidRDefault="006658B6" w:rsidP="00AC0E14">
            <w:pPr>
              <w:widowControl/>
              <w:jc w:val="left"/>
              <w:rPr>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bl>
    <w:p w14:paraId="5A9842E6" w14:textId="77777777" w:rsidR="00F749C9" w:rsidRDefault="00F749C9">
      <w:pPr>
        <w:widowControl/>
        <w:jc w:val="left"/>
        <w:rPr>
          <w:rFonts w:ascii="宋体" w:eastAsia="宋体" w:hAnsi="宋体"/>
          <w:szCs w:val="21"/>
        </w:rPr>
      </w:pPr>
    </w:p>
    <w:p w14:paraId="0BDD4919" w14:textId="55CAA7E8" w:rsidR="00F749C9" w:rsidRDefault="00F749C9">
      <w:pPr>
        <w:widowControl/>
        <w:jc w:val="left"/>
        <w:rPr>
          <w:rFonts w:ascii="宋体" w:eastAsia="宋体" w:hAnsi="宋体"/>
          <w:szCs w:val="21"/>
        </w:rPr>
      </w:pPr>
      <w:r>
        <w:rPr>
          <w:rFonts w:ascii="宋体" w:eastAsia="宋体" w:hAnsi="宋体"/>
          <w:szCs w:val="21"/>
        </w:rPr>
        <w:br w:type="page"/>
      </w:r>
    </w:p>
    <w:p w14:paraId="5C1B9604" w14:textId="77777777" w:rsidR="00BD090D" w:rsidRPr="00BD090D" w:rsidRDefault="00BD090D" w:rsidP="00A8367A">
      <w:pPr>
        <w:widowControl/>
        <w:jc w:val="left"/>
        <w:rPr>
          <w:rFonts w:ascii="宋体" w:eastAsia="宋体" w:hAnsi="宋体"/>
          <w:szCs w:val="21"/>
        </w:rPr>
      </w:pPr>
    </w:p>
    <w:p w14:paraId="79AE039F" w14:textId="3BF504EA"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40" w:name="_Toc121901732"/>
      <w:r w:rsidRPr="00BD090D">
        <w:rPr>
          <w:rFonts w:ascii="Arial Unicode MS" w:eastAsia="宋体" w:hAnsi="Arial Unicode MS" w:cs="Arial" w:hint="eastAsia"/>
          <w:kern w:val="0"/>
          <w:sz w:val="28"/>
          <w:szCs w:val="28"/>
        </w:rPr>
        <w:t>第二十</w:t>
      </w:r>
      <w:r w:rsidR="008D2446">
        <w:rPr>
          <w:rFonts w:ascii="Arial Unicode MS" w:eastAsia="宋体" w:hAnsi="Arial Unicode MS" w:cs="Arial" w:hint="eastAsia"/>
          <w:kern w:val="0"/>
          <w:sz w:val="28"/>
          <w:szCs w:val="28"/>
        </w:rPr>
        <w:t>四</w:t>
      </w:r>
      <w:r w:rsidRPr="00BD090D">
        <w:rPr>
          <w:rFonts w:ascii="Arial Unicode MS" w:eastAsia="宋体" w:hAnsi="Arial Unicode MS" w:cs="Arial" w:hint="eastAsia"/>
          <w:kern w:val="0"/>
          <w:sz w:val="28"/>
          <w:szCs w:val="28"/>
        </w:rPr>
        <w:t>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招募说明书的存放及查阅方式</w:t>
      </w:r>
      <w:bookmarkEnd w:id="40"/>
    </w:p>
    <w:p w14:paraId="23CDE100" w14:textId="77777777" w:rsidR="00BD090D" w:rsidRPr="00BD090D" w:rsidRDefault="00BD090D" w:rsidP="00BD090D">
      <w:pPr>
        <w:spacing w:line="360" w:lineRule="auto"/>
        <w:ind w:firstLineChars="200" w:firstLine="420"/>
        <w:rPr>
          <w:rFonts w:ascii="宋体" w:eastAsia="宋体" w:hAnsi="宋体"/>
          <w:szCs w:val="21"/>
        </w:rPr>
      </w:pPr>
    </w:p>
    <w:p w14:paraId="2C3D88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4FB4201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投资人还可以直接登录基金管理人的网站（www.furamc.com.cn）查阅和下载招募说明书。 </w:t>
      </w:r>
    </w:p>
    <w:p w14:paraId="4C3FF33D" w14:textId="77777777" w:rsidR="00A8367A"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C633FAE" w14:textId="77777777" w:rsidR="00BD090D" w:rsidRPr="00BD090D" w:rsidRDefault="00A8367A" w:rsidP="00A8367A">
      <w:pPr>
        <w:widowControl/>
        <w:jc w:val="left"/>
        <w:rPr>
          <w:rFonts w:ascii="宋体" w:eastAsia="宋体" w:hAnsi="宋体"/>
          <w:szCs w:val="21"/>
        </w:rPr>
      </w:pPr>
      <w:r>
        <w:rPr>
          <w:rFonts w:ascii="宋体" w:eastAsia="宋体" w:hAnsi="宋体"/>
          <w:szCs w:val="21"/>
        </w:rPr>
        <w:br w:type="page"/>
      </w:r>
    </w:p>
    <w:p w14:paraId="168ECBDB" w14:textId="52B63489"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41" w:name="_Toc121901733"/>
      <w:r w:rsidRPr="00BD090D">
        <w:rPr>
          <w:rFonts w:ascii="Arial Unicode MS" w:eastAsia="宋体" w:hAnsi="Arial Unicode MS" w:cs="Arial" w:hint="eastAsia"/>
          <w:kern w:val="0"/>
          <w:sz w:val="28"/>
          <w:szCs w:val="28"/>
        </w:rPr>
        <w:lastRenderedPageBreak/>
        <w:t>第二十</w:t>
      </w:r>
      <w:r w:rsidR="008D2446">
        <w:rPr>
          <w:rFonts w:ascii="Arial Unicode MS" w:eastAsia="宋体" w:hAnsi="Arial Unicode MS" w:cs="Arial" w:hint="eastAsia"/>
          <w:kern w:val="0"/>
          <w:sz w:val="28"/>
          <w:szCs w:val="28"/>
        </w:rPr>
        <w:t>五</w:t>
      </w:r>
      <w:r w:rsidRPr="00BD090D">
        <w:rPr>
          <w:rFonts w:ascii="Arial Unicode MS" w:eastAsia="宋体" w:hAnsi="Arial Unicode MS" w:cs="Arial" w:hint="eastAsia"/>
          <w:kern w:val="0"/>
          <w:sz w:val="28"/>
          <w:szCs w:val="28"/>
        </w:rPr>
        <w:t>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备查文件</w:t>
      </w:r>
      <w:bookmarkEnd w:id="41"/>
    </w:p>
    <w:p w14:paraId="7F2F5BA2" w14:textId="77777777" w:rsidR="00BD090D" w:rsidRPr="00BD090D" w:rsidRDefault="00BD090D" w:rsidP="00BD090D">
      <w:pPr>
        <w:spacing w:line="360" w:lineRule="auto"/>
        <w:ind w:firstLineChars="200" w:firstLine="420"/>
        <w:rPr>
          <w:rFonts w:ascii="宋体" w:eastAsia="宋体" w:hAnsi="宋体"/>
          <w:szCs w:val="21"/>
        </w:rPr>
      </w:pPr>
    </w:p>
    <w:p w14:paraId="56DB56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以下备查文件存放在基金管理人的办公场所，在办公时间可供免费查阅。</w:t>
      </w:r>
    </w:p>
    <w:p w14:paraId="3786E8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（一）中国证监会准予富荣富合一年定期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型发起式证券投资基金注册的文件</w:t>
      </w:r>
    </w:p>
    <w:p w14:paraId="4D9527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（二）《富荣富合一年定期开放纯债债券型发起式证券投资基金基金合同》</w:t>
      </w:r>
    </w:p>
    <w:p w14:paraId="6E19E4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（三）《富荣富合一年定期开放纯债债券型发起式证券投资基金托管协议》</w:t>
      </w:r>
    </w:p>
    <w:p w14:paraId="725331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（四）基金管理人业务资格批件、营业执照</w:t>
      </w:r>
    </w:p>
    <w:p w14:paraId="7C8E45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（五）基金托管人业务资格批件、营业执照</w:t>
      </w:r>
    </w:p>
    <w:p w14:paraId="790552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（六）关于申请募集注册富荣富合一年定期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型发起式证券投资基金之法律意见书</w:t>
      </w:r>
    </w:p>
    <w:p w14:paraId="5C405C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（七）中国证监会要求的其他文件</w:t>
      </w:r>
    </w:p>
    <w:p w14:paraId="2C2115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查阅方式：投资者可在营业时间免费查阅，也可按工本费购买复印件。</w:t>
      </w:r>
    </w:p>
    <w:p w14:paraId="0C5570F7" w14:textId="77777777" w:rsidR="00BD090D" w:rsidRPr="00BD090D" w:rsidRDefault="00BD090D" w:rsidP="00BD090D">
      <w:pPr>
        <w:spacing w:line="360" w:lineRule="auto"/>
        <w:ind w:firstLineChars="200" w:firstLine="420"/>
        <w:rPr>
          <w:rFonts w:ascii="宋体" w:eastAsia="宋体" w:hAnsi="宋体"/>
          <w:szCs w:val="21"/>
        </w:rPr>
      </w:pPr>
    </w:p>
    <w:p w14:paraId="44DB7657" w14:textId="77777777" w:rsidR="00BD090D" w:rsidRPr="00BD090D" w:rsidRDefault="00BD090D" w:rsidP="00BD090D">
      <w:pPr>
        <w:spacing w:line="360" w:lineRule="auto"/>
        <w:ind w:firstLineChars="200" w:firstLine="420"/>
        <w:rPr>
          <w:rFonts w:ascii="宋体" w:eastAsia="宋体" w:hAnsi="宋体"/>
          <w:szCs w:val="21"/>
        </w:rPr>
      </w:pPr>
    </w:p>
    <w:p w14:paraId="2D180695" w14:textId="77777777" w:rsidR="001B50CF" w:rsidRDefault="001B50CF" w:rsidP="001B50CF">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0DC15D8B" w14:textId="64A51D8A" w:rsidR="001B50CF" w:rsidRDefault="00186AAC" w:rsidP="001B50CF">
      <w:pPr>
        <w:widowControl/>
        <w:adjustRightInd w:val="0"/>
        <w:snapToGrid w:val="0"/>
        <w:spacing w:line="360" w:lineRule="auto"/>
        <w:ind w:rightChars="-85" w:right="-178"/>
        <w:jc w:val="right"/>
        <w:rPr>
          <w:rFonts w:asciiTheme="minorEastAsia" w:hAnsiTheme="minorEastAsia"/>
        </w:rPr>
      </w:pPr>
      <w:r>
        <w:rPr>
          <w:rFonts w:asciiTheme="minorEastAsia" w:hAnsiTheme="minorEastAsia" w:cs="Arial"/>
          <w:kern w:val="0"/>
          <w:sz w:val="24"/>
          <w:szCs w:val="24"/>
        </w:rPr>
        <w:t>2022</w:t>
      </w:r>
      <w:r w:rsidR="001B50CF">
        <w:rPr>
          <w:rFonts w:asciiTheme="minorEastAsia" w:hAnsiTheme="minorEastAsia" w:cs="Arial"/>
          <w:kern w:val="0"/>
          <w:sz w:val="24"/>
          <w:szCs w:val="24"/>
        </w:rPr>
        <w:t>年12</w:t>
      </w:r>
      <w:r w:rsidR="001B50CF">
        <w:rPr>
          <w:rFonts w:asciiTheme="minorEastAsia" w:hAnsiTheme="minorEastAsia" w:cs="Arial" w:hint="eastAsia"/>
          <w:kern w:val="0"/>
          <w:sz w:val="24"/>
          <w:szCs w:val="24"/>
        </w:rPr>
        <w:t>月</w:t>
      </w:r>
      <w:r w:rsidR="00BA5564">
        <w:rPr>
          <w:rFonts w:asciiTheme="minorEastAsia" w:hAnsiTheme="minorEastAsia" w:cs="Arial" w:hint="eastAsia"/>
          <w:kern w:val="0"/>
          <w:sz w:val="24"/>
          <w:szCs w:val="24"/>
        </w:rPr>
        <w:t>1</w:t>
      </w:r>
      <w:r w:rsidR="00BA5564">
        <w:rPr>
          <w:rFonts w:asciiTheme="minorEastAsia" w:hAnsiTheme="minorEastAsia" w:cs="Arial"/>
          <w:kern w:val="0"/>
          <w:sz w:val="24"/>
          <w:szCs w:val="24"/>
        </w:rPr>
        <w:t>6</w:t>
      </w:r>
      <w:r w:rsidR="001B50CF">
        <w:rPr>
          <w:rFonts w:asciiTheme="minorEastAsia" w:hAnsiTheme="minorEastAsia" w:cs="Arial" w:hint="eastAsia"/>
          <w:kern w:val="0"/>
          <w:sz w:val="24"/>
          <w:szCs w:val="24"/>
        </w:rPr>
        <w:t>日</w:t>
      </w:r>
    </w:p>
    <w:p w14:paraId="0167ADA3" w14:textId="5CF475F6" w:rsidR="00DA4590" w:rsidRPr="00522422" w:rsidRDefault="00DA4590" w:rsidP="0058096F">
      <w:pPr>
        <w:spacing w:line="360" w:lineRule="auto"/>
        <w:ind w:firstLineChars="200" w:firstLine="420"/>
        <w:jc w:val="right"/>
        <w:rPr>
          <w:rFonts w:ascii="宋体" w:eastAsia="宋体" w:hAnsi="宋体"/>
          <w:szCs w:val="21"/>
        </w:rPr>
      </w:pPr>
    </w:p>
    <w:sectPr w:rsidR="00DA4590" w:rsidRPr="00522422">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27540" w14:textId="77777777" w:rsidR="002F7465" w:rsidRDefault="002F7465" w:rsidP="00BD090D">
      <w:r>
        <w:separator/>
      </w:r>
    </w:p>
  </w:endnote>
  <w:endnote w:type="continuationSeparator" w:id="0">
    <w:p w14:paraId="2FBF8C2E" w14:textId="77777777" w:rsidR="002F7465" w:rsidRDefault="002F7465" w:rsidP="00BD0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5579440"/>
      <w:docPartObj>
        <w:docPartGallery w:val="Page Numbers (Bottom of Page)"/>
        <w:docPartUnique/>
      </w:docPartObj>
    </w:sdtPr>
    <w:sdtContent>
      <w:p w14:paraId="4C4DF2FA" w14:textId="77777777" w:rsidR="00AC0E14" w:rsidRDefault="00AC0E14">
        <w:pPr>
          <w:pStyle w:val="a5"/>
          <w:jc w:val="center"/>
        </w:pPr>
        <w:r>
          <w:fldChar w:fldCharType="begin"/>
        </w:r>
        <w:r>
          <w:instrText>PAGE   \* MERGEFORMAT</w:instrText>
        </w:r>
        <w:r>
          <w:fldChar w:fldCharType="separate"/>
        </w:r>
        <w:r w:rsidR="00424967" w:rsidRPr="00424967">
          <w:rPr>
            <w:noProof/>
            <w:lang w:val="zh-CN"/>
          </w:rPr>
          <w:t>14</w:t>
        </w:r>
        <w:r>
          <w:fldChar w:fldCharType="end"/>
        </w:r>
      </w:p>
    </w:sdtContent>
  </w:sdt>
  <w:p w14:paraId="656F351D" w14:textId="77777777" w:rsidR="00AC0E14" w:rsidRDefault="00AC0E1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3DB24" w14:textId="77777777" w:rsidR="002F7465" w:rsidRDefault="002F7465" w:rsidP="00BD090D">
      <w:r>
        <w:separator/>
      </w:r>
    </w:p>
  </w:footnote>
  <w:footnote w:type="continuationSeparator" w:id="0">
    <w:p w14:paraId="55B098CE" w14:textId="77777777" w:rsidR="002F7465" w:rsidRDefault="002F7465" w:rsidP="00BD09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16F3D" w14:textId="3D9FAFF8" w:rsidR="00AC0E14" w:rsidRDefault="00AC0E14" w:rsidP="0058096F">
    <w:pPr>
      <w:pStyle w:val="a3"/>
      <w:jc w:val="both"/>
    </w:pPr>
    <w:r w:rsidRPr="00E93E50">
      <w:rPr>
        <w:rFonts w:hint="eastAsia"/>
      </w:rPr>
      <w:t>富荣富合一年定期</w:t>
    </w:r>
    <w:proofErr w:type="gramStart"/>
    <w:r w:rsidRPr="00E93E50">
      <w:rPr>
        <w:rFonts w:hint="eastAsia"/>
      </w:rPr>
      <w:t>开放纯债债券</w:t>
    </w:r>
    <w:proofErr w:type="gramEnd"/>
    <w:r w:rsidRPr="00E93E50">
      <w:rPr>
        <w:rFonts w:hint="eastAsia"/>
      </w:rPr>
      <w:t>型发起式证券投资基金</w:t>
    </w:r>
    <w:r>
      <w:rPr>
        <w:rFonts w:hint="eastAsia"/>
      </w:rPr>
      <w:t>更新的招募说明书（</w:t>
    </w:r>
    <w:r>
      <w:rPr>
        <w:rFonts w:hint="eastAsia"/>
      </w:rPr>
      <w:t>2022</w:t>
    </w:r>
    <w:r>
      <w:rPr>
        <w:rFonts w:hint="eastAsia"/>
      </w:rPr>
      <w:t>年第</w:t>
    </w:r>
    <w:r>
      <w:rPr>
        <w:rFonts w:hint="eastAsia"/>
      </w:rPr>
      <w:t>1</w:t>
    </w:r>
    <w:r>
      <w:rPr>
        <w:rFonts w:hint="eastAsia"/>
      </w:rPr>
      <w:t>号）</w:t>
    </w:r>
    <w:r w:rsidRPr="00E93E50">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41B9A"/>
    <w:multiLevelType w:val="hybridMultilevel"/>
    <w:tmpl w:val="A56E0FC4"/>
    <w:lvl w:ilvl="0" w:tplc="37040546">
      <w:start w:val="1"/>
      <w:numFmt w:val="decimalEnclosedCircle"/>
      <w:lvlText w:val="%1"/>
      <w:lvlJc w:val="left"/>
      <w:pPr>
        <w:ind w:left="585" w:hanging="360"/>
      </w:pPr>
      <w:rPr>
        <w:rFonts w:hint="default"/>
      </w:rPr>
    </w:lvl>
    <w:lvl w:ilvl="1" w:tplc="04090019" w:tentative="1">
      <w:start w:val="1"/>
      <w:numFmt w:val="lowerLetter"/>
      <w:lvlText w:val="%2)"/>
      <w:lvlJc w:val="left"/>
      <w:pPr>
        <w:ind w:left="1065" w:hanging="420"/>
      </w:pPr>
    </w:lvl>
    <w:lvl w:ilvl="2" w:tplc="0409001B" w:tentative="1">
      <w:start w:val="1"/>
      <w:numFmt w:val="lowerRoman"/>
      <w:lvlText w:val="%3."/>
      <w:lvlJc w:val="right"/>
      <w:pPr>
        <w:ind w:left="1485" w:hanging="420"/>
      </w:pPr>
    </w:lvl>
    <w:lvl w:ilvl="3" w:tplc="0409000F" w:tentative="1">
      <w:start w:val="1"/>
      <w:numFmt w:val="decimal"/>
      <w:lvlText w:val="%4."/>
      <w:lvlJc w:val="left"/>
      <w:pPr>
        <w:ind w:left="1905" w:hanging="420"/>
      </w:pPr>
    </w:lvl>
    <w:lvl w:ilvl="4" w:tplc="04090019" w:tentative="1">
      <w:start w:val="1"/>
      <w:numFmt w:val="lowerLetter"/>
      <w:lvlText w:val="%5)"/>
      <w:lvlJc w:val="left"/>
      <w:pPr>
        <w:ind w:left="2325" w:hanging="420"/>
      </w:pPr>
    </w:lvl>
    <w:lvl w:ilvl="5" w:tplc="0409001B" w:tentative="1">
      <w:start w:val="1"/>
      <w:numFmt w:val="lowerRoman"/>
      <w:lvlText w:val="%6."/>
      <w:lvlJc w:val="right"/>
      <w:pPr>
        <w:ind w:left="2745" w:hanging="420"/>
      </w:pPr>
    </w:lvl>
    <w:lvl w:ilvl="6" w:tplc="0409000F" w:tentative="1">
      <w:start w:val="1"/>
      <w:numFmt w:val="decimal"/>
      <w:lvlText w:val="%7."/>
      <w:lvlJc w:val="left"/>
      <w:pPr>
        <w:ind w:left="3165" w:hanging="420"/>
      </w:pPr>
    </w:lvl>
    <w:lvl w:ilvl="7" w:tplc="04090019" w:tentative="1">
      <w:start w:val="1"/>
      <w:numFmt w:val="lowerLetter"/>
      <w:lvlText w:val="%8)"/>
      <w:lvlJc w:val="left"/>
      <w:pPr>
        <w:ind w:left="3585" w:hanging="420"/>
      </w:pPr>
    </w:lvl>
    <w:lvl w:ilvl="8" w:tplc="0409001B" w:tentative="1">
      <w:start w:val="1"/>
      <w:numFmt w:val="lowerRoman"/>
      <w:lvlText w:val="%9."/>
      <w:lvlJc w:val="right"/>
      <w:pPr>
        <w:ind w:left="4005" w:hanging="420"/>
      </w:pPr>
    </w:lvl>
  </w:abstractNum>
  <w:num w:numId="1" w16cid:durableId="1834832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5223"/>
    <w:rsid w:val="00013D11"/>
    <w:rsid w:val="00016488"/>
    <w:rsid w:val="00035D1C"/>
    <w:rsid w:val="00046413"/>
    <w:rsid w:val="0005222B"/>
    <w:rsid w:val="00061BCD"/>
    <w:rsid w:val="00080296"/>
    <w:rsid w:val="0009288E"/>
    <w:rsid w:val="000A4C59"/>
    <w:rsid w:val="000C3D67"/>
    <w:rsid w:val="000D659B"/>
    <w:rsid w:val="000E0740"/>
    <w:rsid w:val="00131DE6"/>
    <w:rsid w:val="00161C88"/>
    <w:rsid w:val="00166D75"/>
    <w:rsid w:val="00172644"/>
    <w:rsid w:val="00186AAC"/>
    <w:rsid w:val="001A347F"/>
    <w:rsid w:val="001A5EC1"/>
    <w:rsid w:val="001B2EE6"/>
    <w:rsid w:val="001B50CF"/>
    <w:rsid w:val="001C73C3"/>
    <w:rsid w:val="001D104E"/>
    <w:rsid w:val="001D10A3"/>
    <w:rsid w:val="001E3FA1"/>
    <w:rsid w:val="001E614F"/>
    <w:rsid w:val="001E75B5"/>
    <w:rsid w:val="001E7964"/>
    <w:rsid w:val="001F2704"/>
    <w:rsid w:val="00205813"/>
    <w:rsid w:val="002068C1"/>
    <w:rsid w:val="00213FBE"/>
    <w:rsid w:val="00223B10"/>
    <w:rsid w:val="0024671C"/>
    <w:rsid w:val="00250153"/>
    <w:rsid w:val="00251116"/>
    <w:rsid w:val="002B4F34"/>
    <w:rsid w:val="002E5C72"/>
    <w:rsid w:val="002F7465"/>
    <w:rsid w:val="00300697"/>
    <w:rsid w:val="003101F2"/>
    <w:rsid w:val="00322047"/>
    <w:rsid w:val="00394E79"/>
    <w:rsid w:val="003A4A92"/>
    <w:rsid w:val="003B46C7"/>
    <w:rsid w:val="003C2798"/>
    <w:rsid w:val="003D56BB"/>
    <w:rsid w:val="00411BD1"/>
    <w:rsid w:val="00411C80"/>
    <w:rsid w:val="0042151A"/>
    <w:rsid w:val="004226EE"/>
    <w:rsid w:val="00424967"/>
    <w:rsid w:val="00441384"/>
    <w:rsid w:val="004440CD"/>
    <w:rsid w:val="004721C6"/>
    <w:rsid w:val="0048689F"/>
    <w:rsid w:val="004A4EC9"/>
    <w:rsid w:val="004C3885"/>
    <w:rsid w:val="004D6AD8"/>
    <w:rsid w:val="004E294C"/>
    <w:rsid w:val="004F087B"/>
    <w:rsid w:val="00505649"/>
    <w:rsid w:val="005116FC"/>
    <w:rsid w:val="00522422"/>
    <w:rsid w:val="00531C80"/>
    <w:rsid w:val="005373A2"/>
    <w:rsid w:val="005453C9"/>
    <w:rsid w:val="00572BE2"/>
    <w:rsid w:val="0057794B"/>
    <w:rsid w:val="0058096F"/>
    <w:rsid w:val="00581396"/>
    <w:rsid w:val="00596A63"/>
    <w:rsid w:val="005A2319"/>
    <w:rsid w:val="005A6C07"/>
    <w:rsid w:val="005B4776"/>
    <w:rsid w:val="005D29BC"/>
    <w:rsid w:val="005E23C2"/>
    <w:rsid w:val="005E542D"/>
    <w:rsid w:val="005F5D9A"/>
    <w:rsid w:val="006250EC"/>
    <w:rsid w:val="006335CC"/>
    <w:rsid w:val="00644EF7"/>
    <w:rsid w:val="006658B6"/>
    <w:rsid w:val="00695C7E"/>
    <w:rsid w:val="006A521B"/>
    <w:rsid w:val="006C7E99"/>
    <w:rsid w:val="006E10CB"/>
    <w:rsid w:val="006F2DBA"/>
    <w:rsid w:val="006F3C0B"/>
    <w:rsid w:val="006F69A3"/>
    <w:rsid w:val="00700DA5"/>
    <w:rsid w:val="007230CF"/>
    <w:rsid w:val="0076316B"/>
    <w:rsid w:val="007724F9"/>
    <w:rsid w:val="007734B3"/>
    <w:rsid w:val="00792660"/>
    <w:rsid w:val="00792B91"/>
    <w:rsid w:val="007B2145"/>
    <w:rsid w:val="007B3834"/>
    <w:rsid w:val="007B46D0"/>
    <w:rsid w:val="007C0841"/>
    <w:rsid w:val="007C0D56"/>
    <w:rsid w:val="007C4465"/>
    <w:rsid w:val="00806851"/>
    <w:rsid w:val="00810C1B"/>
    <w:rsid w:val="00811F52"/>
    <w:rsid w:val="0081246B"/>
    <w:rsid w:val="0081647A"/>
    <w:rsid w:val="00825486"/>
    <w:rsid w:val="00837DE9"/>
    <w:rsid w:val="008426D5"/>
    <w:rsid w:val="008516FA"/>
    <w:rsid w:val="008528E5"/>
    <w:rsid w:val="00857128"/>
    <w:rsid w:val="00860867"/>
    <w:rsid w:val="00880B4D"/>
    <w:rsid w:val="00897468"/>
    <w:rsid w:val="008B6770"/>
    <w:rsid w:val="008C61DF"/>
    <w:rsid w:val="008D2446"/>
    <w:rsid w:val="008D3556"/>
    <w:rsid w:val="00902876"/>
    <w:rsid w:val="00907BD5"/>
    <w:rsid w:val="00907F8F"/>
    <w:rsid w:val="0091134F"/>
    <w:rsid w:val="00911534"/>
    <w:rsid w:val="00921FC0"/>
    <w:rsid w:val="0093048E"/>
    <w:rsid w:val="00934ACD"/>
    <w:rsid w:val="009901B0"/>
    <w:rsid w:val="009A7F85"/>
    <w:rsid w:val="009C329C"/>
    <w:rsid w:val="009E4620"/>
    <w:rsid w:val="009E6ECC"/>
    <w:rsid w:val="00A1050D"/>
    <w:rsid w:val="00A55CC7"/>
    <w:rsid w:val="00A602CA"/>
    <w:rsid w:val="00A722CD"/>
    <w:rsid w:val="00A8367A"/>
    <w:rsid w:val="00AA4659"/>
    <w:rsid w:val="00AB5F11"/>
    <w:rsid w:val="00AC0E14"/>
    <w:rsid w:val="00AC5D46"/>
    <w:rsid w:val="00B02D76"/>
    <w:rsid w:val="00B26A56"/>
    <w:rsid w:val="00B4220F"/>
    <w:rsid w:val="00B54B11"/>
    <w:rsid w:val="00B56404"/>
    <w:rsid w:val="00B711AC"/>
    <w:rsid w:val="00B7163A"/>
    <w:rsid w:val="00B85344"/>
    <w:rsid w:val="00B87954"/>
    <w:rsid w:val="00B95DDF"/>
    <w:rsid w:val="00BA2759"/>
    <w:rsid w:val="00BA5564"/>
    <w:rsid w:val="00BD090D"/>
    <w:rsid w:val="00BE0A1C"/>
    <w:rsid w:val="00C057EB"/>
    <w:rsid w:val="00C12B9A"/>
    <w:rsid w:val="00C21C3B"/>
    <w:rsid w:val="00C22C6E"/>
    <w:rsid w:val="00C64F6F"/>
    <w:rsid w:val="00C70A37"/>
    <w:rsid w:val="00C725C5"/>
    <w:rsid w:val="00C74357"/>
    <w:rsid w:val="00C754A8"/>
    <w:rsid w:val="00C8223B"/>
    <w:rsid w:val="00CB5438"/>
    <w:rsid w:val="00CC6E0E"/>
    <w:rsid w:val="00CD0B04"/>
    <w:rsid w:val="00CD0F27"/>
    <w:rsid w:val="00CE206C"/>
    <w:rsid w:val="00D20A91"/>
    <w:rsid w:val="00D26314"/>
    <w:rsid w:val="00D32A86"/>
    <w:rsid w:val="00D348DA"/>
    <w:rsid w:val="00D46E45"/>
    <w:rsid w:val="00DA4590"/>
    <w:rsid w:val="00DA7198"/>
    <w:rsid w:val="00DC56B4"/>
    <w:rsid w:val="00DD2138"/>
    <w:rsid w:val="00DE55B3"/>
    <w:rsid w:val="00DE5F02"/>
    <w:rsid w:val="00E660B5"/>
    <w:rsid w:val="00E66B64"/>
    <w:rsid w:val="00E719C4"/>
    <w:rsid w:val="00E93E50"/>
    <w:rsid w:val="00EA4784"/>
    <w:rsid w:val="00EB795A"/>
    <w:rsid w:val="00EC61E5"/>
    <w:rsid w:val="00EF1EBD"/>
    <w:rsid w:val="00EF47E4"/>
    <w:rsid w:val="00EF5223"/>
    <w:rsid w:val="00F1355B"/>
    <w:rsid w:val="00F144A8"/>
    <w:rsid w:val="00F277E9"/>
    <w:rsid w:val="00F533AF"/>
    <w:rsid w:val="00F62991"/>
    <w:rsid w:val="00F71A39"/>
    <w:rsid w:val="00F749C9"/>
    <w:rsid w:val="00F84A08"/>
    <w:rsid w:val="00FC49CC"/>
    <w:rsid w:val="00FD63F2"/>
    <w:rsid w:val="00FF1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E1D03C"/>
  <w15:docId w15:val="{94623A82-2057-4650-9FAE-85256F35F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BD090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09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D090D"/>
    <w:rPr>
      <w:sz w:val="18"/>
      <w:szCs w:val="18"/>
    </w:rPr>
  </w:style>
  <w:style w:type="paragraph" w:styleId="a5">
    <w:name w:val="footer"/>
    <w:basedOn w:val="a"/>
    <w:link w:val="a6"/>
    <w:uiPriority w:val="99"/>
    <w:unhideWhenUsed/>
    <w:rsid w:val="00BD090D"/>
    <w:pPr>
      <w:tabs>
        <w:tab w:val="center" w:pos="4153"/>
        <w:tab w:val="right" w:pos="8306"/>
      </w:tabs>
      <w:snapToGrid w:val="0"/>
      <w:jc w:val="left"/>
    </w:pPr>
    <w:rPr>
      <w:sz w:val="18"/>
      <w:szCs w:val="18"/>
    </w:rPr>
  </w:style>
  <w:style w:type="character" w:customStyle="1" w:styleId="a6">
    <w:name w:val="页脚 字符"/>
    <w:basedOn w:val="a0"/>
    <w:link w:val="a5"/>
    <w:uiPriority w:val="99"/>
    <w:rsid w:val="00BD090D"/>
    <w:rPr>
      <w:sz w:val="18"/>
      <w:szCs w:val="18"/>
    </w:rPr>
  </w:style>
  <w:style w:type="paragraph" w:customStyle="1" w:styleId="2">
    <w:name w:val="！正文缩进2字符"/>
    <w:basedOn w:val="a"/>
    <w:qFormat/>
    <w:rsid w:val="00BD090D"/>
    <w:pPr>
      <w:widowControl/>
      <w:spacing w:line="360" w:lineRule="auto"/>
      <w:ind w:firstLineChars="200" w:firstLine="200"/>
    </w:pPr>
    <w:rPr>
      <w:rFonts w:ascii="Times New Roman" w:eastAsia="宋体" w:hAnsi="Times New Roman" w:cs="Times New Roman"/>
      <w:sz w:val="24"/>
      <w:szCs w:val="24"/>
    </w:rPr>
  </w:style>
  <w:style w:type="character" w:customStyle="1" w:styleId="10">
    <w:name w:val="标题 1 字符"/>
    <w:basedOn w:val="a0"/>
    <w:link w:val="1"/>
    <w:rsid w:val="00BD090D"/>
    <w:rPr>
      <w:b/>
      <w:bCs/>
      <w:kern w:val="44"/>
      <w:sz w:val="44"/>
      <w:szCs w:val="44"/>
    </w:rPr>
  </w:style>
  <w:style w:type="paragraph" w:styleId="TOC">
    <w:name w:val="TOC Heading"/>
    <w:basedOn w:val="1"/>
    <w:next w:val="a"/>
    <w:uiPriority w:val="39"/>
    <w:unhideWhenUsed/>
    <w:qFormat/>
    <w:rsid w:val="00BD090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7">
    <w:name w:val="Balloon Text"/>
    <w:basedOn w:val="a"/>
    <w:link w:val="a8"/>
    <w:unhideWhenUsed/>
    <w:rsid w:val="00BD090D"/>
    <w:rPr>
      <w:sz w:val="18"/>
      <w:szCs w:val="18"/>
    </w:rPr>
  </w:style>
  <w:style w:type="character" w:customStyle="1" w:styleId="a8">
    <w:name w:val="批注框文本 字符"/>
    <w:basedOn w:val="a0"/>
    <w:link w:val="a7"/>
    <w:rsid w:val="00BD090D"/>
    <w:rPr>
      <w:sz w:val="18"/>
      <w:szCs w:val="18"/>
    </w:rPr>
  </w:style>
  <w:style w:type="paragraph" w:styleId="TOC1">
    <w:name w:val="toc 1"/>
    <w:basedOn w:val="a"/>
    <w:next w:val="a"/>
    <w:autoRedefine/>
    <w:uiPriority w:val="39"/>
    <w:unhideWhenUsed/>
    <w:rsid w:val="001A5EC1"/>
    <w:pPr>
      <w:tabs>
        <w:tab w:val="right" w:leader="dot" w:pos="8296"/>
      </w:tabs>
    </w:pPr>
  </w:style>
  <w:style w:type="character" w:styleId="a9">
    <w:name w:val="Hyperlink"/>
    <w:aliases w:val="超级链接"/>
    <w:uiPriority w:val="99"/>
    <w:qFormat/>
    <w:rsid w:val="00BD090D"/>
    <w:rPr>
      <w:color w:val="0000FF"/>
      <w:u w:val="single"/>
    </w:rPr>
  </w:style>
  <w:style w:type="paragraph" w:styleId="aa">
    <w:name w:val="Revision"/>
    <w:hidden/>
    <w:uiPriority w:val="99"/>
    <w:semiHidden/>
    <w:rsid w:val="005453C9"/>
  </w:style>
  <w:style w:type="table" w:styleId="ab">
    <w:name w:val="Table Grid"/>
    <w:basedOn w:val="a1"/>
    <w:qFormat/>
    <w:rsid w:val="00FF1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D348DA"/>
    <w:rPr>
      <w:sz w:val="21"/>
      <w:szCs w:val="21"/>
    </w:rPr>
  </w:style>
  <w:style w:type="paragraph" w:styleId="ad">
    <w:name w:val="annotation text"/>
    <w:basedOn w:val="a"/>
    <w:link w:val="ae"/>
    <w:uiPriority w:val="99"/>
    <w:unhideWhenUsed/>
    <w:qFormat/>
    <w:rsid w:val="00D348DA"/>
    <w:pPr>
      <w:jc w:val="left"/>
    </w:pPr>
  </w:style>
  <w:style w:type="character" w:customStyle="1" w:styleId="ae">
    <w:name w:val="批注文字 字符"/>
    <w:basedOn w:val="a0"/>
    <w:link w:val="ad"/>
    <w:uiPriority w:val="99"/>
    <w:rsid w:val="00D348DA"/>
  </w:style>
  <w:style w:type="paragraph" w:styleId="af">
    <w:name w:val="annotation subject"/>
    <w:basedOn w:val="ad"/>
    <w:next w:val="ad"/>
    <w:link w:val="af0"/>
    <w:uiPriority w:val="99"/>
    <w:semiHidden/>
    <w:unhideWhenUsed/>
    <w:rsid w:val="00D348DA"/>
    <w:rPr>
      <w:b/>
      <w:bCs/>
    </w:rPr>
  </w:style>
  <w:style w:type="character" w:customStyle="1" w:styleId="af0">
    <w:name w:val="批注主题 字符"/>
    <w:basedOn w:val="ae"/>
    <w:link w:val="af"/>
    <w:uiPriority w:val="99"/>
    <w:semiHidden/>
    <w:rsid w:val="00D348DA"/>
    <w:rPr>
      <w:b/>
      <w:bCs/>
    </w:rPr>
  </w:style>
  <w:style w:type="paragraph" w:customStyle="1" w:styleId="zhangjiep2">
    <w:name w:val="zhangjie_p2"/>
    <w:basedOn w:val="a"/>
    <w:rsid w:val="003C2798"/>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3C279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3C279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neirong">
    <w:name w:val="neirong"/>
    <w:basedOn w:val="a"/>
    <w:rsid w:val="003C279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zhangjiep">
    <w:name w:val="zhangjie_p"/>
    <w:basedOn w:val="a"/>
    <w:rsid w:val="003C2798"/>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rsid w:val="003C2798"/>
    <w:pPr>
      <w:widowControl/>
      <w:autoSpaceDE w:val="0"/>
      <w:autoSpaceDN w:val="0"/>
      <w:adjustRightInd w:val="0"/>
      <w:spacing w:before="29" w:line="288" w:lineRule="auto"/>
      <w:ind w:left="15"/>
      <w:jc w:val="righ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ADFE74-B86B-4609-9A7D-E3E2EDC05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TotalTime>
  <Pages>113</Pages>
  <Words>12844</Words>
  <Characters>73212</Characters>
  <Application>Microsoft Office Word</Application>
  <DocSecurity>0</DocSecurity>
  <Lines>610</Lines>
  <Paragraphs>171</Paragraphs>
  <ScaleCrop>false</ScaleCrop>
  <Company/>
  <LinksUpToDate>false</LinksUpToDate>
  <CharactersWithSpaces>85885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徐铮</cp:lastModifiedBy>
  <cp:revision>35</cp:revision>
  <cp:lastPrinted>2020-08-26T09:06:00Z</cp:lastPrinted>
  <dcterms:created xsi:type="dcterms:W3CDTF">2020-10-26T05:04:00Z</dcterms:created>
  <dcterms:modified xsi:type="dcterms:W3CDTF">2022-12-14T01:15:00Z</dcterms:modified>
</cp:coreProperties>
</file>