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659A8D" w14:textId="77777777" w:rsidR="00AC3A9B" w:rsidRDefault="00AC3A9B">
      <w:pPr>
        <w:tabs>
          <w:tab w:val="left" w:pos="6660"/>
        </w:tabs>
        <w:spacing w:line="360" w:lineRule="auto"/>
        <w:jc w:val="center"/>
        <w:rPr>
          <w:rFonts w:asciiTheme="minorEastAsia" w:hAnsiTheme="minorEastAsia" w:cs="Times New Roman"/>
          <w:bCs/>
          <w:sz w:val="48"/>
          <w:szCs w:val="48"/>
        </w:rPr>
      </w:pPr>
    </w:p>
    <w:p w14:paraId="28E6FBC0" w14:textId="77777777" w:rsidR="00AC3A9B" w:rsidRDefault="00AC3A9B">
      <w:pPr>
        <w:spacing w:line="360" w:lineRule="auto"/>
        <w:jc w:val="center"/>
        <w:rPr>
          <w:rFonts w:asciiTheme="minorEastAsia" w:hAnsiTheme="minorEastAsia" w:cs="Times New Roman"/>
          <w:b/>
          <w:sz w:val="48"/>
          <w:szCs w:val="48"/>
        </w:rPr>
      </w:pPr>
    </w:p>
    <w:p w14:paraId="4054B723" w14:textId="77777777" w:rsidR="00AC3A9B" w:rsidRDefault="00AC3A9B">
      <w:pPr>
        <w:adjustRightInd w:val="0"/>
        <w:snapToGrid w:val="0"/>
        <w:spacing w:line="360" w:lineRule="auto"/>
        <w:jc w:val="center"/>
        <w:rPr>
          <w:rFonts w:asciiTheme="minorEastAsia" w:hAnsiTheme="minorEastAsia" w:cs="Arial"/>
          <w:sz w:val="48"/>
          <w:szCs w:val="48"/>
        </w:rPr>
      </w:pPr>
      <w:bookmarkStart w:id="0" w:name="_Toc123112266"/>
      <w:bookmarkStart w:id="1" w:name="_Toc123701386"/>
      <w:bookmarkStart w:id="2" w:name="_Toc139991729"/>
      <w:bookmarkStart w:id="3" w:name="_Toc123112227"/>
    </w:p>
    <w:p w14:paraId="5B3462E5" w14:textId="77777777" w:rsidR="00C50AFD" w:rsidRDefault="00505F4A">
      <w:pPr>
        <w:adjustRightInd w:val="0"/>
        <w:snapToGrid w:val="0"/>
        <w:spacing w:line="360" w:lineRule="auto"/>
        <w:jc w:val="center"/>
        <w:rPr>
          <w:rFonts w:ascii="Arial" w:eastAsia="宋体" w:hAnsi="宋体" w:cs="Arial"/>
          <w:b/>
          <w:sz w:val="48"/>
          <w:szCs w:val="48"/>
        </w:rPr>
      </w:pPr>
      <w:proofErr w:type="gramStart"/>
      <w:r w:rsidRPr="002544B9">
        <w:rPr>
          <w:rFonts w:ascii="Arial" w:eastAsia="宋体" w:hAnsi="宋体" w:cs="Arial" w:hint="eastAsia"/>
          <w:b/>
          <w:sz w:val="48"/>
          <w:szCs w:val="48"/>
        </w:rPr>
        <w:t>富荣</w:t>
      </w:r>
      <w:r w:rsidR="00F144DD" w:rsidRPr="002544B9">
        <w:rPr>
          <w:rFonts w:ascii="Arial" w:eastAsia="宋体" w:hAnsi="宋体" w:cs="Arial" w:hint="eastAsia"/>
          <w:b/>
          <w:sz w:val="48"/>
          <w:szCs w:val="48"/>
        </w:rPr>
        <w:t>福银</w:t>
      </w:r>
      <w:r w:rsidRPr="002544B9">
        <w:rPr>
          <w:rFonts w:ascii="Arial" w:eastAsia="宋体" w:hAnsi="宋体" w:cs="Arial" w:hint="eastAsia"/>
          <w:b/>
          <w:sz w:val="48"/>
          <w:szCs w:val="48"/>
        </w:rPr>
        <w:t>混合型</w:t>
      </w:r>
      <w:proofErr w:type="gramEnd"/>
      <w:r w:rsidR="002C3C29" w:rsidRPr="002544B9">
        <w:rPr>
          <w:rFonts w:ascii="Arial" w:eastAsia="宋体" w:hAnsi="宋体" w:cs="Arial" w:hint="eastAsia"/>
          <w:b/>
          <w:sz w:val="48"/>
          <w:szCs w:val="48"/>
        </w:rPr>
        <w:t>证券投资基金</w:t>
      </w:r>
    </w:p>
    <w:p w14:paraId="53B78664" w14:textId="7600A98C" w:rsidR="00C50AFD"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更新的</w:t>
      </w:r>
      <w:r w:rsidR="002C3C29" w:rsidRPr="002544B9">
        <w:rPr>
          <w:rFonts w:ascii="Arial" w:eastAsia="宋体" w:hAnsi="宋体" w:cs="Arial" w:hint="eastAsia"/>
          <w:b/>
          <w:sz w:val="48"/>
          <w:szCs w:val="48"/>
        </w:rPr>
        <w:t>招募说明书</w:t>
      </w:r>
    </w:p>
    <w:p w14:paraId="3681C4A8" w14:textId="62D9AC65" w:rsidR="00AC3A9B" w:rsidRPr="002544B9" w:rsidRDefault="001223B0">
      <w:pPr>
        <w:adjustRightInd w:val="0"/>
        <w:snapToGrid w:val="0"/>
        <w:spacing w:line="360" w:lineRule="auto"/>
        <w:jc w:val="center"/>
        <w:rPr>
          <w:rFonts w:ascii="Arial" w:eastAsia="宋体" w:hAnsi="宋体" w:cs="Arial"/>
          <w:b/>
          <w:sz w:val="48"/>
          <w:szCs w:val="48"/>
        </w:rPr>
      </w:pPr>
      <w:r>
        <w:rPr>
          <w:rFonts w:ascii="Arial" w:eastAsia="宋体" w:hAnsi="宋体" w:cs="Arial" w:hint="eastAsia"/>
          <w:b/>
          <w:sz w:val="48"/>
          <w:szCs w:val="48"/>
        </w:rPr>
        <w:t>（</w:t>
      </w:r>
      <w:r>
        <w:rPr>
          <w:rFonts w:ascii="Arial" w:eastAsia="宋体" w:hAnsi="宋体" w:cs="Arial" w:hint="eastAsia"/>
          <w:b/>
          <w:sz w:val="48"/>
          <w:szCs w:val="48"/>
        </w:rPr>
        <w:t>2</w:t>
      </w:r>
      <w:r>
        <w:rPr>
          <w:rFonts w:ascii="Arial" w:eastAsia="宋体" w:hAnsi="宋体" w:cs="Arial"/>
          <w:b/>
          <w:sz w:val="48"/>
          <w:szCs w:val="48"/>
        </w:rPr>
        <w:t>022</w:t>
      </w:r>
      <w:r>
        <w:rPr>
          <w:rFonts w:ascii="Arial" w:eastAsia="宋体" w:hAnsi="宋体" w:cs="Arial" w:hint="eastAsia"/>
          <w:b/>
          <w:sz w:val="48"/>
          <w:szCs w:val="48"/>
        </w:rPr>
        <w:t>年第</w:t>
      </w:r>
      <w:r>
        <w:rPr>
          <w:rFonts w:ascii="Arial" w:eastAsia="宋体" w:hAnsi="宋体" w:cs="Arial" w:hint="eastAsia"/>
          <w:b/>
          <w:sz w:val="48"/>
          <w:szCs w:val="48"/>
        </w:rPr>
        <w:t>1</w:t>
      </w:r>
      <w:r>
        <w:rPr>
          <w:rFonts w:ascii="Arial" w:eastAsia="宋体" w:hAnsi="宋体" w:cs="Arial" w:hint="eastAsia"/>
          <w:b/>
          <w:sz w:val="48"/>
          <w:szCs w:val="48"/>
        </w:rPr>
        <w:t>号）</w:t>
      </w:r>
    </w:p>
    <w:p w14:paraId="7068667A" w14:textId="77777777" w:rsidR="00AC3A9B" w:rsidRPr="002544B9" w:rsidRDefault="00AC3A9B">
      <w:pPr>
        <w:adjustRightInd w:val="0"/>
        <w:snapToGrid w:val="0"/>
        <w:spacing w:line="360" w:lineRule="auto"/>
        <w:jc w:val="center"/>
        <w:rPr>
          <w:rFonts w:asciiTheme="minorEastAsia" w:hAnsiTheme="minorEastAsia" w:cs="Times New Roman"/>
          <w:b/>
          <w:sz w:val="36"/>
          <w:szCs w:val="36"/>
        </w:rPr>
      </w:pPr>
    </w:p>
    <w:p w14:paraId="70304D14"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809F4BA"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00FE2BD0"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31E36C6E"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CC395B2"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7652BBEB" w14:textId="77777777" w:rsidR="00AC3A9B" w:rsidRPr="002544B9" w:rsidRDefault="00AC3A9B">
      <w:pPr>
        <w:adjustRightInd w:val="0"/>
        <w:snapToGrid w:val="0"/>
        <w:spacing w:line="360" w:lineRule="auto"/>
        <w:jc w:val="center"/>
        <w:rPr>
          <w:rFonts w:asciiTheme="minorEastAsia" w:hAnsiTheme="minorEastAsia" w:cs="Arial"/>
          <w:sz w:val="36"/>
          <w:szCs w:val="36"/>
        </w:rPr>
      </w:pPr>
    </w:p>
    <w:p w14:paraId="5F001E54" w14:textId="77777777" w:rsidR="00AC3A9B" w:rsidRPr="002544B9" w:rsidRDefault="002C3C29">
      <w:pPr>
        <w:snapToGrid w:val="0"/>
        <w:spacing w:line="360" w:lineRule="auto"/>
        <w:jc w:val="center"/>
        <w:rPr>
          <w:rFonts w:ascii="Arial" w:eastAsia="宋体" w:hAnsi="Arial" w:cs="Times New Roman"/>
          <w:b/>
          <w:sz w:val="36"/>
          <w:szCs w:val="36"/>
        </w:rPr>
      </w:pPr>
      <w:bookmarkStart w:id="4" w:name="_Toc123112224"/>
      <w:bookmarkStart w:id="5" w:name="_Toc123701383"/>
      <w:bookmarkStart w:id="6" w:name="_Toc123112263"/>
      <w:bookmarkStart w:id="7" w:name="_Toc139992301"/>
      <w:bookmarkStart w:id="8" w:name="_Toc139991726"/>
      <w:r w:rsidRPr="002544B9">
        <w:rPr>
          <w:rFonts w:ascii="Arial" w:eastAsia="宋体" w:hAnsi="Arial" w:cs="Times New Roman" w:hint="eastAsia"/>
          <w:b/>
          <w:sz w:val="36"/>
          <w:szCs w:val="36"/>
        </w:rPr>
        <w:t>基金管理人：</w:t>
      </w:r>
      <w:bookmarkEnd w:id="4"/>
      <w:bookmarkEnd w:id="5"/>
      <w:bookmarkEnd w:id="6"/>
      <w:bookmarkEnd w:id="7"/>
      <w:bookmarkEnd w:id="8"/>
      <w:r w:rsidRPr="002544B9">
        <w:rPr>
          <w:rFonts w:ascii="Arial" w:eastAsia="宋体" w:hAnsi="Arial" w:cs="Times New Roman" w:hint="eastAsia"/>
          <w:b/>
          <w:sz w:val="36"/>
          <w:szCs w:val="36"/>
        </w:rPr>
        <w:t>富荣基金管理有限公司</w:t>
      </w:r>
    </w:p>
    <w:p w14:paraId="22987561" w14:textId="20D0380F" w:rsidR="00AC3A9B" w:rsidRPr="002544B9" w:rsidRDefault="002C3C29">
      <w:pPr>
        <w:autoSpaceDE w:val="0"/>
        <w:autoSpaceDN w:val="0"/>
        <w:adjustRightInd w:val="0"/>
        <w:snapToGrid w:val="0"/>
        <w:spacing w:line="360" w:lineRule="auto"/>
        <w:jc w:val="center"/>
        <w:rPr>
          <w:rFonts w:ascii="Arial" w:eastAsia="宋体" w:hAnsi="Arial" w:cs="Arial"/>
          <w:b/>
          <w:bCs/>
          <w:sz w:val="36"/>
          <w:szCs w:val="36"/>
        </w:rPr>
      </w:pPr>
      <w:bookmarkStart w:id="9" w:name="_Toc139992302"/>
      <w:bookmarkStart w:id="10" w:name="_Toc123112264"/>
      <w:bookmarkStart w:id="11" w:name="_Toc123701384"/>
      <w:bookmarkStart w:id="12" w:name="_Toc123112225"/>
      <w:bookmarkStart w:id="13" w:name="_Toc139991727"/>
      <w:r w:rsidRPr="002544B9">
        <w:rPr>
          <w:rFonts w:ascii="Arial" w:eastAsia="宋体" w:hAnsi="Arial" w:cs="Times New Roman" w:hint="eastAsia"/>
          <w:b/>
          <w:sz w:val="36"/>
          <w:szCs w:val="36"/>
        </w:rPr>
        <w:t>基金托管人：</w:t>
      </w:r>
      <w:bookmarkEnd w:id="9"/>
      <w:bookmarkEnd w:id="10"/>
      <w:bookmarkEnd w:id="11"/>
      <w:bookmarkEnd w:id="12"/>
      <w:bookmarkEnd w:id="13"/>
      <w:r w:rsidR="006E585E" w:rsidRPr="002544B9">
        <w:rPr>
          <w:rFonts w:ascii="Arial" w:eastAsia="宋体" w:hAnsi="Arial" w:cs="Times New Roman" w:hint="eastAsia"/>
          <w:b/>
          <w:sz w:val="36"/>
          <w:szCs w:val="36"/>
        </w:rPr>
        <w:t>国泰君安证券股份有限公司</w:t>
      </w:r>
    </w:p>
    <w:p w14:paraId="4DDBBD3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01F5C810" w14:textId="77777777" w:rsidR="00AC3A9B" w:rsidRPr="002544B9" w:rsidRDefault="00AC3A9B">
      <w:pPr>
        <w:autoSpaceDE w:val="0"/>
        <w:autoSpaceDN w:val="0"/>
        <w:adjustRightInd w:val="0"/>
        <w:snapToGrid w:val="0"/>
        <w:spacing w:line="360" w:lineRule="auto"/>
        <w:jc w:val="center"/>
        <w:rPr>
          <w:rFonts w:asciiTheme="minorEastAsia" w:hAnsiTheme="minorEastAsia" w:cs="Arial"/>
          <w:b/>
          <w:bCs/>
          <w:sz w:val="28"/>
          <w:szCs w:val="28"/>
        </w:rPr>
      </w:pPr>
    </w:p>
    <w:p w14:paraId="4D08B753" w14:textId="77777777" w:rsidR="00AC3A9B" w:rsidRPr="002544B9" w:rsidRDefault="00AC3A9B">
      <w:pPr>
        <w:widowControl/>
        <w:spacing w:line="360" w:lineRule="auto"/>
        <w:rPr>
          <w:rFonts w:ascii="Arial" w:eastAsia="宋体" w:hAnsi="Arial" w:cs="Arial"/>
          <w:b/>
          <w:bCs/>
          <w:kern w:val="0"/>
          <w:sz w:val="28"/>
          <w:szCs w:val="28"/>
        </w:rPr>
        <w:sectPr w:rsidR="00AC3A9B" w:rsidRPr="002544B9" w:rsidSect="0043683C">
          <w:headerReference w:type="default" r:id="rId9"/>
          <w:footerReference w:type="default" r:id="rId10"/>
          <w:headerReference w:type="first" r:id="rId11"/>
          <w:pgSz w:w="11906" w:h="16838"/>
          <w:pgMar w:top="1440" w:right="1800" w:bottom="1440" w:left="1800" w:header="851" w:footer="992" w:gutter="0"/>
          <w:pgNumType w:start="1"/>
          <w:cols w:space="720"/>
          <w:titlePg/>
          <w:docGrid w:type="lines" w:linePitch="312"/>
        </w:sectPr>
      </w:pPr>
    </w:p>
    <w:p w14:paraId="626DB6C1" w14:textId="083A2D40" w:rsidR="00AC3A9B" w:rsidRPr="002544B9" w:rsidRDefault="002C3C29">
      <w:pPr>
        <w:autoSpaceDE w:val="0"/>
        <w:autoSpaceDN w:val="0"/>
        <w:adjustRightInd w:val="0"/>
        <w:snapToGrid w:val="0"/>
        <w:spacing w:line="360" w:lineRule="auto"/>
        <w:jc w:val="center"/>
        <w:rPr>
          <w:rFonts w:ascii="Arial" w:eastAsia="宋体" w:hAnsi="Arial" w:cs="Arial"/>
          <w:b/>
          <w:bCs/>
          <w:sz w:val="30"/>
          <w:szCs w:val="30"/>
        </w:rPr>
      </w:pPr>
      <w:r w:rsidRPr="002544B9">
        <w:rPr>
          <w:rFonts w:ascii="Arial" w:eastAsia="宋体" w:hAnsi="Arial" w:cs="Arial" w:hint="eastAsia"/>
          <w:b/>
          <w:bCs/>
          <w:sz w:val="30"/>
          <w:szCs w:val="30"/>
        </w:rPr>
        <w:lastRenderedPageBreak/>
        <w:t>【重要提示】</w:t>
      </w:r>
    </w:p>
    <w:p w14:paraId="26090586" w14:textId="77777777" w:rsidR="00AC3A9B" w:rsidRPr="002544B9" w:rsidRDefault="00AC3A9B" w:rsidP="00D55EDF">
      <w:pPr>
        <w:autoSpaceDE w:val="0"/>
        <w:autoSpaceDN w:val="0"/>
        <w:adjustRightInd w:val="0"/>
        <w:snapToGrid w:val="0"/>
        <w:spacing w:line="360" w:lineRule="auto"/>
        <w:rPr>
          <w:rFonts w:ascii="Arial" w:eastAsia="宋体" w:hAnsi="Arial" w:cs="Arial"/>
          <w:b/>
          <w:bCs/>
          <w:szCs w:val="21"/>
        </w:rPr>
      </w:pPr>
    </w:p>
    <w:p w14:paraId="43259F60" w14:textId="038D38FE"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kern w:val="0"/>
          <w:sz w:val="24"/>
          <w:szCs w:val="24"/>
        </w:rPr>
        <w:t>1、</w:t>
      </w:r>
      <w:r w:rsidR="002C3C29" w:rsidRPr="002544B9">
        <w:rPr>
          <w:rFonts w:asciiTheme="minorEastAsia" w:hAnsiTheme="minorEastAsia" w:cs="Arial" w:hint="eastAsia"/>
          <w:kern w:val="0"/>
          <w:sz w:val="24"/>
          <w:szCs w:val="24"/>
        </w:rPr>
        <w:t>本基金根据</w:t>
      </w:r>
      <w:r w:rsidR="00200C7F" w:rsidRPr="002544B9">
        <w:rPr>
          <w:rFonts w:asciiTheme="minorEastAsia" w:hAnsiTheme="minorEastAsia" w:cs="Arial"/>
          <w:bCs/>
          <w:color w:val="000000"/>
          <w:sz w:val="24"/>
          <w:szCs w:val="24"/>
        </w:rPr>
        <w:t>2021年5月20</w:t>
      </w:r>
      <w:r w:rsidR="00200C7F" w:rsidRPr="002544B9">
        <w:rPr>
          <w:rFonts w:asciiTheme="minorEastAsia" w:hAnsiTheme="minorEastAsia" w:cs="Arial" w:hint="eastAsia"/>
          <w:bCs/>
          <w:color w:val="000000"/>
          <w:sz w:val="24"/>
          <w:szCs w:val="24"/>
        </w:rPr>
        <w:t>日</w:t>
      </w:r>
      <w:r w:rsidR="002C3C29" w:rsidRPr="002544B9">
        <w:rPr>
          <w:rFonts w:asciiTheme="minorEastAsia" w:hAnsiTheme="minorEastAsia" w:cs="Arial" w:hint="eastAsia"/>
          <w:kern w:val="0"/>
          <w:sz w:val="24"/>
          <w:szCs w:val="24"/>
        </w:rPr>
        <w:t>中国证券监督管理委员会（以下简称“中国证监会”）《关于准予</w:t>
      </w:r>
      <w:r w:rsidR="00505F4A" w:rsidRPr="002544B9">
        <w:rPr>
          <w:rFonts w:asciiTheme="minorEastAsia" w:hAnsiTheme="minorEastAsia" w:cs="Arial" w:hint="eastAsia"/>
          <w:kern w:val="0"/>
          <w:sz w:val="24"/>
          <w:szCs w:val="24"/>
        </w:rPr>
        <w:t>富荣</w:t>
      </w:r>
      <w:r w:rsidR="00F144DD" w:rsidRPr="002544B9">
        <w:rPr>
          <w:rFonts w:asciiTheme="minorEastAsia" w:hAnsiTheme="minorEastAsia" w:cs="Arial" w:hint="eastAsia"/>
          <w:kern w:val="0"/>
          <w:sz w:val="24"/>
          <w:szCs w:val="24"/>
        </w:rPr>
        <w:t>福银</w:t>
      </w:r>
      <w:r w:rsidR="00505F4A" w:rsidRPr="002544B9">
        <w:rPr>
          <w:rFonts w:asciiTheme="minorEastAsia" w:hAnsiTheme="minorEastAsia" w:cs="Arial" w:hint="eastAsia"/>
          <w:kern w:val="0"/>
          <w:sz w:val="24"/>
          <w:szCs w:val="24"/>
        </w:rPr>
        <w:t>混合型</w:t>
      </w:r>
      <w:r w:rsidR="002C3C29" w:rsidRPr="002544B9">
        <w:rPr>
          <w:rFonts w:asciiTheme="minorEastAsia" w:hAnsiTheme="minorEastAsia" w:cs="Arial" w:hint="eastAsia"/>
          <w:kern w:val="0"/>
          <w:sz w:val="24"/>
          <w:szCs w:val="24"/>
        </w:rPr>
        <w:t>证券投资基金注册的批复》（</w:t>
      </w:r>
      <w:r w:rsidR="002C3C29" w:rsidRPr="002544B9">
        <w:rPr>
          <w:rFonts w:asciiTheme="minorEastAsia" w:hAnsiTheme="minorEastAsia" w:cs="Arial" w:hint="eastAsia"/>
          <w:bCs/>
          <w:color w:val="000000"/>
          <w:kern w:val="0"/>
          <w:sz w:val="24"/>
          <w:szCs w:val="24"/>
        </w:rPr>
        <w:t>证监许可</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2021</w:t>
      </w:r>
      <w:r w:rsidR="002C3C29" w:rsidRPr="002544B9">
        <w:rPr>
          <w:rFonts w:asciiTheme="minorEastAsia" w:hAnsiTheme="minorEastAsia" w:cs="Arial"/>
          <w:bCs/>
          <w:color w:val="000000"/>
          <w:sz w:val="24"/>
          <w:szCs w:val="24"/>
        </w:rPr>
        <w:t>]</w:t>
      </w:r>
      <w:r w:rsidR="00200C7F" w:rsidRPr="002544B9">
        <w:rPr>
          <w:rFonts w:asciiTheme="minorEastAsia" w:hAnsiTheme="minorEastAsia" w:cs="Arial"/>
          <w:bCs/>
          <w:color w:val="000000"/>
          <w:sz w:val="24"/>
          <w:szCs w:val="24"/>
        </w:rPr>
        <w:t>1738</w:t>
      </w:r>
      <w:r w:rsidR="002C3C29" w:rsidRPr="002544B9">
        <w:rPr>
          <w:rFonts w:asciiTheme="minorEastAsia" w:hAnsiTheme="minorEastAsia" w:cs="Arial" w:hint="eastAsia"/>
          <w:bCs/>
          <w:color w:val="000000"/>
          <w:sz w:val="24"/>
          <w:szCs w:val="24"/>
        </w:rPr>
        <w:t>号</w:t>
      </w:r>
      <w:r w:rsidR="002C3C29" w:rsidRPr="002544B9">
        <w:rPr>
          <w:rFonts w:asciiTheme="minorEastAsia" w:hAnsiTheme="minorEastAsia" w:cs="Arial" w:hint="eastAsia"/>
          <w:bCs/>
          <w:color w:val="000000"/>
          <w:kern w:val="0"/>
          <w:sz w:val="24"/>
          <w:szCs w:val="24"/>
        </w:rPr>
        <w:t>）进行募集。</w:t>
      </w:r>
      <w:r w:rsidR="007E0E8A">
        <w:rPr>
          <w:rFonts w:asciiTheme="minorEastAsia" w:hAnsiTheme="minorEastAsia" w:cs="Arial" w:hint="eastAsia"/>
          <w:bCs/>
          <w:color w:val="000000"/>
          <w:kern w:val="0"/>
          <w:sz w:val="24"/>
          <w:szCs w:val="24"/>
        </w:rPr>
        <w:t>本基金于2</w:t>
      </w:r>
      <w:r w:rsidR="007E0E8A">
        <w:rPr>
          <w:rFonts w:asciiTheme="minorEastAsia" w:hAnsiTheme="minorEastAsia" w:cs="Arial"/>
          <w:bCs/>
          <w:color w:val="000000"/>
          <w:kern w:val="0"/>
          <w:sz w:val="24"/>
          <w:szCs w:val="24"/>
        </w:rPr>
        <w:t>021</w:t>
      </w:r>
      <w:r w:rsidR="007E0E8A">
        <w:rPr>
          <w:rFonts w:asciiTheme="minorEastAsia" w:hAnsiTheme="minorEastAsia" w:cs="Arial" w:hint="eastAsia"/>
          <w:bCs/>
          <w:color w:val="000000"/>
          <w:kern w:val="0"/>
          <w:sz w:val="24"/>
          <w:szCs w:val="24"/>
        </w:rPr>
        <w:t>年6月1</w:t>
      </w:r>
      <w:r w:rsidR="007E0E8A">
        <w:rPr>
          <w:rFonts w:asciiTheme="minorEastAsia" w:hAnsiTheme="minorEastAsia" w:cs="Arial"/>
          <w:bCs/>
          <w:color w:val="000000"/>
          <w:kern w:val="0"/>
          <w:sz w:val="24"/>
          <w:szCs w:val="24"/>
        </w:rPr>
        <w:t>8</w:t>
      </w:r>
      <w:r w:rsidR="007E0E8A">
        <w:rPr>
          <w:rFonts w:asciiTheme="minorEastAsia" w:hAnsiTheme="minorEastAsia" w:cs="Arial" w:hint="eastAsia"/>
          <w:bCs/>
          <w:color w:val="000000"/>
          <w:kern w:val="0"/>
          <w:sz w:val="24"/>
          <w:szCs w:val="24"/>
        </w:rPr>
        <w:t>日正式生效。</w:t>
      </w:r>
    </w:p>
    <w:p w14:paraId="155FFA79" w14:textId="269068F5"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002C3C29" w:rsidRPr="002544B9">
        <w:rPr>
          <w:rFonts w:asciiTheme="minorEastAsia" w:hAnsiTheme="minorEastAsia" w:cs="Arial" w:hint="eastAsia"/>
          <w:sz w:val="24"/>
          <w:szCs w:val="24"/>
        </w:rPr>
        <w:t>本基金管理人保证招募说明书的内容真实、准确、完整。本招募说明书经中国证监会注册，但中国证监会对本基金募集的注册，并不表明其对本基金的投资价值、市场前景和收益</w:t>
      </w:r>
      <w:proofErr w:type="gramStart"/>
      <w:r w:rsidR="002C3C29" w:rsidRPr="002544B9">
        <w:rPr>
          <w:rFonts w:asciiTheme="minorEastAsia" w:hAnsiTheme="minorEastAsia" w:cs="Arial" w:hint="eastAsia"/>
          <w:sz w:val="24"/>
          <w:szCs w:val="24"/>
        </w:rPr>
        <w:t>作出</w:t>
      </w:r>
      <w:proofErr w:type="gramEnd"/>
      <w:r w:rsidR="002C3C29" w:rsidRPr="002544B9">
        <w:rPr>
          <w:rFonts w:asciiTheme="minorEastAsia" w:hAnsiTheme="minorEastAsia" w:cs="Arial" w:hint="eastAsia"/>
          <w:sz w:val="24"/>
          <w:szCs w:val="24"/>
        </w:rPr>
        <w:t>实质性判断或保证，也不表明投资于本基金没有风险。</w:t>
      </w:r>
    </w:p>
    <w:p w14:paraId="1E18AA35" w14:textId="533A784F" w:rsidR="00AC3A9B" w:rsidRPr="002544B9" w:rsidRDefault="00971DE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002C3C29" w:rsidRPr="002544B9">
        <w:rPr>
          <w:rFonts w:asciiTheme="minorEastAsia" w:hAnsiTheme="minorEastAsia" w:cs="Arial" w:hint="eastAsia"/>
          <w:sz w:val="24"/>
          <w:szCs w:val="24"/>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002C3C29" w:rsidRPr="002544B9">
        <w:rPr>
          <w:rFonts w:asciiTheme="minorEastAsia" w:hAnsiTheme="minorEastAsia" w:cs="Arial" w:hint="eastAsia"/>
          <w:sz w:val="24"/>
          <w:szCs w:val="24"/>
        </w:rPr>
        <w:t>规</w:t>
      </w:r>
      <w:proofErr w:type="gramEnd"/>
      <w:r w:rsidR="002C3C29" w:rsidRPr="002544B9">
        <w:rPr>
          <w:rFonts w:asciiTheme="minorEastAsia" w:hAnsiTheme="minorEastAsia" w:cs="Arial" w:hint="eastAsia"/>
          <w:sz w:val="24"/>
          <w:szCs w:val="24"/>
        </w:rPr>
        <w:t>性风险、本基金特定投资策略带来的风险及其他风险等。本基金属于混合型基金，其预期的风险和收益高于货币市场基金、债券基金，低于股票型基金。</w:t>
      </w:r>
    </w:p>
    <w:p w14:paraId="4BAD8F66" w14:textId="77777777" w:rsidR="00650E90" w:rsidRPr="002544B9" w:rsidRDefault="00650E90" w:rsidP="00650E90">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可投资资产支持证券，资产支持证券在国内市场尚处发展初期，具有低流动性、高收益的特征，并存在一定的投资风险。资产支持证券的投资与基金资产密切相关，因此会受到特定原始权益人破产风险及现金</w:t>
      </w:r>
      <w:proofErr w:type="gramStart"/>
      <w:r w:rsidRPr="002544B9">
        <w:rPr>
          <w:rFonts w:asciiTheme="minorEastAsia" w:hAnsiTheme="minorEastAsia" w:cs="Arial" w:hint="eastAsia"/>
          <w:sz w:val="24"/>
          <w:szCs w:val="24"/>
        </w:rPr>
        <w:t>流预测</w:t>
      </w:r>
      <w:proofErr w:type="gramEnd"/>
      <w:r w:rsidRPr="002544B9">
        <w:rPr>
          <w:rFonts w:asciiTheme="minorEastAsia" w:hAnsiTheme="minorEastAsia" w:cs="Arial" w:hint="eastAsia"/>
          <w:sz w:val="24"/>
          <w:szCs w:val="24"/>
        </w:rPr>
        <w:t>风险等的影响；当本基金投资的资产支持证券信用评级发生变化时，本基金将需要面对临时调整持仓的风险；此外当资产支持证券相关的发行人、管理人、托管人等出现违规违约时，本基金将面临无法收取投资收益甚至损失本金的风险。</w:t>
      </w:r>
    </w:p>
    <w:p w14:paraId="31CB43FB" w14:textId="1F5F5E03" w:rsidR="00AC3A9B" w:rsidRPr="002544B9" w:rsidRDefault="002C3C29"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本基金的投资范围包括存托凭证，若投资，可能面临存托凭证价格大幅波动甚至出现较大亏损的风险，以及与存托凭证发行机制相关的风险。</w:t>
      </w:r>
    </w:p>
    <w:p w14:paraId="71911738" w14:textId="118850DB" w:rsidR="00AF017B" w:rsidRPr="002544B9" w:rsidRDefault="00AF017B" w:rsidP="0027177B">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当本基金持有特定资产且存在或潜在大额赎回申请时，基金管理人履行相应程序后，可以</w:t>
      </w:r>
      <w:proofErr w:type="gramStart"/>
      <w:r w:rsidRPr="002544B9">
        <w:rPr>
          <w:rFonts w:asciiTheme="minorEastAsia" w:hAnsiTheme="minorEastAsia" w:cs="Arial" w:hint="eastAsia"/>
          <w:sz w:val="24"/>
          <w:szCs w:val="24"/>
        </w:rPr>
        <w:t>启用侧袋机制</w:t>
      </w:r>
      <w:proofErr w:type="gramEnd"/>
      <w:r w:rsidRPr="002544B9">
        <w:rPr>
          <w:rFonts w:asciiTheme="minorEastAsia" w:hAnsiTheme="minorEastAsia" w:cs="Arial" w:hint="eastAsia"/>
          <w:sz w:val="24"/>
          <w:szCs w:val="24"/>
        </w:rPr>
        <w:t>，具体详见基金合同和本招募说明书“侧袋机制”等有关章节。</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实施期间，基金管理人将对基金简称进行特殊标识，并不</w:t>
      </w:r>
      <w:proofErr w:type="gramStart"/>
      <w:r w:rsidRPr="002544B9">
        <w:rPr>
          <w:rFonts w:asciiTheme="minorEastAsia" w:hAnsiTheme="minorEastAsia" w:cs="Arial" w:hint="eastAsia"/>
          <w:sz w:val="24"/>
          <w:szCs w:val="24"/>
        </w:rPr>
        <w:t>办理侧袋账户</w:t>
      </w:r>
      <w:proofErr w:type="gramEnd"/>
      <w:r w:rsidRPr="002544B9">
        <w:rPr>
          <w:rFonts w:asciiTheme="minorEastAsia" w:hAnsiTheme="minorEastAsia" w:cs="Arial" w:hint="eastAsia"/>
          <w:sz w:val="24"/>
          <w:szCs w:val="24"/>
        </w:rPr>
        <w:t>的申购赎回。</w:t>
      </w:r>
      <w:proofErr w:type="gramStart"/>
      <w:r w:rsidRPr="002544B9">
        <w:rPr>
          <w:rFonts w:asciiTheme="minorEastAsia" w:hAnsiTheme="minorEastAsia" w:cs="Arial" w:hint="eastAsia"/>
          <w:sz w:val="24"/>
          <w:szCs w:val="24"/>
        </w:rPr>
        <w:t>请基金</w:t>
      </w:r>
      <w:proofErr w:type="gramEnd"/>
      <w:r w:rsidRPr="002544B9">
        <w:rPr>
          <w:rFonts w:asciiTheme="minorEastAsia" w:hAnsiTheme="minorEastAsia" w:cs="Arial" w:hint="eastAsia"/>
          <w:sz w:val="24"/>
          <w:szCs w:val="24"/>
        </w:rPr>
        <w:t>份额持有人仔细阅读相关内容并关注本基金启用</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时的特定风险。</w:t>
      </w:r>
    </w:p>
    <w:p w14:paraId="0493EBDE" w14:textId="3775FA50" w:rsidR="00A42602" w:rsidRPr="002544B9" w:rsidRDefault="00D040E4">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本基金的投资范围包括</w:t>
      </w:r>
      <w:r w:rsidR="009B2AFA" w:rsidRPr="002544B9">
        <w:rPr>
          <w:rFonts w:asciiTheme="minorEastAsia" w:hAnsiTheme="minorEastAsia" w:cs="Arial" w:hint="eastAsia"/>
          <w:sz w:val="24"/>
          <w:szCs w:val="24"/>
        </w:rPr>
        <w:t>股指期货、国债期货、股票期权</w:t>
      </w:r>
      <w:r w:rsidRPr="002544B9">
        <w:rPr>
          <w:rFonts w:asciiTheme="minorEastAsia" w:hAnsiTheme="minorEastAsia" w:cs="Arial" w:hint="eastAsia"/>
          <w:sz w:val="24"/>
          <w:szCs w:val="24"/>
        </w:rPr>
        <w:t>，可能面临市场风险、流动性风险、</w:t>
      </w:r>
      <w:proofErr w:type="gramStart"/>
      <w:r w:rsidRPr="002544B9">
        <w:rPr>
          <w:rFonts w:asciiTheme="minorEastAsia" w:hAnsiTheme="minorEastAsia" w:cs="Arial" w:hint="eastAsia"/>
          <w:sz w:val="24"/>
          <w:szCs w:val="24"/>
        </w:rPr>
        <w:t>基差风险</w:t>
      </w:r>
      <w:proofErr w:type="gramEnd"/>
      <w:r w:rsidRPr="002544B9">
        <w:rPr>
          <w:rFonts w:asciiTheme="minorEastAsia" w:hAnsiTheme="minorEastAsia" w:cs="Arial" w:hint="eastAsia"/>
          <w:sz w:val="24"/>
          <w:szCs w:val="24"/>
        </w:rPr>
        <w:t>、保证金风险、信用风险和操作风险等。</w:t>
      </w:r>
    </w:p>
    <w:p w14:paraId="5DFBD045" w14:textId="72B474CF"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本基金以</w:t>
      </w:r>
      <w:r w:rsidR="002C3C29" w:rsidRPr="002544B9">
        <w:rPr>
          <w:rFonts w:asciiTheme="minorEastAsia" w:hAnsiTheme="minorEastAsia" w:cs="Arial"/>
          <w:sz w:val="24"/>
          <w:szCs w:val="24"/>
        </w:rPr>
        <w:t>1.00</w:t>
      </w:r>
      <w:r w:rsidR="002C3C29" w:rsidRPr="002544B9">
        <w:rPr>
          <w:rFonts w:asciiTheme="minorEastAsia" w:hAnsiTheme="minorEastAsia" w:cs="Arial" w:hint="eastAsia"/>
          <w:sz w:val="24"/>
          <w:szCs w:val="24"/>
        </w:rPr>
        <w:t>元发售面值募集基金份额，在市场波动等因素的影响下，</w:t>
      </w:r>
      <w:r w:rsidR="002C3C29" w:rsidRPr="002544B9">
        <w:rPr>
          <w:rFonts w:asciiTheme="minorEastAsia" w:hAnsiTheme="minorEastAsia" w:cs="Arial" w:hint="eastAsia"/>
          <w:sz w:val="24"/>
          <w:szCs w:val="24"/>
        </w:rPr>
        <w:lastRenderedPageBreak/>
        <w:t>基金投资有可能出现亏损或基金份额净值低于初始面值。</w:t>
      </w:r>
    </w:p>
    <w:p w14:paraId="2071C9F9" w14:textId="58114741" w:rsidR="00AC3A9B" w:rsidRPr="002544B9" w:rsidRDefault="00E973A1">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w:t>
      </w:r>
      <w:r w:rsidR="00971DE0" w:rsidRPr="002544B9">
        <w:rPr>
          <w:rFonts w:asciiTheme="minorEastAsia" w:hAnsiTheme="minorEastAsia" w:cs="Arial" w:hint="eastAsia"/>
          <w:sz w:val="24"/>
          <w:szCs w:val="24"/>
        </w:rPr>
        <w:t>、</w:t>
      </w:r>
      <w:r w:rsidR="002C3C29" w:rsidRPr="002544B9">
        <w:rPr>
          <w:rFonts w:asciiTheme="minorEastAsia" w:hAnsiTheme="minorEastAsia" w:cs="Arial" w:hint="eastAsia"/>
          <w:sz w:val="24"/>
          <w:szCs w:val="24"/>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485E264E" w14:textId="696B914B" w:rsidR="00AC3A9B"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基金管理人依照恪尽职守、诚实信用、谨慎勤勉的原则管理和运用基金财产，但不保证基金一定盈利，也不保证最低收益。基金管理人提醒投资者基金投资的</w:t>
      </w:r>
      <w:r w:rsidRPr="002544B9">
        <w:rPr>
          <w:rFonts w:asciiTheme="minorEastAsia" w:hAnsiTheme="minorEastAsia" w:cs="Arial"/>
          <w:sz w:val="24"/>
          <w:szCs w:val="24"/>
        </w:rPr>
        <w:t>“</w:t>
      </w:r>
      <w:r w:rsidRPr="002544B9">
        <w:rPr>
          <w:rFonts w:asciiTheme="minorEastAsia" w:hAnsiTheme="minorEastAsia" w:cs="Arial" w:hint="eastAsia"/>
          <w:sz w:val="24"/>
          <w:szCs w:val="24"/>
        </w:rPr>
        <w:t>买者自负</w:t>
      </w:r>
      <w:r w:rsidRPr="002544B9">
        <w:rPr>
          <w:rFonts w:asciiTheme="minorEastAsia" w:hAnsiTheme="minorEastAsia" w:cs="Arial"/>
          <w:sz w:val="24"/>
          <w:szCs w:val="24"/>
        </w:rPr>
        <w:t>”</w:t>
      </w:r>
      <w:r w:rsidRPr="002544B9">
        <w:rPr>
          <w:rFonts w:asciiTheme="minorEastAsia" w:hAnsiTheme="minorEastAsia" w:cs="Arial" w:hint="eastAsia"/>
          <w:sz w:val="24"/>
          <w:szCs w:val="24"/>
        </w:rPr>
        <w:t>原则，在</w:t>
      </w:r>
      <w:proofErr w:type="gramStart"/>
      <w:r w:rsidRPr="002544B9">
        <w:rPr>
          <w:rFonts w:asciiTheme="minorEastAsia" w:hAnsiTheme="minorEastAsia" w:cs="Arial" w:hint="eastAsia"/>
          <w:sz w:val="24"/>
          <w:szCs w:val="24"/>
        </w:rPr>
        <w:t>作出</w:t>
      </w:r>
      <w:proofErr w:type="gramEnd"/>
      <w:r w:rsidRPr="002544B9">
        <w:rPr>
          <w:rFonts w:asciiTheme="minorEastAsia" w:hAnsiTheme="minorEastAsia" w:cs="Arial" w:hint="eastAsia"/>
          <w:sz w:val="24"/>
          <w:szCs w:val="24"/>
        </w:rPr>
        <w:t>投资决策后，基金运营状况与基金净值变化引致的投资风险，由投资者自行承担。</w:t>
      </w:r>
    </w:p>
    <w:p w14:paraId="5F2EC5DF" w14:textId="63298C57" w:rsidR="00DD1AB6" w:rsidRPr="00DD1AB6"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r w:rsidRPr="00DD1AB6">
        <w:rPr>
          <w:rFonts w:asciiTheme="minorEastAsia" w:hAnsiTheme="minorEastAsia" w:cs="Arial" w:hint="eastAsia"/>
          <w:sz w:val="24"/>
          <w:szCs w:val="24"/>
        </w:rPr>
        <w:t>本招募说明书的所载内容截止日为2022年4月</w:t>
      </w:r>
      <w:r>
        <w:rPr>
          <w:rFonts w:asciiTheme="minorEastAsia" w:hAnsiTheme="minorEastAsia" w:cs="Arial"/>
          <w:sz w:val="24"/>
          <w:szCs w:val="24"/>
        </w:rPr>
        <w:t>25</w:t>
      </w:r>
      <w:r w:rsidRPr="00DD1AB6">
        <w:rPr>
          <w:rFonts w:asciiTheme="minorEastAsia" w:hAnsiTheme="minorEastAsia" w:cs="Arial" w:hint="eastAsia"/>
          <w:sz w:val="24"/>
          <w:szCs w:val="24"/>
        </w:rPr>
        <w:t>日，有关财务数据截止日为2022年3月31日，净值表现截止日为2022年3月31日，本报告中所列财务数据未经审计。</w:t>
      </w:r>
    </w:p>
    <w:p w14:paraId="5EB1DD2F" w14:textId="3993C754" w:rsidR="00DD1AB6" w:rsidRPr="002544B9" w:rsidRDefault="00DD1AB6" w:rsidP="00DD1AB6">
      <w:pPr>
        <w:autoSpaceDE w:val="0"/>
        <w:autoSpaceDN w:val="0"/>
        <w:adjustRightInd w:val="0"/>
        <w:snapToGrid w:val="0"/>
        <w:spacing w:line="360" w:lineRule="auto"/>
        <w:ind w:firstLineChars="200" w:firstLine="480"/>
        <w:rPr>
          <w:rFonts w:asciiTheme="minorEastAsia" w:hAnsiTheme="minorEastAsia" w:cs="Arial"/>
          <w:sz w:val="24"/>
          <w:szCs w:val="24"/>
        </w:rPr>
      </w:pPr>
      <w:r w:rsidRPr="00DD1AB6">
        <w:rPr>
          <w:rFonts w:asciiTheme="minorEastAsia" w:hAnsiTheme="minorEastAsia" w:cs="Arial" w:hint="eastAsia"/>
          <w:sz w:val="24"/>
          <w:szCs w:val="24"/>
        </w:rPr>
        <w:t>本基金托管人</w:t>
      </w:r>
      <w:r>
        <w:rPr>
          <w:rFonts w:asciiTheme="minorEastAsia" w:hAnsiTheme="minorEastAsia" w:cs="Arial" w:hint="eastAsia"/>
          <w:sz w:val="24"/>
          <w:szCs w:val="24"/>
        </w:rPr>
        <w:t>国泰君安证券股份有限公司</w:t>
      </w:r>
      <w:r w:rsidRPr="00DD1AB6">
        <w:rPr>
          <w:rFonts w:asciiTheme="minorEastAsia" w:hAnsiTheme="minorEastAsia" w:cs="Arial" w:hint="eastAsia"/>
          <w:sz w:val="24"/>
          <w:szCs w:val="24"/>
        </w:rPr>
        <w:t>已复核了本次更新的招募说明书。</w:t>
      </w:r>
    </w:p>
    <w:p w14:paraId="54D5EFC0" w14:textId="77777777"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2E5B8B77" w14:textId="77777777" w:rsidR="00AC3A9B" w:rsidRPr="002544B9" w:rsidRDefault="00AC3A9B">
      <w:pPr>
        <w:autoSpaceDE w:val="0"/>
        <w:autoSpaceDN w:val="0"/>
        <w:adjustRightInd w:val="0"/>
        <w:snapToGrid w:val="0"/>
        <w:spacing w:line="360" w:lineRule="auto"/>
        <w:jc w:val="center"/>
        <w:rPr>
          <w:rFonts w:ascii="Arial" w:eastAsia="宋体" w:hAnsi="Arial" w:cs="Arial"/>
          <w:b/>
          <w:bCs/>
          <w:sz w:val="28"/>
          <w:szCs w:val="28"/>
        </w:rPr>
      </w:pPr>
    </w:p>
    <w:p w14:paraId="09023198" w14:textId="77777777" w:rsidR="00AC3A9B" w:rsidRPr="002544B9" w:rsidRDefault="00AC3A9B">
      <w:pPr>
        <w:widowControl/>
        <w:spacing w:line="360" w:lineRule="auto"/>
        <w:jc w:val="left"/>
        <w:rPr>
          <w:rFonts w:ascii="Times New Roman" w:eastAsia="宋体" w:hAnsi="Times New Roman" w:cs="Times New Roman"/>
          <w:b/>
          <w:kern w:val="0"/>
          <w:sz w:val="30"/>
          <w:szCs w:val="30"/>
        </w:rPr>
        <w:sectPr w:rsidR="00AC3A9B" w:rsidRPr="002544B9">
          <w:pgSz w:w="11906" w:h="16838"/>
          <w:pgMar w:top="1440" w:right="1800" w:bottom="1440" w:left="1800" w:header="851" w:footer="992" w:gutter="0"/>
          <w:pgNumType w:start="1"/>
          <w:cols w:space="720"/>
          <w:docGrid w:type="lines" w:linePitch="312"/>
        </w:sectPr>
      </w:pPr>
      <w:bookmarkStart w:id="14" w:name="_Toc23386"/>
      <w:bookmarkStart w:id="15" w:name="_Toc139991730"/>
      <w:bookmarkStart w:id="16" w:name="_Toc11660"/>
      <w:bookmarkStart w:id="17" w:name="_Toc352229746"/>
      <w:bookmarkStart w:id="18" w:name="_Toc8727"/>
      <w:bookmarkStart w:id="19" w:name="_Toc30935"/>
      <w:bookmarkStart w:id="20" w:name="_Toc6306"/>
      <w:bookmarkStart w:id="21" w:name="_Toc15517"/>
      <w:bookmarkStart w:id="22" w:name="_Toc141703880"/>
      <w:bookmarkStart w:id="23" w:name="_Toc29629"/>
      <w:bookmarkStart w:id="24" w:name="_Toc4867"/>
      <w:bookmarkStart w:id="25" w:name="_Toc32639"/>
      <w:bookmarkStart w:id="26" w:name="_Toc123112229"/>
      <w:bookmarkStart w:id="27" w:name="_Toc123701389"/>
      <w:bookmarkStart w:id="28" w:name="_Toc4966"/>
      <w:bookmarkStart w:id="29" w:name="_Toc26897"/>
      <w:bookmarkStart w:id="30" w:name="_Toc123112268"/>
      <w:bookmarkStart w:id="31" w:name="_Toc233456271"/>
      <w:bookmarkEnd w:id="0"/>
      <w:bookmarkEnd w:id="1"/>
      <w:bookmarkEnd w:id="2"/>
      <w:bookmarkEnd w:id="3"/>
    </w:p>
    <w:p w14:paraId="34355422" w14:textId="26CC887C" w:rsidR="00AC3A9B" w:rsidRPr="002544B9" w:rsidRDefault="002C3C29">
      <w:pPr>
        <w:jc w:val="center"/>
        <w:rPr>
          <w:b/>
          <w:bCs/>
          <w:sz w:val="24"/>
        </w:rPr>
      </w:pPr>
      <w:r w:rsidRPr="002544B9">
        <w:rPr>
          <w:b/>
          <w:bCs/>
          <w:sz w:val="24"/>
        </w:rPr>
        <w:t>目</w:t>
      </w:r>
      <w:r w:rsidRPr="002544B9">
        <w:rPr>
          <w:b/>
          <w:bCs/>
          <w:sz w:val="24"/>
        </w:rPr>
        <w:t xml:space="preserve">    </w:t>
      </w:r>
      <w:r w:rsidRPr="002544B9">
        <w:rPr>
          <w:rFonts w:hint="eastAsia"/>
          <w:b/>
          <w:bCs/>
          <w:sz w:val="24"/>
        </w:rPr>
        <w:t>录</w:t>
      </w:r>
    </w:p>
    <w:p w14:paraId="0145689C" w14:textId="7CCCA331" w:rsidR="005500C2" w:rsidRDefault="002C3C29">
      <w:pPr>
        <w:pStyle w:val="TOC1"/>
        <w:rPr>
          <w:rFonts w:asciiTheme="minorHAnsi" w:eastAsiaTheme="minorEastAsia" w:hAnsiTheme="minorHAnsi" w:cstheme="minorBidi"/>
          <w:noProof/>
          <w:szCs w:val="22"/>
        </w:rPr>
      </w:pPr>
      <w:r w:rsidRPr="002544B9">
        <w:rPr>
          <w:bCs/>
        </w:rPr>
        <w:fldChar w:fldCharType="begin"/>
      </w:r>
      <w:r w:rsidRPr="002544B9">
        <w:rPr>
          <w:bCs/>
        </w:rPr>
        <w:instrText xml:space="preserve"> TOC \o "1-1" \h \z \u </w:instrText>
      </w:r>
      <w:r w:rsidRPr="002544B9">
        <w:rPr>
          <w:bCs/>
        </w:rPr>
        <w:fldChar w:fldCharType="separate"/>
      </w:r>
      <w:hyperlink w:anchor="_Toc104205512" w:history="1">
        <w:r w:rsidR="005500C2" w:rsidRPr="00A65294">
          <w:rPr>
            <w:rStyle w:val="afc"/>
            <w:noProof/>
          </w:rPr>
          <w:t>第一部分</w:t>
        </w:r>
        <w:r w:rsidR="005500C2" w:rsidRPr="00A65294">
          <w:rPr>
            <w:rStyle w:val="afc"/>
            <w:noProof/>
          </w:rPr>
          <w:t xml:space="preserve">  </w:t>
        </w:r>
        <w:r w:rsidR="005500C2" w:rsidRPr="00A65294">
          <w:rPr>
            <w:rStyle w:val="afc"/>
            <w:noProof/>
          </w:rPr>
          <w:t>绪言</w:t>
        </w:r>
        <w:r w:rsidR="005500C2">
          <w:rPr>
            <w:noProof/>
            <w:webHidden/>
          </w:rPr>
          <w:tab/>
        </w:r>
        <w:r w:rsidR="005500C2">
          <w:rPr>
            <w:noProof/>
            <w:webHidden/>
          </w:rPr>
          <w:fldChar w:fldCharType="begin"/>
        </w:r>
        <w:r w:rsidR="005500C2">
          <w:rPr>
            <w:noProof/>
            <w:webHidden/>
          </w:rPr>
          <w:instrText xml:space="preserve"> PAGEREF _Toc104205512 \h </w:instrText>
        </w:r>
        <w:r w:rsidR="005500C2">
          <w:rPr>
            <w:noProof/>
            <w:webHidden/>
          </w:rPr>
        </w:r>
        <w:r w:rsidR="005500C2">
          <w:rPr>
            <w:noProof/>
            <w:webHidden/>
          </w:rPr>
          <w:fldChar w:fldCharType="separate"/>
        </w:r>
        <w:r w:rsidR="008B44D8">
          <w:rPr>
            <w:noProof/>
            <w:webHidden/>
          </w:rPr>
          <w:t>4</w:t>
        </w:r>
        <w:r w:rsidR="005500C2">
          <w:rPr>
            <w:noProof/>
            <w:webHidden/>
          </w:rPr>
          <w:fldChar w:fldCharType="end"/>
        </w:r>
      </w:hyperlink>
    </w:p>
    <w:p w14:paraId="5ECADDDF" w14:textId="5088828C" w:rsidR="005500C2" w:rsidRDefault="008B44D8">
      <w:pPr>
        <w:pStyle w:val="TOC1"/>
        <w:rPr>
          <w:rFonts w:asciiTheme="minorHAnsi" w:eastAsiaTheme="minorEastAsia" w:hAnsiTheme="minorHAnsi" w:cstheme="minorBidi"/>
          <w:noProof/>
          <w:szCs w:val="22"/>
        </w:rPr>
      </w:pPr>
      <w:hyperlink w:anchor="_Toc104205513" w:history="1">
        <w:r w:rsidR="005500C2" w:rsidRPr="00A65294">
          <w:rPr>
            <w:rStyle w:val="afc"/>
            <w:noProof/>
          </w:rPr>
          <w:t>第二部分</w:t>
        </w:r>
        <w:r w:rsidR="005500C2" w:rsidRPr="00A65294">
          <w:rPr>
            <w:rStyle w:val="afc"/>
            <w:noProof/>
          </w:rPr>
          <w:t xml:space="preserve">  </w:t>
        </w:r>
        <w:r w:rsidR="005500C2" w:rsidRPr="00A65294">
          <w:rPr>
            <w:rStyle w:val="afc"/>
            <w:noProof/>
          </w:rPr>
          <w:t>释义</w:t>
        </w:r>
        <w:r w:rsidR="005500C2">
          <w:rPr>
            <w:noProof/>
            <w:webHidden/>
          </w:rPr>
          <w:tab/>
        </w:r>
        <w:r w:rsidR="005500C2">
          <w:rPr>
            <w:noProof/>
            <w:webHidden/>
          </w:rPr>
          <w:fldChar w:fldCharType="begin"/>
        </w:r>
        <w:r w:rsidR="005500C2">
          <w:rPr>
            <w:noProof/>
            <w:webHidden/>
          </w:rPr>
          <w:instrText xml:space="preserve"> PAGEREF _Toc104205513 \h </w:instrText>
        </w:r>
        <w:r w:rsidR="005500C2">
          <w:rPr>
            <w:noProof/>
            <w:webHidden/>
          </w:rPr>
        </w:r>
        <w:r w:rsidR="005500C2">
          <w:rPr>
            <w:noProof/>
            <w:webHidden/>
          </w:rPr>
          <w:fldChar w:fldCharType="separate"/>
        </w:r>
        <w:r>
          <w:rPr>
            <w:noProof/>
            <w:webHidden/>
          </w:rPr>
          <w:t>5</w:t>
        </w:r>
        <w:r w:rsidR="005500C2">
          <w:rPr>
            <w:noProof/>
            <w:webHidden/>
          </w:rPr>
          <w:fldChar w:fldCharType="end"/>
        </w:r>
      </w:hyperlink>
    </w:p>
    <w:p w14:paraId="27AE8C81" w14:textId="43C19DD3" w:rsidR="005500C2" w:rsidRDefault="008B44D8">
      <w:pPr>
        <w:pStyle w:val="TOC1"/>
        <w:rPr>
          <w:rFonts w:asciiTheme="minorHAnsi" w:eastAsiaTheme="minorEastAsia" w:hAnsiTheme="minorHAnsi" w:cstheme="minorBidi"/>
          <w:noProof/>
          <w:szCs w:val="22"/>
        </w:rPr>
      </w:pPr>
      <w:hyperlink w:anchor="_Toc104205514" w:history="1">
        <w:r w:rsidR="005500C2" w:rsidRPr="00A65294">
          <w:rPr>
            <w:rStyle w:val="afc"/>
            <w:noProof/>
          </w:rPr>
          <w:t>第三部分</w:t>
        </w:r>
        <w:r w:rsidR="005500C2" w:rsidRPr="00A65294">
          <w:rPr>
            <w:rStyle w:val="afc"/>
            <w:noProof/>
          </w:rPr>
          <w:t xml:space="preserve">  </w:t>
        </w:r>
        <w:r w:rsidR="005500C2" w:rsidRPr="00A65294">
          <w:rPr>
            <w:rStyle w:val="afc"/>
            <w:noProof/>
          </w:rPr>
          <w:t>基金管理人</w:t>
        </w:r>
        <w:r w:rsidR="005500C2">
          <w:rPr>
            <w:noProof/>
            <w:webHidden/>
          </w:rPr>
          <w:tab/>
        </w:r>
        <w:r w:rsidR="005500C2">
          <w:rPr>
            <w:noProof/>
            <w:webHidden/>
          </w:rPr>
          <w:fldChar w:fldCharType="begin"/>
        </w:r>
        <w:r w:rsidR="005500C2">
          <w:rPr>
            <w:noProof/>
            <w:webHidden/>
          </w:rPr>
          <w:instrText xml:space="preserve"> PAGEREF _Toc104205514 \h </w:instrText>
        </w:r>
        <w:r w:rsidR="005500C2">
          <w:rPr>
            <w:noProof/>
            <w:webHidden/>
          </w:rPr>
        </w:r>
        <w:r w:rsidR="005500C2">
          <w:rPr>
            <w:noProof/>
            <w:webHidden/>
          </w:rPr>
          <w:fldChar w:fldCharType="separate"/>
        </w:r>
        <w:r>
          <w:rPr>
            <w:noProof/>
            <w:webHidden/>
          </w:rPr>
          <w:t>10</w:t>
        </w:r>
        <w:r w:rsidR="005500C2">
          <w:rPr>
            <w:noProof/>
            <w:webHidden/>
          </w:rPr>
          <w:fldChar w:fldCharType="end"/>
        </w:r>
      </w:hyperlink>
    </w:p>
    <w:p w14:paraId="6E5103A8" w14:textId="788D68D4" w:rsidR="005500C2" w:rsidRDefault="008B44D8">
      <w:pPr>
        <w:pStyle w:val="TOC1"/>
        <w:rPr>
          <w:rFonts w:asciiTheme="minorHAnsi" w:eastAsiaTheme="minorEastAsia" w:hAnsiTheme="minorHAnsi" w:cstheme="minorBidi"/>
          <w:noProof/>
          <w:szCs w:val="22"/>
        </w:rPr>
      </w:pPr>
      <w:hyperlink w:anchor="_Toc104205515" w:history="1">
        <w:r w:rsidR="005500C2" w:rsidRPr="00A65294">
          <w:rPr>
            <w:rStyle w:val="afc"/>
            <w:noProof/>
          </w:rPr>
          <w:t>第四部分</w:t>
        </w:r>
        <w:r w:rsidR="005500C2" w:rsidRPr="00A65294">
          <w:rPr>
            <w:rStyle w:val="afc"/>
            <w:noProof/>
          </w:rPr>
          <w:t xml:space="preserve">  </w:t>
        </w:r>
        <w:r w:rsidR="005500C2" w:rsidRPr="00A65294">
          <w:rPr>
            <w:rStyle w:val="afc"/>
            <w:noProof/>
          </w:rPr>
          <w:t>基金托管人</w:t>
        </w:r>
        <w:r w:rsidR="005500C2">
          <w:rPr>
            <w:noProof/>
            <w:webHidden/>
          </w:rPr>
          <w:tab/>
        </w:r>
        <w:r w:rsidR="005500C2">
          <w:rPr>
            <w:noProof/>
            <w:webHidden/>
          </w:rPr>
          <w:fldChar w:fldCharType="begin"/>
        </w:r>
        <w:r w:rsidR="005500C2">
          <w:rPr>
            <w:noProof/>
            <w:webHidden/>
          </w:rPr>
          <w:instrText xml:space="preserve"> PAGEREF _Toc104205515 \h </w:instrText>
        </w:r>
        <w:r w:rsidR="005500C2">
          <w:rPr>
            <w:noProof/>
            <w:webHidden/>
          </w:rPr>
        </w:r>
        <w:r w:rsidR="005500C2">
          <w:rPr>
            <w:noProof/>
            <w:webHidden/>
          </w:rPr>
          <w:fldChar w:fldCharType="separate"/>
        </w:r>
        <w:r>
          <w:rPr>
            <w:noProof/>
            <w:webHidden/>
          </w:rPr>
          <w:t>20</w:t>
        </w:r>
        <w:r w:rsidR="005500C2">
          <w:rPr>
            <w:noProof/>
            <w:webHidden/>
          </w:rPr>
          <w:fldChar w:fldCharType="end"/>
        </w:r>
      </w:hyperlink>
    </w:p>
    <w:p w14:paraId="35063938" w14:textId="6D1D618F" w:rsidR="005500C2" w:rsidRDefault="008B44D8">
      <w:pPr>
        <w:pStyle w:val="TOC1"/>
        <w:rPr>
          <w:rFonts w:asciiTheme="minorHAnsi" w:eastAsiaTheme="minorEastAsia" w:hAnsiTheme="minorHAnsi" w:cstheme="minorBidi"/>
          <w:noProof/>
          <w:szCs w:val="22"/>
        </w:rPr>
      </w:pPr>
      <w:hyperlink w:anchor="_Toc104205516" w:history="1">
        <w:r w:rsidR="005500C2" w:rsidRPr="00A65294">
          <w:rPr>
            <w:rStyle w:val="afc"/>
            <w:noProof/>
          </w:rPr>
          <w:t>第五部分</w:t>
        </w:r>
        <w:r w:rsidR="005500C2" w:rsidRPr="00A65294">
          <w:rPr>
            <w:rStyle w:val="afc"/>
            <w:noProof/>
          </w:rPr>
          <w:t xml:space="preserve">  </w:t>
        </w:r>
        <w:r w:rsidR="005500C2" w:rsidRPr="00A65294">
          <w:rPr>
            <w:rStyle w:val="afc"/>
            <w:noProof/>
          </w:rPr>
          <w:t>相关服务机构</w:t>
        </w:r>
        <w:r w:rsidR="005500C2">
          <w:rPr>
            <w:noProof/>
            <w:webHidden/>
          </w:rPr>
          <w:tab/>
        </w:r>
        <w:r w:rsidR="005500C2">
          <w:rPr>
            <w:noProof/>
            <w:webHidden/>
          </w:rPr>
          <w:fldChar w:fldCharType="begin"/>
        </w:r>
        <w:r w:rsidR="005500C2">
          <w:rPr>
            <w:noProof/>
            <w:webHidden/>
          </w:rPr>
          <w:instrText xml:space="preserve"> PAGEREF _Toc104205516 \h </w:instrText>
        </w:r>
        <w:r w:rsidR="005500C2">
          <w:rPr>
            <w:noProof/>
            <w:webHidden/>
          </w:rPr>
        </w:r>
        <w:r w:rsidR="005500C2">
          <w:rPr>
            <w:noProof/>
            <w:webHidden/>
          </w:rPr>
          <w:fldChar w:fldCharType="separate"/>
        </w:r>
        <w:r>
          <w:rPr>
            <w:noProof/>
            <w:webHidden/>
          </w:rPr>
          <w:t>24</w:t>
        </w:r>
        <w:r w:rsidR="005500C2">
          <w:rPr>
            <w:noProof/>
            <w:webHidden/>
          </w:rPr>
          <w:fldChar w:fldCharType="end"/>
        </w:r>
      </w:hyperlink>
    </w:p>
    <w:p w14:paraId="4ACDF67B" w14:textId="11FCD844" w:rsidR="005500C2" w:rsidRDefault="008B44D8">
      <w:pPr>
        <w:pStyle w:val="TOC1"/>
        <w:rPr>
          <w:rFonts w:asciiTheme="minorHAnsi" w:eastAsiaTheme="minorEastAsia" w:hAnsiTheme="minorHAnsi" w:cstheme="minorBidi"/>
          <w:noProof/>
          <w:szCs w:val="22"/>
        </w:rPr>
      </w:pPr>
      <w:hyperlink w:anchor="_Toc104205517" w:history="1">
        <w:r w:rsidR="005500C2" w:rsidRPr="00A65294">
          <w:rPr>
            <w:rStyle w:val="afc"/>
            <w:noProof/>
          </w:rPr>
          <w:t>第六部分</w:t>
        </w:r>
        <w:r w:rsidR="005500C2" w:rsidRPr="00A65294">
          <w:rPr>
            <w:rStyle w:val="afc"/>
            <w:noProof/>
          </w:rPr>
          <w:t xml:space="preserve">  </w:t>
        </w:r>
        <w:r w:rsidR="005500C2" w:rsidRPr="00A65294">
          <w:rPr>
            <w:rStyle w:val="afc"/>
            <w:noProof/>
          </w:rPr>
          <w:t>基金的募集</w:t>
        </w:r>
        <w:r w:rsidR="005500C2">
          <w:rPr>
            <w:noProof/>
            <w:webHidden/>
          </w:rPr>
          <w:tab/>
        </w:r>
        <w:r w:rsidR="005500C2">
          <w:rPr>
            <w:noProof/>
            <w:webHidden/>
          </w:rPr>
          <w:fldChar w:fldCharType="begin"/>
        </w:r>
        <w:r w:rsidR="005500C2">
          <w:rPr>
            <w:noProof/>
            <w:webHidden/>
          </w:rPr>
          <w:instrText xml:space="preserve"> PAGEREF _Toc104205517 \h </w:instrText>
        </w:r>
        <w:r w:rsidR="005500C2">
          <w:rPr>
            <w:noProof/>
            <w:webHidden/>
          </w:rPr>
        </w:r>
        <w:r w:rsidR="005500C2">
          <w:rPr>
            <w:noProof/>
            <w:webHidden/>
          </w:rPr>
          <w:fldChar w:fldCharType="separate"/>
        </w:r>
        <w:r>
          <w:rPr>
            <w:noProof/>
            <w:webHidden/>
          </w:rPr>
          <w:t>27</w:t>
        </w:r>
        <w:r w:rsidR="005500C2">
          <w:rPr>
            <w:noProof/>
            <w:webHidden/>
          </w:rPr>
          <w:fldChar w:fldCharType="end"/>
        </w:r>
      </w:hyperlink>
    </w:p>
    <w:p w14:paraId="5A759E0E" w14:textId="6AAD987E" w:rsidR="005500C2" w:rsidRDefault="008B44D8">
      <w:pPr>
        <w:pStyle w:val="TOC1"/>
        <w:rPr>
          <w:rFonts w:asciiTheme="minorHAnsi" w:eastAsiaTheme="minorEastAsia" w:hAnsiTheme="minorHAnsi" w:cstheme="minorBidi"/>
          <w:noProof/>
          <w:szCs w:val="22"/>
        </w:rPr>
      </w:pPr>
      <w:hyperlink w:anchor="_Toc104205518" w:history="1">
        <w:r w:rsidR="005500C2" w:rsidRPr="00A65294">
          <w:rPr>
            <w:rStyle w:val="afc"/>
            <w:noProof/>
          </w:rPr>
          <w:t>第七部分</w:t>
        </w:r>
        <w:r w:rsidR="005500C2" w:rsidRPr="00A65294">
          <w:rPr>
            <w:rStyle w:val="afc"/>
            <w:noProof/>
          </w:rPr>
          <w:t xml:space="preserve">  </w:t>
        </w:r>
        <w:r w:rsidR="005500C2" w:rsidRPr="00A65294">
          <w:rPr>
            <w:rStyle w:val="afc"/>
            <w:noProof/>
          </w:rPr>
          <w:t>基金合同的生效</w:t>
        </w:r>
        <w:r w:rsidR="005500C2">
          <w:rPr>
            <w:noProof/>
            <w:webHidden/>
          </w:rPr>
          <w:tab/>
        </w:r>
        <w:r w:rsidR="005500C2">
          <w:rPr>
            <w:noProof/>
            <w:webHidden/>
          </w:rPr>
          <w:fldChar w:fldCharType="begin"/>
        </w:r>
        <w:r w:rsidR="005500C2">
          <w:rPr>
            <w:noProof/>
            <w:webHidden/>
          </w:rPr>
          <w:instrText xml:space="preserve"> PAGEREF _Toc104205518 \h </w:instrText>
        </w:r>
        <w:r w:rsidR="005500C2">
          <w:rPr>
            <w:noProof/>
            <w:webHidden/>
          </w:rPr>
        </w:r>
        <w:r w:rsidR="005500C2">
          <w:rPr>
            <w:noProof/>
            <w:webHidden/>
          </w:rPr>
          <w:fldChar w:fldCharType="separate"/>
        </w:r>
        <w:r>
          <w:rPr>
            <w:noProof/>
            <w:webHidden/>
          </w:rPr>
          <w:t>28</w:t>
        </w:r>
        <w:r w:rsidR="005500C2">
          <w:rPr>
            <w:noProof/>
            <w:webHidden/>
          </w:rPr>
          <w:fldChar w:fldCharType="end"/>
        </w:r>
      </w:hyperlink>
    </w:p>
    <w:p w14:paraId="6D3D62F7" w14:textId="15ED2A9D" w:rsidR="005500C2" w:rsidRDefault="008B44D8">
      <w:pPr>
        <w:pStyle w:val="TOC1"/>
        <w:rPr>
          <w:rFonts w:asciiTheme="minorHAnsi" w:eastAsiaTheme="minorEastAsia" w:hAnsiTheme="minorHAnsi" w:cstheme="minorBidi"/>
          <w:noProof/>
          <w:szCs w:val="22"/>
        </w:rPr>
      </w:pPr>
      <w:hyperlink w:anchor="_Toc104205519" w:history="1">
        <w:r w:rsidR="005500C2" w:rsidRPr="00A65294">
          <w:rPr>
            <w:rStyle w:val="afc"/>
            <w:noProof/>
          </w:rPr>
          <w:t>第八部分</w:t>
        </w:r>
        <w:r w:rsidR="005500C2" w:rsidRPr="00A65294">
          <w:rPr>
            <w:rStyle w:val="afc"/>
            <w:noProof/>
          </w:rPr>
          <w:t xml:space="preserve">  </w:t>
        </w:r>
        <w:r w:rsidR="005500C2" w:rsidRPr="00A65294">
          <w:rPr>
            <w:rStyle w:val="afc"/>
            <w:noProof/>
          </w:rPr>
          <w:t>基金份额的申购与赎回</w:t>
        </w:r>
        <w:r w:rsidR="005500C2">
          <w:rPr>
            <w:noProof/>
            <w:webHidden/>
          </w:rPr>
          <w:tab/>
        </w:r>
        <w:r w:rsidR="005500C2">
          <w:rPr>
            <w:noProof/>
            <w:webHidden/>
          </w:rPr>
          <w:fldChar w:fldCharType="begin"/>
        </w:r>
        <w:r w:rsidR="005500C2">
          <w:rPr>
            <w:noProof/>
            <w:webHidden/>
          </w:rPr>
          <w:instrText xml:space="preserve"> PAGEREF _Toc104205519 \h </w:instrText>
        </w:r>
        <w:r w:rsidR="005500C2">
          <w:rPr>
            <w:noProof/>
            <w:webHidden/>
          </w:rPr>
        </w:r>
        <w:r w:rsidR="005500C2">
          <w:rPr>
            <w:noProof/>
            <w:webHidden/>
          </w:rPr>
          <w:fldChar w:fldCharType="separate"/>
        </w:r>
        <w:r>
          <w:rPr>
            <w:noProof/>
            <w:webHidden/>
          </w:rPr>
          <w:t>29</w:t>
        </w:r>
        <w:r w:rsidR="005500C2">
          <w:rPr>
            <w:noProof/>
            <w:webHidden/>
          </w:rPr>
          <w:fldChar w:fldCharType="end"/>
        </w:r>
      </w:hyperlink>
    </w:p>
    <w:p w14:paraId="670A7C70" w14:textId="04F3323F" w:rsidR="005500C2" w:rsidRDefault="008B44D8">
      <w:pPr>
        <w:pStyle w:val="TOC1"/>
        <w:rPr>
          <w:rFonts w:asciiTheme="minorHAnsi" w:eastAsiaTheme="minorEastAsia" w:hAnsiTheme="minorHAnsi" w:cstheme="minorBidi"/>
          <w:noProof/>
          <w:szCs w:val="22"/>
        </w:rPr>
      </w:pPr>
      <w:hyperlink w:anchor="_Toc104205520" w:history="1">
        <w:r w:rsidR="005500C2" w:rsidRPr="00A65294">
          <w:rPr>
            <w:rStyle w:val="afc"/>
            <w:noProof/>
          </w:rPr>
          <w:t>第九部分</w:t>
        </w:r>
        <w:r w:rsidR="005500C2" w:rsidRPr="00A65294">
          <w:rPr>
            <w:rStyle w:val="afc"/>
            <w:noProof/>
          </w:rPr>
          <w:t xml:space="preserve">  </w:t>
        </w:r>
        <w:r w:rsidR="005500C2" w:rsidRPr="00A65294">
          <w:rPr>
            <w:rStyle w:val="afc"/>
            <w:noProof/>
          </w:rPr>
          <w:t>基金的投资</w:t>
        </w:r>
        <w:r w:rsidR="005500C2">
          <w:rPr>
            <w:noProof/>
            <w:webHidden/>
          </w:rPr>
          <w:tab/>
        </w:r>
        <w:r w:rsidR="005500C2">
          <w:rPr>
            <w:noProof/>
            <w:webHidden/>
          </w:rPr>
          <w:fldChar w:fldCharType="begin"/>
        </w:r>
        <w:r w:rsidR="005500C2">
          <w:rPr>
            <w:noProof/>
            <w:webHidden/>
          </w:rPr>
          <w:instrText xml:space="preserve"> PAGEREF _Toc104205520 \h </w:instrText>
        </w:r>
        <w:r w:rsidR="005500C2">
          <w:rPr>
            <w:noProof/>
            <w:webHidden/>
          </w:rPr>
        </w:r>
        <w:r w:rsidR="005500C2">
          <w:rPr>
            <w:noProof/>
            <w:webHidden/>
          </w:rPr>
          <w:fldChar w:fldCharType="separate"/>
        </w:r>
        <w:r>
          <w:rPr>
            <w:noProof/>
            <w:webHidden/>
          </w:rPr>
          <w:t>40</w:t>
        </w:r>
        <w:r w:rsidR="005500C2">
          <w:rPr>
            <w:noProof/>
            <w:webHidden/>
          </w:rPr>
          <w:fldChar w:fldCharType="end"/>
        </w:r>
      </w:hyperlink>
    </w:p>
    <w:p w14:paraId="1854C54F" w14:textId="6E434885" w:rsidR="005500C2" w:rsidRDefault="008B44D8">
      <w:pPr>
        <w:pStyle w:val="TOC1"/>
        <w:rPr>
          <w:rFonts w:asciiTheme="minorHAnsi" w:eastAsiaTheme="minorEastAsia" w:hAnsiTheme="minorHAnsi" w:cstheme="minorBidi"/>
          <w:noProof/>
          <w:szCs w:val="22"/>
        </w:rPr>
      </w:pPr>
      <w:hyperlink w:anchor="_Toc104205521" w:history="1">
        <w:r w:rsidR="005500C2" w:rsidRPr="00A65294">
          <w:rPr>
            <w:rStyle w:val="afc"/>
            <w:noProof/>
          </w:rPr>
          <w:t>第十部分</w:t>
        </w:r>
        <w:r w:rsidR="005500C2" w:rsidRPr="00A65294">
          <w:rPr>
            <w:rStyle w:val="afc"/>
            <w:noProof/>
          </w:rPr>
          <w:t xml:space="preserve">  </w:t>
        </w:r>
        <w:r w:rsidR="005500C2" w:rsidRPr="00A65294">
          <w:rPr>
            <w:rStyle w:val="afc"/>
            <w:noProof/>
          </w:rPr>
          <w:t>基金的财产</w:t>
        </w:r>
        <w:r w:rsidR="005500C2">
          <w:rPr>
            <w:noProof/>
            <w:webHidden/>
          </w:rPr>
          <w:tab/>
        </w:r>
        <w:r w:rsidR="005500C2">
          <w:rPr>
            <w:noProof/>
            <w:webHidden/>
          </w:rPr>
          <w:fldChar w:fldCharType="begin"/>
        </w:r>
        <w:r w:rsidR="005500C2">
          <w:rPr>
            <w:noProof/>
            <w:webHidden/>
          </w:rPr>
          <w:instrText xml:space="preserve"> PAGEREF _Toc104205521 \h </w:instrText>
        </w:r>
        <w:r w:rsidR="005500C2">
          <w:rPr>
            <w:noProof/>
            <w:webHidden/>
          </w:rPr>
        </w:r>
        <w:r w:rsidR="005500C2">
          <w:rPr>
            <w:noProof/>
            <w:webHidden/>
          </w:rPr>
          <w:fldChar w:fldCharType="separate"/>
        </w:r>
        <w:r>
          <w:rPr>
            <w:noProof/>
            <w:webHidden/>
          </w:rPr>
          <w:t>55</w:t>
        </w:r>
        <w:r w:rsidR="005500C2">
          <w:rPr>
            <w:noProof/>
            <w:webHidden/>
          </w:rPr>
          <w:fldChar w:fldCharType="end"/>
        </w:r>
      </w:hyperlink>
    </w:p>
    <w:p w14:paraId="07221B67" w14:textId="2AC53E49" w:rsidR="005500C2" w:rsidRDefault="008B44D8">
      <w:pPr>
        <w:pStyle w:val="TOC1"/>
        <w:rPr>
          <w:rFonts w:asciiTheme="minorHAnsi" w:eastAsiaTheme="minorEastAsia" w:hAnsiTheme="minorHAnsi" w:cstheme="minorBidi"/>
          <w:noProof/>
          <w:szCs w:val="22"/>
        </w:rPr>
      </w:pPr>
      <w:hyperlink w:anchor="_Toc104205522" w:history="1">
        <w:r w:rsidR="005500C2" w:rsidRPr="00A65294">
          <w:rPr>
            <w:rStyle w:val="afc"/>
            <w:noProof/>
          </w:rPr>
          <w:t>第十一部分</w:t>
        </w:r>
        <w:r w:rsidR="005500C2" w:rsidRPr="00A65294">
          <w:rPr>
            <w:rStyle w:val="afc"/>
            <w:noProof/>
          </w:rPr>
          <w:t xml:space="preserve">  </w:t>
        </w:r>
        <w:r w:rsidR="005500C2" w:rsidRPr="00A65294">
          <w:rPr>
            <w:rStyle w:val="afc"/>
            <w:noProof/>
          </w:rPr>
          <w:t>基金资产的估值</w:t>
        </w:r>
        <w:r w:rsidR="005500C2">
          <w:rPr>
            <w:noProof/>
            <w:webHidden/>
          </w:rPr>
          <w:tab/>
        </w:r>
        <w:r w:rsidR="005500C2">
          <w:rPr>
            <w:noProof/>
            <w:webHidden/>
          </w:rPr>
          <w:fldChar w:fldCharType="begin"/>
        </w:r>
        <w:r w:rsidR="005500C2">
          <w:rPr>
            <w:noProof/>
            <w:webHidden/>
          </w:rPr>
          <w:instrText xml:space="preserve"> PAGEREF _Toc104205522 \h </w:instrText>
        </w:r>
        <w:r w:rsidR="005500C2">
          <w:rPr>
            <w:noProof/>
            <w:webHidden/>
          </w:rPr>
        </w:r>
        <w:r w:rsidR="005500C2">
          <w:rPr>
            <w:noProof/>
            <w:webHidden/>
          </w:rPr>
          <w:fldChar w:fldCharType="separate"/>
        </w:r>
        <w:r>
          <w:rPr>
            <w:noProof/>
            <w:webHidden/>
          </w:rPr>
          <w:t>56</w:t>
        </w:r>
        <w:r w:rsidR="005500C2">
          <w:rPr>
            <w:noProof/>
            <w:webHidden/>
          </w:rPr>
          <w:fldChar w:fldCharType="end"/>
        </w:r>
      </w:hyperlink>
    </w:p>
    <w:p w14:paraId="4281FEA2" w14:textId="2E79C6B2" w:rsidR="005500C2" w:rsidRDefault="008B44D8">
      <w:pPr>
        <w:pStyle w:val="TOC1"/>
        <w:rPr>
          <w:rFonts w:asciiTheme="minorHAnsi" w:eastAsiaTheme="minorEastAsia" w:hAnsiTheme="minorHAnsi" w:cstheme="minorBidi"/>
          <w:noProof/>
          <w:szCs w:val="22"/>
        </w:rPr>
      </w:pPr>
      <w:hyperlink w:anchor="_Toc104205523" w:history="1">
        <w:r w:rsidR="005500C2" w:rsidRPr="00A65294">
          <w:rPr>
            <w:rStyle w:val="afc"/>
            <w:noProof/>
          </w:rPr>
          <w:t>第十二部分</w:t>
        </w:r>
        <w:r w:rsidR="005500C2" w:rsidRPr="00A65294">
          <w:rPr>
            <w:rStyle w:val="afc"/>
            <w:noProof/>
          </w:rPr>
          <w:t xml:space="preserve">  </w:t>
        </w:r>
        <w:r w:rsidR="005500C2" w:rsidRPr="00A65294">
          <w:rPr>
            <w:rStyle w:val="afc"/>
            <w:noProof/>
          </w:rPr>
          <w:t>基金的收益分配</w:t>
        </w:r>
        <w:r w:rsidR="005500C2">
          <w:rPr>
            <w:noProof/>
            <w:webHidden/>
          </w:rPr>
          <w:tab/>
        </w:r>
        <w:r w:rsidR="005500C2">
          <w:rPr>
            <w:noProof/>
            <w:webHidden/>
          </w:rPr>
          <w:fldChar w:fldCharType="begin"/>
        </w:r>
        <w:r w:rsidR="005500C2">
          <w:rPr>
            <w:noProof/>
            <w:webHidden/>
          </w:rPr>
          <w:instrText xml:space="preserve"> PAGEREF _Toc104205523 \h </w:instrText>
        </w:r>
        <w:r w:rsidR="005500C2">
          <w:rPr>
            <w:noProof/>
            <w:webHidden/>
          </w:rPr>
        </w:r>
        <w:r w:rsidR="005500C2">
          <w:rPr>
            <w:noProof/>
            <w:webHidden/>
          </w:rPr>
          <w:fldChar w:fldCharType="separate"/>
        </w:r>
        <w:r>
          <w:rPr>
            <w:noProof/>
            <w:webHidden/>
          </w:rPr>
          <w:t>62</w:t>
        </w:r>
        <w:r w:rsidR="005500C2">
          <w:rPr>
            <w:noProof/>
            <w:webHidden/>
          </w:rPr>
          <w:fldChar w:fldCharType="end"/>
        </w:r>
      </w:hyperlink>
    </w:p>
    <w:p w14:paraId="101259E2" w14:textId="37F62BF6" w:rsidR="005500C2" w:rsidRDefault="008B44D8">
      <w:pPr>
        <w:pStyle w:val="TOC1"/>
        <w:rPr>
          <w:rFonts w:asciiTheme="minorHAnsi" w:eastAsiaTheme="minorEastAsia" w:hAnsiTheme="minorHAnsi" w:cstheme="minorBidi"/>
          <w:noProof/>
          <w:szCs w:val="22"/>
        </w:rPr>
      </w:pPr>
      <w:hyperlink w:anchor="_Toc104205524" w:history="1">
        <w:r w:rsidR="005500C2" w:rsidRPr="00A65294">
          <w:rPr>
            <w:rStyle w:val="afc"/>
            <w:noProof/>
          </w:rPr>
          <w:t>第十三部分</w:t>
        </w:r>
        <w:r w:rsidR="005500C2" w:rsidRPr="00A65294">
          <w:rPr>
            <w:rStyle w:val="afc"/>
            <w:noProof/>
          </w:rPr>
          <w:t xml:space="preserve">  </w:t>
        </w:r>
        <w:r w:rsidR="005500C2" w:rsidRPr="00A65294">
          <w:rPr>
            <w:rStyle w:val="afc"/>
            <w:noProof/>
          </w:rPr>
          <w:t>基金费用与税收</w:t>
        </w:r>
        <w:r w:rsidR="005500C2">
          <w:rPr>
            <w:noProof/>
            <w:webHidden/>
          </w:rPr>
          <w:tab/>
        </w:r>
        <w:r w:rsidR="005500C2">
          <w:rPr>
            <w:noProof/>
            <w:webHidden/>
          </w:rPr>
          <w:fldChar w:fldCharType="begin"/>
        </w:r>
        <w:r w:rsidR="005500C2">
          <w:rPr>
            <w:noProof/>
            <w:webHidden/>
          </w:rPr>
          <w:instrText xml:space="preserve"> PAGEREF _Toc104205524 \h </w:instrText>
        </w:r>
        <w:r w:rsidR="005500C2">
          <w:rPr>
            <w:noProof/>
            <w:webHidden/>
          </w:rPr>
        </w:r>
        <w:r w:rsidR="005500C2">
          <w:rPr>
            <w:noProof/>
            <w:webHidden/>
          </w:rPr>
          <w:fldChar w:fldCharType="separate"/>
        </w:r>
        <w:r>
          <w:rPr>
            <w:noProof/>
            <w:webHidden/>
          </w:rPr>
          <w:t>64</w:t>
        </w:r>
        <w:r w:rsidR="005500C2">
          <w:rPr>
            <w:noProof/>
            <w:webHidden/>
          </w:rPr>
          <w:fldChar w:fldCharType="end"/>
        </w:r>
      </w:hyperlink>
    </w:p>
    <w:p w14:paraId="2B0EDC17" w14:textId="239C8E64" w:rsidR="005500C2" w:rsidRDefault="008B44D8">
      <w:pPr>
        <w:pStyle w:val="TOC1"/>
        <w:rPr>
          <w:rFonts w:asciiTheme="minorHAnsi" w:eastAsiaTheme="minorEastAsia" w:hAnsiTheme="minorHAnsi" w:cstheme="minorBidi"/>
          <w:noProof/>
          <w:szCs w:val="22"/>
        </w:rPr>
      </w:pPr>
      <w:hyperlink w:anchor="_Toc104205525" w:history="1">
        <w:r w:rsidR="005500C2" w:rsidRPr="00A65294">
          <w:rPr>
            <w:rStyle w:val="afc"/>
            <w:noProof/>
          </w:rPr>
          <w:t>第十四部分</w:t>
        </w:r>
        <w:r w:rsidR="005500C2" w:rsidRPr="00A65294">
          <w:rPr>
            <w:rStyle w:val="afc"/>
            <w:noProof/>
          </w:rPr>
          <w:t xml:space="preserve">  </w:t>
        </w:r>
        <w:r w:rsidR="005500C2" w:rsidRPr="00A65294">
          <w:rPr>
            <w:rStyle w:val="afc"/>
            <w:noProof/>
          </w:rPr>
          <w:t>基金的会计与审计</w:t>
        </w:r>
        <w:r w:rsidR="005500C2">
          <w:rPr>
            <w:noProof/>
            <w:webHidden/>
          </w:rPr>
          <w:tab/>
        </w:r>
        <w:r w:rsidR="005500C2">
          <w:rPr>
            <w:noProof/>
            <w:webHidden/>
          </w:rPr>
          <w:fldChar w:fldCharType="begin"/>
        </w:r>
        <w:r w:rsidR="005500C2">
          <w:rPr>
            <w:noProof/>
            <w:webHidden/>
          </w:rPr>
          <w:instrText xml:space="preserve"> PAGEREF _Toc104205525 \h </w:instrText>
        </w:r>
        <w:r w:rsidR="005500C2">
          <w:rPr>
            <w:noProof/>
            <w:webHidden/>
          </w:rPr>
        </w:r>
        <w:r w:rsidR="005500C2">
          <w:rPr>
            <w:noProof/>
            <w:webHidden/>
          </w:rPr>
          <w:fldChar w:fldCharType="separate"/>
        </w:r>
        <w:r>
          <w:rPr>
            <w:noProof/>
            <w:webHidden/>
          </w:rPr>
          <w:t>67</w:t>
        </w:r>
        <w:r w:rsidR="005500C2">
          <w:rPr>
            <w:noProof/>
            <w:webHidden/>
          </w:rPr>
          <w:fldChar w:fldCharType="end"/>
        </w:r>
      </w:hyperlink>
    </w:p>
    <w:p w14:paraId="741E1F8A" w14:textId="79CAD91C" w:rsidR="005500C2" w:rsidRDefault="008B44D8">
      <w:pPr>
        <w:pStyle w:val="TOC1"/>
        <w:rPr>
          <w:rFonts w:asciiTheme="minorHAnsi" w:eastAsiaTheme="minorEastAsia" w:hAnsiTheme="minorHAnsi" w:cstheme="minorBidi"/>
          <w:noProof/>
          <w:szCs w:val="22"/>
        </w:rPr>
      </w:pPr>
      <w:hyperlink w:anchor="_Toc104205526" w:history="1">
        <w:r w:rsidR="005500C2" w:rsidRPr="00A65294">
          <w:rPr>
            <w:rStyle w:val="afc"/>
            <w:noProof/>
          </w:rPr>
          <w:t>第十五部分</w:t>
        </w:r>
        <w:r w:rsidR="005500C2" w:rsidRPr="00A65294">
          <w:rPr>
            <w:rStyle w:val="afc"/>
            <w:noProof/>
          </w:rPr>
          <w:t xml:space="preserve">  </w:t>
        </w:r>
        <w:r w:rsidR="005500C2" w:rsidRPr="00A65294">
          <w:rPr>
            <w:rStyle w:val="afc"/>
            <w:noProof/>
          </w:rPr>
          <w:t>基金的信息披露</w:t>
        </w:r>
        <w:r w:rsidR="005500C2">
          <w:rPr>
            <w:noProof/>
            <w:webHidden/>
          </w:rPr>
          <w:tab/>
        </w:r>
        <w:r w:rsidR="005500C2">
          <w:rPr>
            <w:noProof/>
            <w:webHidden/>
          </w:rPr>
          <w:fldChar w:fldCharType="begin"/>
        </w:r>
        <w:r w:rsidR="005500C2">
          <w:rPr>
            <w:noProof/>
            <w:webHidden/>
          </w:rPr>
          <w:instrText xml:space="preserve"> PAGEREF _Toc104205526 \h </w:instrText>
        </w:r>
        <w:r w:rsidR="005500C2">
          <w:rPr>
            <w:noProof/>
            <w:webHidden/>
          </w:rPr>
        </w:r>
        <w:r w:rsidR="005500C2">
          <w:rPr>
            <w:noProof/>
            <w:webHidden/>
          </w:rPr>
          <w:fldChar w:fldCharType="separate"/>
        </w:r>
        <w:r>
          <w:rPr>
            <w:noProof/>
            <w:webHidden/>
          </w:rPr>
          <w:t>68</w:t>
        </w:r>
        <w:r w:rsidR="005500C2">
          <w:rPr>
            <w:noProof/>
            <w:webHidden/>
          </w:rPr>
          <w:fldChar w:fldCharType="end"/>
        </w:r>
      </w:hyperlink>
    </w:p>
    <w:p w14:paraId="42ACF262" w14:textId="723CA78E" w:rsidR="005500C2" w:rsidRDefault="008B44D8">
      <w:pPr>
        <w:pStyle w:val="TOC1"/>
        <w:rPr>
          <w:rFonts w:asciiTheme="minorHAnsi" w:eastAsiaTheme="minorEastAsia" w:hAnsiTheme="minorHAnsi" w:cstheme="minorBidi"/>
          <w:noProof/>
          <w:szCs w:val="22"/>
        </w:rPr>
      </w:pPr>
      <w:hyperlink w:anchor="_Toc104205527" w:history="1">
        <w:r w:rsidR="005500C2" w:rsidRPr="00A65294">
          <w:rPr>
            <w:rStyle w:val="afc"/>
            <w:rFonts w:cs="Arial"/>
            <w:noProof/>
          </w:rPr>
          <w:t>第十六部分</w:t>
        </w:r>
        <w:r w:rsidR="005500C2" w:rsidRPr="00A65294">
          <w:rPr>
            <w:rStyle w:val="afc"/>
            <w:rFonts w:cs="Arial"/>
            <w:noProof/>
          </w:rPr>
          <w:t xml:space="preserve"> </w:t>
        </w:r>
        <w:r w:rsidR="005500C2" w:rsidRPr="00A65294">
          <w:rPr>
            <w:rStyle w:val="afc"/>
            <w:rFonts w:cs="Arial"/>
            <w:noProof/>
          </w:rPr>
          <w:t>侧袋机制</w:t>
        </w:r>
        <w:r w:rsidR="005500C2">
          <w:rPr>
            <w:noProof/>
            <w:webHidden/>
          </w:rPr>
          <w:tab/>
        </w:r>
        <w:r w:rsidR="005500C2">
          <w:rPr>
            <w:noProof/>
            <w:webHidden/>
          </w:rPr>
          <w:fldChar w:fldCharType="begin"/>
        </w:r>
        <w:r w:rsidR="005500C2">
          <w:rPr>
            <w:noProof/>
            <w:webHidden/>
          </w:rPr>
          <w:instrText xml:space="preserve"> PAGEREF _Toc104205527 \h </w:instrText>
        </w:r>
        <w:r w:rsidR="005500C2">
          <w:rPr>
            <w:noProof/>
            <w:webHidden/>
          </w:rPr>
        </w:r>
        <w:r w:rsidR="005500C2">
          <w:rPr>
            <w:noProof/>
            <w:webHidden/>
          </w:rPr>
          <w:fldChar w:fldCharType="separate"/>
        </w:r>
        <w:r>
          <w:rPr>
            <w:noProof/>
            <w:webHidden/>
          </w:rPr>
          <w:t>75</w:t>
        </w:r>
        <w:r w:rsidR="005500C2">
          <w:rPr>
            <w:noProof/>
            <w:webHidden/>
          </w:rPr>
          <w:fldChar w:fldCharType="end"/>
        </w:r>
      </w:hyperlink>
    </w:p>
    <w:p w14:paraId="7FDB802D" w14:textId="705AD3E2" w:rsidR="005500C2" w:rsidRDefault="008B44D8">
      <w:pPr>
        <w:pStyle w:val="TOC1"/>
        <w:rPr>
          <w:rFonts w:asciiTheme="minorHAnsi" w:eastAsiaTheme="minorEastAsia" w:hAnsiTheme="minorHAnsi" w:cstheme="minorBidi"/>
          <w:noProof/>
          <w:szCs w:val="22"/>
        </w:rPr>
      </w:pPr>
      <w:hyperlink w:anchor="_Toc104205528" w:history="1">
        <w:r w:rsidR="005500C2" w:rsidRPr="00A65294">
          <w:rPr>
            <w:rStyle w:val="afc"/>
            <w:noProof/>
          </w:rPr>
          <w:t>第十七部分</w:t>
        </w:r>
        <w:r w:rsidR="005500C2" w:rsidRPr="00A65294">
          <w:rPr>
            <w:rStyle w:val="afc"/>
            <w:noProof/>
          </w:rPr>
          <w:t xml:space="preserve">  </w:t>
        </w:r>
        <w:r w:rsidR="005500C2" w:rsidRPr="00A65294">
          <w:rPr>
            <w:rStyle w:val="afc"/>
            <w:noProof/>
          </w:rPr>
          <w:t>风险揭示</w:t>
        </w:r>
        <w:r w:rsidR="005500C2">
          <w:rPr>
            <w:noProof/>
            <w:webHidden/>
          </w:rPr>
          <w:tab/>
        </w:r>
        <w:r w:rsidR="005500C2">
          <w:rPr>
            <w:noProof/>
            <w:webHidden/>
          </w:rPr>
          <w:fldChar w:fldCharType="begin"/>
        </w:r>
        <w:r w:rsidR="005500C2">
          <w:rPr>
            <w:noProof/>
            <w:webHidden/>
          </w:rPr>
          <w:instrText xml:space="preserve"> PAGEREF _Toc104205528 \h </w:instrText>
        </w:r>
        <w:r w:rsidR="005500C2">
          <w:rPr>
            <w:noProof/>
            <w:webHidden/>
          </w:rPr>
        </w:r>
        <w:r w:rsidR="005500C2">
          <w:rPr>
            <w:noProof/>
            <w:webHidden/>
          </w:rPr>
          <w:fldChar w:fldCharType="separate"/>
        </w:r>
        <w:r>
          <w:rPr>
            <w:noProof/>
            <w:webHidden/>
          </w:rPr>
          <w:t>78</w:t>
        </w:r>
        <w:r w:rsidR="005500C2">
          <w:rPr>
            <w:noProof/>
            <w:webHidden/>
          </w:rPr>
          <w:fldChar w:fldCharType="end"/>
        </w:r>
      </w:hyperlink>
    </w:p>
    <w:p w14:paraId="22D131BD" w14:textId="3D9FAF54" w:rsidR="005500C2" w:rsidRDefault="008B44D8">
      <w:pPr>
        <w:pStyle w:val="TOC1"/>
        <w:rPr>
          <w:rFonts w:asciiTheme="minorHAnsi" w:eastAsiaTheme="minorEastAsia" w:hAnsiTheme="minorHAnsi" w:cstheme="minorBidi"/>
          <w:noProof/>
          <w:szCs w:val="22"/>
        </w:rPr>
      </w:pPr>
      <w:hyperlink w:anchor="_Toc104205529" w:history="1">
        <w:r w:rsidR="005500C2" w:rsidRPr="00A65294">
          <w:rPr>
            <w:rStyle w:val="afc"/>
            <w:noProof/>
          </w:rPr>
          <w:t>第十八部分</w:t>
        </w:r>
        <w:r w:rsidR="005500C2" w:rsidRPr="00A65294">
          <w:rPr>
            <w:rStyle w:val="afc"/>
            <w:noProof/>
          </w:rPr>
          <w:t xml:space="preserve">  </w:t>
        </w:r>
        <w:r w:rsidR="005500C2" w:rsidRPr="00A65294">
          <w:rPr>
            <w:rStyle w:val="afc"/>
            <w:noProof/>
          </w:rPr>
          <w:t>基金合同的变更、终止与基金财产的清算</w:t>
        </w:r>
        <w:r w:rsidR="005500C2">
          <w:rPr>
            <w:noProof/>
            <w:webHidden/>
          </w:rPr>
          <w:tab/>
        </w:r>
        <w:r w:rsidR="005500C2">
          <w:rPr>
            <w:noProof/>
            <w:webHidden/>
          </w:rPr>
          <w:fldChar w:fldCharType="begin"/>
        </w:r>
        <w:r w:rsidR="005500C2">
          <w:rPr>
            <w:noProof/>
            <w:webHidden/>
          </w:rPr>
          <w:instrText xml:space="preserve"> PAGEREF _Toc104205529 \h </w:instrText>
        </w:r>
        <w:r w:rsidR="005500C2">
          <w:rPr>
            <w:noProof/>
            <w:webHidden/>
          </w:rPr>
        </w:r>
        <w:r w:rsidR="005500C2">
          <w:rPr>
            <w:noProof/>
            <w:webHidden/>
          </w:rPr>
          <w:fldChar w:fldCharType="separate"/>
        </w:r>
        <w:r>
          <w:rPr>
            <w:noProof/>
            <w:webHidden/>
          </w:rPr>
          <w:t>83</w:t>
        </w:r>
        <w:r w:rsidR="005500C2">
          <w:rPr>
            <w:noProof/>
            <w:webHidden/>
          </w:rPr>
          <w:fldChar w:fldCharType="end"/>
        </w:r>
      </w:hyperlink>
    </w:p>
    <w:p w14:paraId="4E6DEF02" w14:textId="5CC95502" w:rsidR="005500C2" w:rsidRDefault="008B44D8">
      <w:pPr>
        <w:pStyle w:val="TOC1"/>
        <w:rPr>
          <w:rFonts w:asciiTheme="minorHAnsi" w:eastAsiaTheme="minorEastAsia" w:hAnsiTheme="minorHAnsi" w:cstheme="minorBidi"/>
          <w:noProof/>
          <w:szCs w:val="22"/>
        </w:rPr>
      </w:pPr>
      <w:hyperlink w:anchor="_Toc104205530" w:history="1">
        <w:r w:rsidR="005500C2" w:rsidRPr="00A65294">
          <w:rPr>
            <w:rStyle w:val="afc"/>
            <w:noProof/>
          </w:rPr>
          <w:t>第十九部分</w:t>
        </w:r>
        <w:r w:rsidR="005500C2" w:rsidRPr="00A65294">
          <w:rPr>
            <w:rStyle w:val="afc"/>
            <w:noProof/>
          </w:rPr>
          <w:t xml:space="preserve">  </w:t>
        </w:r>
        <w:r w:rsidR="005500C2" w:rsidRPr="00A65294">
          <w:rPr>
            <w:rStyle w:val="afc"/>
            <w:noProof/>
          </w:rPr>
          <w:t>基金合同的内容摘要</w:t>
        </w:r>
        <w:r w:rsidR="005500C2">
          <w:rPr>
            <w:noProof/>
            <w:webHidden/>
          </w:rPr>
          <w:tab/>
        </w:r>
        <w:r w:rsidR="005500C2">
          <w:rPr>
            <w:noProof/>
            <w:webHidden/>
          </w:rPr>
          <w:fldChar w:fldCharType="begin"/>
        </w:r>
        <w:r w:rsidR="005500C2">
          <w:rPr>
            <w:noProof/>
            <w:webHidden/>
          </w:rPr>
          <w:instrText xml:space="preserve"> PAGEREF _Toc104205530 \h </w:instrText>
        </w:r>
        <w:r w:rsidR="005500C2">
          <w:rPr>
            <w:noProof/>
            <w:webHidden/>
          </w:rPr>
        </w:r>
        <w:r w:rsidR="005500C2">
          <w:rPr>
            <w:noProof/>
            <w:webHidden/>
          </w:rPr>
          <w:fldChar w:fldCharType="separate"/>
        </w:r>
        <w:r>
          <w:rPr>
            <w:noProof/>
            <w:webHidden/>
          </w:rPr>
          <w:t>85</w:t>
        </w:r>
        <w:r w:rsidR="005500C2">
          <w:rPr>
            <w:noProof/>
            <w:webHidden/>
          </w:rPr>
          <w:fldChar w:fldCharType="end"/>
        </w:r>
      </w:hyperlink>
    </w:p>
    <w:p w14:paraId="6A770746" w14:textId="2DD90721" w:rsidR="005500C2" w:rsidRDefault="008B44D8">
      <w:pPr>
        <w:pStyle w:val="TOC1"/>
        <w:rPr>
          <w:rFonts w:asciiTheme="minorHAnsi" w:eastAsiaTheme="minorEastAsia" w:hAnsiTheme="minorHAnsi" w:cstheme="minorBidi"/>
          <w:noProof/>
          <w:szCs w:val="22"/>
        </w:rPr>
      </w:pPr>
      <w:hyperlink w:anchor="_Toc104205531" w:history="1">
        <w:r w:rsidR="005500C2" w:rsidRPr="00A65294">
          <w:rPr>
            <w:rStyle w:val="afc"/>
            <w:noProof/>
          </w:rPr>
          <w:t>第二十部分</w:t>
        </w:r>
        <w:r w:rsidR="005500C2" w:rsidRPr="00A65294">
          <w:rPr>
            <w:rStyle w:val="afc"/>
            <w:noProof/>
          </w:rPr>
          <w:t xml:space="preserve">  </w:t>
        </w:r>
        <w:r w:rsidR="005500C2" w:rsidRPr="00A65294">
          <w:rPr>
            <w:rStyle w:val="afc"/>
            <w:noProof/>
          </w:rPr>
          <w:t>基金托管协议的内容摘要</w:t>
        </w:r>
        <w:r w:rsidR="005500C2">
          <w:rPr>
            <w:noProof/>
            <w:webHidden/>
          </w:rPr>
          <w:tab/>
        </w:r>
        <w:r w:rsidR="005500C2">
          <w:rPr>
            <w:noProof/>
            <w:webHidden/>
          </w:rPr>
          <w:fldChar w:fldCharType="begin"/>
        </w:r>
        <w:r w:rsidR="005500C2">
          <w:rPr>
            <w:noProof/>
            <w:webHidden/>
          </w:rPr>
          <w:instrText xml:space="preserve"> PAGEREF _Toc104205531 \h </w:instrText>
        </w:r>
        <w:r w:rsidR="005500C2">
          <w:rPr>
            <w:noProof/>
            <w:webHidden/>
          </w:rPr>
        </w:r>
        <w:r w:rsidR="005500C2">
          <w:rPr>
            <w:noProof/>
            <w:webHidden/>
          </w:rPr>
          <w:fldChar w:fldCharType="separate"/>
        </w:r>
        <w:r>
          <w:rPr>
            <w:noProof/>
            <w:webHidden/>
          </w:rPr>
          <w:t>102</w:t>
        </w:r>
        <w:r w:rsidR="005500C2">
          <w:rPr>
            <w:noProof/>
            <w:webHidden/>
          </w:rPr>
          <w:fldChar w:fldCharType="end"/>
        </w:r>
      </w:hyperlink>
    </w:p>
    <w:p w14:paraId="735F09AE" w14:textId="54B56E3A" w:rsidR="005500C2" w:rsidRDefault="008B44D8">
      <w:pPr>
        <w:pStyle w:val="TOC1"/>
        <w:rPr>
          <w:rFonts w:asciiTheme="minorHAnsi" w:eastAsiaTheme="minorEastAsia" w:hAnsiTheme="minorHAnsi" w:cstheme="minorBidi"/>
          <w:noProof/>
          <w:szCs w:val="22"/>
        </w:rPr>
      </w:pPr>
      <w:hyperlink w:anchor="_Toc104205532" w:history="1">
        <w:r w:rsidR="005500C2" w:rsidRPr="00A65294">
          <w:rPr>
            <w:rStyle w:val="afc"/>
            <w:noProof/>
          </w:rPr>
          <w:t>第二十一部分</w:t>
        </w:r>
        <w:r w:rsidR="005500C2" w:rsidRPr="00A65294">
          <w:rPr>
            <w:rStyle w:val="afc"/>
            <w:noProof/>
          </w:rPr>
          <w:t xml:space="preserve">  </w:t>
        </w:r>
        <w:r w:rsidR="005500C2" w:rsidRPr="00A65294">
          <w:rPr>
            <w:rStyle w:val="afc"/>
            <w:noProof/>
          </w:rPr>
          <w:t>对基金份额持有人的服务</w:t>
        </w:r>
        <w:r w:rsidR="005500C2">
          <w:rPr>
            <w:noProof/>
            <w:webHidden/>
          </w:rPr>
          <w:tab/>
        </w:r>
        <w:r w:rsidR="005500C2">
          <w:rPr>
            <w:noProof/>
            <w:webHidden/>
          </w:rPr>
          <w:fldChar w:fldCharType="begin"/>
        </w:r>
        <w:r w:rsidR="005500C2">
          <w:rPr>
            <w:noProof/>
            <w:webHidden/>
          </w:rPr>
          <w:instrText xml:space="preserve"> PAGEREF _Toc104205532 \h </w:instrText>
        </w:r>
        <w:r w:rsidR="005500C2">
          <w:rPr>
            <w:noProof/>
            <w:webHidden/>
          </w:rPr>
        </w:r>
        <w:r w:rsidR="005500C2">
          <w:rPr>
            <w:noProof/>
            <w:webHidden/>
          </w:rPr>
          <w:fldChar w:fldCharType="separate"/>
        </w:r>
        <w:r>
          <w:rPr>
            <w:noProof/>
            <w:webHidden/>
          </w:rPr>
          <w:t>124</w:t>
        </w:r>
        <w:r w:rsidR="005500C2">
          <w:rPr>
            <w:noProof/>
            <w:webHidden/>
          </w:rPr>
          <w:fldChar w:fldCharType="end"/>
        </w:r>
      </w:hyperlink>
    </w:p>
    <w:p w14:paraId="20033EB7" w14:textId="705C304F" w:rsidR="005500C2" w:rsidRDefault="008B44D8">
      <w:pPr>
        <w:pStyle w:val="TOC1"/>
        <w:rPr>
          <w:rFonts w:asciiTheme="minorHAnsi" w:eastAsiaTheme="minorEastAsia" w:hAnsiTheme="minorHAnsi" w:cstheme="minorBidi"/>
          <w:noProof/>
          <w:szCs w:val="22"/>
        </w:rPr>
      </w:pPr>
      <w:hyperlink w:anchor="_Toc104205533" w:history="1">
        <w:r w:rsidR="005500C2" w:rsidRPr="00A65294">
          <w:rPr>
            <w:rStyle w:val="afc"/>
            <w:noProof/>
          </w:rPr>
          <w:t>第二十二部分</w:t>
        </w:r>
        <w:r w:rsidR="005500C2" w:rsidRPr="00A65294">
          <w:rPr>
            <w:rStyle w:val="afc"/>
            <w:noProof/>
          </w:rPr>
          <w:t xml:space="preserve">  </w:t>
        </w:r>
        <w:r w:rsidR="005500C2" w:rsidRPr="00A65294">
          <w:rPr>
            <w:rStyle w:val="afc"/>
            <w:noProof/>
          </w:rPr>
          <w:t>其他应披露事项</w:t>
        </w:r>
        <w:r w:rsidR="005500C2">
          <w:rPr>
            <w:noProof/>
            <w:webHidden/>
          </w:rPr>
          <w:tab/>
        </w:r>
        <w:r w:rsidR="005500C2">
          <w:rPr>
            <w:noProof/>
            <w:webHidden/>
          </w:rPr>
          <w:fldChar w:fldCharType="begin"/>
        </w:r>
        <w:r w:rsidR="005500C2">
          <w:rPr>
            <w:noProof/>
            <w:webHidden/>
          </w:rPr>
          <w:instrText xml:space="preserve"> PAGEREF _Toc104205533 \h </w:instrText>
        </w:r>
        <w:r w:rsidR="005500C2">
          <w:rPr>
            <w:noProof/>
            <w:webHidden/>
          </w:rPr>
        </w:r>
        <w:r w:rsidR="005500C2">
          <w:rPr>
            <w:noProof/>
            <w:webHidden/>
          </w:rPr>
          <w:fldChar w:fldCharType="separate"/>
        </w:r>
        <w:r>
          <w:rPr>
            <w:noProof/>
            <w:webHidden/>
          </w:rPr>
          <w:t>126</w:t>
        </w:r>
        <w:r w:rsidR="005500C2">
          <w:rPr>
            <w:noProof/>
            <w:webHidden/>
          </w:rPr>
          <w:fldChar w:fldCharType="end"/>
        </w:r>
      </w:hyperlink>
    </w:p>
    <w:p w14:paraId="3789B88A" w14:textId="123C337C" w:rsidR="005500C2" w:rsidRDefault="008B44D8">
      <w:pPr>
        <w:pStyle w:val="TOC1"/>
        <w:rPr>
          <w:rFonts w:asciiTheme="minorHAnsi" w:eastAsiaTheme="minorEastAsia" w:hAnsiTheme="minorHAnsi" w:cstheme="minorBidi"/>
          <w:noProof/>
          <w:szCs w:val="22"/>
        </w:rPr>
      </w:pPr>
      <w:hyperlink w:anchor="_Toc104205534" w:history="1">
        <w:r w:rsidR="005500C2" w:rsidRPr="00A65294">
          <w:rPr>
            <w:rStyle w:val="afc"/>
            <w:noProof/>
          </w:rPr>
          <w:t>第二十三部分</w:t>
        </w:r>
        <w:r w:rsidR="005500C2" w:rsidRPr="00A65294">
          <w:rPr>
            <w:rStyle w:val="afc"/>
            <w:noProof/>
          </w:rPr>
          <w:t xml:space="preserve">  </w:t>
        </w:r>
        <w:r w:rsidR="005500C2" w:rsidRPr="00A65294">
          <w:rPr>
            <w:rStyle w:val="afc"/>
            <w:noProof/>
          </w:rPr>
          <w:t>招募说明书存放及查阅方式</w:t>
        </w:r>
        <w:r w:rsidR="005500C2">
          <w:rPr>
            <w:noProof/>
            <w:webHidden/>
          </w:rPr>
          <w:tab/>
        </w:r>
        <w:r w:rsidR="005500C2">
          <w:rPr>
            <w:noProof/>
            <w:webHidden/>
          </w:rPr>
          <w:fldChar w:fldCharType="begin"/>
        </w:r>
        <w:r w:rsidR="005500C2">
          <w:rPr>
            <w:noProof/>
            <w:webHidden/>
          </w:rPr>
          <w:instrText xml:space="preserve"> PAGEREF _Toc104205534 \h </w:instrText>
        </w:r>
        <w:r w:rsidR="005500C2">
          <w:rPr>
            <w:noProof/>
            <w:webHidden/>
          </w:rPr>
        </w:r>
        <w:r w:rsidR="005500C2">
          <w:rPr>
            <w:noProof/>
            <w:webHidden/>
          </w:rPr>
          <w:fldChar w:fldCharType="separate"/>
        </w:r>
        <w:r>
          <w:rPr>
            <w:noProof/>
            <w:webHidden/>
          </w:rPr>
          <w:t>128</w:t>
        </w:r>
        <w:r w:rsidR="005500C2">
          <w:rPr>
            <w:noProof/>
            <w:webHidden/>
          </w:rPr>
          <w:fldChar w:fldCharType="end"/>
        </w:r>
      </w:hyperlink>
    </w:p>
    <w:p w14:paraId="3979599B" w14:textId="66753C77" w:rsidR="005500C2" w:rsidRPr="008B44D8" w:rsidRDefault="008B44D8">
      <w:pPr>
        <w:pStyle w:val="TOC1"/>
        <w:rPr>
          <w:rFonts w:asciiTheme="minorHAnsi" w:eastAsiaTheme="minorEastAsia" w:hAnsiTheme="minorHAnsi" w:cstheme="minorBidi"/>
          <w:noProof/>
          <w:szCs w:val="22"/>
        </w:rPr>
      </w:pPr>
      <w:hyperlink w:anchor="_Toc104205535" w:history="1">
        <w:r w:rsidR="005500C2" w:rsidRPr="00A65294">
          <w:rPr>
            <w:rStyle w:val="afc"/>
            <w:noProof/>
          </w:rPr>
          <w:t>第二十四部分</w:t>
        </w:r>
        <w:r w:rsidR="005500C2" w:rsidRPr="00A65294">
          <w:rPr>
            <w:rStyle w:val="afc"/>
            <w:noProof/>
          </w:rPr>
          <w:t xml:space="preserve">  </w:t>
        </w:r>
        <w:r w:rsidR="005500C2" w:rsidRPr="00A65294">
          <w:rPr>
            <w:rStyle w:val="afc"/>
            <w:noProof/>
          </w:rPr>
          <w:t>备查文件</w:t>
        </w:r>
        <w:r w:rsidR="005500C2">
          <w:rPr>
            <w:noProof/>
            <w:webHidden/>
          </w:rPr>
          <w:tab/>
        </w:r>
        <w:r w:rsidR="005500C2">
          <w:rPr>
            <w:noProof/>
            <w:webHidden/>
          </w:rPr>
          <w:fldChar w:fldCharType="begin"/>
        </w:r>
        <w:r w:rsidR="005500C2">
          <w:rPr>
            <w:noProof/>
            <w:webHidden/>
          </w:rPr>
          <w:instrText xml:space="preserve"> PAGEREF _Toc104205535 \h </w:instrText>
        </w:r>
        <w:r w:rsidR="005500C2">
          <w:rPr>
            <w:noProof/>
            <w:webHidden/>
          </w:rPr>
        </w:r>
        <w:r w:rsidR="005500C2">
          <w:rPr>
            <w:noProof/>
            <w:webHidden/>
          </w:rPr>
          <w:fldChar w:fldCharType="separate"/>
        </w:r>
        <w:r>
          <w:rPr>
            <w:noProof/>
            <w:webHidden/>
          </w:rPr>
          <w:t>1</w:t>
        </w:r>
        <w:r w:rsidR="005500C2">
          <w:rPr>
            <w:noProof/>
            <w:webHidden/>
          </w:rPr>
          <w:fldChar w:fldCharType="end"/>
        </w:r>
      </w:hyperlink>
      <w:r w:rsidRPr="008B44D8">
        <w:rPr>
          <w:rStyle w:val="afc"/>
          <w:noProof/>
          <w:color w:val="auto"/>
          <w:u w:val="none"/>
        </w:rPr>
        <w:t>29</w:t>
      </w:r>
    </w:p>
    <w:p w14:paraId="352548E6" w14:textId="77777777" w:rsidR="00AC3A9B" w:rsidRPr="002544B9" w:rsidRDefault="002C3C29">
      <w:pPr>
        <w:sectPr w:rsidR="00AC3A9B" w:rsidRPr="002544B9">
          <w:pgSz w:w="11906" w:h="16838"/>
          <w:pgMar w:top="1440" w:right="1800" w:bottom="1440" w:left="1800" w:header="851" w:footer="992" w:gutter="0"/>
          <w:pgNumType w:chapStyle="1"/>
          <w:cols w:space="720"/>
          <w:docGrid w:type="lines" w:linePitch="312"/>
        </w:sectPr>
      </w:pPr>
      <w:r w:rsidRPr="002544B9">
        <w:fldChar w:fldCharType="end"/>
      </w:r>
      <w:bookmarkStart w:id="32" w:name="_Toc263092309"/>
      <w:bookmarkStart w:id="33" w:name="_Toc416264537"/>
      <w:bookmarkStart w:id="34" w:name="_Toc352229747"/>
      <w:bookmarkStart w:id="35" w:name="_Toc21301"/>
      <w:bookmarkStart w:id="36" w:name="_Toc22864"/>
      <w:bookmarkStart w:id="37" w:name="_Toc13020"/>
      <w:bookmarkStart w:id="38" w:name="_Toc819"/>
      <w:bookmarkStart w:id="39" w:name="_Toc19592"/>
      <w:bookmarkStart w:id="40" w:name="_Toc6617"/>
      <w:bookmarkStart w:id="41" w:name="_Toc2465"/>
      <w:bookmarkStart w:id="42" w:name="_Toc3224"/>
      <w:bookmarkStart w:id="43" w:name="_Toc31551"/>
      <w:bookmarkStart w:id="44" w:name="_Toc24860"/>
      <w:bookmarkStart w:id="45" w:name="_Toc258829399"/>
      <w:bookmarkStart w:id="46" w:name="_Toc15067"/>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p>
    <w:p w14:paraId="726A73FF" w14:textId="77777777" w:rsidR="00AC3A9B" w:rsidRPr="002544B9" w:rsidRDefault="002C3C29">
      <w:pPr>
        <w:pStyle w:val="1"/>
        <w:jc w:val="center"/>
        <w:rPr>
          <w:sz w:val="30"/>
          <w:szCs w:val="30"/>
        </w:rPr>
      </w:pPr>
      <w:bookmarkStart w:id="47" w:name="_Toc68266288"/>
      <w:bookmarkStart w:id="48" w:name="_Toc104205512"/>
      <w:r w:rsidRPr="002544B9">
        <w:rPr>
          <w:rFonts w:hint="eastAsia"/>
          <w:sz w:val="30"/>
          <w:szCs w:val="30"/>
        </w:rPr>
        <w:t>第一部分</w:t>
      </w:r>
      <w:r w:rsidRPr="002544B9">
        <w:rPr>
          <w:sz w:val="30"/>
          <w:szCs w:val="30"/>
        </w:rPr>
        <w:t xml:space="preserve">  </w:t>
      </w:r>
      <w:r w:rsidRPr="002544B9">
        <w:rPr>
          <w:rFonts w:hint="eastAsia"/>
          <w:sz w:val="30"/>
          <w:szCs w:val="30"/>
        </w:rPr>
        <w:t>绪言</w:t>
      </w:r>
      <w:bookmarkEnd w:id="32"/>
      <w:bookmarkEnd w:id="33"/>
      <w:bookmarkEnd w:id="47"/>
      <w:bookmarkEnd w:id="48"/>
    </w:p>
    <w:p w14:paraId="78F0F2AC" w14:textId="005CC6C1"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招募说明书》（以下简称“招募说明书”或“本招募说明书”）依照《中华人民共和国证券投资基金法》（以下简称“《基金法》”）、《公开募集证券投资基金运作管理办法》（以下简称“《运作办法》”）、《</w:t>
      </w:r>
      <w:r w:rsidR="00AF017B" w:rsidRPr="002544B9">
        <w:rPr>
          <w:rFonts w:asciiTheme="minorEastAsia" w:hAnsiTheme="minorEastAsia" w:cs="Arial" w:hint="eastAsia"/>
          <w:sz w:val="24"/>
          <w:szCs w:val="24"/>
        </w:rPr>
        <w:t>公开募集</w:t>
      </w:r>
      <w:r w:rsidRPr="002544B9">
        <w:rPr>
          <w:rFonts w:asciiTheme="minorEastAsia" w:hAnsiTheme="minorEastAsia" w:cs="Arial" w:hint="eastAsia"/>
          <w:sz w:val="24"/>
          <w:szCs w:val="24"/>
        </w:rPr>
        <w:t>证券投资基金销售</w:t>
      </w:r>
      <w:r w:rsidR="00AF017B" w:rsidRPr="002544B9">
        <w:rPr>
          <w:rFonts w:asciiTheme="minorEastAsia" w:hAnsiTheme="minorEastAsia" w:cs="Arial" w:hint="eastAsia"/>
          <w:sz w:val="24"/>
          <w:szCs w:val="24"/>
        </w:rPr>
        <w:t>机构监督</w:t>
      </w:r>
      <w:r w:rsidRPr="002544B9">
        <w:rPr>
          <w:rFonts w:asciiTheme="minorEastAsia" w:hAnsiTheme="minorEastAsia" w:cs="Arial" w:hint="eastAsia"/>
          <w:sz w:val="24"/>
          <w:szCs w:val="24"/>
        </w:rPr>
        <w:t>管理办法》（以下简称“《销售办法》”）、《</w:t>
      </w:r>
      <w:r w:rsidRPr="002544B9">
        <w:rPr>
          <w:rFonts w:hint="eastAsia"/>
          <w:bCs/>
          <w:kern w:val="0"/>
          <w:sz w:val="24"/>
        </w:rPr>
        <w:t>公开募集证券投资基金信息披露管理办法</w:t>
      </w:r>
      <w:r w:rsidRPr="002544B9">
        <w:rPr>
          <w:rFonts w:asciiTheme="minorEastAsia" w:hAnsiTheme="minorEastAsia" w:cs="Arial" w:hint="eastAsia"/>
          <w:sz w:val="24"/>
          <w:szCs w:val="24"/>
        </w:rPr>
        <w:t>》（以下简称“《信息披露办法》”）、《公开募集开放式证券投资基金流动性风险管理规定》（以下简称“《管理规定》”）以及《</w:t>
      </w:r>
      <w:r w:rsidR="00505F4A"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00505F4A" w:rsidRPr="002544B9">
        <w:rPr>
          <w:rFonts w:asciiTheme="minorEastAsia" w:hAnsiTheme="minorEastAsia" w:cs="Arial" w:hint="eastAsia"/>
          <w:sz w:val="24"/>
          <w:szCs w:val="24"/>
        </w:rPr>
        <w:t>混合型</w:t>
      </w:r>
      <w:r w:rsidRPr="002544B9">
        <w:rPr>
          <w:rFonts w:asciiTheme="minorEastAsia" w:hAnsiTheme="minorEastAsia" w:cs="Arial" w:hint="eastAsia"/>
          <w:sz w:val="24"/>
          <w:szCs w:val="24"/>
        </w:rPr>
        <w:t>证券投资基金基金合同》（以下简称“基金合同”）编写。</w:t>
      </w:r>
    </w:p>
    <w:p w14:paraId="4E9AA632"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基金管理人承诺本招募说明书不存在任何虚假记载、误导性陈述或重大遗漏，并对其真实性、准确性、完整性承担法律责任。</w:t>
      </w:r>
    </w:p>
    <w:p w14:paraId="1DE6B3CB" w14:textId="02418AE5" w:rsidR="00AC3A9B" w:rsidRPr="002544B9" w:rsidRDefault="00505F4A">
      <w:pPr>
        <w:autoSpaceDE w:val="0"/>
        <w:autoSpaceDN w:val="0"/>
        <w:adjustRightInd w:val="0"/>
        <w:snapToGrid w:val="0"/>
        <w:spacing w:line="360" w:lineRule="auto"/>
        <w:ind w:firstLineChars="200" w:firstLine="480"/>
        <w:rPr>
          <w:rFonts w:asciiTheme="minorEastAsia" w:hAnsiTheme="minorEastAsia" w:cs="Arial"/>
          <w:sz w:val="24"/>
          <w:szCs w:val="24"/>
        </w:rPr>
      </w:pPr>
      <w:proofErr w:type="gramStart"/>
      <w:r w:rsidRPr="002544B9">
        <w:rPr>
          <w:rFonts w:asciiTheme="minorEastAsia" w:hAnsiTheme="minorEastAsia" w:cs="Arial" w:hint="eastAsia"/>
          <w:sz w:val="24"/>
          <w:szCs w:val="24"/>
        </w:rPr>
        <w:t>富荣</w:t>
      </w:r>
      <w:r w:rsidR="00F144DD" w:rsidRPr="002544B9">
        <w:rPr>
          <w:rFonts w:asciiTheme="minorEastAsia" w:hAnsiTheme="minorEastAsia" w:cs="Arial" w:hint="eastAsia"/>
          <w:sz w:val="24"/>
          <w:szCs w:val="24"/>
        </w:rPr>
        <w:t>福银</w:t>
      </w:r>
      <w:r w:rsidRPr="002544B9">
        <w:rPr>
          <w:rFonts w:asciiTheme="minorEastAsia" w:hAnsiTheme="minorEastAsia" w:cs="Arial" w:hint="eastAsia"/>
          <w:sz w:val="24"/>
          <w:szCs w:val="24"/>
        </w:rPr>
        <w:t>混合型</w:t>
      </w:r>
      <w:proofErr w:type="gramEnd"/>
      <w:r w:rsidR="002C3C29" w:rsidRPr="002544B9">
        <w:rPr>
          <w:rFonts w:asciiTheme="minorEastAsia" w:hAnsiTheme="minorEastAsia" w:cs="Arial" w:hint="eastAsia"/>
          <w:sz w:val="24"/>
          <w:szCs w:val="24"/>
        </w:rPr>
        <w:t>证券投资基金（以下简称“基金”或“本基金”）是根据本招募说明书所载明的资料申请募集的。本基金管理人没有委托或授权任何其他人提供未在本招募说明书中载明的信息，或对本招募说明书作任何解释或者说明。</w:t>
      </w:r>
    </w:p>
    <w:p w14:paraId="368C2E3D" w14:textId="77777777" w:rsidR="00AC3A9B" w:rsidRPr="002544B9" w:rsidRDefault="002C3C29">
      <w:pPr>
        <w:autoSpaceDE w:val="0"/>
        <w:autoSpaceDN w:val="0"/>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本招募说明书根据本基金的基金合同编写，并经中国证券监督管理委员会（以下简称“中国证监会”）注册。基金合同是约定基金合同当事人之间权利、义务的法律文件。基金</w:t>
      </w:r>
      <w:proofErr w:type="gramStart"/>
      <w:r w:rsidRPr="002544B9">
        <w:rPr>
          <w:rFonts w:asciiTheme="minorEastAsia" w:hAnsiTheme="minorEastAsia" w:cs="Arial" w:hint="eastAsia"/>
          <w:sz w:val="24"/>
          <w:szCs w:val="24"/>
        </w:rPr>
        <w:t>投资人自依基金</w:t>
      </w:r>
      <w:proofErr w:type="gramEnd"/>
      <w:r w:rsidRPr="002544B9">
        <w:rPr>
          <w:rFonts w:asciiTheme="minorEastAsia" w:hAnsiTheme="minorEastAsia" w:cs="Arial" w:hint="eastAsia"/>
          <w:sz w:val="24"/>
          <w:szCs w:val="24"/>
        </w:rPr>
        <w:t>合同取得基金份额，即成为基金份额持有人和基金合同的当事人，其持有基金份额的行为本身即表明其对基金合同的承认和接受，并按照《基金法》、基金合同及其他有关规定享有权利、承担义务。基金投资人欲了解基金份额持有人的权利和义务，应详细查阅基金合同。</w:t>
      </w:r>
    </w:p>
    <w:p w14:paraId="3AD6BC8B" w14:textId="77777777" w:rsidR="00AC3A9B" w:rsidRPr="002544B9" w:rsidRDefault="00AC3A9B">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AC3A9B" w:rsidRPr="002544B9">
          <w:footerReference w:type="default" r:id="rId12"/>
          <w:pgSz w:w="11906" w:h="16838"/>
          <w:pgMar w:top="1440" w:right="1800" w:bottom="1440" w:left="1800" w:header="851" w:footer="992" w:gutter="0"/>
          <w:pgNumType w:chapStyle="1"/>
          <w:cols w:space="720"/>
          <w:docGrid w:type="lines" w:linePitch="312"/>
        </w:sectPr>
      </w:pPr>
      <w:bookmarkStart w:id="49" w:name="_Toc22708"/>
      <w:bookmarkStart w:id="50" w:name="_Toc733"/>
      <w:bookmarkStart w:id="51" w:name="_Toc352229748"/>
      <w:bookmarkStart w:id="52" w:name="_Toc24571"/>
      <w:bookmarkStart w:id="53" w:name="_Toc20318"/>
      <w:bookmarkStart w:id="54" w:name="_Toc20627"/>
      <w:bookmarkStart w:id="55" w:name="_Toc545"/>
      <w:bookmarkStart w:id="56" w:name="_Toc5246"/>
      <w:bookmarkStart w:id="57" w:name="_Toc6149"/>
      <w:bookmarkStart w:id="58" w:name="_Toc6683"/>
      <w:bookmarkStart w:id="59" w:name="_Toc13288"/>
      <w:bookmarkStart w:id="60" w:name="_Toc18631"/>
      <w:bookmarkStart w:id="61" w:name="_Toc233456272"/>
      <w:bookmarkStart w:id="62" w:name="_Toc258829400"/>
      <w:bookmarkEnd w:id="31"/>
      <w:bookmarkEnd w:id="34"/>
      <w:bookmarkEnd w:id="35"/>
      <w:bookmarkEnd w:id="36"/>
      <w:bookmarkEnd w:id="37"/>
      <w:bookmarkEnd w:id="38"/>
      <w:bookmarkEnd w:id="39"/>
      <w:bookmarkEnd w:id="40"/>
      <w:bookmarkEnd w:id="41"/>
      <w:bookmarkEnd w:id="42"/>
      <w:bookmarkEnd w:id="43"/>
      <w:bookmarkEnd w:id="44"/>
      <w:bookmarkEnd w:id="45"/>
      <w:bookmarkEnd w:id="46"/>
    </w:p>
    <w:p w14:paraId="5B0BE6ED" w14:textId="77777777" w:rsidR="00AC3A9B" w:rsidRPr="002544B9" w:rsidRDefault="002C3C29">
      <w:pPr>
        <w:pStyle w:val="1"/>
        <w:jc w:val="center"/>
        <w:rPr>
          <w:sz w:val="30"/>
          <w:szCs w:val="30"/>
        </w:rPr>
      </w:pPr>
      <w:bookmarkStart w:id="63" w:name="_Toc68266289"/>
      <w:bookmarkStart w:id="64" w:name="_Toc104205513"/>
      <w:r w:rsidRPr="002544B9">
        <w:rPr>
          <w:rFonts w:hint="eastAsia"/>
          <w:sz w:val="30"/>
          <w:szCs w:val="30"/>
        </w:rPr>
        <w:t>第二部分</w:t>
      </w:r>
      <w:r w:rsidRPr="002544B9">
        <w:rPr>
          <w:sz w:val="30"/>
          <w:szCs w:val="30"/>
        </w:rPr>
        <w:t xml:space="preserve">  </w:t>
      </w:r>
      <w:r w:rsidRPr="002544B9">
        <w:rPr>
          <w:rFonts w:hint="eastAsia"/>
          <w:sz w:val="30"/>
          <w:szCs w:val="30"/>
        </w:rPr>
        <w:t>释义</w:t>
      </w:r>
      <w:bookmarkEnd w:id="63"/>
      <w:bookmarkEnd w:id="64"/>
    </w:p>
    <w:p w14:paraId="72A70868"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在本招募说明书中，除非文意另有所指，下列词语或简称具有如下含义：</w:t>
      </w:r>
    </w:p>
    <w:p w14:paraId="0CFA76B8" w14:textId="277A303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w:t>
      </w:r>
      <w:r w:rsidRPr="002544B9">
        <w:rPr>
          <w:rFonts w:asciiTheme="minorEastAsia" w:hAnsiTheme="minorEastAsia" w:cs="Times New Roman" w:hint="eastAsia"/>
          <w:sz w:val="24"/>
          <w:szCs w:val="24"/>
        </w:rPr>
        <w:t>、基金或本基金：指</w:t>
      </w:r>
      <w:proofErr w:type="gramStart"/>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proofErr w:type="gramEnd"/>
      <w:r w:rsidRPr="002544B9">
        <w:rPr>
          <w:rFonts w:asciiTheme="minorEastAsia" w:hAnsiTheme="minorEastAsia" w:cs="Times New Roman" w:hint="eastAsia"/>
          <w:sz w:val="24"/>
          <w:szCs w:val="24"/>
        </w:rPr>
        <w:t>证券投资基金</w:t>
      </w:r>
    </w:p>
    <w:p w14:paraId="7FA92AE9"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w:t>
      </w:r>
      <w:r w:rsidRPr="002544B9">
        <w:rPr>
          <w:rFonts w:asciiTheme="minorEastAsia" w:hAnsiTheme="minorEastAsia" w:cs="Times New Roman" w:hint="eastAsia"/>
          <w:sz w:val="24"/>
          <w:szCs w:val="24"/>
        </w:rPr>
        <w:t>、基金管理人：指富荣基金管理有限公司</w:t>
      </w:r>
    </w:p>
    <w:p w14:paraId="17E02415" w14:textId="6033EE65"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、基金托管人：指</w:t>
      </w:r>
      <w:r w:rsidR="006E585E" w:rsidRPr="002544B9">
        <w:rPr>
          <w:rFonts w:asciiTheme="minorEastAsia" w:hAnsiTheme="minorEastAsia" w:cs="Times New Roman" w:hint="eastAsia"/>
          <w:sz w:val="24"/>
          <w:szCs w:val="24"/>
        </w:rPr>
        <w:t>国泰君安证券股份有限公司</w:t>
      </w:r>
    </w:p>
    <w:p w14:paraId="0CD501CA" w14:textId="15975DBF"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Pr="002544B9">
        <w:rPr>
          <w:rFonts w:asciiTheme="minorEastAsia" w:hAnsiTheme="minorEastAsia" w:cs="Times New Roman" w:hint="eastAsia"/>
          <w:sz w:val="24"/>
          <w:szCs w:val="24"/>
        </w:rPr>
        <w:t>、基金合同：指《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证券投资基金基金合同》及对基金合同的任何有效修订和补充</w:t>
      </w:r>
    </w:p>
    <w:p w14:paraId="62B252C9" w14:textId="6AF42470"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w:t>
      </w:r>
      <w:r w:rsidRPr="002544B9">
        <w:rPr>
          <w:rFonts w:asciiTheme="minorEastAsia" w:hAnsiTheme="minorEastAsia" w:cs="Times New Roman" w:hint="eastAsia"/>
          <w:sz w:val="24"/>
          <w:szCs w:val="24"/>
        </w:rPr>
        <w:t>、托管协议：指基金管理人与基金托管人就本基金签订之《</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证券投资基金托管协议》及对该托管协议的任何有效修订和补充</w:t>
      </w:r>
    </w:p>
    <w:p w14:paraId="6E1ECFE5" w14:textId="3326E026"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w:t>
      </w:r>
      <w:r w:rsidRPr="002544B9">
        <w:rPr>
          <w:rFonts w:asciiTheme="minorEastAsia" w:hAnsiTheme="minorEastAsia" w:cs="Times New Roman" w:hint="eastAsia"/>
          <w:sz w:val="24"/>
          <w:szCs w:val="24"/>
        </w:rPr>
        <w:t>、招募说明书或本招募说明书：指《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Pr="002544B9">
        <w:rPr>
          <w:rFonts w:asciiTheme="minorEastAsia" w:hAnsiTheme="minorEastAsia" w:cs="Times New Roman" w:hint="eastAsia"/>
          <w:sz w:val="24"/>
          <w:szCs w:val="24"/>
        </w:rPr>
        <w:t>证券投资基金招募说明书》及其更新</w:t>
      </w:r>
    </w:p>
    <w:p w14:paraId="23D7F096" w14:textId="072BE59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、基金份额发售公告：指《</w:t>
      </w:r>
      <w:r w:rsidR="00505F4A" w:rsidRPr="002544B9">
        <w:rPr>
          <w:rFonts w:asciiTheme="minorEastAsia" w:hAnsiTheme="minorEastAsia" w:cs="Times New Roman" w:hint="eastAsia"/>
          <w:sz w:val="24"/>
          <w:szCs w:val="24"/>
        </w:rPr>
        <w:t>富荣</w:t>
      </w:r>
      <w:r w:rsidR="00F144DD" w:rsidRPr="002544B9">
        <w:rPr>
          <w:rFonts w:asciiTheme="minorEastAsia" w:hAnsiTheme="minorEastAsia" w:cs="Times New Roman" w:hint="eastAsia"/>
          <w:sz w:val="24"/>
          <w:szCs w:val="24"/>
        </w:rPr>
        <w:t>福银</w:t>
      </w:r>
      <w:r w:rsidR="00505F4A" w:rsidRPr="002544B9">
        <w:rPr>
          <w:rFonts w:asciiTheme="minorEastAsia" w:hAnsiTheme="minorEastAsia" w:cs="Times New Roman" w:hint="eastAsia"/>
          <w:sz w:val="24"/>
          <w:szCs w:val="24"/>
        </w:rPr>
        <w:t>混合型</w:t>
      </w:r>
      <w:r w:rsidR="002C3C29" w:rsidRPr="002544B9">
        <w:rPr>
          <w:rFonts w:asciiTheme="minorEastAsia" w:hAnsiTheme="minorEastAsia" w:cs="Times New Roman" w:hint="eastAsia"/>
          <w:sz w:val="24"/>
          <w:szCs w:val="24"/>
        </w:rPr>
        <w:t>证券投资基金基金份额发售公告》</w:t>
      </w:r>
    </w:p>
    <w:p w14:paraId="2E356D2E" w14:textId="3A13AA7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、法律法规：指中国现行有效并公布实施的法律、行政法规、规范性文件、司法解释、行政规章以及其他对基金合同当事人有约束力的决定、决议、通知等</w:t>
      </w:r>
    </w:p>
    <w:p w14:paraId="52AA4A83" w14:textId="24702762"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w:t>
      </w:r>
      <w:r w:rsidR="002C3C29" w:rsidRPr="002544B9">
        <w:rPr>
          <w:rFonts w:asciiTheme="minorEastAsia" w:hAnsiTheme="minorEastAsia" w:cs="Times New Roman" w:hint="eastAsia"/>
          <w:sz w:val="24"/>
          <w:szCs w:val="24"/>
        </w:rPr>
        <w:t>、《基金法》：指</w:t>
      </w:r>
      <w:r w:rsidR="002C3C29" w:rsidRPr="002544B9">
        <w:rPr>
          <w:rFonts w:asciiTheme="minorEastAsia" w:hAnsiTheme="minorEastAsia" w:cs="Times New Roman"/>
          <w:sz w:val="24"/>
          <w:szCs w:val="24"/>
        </w:rPr>
        <w:t>2003年10月28日经第十届全国人民代表大会常务委员会第五次会议通过，经2012年12月28日第十一届全国人民代表大会常务委员会第三十次会议修订，自2013年6月1日起实施</w:t>
      </w:r>
      <w:r w:rsidR="005857CA" w:rsidRPr="002544B9">
        <w:rPr>
          <w:rFonts w:asciiTheme="minorEastAsia" w:hAnsiTheme="minorEastAsia" w:cs="Times New Roman" w:hint="eastAsia"/>
          <w:sz w:val="24"/>
          <w:szCs w:val="24"/>
        </w:rPr>
        <w:t>，并经</w:t>
      </w:r>
      <w:r w:rsidR="005857CA" w:rsidRPr="002544B9">
        <w:rPr>
          <w:rFonts w:asciiTheme="minorEastAsia" w:hAnsiTheme="minorEastAsia" w:cs="Times New Roman"/>
          <w:sz w:val="24"/>
          <w:szCs w:val="24"/>
        </w:rPr>
        <w:t>2015年4月24日第十二届全国人民代表大会常务委员会第十四次会议《全国人民代表大会常务委员会关于修改&lt;中华人民共和国港口法&gt;等七部法律的决定》修正</w:t>
      </w:r>
      <w:r w:rsidR="002C3C29" w:rsidRPr="002544B9">
        <w:rPr>
          <w:rFonts w:asciiTheme="minorEastAsia" w:hAnsiTheme="minorEastAsia" w:cs="Times New Roman" w:hint="eastAsia"/>
          <w:sz w:val="24"/>
          <w:szCs w:val="24"/>
        </w:rPr>
        <w:t>的《中华人民共和国证券投资基金法》及颁布机关对其不时做出的修订</w:t>
      </w:r>
    </w:p>
    <w:p w14:paraId="7A270BCE" w14:textId="1EE0278C" w:rsidR="00B21804" w:rsidRPr="002544B9" w:rsidRDefault="00693840" w:rsidP="00FE053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w:t>
      </w:r>
      <w:r w:rsidR="002C3C29" w:rsidRPr="002544B9">
        <w:rPr>
          <w:rFonts w:asciiTheme="minorEastAsia" w:hAnsiTheme="minorEastAsia" w:cs="Times New Roman" w:hint="eastAsia"/>
          <w:sz w:val="24"/>
          <w:szCs w:val="24"/>
        </w:rPr>
        <w:t>、《销售办法》：</w:t>
      </w:r>
      <w:r w:rsidR="00B21804" w:rsidRPr="002544B9" w:rsidDel="00B21804">
        <w:rPr>
          <w:rFonts w:asciiTheme="minorEastAsia" w:hAnsiTheme="minorEastAsia" w:cs="Times New Roman"/>
          <w:sz w:val="24"/>
          <w:szCs w:val="24"/>
        </w:rPr>
        <w:t xml:space="preserve"> </w:t>
      </w:r>
      <w:r w:rsidR="00B21804" w:rsidRPr="002544B9">
        <w:rPr>
          <w:rFonts w:asciiTheme="minorEastAsia" w:hAnsiTheme="minorEastAsia" w:cs="Times New Roman" w:hint="eastAsia"/>
          <w:sz w:val="24"/>
          <w:szCs w:val="24"/>
        </w:rPr>
        <w:t>指中国证监会</w:t>
      </w:r>
      <w:r w:rsidR="00B21804" w:rsidRPr="002544B9">
        <w:rPr>
          <w:rFonts w:asciiTheme="minorEastAsia" w:hAnsiTheme="minorEastAsia" w:cs="Times New Roman"/>
          <w:sz w:val="24"/>
          <w:szCs w:val="24"/>
        </w:rPr>
        <w:t>2020年8月28日颁布、同年10月1日实施的《公开募集证券投资基金销售机构监督管理办法》及颁布机关对其不时做出的修订</w:t>
      </w:r>
    </w:p>
    <w:p w14:paraId="1F8D6A9C" w14:textId="1859E54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w:t>
      </w:r>
      <w:r w:rsidR="002C3C29" w:rsidRPr="002544B9">
        <w:rPr>
          <w:rFonts w:asciiTheme="minorEastAsia" w:hAnsiTheme="minorEastAsia" w:cs="Times New Roman" w:hint="eastAsia"/>
          <w:sz w:val="24"/>
          <w:szCs w:val="24"/>
        </w:rPr>
        <w:t>、《信息披露办法》：</w:t>
      </w:r>
      <w:r w:rsidR="002C3C29" w:rsidRPr="002544B9">
        <w:rPr>
          <w:rFonts w:hint="eastAsia"/>
          <w:bCs/>
          <w:kern w:val="0"/>
          <w:sz w:val="24"/>
        </w:rPr>
        <w:t>指中国证监会</w:t>
      </w:r>
      <w:r w:rsidR="002C3C29" w:rsidRPr="002544B9">
        <w:rPr>
          <w:bCs/>
          <w:kern w:val="0"/>
          <w:sz w:val="24"/>
        </w:rPr>
        <w:t>2019</w:t>
      </w:r>
      <w:r w:rsidR="002C3C29" w:rsidRPr="002544B9">
        <w:rPr>
          <w:rFonts w:hint="eastAsia"/>
          <w:bCs/>
          <w:kern w:val="0"/>
          <w:sz w:val="24"/>
        </w:rPr>
        <w:t>年</w:t>
      </w:r>
      <w:r w:rsidR="002C3C29" w:rsidRPr="002544B9">
        <w:rPr>
          <w:bCs/>
          <w:kern w:val="0"/>
          <w:sz w:val="24"/>
        </w:rPr>
        <w:t>7</w:t>
      </w:r>
      <w:r w:rsidR="002C3C29" w:rsidRPr="002544B9">
        <w:rPr>
          <w:rFonts w:hint="eastAsia"/>
          <w:bCs/>
          <w:kern w:val="0"/>
          <w:sz w:val="24"/>
        </w:rPr>
        <w:t>月</w:t>
      </w:r>
      <w:r w:rsidR="002C3C29" w:rsidRPr="002544B9">
        <w:rPr>
          <w:bCs/>
          <w:kern w:val="0"/>
          <w:sz w:val="24"/>
        </w:rPr>
        <w:t>26</w:t>
      </w:r>
      <w:r w:rsidR="002C3C29" w:rsidRPr="002544B9">
        <w:rPr>
          <w:rFonts w:hint="eastAsia"/>
          <w:bCs/>
          <w:kern w:val="0"/>
          <w:sz w:val="24"/>
        </w:rPr>
        <w:t>日颁布、同年</w:t>
      </w:r>
      <w:r w:rsidR="002C3C29" w:rsidRPr="002544B9">
        <w:rPr>
          <w:bCs/>
          <w:kern w:val="0"/>
          <w:sz w:val="24"/>
        </w:rPr>
        <w:t>9</w:t>
      </w:r>
      <w:r w:rsidR="002C3C29" w:rsidRPr="002544B9">
        <w:rPr>
          <w:rFonts w:hint="eastAsia"/>
          <w:bCs/>
          <w:kern w:val="0"/>
          <w:sz w:val="24"/>
        </w:rPr>
        <w:t>月</w:t>
      </w:r>
      <w:r w:rsidR="002C3C29" w:rsidRPr="002544B9">
        <w:rPr>
          <w:bCs/>
          <w:kern w:val="0"/>
          <w:sz w:val="24"/>
        </w:rPr>
        <w:t>1</w:t>
      </w:r>
      <w:r w:rsidR="002C3C29" w:rsidRPr="002544B9">
        <w:rPr>
          <w:rFonts w:hint="eastAsia"/>
          <w:bCs/>
          <w:kern w:val="0"/>
          <w:sz w:val="24"/>
        </w:rPr>
        <w:t>日实施的</w:t>
      </w:r>
      <w:r w:rsidR="00AF017B" w:rsidRPr="002544B9">
        <w:rPr>
          <w:rFonts w:hint="eastAsia"/>
          <w:bCs/>
          <w:sz w:val="24"/>
        </w:rPr>
        <w:t>，并经</w:t>
      </w:r>
      <w:r w:rsidR="00AF017B" w:rsidRPr="002544B9">
        <w:rPr>
          <w:bCs/>
          <w:sz w:val="24"/>
        </w:rPr>
        <w:t>2020</w:t>
      </w:r>
      <w:r w:rsidR="00AF017B" w:rsidRPr="002544B9">
        <w:rPr>
          <w:rFonts w:hint="eastAsia"/>
          <w:bCs/>
          <w:sz w:val="24"/>
        </w:rPr>
        <w:t>年</w:t>
      </w:r>
      <w:r w:rsidR="00AF017B" w:rsidRPr="002544B9">
        <w:rPr>
          <w:bCs/>
          <w:sz w:val="24"/>
        </w:rPr>
        <w:t>3</w:t>
      </w:r>
      <w:r w:rsidR="00AF017B" w:rsidRPr="002544B9">
        <w:rPr>
          <w:rFonts w:hint="eastAsia"/>
          <w:bCs/>
          <w:sz w:val="24"/>
        </w:rPr>
        <w:t>月</w:t>
      </w:r>
      <w:r w:rsidR="00AF017B" w:rsidRPr="002544B9">
        <w:rPr>
          <w:bCs/>
          <w:sz w:val="24"/>
        </w:rPr>
        <w:t>20</w:t>
      </w:r>
      <w:r w:rsidR="00AF017B" w:rsidRPr="002544B9">
        <w:rPr>
          <w:rFonts w:hint="eastAsia"/>
          <w:bCs/>
          <w:sz w:val="24"/>
        </w:rPr>
        <w:t>日中国证监会《关于修改部分证券期货规章的决定》修正的</w:t>
      </w:r>
      <w:r w:rsidR="002C3C29" w:rsidRPr="002544B9">
        <w:rPr>
          <w:rFonts w:hint="eastAsia"/>
          <w:bCs/>
          <w:kern w:val="0"/>
          <w:sz w:val="24"/>
        </w:rPr>
        <w:t>《公开募集证券投资基金信息披露管理办法》</w:t>
      </w:r>
      <w:r w:rsidR="002C3C29" w:rsidRPr="002544B9">
        <w:rPr>
          <w:rFonts w:asciiTheme="minorEastAsia" w:hAnsiTheme="minorEastAsia" w:cs="Times New Roman" w:hint="eastAsia"/>
          <w:sz w:val="24"/>
          <w:szCs w:val="24"/>
        </w:rPr>
        <w:t>及颁布机关对其不时做出的修订</w:t>
      </w:r>
    </w:p>
    <w:p w14:paraId="0F3F9613" w14:textId="4BBC955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w:t>
      </w:r>
      <w:r w:rsidR="002C3C29" w:rsidRPr="002544B9">
        <w:rPr>
          <w:rFonts w:asciiTheme="minorEastAsia" w:hAnsiTheme="minorEastAsia" w:cs="Times New Roman" w:hint="eastAsia"/>
          <w:sz w:val="24"/>
          <w:szCs w:val="24"/>
        </w:rPr>
        <w:t>、《运作办法》：指中国证监会</w:t>
      </w:r>
      <w:r w:rsidR="002C3C29" w:rsidRPr="002544B9">
        <w:rPr>
          <w:rFonts w:asciiTheme="minorEastAsia" w:hAnsiTheme="minorEastAsia" w:cs="Times New Roman"/>
          <w:sz w:val="24"/>
          <w:szCs w:val="24"/>
        </w:rPr>
        <w:t>2014</w:t>
      </w:r>
      <w:r w:rsidR="002C3C29" w:rsidRPr="002544B9">
        <w:rPr>
          <w:rFonts w:asciiTheme="minorEastAsia" w:hAnsiTheme="minorEastAsia" w:cs="Times New Roman" w:hint="eastAsia"/>
          <w:sz w:val="24"/>
          <w:szCs w:val="24"/>
        </w:rPr>
        <w:t>年</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日颁布、同年</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月</w:t>
      </w:r>
      <w:r w:rsidR="002C3C2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日实施的《公开募集证券投资基金运作管理办法》及颁布机关对其不时做出的修订</w:t>
      </w:r>
    </w:p>
    <w:p w14:paraId="156D219C" w14:textId="38017A8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w:t>
      </w:r>
      <w:r w:rsidR="002C3C29" w:rsidRPr="002544B9">
        <w:rPr>
          <w:rFonts w:asciiTheme="minorEastAsia" w:hAnsiTheme="minorEastAsia" w:cs="Times New Roman" w:hint="eastAsia"/>
          <w:sz w:val="24"/>
          <w:szCs w:val="24"/>
        </w:rPr>
        <w:t>、《</w:t>
      </w:r>
      <w:r w:rsidR="00E97FBC" w:rsidRPr="002544B9">
        <w:rPr>
          <w:rFonts w:asciiTheme="minorEastAsia" w:hAnsiTheme="minorEastAsia" w:cs="Times New Roman" w:hint="eastAsia"/>
          <w:sz w:val="24"/>
          <w:szCs w:val="24"/>
        </w:rPr>
        <w:t>流动性风险</w:t>
      </w:r>
      <w:r w:rsidR="002C3C29" w:rsidRPr="002544B9">
        <w:rPr>
          <w:rFonts w:asciiTheme="minorEastAsia" w:hAnsiTheme="minorEastAsia" w:cs="Times New Roman" w:hint="eastAsia"/>
          <w:sz w:val="24"/>
          <w:szCs w:val="24"/>
        </w:rPr>
        <w:t>管理规定》：指中国证监会</w:t>
      </w:r>
      <w:r w:rsidR="002C3C29" w:rsidRPr="002544B9">
        <w:rPr>
          <w:rFonts w:asciiTheme="minorEastAsia" w:hAnsiTheme="minorEastAsia" w:cs="Times New Roman"/>
          <w:sz w:val="24"/>
          <w:szCs w:val="24"/>
        </w:rPr>
        <w:t>2017年8月31日颁布、同年10月1日实施的《公开募集开放式证券投资基金流动性风险管理规定》及颁布机关对其不时做出的修订</w:t>
      </w:r>
    </w:p>
    <w:p w14:paraId="16AF14D2" w14:textId="2BC61B9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w:t>
      </w:r>
      <w:r w:rsidR="002C3C29" w:rsidRPr="002544B9">
        <w:rPr>
          <w:rFonts w:asciiTheme="minorEastAsia" w:hAnsiTheme="minorEastAsia" w:cs="Times New Roman" w:hint="eastAsia"/>
          <w:sz w:val="24"/>
          <w:szCs w:val="24"/>
        </w:rPr>
        <w:t>、中国证监会：指中国证券监督管理委员会</w:t>
      </w:r>
    </w:p>
    <w:p w14:paraId="09C6565B" w14:textId="6F04C2F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w:t>
      </w:r>
      <w:r w:rsidR="002C3C29" w:rsidRPr="002544B9">
        <w:rPr>
          <w:rFonts w:asciiTheme="minorEastAsia" w:hAnsiTheme="minorEastAsia" w:cs="Times New Roman" w:hint="eastAsia"/>
          <w:sz w:val="24"/>
          <w:szCs w:val="24"/>
        </w:rPr>
        <w:t>、基金合同当事人：指受基金合同约束，根据基金合同享有权利并承担义务的法律主体，包括基金管理人、基金托管人和基金份额持有人</w:t>
      </w:r>
    </w:p>
    <w:p w14:paraId="18EB9B48" w14:textId="6120DD1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w:t>
      </w:r>
      <w:r w:rsidR="002C3C29" w:rsidRPr="002544B9">
        <w:rPr>
          <w:rFonts w:asciiTheme="minorEastAsia" w:hAnsiTheme="minorEastAsia" w:cs="Times New Roman" w:hint="eastAsia"/>
          <w:sz w:val="24"/>
          <w:szCs w:val="24"/>
        </w:rPr>
        <w:t>、个人投资者：指依据有关法律法规规定可投资于证券投资基金的自然人</w:t>
      </w:r>
    </w:p>
    <w:p w14:paraId="21B0D1CE" w14:textId="5F5C588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w:t>
      </w:r>
      <w:r w:rsidR="002C3C29" w:rsidRPr="002544B9">
        <w:rPr>
          <w:rFonts w:asciiTheme="minorEastAsia" w:hAnsiTheme="minorEastAsia" w:cs="Times New Roman" w:hint="eastAsia"/>
          <w:sz w:val="24"/>
          <w:szCs w:val="24"/>
        </w:rPr>
        <w:t>、机构投资者：指依法可以投资证券投资基金的、在中华人民共和国境内合法登记并存续或经有关政府部门批准设立并存续的企业法人、事业法人、社会团体或其他组织</w:t>
      </w:r>
    </w:p>
    <w:p w14:paraId="277445F8" w14:textId="5CDCD74B" w:rsidR="00FE0530" w:rsidRPr="002544B9" w:rsidRDefault="00693840" w:rsidP="00D55EDF">
      <w:pPr>
        <w:spacing w:line="360" w:lineRule="auto"/>
        <w:ind w:firstLineChars="200" w:firstLine="480"/>
        <w:rPr>
          <w:bCs/>
          <w:sz w:val="24"/>
        </w:rPr>
      </w:pPr>
      <w:r w:rsidRPr="002544B9">
        <w:rPr>
          <w:rFonts w:asciiTheme="minorEastAsia" w:hAnsiTheme="minorEastAsia" w:cs="Times New Roman"/>
          <w:sz w:val="24"/>
          <w:szCs w:val="24"/>
        </w:rPr>
        <w:t>18</w:t>
      </w:r>
      <w:r w:rsidR="002C3C29" w:rsidRPr="002544B9">
        <w:rPr>
          <w:rFonts w:asciiTheme="minorEastAsia" w:hAnsiTheme="minorEastAsia" w:cs="Times New Roman" w:hint="eastAsia"/>
          <w:sz w:val="24"/>
          <w:szCs w:val="24"/>
        </w:rPr>
        <w:t>、</w:t>
      </w:r>
      <w:r w:rsidR="00AF017B" w:rsidRPr="002544B9">
        <w:rPr>
          <w:rFonts w:hint="eastAsia"/>
          <w:bCs/>
          <w:sz w:val="24"/>
        </w:rPr>
        <w:t>合格境外投资者：指符合《合格境外机构投资者和人民币合格境外机构投资者境内证券期货投资管理办法》（包括其不时修订）及相关法律法规规定使用来自境外的资金进行境内证券期货投资的境外机构投资者，包括合格境外机构投资者和人民币合格境外机构投资者</w:t>
      </w:r>
      <w:r w:rsidR="00AF017B" w:rsidRPr="002544B9">
        <w:rPr>
          <w:bCs/>
          <w:sz w:val="24"/>
        </w:rPr>
        <w:t xml:space="preserve"> </w:t>
      </w:r>
    </w:p>
    <w:p w14:paraId="60915C86" w14:textId="118C9B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w:t>
      </w:r>
      <w:r w:rsidR="002C3C29" w:rsidRPr="002544B9">
        <w:rPr>
          <w:rFonts w:asciiTheme="minorEastAsia" w:hAnsiTheme="minorEastAsia" w:cs="Times New Roman" w:hint="eastAsia"/>
          <w:sz w:val="24"/>
          <w:szCs w:val="24"/>
        </w:rPr>
        <w:t>、投资人</w:t>
      </w:r>
      <w:r w:rsidRPr="002544B9">
        <w:rPr>
          <w:rFonts w:asciiTheme="minorEastAsia" w:hAnsiTheme="minorEastAsia" w:cs="Times New Roman" w:hint="eastAsia"/>
          <w:sz w:val="24"/>
          <w:szCs w:val="24"/>
        </w:rPr>
        <w:t>、投资者</w:t>
      </w:r>
      <w:r w:rsidR="002C3C29" w:rsidRPr="002544B9">
        <w:rPr>
          <w:rFonts w:asciiTheme="minorEastAsia" w:hAnsiTheme="minorEastAsia" w:cs="Times New Roman" w:hint="eastAsia"/>
          <w:sz w:val="24"/>
          <w:szCs w:val="24"/>
        </w:rPr>
        <w:t>：指个人投资者、机构投资者</w:t>
      </w:r>
      <w:r w:rsidRPr="002544B9">
        <w:rPr>
          <w:rFonts w:asciiTheme="minorEastAsia" w:hAnsiTheme="minorEastAsia" w:cs="Times New Roman" w:hint="eastAsia"/>
          <w:sz w:val="24"/>
          <w:szCs w:val="24"/>
        </w:rPr>
        <w:t>、</w:t>
      </w:r>
      <w:r w:rsidR="002C3C29" w:rsidRPr="002544B9">
        <w:rPr>
          <w:rFonts w:asciiTheme="minorEastAsia" w:hAnsiTheme="minorEastAsia" w:cs="Times New Roman" w:hint="eastAsia"/>
          <w:sz w:val="24"/>
          <w:szCs w:val="24"/>
        </w:rPr>
        <w:t>合格境外投资者以及法律法规或中国证监会允许购买证券投资基金的其他投资人的合称</w:t>
      </w:r>
    </w:p>
    <w:p w14:paraId="439768C1" w14:textId="6F39DA3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w:t>
      </w:r>
      <w:r w:rsidR="002C3C29" w:rsidRPr="002544B9">
        <w:rPr>
          <w:rFonts w:asciiTheme="minorEastAsia" w:hAnsiTheme="minorEastAsia" w:cs="Times New Roman" w:hint="eastAsia"/>
          <w:sz w:val="24"/>
          <w:szCs w:val="24"/>
        </w:rPr>
        <w:t>、基金份额持有人：指依基金合同和招募说明书合法取得基金份额的投资人</w:t>
      </w:r>
    </w:p>
    <w:p w14:paraId="229A996B" w14:textId="206D245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w:t>
      </w:r>
      <w:r w:rsidR="002C3C29" w:rsidRPr="002544B9">
        <w:rPr>
          <w:rFonts w:asciiTheme="minorEastAsia" w:hAnsiTheme="minorEastAsia" w:cs="Times New Roman" w:hint="eastAsia"/>
          <w:sz w:val="24"/>
          <w:szCs w:val="24"/>
        </w:rPr>
        <w:t>、基金销售业务：指基金管理人或销售机构宣传推介基金，发售基金份额，办理基金份额的申购、赎回、转换、转托管及定期定额投资等业务</w:t>
      </w:r>
    </w:p>
    <w:p w14:paraId="1FFC6787" w14:textId="35424B20"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w:t>
      </w:r>
      <w:r w:rsidR="002C3C29" w:rsidRPr="002544B9">
        <w:rPr>
          <w:rFonts w:asciiTheme="minorEastAsia" w:hAnsiTheme="minorEastAsia" w:cs="Times New Roman" w:hint="eastAsia"/>
          <w:sz w:val="24"/>
          <w:szCs w:val="24"/>
        </w:rPr>
        <w:t>、销售机构：指富荣基金管理有限公司以及符合《销售办法》和中国证监会规定的其他条件，取得基金销售业务资格并与基金管理人签订了基金销售服务协议，办理基金销售业务的机构</w:t>
      </w:r>
    </w:p>
    <w:p w14:paraId="311C6EBA" w14:textId="429D470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w:t>
      </w:r>
      <w:r w:rsidR="002C3C29" w:rsidRPr="002544B9">
        <w:rPr>
          <w:rFonts w:asciiTheme="minorEastAsia" w:hAnsiTheme="minorEastAsia" w:cs="Times New Roman" w:hint="eastAsia"/>
          <w:sz w:val="24"/>
          <w:szCs w:val="24"/>
        </w:rPr>
        <w:t>、登记业务：指基金登记、存管、过户、清算和结算业务，具体内容包括投资人基金账户的建立和管理、基金份额登记、基金销售业务的确认、清算和结算、代理发放红利、建立并保管基金份额持有人名册和办理</w:t>
      </w:r>
      <w:proofErr w:type="gramStart"/>
      <w:r w:rsidR="002C3C29" w:rsidRPr="002544B9">
        <w:rPr>
          <w:rFonts w:asciiTheme="minorEastAsia" w:hAnsiTheme="minorEastAsia" w:cs="Times New Roman" w:hint="eastAsia"/>
          <w:sz w:val="24"/>
          <w:szCs w:val="24"/>
        </w:rPr>
        <w:t>非交易</w:t>
      </w:r>
      <w:proofErr w:type="gramEnd"/>
      <w:r w:rsidR="002C3C29" w:rsidRPr="002544B9">
        <w:rPr>
          <w:rFonts w:asciiTheme="minorEastAsia" w:hAnsiTheme="minorEastAsia" w:cs="Times New Roman" w:hint="eastAsia"/>
          <w:sz w:val="24"/>
          <w:szCs w:val="24"/>
        </w:rPr>
        <w:t>过户等</w:t>
      </w:r>
    </w:p>
    <w:p w14:paraId="2AD09064" w14:textId="2749BC14"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w:t>
      </w:r>
      <w:r w:rsidR="002C3C29" w:rsidRPr="002544B9">
        <w:rPr>
          <w:rFonts w:asciiTheme="minorEastAsia" w:hAnsiTheme="minorEastAsia" w:cs="Times New Roman" w:hint="eastAsia"/>
          <w:sz w:val="24"/>
          <w:szCs w:val="24"/>
        </w:rPr>
        <w:t>、登记机构：</w:t>
      </w:r>
      <w:proofErr w:type="gramStart"/>
      <w:r w:rsidR="002C3C29" w:rsidRPr="002544B9">
        <w:rPr>
          <w:rFonts w:asciiTheme="minorEastAsia" w:hAnsiTheme="minorEastAsia" w:cs="Times New Roman" w:hint="eastAsia"/>
          <w:sz w:val="24"/>
          <w:szCs w:val="24"/>
        </w:rPr>
        <w:t>指办理</w:t>
      </w:r>
      <w:proofErr w:type="gramEnd"/>
      <w:r w:rsidR="002C3C29" w:rsidRPr="002544B9">
        <w:rPr>
          <w:rFonts w:asciiTheme="minorEastAsia" w:hAnsiTheme="minorEastAsia" w:cs="Times New Roman" w:hint="eastAsia"/>
          <w:sz w:val="24"/>
          <w:szCs w:val="24"/>
        </w:rPr>
        <w:t>登记业务的机构。基金登记机构为富荣基金管理有限公司或接受富荣基金管理有限公司委托代为办理登记业务的机构</w:t>
      </w:r>
    </w:p>
    <w:p w14:paraId="1E40165C" w14:textId="540A4D6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w:t>
      </w:r>
      <w:r w:rsidR="002C3C29" w:rsidRPr="002544B9">
        <w:rPr>
          <w:rFonts w:asciiTheme="minorEastAsia" w:hAnsiTheme="minorEastAsia" w:cs="Times New Roman" w:hint="eastAsia"/>
          <w:sz w:val="24"/>
          <w:szCs w:val="24"/>
        </w:rPr>
        <w:t>、基金账户：指登记机构为投资人开立的、记录其持有的、基金管理人所管理的基金份额余额及其变动情况的账户</w:t>
      </w:r>
    </w:p>
    <w:p w14:paraId="1BA68C95" w14:textId="6EA8658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w:t>
      </w:r>
      <w:r w:rsidR="002C3C29" w:rsidRPr="002544B9">
        <w:rPr>
          <w:rFonts w:asciiTheme="minorEastAsia" w:hAnsiTheme="minorEastAsia" w:cs="Times New Roman" w:hint="eastAsia"/>
          <w:sz w:val="24"/>
          <w:szCs w:val="24"/>
        </w:rPr>
        <w:t>、基金交易账户：指销售机构为投资人开立的、记录投资人通过该销售机构办理认购、申购、赎回、转换、转托管及定期定额投资等业务而引起基金份额变动及结余情况的账户</w:t>
      </w:r>
    </w:p>
    <w:p w14:paraId="5F6BFCB4" w14:textId="117D330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w:t>
      </w:r>
      <w:r w:rsidR="002C3C29" w:rsidRPr="002544B9">
        <w:rPr>
          <w:rFonts w:asciiTheme="minorEastAsia" w:hAnsiTheme="minorEastAsia" w:cs="Times New Roman" w:hint="eastAsia"/>
          <w:sz w:val="24"/>
          <w:szCs w:val="24"/>
        </w:rPr>
        <w:t>、基金合同生效日：指基金募集达到法律法规规定及基金合同规定的条件，基金管理人向中国证监会办理基金备案手续完毕，并获得中国证监会书面确认的日期</w:t>
      </w:r>
    </w:p>
    <w:p w14:paraId="4CCA77A8" w14:textId="4BC0C29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28</w:t>
      </w:r>
      <w:r w:rsidR="002C3C29" w:rsidRPr="002544B9">
        <w:rPr>
          <w:rFonts w:asciiTheme="minorEastAsia" w:hAnsiTheme="minorEastAsia" w:cs="Times New Roman" w:hint="eastAsia"/>
          <w:sz w:val="24"/>
          <w:szCs w:val="24"/>
        </w:rPr>
        <w:t>、基金合同终止日：指基金合同规定的基金合同终止事由出现后，基金财产清算完毕，清算结果报中国证监会备案并予以公告的日期</w:t>
      </w:r>
    </w:p>
    <w:p w14:paraId="0E5D41F3" w14:textId="5D261955"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29</w:t>
      </w:r>
      <w:r w:rsidR="002C3C29" w:rsidRPr="002544B9">
        <w:rPr>
          <w:rFonts w:asciiTheme="minorEastAsia" w:hAnsiTheme="minorEastAsia" w:cs="Times New Roman" w:hint="eastAsia"/>
          <w:sz w:val="24"/>
          <w:szCs w:val="24"/>
        </w:rPr>
        <w:t>、基金募集期：指自基金份额发售之日起至发售结束之日止的期间，最长不得超过</w:t>
      </w:r>
      <w:r w:rsidR="002C3C29" w:rsidRPr="002544B9">
        <w:rPr>
          <w:rFonts w:asciiTheme="minorEastAsia" w:hAnsiTheme="minorEastAsia" w:cs="Times New Roman"/>
          <w:sz w:val="24"/>
          <w:szCs w:val="24"/>
        </w:rPr>
        <w:t>3</w:t>
      </w:r>
      <w:r w:rsidR="002C3C29" w:rsidRPr="002544B9">
        <w:rPr>
          <w:rFonts w:asciiTheme="minorEastAsia" w:hAnsiTheme="minorEastAsia" w:cs="Times New Roman" w:hint="eastAsia"/>
          <w:sz w:val="24"/>
          <w:szCs w:val="24"/>
        </w:rPr>
        <w:t>个月</w:t>
      </w:r>
    </w:p>
    <w:p w14:paraId="2AB7B98E" w14:textId="2A83BE9A"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30</w:t>
      </w:r>
      <w:r w:rsidR="002C3C29" w:rsidRPr="002544B9">
        <w:rPr>
          <w:rFonts w:asciiTheme="minorEastAsia" w:hAnsiTheme="minorEastAsia" w:cs="Times New Roman" w:hint="eastAsia"/>
          <w:sz w:val="24"/>
          <w:szCs w:val="24"/>
        </w:rPr>
        <w:t>、存续期：指基金合同生效至终止之间的不定期期限</w:t>
      </w:r>
    </w:p>
    <w:p w14:paraId="655651DA" w14:textId="2F5D7FF1"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31</w:t>
      </w:r>
      <w:r w:rsidR="002C3C29" w:rsidRPr="002544B9">
        <w:rPr>
          <w:rFonts w:asciiTheme="minorEastAsia" w:hAnsiTheme="minorEastAsia" w:cs="Times New Roman" w:hint="eastAsia"/>
          <w:sz w:val="24"/>
          <w:szCs w:val="24"/>
        </w:rPr>
        <w:t>、工作日：指上海证券交易所、深圳证券交易所的正常交易日</w:t>
      </w:r>
    </w:p>
    <w:p w14:paraId="3B8F0D29" w14:textId="5BEDB6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32</w:t>
      </w:r>
      <w:r w:rsidR="002C3C29" w:rsidRPr="002544B9">
        <w:rPr>
          <w:rFonts w:asciiTheme="minorEastAsia" w:hAnsiTheme="minorEastAsia" w:cs="Times New Roman" w:hint="eastAsia"/>
          <w:sz w:val="24"/>
          <w:szCs w:val="24"/>
        </w:rPr>
        <w:t>、</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日：指销售机构在规定时间受理投资人申购、赎回或其他业务申请的开放日</w:t>
      </w:r>
    </w:p>
    <w:p w14:paraId="79F8A61F" w14:textId="65DE978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33</w:t>
      </w:r>
      <w:r w:rsidR="002C3C29" w:rsidRPr="002544B9">
        <w:rPr>
          <w:rFonts w:asciiTheme="minorEastAsia" w:hAnsiTheme="minorEastAsia" w:cs="Times New Roman" w:hint="eastAsia"/>
          <w:sz w:val="24"/>
          <w:szCs w:val="24"/>
        </w:rPr>
        <w:t>、</w:t>
      </w:r>
      <w:proofErr w:type="spellStart"/>
      <w:r w:rsidR="002C3C29" w:rsidRPr="002544B9">
        <w:rPr>
          <w:rFonts w:asciiTheme="minorEastAsia" w:hAnsiTheme="minorEastAsia" w:cs="Times New Roman"/>
          <w:sz w:val="24"/>
          <w:szCs w:val="24"/>
        </w:rPr>
        <w:t>T+n</w:t>
      </w:r>
      <w:proofErr w:type="spellEnd"/>
      <w:r w:rsidR="002C3C29" w:rsidRPr="002544B9">
        <w:rPr>
          <w:rFonts w:asciiTheme="minorEastAsia" w:hAnsiTheme="minorEastAsia" w:cs="Times New Roman" w:hint="eastAsia"/>
          <w:sz w:val="24"/>
          <w:szCs w:val="24"/>
        </w:rPr>
        <w:t>日：指自</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日起第</w:t>
      </w:r>
      <w:r w:rsidR="002C3C29" w:rsidRPr="002544B9">
        <w:rPr>
          <w:rFonts w:asciiTheme="minorEastAsia" w:hAnsiTheme="minorEastAsia" w:cs="Times New Roman"/>
          <w:sz w:val="24"/>
          <w:szCs w:val="24"/>
        </w:rPr>
        <w:t>n</w:t>
      </w:r>
      <w:proofErr w:type="gramStart"/>
      <w:r w:rsidR="002C3C29" w:rsidRPr="002544B9">
        <w:rPr>
          <w:rFonts w:asciiTheme="minorEastAsia" w:hAnsiTheme="minorEastAsia" w:cs="Times New Roman" w:hint="eastAsia"/>
          <w:sz w:val="24"/>
          <w:szCs w:val="24"/>
        </w:rPr>
        <w:t>个</w:t>
      </w:r>
      <w:proofErr w:type="gramEnd"/>
      <w:r w:rsidR="002C3C29" w:rsidRPr="002544B9">
        <w:rPr>
          <w:rFonts w:asciiTheme="minorEastAsia" w:hAnsiTheme="minorEastAsia" w:cs="Times New Roman" w:hint="eastAsia"/>
          <w:sz w:val="24"/>
          <w:szCs w:val="24"/>
        </w:rPr>
        <w:t>工作日（不包含</w:t>
      </w:r>
      <w:r w:rsidR="002C3C29" w:rsidRPr="002544B9">
        <w:rPr>
          <w:rFonts w:asciiTheme="minorEastAsia" w:hAnsiTheme="minorEastAsia" w:cs="Times New Roman"/>
          <w:sz w:val="24"/>
          <w:szCs w:val="24"/>
        </w:rPr>
        <w:t>T</w:t>
      </w:r>
      <w:r w:rsidR="002C3C29" w:rsidRPr="002544B9">
        <w:rPr>
          <w:rFonts w:asciiTheme="minorEastAsia" w:hAnsiTheme="minorEastAsia" w:cs="Times New Roman" w:hint="eastAsia"/>
          <w:sz w:val="24"/>
          <w:szCs w:val="24"/>
        </w:rPr>
        <w:t>日）</w:t>
      </w:r>
      <w:r w:rsidR="00B21804" w:rsidRPr="002544B9">
        <w:rPr>
          <w:rFonts w:asciiTheme="minorEastAsia" w:hAnsiTheme="minorEastAsia" w:cs="Times New Roman" w:hint="eastAsia"/>
          <w:sz w:val="24"/>
          <w:szCs w:val="24"/>
        </w:rPr>
        <w:t>，</w:t>
      </w:r>
      <w:r w:rsidR="00B21804" w:rsidRPr="002544B9">
        <w:rPr>
          <w:rFonts w:asciiTheme="minorEastAsia" w:hAnsiTheme="minorEastAsia" w:cs="Times New Roman"/>
          <w:sz w:val="24"/>
          <w:szCs w:val="24"/>
        </w:rPr>
        <w:t>n为自然数</w:t>
      </w:r>
    </w:p>
    <w:p w14:paraId="5309F75C" w14:textId="380F2B2C"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34</w:t>
      </w:r>
      <w:r w:rsidR="002C3C29" w:rsidRPr="002544B9">
        <w:rPr>
          <w:rFonts w:asciiTheme="minorEastAsia" w:hAnsiTheme="minorEastAsia" w:cs="Times New Roman" w:hint="eastAsia"/>
          <w:sz w:val="24"/>
          <w:szCs w:val="24"/>
        </w:rPr>
        <w:t>、开放日：指为投资人办理基金份额申购、赎回或其他业务的工作日</w:t>
      </w:r>
    </w:p>
    <w:p w14:paraId="40636741" w14:textId="02C0977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35</w:t>
      </w:r>
      <w:r w:rsidR="002C3C29" w:rsidRPr="002544B9">
        <w:rPr>
          <w:rFonts w:asciiTheme="minorEastAsia" w:hAnsiTheme="minorEastAsia" w:cs="Times New Roman" w:hint="eastAsia"/>
          <w:sz w:val="24"/>
          <w:szCs w:val="24"/>
        </w:rPr>
        <w:t>、开放时间：指开放日基金接受申购、赎回或其他交易的时间段</w:t>
      </w:r>
    </w:p>
    <w:p w14:paraId="407CF27E" w14:textId="4E889EB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36</w:t>
      </w:r>
      <w:r w:rsidR="002C3C29" w:rsidRPr="002544B9">
        <w:rPr>
          <w:rFonts w:asciiTheme="minorEastAsia" w:hAnsiTheme="minorEastAsia" w:cs="Times New Roman" w:hint="eastAsia"/>
          <w:sz w:val="24"/>
          <w:szCs w:val="24"/>
        </w:rPr>
        <w:t>、《业务规则》：指《富荣基金管理有限公司开放式基金业务规则》，是规范基金管理人所管理的开放式证券投资基金登记方面的业务规则，由基金管理人和投资人共同遵守</w:t>
      </w:r>
    </w:p>
    <w:p w14:paraId="146FA95D" w14:textId="2C8124C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37</w:t>
      </w:r>
      <w:r w:rsidR="002C3C29" w:rsidRPr="002544B9">
        <w:rPr>
          <w:rFonts w:asciiTheme="minorEastAsia" w:hAnsiTheme="minorEastAsia" w:cs="Times New Roman" w:hint="eastAsia"/>
          <w:sz w:val="24"/>
          <w:szCs w:val="24"/>
        </w:rPr>
        <w:t>、认购：指在基金募集期内，投资人根据基金合同和招募说明书的规定申请购买基金份额的行为</w:t>
      </w:r>
    </w:p>
    <w:p w14:paraId="1AC1033E" w14:textId="6DB8C0D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38</w:t>
      </w:r>
      <w:r w:rsidR="002C3C29" w:rsidRPr="002544B9">
        <w:rPr>
          <w:rFonts w:asciiTheme="minorEastAsia" w:hAnsiTheme="minorEastAsia" w:cs="Times New Roman" w:hint="eastAsia"/>
          <w:sz w:val="24"/>
          <w:szCs w:val="24"/>
        </w:rPr>
        <w:t>、申购：指基金合同生效后，投资人根据基金合同和招募说明书的规定申请购买基金份额的行为</w:t>
      </w:r>
    </w:p>
    <w:p w14:paraId="79A62CAC" w14:textId="4DDF6629"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39</w:t>
      </w:r>
      <w:r w:rsidR="002C3C29" w:rsidRPr="002544B9">
        <w:rPr>
          <w:rFonts w:asciiTheme="minorEastAsia" w:hAnsiTheme="minorEastAsia" w:cs="Times New Roman" w:hint="eastAsia"/>
          <w:sz w:val="24"/>
          <w:szCs w:val="24"/>
        </w:rPr>
        <w:t>、赎回：指基金合同生效后，基金份额持有人按基金合同和招募说明书规定的条件要求将基金份额兑换为现金的行为</w:t>
      </w:r>
    </w:p>
    <w:p w14:paraId="770CC9CD" w14:textId="5DAC150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40</w:t>
      </w:r>
      <w:r w:rsidR="002C3C29" w:rsidRPr="002544B9">
        <w:rPr>
          <w:rFonts w:asciiTheme="minorEastAsia" w:hAnsiTheme="minorEastAsia" w:cs="Times New Roman" w:hint="eastAsia"/>
          <w:sz w:val="24"/>
          <w:szCs w:val="24"/>
        </w:rPr>
        <w:t>、基金转换：指基金份额持有人按照基金合同和基金管理人届时有效公告规定的条件，申请将其持有基金管理人管理的、某一基金的基金份额转换为基金管理人管理的其他</w:t>
      </w:r>
      <w:proofErr w:type="gramStart"/>
      <w:r w:rsidR="002C3C29" w:rsidRPr="002544B9">
        <w:rPr>
          <w:rFonts w:asciiTheme="minorEastAsia" w:hAnsiTheme="minorEastAsia" w:cs="Times New Roman" w:hint="eastAsia"/>
          <w:sz w:val="24"/>
          <w:szCs w:val="24"/>
        </w:rPr>
        <w:t>基金基金</w:t>
      </w:r>
      <w:proofErr w:type="gramEnd"/>
      <w:r w:rsidR="002C3C29" w:rsidRPr="002544B9">
        <w:rPr>
          <w:rFonts w:asciiTheme="minorEastAsia" w:hAnsiTheme="minorEastAsia" w:cs="Times New Roman" w:hint="eastAsia"/>
          <w:sz w:val="24"/>
          <w:szCs w:val="24"/>
        </w:rPr>
        <w:t>份额的行为</w:t>
      </w:r>
    </w:p>
    <w:p w14:paraId="40A6BF79" w14:textId="3B9AD63E"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41</w:t>
      </w:r>
      <w:r w:rsidR="002C3C29" w:rsidRPr="002544B9">
        <w:rPr>
          <w:rFonts w:asciiTheme="minorEastAsia" w:hAnsiTheme="minorEastAsia" w:cs="Times New Roman" w:hint="eastAsia"/>
          <w:sz w:val="24"/>
          <w:szCs w:val="24"/>
        </w:rPr>
        <w:t>、转托管：指基金份额持有人在本基金的不同销售机构之间实施的变更所持基金份额销售机构的操作</w:t>
      </w:r>
    </w:p>
    <w:p w14:paraId="580C647D" w14:textId="3804A556"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42</w:t>
      </w:r>
      <w:r w:rsidR="002C3C29" w:rsidRPr="002544B9">
        <w:rPr>
          <w:rFonts w:asciiTheme="minorEastAsia" w:hAnsiTheme="minorEastAsia" w:cs="Times New Roman" w:hint="eastAsia"/>
          <w:sz w:val="24"/>
          <w:szCs w:val="24"/>
        </w:rPr>
        <w:t>、定期定额投资计划：指投资人通过有关销售机构提出申请，约定每期申购日、扣款金额及扣款方式，由销售机构于每期约定扣款日在投资人指定银行账户内自动完成扣款及受理基金申购申请的一种投资方式</w:t>
      </w:r>
    </w:p>
    <w:p w14:paraId="6E77FFF3" w14:textId="1C7D515B"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43</w:t>
      </w:r>
      <w:r w:rsidR="002C3C29" w:rsidRPr="002544B9">
        <w:rPr>
          <w:rFonts w:asciiTheme="minorEastAsia" w:hAnsiTheme="minorEastAsia" w:cs="Times New Roman" w:hint="eastAsia"/>
          <w:sz w:val="24"/>
          <w:szCs w:val="24"/>
        </w:rPr>
        <w:t>、巨额赎回：指本基金单个开放日，基金净赎回申请（赎回申请份额总数加上基金转换中转出申请份额总数后扣除申购申请份额总数及基金转换中转入申请份额总数后的余额）超过上一开放日基金总份额的</w:t>
      </w:r>
      <w:r w:rsidR="002C3C29" w:rsidRPr="002544B9">
        <w:rPr>
          <w:rFonts w:asciiTheme="minorEastAsia" w:hAnsiTheme="minorEastAsia" w:cs="Times New Roman"/>
          <w:sz w:val="24"/>
          <w:szCs w:val="24"/>
        </w:rPr>
        <w:t>10%</w:t>
      </w:r>
    </w:p>
    <w:p w14:paraId="0CA306BD" w14:textId="5F235C68"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44</w:t>
      </w:r>
      <w:r w:rsidR="002C3C29" w:rsidRPr="002544B9">
        <w:rPr>
          <w:rFonts w:asciiTheme="minorEastAsia" w:hAnsiTheme="minorEastAsia" w:cs="Times New Roman" w:hint="eastAsia"/>
          <w:sz w:val="24"/>
          <w:szCs w:val="24"/>
        </w:rPr>
        <w:t>、元：指人民币元</w:t>
      </w:r>
    </w:p>
    <w:p w14:paraId="65464511" w14:textId="25A19E7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45</w:t>
      </w:r>
      <w:r w:rsidR="002C3C29" w:rsidRPr="002544B9">
        <w:rPr>
          <w:rFonts w:asciiTheme="minorEastAsia" w:hAnsiTheme="minorEastAsia" w:cs="Times New Roman" w:hint="eastAsia"/>
          <w:sz w:val="24"/>
          <w:szCs w:val="24"/>
        </w:rPr>
        <w:t>、基金收益：指基金投资所得红利、股息、债券利息、买卖证券价差、银行存款利息、已实现的其他合法收入及因运用基金财产带来的成本和费用的节约</w:t>
      </w:r>
    </w:p>
    <w:p w14:paraId="1DB7CEA6" w14:textId="6A678893"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6</w:t>
      </w:r>
      <w:r w:rsidR="002C3C29" w:rsidRPr="002544B9">
        <w:rPr>
          <w:rFonts w:asciiTheme="minorEastAsia" w:hAnsiTheme="minorEastAsia" w:cs="Times New Roman" w:hint="eastAsia"/>
          <w:sz w:val="24"/>
          <w:szCs w:val="24"/>
        </w:rPr>
        <w:t>、基金资产总值：指基金拥有的各类有价证券、银行存款本息、基金应收款</w:t>
      </w:r>
      <w:r w:rsidR="007C3F95" w:rsidRPr="002544B9">
        <w:rPr>
          <w:rFonts w:asciiTheme="minorEastAsia" w:hAnsiTheme="minorEastAsia" w:cs="Times New Roman" w:hint="eastAsia"/>
          <w:sz w:val="24"/>
          <w:szCs w:val="24"/>
        </w:rPr>
        <w:t>项</w:t>
      </w:r>
      <w:r w:rsidR="002C3C29" w:rsidRPr="002544B9">
        <w:rPr>
          <w:rFonts w:asciiTheme="minorEastAsia" w:hAnsiTheme="minorEastAsia" w:cs="Times New Roman" w:hint="eastAsia"/>
          <w:sz w:val="24"/>
          <w:szCs w:val="24"/>
        </w:rPr>
        <w:t>及其他资产的价值总和</w:t>
      </w:r>
    </w:p>
    <w:p w14:paraId="2F7F661C" w14:textId="197D39CF"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7</w:t>
      </w:r>
      <w:r w:rsidR="002C3C29" w:rsidRPr="002544B9">
        <w:rPr>
          <w:rFonts w:asciiTheme="minorEastAsia" w:hAnsiTheme="minorEastAsia" w:cs="Times New Roman" w:hint="eastAsia"/>
          <w:sz w:val="24"/>
          <w:szCs w:val="24"/>
        </w:rPr>
        <w:t>、基金资产净值：指基金资产总值减去基金负债后的价值</w:t>
      </w:r>
    </w:p>
    <w:p w14:paraId="457D15AA" w14:textId="6B10EE6D" w:rsidR="00AC3A9B" w:rsidRPr="002544B9" w:rsidRDefault="00693840">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w:t>
      </w:r>
      <w:r w:rsidR="00AF2209" w:rsidRPr="002544B9">
        <w:rPr>
          <w:rFonts w:asciiTheme="minorEastAsia" w:hAnsiTheme="minorEastAsia" w:cs="Times New Roman"/>
          <w:sz w:val="24"/>
          <w:szCs w:val="24"/>
        </w:rPr>
        <w:t>8</w:t>
      </w:r>
      <w:r w:rsidR="002C3C29" w:rsidRPr="002544B9">
        <w:rPr>
          <w:rFonts w:asciiTheme="minorEastAsia" w:hAnsiTheme="minorEastAsia" w:cs="Times New Roman" w:hint="eastAsia"/>
          <w:sz w:val="24"/>
          <w:szCs w:val="24"/>
        </w:rPr>
        <w:t>、基金份额净值：指计算日基金资产净值除以计算日基金份额总数</w:t>
      </w:r>
    </w:p>
    <w:p w14:paraId="6AB4FE43" w14:textId="68536801" w:rsidR="00AC3A9B" w:rsidRPr="002544B9" w:rsidRDefault="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49</w:t>
      </w:r>
      <w:r w:rsidR="002C3C29" w:rsidRPr="002544B9">
        <w:rPr>
          <w:rFonts w:asciiTheme="minorEastAsia" w:hAnsiTheme="minorEastAsia" w:cs="Times New Roman" w:hint="eastAsia"/>
          <w:sz w:val="24"/>
          <w:szCs w:val="24"/>
        </w:rPr>
        <w:t>、基金资产估值：指计算评估基金资产和负债的价值，以确定基金资产净值和基金份额净值的过程</w:t>
      </w:r>
    </w:p>
    <w:p w14:paraId="027EC67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50、规定媒介：指符合中国证监会规定条件的用以进行信息披露的全国性报刊（以下简称“规定报刊”）及《信息披露办法》规定的互联网网站（以下简称“规定网站”，包括基金管理人网站、基金托管人网站、中国证监会基金电子披露网站）等媒介</w:t>
      </w:r>
    </w:p>
    <w:p w14:paraId="54916DF8"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51、不可抗力：指基金合同当事人不能预见、不能避免且不能克服的客观事件</w:t>
      </w:r>
    </w:p>
    <w:p w14:paraId="6A34A4A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52、流动性受限资产：指由于法律法规、监管、合同或操作障碍等原因无法以合理价格予以变现的资产，包括但不限于到期日在10个交易日以上的逆回购与银行定期存款（</w:t>
      </w:r>
      <w:proofErr w:type="gramStart"/>
      <w:r w:rsidRPr="002544B9">
        <w:rPr>
          <w:rFonts w:asciiTheme="minorEastAsia" w:hAnsiTheme="minorEastAsia" w:cs="Times New Roman" w:hint="eastAsia"/>
          <w:sz w:val="24"/>
          <w:szCs w:val="24"/>
        </w:rPr>
        <w:t>含协议</w:t>
      </w:r>
      <w:proofErr w:type="gramEnd"/>
      <w:r w:rsidRPr="002544B9">
        <w:rPr>
          <w:rFonts w:asciiTheme="minorEastAsia" w:hAnsiTheme="minorEastAsia" w:cs="Times New Roman" w:hint="eastAsia"/>
          <w:sz w:val="24"/>
          <w:szCs w:val="24"/>
        </w:rPr>
        <w:t>约定有条件提前支取的银行存款）、停牌股票、流通受限的新股及非公开发行股票、资产支持证券、因发行人债务违约无法进行转让或交易的债券等</w:t>
      </w:r>
    </w:p>
    <w:p w14:paraId="009D782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53、摆动定价机制：指当开放式基金遭遇大额申购赎回时，通过调整基金份额净值的方式，将基金调整投资组合的市场冲击成本分配给实际申购、赎回的投</w:t>
      </w:r>
      <w:r w:rsidRPr="002544B9">
        <w:rPr>
          <w:rFonts w:asciiTheme="minorEastAsia" w:hAnsiTheme="minorEastAsia" w:cs="Times New Roman" w:hint="eastAsia"/>
          <w:sz w:val="24"/>
          <w:szCs w:val="24"/>
        </w:rPr>
        <w:t>资者，从而减少对存量基金份额持有人利益的不利影响，确保投资者的合法权益不受损害并得到公平对待</w:t>
      </w:r>
    </w:p>
    <w:p w14:paraId="34184A9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54、基金份额类别：指根据认购/申购费用、赎回费用、销售服务费用收取方式的不同将本</w:t>
      </w:r>
      <w:proofErr w:type="gramStart"/>
      <w:r w:rsidRPr="002544B9">
        <w:rPr>
          <w:rFonts w:asciiTheme="minorEastAsia" w:hAnsiTheme="minorEastAsia" w:cs="Times New Roman" w:hint="eastAsia"/>
          <w:sz w:val="24"/>
          <w:szCs w:val="24"/>
        </w:rPr>
        <w:t>基金基金</w:t>
      </w:r>
      <w:proofErr w:type="gramEnd"/>
      <w:r w:rsidRPr="002544B9">
        <w:rPr>
          <w:rFonts w:asciiTheme="minorEastAsia" w:hAnsiTheme="minorEastAsia" w:cs="Times New Roman" w:hint="eastAsia"/>
          <w:sz w:val="24"/>
          <w:szCs w:val="24"/>
        </w:rPr>
        <w:t>份额分为不同的类别，各基金份额类别分别设置代码，并分别计算和公告基金份额净值</w:t>
      </w:r>
    </w:p>
    <w:p w14:paraId="22F14597"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55、A类基金份额：指在投资人认购/申购时收取认购/申购费用但不从本类别基金资产中计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服务费、赎回时根据持有期限收取赎回费用的基金份额类别</w:t>
      </w:r>
    </w:p>
    <w:p w14:paraId="1D077794"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56、C类基金份额：指从本类别基金资产中计</w:t>
      </w:r>
      <w:proofErr w:type="gramStart"/>
      <w:r w:rsidRPr="002544B9">
        <w:rPr>
          <w:rFonts w:asciiTheme="minorEastAsia" w:hAnsiTheme="minorEastAsia" w:cs="Times New Roman" w:hint="eastAsia"/>
          <w:sz w:val="24"/>
          <w:szCs w:val="24"/>
        </w:rPr>
        <w:t>提销售</w:t>
      </w:r>
      <w:proofErr w:type="gramEnd"/>
      <w:r w:rsidRPr="002544B9">
        <w:rPr>
          <w:rFonts w:asciiTheme="minorEastAsia" w:hAnsiTheme="minorEastAsia" w:cs="Times New Roman" w:hint="eastAsia"/>
          <w:sz w:val="24"/>
          <w:szCs w:val="24"/>
        </w:rPr>
        <w:t>服务费而不收取认购</w:t>
      </w:r>
      <w:r w:rsidRPr="002544B9">
        <w:rPr>
          <w:rFonts w:asciiTheme="minorEastAsia" w:hAnsiTheme="minorEastAsia" w:cs="Times New Roman"/>
          <w:sz w:val="24"/>
          <w:szCs w:val="24"/>
        </w:rPr>
        <w:t>/申购费用、赎回时根据持有期限收取赎回费用的基金份额类别</w:t>
      </w:r>
    </w:p>
    <w:p w14:paraId="4283300F"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57、销售服务费：指从基金资产中计提的，用于本基金市场推广、销售以及基金份额持有人服务的费用</w:t>
      </w:r>
    </w:p>
    <w:p w14:paraId="3DD795FD" w14:textId="75879CBA"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58、基金产品资料概要：指《富荣福</w:t>
      </w:r>
      <w:r w:rsidR="0019518D" w:rsidRPr="002544B9">
        <w:rPr>
          <w:rFonts w:asciiTheme="minorEastAsia" w:hAnsiTheme="minorEastAsia" w:cs="Times New Roman" w:hint="eastAsia"/>
          <w:sz w:val="24"/>
          <w:szCs w:val="24"/>
        </w:rPr>
        <w:t>银</w:t>
      </w:r>
      <w:r w:rsidRPr="002544B9">
        <w:rPr>
          <w:rFonts w:asciiTheme="minorEastAsia" w:hAnsiTheme="minorEastAsia" w:cs="Times New Roman" w:hint="eastAsia"/>
          <w:sz w:val="24"/>
          <w:szCs w:val="24"/>
        </w:rPr>
        <w:t>混合型证券投资基金基金产品资料概要》及其更新</w:t>
      </w:r>
    </w:p>
    <w:p w14:paraId="12A1E7AD"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59、</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：指将基金投资组合中的特定资产从原有账户分离至一个专门账户进行处置清算，目的在于有效隔离并化解风险，确保投资者得到公平对待，属于流动性风险管理工具。</w:t>
      </w:r>
      <w:proofErr w:type="gramStart"/>
      <w:r w:rsidRPr="002544B9">
        <w:rPr>
          <w:rFonts w:asciiTheme="minorEastAsia" w:hAnsiTheme="minorEastAsia" w:cs="Times New Roman" w:hint="eastAsia"/>
          <w:sz w:val="24"/>
          <w:szCs w:val="24"/>
        </w:rPr>
        <w:t>侧袋机制</w:t>
      </w:r>
      <w:proofErr w:type="gramEnd"/>
      <w:r w:rsidRPr="002544B9">
        <w:rPr>
          <w:rFonts w:asciiTheme="minorEastAsia" w:hAnsiTheme="minorEastAsia" w:cs="Times New Roman" w:hint="eastAsia"/>
          <w:sz w:val="24"/>
          <w:szCs w:val="24"/>
        </w:rPr>
        <w:t>实施期间，原有账户称为主袋账户，专门账户</w:t>
      </w:r>
      <w:proofErr w:type="gramStart"/>
      <w:r w:rsidRPr="002544B9">
        <w:rPr>
          <w:rFonts w:asciiTheme="minorEastAsia" w:hAnsiTheme="minorEastAsia" w:cs="Times New Roman" w:hint="eastAsia"/>
          <w:sz w:val="24"/>
          <w:szCs w:val="24"/>
        </w:rPr>
        <w:t>称为侧袋账户</w:t>
      </w:r>
      <w:proofErr w:type="gramEnd"/>
    </w:p>
    <w:p w14:paraId="68418660" w14:textId="77777777" w:rsidR="00AF2209" w:rsidRPr="002544B9" w:rsidRDefault="00AF2209" w:rsidP="00AF220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60、特定资产：包括：（一）无可参考的活跃市场价格且采用估值技术</w:t>
      </w:r>
      <w:proofErr w:type="gramStart"/>
      <w:r w:rsidRPr="002544B9">
        <w:rPr>
          <w:rFonts w:asciiTheme="minorEastAsia" w:hAnsiTheme="minorEastAsia" w:cs="Times New Roman" w:hint="eastAsia"/>
          <w:sz w:val="24"/>
          <w:szCs w:val="24"/>
        </w:rPr>
        <w:t>仍导致</w:t>
      </w:r>
      <w:proofErr w:type="gramEnd"/>
      <w:r w:rsidRPr="002544B9">
        <w:rPr>
          <w:rFonts w:asciiTheme="minorEastAsia" w:hAnsiTheme="minorEastAsia" w:cs="Times New Roman" w:hint="eastAsia"/>
          <w:sz w:val="24"/>
          <w:szCs w:val="24"/>
        </w:rPr>
        <w:t>公允价值存在重大不确定性的资产；（二）</w:t>
      </w:r>
      <w:proofErr w:type="gramStart"/>
      <w:r w:rsidRPr="002544B9">
        <w:rPr>
          <w:rFonts w:asciiTheme="minorEastAsia" w:hAnsiTheme="minorEastAsia" w:cs="Times New Roman" w:hint="eastAsia"/>
          <w:sz w:val="24"/>
          <w:szCs w:val="24"/>
        </w:rPr>
        <w:t>按摊余成本</w:t>
      </w:r>
      <w:proofErr w:type="gramEnd"/>
      <w:r w:rsidRPr="002544B9">
        <w:rPr>
          <w:rFonts w:asciiTheme="minorEastAsia" w:hAnsiTheme="minorEastAsia" w:cs="Times New Roman" w:hint="eastAsia"/>
          <w:sz w:val="24"/>
          <w:szCs w:val="24"/>
        </w:rPr>
        <w:t>计量且计提资产减值</w:t>
      </w:r>
      <w:proofErr w:type="gramStart"/>
      <w:r w:rsidRPr="002544B9">
        <w:rPr>
          <w:rFonts w:asciiTheme="minorEastAsia" w:hAnsiTheme="minorEastAsia" w:cs="Times New Roman" w:hint="eastAsia"/>
          <w:sz w:val="24"/>
          <w:szCs w:val="24"/>
        </w:rPr>
        <w:t>准备仍导致</w:t>
      </w:r>
      <w:proofErr w:type="gramEnd"/>
      <w:r w:rsidRPr="002544B9">
        <w:rPr>
          <w:rFonts w:asciiTheme="minorEastAsia" w:hAnsiTheme="minorEastAsia" w:cs="Times New Roman" w:hint="eastAsia"/>
          <w:sz w:val="24"/>
          <w:szCs w:val="24"/>
        </w:rPr>
        <w:t>资产价值存在重大不确定性的资产；（三）其他资产价值存在重大不确定性的资产</w:t>
      </w:r>
    </w:p>
    <w:p w14:paraId="1047D172" w14:textId="70E2AC8C" w:rsidR="00EB4B39" w:rsidRPr="002544B9" w:rsidRDefault="00AF2209">
      <w:pPr>
        <w:spacing w:line="360" w:lineRule="auto"/>
        <w:ind w:firstLineChars="200" w:firstLine="480"/>
        <w:rPr>
          <w:b/>
          <w:bCs/>
        </w:rPr>
        <w:sectPr w:rsidR="00EB4B39" w:rsidRPr="002544B9">
          <w:footerReference w:type="default" r:id="rId13"/>
          <w:pgSz w:w="11906" w:h="16838"/>
          <w:pgMar w:top="1440" w:right="1800" w:bottom="1440" w:left="1800" w:header="851" w:footer="992" w:gutter="0"/>
          <w:pgNumType w:start="5" w:chapStyle="1"/>
          <w:cols w:space="720"/>
          <w:docGrid w:type="lines" w:linePitch="312"/>
        </w:sectPr>
      </w:pPr>
      <w:r w:rsidRPr="002544B9">
        <w:rPr>
          <w:rFonts w:asciiTheme="minorEastAsia" w:hAnsiTheme="minorEastAsia" w:cs="Times New Roman" w:hint="eastAsia"/>
          <w:sz w:val="24"/>
          <w:szCs w:val="24"/>
        </w:rPr>
        <w:t>以上释义中涉及法律法规、业务规则的内容，法律法规、业务规则修订后，如适用本基金，相关内容以修订后法律法规、业务规则为准。</w:t>
      </w:r>
    </w:p>
    <w:p w14:paraId="0F3A7C92" w14:textId="77777777" w:rsidR="00AC3A9B" w:rsidRPr="002544B9" w:rsidRDefault="002C3C29">
      <w:pPr>
        <w:pStyle w:val="1"/>
        <w:jc w:val="center"/>
        <w:rPr>
          <w:sz w:val="30"/>
          <w:szCs w:val="30"/>
        </w:rPr>
      </w:pPr>
      <w:bookmarkStart w:id="65" w:name="_Toc263092311"/>
      <w:bookmarkStart w:id="66" w:name="_Toc416264539"/>
      <w:bookmarkStart w:id="67" w:name="_Toc68266290"/>
      <w:bookmarkStart w:id="68" w:name="_Toc104205514"/>
      <w:bookmarkStart w:id="69" w:name="_Toc352229749"/>
      <w:bookmarkStart w:id="70" w:name="_Toc24682"/>
      <w:bookmarkStart w:id="71" w:name="_Toc410197817"/>
      <w:bookmarkStart w:id="72" w:name="_Toc16265"/>
      <w:bookmarkStart w:id="73" w:name="_Toc6714"/>
      <w:bookmarkStart w:id="74" w:name="_Toc27226"/>
      <w:bookmarkStart w:id="75" w:name="_Toc3266"/>
      <w:bookmarkStart w:id="76" w:name="_Toc90742390"/>
      <w:bookmarkStart w:id="77" w:name="_Toc90742321"/>
      <w:bookmarkStart w:id="78" w:name="_Toc29784"/>
      <w:bookmarkStart w:id="79" w:name="_Toc29948"/>
      <w:bookmarkStart w:id="80" w:name="_Toc90742688"/>
      <w:bookmarkStart w:id="81" w:name="_Toc22074"/>
      <w:bookmarkStart w:id="82" w:name="_Toc27189"/>
      <w:bookmarkStart w:id="83" w:name="_Toc15203"/>
      <w:bookmarkStart w:id="84" w:name="_Toc7151"/>
      <w:bookmarkEnd w:id="49"/>
      <w:bookmarkEnd w:id="50"/>
      <w:bookmarkEnd w:id="51"/>
      <w:bookmarkEnd w:id="52"/>
      <w:bookmarkEnd w:id="53"/>
      <w:bookmarkEnd w:id="54"/>
      <w:bookmarkEnd w:id="55"/>
      <w:bookmarkEnd w:id="56"/>
      <w:bookmarkEnd w:id="57"/>
      <w:bookmarkEnd w:id="58"/>
      <w:bookmarkEnd w:id="59"/>
      <w:bookmarkEnd w:id="60"/>
      <w:r w:rsidRPr="002544B9">
        <w:rPr>
          <w:rFonts w:hint="eastAsia"/>
          <w:sz w:val="30"/>
          <w:szCs w:val="30"/>
        </w:rPr>
        <w:t>第三部分</w:t>
      </w:r>
      <w:r w:rsidRPr="002544B9">
        <w:rPr>
          <w:sz w:val="30"/>
          <w:szCs w:val="30"/>
        </w:rPr>
        <w:t xml:space="preserve">  </w:t>
      </w:r>
      <w:r w:rsidRPr="002544B9">
        <w:rPr>
          <w:rFonts w:hint="eastAsia"/>
          <w:sz w:val="30"/>
          <w:szCs w:val="30"/>
        </w:rPr>
        <w:t>基金管理人</w:t>
      </w:r>
      <w:bookmarkEnd w:id="65"/>
      <w:bookmarkEnd w:id="66"/>
      <w:bookmarkEnd w:id="67"/>
      <w:bookmarkEnd w:id="68"/>
    </w:p>
    <w:p w14:paraId="51C9A4B6"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一、基金管理人概况</w:t>
      </w:r>
    </w:p>
    <w:p w14:paraId="3FC0B262"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名称：富荣基金管理有限公司</w:t>
      </w:r>
    </w:p>
    <w:p w14:paraId="5E883264"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住所：广州市南沙区海滨路</w:t>
      </w:r>
      <w:r w:rsidRPr="002544B9">
        <w:rPr>
          <w:rFonts w:asciiTheme="minorEastAsia" w:hAnsiTheme="minorEastAsia" w:cs="Times New Roman"/>
          <w:kern w:val="0"/>
          <w:sz w:val="24"/>
          <w:szCs w:val="24"/>
        </w:rPr>
        <w:t>171号南沙金融大厦11楼1101之一J20室</w:t>
      </w:r>
    </w:p>
    <w:p w14:paraId="2A02098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办公地址：深圳市福田区八卦四路</w:t>
      </w:r>
      <w:r w:rsidRPr="002544B9">
        <w:rPr>
          <w:rFonts w:asciiTheme="minorEastAsia" w:hAnsiTheme="minorEastAsia" w:cs="Times New Roman"/>
          <w:kern w:val="0"/>
          <w:sz w:val="24"/>
          <w:szCs w:val="24"/>
        </w:rPr>
        <w:t>52</w:t>
      </w:r>
      <w:r w:rsidRPr="002544B9">
        <w:rPr>
          <w:rFonts w:asciiTheme="minorEastAsia" w:hAnsiTheme="minorEastAsia" w:cs="Times New Roman" w:hint="eastAsia"/>
          <w:kern w:val="0"/>
          <w:sz w:val="24"/>
          <w:szCs w:val="24"/>
        </w:rPr>
        <w:t>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w:t>
      </w:r>
      <w:r w:rsidRPr="002544B9">
        <w:rPr>
          <w:rFonts w:asciiTheme="minorEastAsia" w:hAnsiTheme="minorEastAsia" w:cs="Times New Roman" w:hint="eastAsia"/>
          <w:kern w:val="0"/>
          <w:sz w:val="24"/>
          <w:szCs w:val="24"/>
        </w:rPr>
        <w:t>层</w:t>
      </w:r>
    </w:p>
    <w:p w14:paraId="2B349321"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法定代表人：</w:t>
      </w:r>
      <w:r w:rsidRPr="002544B9">
        <w:rPr>
          <w:rFonts w:ascii="Arial Unicode MS" w:hAnsi="Arial Unicode MS" w:cs="Arial" w:hint="eastAsia"/>
          <w:kern w:val="0"/>
          <w:sz w:val="24"/>
        </w:rPr>
        <w:t>杨小舟</w:t>
      </w:r>
    </w:p>
    <w:p w14:paraId="1AFD21F9"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成立时间：</w:t>
      </w:r>
      <w:r w:rsidRPr="002544B9">
        <w:rPr>
          <w:rFonts w:asciiTheme="minorEastAsia" w:hAnsiTheme="minorEastAsia" w:cs="Times New Roman"/>
          <w:kern w:val="0"/>
          <w:sz w:val="24"/>
          <w:szCs w:val="24"/>
        </w:rPr>
        <w:t>2016年1月25日</w:t>
      </w:r>
    </w:p>
    <w:p w14:paraId="7C0CFDC8"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注册资本：</w:t>
      </w:r>
      <w:r w:rsidRPr="002544B9">
        <w:rPr>
          <w:rFonts w:asciiTheme="minorEastAsia" w:hAnsiTheme="minorEastAsia" w:cs="Times New Roman"/>
          <w:kern w:val="0"/>
          <w:sz w:val="24"/>
          <w:szCs w:val="24"/>
        </w:rPr>
        <w:t>2亿元人民币</w:t>
      </w:r>
    </w:p>
    <w:p w14:paraId="1970E7EE"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存续期间：持续经营</w:t>
      </w:r>
    </w:p>
    <w:p w14:paraId="1B7E5C1F"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联系人：蔡晓忠</w:t>
      </w:r>
    </w:p>
    <w:p w14:paraId="59A0CFC0" w14:textId="77777777" w:rsidR="00AC3A9B" w:rsidRPr="002544B9" w:rsidRDefault="002C3C29">
      <w:pPr>
        <w:spacing w:line="360" w:lineRule="auto"/>
        <w:ind w:firstLineChars="200" w:firstLine="480"/>
        <w:rPr>
          <w:rFonts w:asciiTheme="minorEastAsia" w:hAnsiTheme="minorEastAsia" w:cs="Times New Roman"/>
          <w:kern w:val="0"/>
          <w:sz w:val="24"/>
          <w:szCs w:val="24"/>
        </w:rPr>
      </w:pPr>
      <w:r w:rsidRPr="002544B9">
        <w:rPr>
          <w:rFonts w:asciiTheme="minorEastAsia" w:hAnsiTheme="minorEastAsia" w:cs="Times New Roman" w:hint="eastAsia"/>
          <w:kern w:val="0"/>
          <w:sz w:val="24"/>
          <w:szCs w:val="24"/>
        </w:rPr>
        <w:t>联系电话：（</w:t>
      </w:r>
      <w:r w:rsidRPr="002544B9">
        <w:rPr>
          <w:rFonts w:asciiTheme="minorEastAsia" w:hAnsiTheme="minorEastAsia" w:cs="Times New Roman"/>
          <w:kern w:val="0"/>
          <w:sz w:val="24"/>
          <w:szCs w:val="24"/>
        </w:rPr>
        <w:t>0755）8435 6636</w:t>
      </w:r>
    </w:p>
    <w:p w14:paraId="094EE553" w14:textId="77777777" w:rsidR="00AC3A9B" w:rsidRPr="002544B9" w:rsidRDefault="002C3C29">
      <w:pPr>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股权结构：</w:t>
      </w:r>
      <w:r w:rsidRPr="002544B9">
        <w:rPr>
          <w:rFonts w:asciiTheme="minorEastAsia" w:hAnsiTheme="minorEastAsia" w:cs="Arial"/>
          <w:kern w:val="0"/>
          <w:sz w:val="24"/>
          <w:szCs w:val="24"/>
        </w:rPr>
        <w:t xml:space="preserve"> </w:t>
      </w:r>
    </w:p>
    <w:tbl>
      <w:tblPr>
        <w:tblW w:w="552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AC3A9B" w:rsidRPr="002544B9" w14:paraId="7838A33D"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32C05C32"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股东名称</w:t>
            </w:r>
          </w:p>
        </w:tc>
        <w:tc>
          <w:tcPr>
            <w:tcW w:w="1275" w:type="dxa"/>
            <w:tcBorders>
              <w:top w:val="single" w:sz="4" w:space="0" w:color="auto"/>
              <w:left w:val="single" w:sz="4" w:space="0" w:color="auto"/>
              <w:bottom w:val="single" w:sz="4" w:space="0" w:color="auto"/>
              <w:right w:val="single" w:sz="4" w:space="0" w:color="auto"/>
            </w:tcBorders>
            <w:vAlign w:val="center"/>
          </w:tcPr>
          <w:p w14:paraId="189DC91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出资比例</w:t>
            </w:r>
          </w:p>
        </w:tc>
      </w:tr>
      <w:tr w:rsidR="00AC3A9B" w:rsidRPr="002544B9" w14:paraId="0E59CF7B"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FDB4F3A"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B7B257C"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50%</w:t>
            </w:r>
          </w:p>
        </w:tc>
      </w:tr>
      <w:tr w:rsidR="00AC3A9B" w:rsidRPr="002544B9" w14:paraId="2EA856A1"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2679557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hint="eastAsia"/>
                <w:kern w:val="0"/>
                <w:sz w:val="24"/>
                <w:szCs w:val="24"/>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17D0570D"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45.1%</w:t>
            </w:r>
          </w:p>
        </w:tc>
      </w:tr>
      <w:tr w:rsidR="00AC3A9B" w:rsidRPr="002544B9" w14:paraId="02B0F397" w14:textId="77777777">
        <w:trPr>
          <w:jc w:val="center"/>
        </w:trPr>
        <w:tc>
          <w:tcPr>
            <w:tcW w:w="4250" w:type="dxa"/>
            <w:tcBorders>
              <w:top w:val="single" w:sz="4" w:space="0" w:color="auto"/>
              <w:left w:val="single" w:sz="4" w:space="0" w:color="auto"/>
              <w:bottom w:val="single" w:sz="4" w:space="0" w:color="auto"/>
              <w:right w:val="single" w:sz="4" w:space="0" w:color="auto"/>
            </w:tcBorders>
            <w:vAlign w:val="center"/>
          </w:tcPr>
          <w:p w14:paraId="0B102E37" w14:textId="77777777" w:rsidR="00AC3A9B" w:rsidRPr="002544B9" w:rsidRDefault="002C3C29">
            <w:pPr>
              <w:spacing w:line="360" w:lineRule="auto"/>
              <w:jc w:val="center"/>
              <w:rPr>
                <w:rFonts w:asciiTheme="minorEastAsia" w:hAnsiTheme="minorEastAsia" w:cs="Arial"/>
                <w:kern w:val="0"/>
                <w:sz w:val="24"/>
                <w:szCs w:val="24"/>
              </w:rPr>
            </w:pPr>
            <w:proofErr w:type="gramStart"/>
            <w:r w:rsidRPr="002544B9">
              <w:rPr>
                <w:rFonts w:asciiTheme="minorEastAsia" w:hAnsiTheme="minorEastAsia" w:cs="Arial" w:hint="eastAsia"/>
                <w:kern w:val="0"/>
                <w:sz w:val="24"/>
                <w:szCs w:val="24"/>
              </w:rPr>
              <w:t>湖南省典勤投资</w:t>
            </w:r>
            <w:proofErr w:type="gramEnd"/>
            <w:r w:rsidRPr="002544B9">
              <w:rPr>
                <w:rFonts w:asciiTheme="minorEastAsia" w:hAnsiTheme="minorEastAsia" w:cs="Arial" w:hint="eastAsia"/>
                <w:kern w:val="0"/>
                <w:sz w:val="24"/>
                <w:szCs w:val="24"/>
              </w:rPr>
              <w:t>开发有限公司</w:t>
            </w:r>
          </w:p>
        </w:tc>
        <w:tc>
          <w:tcPr>
            <w:tcW w:w="1275" w:type="dxa"/>
            <w:tcBorders>
              <w:top w:val="single" w:sz="4" w:space="0" w:color="auto"/>
              <w:left w:val="single" w:sz="4" w:space="0" w:color="auto"/>
              <w:bottom w:val="single" w:sz="4" w:space="0" w:color="auto"/>
              <w:right w:val="single" w:sz="4" w:space="0" w:color="auto"/>
            </w:tcBorders>
            <w:vAlign w:val="center"/>
          </w:tcPr>
          <w:p w14:paraId="06C9B1A6" w14:textId="77777777" w:rsidR="00AC3A9B" w:rsidRPr="002544B9" w:rsidRDefault="002C3C29">
            <w:pPr>
              <w:spacing w:line="360"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4.9%</w:t>
            </w:r>
          </w:p>
        </w:tc>
      </w:tr>
    </w:tbl>
    <w:p w14:paraId="597DA9DE" w14:textId="77777777" w:rsidR="00AC3A9B" w:rsidRPr="002544B9" w:rsidRDefault="00AC3A9B">
      <w:pPr>
        <w:adjustRightInd w:val="0"/>
        <w:snapToGrid w:val="0"/>
        <w:spacing w:line="360" w:lineRule="auto"/>
        <w:ind w:firstLineChars="200" w:firstLine="480"/>
        <w:rPr>
          <w:rFonts w:asciiTheme="minorEastAsia" w:hAnsiTheme="minorEastAsia" w:cs="Arial"/>
          <w:kern w:val="0"/>
          <w:sz w:val="24"/>
          <w:szCs w:val="24"/>
        </w:rPr>
      </w:pPr>
    </w:p>
    <w:p w14:paraId="44EA8477" w14:textId="77777777" w:rsidR="00AC3A9B" w:rsidRPr="002544B9" w:rsidRDefault="002C3C29">
      <w:pPr>
        <w:spacing w:line="360" w:lineRule="auto"/>
        <w:ind w:firstLineChars="200" w:firstLine="482"/>
        <w:rPr>
          <w:rFonts w:asciiTheme="minorEastAsia" w:hAnsiTheme="minorEastAsia" w:cs="Times New Roman"/>
          <w:b/>
          <w:kern w:val="0"/>
          <w:sz w:val="24"/>
          <w:szCs w:val="24"/>
        </w:rPr>
      </w:pPr>
      <w:r w:rsidRPr="002544B9">
        <w:rPr>
          <w:rFonts w:asciiTheme="minorEastAsia" w:hAnsiTheme="minorEastAsia" w:cs="Times New Roman" w:hint="eastAsia"/>
          <w:b/>
          <w:kern w:val="0"/>
          <w:sz w:val="24"/>
          <w:szCs w:val="24"/>
        </w:rPr>
        <w:t>二、主要成员情况</w:t>
      </w:r>
    </w:p>
    <w:p w14:paraId="73E89967"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1、董事会成员</w:t>
      </w:r>
    </w:p>
    <w:p w14:paraId="32EFB445"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0E37A9B" w14:textId="757676B5"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高峰先生，董事，总经理</w:t>
      </w:r>
      <w:r w:rsidR="007E0E8A">
        <w:rPr>
          <w:rFonts w:asciiTheme="minorEastAsia" w:hAnsiTheme="minorEastAsia" w:cs="Arial" w:hint="eastAsia"/>
          <w:kern w:val="0"/>
          <w:sz w:val="24"/>
          <w:szCs w:val="24"/>
        </w:rPr>
        <w:t>兼任首席信息官</w:t>
      </w:r>
      <w:r w:rsidRPr="002544B9">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1E3675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刘华女士，董事，中山大学管理学院本科经济学士。曾任工商银行广东省分行营业部机构业务处主管、华夏基金管理有限公司业务主管、现任广州科技金融创新投资控股有限公司风险控制总经理、富荣基金管理有限公司董事。</w:t>
      </w:r>
    </w:p>
    <w:p w14:paraId="2C008F6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郭涛先生，董事，上海高级金融学院研究生（在读）。现任深圳市益德置业有限公司总经理、深圳福元德租赁有限公司董事长兼总经理、</w:t>
      </w:r>
      <w:proofErr w:type="gramStart"/>
      <w:r w:rsidRPr="002544B9">
        <w:rPr>
          <w:rFonts w:asciiTheme="minorEastAsia" w:hAnsiTheme="minorEastAsia" w:cs="Arial" w:hint="eastAsia"/>
          <w:kern w:val="0"/>
          <w:sz w:val="24"/>
          <w:szCs w:val="24"/>
        </w:rPr>
        <w:t>深圳融博融资租赁</w:t>
      </w:r>
      <w:proofErr w:type="gramEnd"/>
      <w:r w:rsidRPr="002544B9">
        <w:rPr>
          <w:rFonts w:asciiTheme="minorEastAsia" w:hAnsiTheme="minorEastAsia" w:cs="Arial" w:hint="eastAsia"/>
          <w:kern w:val="0"/>
          <w:sz w:val="24"/>
          <w:szCs w:val="24"/>
        </w:rPr>
        <w:t>有限公司董事长兼总经理、深圳市天汇</w:t>
      </w:r>
      <w:proofErr w:type="gramStart"/>
      <w:r w:rsidRPr="002544B9">
        <w:rPr>
          <w:rFonts w:asciiTheme="minorEastAsia" w:hAnsiTheme="minorEastAsia" w:cs="Arial" w:hint="eastAsia"/>
          <w:kern w:val="0"/>
          <w:sz w:val="24"/>
          <w:szCs w:val="24"/>
        </w:rPr>
        <w:t>鑫</w:t>
      </w:r>
      <w:proofErr w:type="gramEnd"/>
      <w:r w:rsidRPr="002544B9">
        <w:rPr>
          <w:rFonts w:asciiTheme="minorEastAsia" w:hAnsiTheme="minorEastAsia" w:cs="Arial" w:hint="eastAsia"/>
          <w:kern w:val="0"/>
          <w:sz w:val="24"/>
          <w:szCs w:val="24"/>
        </w:rPr>
        <w:t>达担保有限公司总经理、</w:t>
      </w:r>
      <w:proofErr w:type="gramStart"/>
      <w:r w:rsidRPr="002544B9">
        <w:rPr>
          <w:rFonts w:asciiTheme="minorEastAsia" w:hAnsiTheme="minorEastAsia" w:cs="Arial" w:hint="eastAsia"/>
          <w:kern w:val="0"/>
          <w:sz w:val="24"/>
          <w:szCs w:val="24"/>
        </w:rPr>
        <w:t>深圳市亿尔德</w:t>
      </w:r>
      <w:proofErr w:type="gramEnd"/>
      <w:r w:rsidRPr="002544B9">
        <w:rPr>
          <w:rFonts w:asciiTheme="minorEastAsia" w:hAnsiTheme="minorEastAsia" w:cs="Arial" w:hint="eastAsia"/>
          <w:kern w:val="0"/>
          <w:sz w:val="24"/>
          <w:szCs w:val="24"/>
        </w:rPr>
        <w:t>投资有限公司法人、嘉年实业股份有限公司董事、富荣基金管理有限公司董事。</w:t>
      </w:r>
    </w:p>
    <w:p w14:paraId="2C8A6CF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余</w:t>
      </w:r>
      <w:proofErr w:type="gramStart"/>
      <w:r w:rsidRPr="002544B9">
        <w:rPr>
          <w:rFonts w:asciiTheme="minorEastAsia" w:hAnsiTheme="minorEastAsia" w:cs="Arial" w:hint="eastAsia"/>
          <w:kern w:val="0"/>
          <w:sz w:val="24"/>
          <w:szCs w:val="24"/>
        </w:rPr>
        <w:t>关健</w:t>
      </w:r>
      <w:proofErr w:type="gramEnd"/>
      <w:r w:rsidRPr="002544B9">
        <w:rPr>
          <w:rFonts w:asciiTheme="minorEastAsia" w:hAnsiTheme="minorEastAsia" w:cs="Arial" w:hint="eastAsia"/>
          <w:kern w:val="0"/>
          <w:sz w:val="24"/>
          <w:szCs w:val="24"/>
        </w:rPr>
        <w:t>先生，独立董事，西南财经大学工业经济硕士研究生。曾任中国银行深圳分行信贷处处长、中国银行深圳分行风险管理处处长、深圳赛格、深圳特发集团董事、</w:t>
      </w:r>
      <w:proofErr w:type="gramStart"/>
      <w:r w:rsidRPr="002544B9">
        <w:rPr>
          <w:rFonts w:asciiTheme="minorEastAsia" w:hAnsiTheme="minorEastAsia" w:cs="Arial" w:hint="eastAsia"/>
          <w:kern w:val="0"/>
          <w:sz w:val="24"/>
          <w:szCs w:val="24"/>
        </w:rPr>
        <w:t>邦</w:t>
      </w:r>
      <w:proofErr w:type="gramEnd"/>
      <w:r w:rsidRPr="002544B9">
        <w:rPr>
          <w:rFonts w:asciiTheme="minorEastAsia" w:hAnsiTheme="minorEastAsia" w:cs="Arial" w:hint="eastAsia"/>
          <w:kern w:val="0"/>
          <w:sz w:val="24"/>
          <w:szCs w:val="24"/>
        </w:rPr>
        <w:t>信资产管理公司董事总经理、对外贸易集团股份有限公司董事长、东方资产管理公司办事处总经理，现任东银实业（深圳）有限公司董事、深圳金田股份有限公司独立董事、富荣基金管理有限公司独立董事。</w:t>
      </w:r>
    </w:p>
    <w:p w14:paraId="5582ED96"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李晓英女士，独立董事，大学本科学士。现任广东一粤律师事务所专职律师。曾任广东同益律师事务所专职律师。主要从事法律顾问、商事诉讼、仲裁等。</w:t>
      </w:r>
    </w:p>
    <w:p w14:paraId="10CA8960" w14:textId="77777777" w:rsidR="00424206" w:rsidRPr="002544B9" w:rsidRDefault="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金声先生，独立董事，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751EA5BF" w14:textId="4504EB29"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2、监事会成员</w:t>
      </w:r>
    </w:p>
    <w:p w14:paraId="33C986ED"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基金管理人不设监事会，设监事两名，其中一名为职工监事。</w:t>
      </w:r>
    </w:p>
    <w:p w14:paraId="402E106D" w14:textId="512E2C18" w:rsidR="00E37EE1" w:rsidRPr="002544B9" w:rsidRDefault="00E37EE1">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郑廉明先生，监事，硕士。原广发银行副行长（已退休），现任富荣基金管理有限公司监事。</w:t>
      </w:r>
    </w:p>
    <w:p w14:paraId="1109F248"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魏丽红女士，职工监事，大专。现任富荣基金管理有限公司职工监事。</w:t>
      </w:r>
    </w:p>
    <w:p w14:paraId="45A0702C"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3、高级管理人员</w:t>
      </w:r>
    </w:p>
    <w:p w14:paraId="21B65710"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6B36BF27" w14:textId="2D43D4A9"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高峰先生，总经理</w:t>
      </w:r>
      <w:r w:rsidR="007E0E8A">
        <w:rPr>
          <w:rFonts w:asciiTheme="minorEastAsia" w:hAnsiTheme="minorEastAsia" w:cs="Arial" w:hint="eastAsia"/>
          <w:kern w:val="0"/>
          <w:sz w:val="24"/>
          <w:szCs w:val="24"/>
        </w:rPr>
        <w:t>、首席信息官</w:t>
      </w:r>
      <w:r w:rsidRPr="002544B9">
        <w:rPr>
          <w:rFonts w:asciiTheme="minorEastAsia" w:hAnsiTheme="minorEastAsia" w:cs="Arial" w:hint="eastAsia"/>
          <w:kern w:val="0"/>
          <w:sz w:val="24"/>
          <w:szCs w:val="24"/>
        </w:rPr>
        <w:t>，曾任中国对外经济贸易信托有限公司计划财务部科长、中国化工进出口总公司财务部综合经理、宝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管理有限公司研究发展部总监、中国对外经济贸易信托有限公司证券业务部总经理、资产管理总部执行总经理、高级投资经理，宝</w:t>
      </w:r>
      <w:proofErr w:type="gramStart"/>
      <w:r w:rsidRPr="002544B9">
        <w:rPr>
          <w:rFonts w:asciiTheme="minorEastAsia" w:hAnsiTheme="minorEastAsia" w:cs="Arial" w:hint="eastAsia"/>
          <w:kern w:val="0"/>
          <w:sz w:val="24"/>
          <w:szCs w:val="24"/>
        </w:rPr>
        <w:t>盈基金</w:t>
      </w:r>
      <w:proofErr w:type="gramEnd"/>
      <w:r w:rsidRPr="002544B9">
        <w:rPr>
          <w:rFonts w:asciiTheme="minorEastAsia" w:hAnsiTheme="minorEastAsia" w:cs="Arial" w:hint="eastAsia"/>
          <w:kern w:val="0"/>
          <w:sz w:val="24"/>
          <w:szCs w:val="24"/>
        </w:rPr>
        <w:t>管理有限公司总经理助理兼投资部总监、基金经理，北信瑞丰基金管理有限公司副总经理职务、红土创新基金管理有限公司总经理职务；现任富荣基金管理有限公司总经理。</w:t>
      </w:r>
    </w:p>
    <w:p w14:paraId="2E5019CE"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任晓伟女士，督察长，新加坡南洋理工大学管理经济学硕士研究生，曾就职于中国证监会内蒙古监管局、中国证监会深圳专员办、广州科技金融创新投资控股有限公司，历任主任科员、副处级调研员、副处长、广州科技金融创新投资控股有限公司助理总经理等职务。现任富荣基金管理有限公司督察长。</w:t>
      </w:r>
    </w:p>
    <w:p w14:paraId="6ADB0005"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4、本</w:t>
      </w:r>
      <w:proofErr w:type="gramStart"/>
      <w:r w:rsidRPr="002544B9">
        <w:rPr>
          <w:rFonts w:asciiTheme="minorEastAsia" w:hAnsiTheme="minorEastAsia" w:cs="Arial" w:hint="eastAsia"/>
          <w:kern w:val="0"/>
          <w:sz w:val="24"/>
          <w:szCs w:val="24"/>
        </w:rPr>
        <w:t>基金基金</w:t>
      </w:r>
      <w:proofErr w:type="gramEnd"/>
      <w:r w:rsidRPr="002544B9">
        <w:rPr>
          <w:rFonts w:asciiTheme="minorEastAsia" w:hAnsiTheme="minorEastAsia" w:cs="Arial" w:hint="eastAsia"/>
          <w:kern w:val="0"/>
          <w:sz w:val="24"/>
          <w:szCs w:val="24"/>
        </w:rPr>
        <w:t>经理</w:t>
      </w:r>
    </w:p>
    <w:p w14:paraId="0F9D4C4D" w14:textId="01EC76A9" w:rsidR="00FB2C7E" w:rsidRPr="002544B9" w:rsidRDefault="003E7E89" w:rsidP="0060620F">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李延峥先生，</w:t>
      </w:r>
      <w:r w:rsidRPr="002544B9">
        <w:rPr>
          <w:rFonts w:asciiTheme="minorEastAsia" w:hAnsiTheme="minorEastAsia" w:cs="Arial"/>
          <w:kern w:val="0"/>
          <w:sz w:val="24"/>
          <w:szCs w:val="24"/>
        </w:rPr>
        <w:t xml:space="preserve"> </w:t>
      </w:r>
      <w:r w:rsidRPr="002544B9">
        <w:rPr>
          <w:rFonts w:asciiTheme="minorEastAsia" w:hAnsiTheme="minorEastAsia" w:cs="Arial" w:hint="eastAsia"/>
          <w:kern w:val="0"/>
          <w:sz w:val="24"/>
          <w:szCs w:val="24"/>
        </w:rPr>
        <w:t>西南财经大学金融学硕士。</w:t>
      </w:r>
      <w:r w:rsidRPr="002544B9">
        <w:rPr>
          <w:rFonts w:asciiTheme="minorEastAsia" w:hAnsiTheme="minorEastAsia" w:cs="Arial"/>
          <w:kern w:val="0"/>
          <w:sz w:val="24"/>
          <w:szCs w:val="24"/>
        </w:rPr>
        <w:t>2017年进入富荣基金管理有限公司，历任富荣基金管理有限公司研究部TMT研究员，现任富荣基金管理有限公司基金经理。</w:t>
      </w:r>
    </w:p>
    <w:p w14:paraId="0B1B38A0" w14:textId="77777777"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5、投资决策委员会成员的姓名、</w:t>
      </w:r>
      <w:r w:rsidRPr="002544B9">
        <w:rPr>
          <w:rFonts w:asciiTheme="minorEastAsia" w:hAnsiTheme="minorEastAsia" w:cs="Arial" w:hint="eastAsia"/>
          <w:kern w:val="0"/>
          <w:sz w:val="24"/>
          <w:szCs w:val="24"/>
        </w:rPr>
        <w:t>职务</w:t>
      </w:r>
    </w:p>
    <w:p w14:paraId="39A3C519"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高峰先生，投资决策委员会主任委员、总经理。</w:t>
      </w:r>
    </w:p>
    <w:p w14:paraId="0CE4E7DD"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邓宇翔先生，投资决策委员会委员、权益投资部总监、基金经理。</w:t>
      </w:r>
    </w:p>
    <w:p w14:paraId="449FD291" w14:textId="77777777" w:rsidR="003F07F0" w:rsidRPr="002544B9"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郎骋成先生，投资决策委员会委员、研究部总监、基金经理。</w:t>
      </w:r>
    </w:p>
    <w:p w14:paraId="425DD0E1" w14:textId="30F4E072" w:rsidR="003F07F0" w:rsidRDefault="003F07F0" w:rsidP="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邱紫华先生，投资决策委员会委员、投资决策委员会秘书、基金经理。</w:t>
      </w:r>
    </w:p>
    <w:p w14:paraId="3808FB9D" w14:textId="77777777" w:rsidR="007E0E8A" w:rsidRPr="00975061" w:rsidRDefault="007E0E8A" w:rsidP="007E0E8A">
      <w:pPr>
        <w:adjustRightInd w:val="0"/>
        <w:snapToGrid w:val="0"/>
        <w:spacing w:line="360" w:lineRule="auto"/>
        <w:ind w:firstLineChars="200" w:firstLine="480"/>
        <w:rPr>
          <w:rFonts w:asciiTheme="minorEastAsia" w:hAnsiTheme="minorEastAsia" w:cs="Arial"/>
          <w:kern w:val="0"/>
          <w:sz w:val="24"/>
          <w:szCs w:val="24"/>
        </w:rPr>
      </w:pPr>
      <w:r w:rsidRPr="00975061">
        <w:rPr>
          <w:rFonts w:asciiTheme="minorEastAsia" w:hAnsiTheme="minorEastAsia" w:cs="Arial" w:hint="eastAsia"/>
          <w:kern w:val="0"/>
          <w:sz w:val="24"/>
          <w:szCs w:val="24"/>
        </w:rPr>
        <w:t>黄祥斌先生，投资决策委员会委员、投资一部总经理、基金经理。</w:t>
      </w:r>
    </w:p>
    <w:p w14:paraId="3D534DAE" w14:textId="527DAD82" w:rsidR="007E0E8A" w:rsidRPr="00BB44F8" w:rsidRDefault="007E0E8A" w:rsidP="00BB44F8">
      <w:pPr>
        <w:adjustRightInd w:val="0"/>
        <w:snapToGrid w:val="0"/>
        <w:spacing w:line="360" w:lineRule="auto"/>
        <w:ind w:firstLineChars="200" w:firstLine="480"/>
        <w:rPr>
          <w:rFonts w:asciiTheme="minorEastAsia" w:hAnsiTheme="minorEastAsia" w:cs="Arial"/>
          <w:kern w:val="0"/>
          <w:sz w:val="24"/>
          <w:szCs w:val="24"/>
        </w:rPr>
      </w:pPr>
      <w:r w:rsidRPr="00975061">
        <w:rPr>
          <w:rFonts w:asciiTheme="minorEastAsia" w:hAnsiTheme="minorEastAsia" w:cs="Arial" w:hint="eastAsia"/>
          <w:kern w:val="0"/>
          <w:sz w:val="24"/>
          <w:szCs w:val="24"/>
        </w:rPr>
        <w:t>唐奥先生，投资决策委员会委员、基金经理。</w:t>
      </w:r>
    </w:p>
    <w:p w14:paraId="4B2D9F89" w14:textId="4155FDDD" w:rsidR="00AC3A9B" w:rsidRPr="002544B9" w:rsidRDefault="003F07F0">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王丹女士，投资决策委员会委员、基金经理。</w:t>
      </w:r>
    </w:p>
    <w:p w14:paraId="304E243C" w14:textId="77777777" w:rsidR="00AC3A9B" w:rsidRPr="002544B9" w:rsidRDefault="002C3C29">
      <w:pPr>
        <w:adjustRightInd w:val="0"/>
        <w:snapToGrid w:val="0"/>
        <w:spacing w:line="360" w:lineRule="auto"/>
        <w:ind w:firstLineChars="200" w:firstLine="480"/>
        <w:rPr>
          <w:rFonts w:asciiTheme="minorEastAsia" w:hAnsiTheme="minorEastAsia" w:cs="Arial"/>
          <w:color w:val="FF0000"/>
          <w:sz w:val="24"/>
          <w:szCs w:val="24"/>
        </w:rPr>
      </w:pPr>
      <w:r w:rsidRPr="002544B9">
        <w:rPr>
          <w:rFonts w:asciiTheme="minorEastAsia" w:hAnsiTheme="minorEastAsia" w:cs="Arial"/>
          <w:kern w:val="0"/>
          <w:sz w:val="24"/>
          <w:szCs w:val="24"/>
        </w:rPr>
        <w:t>6、上述人员之间不存在近亲属关系。</w:t>
      </w:r>
    </w:p>
    <w:p w14:paraId="40D0E6FE"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三、基金管理人的职责</w:t>
      </w:r>
    </w:p>
    <w:p w14:paraId="293A65E8"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1、依法募集资金，办理或者委托经中国证监会认定的其他机构代为办理基金份额的发售、申购、赎回和登记事宜；</w:t>
      </w:r>
    </w:p>
    <w:p w14:paraId="406441A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2、办理基金备案手续；</w:t>
      </w:r>
    </w:p>
    <w:p w14:paraId="6136C13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3、自《基金合同》生效之日起，以诚实信用、谨慎勤勉的原则管理和运用基金财产；</w:t>
      </w:r>
    </w:p>
    <w:p w14:paraId="0C9F1AE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4、配备足够的具有专业资格的人员进行基金投资分析、决策，以专业化的经营方式管理和运作基金财产；</w:t>
      </w:r>
    </w:p>
    <w:p w14:paraId="4ED79AB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5、建立健全内部风险控制、监察与稽核、财务管理及人事管理等制度，保证所管理的基金财产和基金管理人的财产相互独立，对所管理的不同基金分别管理，分别记账，进行证券投资；</w:t>
      </w:r>
    </w:p>
    <w:p w14:paraId="4056F19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6、除依据《基金法》、《基金合同》及其他有关规定外，不得利用基金财产为自己及任何第三人谋取利益，不得委托第三人运作基金财产；</w:t>
      </w:r>
    </w:p>
    <w:p w14:paraId="627EED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7、依法接受基金托管人的监督；</w:t>
      </w:r>
    </w:p>
    <w:p w14:paraId="3A6BD679" w14:textId="6790CFE3"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8、采取适当合理的措施使计算基金份额认购、申购、赎回和注销价格的方法符合《基金合同》等法律文件的规定，按有关规定计算并公告基金净值信息，确定基金份额申购、赎回</w:t>
      </w:r>
      <w:r w:rsidR="00AF2209" w:rsidRPr="002544B9">
        <w:rPr>
          <w:rFonts w:asciiTheme="minorEastAsia" w:hAnsiTheme="minorEastAsia" w:cs="Times New Roman" w:hint="eastAsia"/>
          <w:sz w:val="24"/>
          <w:szCs w:val="24"/>
        </w:rPr>
        <w:t>的价格</w:t>
      </w:r>
      <w:r w:rsidRPr="002544B9">
        <w:rPr>
          <w:rFonts w:asciiTheme="minorEastAsia" w:hAnsiTheme="minorEastAsia" w:cs="Times New Roman" w:hint="eastAsia"/>
          <w:sz w:val="24"/>
          <w:szCs w:val="24"/>
        </w:rPr>
        <w:t>；</w:t>
      </w:r>
    </w:p>
    <w:p w14:paraId="560FA5C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9、进行基金会计核算并编制基金财务会计报告；</w:t>
      </w:r>
    </w:p>
    <w:p w14:paraId="31581B50" w14:textId="398434E6"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10、编制季度</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、中期</w:t>
      </w:r>
      <w:r w:rsidR="00AF2209" w:rsidRPr="002544B9">
        <w:rPr>
          <w:rFonts w:asciiTheme="minorEastAsia" w:hAnsiTheme="minorEastAsia" w:cs="Times New Roman" w:hint="eastAsia"/>
          <w:sz w:val="24"/>
          <w:szCs w:val="24"/>
        </w:rPr>
        <w:t>报告</w:t>
      </w:r>
      <w:r w:rsidRPr="002544B9">
        <w:rPr>
          <w:rFonts w:asciiTheme="minorEastAsia" w:hAnsiTheme="minorEastAsia" w:cs="Times New Roman" w:hint="eastAsia"/>
          <w:sz w:val="24"/>
          <w:szCs w:val="24"/>
        </w:rPr>
        <w:t>和年度报告；</w:t>
      </w:r>
    </w:p>
    <w:p w14:paraId="1C1C993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11、严格按照《基金法》、《基金合同》及其他有关规定，履行信息披露及报告义务；</w:t>
      </w:r>
    </w:p>
    <w:p w14:paraId="102F9673" w14:textId="2DC4F9D9"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12、保守基金商业秘密，不泄露基金投资计划、投资意向等。除《基金法》、《基金合同》及其他有关规定另有规定外，在基金信息公开披露前应予保密，不向他人泄露</w:t>
      </w:r>
      <w:r w:rsidR="00AF2209" w:rsidRPr="002544B9">
        <w:rPr>
          <w:rFonts w:asciiTheme="minorEastAsia" w:hAnsiTheme="minorEastAsia" w:cs="Times New Roman" w:hint="eastAsia"/>
          <w:sz w:val="24"/>
          <w:szCs w:val="24"/>
        </w:rPr>
        <w:t>，但依法向监管机构、司法机关及审计、法律等外部专业顾问提供的除外</w:t>
      </w:r>
      <w:r w:rsidRPr="002544B9">
        <w:rPr>
          <w:rFonts w:asciiTheme="minorEastAsia" w:hAnsiTheme="minorEastAsia" w:cs="Times New Roman" w:hint="eastAsia"/>
          <w:sz w:val="24"/>
          <w:szCs w:val="24"/>
        </w:rPr>
        <w:t>；</w:t>
      </w:r>
    </w:p>
    <w:p w14:paraId="0CAB72B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13、按《基金合同》的约定确定基金收益分配方案，及时向基金份额持有人分配基金收益；</w:t>
      </w:r>
    </w:p>
    <w:p w14:paraId="285CFED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14、按规定受理申购与赎回申请，及时、足额支付赎回款项；</w:t>
      </w:r>
    </w:p>
    <w:p w14:paraId="12A983E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15、依据《基金法》、《基金合同》及其他有关规定召集基金份额持有人大会或配合基金托管人、基金份额持有人依法召集基金份额持有人大会；</w:t>
      </w:r>
    </w:p>
    <w:p w14:paraId="0C3704AD" w14:textId="0E97AB7B"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16、按规定保存基金财产管理业务活动的会计账册、报表、记录和其他相关资料</w:t>
      </w:r>
      <w:r w:rsidR="00AF2209" w:rsidRPr="002544B9">
        <w:rPr>
          <w:rFonts w:asciiTheme="minorEastAsia" w:hAnsiTheme="minorEastAsia" w:cs="Times New Roman" w:hint="eastAsia"/>
          <w:sz w:val="24"/>
          <w:szCs w:val="24"/>
        </w:rPr>
        <w:t>，保存期限不低于法律法规规定的最低期限</w:t>
      </w:r>
      <w:r w:rsidRPr="002544B9">
        <w:rPr>
          <w:rFonts w:asciiTheme="minorEastAsia" w:hAnsiTheme="minorEastAsia" w:cs="Times New Roman" w:hint="eastAsia"/>
          <w:sz w:val="24"/>
          <w:szCs w:val="24"/>
        </w:rPr>
        <w:t>；</w:t>
      </w:r>
    </w:p>
    <w:p w14:paraId="35BB11B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64A2EA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18、组织并参加基金财产清算小组，参与基金财产的保管、清理、估价、变现和分配；</w:t>
      </w:r>
    </w:p>
    <w:p w14:paraId="59054ED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19、面临解散、依法被撤销或者被依法宣告破产时，及时报告中国证监会并通知基金托管人；</w:t>
      </w:r>
    </w:p>
    <w:p w14:paraId="3BAF8220"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20、因违反《基金合同》导致基金财产的损失或损害基金份额持有人合法权益时，应当承担赔偿责任，其赔偿责任不因其退任而免除；</w:t>
      </w:r>
    </w:p>
    <w:p w14:paraId="571FD98B"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21、监督基金托管人按法律法规和《基金合同》规定履行自己的义务，基金托管人违反《基金合同》造成基金财产损失时，基金管理人应为基金份额持有人利益向基金托管人追偿；</w:t>
      </w:r>
    </w:p>
    <w:p w14:paraId="7BE9941E"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22、当基金管理人将其义务委托第三方处理时，应当对第三方处理有关基金事务的行为承担责任；</w:t>
      </w:r>
    </w:p>
    <w:p w14:paraId="4AE42EF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23、以基金管理人名义，代表基金份额持有人利益行使诉讼权利或实施其他法律行为；</w:t>
      </w:r>
    </w:p>
    <w:p w14:paraId="2EE9D10F" w14:textId="6B9A4EDE"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24、基金管理人在募集期间未能达到基金的备案条件，《基金合同》不能生效，基金管理人承担全部募集费用，将已募集资金</w:t>
      </w:r>
      <w:r w:rsidR="00AF2209" w:rsidRPr="002544B9">
        <w:rPr>
          <w:rFonts w:asciiTheme="minorEastAsia" w:hAnsiTheme="minorEastAsia" w:cs="Times New Roman" w:hint="eastAsia"/>
          <w:sz w:val="24"/>
          <w:szCs w:val="24"/>
        </w:rPr>
        <w:t>并</w:t>
      </w:r>
      <w:r w:rsidRPr="002544B9">
        <w:rPr>
          <w:rFonts w:asciiTheme="minorEastAsia" w:hAnsiTheme="minorEastAsia" w:cs="Times New Roman" w:hint="eastAsia"/>
          <w:sz w:val="24"/>
          <w:szCs w:val="24"/>
        </w:rPr>
        <w:t>加计银行同期存款利息在基金募集期结束后</w:t>
      </w:r>
      <w:r w:rsidRPr="002544B9">
        <w:rPr>
          <w:rFonts w:asciiTheme="minorEastAsia" w:hAnsiTheme="minorEastAsia" w:cs="Times New Roman"/>
          <w:sz w:val="24"/>
          <w:szCs w:val="24"/>
        </w:rPr>
        <w:t>30日内退还基金认购人；</w:t>
      </w:r>
    </w:p>
    <w:p w14:paraId="5B05E971"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25、执行生效的基金份额持有人大会的决议；</w:t>
      </w:r>
    </w:p>
    <w:p w14:paraId="0CD9685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26、建立并保存基金份额持有人名册；</w:t>
      </w:r>
    </w:p>
    <w:p w14:paraId="0B84DF1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27、法律法规及中国证监会规定的和《基金合同》约定的其他义务。</w:t>
      </w:r>
    </w:p>
    <w:p w14:paraId="036E8CFC"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四、基金管理人的承诺</w:t>
      </w:r>
    </w:p>
    <w:p w14:paraId="4323520C"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1、基金管理人承诺不从事违反《中华人民共和国证券法》的行为，并承诺建立健全内部控制制度，采取有效措施，防止违反《中华人民共和国证券法》行为的发生； </w:t>
      </w:r>
    </w:p>
    <w:p w14:paraId="3D0F808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2、基金管理人承诺不从事违反《基金法》的行为，并承诺建立健全内部风险控制制度，采取有效措施，防止下列行为的发生：</w:t>
      </w:r>
    </w:p>
    <w:p w14:paraId="16C2CA02"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1）将基金管理人固有财产或者他人财产混同于基金财产从事证券投资；</w:t>
      </w:r>
    </w:p>
    <w:p w14:paraId="49CC781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2）不公平地对待管理的不同基金财产；</w:t>
      </w:r>
    </w:p>
    <w:p w14:paraId="442790CD"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3）利用基金财产或者职务之便为基金份额持有人以外的第三人牟取利益；</w:t>
      </w:r>
    </w:p>
    <w:p w14:paraId="3CEAD3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4）向基金份额持有人违规承诺收益或者承担损失；</w:t>
      </w:r>
    </w:p>
    <w:p w14:paraId="17CB41D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5）侵占、挪用基金财产；</w:t>
      </w:r>
    </w:p>
    <w:p w14:paraId="6BA90EE5"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6）泄露因职务便利获取的未公开信息、利用该信息从事或者明示、暗示</w:t>
      </w:r>
      <w:r w:rsidRPr="002544B9">
        <w:rPr>
          <w:rFonts w:asciiTheme="minorEastAsia" w:hAnsiTheme="minorEastAsia" w:cs="Times New Roman" w:hint="eastAsia"/>
          <w:sz w:val="24"/>
          <w:szCs w:val="24"/>
        </w:rPr>
        <w:t>他人从事相关的交易活动；</w:t>
      </w:r>
    </w:p>
    <w:p w14:paraId="4FAD5FD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7）玩忽职守，不按照规定履行职责；</w:t>
      </w:r>
    </w:p>
    <w:p w14:paraId="49420C93"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hint="eastAsia"/>
          <w:sz w:val="24"/>
          <w:szCs w:val="24"/>
        </w:rPr>
        <w:t>（</w:t>
      </w:r>
      <w:r w:rsidRPr="002544B9">
        <w:rPr>
          <w:rFonts w:asciiTheme="minorEastAsia" w:hAnsiTheme="minorEastAsia" w:cs="Times New Roman"/>
          <w:sz w:val="24"/>
          <w:szCs w:val="24"/>
        </w:rPr>
        <w:t xml:space="preserve">8）法律、行政法规和中国证监会规定禁止的其他行为。 </w:t>
      </w:r>
    </w:p>
    <w:p w14:paraId="05E944F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3、基金管理人承诺严格遵守基金合同，并承诺建立健全内部控制制度，采取有效措施，防止违反基金合同行为的发生； </w:t>
      </w:r>
    </w:p>
    <w:p w14:paraId="610757DF"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4、基金管理人承诺加强人员管理，强化职业操守，督促和约束员工遵守国家有关法律法规及行业规范，诚实信用、勤勉尽责；</w:t>
      </w:r>
    </w:p>
    <w:p w14:paraId="71C3034A"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5、基金管理人承诺不从事其他法规规定禁止从事的行为。 </w:t>
      </w:r>
    </w:p>
    <w:p w14:paraId="616222B2"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sz w:val="24"/>
          <w:szCs w:val="24"/>
        </w:rPr>
      </w:pPr>
      <w:r w:rsidRPr="002544B9">
        <w:rPr>
          <w:rFonts w:asciiTheme="minorEastAsia" w:hAnsiTheme="minorEastAsia" w:cs="Arial" w:hint="eastAsia"/>
          <w:b/>
          <w:sz w:val="24"/>
          <w:szCs w:val="24"/>
        </w:rPr>
        <w:t>五、基金经理承诺</w:t>
      </w:r>
    </w:p>
    <w:p w14:paraId="0CD9E766"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1、依照有关法律法规和基金合同的规定，本着谨慎的原则为基金份额持有人谋取最大利益；</w:t>
      </w:r>
    </w:p>
    <w:p w14:paraId="1E8EFAA4"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 xml:space="preserve">2、不利用职务之便为自己、受雇人或任何第三者牟取利益； </w:t>
      </w:r>
    </w:p>
    <w:p w14:paraId="6E321D19"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3、不泄露在任职期间知悉的有关证券、基金的商业秘密，尚未依法公开的基金投资内容、基金投资计划等信息，或利用该信息从事或者明示、暗示他人从事相关的交易活动；</w:t>
      </w:r>
    </w:p>
    <w:p w14:paraId="139338C7" w14:textId="77777777" w:rsidR="00AC3A9B" w:rsidRPr="002544B9" w:rsidRDefault="002C3C29">
      <w:pPr>
        <w:autoSpaceDE w:val="0"/>
        <w:autoSpaceDN w:val="0"/>
        <w:adjustRightIn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Times New Roman"/>
          <w:sz w:val="24"/>
          <w:szCs w:val="24"/>
        </w:rPr>
        <w:t>4、不以任何形式为其他组织或个人进行证券交易。</w:t>
      </w:r>
    </w:p>
    <w:p w14:paraId="11F5E4F7" w14:textId="77777777" w:rsidR="00AC3A9B" w:rsidRPr="002544B9" w:rsidRDefault="002C3C29">
      <w:pPr>
        <w:tabs>
          <w:tab w:val="left" w:pos="3780"/>
        </w:tabs>
        <w:autoSpaceDE w:val="0"/>
        <w:autoSpaceDN w:val="0"/>
        <w:adjustRightInd w:val="0"/>
        <w:snapToGrid w:val="0"/>
        <w:spacing w:line="360" w:lineRule="auto"/>
        <w:ind w:firstLineChars="200" w:firstLine="482"/>
        <w:textAlignment w:val="bottom"/>
        <w:rPr>
          <w:rFonts w:asciiTheme="minorEastAsia" w:hAnsiTheme="minorEastAsia" w:cs="Arial"/>
          <w:b/>
          <w:bCs/>
          <w:sz w:val="24"/>
          <w:szCs w:val="24"/>
        </w:rPr>
      </w:pPr>
      <w:r w:rsidRPr="002544B9">
        <w:rPr>
          <w:rFonts w:asciiTheme="minorEastAsia" w:hAnsiTheme="minorEastAsia" w:cs="Arial" w:hint="eastAsia"/>
          <w:b/>
          <w:bCs/>
          <w:sz w:val="24"/>
          <w:szCs w:val="24"/>
        </w:rPr>
        <w:t>六、基金管理人的内部控制制度</w:t>
      </w:r>
    </w:p>
    <w:p w14:paraId="215D93D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bookmarkStart w:id="85" w:name="_Toc263092312"/>
      <w:bookmarkStart w:id="86" w:name="_Toc352229750"/>
      <w:bookmarkStart w:id="87" w:name="_Toc416264540"/>
      <w:bookmarkStart w:id="88" w:name="_Toc410197818"/>
      <w:bookmarkEnd w:id="69"/>
      <w:bookmarkEnd w:id="70"/>
      <w:bookmarkEnd w:id="71"/>
      <w:r w:rsidRPr="002544B9">
        <w:rPr>
          <w:rFonts w:asciiTheme="minorEastAsia" w:hAnsiTheme="minorEastAsia" w:cs="Arial"/>
          <w:sz w:val="24"/>
          <w:szCs w:val="24"/>
        </w:rPr>
        <w:t>1、风险控制目标</w:t>
      </w:r>
    </w:p>
    <w:p w14:paraId="1DFCD30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1）在有效控制风险的前提下，实现基金份额持有人利益最大化；</w:t>
      </w:r>
    </w:p>
    <w:p w14:paraId="07398B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2）确保国家有关法律法规、行业规章和公司各项规章制度的贯彻执行；</w:t>
      </w:r>
    </w:p>
    <w:p w14:paraId="45B962F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3）建立符合现代企业制度要求的法人治理结构，形成科学合理的决策机制、执行机制和监督机制；</w:t>
      </w:r>
    </w:p>
    <w:p w14:paraId="7416076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4）将各种风险控制在合理的范围内，保障公司发展战略和经营目标的全面实施，维护基金份额持有人、公司及公司股东的合法权益；</w:t>
      </w:r>
    </w:p>
    <w:p w14:paraId="0C26CF5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5）建立行之有效的风险控制系统，保障业务稳健运行，减轻或规避各种风险对公司发展战略和经营目标的干扰。</w:t>
      </w:r>
    </w:p>
    <w:p w14:paraId="47EC02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2、建立风险控制制度应遵循的原则</w:t>
      </w:r>
    </w:p>
    <w:p w14:paraId="441F81C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1）全面性原则：风险控制制度应覆盖公司的各项业务、各个部门和各级人员，并渗透到决策、执行、监督、反馈等各个经营环节；</w:t>
      </w:r>
    </w:p>
    <w:p w14:paraId="07C2AD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（2）审慎性原则：内部风险控制的核心是有效防范各种风险，公司组织体</w:t>
      </w:r>
      <w:r w:rsidRPr="002544B9">
        <w:rPr>
          <w:rFonts w:asciiTheme="minorEastAsia" w:hAnsiTheme="minorEastAsia" w:cs="Arial" w:hint="eastAsia"/>
          <w:sz w:val="24"/>
          <w:szCs w:val="24"/>
        </w:rPr>
        <w:t>系的构成、内部管理制度的建立都要以防范风险、审慎经营为出发点；</w:t>
      </w:r>
    </w:p>
    <w:p w14:paraId="5282F06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3）独立性原则：公司风险控制的检查、评价部门应当独立于风险控制的建立和执行部门；风险控制委员会、督察长和监察稽核部应保持高度的独立性和权威性，负责对公司各部门风险控制工作进行评价和检查；</w:t>
      </w:r>
    </w:p>
    <w:p w14:paraId="044E85A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4）有效性原则：风险控制制度应当符合国家法律法规和监管部门的规章，具有高度的权威性，成为所有员工严格遵守的行动指南；执行风险控制制度不能存在任何例外，公司任何员工不得拥有超越制度或违反规章的权力；</w:t>
      </w:r>
    </w:p>
    <w:p w14:paraId="536A1B6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 xml:space="preserve"> （5）适时性原则：内部风险控制应随着公司经营战略、经营方针、经营理念等内部环境的变化和国家法律、法规、政策制度等外部环境的改变及时进行相应的修改和完善；</w:t>
      </w:r>
    </w:p>
    <w:p w14:paraId="28AA200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3、风险控制体系</w:t>
      </w:r>
    </w:p>
    <w:p w14:paraId="219C603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1）风险控制制度体系</w:t>
      </w:r>
    </w:p>
    <w:p w14:paraId="0723575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公司风险控制制度体系由三个不同层次的制度构成：第一个层次是公司章程、内部控制大纲；第二个层次是基本管理制度；第三个层次是部门管理制度及各项业务规则。</w:t>
      </w:r>
    </w:p>
    <w:p w14:paraId="71D9D9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2）风险控制组织体系</w:t>
      </w:r>
    </w:p>
    <w:p w14:paraId="4D8C28F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风险控制组织体系包括两个层次：</w:t>
      </w:r>
    </w:p>
    <w:p w14:paraId="150C10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第一层次：公司董事会层面对公司经营管理过程中的各类风险进行预防和控制的组织，主要是通过董事会下设的风险控制委员会和督察长来实现的。</w:t>
      </w:r>
    </w:p>
    <w:p w14:paraId="0ADFF6A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控制委员会的主要职责是：审议并批准公司内部风险控制制度；检查公司内部风险控制制度的执行情况，对公司出现的风险问题和存在的风险隐患进行研究并提出处理意见；提议聘请或更换外部审计机构；对重大关联交易进行审计；指导经理层所设立的风险管理委员会的工作；董事会赋予的其他职责。</w:t>
      </w:r>
    </w:p>
    <w:p w14:paraId="4D0532B6"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②督察</w:t>
      </w:r>
      <w:proofErr w:type="gramStart"/>
      <w:r w:rsidRPr="002544B9">
        <w:rPr>
          <w:rFonts w:asciiTheme="minorEastAsia" w:hAnsiTheme="minorEastAsia" w:cs="Arial" w:hint="eastAsia"/>
          <w:sz w:val="24"/>
          <w:szCs w:val="24"/>
        </w:rPr>
        <w:t>长履行</w:t>
      </w:r>
      <w:proofErr w:type="gramEnd"/>
      <w:r w:rsidRPr="002544B9">
        <w:rPr>
          <w:rFonts w:asciiTheme="minorEastAsia" w:hAnsiTheme="minorEastAsia" w:cs="Arial" w:hint="eastAsia"/>
          <w:sz w:val="24"/>
          <w:szCs w:val="24"/>
        </w:rPr>
        <w:t>的职责包括对基金运作、内部管理、制度执行及遵规守法情况进行内部监察、稽核；就以上监察、稽核中发现的问题向公司经营管理层通报并提出整改和处理意见；定期向风险管理委员会提交工作报告；发现公司的违规行为，应立即向董事长和中国证监会报告。</w:t>
      </w:r>
    </w:p>
    <w:p w14:paraId="5B77611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第二层次：公司经营管理层包括风险控制委员会、监察稽核部及各职能部门对经营风险的预防和控制。</w:t>
      </w:r>
    </w:p>
    <w:p w14:paraId="0DD545B8" w14:textId="77777777" w:rsidR="00AC3A9B" w:rsidRPr="002544B9" w:rsidRDefault="002C3C29">
      <w:pPr>
        <w:tabs>
          <w:tab w:val="left" w:pos="3675"/>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①风险管理委员会的主要职责是：审议公司各业务部门提出的风险管理和控制问题，决定公司相应的风险管理和控制政策；就公司经营和受托资产投资运作中存在的风险及风险隐患，向公司相关部门提出整改要求；决定公司重大风险事件的处理方案；总结、安排风险管理和控制工作，研究、评估新出现的风险因素；评估新产品、新业务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风险、市场风险和操作风险等重大风险，确保公司各项业务符合法律法规、监管要求、公司制度及受托资产合同的规定；审批基金投资的关联方证券名单和关联交易；风险管理委员会认为其他需关注的事项。</w:t>
      </w:r>
    </w:p>
    <w:p w14:paraId="49E04F74"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②监察稽核部的主要职责是在督察长的领导下，组织和协调公司内部控制制度的编写、修订工作，确保公司内部控制制度合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、完善；检查公司内部控制制度和业务流程的执行情况，出具监察稽核报告；负责信息披露事务的管理；调查基金及其他类型产品的异常投资和交易以及对违规行为的调查；负责公司的法律事务、合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咨询、合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培训、离任审查等工作。</w:t>
      </w:r>
    </w:p>
    <w:p w14:paraId="3D54E40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③公司各职能部门的主要职责是对自身工作中潜在风险的自我检查和控制，各业务部门作为公司风险控制的具体实施单位，应在公司各项基本管理制度的基础上，根据具体情况制订本部门的业务管理规定、操作流程及内部控制规定并严格执行。</w:t>
      </w:r>
    </w:p>
    <w:p w14:paraId="7CBD37B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4、关于授权、研究、投资、交易等方面的控制点</w:t>
      </w:r>
    </w:p>
    <w:p w14:paraId="02101AEA"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1）授权制度</w:t>
      </w:r>
    </w:p>
    <w:p w14:paraId="3EE540F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的授权制度贯穿于整个公司业务。股东会、董事会、监事和经营管理层必须充分履行各自的职权，健全公司逐级授权制度，确保公司各项规章制度的贯彻执行；各项经营业务和管理程序必须遵从管理层制定的操作规程，经办人员的每一项工作必须是在业务授权范围内进行；公司重大业务的授权必须采取书面形式，授权书应当明确授权内容和时效；公司授权要适当，对已获授权的部门和人员应建立有效的评价和反馈机制，对已不适用的授权应及时修改或取消授权。</w:t>
      </w:r>
    </w:p>
    <w:p w14:paraId="7BFA729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2）研究业务</w:t>
      </w:r>
    </w:p>
    <w:p w14:paraId="520BDFEE"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研究工作应保持独立、客观，不受任何部门及个人的不正当影响；建立严密的研究工作业务流程，形成科学、有效的研究方法；建立投资对象备选库制度，研究部门根据投资产品的特征，在充分研究的基础上建立和维护备选库；建立研究与投资的业务交流制度，保持畅通的交流渠道；建立研究报告质量评价体系，不断提高研究水平。</w:t>
      </w:r>
    </w:p>
    <w:p w14:paraId="2C9A80B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3）基金投资业务</w:t>
      </w:r>
    </w:p>
    <w:p w14:paraId="3E48720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基金投资应确立科学的投资理念，根据决策的风险防范原则和效率性原则制定合理的决策程序；在进行投资时应有明确的投资授权制度，并应建立与所授权</w:t>
      </w:r>
      <w:proofErr w:type="gramStart"/>
      <w:r w:rsidRPr="002544B9">
        <w:rPr>
          <w:rFonts w:asciiTheme="minorEastAsia" w:hAnsiTheme="minorEastAsia" w:cs="Arial" w:hint="eastAsia"/>
          <w:sz w:val="24"/>
          <w:szCs w:val="24"/>
        </w:rPr>
        <w:t>限相应</w:t>
      </w:r>
      <w:proofErr w:type="gramEnd"/>
      <w:r w:rsidRPr="002544B9">
        <w:rPr>
          <w:rFonts w:asciiTheme="minorEastAsia" w:hAnsiTheme="minorEastAsia" w:cs="Arial" w:hint="eastAsia"/>
          <w:sz w:val="24"/>
          <w:szCs w:val="24"/>
        </w:rPr>
        <w:t>的约束制度和考核制度；建立严格的投资禁止和投资限制制度，保证基金投资的合法合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性；建立投资风险评估与管理制度，将重点投资限制在一定的风险权限额度内；对于投资结果建立科学的投资管理业绩评价体系。</w:t>
      </w:r>
    </w:p>
    <w:p w14:paraId="7C4B3AF3"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4）交易业务</w:t>
      </w:r>
    </w:p>
    <w:p w14:paraId="6D21764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实行集中交易制度，投资指令通过交易部完成；建立交易监测系统、预警系统和交易反馈系统，完善相关的安全设施；交易部应对交易指令进行审核，建立公平的交易分配制度，确保各基金利益的公平；交易记录应完善，并及时进行反馈、核对和存档保管；建立科学的投资交易绩效评价体系。</w:t>
      </w:r>
    </w:p>
    <w:p w14:paraId="37C2B717"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5）基金会计核算</w:t>
      </w:r>
    </w:p>
    <w:p w14:paraId="43F6C399"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根据法律法规及业务的要求建立会计制度，并根据风险控制点建立严密的会计系统，对于不同基金、不同客户独立建账，独立核算；通过复核制度、凭证制度、合理的估值方法和估值程序等会计措施真实、完整、及时地记载每一笔业务并正确进行会计核算和业务核算；建立会计档案保管制度，确保档案真实完整。</w:t>
      </w:r>
    </w:p>
    <w:p w14:paraId="6CBAA10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6）信息披露</w:t>
      </w:r>
    </w:p>
    <w:p w14:paraId="4EC10261"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建立了完善的信息披露制度，保证公开披露的信息真实、准确、完整；设立了信息披露负责人，并建立了相应的程序进行信息的收集、组织、审核和发布，加强对信息的审查核对，使所公布的信息符合法律法规的规定；加强对信息披露的检查和评价，对存在的问题及时提出改进方法。</w:t>
      </w:r>
    </w:p>
    <w:p w14:paraId="5D8525EB"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7）监察稽核</w:t>
      </w:r>
    </w:p>
    <w:p w14:paraId="580C8AA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公司设立督察长。督察长由董事会聘任或解聘，报中国证监会或其指定的机构备案，并向董事会负责。督察</w:t>
      </w:r>
      <w:proofErr w:type="gramStart"/>
      <w:r w:rsidRPr="002544B9">
        <w:rPr>
          <w:rFonts w:asciiTheme="minorEastAsia" w:hAnsiTheme="minorEastAsia" w:cs="Arial" w:hint="eastAsia"/>
          <w:sz w:val="24"/>
          <w:szCs w:val="24"/>
        </w:rPr>
        <w:t>长依据</w:t>
      </w:r>
      <w:proofErr w:type="gramEnd"/>
      <w:r w:rsidRPr="002544B9">
        <w:rPr>
          <w:rFonts w:asciiTheme="minorEastAsia" w:hAnsiTheme="minorEastAsia" w:cs="Arial" w:hint="eastAsia"/>
          <w:sz w:val="24"/>
          <w:szCs w:val="24"/>
        </w:rPr>
        <w:t>法律法规和公司章程的规定履行职责，可以列席公司任何相关会议，调阅公司任何相关制度、文件；要求被督察部门对所提出的问题提供有关材料和做出口头或书面说明；行使中国证监会赋予的其他报告权和监督权。</w:t>
      </w:r>
    </w:p>
    <w:p w14:paraId="7430F4A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公司设立监察稽核部，开展监察稽核工作，并保证监察稽核部的独立性和权威性。公司明确了监察稽核部及内部各岗位的具体职责，配备了充足的人员，严格制订了监察稽核工作的专业任职条件、操作程序和组织纪律；监察稽核部强化内部检查制度，通过定期或不定期检查内部控制制度的执行情况，确保公司各项经营管理活动的有效运行；公司董事会和经营管理层充分重视和支持监察稽核工作，对违反法律、法规和公司内部控制制度的，追究相关部门和人员的责任。</w:t>
      </w:r>
    </w:p>
    <w:p w14:paraId="152764EC"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sz w:val="24"/>
          <w:szCs w:val="24"/>
        </w:rPr>
        <w:t>5、风险管理和内部控制的措施</w:t>
      </w:r>
    </w:p>
    <w:p w14:paraId="23575DB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1）建立内控结构，完善内控制度：公司建立、健全了内控结构，高管人员具有明确的内控分工，确保各项业务活动有恰当的组织和授权，确保监察活动的独立进行，并得到高管人员的支持。</w:t>
      </w:r>
    </w:p>
    <w:p w14:paraId="69B32738"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2）建立相互分离、相互制衡的内控机制：建立、健全了各项制度，做到基金经理、投资经理分开，研究、决策分开，基金交易集中，形成不同部门、不同岗位之间的制衡机制，从制度上减少和防范风险。</w:t>
      </w:r>
    </w:p>
    <w:p w14:paraId="18F48535"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3）建立、健全岗位责任制：建立、健全了岗位责任制，使每个员工都明确自己的任务、职责，并及时将各自工作领域中的风险隐患上报，以防范和减少风险。</w:t>
      </w:r>
    </w:p>
    <w:p w14:paraId="77A71160"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建立风险分类、识别、评估、报告、提示程序：建立了风险管理委员会，使用适合的程序，确认和评估与公司运作有关的风险；建立了自下而上的风险报告程序，对风险隐患进行层层汇报，使各个层次的人员及时掌握风险状况，从而以最快速度做出决策。</w:t>
      </w:r>
    </w:p>
    <w:p w14:paraId="5F5288E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5）建立有效的内部监控系统：建立了足够、有效的内部监控系统，如计算机预警系统、投资监控系统，能对可能出现的各种风险进行全面和实时的监控。</w:t>
      </w:r>
    </w:p>
    <w:p w14:paraId="7C5A2D6D"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6）使用数量化的风险管理手段：采取数量化、技术化的风险控制手段，建立数量化的风险管理模型，用以提示市场风险，以便公司及时采取有效的措施，对风险进行分散、控制和规避，尽可能地减少损失。</w:t>
      </w:r>
    </w:p>
    <w:p w14:paraId="2A8D9AF2" w14:textId="77777777" w:rsidR="00AC3A9B" w:rsidRPr="002544B9" w:rsidRDefault="002C3C29">
      <w:pPr>
        <w:tabs>
          <w:tab w:val="left" w:pos="3780"/>
        </w:tabs>
        <w:autoSpaceDE w:val="0"/>
        <w:autoSpaceDN w:val="0"/>
        <w:adjustRightInd w:val="0"/>
        <w:snapToGrid w:val="0"/>
        <w:spacing w:line="360" w:lineRule="auto"/>
        <w:ind w:firstLineChars="200" w:firstLine="480"/>
        <w:textAlignment w:val="bottom"/>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7）提供足够的培训：制定了完整的培训计划，为所有员工提供足够和适当的培训，使员工明确其职责所在，控制风险。</w:t>
      </w:r>
    </w:p>
    <w:p w14:paraId="157E0292" w14:textId="77777777" w:rsidR="00AC3A9B" w:rsidRPr="002544B9" w:rsidRDefault="002C3C29">
      <w:pPr>
        <w:widowControl/>
        <w:adjustRightInd w:val="0"/>
        <w:snapToGrid w:val="0"/>
        <w:spacing w:line="360" w:lineRule="auto"/>
        <w:ind w:firstLineChars="200" w:firstLine="480"/>
        <w:rPr>
          <w:rFonts w:asciiTheme="minorEastAsia" w:hAnsiTheme="minorEastAsia" w:cs="Arial"/>
          <w:b/>
          <w:bCs/>
          <w:sz w:val="24"/>
          <w:szCs w:val="24"/>
        </w:rPr>
      </w:pPr>
      <w:r w:rsidRPr="002544B9">
        <w:rPr>
          <w:rFonts w:asciiTheme="minorEastAsia" w:hAnsiTheme="minorEastAsia" w:cs="Arial"/>
          <w:sz w:val="24"/>
          <w:szCs w:val="24"/>
        </w:rPr>
        <w:t>6、基金管理人承诺上述关于内部控制的披露真实、准确，并承诺将根据市场环境的变化及公司的发展不断完善合</w:t>
      </w:r>
      <w:proofErr w:type="gramStart"/>
      <w:r w:rsidRPr="002544B9">
        <w:rPr>
          <w:rFonts w:asciiTheme="minorEastAsia" w:hAnsiTheme="minorEastAsia" w:cs="Arial" w:hint="eastAsia"/>
          <w:sz w:val="24"/>
          <w:szCs w:val="24"/>
        </w:rPr>
        <w:t>规</w:t>
      </w:r>
      <w:proofErr w:type="gramEnd"/>
      <w:r w:rsidRPr="002544B9">
        <w:rPr>
          <w:rFonts w:asciiTheme="minorEastAsia" w:hAnsiTheme="minorEastAsia" w:cs="Arial" w:hint="eastAsia"/>
          <w:sz w:val="24"/>
          <w:szCs w:val="24"/>
        </w:rPr>
        <w:t>控制。</w:t>
      </w:r>
      <w:bookmarkStart w:id="89" w:name="_Toc238013745"/>
      <w:bookmarkStart w:id="90" w:name="_Toc238027832"/>
      <w:bookmarkEnd w:id="89"/>
      <w:bookmarkEnd w:id="90"/>
    </w:p>
    <w:p w14:paraId="1E35478D" w14:textId="77777777" w:rsidR="00AC3A9B" w:rsidRPr="002544B9" w:rsidRDefault="00AC3A9B">
      <w:pPr>
        <w:keepNext/>
        <w:keepLines/>
        <w:tabs>
          <w:tab w:val="center" w:pos="4364"/>
        </w:tabs>
        <w:autoSpaceDE w:val="0"/>
        <w:autoSpaceDN w:val="0"/>
        <w:adjustRightInd w:val="0"/>
        <w:snapToGrid w:val="0"/>
        <w:spacing w:line="360" w:lineRule="auto"/>
        <w:ind w:firstLineChars="150" w:firstLine="422"/>
        <w:textAlignment w:val="baseline"/>
        <w:outlineLvl w:val="0"/>
        <w:rPr>
          <w:rFonts w:ascii="Arial" w:eastAsia="宋体" w:hAnsi="Arial" w:cs="Arial"/>
          <w:b/>
          <w:bCs/>
          <w:kern w:val="0"/>
          <w:sz w:val="28"/>
          <w:szCs w:val="28"/>
        </w:rPr>
        <w:sectPr w:rsidR="00AC3A9B" w:rsidRPr="002544B9">
          <w:footerReference w:type="default" r:id="rId14"/>
          <w:pgSz w:w="11906" w:h="16838"/>
          <w:pgMar w:top="1440" w:right="1800" w:bottom="1440" w:left="1800" w:header="851" w:footer="992" w:gutter="0"/>
          <w:pgNumType w:chapStyle="1"/>
          <w:cols w:space="720"/>
          <w:docGrid w:type="lines" w:linePitch="312"/>
        </w:sectPr>
      </w:pPr>
    </w:p>
    <w:p w14:paraId="7D069BA6" w14:textId="77777777" w:rsidR="00AC3A9B" w:rsidRPr="002544B9" w:rsidRDefault="002C3C29">
      <w:pPr>
        <w:pStyle w:val="1"/>
        <w:jc w:val="center"/>
        <w:rPr>
          <w:sz w:val="30"/>
          <w:szCs w:val="30"/>
        </w:rPr>
      </w:pPr>
      <w:bookmarkStart w:id="91" w:name="_Toc68266291"/>
      <w:bookmarkStart w:id="92" w:name="_Toc104205515"/>
      <w:r w:rsidRPr="002544B9">
        <w:rPr>
          <w:rFonts w:hint="eastAsia"/>
          <w:sz w:val="30"/>
          <w:szCs w:val="30"/>
        </w:rPr>
        <w:t>第四部分</w:t>
      </w:r>
      <w:r w:rsidRPr="002544B9">
        <w:rPr>
          <w:sz w:val="30"/>
          <w:szCs w:val="30"/>
        </w:rPr>
        <w:t xml:space="preserve">  </w:t>
      </w:r>
      <w:r w:rsidRPr="002544B9">
        <w:rPr>
          <w:rFonts w:hint="eastAsia"/>
          <w:sz w:val="30"/>
          <w:szCs w:val="30"/>
        </w:rPr>
        <w:t>基金托管人</w:t>
      </w:r>
      <w:bookmarkEnd w:id="91"/>
      <w:bookmarkEnd w:id="92"/>
    </w:p>
    <w:p w14:paraId="705627B8"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一、基金托管人基本情况</w:t>
      </w:r>
    </w:p>
    <w:p w14:paraId="343EA66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（一）基金托管人概况</w:t>
      </w:r>
    </w:p>
    <w:p w14:paraId="6282BCDF"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名称：国泰君安证券股份有限公司</w:t>
      </w:r>
    </w:p>
    <w:p w14:paraId="4C948FBA"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住所：</w:t>
      </w:r>
      <w:r w:rsidRPr="002544B9">
        <w:rPr>
          <w:rFonts w:asciiTheme="minorEastAsia" w:hAnsiTheme="minorEastAsia" w:cs="Arial"/>
          <w:bCs/>
          <w:sz w:val="24"/>
          <w:szCs w:val="24"/>
        </w:rPr>
        <w:t>中国（上海）自由贸易试验区商城路618号</w:t>
      </w:r>
    </w:p>
    <w:p w14:paraId="7A5AAECE"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办公地址：上海市静安区新闸路</w:t>
      </w:r>
      <w:r w:rsidRPr="002544B9">
        <w:rPr>
          <w:rFonts w:asciiTheme="minorEastAsia" w:hAnsiTheme="minorEastAsia" w:cs="Arial"/>
          <w:bCs/>
          <w:sz w:val="24"/>
          <w:szCs w:val="24"/>
        </w:rPr>
        <w:t>669</w:t>
      </w:r>
      <w:r w:rsidRPr="002544B9">
        <w:rPr>
          <w:rFonts w:asciiTheme="minorEastAsia" w:hAnsiTheme="minorEastAsia" w:cs="Arial" w:hint="eastAsia"/>
          <w:bCs/>
          <w:sz w:val="24"/>
          <w:szCs w:val="24"/>
        </w:rPr>
        <w:t>号</w:t>
      </w:r>
      <w:r w:rsidRPr="002544B9">
        <w:rPr>
          <w:rFonts w:asciiTheme="minorEastAsia" w:hAnsiTheme="minorEastAsia" w:cs="Arial"/>
          <w:bCs/>
          <w:sz w:val="24"/>
          <w:szCs w:val="24"/>
        </w:rPr>
        <w:t>19</w:t>
      </w:r>
      <w:r w:rsidRPr="002544B9">
        <w:rPr>
          <w:rFonts w:asciiTheme="minorEastAsia" w:hAnsiTheme="minorEastAsia" w:cs="Arial" w:hint="eastAsia"/>
          <w:bCs/>
          <w:sz w:val="24"/>
          <w:szCs w:val="24"/>
        </w:rPr>
        <w:t>楼</w:t>
      </w:r>
    </w:p>
    <w:p w14:paraId="03F105AF"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法定代表人：贺青</w:t>
      </w:r>
    </w:p>
    <w:p w14:paraId="5073ACD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成立时间：</w:t>
      </w:r>
      <w:r w:rsidRPr="002544B9">
        <w:rPr>
          <w:rFonts w:asciiTheme="minorEastAsia" w:hAnsiTheme="minorEastAsia" w:cs="Arial"/>
          <w:bCs/>
          <w:sz w:val="24"/>
          <w:szCs w:val="24"/>
        </w:rPr>
        <w:t>1999年8月18日</w:t>
      </w:r>
    </w:p>
    <w:p w14:paraId="00B9A825"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组织形式：股份有限公司</w:t>
      </w:r>
    </w:p>
    <w:p w14:paraId="6D743B3A"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批准设立机关及批准设立文号：</w:t>
      </w:r>
      <w:r w:rsidRPr="002544B9">
        <w:rPr>
          <w:rFonts w:asciiTheme="minorEastAsia" w:hAnsiTheme="minorEastAsia" w:cs="Arial" w:hint="eastAsia"/>
          <w:bCs/>
          <w:sz w:val="24"/>
          <w:szCs w:val="24"/>
        </w:rPr>
        <w:t>证监机构字</w:t>
      </w:r>
      <w:r w:rsidRPr="002544B9">
        <w:rPr>
          <w:rFonts w:asciiTheme="minorEastAsia" w:hAnsiTheme="minorEastAsia" w:cs="Arial"/>
          <w:bCs/>
          <w:sz w:val="24"/>
          <w:szCs w:val="24"/>
        </w:rPr>
        <w:t>[1999]77号</w:t>
      </w:r>
    </w:p>
    <w:p w14:paraId="1F110B39" w14:textId="3CE6D58C"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注册资本：</w:t>
      </w:r>
      <w:proofErr w:type="gramStart"/>
      <w:r w:rsidR="009559BC">
        <w:rPr>
          <w:rFonts w:hint="eastAsia"/>
          <w:sz w:val="24"/>
          <w:szCs w:val="24"/>
        </w:rPr>
        <w:t>捌拾玖亿柒佰玖拾肆万柒仟玖佰伍拾肆</w:t>
      </w:r>
      <w:proofErr w:type="gramEnd"/>
      <w:r w:rsidR="009559BC">
        <w:rPr>
          <w:rFonts w:hint="eastAsia"/>
          <w:sz w:val="24"/>
          <w:szCs w:val="24"/>
        </w:rPr>
        <w:t>元人民币</w:t>
      </w:r>
    </w:p>
    <w:p w14:paraId="6BE83EFB"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存续期间：持续经营</w:t>
      </w:r>
    </w:p>
    <w:p w14:paraId="47C502A4"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基金托管业务批准文号：证监许可</w:t>
      </w:r>
      <w:r w:rsidRPr="002544B9">
        <w:rPr>
          <w:rFonts w:asciiTheme="minorEastAsia" w:hAnsiTheme="minorEastAsia" w:cs="Arial"/>
          <w:bCs/>
          <w:sz w:val="24"/>
          <w:szCs w:val="24"/>
        </w:rPr>
        <w:t>[2014]511号</w:t>
      </w:r>
    </w:p>
    <w:p w14:paraId="6C033726" w14:textId="7E9B3206"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联系人：</w:t>
      </w:r>
      <w:r w:rsidR="009559BC">
        <w:rPr>
          <w:rFonts w:hint="eastAsia"/>
          <w:sz w:val="24"/>
          <w:szCs w:val="24"/>
        </w:rPr>
        <w:t>帅芳</w:t>
      </w:r>
    </w:p>
    <w:p w14:paraId="5267AA62" w14:textId="22DB0C0A"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联系电话：</w:t>
      </w:r>
      <w:r w:rsidR="009559BC">
        <w:rPr>
          <w:rFonts w:hint="eastAsia"/>
          <w:sz w:val="24"/>
          <w:szCs w:val="24"/>
        </w:rPr>
        <w:t>021-38917599-5</w:t>
      </w:r>
    </w:p>
    <w:p w14:paraId="6E005BEC" w14:textId="2CD814D7" w:rsidR="009F3BA7" w:rsidRPr="002544B9" w:rsidRDefault="009559BC"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Pr>
          <w:rFonts w:hint="eastAsia"/>
          <w:sz w:val="24"/>
          <w:szCs w:val="24"/>
        </w:rPr>
        <w:t>国泰君安证券股份有限公司前身为国泰证券和</w:t>
      </w:r>
      <w:proofErr w:type="gramStart"/>
      <w:r>
        <w:rPr>
          <w:rFonts w:hint="eastAsia"/>
          <w:sz w:val="24"/>
          <w:szCs w:val="24"/>
        </w:rPr>
        <w:t>君安</w:t>
      </w:r>
      <w:proofErr w:type="gramEnd"/>
      <w:r>
        <w:rPr>
          <w:rFonts w:hint="eastAsia"/>
          <w:sz w:val="24"/>
          <w:szCs w:val="24"/>
        </w:rPr>
        <w:t>证券，</w:t>
      </w:r>
      <w:r>
        <w:rPr>
          <w:rFonts w:hint="eastAsia"/>
          <w:sz w:val="24"/>
          <w:szCs w:val="24"/>
        </w:rPr>
        <w:t>1999</w:t>
      </w:r>
      <w:r>
        <w:rPr>
          <w:rFonts w:hint="eastAsia"/>
          <w:sz w:val="24"/>
          <w:szCs w:val="24"/>
        </w:rPr>
        <w:t>年</w:t>
      </w:r>
      <w:r>
        <w:rPr>
          <w:rFonts w:hint="eastAsia"/>
          <w:sz w:val="24"/>
          <w:szCs w:val="24"/>
        </w:rPr>
        <w:t>8</w:t>
      </w:r>
      <w:r>
        <w:rPr>
          <w:rFonts w:hint="eastAsia"/>
          <w:sz w:val="24"/>
          <w:szCs w:val="24"/>
        </w:rPr>
        <w:t>月</w:t>
      </w:r>
      <w:r>
        <w:rPr>
          <w:rFonts w:hint="eastAsia"/>
          <w:sz w:val="24"/>
          <w:szCs w:val="24"/>
        </w:rPr>
        <w:t>18</w:t>
      </w:r>
      <w:r>
        <w:rPr>
          <w:rFonts w:hint="eastAsia"/>
          <w:sz w:val="24"/>
          <w:szCs w:val="24"/>
        </w:rPr>
        <w:t>日两公司合并新设为国泰君安证券股份有限公司。</w:t>
      </w:r>
      <w:r>
        <w:rPr>
          <w:sz w:val="24"/>
          <w:szCs w:val="24"/>
        </w:rPr>
        <w:t>2015</w:t>
      </w:r>
      <w:r>
        <w:rPr>
          <w:sz w:val="24"/>
          <w:szCs w:val="24"/>
        </w:rPr>
        <w:t>年</w:t>
      </w:r>
      <w:r>
        <w:rPr>
          <w:sz w:val="24"/>
          <w:szCs w:val="24"/>
        </w:rPr>
        <w:t>6</w:t>
      </w:r>
      <w:r>
        <w:rPr>
          <w:sz w:val="24"/>
          <w:szCs w:val="24"/>
        </w:rPr>
        <w:t>月</w:t>
      </w:r>
      <w:r>
        <w:rPr>
          <w:sz w:val="24"/>
          <w:szCs w:val="24"/>
        </w:rPr>
        <w:t>26</w:t>
      </w:r>
      <w:r>
        <w:rPr>
          <w:sz w:val="24"/>
          <w:szCs w:val="24"/>
        </w:rPr>
        <w:t>日</w:t>
      </w:r>
      <w:r>
        <w:rPr>
          <w:rFonts w:hint="eastAsia"/>
          <w:sz w:val="24"/>
          <w:szCs w:val="24"/>
        </w:rPr>
        <w:t>国泰君安证券股份有限公司</w:t>
      </w:r>
      <w:r>
        <w:rPr>
          <w:sz w:val="24"/>
          <w:szCs w:val="24"/>
        </w:rPr>
        <w:t>在上交所上市交易</w:t>
      </w:r>
      <w:r>
        <w:rPr>
          <w:rFonts w:hint="eastAsia"/>
          <w:sz w:val="24"/>
          <w:szCs w:val="24"/>
        </w:rPr>
        <w:t>，</w:t>
      </w:r>
      <w:r>
        <w:rPr>
          <w:sz w:val="24"/>
          <w:szCs w:val="24"/>
        </w:rPr>
        <w:t>证券简称为</w:t>
      </w:r>
      <w:r>
        <w:rPr>
          <w:sz w:val="24"/>
          <w:szCs w:val="24"/>
        </w:rPr>
        <w:t>“</w:t>
      </w:r>
      <w:r>
        <w:rPr>
          <w:sz w:val="24"/>
          <w:szCs w:val="24"/>
        </w:rPr>
        <w:t>国泰君安</w:t>
      </w:r>
      <w:r>
        <w:rPr>
          <w:sz w:val="24"/>
          <w:szCs w:val="24"/>
        </w:rPr>
        <w:t>”</w:t>
      </w:r>
      <w:r>
        <w:rPr>
          <w:rFonts w:hint="eastAsia"/>
          <w:sz w:val="24"/>
          <w:szCs w:val="24"/>
        </w:rPr>
        <w:t>，</w:t>
      </w:r>
      <w:r>
        <w:rPr>
          <w:sz w:val="24"/>
          <w:szCs w:val="24"/>
        </w:rPr>
        <w:t>证券代码为</w:t>
      </w:r>
      <w:r>
        <w:rPr>
          <w:sz w:val="24"/>
          <w:szCs w:val="24"/>
        </w:rPr>
        <w:t>“601211”</w:t>
      </w:r>
      <w:r>
        <w:rPr>
          <w:sz w:val="24"/>
          <w:szCs w:val="24"/>
        </w:rPr>
        <w:t>。</w:t>
      </w:r>
      <w:r>
        <w:rPr>
          <w:rFonts w:hint="eastAsia"/>
          <w:sz w:val="24"/>
          <w:szCs w:val="24"/>
        </w:rPr>
        <w:t>2017</w:t>
      </w:r>
      <w:r>
        <w:rPr>
          <w:rFonts w:hint="eastAsia"/>
          <w:sz w:val="24"/>
          <w:szCs w:val="24"/>
        </w:rPr>
        <w:t>年</w:t>
      </w:r>
      <w:r>
        <w:rPr>
          <w:rFonts w:hint="eastAsia"/>
          <w:sz w:val="24"/>
          <w:szCs w:val="24"/>
        </w:rPr>
        <w:t>4</w:t>
      </w:r>
      <w:r>
        <w:rPr>
          <w:rFonts w:hint="eastAsia"/>
          <w:sz w:val="24"/>
          <w:szCs w:val="24"/>
        </w:rPr>
        <w:t>月</w:t>
      </w:r>
      <w:r>
        <w:rPr>
          <w:rFonts w:hint="eastAsia"/>
          <w:sz w:val="24"/>
          <w:szCs w:val="24"/>
        </w:rPr>
        <w:t>11</w:t>
      </w:r>
      <w:r>
        <w:rPr>
          <w:rFonts w:hint="eastAsia"/>
          <w:sz w:val="24"/>
          <w:szCs w:val="24"/>
        </w:rPr>
        <w:t>日国泰君安证券股份有限公司在香港联交所主板挂牌并上市交易，</w:t>
      </w:r>
      <w:r>
        <w:rPr>
          <w:rFonts w:hint="eastAsia"/>
          <w:sz w:val="24"/>
          <w:szCs w:val="24"/>
        </w:rPr>
        <w:t>H</w:t>
      </w:r>
      <w:r>
        <w:rPr>
          <w:rFonts w:hint="eastAsia"/>
          <w:sz w:val="24"/>
          <w:szCs w:val="24"/>
        </w:rPr>
        <w:t>股股票中文简称“</w:t>
      </w:r>
      <w:proofErr w:type="gramStart"/>
      <w:r>
        <w:rPr>
          <w:rFonts w:hint="eastAsia"/>
          <w:sz w:val="24"/>
          <w:szCs w:val="24"/>
        </w:rPr>
        <w:t>國</w:t>
      </w:r>
      <w:proofErr w:type="gramEnd"/>
      <w:r>
        <w:rPr>
          <w:rFonts w:hint="eastAsia"/>
          <w:sz w:val="24"/>
          <w:szCs w:val="24"/>
        </w:rPr>
        <w:t>泰君安”，英文简称为“</w:t>
      </w:r>
      <w:r>
        <w:rPr>
          <w:rFonts w:hint="eastAsia"/>
          <w:sz w:val="24"/>
          <w:szCs w:val="24"/>
        </w:rPr>
        <w:t>GTJA</w:t>
      </w:r>
      <w:r>
        <w:rPr>
          <w:rFonts w:hint="eastAsia"/>
          <w:sz w:val="24"/>
          <w:szCs w:val="24"/>
        </w:rPr>
        <w:t>”，股票代码为“</w:t>
      </w:r>
      <w:r>
        <w:rPr>
          <w:rFonts w:hint="eastAsia"/>
          <w:sz w:val="24"/>
          <w:szCs w:val="24"/>
        </w:rPr>
        <w:t>02611</w:t>
      </w:r>
      <w:r>
        <w:rPr>
          <w:rFonts w:hint="eastAsia"/>
          <w:sz w:val="24"/>
          <w:szCs w:val="24"/>
        </w:rPr>
        <w:t>”。截至</w:t>
      </w:r>
      <w:r>
        <w:rPr>
          <w:rFonts w:hint="eastAsia"/>
          <w:sz w:val="24"/>
          <w:szCs w:val="24"/>
        </w:rPr>
        <w:t>2021</w:t>
      </w:r>
      <w:r>
        <w:rPr>
          <w:rFonts w:hint="eastAsia"/>
          <w:sz w:val="24"/>
          <w:szCs w:val="24"/>
        </w:rPr>
        <w:t>年</w:t>
      </w:r>
      <w:r>
        <w:rPr>
          <w:rFonts w:hint="eastAsia"/>
          <w:sz w:val="24"/>
          <w:szCs w:val="24"/>
        </w:rPr>
        <w:t>12</w:t>
      </w:r>
      <w:r>
        <w:rPr>
          <w:rFonts w:hint="eastAsia"/>
          <w:sz w:val="24"/>
          <w:szCs w:val="24"/>
        </w:rPr>
        <w:t>月</w:t>
      </w:r>
      <w:r>
        <w:rPr>
          <w:rFonts w:hint="eastAsia"/>
          <w:sz w:val="24"/>
          <w:szCs w:val="24"/>
        </w:rPr>
        <w:t>31</w:t>
      </w:r>
      <w:r>
        <w:rPr>
          <w:rFonts w:hint="eastAsia"/>
          <w:sz w:val="24"/>
          <w:szCs w:val="24"/>
        </w:rPr>
        <w:t>日，国泰君安证券股份有限公司注册资本为</w:t>
      </w:r>
      <w:r>
        <w:rPr>
          <w:rFonts w:hint="eastAsia"/>
          <w:sz w:val="24"/>
          <w:szCs w:val="24"/>
        </w:rPr>
        <w:t>89.07947954</w:t>
      </w:r>
      <w:r>
        <w:rPr>
          <w:rFonts w:hint="eastAsia"/>
          <w:sz w:val="24"/>
          <w:szCs w:val="24"/>
        </w:rPr>
        <w:t>亿元人民币，</w:t>
      </w:r>
      <w:r>
        <w:rPr>
          <w:rFonts w:hint="eastAsia"/>
          <w:bCs/>
          <w:sz w:val="24"/>
        </w:rPr>
        <w:t>直接设有</w:t>
      </w:r>
      <w:r>
        <w:rPr>
          <w:rFonts w:hint="eastAsia"/>
          <w:bCs/>
          <w:sz w:val="24"/>
        </w:rPr>
        <w:t>5</w:t>
      </w:r>
      <w:r>
        <w:rPr>
          <w:rFonts w:hint="eastAsia"/>
          <w:bCs/>
          <w:sz w:val="24"/>
        </w:rPr>
        <w:t>家境内子公司和</w:t>
      </w:r>
      <w:r>
        <w:rPr>
          <w:bCs/>
          <w:sz w:val="24"/>
        </w:rPr>
        <w:t>1</w:t>
      </w:r>
      <w:r>
        <w:rPr>
          <w:rFonts w:hint="eastAsia"/>
          <w:bCs/>
          <w:sz w:val="24"/>
        </w:rPr>
        <w:t>家境外子公司，并在全国设有</w:t>
      </w:r>
      <w:r>
        <w:rPr>
          <w:bCs/>
          <w:sz w:val="24"/>
        </w:rPr>
        <w:t>3</w:t>
      </w:r>
      <w:r>
        <w:rPr>
          <w:rFonts w:hint="eastAsia"/>
          <w:bCs/>
          <w:sz w:val="24"/>
        </w:rPr>
        <w:t>1</w:t>
      </w:r>
      <w:r>
        <w:rPr>
          <w:rFonts w:hint="eastAsia"/>
          <w:bCs/>
          <w:sz w:val="24"/>
        </w:rPr>
        <w:t>家证券分公司、</w:t>
      </w:r>
      <w:r>
        <w:rPr>
          <w:rFonts w:hint="eastAsia"/>
          <w:bCs/>
          <w:sz w:val="24"/>
        </w:rPr>
        <w:t>16</w:t>
      </w:r>
      <w:r>
        <w:rPr>
          <w:rFonts w:hint="eastAsia"/>
          <w:bCs/>
          <w:sz w:val="24"/>
        </w:rPr>
        <w:t>家期货分公司、</w:t>
      </w:r>
      <w:r>
        <w:rPr>
          <w:rFonts w:hint="eastAsia"/>
          <w:bCs/>
          <w:sz w:val="24"/>
        </w:rPr>
        <w:t>339</w:t>
      </w:r>
      <w:r>
        <w:rPr>
          <w:rFonts w:hint="eastAsia"/>
          <w:bCs/>
          <w:sz w:val="24"/>
        </w:rPr>
        <w:t>家证券营业部和</w:t>
      </w:r>
      <w:r>
        <w:rPr>
          <w:rFonts w:hint="eastAsia"/>
          <w:bCs/>
          <w:sz w:val="24"/>
        </w:rPr>
        <w:t>7</w:t>
      </w:r>
      <w:r>
        <w:rPr>
          <w:rFonts w:hint="eastAsia"/>
          <w:bCs/>
          <w:sz w:val="24"/>
        </w:rPr>
        <w:t>家期货营业部，是国内最早开展各</w:t>
      </w:r>
      <w:proofErr w:type="gramStart"/>
      <w:r>
        <w:rPr>
          <w:rFonts w:hint="eastAsia"/>
          <w:bCs/>
          <w:sz w:val="24"/>
        </w:rPr>
        <w:t>类创新</w:t>
      </w:r>
      <w:proofErr w:type="gramEnd"/>
      <w:r>
        <w:rPr>
          <w:rFonts w:hint="eastAsia"/>
          <w:bCs/>
          <w:sz w:val="24"/>
        </w:rPr>
        <w:t>业务的券商之一。</w:t>
      </w:r>
      <w:r>
        <w:rPr>
          <w:bCs/>
          <w:sz w:val="24"/>
        </w:rPr>
        <w:t>2008-20</w:t>
      </w:r>
      <w:r>
        <w:rPr>
          <w:rFonts w:hint="eastAsia"/>
          <w:bCs/>
          <w:sz w:val="24"/>
        </w:rPr>
        <w:t>21</w:t>
      </w:r>
      <w:r>
        <w:rPr>
          <w:rFonts w:hint="eastAsia"/>
          <w:bCs/>
          <w:sz w:val="24"/>
        </w:rPr>
        <w:t>年，公司连续十四年在中国证监会证券公司分类评价中被评为</w:t>
      </w:r>
      <w:r>
        <w:rPr>
          <w:bCs/>
          <w:sz w:val="24"/>
        </w:rPr>
        <w:t>A</w:t>
      </w:r>
      <w:r>
        <w:rPr>
          <w:rFonts w:hint="eastAsia"/>
          <w:bCs/>
          <w:sz w:val="24"/>
        </w:rPr>
        <w:t>类</w:t>
      </w:r>
      <w:r>
        <w:rPr>
          <w:bCs/>
          <w:sz w:val="24"/>
        </w:rPr>
        <w:t>AA</w:t>
      </w:r>
      <w:r>
        <w:rPr>
          <w:rFonts w:hint="eastAsia"/>
          <w:bCs/>
          <w:sz w:val="24"/>
        </w:rPr>
        <w:t>级，为目前证券公司获得的最高评级。</w:t>
      </w:r>
    </w:p>
    <w:p w14:paraId="1ED36346"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（二）主要人员情况</w:t>
      </w:r>
    </w:p>
    <w:p w14:paraId="06D6E96B"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陈忠义先生，中国国籍，无境外居留权，</w:t>
      </w:r>
      <w:r w:rsidRPr="002544B9">
        <w:rPr>
          <w:rFonts w:asciiTheme="minorEastAsia" w:hAnsiTheme="minorEastAsia" w:cs="Arial"/>
          <w:bCs/>
          <w:sz w:val="24"/>
          <w:szCs w:val="24"/>
        </w:rPr>
        <w:t xml:space="preserve">1970年10月出生，经济学学士，中级经济师，现任国泰君安证券资产托管部总经理。1993年参加工作，曾任职于君安证券清算部总经理助理、国泰君安证券营运中心副总经理、光大证券营运管理总部总经理等职。 </w:t>
      </w:r>
      <w:r w:rsidRPr="002544B9">
        <w:rPr>
          <w:rFonts w:asciiTheme="minorEastAsia" w:hAnsiTheme="minorEastAsia" w:cs="Arial" w:hint="eastAsia"/>
          <w:bCs/>
          <w:sz w:val="24"/>
          <w:szCs w:val="24"/>
        </w:rPr>
        <w:t>“全国金融五一劳动奖章”、“上海市</w:t>
      </w:r>
      <w:r w:rsidRPr="002544B9">
        <w:rPr>
          <w:rFonts w:asciiTheme="minorEastAsia" w:hAnsiTheme="minorEastAsia" w:cs="Arial"/>
          <w:bCs/>
          <w:sz w:val="24"/>
          <w:szCs w:val="24"/>
        </w:rPr>
        <w:t>五一劳动奖章</w:t>
      </w:r>
      <w:r w:rsidRPr="002544B9">
        <w:rPr>
          <w:rFonts w:asciiTheme="minorEastAsia" w:hAnsiTheme="minorEastAsia" w:cs="Arial" w:hint="eastAsia"/>
          <w:bCs/>
          <w:sz w:val="24"/>
          <w:szCs w:val="24"/>
        </w:rPr>
        <w:t>”“金融服务能手”称号获得者，中国证券业协会托管结算专业委员会副主任委员，带领团队设计的“直通式证券清算质量管理国际化标准平台”，被评为上海市</w:t>
      </w:r>
      <w:r w:rsidRPr="002544B9">
        <w:rPr>
          <w:rFonts w:asciiTheme="minorEastAsia" w:hAnsiTheme="minorEastAsia" w:cs="Arial"/>
          <w:bCs/>
          <w:sz w:val="24"/>
          <w:szCs w:val="24"/>
        </w:rPr>
        <w:t>2011年度金融创新奖二等奖。2014年2月起任国泰君安证券资产托管部总经理。</w:t>
      </w:r>
    </w:p>
    <w:p w14:paraId="7DC5722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国泰君安证券总部</w:t>
      </w:r>
      <w:proofErr w:type="gramStart"/>
      <w:r w:rsidRPr="002544B9">
        <w:rPr>
          <w:rFonts w:asciiTheme="minorEastAsia" w:hAnsiTheme="minorEastAsia" w:cs="Arial" w:hint="eastAsia"/>
          <w:bCs/>
          <w:sz w:val="24"/>
          <w:szCs w:val="24"/>
        </w:rPr>
        <w:t>设资产</w:t>
      </w:r>
      <w:proofErr w:type="gramEnd"/>
      <w:r w:rsidRPr="002544B9">
        <w:rPr>
          <w:rFonts w:asciiTheme="minorEastAsia" w:hAnsiTheme="minorEastAsia" w:cs="Arial" w:hint="eastAsia"/>
          <w:bCs/>
          <w:sz w:val="24"/>
          <w:szCs w:val="24"/>
        </w:rPr>
        <w:t>托管部，现有员工全部具备基金从业资格及本科以上学历，管理人员及业务骨干均具有多年基金、证券和银行的从业经验，从业人员囊括了经济师、会计师、注册会计师、律师、国际注册内部审计师等中高级专业技术职称及专业资格，专业背景覆盖了金融、会计、经济、法律、计算机等各领域，是一支诚实勤勉、积极进取、专业分布合理，职业技能优良的资产托管从业人员队伍。</w:t>
      </w:r>
    </w:p>
    <w:p w14:paraId="1AB8480A"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（三）基金托管业务经营情况</w:t>
      </w:r>
    </w:p>
    <w:p w14:paraId="2AB05843" w14:textId="19D6A8C9" w:rsidR="009F3BA7" w:rsidRPr="002544B9" w:rsidRDefault="009559BC"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9559BC">
        <w:rPr>
          <w:rFonts w:asciiTheme="minorEastAsia" w:hAnsiTheme="minorEastAsia" w:cs="Arial" w:hint="eastAsia"/>
          <w:bCs/>
          <w:sz w:val="24"/>
          <w:szCs w:val="24"/>
        </w:rPr>
        <w:t>国泰君安证券于2013年4月3日取得私募基金综合托管业务资格，于2014年5月20日取得证券投资基金托管资格，可为各类公开募集基金、非公开募集基金提供托管服务。国泰君安证券坚守“诚信专业、质量为本”的服务宗旨，通过组建经验丰富的专业团队、搭建安全高效的业务系统，为基金份额持有人提供值得信赖的托管服务。国泰君安证券获得证券投资基金托管资格以来，广泛开展了公募基金、基金专户、</w:t>
      </w:r>
      <w:proofErr w:type="gramStart"/>
      <w:r w:rsidRPr="009559BC">
        <w:rPr>
          <w:rFonts w:asciiTheme="minorEastAsia" w:hAnsiTheme="minorEastAsia" w:cs="Arial" w:hint="eastAsia"/>
          <w:bCs/>
          <w:sz w:val="24"/>
          <w:szCs w:val="24"/>
        </w:rPr>
        <w:t>券商资管计划</w:t>
      </w:r>
      <w:proofErr w:type="gramEnd"/>
      <w:r w:rsidRPr="009559BC">
        <w:rPr>
          <w:rFonts w:asciiTheme="minorEastAsia" w:hAnsiTheme="minorEastAsia" w:cs="Arial" w:hint="eastAsia"/>
          <w:bCs/>
          <w:sz w:val="24"/>
          <w:szCs w:val="24"/>
        </w:rPr>
        <w:t>、私募基金等基金托管业务，与建信、平安、天弘、富国、长信、</w:t>
      </w:r>
      <w:proofErr w:type="gramStart"/>
      <w:r w:rsidRPr="009559BC">
        <w:rPr>
          <w:rFonts w:asciiTheme="minorEastAsia" w:hAnsiTheme="minorEastAsia" w:cs="Arial" w:hint="eastAsia"/>
          <w:bCs/>
          <w:sz w:val="24"/>
          <w:szCs w:val="24"/>
        </w:rPr>
        <w:t>中融等</w:t>
      </w:r>
      <w:proofErr w:type="gramEnd"/>
      <w:r w:rsidRPr="009559BC">
        <w:rPr>
          <w:rFonts w:asciiTheme="minorEastAsia" w:hAnsiTheme="minorEastAsia" w:cs="Arial" w:hint="eastAsia"/>
          <w:bCs/>
          <w:sz w:val="24"/>
          <w:szCs w:val="24"/>
        </w:rPr>
        <w:t>多家基金公司及其子公司建立了托管合作关系，截止2022年4月25日托管公</w:t>
      </w:r>
      <w:proofErr w:type="gramStart"/>
      <w:r w:rsidRPr="009559BC">
        <w:rPr>
          <w:rFonts w:asciiTheme="minorEastAsia" w:hAnsiTheme="minorEastAsia" w:cs="Arial" w:hint="eastAsia"/>
          <w:bCs/>
          <w:sz w:val="24"/>
          <w:szCs w:val="24"/>
        </w:rPr>
        <w:t>募基金</w:t>
      </w:r>
      <w:proofErr w:type="gramEnd"/>
      <w:r w:rsidRPr="009559BC">
        <w:rPr>
          <w:rFonts w:asciiTheme="minorEastAsia" w:hAnsiTheme="minorEastAsia" w:cs="Arial" w:hint="eastAsia"/>
          <w:bCs/>
          <w:sz w:val="24"/>
          <w:szCs w:val="24"/>
        </w:rPr>
        <w:t>51只，专业的服务和可靠的运营获得了管理人的一致认可。</w:t>
      </w:r>
    </w:p>
    <w:p w14:paraId="4A36D7C2"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二、基金托管人的内部控制制度</w:t>
      </w:r>
    </w:p>
    <w:p w14:paraId="35000A04"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（一）内部控制目标</w:t>
      </w:r>
    </w:p>
    <w:p w14:paraId="5D8CFB71"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严格遵守国家法律法规、行业规章及公司内相关管理规定，加强内部管理，保证资产托管部业务规章的健全和各项规章的贯彻执行，通过对各种风险的梳理、评估、监控，有效地实现对各项业务风险的监控和管理，确保业务稳健运行，保护基金份额持有人的合法权益。</w:t>
      </w:r>
      <w:r w:rsidRPr="002544B9">
        <w:rPr>
          <w:rFonts w:asciiTheme="minorEastAsia" w:hAnsiTheme="minorEastAsia" w:cs="Arial"/>
          <w:bCs/>
          <w:sz w:val="24"/>
          <w:szCs w:val="24"/>
        </w:rPr>
        <w:t xml:space="preserve"> </w:t>
      </w:r>
    </w:p>
    <w:p w14:paraId="0496FC8A"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（二）内部控制组织结构</w:t>
      </w:r>
    </w:p>
    <w:p w14:paraId="2F62EF7C"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国泰君安证券在</w:t>
      </w:r>
      <w:r w:rsidRPr="002544B9">
        <w:rPr>
          <w:rFonts w:asciiTheme="minorEastAsia" w:hAnsiTheme="minorEastAsia" w:cs="Arial"/>
          <w:bCs/>
          <w:sz w:val="24"/>
          <w:szCs w:val="24"/>
        </w:rPr>
        <w:t>董事会</w:t>
      </w:r>
      <w:r w:rsidRPr="002544B9">
        <w:rPr>
          <w:rFonts w:asciiTheme="minorEastAsia" w:hAnsiTheme="minorEastAsia" w:cs="Arial" w:hint="eastAsia"/>
          <w:bCs/>
          <w:sz w:val="24"/>
          <w:szCs w:val="24"/>
        </w:rPr>
        <w:t>中内设</w:t>
      </w:r>
      <w:r w:rsidRPr="002544B9">
        <w:rPr>
          <w:rFonts w:asciiTheme="minorEastAsia" w:hAnsiTheme="minorEastAsia" w:cs="Arial"/>
          <w:bCs/>
          <w:sz w:val="24"/>
          <w:szCs w:val="24"/>
        </w:rPr>
        <w:t>风险控制委员会</w:t>
      </w:r>
      <w:r w:rsidRPr="002544B9">
        <w:rPr>
          <w:rFonts w:asciiTheme="minorEastAsia" w:hAnsiTheme="minorEastAsia" w:cs="Arial" w:hint="eastAsia"/>
          <w:bCs/>
          <w:sz w:val="24"/>
          <w:szCs w:val="24"/>
        </w:rPr>
        <w:t>，</w:t>
      </w:r>
      <w:r w:rsidRPr="002544B9">
        <w:rPr>
          <w:rFonts w:asciiTheme="minorEastAsia" w:hAnsiTheme="minorEastAsia" w:cs="Arial"/>
          <w:bCs/>
          <w:sz w:val="24"/>
          <w:szCs w:val="24"/>
        </w:rPr>
        <w:t>是公司风险管理的最高决策机构</w:t>
      </w:r>
      <w:r w:rsidRPr="002544B9">
        <w:rPr>
          <w:rFonts w:asciiTheme="minorEastAsia" w:hAnsiTheme="minorEastAsia" w:cs="Arial" w:hint="eastAsia"/>
          <w:bCs/>
          <w:sz w:val="24"/>
          <w:szCs w:val="24"/>
        </w:rPr>
        <w:t>；公司在</w:t>
      </w:r>
      <w:r w:rsidRPr="002544B9">
        <w:rPr>
          <w:rFonts w:asciiTheme="minorEastAsia" w:hAnsiTheme="minorEastAsia" w:cs="Arial"/>
          <w:bCs/>
          <w:sz w:val="24"/>
          <w:szCs w:val="24"/>
        </w:rPr>
        <w:t>经营管理层</w:t>
      </w:r>
      <w:r w:rsidRPr="002544B9">
        <w:rPr>
          <w:rFonts w:asciiTheme="minorEastAsia" w:hAnsiTheme="minorEastAsia" w:cs="Arial" w:hint="eastAsia"/>
          <w:bCs/>
          <w:sz w:val="24"/>
          <w:szCs w:val="24"/>
        </w:rPr>
        <w:t>面设置</w:t>
      </w:r>
      <w:r w:rsidRPr="002544B9">
        <w:rPr>
          <w:rFonts w:asciiTheme="minorEastAsia" w:hAnsiTheme="minorEastAsia" w:cs="Arial"/>
          <w:bCs/>
          <w:sz w:val="24"/>
          <w:szCs w:val="24"/>
        </w:rPr>
        <w:t>风险管理委员会</w:t>
      </w:r>
      <w:r w:rsidRPr="002544B9">
        <w:rPr>
          <w:rFonts w:asciiTheme="minorEastAsia" w:hAnsiTheme="minorEastAsia" w:cs="Arial" w:hint="eastAsia"/>
          <w:bCs/>
          <w:sz w:val="24"/>
          <w:szCs w:val="24"/>
        </w:rPr>
        <w:t>，对公司经营风险实行统筹管理，对风险管理重大事项进行审议与决策；</w:t>
      </w:r>
      <w:r w:rsidRPr="002544B9">
        <w:rPr>
          <w:rFonts w:asciiTheme="minorEastAsia" w:hAnsiTheme="minorEastAsia" w:cs="Arial"/>
          <w:bCs/>
          <w:sz w:val="24"/>
          <w:szCs w:val="24"/>
        </w:rPr>
        <w:t>风险管理部门包括专职履行风险管理职责的风险管理部、合</w:t>
      </w:r>
      <w:proofErr w:type="gramStart"/>
      <w:r w:rsidRPr="002544B9">
        <w:rPr>
          <w:rFonts w:asciiTheme="minorEastAsia" w:hAnsiTheme="minorEastAsia" w:cs="Arial"/>
          <w:bCs/>
          <w:sz w:val="24"/>
          <w:szCs w:val="24"/>
        </w:rPr>
        <w:t>规</w:t>
      </w:r>
      <w:proofErr w:type="gramEnd"/>
      <w:r w:rsidRPr="002544B9">
        <w:rPr>
          <w:rFonts w:asciiTheme="minorEastAsia" w:hAnsiTheme="minorEastAsia" w:cs="Arial"/>
          <w:bCs/>
          <w:sz w:val="24"/>
          <w:szCs w:val="24"/>
        </w:rPr>
        <w:t>部、法律部、稽核审计部，以及计划财务部、信息技术部、营运中心等履行其他风险管理职责的部门。</w:t>
      </w:r>
    </w:p>
    <w:p w14:paraId="018A281D"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资产托管部设置</w:t>
      </w:r>
      <w:proofErr w:type="gramStart"/>
      <w:r w:rsidRPr="002544B9">
        <w:rPr>
          <w:rFonts w:asciiTheme="minorEastAsia" w:hAnsiTheme="minorEastAsia" w:cs="Arial" w:hint="eastAsia"/>
          <w:bCs/>
          <w:sz w:val="24"/>
          <w:szCs w:val="24"/>
        </w:rPr>
        <w:t>风控合规</w:t>
      </w:r>
      <w:proofErr w:type="gramEnd"/>
      <w:r w:rsidRPr="002544B9">
        <w:rPr>
          <w:rFonts w:asciiTheme="minorEastAsia" w:hAnsiTheme="minorEastAsia" w:cs="Arial" w:hint="eastAsia"/>
          <w:bCs/>
          <w:sz w:val="24"/>
          <w:szCs w:val="24"/>
        </w:rPr>
        <w:t>岗和稽核监控岗，负责制定本部门风险管理规章制度，分析报告部门整体风险管理状况，评估检查风险管理执行情况并提出改进建议，抓住要害环节和关键风险，协助业务运营岗位进行专项化解，监督风险薄弱环节的整改情况；同时部门设置风险评估及处置小组，由资产托管部总经理及各小组、运营中心负责人组成，负责对重大风险事项进行评估、确定风险管理违规事项的处理意见、突发事件应急管理等事项。</w:t>
      </w:r>
      <w:r w:rsidRPr="002544B9">
        <w:rPr>
          <w:rFonts w:asciiTheme="minorEastAsia" w:hAnsiTheme="minorEastAsia" w:cs="Arial"/>
          <w:bCs/>
          <w:sz w:val="24"/>
          <w:szCs w:val="24"/>
        </w:rPr>
        <w:t xml:space="preserve"> </w:t>
      </w:r>
    </w:p>
    <w:p w14:paraId="2C319FA0"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（三）内部控制制度及措施</w:t>
      </w:r>
    </w:p>
    <w:p w14:paraId="06C594B9"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根据《基金法》、《运作办法》《证券投资基金托管业务管理办法》等法律法规，基金托管</w:t>
      </w:r>
      <w:proofErr w:type="gramStart"/>
      <w:r w:rsidRPr="002544B9">
        <w:rPr>
          <w:rFonts w:asciiTheme="minorEastAsia" w:hAnsiTheme="minorEastAsia" w:cs="Arial" w:hint="eastAsia"/>
          <w:bCs/>
          <w:sz w:val="24"/>
          <w:szCs w:val="24"/>
        </w:rPr>
        <w:t>人制</w:t>
      </w:r>
      <w:proofErr w:type="gramEnd"/>
      <w:r w:rsidRPr="002544B9">
        <w:rPr>
          <w:rFonts w:asciiTheme="minorEastAsia" w:hAnsiTheme="minorEastAsia" w:cs="Arial" w:hint="eastAsia"/>
          <w:bCs/>
          <w:sz w:val="24"/>
          <w:szCs w:val="24"/>
        </w:rPr>
        <w:t>定了一整套严密、高效的证券投资基金托管管理规章制度，确保基金托管业务运行的规范、安全、高效，包括《国泰君安证券资产托管业务管理暂行办法》、《国泰君安证券资产托管部内部控制与风险管理操作规程》、《国泰君安证券资产托管部稽核监控操作规程》、《国泰君安证券资产托管部突发事件与危机处理规程》、《国泰君安证券资产托管部保密规程》、《国泰君安证券资产托管部资产保管操作规程》、《国泰君安证券资产托管部档案管理操作规程》等，并根据市场变化和基金业务的发展不断加以完善。做到业务管理制度化，技术系统完整独立，核心作业区实行封闭管理，业务分工合理，有关信息披露由专人负责。</w:t>
      </w:r>
    </w:p>
    <w:p w14:paraId="64E722C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通过基金托管业务各环节风险的事前揭示、事中控制和事后稽核的动态管理过程来实施内部风险控制；安全保管基金财产，保持基金财产的独立性；实行经营场所封闭式双门禁管理，并配备录音和录像监控系统；建立独立的托管运营系统并进行防火墙设置；实施严格的岗位冲突矩阵管理，重要岗位设置双人复核机制，建立严格有效的操作制约体系；深入进行职业道德教育，树立内控优先的理念，培养部门全体员工的风险防范和保密意识；配备专门的稽核监控岗对基金托管业务运行进行内部稽核审查，以保证基金托管业务内部控制的有效性。</w:t>
      </w:r>
    </w:p>
    <w:p w14:paraId="122E433D"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b/>
          <w:bCs/>
          <w:sz w:val="24"/>
          <w:szCs w:val="24"/>
        </w:rPr>
        <w:t>三、基金托管人对基金管理人运作基金进行监督的方法和程序</w:t>
      </w:r>
    </w:p>
    <w:p w14:paraId="13D63E99"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（一）监督方法</w:t>
      </w:r>
    </w:p>
    <w:p w14:paraId="1D2C3958"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根据《基金法》、《运作办法》等有关法律法规的规定及《基金合同》约定，制定投资监督标准与监督流程，对基金合同生效之后所委托资产的投资范围、投资比例、投资限制等进行严格监督，及时提示管理人违规风险，并定期编写基金投资运作监督报告，报送中国证监会。在日常为基金投资运作所提供的基金清算和核算服务环节中，对基金管理人发送的投资指令、基金管理人对基金资产的核算、基金资产净值的计算、对各基金费用的提取与开支情况、</w:t>
      </w:r>
      <w:r w:rsidRPr="002544B9">
        <w:rPr>
          <w:rFonts w:asciiTheme="minorEastAsia" w:hAnsiTheme="minorEastAsia" w:cs="Arial"/>
          <w:bCs/>
          <w:sz w:val="24"/>
          <w:szCs w:val="24"/>
        </w:rPr>
        <w:t>基金的申购</w:t>
      </w:r>
      <w:r w:rsidRPr="002544B9">
        <w:rPr>
          <w:rFonts w:asciiTheme="minorEastAsia" w:hAnsiTheme="minorEastAsia" w:cs="Arial" w:hint="eastAsia"/>
          <w:bCs/>
          <w:sz w:val="24"/>
          <w:szCs w:val="24"/>
        </w:rPr>
        <w:t>资金的到账</w:t>
      </w:r>
      <w:r w:rsidRPr="002544B9">
        <w:rPr>
          <w:rFonts w:asciiTheme="minorEastAsia" w:hAnsiTheme="minorEastAsia" w:cs="Arial"/>
          <w:bCs/>
          <w:sz w:val="24"/>
          <w:szCs w:val="24"/>
        </w:rPr>
        <w:t>与赎回</w:t>
      </w:r>
      <w:r w:rsidRPr="002544B9">
        <w:rPr>
          <w:rFonts w:asciiTheme="minorEastAsia" w:hAnsiTheme="minorEastAsia" w:cs="Arial" w:hint="eastAsia"/>
          <w:bCs/>
          <w:sz w:val="24"/>
          <w:szCs w:val="24"/>
        </w:rPr>
        <w:t>资金的划付</w:t>
      </w:r>
      <w:r w:rsidRPr="002544B9">
        <w:rPr>
          <w:rFonts w:asciiTheme="minorEastAsia" w:hAnsiTheme="minorEastAsia" w:cs="Arial"/>
          <w:bCs/>
          <w:sz w:val="24"/>
          <w:szCs w:val="24"/>
        </w:rPr>
        <w:t>、</w:t>
      </w:r>
      <w:r w:rsidRPr="002544B9">
        <w:rPr>
          <w:rFonts w:asciiTheme="minorEastAsia" w:hAnsiTheme="minorEastAsia" w:cs="Arial" w:hint="eastAsia"/>
          <w:bCs/>
          <w:sz w:val="24"/>
          <w:szCs w:val="24"/>
        </w:rPr>
        <w:t>基金收益分配等行为的合法性、合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性进行监督和核查。</w:t>
      </w:r>
    </w:p>
    <w:p w14:paraId="44A09C91" w14:textId="77777777" w:rsidR="009F3BA7" w:rsidRPr="002544B9" w:rsidRDefault="009F3BA7" w:rsidP="009F3BA7">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（二）监督程序</w:t>
      </w:r>
      <w:r w:rsidRPr="002544B9">
        <w:rPr>
          <w:rFonts w:asciiTheme="minorEastAsia" w:hAnsiTheme="minorEastAsia" w:cs="Arial"/>
          <w:b/>
          <w:bCs/>
          <w:sz w:val="24"/>
          <w:szCs w:val="24"/>
        </w:rPr>
        <w:t xml:space="preserve"> </w:t>
      </w:r>
    </w:p>
    <w:p w14:paraId="60A337F9" w14:textId="77777777" w:rsidR="009F3BA7" w:rsidRPr="002544B9" w:rsidRDefault="009F3BA7" w:rsidP="001756E7">
      <w:pPr>
        <w:tabs>
          <w:tab w:val="left" w:pos="1110"/>
        </w:tabs>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托管人发现基金管理人有违反《基金法》、《运作办法》等有关证券法规和《基金合同》的行为，应当及时通知基金管理人予以纠正，基金管理人收到通知后及时核对确认并进行调整。基金托管人有权随时对通知事项进行复查，督促基金管理人改正。基金管理人对基金托管人通知的违规事项未能在限期内纠正的，基金托管人应报告中国证监会。基金托管人发现基金管理人有重大违规行为，应立即报告中国证监会，同时通知基金管理人限期纠正。</w:t>
      </w:r>
    </w:p>
    <w:p w14:paraId="3C2101A6"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594920CF" w14:textId="77777777" w:rsidR="009F3BA7" w:rsidRPr="002544B9" w:rsidRDefault="009F3BA7">
      <w:pPr>
        <w:tabs>
          <w:tab w:val="left" w:pos="1110"/>
        </w:tabs>
        <w:adjustRightInd w:val="0"/>
        <w:snapToGrid w:val="0"/>
        <w:spacing w:line="360" w:lineRule="auto"/>
        <w:ind w:firstLineChars="200" w:firstLine="482"/>
        <w:rPr>
          <w:rFonts w:asciiTheme="minorEastAsia" w:hAnsiTheme="minorEastAsia" w:cs="Arial"/>
          <w:b/>
          <w:bCs/>
          <w:sz w:val="24"/>
          <w:szCs w:val="24"/>
        </w:rPr>
      </w:pPr>
    </w:p>
    <w:p w14:paraId="4A1B2954" w14:textId="77777777" w:rsidR="00CA55C9" w:rsidRPr="002544B9" w:rsidRDefault="00CA55C9" w:rsidP="00CA55C9">
      <w:pPr>
        <w:tabs>
          <w:tab w:val="left" w:pos="1110"/>
        </w:tabs>
        <w:adjustRightInd w:val="0"/>
        <w:snapToGrid w:val="0"/>
        <w:spacing w:line="360" w:lineRule="auto"/>
        <w:ind w:firstLineChars="200" w:firstLine="480"/>
        <w:rPr>
          <w:rFonts w:asciiTheme="minorEastAsia" w:hAnsiTheme="minorEastAsia" w:cs="Arial"/>
          <w:bCs/>
          <w:sz w:val="24"/>
          <w:szCs w:val="24"/>
        </w:rPr>
      </w:pPr>
    </w:p>
    <w:p w14:paraId="0F0D6864" w14:textId="03896EE9" w:rsidR="00CA55C9" w:rsidRPr="002544B9" w:rsidRDefault="00CA55C9">
      <w:pPr>
        <w:widowControl/>
        <w:jc w:val="left"/>
        <w:rPr>
          <w:rFonts w:asciiTheme="minorEastAsia" w:hAnsiTheme="minorEastAsia" w:cs="Arial"/>
          <w:bCs/>
          <w:sz w:val="24"/>
          <w:szCs w:val="24"/>
        </w:rPr>
      </w:pPr>
      <w:r w:rsidRPr="002544B9">
        <w:rPr>
          <w:rFonts w:asciiTheme="minorEastAsia" w:hAnsiTheme="minorEastAsia" w:cs="Arial"/>
          <w:bCs/>
          <w:sz w:val="24"/>
          <w:szCs w:val="24"/>
        </w:rPr>
        <w:br w:type="page"/>
      </w:r>
    </w:p>
    <w:p w14:paraId="7C618ABE" w14:textId="77777777" w:rsidR="00AC3A9B" w:rsidRPr="002544B9" w:rsidRDefault="002C3C29">
      <w:pPr>
        <w:pStyle w:val="1"/>
        <w:jc w:val="center"/>
        <w:rPr>
          <w:sz w:val="30"/>
          <w:szCs w:val="30"/>
        </w:rPr>
      </w:pPr>
      <w:bookmarkStart w:id="93" w:name="_Toc214873594"/>
      <w:bookmarkStart w:id="94" w:name="_Toc416264541"/>
      <w:bookmarkStart w:id="95" w:name="_Toc263092313"/>
      <w:bookmarkStart w:id="96" w:name="_Toc68266292"/>
      <w:bookmarkStart w:id="97" w:name="_Toc104205516"/>
      <w:bookmarkStart w:id="98" w:name="_Toc139991736"/>
      <w:bookmarkStart w:id="99" w:name="_Toc10463"/>
      <w:bookmarkStart w:id="100" w:name="_Toc48649707"/>
      <w:bookmarkStart w:id="101" w:name="_Toc141703886"/>
      <w:bookmarkStart w:id="102" w:name="_Toc1427"/>
      <w:bookmarkStart w:id="103" w:name="_Toc123051452"/>
      <w:bookmarkStart w:id="104" w:name="_Toc11081"/>
      <w:bookmarkStart w:id="105" w:name="_Toc1270"/>
      <w:bookmarkStart w:id="106" w:name="_Toc98560352"/>
      <w:bookmarkStart w:id="107" w:name="_Toc352229752"/>
      <w:bookmarkStart w:id="108" w:name="_Toc352229751"/>
      <w:bookmarkStart w:id="109" w:name="_Toc20733"/>
      <w:bookmarkStart w:id="110" w:name="_Toc23261"/>
      <w:bookmarkStart w:id="111" w:name="_Toc610"/>
      <w:bookmarkStart w:id="112" w:name="_Toc17244"/>
      <w:bookmarkStart w:id="113" w:name="_Toc123112234"/>
      <w:bookmarkStart w:id="114" w:name="_Toc123102453"/>
      <w:bookmarkStart w:id="115" w:name="_Toc23822"/>
      <w:bookmarkStart w:id="116" w:name="_Toc7920"/>
      <w:bookmarkStart w:id="117" w:name="_Toc79392606"/>
      <w:bookmarkStart w:id="118" w:name="_Toc4003"/>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r w:rsidRPr="002544B9">
        <w:rPr>
          <w:rFonts w:hint="eastAsia"/>
          <w:sz w:val="30"/>
          <w:szCs w:val="30"/>
        </w:rPr>
        <w:t>第五部分</w:t>
      </w:r>
      <w:r w:rsidRPr="002544B9">
        <w:rPr>
          <w:sz w:val="30"/>
          <w:szCs w:val="30"/>
        </w:rPr>
        <w:t xml:space="preserve">  </w:t>
      </w:r>
      <w:r w:rsidRPr="002544B9">
        <w:rPr>
          <w:rFonts w:hint="eastAsia"/>
          <w:sz w:val="30"/>
          <w:szCs w:val="30"/>
        </w:rPr>
        <w:t>相关服务机构</w:t>
      </w:r>
      <w:bookmarkEnd w:id="93"/>
      <w:bookmarkEnd w:id="94"/>
      <w:bookmarkEnd w:id="95"/>
      <w:bookmarkEnd w:id="96"/>
      <w:bookmarkEnd w:id="97"/>
    </w:p>
    <w:p w14:paraId="45148A2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一、基金份额发售机构</w:t>
      </w:r>
    </w:p>
    <w:p w14:paraId="40046F4E"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1、直销机构：富荣基金管理有限公司直销中心</w:t>
      </w:r>
    </w:p>
    <w:p w14:paraId="052ED03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注册地址：广州市南沙区海滨路</w:t>
      </w:r>
      <w:r w:rsidRPr="002544B9">
        <w:rPr>
          <w:rFonts w:asciiTheme="minorEastAsia" w:hAnsiTheme="minorEastAsia" w:cs="Arial"/>
          <w:sz w:val="24"/>
          <w:szCs w:val="24"/>
        </w:rPr>
        <w:t xml:space="preserve">171号南沙金融大厦11楼1101之一J20室 </w:t>
      </w:r>
    </w:p>
    <w:p w14:paraId="6FF68F64"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p>
    <w:p w14:paraId="60E7DF1F"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法定代表人：杨小舟</w:t>
      </w:r>
    </w:p>
    <w:p w14:paraId="3A678267"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电话：</w:t>
      </w:r>
      <w:r w:rsidRPr="002544B9">
        <w:rPr>
          <w:rFonts w:asciiTheme="minorEastAsia" w:hAnsiTheme="minorEastAsia" w:cs="Arial"/>
          <w:sz w:val="24"/>
          <w:szCs w:val="24"/>
        </w:rPr>
        <w:t>0755-84356629</w:t>
      </w:r>
    </w:p>
    <w:p w14:paraId="3002709A"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传真：</w:t>
      </w:r>
      <w:r w:rsidRPr="002544B9">
        <w:rPr>
          <w:rFonts w:asciiTheme="minorEastAsia" w:hAnsiTheme="minorEastAsia" w:cs="Arial"/>
          <w:sz w:val="24"/>
          <w:szCs w:val="24"/>
        </w:rPr>
        <w:t>0755-</w:t>
      </w:r>
      <w:r w:rsidRPr="002544B9">
        <w:rPr>
          <w:rFonts w:asciiTheme="minorEastAsia" w:hAnsiTheme="minorEastAsia" w:cs="Arial"/>
          <w:kern w:val="0"/>
          <w:sz w:val="24"/>
          <w:szCs w:val="24"/>
        </w:rPr>
        <w:t>83230902</w:t>
      </w:r>
    </w:p>
    <w:p w14:paraId="68A68CD9"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客服电话：</w:t>
      </w:r>
      <w:r w:rsidRPr="002544B9">
        <w:rPr>
          <w:rFonts w:asciiTheme="minorEastAsia" w:hAnsiTheme="minorEastAsia" w:cs="Arial"/>
          <w:sz w:val="24"/>
          <w:szCs w:val="24"/>
        </w:rPr>
        <w:t>4006855600</w:t>
      </w:r>
    </w:p>
    <w:p w14:paraId="587656EB" w14:textId="77777777" w:rsidR="00AC3A9B" w:rsidRPr="002544B9"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网址：</w:t>
      </w:r>
      <w:r w:rsidRPr="002544B9">
        <w:rPr>
          <w:rFonts w:asciiTheme="minorEastAsia" w:hAnsiTheme="minorEastAsia" w:cs="Arial"/>
          <w:sz w:val="24"/>
          <w:szCs w:val="24"/>
        </w:rPr>
        <w:t>www.furamc.com.cn</w:t>
      </w:r>
    </w:p>
    <w:p w14:paraId="4EF15966" w14:textId="6DFE8B2F" w:rsidR="00AC3A9B" w:rsidRDefault="002C3C29">
      <w:pPr>
        <w:tabs>
          <w:tab w:val="left" w:pos="54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2、其他销售机构：</w:t>
      </w:r>
      <w:r w:rsidR="00CC661A" w:rsidRPr="002544B9">
        <w:rPr>
          <w:rFonts w:asciiTheme="minorEastAsia" w:hAnsiTheme="minorEastAsia" w:cs="Arial" w:hint="eastAsia"/>
          <w:sz w:val="24"/>
          <w:szCs w:val="24"/>
        </w:rPr>
        <w:t>具体名单详见本基金份额发售公告以及基金管理人网站。</w:t>
      </w:r>
    </w:p>
    <w:tbl>
      <w:tblPr>
        <w:tblStyle w:val="afa"/>
        <w:tblW w:w="8472" w:type="dxa"/>
        <w:tblInd w:w="480" w:type="dxa"/>
        <w:tblLayout w:type="fixed"/>
        <w:tblLook w:val="04A0" w:firstRow="1" w:lastRow="0" w:firstColumn="1" w:lastColumn="0" w:noHBand="0" w:noVBand="1"/>
      </w:tblPr>
      <w:tblGrid>
        <w:gridCol w:w="817"/>
        <w:gridCol w:w="2552"/>
        <w:gridCol w:w="5103"/>
      </w:tblGrid>
      <w:tr w:rsidR="006D2026" w14:paraId="7EA32665" w14:textId="77777777" w:rsidTr="007B2A9B">
        <w:tc>
          <w:tcPr>
            <w:tcW w:w="817" w:type="dxa"/>
            <w:tcBorders>
              <w:top w:val="single" w:sz="4" w:space="0" w:color="auto"/>
              <w:left w:val="single" w:sz="4" w:space="0" w:color="auto"/>
              <w:bottom w:val="single" w:sz="4" w:space="0" w:color="auto"/>
              <w:right w:val="single" w:sz="4" w:space="0" w:color="auto"/>
            </w:tcBorders>
          </w:tcPr>
          <w:p w14:paraId="457C4BC6"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序号</w:t>
            </w:r>
          </w:p>
        </w:tc>
        <w:tc>
          <w:tcPr>
            <w:tcW w:w="2552" w:type="dxa"/>
            <w:tcBorders>
              <w:top w:val="single" w:sz="4" w:space="0" w:color="auto"/>
              <w:left w:val="single" w:sz="4" w:space="0" w:color="auto"/>
              <w:bottom w:val="single" w:sz="4" w:space="0" w:color="auto"/>
              <w:right w:val="single" w:sz="4" w:space="0" w:color="auto"/>
            </w:tcBorders>
          </w:tcPr>
          <w:p w14:paraId="4C73D135"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代销机构名称</w:t>
            </w:r>
          </w:p>
        </w:tc>
        <w:tc>
          <w:tcPr>
            <w:tcW w:w="5103" w:type="dxa"/>
            <w:tcBorders>
              <w:top w:val="single" w:sz="4" w:space="0" w:color="auto"/>
              <w:left w:val="single" w:sz="4" w:space="0" w:color="auto"/>
              <w:bottom w:val="single" w:sz="4" w:space="0" w:color="auto"/>
              <w:right w:val="single" w:sz="4" w:space="0" w:color="auto"/>
            </w:tcBorders>
          </w:tcPr>
          <w:p w14:paraId="122DB5C6" w14:textId="77777777" w:rsidR="006D2026" w:rsidRDefault="006D2026" w:rsidP="0023638E">
            <w:pPr>
              <w:jc w:val="center"/>
              <w:rPr>
                <w:rFonts w:asciiTheme="minorEastAsia" w:hAnsiTheme="minorEastAsia" w:cs="Arial"/>
                <w:sz w:val="24"/>
                <w:szCs w:val="24"/>
              </w:rPr>
            </w:pPr>
            <w:r>
              <w:rPr>
                <w:rFonts w:asciiTheme="minorEastAsia" w:hAnsiTheme="minorEastAsia" w:cs="Arial" w:hint="eastAsia"/>
                <w:sz w:val="24"/>
                <w:szCs w:val="24"/>
              </w:rPr>
              <w:t>代销机构信息</w:t>
            </w:r>
          </w:p>
        </w:tc>
      </w:tr>
      <w:tr w:rsidR="00A27A5B" w:rsidRPr="00B602CB" w14:paraId="436CBB89" w14:textId="77777777" w:rsidTr="00A27A5B">
        <w:tc>
          <w:tcPr>
            <w:tcW w:w="817" w:type="dxa"/>
          </w:tcPr>
          <w:p w14:paraId="0C11FC52"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1</w:t>
            </w:r>
          </w:p>
        </w:tc>
        <w:tc>
          <w:tcPr>
            <w:tcW w:w="2552" w:type="dxa"/>
          </w:tcPr>
          <w:p w14:paraId="29098DFD"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上海基</w:t>
            </w:r>
            <w:proofErr w:type="gramStart"/>
            <w:r w:rsidRPr="00B602CB">
              <w:rPr>
                <w:rFonts w:ascii="宋体" w:hAnsi="宋体" w:cs="Calibri" w:hint="eastAsia"/>
                <w:bCs/>
                <w:color w:val="000000"/>
                <w:szCs w:val="21"/>
              </w:rPr>
              <w:t>煜</w:t>
            </w:r>
            <w:proofErr w:type="gramEnd"/>
            <w:r w:rsidRPr="00B602CB">
              <w:rPr>
                <w:rFonts w:ascii="宋体" w:hAnsi="宋体" w:cs="Calibri" w:hint="eastAsia"/>
                <w:bCs/>
                <w:color w:val="000000"/>
                <w:szCs w:val="21"/>
              </w:rPr>
              <w:t>基金销售有限公司</w:t>
            </w:r>
          </w:p>
        </w:tc>
        <w:tc>
          <w:tcPr>
            <w:tcW w:w="5103" w:type="dxa"/>
          </w:tcPr>
          <w:p w14:paraId="6E98DF3A"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办公地址：上海市杨浦区昆明路518号A1002室</w:t>
            </w:r>
          </w:p>
          <w:p w14:paraId="79B8965F"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客户服务电话：4008205369</w:t>
            </w:r>
          </w:p>
          <w:p w14:paraId="396DC6B4"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网址：www.jiyufund.com.cn</w:t>
            </w:r>
          </w:p>
        </w:tc>
      </w:tr>
      <w:tr w:rsidR="00A27A5B" w:rsidRPr="00B602CB" w14:paraId="7BEFCB44" w14:textId="77777777" w:rsidTr="00A27A5B">
        <w:tc>
          <w:tcPr>
            <w:tcW w:w="817" w:type="dxa"/>
          </w:tcPr>
          <w:p w14:paraId="3D634FEF"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2</w:t>
            </w:r>
          </w:p>
        </w:tc>
        <w:tc>
          <w:tcPr>
            <w:tcW w:w="2552" w:type="dxa"/>
          </w:tcPr>
          <w:p w14:paraId="25FE6382"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上海好买基金销售有限公司</w:t>
            </w:r>
          </w:p>
        </w:tc>
        <w:tc>
          <w:tcPr>
            <w:tcW w:w="5103" w:type="dxa"/>
          </w:tcPr>
          <w:p w14:paraId="2B3C4A58"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办公地址：上海市浦东新区浦东南路1118号鄂尔多斯大厦9楼</w:t>
            </w:r>
          </w:p>
          <w:p w14:paraId="42FCDCD2"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客服电话：400-700-9665</w:t>
            </w:r>
          </w:p>
          <w:p w14:paraId="79B04FBC"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公司网址：www.ehowbuy.com</w:t>
            </w:r>
          </w:p>
        </w:tc>
      </w:tr>
      <w:tr w:rsidR="00A27A5B" w:rsidRPr="00B602CB" w14:paraId="487C4C78" w14:textId="77777777" w:rsidTr="00A27A5B">
        <w:trPr>
          <w:trHeight w:val="1694"/>
        </w:trPr>
        <w:tc>
          <w:tcPr>
            <w:tcW w:w="817" w:type="dxa"/>
          </w:tcPr>
          <w:p w14:paraId="3955E62A"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3</w:t>
            </w:r>
          </w:p>
        </w:tc>
        <w:tc>
          <w:tcPr>
            <w:tcW w:w="2552" w:type="dxa"/>
          </w:tcPr>
          <w:p w14:paraId="2F6BB9D7" w14:textId="77777777" w:rsidR="00A27A5B" w:rsidRPr="00B602CB" w:rsidRDefault="00A27A5B" w:rsidP="00360E55">
            <w:pPr>
              <w:snapToGrid w:val="0"/>
              <w:spacing w:line="360" w:lineRule="auto"/>
              <w:rPr>
                <w:rFonts w:ascii="宋体" w:hAnsi="宋体" w:cs="Calibri"/>
                <w:color w:val="000000"/>
                <w:szCs w:val="21"/>
              </w:rPr>
            </w:pPr>
            <w:r w:rsidRPr="00B602CB">
              <w:rPr>
                <w:rFonts w:ascii="宋体" w:hAnsi="宋体" w:cs="Calibri" w:hint="eastAsia"/>
                <w:color w:val="000000"/>
                <w:szCs w:val="21"/>
              </w:rPr>
              <w:t>上海天天基金销售有限公司</w:t>
            </w:r>
          </w:p>
        </w:tc>
        <w:tc>
          <w:tcPr>
            <w:tcW w:w="5103" w:type="dxa"/>
          </w:tcPr>
          <w:p w14:paraId="52C54C1D" w14:textId="77777777" w:rsidR="00A27A5B" w:rsidRPr="00B602CB" w:rsidRDefault="00A27A5B" w:rsidP="00360E55">
            <w:pPr>
              <w:snapToGrid w:val="0"/>
              <w:spacing w:line="360" w:lineRule="auto"/>
              <w:rPr>
                <w:rFonts w:ascii="宋体" w:hAnsi="宋体" w:cs="Calibri"/>
                <w:color w:val="000000"/>
                <w:szCs w:val="21"/>
              </w:rPr>
            </w:pPr>
            <w:r w:rsidRPr="00B602CB">
              <w:rPr>
                <w:rFonts w:ascii="宋体" w:hAnsi="宋体" w:cs="Calibri" w:hint="eastAsia"/>
                <w:color w:val="000000"/>
                <w:szCs w:val="21"/>
              </w:rPr>
              <w:t>办公地址：</w:t>
            </w:r>
            <w:r w:rsidRPr="00B602CB">
              <w:rPr>
                <w:rFonts w:ascii="宋体" w:hAnsi="宋体" w:cs="Calibri"/>
                <w:color w:val="000000"/>
                <w:szCs w:val="21"/>
              </w:rPr>
              <w:t xml:space="preserve"> </w:t>
            </w:r>
            <w:r w:rsidRPr="00B602CB">
              <w:rPr>
                <w:rFonts w:ascii="宋体" w:hAnsi="宋体" w:cs="Calibri" w:hint="eastAsia"/>
                <w:color w:val="000000"/>
                <w:szCs w:val="21"/>
              </w:rPr>
              <w:t>上海市徐汇区宛平南路</w:t>
            </w:r>
            <w:r w:rsidRPr="00B602CB">
              <w:rPr>
                <w:rFonts w:ascii="宋体" w:hAnsi="宋体" w:cs="Calibri"/>
                <w:color w:val="000000"/>
                <w:szCs w:val="21"/>
              </w:rPr>
              <w:t>88</w:t>
            </w:r>
            <w:r w:rsidRPr="00B602CB">
              <w:rPr>
                <w:rFonts w:ascii="宋体" w:hAnsi="宋体" w:cs="Calibri" w:hint="eastAsia"/>
                <w:color w:val="000000"/>
                <w:szCs w:val="21"/>
              </w:rPr>
              <w:t>号金座（北楼）</w:t>
            </w:r>
            <w:r w:rsidRPr="00B602CB">
              <w:rPr>
                <w:rFonts w:ascii="宋体" w:hAnsi="宋体" w:cs="Calibri"/>
                <w:color w:val="000000"/>
                <w:szCs w:val="21"/>
              </w:rPr>
              <w:t>25</w:t>
            </w:r>
            <w:r w:rsidRPr="00B602CB">
              <w:rPr>
                <w:rFonts w:ascii="宋体" w:hAnsi="宋体" w:cs="Calibri" w:hint="eastAsia"/>
                <w:color w:val="000000"/>
                <w:szCs w:val="21"/>
              </w:rPr>
              <w:t>层</w:t>
            </w:r>
          </w:p>
          <w:p w14:paraId="7605DAA9" w14:textId="77777777" w:rsidR="00A27A5B" w:rsidRPr="00B602CB" w:rsidRDefault="00A27A5B" w:rsidP="00360E55">
            <w:pPr>
              <w:snapToGrid w:val="0"/>
              <w:spacing w:line="360" w:lineRule="auto"/>
              <w:rPr>
                <w:rFonts w:ascii="宋体" w:hAnsi="宋体" w:cs="Calibri"/>
                <w:color w:val="000000"/>
                <w:szCs w:val="21"/>
              </w:rPr>
            </w:pPr>
            <w:r w:rsidRPr="00B602CB">
              <w:rPr>
                <w:rFonts w:ascii="宋体" w:hAnsi="宋体" w:cs="Calibri" w:hint="eastAsia"/>
                <w:color w:val="000000"/>
                <w:szCs w:val="21"/>
              </w:rPr>
              <w:t>客服电话：400-1818-188</w:t>
            </w:r>
          </w:p>
          <w:p w14:paraId="59A27556" w14:textId="77777777" w:rsidR="00A27A5B" w:rsidRPr="00B602CB" w:rsidRDefault="00A27A5B" w:rsidP="00360E55">
            <w:pPr>
              <w:snapToGrid w:val="0"/>
              <w:spacing w:line="360" w:lineRule="auto"/>
              <w:rPr>
                <w:rFonts w:ascii="宋体" w:hAnsi="宋体" w:cs="Calibri"/>
                <w:color w:val="000000"/>
                <w:szCs w:val="21"/>
              </w:rPr>
            </w:pPr>
            <w:r w:rsidRPr="00B602CB">
              <w:rPr>
                <w:rFonts w:ascii="宋体" w:hAnsi="宋体" w:cs="Calibri" w:hint="eastAsia"/>
                <w:color w:val="000000"/>
                <w:szCs w:val="21"/>
              </w:rPr>
              <w:t>网址：http://www.1234567.com.cn</w:t>
            </w:r>
          </w:p>
        </w:tc>
      </w:tr>
      <w:tr w:rsidR="00A27A5B" w:rsidRPr="00B602CB" w14:paraId="7EE225D2" w14:textId="77777777" w:rsidTr="00A27A5B">
        <w:trPr>
          <w:trHeight w:val="1667"/>
        </w:trPr>
        <w:tc>
          <w:tcPr>
            <w:tcW w:w="817" w:type="dxa"/>
          </w:tcPr>
          <w:p w14:paraId="638E6478"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4</w:t>
            </w:r>
          </w:p>
        </w:tc>
        <w:tc>
          <w:tcPr>
            <w:tcW w:w="2552" w:type="dxa"/>
          </w:tcPr>
          <w:p w14:paraId="68B1375E"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上海利得基金销售有限公司</w:t>
            </w:r>
          </w:p>
        </w:tc>
        <w:tc>
          <w:tcPr>
            <w:tcW w:w="5103" w:type="dxa"/>
          </w:tcPr>
          <w:p w14:paraId="71A600F0"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注册地址：上海市宝山区蕴川路5475号1033室</w:t>
            </w:r>
          </w:p>
          <w:p w14:paraId="087EF7B1"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客户服务电话：</w:t>
            </w:r>
            <w:r w:rsidRPr="00B602CB">
              <w:rPr>
                <w:rFonts w:ascii="宋体" w:hAnsi="宋体" w:cs="Calibri"/>
                <w:bCs/>
                <w:color w:val="000000"/>
                <w:szCs w:val="21"/>
              </w:rPr>
              <w:t>95733</w:t>
            </w:r>
          </w:p>
          <w:p w14:paraId="09F10890" w14:textId="77777777" w:rsidR="00A27A5B" w:rsidRPr="00B602CB" w:rsidRDefault="00A27A5B" w:rsidP="00360E55">
            <w:pPr>
              <w:spacing w:line="360" w:lineRule="auto"/>
              <w:rPr>
                <w:rFonts w:ascii="宋体" w:hAnsi="宋体" w:cs="Calibri"/>
                <w:bCs/>
                <w:color w:val="000000"/>
                <w:szCs w:val="21"/>
              </w:rPr>
            </w:pPr>
            <w:r w:rsidRPr="00B602CB">
              <w:rPr>
                <w:rFonts w:ascii="宋体" w:hAnsi="宋体" w:cs="Calibri" w:hint="eastAsia"/>
                <w:bCs/>
                <w:color w:val="000000"/>
                <w:szCs w:val="21"/>
              </w:rPr>
              <w:t>网址：</w:t>
            </w:r>
            <w:r w:rsidRPr="00B602CB">
              <w:rPr>
                <w:rFonts w:ascii="宋体" w:hAnsi="宋体" w:cs="Calibri"/>
                <w:bCs/>
                <w:color w:val="000000"/>
                <w:szCs w:val="21"/>
              </w:rPr>
              <w:t>www.leadfund.com.cn</w:t>
            </w:r>
          </w:p>
        </w:tc>
      </w:tr>
      <w:tr w:rsidR="00A27A5B" w:rsidRPr="00C565E8" w14:paraId="177EF21E" w14:textId="77777777" w:rsidTr="00A27A5B">
        <w:tc>
          <w:tcPr>
            <w:tcW w:w="817" w:type="dxa"/>
          </w:tcPr>
          <w:p w14:paraId="44D1DB41"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5</w:t>
            </w:r>
          </w:p>
        </w:tc>
        <w:tc>
          <w:tcPr>
            <w:tcW w:w="2552" w:type="dxa"/>
          </w:tcPr>
          <w:p w14:paraId="41D53118" w14:textId="77777777" w:rsidR="00A27A5B" w:rsidRDefault="00A27A5B" w:rsidP="00360E55">
            <w:pPr>
              <w:pStyle w:val="aff1"/>
              <w:widowControl/>
              <w:ind w:firstLineChars="0" w:firstLine="0"/>
            </w:pPr>
            <w:r>
              <w:t>上海万得基金销售有限公司</w:t>
            </w:r>
            <w:r>
              <w:t xml:space="preserve"> </w:t>
            </w:r>
          </w:p>
          <w:p w14:paraId="2AC92F73" w14:textId="77777777" w:rsidR="00A27A5B" w:rsidRPr="00B602CB" w:rsidRDefault="00A27A5B" w:rsidP="00360E55">
            <w:pPr>
              <w:pStyle w:val="aff1"/>
              <w:widowControl/>
              <w:rPr>
                <w:rFonts w:cs="Calibri"/>
                <w:bCs/>
              </w:rPr>
            </w:pPr>
          </w:p>
        </w:tc>
        <w:tc>
          <w:tcPr>
            <w:tcW w:w="5103" w:type="dxa"/>
          </w:tcPr>
          <w:p w14:paraId="032E1E6E" w14:textId="77777777" w:rsidR="00A27A5B" w:rsidRDefault="00A27A5B" w:rsidP="00360E55">
            <w:pPr>
              <w:pStyle w:val="aff1"/>
              <w:widowControl/>
              <w:ind w:firstLineChars="0" w:firstLine="0"/>
            </w:pPr>
            <w:r>
              <w:t>注册</w:t>
            </w:r>
            <w:r w:rsidRPr="00C52A47">
              <w:rPr>
                <w:rFonts w:cs="Calibri" w:hint="eastAsia"/>
              </w:rPr>
              <w:t>（办公）</w:t>
            </w:r>
            <w:r>
              <w:t>地址：中国（上海）自由贸易试验区福山路</w:t>
            </w:r>
            <w:r>
              <w:t xml:space="preserve"> 33 </w:t>
            </w:r>
            <w:r>
              <w:t>号</w:t>
            </w:r>
            <w:r>
              <w:t xml:space="preserve"> 11 </w:t>
            </w:r>
            <w:r>
              <w:t>楼</w:t>
            </w:r>
            <w:r>
              <w:t xml:space="preserve"> B </w:t>
            </w:r>
            <w:r>
              <w:t>座</w:t>
            </w:r>
            <w:r>
              <w:t xml:space="preserve"> </w:t>
            </w:r>
          </w:p>
          <w:p w14:paraId="1B5218A9" w14:textId="77777777" w:rsidR="00A27A5B" w:rsidRDefault="00A27A5B" w:rsidP="00360E55">
            <w:pPr>
              <w:pStyle w:val="aff1"/>
              <w:widowControl/>
              <w:ind w:firstLineChars="0" w:firstLine="0"/>
            </w:pPr>
            <w:r>
              <w:t>客户服务电话：</w:t>
            </w:r>
            <w:r>
              <w:t xml:space="preserve">400-799-1888 </w:t>
            </w:r>
          </w:p>
          <w:p w14:paraId="3788D5CD" w14:textId="77777777" w:rsidR="00A27A5B" w:rsidRPr="00C565E8" w:rsidRDefault="00A27A5B" w:rsidP="00360E55">
            <w:pPr>
              <w:pStyle w:val="aff1"/>
              <w:widowControl/>
            </w:pPr>
            <w:r>
              <w:t>网址：</w:t>
            </w:r>
            <w:r>
              <w:t xml:space="preserve">www.520fund.com.cn  </w:t>
            </w:r>
          </w:p>
        </w:tc>
      </w:tr>
      <w:tr w:rsidR="00A27A5B" w:rsidRPr="00B602CB" w14:paraId="4215DBB8" w14:textId="77777777" w:rsidTr="00A27A5B">
        <w:tc>
          <w:tcPr>
            <w:tcW w:w="817" w:type="dxa"/>
          </w:tcPr>
          <w:p w14:paraId="7C1B17CD"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6</w:t>
            </w:r>
          </w:p>
        </w:tc>
        <w:tc>
          <w:tcPr>
            <w:tcW w:w="2552" w:type="dxa"/>
          </w:tcPr>
          <w:p w14:paraId="366D0870" w14:textId="77777777" w:rsidR="00A27A5B" w:rsidRDefault="00A27A5B" w:rsidP="00360E55">
            <w:pPr>
              <w:pStyle w:val="aff1"/>
              <w:widowControl/>
              <w:ind w:firstLineChars="0" w:firstLine="0"/>
            </w:pPr>
            <w:r>
              <w:t>泛华</w:t>
            </w:r>
            <w:proofErr w:type="gramStart"/>
            <w:r>
              <w:t>普益基金</w:t>
            </w:r>
            <w:proofErr w:type="gramEnd"/>
            <w:r>
              <w:t>销售有限公司</w:t>
            </w:r>
            <w:r>
              <w:t xml:space="preserve"> </w:t>
            </w:r>
          </w:p>
          <w:p w14:paraId="0FE978FF" w14:textId="77777777" w:rsidR="00A27A5B" w:rsidRPr="00B602CB" w:rsidRDefault="00A27A5B" w:rsidP="00360E55">
            <w:pPr>
              <w:spacing w:line="360" w:lineRule="auto"/>
              <w:rPr>
                <w:rFonts w:ascii="宋体" w:hAnsi="宋体" w:cs="Calibri"/>
                <w:bCs/>
                <w:color w:val="000000"/>
                <w:szCs w:val="21"/>
              </w:rPr>
            </w:pPr>
          </w:p>
        </w:tc>
        <w:tc>
          <w:tcPr>
            <w:tcW w:w="5103" w:type="dxa"/>
          </w:tcPr>
          <w:p w14:paraId="0AD38CFB" w14:textId="77777777" w:rsidR="00A27A5B" w:rsidRDefault="00A27A5B" w:rsidP="00360E55">
            <w:pPr>
              <w:pStyle w:val="aff1"/>
              <w:widowControl/>
              <w:ind w:firstLineChars="0" w:firstLine="0"/>
            </w:pPr>
            <w:r>
              <w:t>注册</w:t>
            </w:r>
            <w:r w:rsidRPr="00C52A47">
              <w:rPr>
                <w:rFonts w:cs="Calibri" w:hint="eastAsia"/>
              </w:rPr>
              <w:t>（办公）</w:t>
            </w:r>
            <w:r>
              <w:t>地址：成都市成华区建设路</w:t>
            </w:r>
            <w:r>
              <w:t>9</w:t>
            </w:r>
            <w:r>
              <w:t>号高地中心</w:t>
            </w:r>
            <w:r>
              <w:t xml:space="preserve">1101 </w:t>
            </w:r>
            <w:r>
              <w:t>室</w:t>
            </w:r>
          </w:p>
          <w:p w14:paraId="70D43174" w14:textId="77777777" w:rsidR="00A27A5B" w:rsidRDefault="00A27A5B" w:rsidP="00360E55">
            <w:pPr>
              <w:pStyle w:val="aff1"/>
              <w:widowControl/>
              <w:ind w:firstLineChars="0" w:firstLine="0"/>
            </w:pPr>
            <w:r>
              <w:t>客户服务电话：</w:t>
            </w:r>
            <w:r>
              <w:t xml:space="preserve">400-080-3388 </w:t>
            </w:r>
          </w:p>
          <w:p w14:paraId="177A18CB" w14:textId="77777777" w:rsidR="00A27A5B" w:rsidRPr="00B602CB" w:rsidRDefault="00A27A5B" w:rsidP="00360E55">
            <w:pPr>
              <w:spacing w:line="360" w:lineRule="auto"/>
              <w:rPr>
                <w:rFonts w:ascii="宋体" w:hAnsi="宋体" w:cs="Calibri"/>
                <w:bCs/>
                <w:color w:val="000000"/>
                <w:szCs w:val="21"/>
              </w:rPr>
            </w:pPr>
            <w:r>
              <w:t>网址：</w:t>
            </w:r>
            <w:hyperlink r:id="rId15" w:history="1">
              <w:r w:rsidRPr="00F52337">
                <w:rPr>
                  <w:rStyle w:val="afc"/>
                </w:rPr>
                <w:t>www.puyifund.com</w:t>
              </w:r>
            </w:hyperlink>
          </w:p>
        </w:tc>
      </w:tr>
      <w:tr w:rsidR="00A27A5B" w:rsidRPr="00C565E8" w14:paraId="5851F377" w14:textId="77777777" w:rsidTr="00A27A5B">
        <w:tc>
          <w:tcPr>
            <w:tcW w:w="817" w:type="dxa"/>
          </w:tcPr>
          <w:p w14:paraId="5B9AEF9E"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7</w:t>
            </w:r>
          </w:p>
        </w:tc>
        <w:tc>
          <w:tcPr>
            <w:tcW w:w="2552" w:type="dxa"/>
          </w:tcPr>
          <w:p w14:paraId="61E76F11" w14:textId="77777777" w:rsidR="00A27A5B" w:rsidRDefault="00A27A5B" w:rsidP="00360E55">
            <w:pPr>
              <w:pStyle w:val="aff1"/>
              <w:widowControl/>
              <w:ind w:firstLineChars="0" w:firstLine="0"/>
            </w:pPr>
            <w:proofErr w:type="gramStart"/>
            <w:r w:rsidRPr="00995BFF">
              <w:rPr>
                <w:rFonts w:hint="eastAsia"/>
              </w:rPr>
              <w:t>众惠基金</w:t>
            </w:r>
            <w:proofErr w:type="gramEnd"/>
            <w:r w:rsidRPr="00995BFF">
              <w:rPr>
                <w:rFonts w:hint="eastAsia"/>
              </w:rPr>
              <w:t>销售有限公司</w:t>
            </w:r>
          </w:p>
          <w:p w14:paraId="069CC3E2" w14:textId="77777777" w:rsidR="00A27A5B" w:rsidRPr="00B602CB" w:rsidRDefault="00A27A5B" w:rsidP="00360E55">
            <w:pPr>
              <w:pStyle w:val="aff1"/>
              <w:widowControl/>
              <w:rPr>
                <w:rFonts w:cs="Calibri"/>
                <w:bCs/>
              </w:rPr>
            </w:pPr>
          </w:p>
        </w:tc>
        <w:tc>
          <w:tcPr>
            <w:tcW w:w="5103" w:type="dxa"/>
          </w:tcPr>
          <w:p w14:paraId="47136D5F" w14:textId="77777777" w:rsidR="00A27A5B" w:rsidRDefault="00A27A5B" w:rsidP="00360E55">
            <w:pPr>
              <w:pStyle w:val="aff1"/>
              <w:widowControl/>
              <w:ind w:firstLineChars="0" w:firstLine="0"/>
            </w:pPr>
            <w:r>
              <w:t>注册</w:t>
            </w:r>
            <w:r w:rsidRPr="00C52A47">
              <w:rPr>
                <w:rFonts w:cs="Calibri" w:hint="eastAsia"/>
              </w:rPr>
              <w:t>（办公）</w:t>
            </w:r>
            <w:r>
              <w:t>地址：</w:t>
            </w:r>
            <w:r w:rsidRPr="00995BFF">
              <w:rPr>
                <w:rFonts w:hint="eastAsia"/>
              </w:rPr>
              <w:t>贵州省贵阳市观山湖区长岭北路贵阳国际金融中心二期商务区第</w:t>
            </w:r>
            <w:r w:rsidRPr="00995BFF">
              <w:rPr>
                <w:rFonts w:hint="eastAsia"/>
              </w:rPr>
              <w:t>C4</w:t>
            </w:r>
            <w:r w:rsidRPr="00995BFF">
              <w:rPr>
                <w:rFonts w:hint="eastAsia"/>
              </w:rPr>
              <w:t>栋</w:t>
            </w:r>
            <w:r w:rsidRPr="00995BFF">
              <w:rPr>
                <w:rFonts w:hint="eastAsia"/>
              </w:rPr>
              <w:t>30</w:t>
            </w:r>
            <w:r w:rsidRPr="00995BFF">
              <w:rPr>
                <w:rFonts w:hint="eastAsia"/>
              </w:rPr>
              <w:t>层</w:t>
            </w:r>
          </w:p>
          <w:p w14:paraId="4F57BF29" w14:textId="77777777" w:rsidR="00A27A5B" w:rsidRDefault="00A27A5B" w:rsidP="00360E55">
            <w:pPr>
              <w:pStyle w:val="aff1"/>
              <w:widowControl/>
              <w:ind w:firstLineChars="0" w:firstLine="0"/>
            </w:pPr>
            <w:r>
              <w:rPr>
                <w:rFonts w:hint="eastAsia"/>
              </w:rPr>
              <w:t>客服电话：</w:t>
            </w:r>
            <w:r>
              <w:rPr>
                <w:rFonts w:hint="eastAsia"/>
              </w:rPr>
              <w:t>400-839-1818</w:t>
            </w:r>
          </w:p>
          <w:p w14:paraId="744D6614" w14:textId="77777777" w:rsidR="00A27A5B" w:rsidRPr="00C565E8" w:rsidRDefault="00A27A5B" w:rsidP="00360E55">
            <w:pPr>
              <w:pStyle w:val="aff1"/>
              <w:widowControl/>
            </w:pPr>
            <w:r>
              <w:rPr>
                <w:rFonts w:hint="eastAsia"/>
              </w:rPr>
              <w:t>公司网站：</w:t>
            </w:r>
            <w:r>
              <w:rPr>
                <w:rFonts w:hint="eastAsia"/>
              </w:rPr>
              <w:t>www.hyzhfund.com</w:t>
            </w:r>
          </w:p>
        </w:tc>
      </w:tr>
      <w:tr w:rsidR="00A27A5B" w:rsidRPr="00B45A71" w14:paraId="40FF6371" w14:textId="77777777" w:rsidTr="00A27A5B">
        <w:tc>
          <w:tcPr>
            <w:tcW w:w="817" w:type="dxa"/>
          </w:tcPr>
          <w:p w14:paraId="5AF61324"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8</w:t>
            </w:r>
          </w:p>
        </w:tc>
        <w:tc>
          <w:tcPr>
            <w:tcW w:w="2552" w:type="dxa"/>
          </w:tcPr>
          <w:p w14:paraId="2D493009" w14:textId="77777777" w:rsidR="00A27A5B" w:rsidRPr="00B602CB" w:rsidRDefault="00A27A5B" w:rsidP="00360E55">
            <w:pPr>
              <w:pStyle w:val="a6"/>
              <w:rPr>
                <w:rFonts w:ascii="宋体" w:hAnsi="宋体" w:cs="Calibri"/>
                <w:bCs/>
                <w:color w:val="000000"/>
                <w:szCs w:val="21"/>
              </w:rPr>
            </w:pPr>
            <w:r>
              <w:t>北京</w:t>
            </w:r>
            <w:proofErr w:type="gramStart"/>
            <w:r>
              <w:t>创金启富基金</w:t>
            </w:r>
            <w:proofErr w:type="gramEnd"/>
            <w:r>
              <w:t>销售有限公司</w:t>
            </w:r>
          </w:p>
        </w:tc>
        <w:tc>
          <w:tcPr>
            <w:tcW w:w="5103" w:type="dxa"/>
          </w:tcPr>
          <w:p w14:paraId="6BC48895" w14:textId="77777777" w:rsidR="00A27A5B" w:rsidRDefault="00A27A5B" w:rsidP="00360E55">
            <w:pPr>
              <w:pStyle w:val="a6"/>
            </w:pPr>
            <w:r>
              <w:t>注册</w:t>
            </w:r>
            <w:r w:rsidRPr="00C52A47">
              <w:rPr>
                <w:rFonts w:ascii="宋体" w:hAnsi="宋体" w:cs="Calibri" w:hint="eastAsia"/>
                <w:color w:val="000000"/>
                <w:szCs w:val="21"/>
              </w:rPr>
              <w:t>（办公）</w:t>
            </w:r>
            <w:r>
              <w:t>地址：</w:t>
            </w:r>
            <w:r w:rsidRPr="00995BFF">
              <w:rPr>
                <w:rFonts w:hint="eastAsia"/>
              </w:rPr>
              <w:t>北京市西城区白纸坊东街</w:t>
            </w:r>
            <w:r w:rsidRPr="00995BFF">
              <w:rPr>
                <w:rFonts w:hint="eastAsia"/>
              </w:rPr>
              <w:t>2</w:t>
            </w:r>
            <w:r w:rsidRPr="00995BFF">
              <w:rPr>
                <w:rFonts w:hint="eastAsia"/>
              </w:rPr>
              <w:t>号经济日报社</w:t>
            </w:r>
            <w:r w:rsidRPr="00995BFF">
              <w:rPr>
                <w:rFonts w:hint="eastAsia"/>
              </w:rPr>
              <w:t>A</w:t>
            </w:r>
            <w:proofErr w:type="gramStart"/>
            <w:r w:rsidRPr="00995BFF">
              <w:rPr>
                <w:rFonts w:hint="eastAsia"/>
              </w:rPr>
              <w:t>座综合</w:t>
            </w:r>
            <w:proofErr w:type="gramEnd"/>
            <w:r w:rsidRPr="00995BFF">
              <w:rPr>
                <w:rFonts w:hint="eastAsia"/>
              </w:rPr>
              <w:t>楼</w:t>
            </w:r>
            <w:r w:rsidRPr="00995BFF">
              <w:rPr>
                <w:rFonts w:hint="eastAsia"/>
              </w:rPr>
              <w:t>712</w:t>
            </w:r>
            <w:r w:rsidRPr="00995BFF">
              <w:rPr>
                <w:rFonts w:hint="eastAsia"/>
              </w:rPr>
              <w:t>室</w:t>
            </w:r>
          </w:p>
          <w:p w14:paraId="6DB8A89F" w14:textId="77777777" w:rsidR="00A27A5B" w:rsidRDefault="00A27A5B" w:rsidP="00360E55">
            <w:pPr>
              <w:pStyle w:val="a6"/>
            </w:pPr>
            <w:r>
              <w:t>客服电话：</w:t>
            </w:r>
            <w:r>
              <w:t xml:space="preserve">010-66154828 </w:t>
            </w:r>
          </w:p>
          <w:p w14:paraId="6029DC90" w14:textId="77777777" w:rsidR="00A27A5B" w:rsidRPr="00B45A71" w:rsidRDefault="00A27A5B" w:rsidP="00360E55">
            <w:pPr>
              <w:pStyle w:val="a6"/>
              <w:rPr>
                <w:szCs w:val="24"/>
              </w:rPr>
            </w:pPr>
            <w:r>
              <w:t>公司网站：</w:t>
            </w:r>
            <w:r>
              <w:t>corp.5irich.com</w:t>
            </w:r>
          </w:p>
        </w:tc>
      </w:tr>
      <w:tr w:rsidR="00A27A5B" w:rsidRPr="00B45A71" w14:paraId="29CC5E12" w14:textId="77777777" w:rsidTr="00A27A5B">
        <w:tc>
          <w:tcPr>
            <w:tcW w:w="817" w:type="dxa"/>
          </w:tcPr>
          <w:p w14:paraId="2096CBCE" w14:textId="77777777" w:rsidR="00A27A5B" w:rsidRPr="00B602CB" w:rsidRDefault="00A27A5B" w:rsidP="00360E55">
            <w:pPr>
              <w:snapToGrid w:val="0"/>
              <w:spacing w:line="360" w:lineRule="auto"/>
              <w:rPr>
                <w:rFonts w:ascii="宋体" w:hAnsi="宋体"/>
                <w:szCs w:val="21"/>
              </w:rPr>
            </w:pPr>
            <w:r>
              <w:rPr>
                <w:rFonts w:ascii="宋体" w:hAnsi="宋体" w:hint="eastAsia"/>
                <w:szCs w:val="21"/>
              </w:rPr>
              <w:t>9</w:t>
            </w:r>
          </w:p>
        </w:tc>
        <w:tc>
          <w:tcPr>
            <w:tcW w:w="2552" w:type="dxa"/>
          </w:tcPr>
          <w:p w14:paraId="54156AF0" w14:textId="77777777" w:rsidR="00A27A5B" w:rsidRDefault="00A27A5B" w:rsidP="00360E55">
            <w:pPr>
              <w:pStyle w:val="a6"/>
            </w:pPr>
            <w:r>
              <w:rPr>
                <w:rFonts w:hint="eastAsia"/>
              </w:rPr>
              <w:t>和讯信息科技有限公司</w:t>
            </w:r>
          </w:p>
          <w:p w14:paraId="54B44F81" w14:textId="77777777" w:rsidR="00A27A5B" w:rsidRPr="00C565E8" w:rsidRDefault="00A27A5B" w:rsidP="00360E55">
            <w:pPr>
              <w:pStyle w:val="a6"/>
              <w:rPr>
                <w:rFonts w:ascii="宋体" w:hAnsi="宋体" w:cs="Calibri"/>
                <w:bCs/>
                <w:color w:val="000000"/>
                <w:szCs w:val="21"/>
              </w:rPr>
            </w:pPr>
          </w:p>
        </w:tc>
        <w:tc>
          <w:tcPr>
            <w:tcW w:w="5103" w:type="dxa"/>
          </w:tcPr>
          <w:p w14:paraId="245AEB4C" w14:textId="77777777" w:rsidR="00A27A5B" w:rsidRPr="00995BFF" w:rsidRDefault="00A27A5B" w:rsidP="00360E55">
            <w:pPr>
              <w:pStyle w:val="a6"/>
            </w:pPr>
            <w:r>
              <w:t>注册</w:t>
            </w:r>
            <w:r w:rsidRPr="00C52A47">
              <w:rPr>
                <w:rFonts w:ascii="宋体" w:hAnsi="宋体" w:cs="Calibri" w:hint="eastAsia"/>
                <w:color w:val="000000"/>
                <w:szCs w:val="21"/>
              </w:rPr>
              <w:t>（办公）</w:t>
            </w:r>
            <w:r>
              <w:t>地址：</w:t>
            </w:r>
            <w:r w:rsidRPr="00995BFF">
              <w:rPr>
                <w:rFonts w:hint="eastAsia"/>
              </w:rPr>
              <w:t>北京市朝外大街</w:t>
            </w:r>
            <w:r w:rsidRPr="00995BFF">
              <w:rPr>
                <w:rFonts w:hint="eastAsia"/>
              </w:rPr>
              <w:t>22</w:t>
            </w:r>
            <w:r w:rsidRPr="00995BFF">
              <w:rPr>
                <w:rFonts w:hint="eastAsia"/>
              </w:rPr>
              <w:t>号</w:t>
            </w:r>
            <w:r w:rsidRPr="00995BFF">
              <w:rPr>
                <w:rFonts w:hint="eastAsia"/>
              </w:rPr>
              <w:t xml:space="preserve"> </w:t>
            </w:r>
            <w:proofErr w:type="gramStart"/>
            <w:r w:rsidRPr="00995BFF">
              <w:rPr>
                <w:rFonts w:hint="eastAsia"/>
              </w:rPr>
              <w:t>泛利大厦</w:t>
            </w:r>
            <w:proofErr w:type="gramEnd"/>
            <w:r w:rsidRPr="00995BFF">
              <w:rPr>
                <w:rFonts w:hint="eastAsia"/>
              </w:rPr>
              <w:t>10</w:t>
            </w:r>
            <w:r w:rsidRPr="00995BFF">
              <w:rPr>
                <w:rFonts w:hint="eastAsia"/>
              </w:rPr>
              <w:t>层</w:t>
            </w:r>
          </w:p>
          <w:p w14:paraId="4F017782" w14:textId="77777777" w:rsidR="00A27A5B" w:rsidRDefault="00A27A5B" w:rsidP="00360E55">
            <w:pPr>
              <w:pStyle w:val="a6"/>
            </w:pPr>
            <w:r>
              <w:rPr>
                <w:rFonts w:hint="eastAsia"/>
              </w:rPr>
              <w:t>客服电话：</w:t>
            </w:r>
            <w:r>
              <w:rPr>
                <w:rFonts w:hint="eastAsia"/>
              </w:rPr>
              <w:t>400-920-0022</w:t>
            </w:r>
          </w:p>
          <w:p w14:paraId="06529936" w14:textId="77777777" w:rsidR="00A27A5B" w:rsidRPr="00B45A71" w:rsidRDefault="00A27A5B" w:rsidP="00360E55">
            <w:pPr>
              <w:pStyle w:val="a6"/>
              <w:rPr>
                <w:color w:val="0000FF"/>
                <w:szCs w:val="24"/>
                <w:u w:val="single"/>
              </w:rPr>
            </w:pPr>
            <w:r>
              <w:rPr>
                <w:rFonts w:hint="eastAsia"/>
              </w:rPr>
              <w:t>公司网站：</w:t>
            </w:r>
            <w:hyperlink r:id="rId16" w:history="1">
              <w:r w:rsidRPr="00F52337">
                <w:rPr>
                  <w:rStyle w:val="afc"/>
                  <w:rFonts w:hint="eastAsia"/>
                </w:rPr>
                <w:t>www.licaike.com</w:t>
              </w:r>
            </w:hyperlink>
          </w:p>
        </w:tc>
      </w:tr>
      <w:tr w:rsidR="00A27A5B" w14:paraId="52B43A9A" w14:textId="77777777" w:rsidTr="00A27A5B">
        <w:tc>
          <w:tcPr>
            <w:tcW w:w="817" w:type="dxa"/>
          </w:tcPr>
          <w:p w14:paraId="2041ADE2" w14:textId="77777777" w:rsidR="00A27A5B" w:rsidRDefault="00A27A5B" w:rsidP="00360E55">
            <w:pPr>
              <w:snapToGrid w:val="0"/>
              <w:spacing w:line="360" w:lineRule="auto"/>
              <w:rPr>
                <w:rFonts w:ascii="宋体" w:hAnsi="宋体"/>
                <w:szCs w:val="21"/>
              </w:rPr>
            </w:pPr>
            <w:r>
              <w:rPr>
                <w:rFonts w:ascii="宋体" w:hAnsi="宋体" w:hint="eastAsia"/>
                <w:szCs w:val="21"/>
              </w:rPr>
              <w:t>10</w:t>
            </w:r>
          </w:p>
        </w:tc>
        <w:tc>
          <w:tcPr>
            <w:tcW w:w="2552" w:type="dxa"/>
          </w:tcPr>
          <w:p w14:paraId="12B88CAC" w14:textId="77777777" w:rsidR="00A27A5B" w:rsidRDefault="00A27A5B" w:rsidP="00360E55">
            <w:pPr>
              <w:pStyle w:val="a6"/>
            </w:pPr>
            <w:proofErr w:type="gramStart"/>
            <w:r w:rsidRPr="008271B8">
              <w:rPr>
                <w:rFonts w:hint="eastAsia"/>
              </w:rPr>
              <w:t>泰信财富</w:t>
            </w:r>
            <w:proofErr w:type="gramEnd"/>
            <w:r w:rsidRPr="008271B8">
              <w:rPr>
                <w:rFonts w:hint="eastAsia"/>
              </w:rPr>
              <w:t>基金销售有限公司</w:t>
            </w:r>
          </w:p>
          <w:p w14:paraId="4CF96698" w14:textId="77777777" w:rsidR="00A27A5B" w:rsidRDefault="00A27A5B" w:rsidP="00360E55">
            <w:pPr>
              <w:pStyle w:val="a6"/>
            </w:pPr>
          </w:p>
        </w:tc>
        <w:tc>
          <w:tcPr>
            <w:tcW w:w="5103" w:type="dxa"/>
          </w:tcPr>
          <w:p w14:paraId="16E1B355" w14:textId="77777777" w:rsidR="00A27A5B" w:rsidRDefault="00A27A5B" w:rsidP="00360E55">
            <w:pPr>
              <w:pStyle w:val="a6"/>
            </w:pPr>
            <w:r w:rsidRPr="00C52A47">
              <w:rPr>
                <w:rFonts w:ascii="宋体" w:hAnsi="宋体" w:cs="Calibri" w:hint="eastAsia"/>
                <w:color w:val="000000"/>
                <w:szCs w:val="21"/>
              </w:rPr>
              <w:t>注册（办公）地址：</w:t>
            </w:r>
            <w:r w:rsidRPr="008271B8">
              <w:rPr>
                <w:rFonts w:hint="eastAsia"/>
              </w:rPr>
              <w:t>北京市朝阳区建国</w:t>
            </w:r>
            <w:proofErr w:type="gramStart"/>
            <w:r w:rsidRPr="008271B8">
              <w:rPr>
                <w:rFonts w:hint="eastAsia"/>
              </w:rPr>
              <w:t>路乙</w:t>
            </w:r>
            <w:r w:rsidRPr="008271B8">
              <w:rPr>
                <w:rFonts w:hint="eastAsia"/>
              </w:rPr>
              <w:t>118</w:t>
            </w:r>
            <w:r w:rsidRPr="008271B8">
              <w:rPr>
                <w:rFonts w:hint="eastAsia"/>
              </w:rPr>
              <w:t>号京汇</w:t>
            </w:r>
            <w:proofErr w:type="gramEnd"/>
            <w:r w:rsidRPr="008271B8">
              <w:rPr>
                <w:rFonts w:hint="eastAsia"/>
              </w:rPr>
              <w:t>大厦</w:t>
            </w:r>
            <w:r w:rsidRPr="008271B8">
              <w:rPr>
                <w:rFonts w:hint="eastAsia"/>
              </w:rPr>
              <w:t>1206</w:t>
            </w:r>
          </w:p>
          <w:p w14:paraId="6BA97CBF" w14:textId="77777777" w:rsidR="00A27A5B" w:rsidRDefault="00A27A5B" w:rsidP="00360E55">
            <w:pPr>
              <w:pStyle w:val="a6"/>
            </w:pPr>
            <w:r>
              <w:t>客户服务电话：</w:t>
            </w:r>
            <w:r>
              <w:t xml:space="preserve">400-004-8821 </w:t>
            </w:r>
          </w:p>
          <w:p w14:paraId="6023A66B" w14:textId="77777777" w:rsidR="00A27A5B" w:rsidRDefault="00A27A5B" w:rsidP="00360E55">
            <w:pPr>
              <w:pStyle w:val="a6"/>
            </w:pPr>
            <w:r>
              <w:t>网址：</w:t>
            </w:r>
            <w:hyperlink r:id="rId17" w:history="1">
              <w:r w:rsidRPr="00F52337">
                <w:rPr>
                  <w:rStyle w:val="afc"/>
                </w:rPr>
                <w:t>www.taixincf.com</w:t>
              </w:r>
            </w:hyperlink>
          </w:p>
        </w:tc>
      </w:tr>
      <w:tr w:rsidR="00B23014" w14:paraId="7B7D8360" w14:textId="77777777" w:rsidTr="00A27A5B">
        <w:tc>
          <w:tcPr>
            <w:tcW w:w="817" w:type="dxa"/>
          </w:tcPr>
          <w:p w14:paraId="5238CDFB" w14:textId="7D8896A3" w:rsidR="00B23014" w:rsidRDefault="00B23014" w:rsidP="00B23014">
            <w:pPr>
              <w:snapToGrid w:val="0"/>
              <w:spacing w:line="360" w:lineRule="auto"/>
              <w:rPr>
                <w:rFonts w:ascii="宋体" w:hAnsi="宋体"/>
                <w:szCs w:val="21"/>
              </w:rPr>
            </w:pPr>
            <w:r>
              <w:rPr>
                <w:rFonts w:ascii="宋体" w:hAnsi="宋体" w:hint="eastAsia"/>
                <w:szCs w:val="21"/>
              </w:rPr>
              <w:t>11</w:t>
            </w:r>
          </w:p>
        </w:tc>
        <w:tc>
          <w:tcPr>
            <w:tcW w:w="2552" w:type="dxa"/>
          </w:tcPr>
          <w:p w14:paraId="7C07DE60" w14:textId="77777777" w:rsidR="00B23014" w:rsidRDefault="00B23014" w:rsidP="00B23014">
            <w:pPr>
              <w:pStyle w:val="a6"/>
            </w:pPr>
            <w:proofErr w:type="gramStart"/>
            <w:r w:rsidRPr="00EB354D">
              <w:rPr>
                <w:rFonts w:hint="eastAsia"/>
              </w:rPr>
              <w:t>腾安基金</w:t>
            </w:r>
            <w:proofErr w:type="gramEnd"/>
            <w:r w:rsidRPr="00EB354D">
              <w:rPr>
                <w:rFonts w:hint="eastAsia"/>
              </w:rPr>
              <w:t>销售（深圳）有限公司</w:t>
            </w:r>
          </w:p>
          <w:p w14:paraId="6842EC0D" w14:textId="77777777" w:rsidR="00B23014" w:rsidRPr="008271B8" w:rsidRDefault="00B23014" w:rsidP="00B23014">
            <w:pPr>
              <w:pStyle w:val="a6"/>
            </w:pPr>
          </w:p>
        </w:tc>
        <w:tc>
          <w:tcPr>
            <w:tcW w:w="5103" w:type="dxa"/>
          </w:tcPr>
          <w:p w14:paraId="54EB101F" w14:textId="77777777" w:rsidR="00B23014" w:rsidRDefault="00B23014" w:rsidP="00B23014">
            <w:pPr>
              <w:pStyle w:val="a6"/>
            </w:pPr>
            <w:r>
              <w:t>注册</w:t>
            </w:r>
            <w:r w:rsidRPr="00C52A47">
              <w:rPr>
                <w:rFonts w:ascii="宋体" w:hAnsi="宋体" w:cs="Calibri" w:hint="eastAsia"/>
                <w:color w:val="000000"/>
                <w:szCs w:val="21"/>
              </w:rPr>
              <w:t>（办公）</w:t>
            </w:r>
            <w:r>
              <w:t>地址：</w:t>
            </w:r>
            <w:r w:rsidRPr="00EB354D">
              <w:rPr>
                <w:rFonts w:hint="eastAsia"/>
              </w:rPr>
              <w:t>深圳市南山区海天二路</w:t>
            </w:r>
            <w:proofErr w:type="gramStart"/>
            <w:r w:rsidRPr="00EB354D">
              <w:rPr>
                <w:rFonts w:hint="eastAsia"/>
              </w:rPr>
              <w:t>33</w:t>
            </w:r>
            <w:r w:rsidRPr="00EB354D">
              <w:rPr>
                <w:rFonts w:hint="eastAsia"/>
              </w:rPr>
              <w:t>号腾讯滨海</w:t>
            </w:r>
            <w:proofErr w:type="gramEnd"/>
            <w:r w:rsidRPr="00EB354D">
              <w:rPr>
                <w:rFonts w:hint="eastAsia"/>
              </w:rPr>
              <w:t>大厦</w:t>
            </w:r>
            <w:r w:rsidRPr="00EB354D">
              <w:rPr>
                <w:rFonts w:hint="eastAsia"/>
              </w:rPr>
              <w:t>15</w:t>
            </w:r>
            <w:r w:rsidRPr="00EB354D">
              <w:rPr>
                <w:rFonts w:hint="eastAsia"/>
              </w:rPr>
              <w:t>楼</w:t>
            </w:r>
          </w:p>
          <w:p w14:paraId="58D649DB" w14:textId="77777777" w:rsidR="00B23014" w:rsidRDefault="00B23014" w:rsidP="00B23014">
            <w:pPr>
              <w:pStyle w:val="a6"/>
            </w:pPr>
            <w:r>
              <w:t>客服电话：</w:t>
            </w:r>
            <w:r>
              <w:t>95017(</w:t>
            </w:r>
            <w:r>
              <w:t>拨通后转</w:t>
            </w:r>
            <w:r>
              <w:t xml:space="preserve"> 1 </w:t>
            </w:r>
            <w:r>
              <w:t>转</w:t>
            </w:r>
            <w:r>
              <w:t xml:space="preserve"> 8) </w:t>
            </w:r>
          </w:p>
          <w:p w14:paraId="6A668EB4" w14:textId="2FDC332C" w:rsidR="00B23014" w:rsidRPr="00C52A47" w:rsidRDefault="00B23014" w:rsidP="00B23014">
            <w:pPr>
              <w:pStyle w:val="a6"/>
              <w:rPr>
                <w:rFonts w:ascii="宋体" w:hAnsi="宋体" w:cs="Calibri"/>
                <w:color w:val="000000"/>
                <w:szCs w:val="21"/>
              </w:rPr>
            </w:pPr>
            <w:r>
              <w:t>公司网站：</w:t>
            </w:r>
            <w:hyperlink r:id="rId18" w:history="1">
              <w:r w:rsidRPr="003D32C5">
                <w:rPr>
                  <w:rStyle w:val="afc"/>
                </w:rPr>
                <w:t>www.txfund.com</w:t>
              </w:r>
            </w:hyperlink>
          </w:p>
        </w:tc>
      </w:tr>
      <w:tr w:rsidR="00B23014" w14:paraId="48AE7C84" w14:textId="77777777" w:rsidTr="00A27A5B">
        <w:tc>
          <w:tcPr>
            <w:tcW w:w="817" w:type="dxa"/>
          </w:tcPr>
          <w:p w14:paraId="41417200" w14:textId="2DA3E5F1" w:rsidR="00B23014" w:rsidRDefault="00B23014" w:rsidP="00B23014">
            <w:pPr>
              <w:snapToGrid w:val="0"/>
              <w:spacing w:line="360" w:lineRule="auto"/>
              <w:rPr>
                <w:rFonts w:ascii="宋体" w:hAnsi="宋体"/>
                <w:szCs w:val="21"/>
              </w:rPr>
            </w:pPr>
            <w:r>
              <w:rPr>
                <w:rFonts w:ascii="宋体" w:hAnsi="宋体" w:hint="eastAsia"/>
                <w:szCs w:val="21"/>
              </w:rPr>
              <w:t>12</w:t>
            </w:r>
          </w:p>
        </w:tc>
        <w:tc>
          <w:tcPr>
            <w:tcW w:w="2552" w:type="dxa"/>
          </w:tcPr>
          <w:p w14:paraId="06BF4F9B" w14:textId="03B928EB" w:rsidR="00B23014" w:rsidRPr="008271B8" w:rsidRDefault="00B23014" w:rsidP="00B23014">
            <w:pPr>
              <w:pStyle w:val="a6"/>
            </w:pPr>
            <w:r w:rsidRPr="00F72A88">
              <w:rPr>
                <w:rFonts w:ascii="宋体" w:hAnsi="宋体" w:cs="Calibri" w:hint="eastAsia"/>
                <w:color w:val="000000"/>
                <w:szCs w:val="21"/>
              </w:rPr>
              <w:t>珠海盈米财富管理有限公司</w:t>
            </w:r>
          </w:p>
        </w:tc>
        <w:tc>
          <w:tcPr>
            <w:tcW w:w="5103" w:type="dxa"/>
          </w:tcPr>
          <w:p w14:paraId="71637518" w14:textId="77777777" w:rsidR="00B23014" w:rsidRPr="007B2A9B" w:rsidRDefault="00B23014" w:rsidP="007B2A9B">
            <w:pPr>
              <w:pStyle w:val="a6"/>
            </w:pPr>
            <w:r w:rsidRPr="007B2A9B">
              <w:rPr>
                <w:rFonts w:hint="eastAsia"/>
              </w:rPr>
              <w:t>办公地址：珠海市横琴新区宝华路</w:t>
            </w:r>
            <w:r w:rsidRPr="007B2A9B">
              <w:t>6</w:t>
            </w:r>
            <w:r w:rsidRPr="007B2A9B">
              <w:rPr>
                <w:rFonts w:hint="eastAsia"/>
              </w:rPr>
              <w:t>号</w:t>
            </w:r>
            <w:r w:rsidRPr="007B2A9B">
              <w:t>105</w:t>
            </w:r>
            <w:r w:rsidRPr="007B2A9B">
              <w:rPr>
                <w:rFonts w:hint="eastAsia"/>
              </w:rPr>
              <w:t>室</w:t>
            </w:r>
            <w:r w:rsidRPr="007B2A9B">
              <w:t xml:space="preserve">-3491 </w:t>
            </w:r>
          </w:p>
          <w:p w14:paraId="0F8FFCA1" w14:textId="77777777" w:rsidR="00B23014" w:rsidRPr="007B2A9B" w:rsidRDefault="00B23014" w:rsidP="007B2A9B">
            <w:pPr>
              <w:pStyle w:val="a6"/>
            </w:pPr>
            <w:r w:rsidRPr="007B2A9B">
              <w:rPr>
                <w:rFonts w:hint="eastAsia"/>
              </w:rPr>
              <w:t>客服电话：</w:t>
            </w:r>
            <w:r w:rsidRPr="007B2A9B">
              <w:t>020-89629066</w:t>
            </w:r>
          </w:p>
          <w:p w14:paraId="745DAC78" w14:textId="21DB56FA" w:rsidR="00B23014" w:rsidRPr="00C52A47" w:rsidRDefault="00B23014" w:rsidP="00B23014">
            <w:pPr>
              <w:pStyle w:val="a6"/>
              <w:rPr>
                <w:rFonts w:ascii="宋体" w:hAnsi="宋体" w:cs="Calibri"/>
                <w:color w:val="000000"/>
                <w:szCs w:val="21"/>
              </w:rPr>
            </w:pPr>
            <w:r w:rsidRPr="007B2A9B">
              <w:rPr>
                <w:rFonts w:hint="eastAsia"/>
              </w:rPr>
              <w:t>公司网址：</w:t>
            </w:r>
            <w:r w:rsidRPr="007B2A9B">
              <w:t>www.yingmi.cn</w:t>
            </w:r>
          </w:p>
        </w:tc>
      </w:tr>
      <w:tr w:rsidR="00B23014" w14:paraId="24C0FA1F" w14:textId="77777777" w:rsidTr="00A27A5B">
        <w:tc>
          <w:tcPr>
            <w:tcW w:w="817" w:type="dxa"/>
          </w:tcPr>
          <w:p w14:paraId="2B2B57A7" w14:textId="76A467EB" w:rsidR="00B23014" w:rsidRDefault="00B23014" w:rsidP="00B23014">
            <w:pPr>
              <w:snapToGrid w:val="0"/>
              <w:spacing w:line="360" w:lineRule="auto"/>
              <w:rPr>
                <w:rFonts w:ascii="宋体" w:hAnsi="宋体"/>
                <w:szCs w:val="21"/>
              </w:rPr>
            </w:pPr>
            <w:r>
              <w:rPr>
                <w:rFonts w:ascii="宋体" w:hAnsi="宋体" w:hint="eastAsia"/>
                <w:szCs w:val="21"/>
              </w:rPr>
              <w:t>13</w:t>
            </w:r>
          </w:p>
        </w:tc>
        <w:tc>
          <w:tcPr>
            <w:tcW w:w="2552" w:type="dxa"/>
          </w:tcPr>
          <w:p w14:paraId="38CE7E21" w14:textId="1C339DEE" w:rsidR="00B23014" w:rsidRPr="008271B8" w:rsidRDefault="00B23014" w:rsidP="00B23014">
            <w:pPr>
              <w:pStyle w:val="a6"/>
            </w:pPr>
            <w:r>
              <w:t>上海</w:t>
            </w:r>
            <w:proofErr w:type="gramStart"/>
            <w:r>
              <w:t>陆享基金</w:t>
            </w:r>
            <w:proofErr w:type="gramEnd"/>
            <w:r>
              <w:t>销售有限公司</w:t>
            </w:r>
          </w:p>
        </w:tc>
        <w:tc>
          <w:tcPr>
            <w:tcW w:w="5103" w:type="dxa"/>
          </w:tcPr>
          <w:p w14:paraId="033E7B2C" w14:textId="77777777" w:rsidR="00B23014" w:rsidRPr="00B23014" w:rsidRDefault="00B23014" w:rsidP="007B2A9B">
            <w:pPr>
              <w:pStyle w:val="a6"/>
              <w:rPr>
                <w:rFonts w:ascii="宋体" w:hAnsi="宋体" w:cs="Calibri"/>
                <w:color w:val="000000"/>
                <w:szCs w:val="21"/>
              </w:rPr>
            </w:pPr>
            <w:r w:rsidRPr="007B2A9B">
              <w:rPr>
                <w:rFonts w:ascii="宋体" w:hAnsi="宋体" w:cs="Calibri" w:hint="eastAsia"/>
                <w:color w:val="000000"/>
                <w:szCs w:val="21"/>
              </w:rPr>
              <w:t>注册</w:t>
            </w:r>
            <w:r w:rsidRPr="00B23014">
              <w:rPr>
                <w:rFonts w:ascii="宋体" w:hAnsi="宋体" w:cs="Calibri" w:hint="eastAsia"/>
                <w:color w:val="000000"/>
                <w:szCs w:val="21"/>
              </w:rPr>
              <w:t>（办公）地址：</w:t>
            </w:r>
            <w:r w:rsidRPr="007B2A9B">
              <w:rPr>
                <w:rFonts w:ascii="宋体" w:hAnsi="宋体" w:cs="Calibri" w:hint="eastAsia"/>
                <w:color w:val="000000"/>
                <w:szCs w:val="21"/>
              </w:rPr>
              <w:t>上海自由贸易试验区临港新片区环湖西二路</w:t>
            </w:r>
            <w:r w:rsidRPr="007B2A9B">
              <w:rPr>
                <w:rFonts w:ascii="宋体" w:hAnsi="宋体" w:cs="Calibri"/>
                <w:color w:val="000000"/>
                <w:szCs w:val="21"/>
              </w:rPr>
              <w:t>888</w:t>
            </w:r>
            <w:r w:rsidRPr="007B2A9B">
              <w:rPr>
                <w:rFonts w:ascii="宋体" w:hAnsi="宋体" w:cs="Calibri" w:hint="eastAsia"/>
                <w:color w:val="000000"/>
                <w:szCs w:val="21"/>
              </w:rPr>
              <w:t>号</w:t>
            </w:r>
            <w:r w:rsidRPr="007B2A9B">
              <w:rPr>
                <w:rFonts w:ascii="宋体" w:hAnsi="宋体" w:cs="Calibri"/>
                <w:color w:val="000000"/>
                <w:szCs w:val="21"/>
              </w:rPr>
              <w:t>1</w:t>
            </w:r>
            <w:r w:rsidRPr="007B2A9B">
              <w:rPr>
                <w:rFonts w:ascii="宋体" w:hAnsi="宋体" w:cs="Calibri" w:hint="eastAsia"/>
                <w:color w:val="000000"/>
                <w:szCs w:val="21"/>
              </w:rPr>
              <w:t>幢</w:t>
            </w:r>
            <w:r w:rsidRPr="007B2A9B">
              <w:rPr>
                <w:rFonts w:ascii="宋体" w:hAnsi="宋体" w:cs="Calibri"/>
                <w:color w:val="000000"/>
                <w:szCs w:val="21"/>
              </w:rPr>
              <w:t>1</w:t>
            </w:r>
            <w:r w:rsidRPr="007B2A9B">
              <w:rPr>
                <w:rFonts w:ascii="宋体" w:hAnsi="宋体" w:cs="Calibri" w:hint="eastAsia"/>
                <w:color w:val="000000"/>
                <w:szCs w:val="21"/>
              </w:rPr>
              <w:t>区</w:t>
            </w:r>
            <w:r w:rsidRPr="007B2A9B">
              <w:rPr>
                <w:rFonts w:ascii="宋体" w:hAnsi="宋体" w:cs="Calibri"/>
                <w:color w:val="000000"/>
                <w:szCs w:val="21"/>
              </w:rPr>
              <w:t>14032</w:t>
            </w:r>
            <w:r w:rsidRPr="007B2A9B">
              <w:rPr>
                <w:rFonts w:ascii="宋体" w:hAnsi="宋体" w:cs="Calibri" w:hint="eastAsia"/>
                <w:color w:val="000000"/>
                <w:szCs w:val="21"/>
              </w:rPr>
              <w:t>室</w:t>
            </w:r>
          </w:p>
          <w:p w14:paraId="0F07F3F2" w14:textId="77777777" w:rsidR="00B23014" w:rsidRPr="00B23014" w:rsidRDefault="00B23014" w:rsidP="007B2A9B">
            <w:pPr>
              <w:pStyle w:val="a6"/>
              <w:rPr>
                <w:rFonts w:ascii="宋体" w:hAnsi="宋体" w:cs="Calibri"/>
                <w:color w:val="000000"/>
                <w:szCs w:val="21"/>
              </w:rPr>
            </w:pPr>
            <w:r w:rsidRPr="00B23014">
              <w:rPr>
                <w:rFonts w:ascii="宋体" w:hAnsi="宋体" w:cs="Calibri" w:hint="eastAsia"/>
                <w:color w:val="000000"/>
                <w:szCs w:val="21"/>
              </w:rPr>
              <w:t>客服电话：400-168-1235</w:t>
            </w:r>
          </w:p>
          <w:p w14:paraId="64C9975F" w14:textId="3F263DCB" w:rsidR="00B23014" w:rsidRPr="00B23014" w:rsidRDefault="00B23014" w:rsidP="00B23014">
            <w:pPr>
              <w:pStyle w:val="a6"/>
              <w:rPr>
                <w:rFonts w:ascii="宋体" w:hAnsi="宋体" w:cs="Calibri"/>
                <w:color w:val="000000"/>
                <w:szCs w:val="21"/>
              </w:rPr>
            </w:pPr>
            <w:r w:rsidRPr="00B23014">
              <w:rPr>
                <w:rFonts w:ascii="宋体" w:hAnsi="宋体" w:cs="Calibri" w:hint="eastAsia"/>
                <w:color w:val="000000"/>
                <w:szCs w:val="21"/>
              </w:rPr>
              <w:t>公司网站：www.luxxfund.com</w:t>
            </w:r>
          </w:p>
        </w:tc>
      </w:tr>
      <w:tr w:rsidR="00B23014" w14:paraId="3B033900" w14:textId="77777777" w:rsidTr="00A27A5B">
        <w:tc>
          <w:tcPr>
            <w:tcW w:w="817" w:type="dxa"/>
          </w:tcPr>
          <w:p w14:paraId="21746E5E" w14:textId="0638167E" w:rsidR="00B23014" w:rsidRPr="007B2A9B" w:rsidRDefault="00B23014" w:rsidP="007B2A9B">
            <w:pPr>
              <w:snapToGrid w:val="0"/>
              <w:spacing w:line="360" w:lineRule="auto"/>
              <w:rPr>
                <w:rFonts w:ascii="宋体" w:hAnsi="宋体"/>
                <w:szCs w:val="21"/>
              </w:rPr>
            </w:pPr>
            <w:r w:rsidRPr="007B2A9B">
              <w:rPr>
                <w:rFonts w:ascii="宋体" w:hAnsi="宋体"/>
                <w:szCs w:val="21"/>
              </w:rPr>
              <w:t>1</w:t>
            </w:r>
            <w:r>
              <w:rPr>
                <w:rFonts w:ascii="宋体" w:hAnsi="宋体"/>
                <w:szCs w:val="21"/>
              </w:rPr>
              <w:t>4</w:t>
            </w:r>
          </w:p>
        </w:tc>
        <w:tc>
          <w:tcPr>
            <w:tcW w:w="2552" w:type="dxa"/>
          </w:tcPr>
          <w:p w14:paraId="0ABAC53F" w14:textId="77777777" w:rsidR="00B23014" w:rsidRPr="007B2A9B" w:rsidRDefault="00B23014" w:rsidP="007B2A9B">
            <w:pPr>
              <w:pStyle w:val="a6"/>
            </w:pPr>
            <w:r w:rsidRPr="007B2A9B">
              <w:t>宁波银行股份有限公司</w:t>
            </w:r>
          </w:p>
        </w:tc>
        <w:tc>
          <w:tcPr>
            <w:tcW w:w="5103" w:type="dxa"/>
          </w:tcPr>
          <w:p w14:paraId="3A2DC519" w14:textId="77777777" w:rsidR="00B23014" w:rsidRPr="007B2A9B" w:rsidRDefault="00B23014" w:rsidP="007B2A9B">
            <w:pPr>
              <w:pStyle w:val="a6"/>
              <w:rPr>
                <w:rFonts w:ascii="宋体" w:hAnsi="宋体" w:cs="Calibri"/>
                <w:color w:val="000000"/>
                <w:szCs w:val="21"/>
              </w:rPr>
            </w:pPr>
            <w:r w:rsidRPr="007B2A9B">
              <w:rPr>
                <w:rFonts w:ascii="宋体" w:hAnsi="宋体" w:cs="Calibri" w:hint="eastAsia"/>
                <w:color w:val="000000"/>
                <w:szCs w:val="21"/>
              </w:rPr>
              <w:t>注册地址：浙江省宁波市</w:t>
            </w:r>
            <w:proofErr w:type="gramStart"/>
            <w:r w:rsidRPr="007B2A9B">
              <w:rPr>
                <w:rFonts w:ascii="宋体" w:hAnsi="宋体" w:cs="Calibri" w:hint="eastAsia"/>
                <w:color w:val="000000"/>
                <w:szCs w:val="21"/>
              </w:rPr>
              <w:t>鄞</w:t>
            </w:r>
            <w:proofErr w:type="gramEnd"/>
            <w:r w:rsidRPr="007B2A9B">
              <w:rPr>
                <w:rFonts w:ascii="宋体" w:hAnsi="宋体" w:cs="Calibri" w:hint="eastAsia"/>
                <w:color w:val="000000"/>
                <w:szCs w:val="21"/>
              </w:rPr>
              <w:t>州区宁东路</w:t>
            </w:r>
            <w:r w:rsidRPr="007B2A9B">
              <w:rPr>
                <w:rFonts w:ascii="宋体" w:hAnsi="宋体" w:cs="Calibri"/>
                <w:color w:val="000000"/>
                <w:szCs w:val="21"/>
              </w:rPr>
              <w:t xml:space="preserve">345 </w:t>
            </w:r>
            <w:r w:rsidRPr="007B2A9B">
              <w:rPr>
                <w:rFonts w:ascii="宋体" w:hAnsi="宋体" w:cs="Calibri" w:hint="eastAsia"/>
                <w:color w:val="000000"/>
                <w:szCs w:val="21"/>
              </w:rPr>
              <w:t>号</w:t>
            </w:r>
          </w:p>
          <w:p w14:paraId="08EF274D" w14:textId="77777777" w:rsidR="00B23014" w:rsidRPr="007B2A9B" w:rsidRDefault="00B23014" w:rsidP="007B2A9B">
            <w:pPr>
              <w:pStyle w:val="a6"/>
              <w:rPr>
                <w:rFonts w:ascii="宋体" w:hAnsi="宋体" w:cs="Calibri"/>
                <w:color w:val="000000"/>
                <w:szCs w:val="21"/>
              </w:rPr>
            </w:pPr>
            <w:r w:rsidRPr="007B2A9B">
              <w:rPr>
                <w:rFonts w:ascii="宋体" w:hAnsi="宋体" w:cs="Calibri"/>
                <w:color w:val="000000"/>
                <w:szCs w:val="21"/>
              </w:rPr>
              <w:t>客户服务电话：95574</w:t>
            </w:r>
          </w:p>
          <w:p w14:paraId="59C378EE" w14:textId="77777777" w:rsidR="00B23014" w:rsidRPr="007B2A9B" w:rsidRDefault="00B23014" w:rsidP="007B2A9B">
            <w:pPr>
              <w:pStyle w:val="a6"/>
              <w:rPr>
                <w:rFonts w:ascii="宋体" w:hAnsi="宋体" w:cs="Calibri"/>
                <w:color w:val="000000"/>
                <w:szCs w:val="21"/>
              </w:rPr>
            </w:pPr>
            <w:r w:rsidRPr="007B2A9B">
              <w:rPr>
                <w:rFonts w:ascii="宋体" w:hAnsi="宋体" w:cs="Calibri" w:hint="eastAsia"/>
                <w:color w:val="000000"/>
                <w:szCs w:val="21"/>
              </w:rPr>
              <w:t>网址</w:t>
            </w:r>
            <w:r w:rsidRPr="007B2A9B">
              <w:rPr>
                <w:rFonts w:ascii="宋体" w:hAnsi="宋体" w:cs="Calibri"/>
                <w:color w:val="000000"/>
                <w:szCs w:val="21"/>
              </w:rPr>
              <w:t>：www.nbcb.com.cn</w:t>
            </w:r>
          </w:p>
        </w:tc>
      </w:tr>
      <w:tr w:rsidR="00B23014" w14:paraId="2A2BD6EC" w14:textId="77777777" w:rsidTr="00A27A5B">
        <w:tc>
          <w:tcPr>
            <w:tcW w:w="817" w:type="dxa"/>
          </w:tcPr>
          <w:p w14:paraId="05AE761E" w14:textId="2C2C2CB9" w:rsidR="00B23014" w:rsidRPr="007B2A9B" w:rsidRDefault="00B23014" w:rsidP="007B2A9B">
            <w:pPr>
              <w:snapToGrid w:val="0"/>
              <w:spacing w:line="360" w:lineRule="auto"/>
              <w:rPr>
                <w:rFonts w:ascii="宋体" w:hAnsi="宋体"/>
                <w:szCs w:val="21"/>
              </w:rPr>
            </w:pPr>
            <w:r w:rsidRPr="007B2A9B">
              <w:rPr>
                <w:rFonts w:ascii="宋体" w:hAnsi="宋体"/>
                <w:szCs w:val="21"/>
              </w:rPr>
              <w:t>1</w:t>
            </w:r>
            <w:r>
              <w:rPr>
                <w:rFonts w:ascii="宋体" w:hAnsi="宋体"/>
                <w:szCs w:val="21"/>
              </w:rPr>
              <w:t>5</w:t>
            </w:r>
          </w:p>
        </w:tc>
        <w:tc>
          <w:tcPr>
            <w:tcW w:w="2552" w:type="dxa"/>
          </w:tcPr>
          <w:p w14:paraId="10F60A75" w14:textId="77777777" w:rsidR="00B23014" w:rsidRPr="007B2A9B" w:rsidRDefault="00B23014" w:rsidP="007B2A9B">
            <w:pPr>
              <w:pStyle w:val="a6"/>
            </w:pPr>
            <w:r w:rsidRPr="007B2A9B">
              <w:rPr>
                <w:rFonts w:hint="eastAsia"/>
              </w:rPr>
              <w:t>国泰君安证券股份有限公司</w:t>
            </w:r>
          </w:p>
        </w:tc>
        <w:tc>
          <w:tcPr>
            <w:tcW w:w="5103" w:type="dxa"/>
          </w:tcPr>
          <w:p w14:paraId="49FBEEC3" w14:textId="77777777" w:rsidR="00B23014" w:rsidRPr="007B2A9B" w:rsidRDefault="00B23014" w:rsidP="007B2A9B">
            <w:pPr>
              <w:pStyle w:val="a6"/>
              <w:rPr>
                <w:rFonts w:ascii="宋体" w:hAnsi="宋体" w:cs="Calibri"/>
                <w:color w:val="000000"/>
                <w:szCs w:val="21"/>
              </w:rPr>
            </w:pPr>
            <w:r w:rsidRPr="007B2A9B">
              <w:rPr>
                <w:rFonts w:ascii="宋体" w:hAnsi="宋体" w:cs="Calibri" w:hint="eastAsia"/>
                <w:color w:val="000000"/>
                <w:szCs w:val="21"/>
              </w:rPr>
              <w:t>注册</w:t>
            </w:r>
            <w:r w:rsidRPr="007B2A9B">
              <w:rPr>
                <w:rFonts w:ascii="宋体" w:hAnsi="宋体" w:cs="Calibri"/>
                <w:color w:val="000000"/>
                <w:szCs w:val="21"/>
              </w:rPr>
              <w:t>(</w:t>
            </w:r>
            <w:r w:rsidRPr="007B2A9B">
              <w:rPr>
                <w:rFonts w:ascii="宋体" w:hAnsi="宋体" w:cs="Calibri" w:hint="eastAsia"/>
                <w:color w:val="000000"/>
                <w:szCs w:val="21"/>
              </w:rPr>
              <w:t>办公</w:t>
            </w:r>
            <w:r w:rsidRPr="007B2A9B">
              <w:rPr>
                <w:rFonts w:ascii="宋体" w:hAnsi="宋体" w:cs="Calibri"/>
                <w:color w:val="000000"/>
                <w:szCs w:val="21"/>
              </w:rPr>
              <w:t>)</w:t>
            </w:r>
            <w:r w:rsidRPr="007B2A9B">
              <w:rPr>
                <w:rFonts w:ascii="宋体" w:hAnsi="宋体" w:cs="Calibri" w:hint="eastAsia"/>
                <w:color w:val="000000"/>
                <w:szCs w:val="21"/>
              </w:rPr>
              <w:t>地址：上海市浦东</w:t>
            </w:r>
            <w:proofErr w:type="gramStart"/>
            <w:r w:rsidRPr="007B2A9B">
              <w:rPr>
                <w:rFonts w:ascii="宋体" w:hAnsi="宋体" w:cs="Calibri" w:hint="eastAsia"/>
                <w:color w:val="000000"/>
                <w:szCs w:val="21"/>
              </w:rPr>
              <w:t>新区银</w:t>
            </w:r>
            <w:proofErr w:type="gramEnd"/>
            <w:r w:rsidRPr="007B2A9B">
              <w:rPr>
                <w:rFonts w:ascii="宋体" w:hAnsi="宋体" w:cs="Calibri" w:hint="eastAsia"/>
                <w:color w:val="000000"/>
                <w:szCs w:val="21"/>
              </w:rPr>
              <w:t>城中路</w:t>
            </w:r>
            <w:r w:rsidRPr="007B2A9B">
              <w:rPr>
                <w:rFonts w:ascii="宋体" w:hAnsi="宋体" w:cs="Calibri"/>
                <w:color w:val="000000"/>
                <w:szCs w:val="21"/>
              </w:rPr>
              <w:t>168</w:t>
            </w:r>
            <w:r w:rsidRPr="007B2A9B">
              <w:rPr>
                <w:rFonts w:ascii="宋体" w:hAnsi="宋体" w:cs="Calibri" w:hint="eastAsia"/>
                <w:color w:val="000000"/>
                <w:szCs w:val="21"/>
              </w:rPr>
              <w:t>号上海银行大厦</w:t>
            </w:r>
            <w:r w:rsidRPr="007B2A9B">
              <w:rPr>
                <w:rFonts w:ascii="宋体" w:hAnsi="宋体" w:cs="Calibri"/>
                <w:color w:val="000000"/>
                <w:szCs w:val="21"/>
              </w:rPr>
              <w:t>29</w:t>
            </w:r>
            <w:r w:rsidRPr="007B2A9B">
              <w:rPr>
                <w:rFonts w:ascii="宋体" w:hAnsi="宋体" w:cs="Calibri" w:hint="eastAsia"/>
                <w:color w:val="000000"/>
                <w:szCs w:val="21"/>
              </w:rPr>
              <w:t>楼</w:t>
            </w:r>
            <w:r w:rsidRPr="007B2A9B">
              <w:rPr>
                <w:rFonts w:ascii="宋体" w:hAnsi="宋体" w:cs="Calibri"/>
                <w:color w:val="000000"/>
                <w:szCs w:val="21"/>
              </w:rPr>
              <w:t>/</w:t>
            </w:r>
            <w:r w:rsidRPr="007B2A9B">
              <w:rPr>
                <w:rFonts w:ascii="宋体" w:hAnsi="宋体" w:cs="Calibri" w:hint="eastAsia"/>
                <w:color w:val="000000"/>
                <w:szCs w:val="21"/>
              </w:rPr>
              <w:t>上海市静安区南京西路</w:t>
            </w:r>
            <w:r w:rsidRPr="007B2A9B">
              <w:rPr>
                <w:rFonts w:ascii="宋体" w:hAnsi="宋体" w:cs="Calibri"/>
                <w:color w:val="000000"/>
                <w:szCs w:val="21"/>
              </w:rPr>
              <w:t>768</w:t>
            </w:r>
            <w:r w:rsidRPr="007B2A9B">
              <w:rPr>
                <w:rFonts w:ascii="宋体" w:hAnsi="宋体" w:cs="Calibri" w:hint="eastAsia"/>
                <w:color w:val="000000"/>
                <w:szCs w:val="21"/>
              </w:rPr>
              <w:t>号国泰君安大厦</w:t>
            </w:r>
          </w:p>
          <w:p w14:paraId="61039AE2" w14:textId="77777777" w:rsidR="00B23014" w:rsidRPr="007B2A9B" w:rsidRDefault="00B23014" w:rsidP="007B2A9B">
            <w:pPr>
              <w:pStyle w:val="a6"/>
              <w:rPr>
                <w:rFonts w:ascii="宋体" w:hAnsi="宋体" w:cs="Calibri"/>
                <w:color w:val="000000"/>
                <w:szCs w:val="21"/>
              </w:rPr>
            </w:pPr>
            <w:r w:rsidRPr="007B2A9B">
              <w:rPr>
                <w:rFonts w:ascii="宋体" w:hAnsi="宋体" w:cs="Calibri" w:hint="eastAsia"/>
                <w:color w:val="000000"/>
                <w:szCs w:val="21"/>
              </w:rPr>
              <w:t>客户服务电话：</w:t>
            </w:r>
            <w:r w:rsidRPr="007B2A9B">
              <w:rPr>
                <w:rFonts w:ascii="宋体" w:hAnsi="宋体" w:cs="Calibri"/>
                <w:color w:val="000000"/>
                <w:szCs w:val="21"/>
              </w:rPr>
              <w:t>95521/4008888666</w:t>
            </w:r>
          </w:p>
          <w:p w14:paraId="6259CD74" w14:textId="77777777" w:rsidR="00B23014" w:rsidRPr="007B2A9B" w:rsidRDefault="00B23014" w:rsidP="007B2A9B">
            <w:pPr>
              <w:pStyle w:val="a6"/>
              <w:rPr>
                <w:rFonts w:ascii="宋体" w:hAnsi="宋体" w:cs="Calibri"/>
                <w:color w:val="000000"/>
                <w:szCs w:val="21"/>
              </w:rPr>
            </w:pPr>
            <w:r w:rsidRPr="007B2A9B">
              <w:rPr>
                <w:rFonts w:ascii="宋体" w:hAnsi="宋体" w:cs="Calibri" w:hint="eastAsia"/>
                <w:color w:val="000000"/>
                <w:szCs w:val="21"/>
              </w:rPr>
              <w:t>网址：</w:t>
            </w:r>
            <w:r w:rsidRPr="007B2A9B">
              <w:rPr>
                <w:rFonts w:ascii="宋体" w:hAnsi="宋体" w:cs="Calibri"/>
                <w:color w:val="000000"/>
                <w:szCs w:val="21"/>
              </w:rPr>
              <w:t>www.gtja.com</w:t>
            </w:r>
          </w:p>
        </w:tc>
      </w:tr>
    </w:tbl>
    <w:p w14:paraId="592E86AE" w14:textId="77777777" w:rsidR="006D2026" w:rsidRPr="00A27A5B" w:rsidRDefault="006D2026">
      <w:pPr>
        <w:tabs>
          <w:tab w:val="left" w:pos="540"/>
        </w:tabs>
        <w:adjustRightInd w:val="0"/>
        <w:snapToGrid w:val="0"/>
        <w:spacing w:line="360" w:lineRule="auto"/>
        <w:ind w:firstLineChars="200" w:firstLine="480"/>
        <w:rPr>
          <w:rFonts w:asciiTheme="minorEastAsia" w:hAnsiTheme="minorEastAsia" w:cs="Arial"/>
          <w:sz w:val="24"/>
          <w:szCs w:val="24"/>
        </w:rPr>
      </w:pPr>
    </w:p>
    <w:p w14:paraId="2B2AC3B4"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sz w:val="24"/>
          <w:szCs w:val="24"/>
        </w:rPr>
        <w:t>二、登记机构</w:t>
      </w:r>
    </w:p>
    <w:p w14:paraId="22A2A4D6"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名称：富荣基金管理有限公司</w:t>
      </w:r>
      <w:r w:rsidRPr="002544B9">
        <w:rPr>
          <w:rFonts w:asciiTheme="minorEastAsia" w:hAnsiTheme="minorEastAsia" w:cs="Arial"/>
          <w:color w:val="000000"/>
          <w:kern w:val="0"/>
          <w:sz w:val="24"/>
          <w:szCs w:val="24"/>
        </w:rPr>
        <w:t xml:space="preserve"> </w:t>
      </w:r>
    </w:p>
    <w:p w14:paraId="549A746A"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住所：广东省广州市南沙区海滨路</w:t>
      </w:r>
      <w:r w:rsidRPr="002544B9">
        <w:rPr>
          <w:rFonts w:asciiTheme="minorEastAsia" w:hAnsiTheme="minorEastAsia" w:cs="Arial"/>
          <w:color w:val="000000"/>
          <w:kern w:val="0"/>
          <w:sz w:val="24"/>
          <w:szCs w:val="24"/>
        </w:rPr>
        <w:t xml:space="preserve">171号南沙金融大厦11楼1101之一J20 </w:t>
      </w:r>
    </w:p>
    <w:p w14:paraId="4470FC12"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办公地址：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r w:rsidRPr="002544B9">
        <w:rPr>
          <w:rFonts w:asciiTheme="minorEastAsia" w:hAnsiTheme="minorEastAsia" w:cs="Arial"/>
          <w:color w:val="000000"/>
          <w:kern w:val="0"/>
          <w:sz w:val="24"/>
          <w:szCs w:val="24"/>
        </w:rPr>
        <w:t xml:space="preserve"> </w:t>
      </w:r>
    </w:p>
    <w:p w14:paraId="3D831827"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法定代表人：杨小舟</w:t>
      </w:r>
      <w:r w:rsidRPr="002544B9">
        <w:rPr>
          <w:rFonts w:asciiTheme="minorEastAsia" w:hAnsiTheme="minorEastAsia" w:cs="Arial"/>
          <w:color w:val="000000"/>
          <w:kern w:val="0"/>
          <w:sz w:val="24"/>
          <w:szCs w:val="24"/>
        </w:rPr>
        <w:t xml:space="preserve"> </w:t>
      </w:r>
    </w:p>
    <w:p w14:paraId="6942734C"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联系人：黄文飞</w:t>
      </w:r>
    </w:p>
    <w:p w14:paraId="354E105D" w14:textId="77777777" w:rsidR="00AC3A9B" w:rsidRPr="002544B9" w:rsidRDefault="002C3C29">
      <w:pPr>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电话：</w:t>
      </w:r>
      <w:r w:rsidRPr="002544B9">
        <w:rPr>
          <w:rFonts w:asciiTheme="minorEastAsia" w:hAnsiTheme="minorEastAsia" w:cs="Arial"/>
          <w:color w:val="000000"/>
          <w:kern w:val="0"/>
          <w:sz w:val="24"/>
          <w:szCs w:val="24"/>
        </w:rPr>
        <w:t xml:space="preserve"> 0755-84356604</w:t>
      </w:r>
    </w:p>
    <w:p w14:paraId="0ED68CE4" w14:textId="77777777" w:rsidR="00AC3A9B" w:rsidRPr="002544B9" w:rsidRDefault="002C3C29">
      <w:pPr>
        <w:adjustRightInd w:val="0"/>
        <w:snapToGrid w:val="0"/>
        <w:spacing w:line="360" w:lineRule="auto"/>
        <w:ind w:firstLineChars="200" w:firstLine="480"/>
        <w:rPr>
          <w:rFonts w:asciiTheme="minorEastAsia" w:hAnsiTheme="minorEastAsia" w:cs="Arial"/>
          <w:color w:val="000000"/>
          <w:kern w:val="0"/>
          <w:sz w:val="24"/>
          <w:szCs w:val="24"/>
        </w:rPr>
      </w:pPr>
      <w:r w:rsidRPr="002544B9">
        <w:rPr>
          <w:rFonts w:asciiTheme="minorEastAsia" w:hAnsiTheme="minorEastAsia" w:cs="Arial" w:hint="eastAsia"/>
          <w:color w:val="000000"/>
          <w:kern w:val="0"/>
          <w:sz w:val="24"/>
          <w:szCs w:val="24"/>
        </w:rPr>
        <w:t>传真：</w:t>
      </w:r>
      <w:r w:rsidRPr="002544B9">
        <w:rPr>
          <w:rFonts w:asciiTheme="minorEastAsia" w:hAnsiTheme="minorEastAsia" w:cs="Arial"/>
          <w:color w:val="000000"/>
          <w:kern w:val="0"/>
          <w:sz w:val="24"/>
          <w:szCs w:val="24"/>
        </w:rPr>
        <w:t xml:space="preserve"> 0755-83230787</w:t>
      </w:r>
    </w:p>
    <w:p w14:paraId="57E7B6C8" w14:textId="77777777" w:rsidR="00AC3A9B" w:rsidRPr="002544B9" w:rsidRDefault="002C3C29">
      <w:pPr>
        <w:tabs>
          <w:tab w:val="left" w:pos="54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三、</w:t>
      </w:r>
      <w:r w:rsidRPr="002544B9">
        <w:rPr>
          <w:rFonts w:asciiTheme="minorEastAsia" w:hAnsiTheme="minorEastAsia" w:cs="Times New Roman" w:hint="eastAsia"/>
          <w:b/>
          <w:bCs/>
          <w:color w:val="000000"/>
          <w:sz w:val="24"/>
          <w:szCs w:val="24"/>
        </w:rPr>
        <w:t>出具法律意见书的律师事务所</w:t>
      </w:r>
    </w:p>
    <w:p w14:paraId="6F5BFA15" w14:textId="72F9AD21"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名称：上海</w:t>
      </w:r>
      <w:r w:rsidR="00AF2209" w:rsidRPr="002544B9">
        <w:rPr>
          <w:rFonts w:asciiTheme="minorEastAsia" w:hAnsiTheme="minorEastAsia" w:cs="Arial" w:hint="eastAsia"/>
          <w:kern w:val="0"/>
          <w:sz w:val="24"/>
          <w:szCs w:val="24"/>
        </w:rPr>
        <w:t>源泰</w:t>
      </w:r>
      <w:r w:rsidRPr="002544B9">
        <w:rPr>
          <w:rFonts w:asciiTheme="minorEastAsia" w:hAnsiTheme="minorEastAsia" w:cs="Arial" w:hint="eastAsia"/>
          <w:kern w:val="0"/>
          <w:sz w:val="24"/>
          <w:szCs w:val="24"/>
        </w:rPr>
        <w:t>律师事务所</w:t>
      </w:r>
    </w:p>
    <w:p w14:paraId="06385A08"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1FD7B1FA" w14:textId="77777777"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w:t>
      </w:r>
      <w:r w:rsidR="00AF2209" w:rsidRPr="002544B9">
        <w:rPr>
          <w:rFonts w:asciiTheme="minorEastAsia" w:hAnsiTheme="minorEastAsia" w:cs="Arial" w:hint="eastAsia"/>
          <w:kern w:val="0"/>
          <w:sz w:val="24"/>
          <w:szCs w:val="24"/>
        </w:rPr>
        <w:t>上海市浦东新区浦东南路</w:t>
      </w:r>
      <w:r w:rsidR="00AF2209" w:rsidRPr="002544B9">
        <w:rPr>
          <w:rFonts w:asciiTheme="minorEastAsia" w:hAnsiTheme="minorEastAsia" w:cs="Arial"/>
          <w:kern w:val="0"/>
          <w:sz w:val="24"/>
          <w:szCs w:val="24"/>
        </w:rPr>
        <w:t>256号华夏银行大厦14楼</w:t>
      </w:r>
    </w:p>
    <w:p w14:paraId="59E1753A" w14:textId="60868B1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负责人：</w:t>
      </w:r>
      <w:r w:rsidR="00AF2209" w:rsidRPr="002544B9">
        <w:rPr>
          <w:rFonts w:asciiTheme="minorEastAsia" w:hAnsiTheme="minorEastAsia" w:cs="Arial" w:hint="eastAsia"/>
          <w:kern w:val="0"/>
          <w:sz w:val="24"/>
          <w:szCs w:val="24"/>
        </w:rPr>
        <w:t>廖海</w:t>
      </w:r>
    </w:p>
    <w:p w14:paraId="395B149A" w14:textId="59D33C49"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021）51150298</w:t>
      </w:r>
    </w:p>
    <w:p w14:paraId="76322C50" w14:textId="382C013E" w:rsidR="00EA09A1"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00AF2209" w:rsidRPr="002544B9">
        <w:rPr>
          <w:rFonts w:asciiTheme="minorEastAsia" w:hAnsiTheme="minorEastAsia" w:cs="Arial" w:hint="eastAsia"/>
          <w:kern w:val="0"/>
          <w:sz w:val="24"/>
          <w:szCs w:val="24"/>
        </w:rPr>
        <w:t>（</w:t>
      </w:r>
      <w:r w:rsidR="00AF2209" w:rsidRPr="002544B9">
        <w:rPr>
          <w:rFonts w:asciiTheme="minorEastAsia" w:hAnsiTheme="minorEastAsia" w:cs="Arial"/>
          <w:kern w:val="0"/>
          <w:sz w:val="24"/>
          <w:szCs w:val="24"/>
        </w:rPr>
        <w:t>021）51150398</w:t>
      </w:r>
    </w:p>
    <w:p w14:paraId="7DDAE721" w14:textId="10604EA0" w:rsidR="00EA09A1" w:rsidRPr="002544B9" w:rsidRDefault="002C3C29" w:rsidP="00EA09A1">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经办律师：</w:t>
      </w:r>
      <w:r w:rsidR="00AF2209" w:rsidRPr="002544B9">
        <w:rPr>
          <w:rFonts w:asciiTheme="minorEastAsia" w:hAnsiTheme="minorEastAsia" w:cs="Arial" w:hint="eastAsia"/>
          <w:kern w:val="0"/>
          <w:sz w:val="24"/>
          <w:szCs w:val="24"/>
        </w:rPr>
        <w:t>刘佳</w:t>
      </w:r>
      <w:r w:rsidRPr="002544B9">
        <w:rPr>
          <w:rFonts w:asciiTheme="minorEastAsia" w:hAnsiTheme="minorEastAsia" w:cs="Arial" w:hint="eastAsia"/>
          <w:kern w:val="0"/>
          <w:sz w:val="24"/>
          <w:szCs w:val="24"/>
        </w:rPr>
        <w:t>、</w:t>
      </w:r>
      <w:r w:rsidR="00AF2209" w:rsidRPr="002544B9">
        <w:rPr>
          <w:rFonts w:asciiTheme="minorEastAsia" w:hAnsiTheme="minorEastAsia" w:cs="Arial" w:hint="eastAsia"/>
          <w:kern w:val="0"/>
          <w:sz w:val="24"/>
          <w:szCs w:val="24"/>
        </w:rPr>
        <w:t>黄丽华</w:t>
      </w:r>
    </w:p>
    <w:p w14:paraId="0AD514CC" w14:textId="59B5138F" w:rsidR="00AC3A9B" w:rsidRPr="002544B9" w:rsidRDefault="002C3C29">
      <w:pPr>
        <w:adjustRightInd w:val="0"/>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w:t>
      </w:r>
      <w:r w:rsidRPr="002544B9">
        <w:rPr>
          <w:rFonts w:asciiTheme="minorEastAsia" w:hAnsiTheme="minorEastAsia" w:cs="Arial"/>
          <w:kern w:val="0"/>
          <w:sz w:val="24"/>
          <w:szCs w:val="24"/>
        </w:rPr>
        <w:t xml:space="preserve"> </w:t>
      </w:r>
      <w:r w:rsidR="00AF2209" w:rsidRPr="002544B9">
        <w:rPr>
          <w:rFonts w:asciiTheme="minorEastAsia" w:hAnsiTheme="minorEastAsia" w:cs="Arial" w:hint="eastAsia"/>
          <w:kern w:val="0"/>
          <w:sz w:val="24"/>
          <w:szCs w:val="24"/>
        </w:rPr>
        <w:t>刘佳</w:t>
      </w:r>
    </w:p>
    <w:p w14:paraId="2B8B92E1"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四、</w:t>
      </w:r>
      <w:r w:rsidRPr="002544B9">
        <w:rPr>
          <w:rFonts w:asciiTheme="minorEastAsia" w:hAnsiTheme="minorEastAsia" w:cs="Times New Roman" w:hint="eastAsia"/>
          <w:b/>
          <w:bCs/>
          <w:color w:val="000000"/>
          <w:sz w:val="24"/>
          <w:szCs w:val="24"/>
        </w:rPr>
        <w:t>审计基金财产的会计师事务所</w:t>
      </w:r>
    </w:p>
    <w:p w14:paraId="248E812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名称：安永华明会计师事务所（特殊普通合伙）</w:t>
      </w:r>
    </w:p>
    <w:p w14:paraId="09FC9C18"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住所：中国北京市东城区东长安街</w:t>
      </w:r>
      <w:r w:rsidRPr="002544B9">
        <w:rPr>
          <w:rFonts w:asciiTheme="minorEastAsia" w:hAnsiTheme="minorEastAsia" w:cs="Arial"/>
          <w:kern w:val="0"/>
          <w:sz w:val="24"/>
          <w:szCs w:val="24"/>
        </w:rPr>
        <w:t>1号东方广场安永大楼16层</w:t>
      </w:r>
    </w:p>
    <w:p w14:paraId="3AFCF4AC"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办公地址：中国北京市东城区东长安街</w:t>
      </w:r>
      <w:r w:rsidRPr="002544B9">
        <w:rPr>
          <w:rFonts w:asciiTheme="minorEastAsia" w:hAnsiTheme="minorEastAsia" w:cs="Arial"/>
          <w:kern w:val="0"/>
          <w:sz w:val="24"/>
          <w:szCs w:val="24"/>
        </w:rPr>
        <w:t>1号东方广场安永大楼16层</w:t>
      </w:r>
    </w:p>
    <w:p w14:paraId="15434DE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w:t>
      </w:r>
      <w:proofErr w:type="gramStart"/>
      <w:r w:rsidRPr="002544B9">
        <w:rPr>
          <w:rFonts w:asciiTheme="minorEastAsia" w:hAnsiTheme="minorEastAsia" w:cs="Arial" w:hint="eastAsia"/>
          <w:kern w:val="0"/>
          <w:sz w:val="24"/>
          <w:szCs w:val="24"/>
        </w:rPr>
        <w:t>毛鞍宁</w:t>
      </w:r>
      <w:proofErr w:type="gramEnd"/>
    </w:p>
    <w:p w14:paraId="5210E545"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电话：</w:t>
      </w:r>
      <w:r w:rsidRPr="002544B9">
        <w:rPr>
          <w:rFonts w:asciiTheme="minorEastAsia" w:hAnsiTheme="minorEastAsia" w:cs="Arial"/>
          <w:kern w:val="0"/>
          <w:sz w:val="24"/>
          <w:szCs w:val="24"/>
        </w:rPr>
        <w:t>+86 10 58153000</w:t>
      </w:r>
    </w:p>
    <w:p w14:paraId="6D386B0B"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传真：</w:t>
      </w:r>
      <w:r w:rsidRPr="002544B9">
        <w:rPr>
          <w:rFonts w:asciiTheme="minorEastAsia" w:hAnsiTheme="minorEastAsia" w:cs="Arial"/>
          <w:kern w:val="0"/>
          <w:sz w:val="24"/>
          <w:szCs w:val="24"/>
        </w:rPr>
        <w:t>+86 10 85188298</w:t>
      </w:r>
    </w:p>
    <w:p w14:paraId="286F832D"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签字注册会计师：吴翠蓉  高鹤</w:t>
      </w:r>
    </w:p>
    <w:p w14:paraId="59082AB1" w14:textId="77777777" w:rsidR="00AC3A9B" w:rsidRPr="002544B9" w:rsidRDefault="002C3C29">
      <w:pPr>
        <w:snapToGrid w:val="0"/>
        <w:spacing w:line="360" w:lineRule="auto"/>
        <w:ind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联系人：吴翠蓉</w:t>
      </w:r>
    </w:p>
    <w:p w14:paraId="558D30BE" w14:textId="77777777" w:rsidR="006A48A6" w:rsidRPr="002544B9" w:rsidRDefault="006A48A6">
      <w:pPr>
        <w:keepNext/>
        <w:keepLines/>
        <w:autoSpaceDE w:val="0"/>
        <w:autoSpaceDN w:val="0"/>
        <w:adjustRightInd w:val="0"/>
        <w:snapToGrid w:val="0"/>
        <w:spacing w:line="360" w:lineRule="auto"/>
        <w:ind w:firstLineChars="150" w:firstLine="422"/>
        <w:jc w:val="center"/>
        <w:textAlignment w:val="baseline"/>
        <w:outlineLvl w:val="0"/>
        <w:rPr>
          <w:rFonts w:ascii="Arial" w:eastAsia="宋体" w:hAnsi="Arial" w:cs="Arial"/>
          <w:b/>
          <w:bCs/>
          <w:kern w:val="0"/>
          <w:sz w:val="28"/>
          <w:szCs w:val="28"/>
        </w:rPr>
        <w:sectPr w:rsidR="006A48A6" w:rsidRPr="002544B9">
          <w:footerReference w:type="default" r:id="rId19"/>
          <w:pgSz w:w="11906" w:h="16838"/>
          <w:pgMar w:top="1440" w:right="1800" w:bottom="1440" w:left="1800" w:header="851" w:footer="992" w:gutter="0"/>
          <w:pgNumType w:chapStyle="1"/>
          <w:cols w:space="720"/>
          <w:docGrid w:type="lines" w:linePitch="312"/>
        </w:sectPr>
      </w:pPr>
      <w:bookmarkStart w:id="119" w:name="_Toc416264542"/>
      <w:bookmarkStart w:id="120" w:name="_Toc263092314"/>
      <w:bookmarkStart w:id="121" w:name="_Toc123112235"/>
      <w:bookmarkStart w:id="122" w:name="_Toc139991737"/>
      <w:bookmarkStart w:id="123" w:name="_Toc141703887"/>
      <w:bookmarkStart w:id="124" w:name="_Toc3601"/>
      <w:bookmarkStart w:id="125" w:name="_Toc16859"/>
      <w:bookmarkStart w:id="126" w:name="_Toc31653"/>
      <w:bookmarkStart w:id="127" w:name="_Toc352229753"/>
      <w:bookmarkStart w:id="128" w:name="_Toc12245"/>
      <w:bookmarkStart w:id="129" w:name="_Toc26207"/>
      <w:bookmarkStart w:id="130" w:name="_Toc29251"/>
      <w:bookmarkStart w:id="131" w:name="_Toc98560353"/>
      <w:bookmarkStart w:id="132" w:name="_Toc31235"/>
      <w:bookmarkStart w:id="133" w:name="_Toc15143"/>
      <w:bookmarkStart w:id="134" w:name="_Toc6405"/>
      <w:bookmarkStart w:id="135" w:name="_Toc123051453"/>
      <w:bookmarkStart w:id="136" w:name="_Toc123102454"/>
      <w:bookmarkStart w:id="137" w:name="_Toc31644"/>
      <w:bookmarkStart w:id="138" w:name="_Toc14835"/>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p>
    <w:p w14:paraId="2493D945" w14:textId="5B15D8EC" w:rsidR="006A48A6" w:rsidRPr="002544B9" w:rsidRDefault="006A48A6">
      <w:pPr>
        <w:pStyle w:val="1"/>
        <w:jc w:val="center"/>
        <w:rPr>
          <w:sz w:val="30"/>
          <w:szCs w:val="30"/>
        </w:rPr>
      </w:pPr>
      <w:bookmarkStart w:id="139" w:name="_Toc68266293"/>
      <w:bookmarkStart w:id="140" w:name="_Toc104205517"/>
      <w:r w:rsidRPr="002544B9">
        <w:rPr>
          <w:rFonts w:hint="eastAsia"/>
          <w:sz w:val="30"/>
          <w:szCs w:val="30"/>
        </w:rPr>
        <w:t>第六部分</w:t>
      </w:r>
      <w:r w:rsidRPr="002544B9">
        <w:rPr>
          <w:sz w:val="30"/>
          <w:szCs w:val="30"/>
        </w:rPr>
        <w:t xml:space="preserve">  </w:t>
      </w:r>
      <w:r w:rsidRPr="002544B9">
        <w:rPr>
          <w:rFonts w:hint="eastAsia"/>
          <w:sz w:val="30"/>
          <w:szCs w:val="30"/>
        </w:rPr>
        <w:t>基金</w:t>
      </w:r>
      <w:bookmarkEnd w:id="119"/>
      <w:bookmarkEnd w:id="120"/>
      <w:r>
        <w:rPr>
          <w:rFonts w:hint="eastAsia"/>
          <w:sz w:val="30"/>
          <w:szCs w:val="30"/>
        </w:rPr>
        <w:t>的</w:t>
      </w:r>
      <w:bookmarkEnd w:id="139"/>
      <w:r>
        <w:rPr>
          <w:rFonts w:hint="eastAsia"/>
          <w:sz w:val="30"/>
          <w:szCs w:val="30"/>
        </w:rPr>
        <w:t>募集</w:t>
      </w:r>
      <w:bookmarkEnd w:id="140"/>
    </w:p>
    <w:p w14:paraId="56E0DB5F" w14:textId="4E77C3C2" w:rsidR="00AC3A9B" w:rsidRPr="002544B9" w:rsidRDefault="00AC3A9B">
      <w:pPr>
        <w:autoSpaceDE w:val="0"/>
        <w:autoSpaceDN w:val="0"/>
        <w:adjustRightInd w:val="0"/>
        <w:snapToGrid w:val="0"/>
        <w:spacing w:line="360" w:lineRule="auto"/>
        <w:ind w:firstLineChars="200" w:firstLine="480"/>
        <w:rPr>
          <w:rFonts w:asciiTheme="minorEastAsia" w:hAnsiTheme="minorEastAsia" w:cs="Arial"/>
          <w:sz w:val="24"/>
          <w:szCs w:val="24"/>
        </w:rPr>
      </w:pPr>
    </w:p>
    <w:p w14:paraId="3295F9E6" w14:textId="65DBE721" w:rsidR="00543AAE" w:rsidRPr="002544B9" w:rsidRDefault="00543AAE" w:rsidP="00543AAE">
      <w:pPr>
        <w:autoSpaceDE w:val="0"/>
        <w:autoSpaceDN w:val="0"/>
        <w:adjustRightInd w:val="0"/>
        <w:snapToGrid w:val="0"/>
        <w:spacing w:line="360" w:lineRule="auto"/>
        <w:ind w:firstLineChars="200" w:firstLine="480"/>
        <w:rPr>
          <w:rFonts w:ascii="宋体" w:eastAsia="宋体" w:hAnsi="宋体" w:cs="Arial"/>
          <w:sz w:val="24"/>
          <w:szCs w:val="24"/>
        </w:rPr>
      </w:pPr>
      <w:bookmarkStart w:id="141" w:name="_Toc263092315"/>
      <w:bookmarkStart w:id="142" w:name="_Toc214873596"/>
      <w:bookmarkStart w:id="143" w:name="_Toc416264543"/>
      <w:bookmarkStart w:id="144" w:name="_Toc25783"/>
      <w:bookmarkStart w:id="145" w:name="_Toc123112236"/>
      <w:bookmarkStart w:id="146" w:name="_Toc123051454"/>
      <w:bookmarkStart w:id="147" w:name="_Toc20768"/>
      <w:bookmarkStart w:id="148" w:name="_Toc3321"/>
      <w:bookmarkStart w:id="149" w:name="_Toc6447"/>
      <w:bookmarkStart w:id="150" w:name="_Toc352229754"/>
      <w:bookmarkStart w:id="151" w:name="_Toc7058"/>
      <w:bookmarkStart w:id="152" w:name="_Toc9706"/>
      <w:bookmarkStart w:id="153" w:name="_Toc141703888"/>
      <w:bookmarkStart w:id="154" w:name="_Toc18567"/>
      <w:bookmarkStart w:id="155" w:name="_Toc98560354"/>
      <w:bookmarkStart w:id="156" w:name="_Toc79392583"/>
      <w:bookmarkStart w:id="157" w:name="_Toc123102455"/>
      <w:bookmarkStart w:id="158" w:name="_Toc3771"/>
      <w:bookmarkStart w:id="159" w:name="_Toc139991738"/>
      <w:bookmarkStart w:id="160" w:name="_Toc11030"/>
      <w:bookmarkStart w:id="161" w:name="_Toc10650"/>
      <w:bookmarkStart w:id="162" w:name="_Toc4559"/>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r w:rsidRPr="002544B9">
        <w:rPr>
          <w:rFonts w:ascii="宋体" w:eastAsia="宋体" w:hAnsi="宋体" w:cs="Arial" w:hint="eastAsia"/>
          <w:sz w:val="24"/>
          <w:szCs w:val="24"/>
        </w:rPr>
        <w:t>基金管理人按照《基金法》、《运作办法》、《销售办法》、基金合同及其他有关规定募集本基金，并于</w:t>
      </w:r>
      <w:r w:rsidR="00D67FCF" w:rsidRPr="002544B9">
        <w:rPr>
          <w:rFonts w:ascii="宋体" w:eastAsia="宋体" w:hAnsi="宋体" w:cs="Arial"/>
          <w:sz w:val="24"/>
          <w:szCs w:val="24"/>
        </w:rPr>
        <w:t>2021</w:t>
      </w:r>
      <w:r w:rsidRPr="002544B9">
        <w:rPr>
          <w:rFonts w:ascii="宋体" w:eastAsia="宋体" w:hAnsi="宋体" w:cs="Arial" w:hint="eastAsia"/>
          <w:sz w:val="24"/>
          <w:szCs w:val="24"/>
        </w:rPr>
        <w:t>年</w:t>
      </w:r>
      <w:r w:rsidR="00D67FCF" w:rsidRPr="002544B9">
        <w:rPr>
          <w:rFonts w:ascii="宋体" w:eastAsia="宋体" w:hAnsi="宋体" w:cs="Arial"/>
          <w:sz w:val="24"/>
          <w:szCs w:val="24"/>
        </w:rPr>
        <w:t>5</w:t>
      </w:r>
      <w:r w:rsidRPr="002544B9">
        <w:rPr>
          <w:rFonts w:ascii="宋体" w:eastAsia="宋体" w:hAnsi="宋体" w:cs="Arial" w:hint="eastAsia"/>
          <w:sz w:val="24"/>
          <w:szCs w:val="24"/>
        </w:rPr>
        <w:t>月</w:t>
      </w:r>
      <w:r w:rsidR="00D67FCF" w:rsidRPr="002544B9">
        <w:rPr>
          <w:rFonts w:ascii="宋体" w:eastAsia="宋体" w:hAnsi="宋体" w:cs="Arial"/>
          <w:sz w:val="24"/>
          <w:szCs w:val="24"/>
        </w:rPr>
        <w:t>20</w:t>
      </w:r>
      <w:r w:rsidRPr="002544B9">
        <w:rPr>
          <w:rFonts w:ascii="宋体" w:eastAsia="宋体" w:hAnsi="宋体" w:cs="Arial" w:hint="eastAsia"/>
          <w:sz w:val="24"/>
          <w:szCs w:val="24"/>
        </w:rPr>
        <w:t>日</w:t>
      </w:r>
      <w:r w:rsidRPr="002544B9">
        <w:rPr>
          <w:rFonts w:ascii="宋体" w:eastAsia="宋体" w:hAnsi="宋体" w:cs="Arial" w:hint="eastAsia"/>
          <w:kern w:val="0"/>
          <w:sz w:val="24"/>
          <w:szCs w:val="24"/>
        </w:rPr>
        <w:t>经中国证监会</w:t>
      </w:r>
      <w:r w:rsidR="00D67FCF" w:rsidRPr="002544B9">
        <w:rPr>
          <w:rFonts w:ascii="宋体" w:eastAsia="宋体" w:hAnsi="宋体" w:cs="Arial" w:hint="eastAsia"/>
          <w:kern w:val="0"/>
          <w:sz w:val="24"/>
          <w:szCs w:val="24"/>
        </w:rPr>
        <w:t>（</w:t>
      </w:r>
      <w:r w:rsidRPr="002544B9">
        <w:rPr>
          <w:rFonts w:ascii="宋体" w:eastAsia="宋体" w:hAnsi="宋体" w:cs="Arial" w:hint="eastAsia"/>
          <w:kern w:val="0"/>
          <w:sz w:val="24"/>
          <w:szCs w:val="24"/>
        </w:rPr>
        <w:t>证监许可</w:t>
      </w:r>
      <w:r w:rsidR="00D67FCF" w:rsidRPr="002544B9">
        <w:rPr>
          <w:rFonts w:ascii="宋体" w:eastAsia="宋体" w:hAnsi="宋体" w:cs="Arial" w:hint="eastAsia"/>
          <w:kern w:val="0"/>
          <w:sz w:val="24"/>
          <w:szCs w:val="24"/>
        </w:rPr>
        <w:t>[2021]1738</w:t>
      </w:r>
      <w:r w:rsidRPr="002544B9">
        <w:rPr>
          <w:rFonts w:ascii="宋体" w:eastAsia="宋体" w:hAnsi="宋体" w:cs="Arial" w:hint="eastAsia"/>
          <w:kern w:val="0"/>
          <w:sz w:val="24"/>
          <w:szCs w:val="24"/>
        </w:rPr>
        <w:t>号文</w:t>
      </w:r>
      <w:r w:rsidR="00D67FCF" w:rsidRPr="002544B9">
        <w:rPr>
          <w:rFonts w:ascii="宋体" w:eastAsia="宋体" w:hAnsi="宋体" w:cs="Arial" w:hint="eastAsia"/>
          <w:kern w:val="0"/>
          <w:sz w:val="24"/>
          <w:szCs w:val="24"/>
        </w:rPr>
        <w:t>）</w:t>
      </w:r>
      <w:r w:rsidRPr="002544B9">
        <w:rPr>
          <w:rFonts w:ascii="宋体" w:eastAsia="宋体" w:hAnsi="宋体" w:cs="Arial" w:hint="eastAsia"/>
          <w:sz w:val="24"/>
          <w:szCs w:val="24"/>
        </w:rPr>
        <w:t>准予注册募集。</w:t>
      </w:r>
      <w:r w:rsidR="006A48A6" w:rsidRPr="006A48A6">
        <w:rPr>
          <w:rFonts w:ascii="宋体" w:eastAsia="宋体" w:hAnsi="宋体" w:cs="Arial" w:hint="eastAsia"/>
          <w:sz w:val="24"/>
          <w:szCs w:val="24"/>
        </w:rPr>
        <w:t>本基金于20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月15日起通过各销售机构向社会公开募集，截至20</w:t>
      </w:r>
      <w:r w:rsidR="001617BC">
        <w:rPr>
          <w:rFonts w:ascii="宋体" w:eastAsia="宋体" w:hAnsi="宋体" w:cs="Arial"/>
          <w:sz w:val="24"/>
          <w:szCs w:val="24"/>
        </w:rPr>
        <w:t>21</w:t>
      </w:r>
      <w:r w:rsidR="006A48A6" w:rsidRPr="006A48A6">
        <w:rPr>
          <w:rFonts w:ascii="宋体" w:eastAsia="宋体" w:hAnsi="宋体" w:cs="Arial" w:hint="eastAsia"/>
          <w:sz w:val="24"/>
          <w:szCs w:val="24"/>
        </w:rPr>
        <w:t>年</w:t>
      </w:r>
      <w:r w:rsidR="001617BC">
        <w:rPr>
          <w:rFonts w:ascii="宋体" w:eastAsia="宋体" w:hAnsi="宋体" w:cs="Arial"/>
          <w:sz w:val="24"/>
          <w:szCs w:val="24"/>
        </w:rPr>
        <w:t>6</w:t>
      </w:r>
      <w:r w:rsidR="006A48A6" w:rsidRPr="006A48A6">
        <w:rPr>
          <w:rFonts w:ascii="宋体" w:eastAsia="宋体" w:hAnsi="宋体" w:cs="Arial" w:hint="eastAsia"/>
          <w:sz w:val="24"/>
          <w:szCs w:val="24"/>
        </w:rPr>
        <w:t>月</w:t>
      </w:r>
      <w:r w:rsidR="0014009E">
        <w:rPr>
          <w:rFonts w:ascii="宋体" w:eastAsia="宋体" w:hAnsi="宋体" w:cs="Arial"/>
          <w:sz w:val="24"/>
          <w:szCs w:val="24"/>
        </w:rPr>
        <w:t>16</w:t>
      </w:r>
      <w:r w:rsidR="006A48A6" w:rsidRPr="006A48A6">
        <w:rPr>
          <w:rFonts w:ascii="宋体" w:eastAsia="宋体" w:hAnsi="宋体" w:cs="Arial" w:hint="eastAsia"/>
          <w:sz w:val="24"/>
          <w:szCs w:val="24"/>
        </w:rPr>
        <w:t>日，基金募集工作已顺利结束。</w:t>
      </w:r>
    </w:p>
    <w:p w14:paraId="0B4CAAC0" w14:textId="77777777" w:rsidR="00AC3A9B" w:rsidRPr="002544B9" w:rsidRDefault="00AC3A9B">
      <w:pPr>
        <w:keepNext/>
        <w:keepLines/>
        <w:spacing w:line="360" w:lineRule="auto"/>
        <w:jc w:val="center"/>
        <w:outlineLvl w:val="0"/>
        <w:rPr>
          <w:rFonts w:ascii="Times New Roman" w:eastAsia="宋体" w:hAnsi="Times New Roman" w:cs="Times New Roman"/>
          <w:b/>
          <w:kern w:val="0"/>
          <w:sz w:val="24"/>
          <w:szCs w:val="24"/>
        </w:rPr>
        <w:sectPr w:rsidR="00AC3A9B" w:rsidRPr="002544B9">
          <w:footerReference w:type="default" r:id="rId20"/>
          <w:pgSz w:w="11906" w:h="16838"/>
          <w:pgMar w:top="1440" w:right="1800" w:bottom="1440" w:left="1800" w:header="851" w:footer="992" w:gutter="0"/>
          <w:pgNumType w:chapStyle="1"/>
          <w:cols w:space="720"/>
          <w:docGrid w:type="lines" w:linePitch="312"/>
        </w:sectPr>
      </w:pPr>
    </w:p>
    <w:p w14:paraId="173F360F" w14:textId="77777777" w:rsidR="00AC3A9B" w:rsidRPr="002544B9" w:rsidRDefault="002C3C29">
      <w:pPr>
        <w:pStyle w:val="1"/>
        <w:jc w:val="center"/>
        <w:rPr>
          <w:sz w:val="30"/>
          <w:szCs w:val="30"/>
        </w:rPr>
      </w:pPr>
      <w:bookmarkStart w:id="163" w:name="_Toc68266294"/>
      <w:bookmarkStart w:id="164" w:name="_Toc104205518"/>
      <w:r w:rsidRPr="002544B9">
        <w:rPr>
          <w:rFonts w:hint="eastAsia"/>
          <w:sz w:val="30"/>
          <w:szCs w:val="30"/>
        </w:rPr>
        <w:t>第七部分</w:t>
      </w:r>
      <w:r w:rsidRPr="002544B9">
        <w:rPr>
          <w:sz w:val="30"/>
          <w:szCs w:val="30"/>
        </w:rPr>
        <w:t xml:space="preserve">  </w:t>
      </w:r>
      <w:r w:rsidRPr="002544B9">
        <w:rPr>
          <w:rFonts w:hint="eastAsia"/>
          <w:sz w:val="30"/>
          <w:szCs w:val="30"/>
        </w:rPr>
        <w:t>基金</w:t>
      </w:r>
      <w:bookmarkEnd w:id="141"/>
      <w:bookmarkEnd w:id="142"/>
      <w:r w:rsidRPr="002544B9">
        <w:rPr>
          <w:rFonts w:hint="eastAsia"/>
          <w:sz w:val="30"/>
          <w:szCs w:val="30"/>
        </w:rPr>
        <w:t>合同的生效</w:t>
      </w:r>
      <w:bookmarkEnd w:id="143"/>
      <w:bookmarkEnd w:id="163"/>
      <w:bookmarkEnd w:id="164"/>
    </w:p>
    <w:p w14:paraId="1404DB48" w14:textId="725DA0B7" w:rsidR="00370829" w:rsidRDefault="00F475C7">
      <w:pPr>
        <w:adjustRightInd w:val="0"/>
        <w:snapToGrid w:val="0"/>
        <w:spacing w:line="360" w:lineRule="auto"/>
        <w:ind w:firstLineChars="200" w:firstLine="480"/>
        <w:jc w:val="left"/>
        <w:rPr>
          <w:rFonts w:ascii="宋体" w:eastAsia="宋体" w:hAnsi="宋体" w:cs="Times New Roman"/>
          <w:bCs/>
          <w:sz w:val="24"/>
          <w:szCs w:val="21"/>
        </w:rPr>
      </w:pPr>
      <w:r w:rsidRPr="00F475C7">
        <w:rPr>
          <w:rFonts w:ascii="宋体" w:eastAsia="宋体" w:hAnsi="宋体" w:cs="Times New Roman" w:hint="eastAsia"/>
          <w:bCs/>
          <w:sz w:val="24"/>
          <w:szCs w:val="21"/>
        </w:rPr>
        <w:t>根据《基金法》、《运作办法》以及基金合同、招募说明书、基金份额发售公告的有关规定，本基金募集结果符合有关条件，本基金管理人于20</w:t>
      </w:r>
      <w:r w:rsidR="00370829">
        <w:rPr>
          <w:rFonts w:ascii="宋体" w:eastAsia="宋体" w:hAnsi="宋体" w:cs="Times New Roman"/>
          <w:bCs/>
          <w:sz w:val="24"/>
          <w:szCs w:val="21"/>
        </w:rPr>
        <w:t>21</w:t>
      </w:r>
      <w:r w:rsidRPr="00F475C7">
        <w:rPr>
          <w:rFonts w:ascii="宋体" w:eastAsia="宋体" w:hAnsi="宋体" w:cs="Times New Roman" w:hint="eastAsia"/>
          <w:bCs/>
          <w:sz w:val="24"/>
          <w:szCs w:val="21"/>
        </w:rPr>
        <w:t>年</w:t>
      </w:r>
      <w:r w:rsidR="00370829">
        <w:rPr>
          <w:rFonts w:ascii="宋体" w:eastAsia="宋体" w:hAnsi="宋体" w:cs="Times New Roman"/>
          <w:bCs/>
          <w:sz w:val="24"/>
          <w:szCs w:val="21"/>
        </w:rPr>
        <w:t>6</w:t>
      </w:r>
      <w:r w:rsidRPr="00F475C7">
        <w:rPr>
          <w:rFonts w:ascii="宋体" w:eastAsia="宋体" w:hAnsi="宋体" w:cs="Times New Roman" w:hint="eastAsia"/>
          <w:bCs/>
          <w:sz w:val="24"/>
          <w:szCs w:val="21"/>
        </w:rPr>
        <w:t>月</w:t>
      </w:r>
      <w:r w:rsidR="00370829">
        <w:rPr>
          <w:rFonts w:ascii="宋体" w:eastAsia="宋体" w:hAnsi="宋体" w:cs="Times New Roman"/>
          <w:bCs/>
          <w:sz w:val="24"/>
          <w:szCs w:val="21"/>
        </w:rPr>
        <w:t>18</w:t>
      </w:r>
      <w:r w:rsidRPr="00F475C7">
        <w:rPr>
          <w:rFonts w:ascii="宋体" w:eastAsia="宋体" w:hAnsi="宋体" w:cs="Times New Roman" w:hint="eastAsia"/>
          <w:bCs/>
          <w:sz w:val="24"/>
          <w:szCs w:val="21"/>
        </w:rPr>
        <w:t>日向中国证监会办理完毕基金备案手续并已获书面确认，基金合同自该日期正式生效。自基金合同生效之日起，本基金管理人正式开始管理本基金。</w:t>
      </w:r>
    </w:p>
    <w:p w14:paraId="5E7F54F5" w14:textId="35B235E1" w:rsidR="00AC3A9B" w:rsidRPr="002544B9" w:rsidRDefault="002C3C29">
      <w:pPr>
        <w:adjustRightInd w:val="0"/>
        <w:snapToGrid w:val="0"/>
        <w:spacing w:line="360" w:lineRule="auto"/>
        <w:ind w:firstLineChars="200" w:firstLine="480"/>
        <w:jc w:val="left"/>
        <w:rPr>
          <w:rFonts w:asciiTheme="minorEastAsia" w:hAnsiTheme="minorEastAsia" w:cs="Times New Roman"/>
          <w:sz w:val="24"/>
          <w:szCs w:val="24"/>
        </w:rPr>
      </w:pPr>
      <w:r w:rsidRPr="002544B9">
        <w:rPr>
          <w:rFonts w:asciiTheme="minorEastAsia" w:hAnsiTheme="minorEastAsia" w:cs="Times New Roman" w:hint="eastAsia"/>
          <w:sz w:val="24"/>
          <w:szCs w:val="24"/>
        </w:rPr>
        <w:t>《基金合同》生效后，连续</w:t>
      </w:r>
      <w:r w:rsidRPr="002544B9">
        <w:rPr>
          <w:rFonts w:asciiTheme="minorEastAsia" w:hAnsiTheme="minorEastAsia" w:cs="Times New Roman"/>
          <w:sz w:val="24"/>
          <w:szCs w:val="24"/>
        </w:rPr>
        <w:t>20个工作日出现基金份额持有人数量不满200人或者基金资产净值低于5000万元情形的，基金管理人应当在定期报告中予以披露；连续60个工作日出现前述情形的，基金管理人应</w:t>
      </w:r>
      <w:r w:rsidR="00AF017B" w:rsidRPr="002544B9">
        <w:rPr>
          <w:rFonts w:asciiTheme="minorEastAsia" w:hAnsiTheme="minorEastAsia" w:cs="Times New Roman" w:hint="eastAsia"/>
          <w:sz w:val="24"/>
          <w:szCs w:val="24"/>
        </w:rPr>
        <w:t>在</w:t>
      </w:r>
      <w:r w:rsidRPr="002544B9">
        <w:rPr>
          <w:rFonts w:asciiTheme="minorEastAsia" w:hAnsiTheme="minorEastAsia" w:cs="Times New Roman" w:hint="eastAsia"/>
          <w:sz w:val="24"/>
          <w:szCs w:val="24"/>
        </w:rPr>
        <w:t>当</w:t>
      </w:r>
      <w:r w:rsidRPr="002544B9">
        <w:rPr>
          <w:rFonts w:asciiTheme="minorEastAsia" w:hAnsiTheme="minorEastAsia" w:cs="Times New Roman"/>
          <w:sz w:val="24"/>
          <w:szCs w:val="24"/>
        </w:rPr>
        <w:t>10个工作日内向中国证监会报告并提出解决方案，如持续运作、转换运作方式、与其他基金合并或者终止基金合同等，并</w:t>
      </w:r>
      <w:r w:rsidR="008178F3" w:rsidRPr="002544B9">
        <w:rPr>
          <w:rFonts w:asciiTheme="minorEastAsia" w:hAnsiTheme="minorEastAsia" w:cs="Times New Roman" w:hint="eastAsia"/>
          <w:sz w:val="24"/>
          <w:szCs w:val="24"/>
        </w:rPr>
        <w:t>在</w:t>
      </w:r>
      <w:r w:rsidRPr="002544B9">
        <w:rPr>
          <w:rFonts w:asciiTheme="minorEastAsia" w:hAnsiTheme="minorEastAsia" w:cs="Times New Roman"/>
          <w:sz w:val="24"/>
          <w:szCs w:val="24"/>
        </w:rPr>
        <w:t>6个月内召</w:t>
      </w:r>
      <w:r w:rsidR="00AF017B" w:rsidRPr="002544B9">
        <w:rPr>
          <w:rFonts w:asciiTheme="minorEastAsia" w:hAnsiTheme="minorEastAsia" w:cs="Times New Roman" w:hint="eastAsia"/>
          <w:sz w:val="24"/>
          <w:szCs w:val="24"/>
        </w:rPr>
        <w:t>集</w:t>
      </w:r>
      <w:r w:rsidRPr="002544B9">
        <w:rPr>
          <w:rFonts w:asciiTheme="minorEastAsia" w:hAnsiTheme="minorEastAsia" w:cs="Times New Roman" w:hint="eastAsia"/>
          <w:sz w:val="24"/>
          <w:szCs w:val="24"/>
        </w:rPr>
        <w:t>基金份额持有人大会。</w:t>
      </w:r>
    </w:p>
    <w:p w14:paraId="55EB15BE" w14:textId="6DF5E1D9" w:rsidR="00AC3A9B" w:rsidRPr="002544B9" w:rsidRDefault="002C3C29">
      <w:pPr>
        <w:widowControl/>
        <w:spacing w:line="360" w:lineRule="auto"/>
        <w:ind w:firstLineChars="200" w:firstLine="480"/>
        <w:jc w:val="left"/>
        <w:rPr>
          <w:rFonts w:ascii="Arial" w:eastAsia="宋体" w:hAnsi="Arial" w:cs="Times New Roman"/>
          <w:szCs w:val="20"/>
        </w:rPr>
        <w:sectPr w:rsidR="00AC3A9B" w:rsidRPr="002544B9">
          <w:footerReference w:type="default" r:id="rId21"/>
          <w:pgSz w:w="11906" w:h="16838"/>
          <w:pgMar w:top="1440" w:right="1800" w:bottom="1440" w:left="1800" w:header="851" w:footer="992" w:gutter="0"/>
          <w:pgNumType w:chapStyle="1"/>
          <w:cols w:space="720"/>
          <w:docGrid w:type="lines" w:linePitch="312"/>
        </w:sectPr>
      </w:pPr>
      <w:r w:rsidRPr="002544B9">
        <w:rPr>
          <w:rFonts w:asciiTheme="minorEastAsia" w:hAnsiTheme="minorEastAsia" w:cs="Times New Roman" w:hint="eastAsia"/>
          <w:sz w:val="24"/>
          <w:szCs w:val="24"/>
        </w:rPr>
        <w:t>法律法规</w:t>
      </w:r>
      <w:r w:rsidR="00A142AA" w:rsidRPr="002544B9">
        <w:rPr>
          <w:rFonts w:asciiTheme="minorEastAsia" w:hAnsiTheme="minorEastAsia" w:cs="Times New Roman" w:hint="eastAsia"/>
          <w:sz w:val="24"/>
          <w:szCs w:val="24"/>
        </w:rPr>
        <w:t>或中国证监会</w:t>
      </w:r>
      <w:r w:rsidRPr="002544B9">
        <w:rPr>
          <w:rFonts w:asciiTheme="minorEastAsia" w:hAnsiTheme="minorEastAsia" w:cs="Times New Roman" w:hint="eastAsia"/>
          <w:sz w:val="24"/>
          <w:szCs w:val="24"/>
        </w:rPr>
        <w:t>另有规定时，从其规定。</w:t>
      </w:r>
      <w:r w:rsidRPr="002544B9">
        <w:rPr>
          <w:rFonts w:asciiTheme="minorEastAsia" w:hAnsiTheme="minorEastAsia" w:cs="Times New Roman"/>
          <w:sz w:val="24"/>
          <w:szCs w:val="24"/>
        </w:rPr>
        <w:t xml:space="preserve"> </w:t>
      </w:r>
      <w:bookmarkStart w:id="165" w:name="_Toc214873597"/>
      <w:bookmarkStart w:id="166" w:name="_Toc147463118"/>
      <w:bookmarkStart w:id="167" w:name="_Toc12357171"/>
      <w:bookmarkStart w:id="168" w:name="_Toc416264544"/>
      <w:bookmarkStart w:id="169" w:name="_Toc263092316"/>
      <w:bookmarkStart w:id="170" w:name="_Toc21073391"/>
      <w:bookmarkStart w:id="171" w:name="_Toc725"/>
      <w:bookmarkStart w:id="172" w:name="_Toc16164"/>
      <w:bookmarkStart w:id="173" w:name="_Toc123051455"/>
      <w:bookmarkStart w:id="174" w:name="_Toc10398"/>
      <w:bookmarkStart w:id="175" w:name="_Toc139991739"/>
      <w:bookmarkStart w:id="176" w:name="_Toc21735"/>
      <w:bookmarkStart w:id="177" w:name="_Toc3572"/>
      <w:bookmarkStart w:id="178" w:name="_Toc18206"/>
      <w:bookmarkStart w:id="179" w:name="_Toc18769"/>
      <w:bookmarkStart w:id="180" w:name="_Toc1745"/>
      <w:bookmarkStart w:id="181" w:name="_Toc141703889"/>
      <w:bookmarkStart w:id="182" w:name="_Toc123112237"/>
      <w:bookmarkStart w:id="183" w:name="_Toc98560355"/>
      <w:bookmarkStart w:id="184" w:name="_Toc123102456"/>
      <w:bookmarkStart w:id="185" w:name="_Toc352229755"/>
      <w:bookmarkStart w:id="186" w:name="_Toc31821"/>
      <w:bookmarkStart w:id="187" w:name="_Toc3963"/>
      <w:bookmarkStart w:id="188" w:name="_Toc3080"/>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p>
    <w:p w14:paraId="36ADF297" w14:textId="77777777" w:rsidR="00AC3A9B" w:rsidRPr="002544B9" w:rsidRDefault="002C3C29">
      <w:pPr>
        <w:pStyle w:val="1"/>
        <w:jc w:val="center"/>
        <w:rPr>
          <w:rFonts w:ascii="Arial" w:hAnsi="Arial" w:cs="Arial"/>
          <w:bCs/>
          <w:sz w:val="30"/>
          <w:szCs w:val="30"/>
        </w:rPr>
      </w:pPr>
      <w:bookmarkStart w:id="189" w:name="_Toc68266295"/>
      <w:bookmarkStart w:id="190" w:name="_Toc104205519"/>
      <w:r w:rsidRPr="002544B9">
        <w:rPr>
          <w:rFonts w:hint="eastAsia"/>
          <w:sz w:val="30"/>
          <w:szCs w:val="30"/>
        </w:rPr>
        <w:t>第八部分</w:t>
      </w:r>
      <w:r w:rsidRPr="002544B9">
        <w:rPr>
          <w:sz w:val="30"/>
          <w:szCs w:val="30"/>
        </w:rPr>
        <w:t xml:space="preserve">  </w:t>
      </w:r>
      <w:r w:rsidRPr="002544B9">
        <w:rPr>
          <w:rFonts w:hint="eastAsia"/>
          <w:sz w:val="30"/>
          <w:szCs w:val="30"/>
        </w:rPr>
        <w:t>基金份额的申购与赎回</w:t>
      </w:r>
      <w:bookmarkEnd w:id="165"/>
      <w:bookmarkEnd w:id="166"/>
      <w:bookmarkEnd w:id="167"/>
      <w:bookmarkEnd w:id="168"/>
      <w:bookmarkEnd w:id="169"/>
      <w:bookmarkEnd w:id="170"/>
      <w:bookmarkEnd w:id="189"/>
      <w:bookmarkEnd w:id="190"/>
    </w:p>
    <w:p w14:paraId="4A405928" w14:textId="77777777" w:rsidR="00AC3A9B" w:rsidRPr="002544B9" w:rsidRDefault="002C3C29">
      <w:pPr>
        <w:adjustRightInd w:val="0"/>
        <w:snapToGrid w:val="0"/>
        <w:spacing w:line="360" w:lineRule="auto"/>
        <w:ind w:firstLineChars="200" w:firstLine="482"/>
        <w:rPr>
          <w:rFonts w:asciiTheme="minorEastAsia" w:hAnsiTheme="minorEastAsia" w:cs="Arial"/>
          <w:b/>
          <w:bCs/>
          <w:kern w:val="0"/>
          <w:sz w:val="24"/>
          <w:szCs w:val="24"/>
        </w:rPr>
      </w:pPr>
      <w:r w:rsidRPr="002544B9">
        <w:rPr>
          <w:rFonts w:asciiTheme="minorEastAsia" w:hAnsiTheme="minorEastAsia" w:cs="Arial" w:hint="eastAsia"/>
          <w:b/>
          <w:bCs/>
          <w:kern w:val="0"/>
          <w:sz w:val="24"/>
          <w:szCs w:val="24"/>
        </w:rPr>
        <w:t>一、申购和赎回场所</w:t>
      </w:r>
    </w:p>
    <w:p w14:paraId="0EB11802" w14:textId="10C9C0BF" w:rsidR="00E57A93" w:rsidRPr="002544B9" w:rsidRDefault="00E57A93" w:rsidP="00E57A93">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申购与赎回将通过销售机构进行。具体的销售网点将由基金管理人在招募说明书或基金管理人网站列明。基金管理人可根据情况变更或增减销售机构，并在基金管理人网站公示。基金投资者应当在销售机构办理基金销售业务的营业场所或按销售机构提供的其他方式办理基金份额的申购与赎回。</w:t>
      </w:r>
    </w:p>
    <w:p w14:paraId="72E803D9" w14:textId="3AF2AE04" w:rsidR="00AC3A9B" w:rsidRPr="002544B9" w:rsidRDefault="002C3C29" w:rsidP="00E57A93">
      <w:pPr>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二、申购和赎回的开放日及时间</w:t>
      </w:r>
    </w:p>
    <w:p w14:paraId="750B9D2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1、开放日及开放时间</w:t>
      </w:r>
    </w:p>
    <w:p w14:paraId="5997E263" w14:textId="26F4283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在开放日办理基金份额的申购和赎回，具体办理时间为上海证券交易所、深圳证券交易所的正常交易日的交易时间，但基金管理人根据法律法规、中国证监会的要求或基金合同的规定公告暂停申购、赎回时除外。</w:t>
      </w:r>
    </w:p>
    <w:p w14:paraId="32D4E348" w14:textId="7FB7B51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基金合同生效后，若出现新的证券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交易市场、证券</w:t>
      </w:r>
      <w:r w:rsidR="00AF017B" w:rsidRPr="002544B9">
        <w:rPr>
          <w:rFonts w:asciiTheme="minorEastAsia" w:hAnsiTheme="minorEastAsia" w:cs="Arial"/>
          <w:sz w:val="24"/>
          <w:szCs w:val="24"/>
        </w:rPr>
        <w:t>/期货</w:t>
      </w:r>
      <w:r w:rsidRPr="002544B9">
        <w:rPr>
          <w:rFonts w:asciiTheme="minorEastAsia" w:hAnsiTheme="minorEastAsia" w:cs="Arial" w:hint="eastAsia"/>
          <w:sz w:val="24"/>
          <w:szCs w:val="24"/>
        </w:rPr>
        <w:t>交易所交易时间变更或其他特殊情况，基金管理人将视情况对前述开放日及开放时间进行相应的调整，但应在实施日前依照《信息披露办法》的有关规定在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C20098A"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2、申购、赎回开始日及业务办理时间</w:t>
      </w:r>
    </w:p>
    <w:p w14:paraId="7B9CFB55" w14:textId="4A4526EB" w:rsidR="00E57A93" w:rsidRPr="002544B9" w:rsidRDefault="005A2B57" w:rsidP="005A2B57">
      <w:pPr>
        <w:tabs>
          <w:tab w:val="left" w:pos="1110"/>
        </w:tabs>
        <w:adjustRightInd w:val="0"/>
        <w:snapToGrid w:val="0"/>
        <w:spacing w:line="360" w:lineRule="auto"/>
        <w:ind w:firstLineChars="200" w:firstLine="480"/>
        <w:rPr>
          <w:rFonts w:asciiTheme="minorEastAsia" w:hAnsiTheme="minorEastAsia" w:cs="Arial"/>
          <w:sz w:val="24"/>
          <w:szCs w:val="24"/>
        </w:rPr>
      </w:pPr>
      <w:r w:rsidRPr="005A2B57">
        <w:rPr>
          <w:rFonts w:asciiTheme="minorEastAsia" w:hAnsiTheme="minorEastAsia" w:cs="Arial" w:hint="eastAsia"/>
          <w:sz w:val="24"/>
          <w:szCs w:val="24"/>
        </w:rPr>
        <w:t>本基金已于</w:t>
      </w:r>
      <w:r w:rsidR="00BD0E3F">
        <w:rPr>
          <w:rFonts w:asciiTheme="minorEastAsia" w:hAnsiTheme="minorEastAsia" w:cs="Arial"/>
          <w:sz w:val="24"/>
          <w:szCs w:val="24"/>
        </w:rPr>
        <w:t>2021</w:t>
      </w:r>
      <w:r w:rsidRPr="005A2B57">
        <w:rPr>
          <w:rFonts w:asciiTheme="minorEastAsia" w:hAnsiTheme="minorEastAsia" w:cs="Arial" w:hint="eastAsia"/>
          <w:sz w:val="24"/>
          <w:szCs w:val="24"/>
        </w:rPr>
        <w:t>年</w:t>
      </w:r>
      <w:r w:rsidR="00BD0E3F">
        <w:rPr>
          <w:rFonts w:asciiTheme="minorEastAsia" w:hAnsiTheme="minorEastAsia" w:cs="Arial"/>
          <w:sz w:val="24"/>
          <w:szCs w:val="24"/>
        </w:rPr>
        <w:t>7</w:t>
      </w:r>
      <w:r w:rsidRPr="005A2B57">
        <w:rPr>
          <w:rFonts w:asciiTheme="minorEastAsia" w:hAnsiTheme="minorEastAsia" w:cs="Arial" w:hint="eastAsia"/>
          <w:sz w:val="24"/>
          <w:szCs w:val="24"/>
        </w:rPr>
        <w:t>月</w:t>
      </w:r>
      <w:r w:rsidR="00BD0E3F">
        <w:rPr>
          <w:rFonts w:asciiTheme="minorEastAsia" w:hAnsiTheme="minorEastAsia" w:cs="Arial"/>
          <w:sz w:val="24"/>
          <w:szCs w:val="24"/>
        </w:rPr>
        <w:t>19</w:t>
      </w:r>
      <w:r w:rsidRPr="005A2B57">
        <w:rPr>
          <w:rFonts w:asciiTheme="minorEastAsia" w:hAnsiTheme="minorEastAsia" w:cs="Arial" w:hint="eastAsia"/>
          <w:sz w:val="24"/>
          <w:szCs w:val="24"/>
        </w:rPr>
        <w:t>日开始办理申购、赎回业务。</w:t>
      </w:r>
    </w:p>
    <w:p w14:paraId="7E2A31D2"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基金管理人不得在基金合同约定之外的日期或者时间办理基金份额的申购、赎回或者转换。投资人在基金合同约定之外的日期和时间提出申购、赎回或转换申请</w:t>
      </w:r>
      <w:proofErr w:type="gramStart"/>
      <w:r w:rsidRPr="002544B9">
        <w:rPr>
          <w:rFonts w:asciiTheme="minorEastAsia" w:hAnsiTheme="minorEastAsia" w:cs="Arial" w:hint="eastAsia"/>
          <w:sz w:val="24"/>
          <w:szCs w:val="24"/>
        </w:rPr>
        <w:t>且登记</w:t>
      </w:r>
      <w:proofErr w:type="gramEnd"/>
      <w:r w:rsidRPr="002544B9">
        <w:rPr>
          <w:rFonts w:asciiTheme="minorEastAsia" w:hAnsiTheme="minorEastAsia" w:cs="Arial" w:hint="eastAsia"/>
          <w:sz w:val="24"/>
          <w:szCs w:val="24"/>
        </w:rPr>
        <w:t>机构确认接受的，其基金份额申购、赎回价格为下一开放日该类基金份额申购、赎回的价格。</w:t>
      </w:r>
    </w:p>
    <w:p w14:paraId="289C2656" w14:textId="33C640EC"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三、申购与赎回的原则</w:t>
      </w:r>
    </w:p>
    <w:p w14:paraId="110E7A1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1、“未知价”原则，即申购、赎回价格以申请当日收市后计算的该类基金份额净值为基准进行计算；</w:t>
      </w:r>
    </w:p>
    <w:p w14:paraId="736FAEE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2、“金额申购、份额赎回”原则，即申购以金额申请，赎回以份额申请；</w:t>
      </w:r>
    </w:p>
    <w:p w14:paraId="1E96DF18"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3、当日的申购与赎回申请可以在基金管理人规定的时间以内撤销；</w:t>
      </w:r>
    </w:p>
    <w:p w14:paraId="1CF94E26" w14:textId="5BCA8BDA"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4、赎回遵循“先进先出”原则，即按照投资人认购、申购的先后次序进行顺序赎回</w:t>
      </w:r>
      <w:r w:rsidR="004E3218" w:rsidRPr="002544B9">
        <w:rPr>
          <w:rFonts w:asciiTheme="minorEastAsia" w:hAnsiTheme="minorEastAsia" w:cs="Arial" w:hint="eastAsia"/>
          <w:sz w:val="24"/>
          <w:szCs w:val="24"/>
        </w:rPr>
        <w:t>；</w:t>
      </w:r>
    </w:p>
    <w:p w14:paraId="2337C4A6"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5、办理申购、赎回业务时，应当遵循基金份额持有人利益优先原则，确保投资者的合法权益不受损害并得到公平对待。</w:t>
      </w:r>
    </w:p>
    <w:p w14:paraId="1CF474BE" w14:textId="04642408"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基金管理人可在法律法规允许的情况下，对上述原则进行调整。基金管理人必须在新规则开始实施前依照《信息披露办法》的有关规定在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4803523D" w14:textId="692F4D5A" w:rsidR="00AC3A9B" w:rsidRPr="002544B9" w:rsidRDefault="002C3C29" w:rsidP="00E57A93">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四、申购与赎回的程序</w:t>
      </w:r>
    </w:p>
    <w:p w14:paraId="5C8222BB"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1、申购和赎回的申请方式</w:t>
      </w:r>
    </w:p>
    <w:p w14:paraId="077B453E"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投资人必须根据销售机构规定的程序，在开放日的具体业务办理时间内提出申购或赎回的申请。</w:t>
      </w:r>
    </w:p>
    <w:p w14:paraId="1F1BFED1"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2、申购和赎回的款项支付</w:t>
      </w:r>
    </w:p>
    <w:p w14:paraId="100B609C" w14:textId="1AAFEA6D"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投资人申购基金份额时，必须</w:t>
      </w:r>
      <w:r w:rsidR="001A47DA" w:rsidRPr="002544B9">
        <w:rPr>
          <w:rFonts w:asciiTheme="minorEastAsia" w:hAnsiTheme="minorEastAsia" w:cs="Arial" w:hint="eastAsia"/>
          <w:sz w:val="24"/>
          <w:szCs w:val="24"/>
        </w:rPr>
        <w:t>在规定的时间内</w:t>
      </w:r>
      <w:r w:rsidRPr="002544B9">
        <w:rPr>
          <w:rFonts w:asciiTheme="minorEastAsia" w:hAnsiTheme="minorEastAsia" w:cs="Arial" w:hint="eastAsia"/>
          <w:sz w:val="24"/>
          <w:szCs w:val="24"/>
        </w:rPr>
        <w:t>全额交付申购款项，投资人</w:t>
      </w:r>
      <w:r w:rsidR="001A47DA" w:rsidRPr="002544B9">
        <w:rPr>
          <w:rFonts w:asciiTheme="minorEastAsia" w:hAnsiTheme="minorEastAsia" w:cs="Arial" w:hint="eastAsia"/>
          <w:sz w:val="24"/>
          <w:szCs w:val="24"/>
        </w:rPr>
        <w:t>在规定的时间内</w:t>
      </w:r>
      <w:r w:rsidR="00AF017B" w:rsidRPr="002544B9">
        <w:rPr>
          <w:rFonts w:asciiTheme="minorEastAsia" w:hAnsiTheme="minorEastAsia" w:cs="Arial" w:hint="eastAsia"/>
          <w:sz w:val="24"/>
          <w:szCs w:val="24"/>
        </w:rPr>
        <w:t>全额</w:t>
      </w:r>
      <w:r w:rsidRPr="002544B9">
        <w:rPr>
          <w:rFonts w:asciiTheme="minorEastAsia" w:hAnsiTheme="minorEastAsia" w:cs="Arial" w:hint="eastAsia"/>
          <w:sz w:val="24"/>
          <w:szCs w:val="24"/>
        </w:rPr>
        <w:t>交付申购款项，申购成立；基金份额登记机构确认基金份额时，申购生效。基金份额持有人递交赎回申请，赎回成立；基金份额登记机构确认赎回时，赎回生效。</w:t>
      </w:r>
    </w:p>
    <w:p w14:paraId="1F85FB7E" w14:textId="4EFD1E5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w:t>
      </w:r>
      <w:r w:rsidR="00AF017B" w:rsidRPr="002544B9">
        <w:rPr>
          <w:rFonts w:asciiTheme="minorEastAsia" w:hAnsiTheme="minorEastAsia" w:cs="Arial"/>
          <w:sz w:val="24"/>
          <w:szCs w:val="24"/>
        </w:rPr>
        <w:t>T日</w:t>
      </w:r>
      <w:r w:rsidRPr="002544B9">
        <w:rPr>
          <w:rFonts w:asciiTheme="minorEastAsia" w:hAnsiTheme="minorEastAsia" w:cs="Arial" w:hint="eastAsia"/>
          <w:sz w:val="24"/>
          <w:szCs w:val="24"/>
        </w:rPr>
        <w:t>赎回申请</w:t>
      </w:r>
      <w:r w:rsidR="00AF017B" w:rsidRPr="002544B9">
        <w:rPr>
          <w:rFonts w:asciiTheme="minorEastAsia" w:hAnsiTheme="minorEastAsia" w:cs="Arial" w:hint="eastAsia"/>
          <w:sz w:val="24"/>
          <w:szCs w:val="24"/>
        </w:rPr>
        <w:t>生效</w:t>
      </w:r>
      <w:r w:rsidRPr="002544B9">
        <w:rPr>
          <w:rFonts w:asciiTheme="minorEastAsia" w:hAnsiTheme="minorEastAsia" w:cs="Arial" w:hint="eastAsia"/>
          <w:sz w:val="24"/>
          <w:szCs w:val="24"/>
        </w:rPr>
        <w:t>后，基金管理人将在</w:t>
      </w:r>
      <w:r w:rsidRPr="002544B9">
        <w:rPr>
          <w:rFonts w:asciiTheme="minorEastAsia" w:hAnsiTheme="minorEastAsia" w:cs="Arial"/>
          <w:sz w:val="24"/>
          <w:szCs w:val="24"/>
        </w:rPr>
        <w:t>T＋7日(包括该日)内支付赎回款项。在发生巨额赎回时或基金合同载明的延缓支付赎回款项的情形时，款项的支付办法参照基金合同有关条款处理。</w:t>
      </w:r>
    </w:p>
    <w:p w14:paraId="720DDACD"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遇证券、期货交易所或交易市场数据传输延迟、通讯系统故障、银行数据交换系统故障或其它</w:t>
      </w:r>
      <w:proofErr w:type="gramStart"/>
      <w:r w:rsidRPr="002544B9">
        <w:rPr>
          <w:rFonts w:asciiTheme="minorEastAsia" w:hAnsiTheme="minorEastAsia" w:cs="Arial" w:hint="eastAsia"/>
          <w:sz w:val="24"/>
          <w:szCs w:val="24"/>
        </w:rPr>
        <w:t>非基金</w:t>
      </w:r>
      <w:proofErr w:type="gramEnd"/>
      <w:r w:rsidRPr="002544B9">
        <w:rPr>
          <w:rFonts w:asciiTheme="minorEastAsia" w:hAnsiTheme="minorEastAsia" w:cs="Arial" w:hint="eastAsia"/>
          <w:sz w:val="24"/>
          <w:szCs w:val="24"/>
        </w:rPr>
        <w:t>管理人及基金托管人所能控制的因素影响业务处理流程时，赎回款项顺延至前述影响因素消除的下一个工作日划出。</w:t>
      </w:r>
    </w:p>
    <w:p w14:paraId="05D0D3CF" w14:textId="2026AC41" w:rsidR="00AF017B" w:rsidRPr="002544B9" w:rsidRDefault="00AF017B" w:rsidP="00D55EDF">
      <w:pPr>
        <w:spacing w:line="360" w:lineRule="auto"/>
        <w:ind w:firstLineChars="200" w:firstLine="480"/>
        <w:rPr>
          <w:bCs/>
          <w:sz w:val="24"/>
        </w:rPr>
      </w:pPr>
      <w:r w:rsidRPr="002544B9">
        <w:rPr>
          <w:rFonts w:hint="eastAsia"/>
          <w:bCs/>
          <w:sz w:val="24"/>
        </w:rPr>
        <w:t>基金管理人可以在法律法规和基金合同允许的范围内，对上述业务办理时间进行调整，基金管理人必须在调整实施前依照《信息披露办法》的有关规定在规定媒介上公告。</w:t>
      </w:r>
    </w:p>
    <w:p w14:paraId="188FD5FF" w14:textId="77777777"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3、申购和赎回申请的确认</w:t>
      </w:r>
    </w:p>
    <w:p w14:paraId="61116449" w14:textId="5F82739B"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基金管理人应以交易时间结束前受理有效申购和赎回申请的当天作为申购或赎回申请日</w:t>
      </w:r>
      <w:r w:rsidRPr="002544B9">
        <w:rPr>
          <w:rFonts w:asciiTheme="minorEastAsia" w:hAnsiTheme="minorEastAsia" w:cs="Arial"/>
          <w:sz w:val="24"/>
          <w:szCs w:val="24"/>
        </w:rPr>
        <w:t>(T日)，在正常情况下，本基金登记机构在T+1日内对该交易的有效性进行确认。T日提交的有效申请，投资人应在T+2日后(包括该日)及时到销售网点柜台或以销售机构规定的其他方式查询申请的确认情况。若申购不成</w:t>
      </w:r>
      <w:r w:rsidR="00AF017B" w:rsidRPr="002544B9">
        <w:rPr>
          <w:rFonts w:asciiTheme="minorEastAsia" w:hAnsiTheme="minorEastAsia" w:cs="Arial" w:hint="eastAsia"/>
          <w:sz w:val="24"/>
          <w:szCs w:val="24"/>
        </w:rPr>
        <w:t>立或无效</w:t>
      </w:r>
      <w:r w:rsidRPr="002544B9">
        <w:rPr>
          <w:rFonts w:asciiTheme="minorEastAsia" w:hAnsiTheme="minorEastAsia" w:cs="Arial" w:hint="eastAsia"/>
          <w:sz w:val="24"/>
          <w:szCs w:val="24"/>
        </w:rPr>
        <w:t>，则申购款项本金退还给投资人。</w:t>
      </w:r>
    </w:p>
    <w:p w14:paraId="73413DC0" w14:textId="1EA622B5"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销售机构对申购、赎回申请的受理并不代表该申请一定成功，而仅代表销售机构确实接收到申购、赎回申请。申购、赎回</w:t>
      </w:r>
      <w:r w:rsidR="00A142AA" w:rsidRPr="002544B9">
        <w:rPr>
          <w:rFonts w:asciiTheme="minorEastAsia" w:hAnsiTheme="minorEastAsia" w:cs="Arial" w:hint="eastAsia"/>
          <w:sz w:val="24"/>
          <w:szCs w:val="24"/>
        </w:rPr>
        <w:t>申请</w:t>
      </w:r>
      <w:r w:rsidRPr="002544B9">
        <w:rPr>
          <w:rFonts w:asciiTheme="minorEastAsia" w:hAnsiTheme="minorEastAsia" w:cs="Arial" w:hint="eastAsia"/>
          <w:sz w:val="24"/>
          <w:szCs w:val="24"/>
        </w:rPr>
        <w:t>的确认以基金份额登记机构的确认结果为准。对于申购、赎回申请的确认情况，投资人应及时查询并妥善行使合法权利。</w:t>
      </w:r>
    </w:p>
    <w:p w14:paraId="57429F5F" w14:textId="2A99E663" w:rsidR="00E57A93" w:rsidRPr="002544B9" w:rsidRDefault="00E57A93" w:rsidP="00E57A93">
      <w:pPr>
        <w:tabs>
          <w:tab w:val="left" w:pos="111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基金管理人可以在法律法规允许的范围内，依法对上述申购和赎回申请的确认时间进行调整，并必须在调整实施日前按照《信息披露办法》的有关规定在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36CF3C0" w14:textId="7415ACB9" w:rsidR="00AC3A9B" w:rsidRPr="002544B9" w:rsidRDefault="00E57A93" w:rsidP="00E57A93">
      <w:pPr>
        <w:tabs>
          <w:tab w:val="left" w:pos="1110"/>
        </w:tabs>
        <w:adjustRightInd w:val="0"/>
        <w:snapToGrid w:val="0"/>
        <w:spacing w:line="360" w:lineRule="auto"/>
        <w:ind w:firstLineChars="200" w:firstLine="482"/>
        <w:rPr>
          <w:rFonts w:asciiTheme="minorEastAsia" w:hAnsiTheme="minorEastAsia" w:cs="Arial"/>
          <w:sz w:val="24"/>
          <w:szCs w:val="24"/>
        </w:rPr>
      </w:pPr>
      <w:r w:rsidRPr="002544B9">
        <w:rPr>
          <w:rFonts w:asciiTheme="minorEastAsia" w:hAnsiTheme="minorEastAsia" w:cs="Arial" w:hint="eastAsia"/>
          <w:b/>
          <w:bCs/>
          <w:sz w:val="24"/>
          <w:szCs w:val="24"/>
        </w:rPr>
        <w:t>五、申购与赎回的数量</w:t>
      </w:r>
      <w:r w:rsidR="002C3C29" w:rsidRPr="002544B9">
        <w:rPr>
          <w:rFonts w:asciiTheme="minorEastAsia" w:hAnsiTheme="minorEastAsia" w:cs="Arial" w:hint="eastAsia"/>
          <w:b/>
          <w:bCs/>
          <w:sz w:val="24"/>
          <w:szCs w:val="24"/>
        </w:rPr>
        <w:t>限制</w:t>
      </w:r>
    </w:p>
    <w:p w14:paraId="661356FF" w14:textId="77777777" w:rsidR="00467738" w:rsidRPr="00467738" w:rsidRDefault="00467738" w:rsidP="00467738">
      <w:pPr>
        <w:tabs>
          <w:tab w:val="left" w:pos="111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1、投资人申购 A 类基金份额，首次最低申购金额为人民币 1.00 元，追加申购单笔最低金额为人民币 1.00 元。投资人申购 C 类基金份额，首次最低申购金额为人民币1.00元，追加申购单笔最低金额为人民币 1.00元。各销售机构在不低于上述规定的前提下，可根据自己的情况调整首次最低申购金额和追加单笔最低申购金额限制，具体以销售机构公布的为准。</w:t>
      </w:r>
    </w:p>
    <w:p w14:paraId="1F8ED7F5" w14:textId="4E6A6470" w:rsidR="00E57A93" w:rsidRPr="002544B9" w:rsidRDefault="00467738"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467738">
        <w:rPr>
          <w:rFonts w:asciiTheme="minorEastAsia" w:hAnsiTheme="minorEastAsia" w:cs="Arial" w:hint="eastAsia"/>
          <w:sz w:val="24"/>
          <w:szCs w:val="24"/>
        </w:rPr>
        <w:t>2、基金份额持有人在销售机构赎回时，每个交易账户最低持有某一类别基金份额余额为 1份，若某笔赎回导致单个交易账户的某一类别基金份额余额少于 1份时，该类份额余额部分基金份额必须一同赎回。</w:t>
      </w:r>
    </w:p>
    <w:p w14:paraId="45FF8BC6" w14:textId="77777777"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3、基金管理人可以规定单个投资人累计持有的基金份额上限，具体规定请参见招募说明书或相关公告。</w:t>
      </w:r>
    </w:p>
    <w:p w14:paraId="77A2067D" w14:textId="03852021"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当接受申购申请对存量基金份额持有人利益构成潜在重大不利影响时，基金管理人应当采取设定单一投资者申购金额上限或基金单日净申购比例上限、拒绝大额申购、暂停基金申购等措施，切实保护存量基金份额持有人的合法权益。基金管理人基于投资运作与风险控制的需要，可采取上述措施对基金规模予以控制。具体</w:t>
      </w:r>
      <w:proofErr w:type="gramStart"/>
      <w:r w:rsidRPr="002544B9">
        <w:rPr>
          <w:rFonts w:asciiTheme="minorEastAsia" w:hAnsiTheme="minorEastAsia" w:cs="Arial" w:hint="eastAsia"/>
          <w:sz w:val="24"/>
          <w:szCs w:val="24"/>
        </w:rPr>
        <w:t>见基金</w:t>
      </w:r>
      <w:proofErr w:type="gramEnd"/>
      <w:r w:rsidRPr="002544B9">
        <w:rPr>
          <w:rFonts w:asciiTheme="minorEastAsia" w:hAnsiTheme="minorEastAsia" w:cs="Arial" w:hint="eastAsia"/>
          <w:sz w:val="24"/>
          <w:szCs w:val="24"/>
        </w:rPr>
        <w:t>管理人相关公告。</w:t>
      </w:r>
    </w:p>
    <w:p w14:paraId="31DE401C" w14:textId="6D283F13" w:rsidR="00E57A93" w:rsidRPr="002544B9" w:rsidRDefault="00E57A93" w:rsidP="00E57A93">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5、基金管理人可在法律法规允许的情况下，调整上述规定申购金额和赎回份额的数量限制。基金管理人必须在调整</w:t>
      </w:r>
      <w:r w:rsidR="00AF017B" w:rsidRPr="002544B9">
        <w:rPr>
          <w:rFonts w:asciiTheme="minorEastAsia" w:hAnsiTheme="minorEastAsia" w:cs="Arial" w:hint="eastAsia"/>
          <w:sz w:val="24"/>
          <w:szCs w:val="24"/>
        </w:rPr>
        <w:t>实施</w:t>
      </w:r>
      <w:r w:rsidRPr="002544B9">
        <w:rPr>
          <w:rFonts w:asciiTheme="minorEastAsia" w:hAnsiTheme="minorEastAsia" w:cs="Arial" w:hint="eastAsia"/>
          <w:sz w:val="24"/>
          <w:szCs w:val="24"/>
        </w:rPr>
        <w:t>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140579B1" w14:textId="364E4FFC" w:rsidR="00AC3A9B" w:rsidRPr="002544B9" w:rsidRDefault="002C3C29" w:rsidP="00E57A93">
      <w:pPr>
        <w:tabs>
          <w:tab w:val="left" w:pos="1110"/>
          <w:tab w:val="left" w:pos="630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六、申购费用、赎回费用</w:t>
      </w:r>
    </w:p>
    <w:p w14:paraId="311A3E83" w14:textId="77777777" w:rsidR="00AC3A9B" w:rsidRPr="002544B9" w:rsidRDefault="002C3C29">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、申购费用</w:t>
      </w:r>
    </w:p>
    <w:p w14:paraId="77280F28" w14:textId="30EA0392" w:rsidR="00AC3A9B" w:rsidRPr="002544B9" w:rsidRDefault="002C3C29" w:rsidP="00CE6B61">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类基金份额申购均采用金额申购方式，申购费率如下表。投资者在一天之内如果有多笔申购，费率按单笔分别计算。</w:t>
      </w:r>
    </w:p>
    <w:tbl>
      <w:tblP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92"/>
        <w:gridCol w:w="4430"/>
      </w:tblGrid>
      <w:tr w:rsidR="00AC3A9B" w:rsidRPr="002544B9" w14:paraId="13D73BCE" w14:textId="77777777">
        <w:trPr>
          <w:trHeight w:val="190"/>
          <w:jc w:val="center"/>
        </w:trPr>
        <w:tc>
          <w:tcPr>
            <w:tcW w:w="8522" w:type="dxa"/>
            <w:gridSpan w:val="2"/>
            <w:tcBorders>
              <w:top w:val="single" w:sz="4" w:space="0" w:color="auto"/>
              <w:left w:val="single" w:sz="4" w:space="0" w:color="auto"/>
              <w:bottom w:val="single" w:sz="4" w:space="0" w:color="auto"/>
              <w:right w:val="single" w:sz="4" w:space="0" w:color="auto"/>
            </w:tcBorders>
          </w:tcPr>
          <w:p w14:paraId="56DA6811" w14:textId="77777777" w:rsidR="00AC3A9B" w:rsidRPr="002544B9" w:rsidRDefault="002C3C29">
            <w:pPr>
              <w:widowControl/>
              <w:spacing w:line="264" w:lineRule="auto"/>
              <w:jc w:val="center"/>
              <w:rPr>
                <w:rFonts w:asciiTheme="minorEastAsia" w:hAnsiTheme="minorEastAsia" w:cs="Arial"/>
                <w:bCs/>
                <w:kern w:val="0"/>
                <w:sz w:val="24"/>
                <w:szCs w:val="24"/>
              </w:rPr>
            </w:pPr>
            <w:r w:rsidRPr="002544B9">
              <w:rPr>
                <w:rFonts w:asciiTheme="minorEastAsia" w:hAnsiTheme="minorEastAsia" w:cs="Arial"/>
                <w:b/>
                <w:bCs/>
                <w:kern w:val="0"/>
                <w:sz w:val="24"/>
                <w:szCs w:val="24"/>
              </w:rPr>
              <w:t>A类基金份额</w:t>
            </w:r>
          </w:p>
        </w:tc>
      </w:tr>
      <w:tr w:rsidR="00AC3A9B" w:rsidRPr="002544B9" w14:paraId="5179E6FD"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31E0954"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申购金额（</w:t>
            </w:r>
            <w:r w:rsidRPr="002544B9">
              <w:rPr>
                <w:rFonts w:asciiTheme="minorEastAsia" w:hAnsiTheme="minorEastAsia" w:cs="Arial"/>
                <w:bCs/>
                <w:kern w:val="0"/>
                <w:sz w:val="24"/>
                <w:szCs w:val="24"/>
              </w:rPr>
              <w:t>M）</w:t>
            </w:r>
          </w:p>
        </w:tc>
        <w:tc>
          <w:tcPr>
            <w:tcW w:w="4430" w:type="dxa"/>
            <w:tcBorders>
              <w:top w:val="single" w:sz="4" w:space="0" w:color="auto"/>
              <w:left w:val="single" w:sz="4" w:space="0" w:color="auto"/>
              <w:bottom w:val="single" w:sz="4" w:space="0" w:color="auto"/>
              <w:right w:val="single" w:sz="4" w:space="0" w:color="auto"/>
            </w:tcBorders>
          </w:tcPr>
          <w:p w14:paraId="7258BDE5"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hint="eastAsia"/>
                <w:bCs/>
                <w:kern w:val="0"/>
                <w:sz w:val="24"/>
                <w:szCs w:val="24"/>
              </w:rPr>
              <w:t>申购费率</w:t>
            </w:r>
          </w:p>
        </w:tc>
      </w:tr>
      <w:tr w:rsidR="00AC3A9B" w:rsidRPr="002544B9" w14:paraId="0037E30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C9F47DC" w14:textId="1FD74505" w:rsidR="00AC3A9B" w:rsidRPr="002544B9" w:rsidRDefault="002C3C29" w:rsidP="008D3588">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315BE3" w:rsidRPr="002544B9">
              <w:rPr>
                <w:rFonts w:asciiTheme="minorEastAsia" w:hAnsiTheme="minorEastAsia" w:cs="Arial"/>
                <w:kern w:val="0"/>
                <w:sz w:val="24"/>
                <w:szCs w:val="24"/>
              </w:rPr>
              <w:t>10</w:t>
            </w:r>
            <w:r w:rsidR="008D3588" w:rsidRPr="002544B9">
              <w:rPr>
                <w:rFonts w:asciiTheme="minorEastAsia" w:hAnsiTheme="minorEastAsia" w:cs="Arial"/>
                <w:kern w:val="0"/>
                <w:sz w:val="24"/>
                <w:szCs w:val="24"/>
              </w:rPr>
              <w:t>0</w:t>
            </w:r>
            <w:r w:rsidRPr="002544B9">
              <w:rPr>
                <w:rFonts w:asciiTheme="minorEastAsia" w:hAnsiTheme="minorEastAsia" w:cs="Arial" w:hint="eastAsia"/>
                <w:kern w:val="0"/>
                <w:sz w:val="24"/>
                <w:szCs w:val="24"/>
              </w:rPr>
              <w:t>万元</w:t>
            </w:r>
          </w:p>
        </w:tc>
        <w:tc>
          <w:tcPr>
            <w:tcW w:w="4430" w:type="dxa"/>
            <w:tcBorders>
              <w:top w:val="single" w:sz="4" w:space="0" w:color="auto"/>
              <w:left w:val="single" w:sz="4" w:space="0" w:color="auto"/>
              <w:bottom w:val="single" w:sz="4" w:space="0" w:color="auto"/>
              <w:right w:val="single" w:sz="4" w:space="0" w:color="auto"/>
            </w:tcBorders>
          </w:tcPr>
          <w:p w14:paraId="1594957F"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1.50%</w:t>
            </w:r>
          </w:p>
        </w:tc>
      </w:tr>
      <w:tr w:rsidR="00AC3A9B" w:rsidRPr="002544B9" w14:paraId="48A93291"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7B0E7995" w14:textId="32B1388D"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w:t>
            </w:r>
            <w:r w:rsidR="002C3C29" w:rsidRPr="002544B9">
              <w:rPr>
                <w:rFonts w:asciiTheme="minorEastAsia" w:hAnsiTheme="minorEastAsia" w:cs="Arial"/>
                <w:kern w:val="0"/>
                <w:sz w:val="24"/>
                <w:szCs w:val="24"/>
              </w:rPr>
              <w:t>0万元≤M＜</w:t>
            </w: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755B3FBD"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w:t>
            </w:r>
          </w:p>
        </w:tc>
      </w:tr>
      <w:tr w:rsidR="00AC3A9B" w:rsidRPr="002544B9" w14:paraId="11DF91E3"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1E05B6BA" w14:textId="6B20F5C3"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3</w:t>
            </w:r>
            <w:r w:rsidR="002C3C29" w:rsidRPr="002544B9">
              <w:rPr>
                <w:rFonts w:asciiTheme="minorEastAsia" w:hAnsiTheme="minorEastAsia" w:cs="Arial"/>
                <w:kern w:val="0"/>
                <w:sz w:val="24"/>
                <w:szCs w:val="24"/>
              </w:rPr>
              <w:t>00万元≤M＜</w:t>
            </w:r>
            <w:r w:rsidR="008D3588" w:rsidRPr="002544B9">
              <w:rPr>
                <w:rFonts w:asciiTheme="minorEastAsia" w:hAnsiTheme="minorEastAsia" w:cs="Arial"/>
                <w:kern w:val="0"/>
                <w:sz w:val="24"/>
                <w:szCs w:val="24"/>
              </w:rPr>
              <w:t>5</w:t>
            </w:r>
            <w:r w:rsidR="002C3C29"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5C3FAD13" w14:textId="57320036" w:rsidR="00AC3A9B" w:rsidRPr="002544B9" w:rsidRDefault="00315BE3">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0.6</w:t>
            </w:r>
            <w:r w:rsidR="002C3C29" w:rsidRPr="002544B9">
              <w:rPr>
                <w:rFonts w:asciiTheme="minorEastAsia" w:hAnsiTheme="minorEastAsia" w:cs="Arial"/>
                <w:kern w:val="0"/>
                <w:sz w:val="24"/>
                <w:szCs w:val="24"/>
              </w:rPr>
              <w:t>0%</w:t>
            </w:r>
          </w:p>
        </w:tc>
      </w:tr>
      <w:tr w:rsidR="00AC3A9B" w:rsidRPr="002544B9" w14:paraId="78C316EF" w14:textId="77777777">
        <w:trPr>
          <w:trHeight w:val="190"/>
          <w:jc w:val="center"/>
        </w:trPr>
        <w:tc>
          <w:tcPr>
            <w:tcW w:w="4092" w:type="dxa"/>
            <w:tcBorders>
              <w:top w:val="single" w:sz="4" w:space="0" w:color="auto"/>
              <w:left w:val="single" w:sz="4" w:space="0" w:color="auto"/>
              <w:bottom w:val="single" w:sz="4" w:space="0" w:color="auto"/>
              <w:right w:val="single" w:sz="4" w:space="0" w:color="auto"/>
            </w:tcBorders>
          </w:tcPr>
          <w:p w14:paraId="48EC7F17" w14:textId="375598C5"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M≥</w:t>
            </w:r>
            <w:r w:rsidR="008D3588" w:rsidRPr="002544B9">
              <w:rPr>
                <w:rFonts w:asciiTheme="minorEastAsia" w:hAnsiTheme="minorEastAsia" w:cs="Arial"/>
                <w:kern w:val="0"/>
                <w:sz w:val="24"/>
                <w:szCs w:val="24"/>
              </w:rPr>
              <w:t>5</w:t>
            </w:r>
            <w:r w:rsidRPr="002544B9">
              <w:rPr>
                <w:rFonts w:asciiTheme="minorEastAsia" w:hAnsiTheme="minorEastAsia" w:cs="Arial"/>
                <w:kern w:val="0"/>
                <w:sz w:val="24"/>
                <w:szCs w:val="24"/>
              </w:rPr>
              <w:t>00万元</w:t>
            </w:r>
          </w:p>
        </w:tc>
        <w:tc>
          <w:tcPr>
            <w:tcW w:w="4430" w:type="dxa"/>
            <w:tcBorders>
              <w:top w:val="single" w:sz="4" w:space="0" w:color="auto"/>
              <w:left w:val="single" w:sz="4" w:space="0" w:color="auto"/>
              <w:bottom w:val="single" w:sz="4" w:space="0" w:color="auto"/>
              <w:right w:val="single" w:sz="4" w:space="0" w:color="auto"/>
            </w:tcBorders>
          </w:tcPr>
          <w:p w14:paraId="33D47617" w14:textId="77777777" w:rsidR="00AC3A9B" w:rsidRPr="002544B9" w:rsidRDefault="002C3C29">
            <w:pPr>
              <w:widowControl/>
              <w:spacing w:line="336" w:lineRule="auto"/>
              <w:jc w:val="center"/>
              <w:rPr>
                <w:rFonts w:asciiTheme="minorEastAsia" w:hAnsiTheme="minorEastAsia" w:cs="Arial"/>
                <w:kern w:val="0"/>
                <w:sz w:val="24"/>
                <w:szCs w:val="24"/>
              </w:rPr>
            </w:pPr>
            <w:r w:rsidRPr="002544B9">
              <w:rPr>
                <w:rFonts w:asciiTheme="minorEastAsia" w:hAnsiTheme="minorEastAsia" w:cs="Arial"/>
                <w:kern w:val="0"/>
                <w:sz w:val="24"/>
                <w:szCs w:val="24"/>
              </w:rPr>
              <w:t>1000元/笔</w:t>
            </w:r>
          </w:p>
        </w:tc>
      </w:tr>
      <w:tr w:rsidR="00AC3A9B" w:rsidRPr="002544B9" w14:paraId="7DD54A4D"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6F53D312" w14:textId="77777777" w:rsidR="00AC3A9B" w:rsidRPr="002544B9" w:rsidRDefault="002C3C29">
            <w:pPr>
              <w:widowControl/>
              <w:spacing w:line="264" w:lineRule="auto"/>
              <w:jc w:val="center"/>
              <w:rPr>
                <w:rFonts w:asciiTheme="minorEastAsia" w:hAnsiTheme="minorEastAsia" w:cs="Arial"/>
                <w:b/>
                <w:kern w:val="0"/>
                <w:sz w:val="24"/>
                <w:szCs w:val="24"/>
              </w:rPr>
            </w:pPr>
            <w:r w:rsidRPr="002544B9">
              <w:rPr>
                <w:rFonts w:asciiTheme="minorEastAsia" w:hAnsiTheme="minorEastAsia" w:cs="Arial"/>
                <w:b/>
                <w:bCs/>
                <w:kern w:val="0"/>
                <w:sz w:val="24"/>
                <w:szCs w:val="24"/>
              </w:rPr>
              <w:t>C类基金份额</w:t>
            </w:r>
          </w:p>
        </w:tc>
      </w:tr>
      <w:tr w:rsidR="00AC3A9B" w:rsidRPr="002544B9" w14:paraId="13B4F387" w14:textId="77777777">
        <w:trPr>
          <w:trHeight w:val="415"/>
          <w:jc w:val="center"/>
        </w:trPr>
        <w:tc>
          <w:tcPr>
            <w:tcW w:w="8522" w:type="dxa"/>
            <w:gridSpan w:val="2"/>
            <w:tcBorders>
              <w:top w:val="single" w:sz="4" w:space="0" w:color="auto"/>
              <w:left w:val="single" w:sz="4" w:space="0" w:color="auto"/>
              <w:bottom w:val="single" w:sz="4" w:space="0" w:color="auto"/>
              <w:right w:val="single" w:sz="4" w:space="0" w:color="auto"/>
            </w:tcBorders>
            <w:vAlign w:val="center"/>
          </w:tcPr>
          <w:p w14:paraId="7A907A68" w14:textId="77777777" w:rsidR="00AC3A9B" w:rsidRPr="002544B9" w:rsidRDefault="002C3C29">
            <w:pPr>
              <w:widowControl/>
              <w:spacing w:line="264" w:lineRule="auto"/>
              <w:jc w:val="center"/>
              <w:rPr>
                <w:rFonts w:asciiTheme="minorEastAsia" w:hAnsiTheme="minorEastAsia" w:cs="Arial"/>
                <w:kern w:val="0"/>
                <w:sz w:val="24"/>
                <w:szCs w:val="24"/>
              </w:rPr>
            </w:pPr>
            <w:r w:rsidRPr="002544B9">
              <w:rPr>
                <w:rFonts w:asciiTheme="minorEastAsia" w:hAnsiTheme="minorEastAsia" w:cs="Arial" w:hint="eastAsia"/>
                <w:bCs/>
                <w:kern w:val="0"/>
                <w:sz w:val="24"/>
                <w:szCs w:val="24"/>
              </w:rPr>
              <w:t>申</w:t>
            </w:r>
            <w:r w:rsidRPr="002544B9">
              <w:rPr>
                <w:rFonts w:asciiTheme="minorEastAsia" w:hAnsiTheme="minorEastAsia" w:cs="Arial" w:hint="eastAsia"/>
                <w:kern w:val="0"/>
                <w:sz w:val="24"/>
                <w:szCs w:val="24"/>
              </w:rPr>
              <w:t>购费率为零</w:t>
            </w:r>
          </w:p>
        </w:tc>
      </w:tr>
    </w:tbl>
    <w:p w14:paraId="1FEF2C61" w14:textId="77777777" w:rsidR="00AC3A9B" w:rsidRPr="002544B9" w:rsidRDefault="00AC3A9B">
      <w:pPr>
        <w:tabs>
          <w:tab w:val="left" w:pos="1110"/>
          <w:tab w:val="left" w:pos="6300"/>
        </w:tabs>
        <w:adjustRightInd w:val="0"/>
        <w:snapToGrid w:val="0"/>
        <w:spacing w:line="360" w:lineRule="auto"/>
        <w:ind w:firstLineChars="200" w:firstLine="480"/>
        <w:rPr>
          <w:rFonts w:asciiTheme="minorEastAsia" w:hAnsiTheme="minorEastAsia" w:cs="Arial"/>
          <w:sz w:val="24"/>
          <w:szCs w:val="24"/>
        </w:rPr>
      </w:pPr>
    </w:p>
    <w:p w14:paraId="358650C4" w14:textId="231960BC" w:rsidR="00AC3A9B" w:rsidRPr="002544B9" w:rsidRDefault="002C3C29">
      <w:pPr>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w:t>
      </w:r>
      <w:r w:rsidR="001368A2" w:rsidRPr="002544B9">
        <w:rPr>
          <w:rFonts w:asciiTheme="minorEastAsia" w:hAnsiTheme="minorEastAsia" w:cs="Arial"/>
          <w:sz w:val="24"/>
          <w:szCs w:val="24"/>
        </w:rPr>
        <w:t>A类基金份额</w:t>
      </w:r>
      <w:r w:rsidRPr="002544B9">
        <w:rPr>
          <w:rFonts w:asciiTheme="minorEastAsia" w:hAnsiTheme="minorEastAsia" w:cs="Arial" w:hint="eastAsia"/>
          <w:sz w:val="24"/>
          <w:szCs w:val="24"/>
        </w:rPr>
        <w:t>的申购费用由申购</w:t>
      </w:r>
      <w:r w:rsidR="001368A2" w:rsidRPr="002544B9">
        <w:rPr>
          <w:rFonts w:asciiTheme="minorEastAsia" w:hAnsiTheme="minorEastAsia" w:cs="Arial"/>
          <w:sz w:val="24"/>
          <w:szCs w:val="24"/>
        </w:rPr>
        <w:t>A类</w:t>
      </w:r>
      <w:r w:rsidRPr="002544B9">
        <w:rPr>
          <w:rFonts w:asciiTheme="minorEastAsia" w:hAnsiTheme="minorEastAsia" w:cs="Arial" w:hint="eastAsia"/>
          <w:sz w:val="24"/>
          <w:szCs w:val="24"/>
        </w:rPr>
        <w:t>基金份额的投资人承担，不列入基金资产，用于基金的市场推广、销售、登记等各项费用。</w:t>
      </w:r>
      <w:r w:rsidR="001368A2" w:rsidRPr="002544B9">
        <w:rPr>
          <w:rFonts w:asciiTheme="minorEastAsia" w:hAnsiTheme="minorEastAsia" w:cs="Arial"/>
          <w:bCs/>
          <w:sz w:val="24"/>
          <w:szCs w:val="24"/>
        </w:rPr>
        <w:t xml:space="preserve">C </w:t>
      </w:r>
      <w:r w:rsidR="001368A2" w:rsidRPr="002544B9">
        <w:rPr>
          <w:rFonts w:asciiTheme="minorEastAsia" w:hAnsiTheme="minorEastAsia" w:cs="Arial" w:hint="eastAsia"/>
          <w:bCs/>
          <w:sz w:val="24"/>
          <w:szCs w:val="24"/>
        </w:rPr>
        <w:t>类基金份额不收取申购费用</w:t>
      </w:r>
      <w:r w:rsidR="001368A2" w:rsidRPr="002544B9">
        <w:rPr>
          <w:rFonts w:asciiTheme="minorEastAsia" w:hAnsiTheme="minorEastAsia" w:cs="Arial"/>
          <w:bCs/>
          <w:sz w:val="24"/>
          <w:szCs w:val="24"/>
        </w:rPr>
        <w:t>。</w:t>
      </w:r>
    </w:p>
    <w:p w14:paraId="7CD54CA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、赎回费用</w:t>
      </w:r>
    </w:p>
    <w:p w14:paraId="1DE9F67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本基金的</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w:t>
      </w:r>
      <w:r w:rsidRPr="002544B9">
        <w:rPr>
          <w:rFonts w:asciiTheme="minorEastAsia" w:hAnsiTheme="minorEastAsia" w:cs="Arial"/>
          <w:sz w:val="24"/>
          <w:szCs w:val="24"/>
        </w:rPr>
        <w:t>C</w:t>
      </w:r>
      <w:r w:rsidRPr="002544B9">
        <w:rPr>
          <w:rFonts w:asciiTheme="minorEastAsia" w:hAnsiTheme="minorEastAsia" w:cs="Arial" w:hint="eastAsia"/>
          <w:sz w:val="24"/>
          <w:szCs w:val="24"/>
        </w:rPr>
        <w:t>类基金份额的赎回费率按基金份额持有期限递减，费率如下：</w:t>
      </w:r>
    </w:p>
    <w:tbl>
      <w:tblPr>
        <w:tblW w:w="845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043"/>
        <w:gridCol w:w="2127"/>
        <w:gridCol w:w="2284"/>
      </w:tblGrid>
      <w:tr w:rsidR="00AC3A9B" w:rsidRPr="002544B9" w14:paraId="1AB3D41B"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3A0E06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持有基金份额期限（</w:t>
            </w:r>
            <w:r w:rsidRPr="002544B9">
              <w:rPr>
                <w:rFonts w:asciiTheme="minorEastAsia" w:hAnsiTheme="minorEastAsia" w:cs="Arial"/>
                <w:color w:val="000000"/>
                <w:sz w:val="24"/>
                <w:szCs w:val="24"/>
              </w:rPr>
              <w:t>Y）</w:t>
            </w:r>
          </w:p>
        </w:tc>
        <w:tc>
          <w:tcPr>
            <w:tcW w:w="2127" w:type="dxa"/>
            <w:tcBorders>
              <w:top w:val="single" w:sz="4" w:space="0" w:color="auto"/>
              <w:left w:val="single" w:sz="4" w:space="0" w:color="auto"/>
              <w:bottom w:val="single" w:sz="4" w:space="0" w:color="auto"/>
              <w:right w:val="single" w:sz="4" w:space="0" w:color="auto"/>
            </w:tcBorders>
          </w:tcPr>
          <w:p w14:paraId="3DCE0A4A"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A类份额赎回费率</w:t>
            </w:r>
          </w:p>
        </w:tc>
        <w:tc>
          <w:tcPr>
            <w:tcW w:w="2284" w:type="dxa"/>
            <w:tcBorders>
              <w:top w:val="single" w:sz="4" w:space="0" w:color="auto"/>
              <w:left w:val="single" w:sz="4" w:space="0" w:color="auto"/>
              <w:bottom w:val="single" w:sz="4" w:space="0" w:color="auto"/>
              <w:right w:val="single" w:sz="4" w:space="0" w:color="auto"/>
            </w:tcBorders>
          </w:tcPr>
          <w:p w14:paraId="246D932C" w14:textId="77777777" w:rsidR="00AC3A9B" w:rsidRPr="002544B9" w:rsidRDefault="002C3C29">
            <w:pPr>
              <w:jc w:val="center"/>
              <w:rPr>
                <w:rFonts w:asciiTheme="minorEastAsia" w:hAnsiTheme="minorEastAsia" w:cs="Arial"/>
                <w:color w:val="000000"/>
                <w:sz w:val="24"/>
                <w:szCs w:val="24"/>
              </w:rPr>
            </w:pPr>
            <w:r w:rsidRPr="002544B9">
              <w:rPr>
                <w:rFonts w:asciiTheme="minorEastAsia" w:hAnsiTheme="minorEastAsia" w:cs="Arial"/>
                <w:color w:val="000000"/>
                <w:sz w:val="24"/>
                <w:szCs w:val="24"/>
              </w:rPr>
              <w:t>C类份额赎回费率</w:t>
            </w:r>
          </w:p>
        </w:tc>
      </w:tr>
      <w:tr w:rsidR="00AC3A9B" w:rsidRPr="002544B9" w14:paraId="73B5F774"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7FDCD078"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Y＜7日</w:t>
            </w:r>
          </w:p>
        </w:tc>
        <w:tc>
          <w:tcPr>
            <w:tcW w:w="2127" w:type="dxa"/>
            <w:tcBorders>
              <w:top w:val="single" w:sz="4" w:space="0" w:color="auto"/>
              <w:left w:val="single" w:sz="4" w:space="0" w:color="auto"/>
              <w:bottom w:val="single" w:sz="4" w:space="0" w:color="auto"/>
              <w:right w:val="single" w:sz="4" w:space="0" w:color="auto"/>
            </w:tcBorders>
          </w:tcPr>
          <w:p w14:paraId="5536826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c>
          <w:tcPr>
            <w:tcW w:w="2284" w:type="dxa"/>
            <w:tcBorders>
              <w:top w:val="single" w:sz="4" w:space="0" w:color="auto"/>
              <w:left w:val="single" w:sz="4" w:space="0" w:color="auto"/>
              <w:bottom w:val="single" w:sz="4" w:space="0" w:color="auto"/>
              <w:right w:val="single" w:sz="4" w:space="0" w:color="auto"/>
            </w:tcBorders>
          </w:tcPr>
          <w:p w14:paraId="27369319"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1.50%</w:t>
            </w:r>
          </w:p>
        </w:tc>
      </w:tr>
      <w:tr w:rsidR="00AC3A9B" w:rsidRPr="002544B9" w14:paraId="66A98B90"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26E3010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7日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30日</w:t>
            </w:r>
          </w:p>
        </w:tc>
        <w:tc>
          <w:tcPr>
            <w:tcW w:w="2127" w:type="dxa"/>
            <w:tcBorders>
              <w:top w:val="single" w:sz="4" w:space="0" w:color="auto"/>
              <w:left w:val="single" w:sz="4" w:space="0" w:color="auto"/>
              <w:bottom w:val="single" w:sz="4" w:space="0" w:color="auto"/>
              <w:right w:val="single" w:sz="4" w:space="0" w:color="auto"/>
            </w:tcBorders>
          </w:tcPr>
          <w:p w14:paraId="6DAAFB99"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0.75%</w:t>
            </w:r>
          </w:p>
        </w:tc>
        <w:tc>
          <w:tcPr>
            <w:tcW w:w="2284" w:type="dxa"/>
            <w:tcBorders>
              <w:top w:val="single" w:sz="4" w:space="0" w:color="auto"/>
              <w:left w:val="single" w:sz="4" w:space="0" w:color="auto"/>
              <w:bottom w:val="single" w:sz="4" w:space="0" w:color="auto"/>
              <w:right w:val="single" w:sz="4" w:space="0" w:color="auto"/>
            </w:tcBorders>
          </w:tcPr>
          <w:p w14:paraId="5383142B"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r>
      <w:tr w:rsidR="00AC3A9B" w:rsidRPr="002544B9" w14:paraId="0A8F28D9"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115BFA44" w14:textId="3695E53F" w:rsidR="00AC3A9B" w:rsidRPr="002544B9" w:rsidRDefault="002C3C29" w:rsidP="00B74125">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 xml:space="preserve">30日 </w:t>
            </w:r>
            <w:r w:rsidRPr="002544B9">
              <w:rPr>
                <w:rFonts w:asciiTheme="minorEastAsia" w:hAnsiTheme="minorEastAsia" w:cs="Arial" w:hint="eastAsia"/>
                <w:bCs/>
                <w:kern w:val="0"/>
                <w:sz w:val="24"/>
                <w:szCs w:val="24"/>
              </w:rPr>
              <w:t>≤</w:t>
            </w:r>
            <w:r w:rsidRPr="002544B9">
              <w:rPr>
                <w:rFonts w:asciiTheme="minorEastAsia" w:hAnsiTheme="minorEastAsia" w:cs="Arial"/>
                <w:bCs/>
                <w:kern w:val="0"/>
                <w:sz w:val="24"/>
                <w:szCs w:val="24"/>
              </w:rPr>
              <w:t xml:space="preserve"> Y </w:t>
            </w:r>
            <w:r w:rsidRPr="002544B9">
              <w:rPr>
                <w:rFonts w:asciiTheme="minorEastAsia" w:hAnsiTheme="minorEastAsia" w:cs="Arial" w:hint="eastAsia"/>
                <w:bCs/>
                <w:kern w:val="0"/>
                <w:sz w:val="24"/>
                <w:szCs w:val="24"/>
              </w:rPr>
              <w:t>＜</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109CCC36"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0.50%</w:t>
            </w:r>
          </w:p>
        </w:tc>
        <w:tc>
          <w:tcPr>
            <w:tcW w:w="2284" w:type="dxa"/>
            <w:tcBorders>
              <w:top w:val="single" w:sz="4" w:space="0" w:color="auto"/>
              <w:left w:val="single" w:sz="4" w:space="0" w:color="auto"/>
              <w:bottom w:val="single" w:sz="4" w:space="0" w:color="auto"/>
              <w:right w:val="single" w:sz="4" w:space="0" w:color="auto"/>
            </w:tcBorders>
          </w:tcPr>
          <w:p w14:paraId="6A52EE5C"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r w:rsidR="00AC3A9B" w:rsidRPr="002544B9" w14:paraId="46E0E026" w14:textId="77777777">
        <w:trPr>
          <w:trHeight w:val="113"/>
          <w:jc w:val="center"/>
        </w:trPr>
        <w:tc>
          <w:tcPr>
            <w:tcW w:w="4043" w:type="dxa"/>
            <w:tcBorders>
              <w:top w:val="single" w:sz="4" w:space="0" w:color="auto"/>
              <w:left w:val="single" w:sz="4" w:space="0" w:color="auto"/>
              <w:bottom w:val="single" w:sz="4" w:space="0" w:color="auto"/>
              <w:right w:val="single" w:sz="4" w:space="0" w:color="auto"/>
            </w:tcBorders>
          </w:tcPr>
          <w:p w14:paraId="311ED61D" w14:textId="186A4AE4"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Y≥</w:t>
            </w:r>
            <w:r w:rsidR="00B74125" w:rsidRPr="002544B9">
              <w:rPr>
                <w:rFonts w:asciiTheme="minorEastAsia" w:hAnsiTheme="minorEastAsia" w:cs="Arial"/>
                <w:bCs/>
                <w:kern w:val="0"/>
                <w:sz w:val="24"/>
                <w:szCs w:val="24"/>
              </w:rPr>
              <w:t>180日</w:t>
            </w:r>
          </w:p>
        </w:tc>
        <w:tc>
          <w:tcPr>
            <w:tcW w:w="2127" w:type="dxa"/>
            <w:tcBorders>
              <w:top w:val="single" w:sz="4" w:space="0" w:color="auto"/>
              <w:left w:val="single" w:sz="4" w:space="0" w:color="auto"/>
              <w:bottom w:val="single" w:sz="4" w:space="0" w:color="auto"/>
              <w:right w:val="single" w:sz="4" w:space="0" w:color="auto"/>
            </w:tcBorders>
          </w:tcPr>
          <w:p w14:paraId="0708E2BE" w14:textId="77777777" w:rsidR="00AC3A9B" w:rsidRPr="002544B9" w:rsidRDefault="002C3C29">
            <w:pPr>
              <w:widowControl/>
              <w:spacing w:line="336" w:lineRule="auto"/>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c>
          <w:tcPr>
            <w:tcW w:w="2284" w:type="dxa"/>
            <w:tcBorders>
              <w:top w:val="single" w:sz="4" w:space="0" w:color="auto"/>
              <w:left w:val="single" w:sz="4" w:space="0" w:color="auto"/>
              <w:bottom w:val="single" w:sz="4" w:space="0" w:color="auto"/>
              <w:right w:val="single" w:sz="4" w:space="0" w:color="auto"/>
            </w:tcBorders>
          </w:tcPr>
          <w:p w14:paraId="7AEF3C15" w14:textId="77777777" w:rsidR="00AC3A9B" w:rsidRPr="002544B9" w:rsidRDefault="002C3C29">
            <w:pPr>
              <w:jc w:val="center"/>
              <w:rPr>
                <w:rFonts w:asciiTheme="minorEastAsia" w:hAnsiTheme="minorEastAsia" w:cs="Arial"/>
                <w:bCs/>
                <w:kern w:val="0"/>
                <w:sz w:val="24"/>
                <w:szCs w:val="24"/>
              </w:rPr>
            </w:pPr>
            <w:r w:rsidRPr="002544B9">
              <w:rPr>
                <w:rFonts w:asciiTheme="minorEastAsia" w:hAnsiTheme="minorEastAsia" w:cs="Arial"/>
                <w:bCs/>
                <w:kern w:val="0"/>
                <w:sz w:val="24"/>
                <w:szCs w:val="24"/>
              </w:rPr>
              <w:t>0</w:t>
            </w:r>
          </w:p>
        </w:tc>
      </w:tr>
    </w:tbl>
    <w:p w14:paraId="3C03E8A6" w14:textId="77777777" w:rsidR="00AC3A9B" w:rsidRPr="002544B9" w:rsidRDefault="00AC3A9B">
      <w:pPr>
        <w:adjustRightInd w:val="0"/>
        <w:snapToGrid w:val="0"/>
        <w:spacing w:line="360" w:lineRule="auto"/>
        <w:rPr>
          <w:rFonts w:asciiTheme="minorEastAsia" w:hAnsiTheme="minorEastAsia" w:cs="Arial"/>
          <w:sz w:val="24"/>
          <w:szCs w:val="24"/>
        </w:rPr>
      </w:pPr>
    </w:p>
    <w:p w14:paraId="27FBD6C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赎回费用由赎回基金份额的基金份额持有人承担，在基金份额持有人赎回基金份额时收取。</w:t>
      </w:r>
    </w:p>
    <w:p w14:paraId="036C35CB" w14:textId="468C81A3"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就</w:t>
      </w:r>
      <w:r w:rsidRPr="002544B9">
        <w:rPr>
          <w:rFonts w:asciiTheme="minorEastAsia" w:hAnsiTheme="minorEastAsia" w:cs="Arial"/>
          <w:sz w:val="24"/>
          <w:szCs w:val="24"/>
        </w:rPr>
        <w:t>A类基金份额，对持续持有期少于30日的投资人收取的赎回费全额计入基金财产；对持续持有期不少于30日但少于3个月的投资人收取的赎回费总额的75%计入基金财产；对持续持有期不少于3个月但少于6个月的投资人收取的赎回费总额的50%计入基金财产；就C类基金份额，收取的赎回费全额计入基金财</w:t>
      </w:r>
      <w:r w:rsidR="00826BAB" w:rsidRPr="002544B9">
        <w:rPr>
          <w:rFonts w:asciiTheme="minorEastAsia" w:hAnsiTheme="minorEastAsia" w:cs="Arial" w:hint="eastAsia"/>
          <w:sz w:val="24"/>
          <w:szCs w:val="24"/>
        </w:rPr>
        <w:t>产。上述未纳入基金财产的赎回费用于支付登记费和其他必要的手续费（注：</w:t>
      </w:r>
      <w:r w:rsidR="00826BAB" w:rsidRPr="002544B9">
        <w:rPr>
          <w:rFonts w:asciiTheme="minorEastAsia" w:hAnsiTheme="minorEastAsia" w:cs="Arial"/>
          <w:sz w:val="24"/>
          <w:szCs w:val="24"/>
        </w:rPr>
        <w:t>1个月按30日计算，3个月按90</w:t>
      </w:r>
      <w:r w:rsidR="00015FE3" w:rsidRPr="002544B9">
        <w:rPr>
          <w:rFonts w:asciiTheme="minorEastAsia" w:hAnsiTheme="minorEastAsia" w:cs="Arial" w:hint="eastAsia"/>
          <w:sz w:val="24"/>
          <w:szCs w:val="24"/>
        </w:rPr>
        <w:t>日</w:t>
      </w:r>
      <w:r w:rsidR="00826BAB" w:rsidRPr="002544B9">
        <w:rPr>
          <w:rFonts w:asciiTheme="minorEastAsia" w:hAnsiTheme="minorEastAsia" w:cs="Arial" w:hint="eastAsia"/>
          <w:sz w:val="24"/>
          <w:szCs w:val="24"/>
        </w:rPr>
        <w:t>计算，以此类推）。</w:t>
      </w:r>
    </w:p>
    <w:p w14:paraId="69584C83" w14:textId="3C08B74F"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w:t>
      </w:r>
      <w:r w:rsidRPr="002544B9">
        <w:rPr>
          <w:rFonts w:asciiTheme="minorEastAsia" w:hAnsiTheme="minorEastAsia" w:cs="Arial" w:hint="eastAsia"/>
          <w:sz w:val="24"/>
          <w:szCs w:val="24"/>
        </w:rPr>
        <w:t>、基金管理人可以在基金合同约定的范围内调整费率或收费方式，并最迟应于新的费率或收费方式实施日前依照《信息披露办法》的有关规定在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上公告。</w:t>
      </w:r>
    </w:p>
    <w:p w14:paraId="216A8BCD" w14:textId="77777777" w:rsidR="00760954" w:rsidRPr="002544B9" w:rsidRDefault="002C3C29">
      <w:pPr>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sz w:val="24"/>
          <w:szCs w:val="24"/>
        </w:rPr>
        <w:t>4</w:t>
      </w:r>
      <w:r w:rsidRPr="002544B9">
        <w:rPr>
          <w:rFonts w:asciiTheme="minorEastAsia" w:hAnsiTheme="minorEastAsia" w:cs="Arial" w:hint="eastAsia"/>
          <w:sz w:val="24"/>
          <w:szCs w:val="24"/>
        </w:rPr>
        <w:t>、</w:t>
      </w:r>
      <w:r w:rsidR="001368A2" w:rsidRPr="002544B9">
        <w:rPr>
          <w:rFonts w:asciiTheme="minorEastAsia" w:hAnsiTheme="minorEastAsia" w:cs="Arial" w:hint="eastAsia"/>
          <w:bCs/>
          <w:sz w:val="24"/>
          <w:szCs w:val="24"/>
        </w:rPr>
        <w:t>基金管理人可以在不违背法律法规规定、基金合同约定及基金持有人利益的情况下根据市场情况制定基金促销计划，定期和不定期地开展基金促销活动。在基金促销活动期间，基金管理人可以按中国证监会要求履行必要手续后，对基金投资者适当调低基金销售费用</w:t>
      </w:r>
      <w:r w:rsidR="00C51CED" w:rsidRPr="002544B9">
        <w:rPr>
          <w:rFonts w:asciiTheme="minorEastAsia" w:hAnsiTheme="minorEastAsia" w:cs="Arial" w:hint="eastAsia"/>
          <w:bCs/>
          <w:sz w:val="24"/>
          <w:szCs w:val="24"/>
        </w:rPr>
        <w:t>。</w:t>
      </w:r>
    </w:p>
    <w:p w14:paraId="68726562" w14:textId="77777777" w:rsidR="00AC3A9B" w:rsidRPr="002544B9" w:rsidRDefault="002C3C29" w:rsidP="001368A2">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七、</w:t>
      </w:r>
      <w:r w:rsidRPr="002544B9">
        <w:rPr>
          <w:rFonts w:asciiTheme="minorEastAsia" w:hAnsiTheme="minorEastAsia" w:cs="Arial"/>
          <w:b/>
          <w:bCs/>
          <w:sz w:val="24"/>
          <w:szCs w:val="24"/>
        </w:rPr>
        <w:t>A</w:t>
      </w:r>
      <w:r w:rsidRPr="002544B9">
        <w:rPr>
          <w:rFonts w:asciiTheme="minorEastAsia" w:hAnsiTheme="minorEastAsia" w:cs="Arial" w:hint="eastAsia"/>
          <w:b/>
          <w:bCs/>
          <w:sz w:val="24"/>
          <w:szCs w:val="24"/>
        </w:rPr>
        <w:t>类基金份额与</w:t>
      </w:r>
      <w:r w:rsidRPr="002544B9">
        <w:rPr>
          <w:rFonts w:asciiTheme="minorEastAsia" w:hAnsiTheme="minorEastAsia" w:cs="Arial"/>
          <w:b/>
          <w:bCs/>
          <w:sz w:val="24"/>
          <w:szCs w:val="24"/>
        </w:rPr>
        <w:t>C</w:t>
      </w:r>
      <w:r w:rsidRPr="002544B9">
        <w:rPr>
          <w:rFonts w:asciiTheme="minorEastAsia" w:hAnsiTheme="minorEastAsia" w:cs="Arial" w:hint="eastAsia"/>
          <w:b/>
          <w:bCs/>
          <w:sz w:val="24"/>
          <w:szCs w:val="24"/>
        </w:rPr>
        <w:t>类基金份额的申购份额与赎回金额的计算方式</w:t>
      </w:r>
    </w:p>
    <w:p w14:paraId="07A83F8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1、A类基金份额申购份额的计算方式：</w:t>
      </w:r>
    </w:p>
    <w:p w14:paraId="5C9A49E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1）当申购费用适用比例费率时，申购份额的计算公式如下：</w:t>
      </w:r>
    </w:p>
    <w:p w14:paraId="2612FD2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=申购金额/（1+申购费率）</w:t>
      </w:r>
    </w:p>
    <w:p w14:paraId="4186F59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=申购金额－净申购金额</w:t>
      </w:r>
    </w:p>
    <w:p w14:paraId="7188B10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=净申购金额/T </w:t>
      </w:r>
      <w:r w:rsidRPr="002544B9">
        <w:rPr>
          <w:rFonts w:asciiTheme="minorEastAsia" w:hAnsiTheme="minorEastAsia" w:cs="Arial" w:hint="eastAsia"/>
          <w:sz w:val="24"/>
          <w:szCs w:val="24"/>
        </w:rPr>
        <w:t>日</w:t>
      </w:r>
      <w:r w:rsidRPr="002544B9">
        <w:rPr>
          <w:rFonts w:asciiTheme="minorEastAsia" w:hAnsiTheme="minorEastAsia" w:cs="Arial"/>
          <w:sz w:val="24"/>
          <w:szCs w:val="24"/>
        </w:rPr>
        <w:t>A类基金份额净值</w:t>
      </w:r>
    </w:p>
    <w:p w14:paraId="23FCD14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2）当申购费用为固定金额时，申购份额的计算方法如下：</w:t>
      </w:r>
    </w:p>
    <w:p w14:paraId="34F497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申购费用＝固定费用</w:t>
      </w:r>
    </w:p>
    <w:p w14:paraId="2675863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净申购金额＝申购金额－申购费用</w:t>
      </w:r>
    </w:p>
    <w:p w14:paraId="05A9BB87"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申购份额＝净申购金额</w:t>
      </w:r>
      <w:r w:rsidRPr="002544B9">
        <w:rPr>
          <w:rFonts w:asciiTheme="minorEastAsia" w:hAnsiTheme="minorEastAsia" w:cs="Arial"/>
          <w:sz w:val="24"/>
          <w:szCs w:val="24"/>
        </w:rPr>
        <w:t>/T日A类基金份额净值</w:t>
      </w:r>
    </w:p>
    <w:p w14:paraId="5B8BE695"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2119D95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A类基金份额，且该申购申请被全额确认，对应的申购费率为1.5%，假定申购当日A类基金份额净值为1.0500元，则可得到的申购份额为：</w:t>
      </w:r>
    </w:p>
    <w:p w14:paraId="77B3B8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净申购金额＝</w:t>
      </w:r>
      <w:r w:rsidRPr="002544B9">
        <w:rPr>
          <w:rFonts w:asciiTheme="minorEastAsia" w:hAnsiTheme="minorEastAsia" w:cs="Arial"/>
          <w:sz w:val="24"/>
          <w:szCs w:val="24"/>
        </w:rPr>
        <w:t>50,000/(1+1.5%)＝49,261.08元</w:t>
      </w:r>
    </w:p>
    <w:p w14:paraId="44A95FBC"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申购费用＝</w:t>
      </w:r>
      <w:r w:rsidRPr="002544B9">
        <w:rPr>
          <w:rFonts w:asciiTheme="minorEastAsia" w:hAnsiTheme="minorEastAsia" w:cs="Arial"/>
          <w:sz w:val="24"/>
          <w:szCs w:val="24"/>
        </w:rPr>
        <w:t>50,000－49,261.08＝738.92元</w:t>
      </w:r>
    </w:p>
    <w:p w14:paraId="30CA770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 xml:space="preserve">49,261.08/1.0500＝46,915.31 </w:t>
      </w:r>
      <w:r w:rsidRPr="002544B9">
        <w:rPr>
          <w:rFonts w:asciiTheme="minorEastAsia" w:hAnsiTheme="minorEastAsia" w:cs="Arial" w:hint="eastAsia"/>
          <w:sz w:val="24"/>
          <w:szCs w:val="24"/>
        </w:rPr>
        <w:t>份</w:t>
      </w:r>
    </w:p>
    <w:p w14:paraId="624434A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kern w:val="0"/>
          <w:sz w:val="24"/>
          <w:szCs w:val="24"/>
        </w:rPr>
        <w:t>即投资者投资</w:t>
      </w:r>
      <w:r w:rsidRPr="002544B9">
        <w:rPr>
          <w:rFonts w:asciiTheme="minorEastAsia" w:hAnsiTheme="minorEastAsia" w:cs="Arial"/>
          <w:kern w:val="0"/>
          <w:sz w:val="24"/>
          <w:szCs w:val="24"/>
        </w:rPr>
        <w:t xml:space="preserve">50,000 </w:t>
      </w:r>
      <w:r w:rsidRPr="002544B9">
        <w:rPr>
          <w:rFonts w:asciiTheme="minorEastAsia" w:hAnsiTheme="minorEastAsia" w:cs="Arial" w:hint="eastAsia"/>
          <w:kern w:val="0"/>
          <w:sz w:val="24"/>
          <w:szCs w:val="24"/>
        </w:rPr>
        <w:t>元申购本基金</w:t>
      </w:r>
      <w:r w:rsidRPr="002544B9">
        <w:rPr>
          <w:rFonts w:asciiTheme="minorEastAsia" w:hAnsiTheme="minorEastAsia" w:cs="Arial"/>
          <w:kern w:val="0"/>
          <w:sz w:val="24"/>
          <w:szCs w:val="24"/>
        </w:rPr>
        <w:t>A类基金份额，假定申购当日A类基金份额净值为1.0500元，可得到46,915.31份A类基金份额。</w:t>
      </w:r>
    </w:p>
    <w:p w14:paraId="6DA5F6D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2、C类基金份额申购份额的计算方式：</w:t>
      </w:r>
    </w:p>
    <w:p w14:paraId="12FA703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申购份额＝申购金额</w:t>
      </w:r>
      <w:r w:rsidRPr="002544B9">
        <w:rPr>
          <w:rFonts w:asciiTheme="minorEastAsia" w:hAnsiTheme="minorEastAsia" w:cs="Arial"/>
          <w:sz w:val="24"/>
          <w:szCs w:val="24"/>
        </w:rPr>
        <w:t>/T日C类基金份额净值</w:t>
      </w:r>
    </w:p>
    <w:p w14:paraId="2CAFC220"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上述计算结果按照四舍五入方法，保留小数点后两位，由此产生的收益或损失由基金财产承担。</w:t>
      </w:r>
    </w:p>
    <w:p w14:paraId="6DB71EC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例：某投资者投资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C类基金份额，且该申购申请被全额确认，假定申购当日C类基金份额净值为1.2300元，则可得到的申购份额为：</w:t>
      </w:r>
    </w:p>
    <w:p w14:paraId="25250B11"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申购份额＝</w:t>
      </w:r>
      <w:r w:rsidRPr="002544B9">
        <w:rPr>
          <w:rFonts w:asciiTheme="minorEastAsia" w:hAnsiTheme="minorEastAsia" w:cs="Arial"/>
          <w:sz w:val="24"/>
          <w:szCs w:val="24"/>
        </w:rPr>
        <w:t>5,000,000/1.2500=4,000,000.00份</w:t>
      </w:r>
    </w:p>
    <w:p w14:paraId="1926635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即投资者投资</w:t>
      </w:r>
      <w:r w:rsidRPr="002544B9">
        <w:rPr>
          <w:rFonts w:asciiTheme="minorEastAsia" w:hAnsiTheme="minorEastAsia" w:cs="Arial"/>
          <w:sz w:val="24"/>
          <w:szCs w:val="24"/>
        </w:rPr>
        <w:t xml:space="preserve">5,000,000 </w:t>
      </w:r>
      <w:r w:rsidRPr="002544B9">
        <w:rPr>
          <w:rFonts w:asciiTheme="minorEastAsia" w:hAnsiTheme="minorEastAsia" w:cs="Arial" w:hint="eastAsia"/>
          <w:sz w:val="24"/>
          <w:szCs w:val="24"/>
        </w:rPr>
        <w:t>元申购本基金</w:t>
      </w:r>
      <w:r w:rsidRPr="002544B9">
        <w:rPr>
          <w:rFonts w:asciiTheme="minorEastAsia" w:hAnsiTheme="minorEastAsia" w:cs="Arial"/>
          <w:sz w:val="24"/>
          <w:szCs w:val="24"/>
        </w:rPr>
        <w:t>C类基金份额，假定申购当日C类基金份额净值为1.2500元，可得到4,000,000.00份C类基金份额。</w:t>
      </w:r>
    </w:p>
    <w:p w14:paraId="70BEDE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 xml:space="preserve">3、 </w:t>
      </w:r>
      <w:r w:rsidRPr="002544B9">
        <w:rPr>
          <w:rFonts w:asciiTheme="minorEastAsia" w:hAnsiTheme="minorEastAsia" w:cs="Arial" w:hint="eastAsia"/>
          <w:sz w:val="24"/>
          <w:szCs w:val="24"/>
        </w:rPr>
        <w:t>赎回金额的计算方式：</w:t>
      </w:r>
    </w:p>
    <w:p w14:paraId="657CB76B"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赎回份额×</w:t>
      </w:r>
      <w:r w:rsidRPr="002544B9">
        <w:rPr>
          <w:rFonts w:asciiTheme="minorEastAsia" w:hAnsiTheme="minorEastAsia" w:cs="Arial"/>
          <w:sz w:val="24"/>
          <w:szCs w:val="24"/>
        </w:rPr>
        <w:t>T</w:t>
      </w:r>
      <w:r w:rsidRPr="002544B9">
        <w:rPr>
          <w:rFonts w:asciiTheme="minorEastAsia" w:hAnsiTheme="minorEastAsia" w:cs="Arial" w:hint="eastAsia"/>
          <w:sz w:val="24"/>
          <w:szCs w:val="24"/>
        </w:rPr>
        <w:t>日该类别基金份额净值</w:t>
      </w:r>
    </w:p>
    <w:p w14:paraId="7C95704A"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赎回总额×赎回费率</w:t>
      </w:r>
    </w:p>
    <w:p w14:paraId="0C01C0B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w:t>
      </w:r>
      <w:r w:rsidRPr="002544B9">
        <w:rPr>
          <w:rFonts w:asciiTheme="minorEastAsia" w:hAnsiTheme="minorEastAsia" w:cs="Arial" w:hint="eastAsia"/>
          <w:sz w:val="24"/>
          <w:szCs w:val="24"/>
        </w:rPr>
        <w:t>赎回总额－赎回费用</w:t>
      </w:r>
    </w:p>
    <w:p w14:paraId="3A4B13C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上述计算结果均按四舍五入方法，保留到小数点后</w:t>
      </w:r>
      <w:r w:rsidRPr="002544B9">
        <w:rPr>
          <w:rFonts w:asciiTheme="minorEastAsia" w:hAnsiTheme="minorEastAsia" w:cs="Arial"/>
          <w:sz w:val="24"/>
          <w:szCs w:val="24"/>
        </w:rPr>
        <w:t>2位，由此产生的收益或损失由基金财产承担。</w:t>
      </w:r>
    </w:p>
    <w:p w14:paraId="6D43B22E"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 xml:space="preserve">1：某投资者赎回10,000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3个月，赎回费率为0.5%</w:t>
      </w:r>
      <w:r w:rsidRPr="002544B9">
        <w:rPr>
          <w:rFonts w:asciiTheme="minorEastAsia" w:hAnsiTheme="minorEastAsia" w:cs="Arial" w:hint="eastAsia"/>
          <w:sz w:val="24"/>
          <w:szCs w:val="24"/>
        </w:rPr>
        <w:t>，假设赎回申请当日</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元，则可得到的赎回金额为：</w:t>
      </w:r>
    </w:p>
    <w:p w14:paraId="5917819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赎回总额</w:t>
      </w:r>
      <w:r w:rsidRPr="002544B9">
        <w:rPr>
          <w:rFonts w:asciiTheme="minorEastAsia" w:hAnsiTheme="minorEastAsia" w:cs="Arial"/>
          <w:sz w:val="24"/>
          <w:szCs w:val="24"/>
        </w:rPr>
        <w:t xml:space="preserve"> = 10,000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1.0680= 10,680.00 </w:t>
      </w:r>
      <w:r w:rsidRPr="002544B9">
        <w:rPr>
          <w:rFonts w:asciiTheme="minorEastAsia" w:hAnsiTheme="minorEastAsia" w:cs="Arial" w:hint="eastAsia"/>
          <w:sz w:val="24"/>
          <w:szCs w:val="24"/>
        </w:rPr>
        <w:t>元</w:t>
      </w:r>
    </w:p>
    <w:p w14:paraId="75D2CFC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 xml:space="preserve"> = 10,680.00 </w:t>
      </w:r>
      <w:r w:rsidRPr="002544B9">
        <w:rPr>
          <w:rFonts w:asciiTheme="minorEastAsia" w:hAnsiTheme="minorEastAsia" w:cs="Arial" w:hint="eastAsia"/>
          <w:sz w:val="24"/>
          <w:szCs w:val="24"/>
        </w:rPr>
        <w:t>×</w:t>
      </w:r>
      <w:r w:rsidRPr="002544B9">
        <w:rPr>
          <w:rFonts w:asciiTheme="minorEastAsia" w:hAnsiTheme="minorEastAsia" w:cs="Arial"/>
          <w:sz w:val="24"/>
          <w:szCs w:val="24"/>
        </w:rPr>
        <w:t xml:space="preserve">0.5% = 53.40 </w:t>
      </w:r>
      <w:r w:rsidRPr="002544B9">
        <w:rPr>
          <w:rFonts w:asciiTheme="minorEastAsia" w:hAnsiTheme="minorEastAsia" w:cs="Arial" w:hint="eastAsia"/>
          <w:sz w:val="24"/>
          <w:szCs w:val="24"/>
        </w:rPr>
        <w:t>元</w:t>
      </w:r>
    </w:p>
    <w:p w14:paraId="3379C3EF"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 xml:space="preserve"> = 10,680.00 - 53.40 = 10,626.60 </w:t>
      </w:r>
      <w:r w:rsidRPr="002544B9">
        <w:rPr>
          <w:rFonts w:asciiTheme="minorEastAsia" w:hAnsiTheme="minorEastAsia" w:cs="Arial" w:hint="eastAsia"/>
          <w:sz w:val="24"/>
          <w:szCs w:val="24"/>
        </w:rPr>
        <w:t>元</w:t>
      </w:r>
    </w:p>
    <w:p w14:paraId="615E7BF8"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即：投资者赎回</w:t>
      </w:r>
      <w:r w:rsidRPr="002544B9">
        <w:rPr>
          <w:rFonts w:asciiTheme="minorEastAsia" w:hAnsiTheme="minorEastAsia" w:cs="Arial"/>
          <w:sz w:val="24"/>
          <w:szCs w:val="24"/>
        </w:rPr>
        <w:t xml:space="preserve"> 10,000 </w:t>
      </w:r>
      <w:r w:rsidRPr="002544B9">
        <w:rPr>
          <w:rFonts w:asciiTheme="minorEastAsia" w:hAnsiTheme="minorEastAsia" w:cs="Arial" w:hint="eastAsia"/>
          <w:sz w:val="24"/>
          <w:szCs w:val="24"/>
        </w:rPr>
        <w:t>份</w:t>
      </w:r>
      <w:r w:rsidRPr="002544B9">
        <w:rPr>
          <w:rFonts w:asciiTheme="minorEastAsia" w:hAnsiTheme="minorEastAsia" w:cs="Arial"/>
          <w:sz w:val="24"/>
          <w:szCs w:val="24"/>
        </w:rPr>
        <w:t>A</w:t>
      </w:r>
      <w:r w:rsidRPr="002544B9">
        <w:rPr>
          <w:rFonts w:asciiTheme="minorEastAsia" w:hAnsiTheme="minorEastAsia" w:cs="Arial" w:hint="eastAsia"/>
          <w:sz w:val="24"/>
          <w:szCs w:val="24"/>
        </w:rPr>
        <w:t>类基金份额且持有时间为</w:t>
      </w:r>
      <w:r w:rsidRPr="002544B9">
        <w:rPr>
          <w:rFonts w:asciiTheme="minorEastAsia" w:hAnsiTheme="minorEastAsia" w:cs="Arial"/>
          <w:sz w:val="24"/>
          <w:szCs w:val="24"/>
        </w:rPr>
        <w:t>3个月，假设赎回申请当日A</w:t>
      </w:r>
      <w:r w:rsidRPr="002544B9">
        <w:rPr>
          <w:rFonts w:asciiTheme="minorEastAsia" w:hAnsiTheme="minorEastAsia" w:cs="Arial" w:hint="eastAsia"/>
          <w:sz w:val="24"/>
          <w:szCs w:val="24"/>
        </w:rPr>
        <w:t>类基金份额的基金份额净值是</w:t>
      </w:r>
      <w:r w:rsidRPr="002544B9">
        <w:rPr>
          <w:rFonts w:asciiTheme="minorEastAsia" w:hAnsiTheme="minorEastAsia" w:cs="Arial"/>
          <w:sz w:val="24"/>
          <w:szCs w:val="24"/>
        </w:rPr>
        <w:t xml:space="preserve">1.0680 </w:t>
      </w:r>
      <w:r w:rsidRPr="002544B9">
        <w:rPr>
          <w:rFonts w:asciiTheme="minorEastAsia" w:hAnsiTheme="minorEastAsia" w:cs="Arial" w:hint="eastAsia"/>
          <w:sz w:val="24"/>
          <w:szCs w:val="24"/>
        </w:rPr>
        <w:t>元，则其可得到的赎回金额为</w:t>
      </w:r>
      <w:r w:rsidRPr="002544B9">
        <w:rPr>
          <w:rFonts w:asciiTheme="minorEastAsia" w:hAnsiTheme="minorEastAsia" w:cs="Arial"/>
          <w:sz w:val="24"/>
          <w:szCs w:val="24"/>
        </w:rPr>
        <w:t xml:space="preserve">10,626.60 </w:t>
      </w:r>
      <w:r w:rsidRPr="002544B9">
        <w:rPr>
          <w:rFonts w:asciiTheme="minorEastAsia" w:hAnsiTheme="minorEastAsia" w:cs="Arial" w:hint="eastAsia"/>
          <w:sz w:val="24"/>
          <w:szCs w:val="24"/>
        </w:rPr>
        <w:t>元。</w:t>
      </w:r>
    </w:p>
    <w:p w14:paraId="00C6B243"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例</w:t>
      </w:r>
      <w:r w:rsidRPr="002544B9">
        <w:rPr>
          <w:rFonts w:asciiTheme="minorEastAsia" w:hAnsiTheme="minorEastAsia" w:cs="Arial"/>
          <w:sz w:val="24"/>
          <w:szCs w:val="24"/>
        </w:rPr>
        <w:t>2：某投资人赎回本基金10,000份C类基金份额，持有时间为20日，对应的赎回费率为0.5%，假设赎回当日C类基金份额净值是1.0680元，则其可得到的赎回金额为：</w:t>
      </w:r>
    </w:p>
    <w:p w14:paraId="61B16DA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赎回金额</w:t>
      </w:r>
      <w:r w:rsidRPr="002544B9">
        <w:rPr>
          <w:rFonts w:asciiTheme="minorEastAsia" w:hAnsiTheme="minorEastAsia" w:cs="Arial"/>
          <w:sz w:val="24"/>
          <w:szCs w:val="24"/>
        </w:rPr>
        <w:t>=10,000×1.0680=10,680元</w:t>
      </w:r>
    </w:p>
    <w:p w14:paraId="6EC8C482"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赎回费用</w:t>
      </w:r>
      <w:r w:rsidRPr="002544B9">
        <w:rPr>
          <w:rFonts w:asciiTheme="minorEastAsia" w:hAnsiTheme="minorEastAsia" w:cs="Arial"/>
          <w:sz w:val="24"/>
          <w:szCs w:val="24"/>
        </w:rPr>
        <w:t>=10,680×0.5%=53.40元</w:t>
      </w:r>
    </w:p>
    <w:p w14:paraId="2727ABE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净赎回金额</w:t>
      </w:r>
      <w:r w:rsidRPr="002544B9">
        <w:rPr>
          <w:rFonts w:asciiTheme="minorEastAsia" w:hAnsiTheme="minorEastAsia" w:cs="Arial"/>
          <w:sz w:val="24"/>
          <w:szCs w:val="24"/>
        </w:rPr>
        <w:t>=10,680-53.40=10,626.60元</w:t>
      </w:r>
    </w:p>
    <w:p w14:paraId="37FAC6B6"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即：投资人赎回本基金</w:t>
      </w:r>
      <w:r w:rsidRPr="002544B9">
        <w:rPr>
          <w:rFonts w:asciiTheme="minorEastAsia" w:hAnsiTheme="minorEastAsia" w:cs="Arial"/>
          <w:sz w:val="24"/>
          <w:szCs w:val="24"/>
        </w:rPr>
        <w:t>10,000份C类基金份额，持有期限为20日，假设赎回当日本基金C类基金份额净值是1.0680元，则其可得到的净赎回金额为10,626.60元。</w:t>
      </w:r>
    </w:p>
    <w:p w14:paraId="2AA60F62" w14:textId="77777777" w:rsidR="00AC3A9B" w:rsidRPr="002544B9" w:rsidRDefault="002C3C29">
      <w:pPr>
        <w:adjustRightInd w:val="0"/>
        <w:snapToGrid w:val="0"/>
        <w:spacing w:line="360" w:lineRule="auto"/>
        <w:ind w:firstLineChars="200" w:firstLine="480"/>
        <w:rPr>
          <w:rFonts w:asciiTheme="minorEastAsia" w:hAnsiTheme="minorEastAsia" w:cs="Times New Roman"/>
          <w:sz w:val="24"/>
          <w:szCs w:val="24"/>
        </w:rPr>
      </w:pPr>
      <w:r w:rsidRPr="002544B9">
        <w:rPr>
          <w:rFonts w:asciiTheme="minorEastAsia" w:hAnsiTheme="minorEastAsia" w:cs="Arial"/>
          <w:sz w:val="24"/>
          <w:szCs w:val="24"/>
        </w:rPr>
        <w:t>4、</w:t>
      </w:r>
      <w:r w:rsidRPr="002544B9">
        <w:rPr>
          <w:rFonts w:asciiTheme="minorEastAsia" w:hAnsiTheme="minorEastAsia" w:cs="Arial" w:hint="eastAsia"/>
          <w:bCs/>
          <w:sz w:val="24"/>
          <w:szCs w:val="24"/>
        </w:rPr>
        <w:t>本基金</w:t>
      </w:r>
      <w:r w:rsidRPr="002544B9">
        <w:rPr>
          <w:rFonts w:asciiTheme="minorEastAsia" w:hAnsiTheme="minorEastAsia" w:cs="Arial"/>
          <w:bCs/>
          <w:sz w:val="24"/>
          <w:szCs w:val="24"/>
        </w:rPr>
        <w:t>A</w:t>
      </w:r>
      <w:r w:rsidRPr="002544B9">
        <w:rPr>
          <w:rFonts w:asciiTheme="minorEastAsia" w:hAnsiTheme="minorEastAsia" w:cs="Arial" w:hint="eastAsia"/>
          <w:bCs/>
          <w:sz w:val="24"/>
          <w:szCs w:val="24"/>
        </w:rPr>
        <w:t>类基金份额和</w:t>
      </w:r>
      <w:r w:rsidRPr="002544B9">
        <w:rPr>
          <w:rFonts w:asciiTheme="minorEastAsia" w:hAnsiTheme="minorEastAsia" w:cs="Arial"/>
          <w:bCs/>
          <w:sz w:val="24"/>
          <w:szCs w:val="24"/>
        </w:rPr>
        <w:t>C</w:t>
      </w:r>
      <w:r w:rsidRPr="002544B9">
        <w:rPr>
          <w:rFonts w:asciiTheme="minorEastAsia" w:hAnsiTheme="minorEastAsia" w:cs="Arial" w:hint="eastAsia"/>
          <w:bCs/>
          <w:sz w:val="24"/>
          <w:szCs w:val="24"/>
        </w:rPr>
        <w:t>类基金份额分别设置代码，分别计算和公告两类基金份额净值和两类基金份额累计净值。</w:t>
      </w:r>
      <w:r w:rsidRPr="002544B9">
        <w:rPr>
          <w:rFonts w:asciiTheme="minorEastAsia" w:hAnsiTheme="minorEastAsia" w:cs="Times New Roman" w:hint="eastAsia"/>
          <w:sz w:val="24"/>
          <w:szCs w:val="24"/>
        </w:rPr>
        <w:t>本基金两类基金份额净值的计算，保留到小数点后</w:t>
      </w:r>
      <w:r w:rsidRPr="002544B9">
        <w:rPr>
          <w:rFonts w:asciiTheme="minorEastAsia" w:hAnsiTheme="minorEastAsia" w:cs="Times New Roman"/>
          <w:sz w:val="24"/>
          <w:szCs w:val="24"/>
        </w:rPr>
        <w:t>4位，小数点后第5位四舍五入，由此产生的收益或损失由基金财产承担。T</w:t>
      </w:r>
      <w:r w:rsidRPr="002544B9">
        <w:rPr>
          <w:rFonts w:asciiTheme="minorEastAsia" w:hAnsiTheme="minorEastAsia" w:cs="Times New Roman" w:hint="eastAsia"/>
          <w:sz w:val="24"/>
          <w:szCs w:val="24"/>
        </w:rPr>
        <w:t>日的基金份额净值在当天收市后计算，并在</w:t>
      </w:r>
      <w:r w:rsidRPr="002544B9">
        <w:rPr>
          <w:rFonts w:asciiTheme="minorEastAsia" w:hAnsiTheme="minorEastAsia" w:cs="Times New Roman"/>
          <w:sz w:val="24"/>
          <w:szCs w:val="24"/>
        </w:rPr>
        <w:t>T+1</w:t>
      </w:r>
      <w:r w:rsidRPr="002544B9">
        <w:rPr>
          <w:rFonts w:asciiTheme="minorEastAsia" w:hAnsiTheme="minorEastAsia" w:cs="Times New Roman" w:hint="eastAsia"/>
          <w:sz w:val="24"/>
          <w:szCs w:val="24"/>
        </w:rPr>
        <w:t>日内公告。遇特殊情况，经中国证监会同意，可以适当延迟计算或公告。</w:t>
      </w:r>
    </w:p>
    <w:p w14:paraId="3FA8DF38" w14:textId="77777777" w:rsidR="00AC3A9B" w:rsidRPr="002544B9" w:rsidRDefault="002C3C29">
      <w:pPr>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Times New Roman" w:hint="eastAsia"/>
          <w:b/>
          <w:sz w:val="24"/>
          <w:szCs w:val="24"/>
        </w:rPr>
        <w:t>八、申购与赎回的登记业务</w:t>
      </w:r>
    </w:p>
    <w:p w14:paraId="4C883F29"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申购基金成功后，在正常情况下，基金登记机构在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日为投资者登记权益并办理登记手续，投资者自</w:t>
      </w:r>
      <w:r w:rsidRPr="002544B9">
        <w:rPr>
          <w:rFonts w:asciiTheme="minorEastAsia" w:hAnsiTheme="minorEastAsia" w:cs="Arial"/>
          <w:sz w:val="24"/>
          <w:szCs w:val="24"/>
        </w:rPr>
        <w:t>T+2</w:t>
      </w:r>
      <w:r w:rsidRPr="002544B9">
        <w:rPr>
          <w:rFonts w:asciiTheme="minorEastAsia" w:hAnsiTheme="minorEastAsia" w:cs="Times New Roman" w:hint="eastAsia"/>
          <w:sz w:val="24"/>
          <w:szCs w:val="24"/>
        </w:rPr>
        <w:t>日（含该日）后有权赎回该部分基金份额。</w:t>
      </w:r>
    </w:p>
    <w:p w14:paraId="21EBDD3D" w14:textId="77777777"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w:t>
      </w:r>
      <w:r w:rsidRPr="002544B9">
        <w:rPr>
          <w:rFonts w:asciiTheme="minorEastAsia" w:hAnsiTheme="minorEastAsia" w:cs="Arial" w:hint="eastAsia"/>
          <w:sz w:val="24"/>
          <w:szCs w:val="24"/>
        </w:rPr>
        <w:t>、投资人</w:t>
      </w:r>
      <w:r w:rsidRPr="002544B9">
        <w:rPr>
          <w:rFonts w:asciiTheme="minorEastAsia" w:hAnsiTheme="minorEastAsia" w:cs="Times New Roman" w:hint="eastAsia"/>
          <w:sz w:val="24"/>
          <w:szCs w:val="24"/>
        </w:rPr>
        <w:t>赎回基金成功后，在正常情况下，基金登记机构在</w:t>
      </w:r>
      <w:r w:rsidRPr="002544B9">
        <w:rPr>
          <w:rFonts w:asciiTheme="minorEastAsia" w:hAnsiTheme="minorEastAsia" w:cs="Arial"/>
          <w:sz w:val="24"/>
          <w:szCs w:val="24"/>
        </w:rPr>
        <w:t>T+1</w:t>
      </w:r>
      <w:r w:rsidRPr="002544B9">
        <w:rPr>
          <w:rFonts w:asciiTheme="minorEastAsia" w:hAnsiTheme="minorEastAsia" w:cs="Times New Roman" w:hint="eastAsia"/>
          <w:sz w:val="24"/>
          <w:szCs w:val="24"/>
        </w:rPr>
        <w:t>日为投资者办理扣除权益的登记手续。</w:t>
      </w:r>
    </w:p>
    <w:p w14:paraId="709342BA" w14:textId="391D93F1" w:rsidR="00AC3A9B" w:rsidRPr="002544B9" w:rsidRDefault="002C3C29">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Times New Roman"/>
          <w:sz w:val="24"/>
          <w:szCs w:val="24"/>
        </w:rPr>
        <w:t>3</w:t>
      </w:r>
      <w:r w:rsidRPr="002544B9">
        <w:rPr>
          <w:rFonts w:asciiTheme="minorEastAsia" w:hAnsiTheme="minorEastAsia" w:cs="Times New Roman" w:hint="eastAsia"/>
          <w:sz w:val="24"/>
          <w:szCs w:val="24"/>
        </w:rPr>
        <w:t>、基金管理人可以在法律法规允许的范围内，对上述登记办理时间进行调整，但不得实质影响投资者的合法权益，并最迟于开始实施前</w:t>
      </w:r>
      <w:r w:rsidRPr="002544B9">
        <w:rPr>
          <w:rFonts w:asciiTheme="minorEastAsia" w:hAnsiTheme="minorEastAsia" w:cs="Arial" w:hint="eastAsia"/>
          <w:sz w:val="24"/>
          <w:szCs w:val="24"/>
        </w:rPr>
        <w:t>依照《信息披露办法》的有关规定</w:t>
      </w:r>
      <w:r w:rsidRPr="002544B9">
        <w:rPr>
          <w:rFonts w:asciiTheme="minorEastAsia" w:hAnsiTheme="minorEastAsia" w:cs="Times New Roman" w:hint="eastAsia"/>
          <w:sz w:val="24"/>
          <w:szCs w:val="24"/>
        </w:rPr>
        <w:t>在</w:t>
      </w:r>
      <w:r w:rsidR="00AF017B" w:rsidRPr="002544B9">
        <w:rPr>
          <w:rFonts w:asciiTheme="minorEastAsia" w:hAnsiTheme="minorEastAsia" w:cs="Times New Roman" w:hint="eastAsia"/>
          <w:sz w:val="24"/>
          <w:szCs w:val="24"/>
        </w:rPr>
        <w:t>规定媒介</w:t>
      </w:r>
      <w:r w:rsidRPr="002544B9">
        <w:rPr>
          <w:rFonts w:asciiTheme="minorEastAsia" w:hAnsiTheme="minorEastAsia" w:cs="Times New Roman" w:hint="eastAsia"/>
          <w:sz w:val="24"/>
          <w:szCs w:val="24"/>
        </w:rPr>
        <w:t>公告。</w:t>
      </w:r>
    </w:p>
    <w:p w14:paraId="5C73C40B" w14:textId="77777777" w:rsidR="00AC3A9B" w:rsidRPr="002544B9" w:rsidRDefault="002C3C29">
      <w:pPr>
        <w:tabs>
          <w:tab w:val="left" w:pos="1110"/>
        </w:tabs>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九、拒绝或暂停申购的情形及处理</w:t>
      </w:r>
    </w:p>
    <w:p w14:paraId="42594F9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发生下列情况时，基金管理人可拒绝或暂停接受投资人的申购申请：</w:t>
      </w:r>
    </w:p>
    <w:p w14:paraId="774E54D9"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1、因不可抗力导致基金无法正常运作。</w:t>
      </w:r>
    </w:p>
    <w:p w14:paraId="131A0D9C" w14:textId="3EC15D0B"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w:t>
      </w:r>
      <w:r w:rsidR="00D00657" w:rsidRPr="002544B9">
        <w:rPr>
          <w:rFonts w:asciiTheme="minorEastAsia" w:hAnsiTheme="minorEastAsia" w:cs="Arial" w:hint="eastAsia"/>
          <w:sz w:val="24"/>
          <w:szCs w:val="24"/>
        </w:rPr>
        <w:t>受</w:t>
      </w:r>
      <w:r w:rsidRPr="002544B9">
        <w:rPr>
          <w:rFonts w:asciiTheme="minorEastAsia" w:hAnsiTheme="minorEastAsia" w:cs="Arial" w:hint="eastAsia"/>
          <w:sz w:val="24"/>
          <w:szCs w:val="24"/>
        </w:rPr>
        <w:t>投资人的申购申请。</w:t>
      </w:r>
    </w:p>
    <w:p w14:paraId="6988C80D"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3F6F854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4、接受某笔或某些申购申请可能会影响或损害现有基金份额持有人利益时。</w:t>
      </w:r>
    </w:p>
    <w:p w14:paraId="34588D25"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5、基金资产规模过大，使基金管理人无法找到合适的投资品种，或其他可能对基金业绩产生负面影响，或发生其他损害现有基金份额持有人利益的情形。</w:t>
      </w:r>
    </w:p>
    <w:p w14:paraId="442B9F8E" w14:textId="1B1B3655"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6、当</w:t>
      </w:r>
      <w:r w:rsidR="00D102BE"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50%以上的，经与基金托管人协商确认后，基金管理人应当暂停接受基金申购申请。</w:t>
      </w:r>
    </w:p>
    <w:p w14:paraId="5894DFA1" w14:textId="77777777"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7、基金管理人接受某笔或者某些申购申请有可能导致单一投资者持有基金份额的比例达到或者超过50%，或者变相规避50%集中度的情形。</w:t>
      </w:r>
    </w:p>
    <w:p w14:paraId="0152AC81" w14:textId="77777777" w:rsidR="00AF017B" w:rsidRPr="002544B9" w:rsidRDefault="00AF017B" w:rsidP="00AF017B">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Pr="002544B9">
        <w:rPr>
          <w:rFonts w:asciiTheme="minorEastAsia" w:hAnsiTheme="minorEastAsia" w:cs="Arial" w:hint="eastAsia"/>
          <w:sz w:val="24"/>
          <w:szCs w:val="24"/>
        </w:rPr>
        <w:t>、基金管理人、基金托管人、基金销售机构或登记机构的异常情况导致基金销售系统、登记系统或基金会计系统无法正常运行。</w:t>
      </w:r>
    </w:p>
    <w:p w14:paraId="29F0434D" w14:textId="1E5BC913" w:rsidR="00AF017B" w:rsidRPr="002544B9" w:rsidRDefault="00AF017B" w:rsidP="00D55EDF">
      <w:pPr>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Pr="002544B9">
        <w:rPr>
          <w:rFonts w:asciiTheme="minorEastAsia" w:hAnsiTheme="minorEastAsia" w:cs="Arial" w:hint="eastAsia"/>
          <w:sz w:val="24"/>
          <w:szCs w:val="24"/>
        </w:rPr>
        <w:t>、接受某笔或某些申购申请超过基金管理人设定的本基金的总规模限额、单日净申购比例上限、单一投资者单日或单笔申购金额上限的。</w:t>
      </w:r>
    </w:p>
    <w:p w14:paraId="6254038B" w14:textId="7E000B5B" w:rsidR="00E57A93" w:rsidRPr="002544B9" w:rsidRDefault="00AF017B"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10</w:t>
      </w:r>
      <w:r w:rsidR="00E57A93" w:rsidRPr="002544B9">
        <w:rPr>
          <w:rFonts w:asciiTheme="minorEastAsia" w:hAnsiTheme="minorEastAsia" w:cs="Arial" w:hint="eastAsia"/>
          <w:sz w:val="24"/>
          <w:szCs w:val="24"/>
        </w:rPr>
        <w:t>、法律法规规定或中国证监会认定的其他情形。</w:t>
      </w:r>
    </w:p>
    <w:p w14:paraId="724DCCC0" w14:textId="105D75DA" w:rsidR="00E57A93" w:rsidRPr="002544B9" w:rsidRDefault="00E57A93" w:rsidP="00E57A93">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发生上述第</w:t>
      </w:r>
      <w:r w:rsidRPr="002544B9">
        <w:rPr>
          <w:rFonts w:asciiTheme="minorEastAsia" w:hAnsiTheme="minorEastAsia" w:cs="Arial"/>
          <w:sz w:val="24"/>
          <w:szCs w:val="24"/>
        </w:rPr>
        <w:t>1、2、3、5、6、</w:t>
      </w:r>
      <w:r w:rsidR="00EA255E" w:rsidRPr="002544B9">
        <w:rPr>
          <w:rFonts w:asciiTheme="minorEastAsia" w:hAnsiTheme="minorEastAsia" w:cs="Arial"/>
          <w:sz w:val="24"/>
          <w:szCs w:val="24"/>
        </w:rPr>
        <w:t>8、</w:t>
      </w:r>
      <w:r w:rsidR="00AF017B" w:rsidRPr="002544B9">
        <w:rPr>
          <w:rFonts w:asciiTheme="minorEastAsia" w:hAnsiTheme="minorEastAsia" w:cs="Arial"/>
          <w:sz w:val="24"/>
          <w:szCs w:val="24"/>
        </w:rPr>
        <w:t>10</w:t>
      </w:r>
      <w:r w:rsidRPr="002544B9">
        <w:rPr>
          <w:rFonts w:asciiTheme="minorEastAsia" w:hAnsiTheme="minorEastAsia" w:cs="Arial" w:hint="eastAsia"/>
          <w:sz w:val="24"/>
          <w:szCs w:val="24"/>
        </w:rPr>
        <w:t>项暂停申购情形之一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管理人决定暂停接受投资人的申购申请时，基金管理人应当根据有关规定在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上刊登暂停申购公告。如果投资人的申购申请被拒绝，被拒绝的申购款项</w:t>
      </w:r>
      <w:r w:rsidR="00AF017B" w:rsidRPr="002544B9">
        <w:rPr>
          <w:rFonts w:asciiTheme="minorEastAsia" w:hAnsiTheme="minorEastAsia" w:cs="Arial" w:hint="eastAsia"/>
          <w:sz w:val="24"/>
          <w:szCs w:val="24"/>
        </w:rPr>
        <w:t>本金</w:t>
      </w:r>
      <w:r w:rsidRPr="002544B9">
        <w:rPr>
          <w:rFonts w:asciiTheme="minorEastAsia" w:hAnsiTheme="minorEastAsia" w:cs="Arial" w:hint="eastAsia"/>
          <w:sz w:val="24"/>
          <w:szCs w:val="24"/>
        </w:rPr>
        <w:t>将退还给投资人。在暂停申购的情况消除时，基金管理人应及时恢复申购业务的办理。</w:t>
      </w:r>
    </w:p>
    <w:p w14:paraId="5E333FAE" w14:textId="005ACE66" w:rsidR="00AC3A9B" w:rsidRPr="002544B9" w:rsidRDefault="00E57A93" w:rsidP="00E57A93">
      <w:pPr>
        <w:adjustRightInd w:val="0"/>
        <w:snapToGrid w:val="0"/>
        <w:spacing w:line="360" w:lineRule="auto"/>
        <w:ind w:firstLineChars="200" w:firstLine="482"/>
        <w:rPr>
          <w:rFonts w:asciiTheme="minorEastAsia" w:hAnsiTheme="minorEastAsia" w:cs="Arial"/>
          <w:b/>
          <w:bCs/>
          <w:sz w:val="24"/>
          <w:szCs w:val="24"/>
        </w:rPr>
      </w:pPr>
      <w:r w:rsidRPr="002544B9">
        <w:rPr>
          <w:rFonts w:asciiTheme="minorEastAsia" w:hAnsiTheme="minorEastAsia" w:cs="Arial" w:hint="eastAsia"/>
          <w:b/>
          <w:bCs/>
          <w:sz w:val="24"/>
          <w:szCs w:val="24"/>
        </w:rPr>
        <w:t>十、暂停赎回或延缓支付赎回款项的情形</w:t>
      </w:r>
    </w:p>
    <w:p w14:paraId="4D1D6376"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bookmarkStart w:id="191" w:name="_Toc416264545"/>
      <w:bookmarkStart w:id="192" w:name="_Toc17920"/>
      <w:bookmarkStart w:id="193" w:name="_Toc739"/>
      <w:bookmarkStart w:id="194" w:name="_Toc352229756"/>
      <w:bookmarkStart w:id="195" w:name="_Toc139991740"/>
      <w:bookmarkStart w:id="196" w:name="_Toc20976"/>
      <w:bookmarkStart w:id="197" w:name="_Toc123102457"/>
      <w:bookmarkStart w:id="198" w:name="_Toc17198"/>
      <w:bookmarkStart w:id="199" w:name="_Toc29408"/>
      <w:bookmarkStart w:id="200" w:name="_Toc123051456"/>
      <w:bookmarkStart w:id="201" w:name="_Toc32092"/>
      <w:bookmarkStart w:id="202" w:name="_Toc79392622"/>
      <w:bookmarkStart w:id="203" w:name="_Toc98560356"/>
      <w:bookmarkStart w:id="204" w:name="_Toc123112238"/>
      <w:bookmarkStart w:id="205" w:name="_Toc141703890"/>
      <w:bookmarkStart w:id="206" w:name="_Toc32584"/>
      <w:bookmarkStart w:id="207" w:name="_Toc3329"/>
      <w:bookmarkStart w:id="208" w:name="_Toc48649708"/>
      <w:bookmarkStart w:id="209" w:name="_Toc21237"/>
      <w:bookmarkStart w:id="210" w:name="_Toc5170"/>
      <w:bookmarkStart w:id="211" w:name="_Toc8791"/>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r w:rsidRPr="002544B9">
        <w:rPr>
          <w:rFonts w:asciiTheme="minorEastAsia" w:hAnsiTheme="minorEastAsia" w:cs="Arial" w:hint="eastAsia"/>
          <w:sz w:val="24"/>
          <w:szCs w:val="24"/>
        </w:rPr>
        <w:t>发生下列情形时，基金管理人可暂停接受投资人的赎回申请或延缓支付赎回款项：</w:t>
      </w:r>
    </w:p>
    <w:p w14:paraId="7B7D72E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1、因不可抗力导致基金管理人不能支付赎回款项。</w:t>
      </w:r>
    </w:p>
    <w:p w14:paraId="16AD8A8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2、发生基金合同规定的暂停基金资产估值情况时，基金管理人可暂停接受投资人的赎回申请或延缓支付赎回款项。</w:t>
      </w:r>
    </w:p>
    <w:p w14:paraId="1AA8B7C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3、证券、期货交易所交易时间非正常停市，导致基金管理人无法计算当日基金资产净值。</w:t>
      </w:r>
    </w:p>
    <w:p w14:paraId="559E6F5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4、连续两个或两个以上开放日发生巨额赎回。</w:t>
      </w:r>
    </w:p>
    <w:p w14:paraId="3A21F243"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5、发生继续接受赎回申请将损害现有基金份额持有人利益的情形时，基金管理人可暂停接受基金份额持有人的赎回申请。</w:t>
      </w:r>
    </w:p>
    <w:p w14:paraId="4357BAC6" w14:textId="6C7ED301"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6、当</w:t>
      </w:r>
      <w:r w:rsidR="001A47DA"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50%以上的，经与基金托管人协商确认后，基金管理人应当延缓支付赎回款项或暂停接受基金赎回申请。</w:t>
      </w:r>
    </w:p>
    <w:p w14:paraId="17A50DE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7、法律法规规定或中国证监会认定的其他情形。</w:t>
      </w:r>
    </w:p>
    <w:p w14:paraId="01AD0DFC"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发生上述情形之一</w:t>
      </w:r>
      <w:proofErr w:type="gramStart"/>
      <w:r w:rsidRPr="002544B9">
        <w:rPr>
          <w:rFonts w:asciiTheme="minorEastAsia" w:hAnsiTheme="minorEastAsia" w:cs="Arial" w:hint="eastAsia"/>
          <w:sz w:val="24"/>
          <w:szCs w:val="24"/>
        </w:rPr>
        <w:t>且基金</w:t>
      </w:r>
      <w:proofErr w:type="gramEnd"/>
      <w:r w:rsidRPr="002544B9">
        <w:rPr>
          <w:rFonts w:asciiTheme="minorEastAsia" w:hAnsiTheme="minorEastAsia" w:cs="Arial" w:hint="eastAsia"/>
          <w:sz w:val="24"/>
          <w:szCs w:val="24"/>
        </w:rPr>
        <w:t>管理人决定暂停赎回或延缓支付赎回款项时，基金管理人应按规定报中国证监会备案，已确认的赎回申请，基金管理人应足额支付；如暂时不能足额支付，应将可支付部分按单个账户申请量占申请总量的比例分配给赎回申请人，未支付部分可延期支付。若出现上述第</w:t>
      </w:r>
      <w:r w:rsidRPr="002544B9">
        <w:rPr>
          <w:rFonts w:asciiTheme="minorEastAsia" w:hAnsiTheme="minorEastAsia" w:cs="Arial"/>
          <w:sz w:val="24"/>
          <w:szCs w:val="24"/>
        </w:rPr>
        <w:t>4项所述情形，按基金合同的相关条款处理。基金份额持有人在申请赎回时可事先选择将当日可能未获受理部分予以撤销。在暂停赎回的情况消除时，基金管理人应及时恢复赎回业务的办理并公告。</w:t>
      </w:r>
    </w:p>
    <w:p w14:paraId="2DE540F6" w14:textId="66FE3FAE"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十一、巨额赎回的情形及处理方式</w:t>
      </w:r>
    </w:p>
    <w:p w14:paraId="3CE786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1、巨额赎回的认定</w:t>
      </w:r>
    </w:p>
    <w:p w14:paraId="191FCF85"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若本基金单个开放日内的基金份额净赎回申请</w:t>
      </w:r>
      <w:r w:rsidRPr="002544B9">
        <w:rPr>
          <w:rFonts w:asciiTheme="minorEastAsia" w:hAnsiTheme="minorEastAsia" w:cs="Arial"/>
          <w:sz w:val="24"/>
          <w:szCs w:val="24"/>
        </w:rPr>
        <w:t>(赎回申请份额总数加上基金转换中转出申请份额总数后扣除申购申请份额总数及基金转换中转入申请份额总数后的余额)超过前一开放日的基金总份额的10%，即认为是发生了巨额赎回。</w:t>
      </w:r>
    </w:p>
    <w:p w14:paraId="7468CDD2"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2、巨额赎回的处理方式</w:t>
      </w:r>
    </w:p>
    <w:p w14:paraId="73ACED7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当基金出现巨额赎回时，基金管理人可以根据基金当时的资产组合状况决定全额赎回或部分延期赎回。</w:t>
      </w:r>
    </w:p>
    <w:p w14:paraId="4C1E0781"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1）全额赎回：当基金管理人认为有能力支付投资人的全部赎回申请时，按正常赎回程序执行。</w:t>
      </w:r>
    </w:p>
    <w:p w14:paraId="3712B8A7" w14:textId="2C8014D6" w:rsidR="00E57A93" w:rsidRPr="002544B9" w:rsidRDefault="00E57A93" w:rsidP="00D55EDF">
      <w:pPr>
        <w:spacing w:line="360" w:lineRule="auto"/>
        <w:ind w:firstLineChars="200" w:firstLine="480"/>
        <w:rPr>
          <w:bCs/>
          <w:sz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部分延期赎回：当基金管理人认为支付投资人的赎回申请有困难或认为因支付投资人的赎回申请而进行的财产变现可能会对基金资产净值造成较大波动时，基金管理人在当日接受赎回比例不低于上一开放日基金总份额的10%的前提下，可对其余赎回申请延期办理。对于当日的赎回申请，应当按单个账户赎回申请量占赎回申请总量的比例，确定当日受理的赎回份额；对于未能赎回部分，投资人在提交赎回申请时可以选择延期赎回或取消赎回。选择延期赎回的，将自动转入下一个开放日继续赎回，直到全部赎回为止；选择取消赎回的，当日未获受理的部分赎回申请将被撤销。延期的赎回申请与下一开放日赎回申请一并处理，无优先权</w:t>
      </w:r>
      <w:proofErr w:type="gramStart"/>
      <w:r w:rsidRPr="002544B9">
        <w:rPr>
          <w:rFonts w:asciiTheme="minorEastAsia" w:hAnsiTheme="minorEastAsia" w:cs="Arial" w:hint="eastAsia"/>
          <w:sz w:val="24"/>
          <w:szCs w:val="24"/>
        </w:rPr>
        <w:t>并以下</w:t>
      </w:r>
      <w:proofErr w:type="gramEnd"/>
      <w:r w:rsidRPr="002544B9">
        <w:rPr>
          <w:rFonts w:asciiTheme="minorEastAsia" w:hAnsiTheme="minorEastAsia" w:cs="Arial" w:hint="eastAsia"/>
          <w:sz w:val="24"/>
          <w:szCs w:val="24"/>
        </w:rPr>
        <w:t>一开放日的该类基金份额净值为基础计算赎回金额，以此类推，直到全部赎回为止。如投资人在提交赎回申请时未作明确选择，投资人未能赎回部分作自动延期赎回处理。</w:t>
      </w:r>
      <w:r w:rsidR="00AF017B" w:rsidRPr="002544B9">
        <w:rPr>
          <w:rFonts w:hint="eastAsia"/>
          <w:bCs/>
          <w:sz w:val="24"/>
        </w:rPr>
        <w:t>部分延期赎回不受单笔赎回最低份额的限制。</w:t>
      </w:r>
    </w:p>
    <w:p w14:paraId="6442C1DF" w14:textId="5871D103"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3）若本基金发生巨额赎回</w:t>
      </w:r>
      <w:r w:rsidR="00D102BE" w:rsidRPr="002544B9">
        <w:rPr>
          <w:rFonts w:asciiTheme="minorEastAsia" w:hAnsiTheme="minorEastAsia" w:cs="Arial" w:hint="eastAsia"/>
          <w:sz w:val="24"/>
          <w:szCs w:val="24"/>
        </w:rPr>
        <w:t>且</w:t>
      </w:r>
      <w:r w:rsidRPr="002544B9">
        <w:rPr>
          <w:rFonts w:asciiTheme="minorEastAsia" w:hAnsiTheme="minorEastAsia" w:cs="Arial" w:hint="eastAsia"/>
          <w:sz w:val="24"/>
          <w:szCs w:val="24"/>
        </w:rPr>
        <w:t>在单个基金份额持有人超过上一日基金总份额</w:t>
      </w:r>
      <w:r w:rsidRPr="002544B9">
        <w:rPr>
          <w:rFonts w:asciiTheme="minorEastAsia" w:hAnsiTheme="minorEastAsia" w:cs="Arial"/>
          <w:sz w:val="24"/>
          <w:szCs w:val="24"/>
        </w:rPr>
        <w:t>20%以上的赎回申请的情形下，基金管理人有权对于该基金份额持有人当日超过上一日基金总份额20%以上的那部分赎回申请进行延期办理，对于该基金份额持有人其余赎回申请部分，基金管理人有权根据前段“（1）全额赎回”或“（2）部分延期赎回”的约定方式与其他基金份额持有人的赎回申请一并办理。但是，如该基金份额持有人在提交赎回申请时选择取消赎回，则其当日未获受理的部分赎回申请将被撤销。</w:t>
      </w:r>
    </w:p>
    <w:p w14:paraId="701474BB" w14:textId="216C3F7A"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4）暂停赎回：连续2个开放日以上（含本数）发生巨额赎回，如基金管理人认为有必要，可暂停接受基金的赎回申请；已经接受的赎回申请可以延缓支付赎回款项，但不得超过20个工作日，并应当在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上进行公告。</w:t>
      </w:r>
    </w:p>
    <w:p w14:paraId="5BCF1947"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3、巨额赎回的公告</w:t>
      </w:r>
    </w:p>
    <w:p w14:paraId="10D267F5" w14:textId="046BB56C"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当发生上述巨额赎回并延期</w:t>
      </w:r>
      <w:r w:rsidR="00AF017B" w:rsidRPr="002544B9">
        <w:rPr>
          <w:rFonts w:asciiTheme="minorEastAsia" w:hAnsiTheme="minorEastAsia" w:cs="Arial" w:hint="eastAsia"/>
          <w:sz w:val="24"/>
          <w:szCs w:val="24"/>
        </w:rPr>
        <w:t>办理</w:t>
      </w:r>
      <w:r w:rsidRPr="002544B9">
        <w:rPr>
          <w:rFonts w:asciiTheme="minorEastAsia" w:hAnsiTheme="minorEastAsia" w:cs="Arial" w:hint="eastAsia"/>
          <w:sz w:val="24"/>
          <w:szCs w:val="24"/>
        </w:rPr>
        <w:t>时，基金管理人应当通过邮寄、传真或者招募说明书规定的其他方式在</w:t>
      </w:r>
      <w:r w:rsidRPr="002544B9">
        <w:rPr>
          <w:rFonts w:asciiTheme="minorEastAsia" w:hAnsiTheme="minorEastAsia" w:cs="Arial"/>
          <w:sz w:val="24"/>
          <w:szCs w:val="24"/>
        </w:rPr>
        <w:t>3个交易日内通知基金份额持有人，说明有关处理方法，并依照《信息披露办法》的有关规定在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上刊登公告。</w:t>
      </w:r>
    </w:p>
    <w:p w14:paraId="57F17F7E" w14:textId="72EAE8A9"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十二、暂停申购或赎回的公告和重新开放申购或赎回的公告</w:t>
      </w:r>
    </w:p>
    <w:p w14:paraId="2FEBA10A" w14:textId="331B9BEB"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1、发生上述暂停申购或赎回情况的，基金管理人应在规定期限内在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上刊登暂停公告。</w:t>
      </w:r>
    </w:p>
    <w:p w14:paraId="7D8DBEA4" w14:textId="45395C3D"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2、如发生暂停的时间为1日，基金管理人应于重新开放日，在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上刊登基金重新开放申购或赎回公告，并公布最近</w:t>
      </w:r>
      <w:r w:rsidRPr="002544B9">
        <w:rPr>
          <w:rFonts w:asciiTheme="minorEastAsia" w:hAnsiTheme="minorEastAsia" w:cs="Arial"/>
          <w:sz w:val="24"/>
          <w:szCs w:val="24"/>
        </w:rPr>
        <w:t>1个开放日的各类基金份额净值。</w:t>
      </w:r>
    </w:p>
    <w:p w14:paraId="0758BDA7" w14:textId="44947025"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sz w:val="24"/>
          <w:szCs w:val="24"/>
        </w:rPr>
        <w:t xml:space="preserve">3、如发生暂停的时间超过1 日，基金管理人应提前1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刊登基金重新开放申购或赎回的公告，并在重新开始办理申购或赎回的开放日公告最近</w:t>
      </w:r>
      <w:r w:rsidRPr="002544B9">
        <w:rPr>
          <w:rFonts w:asciiTheme="minorEastAsia" w:hAnsiTheme="minorEastAsia" w:cs="Arial"/>
          <w:sz w:val="24"/>
          <w:szCs w:val="24"/>
        </w:rPr>
        <w:t xml:space="preserve">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工作日的各类基金份额净值。</w:t>
      </w:r>
    </w:p>
    <w:p w14:paraId="529C2946" w14:textId="7270537B" w:rsidR="00AC3A9B" w:rsidRPr="002544B9" w:rsidRDefault="002C3C29"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十三、基金转换</w:t>
      </w:r>
    </w:p>
    <w:p w14:paraId="4BE84D0D" w14:textId="77777777" w:rsidR="00AC3A9B" w:rsidRPr="002544B9" w:rsidRDefault="002C3C29">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根据相关法律法规以及基金合同的规定决定开办本基金与基金管理人管理的其他基金之间的转换业务，基金转换可以收取一定的转换费，相关规则由基金管理人届时根据相关法律法规及基金合同的规定制定并公告，并提前告知基金托管人与相关机构。</w:t>
      </w:r>
    </w:p>
    <w:p w14:paraId="609C5838" w14:textId="0D9F0912"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四</w:t>
      </w:r>
      <w:r w:rsidRPr="002544B9">
        <w:rPr>
          <w:rFonts w:asciiTheme="minorEastAsia" w:hAnsiTheme="minorEastAsia" w:cs="Arial" w:hint="eastAsia"/>
          <w:b/>
          <w:sz w:val="24"/>
          <w:szCs w:val="24"/>
        </w:rPr>
        <w:t>、基金的</w:t>
      </w:r>
      <w:proofErr w:type="gramStart"/>
      <w:r w:rsidRPr="002544B9">
        <w:rPr>
          <w:rFonts w:asciiTheme="minorEastAsia" w:hAnsiTheme="minorEastAsia" w:cs="Arial" w:hint="eastAsia"/>
          <w:b/>
          <w:sz w:val="24"/>
          <w:szCs w:val="24"/>
        </w:rPr>
        <w:t>非交易</w:t>
      </w:r>
      <w:proofErr w:type="gramEnd"/>
      <w:r w:rsidRPr="002544B9">
        <w:rPr>
          <w:rFonts w:asciiTheme="minorEastAsia" w:hAnsiTheme="minorEastAsia" w:cs="Arial" w:hint="eastAsia"/>
          <w:b/>
          <w:sz w:val="24"/>
          <w:szCs w:val="24"/>
        </w:rPr>
        <w:t>过户</w:t>
      </w:r>
    </w:p>
    <w:p w14:paraId="68F1356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过户是指基金登记机构受理继承、捐赠和司法强制执行等情形而产生的</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过户以及登记机构认可、符合法律法规的其它</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过户。无论在上述何种情况下，接受划转的主体必须是依法可以持有本</w:t>
      </w:r>
      <w:proofErr w:type="gramStart"/>
      <w:r w:rsidRPr="002544B9">
        <w:rPr>
          <w:rFonts w:asciiTheme="minorEastAsia" w:hAnsiTheme="minorEastAsia" w:cs="Arial" w:hint="eastAsia"/>
          <w:sz w:val="24"/>
          <w:szCs w:val="24"/>
        </w:rPr>
        <w:t>基金基金</w:t>
      </w:r>
      <w:proofErr w:type="gramEnd"/>
      <w:r w:rsidRPr="002544B9">
        <w:rPr>
          <w:rFonts w:asciiTheme="minorEastAsia" w:hAnsiTheme="minorEastAsia" w:cs="Arial" w:hint="eastAsia"/>
          <w:sz w:val="24"/>
          <w:szCs w:val="24"/>
        </w:rPr>
        <w:t>份额的投资人。</w:t>
      </w:r>
    </w:p>
    <w:p w14:paraId="089BBC0B"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继承是指基金份额持有人死亡，其持有的基金份额由其合法的继承人继承；</w:t>
      </w:r>
      <w:proofErr w:type="gramStart"/>
      <w:r w:rsidRPr="002544B9">
        <w:rPr>
          <w:rFonts w:asciiTheme="minorEastAsia" w:hAnsiTheme="minorEastAsia" w:cs="Arial" w:hint="eastAsia"/>
          <w:sz w:val="24"/>
          <w:szCs w:val="24"/>
        </w:rPr>
        <w:t>捐赠指</w:t>
      </w:r>
      <w:proofErr w:type="gramEnd"/>
      <w:r w:rsidRPr="002544B9">
        <w:rPr>
          <w:rFonts w:asciiTheme="minorEastAsia" w:hAnsiTheme="minorEastAsia" w:cs="Arial" w:hint="eastAsia"/>
          <w:sz w:val="24"/>
          <w:szCs w:val="24"/>
        </w:rPr>
        <w:t>基金份额持有人将其合法持有的基金份额捐赠给福利性质的基金会或社会团体；司法强制执行是指司法机构依据生效司法文书将基金份额持有人持有的基金份额强制划转给其他自然人、法人或其他组织。办理</w:t>
      </w:r>
      <w:proofErr w:type="gramStart"/>
      <w:r w:rsidRPr="002544B9">
        <w:rPr>
          <w:rFonts w:asciiTheme="minorEastAsia" w:hAnsiTheme="minorEastAsia" w:cs="Arial" w:hint="eastAsia"/>
          <w:sz w:val="24"/>
          <w:szCs w:val="24"/>
        </w:rPr>
        <w:t>非交易</w:t>
      </w:r>
      <w:proofErr w:type="gramEnd"/>
      <w:r w:rsidRPr="002544B9">
        <w:rPr>
          <w:rFonts w:asciiTheme="minorEastAsia" w:hAnsiTheme="minorEastAsia" w:cs="Arial" w:hint="eastAsia"/>
          <w:sz w:val="24"/>
          <w:szCs w:val="24"/>
        </w:rPr>
        <w:t>过户必须提供基金登记机构要求提供的相关资料，对于符合条件的</w:t>
      </w:r>
      <w:proofErr w:type="gramStart"/>
      <w:r w:rsidRPr="002544B9">
        <w:rPr>
          <w:rFonts w:asciiTheme="minorEastAsia" w:hAnsiTheme="minorEastAsia" w:cs="Arial" w:hint="eastAsia"/>
          <w:sz w:val="24"/>
          <w:szCs w:val="24"/>
        </w:rPr>
        <w:t>非交易过户申请按</w:t>
      </w:r>
      <w:proofErr w:type="gramEnd"/>
      <w:r w:rsidRPr="002544B9">
        <w:rPr>
          <w:rFonts w:asciiTheme="minorEastAsia" w:hAnsiTheme="minorEastAsia" w:cs="Arial" w:hint="eastAsia"/>
          <w:sz w:val="24"/>
          <w:szCs w:val="24"/>
        </w:rPr>
        <w:t>基金登记机构的规定办理，并按基金登记机构规定的标准收费。</w:t>
      </w:r>
    </w:p>
    <w:p w14:paraId="5989A7DE" w14:textId="292BB1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五</w:t>
      </w:r>
      <w:r w:rsidRPr="002544B9">
        <w:rPr>
          <w:rFonts w:asciiTheme="minorEastAsia" w:hAnsiTheme="minorEastAsia" w:cs="Arial" w:hint="eastAsia"/>
          <w:b/>
          <w:sz w:val="24"/>
          <w:szCs w:val="24"/>
        </w:rPr>
        <w:t>、基金的转托管</w:t>
      </w:r>
    </w:p>
    <w:p w14:paraId="10F9E07E"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基金份额持有人可办理已持有基金份额在不同销售机构之间的转托管，基金销售机构可以按照规定的标准收取转托管费。</w:t>
      </w:r>
    </w:p>
    <w:p w14:paraId="5D260A61" w14:textId="0C54FE3B"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六</w:t>
      </w:r>
      <w:r w:rsidRPr="002544B9">
        <w:rPr>
          <w:rFonts w:asciiTheme="minorEastAsia" w:hAnsiTheme="minorEastAsia" w:cs="Arial" w:hint="eastAsia"/>
          <w:b/>
          <w:sz w:val="24"/>
          <w:szCs w:val="24"/>
        </w:rPr>
        <w:t>、定期定额投资计划</w:t>
      </w:r>
    </w:p>
    <w:p w14:paraId="17690574" w14:textId="77777777"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基金管理人可以为投资人办理定期定额投资计划，具体规则由基金管理人另行规定。投资人在办理定期定额投资计划时可自行约定每期扣款金额，每期扣款金额必须不低于基金管理人在相关公告或更新的招募说明书中所规定的定期定额投资计划最低申购金额。</w:t>
      </w:r>
    </w:p>
    <w:p w14:paraId="3303014B" w14:textId="155B8556"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七</w:t>
      </w:r>
      <w:r w:rsidRPr="002544B9">
        <w:rPr>
          <w:rFonts w:asciiTheme="minorEastAsia" w:hAnsiTheme="minorEastAsia" w:cs="Arial" w:hint="eastAsia"/>
          <w:b/>
          <w:sz w:val="24"/>
          <w:szCs w:val="24"/>
        </w:rPr>
        <w:t>、基金份额的冻结</w:t>
      </w:r>
      <w:r w:rsidR="00DD41DA" w:rsidRPr="002544B9">
        <w:rPr>
          <w:rFonts w:asciiTheme="minorEastAsia" w:hAnsiTheme="minorEastAsia" w:cs="Arial"/>
          <w:b/>
          <w:sz w:val="24"/>
          <w:szCs w:val="24"/>
        </w:rPr>
        <w:t>、</w:t>
      </w:r>
      <w:r w:rsidRPr="002544B9">
        <w:rPr>
          <w:rFonts w:asciiTheme="minorEastAsia" w:hAnsiTheme="minorEastAsia" w:cs="Arial" w:hint="eastAsia"/>
          <w:b/>
          <w:sz w:val="24"/>
          <w:szCs w:val="24"/>
        </w:rPr>
        <w:t>解冻</w:t>
      </w:r>
      <w:r w:rsidR="00DD41DA" w:rsidRPr="002544B9">
        <w:rPr>
          <w:rFonts w:asciiTheme="minorEastAsia" w:hAnsiTheme="minorEastAsia" w:cs="Arial" w:hint="eastAsia"/>
          <w:b/>
          <w:sz w:val="24"/>
          <w:szCs w:val="24"/>
        </w:rPr>
        <w:t>和质押</w:t>
      </w:r>
    </w:p>
    <w:p w14:paraId="1D69FAFC" w14:textId="77777777" w:rsidR="00DD41DA" w:rsidRPr="002544B9" w:rsidRDefault="00E57A93" w:rsidP="00DD41DA">
      <w:pPr>
        <w:spacing w:line="360" w:lineRule="auto"/>
        <w:ind w:firstLineChars="200" w:firstLine="480"/>
        <w:rPr>
          <w:bCs/>
          <w:sz w:val="24"/>
        </w:rPr>
      </w:pPr>
      <w:r w:rsidRPr="002544B9">
        <w:rPr>
          <w:rFonts w:asciiTheme="minorEastAsia" w:hAnsiTheme="minorEastAsia" w:cs="Arial" w:hint="eastAsia"/>
          <w:sz w:val="24"/>
          <w:szCs w:val="24"/>
        </w:rPr>
        <w:t>基金登记机构只受理国家有权机关依法要求的基金份额的冻结与解冻，以及登记机构认可、符合法律法规的其他情况下的冻结与解冻。</w:t>
      </w:r>
      <w:r w:rsidR="00DD41DA" w:rsidRPr="002544B9">
        <w:rPr>
          <w:rFonts w:hint="eastAsia"/>
          <w:bCs/>
          <w:sz w:val="24"/>
        </w:rPr>
        <w:t>基金份额被冻结的，被冻结部分产生的权益一并冻结，被冻结部分份额仍然参与收益分配。法律法规或监管部门另有规定的除外。</w:t>
      </w:r>
    </w:p>
    <w:p w14:paraId="15555F08" w14:textId="5918B737" w:rsidR="00E57A93" w:rsidRPr="002544B9" w:rsidRDefault="00DD41DA" w:rsidP="00D55EDF">
      <w:pPr>
        <w:spacing w:line="360" w:lineRule="auto"/>
        <w:ind w:firstLineChars="200" w:firstLine="480"/>
        <w:rPr>
          <w:bCs/>
          <w:sz w:val="24"/>
        </w:rPr>
      </w:pPr>
      <w:r w:rsidRPr="002544B9">
        <w:rPr>
          <w:rFonts w:hint="eastAsia"/>
          <w:bCs/>
          <w:sz w:val="24"/>
        </w:rPr>
        <w:t>如相关法律法规允许基金管理人办理基金份额的质押业务或其他基金业务，在对基金份额持有人无实质性不利影响的情况下，履行相关程序后，基金管理人将制定和实施相应的业务规则。</w:t>
      </w:r>
    </w:p>
    <w:p w14:paraId="072B8602" w14:textId="7316EEE9" w:rsidR="00E57A93" w:rsidRPr="002544B9" w:rsidRDefault="00E57A93" w:rsidP="00E57A93">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八</w:t>
      </w:r>
      <w:r w:rsidRPr="002544B9">
        <w:rPr>
          <w:rFonts w:asciiTheme="minorEastAsia" w:hAnsiTheme="minorEastAsia" w:cs="Arial" w:hint="eastAsia"/>
          <w:b/>
          <w:sz w:val="24"/>
          <w:szCs w:val="24"/>
        </w:rPr>
        <w:t>、基金份额的转让</w:t>
      </w:r>
    </w:p>
    <w:p w14:paraId="1007EC64" w14:textId="51D84319" w:rsidR="00E57A93" w:rsidRPr="002544B9" w:rsidRDefault="00E57A93" w:rsidP="00E57A93">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在法律法规允许且条件具备的情况下，基金管理人可受理基金份额持有人通过中国证监会认可的交易场所或者交易方式进行份额转让的申请并由登记机构办理基金份额的过户登记。基金管理人拟受理基金份额转让业务的，将提前在</w:t>
      </w:r>
      <w:r w:rsidR="00AF017B" w:rsidRPr="002544B9">
        <w:rPr>
          <w:rFonts w:asciiTheme="minorEastAsia" w:hAnsiTheme="minorEastAsia" w:cs="Arial" w:hint="eastAsia"/>
          <w:sz w:val="24"/>
          <w:szCs w:val="24"/>
        </w:rPr>
        <w:t>规定媒介</w:t>
      </w:r>
      <w:r w:rsidRPr="002544B9">
        <w:rPr>
          <w:rFonts w:asciiTheme="minorEastAsia" w:hAnsiTheme="minorEastAsia" w:cs="Arial" w:hint="eastAsia"/>
          <w:sz w:val="24"/>
          <w:szCs w:val="24"/>
        </w:rPr>
        <w:t>公告相关的业务规则，基金份额持有人应根据基金管理人届时公告的业务规则办理基金份额转让业务。</w:t>
      </w:r>
    </w:p>
    <w:p w14:paraId="75444AE9" w14:textId="709309FE" w:rsidR="00D102BE" w:rsidRPr="002544B9" w:rsidRDefault="00D102BE" w:rsidP="00D55EDF">
      <w:pPr>
        <w:widowControl/>
        <w:spacing w:line="360" w:lineRule="auto"/>
        <w:ind w:firstLineChars="200" w:firstLine="482"/>
        <w:jc w:val="left"/>
        <w:rPr>
          <w:rFonts w:asciiTheme="minorEastAsia" w:hAnsiTheme="minorEastAsia" w:cs="Arial"/>
          <w:b/>
          <w:sz w:val="24"/>
          <w:szCs w:val="24"/>
        </w:rPr>
      </w:pPr>
      <w:r w:rsidRPr="002544B9">
        <w:rPr>
          <w:rFonts w:asciiTheme="minorEastAsia" w:hAnsiTheme="minorEastAsia" w:cs="Arial" w:hint="eastAsia"/>
          <w:b/>
          <w:sz w:val="24"/>
          <w:szCs w:val="24"/>
        </w:rPr>
        <w:t>十</w:t>
      </w:r>
      <w:r w:rsidR="00D00657" w:rsidRPr="002544B9">
        <w:rPr>
          <w:rFonts w:asciiTheme="minorEastAsia" w:hAnsiTheme="minorEastAsia" w:cs="Arial" w:hint="eastAsia"/>
          <w:b/>
          <w:sz w:val="24"/>
          <w:szCs w:val="24"/>
        </w:rPr>
        <w:t>九</w:t>
      </w:r>
      <w:r w:rsidRPr="002544B9">
        <w:rPr>
          <w:rFonts w:asciiTheme="minorEastAsia" w:hAnsiTheme="minorEastAsia" w:cs="Arial" w:hint="eastAsia"/>
          <w:b/>
          <w:sz w:val="24"/>
          <w:szCs w:val="24"/>
        </w:rPr>
        <w:t>、实施</w:t>
      </w:r>
      <w:proofErr w:type="gramStart"/>
      <w:r w:rsidRPr="002544B9">
        <w:rPr>
          <w:rFonts w:asciiTheme="minorEastAsia" w:hAnsiTheme="minorEastAsia" w:cs="Arial" w:hint="eastAsia"/>
          <w:b/>
          <w:sz w:val="24"/>
          <w:szCs w:val="24"/>
        </w:rPr>
        <w:t>侧袋机制</w:t>
      </w:r>
      <w:proofErr w:type="gramEnd"/>
      <w:r w:rsidRPr="002544B9">
        <w:rPr>
          <w:rFonts w:asciiTheme="minorEastAsia" w:hAnsiTheme="minorEastAsia" w:cs="Arial" w:hint="eastAsia"/>
          <w:b/>
          <w:sz w:val="24"/>
          <w:szCs w:val="24"/>
        </w:rPr>
        <w:t>期间本基金的申购与赎回</w:t>
      </w:r>
    </w:p>
    <w:p w14:paraId="3790ABDA" w14:textId="39201B46" w:rsidR="00D102BE" w:rsidRPr="002544B9" w:rsidRDefault="00D102BE" w:rsidP="00D102BE">
      <w:pPr>
        <w:widowControl/>
        <w:spacing w:line="360" w:lineRule="auto"/>
        <w:ind w:firstLineChars="200" w:firstLine="480"/>
        <w:jc w:val="left"/>
        <w:rPr>
          <w:rFonts w:asciiTheme="minorEastAsia" w:hAnsiTheme="minorEastAsia" w:cs="Arial"/>
          <w:sz w:val="24"/>
          <w:szCs w:val="24"/>
        </w:rPr>
      </w:pPr>
      <w:r w:rsidRPr="002544B9">
        <w:rPr>
          <w:rFonts w:asciiTheme="minorEastAsia" w:hAnsiTheme="minorEastAsia" w:cs="Arial" w:hint="eastAsia"/>
          <w:sz w:val="24"/>
          <w:szCs w:val="24"/>
        </w:rPr>
        <w:t>本基金实施</w:t>
      </w:r>
      <w:proofErr w:type="gramStart"/>
      <w:r w:rsidRPr="002544B9">
        <w:rPr>
          <w:rFonts w:asciiTheme="minorEastAsia" w:hAnsiTheme="minorEastAsia" w:cs="Arial" w:hint="eastAsia"/>
          <w:sz w:val="24"/>
          <w:szCs w:val="24"/>
        </w:rPr>
        <w:t>侧袋机制</w:t>
      </w:r>
      <w:proofErr w:type="gramEnd"/>
      <w:r w:rsidRPr="002544B9">
        <w:rPr>
          <w:rFonts w:asciiTheme="minorEastAsia" w:hAnsiTheme="minorEastAsia" w:cs="Arial" w:hint="eastAsia"/>
          <w:sz w:val="24"/>
          <w:szCs w:val="24"/>
        </w:rPr>
        <w:t>的，本基金的申购和赎回安排详见招募说明书“侧袋机制</w:t>
      </w:r>
      <w:r w:rsidRPr="002544B9">
        <w:rPr>
          <w:rFonts w:asciiTheme="minorEastAsia" w:hAnsiTheme="minorEastAsia" w:cs="Arial"/>
          <w:sz w:val="24"/>
          <w:szCs w:val="24"/>
        </w:rPr>
        <w:t>”</w:t>
      </w:r>
      <w:r w:rsidR="00EA255E" w:rsidRPr="002544B9">
        <w:rPr>
          <w:rFonts w:asciiTheme="minorEastAsia" w:hAnsiTheme="minorEastAsia" w:cs="Arial" w:hint="eastAsia"/>
          <w:sz w:val="24"/>
          <w:szCs w:val="24"/>
        </w:rPr>
        <w:t>部分的规定</w:t>
      </w:r>
      <w:r w:rsidRPr="002544B9">
        <w:rPr>
          <w:rFonts w:asciiTheme="minorEastAsia" w:hAnsiTheme="minorEastAsia" w:cs="Arial" w:hint="eastAsia"/>
          <w:sz w:val="24"/>
          <w:szCs w:val="24"/>
        </w:rPr>
        <w:t>或相关公告。</w:t>
      </w:r>
    </w:p>
    <w:p w14:paraId="1B04704D" w14:textId="636D24A9" w:rsidR="00E57A93" w:rsidRPr="002544B9" w:rsidRDefault="00E57A93">
      <w:pPr>
        <w:widowControl/>
        <w:jc w:val="left"/>
        <w:rPr>
          <w:rFonts w:asciiTheme="minorEastAsia" w:hAnsiTheme="minorEastAsia" w:cs="Arial"/>
          <w:sz w:val="24"/>
          <w:szCs w:val="24"/>
        </w:rPr>
      </w:pPr>
      <w:r w:rsidRPr="002544B9">
        <w:rPr>
          <w:rFonts w:asciiTheme="minorEastAsia" w:hAnsiTheme="minorEastAsia" w:cs="Arial"/>
          <w:sz w:val="24"/>
          <w:szCs w:val="24"/>
        </w:rPr>
        <w:br w:type="page"/>
      </w:r>
    </w:p>
    <w:p w14:paraId="5688666C" w14:textId="77777777" w:rsidR="00AC3A9B" w:rsidRPr="002544B9" w:rsidRDefault="002C3C29">
      <w:pPr>
        <w:pStyle w:val="1"/>
        <w:jc w:val="center"/>
        <w:rPr>
          <w:sz w:val="30"/>
          <w:szCs w:val="30"/>
        </w:rPr>
      </w:pPr>
      <w:bookmarkStart w:id="212" w:name="_Toc68266296"/>
      <w:bookmarkStart w:id="213" w:name="_Toc104205520"/>
      <w:r w:rsidRPr="002544B9">
        <w:rPr>
          <w:rFonts w:hint="eastAsia"/>
          <w:sz w:val="30"/>
          <w:szCs w:val="30"/>
        </w:rPr>
        <w:t>第九部分</w:t>
      </w:r>
      <w:r w:rsidRPr="002544B9">
        <w:rPr>
          <w:sz w:val="30"/>
          <w:szCs w:val="30"/>
        </w:rPr>
        <w:t xml:space="preserve">  </w:t>
      </w:r>
      <w:r w:rsidRPr="002544B9">
        <w:rPr>
          <w:rFonts w:hint="eastAsia"/>
          <w:sz w:val="30"/>
          <w:szCs w:val="30"/>
        </w:rPr>
        <w:t>基金的投资</w:t>
      </w:r>
      <w:bookmarkEnd w:id="191"/>
      <w:bookmarkEnd w:id="212"/>
      <w:bookmarkEnd w:id="213"/>
    </w:p>
    <w:p w14:paraId="4E5864CA"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一、投资目标</w:t>
      </w:r>
    </w:p>
    <w:p w14:paraId="0655DB7F" w14:textId="77777777" w:rsidR="00760954" w:rsidRPr="002544B9" w:rsidRDefault="00EA255E"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本基金通过对行业及公司深入的研究分析，精选优质上市公司，在严格控制风险和保持资产流动性的前提下，追求超越业绩比较基准的投资回报，力争实现基金资产的长期稳健增值。</w:t>
      </w:r>
    </w:p>
    <w:p w14:paraId="4299B79C"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二、投资范围</w:t>
      </w:r>
    </w:p>
    <w:p w14:paraId="1E25BDAE" w14:textId="1DEFB7A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本基金的投资范围为具有良好流动性的金融工具，包括国内依法发行上市的股票（含</w:t>
      </w:r>
      <w:r w:rsidR="003B3B43" w:rsidRPr="002544B9">
        <w:rPr>
          <w:rFonts w:asciiTheme="minorEastAsia" w:hAnsiTheme="minorEastAsia" w:cs="Times New Roman" w:hint="eastAsia"/>
          <w:bCs/>
          <w:sz w:val="24"/>
          <w:szCs w:val="24"/>
        </w:rPr>
        <w:t>主板、</w:t>
      </w:r>
      <w:proofErr w:type="gramStart"/>
      <w:r w:rsidRPr="002544B9">
        <w:rPr>
          <w:rFonts w:asciiTheme="minorEastAsia" w:hAnsiTheme="minorEastAsia" w:cs="Times New Roman" w:hint="eastAsia"/>
          <w:bCs/>
          <w:sz w:val="24"/>
          <w:szCs w:val="24"/>
        </w:rPr>
        <w:t>科创板</w:t>
      </w:r>
      <w:proofErr w:type="gramEnd"/>
      <w:r w:rsidRPr="002544B9">
        <w:rPr>
          <w:rFonts w:asciiTheme="minorEastAsia" w:hAnsiTheme="minorEastAsia" w:cs="Times New Roman" w:hint="eastAsia"/>
          <w:bCs/>
          <w:sz w:val="24"/>
          <w:szCs w:val="24"/>
        </w:rPr>
        <w:t>、创业板及其他经中国证监会</w:t>
      </w:r>
      <w:r w:rsidR="00DD41DA" w:rsidRPr="002544B9">
        <w:rPr>
          <w:rFonts w:asciiTheme="minorEastAsia" w:hAnsiTheme="minorEastAsia" w:cs="Times New Roman" w:hint="eastAsia"/>
          <w:bCs/>
          <w:sz w:val="24"/>
          <w:szCs w:val="24"/>
        </w:rPr>
        <w:t>允许投资</w:t>
      </w:r>
      <w:r w:rsidRPr="002544B9">
        <w:rPr>
          <w:rFonts w:asciiTheme="minorEastAsia" w:hAnsiTheme="minorEastAsia" w:cs="Times New Roman" w:hint="eastAsia"/>
          <w:bCs/>
          <w:sz w:val="24"/>
          <w:szCs w:val="24"/>
        </w:rPr>
        <w:t>的股票）、</w:t>
      </w:r>
      <w:r w:rsidR="00A97E08" w:rsidRPr="002544B9">
        <w:rPr>
          <w:rFonts w:asciiTheme="minorEastAsia" w:hAnsiTheme="minorEastAsia" w:cs="Times New Roman" w:hint="eastAsia"/>
          <w:bCs/>
          <w:sz w:val="24"/>
          <w:szCs w:val="24"/>
        </w:rPr>
        <w:t>存托凭证、</w:t>
      </w:r>
      <w:r w:rsidRPr="002544B9">
        <w:rPr>
          <w:rFonts w:asciiTheme="minorEastAsia" w:hAnsiTheme="minorEastAsia" w:cs="Times New Roman" w:hint="eastAsia"/>
          <w:bCs/>
          <w:sz w:val="24"/>
          <w:szCs w:val="24"/>
        </w:rPr>
        <w:t>债券（包括国债、央行票据、金融债券、企业债券、公司债券、中期票据、短期融资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、超短期融资</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Times New Roman"/>
          <w:bCs/>
          <w:sz w:val="24"/>
          <w:szCs w:val="24"/>
        </w:rPr>
        <w:t>(但须符合中国证监会相关规定)。</w:t>
      </w:r>
    </w:p>
    <w:p w14:paraId="28EA862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本基金将根据法律法规的规定参与融资业务。在未来条件许可的情况下，本基金可根据相关法律法规，在履行适当程序后，参与融券业务和转融通证券出借业务。</w:t>
      </w:r>
    </w:p>
    <w:p w14:paraId="4829DD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如果法律法规或监管机构以后允许基金投资其他品种，基金管理人在履行适当程序后，可以将其纳入投资范围。</w:t>
      </w:r>
    </w:p>
    <w:p w14:paraId="092F4544" w14:textId="160ACA7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本基金的投资组合比例为：股票资产占基金资产的比例为</w:t>
      </w:r>
      <w:r w:rsidRPr="002544B9">
        <w:rPr>
          <w:rFonts w:asciiTheme="minorEastAsia" w:hAnsiTheme="minorEastAsia" w:cs="Times New Roman"/>
          <w:bCs/>
          <w:sz w:val="24"/>
          <w:szCs w:val="24"/>
        </w:rPr>
        <w:t>60%-95%。每个交易日日终在扣除股指期货、国债期货、股票期权合约需缴纳的</w:t>
      </w:r>
      <w:r w:rsidR="00DD41DA" w:rsidRPr="002544B9">
        <w:rPr>
          <w:rFonts w:asciiTheme="minorEastAsia" w:hAnsiTheme="minorEastAsia" w:cs="Times New Roman" w:hint="eastAsia"/>
          <w:bCs/>
          <w:sz w:val="24"/>
          <w:szCs w:val="24"/>
        </w:rPr>
        <w:t>交易</w:t>
      </w:r>
      <w:r w:rsidRPr="002544B9">
        <w:rPr>
          <w:rFonts w:asciiTheme="minorEastAsia" w:hAnsiTheme="minorEastAsia" w:cs="Times New Roman" w:hint="eastAsia"/>
          <w:bCs/>
          <w:sz w:val="24"/>
          <w:szCs w:val="24"/>
        </w:rPr>
        <w:t>保证金以后，基金保留的现金或投资于到期日在一年以内的政府债券的比例合计不低于基金资产净值的</w:t>
      </w:r>
      <w:r w:rsidRPr="002544B9">
        <w:rPr>
          <w:rFonts w:asciiTheme="minorEastAsia" w:hAnsiTheme="minorEastAsia" w:cs="Times New Roman"/>
          <w:bCs/>
          <w:sz w:val="24"/>
          <w:szCs w:val="24"/>
        </w:rPr>
        <w:t>5%，本基金所指的现金不包括结算备付金、存出保证金、应收申购款等。股指期货、国债期货、股票期权及其他金融工具的投资比例依照法律法规或监管机构的规定执行。</w:t>
      </w:r>
    </w:p>
    <w:p w14:paraId="7580E6DD"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如果法律法规或中国证监会变更投资品种的投资比例限制，基金管理人在履行适当程序后，可以调整上述投资品种的投资比例。</w:t>
      </w:r>
    </w:p>
    <w:p w14:paraId="6D25B01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三、投资策略</w:t>
      </w:r>
      <w:r w:rsidRPr="002544B9">
        <w:rPr>
          <w:rFonts w:asciiTheme="minorEastAsia" w:hAnsiTheme="minorEastAsia" w:cs="Times New Roman"/>
          <w:b/>
          <w:bCs/>
          <w:sz w:val="24"/>
          <w:szCs w:val="24"/>
        </w:rPr>
        <w:t xml:space="preserve"> </w:t>
      </w:r>
    </w:p>
    <w:p w14:paraId="601138B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1、大类资产配置</w:t>
      </w:r>
    </w:p>
    <w:p w14:paraId="0FB8AFC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资产配置上采取相对稳健的策略，采取“自上而下”的方式进行大类资产配置，根据对宏观经济、市场面、政策面等因素进行定量与定性相结合的分析研究，根据各类资产不同的预期风险收益比来确定组合中股票、债券、货币市场工具及其他金融工具的比例。</w:t>
      </w:r>
    </w:p>
    <w:p w14:paraId="3B3B1D3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2、股票投资策略</w:t>
      </w:r>
    </w:p>
    <w:p w14:paraId="65DD61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1）行业配置策略</w:t>
      </w:r>
    </w:p>
    <w:p w14:paraId="78EDDD9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本基金将通过分析以下因素，对各行业的投资价值进行综合评估，从而确定并动态调整行业配置比例。</w:t>
      </w:r>
    </w:p>
    <w:p w14:paraId="585AE6C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1）行业景气度</w:t>
      </w:r>
    </w:p>
    <w:p w14:paraId="325398E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本基金将密切关注国家相关产业政策、规划动态，并结合行业数据持续跟踪、上下游产业</w:t>
      </w:r>
      <w:proofErr w:type="gramStart"/>
      <w:r w:rsidRPr="002544B9">
        <w:rPr>
          <w:rFonts w:asciiTheme="minorEastAsia" w:hAnsiTheme="minorEastAsia" w:cs="Times New Roman" w:hint="eastAsia"/>
          <w:bCs/>
          <w:sz w:val="24"/>
          <w:szCs w:val="24"/>
        </w:rPr>
        <w:t>链深入</w:t>
      </w:r>
      <w:proofErr w:type="gramEnd"/>
      <w:r w:rsidRPr="002544B9">
        <w:rPr>
          <w:rFonts w:asciiTheme="minorEastAsia" w:hAnsiTheme="minorEastAsia" w:cs="Times New Roman" w:hint="eastAsia"/>
          <w:bCs/>
          <w:sz w:val="24"/>
          <w:szCs w:val="24"/>
        </w:rPr>
        <w:t>进行调研等方法，根据相关行业盈利水平的横向与纵向比较，适时对各行业景气度周期与行业未来盈利趋势进行</w:t>
      </w:r>
      <w:proofErr w:type="gramStart"/>
      <w:r w:rsidRPr="002544B9">
        <w:rPr>
          <w:rFonts w:asciiTheme="minorEastAsia" w:hAnsiTheme="minorEastAsia" w:cs="Times New Roman" w:hint="eastAsia"/>
          <w:bCs/>
          <w:sz w:val="24"/>
          <w:szCs w:val="24"/>
        </w:rPr>
        <w:t>研</w:t>
      </w:r>
      <w:proofErr w:type="gramEnd"/>
      <w:r w:rsidRPr="002544B9">
        <w:rPr>
          <w:rFonts w:asciiTheme="minorEastAsia" w:hAnsiTheme="minorEastAsia" w:cs="Times New Roman" w:hint="eastAsia"/>
          <w:bCs/>
          <w:sz w:val="24"/>
          <w:szCs w:val="24"/>
        </w:rPr>
        <w:t>判，重点投资于景气度较高且具有可持续性的行业。</w:t>
      </w:r>
    </w:p>
    <w:p w14:paraId="4C1D125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2）行业竞争格局</w:t>
      </w:r>
    </w:p>
    <w:p w14:paraId="125526D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本基金主要通过密切跟踪行业进入者的数量、行业内各公司的竞争策略及各公司产品或服务的市场份额来判断公司所处行业竞争格局的变化，重点投资于行业竞争格局良好的行业。</w:t>
      </w:r>
    </w:p>
    <w:p w14:paraId="67C0B9E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2）个股投资策略</w:t>
      </w:r>
    </w:p>
    <w:p w14:paraId="67A9006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本基金在积极进行行业配置的基础上，通过定量筛选和定性分析相结合的方式来分析和选择具有良好风险收益比的品种。</w:t>
      </w:r>
    </w:p>
    <w:p w14:paraId="59804FD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首先根据定量指标进行初选，主要依据盈利能力（净资产收益率、销售毛利率、销售净利率、</w:t>
      </w:r>
      <w:r w:rsidRPr="002544B9">
        <w:rPr>
          <w:rFonts w:asciiTheme="minorEastAsia" w:hAnsiTheme="minorEastAsia" w:cs="Times New Roman"/>
          <w:bCs/>
          <w:sz w:val="24"/>
          <w:szCs w:val="24"/>
        </w:rPr>
        <w:t>EBITDA/主营业务收入等）、成长性（主营业务收入增长率、营业利润增长率、净利润增长率、销售毛利率增长率、每股收益增长率等）、现金流状况（经营活动现金净流量、现金购销比率、营业现金回笼率等）、偿债能力（资产负债率、利息保障倍数、流动比率、速动比率等）、营运能力（应收账款周转率、存货周转率、总资产周转率、固定资产周转率等）等。主要参考以下定量指标：</w:t>
      </w:r>
    </w:p>
    <w:p w14:paraId="2A83092D"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①公司主营业务收入在未来一段时间的变化趋势，例如主营业务收入增速超越所在行业平均增速；</w:t>
      </w:r>
    </w:p>
    <w:p w14:paraId="0003CDA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②公司扣除非经常性损益后的净利润在未来一段时间的变化趋势，例如</w:t>
      </w:r>
      <w:proofErr w:type="gramStart"/>
      <w:r w:rsidRPr="002544B9">
        <w:rPr>
          <w:rFonts w:asciiTheme="minorEastAsia" w:hAnsiTheme="minorEastAsia" w:cs="Times New Roman" w:hint="eastAsia"/>
          <w:bCs/>
          <w:sz w:val="24"/>
          <w:szCs w:val="24"/>
        </w:rPr>
        <w:t>扣非净</w:t>
      </w:r>
      <w:proofErr w:type="gramEnd"/>
      <w:r w:rsidRPr="002544B9">
        <w:rPr>
          <w:rFonts w:asciiTheme="minorEastAsia" w:hAnsiTheme="minorEastAsia" w:cs="Times New Roman" w:hint="eastAsia"/>
          <w:bCs/>
          <w:sz w:val="24"/>
          <w:szCs w:val="24"/>
        </w:rPr>
        <w:t>利润增速超越所在行业平均增速；</w:t>
      </w:r>
    </w:p>
    <w:p w14:paraId="2CF646E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③公司盈利能力在未来一段时间的变化趋势，例如盈利能力位于行业所在排名前</w:t>
      </w:r>
      <w:r w:rsidRPr="002544B9">
        <w:rPr>
          <w:rFonts w:asciiTheme="minorEastAsia" w:hAnsiTheme="minorEastAsia" w:cs="Times New Roman"/>
          <w:bCs/>
          <w:sz w:val="24"/>
          <w:szCs w:val="24"/>
        </w:rPr>
        <w:t>50%，盈利能力定量指标包括净资产收益率（ROE），投资资本回报（ROIC）等。</w:t>
      </w:r>
    </w:p>
    <w:p w14:paraId="7F0A0831"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定量初选的基础上，定性方面首先考虑公司管理层的诚实与勤勉，是否已经证明了其领导能力和执行能力，公司的企业文化是否有正确的价值导向；公司的发展布局和战略的合理性和可行性；公司的竞争优势是否随着产业发展而逐步加强。</w:t>
      </w:r>
    </w:p>
    <w:p w14:paraId="3EE94164"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基金经理结合定量和定性研究以及实地调研，筛选出行业增长空间广阔、业务布局合理、基本面健康的优秀公司作为本基金的核心投资标的，根据个股的风险收益比选择投资的时机。</w:t>
      </w:r>
    </w:p>
    <w:p w14:paraId="157E65A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在构建组合过程中，坚持风格均衡、个股适度、逆向投资和控制回撤。对于行业构成和个股风险收益比进行持续的权衡和优化，在确保组合在风险可控的前提下，获取稳健收益。</w:t>
      </w:r>
    </w:p>
    <w:p w14:paraId="2D0FA19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3、存托凭证投资策略</w:t>
      </w:r>
    </w:p>
    <w:p w14:paraId="14971AE1" w14:textId="77777777" w:rsidR="005A72F9" w:rsidRPr="002544B9" w:rsidRDefault="00DD41DA" w:rsidP="00D37326">
      <w:pPr>
        <w:spacing w:line="360" w:lineRule="auto"/>
        <w:ind w:firstLineChars="200" w:firstLine="480"/>
        <w:rPr>
          <w:bCs/>
          <w:sz w:val="24"/>
        </w:rPr>
      </w:pPr>
      <w:r w:rsidRPr="002544B9">
        <w:rPr>
          <w:rFonts w:hint="eastAsia"/>
          <w:bCs/>
          <w:sz w:val="24"/>
        </w:rPr>
        <w:t>本基金将在控制风险的前提下，依照基金投资目标和股票投资策略，基于对基础证券投资价值的深入研究和判断，通过定性分析和定量分析相结合的方式，精选出具有比较优势的存托凭证。</w:t>
      </w:r>
    </w:p>
    <w:p w14:paraId="2A67AEF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4、债券投资策略</w:t>
      </w:r>
    </w:p>
    <w:p w14:paraId="66AF33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1）资产配置策略</w:t>
      </w:r>
    </w:p>
    <w:p w14:paraId="6A531CA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通过对宏观经济运行情况、国家货币及财政政策、资本市场资金环境等重要因素的研究和预测，结合投资时钟理论并利用公司研究开发的多因子模型等数量工具，优化基金资产在利率债、信用债以及货币市场工具等各类固定收益类金融工具之间的配置比例。</w:t>
      </w:r>
    </w:p>
    <w:p w14:paraId="117F1BA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2）利率类品种投资策略</w:t>
      </w:r>
    </w:p>
    <w:p w14:paraId="54544EC6"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对国债等利率品种的投资，是在对国内外宏观经济运行状况及政策环境等进行分析和预测基础上，研究利率期限结构变化趋势和债券市场供求关系变化趋势，深入分析利率品种的收益和风险，预测调整债券组合的平均久期，并通过运用统计和数量分析技术，选择合适的期限结构的配置策略。在合理控制风险的前提下，综合考虑组合的流动性，决定投资品种。</w:t>
      </w:r>
    </w:p>
    <w:p w14:paraId="415EE6D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3）信用债投资策略</w:t>
      </w:r>
    </w:p>
    <w:p w14:paraId="70CB5318"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在深入的宏观研究基础上，综合分析各类信用债发行主体所处行业环境、发行人所处的市场地位、财务状况、管理水平等因素后，结合具体发行契约，对债券进行信用评级。在此基础上，建立信用类债券池，积极发掘信用利差具有相对投资机会的</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进行投资。</w:t>
      </w:r>
    </w:p>
    <w:p w14:paraId="433FC35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4）可转换债券投资策略</w:t>
      </w:r>
    </w:p>
    <w:p w14:paraId="0036CC8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可转换债券兼具权益类证券与固定收益类证券的特性，具有抵御下行风险、分享股票价格上涨收益的特点。本基金在对可转换公司债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条款和发行债券公司基本面进行深入分析研究的基础上，综合考虑可转换债券</w:t>
      </w:r>
      <w:proofErr w:type="gramStart"/>
      <w:r w:rsidRPr="002544B9">
        <w:rPr>
          <w:rFonts w:asciiTheme="minorEastAsia" w:hAnsiTheme="minorEastAsia" w:cs="Times New Roman" w:hint="eastAsia"/>
          <w:bCs/>
          <w:sz w:val="24"/>
          <w:szCs w:val="24"/>
        </w:rPr>
        <w:t>的债性和</w:t>
      </w:r>
      <w:proofErr w:type="gramEnd"/>
      <w:r w:rsidRPr="002544B9">
        <w:rPr>
          <w:rFonts w:asciiTheme="minorEastAsia" w:hAnsiTheme="minorEastAsia" w:cs="Times New Roman" w:hint="eastAsia"/>
          <w:bCs/>
          <w:sz w:val="24"/>
          <w:szCs w:val="24"/>
        </w:rPr>
        <w:t>股性，利用可转换公司债</w:t>
      </w:r>
      <w:proofErr w:type="gramStart"/>
      <w:r w:rsidRPr="002544B9">
        <w:rPr>
          <w:rFonts w:asciiTheme="minorEastAsia" w:hAnsiTheme="minorEastAsia" w:cs="Times New Roman" w:hint="eastAsia"/>
          <w:bCs/>
          <w:sz w:val="24"/>
          <w:szCs w:val="24"/>
        </w:rPr>
        <w:t>券</w:t>
      </w:r>
      <w:proofErr w:type="gramEnd"/>
      <w:r w:rsidRPr="002544B9">
        <w:rPr>
          <w:rFonts w:asciiTheme="minorEastAsia" w:hAnsiTheme="minorEastAsia" w:cs="Times New Roman" w:hint="eastAsia"/>
          <w:bCs/>
          <w:sz w:val="24"/>
          <w:szCs w:val="24"/>
        </w:rPr>
        <w:t>定价模型进行估值分析，并最终选择合适的投资品种。</w:t>
      </w:r>
    </w:p>
    <w:p w14:paraId="51516003"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5、资产支持证券投资策略</w:t>
      </w:r>
    </w:p>
    <w:p w14:paraId="39DD2E6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本基金投资资产支持证券将综合</w:t>
      </w:r>
      <w:proofErr w:type="gramStart"/>
      <w:r w:rsidRPr="002544B9">
        <w:rPr>
          <w:rFonts w:asciiTheme="minorEastAsia" w:hAnsiTheme="minorEastAsia" w:cs="Times New Roman" w:hint="eastAsia"/>
          <w:bCs/>
          <w:sz w:val="24"/>
          <w:szCs w:val="24"/>
        </w:rPr>
        <w:t>运用久期管理</w:t>
      </w:r>
      <w:proofErr w:type="gramEnd"/>
      <w:r w:rsidRPr="002544B9">
        <w:rPr>
          <w:rFonts w:asciiTheme="minorEastAsia" w:hAnsiTheme="minorEastAsia" w:cs="Times New Roman" w:hint="eastAsia"/>
          <w:bCs/>
          <w:sz w:val="24"/>
          <w:szCs w:val="24"/>
        </w:rPr>
        <w:t>、收益率曲线、</w:t>
      </w:r>
      <w:proofErr w:type="gramStart"/>
      <w:r w:rsidRPr="002544B9">
        <w:rPr>
          <w:rFonts w:asciiTheme="minorEastAsia" w:hAnsiTheme="minorEastAsia" w:cs="Times New Roman" w:hint="eastAsia"/>
          <w:bCs/>
          <w:sz w:val="24"/>
          <w:szCs w:val="24"/>
        </w:rPr>
        <w:t>个券</w:t>
      </w:r>
      <w:proofErr w:type="gramEnd"/>
      <w:r w:rsidRPr="002544B9">
        <w:rPr>
          <w:rFonts w:asciiTheme="minorEastAsia" w:hAnsiTheme="minorEastAsia" w:cs="Times New Roman" w:hint="eastAsia"/>
          <w:bCs/>
          <w:sz w:val="24"/>
          <w:szCs w:val="24"/>
        </w:rPr>
        <w:t>选择和把握市场交易机会等积极策略，在严格遵守法律法规和基金合同基础上，通过信用研究和流动性管理，选择经风险调整后相对价值较高的品种进行投资，以期获得长期稳定收益。</w:t>
      </w:r>
    </w:p>
    <w:p w14:paraId="754B03EE"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6、衍生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策略</w:t>
      </w:r>
    </w:p>
    <w:p w14:paraId="59E2B6B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本基金的衍生</w:t>
      </w:r>
      <w:proofErr w:type="gramStart"/>
      <w:r w:rsidRPr="002544B9">
        <w:rPr>
          <w:rFonts w:asciiTheme="minorEastAsia" w:hAnsiTheme="minorEastAsia" w:cs="Times New Roman" w:hint="eastAsia"/>
          <w:bCs/>
          <w:sz w:val="24"/>
          <w:szCs w:val="24"/>
        </w:rPr>
        <w:t>品投资</w:t>
      </w:r>
      <w:proofErr w:type="gramEnd"/>
      <w:r w:rsidRPr="002544B9">
        <w:rPr>
          <w:rFonts w:asciiTheme="minorEastAsia" w:hAnsiTheme="minorEastAsia" w:cs="Times New Roman" w:hint="eastAsia"/>
          <w:bCs/>
          <w:sz w:val="24"/>
          <w:szCs w:val="24"/>
        </w:rPr>
        <w:t>将严格遵守中国证监会及相关法律法规的约束，合理利用股指期货、国债期货、股票期权等衍生工具，将根据风险管理的原则，主要选择流动性好、交易活跃的股指期货、国债期货、股票期权合约进行交易，以对冲投资组合的风险、有效管理现金流量或降低建仓</w:t>
      </w:r>
      <w:proofErr w:type="gramStart"/>
      <w:r w:rsidRPr="002544B9">
        <w:rPr>
          <w:rFonts w:asciiTheme="minorEastAsia" w:hAnsiTheme="minorEastAsia" w:cs="Times New Roman" w:hint="eastAsia"/>
          <w:bCs/>
          <w:sz w:val="24"/>
          <w:szCs w:val="24"/>
        </w:rPr>
        <w:t>或调仓过程</w:t>
      </w:r>
      <w:proofErr w:type="gramEnd"/>
      <w:r w:rsidRPr="002544B9">
        <w:rPr>
          <w:rFonts w:asciiTheme="minorEastAsia" w:hAnsiTheme="minorEastAsia" w:cs="Times New Roman" w:hint="eastAsia"/>
          <w:bCs/>
          <w:sz w:val="24"/>
          <w:szCs w:val="24"/>
        </w:rPr>
        <w:t>中的冲击成本等。</w:t>
      </w:r>
    </w:p>
    <w:p w14:paraId="6988BB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1）股指期货投资策略</w:t>
      </w:r>
    </w:p>
    <w:p w14:paraId="3D89992F"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股指期货投资将根据风险管理的原则，以套期保值为目的。本基金将在风险可控的前提下，本着谨慎原则，参与股指期货的投资，以管理投资组合的系统性风险，改善组合的风险收益特性。套期保值将主要采用流动性好、交易活跃的期货合约。本基金在进行股指期货投资时，将通过对证券市场和期货市场运行趋势的研究，并结合股指期货的定价模型寻求其合理的估值水平。</w:t>
      </w:r>
    </w:p>
    <w:p w14:paraId="62C68035"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基金管理人针对股指期货交易制订严格的授权管理制度和投资决策流程，确保研究分析、投资决策、交易执行及风险控制各环节的独立运作，并明确相关岗位职责。</w:t>
      </w:r>
    </w:p>
    <w:p w14:paraId="74314CD0"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2）国债期货投资策略</w:t>
      </w:r>
    </w:p>
    <w:p w14:paraId="225CC66B"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本基金参与国债期货投资将根据风险管理的原则，以套期保值为目的。本基金将在风险可控的前提下，本着谨慎原则，参与国债期货的投资，以管理投资组合的系统性风险，改善组合的风险收益特性。</w:t>
      </w:r>
    </w:p>
    <w:p w14:paraId="5C34BE47"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基金管理人针对国债期货交易制订严格的授权管理制度和投资决策流程，确保研究分析、投资决策、交易执行及风险控制各环节的独立运作，并明确相关岗位职责。</w:t>
      </w:r>
    </w:p>
    <w:p w14:paraId="6E74879A"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3）股票期权投资策略</w:t>
      </w:r>
    </w:p>
    <w:p w14:paraId="078308AC"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将按照风险管理的原则，以套期保值为主要目的，参与股票期权的投资。本基金将在有效控制风险的前提下，选择流动性好、交易活跃的股票期权合约进行投资。本基金将基于对证券市场的预判，并结合股票期权定价模型，选择估值合理的股票期权合约进行投资。</w:t>
      </w:r>
    </w:p>
    <w:p w14:paraId="48F06D59"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基金管理人将针对股票期权交易制订严格的授权管理制度和投资决策流程，确保投资、</w:t>
      </w:r>
      <w:proofErr w:type="gramStart"/>
      <w:r w:rsidRPr="002544B9">
        <w:rPr>
          <w:rFonts w:asciiTheme="minorEastAsia" w:hAnsiTheme="minorEastAsia" w:cs="Times New Roman" w:hint="eastAsia"/>
          <w:bCs/>
          <w:sz w:val="24"/>
          <w:szCs w:val="24"/>
        </w:rPr>
        <w:t>风控等</w:t>
      </w:r>
      <w:proofErr w:type="gramEnd"/>
      <w:r w:rsidRPr="002544B9">
        <w:rPr>
          <w:rFonts w:asciiTheme="minorEastAsia" w:hAnsiTheme="minorEastAsia" w:cs="Times New Roman" w:hint="eastAsia"/>
          <w:bCs/>
          <w:sz w:val="24"/>
          <w:szCs w:val="24"/>
        </w:rPr>
        <w:t>核心岗位人员具备股票期权业务知识和相应的专业能力，严格防范股票期权投资的风险。</w:t>
      </w:r>
    </w:p>
    <w:p w14:paraId="4A9FD862" w14:textId="77777777"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7、参与融资业务投资策略</w:t>
      </w:r>
    </w:p>
    <w:p w14:paraId="69872EA9" w14:textId="713CF466" w:rsidR="00D37326" w:rsidRPr="002544B9" w:rsidRDefault="00D37326" w:rsidP="00D37326">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本基金在参与融资时将根据风险管理的原则，在法律法规允许的范围和比例内、风险可控的前提下，本着谨慎原则，参与融资业务。</w:t>
      </w:r>
    </w:p>
    <w:p w14:paraId="75E73326"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四、投资限制</w:t>
      </w:r>
    </w:p>
    <w:p w14:paraId="41A2392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1、组合限制</w:t>
      </w:r>
    </w:p>
    <w:p w14:paraId="0777933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基金的投资组合应遵循以下限制：</w:t>
      </w:r>
    </w:p>
    <w:p w14:paraId="11577D19" w14:textId="6AEB95D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1）股票资产占基金资产的比例为60%-95%；</w:t>
      </w:r>
    </w:p>
    <w:p w14:paraId="6466F2E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5C82A64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3）本基金持有一家公司发行的证券，其市值不超过基金资产净值的10％；</w:t>
      </w:r>
    </w:p>
    <w:p w14:paraId="1B31910A"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4）本基金管理人管理的全部基金持有一家公司发行的证券，不超过该证券的10％；</w:t>
      </w:r>
    </w:p>
    <w:p w14:paraId="5795FCA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5）本基金投资于同一原始权益人的各类资产支持证券的比例，不得超过基金资产净值的10%；</w:t>
      </w:r>
    </w:p>
    <w:p w14:paraId="300A929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6）本基金持有的全部资产支持证券，其市值不得超过基金资产净值的20%；</w:t>
      </w:r>
    </w:p>
    <w:p w14:paraId="20A5C73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7）本基金持有的同一(指同一信用级别)资产支持证券的比例，不得超过该资产支持证券规模的10%；</w:t>
      </w:r>
    </w:p>
    <w:p w14:paraId="12D7D96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8）本基金管理人管理的全部证券投资基金投资于同一原始权益人的各类资产支持证券，不得超过其各类资产支持证券合计规模的10%；</w:t>
      </w:r>
    </w:p>
    <w:p w14:paraId="7DBC112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32EA92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10）基金财产参与股票发行申购，本基金所申报的金额不超过本基金的总资产，本基金所申报的股票数量不超过拟发行股票公司本次发行股票的总量；</w:t>
      </w:r>
    </w:p>
    <w:p w14:paraId="6BFAA5E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11）本基金进入全国银行间同业市场进行债券回购的资金余额不得超过基金资产净值的40%；本基金在全国银行间同业市场的债券回购最长期限为1年，债券回购到期后不得展期；</w:t>
      </w:r>
    </w:p>
    <w:p w14:paraId="09BB6F4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12）本基金参与股指期货、国债期货交易依据下列标准建构组合：</w:t>
      </w:r>
    </w:p>
    <w:p w14:paraId="76A8C0E5"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在任何交易日日终，持有的买入国债期货和股指期货合约价值与有价证券市值之和不得超过基金资产净值的95%，其中，有价证券指股票、债券（不含到期日在一年以内的政府债券）、资产支持证券、买入返售金融资产（不含质押式回购）等；</w:t>
      </w:r>
    </w:p>
    <w:p w14:paraId="42FD03AF"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2）在任何交易日日终，持有的买入股指期货合约价值，不得超过基金资产净值的10%；在任何交易日日终，持有的买入国债期货合约价值，不得超过基金资产净值的15%；</w:t>
      </w:r>
    </w:p>
    <w:p w14:paraId="7F83190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3）在任何交易日日终，持有的卖出股指期货合约价值不得超过基金持有的股票总市值的20%；在任何交易日日终，持有的卖出国债期货合约价值不得超过基金持有的债券总市值的30%；</w:t>
      </w:r>
    </w:p>
    <w:p w14:paraId="6364142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67257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5）本基金在任何交易日内交易（不包括平仓）的股指期货合约的成交金额不得超过上一交易日基金资产净值的20%；本基金在任何交易日内交易（不包括平仓）</w:t>
      </w:r>
      <w:r w:rsidRPr="002544B9">
        <w:rPr>
          <w:rFonts w:asciiTheme="minorEastAsia" w:hAnsiTheme="minorEastAsia" w:cs="Times New Roman" w:hint="eastAsia"/>
          <w:bCs/>
          <w:sz w:val="24"/>
          <w:szCs w:val="24"/>
        </w:rPr>
        <w:t>的国债期货合约的成交金额不得超过上一交易日基金资产净值的</w:t>
      </w:r>
      <w:r w:rsidRPr="002544B9">
        <w:rPr>
          <w:rFonts w:asciiTheme="minorEastAsia" w:hAnsiTheme="minorEastAsia" w:cs="Times New Roman"/>
          <w:bCs/>
          <w:sz w:val="24"/>
          <w:szCs w:val="24"/>
        </w:rPr>
        <w:t>30%；</w:t>
      </w:r>
    </w:p>
    <w:p w14:paraId="3D1530A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70F767A1" w14:textId="466389AC"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14）基金资产</w:t>
      </w:r>
      <w:r w:rsidR="00DD41DA" w:rsidRPr="002544B9">
        <w:rPr>
          <w:rFonts w:asciiTheme="minorEastAsia" w:hAnsiTheme="minorEastAsia" w:cs="Times New Roman" w:hint="eastAsia"/>
          <w:bCs/>
          <w:sz w:val="24"/>
          <w:szCs w:val="24"/>
        </w:rPr>
        <w:t>总值</w:t>
      </w:r>
      <w:r w:rsidRPr="002544B9">
        <w:rPr>
          <w:rFonts w:asciiTheme="minorEastAsia" w:hAnsiTheme="minorEastAsia" w:cs="Times New Roman" w:hint="eastAsia"/>
          <w:bCs/>
          <w:sz w:val="24"/>
          <w:szCs w:val="24"/>
        </w:rPr>
        <w:t>不得超过基金资产</w:t>
      </w:r>
      <w:r w:rsidR="00DD41DA" w:rsidRPr="002544B9">
        <w:rPr>
          <w:rFonts w:asciiTheme="minorEastAsia" w:hAnsiTheme="minorEastAsia" w:cs="Times New Roman" w:hint="eastAsia"/>
          <w:bCs/>
          <w:sz w:val="24"/>
          <w:szCs w:val="24"/>
        </w:rPr>
        <w:t>净值</w:t>
      </w:r>
      <w:r w:rsidRPr="002544B9">
        <w:rPr>
          <w:rFonts w:asciiTheme="minorEastAsia" w:hAnsiTheme="minorEastAsia" w:cs="Times New Roman" w:hint="eastAsia"/>
          <w:bCs/>
          <w:sz w:val="24"/>
          <w:szCs w:val="24"/>
        </w:rPr>
        <w:t>的</w:t>
      </w:r>
      <w:r w:rsidRPr="002544B9">
        <w:rPr>
          <w:rFonts w:asciiTheme="minorEastAsia" w:hAnsiTheme="minorEastAsia" w:cs="Times New Roman"/>
          <w:bCs/>
          <w:sz w:val="24"/>
          <w:szCs w:val="24"/>
        </w:rPr>
        <w:t>140%；</w:t>
      </w:r>
    </w:p>
    <w:p w14:paraId="5E4F6ED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285C28C4" w14:textId="0A7A8A09"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16）本基金主动投资于流动性受限资产的市值合计不得超过</w:t>
      </w:r>
      <w:r w:rsidR="006018E5" w:rsidRPr="002544B9">
        <w:rPr>
          <w:rFonts w:asciiTheme="minorEastAsia" w:hAnsiTheme="minorEastAsia" w:cs="Times New Roman" w:hint="eastAsia"/>
          <w:bCs/>
          <w:sz w:val="24"/>
          <w:szCs w:val="24"/>
        </w:rPr>
        <w:t>基金</w:t>
      </w:r>
      <w:r w:rsidRPr="002544B9">
        <w:rPr>
          <w:rFonts w:asciiTheme="minorEastAsia" w:hAnsiTheme="minorEastAsia" w:cs="Times New Roman" w:hint="eastAsia"/>
          <w:bCs/>
          <w:sz w:val="24"/>
          <w:szCs w:val="24"/>
        </w:rPr>
        <w:t>资产净值的</w:t>
      </w:r>
      <w:r w:rsidRPr="002544B9">
        <w:rPr>
          <w:rFonts w:asciiTheme="minorEastAsia" w:hAnsiTheme="minorEastAsia" w:cs="Times New Roman"/>
          <w:bCs/>
          <w:sz w:val="24"/>
          <w:szCs w:val="24"/>
        </w:rPr>
        <w:t>15%；</w:t>
      </w:r>
    </w:p>
    <w:p w14:paraId="7294A7F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因证券市场波动、上市公司股票停牌、基金规模变动等基金管理人之外的因素致使基金不符合前款所规定比例限制的，基金管理人不得主动新增流动性受限资产的投资；</w:t>
      </w:r>
    </w:p>
    <w:p w14:paraId="4BFB9FF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17）本基金与私募类</w:t>
      </w:r>
      <w:proofErr w:type="gramStart"/>
      <w:r w:rsidRPr="002544B9">
        <w:rPr>
          <w:rFonts w:asciiTheme="minorEastAsia" w:hAnsiTheme="minorEastAsia" w:cs="Times New Roman" w:hint="eastAsia"/>
          <w:bCs/>
          <w:sz w:val="24"/>
          <w:szCs w:val="24"/>
        </w:rPr>
        <w:t>证券资管产品</w:t>
      </w:r>
      <w:proofErr w:type="gramEnd"/>
      <w:r w:rsidRPr="002544B9">
        <w:rPr>
          <w:rFonts w:asciiTheme="minorEastAsia" w:hAnsiTheme="minorEastAsia" w:cs="Times New Roman" w:hint="eastAsia"/>
          <w:bCs/>
          <w:sz w:val="24"/>
          <w:szCs w:val="24"/>
        </w:rPr>
        <w:t>及中国证监会认定的其他主体为交易对手开展逆回购交易的，可接受质押品的资质要求应当与基金合同约定的投资范围保持一致；</w:t>
      </w:r>
    </w:p>
    <w:p w14:paraId="0F35AC3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18）本基金参与股票期权交易的，需遵守下列投资比例限制：</w:t>
      </w:r>
    </w:p>
    <w:p w14:paraId="191C84C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1）本基金因未平仓的期权合约支付和收取的权利金总额不得超过基金资产净值的10%；</w:t>
      </w:r>
    </w:p>
    <w:p w14:paraId="761DEAF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2）本基金开仓卖出认购期权的，应持有足额标的证券；开仓卖出认沽期权的，应持有合约行权所需的全额现金或交易所规则认可的可冲抵期权保证金的现金等价物；</w:t>
      </w:r>
    </w:p>
    <w:p w14:paraId="74CB82B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3）本基金未平仓的期权合约面值不得超过基金资产净值的20%。其中，合约面值按照行权价乘以合约乘数计算；</w:t>
      </w:r>
    </w:p>
    <w:p w14:paraId="7F19620C" w14:textId="4069FF96"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19</w:t>
      </w:r>
      <w:r w:rsidRPr="002544B9">
        <w:rPr>
          <w:rFonts w:asciiTheme="minorEastAsia" w:hAnsiTheme="minorEastAsia" w:cs="Times New Roman" w:hint="eastAsia"/>
          <w:bCs/>
          <w:sz w:val="24"/>
          <w:szCs w:val="24"/>
        </w:rPr>
        <w:t>）本基金投资存托凭证的比例限制依照境内上市交易的股票执行，与境内上市交易的股票合并计算；</w:t>
      </w:r>
    </w:p>
    <w:p w14:paraId="0BD35E19" w14:textId="3D7EED9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20</w:t>
      </w:r>
      <w:r w:rsidRPr="002544B9">
        <w:rPr>
          <w:rFonts w:asciiTheme="minorEastAsia" w:hAnsiTheme="minorEastAsia" w:cs="Times New Roman" w:hint="eastAsia"/>
          <w:bCs/>
          <w:sz w:val="24"/>
          <w:szCs w:val="24"/>
        </w:rPr>
        <w:t>）本基金参与融资的，每个交易日日终，本基金持有的融资买入股票与其他有价证券市值之和，不得超过基金资产净值的</w:t>
      </w:r>
      <w:r w:rsidRPr="002544B9">
        <w:rPr>
          <w:rFonts w:asciiTheme="minorEastAsia" w:hAnsiTheme="minorEastAsia" w:cs="Times New Roman"/>
          <w:bCs/>
          <w:sz w:val="24"/>
          <w:szCs w:val="24"/>
        </w:rPr>
        <w:t>95%；</w:t>
      </w:r>
    </w:p>
    <w:p w14:paraId="46CDA299" w14:textId="496D9A5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DD41DA" w:rsidRPr="002544B9">
        <w:rPr>
          <w:rFonts w:asciiTheme="minorEastAsia" w:hAnsiTheme="minorEastAsia" w:cs="Times New Roman"/>
          <w:bCs/>
          <w:sz w:val="24"/>
          <w:szCs w:val="24"/>
        </w:rPr>
        <w:t>21</w:t>
      </w:r>
      <w:r w:rsidRPr="002544B9">
        <w:rPr>
          <w:rFonts w:asciiTheme="minorEastAsia" w:hAnsiTheme="minorEastAsia" w:cs="Times New Roman" w:hint="eastAsia"/>
          <w:bCs/>
          <w:sz w:val="24"/>
          <w:szCs w:val="24"/>
        </w:rPr>
        <w:t>）法律法规及中国证监会规定的和《基金合同》约定的其他投资限制。</w:t>
      </w:r>
    </w:p>
    <w:p w14:paraId="59E3A64A" w14:textId="0CC7B9D4"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除上述第（</w:t>
      </w:r>
      <w:r w:rsidRPr="002544B9">
        <w:rPr>
          <w:rFonts w:asciiTheme="minorEastAsia" w:hAnsiTheme="minorEastAsia" w:cs="Times New Roman"/>
          <w:bCs/>
          <w:sz w:val="24"/>
          <w:szCs w:val="24"/>
        </w:rPr>
        <w:t>2）、（9）、（13）、（16）、（17）项另有约定外，因证券、期货市场波动、</w:t>
      </w:r>
      <w:r w:rsidR="00DD41DA" w:rsidRPr="002544B9">
        <w:rPr>
          <w:rFonts w:asciiTheme="minorEastAsia" w:hAnsiTheme="minorEastAsia" w:cs="Times New Roman" w:hint="eastAsia"/>
          <w:bCs/>
          <w:sz w:val="24"/>
          <w:szCs w:val="24"/>
        </w:rPr>
        <w:t>证券发行人</w:t>
      </w:r>
      <w:r w:rsidRPr="002544B9">
        <w:rPr>
          <w:rFonts w:asciiTheme="minorEastAsia" w:hAnsiTheme="minorEastAsia" w:cs="Times New Roman" w:hint="eastAsia"/>
          <w:bCs/>
          <w:sz w:val="24"/>
          <w:szCs w:val="24"/>
        </w:rPr>
        <w:t>合并、基金规模变动等基金管理人之外的因素致使基金投资比例不符合上述规定投资比例的，基金管理人应当在</w:t>
      </w:r>
      <w:r w:rsidRPr="002544B9">
        <w:rPr>
          <w:rFonts w:asciiTheme="minorEastAsia" w:hAnsiTheme="minorEastAsia" w:cs="Times New Roman"/>
          <w:bCs/>
          <w:sz w:val="24"/>
          <w:szCs w:val="24"/>
        </w:rPr>
        <w:t>10个交易日内进行调整，但中国证监会规定的特殊情形除外。</w:t>
      </w:r>
    </w:p>
    <w:p w14:paraId="0D6F558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基金管理人应当自基金合同生效之日起</w:t>
      </w:r>
      <w:r w:rsidRPr="002544B9">
        <w:rPr>
          <w:rFonts w:asciiTheme="minorEastAsia" w:hAnsiTheme="minorEastAsia" w:cs="Times New Roman"/>
          <w:bCs/>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032FE99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法律法规或监管部门取消或变更上述限制，如适用于本基金，基金管理人在履行适当程序后，则本基金投资不再受相关限制或以变更后的规定为准。</w:t>
      </w:r>
    </w:p>
    <w:p w14:paraId="60201FE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2、禁止行为</w:t>
      </w:r>
    </w:p>
    <w:p w14:paraId="4B743ADB"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为维护基金份额持有人的合法权益，基金财产不得用于下列投资或者活动：</w:t>
      </w:r>
    </w:p>
    <w:p w14:paraId="4502C9E9"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1）承销证券；</w:t>
      </w:r>
    </w:p>
    <w:p w14:paraId="1708CE2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2）违反规定向他人贷款或者提供担保；</w:t>
      </w:r>
    </w:p>
    <w:p w14:paraId="47D8A3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3）从事承担无限责任的投资；</w:t>
      </w:r>
    </w:p>
    <w:p w14:paraId="5D0CF074"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4）买卖其他基金份额，但是中国证监会另有规定的除外；</w:t>
      </w:r>
    </w:p>
    <w:p w14:paraId="54717798"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5）向基金管理人、基金托管人出资；</w:t>
      </w:r>
    </w:p>
    <w:p w14:paraId="2005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6）从事内幕交易、操纵证券交易价格及其他不正当的证券交易活动；</w:t>
      </w:r>
    </w:p>
    <w:p w14:paraId="1B81C101"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7）法律、行政法规和中国证监会规定禁止的其他活动。</w:t>
      </w:r>
    </w:p>
    <w:p w14:paraId="5BD5FEEE"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3BA1D9D0"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法律、行政法规或监管部门取消或调整上述禁止行为，如适用于本基金，基金管理人在履行适当程序后，则本基金投资按照取消或调整后的规定执行。</w:t>
      </w:r>
    </w:p>
    <w:p w14:paraId="4B2DC2E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五、业绩比较基准</w:t>
      </w:r>
    </w:p>
    <w:p w14:paraId="3599DBB3"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1、业绩比较基准</w:t>
      </w:r>
    </w:p>
    <w:p w14:paraId="285429A8" w14:textId="2E1EBC54" w:rsidR="00F03FD6" w:rsidRPr="002544B9" w:rsidRDefault="0038792B" w:rsidP="0038792B">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300指数收益率</w:t>
      </w:r>
      <w:r w:rsidR="00947662" w:rsidRPr="002544B9">
        <w:rPr>
          <w:rFonts w:asciiTheme="minorEastAsia" w:hAnsiTheme="minorEastAsia" w:cs="Times New Roman" w:hint="eastAsia"/>
          <w:bCs/>
          <w:sz w:val="24"/>
          <w:szCs w:val="24"/>
        </w:rPr>
        <w:t>×</w:t>
      </w:r>
      <w:r w:rsidR="00947662" w:rsidRPr="002544B9">
        <w:rPr>
          <w:rFonts w:asciiTheme="minorEastAsia" w:hAnsiTheme="minorEastAsia" w:cs="Times New Roman"/>
          <w:bCs/>
          <w:sz w:val="24"/>
          <w:szCs w:val="24"/>
        </w:rPr>
        <w:t>70%+中</w:t>
      </w:r>
      <w:proofErr w:type="gramStart"/>
      <w:r w:rsidR="00947662" w:rsidRPr="002544B9">
        <w:rPr>
          <w:rFonts w:asciiTheme="minorEastAsia" w:hAnsiTheme="minorEastAsia" w:cs="Times New Roman" w:hint="eastAsia"/>
          <w:bCs/>
          <w:sz w:val="24"/>
          <w:szCs w:val="24"/>
        </w:rPr>
        <w:t>债综合</w:t>
      </w:r>
      <w:proofErr w:type="gramEnd"/>
      <w:r w:rsidR="00947662" w:rsidRPr="002544B9">
        <w:rPr>
          <w:rFonts w:asciiTheme="minorEastAsia" w:hAnsiTheme="minorEastAsia" w:cs="Times New Roman" w:hint="eastAsia"/>
          <w:bCs/>
          <w:sz w:val="24"/>
          <w:szCs w:val="24"/>
        </w:rPr>
        <w:t>指数收益率×</w:t>
      </w:r>
      <w:r w:rsidR="00947662" w:rsidRPr="002544B9">
        <w:rPr>
          <w:rFonts w:asciiTheme="minorEastAsia" w:hAnsiTheme="minorEastAsia" w:cs="Times New Roman"/>
          <w:bCs/>
          <w:sz w:val="24"/>
          <w:szCs w:val="24"/>
        </w:rPr>
        <w:t>30%</w:t>
      </w:r>
    </w:p>
    <w:p w14:paraId="6A8E3113" w14:textId="3FCEDB0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2、选择业绩比较基准的理由</w:t>
      </w:r>
    </w:p>
    <w:p w14:paraId="089DC7DA" w14:textId="77777777" w:rsidR="006129D5" w:rsidRPr="002544B9" w:rsidRDefault="006129D5"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沪深</w:t>
      </w:r>
      <w:r w:rsidRPr="002544B9">
        <w:rPr>
          <w:rFonts w:asciiTheme="minorEastAsia" w:hAnsiTheme="minorEastAsia" w:cs="Times New Roman"/>
          <w:bCs/>
          <w:sz w:val="24"/>
          <w:szCs w:val="24"/>
        </w:rPr>
        <w:t xml:space="preserve">300指数是由中证指数有限公司开发的中国 A </w:t>
      </w:r>
      <w:r w:rsidRPr="002544B9">
        <w:rPr>
          <w:rFonts w:asciiTheme="minorEastAsia" w:hAnsiTheme="minorEastAsia" w:cs="Times New Roman" w:hint="eastAsia"/>
          <w:bCs/>
          <w:sz w:val="24"/>
          <w:szCs w:val="24"/>
        </w:rPr>
        <w:t>股市场指数，由上海和深圳证券市场中市值大、流动性好的</w:t>
      </w:r>
      <w:r w:rsidRPr="002544B9">
        <w:rPr>
          <w:rFonts w:asciiTheme="minorEastAsia" w:hAnsiTheme="minorEastAsia" w:cs="Times New Roman"/>
          <w:bCs/>
          <w:sz w:val="24"/>
          <w:szCs w:val="24"/>
        </w:rPr>
        <w:t>300只股票组成，综合反映中国A股市场上市股票价格的整体表现。</w:t>
      </w:r>
    </w:p>
    <w:p w14:paraId="7ABAE3EB" w14:textId="2808A986" w:rsidR="00947662" w:rsidRPr="002544B9" w:rsidRDefault="00947662" w:rsidP="006129D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中</w:t>
      </w:r>
      <w:proofErr w:type="gramStart"/>
      <w:r w:rsidRPr="002544B9">
        <w:rPr>
          <w:rFonts w:asciiTheme="minorEastAsia" w:hAnsiTheme="minorEastAsia" w:cs="Times New Roman" w:hint="eastAsia"/>
          <w:bCs/>
          <w:sz w:val="24"/>
          <w:szCs w:val="24"/>
        </w:rPr>
        <w:t>债综合</w:t>
      </w:r>
      <w:proofErr w:type="gramEnd"/>
      <w:r w:rsidRPr="002544B9">
        <w:rPr>
          <w:rFonts w:asciiTheme="minorEastAsia" w:hAnsiTheme="minorEastAsia" w:cs="Times New Roman" w:hint="eastAsia"/>
          <w:bCs/>
          <w:sz w:val="24"/>
          <w:szCs w:val="24"/>
        </w:rPr>
        <w:t>指数是由中央国债登记结算有限责任公司编制的中国全市场债券指数，是目前市场上专业、权威和稳定的，且能够较好地反映债券市场整体状况的债券指数。</w:t>
      </w:r>
    </w:p>
    <w:p w14:paraId="6EC6B9CF" w14:textId="4BB63763"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如果今后法律法规发生变化，</w:t>
      </w:r>
      <w:r w:rsidR="00DD41DA" w:rsidRPr="002544B9">
        <w:rPr>
          <w:rFonts w:hint="eastAsia"/>
          <w:bCs/>
          <w:sz w:val="24"/>
        </w:rPr>
        <w:t>或指数编制单位停止编制该指数或更改指数名称，</w:t>
      </w:r>
      <w:r w:rsidRPr="002544B9">
        <w:rPr>
          <w:rFonts w:asciiTheme="minorEastAsia" w:hAnsiTheme="minorEastAsia" w:cs="Times New Roman" w:hint="eastAsia"/>
          <w:bCs/>
          <w:sz w:val="24"/>
          <w:szCs w:val="24"/>
        </w:rPr>
        <w:t>或证券市场中有其他代表性更强或者更科学客观的业绩比较基准适用于本基金时，本基金管理人可以依据维护基金份额持有人合法权益的原则，根据实际情况对业绩比较基准进行相应调整。本基金管理人经与基金托管人协商一致，在按照监管部门要求履行适当程序后变更业绩比较基准并及时公告，而无需召开基金份额持有人大会。</w:t>
      </w:r>
    </w:p>
    <w:p w14:paraId="58D33BC0"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六、风险收益特征</w:t>
      </w:r>
    </w:p>
    <w:p w14:paraId="3AA810D6"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本基金为混合型证券投资基金，其预期风险收益水平高于债券型基金及货币市场基金，低于股票型基金。</w:t>
      </w:r>
    </w:p>
    <w:p w14:paraId="5C9AC4A5" w14:textId="77777777" w:rsidR="00947662" w:rsidRPr="002544B9" w:rsidRDefault="00947662" w:rsidP="00947662">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七、基金管理人代表基金行使股东或债权人权利的处理原则及方法</w:t>
      </w:r>
    </w:p>
    <w:p w14:paraId="3876E527"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1、基金管理人按照国家有关规定代表基金独立行使股东或债权人权利，保护基金份额持有人的利益； </w:t>
      </w:r>
    </w:p>
    <w:p w14:paraId="4441E2A2"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2、不谋求对上市公司的控股； </w:t>
      </w:r>
    </w:p>
    <w:p w14:paraId="2EA0360C" w14:textId="77777777"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 xml:space="preserve">3、有利于基金财产的安全与增值； </w:t>
      </w:r>
    </w:p>
    <w:p w14:paraId="6C3ACEE6" w14:textId="534631FD" w:rsidR="00947662" w:rsidRPr="002544B9" w:rsidRDefault="00947662" w:rsidP="00947662">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bCs/>
          <w:sz w:val="24"/>
          <w:szCs w:val="24"/>
        </w:rPr>
        <w:t>4、不通过关联交易为自身、雇员、授权代理人或任何存在利害关系的第三人牟取任何不当利益。</w:t>
      </w:r>
    </w:p>
    <w:p w14:paraId="4C4EC372" w14:textId="77777777" w:rsidR="006018E5" w:rsidRPr="002544B9" w:rsidRDefault="006018E5" w:rsidP="00D55EDF">
      <w:pPr>
        <w:spacing w:line="360" w:lineRule="auto"/>
        <w:ind w:firstLineChars="200" w:firstLine="482"/>
        <w:rPr>
          <w:rFonts w:asciiTheme="minorEastAsia" w:hAnsiTheme="minorEastAsia" w:cs="Times New Roman"/>
          <w:b/>
          <w:bCs/>
          <w:sz w:val="24"/>
          <w:szCs w:val="24"/>
        </w:rPr>
      </w:pPr>
      <w:r w:rsidRPr="002544B9">
        <w:rPr>
          <w:rFonts w:asciiTheme="minorEastAsia" w:hAnsiTheme="minorEastAsia" w:cs="Times New Roman" w:hint="eastAsia"/>
          <w:b/>
          <w:bCs/>
          <w:sz w:val="24"/>
          <w:szCs w:val="24"/>
        </w:rPr>
        <w:t>八、</w:t>
      </w:r>
      <w:proofErr w:type="gramStart"/>
      <w:r w:rsidRPr="002544B9">
        <w:rPr>
          <w:rFonts w:asciiTheme="minorEastAsia" w:hAnsiTheme="minorEastAsia" w:cs="Times New Roman" w:hint="eastAsia"/>
          <w:b/>
          <w:bCs/>
          <w:sz w:val="24"/>
          <w:szCs w:val="24"/>
        </w:rPr>
        <w:t>侧袋机制</w:t>
      </w:r>
      <w:proofErr w:type="gramEnd"/>
      <w:r w:rsidRPr="002544B9">
        <w:rPr>
          <w:rFonts w:asciiTheme="minorEastAsia" w:hAnsiTheme="minorEastAsia" w:cs="Times New Roman" w:hint="eastAsia"/>
          <w:b/>
          <w:bCs/>
          <w:sz w:val="24"/>
          <w:szCs w:val="24"/>
        </w:rPr>
        <w:t>的实施和投资运作安排</w:t>
      </w:r>
    </w:p>
    <w:p w14:paraId="04ACBD57"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r w:rsidRPr="002544B9">
        <w:rPr>
          <w:rFonts w:asciiTheme="minorEastAsia" w:hAnsiTheme="minorEastAsia" w:cs="Times New Roman" w:hint="eastAsia"/>
          <w:bCs/>
          <w:sz w:val="24"/>
          <w:szCs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Times New Roman" w:hint="eastAsia"/>
          <w:bCs/>
          <w:sz w:val="24"/>
          <w:szCs w:val="24"/>
        </w:rPr>
        <w:t>启用侧袋机制</w:t>
      </w:r>
      <w:proofErr w:type="gramEnd"/>
      <w:r w:rsidRPr="002544B9">
        <w:rPr>
          <w:rFonts w:asciiTheme="minorEastAsia" w:hAnsiTheme="minorEastAsia" w:cs="Times New Roman" w:hint="eastAsia"/>
          <w:bCs/>
          <w:sz w:val="24"/>
          <w:szCs w:val="24"/>
        </w:rPr>
        <w:t>，无需召开基金份额持有人大会审议。</w:t>
      </w:r>
    </w:p>
    <w:p w14:paraId="71E86CAC" w14:textId="77777777" w:rsidR="006018E5" w:rsidRPr="002544B9"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实施期间，本部分约定的投资组合比例、投资策略、组合限制、业绩比较基准、风险收益特征等约定仅</w:t>
      </w:r>
      <w:proofErr w:type="gramStart"/>
      <w:r w:rsidRPr="002544B9">
        <w:rPr>
          <w:rFonts w:asciiTheme="minorEastAsia" w:hAnsiTheme="minorEastAsia" w:cs="Times New Roman" w:hint="eastAsia"/>
          <w:bCs/>
          <w:sz w:val="24"/>
          <w:szCs w:val="24"/>
        </w:rPr>
        <w:t>适用于主袋账户</w:t>
      </w:r>
      <w:proofErr w:type="gramEnd"/>
      <w:r w:rsidRPr="002544B9">
        <w:rPr>
          <w:rFonts w:asciiTheme="minorEastAsia" w:hAnsiTheme="minorEastAsia" w:cs="Times New Roman" w:hint="eastAsia"/>
          <w:bCs/>
          <w:sz w:val="24"/>
          <w:szCs w:val="24"/>
        </w:rPr>
        <w:t>。</w:t>
      </w:r>
    </w:p>
    <w:p w14:paraId="26A596EE" w14:textId="374118B4" w:rsidR="006018E5" w:rsidRDefault="006018E5" w:rsidP="006018E5">
      <w:pPr>
        <w:spacing w:line="360" w:lineRule="auto"/>
        <w:ind w:firstLineChars="200" w:firstLine="480"/>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的实施条件、实施程序、运作安排、投资安排、特定资产的处置变现和支付等对投资者权益有重大影响的事项详见招募说明书“侧袋机制”</w:t>
      </w:r>
      <w:r w:rsidR="00EA255E" w:rsidRPr="002544B9">
        <w:rPr>
          <w:rFonts w:asciiTheme="minorEastAsia" w:hAnsiTheme="minorEastAsia" w:cs="Times New Roman" w:hint="eastAsia"/>
          <w:bCs/>
          <w:sz w:val="24"/>
          <w:szCs w:val="24"/>
        </w:rPr>
        <w:t>部分</w:t>
      </w:r>
      <w:r w:rsidRPr="002544B9">
        <w:rPr>
          <w:rFonts w:asciiTheme="minorEastAsia" w:hAnsiTheme="minorEastAsia" w:cs="Times New Roman" w:hint="eastAsia"/>
          <w:bCs/>
          <w:sz w:val="24"/>
          <w:szCs w:val="24"/>
        </w:rPr>
        <w:t>的规定。</w:t>
      </w:r>
    </w:p>
    <w:p w14:paraId="575D889B" w14:textId="4DDE1906" w:rsidR="00E92997" w:rsidRDefault="00E92997" w:rsidP="006018E5">
      <w:pPr>
        <w:spacing w:line="360" w:lineRule="auto"/>
        <w:ind w:firstLineChars="200" w:firstLine="482"/>
        <w:rPr>
          <w:b/>
          <w:bCs/>
          <w:sz w:val="24"/>
        </w:rPr>
      </w:pPr>
      <w:r>
        <w:rPr>
          <w:b/>
          <w:bCs/>
          <w:sz w:val="24"/>
        </w:rPr>
        <w:t>九</w:t>
      </w:r>
      <w:r>
        <w:rPr>
          <w:rFonts w:hint="eastAsia"/>
          <w:b/>
          <w:bCs/>
          <w:sz w:val="24"/>
        </w:rPr>
        <w:t>、基金投资组合报告</w:t>
      </w:r>
    </w:p>
    <w:p w14:paraId="2350117A" w14:textId="77777777"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基金管理人的董事会、董事保证本报告所载资料不存在虚假记载、误导性陈述或重大遗漏，并对其内容的真实性、准确性和完整性承担个别及连带的法律责任。</w:t>
      </w:r>
    </w:p>
    <w:p w14:paraId="51BB2F2A" w14:textId="09C540FD" w:rsidR="00E92997" w:rsidRP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基金托管人国泰君安证券股份有限公司根据本基金合同规定，</w:t>
      </w:r>
      <w:r w:rsidR="009D22CF">
        <w:rPr>
          <w:rFonts w:asciiTheme="minorEastAsia" w:hAnsiTheme="minorEastAsia" w:cs="Times New Roman" w:hint="eastAsia"/>
          <w:bCs/>
          <w:sz w:val="24"/>
          <w:szCs w:val="24"/>
        </w:rPr>
        <w:t>已</w:t>
      </w:r>
      <w:r w:rsidRPr="00E92997">
        <w:rPr>
          <w:rFonts w:asciiTheme="minorEastAsia" w:hAnsiTheme="minorEastAsia" w:cs="Times New Roman" w:hint="eastAsia"/>
          <w:bCs/>
          <w:sz w:val="24"/>
          <w:szCs w:val="24"/>
        </w:rPr>
        <w:t>复核了本报告中的财务指标、净值表现和投资组合报告等内容，保证复核内容不存在虚假记载、误导性陈述或者重大遗漏。</w:t>
      </w:r>
    </w:p>
    <w:p w14:paraId="5C72E547" w14:textId="44C11B32" w:rsidR="00E92997" w:rsidRDefault="00E92997" w:rsidP="00E92997">
      <w:pPr>
        <w:spacing w:line="360" w:lineRule="auto"/>
        <w:ind w:firstLineChars="200" w:firstLine="480"/>
        <w:rPr>
          <w:rFonts w:asciiTheme="minorEastAsia" w:hAnsiTheme="minorEastAsia" w:cs="Times New Roman"/>
          <w:bCs/>
          <w:sz w:val="24"/>
          <w:szCs w:val="24"/>
        </w:rPr>
      </w:pPr>
      <w:r w:rsidRPr="00E92997">
        <w:rPr>
          <w:rFonts w:asciiTheme="minorEastAsia" w:hAnsiTheme="minorEastAsia" w:cs="Times New Roman" w:hint="eastAsia"/>
          <w:bCs/>
          <w:sz w:val="24"/>
          <w:szCs w:val="24"/>
        </w:rPr>
        <w:t>本投资组合报告所载数据截至2022年3月31日，本报告中所列财务数据未经审计。</w:t>
      </w:r>
    </w:p>
    <w:p w14:paraId="6717FCC2" w14:textId="77777777" w:rsidR="009D22CF" w:rsidRPr="00360E55" w:rsidRDefault="009D22CF" w:rsidP="009D22CF">
      <w:pPr>
        <w:pStyle w:val="zhangjiep"/>
        <w:rPr>
          <w:rFonts w:asciiTheme="minorEastAsia" w:eastAsiaTheme="minorEastAsia" w:hAnsiTheme="minorEastAsia" w:cs="Times New Roman"/>
          <w:bCs/>
          <w:kern w:val="2"/>
        </w:rPr>
      </w:pPr>
      <w:bookmarkStart w:id="214" w:name="_Toc101354064"/>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报告期末基金资产组合情况</w:t>
      </w:r>
      <w:bookmarkEnd w:id="214"/>
    </w:p>
    <w:tbl>
      <w:tblPr>
        <w:tblW w:w="0" w:type="auto"/>
        <w:tblInd w:w="108" w:type="dxa"/>
        <w:tblLook w:val="04A0" w:firstRow="1" w:lastRow="0" w:firstColumn="1" w:lastColumn="0" w:noHBand="0" w:noVBand="1"/>
      </w:tblPr>
      <w:tblGrid>
        <w:gridCol w:w="777"/>
        <w:gridCol w:w="2815"/>
        <w:gridCol w:w="2495"/>
        <w:gridCol w:w="2572"/>
      </w:tblGrid>
      <w:tr w:rsidR="009D22CF" w14:paraId="00D03900" w14:textId="77777777" w:rsidTr="00360E55">
        <w:tc>
          <w:tcPr>
            <w:tcW w:w="1340" w:type="dxa"/>
            <w:tcBorders>
              <w:top w:val="single" w:sz="8" w:space="0" w:color="000000"/>
              <w:left w:val="single" w:sz="8" w:space="0" w:color="000000"/>
              <w:bottom w:val="single" w:sz="6" w:space="0" w:color="000000"/>
              <w:right w:val="single" w:sz="8" w:space="0" w:color="000000"/>
            </w:tcBorders>
            <w:vAlign w:val="center"/>
            <w:hideMark/>
          </w:tcPr>
          <w:p w14:paraId="1E488761" w14:textId="77777777" w:rsidR="009D22CF" w:rsidRDefault="009D22CF" w:rsidP="00360E55">
            <w:pPr>
              <w:pStyle w:val="biaogecenter"/>
              <w:wordWrap w:val="0"/>
            </w:pPr>
            <w:r>
              <w:rPr>
                <w:rFonts w:hAnsi="等线" w:hint="eastAsia"/>
                <w:color w:val="000000"/>
              </w:rPr>
              <w:t>序号</w:t>
            </w:r>
          </w:p>
        </w:tc>
        <w:tc>
          <w:tcPr>
            <w:tcW w:w="3819" w:type="dxa"/>
            <w:tcBorders>
              <w:top w:val="single" w:sz="8" w:space="0" w:color="000000"/>
              <w:left w:val="single" w:sz="8" w:space="0" w:color="000000"/>
              <w:bottom w:val="single" w:sz="6" w:space="0" w:color="000000"/>
              <w:right w:val="single" w:sz="8" w:space="0" w:color="000000"/>
            </w:tcBorders>
            <w:vAlign w:val="center"/>
            <w:hideMark/>
          </w:tcPr>
          <w:p w14:paraId="5F7E531A" w14:textId="77777777" w:rsidR="009D22CF" w:rsidRDefault="009D22CF" w:rsidP="00360E55">
            <w:pPr>
              <w:pStyle w:val="biaogecenter"/>
              <w:wordWrap w:val="0"/>
            </w:pPr>
            <w:r>
              <w:rPr>
                <w:rFonts w:hAnsi="等线" w:hint="eastAsia"/>
                <w:color w:val="000000"/>
              </w:rPr>
              <w:t>项目</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C46F580" w14:textId="77777777" w:rsidR="009D22CF" w:rsidRDefault="009D22CF" w:rsidP="00360E55">
            <w:pPr>
              <w:pStyle w:val="biaogecenter"/>
              <w:wordWrap w:val="0"/>
            </w:pPr>
            <w:r>
              <w:rPr>
                <w:rFonts w:hAnsi="等线" w:hint="eastAsia"/>
                <w:color w:val="000000"/>
              </w:rPr>
              <w:t>金额(元)</w:t>
            </w:r>
          </w:p>
        </w:tc>
        <w:tc>
          <w:tcPr>
            <w:tcW w:w="3019" w:type="dxa"/>
            <w:tcBorders>
              <w:top w:val="single" w:sz="8" w:space="0" w:color="000000"/>
              <w:left w:val="single" w:sz="8" w:space="0" w:color="000000"/>
              <w:bottom w:val="single" w:sz="6" w:space="0" w:color="000000"/>
              <w:right w:val="single" w:sz="8" w:space="0" w:color="000000"/>
            </w:tcBorders>
            <w:vAlign w:val="center"/>
            <w:hideMark/>
          </w:tcPr>
          <w:p w14:paraId="1944D5F1" w14:textId="77777777" w:rsidR="009D22CF" w:rsidRDefault="009D22CF" w:rsidP="00360E55">
            <w:pPr>
              <w:pStyle w:val="biaogecenter"/>
              <w:wordWrap w:val="0"/>
            </w:pPr>
            <w:r>
              <w:rPr>
                <w:rFonts w:hAnsi="等线" w:hint="eastAsia"/>
                <w:color w:val="000000"/>
              </w:rPr>
              <w:t>占基金总资产的比例（%）</w:t>
            </w:r>
          </w:p>
        </w:tc>
      </w:tr>
      <w:tr w:rsidR="009D22CF" w14:paraId="7FD5010D"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4F275C30" w14:textId="77777777" w:rsidR="009D22CF" w:rsidRDefault="009D22CF" w:rsidP="00360E55">
            <w:pPr>
              <w:pStyle w:val="biaogecenter"/>
              <w:wordWrap w:val="0"/>
            </w:pPr>
            <w:r>
              <w:rPr>
                <w:rFonts w:hAnsi="等线" w:hint="eastAsia"/>
                <w:color w:val="000000"/>
              </w:rPr>
              <w:t>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087734" w14:textId="77777777" w:rsidR="009D22CF" w:rsidRDefault="009D22CF" w:rsidP="00360E55">
            <w:pPr>
              <w:pStyle w:val="biaogeleft"/>
              <w:wordWrap w:val="0"/>
            </w:pPr>
            <w:r>
              <w:rPr>
                <w:rFonts w:hint="eastAsia"/>
              </w:rPr>
              <w:t>权益投资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3D1DC0F" w14:textId="77777777" w:rsidR="009D22CF" w:rsidRDefault="009D22CF" w:rsidP="00360E55">
            <w:pPr>
              <w:pStyle w:val="biaogeright"/>
              <w:wordWrap w:val="0"/>
            </w:pPr>
            <w:r>
              <w:rPr>
                <w:rFonts w:hint="eastAsia"/>
              </w:rPr>
              <w:t>144,460,934.79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F400F1" w14:textId="77777777" w:rsidR="009D22CF" w:rsidRDefault="009D22CF" w:rsidP="00360E55">
            <w:pPr>
              <w:pStyle w:val="biaogeright"/>
              <w:wordWrap w:val="0"/>
            </w:pPr>
            <w:r>
              <w:rPr>
                <w:rFonts w:hint="eastAsia"/>
              </w:rPr>
              <w:t>76.10</w:t>
            </w:r>
          </w:p>
        </w:tc>
      </w:tr>
      <w:tr w:rsidR="009D22CF" w14:paraId="23FE73CB"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29965852" w14:textId="77777777" w:rsidR="009D22CF" w:rsidRDefault="009D22CF" w:rsidP="00360E55">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7C6FA5D" w14:textId="77777777" w:rsidR="009D22CF" w:rsidRDefault="009D22CF" w:rsidP="00360E55">
            <w:pPr>
              <w:pStyle w:val="biaogeleft"/>
              <w:wordWrap w:val="0"/>
            </w:pPr>
            <w:r>
              <w:rPr>
                <w:rFonts w:hint="eastAsia"/>
              </w:rPr>
              <w:t>其中：股票</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7F7A94" w14:textId="77777777" w:rsidR="009D22CF" w:rsidRDefault="009D22CF" w:rsidP="00360E55">
            <w:pPr>
              <w:pStyle w:val="biaogeright"/>
              <w:wordWrap w:val="0"/>
            </w:pPr>
            <w:r>
              <w:rPr>
                <w:rFonts w:hint="eastAsia"/>
              </w:rPr>
              <w:t>144,460,934.79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8E73D4" w14:textId="77777777" w:rsidR="009D22CF" w:rsidRDefault="009D22CF" w:rsidP="00360E55">
            <w:pPr>
              <w:pStyle w:val="biaogeright"/>
              <w:wordWrap w:val="0"/>
            </w:pPr>
            <w:r>
              <w:rPr>
                <w:rFonts w:hint="eastAsia"/>
              </w:rPr>
              <w:t>76.10</w:t>
            </w:r>
          </w:p>
        </w:tc>
      </w:tr>
      <w:tr w:rsidR="009D22CF" w14:paraId="797488B7"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3ACFC3F" w14:textId="77777777" w:rsidR="009D22CF" w:rsidRDefault="009D22CF" w:rsidP="00360E55">
            <w:pPr>
              <w:pStyle w:val="biaogecenter"/>
              <w:wordWrap w:val="0"/>
            </w:pPr>
            <w:r>
              <w:rPr>
                <w:rFonts w:hAnsi="等线" w:hint="eastAsia"/>
                <w:color w:val="000000"/>
              </w:rPr>
              <w:t>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56045B" w14:textId="77777777" w:rsidR="009D22CF" w:rsidRDefault="009D22CF" w:rsidP="00360E55">
            <w:pPr>
              <w:pStyle w:val="biaogeleft"/>
              <w:wordWrap w:val="0"/>
            </w:pPr>
            <w:r>
              <w:rPr>
                <w:rFonts w:hint="eastAsia"/>
              </w:rPr>
              <w:t>基金投资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F2007B"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095E53" w14:textId="77777777" w:rsidR="009D22CF" w:rsidRDefault="009D22CF" w:rsidP="00360E55">
            <w:pPr>
              <w:pStyle w:val="biaogeright"/>
              <w:wordWrap w:val="0"/>
            </w:pPr>
            <w:r>
              <w:rPr>
                <w:rFonts w:hint="eastAsia"/>
              </w:rPr>
              <w:t>-</w:t>
            </w:r>
          </w:p>
        </w:tc>
      </w:tr>
      <w:tr w:rsidR="009D22CF" w14:paraId="40DC6A47"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06ADCA46" w14:textId="77777777" w:rsidR="009D22CF" w:rsidRDefault="009D22CF" w:rsidP="00360E55">
            <w:pPr>
              <w:pStyle w:val="biaogecenter"/>
              <w:wordWrap w:val="0"/>
            </w:pPr>
            <w:r>
              <w:rPr>
                <w:rFonts w:hAnsi="等线" w:hint="eastAsia"/>
                <w:color w:val="000000"/>
              </w:rPr>
              <w:t>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4358139" w14:textId="77777777" w:rsidR="009D22CF" w:rsidRDefault="009D22CF" w:rsidP="00360E55">
            <w:pPr>
              <w:pStyle w:val="biaogeleft"/>
              <w:wordWrap w:val="0"/>
            </w:pPr>
            <w:r>
              <w:rPr>
                <w:rFonts w:hint="eastAsia"/>
              </w:rPr>
              <w:t>固定收益投资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AB3E7A"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B888ED5" w14:textId="77777777" w:rsidR="009D22CF" w:rsidRDefault="009D22CF" w:rsidP="00360E55">
            <w:pPr>
              <w:pStyle w:val="biaogeright"/>
              <w:wordWrap w:val="0"/>
            </w:pPr>
            <w:r>
              <w:rPr>
                <w:rFonts w:hint="eastAsia"/>
              </w:rPr>
              <w:t>-</w:t>
            </w:r>
          </w:p>
        </w:tc>
      </w:tr>
      <w:tr w:rsidR="009D22CF" w14:paraId="4CB4100B"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62E60B05" w14:textId="77777777" w:rsidR="009D22CF" w:rsidRDefault="009D22CF" w:rsidP="00360E55">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41A7DE" w14:textId="77777777" w:rsidR="009D22CF" w:rsidRDefault="009D22CF" w:rsidP="00360E55">
            <w:pPr>
              <w:pStyle w:val="biaogeleft"/>
              <w:wordWrap w:val="0"/>
            </w:pPr>
            <w:r>
              <w:rPr>
                <w:rFonts w:hint="eastAsia"/>
              </w:rPr>
              <w:t>其中：债券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D1BC74"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4376896" w14:textId="77777777" w:rsidR="009D22CF" w:rsidRDefault="009D22CF" w:rsidP="00360E55">
            <w:pPr>
              <w:pStyle w:val="biaogeright"/>
              <w:wordWrap w:val="0"/>
            </w:pPr>
            <w:r>
              <w:rPr>
                <w:rFonts w:hint="eastAsia"/>
              </w:rPr>
              <w:t>-</w:t>
            </w:r>
          </w:p>
        </w:tc>
      </w:tr>
      <w:tr w:rsidR="009D22CF" w14:paraId="1A2BBF0B"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2D84FC3" w14:textId="77777777" w:rsidR="009D22CF" w:rsidRDefault="009D22CF" w:rsidP="00360E55">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78B68B" w14:textId="77777777" w:rsidR="009D22CF" w:rsidRDefault="009D22CF" w:rsidP="00360E55">
            <w:pPr>
              <w:pStyle w:val="biaogeleft"/>
              <w:wordWrap w:val="0"/>
              <w:ind w:left="750"/>
            </w:pPr>
            <w:r>
              <w:rPr>
                <w:rFonts w:hint="eastAsia"/>
              </w:rPr>
              <w:t>资产支持证券</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4FFD002"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4DBAA94" w14:textId="77777777" w:rsidR="009D22CF" w:rsidRDefault="009D22CF" w:rsidP="00360E55">
            <w:pPr>
              <w:pStyle w:val="biaogeright"/>
              <w:wordWrap w:val="0"/>
            </w:pPr>
            <w:r>
              <w:rPr>
                <w:rFonts w:hint="eastAsia"/>
              </w:rPr>
              <w:t>-</w:t>
            </w:r>
          </w:p>
        </w:tc>
      </w:tr>
      <w:tr w:rsidR="009D22CF" w14:paraId="41FD7390"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1B4CC338" w14:textId="77777777" w:rsidR="009D22CF" w:rsidRDefault="009D22CF" w:rsidP="00360E55">
            <w:pPr>
              <w:pStyle w:val="biaogecenter"/>
              <w:wordWrap w:val="0"/>
            </w:pPr>
            <w:r>
              <w:rPr>
                <w:rFonts w:hAnsi="等线" w:hint="eastAsia"/>
                <w:color w:val="000000"/>
              </w:rPr>
              <w:t>4</w:t>
            </w:r>
          </w:p>
        </w:tc>
        <w:tc>
          <w:tcPr>
            <w:tcW w:w="0" w:type="auto"/>
            <w:tcBorders>
              <w:top w:val="single" w:sz="8" w:space="0" w:color="000000"/>
              <w:left w:val="single" w:sz="8" w:space="0" w:color="000000"/>
              <w:bottom w:val="single" w:sz="6" w:space="0" w:color="000000"/>
              <w:right w:val="single" w:sz="8" w:space="0" w:color="000000"/>
            </w:tcBorders>
            <w:vAlign w:val="center"/>
            <w:hideMark/>
          </w:tcPr>
          <w:p w14:paraId="6AE9F3FD" w14:textId="77777777" w:rsidR="009D22CF" w:rsidRDefault="009D22CF" w:rsidP="00360E55">
            <w:pPr>
              <w:pStyle w:val="biaogeleft"/>
              <w:wordWrap w:val="0"/>
            </w:pPr>
            <w:r>
              <w:rPr>
                <w:rFonts w:hint="eastAsia"/>
              </w:rPr>
              <w:t>贵金属投资</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42170A"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7AA449" w14:textId="77777777" w:rsidR="009D22CF" w:rsidRDefault="009D22CF" w:rsidP="00360E55">
            <w:pPr>
              <w:pStyle w:val="biaogeright"/>
              <w:wordWrap w:val="0"/>
            </w:pPr>
            <w:r>
              <w:rPr>
                <w:rFonts w:hint="eastAsia"/>
              </w:rPr>
              <w:t>-</w:t>
            </w:r>
          </w:p>
        </w:tc>
      </w:tr>
      <w:tr w:rsidR="009D22CF" w14:paraId="1B0D8571"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3473CA5" w14:textId="77777777" w:rsidR="009D22CF" w:rsidRDefault="009D22CF" w:rsidP="00360E55">
            <w:pPr>
              <w:pStyle w:val="biaogecenter"/>
              <w:wordWrap w:val="0"/>
            </w:pPr>
            <w:r>
              <w:rPr>
                <w:rFonts w:hAnsi="等线" w:hint="eastAsia"/>
                <w:color w:val="000000"/>
              </w:rPr>
              <w:t>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EE5DE8" w14:textId="77777777" w:rsidR="009D22CF" w:rsidRDefault="009D22CF" w:rsidP="00360E55">
            <w:pPr>
              <w:pStyle w:val="biaogeleft"/>
              <w:wordWrap w:val="0"/>
            </w:pPr>
            <w:r>
              <w:rPr>
                <w:rFonts w:hint="eastAsia"/>
              </w:rPr>
              <w:t>金融衍生</w:t>
            </w:r>
            <w:proofErr w:type="gramStart"/>
            <w:r>
              <w:rPr>
                <w:rFonts w:hint="eastAsia"/>
              </w:rPr>
              <w:t>品投资</w:t>
            </w:r>
            <w:proofErr w:type="gramEnd"/>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957090"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0C11A3" w14:textId="77777777" w:rsidR="009D22CF" w:rsidRDefault="009D22CF" w:rsidP="00360E55">
            <w:pPr>
              <w:pStyle w:val="biaogeright"/>
              <w:wordWrap w:val="0"/>
            </w:pPr>
            <w:r>
              <w:rPr>
                <w:rFonts w:hint="eastAsia"/>
              </w:rPr>
              <w:t>-</w:t>
            </w:r>
          </w:p>
        </w:tc>
      </w:tr>
      <w:tr w:rsidR="009D22CF" w14:paraId="4481BA27"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0C4F0C0" w14:textId="77777777" w:rsidR="009D22CF" w:rsidRDefault="009D22CF" w:rsidP="00360E55">
            <w:pPr>
              <w:pStyle w:val="biaogecenter"/>
              <w:wordWrap w:val="0"/>
            </w:pPr>
            <w:r>
              <w:rPr>
                <w:rFonts w:hAnsi="等线" w:hint="eastAsia"/>
                <w:color w:val="000000"/>
              </w:rPr>
              <w:t>6</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54F880" w14:textId="77777777" w:rsidR="009D22CF" w:rsidRDefault="009D22CF" w:rsidP="00360E55">
            <w:pPr>
              <w:pStyle w:val="biaogeleft"/>
              <w:wordWrap w:val="0"/>
            </w:pPr>
            <w:r>
              <w:rPr>
                <w:rFonts w:hint="eastAsia"/>
              </w:rPr>
              <w:t>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CCE1EFE"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A87BD9A" w14:textId="77777777" w:rsidR="009D22CF" w:rsidRDefault="009D22CF" w:rsidP="00360E55">
            <w:pPr>
              <w:pStyle w:val="biaogeright"/>
              <w:wordWrap w:val="0"/>
            </w:pPr>
            <w:r>
              <w:rPr>
                <w:rFonts w:hint="eastAsia"/>
              </w:rPr>
              <w:t>-</w:t>
            </w:r>
          </w:p>
        </w:tc>
      </w:tr>
      <w:tr w:rsidR="009D22CF" w14:paraId="7CDA5C4B"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FCF31BA" w14:textId="77777777" w:rsidR="009D22CF" w:rsidRDefault="009D22CF" w:rsidP="00360E55">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B371F5" w14:textId="77777777" w:rsidR="009D22CF" w:rsidRDefault="009D22CF" w:rsidP="00360E55">
            <w:pPr>
              <w:pStyle w:val="biaogeleft"/>
              <w:wordWrap w:val="0"/>
            </w:pPr>
            <w:r>
              <w:rPr>
                <w:rFonts w:hint="eastAsia"/>
              </w:rPr>
              <w:t>其中：买断式回购的买入返售金融资产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1277F20"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44AE2B" w14:textId="77777777" w:rsidR="009D22CF" w:rsidRDefault="009D22CF" w:rsidP="00360E55">
            <w:pPr>
              <w:pStyle w:val="biaogeright"/>
              <w:wordWrap w:val="0"/>
            </w:pPr>
            <w:r>
              <w:rPr>
                <w:rFonts w:hint="eastAsia"/>
              </w:rPr>
              <w:t>-</w:t>
            </w:r>
          </w:p>
        </w:tc>
      </w:tr>
      <w:tr w:rsidR="009D22CF" w14:paraId="109B541C"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60139DAF" w14:textId="77777777" w:rsidR="009D22CF" w:rsidRDefault="009D22CF" w:rsidP="00360E55">
            <w:pPr>
              <w:pStyle w:val="biaogecenter"/>
              <w:wordWrap w:val="0"/>
            </w:pPr>
            <w:r>
              <w:rPr>
                <w:rFonts w:hAnsi="等线" w:hint="eastAsia"/>
                <w:color w:val="000000"/>
              </w:rPr>
              <w:t>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B953DD4" w14:textId="77777777" w:rsidR="009D22CF" w:rsidRDefault="009D22CF" w:rsidP="00360E55">
            <w:pPr>
              <w:pStyle w:val="biaogeleft"/>
              <w:wordWrap w:val="0"/>
            </w:pPr>
            <w:r>
              <w:rPr>
                <w:rFonts w:hint="eastAsia"/>
              </w:rPr>
              <w:t>银行存款和结算备付金合计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71E680" w14:textId="77777777" w:rsidR="009D22CF" w:rsidRDefault="009D22CF" w:rsidP="00360E55">
            <w:pPr>
              <w:pStyle w:val="biaogeright"/>
              <w:wordWrap w:val="0"/>
            </w:pPr>
            <w:r>
              <w:rPr>
                <w:rFonts w:hint="eastAsia"/>
              </w:rPr>
              <w:t>34,801,807.14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A49956" w14:textId="77777777" w:rsidR="009D22CF" w:rsidRDefault="009D22CF" w:rsidP="00360E55">
            <w:pPr>
              <w:pStyle w:val="biaogeright"/>
              <w:wordWrap w:val="0"/>
            </w:pPr>
            <w:r>
              <w:rPr>
                <w:rFonts w:hint="eastAsia"/>
              </w:rPr>
              <w:t>18.33</w:t>
            </w:r>
          </w:p>
        </w:tc>
      </w:tr>
      <w:tr w:rsidR="009D22CF" w14:paraId="0F7D6D13"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1F65DCF" w14:textId="77777777" w:rsidR="009D22CF" w:rsidRDefault="009D22CF" w:rsidP="00360E55">
            <w:pPr>
              <w:pStyle w:val="biaogecenter"/>
              <w:wordWrap w:val="0"/>
            </w:pPr>
            <w:r>
              <w:rPr>
                <w:rFonts w:hAnsi="等线" w:hint="eastAsia"/>
                <w:color w:val="000000"/>
              </w:rPr>
              <w:t>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79AB69" w14:textId="77777777" w:rsidR="009D22CF" w:rsidRDefault="009D22CF" w:rsidP="00360E55">
            <w:pPr>
              <w:pStyle w:val="biaogeleft"/>
              <w:wordWrap w:val="0"/>
            </w:pPr>
            <w:r>
              <w:rPr>
                <w:rFonts w:hint="eastAsia"/>
              </w:rPr>
              <w:t>其他资产</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DB1B37B" w14:textId="77777777" w:rsidR="009D22CF" w:rsidRDefault="009D22CF" w:rsidP="00360E55">
            <w:pPr>
              <w:pStyle w:val="biaogeright"/>
              <w:wordWrap w:val="0"/>
            </w:pPr>
            <w:r>
              <w:rPr>
                <w:rFonts w:hint="eastAsia"/>
              </w:rPr>
              <w:t>10,561,866.41</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3F7BCF" w14:textId="77777777" w:rsidR="009D22CF" w:rsidRDefault="009D22CF" w:rsidP="00360E55">
            <w:pPr>
              <w:pStyle w:val="biaogeright"/>
              <w:wordWrap w:val="0"/>
            </w:pPr>
            <w:r>
              <w:rPr>
                <w:rFonts w:hint="eastAsia"/>
              </w:rPr>
              <w:t>5.56</w:t>
            </w:r>
          </w:p>
        </w:tc>
      </w:tr>
      <w:tr w:rsidR="009D22CF" w14:paraId="0DF0CD6F"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59CE2035" w14:textId="77777777" w:rsidR="009D22CF" w:rsidRDefault="009D22CF" w:rsidP="00360E55">
            <w:pPr>
              <w:pStyle w:val="biaogecenter"/>
              <w:wordWrap w:val="0"/>
            </w:pPr>
            <w:r>
              <w:rPr>
                <w:rFonts w:hint="eastAsia"/>
              </w:rPr>
              <w:t>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B674D5" w14:textId="77777777" w:rsidR="009D22CF" w:rsidRDefault="009D22CF" w:rsidP="00360E55">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9ACF895" w14:textId="77777777" w:rsidR="009D22CF" w:rsidRDefault="009D22CF" w:rsidP="00360E55">
            <w:pPr>
              <w:pStyle w:val="biaogeright"/>
              <w:wordWrap w:val="0"/>
            </w:pPr>
            <w:r>
              <w:rPr>
                <w:rFonts w:hint="eastAsia"/>
              </w:rPr>
              <w:t>189,824,608.34</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C92082" w14:textId="77777777" w:rsidR="009D22CF" w:rsidRDefault="009D22CF" w:rsidP="00360E55">
            <w:pPr>
              <w:pStyle w:val="biaogeright"/>
              <w:wordWrap w:val="0"/>
            </w:pPr>
            <w:r>
              <w:rPr>
                <w:rFonts w:hint="eastAsia"/>
              </w:rPr>
              <w:t>100.00</w:t>
            </w:r>
          </w:p>
        </w:tc>
      </w:tr>
    </w:tbl>
    <w:p w14:paraId="6A05C342" w14:textId="77777777" w:rsidR="009D22CF" w:rsidRDefault="009D22CF" w:rsidP="009D22CF">
      <w:pPr>
        <w:widowControl/>
        <w:jc w:val="left"/>
        <w:rPr>
          <w:rFonts w:ascii="宋体" w:eastAsia="宋体" w:hAnsi="宋体" w:cs="宋体"/>
          <w:kern w:val="0"/>
          <w:sz w:val="24"/>
          <w:szCs w:val="24"/>
        </w:rPr>
      </w:pPr>
    </w:p>
    <w:p w14:paraId="7A20B40F" w14:textId="77777777" w:rsidR="009D22CF" w:rsidRPr="00360E55" w:rsidRDefault="009D22CF" w:rsidP="009D22CF">
      <w:pPr>
        <w:pStyle w:val="zhangjiep"/>
        <w:rPr>
          <w:rFonts w:asciiTheme="minorEastAsia" w:eastAsiaTheme="minorEastAsia" w:hAnsiTheme="minorEastAsia" w:cs="Times New Roman"/>
          <w:bCs/>
          <w:kern w:val="2"/>
        </w:rPr>
      </w:pPr>
      <w:bookmarkStart w:id="215" w:name="_Toc101354065"/>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报告期末按行业分类的股票投资组合</w:t>
      </w:r>
      <w:bookmarkEnd w:id="215"/>
    </w:p>
    <w:tbl>
      <w:tblPr>
        <w:tblW w:w="0" w:type="auto"/>
        <w:tblInd w:w="108" w:type="dxa"/>
        <w:tblLook w:val="04A0" w:firstRow="1" w:lastRow="0" w:firstColumn="1" w:lastColumn="0" w:noHBand="0" w:noVBand="1"/>
      </w:tblPr>
      <w:tblGrid>
        <w:gridCol w:w="795"/>
        <w:gridCol w:w="2596"/>
        <w:gridCol w:w="2596"/>
        <w:gridCol w:w="2672"/>
      </w:tblGrid>
      <w:tr w:rsidR="009D22CF" w14:paraId="03BC82B0" w14:textId="77777777" w:rsidTr="00360E55">
        <w:tc>
          <w:tcPr>
            <w:tcW w:w="1340" w:type="dxa"/>
            <w:tcBorders>
              <w:top w:val="single" w:sz="8" w:space="0" w:color="000000"/>
              <w:left w:val="single" w:sz="8" w:space="0" w:color="000000"/>
              <w:bottom w:val="single" w:sz="6" w:space="0" w:color="000000"/>
              <w:right w:val="single" w:sz="8" w:space="0" w:color="000000"/>
            </w:tcBorders>
            <w:vAlign w:val="center"/>
            <w:hideMark/>
          </w:tcPr>
          <w:p w14:paraId="53A891AB" w14:textId="77777777" w:rsidR="009D22CF" w:rsidRDefault="009D22CF" w:rsidP="00360E55">
            <w:pPr>
              <w:pStyle w:val="biaogecenter"/>
              <w:wordWrap w:val="0"/>
            </w:pPr>
            <w:r>
              <w:rPr>
                <w:rFonts w:hAnsi="等线" w:hint="eastAsia"/>
                <w:color w:val="000000"/>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04E92E75" w14:textId="77777777" w:rsidR="009D22CF" w:rsidRDefault="009D22CF" w:rsidP="00360E55">
            <w:pPr>
              <w:pStyle w:val="biaogecenter"/>
              <w:wordWrap w:val="0"/>
            </w:pPr>
            <w:r>
              <w:rPr>
                <w:rFonts w:hAnsi="等线" w:hint="eastAsia"/>
                <w:color w:val="000000"/>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00A7F01C" w14:textId="77777777" w:rsidR="009D22CF" w:rsidRDefault="009D22CF" w:rsidP="00360E55">
            <w:pPr>
              <w:pStyle w:val="biaogecenter"/>
              <w:wordWrap w:val="0"/>
            </w:pPr>
            <w:r>
              <w:rPr>
                <w:rFonts w:hAnsi="等线" w:hint="eastAsia"/>
                <w:color w:val="000000"/>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45B31F17" w14:textId="77777777" w:rsidR="009D22CF" w:rsidRDefault="009D22CF" w:rsidP="00360E55">
            <w:pPr>
              <w:pStyle w:val="biaogecenter"/>
              <w:wordWrap w:val="0"/>
            </w:pPr>
            <w:r>
              <w:rPr>
                <w:rFonts w:hAnsi="等线" w:hint="eastAsia"/>
                <w:color w:val="000000"/>
              </w:rPr>
              <w:t>占基金资产净值比例（%）</w:t>
            </w:r>
          </w:p>
        </w:tc>
      </w:tr>
      <w:tr w:rsidR="009D22CF" w14:paraId="7BC2BA43"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1EE43E5" w14:textId="77777777" w:rsidR="009D22CF" w:rsidRDefault="009D22CF" w:rsidP="00360E55">
            <w:pPr>
              <w:pStyle w:val="biaogecenter"/>
              <w:wordWrap w:val="0"/>
            </w:pPr>
            <w:r>
              <w:rPr>
                <w:rFonts w:hint="eastAsia"/>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CAF9D9A" w14:textId="77777777" w:rsidR="009D22CF" w:rsidRDefault="009D22CF" w:rsidP="00360E55">
            <w:pPr>
              <w:pStyle w:val="biaogeleft"/>
              <w:wordWrap w:val="0"/>
            </w:pPr>
            <w:r>
              <w:rPr>
                <w:rFonts w:hint="eastAsia"/>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83E0F0F"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FD4A4CA" w14:textId="77777777" w:rsidR="009D22CF" w:rsidRDefault="009D22CF" w:rsidP="00360E55">
            <w:pPr>
              <w:pStyle w:val="biaogeright"/>
              <w:wordWrap w:val="0"/>
            </w:pPr>
            <w:r>
              <w:rPr>
                <w:rFonts w:hint="eastAsia"/>
              </w:rPr>
              <w:t>-</w:t>
            </w:r>
          </w:p>
        </w:tc>
      </w:tr>
      <w:tr w:rsidR="009D22CF" w14:paraId="39CAB805"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8709738" w14:textId="77777777" w:rsidR="009D22CF" w:rsidRDefault="009D22CF" w:rsidP="00360E55">
            <w:pPr>
              <w:pStyle w:val="biaogecenter"/>
              <w:wordWrap w:val="0"/>
            </w:pPr>
            <w:r>
              <w:rPr>
                <w:rFonts w:hint="eastAsia"/>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2663B5A" w14:textId="77777777" w:rsidR="009D22CF" w:rsidRDefault="009D22CF" w:rsidP="00360E55">
            <w:pPr>
              <w:pStyle w:val="biaogeleft"/>
              <w:wordWrap w:val="0"/>
            </w:pPr>
            <w:r>
              <w:rPr>
                <w:rFonts w:hint="eastAsia"/>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6FFB6D8" w14:textId="77777777" w:rsidR="009D22CF" w:rsidRDefault="009D22CF" w:rsidP="00360E55">
            <w:pPr>
              <w:pStyle w:val="biaogeright"/>
              <w:wordWrap w:val="0"/>
            </w:pPr>
            <w:r>
              <w:rPr>
                <w:rFonts w:hint="eastAsia"/>
              </w:rPr>
              <w:t>15,595,902.00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1683CA" w14:textId="77777777" w:rsidR="009D22CF" w:rsidRDefault="009D22CF" w:rsidP="00360E55">
            <w:pPr>
              <w:pStyle w:val="biaogeright"/>
              <w:wordWrap w:val="0"/>
            </w:pPr>
            <w:r>
              <w:rPr>
                <w:rFonts w:hint="eastAsia"/>
              </w:rPr>
              <w:t>8.23</w:t>
            </w:r>
          </w:p>
        </w:tc>
      </w:tr>
      <w:tr w:rsidR="009D22CF" w14:paraId="592CC987"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1027747" w14:textId="77777777" w:rsidR="009D22CF" w:rsidRDefault="009D22CF" w:rsidP="00360E55">
            <w:pPr>
              <w:pStyle w:val="biaogecenter"/>
              <w:wordWrap w:val="0"/>
            </w:pPr>
            <w:r>
              <w:rPr>
                <w:rFonts w:hint="eastAsia"/>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A6A201" w14:textId="77777777" w:rsidR="009D22CF" w:rsidRDefault="009D22CF" w:rsidP="00360E55">
            <w:pPr>
              <w:pStyle w:val="biaogeleft"/>
              <w:wordWrap w:val="0"/>
            </w:pPr>
            <w:r>
              <w:rPr>
                <w:rFonts w:hint="eastAsia"/>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A1D795" w14:textId="77777777" w:rsidR="009D22CF" w:rsidRDefault="009D22CF" w:rsidP="00360E55">
            <w:pPr>
              <w:pStyle w:val="biaogeright"/>
              <w:wordWrap w:val="0"/>
            </w:pPr>
            <w:r>
              <w:rPr>
                <w:rFonts w:hint="eastAsia"/>
              </w:rPr>
              <w:t>96,814,051.53</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D83317" w14:textId="77777777" w:rsidR="009D22CF" w:rsidRDefault="009D22CF" w:rsidP="00360E55">
            <w:pPr>
              <w:pStyle w:val="biaogeright"/>
              <w:wordWrap w:val="0"/>
            </w:pPr>
            <w:r>
              <w:rPr>
                <w:rFonts w:hint="eastAsia"/>
              </w:rPr>
              <w:t>51.07</w:t>
            </w:r>
          </w:p>
        </w:tc>
      </w:tr>
      <w:tr w:rsidR="009D22CF" w14:paraId="0F8932D3"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263C32FC" w14:textId="77777777" w:rsidR="009D22CF" w:rsidRDefault="009D22CF" w:rsidP="00360E55">
            <w:pPr>
              <w:pStyle w:val="biaogecenter"/>
              <w:wordWrap w:val="0"/>
            </w:pPr>
            <w:r>
              <w:rPr>
                <w:rFonts w:hAnsi="等线" w:hint="eastAsia"/>
                <w:color w:val="000000"/>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7CB972" w14:textId="77777777" w:rsidR="009D22CF" w:rsidRDefault="009D22CF" w:rsidP="00360E55">
            <w:pPr>
              <w:pStyle w:val="biaogeleft"/>
              <w:wordWrap w:val="0"/>
            </w:pPr>
            <w:r>
              <w:rPr>
                <w:rFonts w:hint="eastAsia"/>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1E34AB1"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7B540F1" w14:textId="77777777" w:rsidR="009D22CF" w:rsidRDefault="009D22CF" w:rsidP="00360E55">
            <w:pPr>
              <w:pStyle w:val="biaogeright"/>
              <w:wordWrap w:val="0"/>
            </w:pPr>
            <w:r>
              <w:rPr>
                <w:rFonts w:hint="eastAsia"/>
              </w:rPr>
              <w:t>-</w:t>
            </w:r>
          </w:p>
        </w:tc>
      </w:tr>
      <w:tr w:rsidR="009D22CF" w14:paraId="4DABBB4A"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1D6F70E4" w14:textId="77777777" w:rsidR="009D22CF" w:rsidRDefault="009D22CF" w:rsidP="00360E55">
            <w:pPr>
              <w:pStyle w:val="biaogecenter"/>
              <w:wordWrap w:val="0"/>
            </w:pPr>
            <w:r>
              <w:rPr>
                <w:rFonts w:hint="eastAsia"/>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74AA30F" w14:textId="77777777" w:rsidR="009D22CF" w:rsidRDefault="009D22CF" w:rsidP="00360E55">
            <w:pPr>
              <w:pStyle w:val="biaogeleft"/>
              <w:wordWrap w:val="0"/>
            </w:pPr>
            <w:r>
              <w:rPr>
                <w:rFonts w:hint="eastAsia"/>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5E542F" w14:textId="77777777" w:rsidR="009D22CF" w:rsidRDefault="009D22CF" w:rsidP="00360E55">
            <w:pPr>
              <w:pStyle w:val="biaogeright"/>
              <w:wordWrap w:val="0"/>
            </w:pPr>
            <w:r>
              <w:rPr>
                <w:rFonts w:hint="eastAsia"/>
              </w:rPr>
              <w:t>7,110.12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ED071D4" w14:textId="77777777" w:rsidR="009D22CF" w:rsidRDefault="009D22CF" w:rsidP="00360E55">
            <w:pPr>
              <w:pStyle w:val="biaogeright"/>
              <w:wordWrap w:val="0"/>
            </w:pPr>
            <w:r>
              <w:rPr>
                <w:rFonts w:hint="eastAsia"/>
              </w:rPr>
              <w:t>0.00</w:t>
            </w:r>
          </w:p>
        </w:tc>
      </w:tr>
      <w:tr w:rsidR="009D22CF" w14:paraId="0A439100"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503CE7AA" w14:textId="77777777" w:rsidR="009D22CF" w:rsidRDefault="009D22CF" w:rsidP="00360E55">
            <w:pPr>
              <w:pStyle w:val="biaogecenter"/>
              <w:wordWrap w:val="0"/>
            </w:pPr>
            <w:r>
              <w:rPr>
                <w:rFonts w:hAnsi="等线" w:hint="eastAsia"/>
                <w:color w:val="000000"/>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90402C" w14:textId="77777777" w:rsidR="009D22CF" w:rsidRDefault="009D22CF" w:rsidP="00360E55">
            <w:pPr>
              <w:pStyle w:val="biaogeleft"/>
              <w:wordWrap w:val="0"/>
            </w:pPr>
            <w:r>
              <w:rPr>
                <w:rFonts w:hint="eastAsia"/>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FAA289" w14:textId="77777777" w:rsidR="009D22CF" w:rsidRDefault="009D22CF" w:rsidP="00360E55">
            <w:pPr>
              <w:pStyle w:val="biaogeright"/>
              <w:wordWrap w:val="0"/>
            </w:pPr>
            <w:r>
              <w:rPr>
                <w:rFonts w:hint="eastAsia"/>
              </w:rPr>
              <w:t>245,975.62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3A57B4" w14:textId="77777777" w:rsidR="009D22CF" w:rsidRDefault="009D22CF" w:rsidP="00360E55">
            <w:pPr>
              <w:pStyle w:val="biaogeright"/>
              <w:wordWrap w:val="0"/>
            </w:pPr>
            <w:r>
              <w:rPr>
                <w:rFonts w:hint="eastAsia"/>
              </w:rPr>
              <w:t>0.13</w:t>
            </w:r>
          </w:p>
        </w:tc>
      </w:tr>
      <w:tr w:rsidR="009D22CF" w14:paraId="032F9A38"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5D1E6319" w14:textId="77777777" w:rsidR="009D22CF" w:rsidRDefault="009D22CF" w:rsidP="00360E55">
            <w:pPr>
              <w:pStyle w:val="biaogecenter"/>
              <w:wordWrap w:val="0"/>
            </w:pPr>
            <w:r>
              <w:rPr>
                <w:rFonts w:hAnsi="等线" w:hint="eastAsia"/>
                <w:color w:val="000000"/>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1CC9577" w14:textId="77777777" w:rsidR="009D22CF" w:rsidRDefault="009D22CF" w:rsidP="00360E55">
            <w:pPr>
              <w:pStyle w:val="biaogeleft"/>
              <w:wordWrap w:val="0"/>
            </w:pPr>
            <w:r>
              <w:rPr>
                <w:rFonts w:hint="eastAsia"/>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08ED8D6"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3216515" w14:textId="77777777" w:rsidR="009D22CF" w:rsidRDefault="009D22CF" w:rsidP="00360E55">
            <w:pPr>
              <w:pStyle w:val="biaogeright"/>
              <w:wordWrap w:val="0"/>
            </w:pPr>
            <w:r>
              <w:rPr>
                <w:rFonts w:hint="eastAsia"/>
              </w:rPr>
              <w:t>-</w:t>
            </w:r>
          </w:p>
        </w:tc>
      </w:tr>
      <w:tr w:rsidR="009D22CF" w14:paraId="7F77D151"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543C03AD" w14:textId="77777777" w:rsidR="009D22CF" w:rsidRDefault="009D22CF" w:rsidP="00360E55">
            <w:pPr>
              <w:pStyle w:val="biaogecenter"/>
              <w:wordWrap w:val="0"/>
            </w:pPr>
            <w:r>
              <w:rPr>
                <w:rFonts w:hAnsi="等线" w:hint="eastAsia"/>
                <w:color w:val="000000"/>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65D992" w14:textId="77777777" w:rsidR="009D22CF" w:rsidRDefault="009D22CF" w:rsidP="00360E55">
            <w:pPr>
              <w:pStyle w:val="biaogeleft"/>
              <w:wordWrap w:val="0"/>
            </w:pPr>
            <w:r>
              <w:rPr>
                <w:rFonts w:hint="eastAsia"/>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75878B9"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1C445F" w14:textId="77777777" w:rsidR="009D22CF" w:rsidRDefault="009D22CF" w:rsidP="00360E55">
            <w:pPr>
              <w:pStyle w:val="biaogeright"/>
              <w:wordWrap w:val="0"/>
            </w:pPr>
            <w:r>
              <w:rPr>
                <w:rFonts w:hint="eastAsia"/>
              </w:rPr>
              <w:t>-</w:t>
            </w:r>
          </w:p>
        </w:tc>
      </w:tr>
      <w:tr w:rsidR="009D22CF" w14:paraId="0B7B00D5"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32A60457" w14:textId="77777777" w:rsidR="009D22CF" w:rsidRDefault="009D22CF" w:rsidP="00360E55">
            <w:pPr>
              <w:pStyle w:val="biaogecenter"/>
              <w:wordWrap w:val="0"/>
            </w:pPr>
            <w:r>
              <w:rPr>
                <w:rFonts w:hAnsi="等线" w:hint="eastAsia"/>
                <w:color w:val="000000"/>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015772" w14:textId="77777777" w:rsidR="009D22CF" w:rsidRDefault="009D22CF" w:rsidP="00360E55">
            <w:pPr>
              <w:pStyle w:val="biaogeleft"/>
              <w:wordWrap w:val="0"/>
            </w:pPr>
            <w:r>
              <w:rPr>
                <w:rFonts w:hint="eastAsia"/>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C848217" w14:textId="77777777" w:rsidR="009D22CF" w:rsidRDefault="009D22CF" w:rsidP="00360E55">
            <w:pPr>
              <w:pStyle w:val="biaogeright"/>
              <w:wordWrap w:val="0"/>
            </w:pPr>
            <w:r>
              <w:rPr>
                <w:rFonts w:hint="eastAsia"/>
              </w:rPr>
              <w:t>316,558.88</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7F5F62" w14:textId="77777777" w:rsidR="009D22CF" w:rsidRDefault="009D22CF" w:rsidP="00360E55">
            <w:pPr>
              <w:pStyle w:val="biaogeright"/>
              <w:wordWrap w:val="0"/>
            </w:pPr>
            <w:r>
              <w:rPr>
                <w:rFonts w:hint="eastAsia"/>
              </w:rPr>
              <w:t>0.17</w:t>
            </w:r>
          </w:p>
        </w:tc>
      </w:tr>
      <w:tr w:rsidR="009D22CF" w14:paraId="2B4CF31F"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08DB90C6" w14:textId="77777777" w:rsidR="009D22CF" w:rsidRDefault="009D22CF" w:rsidP="00360E55">
            <w:pPr>
              <w:pStyle w:val="biaogecenter"/>
              <w:wordWrap w:val="0"/>
            </w:pPr>
            <w:r>
              <w:rPr>
                <w:rFonts w:hAnsi="等线" w:hint="eastAsia"/>
                <w:color w:val="000000"/>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4DA18B" w14:textId="77777777" w:rsidR="009D22CF" w:rsidRDefault="009D22CF" w:rsidP="00360E55">
            <w:pPr>
              <w:pStyle w:val="biaogeleft"/>
              <w:wordWrap w:val="0"/>
            </w:pPr>
            <w:r>
              <w:rPr>
                <w:rFonts w:hint="eastAsia"/>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F3B3261" w14:textId="77777777" w:rsidR="009D22CF" w:rsidRDefault="009D22CF" w:rsidP="00360E55">
            <w:pPr>
              <w:pStyle w:val="biaogeright"/>
              <w:wordWrap w:val="0"/>
            </w:pPr>
            <w:r>
              <w:rPr>
                <w:rFonts w:hint="eastAsia"/>
              </w:rPr>
              <w:t>9,682,414.00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0887C2" w14:textId="77777777" w:rsidR="009D22CF" w:rsidRDefault="009D22CF" w:rsidP="00360E55">
            <w:pPr>
              <w:pStyle w:val="biaogeright"/>
              <w:wordWrap w:val="0"/>
            </w:pPr>
            <w:r>
              <w:rPr>
                <w:rFonts w:hint="eastAsia"/>
              </w:rPr>
              <w:t>5.11</w:t>
            </w:r>
          </w:p>
        </w:tc>
      </w:tr>
      <w:tr w:rsidR="009D22CF" w14:paraId="4CEBC43B"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4217B757" w14:textId="77777777" w:rsidR="009D22CF" w:rsidRDefault="009D22CF" w:rsidP="00360E55">
            <w:pPr>
              <w:pStyle w:val="biaogecenter"/>
              <w:wordWrap w:val="0"/>
            </w:pPr>
            <w:r>
              <w:rPr>
                <w:rFonts w:hAnsi="等线" w:hint="eastAsia"/>
                <w:color w:val="000000"/>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E15E99" w14:textId="77777777" w:rsidR="009D22CF" w:rsidRDefault="009D22CF" w:rsidP="00360E55">
            <w:pPr>
              <w:pStyle w:val="biaogeleft"/>
              <w:wordWrap w:val="0"/>
            </w:pPr>
            <w:r>
              <w:rPr>
                <w:rFonts w:hint="eastAsia"/>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F6CCD4"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1CB22A" w14:textId="77777777" w:rsidR="009D22CF" w:rsidRDefault="009D22CF" w:rsidP="00360E55">
            <w:pPr>
              <w:pStyle w:val="biaogeright"/>
              <w:wordWrap w:val="0"/>
            </w:pPr>
            <w:r>
              <w:rPr>
                <w:rFonts w:hint="eastAsia"/>
              </w:rPr>
              <w:t>-</w:t>
            </w:r>
          </w:p>
        </w:tc>
      </w:tr>
      <w:tr w:rsidR="009D22CF" w14:paraId="59D325B7"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0BD3F682" w14:textId="77777777" w:rsidR="009D22CF" w:rsidRDefault="009D22CF" w:rsidP="00360E55">
            <w:pPr>
              <w:pStyle w:val="biaogecenter"/>
              <w:wordWrap w:val="0"/>
            </w:pPr>
            <w:r>
              <w:rPr>
                <w:rFonts w:hAnsi="等线" w:hint="eastAsia"/>
                <w:color w:val="000000"/>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DA4A25B" w14:textId="77777777" w:rsidR="009D22CF" w:rsidRDefault="009D22CF" w:rsidP="00360E55">
            <w:pPr>
              <w:pStyle w:val="biaogeleft"/>
              <w:wordWrap w:val="0"/>
            </w:pPr>
            <w:r>
              <w:rPr>
                <w:rFonts w:hint="eastAsia"/>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F561B1" w14:textId="77777777" w:rsidR="009D22CF" w:rsidRDefault="009D22CF" w:rsidP="00360E55">
            <w:pPr>
              <w:pStyle w:val="biaogeright"/>
              <w:wordWrap w:val="0"/>
            </w:pPr>
            <w:r>
              <w:rPr>
                <w:rFonts w:hint="eastAsia"/>
              </w:rPr>
              <w:t>16,144,053.02</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3B1749A" w14:textId="77777777" w:rsidR="009D22CF" w:rsidRDefault="009D22CF" w:rsidP="00360E55">
            <w:pPr>
              <w:pStyle w:val="biaogeright"/>
              <w:wordWrap w:val="0"/>
            </w:pPr>
            <w:r>
              <w:rPr>
                <w:rFonts w:hint="eastAsia"/>
              </w:rPr>
              <w:t>8.52</w:t>
            </w:r>
          </w:p>
        </w:tc>
      </w:tr>
      <w:tr w:rsidR="009D22CF" w14:paraId="60B84D04"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145ABB4B" w14:textId="77777777" w:rsidR="009D22CF" w:rsidRDefault="009D22CF" w:rsidP="00360E55">
            <w:pPr>
              <w:pStyle w:val="biaogecenter"/>
              <w:wordWrap w:val="0"/>
            </w:pPr>
            <w:r>
              <w:rPr>
                <w:rFonts w:hAnsi="等线" w:hint="eastAsia"/>
                <w:color w:val="000000"/>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CFEF9B" w14:textId="77777777" w:rsidR="009D22CF" w:rsidRDefault="009D22CF" w:rsidP="00360E55">
            <w:pPr>
              <w:pStyle w:val="biaogeleft"/>
              <w:wordWrap w:val="0"/>
            </w:pPr>
            <w:r>
              <w:rPr>
                <w:rFonts w:hint="eastAsia"/>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27F275" w14:textId="77777777" w:rsidR="009D22CF" w:rsidRDefault="009D22CF" w:rsidP="00360E55">
            <w:pPr>
              <w:pStyle w:val="biaogeright"/>
              <w:wordWrap w:val="0"/>
            </w:pPr>
            <w:r>
              <w:rPr>
                <w:rFonts w:hint="eastAsia"/>
              </w:rPr>
              <w:t>96,558.27</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8D7B19" w14:textId="77777777" w:rsidR="009D22CF" w:rsidRDefault="009D22CF" w:rsidP="00360E55">
            <w:pPr>
              <w:pStyle w:val="biaogeright"/>
              <w:wordWrap w:val="0"/>
            </w:pPr>
            <w:r>
              <w:rPr>
                <w:rFonts w:hint="eastAsia"/>
              </w:rPr>
              <w:t>0.05</w:t>
            </w:r>
          </w:p>
        </w:tc>
      </w:tr>
      <w:tr w:rsidR="009D22CF" w14:paraId="4659A020"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196F719D" w14:textId="77777777" w:rsidR="009D22CF" w:rsidRDefault="009D22CF" w:rsidP="00360E55">
            <w:pPr>
              <w:pStyle w:val="biaogecenter"/>
              <w:wordWrap w:val="0"/>
            </w:pPr>
            <w:r>
              <w:rPr>
                <w:rFonts w:hAnsi="等线" w:hint="eastAsia"/>
                <w:color w:val="000000"/>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36661BC" w14:textId="77777777" w:rsidR="009D22CF" w:rsidRDefault="009D22CF" w:rsidP="00360E55">
            <w:pPr>
              <w:pStyle w:val="biaogeleft"/>
              <w:wordWrap w:val="0"/>
            </w:pPr>
            <w:r>
              <w:rPr>
                <w:rFonts w:hint="eastAsia"/>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9C050FF" w14:textId="77777777" w:rsidR="009D22CF" w:rsidRDefault="009D22CF" w:rsidP="00360E55">
            <w:pPr>
              <w:pStyle w:val="biaogeright"/>
              <w:wordWrap w:val="0"/>
            </w:pPr>
            <w:r>
              <w:rPr>
                <w:rFonts w:hint="eastAsia"/>
              </w:rPr>
              <w:t>10,104.10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F02F77" w14:textId="77777777" w:rsidR="009D22CF" w:rsidRDefault="009D22CF" w:rsidP="00360E55">
            <w:pPr>
              <w:pStyle w:val="biaogeright"/>
              <w:wordWrap w:val="0"/>
            </w:pPr>
            <w:r>
              <w:rPr>
                <w:rFonts w:hint="eastAsia"/>
              </w:rPr>
              <w:t>0.01</w:t>
            </w:r>
          </w:p>
        </w:tc>
      </w:tr>
      <w:tr w:rsidR="009D22CF" w14:paraId="4641730D"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760D8CB" w14:textId="77777777" w:rsidR="009D22CF" w:rsidRDefault="009D22CF" w:rsidP="00360E55">
            <w:pPr>
              <w:pStyle w:val="biaogecenter"/>
              <w:wordWrap w:val="0"/>
            </w:pPr>
            <w:r>
              <w:rPr>
                <w:rFonts w:hAnsi="等线" w:hint="eastAsia"/>
                <w:color w:val="000000"/>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69D689" w14:textId="77777777" w:rsidR="009D22CF" w:rsidRDefault="009D22CF" w:rsidP="00360E55">
            <w:pPr>
              <w:pStyle w:val="biaogeleft"/>
              <w:wordWrap w:val="0"/>
            </w:pPr>
            <w:r>
              <w:rPr>
                <w:rFonts w:hint="eastAsia"/>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582A19"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D53E33C" w14:textId="77777777" w:rsidR="009D22CF" w:rsidRDefault="009D22CF" w:rsidP="00360E55">
            <w:pPr>
              <w:pStyle w:val="biaogeright"/>
              <w:wordWrap w:val="0"/>
            </w:pPr>
            <w:r>
              <w:rPr>
                <w:rFonts w:hint="eastAsia"/>
              </w:rPr>
              <w:t>-</w:t>
            </w:r>
          </w:p>
        </w:tc>
      </w:tr>
      <w:tr w:rsidR="009D22CF" w14:paraId="2C1F51CF"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57E7961C" w14:textId="77777777" w:rsidR="009D22CF" w:rsidRDefault="009D22CF" w:rsidP="00360E55">
            <w:pPr>
              <w:pStyle w:val="biaogecenter"/>
              <w:wordWrap w:val="0"/>
            </w:pPr>
            <w:r>
              <w:rPr>
                <w:rFonts w:hAnsi="等线" w:hint="eastAsia"/>
                <w:color w:val="000000"/>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768896" w14:textId="77777777" w:rsidR="009D22CF" w:rsidRDefault="009D22CF" w:rsidP="00360E55">
            <w:pPr>
              <w:pStyle w:val="biaogeleft"/>
              <w:wordWrap w:val="0"/>
            </w:pPr>
            <w:r>
              <w:rPr>
                <w:rFonts w:hint="eastAsia"/>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62C938"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CE444E" w14:textId="77777777" w:rsidR="009D22CF" w:rsidRDefault="009D22CF" w:rsidP="00360E55">
            <w:pPr>
              <w:pStyle w:val="biaogeright"/>
              <w:wordWrap w:val="0"/>
            </w:pPr>
            <w:r>
              <w:rPr>
                <w:rFonts w:hint="eastAsia"/>
              </w:rPr>
              <w:t>-</w:t>
            </w:r>
          </w:p>
        </w:tc>
      </w:tr>
      <w:tr w:rsidR="009D22CF" w14:paraId="70300A26"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48923423" w14:textId="77777777" w:rsidR="009D22CF" w:rsidRDefault="009D22CF" w:rsidP="00360E55">
            <w:pPr>
              <w:pStyle w:val="biaogecenter"/>
              <w:wordWrap w:val="0"/>
            </w:pPr>
            <w:r>
              <w:rPr>
                <w:rFonts w:hAnsi="等线" w:hint="eastAsia"/>
                <w:color w:val="000000"/>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BE6F690" w14:textId="77777777" w:rsidR="009D22CF" w:rsidRDefault="009D22CF" w:rsidP="00360E55">
            <w:pPr>
              <w:pStyle w:val="biaogeleft"/>
              <w:wordWrap w:val="0"/>
            </w:pPr>
            <w:r>
              <w:rPr>
                <w:rFonts w:hint="eastAsia"/>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68DAF9A" w14:textId="77777777" w:rsidR="009D22CF" w:rsidRDefault="009D22CF" w:rsidP="00360E55">
            <w:pPr>
              <w:pStyle w:val="biaogeright"/>
              <w:wordWrap w:val="0"/>
            </w:pPr>
            <w:r>
              <w:rPr>
                <w:rFonts w:hint="eastAsia"/>
              </w:rPr>
              <w:t>5,548,207.25</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496971E" w14:textId="77777777" w:rsidR="009D22CF" w:rsidRDefault="009D22CF" w:rsidP="00360E55">
            <w:pPr>
              <w:pStyle w:val="biaogeright"/>
              <w:wordWrap w:val="0"/>
            </w:pPr>
            <w:r>
              <w:rPr>
                <w:rFonts w:hint="eastAsia"/>
              </w:rPr>
              <w:t>2.93</w:t>
            </w:r>
          </w:p>
        </w:tc>
      </w:tr>
      <w:tr w:rsidR="009D22CF" w14:paraId="435053FF"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E02531B" w14:textId="77777777" w:rsidR="009D22CF" w:rsidRDefault="009D22CF" w:rsidP="00360E55">
            <w:pPr>
              <w:pStyle w:val="biaogecenter"/>
              <w:wordWrap w:val="0"/>
            </w:pPr>
            <w:r>
              <w:rPr>
                <w:rFonts w:hAnsi="等线" w:hint="eastAsia"/>
                <w:color w:val="000000"/>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3B2407" w14:textId="77777777" w:rsidR="009D22CF" w:rsidRDefault="009D22CF" w:rsidP="00360E55">
            <w:pPr>
              <w:pStyle w:val="biaogeleft"/>
              <w:wordWrap w:val="0"/>
            </w:pPr>
            <w:r>
              <w:rPr>
                <w:rFonts w:hint="eastAsia"/>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9E1E5B5"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A35F6F8" w14:textId="77777777" w:rsidR="009D22CF" w:rsidRDefault="009D22CF" w:rsidP="00360E55">
            <w:pPr>
              <w:pStyle w:val="biaogeright"/>
              <w:wordWrap w:val="0"/>
            </w:pPr>
            <w:r>
              <w:rPr>
                <w:rFonts w:hint="eastAsia"/>
              </w:rPr>
              <w:t>-</w:t>
            </w:r>
          </w:p>
        </w:tc>
      </w:tr>
      <w:tr w:rsidR="009D22CF" w14:paraId="4A1DF0B5"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BB3378C" w14:textId="77777777" w:rsidR="009D22CF" w:rsidRDefault="009D22CF" w:rsidP="00360E55">
            <w:pPr>
              <w:pStyle w:val="biaogecenter"/>
              <w:wordWrap w:val="0"/>
            </w:pPr>
            <w:r>
              <w:rPr>
                <w:rFonts w:hAnsi="等线" w:hint="eastAsia"/>
                <w:color w:val="000000"/>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66F4DD" w14:textId="77777777" w:rsidR="009D22CF" w:rsidRDefault="009D22CF" w:rsidP="00360E55">
            <w:pPr>
              <w:pStyle w:val="biaogeleft"/>
              <w:wordWrap w:val="0"/>
            </w:pPr>
            <w:r>
              <w:rPr>
                <w:rFonts w:hint="eastAsia"/>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9CC97A0" w14:textId="77777777" w:rsidR="009D22CF" w:rsidRDefault="009D22CF" w:rsidP="00360E55">
            <w:pPr>
              <w:pStyle w:val="biaogeright"/>
              <w:wordWrap w:val="0"/>
            </w:pPr>
            <w:r>
              <w:rPr>
                <w:rFonts w:hint="eastAsia"/>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E1D10F" w14:textId="77777777" w:rsidR="009D22CF" w:rsidRDefault="009D22CF" w:rsidP="00360E55">
            <w:pPr>
              <w:pStyle w:val="biaogeright"/>
              <w:wordWrap w:val="0"/>
            </w:pPr>
            <w:r>
              <w:rPr>
                <w:rFonts w:hint="eastAsia"/>
              </w:rPr>
              <w:t>-</w:t>
            </w:r>
          </w:p>
        </w:tc>
      </w:tr>
      <w:tr w:rsidR="009D22CF" w14:paraId="134D445A" w14:textId="77777777" w:rsidTr="00360E55">
        <w:tc>
          <w:tcPr>
            <w:tcW w:w="0" w:type="auto"/>
            <w:tcBorders>
              <w:top w:val="single" w:sz="8" w:space="0" w:color="000000"/>
              <w:left w:val="single" w:sz="8" w:space="0" w:color="000000"/>
              <w:bottom w:val="single" w:sz="6" w:space="0" w:color="000000"/>
              <w:right w:val="single" w:sz="8" w:space="0" w:color="000000"/>
            </w:tcBorders>
            <w:vAlign w:val="center"/>
            <w:hideMark/>
          </w:tcPr>
          <w:p w14:paraId="79A83BCC" w14:textId="77777777" w:rsidR="009D22CF" w:rsidRDefault="009D22CF" w:rsidP="00360E55">
            <w:pPr>
              <w:widowControl/>
              <w:jc w:val="left"/>
              <w:rPr>
                <w:rFonts w:cs="宋体"/>
                <w:kern w:val="0"/>
                <w:sz w:val="20"/>
                <w:szCs w:val="20"/>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60AFE77" w14:textId="77777777" w:rsidR="009D22CF" w:rsidRDefault="009D22CF" w:rsidP="00360E55">
            <w:pPr>
              <w:pStyle w:val="biaogeleft"/>
              <w:wordWrap w:val="0"/>
            </w:pPr>
            <w:r>
              <w:rPr>
                <w:rFonts w:hint="eastAsia"/>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ED0F0BA" w14:textId="77777777" w:rsidR="009D22CF" w:rsidRDefault="009D22CF" w:rsidP="00360E55">
            <w:pPr>
              <w:pStyle w:val="biaogeright"/>
              <w:wordWrap w:val="0"/>
            </w:pPr>
            <w:r>
              <w:rPr>
                <w:rFonts w:hint="eastAsia"/>
              </w:rPr>
              <w:t>144,460,934.79</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0AFCCB7" w14:textId="77777777" w:rsidR="009D22CF" w:rsidRDefault="009D22CF" w:rsidP="00360E55">
            <w:pPr>
              <w:pStyle w:val="biaogeright"/>
              <w:wordWrap w:val="0"/>
            </w:pPr>
            <w:r>
              <w:rPr>
                <w:rFonts w:hint="eastAsia"/>
              </w:rPr>
              <w:t>76.20</w:t>
            </w:r>
          </w:p>
        </w:tc>
      </w:tr>
    </w:tbl>
    <w:p w14:paraId="1643E932" w14:textId="77777777" w:rsidR="009D22CF" w:rsidRDefault="009D22CF" w:rsidP="009D22CF">
      <w:pPr>
        <w:widowControl/>
        <w:jc w:val="left"/>
        <w:rPr>
          <w:rFonts w:ascii="宋体" w:eastAsia="宋体" w:hAnsi="宋体" w:cs="宋体"/>
          <w:kern w:val="0"/>
          <w:sz w:val="24"/>
          <w:szCs w:val="24"/>
        </w:rPr>
      </w:pPr>
    </w:p>
    <w:p w14:paraId="4655D4FE" w14:textId="77777777" w:rsidR="009D22CF" w:rsidRPr="00360E55" w:rsidRDefault="009D22CF" w:rsidP="009D22CF">
      <w:pPr>
        <w:pStyle w:val="zhangjiep"/>
        <w:rPr>
          <w:rFonts w:asciiTheme="minorEastAsia" w:eastAsiaTheme="minorEastAsia" w:hAnsiTheme="minorEastAsia" w:cs="Times New Roman"/>
          <w:bCs/>
          <w:kern w:val="2"/>
        </w:rPr>
      </w:pPr>
      <w:bookmarkStart w:id="216" w:name="_Toc101354066"/>
      <w:r w:rsidRPr="00360E55">
        <w:rPr>
          <w:rFonts w:asciiTheme="minorEastAsia" w:eastAsiaTheme="minorEastAsia" w:hAnsiTheme="minorEastAsia" w:cs="Times New Roman"/>
          <w:bCs/>
          <w:kern w:val="2"/>
        </w:rPr>
        <w:t>3、</w:t>
      </w:r>
      <w:r w:rsidRPr="00360E55">
        <w:rPr>
          <w:rFonts w:asciiTheme="minorEastAsia" w:eastAsiaTheme="minorEastAsia" w:hAnsiTheme="minorEastAsia" w:cs="Times New Roman" w:hint="eastAsia"/>
          <w:bCs/>
          <w:kern w:val="2"/>
        </w:rPr>
        <w:t>报告期末按公允价值占基金资产净值比例大小排序的前十名股票投资明细</w:t>
      </w:r>
      <w:bookmarkEnd w:id="216"/>
    </w:p>
    <w:tbl>
      <w:tblPr>
        <w:tblW w:w="0" w:type="auto"/>
        <w:tblInd w:w="108" w:type="dxa"/>
        <w:tblLook w:val="04A0" w:firstRow="1" w:lastRow="0" w:firstColumn="1" w:lastColumn="0" w:noHBand="0" w:noVBand="1"/>
      </w:tblPr>
      <w:tblGrid>
        <w:gridCol w:w="472"/>
        <w:gridCol w:w="1402"/>
        <w:gridCol w:w="1528"/>
        <w:gridCol w:w="1560"/>
        <w:gridCol w:w="1978"/>
        <w:gridCol w:w="1719"/>
      </w:tblGrid>
      <w:tr w:rsidR="009D22CF" w14:paraId="3EDE888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5D8E618" w14:textId="77777777" w:rsidR="009D22CF" w:rsidRDefault="009D22CF" w:rsidP="00360E55">
            <w:pPr>
              <w:pStyle w:val="biaogecenter"/>
              <w:wordWrap w:val="0"/>
            </w:pPr>
            <w:r>
              <w:rPr>
                <w:rFonts w:hAnsi="等线" w:hint="eastAsia"/>
                <w:color w:val="000000"/>
              </w:rPr>
              <w:t>序号</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D000E0B" w14:textId="77777777" w:rsidR="009D22CF" w:rsidRDefault="009D22CF" w:rsidP="00360E55">
            <w:pPr>
              <w:pStyle w:val="biaogecenter"/>
              <w:wordWrap w:val="0"/>
            </w:pPr>
            <w:r>
              <w:rPr>
                <w:rFonts w:hAnsi="等线" w:hint="eastAsia"/>
                <w:color w:val="000000"/>
              </w:rPr>
              <w:t>股票代码</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627A858" w14:textId="77777777" w:rsidR="009D22CF" w:rsidRDefault="009D22CF" w:rsidP="00360E55">
            <w:pPr>
              <w:pStyle w:val="biaogecenter"/>
              <w:wordWrap w:val="0"/>
            </w:pPr>
            <w:r>
              <w:rPr>
                <w:rFonts w:hAnsi="等线" w:hint="eastAsia"/>
                <w:color w:val="000000"/>
              </w:rPr>
              <w:t>股票名称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A720479" w14:textId="77777777" w:rsidR="009D22CF" w:rsidRDefault="009D22CF" w:rsidP="00360E55">
            <w:pPr>
              <w:pStyle w:val="biaogecenter"/>
              <w:wordWrap w:val="0"/>
            </w:pPr>
            <w:r>
              <w:rPr>
                <w:rFonts w:hAnsi="等线" w:hint="eastAsia"/>
                <w:color w:val="000000"/>
              </w:rPr>
              <w:t>数量(股)</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3225AE4" w14:textId="77777777" w:rsidR="009D22CF" w:rsidRDefault="009D22CF" w:rsidP="00360E55">
            <w:pPr>
              <w:pStyle w:val="biaogecenter"/>
              <w:wordWrap w:val="0"/>
            </w:pPr>
            <w:r>
              <w:rPr>
                <w:rFonts w:hAnsi="等线" w:hint="eastAsia"/>
                <w:color w:val="000000"/>
              </w:rPr>
              <w:t>公允价值(元)</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805BADC" w14:textId="77777777" w:rsidR="009D22CF" w:rsidRDefault="009D22CF" w:rsidP="00360E55">
            <w:pPr>
              <w:pStyle w:val="biaogecenter"/>
              <w:wordWrap w:val="0"/>
            </w:pPr>
            <w:r>
              <w:rPr>
                <w:rFonts w:hAnsi="等线" w:hint="eastAsia"/>
                <w:color w:val="000000"/>
              </w:rPr>
              <w:t>占基金资产净值比例（％）</w:t>
            </w:r>
          </w:p>
        </w:tc>
      </w:tr>
      <w:tr w:rsidR="009D22CF" w14:paraId="131506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296202" w14:textId="77777777" w:rsidR="009D22CF" w:rsidRDefault="009D22CF" w:rsidP="00360E55">
            <w:pPr>
              <w:pStyle w:val="biaogecenter"/>
              <w:wordWrap w:val="0"/>
            </w:pPr>
            <w:r>
              <w:rPr>
                <w:rFonts w:hAnsi="等线" w:hint="eastAsia"/>
                <w:color w:val="000000"/>
              </w:rPr>
              <w:t>1</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0A1F04C" w14:textId="77777777" w:rsidR="009D22CF" w:rsidRDefault="009D22CF" w:rsidP="00360E55">
            <w:pPr>
              <w:pStyle w:val="biaogeleft"/>
              <w:wordWrap w:val="0"/>
            </w:pPr>
            <w:r>
              <w:rPr>
                <w:rFonts w:hAnsi="等线" w:hint="eastAsia"/>
                <w:color w:val="000000"/>
              </w:rPr>
              <w:t>601899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F8C59F7" w14:textId="77777777" w:rsidR="009D22CF" w:rsidRDefault="009D22CF" w:rsidP="00360E55">
            <w:pPr>
              <w:pStyle w:val="biaogeleft"/>
              <w:wordWrap w:val="0"/>
            </w:pPr>
            <w:r>
              <w:rPr>
                <w:rFonts w:hAnsi="等线" w:hint="eastAsia"/>
                <w:color w:val="000000"/>
              </w:rPr>
              <w:t>紫金矿业</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6644813" w14:textId="77777777" w:rsidR="009D22CF" w:rsidRDefault="009D22CF" w:rsidP="00360E55">
            <w:pPr>
              <w:pStyle w:val="biaogeright"/>
              <w:wordWrap w:val="0"/>
            </w:pPr>
            <w:r>
              <w:rPr>
                <w:rFonts w:hAnsi="等线" w:hint="eastAsia"/>
                <w:color w:val="000000"/>
              </w:rPr>
              <w:t>1,375,300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02DD7BF" w14:textId="77777777" w:rsidR="009D22CF" w:rsidRDefault="009D22CF" w:rsidP="00360E55">
            <w:pPr>
              <w:pStyle w:val="biaogeright"/>
              <w:wordWrap w:val="0"/>
            </w:pPr>
            <w:r>
              <w:rPr>
                <w:rFonts w:hAnsi="等线" w:hint="eastAsia"/>
                <w:color w:val="000000"/>
              </w:rPr>
              <w:t>15,595,902.00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49BA81DE" w14:textId="77777777" w:rsidR="009D22CF" w:rsidRDefault="009D22CF" w:rsidP="00360E55">
            <w:pPr>
              <w:pStyle w:val="biaogeright"/>
              <w:wordWrap w:val="0"/>
            </w:pPr>
            <w:r>
              <w:rPr>
                <w:rFonts w:hAnsi="等线" w:hint="eastAsia"/>
                <w:color w:val="000000"/>
              </w:rPr>
              <w:t>8.23</w:t>
            </w:r>
          </w:p>
        </w:tc>
      </w:tr>
      <w:tr w:rsidR="009D22CF" w14:paraId="76B5006E"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28A46934" w14:textId="77777777" w:rsidR="009D22CF" w:rsidRDefault="009D22CF" w:rsidP="00360E55">
            <w:pPr>
              <w:pStyle w:val="biaogecenter"/>
              <w:wordWrap w:val="0"/>
            </w:pPr>
            <w:r>
              <w:rPr>
                <w:rFonts w:hAnsi="等线" w:hint="eastAsia"/>
                <w:color w:val="000000"/>
              </w:rPr>
              <w:t>2</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4664AF0E" w14:textId="77777777" w:rsidR="009D22CF" w:rsidRDefault="009D22CF" w:rsidP="00360E55">
            <w:pPr>
              <w:pStyle w:val="biaogeleft"/>
              <w:wordWrap w:val="0"/>
            </w:pPr>
            <w:r>
              <w:rPr>
                <w:rFonts w:hAnsi="等线" w:hint="eastAsia"/>
                <w:color w:val="000000"/>
              </w:rPr>
              <w:t>600426</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1F9C8AA6" w14:textId="77777777" w:rsidR="009D22CF" w:rsidRDefault="009D22CF" w:rsidP="00360E55">
            <w:pPr>
              <w:pStyle w:val="biaogeleft"/>
              <w:wordWrap w:val="0"/>
            </w:pPr>
            <w:proofErr w:type="gramStart"/>
            <w:r>
              <w:rPr>
                <w:rFonts w:hAnsi="等线" w:hint="eastAsia"/>
                <w:color w:val="000000"/>
              </w:rPr>
              <w:t>华鲁恒升</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37FBE9F" w14:textId="77777777" w:rsidR="009D22CF" w:rsidRDefault="009D22CF" w:rsidP="00360E55">
            <w:pPr>
              <w:pStyle w:val="biaogeright"/>
              <w:wordWrap w:val="0"/>
            </w:pPr>
            <w:r>
              <w:rPr>
                <w:rFonts w:hAnsi="等线" w:hint="eastAsia"/>
                <w:color w:val="000000"/>
              </w:rPr>
              <w:t>356,400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66C0BC11" w14:textId="77777777" w:rsidR="009D22CF" w:rsidRDefault="009D22CF" w:rsidP="00360E55">
            <w:pPr>
              <w:pStyle w:val="biaogeright"/>
              <w:wordWrap w:val="0"/>
            </w:pPr>
            <w:r>
              <w:rPr>
                <w:rFonts w:hAnsi="等线" w:hint="eastAsia"/>
                <w:color w:val="000000"/>
              </w:rPr>
              <w:t>11,607,948.00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AFBBE02" w14:textId="77777777" w:rsidR="009D22CF" w:rsidRDefault="009D22CF" w:rsidP="00360E55">
            <w:pPr>
              <w:pStyle w:val="biaogeright"/>
              <w:wordWrap w:val="0"/>
            </w:pPr>
            <w:r>
              <w:rPr>
                <w:rFonts w:hAnsi="等线" w:hint="eastAsia"/>
                <w:color w:val="000000"/>
              </w:rPr>
              <w:t>6.12</w:t>
            </w:r>
          </w:p>
        </w:tc>
      </w:tr>
      <w:tr w:rsidR="009D22CF" w14:paraId="1662FB80"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18DE7486" w14:textId="77777777" w:rsidR="009D22CF" w:rsidRDefault="009D22CF" w:rsidP="00360E55">
            <w:pPr>
              <w:pStyle w:val="biaogecenter"/>
              <w:wordWrap w:val="0"/>
            </w:pPr>
            <w:r>
              <w:rPr>
                <w:rFonts w:hAnsi="等线" w:hint="eastAsia"/>
                <w:color w:val="000000"/>
              </w:rPr>
              <w:t>3</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928F633" w14:textId="77777777" w:rsidR="009D22CF" w:rsidRDefault="009D22CF" w:rsidP="00360E55">
            <w:pPr>
              <w:pStyle w:val="biaogeleft"/>
              <w:wordWrap w:val="0"/>
            </w:pPr>
            <w:r>
              <w:rPr>
                <w:rFonts w:hAnsi="等线" w:hint="eastAsia"/>
                <w:color w:val="000000"/>
              </w:rPr>
              <w:t>600019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379BAE0" w14:textId="77777777" w:rsidR="009D22CF" w:rsidRDefault="009D22CF" w:rsidP="00360E55">
            <w:pPr>
              <w:pStyle w:val="biaogeleft"/>
              <w:wordWrap w:val="0"/>
            </w:pPr>
            <w:r>
              <w:rPr>
                <w:rFonts w:hAnsi="等线" w:hint="eastAsia"/>
                <w:color w:val="000000"/>
              </w:rPr>
              <w:t>宝钢股份</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002EDA2" w14:textId="77777777" w:rsidR="009D22CF" w:rsidRDefault="009D22CF" w:rsidP="00360E55">
            <w:pPr>
              <w:pStyle w:val="biaogeright"/>
              <w:wordWrap w:val="0"/>
            </w:pPr>
            <w:r>
              <w:rPr>
                <w:rFonts w:hAnsi="等线" w:hint="eastAsia"/>
                <w:color w:val="000000"/>
              </w:rPr>
              <w:t>1,626,400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B63138D" w14:textId="77777777" w:rsidR="009D22CF" w:rsidRDefault="009D22CF" w:rsidP="00360E55">
            <w:pPr>
              <w:pStyle w:val="biaogeright"/>
              <w:wordWrap w:val="0"/>
            </w:pPr>
            <w:r>
              <w:rPr>
                <w:rFonts w:hAnsi="等线" w:hint="eastAsia"/>
                <w:color w:val="000000"/>
              </w:rPr>
              <w:t>10,978,200.00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2F1EECE" w14:textId="77777777" w:rsidR="009D22CF" w:rsidRDefault="009D22CF" w:rsidP="00360E55">
            <w:pPr>
              <w:pStyle w:val="biaogeright"/>
              <w:wordWrap w:val="0"/>
            </w:pPr>
            <w:r>
              <w:rPr>
                <w:rFonts w:hAnsi="等线" w:hint="eastAsia"/>
                <w:color w:val="000000"/>
              </w:rPr>
              <w:t>5.79</w:t>
            </w:r>
          </w:p>
        </w:tc>
      </w:tr>
      <w:tr w:rsidR="009D22CF" w14:paraId="6D6B1DC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E572CD9" w14:textId="77777777" w:rsidR="009D22CF" w:rsidRDefault="009D22CF" w:rsidP="00360E55">
            <w:pPr>
              <w:pStyle w:val="biaogecenter"/>
              <w:wordWrap w:val="0"/>
            </w:pPr>
            <w:r>
              <w:rPr>
                <w:rFonts w:hAnsi="等线" w:hint="eastAsia"/>
                <w:color w:val="000000"/>
              </w:rPr>
              <w:t>4</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21607F63" w14:textId="77777777" w:rsidR="009D22CF" w:rsidRDefault="009D22CF" w:rsidP="00360E55">
            <w:pPr>
              <w:pStyle w:val="biaogeleft"/>
              <w:wordWrap w:val="0"/>
            </w:pPr>
            <w:r>
              <w:rPr>
                <w:rFonts w:hAnsi="等线" w:hint="eastAsia"/>
                <w:color w:val="000000"/>
              </w:rPr>
              <w:t>000333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E03CADD" w14:textId="77777777" w:rsidR="009D22CF" w:rsidRDefault="009D22CF" w:rsidP="00360E55">
            <w:pPr>
              <w:pStyle w:val="biaogeleft"/>
              <w:wordWrap w:val="0"/>
            </w:pPr>
            <w:r>
              <w:rPr>
                <w:rFonts w:hAnsi="等线" w:hint="eastAsia"/>
                <w:color w:val="000000"/>
              </w:rPr>
              <w:t>美的集团</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28A4837" w14:textId="77777777" w:rsidR="009D22CF" w:rsidRDefault="009D22CF" w:rsidP="00360E55">
            <w:pPr>
              <w:pStyle w:val="biaogeright"/>
              <w:wordWrap w:val="0"/>
            </w:pPr>
            <w:r>
              <w:rPr>
                <w:rFonts w:hAnsi="等线" w:hint="eastAsia"/>
                <w:color w:val="000000"/>
              </w:rPr>
              <w:t>183,500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4E014E35" w14:textId="77777777" w:rsidR="009D22CF" w:rsidRDefault="009D22CF" w:rsidP="00360E55">
            <w:pPr>
              <w:pStyle w:val="biaogeright"/>
              <w:wordWrap w:val="0"/>
            </w:pPr>
            <w:r>
              <w:rPr>
                <w:rFonts w:hAnsi="等线" w:hint="eastAsia"/>
                <w:color w:val="000000"/>
              </w:rPr>
              <w:t>10,459,500.00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3221422" w14:textId="77777777" w:rsidR="009D22CF" w:rsidRDefault="009D22CF" w:rsidP="00360E55">
            <w:pPr>
              <w:pStyle w:val="biaogeright"/>
              <w:wordWrap w:val="0"/>
            </w:pPr>
            <w:r>
              <w:rPr>
                <w:rFonts w:hAnsi="等线" w:hint="eastAsia"/>
                <w:color w:val="000000"/>
              </w:rPr>
              <w:t>5.52</w:t>
            </w:r>
          </w:p>
        </w:tc>
      </w:tr>
      <w:tr w:rsidR="009D22CF" w14:paraId="3344F363"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4161B1A2" w14:textId="77777777" w:rsidR="009D22CF" w:rsidRDefault="009D22CF" w:rsidP="00360E55">
            <w:pPr>
              <w:pStyle w:val="biaogecenter"/>
              <w:wordWrap w:val="0"/>
            </w:pPr>
            <w:r>
              <w:rPr>
                <w:rFonts w:hAnsi="等线" w:hint="eastAsia"/>
                <w:color w:val="000000"/>
              </w:rPr>
              <w:t>5</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5BE86DFD" w14:textId="77777777" w:rsidR="009D22CF" w:rsidRDefault="009D22CF" w:rsidP="00360E55">
            <w:pPr>
              <w:pStyle w:val="biaogeleft"/>
              <w:wordWrap w:val="0"/>
            </w:pPr>
            <w:r>
              <w:rPr>
                <w:rFonts w:hAnsi="等线" w:hint="eastAsia"/>
                <w:color w:val="000000"/>
              </w:rPr>
              <w:t>300957</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7ED07074" w14:textId="77777777" w:rsidR="009D22CF" w:rsidRDefault="009D22CF" w:rsidP="00360E55">
            <w:pPr>
              <w:pStyle w:val="biaogeleft"/>
              <w:wordWrap w:val="0"/>
            </w:pPr>
            <w:proofErr w:type="gramStart"/>
            <w:r>
              <w:rPr>
                <w:rFonts w:hAnsi="等线" w:hint="eastAsia"/>
                <w:color w:val="000000"/>
              </w:rPr>
              <w:t>贝泰妮</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1D770169" w14:textId="77777777" w:rsidR="009D22CF" w:rsidRDefault="009D22CF" w:rsidP="00360E55">
            <w:pPr>
              <w:pStyle w:val="biaogeright"/>
              <w:wordWrap w:val="0"/>
            </w:pPr>
            <w:r>
              <w:rPr>
                <w:rFonts w:hAnsi="等线" w:hint="eastAsia"/>
                <w:color w:val="000000"/>
              </w:rPr>
              <w:t>52,900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DE8F1" w14:textId="77777777" w:rsidR="009D22CF" w:rsidRDefault="009D22CF" w:rsidP="00360E55">
            <w:pPr>
              <w:pStyle w:val="biaogeright"/>
              <w:wordWrap w:val="0"/>
            </w:pPr>
            <w:r>
              <w:rPr>
                <w:rFonts w:hAnsi="等线" w:hint="eastAsia"/>
                <w:color w:val="000000"/>
              </w:rPr>
              <w:t>9,893,358.00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6E5E508C" w14:textId="77777777" w:rsidR="009D22CF" w:rsidRDefault="009D22CF" w:rsidP="00360E55">
            <w:pPr>
              <w:pStyle w:val="biaogeright"/>
              <w:wordWrap w:val="0"/>
            </w:pPr>
            <w:r>
              <w:rPr>
                <w:rFonts w:hAnsi="等线" w:hint="eastAsia"/>
                <w:color w:val="000000"/>
              </w:rPr>
              <w:t>5.22</w:t>
            </w:r>
          </w:p>
        </w:tc>
      </w:tr>
      <w:tr w:rsidR="009D22CF" w14:paraId="0BD49F8F"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739DF6C" w14:textId="77777777" w:rsidR="009D22CF" w:rsidRDefault="009D22CF" w:rsidP="00360E55">
            <w:pPr>
              <w:pStyle w:val="biaogecenter"/>
              <w:wordWrap w:val="0"/>
            </w:pPr>
            <w:r>
              <w:rPr>
                <w:rFonts w:hAnsi="等线" w:hint="eastAsia"/>
                <w:color w:val="000000"/>
              </w:rPr>
              <w:t>6</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3D36DD" w14:textId="77777777" w:rsidR="009D22CF" w:rsidRDefault="009D22CF" w:rsidP="00360E55">
            <w:pPr>
              <w:pStyle w:val="biaogeleft"/>
              <w:wordWrap w:val="0"/>
            </w:pPr>
            <w:r>
              <w:rPr>
                <w:rFonts w:hAnsi="等线" w:hint="eastAsia"/>
                <w:color w:val="000000"/>
              </w:rPr>
              <w:t>300059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016E5CE2" w14:textId="77777777" w:rsidR="009D22CF" w:rsidRDefault="009D22CF" w:rsidP="00360E55">
            <w:pPr>
              <w:pStyle w:val="biaogeleft"/>
              <w:wordWrap w:val="0"/>
            </w:pPr>
            <w:r>
              <w:rPr>
                <w:rFonts w:hAnsi="等线" w:hint="eastAsia"/>
                <w:color w:val="000000"/>
              </w:rPr>
              <w:t>东方财富</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1EDFE1C" w14:textId="77777777" w:rsidR="009D22CF" w:rsidRDefault="009D22CF" w:rsidP="00360E55">
            <w:pPr>
              <w:pStyle w:val="biaogeright"/>
              <w:wordWrap w:val="0"/>
            </w:pPr>
            <w:r>
              <w:rPr>
                <w:rFonts w:hAnsi="等线" w:hint="eastAsia"/>
                <w:color w:val="000000"/>
              </w:rPr>
              <w:t>382,100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223A1E88" w14:textId="77777777" w:rsidR="009D22CF" w:rsidRDefault="009D22CF" w:rsidP="00360E55">
            <w:pPr>
              <w:pStyle w:val="biaogeright"/>
              <w:wordWrap w:val="0"/>
            </w:pPr>
            <w:r>
              <w:rPr>
                <w:rFonts w:hAnsi="等线" w:hint="eastAsia"/>
                <w:color w:val="000000"/>
              </w:rPr>
              <w:t>9,682,414.00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2AB20E20" w14:textId="77777777" w:rsidR="009D22CF" w:rsidRDefault="009D22CF" w:rsidP="00360E55">
            <w:pPr>
              <w:pStyle w:val="biaogeright"/>
              <w:wordWrap w:val="0"/>
            </w:pPr>
            <w:r>
              <w:rPr>
                <w:rFonts w:hAnsi="等线" w:hint="eastAsia"/>
                <w:color w:val="000000"/>
              </w:rPr>
              <w:t>5.11</w:t>
            </w:r>
          </w:p>
        </w:tc>
      </w:tr>
      <w:tr w:rsidR="009D22CF" w14:paraId="545F6C5D"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6F9D613" w14:textId="77777777" w:rsidR="009D22CF" w:rsidRDefault="009D22CF" w:rsidP="00360E55">
            <w:pPr>
              <w:pStyle w:val="biaogecenter"/>
              <w:wordWrap w:val="0"/>
            </w:pPr>
            <w:r>
              <w:rPr>
                <w:rFonts w:hAnsi="等线" w:hint="eastAsia"/>
                <w:color w:val="000000"/>
              </w:rPr>
              <w:t>7</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69968408" w14:textId="77777777" w:rsidR="009D22CF" w:rsidRDefault="009D22CF" w:rsidP="00360E55">
            <w:pPr>
              <w:pStyle w:val="biaogeleft"/>
              <w:wordWrap w:val="0"/>
            </w:pPr>
            <w:r>
              <w:rPr>
                <w:rFonts w:hAnsi="等线" w:hint="eastAsia"/>
                <w:color w:val="000000"/>
              </w:rPr>
              <w:t>600519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E542981" w14:textId="77777777" w:rsidR="009D22CF" w:rsidRDefault="009D22CF" w:rsidP="00360E55">
            <w:pPr>
              <w:pStyle w:val="biaogeleft"/>
              <w:wordWrap w:val="0"/>
            </w:pPr>
            <w:r>
              <w:rPr>
                <w:rFonts w:hAnsi="等线" w:hint="eastAsia"/>
                <w:color w:val="000000"/>
              </w:rPr>
              <w:t>贵州茅台</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0DC92AB5" w14:textId="77777777" w:rsidR="009D22CF" w:rsidRDefault="009D22CF" w:rsidP="00360E55">
            <w:pPr>
              <w:pStyle w:val="biaogeright"/>
              <w:wordWrap w:val="0"/>
            </w:pPr>
            <w:r>
              <w:rPr>
                <w:rFonts w:hAnsi="等线" w:hint="eastAsia"/>
                <w:color w:val="000000"/>
              </w:rPr>
              <w:t>5,600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79782A5B" w14:textId="77777777" w:rsidR="009D22CF" w:rsidRDefault="009D22CF" w:rsidP="00360E55">
            <w:pPr>
              <w:pStyle w:val="biaogeright"/>
              <w:wordWrap w:val="0"/>
            </w:pPr>
            <w:r>
              <w:rPr>
                <w:rFonts w:hAnsi="等线" w:hint="eastAsia"/>
                <w:color w:val="000000"/>
              </w:rPr>
              <w:t>9,626,400.00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11FDE5A4" w14:textId="77777777" w:rsidR="009D22CF" w:rsidRDefault="009D22CF" w:rsidP="00360E55">
            <w:pPr>
              <w:pStyle w:val="biaogeright"/>
              <w:wordWrap w:val="0"/>
            </w:pPr>
            <w:r>
              <w:rPr>
                <w:rFonts w:hAnsi="等线" w:hint="eastAsia"/>
                <w:color w:val="000000"/>
              </w:rPr>
              <w:t>5.08</w:t>
            </w:r>
          </w:p>
        </w:tc>
      </w:tr>
      <w:tr w:rsidR="009D22CF" w14:paraId="49E4CFEB"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BCD16EE" w14:textId="77777777" w:rsidR="009D22CF" w:rsidRDefault="009D22CF" w:rsidP="00360E55">
            <w:pPr>
              <w:pStyle w:val="biaogecenter"/>
              <w:wordWrap w:val="0"/>
            </w:pPr>
            <w:r>
              <w:rPr>
                <w:rFonts w:hAnsi="等线" w:hint="eastAsia"/>
                <w:color w:val="000000"/>
              </w:rPr>
              <w:t>8</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5F59EEC" w14:textId="77777777" w:rsidR="009D22CF" w:rsidRDefault="009D22CF" w:rsidP="00360E55">
            <w:pPr>
              <w:pStyle w:val="biaogeleft"/>
              <w:wordWrap w:val="0"/>
            </w:pPr>
            <w:r>
              <w:rPr>
                <w:rFonts w:hAnsi="等线" w:hint="eastAsia"/>
                <w:color w:val="000000"/>
              </w:rPr>
              <w:t>603833</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2ADEA452" w14:textId="77777777" w:rsidR="009D22CF" w:rsidRDefault="009D22CF" w:rsidP="00360E55">
            <w:pPr>
              <w:pStyle w:val="biaogeleft"/>
              <w:wordWrap w:val="0"/>
            </w:pPr>
            <w:r>
              <w:rPr>
                <w:rFonts w:hAnsi="等线" w:hint="eastAsia"/>
                <w:color w:val="000000"/>
              </w:rPr>
              <w:t>欧派家居</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3A52966F" w14:textId="77777777" w:rsidR="009D22CF" w:rsidRDefault="009D22CF" w:rsidP="00360E55">
            <w:pPr>
              <w:pStyle w:val="biaogeright"/>
              <w:wordWrap w:val="0"/>
            </w:pPr>
            <w:r>
              <w:rPr>
                <w:rFonts w:hAnsi="等线" w:hint="eastAsia"/>
                <w:color w:val="000000"/>
              </w:rPr>
              <w:t>81,200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0D620674" w14:textId="77777777" w:rsidR="009D22CF" w:rsidRDefault="009D22CF" w:rsidP="00360E55">
            <w:pPr>
              <w:pStyle w:val="biaogeright"/>
              <w:wordWrap w:val="0"/>
            </w:pPr>
            <w:r>
              <w:rPr>
                <w:rFonts w:hAnsi="等线" w:hint="eastAsia"/>
                <w:color w:val="000000"/>
              </w:rPr>
              <w:t>9,500,400.00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049E59B9" w14:textId="77777777" w:rsidR="009D22CF" w:rsidRDefault="009D22CF" w:rsidP="00360E55">
            <w:pPr>
              <w:pStyle w:val="biaogeright"/>
              <w:wordWrap w:val="0"/>
            </w:pPr>
            <w:r>
              <w:rPr>
                <w:rFonts w:hAnsi="等线" w:hint="eastAsia"/>
                <w:color w:val="000000"/>
              </w:rPr>
              <w:t>5.01</w:t>
            </w:r>
          </w:p>
        </w:tc>
      </w:tr>
      <w:tr w:rsidR="009D22CF" w14:paraId="540C6595"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6A094FAC" w14:textId="77777777" w:rsidR="009D22CF" w:rsidRDefault="009D22CF" w:rsidP="00360E55">
            <w:pPr>
              <w:pStyle w:val="biaogecenter"/>
              <w:wordWrap w:val="0"/>
            </w:pPr>
            <w:r>
              <w:rPr>
                <w:rFonts w:hAnsi="等线" w:hint="eastAsia"/>
                <w:color w:val="000000"/>
              </w:rPr>
              <w:t>9</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02426982" w14:textId="77777777" w:rsidR="009D22CF" w:rsidRDefault="009D22CF" w:rsidP="00360E55">
            <w:pPr>
              <w:pStyle w:val="biaogeleft"/>
              <w:wordWrap w:val="0"/>
            </w:pPr>
            <w:r>
              <w:rPr>
                <w:rFonts w:hAnsi="等线" w:hint="eastAsia"/>
                <w:color w:val="000000"/>
              </w:rPr>
              <w:t>002027</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48D6428B" w14:textId="77777777" w:rsidR="009D22CF" w:rsidRDefault="009D22CF" w:rsidP="00360E55">
            <w:pPr>
              <w:pStyle w:val="biaogeleft"/>
              <w:wordWrap w:val="0"/>
            </w:pPr>
            <w:r>
              <w:rPr>
                <w:rFonts w:hAnsi="等线" w:hint="eastAsia"/>
                <w:color w:val="000000"/>
              </w:rPr>
              <w:t>分众传媒</w:t>
            </w:r>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5EC3AFAE" w14:textId="77777777" w:rsidR="009D22CF" w:rsidRDefault="009D22CF" w:rsidP="00360E55">
            <w:pPr>
              <w:pStyle w:val="biaogeright"/>
              <w:wordWrap w:val="0"/>
            </w:pPr>
            <w:r>
              <w:rPr>
                <w:rFonts w:hAnsi="等线" w:hint="eastAsia"/>
                <w:color w:val="000000"/>
              </w:rPr>
              <w:t>1,538,400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1437873F" w14:textId="77777777" w:rsidR="009D22CF" w:rsidRDefault="009D22CF" w:rsidP="00360E55">
            <w:pPr>
              <w:pStyle w:val="biaogeright"/>
              <w:wordWrap w:val="0"/>
            </w:pPr>
            <w:r>
              <w:rPr>
                <w:rFonts w:hAnsi="等线" w:hint="eastAsia"/>
                <w:color w:val="000000"/>
              </w:rPr>
              <w:t>9,399,624.00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14C37FB" w14:textId="77777777" w:rsidR="009D22CF" w:rsidRDefault="009D22CF" w:rsidP="00360E55">
            <w:pPr>
              <w:pStyle w:val="biaogeright"/>
              <w:wordWrap w:val="0"/>
            </w:pPr>
            <w:r>
              <w:rPr>
                <w:rFonts w:hAnsi="等线" w:hint="eastAsia"/>
                <w:color w:val="000000"/>
              </w:rPr>
              <w:t>4.96</w:t>
            </w:r>
          </w:p>
        </w:tc>
      </w:tr>
      <w:tr w:rsidR="009D22CF" w14:paraId="699C1808" w14:textId="77777777" w:rsidTr="007B2A9B">
        <w:tc>
          <w:tcPr>
            <w:tcW w:w="472" w:type="dxa"/>
            <w:tcBorders>
              <w:top w:val="single" w:sz="8" w:space="0" w:color="000000"/>
              <w:left w:val="single" w:sz="8" w:space="0" w:color="000000"/>
              <w:bottom w:val="single" w:sz="6" w:space="0" w:color="000000"/>
              <w:right w:val="single" w:sz="8" w:space="0" w:color="000000"/>
            </w:tcBorders>
            <w:vAlign w:val="center"/>
            <w:hideMark/>
          </w:tcPr>
          <w:p w14:paraId="7AA1F751" w14:textId="77777777" w:rsidR="009D22CF" w:rsidRDefault="009D22CF" w:rsidP="00360E55">
            <w:pPr>
              <w:pStyle w:val="biaogecenter"/>
              <w:wordWrap w:val="0"/>
            </w:pPr>
            <w:r>
              <w:rPr>
                <w:rFonts w:hAnsi="等线" w:hint="eastAsia"/>
                <w:color w:val="000000"/>
              </w:rPr>
              <w:t>10</w:t>
            </w:r>
          </w:p>
        </w:tc>
        <w:tc>
          <w:tcPr>
            <w:tcW w:w="1402" w:type="dxa"/>
            <w:tcBorders>
              <w:top w:val="single" w:sz="8" w:space="0" w:color="000000"/>
              <w:left w:val="single" w:sz="8" w:space="0" w:color="000000"/>
              <w:bottom w:val="single" w:sz="6" w:space="0" w:color="000000"/>
              <w:right w:val="single" w:sz="8" w:space="0" w:color="000000"/>
            </w:tcBorders>
            <w:vAlign w:val="center"/>
            <w:hideMark/>
          </w:tcPr>
          <w:p w14:paraId="3299D7BC" w14:textId="77777777" w:rsidR="009D22CF" w:rsidRDefault="009D22CF" w:rsidP="00360E55">
            <w:pPr>
              <w:pStyle w:val="biaogeleft"/>
              <w:wordWrap w:val="0"/>
            </w:pPr>
            <w:r>
              <w:rPr>
                <w:rFonts w:hAnsi="等线" w:hint="eastAsia"/>
                <w:color w:val="000000"/>
              </w:rPr>
              <w:t>603799</w:t>
            </w:r>
          </w:p>
        </w:tc>
        <w:tc>
          <w:tcPr>
            <w:tcW w:w="1528" w:type="dxa"/>
            <w:tcBorders>
              <w:top w:val="single" w:sz="8" w:space="0" w:color="000000"/>
              <w:left w:val="single" w:sz="8" w:space="0" w:color="000000"/>
              <w:bottom w:val="single" w:sz="6" w:space="0" w:color="000000"/>
              <w:right w:val="single" w:sz="8" w:space="0" w:color="000000"/>
            </w:tcBorders>
            <w:vAlign w:val="center"/>
            <w:hideMark/>
          </w:tcPr>
          <w:p w14:paraId="52F62422" w14:textId="77777777" w:rsidR="009D22CF" w:rsidRDefault="009D22CF" w:rsidP="00360E55">
            <w:pPr>
              <w:pStyle w:val="biaogeleft"/>
              <w:wordWrap w:val="0"/>
            </w:pPr>
            <w:r>
              <w:rPr>
                <w:rFonts w:hAnsi="等线" w:hint="eastAsia"/>
                <w:color w:val="000000"/>
              </w:rPr>
              <w:t>华</w:t>
            </w:r>
            <w:proofErr w:type="gramStart"/>
            <w:r>
              <w:rPr>
                <w:rFonts w:hAnsi="等线" w:hint="eastAsia"/>
                <w:color w:val="000000"/>
              </w:rPr>
              <w:t>友钴业</w:t>
            </w:r>
            <w:proofErr w:type="gramEnd"/>
          </w:p>
        </w:tc>
        <w:tc>
          <w:tcPr>
            <w:tcW w:w="1560" w:type="dxa"/>
            <w:tcBorders>
              <w:top w:val="single" w:sz="8" w:space="0" w:color="000000"/>
              <w:left w:val="single" w:sz="8" w:space="0" w:color="000000"/>
              <w:bottom w:val="single" w:sz="6" w:space="0" w:color="000000"/>
              <w:right w:val="single" w:sz="8" w:space="0" w:color="000000"/>
            </w:tcBorders>
            <w:vAlign w:val="center"/>
            <w:hideMark/>
          </w:tcPr>
          <w:p w14:paraId="47D50837" w14:textId="77777777" w:rsidR="009D22CF" w:rsidRDefault="009D22CF" w:rsidP="00360E55">
            <w:pPr>
              <w:pStyle w:val="biaogeright"/>
              <w:wordWrap w:val="0"/>
            </w:pPr>
            <w:r>
              <w:rPr>
                <w:rFonts w:hAnsi="等线" w:hint="eastAsia"/>
                <w:color w:val="000000"/>
              </w:rPr>
              <w:t>92,800</w:t>
            </w:r>
          </w:p>
        </w:tc>
        <w:tc>
          <w:tcPr>
            <w:tcW w:w="1978" w:type="dxa"/>
            <w:tcBorders>
              <w:top w:val="single" w:sz="8" w:space="0" w:color="000000"/>
              <w:left w:val="single" w:sz="8" w:space="0" w:color="000000"/>
              <w:bottom w:val="single" w:sz="6" w:space="0" w:color="000000"/>
              <w:right w:val="single" w:sz="8" w:space="0" w:color="000000"/>
            </w:tcBorders>
            <w:vAlign w:val="center"/>
            <w:hideMark/>
          </w:tcPr>
          <w:p w14:paraId="52A8F3FB" w14:textId="77777777" w:rsidR="009D22CF" w:rsidRDefault="009D22CF" w:rsidP="00360E55">
            <w:pPr>
              <w:pStyle w:val="biaogeright"/>
              <w:wordWrap w:val="0"/>
            </w:pPr>
            <w:r>
              <w:rPr>
                <w:rFonts w:hAnsi="等线" w:hint="eastAsia"/>
                <w:color w:val="000000"/>
              </w:rPr>
              <w:t>9,075,840.00</w:t>
            </w:r>
          </w:p>
        </w:tc>
        <w:tc>
          <w:tcPr>
            <w:tcW w:w="1719" w:type="dxa"/>
            <w:tcBorders>
              <w:top w:val="single" w:sz="8" w:space="0" w:color="000000"/>
              <w:left w:val="single" w:sz="8" w:space="0" w:color="000000"/>
              <w:bottom w:val="single" w:sz="6" w:space="0" w:color="000000"/>
              <w:right w:val="single" w:sz="8" w:space="0" w:color="000000"/>
            </w:tcBorders>
            <w:vAlign w:val="center"/>
            <w:hideMark/>
          </w:tcPr>
          <w:p w14:paraId="36A4C165" w14:textId="77777777" w:rsidR="009D22CF" w:rsidRDefault="009D22CF" w:rsidP="00360E55">
            <w:pPr>
              <w:pStyle w:val="biaogeright"/>
              <w:wordWrap w:val="0"/>
            </w:pPr>
            <w:r>
              <w:rPr>
                <w:rFonts w:hAnsi="等线" w:hint="eastAsia"/>
                <w:color w:val="000000"/>
              </w:rPr>
              <w:t>4.79</w:t>
            </w:r>
          </w:p>
        </w:tc>
      </w:tr>
    </w:tbl>
    <w:p w14:paraId="2452CAAB" w14:textId="77777777" w:rsidR="009D22CF" w:rsidRDefault="009D22CF" w:rsidP="009D22CF">
      <w:pPr>
        <w:widowControl/>
        <w:jc w:val="left"/>
        <w:rPr>
          <w:rFonts w:ascii="宋体" w:eastAsia="宋体" w:hAnsi="宋体" w:cs="宋体"/>
          <w:kern w:val="0"/>
          <w:sz w:val="24"/>
          <w:szCs w:val="24"/>
        </w:rPr>
      </w:pPr>
    </w:p>
    <w:p w14:paraId="1735BAD8" w14:textId="77777777" w:rsidR="009D22CF" w:rsidRPr="00360E55" w:rsidRDefault="009D22CF" w:rsidP="009D22CF">
      <w:pPr>
        <w:pStyle w:val="zhangjiep"/>
        <w:rPr>
          <w:rFonts w:asciiTheme="minorEastAsia" w:eastAsiaTheme="minorEastAsia" w:hAnsiTheme="minorEastAsia" w:cs="Times New Roman"/>
          <w:bCs/>
          <w:kern w:val="2"/>
        </w:rPr>
      </w:pPr>
      <w:bookmarkStart w:id="217" w:name="_Toc101354067"/>
      <w:r w:rsidRPr="00360E55">
        <w:rPr>
          <w:rFonts w:asciiTheme="minorEastAsia" w:eastAsiaTheme="minorEastAsia" w:hAnsiTheme="minorEastAsia" w:cs="Times New Roman"/>
          <w:bCs/>
          <w:kern w:val="2"/>
        </w:rPr>
        <w:t>4、 报告期末按债券品种分类的债券投资组合</w:t>
      </w:r>
      <w:bookmarkEnd w:id="217"/>
    </w:p>
    <w:p w14:paraId="034DB735" w14:textId="77777777" w:rsidR="009D22CF" w:rsidRDefault="009D22CF" w:rsidP="009D22CF">
      <w:pPr>
        <w:pStyle w:val="neirong"/>
        <w:ind w:firstLineChars="200" w:firstLine="480"/>
      </w:pPr>
      <w:r>
        <w:rPr>
          <w:rFonts w:hint="eastAsia"/>
        </w:rPr>
        <w:t>本基金本报告期末未持有债券。</w:t>
      </w:r>
    </w:p>
    <w:p w14:paraId="577A0B59" w14:textId="77777777" w:rsidR="009D22CF" w:rsidRDefault="009D22CF" w:rsidP="009D22CF">
      <w:pPr>
        <w:widowControl/>
        <w:jc w:val="left"/>
        <w:rPr>
          <w:rFonts w:ascii="宋体" w:eastAsia="宋体" w:hAnsi="宋体" w:cs="宋体"/>
          <w:kern w:val="0"/>
          <w:sz w:val="24"/>
          <w:szCs w:val="24"/>
        </w:rPr>
      </w:pPr>
    </w:p>
    <w:p w14:paraId="00123DCA" w14:textId="77777777" w:rsidR="009D22CF" w:rsidRPr="00360E55" w:rsidRDefault="009D22CF" w:rsidP="009D22CF">
      <w:pPr>
        <w:pStyle w:val="zhangjiep"/>
        <w:rPr>
          <w:rFonts w:asciiTheme="minorEastAsia" w:eastAsiaTheme="minorEastAsia" w:hAnsiTheme="minorEastAsia" w:cs="Times New Roman"/>
          <w:bCs/>
          <w:kern w:val="2"/>
        </w:rPr>
      </w:pPr>
      <w:bookmarkStart w:id="218" w:name="_Toc101354068"/>
      <w:r w:rsidRPr="00360E55">
        <w:rPr>
          <w:rFonts w:asciiTheme="minorEastAsia" w:eastAsiaTheme="minorEastAsia" w:hAnsiTheme="minorEastAsia" w:cs="Times New Roman"/>
          <w:bCs/>
          <w:kern w:val="2"/>
        </w:rPr>
        <w:t>5、</w:t>
      </w:r>
      <w:r w:rsidRPr="00360E55">
        <w:rPr>
          <w:rFonts w:asciiTheme="minorEastAsia" w:eastAsiaTheme="minorEastAsia" w:hAnsiTheme="minorEastAsia" w:cs="Times New Roman" w:hint="eastAsia"/>
          <w:bCs/>
          <w:kern w:val="2"/>
        </w:rPr>
        <w:t>报告期末按公允价值占基金资产净值比例大小排序的前五名债券投资明细</w:t>
      </w:r>
      <w:bookmarkEnd w:id="218"/>
    </w:p>
    <w:p w14:paraId="56D91A71" w14:textId="77777777" w:rsidR="009D22CF" w:rsidRDefault="009D22CF" w:rsidP="009D22CF">
      <w:pPr>
        <w:pStyle w:val="neirong"/>
        <w:ind w:firstLineChars="200" w:firstLine="480"/>
      </w:pPr>
      <w:r>
        <w:rPr>
          <w:rFonts w:hint="eastAsia"/>
        </w:rPr>
        <w:t>本基金本报告期末未持有债券。</w:t>
      </w:r>
    </w:p>
    <w:p w14:paraId="61D83366" w14:textId="77777777" w:rsidR="009D22CF" w:rsidRDefault="009D22CF" w:rsidP="009D22CF">
      <w:pPr>
        <w:widowControl/>
        <w:jc w:val="left"/>
        <w:rPr>
          <w:rFonts w:ascii="宋体" w:eastAsia="宋体" w:hAnsi="宋体" w:cs="宋体"/>
          <w:kern w:val="0"/>
          <w:sz w:val="24"/>
          <w:szCs w:val="24"/>
        </w:rPr>
      </w:pPr>
    </w:p>
    <w:p w14:paraId="3E38A912" w14:textId="77777777" w:rsidR="009D22CF" w:rsidRPr="00360E55" w:rsidRDefault="009D22CF" w:rsidP="009D22CF">
      <w:pPr>
        <w:pStyle w:val="zhangjiep"/>
        <w:rPr>
          <w:rFonts w:asciiTheme="minorEastAsia" w:eastAsiaTheme="minorEastAsia" w:hAnsiTheme="minorEastAsia" w:cs="Times New Roman"/>
          <w:bCs/>
          <w:kern w:val="2"/>
        </w:rPr>
      </w:pPr>
      <w:bookmarkStart w:id="219" w:name="_Toc101354069"/>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报告期末按公允价值占基金资产净值比例大小排序的前十名资产支持证券投资明细</w:t>
      </w:r>
      <w:bookmarkEnd w:id="219"/>
    </w:p>
    <w:p w14:paraId="1EBAE94A" w14:textId="77777777" w:rsidR="009D22CF" w:rsidRDefault="009D22CF" w:rsidP="009D22CF">
      <w:pPr>
        <w:pStyle w:val="neirong"/>
        <w:ind w:firstLineChars="200" w:firstLine="480"/>
      </w:pPr>
      <w:r>
        <w:rPr>
          <w:rFonts w:hint="eastAsia"/>
        </w:rPr>
        <w:t>本基金本报告期末未持有资产支持证券。</w:t>
      </w:r>
    </w:p>
    <w:p w14:paraId="039475E2" w14:textId="77777777" w:rsidR="009D22CF" w:rsidRDefault="009D22CF" w:rsidP="009D22CF">
      <w:pPr>
        <w:widowControl/>
        <w:jc w:val="left"/>
        <w:rPr>
          <w:rFonts w:ascii="宋体" w:eastAsia="宋体" w:hAnsi="宋体" w:cs="宋体"/>
          <w:kern w:val="0"/>
          <w:sz w:val="24"/>
          <w:szCs w:val="24"/>
        </w:rPr>
      </w:pPr>
    </w:p>
    <w:p w14:paraId="717B02D7" w14:textId="77777777" w:rsidR="009D22CF" w:rsidRPr="00360E55" w:rsidRDefault="009D22CF" w:rsidP="009D22CF">
      <w:pPr>
        <w:pStyle w:val="zhangjiep"/>
        <w:rPr>
          <w:rFonts w:asciiTheme="minorEastAsia" w:eastAsiaTheme="minorEastAsia" w:hAnsiTheme="minorEastAsia" w:cs="Times New Roman"/>
          <w:bCs/>
          <w:kern w:val="2"/>
        </w:rPr>
      </w:pPr>
      <w:bookmarkStart w:id="220" w:name="_Toc101354070"/>
      <w:r w:rsidRPr="00360E55">
        <w:rPr>
          <w:rFonts w:asciiTheme="minorEastAsia" w:eastAsiaTheme="minorEastAsia" w:hAnsiTheme="minorEastAsia" w:cs="Times New Roman"/>
          <w:bCs/>
          <w:kern w:val="2"/>
        </w:rPr>
        <w:t>7、</w:t>
      </w:r>
      <w:r w:rsidRPr="00360E55">
        <w:rPr>
          <w:rFonts w:asciiTheme="minorEastAsia" w:eastAsiaTheme="minorEastAsia" w:hAnsiTheme="minorEastAsia" w:cs="Times New Roman" w:hint="eastAsia"/>
          <w:bCs/>
          <w:kern w:val="2"/>
        </w:rPr>
        <w:t>报告期末按公允价值占基金资产净值比例大小排序的前五名贵金属投资明细</w:t>
      </w:r>
      <w:bookmarkEnd w:id="220"/>
    </w:p>
    <w:p w14:paraId="1728E499" w14:textId="77777777" w:rsidR="009D22CF" w:rsidRDefault="009D22CF" w:rsidP="009D22CF">
      <w:pPr>
        <w:pStyle w:val="neirong"/>
        <w:ind w:firstLineChars="200" w:firstLine="480"/>
      </w:pPr>
      <w:r>
        <w:rPr>
          <w:rFonts w:hint="eastAsia"/>
        </w:rPr>
        <w:t>本基金本报告期末未持有贵金属。</w:t>
      </w:r>
    </w:p>
    <w:p w14:paraId="16D68A0A" w14:textId="77777777" w:rsidR="009D22CF" w:rsidRDefault="009D22CF" w:rsidP="009D22CF">
      <w:pPr>
        <w:widowControl/>
        <w:jc w:val="left"/>
        <w:rPr>
          <w:rFonts w:ascii="宋体" w:eastAsia="宋体" w:hAnsi="宋体" w:cs="宋体"/>
          <w:kern w:val="0"/>
          <w:sz w:val="24"/>
          <w:szCs w:val="24"/>
        </w:rPr>
      </w:pPr>
    </w:p>
    <w:p w14:paraId="3F7A6DE9" w14:textId="77777777" w:rsidR="009D22CF" w:rsidRPr="00360E55" w:rsidRDefault="009D22CF" w:rsidP="009D22CF">
      <w:pPr>
        <w:pStyle w:val="zhangjiep"/>
        <w:rPr>
          <w:rFonts w:asciiTheme="minorEastAsia" w:eastAsiaTheme="minorEastAsia" w:hAnsiTheme="minorEastAsia" w:cs="Times New Roman"/>
          <w:bCs/>
          <w:kern w:val="2"/>
        </w:rPr>
      </w:pPr>
      <w:bookmarkStart w:id="221" w:name="_Toc101354071"/>
      <w:r w:rsidRPr="00360E55">
        <w:rPr>
          <w:rFonts w:asciiTheme="minorEastAsia" w:eastAsiaTheme="minorEastAsia" w:hAnsiTheme="minorEastAsia" w:cs="Times New Roman"/>
          <w:bCs/>
          <w:kern w:val="2"/>
        </w:rPr>
        <w:t>8、</w:t>
      </w:r>
      <w:r w:rsidRPr="00360E55">
        <w:rPr>
          <w:rFonts w:asciiTheme="minorEastAsia" w:eastAsiaTheme="minorEastAsia" w:hAnsiTheme="minorEastAsia" w:cs="Times New Roman" w:hint="eastAsia"/>
          <w:bCs/>
          <w:kern w:val="2"/>
        </w:rPr>
        <w:t>报告期末按公允价值占基金资产净值比例大小排序的前五名权证投资明细</w:t>
      </w:r>
      <w:bookmarkEnd w:id="221"/>
    </w:p>
    <w:p w14:paraId="56D75A09" w14:textId="77777777" w:rsidR="009D22CF" w:rsidRDefault="009D22CF" w:rsidP="009D22CF">
      <w:pPr>
        <w:pStyle w:val="neirong"/>
        <w:ind w:firstLineChars="200" w:firstLine="480"/>
      </w:pPr>
      <w:r>
        <w:rPr>
          <w:rFonts w:hint="eastAsia"/>
        </w:rPr>
        <w:t>本基金本报告期末未持有权证。</w:t>
      </w:r>
    </w:p>
    <w:p w14:paraId="1EA5F5AC" w14:textId="77777777" w:rsidR="009D22CF" w:rsidRDefault="009D22CF" w:rsidP="009D22CF">
      <w:pPr>
        <w:widowControl/>
        <w:jc w:val="left"/>
        <w:rPr>
          <w:rFonts w:ascii="宋体" w:eastAsia="宋体" w:hAnsi="宋体" w:cs="宋体"/>
          <w:kern w:val="0"/>
          <w:sz w:val="24"/>
          <w:szCs w:val="24"/>
        </w:rPr>
      </w:pPr>
    </w:p>
    <w:p w14:paraId="5FCE7843" w14:textId="77777777" w:rsidR="009D22CF" w:rsidRPr="00360E55" w:rsidRDefault="009D22CF" w:rsidP="009D22CF">
      <w:pPr>
        <w:pStyle w:val="zhangjiep"/>
        <w:rPr>
          <w:rFonts w:asciiTheme="minorEastAsia" w:eastAsiaTheme="minorEastAsia" w:hAnsiTheme="minorEastAsia" w:cs="Times New Roman"/>
          <w:bCs/>
          <w:kern w:val="2"/>
        </w:rPr>
      </w:pPr>
      <w:bookmarkStart w:id="222" w:name="_Toc101354072"/>
      <w:r w:rsidRPr="00360E55">
        <w:rPr>
          <w:rFonts w:asciiTheme="minorEastAsia" w:eastAsiaTheme="minorEastAsia" w:hAnsiTheme="minorEastAsia" w:cs="Times New Roman"/>
          <w:bCs/>
          <w:kern w:val="2"/>
        </w:rPr>
        <w:t>9、</w:t>
      </w:r>
      <w:r w:rsidRPr="00360E55">
        <w:rPr>
          <w:rFonts w:asciiTheme="minorEastAsia" w:eastAsiaTheme="minorEastAsia" w:hAnsiTheme="minorEastAsia" w:cs="Times New Roman" w:hint="eastAsia"/>
          <w:bCs/>
          <w:kern w:val="2"/>
        </w:rPr>
        <w:t>报告期末本基金投资的股指期货交易情况说明</w:t>
      </w:r>
      <w:bookmarkEnd w:id="222"/>
    </w:p>
    <w:p w14:paraId="0EE885B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报告期末本基金投资的股指期货持仓和损益明细</w:t>
      </w:r>
    </w:p>
    <w:p w14:paraId="095DD1F6" w14:textId="77777777" w:rsidR="009D22CF" w:rsidRDefault="009D22CF" w:rsidP="009D22CF">
      <w:pPr>
        <w:pStyle w:val="neirong"/>
        <w:ind w:firstLineChars="200" w:firstLine="480"/>
      </w:pPr>
      <w:r>
        <w:rPr>
          <w:rFonts w:hint="eastAsia"/>
        </w:rPr>
        <w:t>本基金本报告期末未投资股指期货。</w:t>
      </w:r>
    </w:p>
    <w:p w14:paraId="6F4C8B1A" w14:textId="77777777" w:rsidR="009D22CF" w:rsidRDefault="009D22CF" w:rsidP="009D22CF">
      <w:pPr>
        <w:widowControl/>
        <w:jc w:val="left"/>
        <w:rPr>
          <w:rFonts w:ascii="宋体" w:eastAsia="宋体" w:hAnsi="宋体" w:cs="宋体"/>
          <w:kern w:val="0"/>
          <w:sz w:val="24"/>
          <w:szCs w:val="24"/>
        </w:rPr>
      </w:pPr>
    </w:p>
    <w:p w14:paraId="6681623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本基金投资股指期货的投资政策</w:t>
      </w:r>
    </w:p>
    <w:p w14:paraId="0CA30A31" w14:textId="77777777" w:rsidR="009D22CF" w:rsidRDefault="009D22CF" w:rsidP="009D22CF">
      <w:pPr>
        <w:pStyle w:val="neirong"/>
        <w:spacing w:before="0"/>
        <w:ind w:firstLineChars="200" w:firstLine="480"/>
      </w:pPr>
      <w:r>
        <w:rPr>
          <w:rFonts w:hint="eastAsia"/>
        </w:rPr>
        <w:t>本基金本报告期末未投资股指期货。</w:t>
      </w:r>
    </w:p>
    <w:p w14:paraId="65CAC494" w14:textId="77777777" w:rsidR="009D22CF" w:rsidRDefault="009D22CF" w:rsidP="009D22CF">
      <w:pPr>
        <w:widowControl/>
        <w:jc w:val="left"/>
        <w:rPr>
          <w:rFonts w:ascii="宋体" w:eastAsia="宋体" w:hAnsi="宋体" w:cs="宋体"/>
          <w:kern w:val="0"/>
          <w:sz w:val="24"/>
          <w:szCs w:val="24"/>
        </w:rPr>
      </w:pPr>
    </w:p>
    <w:p w14:paraId="2EE4463F" w14:textId="77777777" w:rsidR="009D22CF" w:rsidRPr="00360E55" w:rsidRDefault="009D22CF" w:rsidP="009D22CF">
      <w:pPr>
        <w:pStyle w:val="zhangjiep"/>
        <w:rPr>
          <w:rFonts w:asciiTheme="minorEastAsia" w:eastAsiaTheme="minorEastAsia" w:hAnsiTheme="minorEastAsia" w:cs="Times New Roman"/>
          <w:bCs/>
          <w:kern w:val="2"/>
        </w:rPr>
      </w:pPr>
      <w:bookmarkStart w:id="223" w:name="_Toc101354073"/>
      <w:r w:rsidRPr="00360E55">
        <w:rPr>
          <w:rFonts w:asciiTheme="minorEastAsia" w:eastAsiaTheme="minorEastAsia" w:hAnsiTheme="minorEastAsia" w:cs="Times New Roman"/>
          <w:bCs/>
          <w:kern w:val="2"/>
        </w:rPr>
        <w:t>10、</w:t>
      </w:r>
      <w:r w:rsidRPr="00360E55">
        <w:rPr>
          <w:rFonts w:asciiTheme="minorEastAsia" w:eastAsiaTheme="minorEastAsia" w:hAnsiTheme="minorEastAsia" w:cs="Times New Roman" w:hint="eastAsia"/>
          <w:bCs/>
          <w:kern w:val="2"/>
        </w:rPr>
        <w:t>报告期末本基金投资的国债期货交易情况说明</w:t>
      </w:r>
      <w:bookmarkEnd w:id="223"/>
    </w:p>
    <w:p w14:paraId="0667A89F"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本期国债期货投资政策</w:t>
      </w:r>
    </w:p>
    <w:p w14:paraId="51BC850C" w14:textId="77777777" w:rsidR="009D22CF" w:rsidRDefault="009D22CF" w:rsidP="009D22CF">
      <w:pPr>
        <w:pStyle w:val="neirong"/>
        <w:spacing w:before="0"/>
        <w:ind w:firstLineChars="200" w:firstLine="480"/>
      </w:pPr>
      <w:r>
        <w:rPr>
          <w:rFonts w:hint="eastAsia"/>
        </w:rPr>
        <w:t xml:space="preserve">本基金本报告期末未投资国债期货。 </w:t>
      </w:r>
    </w:p>
    <w:p w14:paraId="4848FA6C" w14:textId="77777777" w:rsidR="009D22CF" w:rsidRPr="00360E55" w:rsidRDefault="009D22CF" w:rsidP="009D22CF">
      <w:pPr>
        <w:widowControl/>
        <w:jc w:val="left"/>
        <w:rPr>
          <w:rFonts w:asciiTheme="minorEastAsia" w:hAnsiTheme="minorEastAsia" w:cs="Times New Roman"/>
          <w:bCs/>
          <w:sz w:val="24"/>
          <w:szCs w:val="24"/>
        </w:rPr>
      </w:pPr>
    </w:p>
    <w:p w14:paraId="32BBCBA4"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 xml:space="preserve"> 报告期末本基金投资的国债期货持仓和损益明细</w:t>
      </w:r>
    </w:p>
    <w:p w14:paraId="69801437" w14:textId="77777777" w:rsidR="009D22CF" w:rsidRDefault="009D22CF" w:rsidP="009D22CF">
      <w:pPr>
        <w:pStyle w:val="neirong"/>
        <w:ind w:firstLineChars="200" w:firstLine="480"/>
      </w:pPr>
      <w:r>
        <w:rPr>
          <w:rFonts w:hint="eastAsia"/>
        </w:rPr>
        <w:t>本基金本报告期末未投资国债期货。 </w:t>
      </w:r>
    </w:p>
    <w:p w14:paraId="71946050" w14:textId="77777777" w:rsidR="009D22CF" w:rsidRDefault="009D22CF" w:rsidP="009D22CF">
      <w:pPr>
        <w:widowControl/>
        <w:jc w:val="left"/>
        <w:rPr>
          <w:rFonts w:ascii="宋体" w:eastAsia="宋体" w:hAnsi="宋体" w:cs="宋体"/>
          <w:kern w:val="0"/>
          <w:sz w:val="24"/>
          <w:szCs w:val="24"/>
        </w:rPr>
      </w:pPr>
    </w:p>
    <w:p w14:paraId="643FD133"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本期国债期货投资评价</w:t>
      </w:r>
    </w:p>
    <w:p w14:paraId="7F498058" w14:textId="77777777" w:rsidR="009D22CF" w:rsidRDefault="009D22CF" w:rsidP="007B2A9B">
      <w:pPr>
        <w:pStyle w:val="neirong"/>
        <w:spacing w:before="0"/>
        <w:ind w:firstLineChars="200" w:firstLine="480"/>
      </w:pPr>
      <w:r>
        <w:rPr>
          <w:rFonts w:hint="eastAsia"/>
        </w:rPr>
        <w:t xml:space="preserve">本基金本报告期末未投资国债期货。 </w:t>
      </w:r>
    </w:p>
    <w:p w14:paraId="41CDA29C" w14:textId="77777777" w:rsidR="009D22CF" w:rsidRDefault="009D22CF" w:rsidP="009D22CF">
      <w:pPr>
        <w:widowControl/>
        <w:jc w:val="left"/>
        <w:rPr>
          <w:rFonts w:ascii="宋体" w:eastAsia="宋体" w:hAnsi="宋体" w:cs="宋体"/>
          <w:kern w:val="0"/>
          <w:sz w:val="24"/>
          <w:szCs w:val="24"/>
        </w:rPr>
      </w:pPr>
    </w:p>
    <w:p w14:paraId="08E41138" w14:textId="77777777" w:rsidR="009D22CF" w:rsidRPr="00360E55" w:rsidRDefault="009D22CF" w:rsidP="009D22CF">
      <w:pPr>
        <w:pStyle w:val="zhangjiep"/>
        <w:ind w:left="0"/>
        <w:rPr>
          <w:rFonts w:asciiTheme="minorEastAsia" w:eastAsiaTheme="minorEastAsia" w:hAnsiTheme="minorEastAsia" w:cs="Times New Roman"/>
          <w:bCs/>
          <w:kern w:val="2"/>
        </w:rPr>
      </w:pPr>
      <w:bookmarkStart w:id="224" w:name="_Toc101354074"/>
      <w:r w:rsidRPr="00360E55">
        <w:rPr>
          <w:rFonts w:asciiTheme="minorEastAsia" w:eastAsiaTheme="minorEastAsia" w:hAnsiTheme="minorEastAsia" w:cs="Times New Roman"/>
          <w:bCs/>
          <w:kern w:val="2"/>
        </w:rPr>
        <w:t>11、</w:t>
      </w:r>
      <w:r w:rsidRPr="00360E55">
        <w:rPr>
          <w:rFonts w:asciiTheme="minorEastAsia" w:eastAsiaTheme="minorEastAsia" w:hAnsiTheme="minorEastAsia" w:cs="Times New Roman" w:hint="eastAsia"/>
          <w:bCs/>
          <w:kern w:val="2"/>
        </w:rPr>
        <w:t>投资组合报告附注</w:t>
      </w:r>
      <w:bookmarkEnd w:id="224"/>
      <w:r w:rsidRPr="00360E55">
        <w:rPr>
          <w:rFonts w:asciiTheme="minorEastAsia" w:eastAsiaTheme="minorEastAsia" w:hAnsiTheme="minorEastAsia" w:cs="Times New Roman"/>
          <w:bCs/>
          <w:kern w:val="2"/>
        </w:rPr>
        <w:t xml:space="preserve"> </w:t>
      </w:r>
    </w:p>
    <w:p w14:paraId="30753CF4"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1）</w:t>
      </w:r>
      <w:r w:rsidRPr="00360E55">
        <w:rPr>
          <w:rFonts w:asciiTheme="minorEastAsia" w:eastAsiaTheme="minorEastAsia" w:hAnsiTheme="minorEastAsia" w:cs="Times New Roman" w:hint="eastAsia"/>
          <w:bCs/>
          <w:kern w:val="2"/>
        </w:rPr>
        <w:t>本基金投资的前十名证券的发行主体中，</w:t>
      </w:r>
      <w:proofErr w:type="gramStart"/>
      <w:r w:rsidRPr="00360E55">
        <w:rPr>
          <w:rFonts w:asciiTheme="minorEastAsia" w:eastAsiaTheme="minorEastAsia" w:hAnsiTheme="minorEastAsia" w:cs="Times New Roman" w:hint="eastAsia"/>
          <w:bCs/>
          <w:kern w:val="2"/>
        </w:rPr>
        <w:t>贝泰妮</w:t>
      </w:r>
      <w:proofErr w:type="gramEnd"/>
      <w:r w:rsidRPr="00360E55">
        <w:rPr>
          <w:rFonts w:asciiTheme="minorEastAsia" w:eastAsiaTheme="minorEastAsia" w:hAnsiTheme="minorEastAsia" w:cs="Times New Roman" w:hint="eastAsia"/>
          <w:bCs/>
          <w:kern w:val="2"/>
        </w:rPr>
        <w:t>在报告编制日前一年内曾受到创业板公司管理部，以及因未依法履行其他职责受到深圳证券交易所的监管关注。东方财富在报告编制日前一年内曾因未依法履行职责受到通报批评和责令改正。宝钢股份在报告编制日前一年内曾因未依法履行职责、违反安全生产行为、安全生产行政许可类违法、环境污染问题受到上海市应急管理局的责令改正、罚款及警告以及行政处罚。</w:t>
      </w:r>
      <w:proofErr w:type="gramStart"/>
      <w:r w:rsidRPr="00360E55">
        <w:rPr>
          <w:rFonts w:asciiTheme="minorEastAsia" w:eastAsiaTheme="minorEastAsia" w:hAnsiTheme="minorEastAsia" w:cs="Times New Roman" w:hint="eastAsia"/>
          <w:bCs/>
          <w:kern w:val="2"/>
        </w:rPr>
        <w:t>华鲁恒升在</w:t>
      </w:r>
      <w:proofErr w:type="gramEnd"/>
      <w:r w:rsidRPr="00360E55">
        <w:rPr>
          <w:rFonts w:asciiTheme="minorEastAsia" w:eastAsiaTheme="minorEastAsia" w:hAnsiTheme="minorEastAsia" w:cs="Times New Roman" w:hint="eastAsia"/>
          <w:bCs/>
          <w:kern w:val="2"/>
        </w:rPr>
        <w:t>报告编制日前一年内曾因不执行政府定价、政府指导价问题受到山东省市场监督管理局的行政处罚。</w:t>
      </w:r>
    </w:p>
    <w:p w14:paraId="1CB02B8B" w14:textId="77777777" w:rsidR="009D22CF" w:rsidRPr="00360E55" w:rsidRDefault="009D22CF" w:rsidP="009D22CF">
      <w:pPr>
        <w:pStyle w:val="biaogeleft"/>
        <w:ind w:firstLine="480"/>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本基金对上述主体发行的相关证券的投资决策程序符合相关法律法规及基金合同的要求。</w:t>
      </w:r>
    </w:p>
    <w:p w14:paraId="2D83313D" w14:textId="33A971E9" w:rsidR="009D22CF" w:rsidRDefault="009D22CF" w:rsidP="009D22CF">
      <w:pPr>
        <w:pStyle w:val="biaogeleft"/>
        <w:ind w:firstLine="480"/>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除上述主体外，本基金投资的其他前十名证券的发行主体本期没有出现被监管部门立案调查，或在报告编制日前一年内受到公开谴责、处罚的情形。</w:t>
      </w:r>
    </w:p>
    <w:p w14:paraId="0683C3B3" w14:textId="77777777" w:rsidR="009D22CF" w:rsidRPr="00360E55" w:rsidRDefault="009D22CF" w:rsidP="009D22CF">
      <w:pPr>
        <w:pStyle w:val="biaogeleft"/>
        <w:ind w:firstLine="480"/>
        <w:rPr>
          <w:rFonts w:asciiTheme="minorEastAsia" w:eastAsiaTheme="minorEastAsia" w:hAnsiTheme="minorEastAsia" w:cs="Times New Roman"/>
          <w:bCs/>
          <w:kern w:val="2"/>
        </w:rPr>
      </w:pPr>
    </w:p>
    <w:p w14:paraId="1D04BE6A" w14:textId="3BE638C0" w:rsidR="009D22CF"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2） 本基金投资的前十名股票没有超出基金合同规定的备选股票库。</w:t>
      </w:r>
    </w:p>
    <w:p w14:paraId="0A1C005C" w14:textId="77777777" w:rsidR="009D22CF" w:rsidRPr="00360E55" w:rsidRDefault="009D22CF" w:rsidP="009D22CF">
      <w:pPr>
        <w:pStyle w:val="zhangjiep2"/>
        <w:rPr>
          <w:rFonts w:asciiTheme="minorEastAsia" w:eastAsiaTheme="minorEastAsia" w:hAnsiTheme="minorEastAsia" w:cs="Times New Roman"/>
          <w:bCs/>
          <w:kern w:val="2"/>
        </w:rPr>
      </w:pPr>
    </w:p>
    <w:p w14:paraId="3F41723E"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3） 其他资产构成</w:t>
      </w:r>
    </w:p>
    <w:tbl>
      <w:tblPr>
        <w:tblW w:w="9045" w:type="dxa"/>
        <w:tblInd w:w="108" w:type="dxa"/>
        <w:tblLook w:val="04A0" w:firstRow="1" w:lastRow="0" w:firstColumn="1" w:lastColumn="0" w:noHBand="0" w:noVBand="1"/>
      </w:tblPr>
      <w:tblGrid>
        <w:gridCol w:w="1276"/>
        <w:gridCol w:w="3709"/>
        <w:gridCol w:w="4060"/>
      </w:tblGrid>
      <w:tr w:rsidR="009D22CF" w14:paraId="179CC14D" w14:textId="77777777" w:rsidTr="00360E55">
        <w:tc>
          <w:tcPr>
            <w:tcW w:w="1342" w:type="dxa"/>
            <w:tcBorders>
              <w:top w:val="single" w:sz="8" w:space="0" w:color="000000"/>
              <w:left w:val="single" w:sz="8" w:space="0" w:color="000000"/>
              <w:bottom w:val="single" w:sz="6" w:space="0" w:color="000000"/>
              <w:right w:val="single" w:sz="8" w:space="0" w:color="000000"/>
            </w:tcBorders>
            <w:vAlign w:val="center"/>
            <w:hideMark/>
          </w:tcPr>
          <w:p w14:paraId="4CC89089" w14:textId="77777777" w:rsidR="009D22CF" w:rsidRDefault="009D22CF" w:rsidP="00360E55">
            <w:pPr>
              <w:pStyle w:val="biaogecenter"/>
              <w:wordWrap w:val="0"/>
            </w:pPr>
            <w:r>
              <w:rPr>
                <w:rFonts w:hAnsi="等线" w:hint="eastAsia"/>
                <w:color w:val="000000"/>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55DB3B5" w14:textId="77777777" w:rsidR="009D22CF" w:rsidRDefault="009D22CF" w:rsidP="00360E55">
            <w:pPr>
              <w:pStyle w:val="biaogecenter"/>
              <w:wordWrap w:val="0"/>
            </w:pPr>
            <w:r>
              <w:rPr>
                <w:rFonts w:hint="eastAsia"/>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6C3FBB9" w14:textId="77777777" w:rsidR="009D22CF" w:rsidRDefault="009D22CF" w:rsidP="00360E55">
            <w:pPr>
              <w:pStyle w:val="biaogecenter"/>
              <w:wordWrap w:val="0"/>
            </w:pPr>
            <w:r>
              <w:rPr>
                <w:rFonts w:hint="eastAsia"/>
              </w:rPr>
              <w:t>金额(元)</w:t>
            </w:r>
          </w:p>
        </w:tc>
      </w:tr>
      <w:tr w:rsidR="009D22CF" w14:paraId="1E9C04AE"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73B05952" w14:textId="77777777" w:rsidR="009D22CF" w:rsidRDefault="009D22CF" w:rsidP="00360E55">
            <w:pPr>
              <w:pStyle w:val="biaogecenter"/>
              <w:wordWrap w:val="0"/>
            </w:pPr>
            <w:r>
              <w:rPr>
                <w:rFonts w:hAnsi="等线" w:hint="eastAsia"/>
                <w:color w:val="000000"/>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F5FA163" w14:textId="77777777" w:rsidR="009D22CF" w:rsidRDefault="009D22CF" w:rsidP="00360E55">
            <w:pPr>
              <w:pStyle w:val="biaogeleft"/>
              <w:wordWrap w:val="0"/>
            </w:pPr>
            <w:r>
              <w:rPr>
                <w:rFonts w:hint="eastAsia"/>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2BF43E2" w14:textId="77777777" w:rsidR="009D22CF" w:rsidRDefault="009D22CF" w:rsidP="00360E55">
            <w:pPr>
              <w:pStyle w:val="biaogeright"/>
              <w:wordWrap w:val="0"/>
            </w:pPr>
            <w:r>
              <w:rPr>
                <w:rFonts w:hint="eastAsia"/>
              </w:rPr>
              <w:t>10,561,866.41</w:t>
            </w:r>
          </w:p>
        </w:tc>
      </w:tr>
      <w:tr w:rsidR="009D22CF" w14:paraId="4A4C36F9"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626C36F0" w14:textId="77777777" w:rsidR="009D22CF" w:rsidRDefault="009D22CF" w:rsidP="00360E55">
            <w:pPr>
              <w:pStyle w:val="biaogecenter"/>
              <w:wordWrap w:val="0"/>
            </w:pPr>
            <w:r>
              <w:rPr>
                <w:rFonts w:hAnsi="等线" w:hint="eastAsia"/>
                <w:color w:val="000000"/>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6C848A13" w14:textId="77777777" w:rsidR="009D22CF" w:rsidRDefault="009D22CF" w:rsidP="00360E55">
            <w:pPr>
              <w:pStyle w:val="biaogeleft"/>
              <w:wordWrap w:val="0"/>
            </w:pPr>
            <w:r>
              <w:rPr>
                <w:rFonts w:hint="eastAsia"/>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3B1E287" w14:textId="77777777" w:rsidR="009D22CF" w:rsidRDefault="009D22CF" w:rsidP="00360E55">
            <w:pPr>
              <w:pStyle w:val="biaogeright"/>
              <w:wordWrap w:val="0"/>
            </w:pPr>
            <w:r>
              <w:rPr>
                <w:rFonts w:hint="eastAsia"/>
              </w:rPr>
              <w:t>-</w:t>
            </w:r>
          </w:p>
        </w:tc>
      </w:tr>
      <w:tr w:rsidR="009D22CF" w14:paraId="387E5F0F"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68E5D7CE" w14:textId="77777777" w:rsidR="009D22CF" w:rsidRDefault="009D22CF" w:rsidP="00360E55">
            <w:pPr>
              <w:pStyle w:val="biaogecenter"/>
              <w:wordWrap w:val="0"/>
            </w:pPr>
            <w:r>
              <w:rPr>
                <w:rFonts w:hAnsi="等线" w:hint="eastAsia"/>
                <w:color w:val="000000"/>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494E283" w14:textId="77777777" w:rsidR="009D22CF" w:rsidRDefault="009D22CF" w:rsidP="00360E55">
            <w:pPr>
              <w:pStyle w:val="biaogeleft"/>
              <w:wordWrap w:val="0"/>
            </w:pPr>
            <w:r>
              <w:rPr>
                <w:rFonts w:hint="eastAsia"/>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EC28BE9" w14:textId="77777777" w:rsidR="009D22CF" w:rsidRDefault="009D22CF" w:rsidP="00360E55">
            <w:pPr>
              <w:pStyle w:val="biaogeright"/>
              <w:wordWrap w:val="0"/>
            </w:pPr>
            <w:r>
              <w:rPr>
                <w:rFonts w:hint="eastAsia"/>
              </w:rPr>
              <w:t>-</w:t>
            </w:r>
          </w:p>
        </w:tc>
      </w:tr>
      <w:tr w:rsidR="009D22CF" w14:paraId="649232EC"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63118E33" w14:textId="77777777" w:rsidR="009D22CF" w:rsidRDefault="009D22CF" w:rsidP="00360E55">
            <w:pPr>
              <w:pStyle w:val="biaogecenter"/>
              <w:wordWrap w:val="0"/>
            </w:pPr>
            <w:r>
              <w:rPr>
                <w:rFonts w:hAnsi="等线" w:hint="eastAsia"/>
                <w:color w:val="000000"/>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3892CDE" w14:textId="77777777" w:rsidR="009D22CF" w:rsidRDefault="009D22CF" w:rsidP="00360E55">
            <w:pPr>
              <w:pStyle w:val="biaogeleft"/>
              <w:wordWrap w:val="0"/>
            </w:pPr>
            <w:r>
              <w:rPr>
                <w:rFonts w:hint="eastAsia"/>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08B2188" w14:textId="77777777" w:rsidR="009D22CF" w:rsidRDefault="009D22CF" w:rsidP="00360E55">
            <w:pPr>
              <w:pStyle w:val="biaogeright"/>
              <w:wordWrap w:val="0"/>
            </w:pPr>
            <w:r>
              <w:rPr>
                <w:rFonts w:hint="eastAsia"/>
              </w:rPr>
              <w:t>-</w:t>
            </w:r>
          </w:p>
        </w:tc>
      </w:tr>
      <w:tr w:rsidR="009D22CF" w14:paraId="4919D7EF"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57B883BD" w14:textId="77777777" w:rsidR="009D22CF" w:rsidRDefault="009D22CF" w:rsidP="00360E55">
            <w:pPr>
              <w:pStyle w:val="biaogecenter"/>
              <w:wordWrap w:val="0"/>
            </w:pPr>
            <w:r>
              <w:rPr>
                <w:rFonts w:hAnsi="等线" w:hint="eastAsia"/>
                <w:color w:val="000000"/>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CA2DB1A" w14:textId="77777777" w:rsidR="009D22CF" w:rsidRDefault="009D22CF" w:rsidP="00360E55">
            <w:pPr>
              <w:pStyle w:val="biaogeleft"/>
              <w:wordWrap w:val="0"/>
            </w:pPr>
            <w:r>
              <w:rPr>
                <w:rFonts w:hint="eastAsia"/>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EBC4E6F" w14:textId="77777777" w:rsidR="009D22CF" w:rsidRDefault="009D22CF" w:rsidP="00360E55">
            <w:pPr>
              <w:pStyle w:val="biaogeright"/>
              <w:wordWrap w:val="0"/>
            </w:pPr>
            <w:r>
              <w:rPr>
                <w:rFonts w:hint="eastAsia"/>
              </w:rPr>
              <w:t>-</w:t>
            </w:r>
          </w:p>
        </w:tc>
      </w:tr>
      <w:tr w:rsidR="009D22CF" w14:paraId="7A9E5023"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7F7DBCF8" w14:textId="77777777" w:rsidR="009D22CF" w:rsidRDefault="009D22CF" w:rsidP="00360E55">
            <w:pPr>
              <w:pStyle w:val="biaogecenter"/>
              <w:wordWrap w:val="0"/>
            </w:pPr>
            <w:r>
              <w:rPr>
                <w:rFonts w:hAnsi="等线" w:hint="eastAsia"/>
                <w:color w:val="000000"/>
              </w:rPr>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5C76B6F" w14:textId="77777777" w:rsidR="009D22CF" w:rsidRDefault="009D22CF" w:rsidP="00360E55">
            <w:pPr>
              <w:pStyle w:val="biaogeleft"/>
              <w:wordWrap w:val="0"/>
            </w:pPr>
            <w:r>
              <w:rPr>
                <w:rFonts w:hint="eastAsia"/>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E714630" w14:textId="77777777" w:rsidR="009D22CF" w:rsidRDefault="009D22CF" w:rsidP="00360E55">
            <w:pPr>
              <w:pStyle w:val="biaogeright"/>
              <w:wordWrap w:val="0"/>
            </w:pPr>
            <w:r>
              <w:rPr>
                <w:rFonts w:hint="eastAsia"/>
              </w:rPr>
              <w:t>-</w:t>
            </w:r>
          </w:p>
        </w:tc>
      </w:tr>
      <w:tr w:rsidR="009D22CF" w14:paraId="2A396EFA"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26755177" w14:textId="77777777" w:rsidR="009D22CF" w:rsidRDefault="009D22CF" w:rsidP="00360E55">
            <w:pPr>
              <w:pStyle w:val="biaogecenter"/>
              <w:wordWrap w:val="0"/>
            </w:pPr>
            <w:r>
              <w:rPr>
                <w:rFonts w:hAnsi="等线" w:hint="eastAsia"/>
                <w:color w:val="000000"/>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DC31AB8" w14:textId="77777777" w:rsidR="009D22CF" w:rsidRDefault="009D22CF" w:rsidP="00360E55">
            <w:pPr>
              <w:pStyle w:val="biaogeleft"/>
              <w:wordWrap w:val="0"/>
            </w:pPr>
            <w:r>
              <w:rPr>
                <w:rFonts w:hint="eastAsia"/>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0E4F28A" w14:textId="77777777" w:rsidR="009D22CF" w:rsidRDefault="009D22CF" w:rsidP="00360E55">
            <w:pPr>
              <w:pStyle w:val="biaogeright"/>
              <w:wordWrap w:val="0"/>
            </w:pPr>
            <w:r>
              <w:rPr>
                <w:rFonts w:hint="eastAsia"/>
              </w:rPr>
              <w:t>-</w:t>
            </w:r>
          </w:p>
        </w:tc>
      </w:tr>
      <w:tr w:rsidR="009D22CF" w14:paraId="4096C318" w14:textId="77777777" w:rsidTr="00360E55">
        <w:tc>
          <w:tcPr>
            <w:tcW w:w="720" w:type="dxa"/>
            <w:tcBorders>
              <w:top w:val="single" w:sz="8" w:space="0" w:color="000000"/>
              <w:left w:val="single" w:sz="8" w:space="0" w:color="000000"/>
              <w:bottom w:val="single" w:sz="6" w:space="0" w:color="000000"/>
              <w:right w:val="single" w:sz="8" w:space="0" w:color="000000"/>
            </w:tcBorders>
            <w:vAlign w:val="center"/>
            <w:hideMark/>
          </w:tcPr>
          <w:p w14:paraId="7863344C" w14:textId="77777777" w:rsidR="009D22CF" w:rsidRDefault="009D22CF" w:rsidP="00360E55">
            <w:pPr>
              <w:pStyle w:val="biaogecenter"/>
              <w:wordWrap w:val="0"/>
            </w:pPr>
            <w:r>
              <w:rPr>
                <w:rFonts w:hAnsi="等线" w:hint="eastAsia"/>
                <w:color w:val="000000"/>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0DA52C1" w14:textId="77777777" w:rsidR="009D22CF" w:rsidRDefault="009D22CF" w:rsidP="00360E55">
            <w:pPr>
              <w:pStyle w:val="biaogeleft"/>
              <w:wordWrap w:val="0"/>
            </w:pPr>
            <w:r>
              <w:rPr>
                <w:rFonts w:hint="eastAsia"/>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2A5756E" w14:textId="77777777" w:rsidR="009D22CF" w:rsidRDefault="009D22CF" w:rsidP="00360E55">
            <w:pPr>
              <w:pStyle w:val="biaogeright"/>
              <w:wordWrap w:val="0"/>
            </w:pPr>
            <w:r>
              <w:rPr>
                <w:rFonts w:hint="eastAsia"/>
              </w:rPr>
              <w:t>10,561,866.41</w:t>
            </w:r>
          </w:p>
        </w:tc>
      </w:tr>
    </w:tbl>
    <w:p w14:paraId="72C74A28" w14:textId="77777777" w:rsidR="009D22CF" w:rsidRDefault="009D22CF" w:rsidP="009D22CF">
      <w:pPr>
        <w:widowControl/>
        <w:jc w:val="left"/>
        <w:rPr>
          <w:rFonts w:ascii="宋体" w:eastAsia="宋体" w:hAnsi="宋体" w:cs="宋体"/>
          <w:kern w:val="0"/>
          <w:sz w:val="24"/>
          <w:szCs w:val="24"/>
        </w:rPr>
      </w:pPr>
    </w:p>
    <w:p w14:paraId="6274C396"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4）</w:t>
      </w:r>
      <w:r w:rsidRPr="00360E55">
        <w:rPr>
          <w:rFonts w:asciiTheme="minorEastAsia" w:eastAsiaTheme="minorEastAsia" w:hAnsiTheme="minorEastAsia" w:cs="Times New Roman" w:hint="eastAsia"/>
          <w:bCs/>
          <w:kern w:val="2"/>
        </w:rPr>
        <w:t>报告期末持有的处于转股期的可转换债券明细</w:t>
      </w:r>
    </w:p>
    <w:p w14:paraId="3480306D" w14:textId="77777777" w:rsidR="009D22CF" w:rsidRDefault="009D22CF" w:rsidP="009D22CF">
      <w:pPr>
        <w:pStyle w:val="neirong"/>
        <w:ind w:firstLineChars="200" w:firstLine="480"/>
      </w:pPr>
      <w:r>
        <w:rPr>
          <w:rFonts w:hint="eastAsia"/>
        </w:rPr>
        <w:t>本基金本报告期末未持有处于转股期的可转换债券。</w:t>
      </w:r>
    </w:p>
    <w:p w14:paraId="34CEA4C2" w14:textId="77777777" w:rsidR="009D22CF" w:rsidRDefault="009D22CF" w:rsidP="009D22CF">
      <w:pPr>
        <w:widowControl/>
        <w:jc w:val="left"/>
        <w:rPr>
          <w:rFonts w:ascii="宋体" w:eastAsia="宋体" w:hAnsi="宋体" w:cs="宋体"/>
          <w:kern w:val="0"/>
          <w:sz w:val="24"/>
          <w:szCs w:val="24"/>
        </w:rPr>
      </w:pPr>
    </w:p>
    <w:p w14:paraId="7693742D"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5） 报告</w:t>
      </w:r>
      <w:proofErr w:type="gramStart"/>
      <w:r w:rsidRPr="00360E55">
        <w:rPr>
          <w:rFonts w:asciiTheme="minorEastAsia" w:eastAsiaTheme="minorEastAsia" w:hAnsiTheme="minorEastAsia" w:cs="Times New Roman" w:hint="eastAsia"/>
          <w:bCs/>
          <w:kern w:val="2"/>
        </w:rPr>
        <w:t>期末前</w:t>
      </w:r>
      <w:proofErr w:type="gramEnd"/>
      <w:r w:rsidRPr="00360E55">
        <w:rPr>
          <w:rFonts w:asciiTheme="minorEastAsia" w:eastAsiaTheme="minorEastAsia" w:hAnsiTheme="minorEastAsia" w:cs="Times New Roman" w:hint="eastAsia"/>
          <w:bCs/>
          <w:kern w:val="2"/>
        </w:rPr>
        <w:t>十名股票中存在流通受限情况的说明</w:t>
      </w:r>
    </w:p>
    <w:p w14:paraId="11DCCA0D" w14:textId="77777777" w:rsidR="009D22CF" w:rsidRDefault="009D22CF" w:rsidP="009D22CF">
      <w:pPr>
        <w:pStyle w:val="neirong"/>
        <w:ind w:firstLineChars="200" w:firstLine="480"/>
      </w:pPr>
      <w:r>
        <w:rPr>
          <w:rFonts w:hint="eastAsia"/>
        </w:rPr>
        <w:t>本基金本报告</w:t>
      </w:r>
      <w:proofErr w:type="gramStart"/>
      <w:r>
        <w:rPr>
          <w:rFonts w:hint="eastAsia"/>
        </w:rPr>
        <w:t>期末前</w:t>
      </w:r>
      <w:proofErr w:type="gramEnd"/>
      <w:r>
        <w:rPr>
          <w:rFonts w:hint="eastAsia"/>
        </w:rPr>
        <w:t>十名股票中不存在流通受限股票。</w:t>
      </w:r>
    </w:p>
    <w:p w14:paraId="5E40172F" w14:textId="77777777" w:rsidR="009D22CF" w:rsidRDefault="009D22CF" w:rsidP="009D22CF">
      <w:pPr>
        <w:widowControl/>
        <w:jc w:val="left"/>
        <w:rPr>
          <w:rFonts w:ascii="宋体" w:eastAsia="宋体" w:hAnsi="宋体" w:cs="宋体"/>
          <w:kern w:val="0"/>
          <w:sz w:val="24"/>
          <w:szCs w:val="24"/>
        </w:rPr>
      </w:pPr>
    </w:p>
    <w:p w14:paraId="5BC64455" w14:textId="77777777" w:rsidR="009D22CF" w:rsidRPr="00360E55" w:rsidRDefault="009D22CF" w:rsidP="009D22CF">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hint="eastAsia"/>
          <w:bCs/>
          <w:kern w:val="2"/>
        </w:rPr>
        <w:t>（</w:t>
      </w:r>
      <w:r w:rsidRPr="00360E55">
        <w:rPr>
          <w:rFonts w:asciiTheme="minorEastAsia" w:eastAsiaTheme="minorEastAsia" w:hAnsiTheme="minorEastAsia" w:cs="Times New Roman"/>
          <w:bCs/>
          <w:kern w:val="2"/>
        </w:rPr>
        <w:t>6）</w:t>
      </w:r>
      <w:r w:rsidRPr="00360E55">
        <w:rPr>
          <w:rFonts w:asciiTheme="minorEastAsia" w:eastAsiaTheme="minorEastAsia" w:hAnsiTheme="minorEastAsia" w:cs="Times New Roman" w:hint="eastAsia"/>
          <w:bCs/>
          <w:kern w:val="2"/>
        </w:rPr>
        <w:t>投资组合报告附注的其他文字描述部分</w:t>
      </w:r>
    </w:p>
    <w:p w14:paraId="3F3D1DA3" w14:textId="7C6BCC99" w:rsidR="00E92997" w:rsidRDefault="009D22CF" w:rsidP="007B2A9B">
      <w:pPr>
        <w:spacing w:line="360" w:lineRule="auto"/>
        <w:ind w:firstLineChars="200" w:firstLine="480"/>
        <w:rPr>
          <w:rFonts w:asciiTheme="minorEastAsia" w:hAnsiTheme="minorEastAsia" w:cs="Times New Roman"/>
          <w:bCs/>
          <w:sz w:val="24"/>
          <w:szCs w:val="24"/>
        </w:rPr>
      </w:pPr>
      <w:r w:rsidRPr="007B2A9B">
        <w:rPr>
          <w:rFonts w:asciiTheme="minorEastAsia" w:hAnsiTheme="minorEastAsia" w:cs="Times New Roman" w:hint="eastAsia"/>
          <w:bCs/>
          <w:sz w:val="24"/>
          <w:szCs w:val="24"/>
        </w:rPr>
        <w:t>由于四舍五入原因，分项之和与合计可能有尾差。</w:t>
      </w:r>
    </w:p>
    <w:p w14:paraId="4E94F9F9" w14:textId="77777777" w:rsidR="009D22CF" w:rsidRDefault="009D22CF" w:rsidP="009D22CF">
      <w:pPr>
        <w:spacing w:line="360" w:lineRule="auto"/>
        <w:ind w:firstLineChars="200" w:firstLine="480"/>
        <w:rPr>
          <w:rFonts w:asciiTheme="minorEastAsia" w:hAnsiTheme="minorEastAsia" w:cs="Times New Roman"/>
          <w:bCs/>
          <w:sz w:val="24"/>
          <w:szCs w:val="24"/>
        </w:rPr>
      </w:pPr>
    </w:p>
    <w:p w14:paraId="51DC53BF" w14:textId="629BED89" w:rsidR="00485170" w:rsidRPr="007B2A9B" w:rsidRDefault="00485170" w:rsidP="007B2A9B">
      <w:pPr>
        <w:spacing w:line="360" w:lineRule="auto"/>
        <w:ind w:firstLineChars="200" w:firstLine="482"/>
        <w:rPr>
          <w:rFonts w:ascii="宋体" w:hAnsi="宋体" w:cs="Arial"/>
          <w:b/>
          <w:bCs/>
          <w:sz w:val="24"/>
        </w:rPr>
      </w:pPr>
      <w:r>
        <w:rPr>
          <w:rFonts w:ascii="宋体" w:hAnsi="宋体" w:hint="eastAsia"/>
          <w:b/>
          <w:sz w:val="24"/>
        </w:rPr>
        <w:t>十、</w:t>
      </w:r>
      <w:r>
        <w:rPr>
          <w:rFonts w:ascii="宋体" w:hAnsi="宋体" w:cs="Arial" w:hint="eastAsia"/>
          <w:b/>
          <w:bCs/>
          <w:sz w:val="24"/>
        </w:rPr>
        <w:t>基金净值表现</w:t>
      </w:r>
    </w:p>
    <w:p w14:paraId="7597A381" w14:textId="49707495" w:rsidR="00485170" w:rsidRPr="007B2A9B" w:rsidRDefault="00485170" w:rsidP="007B2A9B">
      <w:pPr>
        <w:spacing w:line="360" w:lineRule="auto"/>
        <w:ind w:firstLineChars="200" w:firstLine="480"/>
        <w:rPr>
          <w:rFonts w:asciiTheme="minorEastAsia" w:hAnsiTheme="minorEastAsia" w:cs="Times New Roman"/>
          <w:bCs/>
          <w:sz w:val="24"/>
          <w:szCs w:val="24"/>
        </w:rPr>
      </w:pPr>
      <w:bookmarkStart w:id="225" w:name="_Toc416264546"/>
      <w:bookmarkStart w:id="226" w:name="_Toc68266297"/>
      <w:bookmarkStart w:id="227" w:name="_Toc31469"/>
      <w:bookmarkStart w:id="228" w:name="_Toc123102458"/>
      <w:bookmarkStart w:id="229" w:name="_Toc14725"/>
      <w:bookmarkStart w:id="230" w:name="_Toc26152"/>
      <w:bookmarkStart w:id="231" w:name="_Toc139991741"/>
      <w:bookmarkStart w:id="232" w:name="_Toc123112239"/>
      <w:bookmarkStart w:id="233" w:name="_Toc79392624"/>
      <w:bookmarkStart w:id="234" w:name="_Toc19520"/>
      <w:bookmarkStart w:id="235" w:name="_Toc141703891"/>
      <w:bookmarkStart w:id="236" w:name="_Toc48649710"/>
      <w:bookmarkStart w:id="237" w:name="_Toc123051457"/>
      <w:bookmarkStart w:id="238" w:name="_Toc22674"/>
      <w:bookmarkStart w:id="239" w:name="_Toc21886"/>
      <w:bookmarkStart w:id="240" w:name="_Toc16789"/>
      <w:bookmarkStart w:id="241" w:name="_Toc352229757"/>
      <w:bookmarkStart w:id="242" w:name="_Toc98560357"/>
      <w:bookmarkStart w:id="243" w:name="_Toc26383"/>
      <w:bookmarkStart w:id="244" w:name="_Toc26084"/>
      <w:bookmarkStart w:id="245" w:name="_Toc2255"/>
      <w:bookmarkStart w:id="246" w:name="_Toc3244"/>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r w:rsidRPr="007B2A9B">
        <w:rPr>
          <w:rFonts w:asciiTheme="minorEastAsia" w:hAnsiTheme="minorEastAsia" w:cs="Times New Roman"/>
          <w:bCs/>
          <w:sz w:val="24"/>
          <w:szCs w:val="24"/>
        </w:rPr>
        <w:t>1</w:t>
      </w:r>
      <w:r w:rsidRPr="007B2A9B">
        <w:rPr>
          <w:rFonts w:asciiTheme="minorEastAsia" w:hAnsiTheme="minorEastAsia" w:cs="Times New Roman" w:hint="eastAsia"/>
          <w:bCs/>
          <w:sz w:val="24"/>
          <w:szCs w:val="24"/>
        </w:rPr>
        <w:t>、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6D597994" w14:textId="77777777" w:rsidR="00C9183C" w:rsidRDefault="00C9183C" w:rsidP="00C9183C">
      <w:pPr>
        <w:spacing w:line="360" w:lineRule="auto"/>
        <w:rPr>
          <w:rFonts w:ascii="宋体" w:hAnsi="宋体"/>
          <w:bCs/>
          <w:szCs w:val="21"/>
        </w:rPr>
      </w:pPr>
      <w:r>
        <w:rPr>
          <w:rFonts w:ascii="宋体" w:hAnsi="宋体" w:hint="eastAsia"/>
          <w:bCs/>
          <w:szCs w:val="21"/>
        </w:rPr>
        <w:t>（1）</w:t>
      </w:r>
      <w:proofErr w:type="gramStart"/>
      <w:r w:rsidRPr="00966EA2">
        <w:rPr>
          <w:rFonts w:ascii="宋体" w:hAnsi="宋体" w:hint="eastAsia"/>
          <w:bCs/>
          <w:szCs w:val="21"/>
        </w:rPr>
        <w:t>富荣福银混合</w:t>
      </w:r>
      <w:proofErr w:type="gramEnd"/>
      <w:r w:rsidRPr="00966EA2">
        <w:rPr>
          <w:rFonts w:ascii="宋体" w:hAnsi="宋体" w:hint="eastAsia"/>
          <w:bCs/>
          <w:szCs w:val="21"/>
        </w:rPr>
        <w:t>A</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012545</w:t>
      </w:r>
      <w:r>
        <w:rPr>
          <w:rFonts w:ascii="宋体" w:hAnsi="宋体" w:hint="eastAsia"/>
          <w:bCs/>
          <w:szCs w:val="21"/>
        </w:rPr>
        <w:t>）</w:t>
      </w:r>
    </w:p>
    <w:tbl>
      <w:tblPr>
        <w:tblW w:w="9948" w:type="dxa"/>
        <w:jc w:val="center"/>
        <w:tblLook w:val="04A0" w:firstRow="1" w:lastRow="0" w:firstColumn="1" w:lastColumn="0" w:noHBand="0" w:noVBand="1"/>
      </w:tblPr>
      <w:tblGrid>
        <w:gridCol w:w="1454"/>
        <w:gridCol w:w="1385"/>
        <w:gridCol w:w="1419"/>
        <w:gridCol w:w="1275"/>
        <w:gridCol w:w="1683"/>
        <w:gridCol w:w="1369"/>
        <w:gridCol w:w="1363"/>
      </w:tblGrid>
      <w:tr w:rsidR="00C9183C" w14:paraId="6F6E8B47"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1C9A0E24" w14:textId="77777777" w:rsidR="00C9183C" w:rsidRDefault="00C9183C" w:rsidP="00360E55">
            <w:pPr>
              <w:pStyle w:val="biaogeleft"/>
              <w:wordWrap w:val="0"/>
            </w:pPr>
            <w:r>
              <w:rPr>
                <w:rFonts w:hint="eastAsia"/>
              </w:rPr>
              <w:t>阶段</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D1D39CB" w14:textId="77777777" w:rsidR="00C9183C" w:rsidRDefault="00C9183C" w:rsidP="00360E55">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53EFBDC" w14:textId="77777777" w:rsidR="00C9183C" w:rsidRDefault="00C9183C" w:rsidP="00360E55">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1C50FBF8" w14:textId="77777777" w:rsidR="00C9183C" w:rsidRDefault="00C9183C" w:rsidP="00360E55">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69DF12C9" w14:textId="77777777" w:rsidR="00C9183C" w:rsidRDefault="00C9183C" w:rsidP="00360E55">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DE0A3FA" w14:textId="77777777" w:rsidR="00C9183C" w:rsidRDefault="00C9183C" w:rsidP="00360E55">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DFF8A6F" w14:textId="77777777" w:rsidR="00C9183C" w:rsidRDefault="00C9183C" w:rsidP="00360E55">
            <w:pPr>
              <w:pStyle w:val="biaogecenter"/>
              <w:wordWrap w:val="0"/>
            </w:pPr>
            <w:r>
              <w:rPr>
                <w:rFonts w:hint="eastAsia"/>
              </w:rPr>
              <w:t>②-④</w:t>
            </w:r>
          </w:p>
        </w:tc>
      </w:tr>
      <w:tr w:rsidR="00C9183C" w14:paraId="2DC73B14"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EE22384" w14:textId="77777777" w:rsidR="00C9183C" w:rsidRDefault="00C9183C" w:rsidP="00360E55">
            <w:pPr>
              <w:pStyle w:val="biaogeleft"/>
              <w:wordWrap w:val="0"/>
            </w:pPr>
            <w:r>
              <w:rPr>
                <w:rFonts w:hint="eastAsia"/>
                <w:color w:val="000000"/>
                <w:sz w:val="21"/>
                <w:szCs w:val="21"/>
              </w:rPr>
              <w:t>2021.06.18~2021.12.31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4479818E" w14:textId="77777777" w:rsidR="00C9183C" w:rsidRDefault="00C9183C" w:rsidP="00360E55">
            <w:pPr>
              <w:pStyle w:val="biaogecenter"/>
              <w:wordWrap w:val="0"/>
            </w:pPr>
            <w:r>
              <w:rPr>
                <w:rFonts w:hint="eastAsia"/>
              </w:rPr>
              <w:t>-2.11%</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46BEF25" w14:textId="77777777" w:rsidR="00C9183C" w:rsidRDefault="00C9183C" w:rsidP="00360E55">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BC207A7" w14:textId="77777777" w:rsidR="00C9183C" w:rsidRDefault="00C9183C" w:rsidP="00360E55">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1DAC67C3" w14:textId="77777777" w:rsidR="00C9183C" w:rsidRDefault="00C9183C" w:rsidP="00360E55">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7A15725D" w14:textId="77777777" w:rsidR="00C9183C" w:rsidRDefault="00C9183C" w:rsidP="00360E55">
            <w:pPr>
              <w:pStyle w:val="biaogecenter"/>
              <w:wordWrap w:val="0"/>
            </w:pPr>
            <w:r>
              <w:rPr>
                <w:rFonts w:hint="eastAsia"/>
              </w:rPr>
              <w:t>-0.50%</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23D1416A" w14:textId="77777777" w:rsidR="00C9183C" w:rsidRDefault="00C9183C" w:rsidP="00360E55">
            <w:pPr>
              <w:pStyle w:val="biaogecenter"/>
              <w:wordWrap w:val="0"/>
            </w:pPr>
            <w:r>
              <w:rPr>
                <w:rFonts w:hint="eastAsia"/>
              </w:rPr>
              <w:t>0.43%</w:t>
            </w:r>
          </w:p>
        </w:tc>
      </w:tr>
      <w:tr w:rsidR="00C9183C" w14:paraId="2CB03ADB"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4F323140" w14:textId="77777777" w:rsidR="00C9183C" w:rsidRDefault="00C9183C" w:rsidP="00360E55">
            <w:pPr>
              <w:pStyle w:val="biaogeleft"/>
              <w:wordWrap w:val="0"/>
            </w:pPr>
            <w:r>
              <w:rPr>
                <w:rFonts w:hint="eastAsia"/>
                <w:color w:val="000000"/>
                <w:sz w:val="21"/>
                <w:szCs w:val="21"/>
              </w:rPr>
              <w:t>2022.01.01~2022.03.31</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53984CED" w14:textId="77777777" w:rsidR="00C9183C" w:rsidRDefault="00C9183C" w:rsidP="00360E55">
            <w:pPr>
              <w:pStyle w:val="biaogecenter"/>
              <w:wordWrap w:val="0"/>
            </w:pPr>
            <w:r>
              <w:rPr>
                <w:rFonts w:hint="eastAsia"/>
              </w:rPr>
              <w:t>-11.48%</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4CBF06C" w14:textId="77777777" w:rsidR="00C9183C" w:rsidRDefault="00C9183C" w:rsidP="00360E55">
            <w:pPr>
              <w:pStyle w:val="biaogecenter"/>
              <w:wordWrap w:val="0"/>
            </w:pPr>
            <w:r>
              <w:rPr>
                <w:rFonts w:hint="eastAsia"/>
              </w:rPr>
              <w:t>1.29%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6ED32E48" w14:textId="77777777" w:rsidR="00C9183C" w:rsidRDefault="00C9183C" w:rsidP="00360E55">
            <w:pPr>
              <w:pStyle w:val="biaogecenter"/>
              <w:wordWrap w:val="0"/>
            </w:pPr>
            <w:r>
              <w:rPr>
                <w:rFonts w:hint="eastAsia"/>
              </w:rPr>
              <w:t>-10.26%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36A37233" w14:textId="77777777" w:rsidR="00C9183C" w:rsidRDefault="00C9183C" w:rsidP="00360E55">
            <w:pPr>
              <w:pStyle w:val="biaogecenter"/>
              <w:wordWrap w:val="0"/>
            </w:pPr>
            <w:r>
              <w:rPr>
                <w:rFonts w:hint="eastAsia"/>
              </w:rPr>
              <w:t>1.02%</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3760D3B0" w14:textId="77777777" w:rsidR="00C9183C" w:rsidRDefault="00C9183C" w:rsidP="00360E55">
            <w:pPr>
              <w:pStyle w:val="biaogecenter"/>
              <w:wordWrap w:val="0"/>
            </w:pPr>
            <w:r>
              <w:rPr>
                <w:rFonts w:hint="eastAsia"/>
              </w:rPr>
              <w:t>-1.22%</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18A5D384" w14:textId="77777777" w:rsidR="00C9183C" w:rsidRDefault="00C9183C" w:rsidP="00360E55">
            <w:pPr>
              <w:pStyle w:val="biaogecenter"/>
              <w:wordWrap w:val="0"/>
            </w:pPr>
            <w:r>
              <w:rPr>
                <w:rFonts w:hint="eastAsia"/>
              </w:rPr>
              <w:t>0.27%</w:t>
            </w:r>
          </w:p>
        </w:tc>
      </w:tr>
      <w:tr w:rsidR="00C9183C" w14:paraId="3ECE20AE" w14:textId="77777777" w:rsidTr="007B2A9B">
        <w:trPr>
          <w:jc w:val="center"/>
        </w:trPr>
        <w:tc>
          <w:tcPr>
            <w:tcW w:w="731" w:type="pct"/>
            <w:tcBorders>
              <w:top w:val="single" w:sz="8" w:space="0" w:color="000000"/>
              <w:left w:val="single" w:sz="8" w:space="0" w:color="000000"/>
              <w:bottom w:val="single" w:sz="6" w:space="0" w:color="000000"/>
              <w:right w:val="single" w:sz="8" w:space="0" w:color="000000"/>
            </w:tcBorders>
            <w:vAlign w:val="center"/>
            <w:hideMark/>
          </w:tcPr>
          <w:p w14:paraId="7FCEBD78" w14:textId="77777777" w:rsidR="00C9183C" w:rsidRDefault="00C9183C" w:rsidP="00360E55">
            <w:pPr>
              <w:pStyle w:val="biaogeleft"/>
              <w:wordWrap w:val="0"/>
            </w:pPr>
            <w:r>
              <w:rPr>
                <w:rFonts w:hint="eastAsia"/>
              </w:rPr>
              <w:t>自基金合同生效起至今</w:t>
            </w:r>
          </w:p>
        </w:tc>
        <w:tc>
          <w:tcPr>
            <w:tcW w:w="696" w:type="pct"/>
            <w:tcBorders>
              <w:top w:val="single" w:sz="8" w:space="0" w:color="000000"/>
              <w:left w:val="single" w:sz="8" w:space="0" w:color="000000"/>
              <w:bottom w:val="single" w:sz="6" w:space="0" w:color="000000"/>
              <w:right w:val="single" w:sz="8" w:space="0" w:color="000000"/>
            </w:tcBorders>
            <w:vAlign w:val="center"/>
            <w:hideMark/>
          </w:tcPr>
          <w:p w14:paraId="3947A399" w14:textId="77777777" w:rsidR="00C9183C" w:rsidRDefault="00C9183C" w:rsidP="00360E55">
            <w:pPr>
              <w:pStyle w:val="biaogecenter"/>
              <w:wordWrap w:val="0"/>
            </w:pPr>
            <w:r>
              <w:rPr>
                <w:rFonts w:hint="eastAsia"/>
              </w:rPr>
              <w:t>-13.35%</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C5BF9EE" w14:textId="77777777" w:rsidR="00C9183C" w:rsidRDefault="00C9183C" w:rsidP="00360E55">
            <w:pPr>
              <w:pStyle w:val="biaogecenter"/>
              <w:wordWrap w:val="0"/>
            </w:pPr>
            <w:r>
              <w:rPr>
                <w:rFonts w:hint="eastAsia"/>
              </w:rPr>
              <w:t>1.18%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F8FCEAB" w14:textId="77777777" w:rsidR="00C9183C" w:rsidRDefault="00C9183C" w:rsidP="00360E55">
            <w:pPr>
              <w:pStyle w:val="biaogecenter"/>
              <w:wordWrap w:val="0"/>
            </w:pPr>
            <w:r>
              <w:rPr>
                <w:rFonts w:hint="eastAsia"/>
              </w:rPr>
              <w:t>-11.71%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AF83A3C" w14:textId="77777777" w:rsidR="00C9183C" w:rsidRDefault="00C9183C" w:rsidP="00360E55">
            <w:pPr>
              <w:pStyle w:val="biaogecenter"/>
              <w:wordWrap w:val="0"/>
            </w:pPr>
            <w:r>
              <w:rPr>
                <w:rFonts w:hint="eastAsia"/>
              </w:rPr>
              <w:t>0.81%</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FDEC78A" w14:textId="77777777" w:rsidR="00C9183C" w:rsidRDefault="00C9183C" w:rsidP="00360E55">
            <w:pPr>
              <w:pStyle w:val="biaogecenter"/>
              <w:wordWrap w:val="0"/>
            </w:pPr>
            <w:r>
              <w:rPr>
                <w:rFonts w:hint="eastAsia"/>
              </w:rPr>
              <w:t>-1.64%</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099FEBB" w14:textId="77777777" w:rsidR="00C9183C" w:rsidRDefault="00C9183C" w:rsidP="00360E55">
            <w:pPr>
              <w:pStyle w:val="biaogecenter"/>
              <w:wordWrap w:val="0"/>
            </w:pPr>
            <w:r>
              <w:rPr>
                <w:rFonts w:hint="eastAsia"/>
              </w:rPr>
              <w:t>0.37%</w:t>
            </w:r>
          </w:p>
        </w:tc>
      </w:tr>
    </w:tbl>
    <w:p w14:paraId="04C87766" w14:textId="77777777" w:rsidR="00C9183C" w:rsidRDefault="00C9183C" w:rsidP="00C9183C">
      <w:pPr>
        <w:spacing w:line="360" w:lineRule="auto"/>
        <w:rPr>
          <w:rFonts w:ascii="宋体" w:hAnsi="宋体"/>
          <w:bCs/>
          <w:szCs w:val="21"/>
        </w:rPr>
      </w:pPr>
    </w:p>
    <w:p w14:paraId="199942C6" w14:textId="77777777" w:rsidR="00C9183C" w:rsidRDefault="00C9183C" w:rsidP="00C9183C">
      <w:pPr>
        <w:spacing w:line="360" w:lineRule="auto"/>
        <w:rPr>
          <w:rFonts w:ascii="宋体" w:hAnsi="宋体"/>
          <w:bCs/>
          <w:szCs w:val="21"/>
        </w:rPr>
      </w:pPr>
      <w:r>
        <w:rPr>
          <w:rFonts w:ascii="宋体" w:hAnsi="宋体" w:hint="eastAsia"/>
          <w:bCs/>
          <w:szCs w:val="21"/>
        </w:rPr>
        <w:t>（2）</w:t>
      </w:r>
      <w:proofErr w:type="gramStart"/>
      <w:r>
        <w:rPr>
          <w:rFonts w:hint="eastAsia"/>
        </w:rPr>
        <w:t>富荣福银混合</w:t>
      </w:r>
      <w:proofErr w:type="gramEnd"/>
      <w:r>
        <w:rPr>
          <w:rFonts w:hint="eastAsia"/>
        </w:rPr>
        <w:t>C</w:t>
      </w:r>
      <w:r>
        <w:rPr>
          <w:rFonts w:ascii="宋体" w:hAnsi="宋体" w:hint="eastAsia"/>
          <w:bCs/>
          <w:szCs w:val="21"/>
        </w:rPr>
        <w:t>（</w:t>
      </w:r>
      <w:r>
        <w:rPr>
          <w:rFonts w:ascii="宋体" w:hAnsi="宋体" w:hint="eastAsia"/>
          <w:color w:val="000000"/>
          <w:kern w:val="0"/>
          <w:szCs w:val="21"/>
        </w:rPr>
        <w:t>基金代码：</w:t>
      </w:r>
      <w:r>
        <w:rPr>
          <w:rFonts w:ascii="宋体" w:hAnsi="宋体"/>
          <w:color w:val="000000"/>
          <w:kern w:val="0"/>
          <w:szCs w:val="21"/>
        </w:rPr>
        <w:t>012546</w:t>
      </w:r>
      <w:r>
        <w:rPr>
          <w:rFonts w:ascii="宋体" w:hAnsi="宋体" w:hint="eastAsia"/>
          <w:bCs/>
          <w:szCs w:val="21"/>
        </w:rPr>
        <w:t>）</w:t>
      </w:r>
    </w:p>
    <w:tbl>
      <w:tblPr>
        <w:tblW w:w="9948" w:type="dxa"/>
        <w:jc w:val="center"/>
        <w:tblLook w:val="04A0" w:firstRow="1" w:lastRow="0" w:firstColumn="1" w:lastColumn="0" w:noHBand="0" w:noVBand="1"/>
      </w:tblPr>
      <w:tblGrid>
        <w:gridCol w:w="1408"/>
        <w:gridCol w:w="1431"/>
        <w:gridCol w:w="1419"/>
        <w:gridCol w:w="1275"/>
        <w:gridCol w:w="1683"/>
        <w:gridCol w:w="1369"/>
        <w:gridCol w:w="1363"/>
      </w:tblGrid>
      <w:tr w:rsidR="00C9183C" w14:paraId="5E6A8EED"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27A35AAE" w14:textId="77777777" w:rsidR="00C9183C" w:rsidRDefault="00C9183C" w:rsidP="00360E55">
            <w:pPr>
              <w:pStyle w:val="biaogeleft"/>
              <w:wordWrap w:val="0"/>
            </w:pPr>
            <w:r>
              <w:rPr>
                <w:rFonts w:hint="eastAsia"/>
              </w:rPr>
              <w:t>阶段</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0DA9A41" w14:textId="77777777" w:rsidR="00C9183C" w:rsidRDefault="00C9183C" w:rsidP="00360E55">
            <w:pPr>
              <w:pStyle w:val="biaogecenter"/>
              <w:wordWrap w:val="0"/>
            </w:pPr>
            <w:r>
              <w:rPr>
                <w:rFonts w:hint="eastAsia"/>
              </w:rPr>
              <w:t>净值增长率①</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D5C8FAC" w14:textId="77777777" w:rsidR="00C9183C" w:rsidRDefault="00C9183C" w:rsidP="00360E55">
            <w:pPr>
              <w:pStyle w:val="biaogecenter"/>
              <w:wordWrap w:val="0"/>
            </w:pPr>
            <w:r>
              <w:rPr>
                <w:rFonts w:hint="eastAsia"/>
              </w:rPr>
              <w:t>净值增长率标准差②</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03008E15" w14:textId="77777777" w:rsidR="00C9183C" w:rsidRDefault="00C9183C" w:rsidP="00360E55">
            <w:pPr>
              <w:pStyle w:val="biaogecenter"/>
              <w:wordWrap w:val="0"/>
            </w:pPr>
            <w:r>
              <w:rPr>
                <w:rFonts w:hint="eastAsia"/>
              </w:rPr>
              <w:t>业绩比较基准收益率③</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475771E0" w14:textId="77777777" w:rsidR="00C9183C" w:rsidRDefault="00C9183C" w:rsidP="00360E55">
            <w:pPr>
              <w:pStyle w:val="biaogecenter"/>
              <w:wordWrap w:val="0"/>
            </w:pPr>
            <w:r>
              <w:rPr>
                <w:rFonts w:hint="eastAsia"/>
              </w:rPr>
              <w:t>业绩比较基准收益率标准差④</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00B88BB4" w14:textId="77777777" w:rsidR="00C9183C" w:rsidRDefault="00C9183C" w:rsidP="00360E55">
            <w:pPr>
              <w:pStyle w:val="biaogecenter"/>
              <w:wordWrap w:val="0"/>
            </w:pPr>
            <w:r>
              <w:rPr>
                <w:rFonts w:hint="eastAsia"/>
              </w:rPr>
              <w:t>①-③</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42D41D08" w14:textId="77777777" w:rsidR="00C9183C" w:rsidRDefault="00C9183C" w:rsidP="00360E55">
            <w:pPr>
              <w:pStyle w:val="biaogecenter"/>
              <w:wordWrap w:val="0"/>
            </w:pPr>
            <w:r>
              <w:rPr>
                <w:rFonts w:hint="eastAsia"/>
              </w:rPr>
              <w:t>②-④</w:t>
            </w:r>
          </w:p>
        </w:tc>
      </w:tr>
      <w:tr w:rsidR="00C9183C" w14:paraId="2E6D71EB"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8FA094B" w14:textId="77777777" w:rsidR="00C9183C" w:rsidRDefault="00C9183C" w:rsidP="00360E55">
            <w:pPr>
              <w:pStyle w:val="biaogeleft"/>
              <w:wordWrap w:val="0"/>
            </w:pPr>
            <w:r>
              <w:rPr>
                <w:rFonts w:hint="eastAsia"/>
                <w:color w:val="000000"/>
                <w:sz w:val="21"/>
                <w:szCs w:val="21"/>
              </w:rPr>
              <w:t>2021.06.18~2021.12.31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6B434B00" w14:textId="77777777" w:rsidR="00C9183C" w:rsidRDefault="00C9183C" w:rsidP="00360E55">
            <w:pPr>
              <w:pStyle w:val="biaogecenter"/>
              <w:wordWrap w:val="0"/>
            </w:pPr>
            <w:r>
              <w:rPr>
                <w:rFonts w:hint="eastAsia"/>
              </w:rPr>
              <w:t>-2.32%</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0FA12727" w14:textId="77777777" w:rsidR="00C9183C" w:rsidRDefault="00C9183C" w:rsidP="00360E55">
            <w:pPr>
              <w:pStyle w:val="biaogecenter"/>
              <w:wordWrap w:val="0"/>
            </w:pPr>
            <w:r>
              <w:rPr>
                <w:rFonts w:hint="eastAsia"/>
              </w:rPr>
              <w:t>1.13%</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3467C93A" w14:textId="77777777" w:rsidR="00C9183C" w:rsidRDefault="00C9183C" w:rsidP="00360E55">
            <w:pPr>
              <w:pStyle w:val="biaogecenter"/>
              <w:wordWrap w:val="0"/>
            </w:pPr>
            <w:r>
              <w:rPr>
                <w:rFonts w:hint="eastAsia"/>
              </w:rPr>
              <w:t>-1.61%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0C9F898B" w14:textId="77777777" w:rsidR="00C9183C" w:rsidRDefault="00C9183C" w:rsidP="00360E55">
            <w:pPr>
              <w:pStyle w:val="biaogecenter"/>
              <w:wordWrap w:val="0"/>
            </w:pPr>
            <w:r>
              <w:rPr>
                <w:rFonts w:hint="eastAsia"/>
              </w:rPr>
              <w:t>0.70%</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5F6C5A4F" w14:textId="77777777" w:rsidR="00C9183C" w:rsidRDefault="00C9183C" w:rsidP="00360E55">
            <w:pPr>
              <w:pStyle w:val="biaogecenter"/>
              <w:wordWrap w:val="0"/>
            </w:pPr>
            <w:r>
              <w:rPr>
                <w:rFonts w:hint="eastAsia"/>
              </w:rPr>
              <w:t>-0.71%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5AD1671C" w14:textId="77777777" w:rsidR="00C9183C" w:rsidRDefault="00C9183C" w:rsidP="00360E55">
            <w:pPr>
              <w:pStyle w:val="biaogecenter"/>
              <w:wordWrap w:val="0"/>
            </w:pPr>
            <w:r>
              <w:rPr>
                <w:rFonts w:hint="eastAsia"/>
              </w:rPr>
              <w:t>0.43%</w:t>
            </w:r>
          </w:p>
        </w:tc>
      </w:tr>
      <w:tr w:rsidR="00C9183C" w14:paraId="1E37EED8"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37B8088F" w14:textId="77777777" w:rsidR="00C9183C" w:rsidRDefault="00C9183C" w:rsidP="00360E55">
            <w:pPr>
              <w:pStyle w:val="biaogeleft"/>
              <w:wordWrap w:val="0"/>
            </w:pPr>
            <w:r>
              <w:rPr>
                <w:rFonts w:hint="eastAsia"/>
                <w:color w:val="000000"/>
                <w:sz w:val="21"/>
                <w:szCs w:val="21"/>
              </w:rPr>
              <w:t>2022.01.01~2022.03.31</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2A2D14AA" w14:textId="77777777" w:rsidR="00C9183C" w:rsidRDefault="00C9183C" w:rsidP="00360E55">
            <w:pPr>
              <w:pStyle w:val="biaogecenter"/>
              <w:wordWrap w:val="0"/>
            </w:pPr>
            <w:r>
              <w:rPr>
                <w:rFonts w:hint="eastAsia"/>
              </w:rPr>
              <w:t>-11.57%</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1E7E98DF" w14:textId="77777777" w:rsidR="00C9183C" w:rsidRDefault="00C9183C" w:rsidP="00360E55">
            <w:pPr>
              <w:pStyle w:val="biaogecenter"/>
              <w:wordWrap w:val="0"/>
            </w:pPr>
            <w:r>
              <w:rPr>
                <w:rFonts w:hint="eastAsia"/>
              </w:rPr>
              <w:t>1.29%</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79BB780D" w14:textId="77777777" w:rsidR="00C9183C" w:rsidRDefault="00C9183C" w:rsidP="00360E55">
            <w:pPr>
              <w:pStyle w:val="biaogecenter"/>
              <w:wordWrap w:val="0"/>
            </w:pPr>
            <w:r>
              <w:rPr>
                <w:rFonts w:hint="eastAsia"/>
              </w:rPr>
              <w:t>-10.26%</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7F99125" w14:textId="77777777" w:rsidR="00C9183C" w:rsidRDefault="00C9183C" w:rsidP="00360E55">
            <w:pPr>
              <w:pStyle w:val="biaogecenter"/>
              <w:wordWrap w:val="0"/>
            </w:pPr>
            <w:r>
              <w:rPr>
                <w:rFonts w:hint="eastAsia"/>
              </w:rPr>
              <w:t>1.02%</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2C420D30" w14:textId="77777777" w:rsidR="00C9183C" w:rsidRDefault="00C9183C" w:rsidP="00360E55">
            <w:pPr>
              <w:pStyle w:val="biaogecenter"/>
              <w:wordWrap w:val="0"/>
            </w:pPr>
            <w:r>
              <w:rPr>
                <w:rFonts w:hint="eastAsia"/>
              </w:rPr>
              <w:t>-1.31%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7D00AE9E" w14:textId="77777777" w:rsidR="00C9183C" w:rsidRDefault="00C9183C" w:rsidP="00360E55">
            <w:pPr>
              <w:pStyle w:val="biaogecenter"/>
              <w:wordWrap w:val="0"/>
            </w:pPr>
            <w:r>
              <w:rPr>
                <w:rFonts w:hint="eastAsia"/>
              </w:rPr>
              <w:t>0.27%</w:t>
            </w:r>
          </w:p>
        </w:tc>
      </w:tr>
      <w:tr w:rsidR="00C9183C" w14:paraId="6F432ADF" w14:textId="77777777" w:rsidTr="007B2A9B">
        <w:trPr>
          <w:jc w:val="center"/>
        </w:trPr>
        <w:tc>
          <w:tcPr>
            <w:tcW w:w="708" w:type="pct"/>
            <w:tcBorders>
              <w:top w:val="single" w:sz="8" w:space="0" w:color="000000"/>
              <w:left w:val="single" w:sz="8" w:space="0" w:color="000000"/>
              <w:bottom w:val="single" w:sz="6" w:space="0" w:color="000000"/>
              <w:right w:val="single" w:sz="8" w:space="0" w:color="000000"/>
            </w:tcBorders>
            <w:vAlign w:val="center"/>
            <w:hideMark/>
          </w:tcPr>
          <w:p w14:paraId="62D2894B" w14:textId="77777777" w:rsidR="00C9183C" w:rsidRDefault="00C9183C" w:rsidP="00360E55">
            <w:pPr>
              <w:pStyle w:val="biaogeleft"/>
              <w:wordWrap w:val="0"/>
            </w:pPr>
            <w:r>
              <w:rPr>
                <w:rFonts w:hint="eastAsia"/>
              </w:rPr>
              <w:t>自基金合同生效起至今</w:t>
            </w:r>
          </w:p>
        </w:tc>
        <w:tc>
          <w:tcPr>
            <w:tcW w:w="719" w:type="pct"/>
            <w:tcBorders>
              <w:top w:val="single" w:sz="8" w:space="0" w:color="000000"/>
              <w:left w:val="single" w:sz="8" w:space="0" w:color="000000"/>
              <w:bottom w:val="single" w:sz="6" w:space="0" w:color="000000"/>
              <w:right w:val="single" w:sz="8" w:space="0" w:color="000000"/>
            </w:tcBorders>
            <w:vAlign w:val="center"/>
            <w:hideMark/>
          </w:tcPr>
          <w:p w14:paraId="41E9DE42" w14:textId="77777777" w:rsidR="00C9183C" w:rsidRDefault="00C9183C" w:rsidP="00360E55">
            <w:pPr>
              <w:pStyle w:val="biaogecenter"/>
              <w:wordWrap w:val="0"/>
            </w:pPr>
            <w:r>
              <w:rPr>
                <w:rFonts w:hint="eastAsia"/>
              </w:rPr>
              <w:t>-13.62%</w:t>
            </w:r>
          </w:p>
        </w:tc>
        <w:tc>
          <w:tcPr>
            <w:tcW w:w="713" w:type="pct"/>
            <w:tcBorders>
              <w:top w:val="single" w:sz="8" w:space="0" w:color="000000"/>
              <w:left w:val="single" w:sz="8" w:space="0" w:color="000000"/>
              <w:bottom w:val="single" w:sz="6" w:space="0" w:color="000000"/>
              <w:right w:val="single" w:sz="8" w:space="0" w:color="000000"/>
            </w:tcBorders>
            <w:vAlign w:val="center"/>
            <w:hideMark/>
          </w:tcPr>
          <w:p w14:paraId="440065EA" w14:textId="77777777" w:rsidR="00C9183C" w:rsidRDefault="00C9183C" w:rsidP="00360E55">
            <w:pPr>
              <w:pStyle w:val="biaogecenter"/>
              <w:wordWrap w:val="0"/>
            </w:pPr>
            <w:r>
              <w:rPr>
                <w:rFonts w:hint="eastAsia"/>
              </w:rPr>
              <w:t>1.18%</w:t>
            </w:r>
          </w:p>
        </w:tc>
        <w:tc>
          <w:tcPr>
            <w:tcW w:w="641" w:type="pct"/>
            <w:tcBorders>
              <w:top w:val="single" w:sz="8" w:space="0" w:color="000000"/>
              <w:left w:val="single" w:sz="8" w:space="0" w:color="000000"/>
              <w:bottom w:val="single" w:sz="6" w:space="0" w:color="000000"/>
              <w:right w:val="single" w:sz="8" w:space="0" w:color="000000"/>
            </w:tcBorders>
            <w:vAlign w:val="center"/>
            <w:hideMark/>
          </w:tcPr>
          <w:p w14:paraId="5E5296FA" w14:textId="77777777" w:rsidR="00C9183C" w:rsidRDefault="00C9183C" w:rsidP="00360E55">
            <w:pPr>
              <w:pStyle w:val="biaogecenter"/>
              <w:wordWrap w:val="0"/>
            </w:pPr>
            <w:r>
              <w:rPr>
                <w:rFonts w:hint="eastAsia"/>
              </w:rPr>
              <w:t>-11.71%</w:t>
            </w:r>
          </w:p>
        </w:tc>
        <w:tc>
          <w:tcPr>
            <w:tcW w:w="846" w:type="pct"/>
            <w:tcBorders>
              <w:top w:val="single" w:sz="8" w:space="0" w:color="000000"/>
              <w:left w:val="single" w:sz="8" w:space="0" w:color="000000"/>
              <w:bottom w:val="single" w:sz="6" w:space="0" w:color="000000"/>
              <w:right w:val="single" w:sz="8" w:space="0" w:color="000000"/>
            </w:tcBorders>
            <w:vAlign w:val="center"/>
            <w:hideMark/>
          </w:tcPr>
          <w:p w14:paraId="2176CDEA" w14:textId="77777777" w:rsidR="00C9183C" w:rsidRDefault="00C9183C" w:rsidP="00360E55">
            <w:pPr>
              <w:pStyle w:val="biaogecenter"/>
              <w:wordWrap w:val="0"/>
            </w:pPr>
            <w:r>
              <w:rPr>
                <w:rFonts w:hint="eastAsia"/>
              </w:rPr>
              <w:t>0.81%</w:t>
            </w:r>
          </w:p>
        </w:tc>
        <w:tc>
          <w:tcPr>
            <w:tcW w:w="688" w:type="pct"/>
            <w:tcBorders>
              <w:top w:val="single" w:sz="8" w:space="0" w:color="000000"/>
              <w:left w:val="single" w:sz="8" w:space="0" w:color="000000"/>
              <w:bottom w:val="single" w:sz="6" w:space="0" w:color="000000"/>
              <w:right w:val="single" w:sz="8" w:space="0" w:color="000000"/>
            </w:tcBorders>
            <w:vAlign w:val="center"/>
            <w:hideMark/>
          </w:tcPr>
          <w:p w14:paraId="65C63C5C" w14:textId="77777777" w:rsidR="00C9183C" w:rsidRDefault="00C9183C" w:rsidP="00360E55">
            <w:pPr>
              <w:pStyle w:val="biaogecenter"/>
              <w:wordWrap w:val="0"/>
            </w:pPr>
            <w:r>
              <w:rPr>
                <w:rFonts w:hint="eastAsia"/>
              </w:rPr>
              <w:t>-1.91%</w:t>
            </w:r>
          </w:p>
        </w:tc>
        <w:tc>
          <w:tcPr>
            <w:tcW w:w="685" w:type="pct"/>
            <w:tcBorders>
              <w:top w:val="single" w:sz="8" w:space="0" w:color="000000"/>
              <w:left w:val="single" w:sz="8" w:space="0" w:color="000000"/>
              <w:bottom w:val="single" w:sz="6" w:space="0" w:color="000000"/>
              <w:right w:val="single" w:sz="8" w:space="0" w:color="000000"/>
            </w:tcBorders>
            <w:vAlign w:val="center"/>
            <w:hideMark/>
          </w:tcPr>
          <w:p w14:paraId="010671AA" w14:textId="77777777" w:rsidR="00C9183C" w:rsidRDefault="00C9183C" w:rsidP="00360E55">
            <w:pPr>
              <w:pStyle w:val="biaogecenter"/>
              <w:wordWrap w:val="0"/>
            </w:pPr>
            <w:r>
              <w:rPr>
                <w:rFonts w:hint="eastAsia"/>
              </w:rPr>
              <w:t>0.37%</w:t>
            </w:r>
          </w:p>
        </w:tc>
      </w:tr>
    </w:tbl>
    <w:p w14:paraId="7ED09BFA" w14:textId="77777777" w:rsidR="00C9183C" w:rsidRDefault="00C9183C" w:rsidP="00C9183C">
      <w:pPr>
        <w:widowControl/>
        <w:jc w:val="left"/>
        <w:rPr>
          <w:rFonts w:ascii="宋体" w:eastAsia="宋体" w:hAnsi="宋体" w:cs="宋体"/>
          <w:kern w:val="0"/>
          <w:sz w:val="24"/>
          <w:szCs w:val="24"/>
        </w:rPr>
      </w:pPr>
      <w:r>
        <w:rPr>
          <w:rFonts w:ascii="宋体" w:eastAsia="宋体" w:hAnsi="宋体" w:cs="宋体" w:hint="eastAsia"/>
          <w:kern w:val="0"/>
          <w:sz w:val="24"/>
          <w:szCs w:val="24"/>
        </w:rPr>
        <w:t>注：本基金的业绩比较基准为：沪深300指数收益率×70%+中</w:t>
      </w:r>
      <w:proofErr w:type="gramStart"/>
      <w:r>
        <w:rPr>
          <w:rFonts w:ascii="宋体" w:eastAsia="宋体" w:hAnsi="宋体" w:cs="宋体" w:hint="eastAsia"/>
          <w:kern w:val="0"/>
          <w:sz w:val="24"/>
          <w:szCs w:val="24"/>
        </w:rPr>
        <w:t>债综合</w:t>
      </w:r>
      <w:proofErr w:type="gramEnd"/>
      <w:r>
        <w:rPr>
          <w:rFonts w:ascii="宋体" w:eastAsia="宋体" w:hAnsi="宋体" w:cs="宋体" w:hint="eastAsia"/>
          <w:kern w:val="0"/>
          <w:sz w:val="24"/>
          <w:szCs w:val="24"/>
        </w:rPr>
        <w:t xml:space="preserve">指数收益率×30% </w:t>
      </w:r>
    </w:p>
    <w:p w14:paraId="23FCD203" w14:textId="77777777" w:rsidR="00C9183C" w:rsidRPr="00360E55" w:rsidRDefault="00C9183C" w:rsidP="00C9183C">
      <w:pPr>
        <w:pStyle w:val="zhangjiep2"/>
        <w:rPr>
          <w:rFonts w:asciiTheme="minorEastAsia" w:eastAsiaTheme="minorEastAsia" w:hAnsiTheme="minorEastAsia" w:cs="Times New Roman"/>
          <w:bCs/>
          <w:kern w:val="2"/>
        </w:rPr>
      </w:pPr>
      <w:r w:rsidRPr="00360E55">
        <w:rPr>
          <w:rFonts w:asciiTheme="minorEastAsia" w:eastAsiaTheme="minorEastAsia" w:hAnsiTheme="minorEastAsia" w:cs="Times New Roman"/>
          <w:bCs/>
          <w:kern w:val="2"/>
        </w:rPr>
        <w:t>2、</w:t>
      </w:r>
      <w:r w:rsidRPr="00360E55">
        <w:rPr>
          <w:rFonts w:asciiTheme="minorEastAsia" w:eastAsiaTheme="minorEastAsia" w:hAnsiTheme="minorEastAsia" w:cs="Times New Roman" w:hint="eastAsia"/>
          <w:bCs/>
          <w:kern w:val="2"/>
        </w:rPr>
        <w:t>自基金合同生效以来基金累计净值增长率变动及其与同期业绩比较基准收益率变动的比较</w:t>
      </w:r>
    </w:p>
    <w:p w14:paraId="3511913C" w14:textId="77777777" w:rsidR="00C9183C" w:rsidRDefault="00C9183C" w:rsidP="00C9183C">
      <w:pPr>
        <w:pStyle w:val="biaogeleft"/>
      </w:pPr>
      <w:r>
        <w:rPr>
          <w:rFonts w:hAnsi="等线"/>
          <w:noProof/>
          <w:color w:val="000000"/>
        </w:rPr>
        <w:drawing>
          <wp:inline distT="0" distB="0" distL="0" distR="0" wp14:anchorId="346D38D5" wp14:editId="5D2A1B58">
            <wp:extent cx="5600700" cy="3638550"/>
            <wp:effectExtent l="0" t="0" r="0" b="0"/>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7DFD83F5" w14:textId="77777777" w:rsidR="00C9183C" w:rsidRDefault="00C9183C" w:rsidP="00C9183C">
      <w:pPr>
        <w:pStyle w:val="biaogeleft"/>
      </w:pPr>
      <w:r>
        <w:rPr>
          <w:rFonts w:hAnsi="等线"/>
          <w:noProof/>
          <w:color w:val="000000"/>
        </w:rPr>
        <w:drawing>
          <wp:inline distT="0" distB="0" distL="0" distR="0" wp14:anchorId="3367E240" wp14:editId="335F7E94">
            <wp:extent cx="5600700" cy="3638550"/>
            <wp:effectExtent l="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5600700" cy="3638550"/>
                    </a:xfrm>
                    <a:prstGeom prst="rect">
                      <a:avLst/>
                    </a:prstGeom>
                    <a:noFill/>
                    <a:ln>
                      <a:noFill/>
                    </a:ln>
                  </pic:spPr>
                </pic:pic>
              </a:graphicData>
            </a:graphic>
          </wp:inline>
        </w:drawing>
      </w:r>
    </w:p>
    <w:p w14:paraId="42C6546D" w14:textId="705494D5" w:rsidR="00485170" w:rsidRDefault="00C9183C" w:rsidP="007B2A9B">
      <w:pPr>
        <w:rPr>
          <w:sz w:val="30"/>
          <w:szCs w:val="30"/>
        </w:rPr>
      </w:pPr>
      <w:r>
        <w:rPr>
          <w:rFonts w:ascii="宋体" w:eastAsia="宋体" w:hAnsi="宋体" w:cs="宋体" w:hint="eastAsia"/>
          <w:kern w:val="0"/>
          <w:sz w:val="24"/>
          <w:szCs w:val="24"/>
        </w:rPr>
        <w:t>注：①本基金的基金合同于2021年6月18日生效，截至2022年3月31日止，本基金成立未满1年。</w:t>
      </w:r>
      <w:r>
        <w:rPr>
          <w:rFonts w:ascii="宋体" w:eastAsia="宋体" w:hAnsi="宋体" w:cs="宋体" w:hint="eastAsia"/>
          <w:kern w:val="0"/>
          <w:sz w:val="24"/>
          <w:szCs w:val="24"/>
        </w:rPr>
        <w:br/>
        <w:t>  ②本基金的建仓期为6个月，建仓期结束时各项资产配置比例符合合同约定。</w:t>
      </w:r>
      <w:r w:rsidR="00485170">
        <w:rPr>
          <w:sz w:val="30"/>
          <w:szCs w:val="30"/>
        </w:rPr>
        <w:br w:type="page"/>
      </w:r>
    </w:p>
    <w:p w14:paraId="55AB432C" w14:textId="47C7459C" w:rsidR="00AC3A9B" w:rsidRPr="002544B9" w:rsidRDefault="002C3C29">
      <w:pPr>
        <w:pStyle w:val="1"/>
        <w:jc w:val="center"/>
        <w:rPr>
          <w:sz w:val="30"/>
          <w:szCs w:val="30"/>
        </w:rPr>
      </w:pPr>
      <w:bookmarkStart w:id="247" w:name="_Toc104205521"/>
      <w:r w:rsidRPr="002544B9">
        <w:rPr>
          <w:rFonts w:hint="eastAsia"/>
          <w:sz w:val="30"/>
          <w:szCs w:val="30"/>
        </w:rPr>
        <w:t>第十部分</w:t>
      </w:r>
      <w:r w:rsidRPr="002544B9">
        <w:rPr>
          <w:sz w:val="30"/>
          <w:szCs w:val="30"/>
        </w:rPr>
        <w:t xml:space="preserve">  </w:t>
      </w:r>
      <w:r w:rsidRPr="002544B9">
        <w:rPr>
          <w:rFonts w:hint="eastAsia"/>
          <w:sz w:val="30"/>
          <w:szCs w:val="30"/>
        </w:rPr>
        <w:t>基金的财产</w:t>
      </w:r>
      <w:bookmarkEnd w:id="225"/>
      <w:bookmarkEnd w:id="226"/>
      <w:bookmarkEnd w:id="247"/>
    </w:p>
    <w:p w14:paraId="11639656" w14:textId="4910BD64" w:rsidR="006C7F55" w:rsidRPr="002544B9" w:rsidRDefault="006C7F55" w:rsidP="006C7F55">
      <w:pPr>
        <w:autoSpaceDE w:val="0"/>
        <w:autoSpaceDN w:val="0"/>
        <w:spacing w:line="360" w:lineRule="auto"/>
        <w:ind w:firstLineChars="200" w:firstLine="480"/>
        <w:textAlignment w:val="bottom"/>
        <w:rPr>
          <w:bCs/>
          <w:sz w:val="24"/>
        </w:rPr>
      </w:pPr>
      <w:bookmarkStart w:id="248" w:name="_Toc214873600"/>
      <w:bookmarkStart w:id="249" w:name="_Toc263092319"/>
      <w:bookmarkStart w:id="250" w:name="_Toc416264547"/>
      <w:bookmarkStart w:id="251" w:name="_Toc2981"/>
      <w:bookmarkStart w:id="252" w:name="_Toc801"/>
      <w:bookmarkStart w:id="253" w:name="_Toc22538"/>
      <w:bookmarkStart w:id="254" w:name="_Toc11351"/>
      <w:bookmarkStart w:id="255" w:name="_Toc3872"/>
      <w:bookmarkStart w:id="256" w:name="_Toc578"/>
      <w:bookmarkStart w:id="257" w:name="_Toc13343"/>
      <w:bookmarkStart w:id="258" w:name="_Toc16437"/>
      <w:bookmarkStart w:id="259" w:name="_Toc21917"/>
      <w:bookmarkStart w:id="260" w:name="_Toc11395"/>
      <w:bookmarkStart w:id="261" w:name="_Toc5477"/>
      <w:bookmarkStart w:id="262" w:name="_Toc352229758"/>
      <w:bookmarkEnd w:id="227"/>
      <w:bookmarkEnd w:id="228"/>
      <w:bookmarkEnd w:id="229"/>
      <w:bookmarkEnd w:id="230"/>
      <w:bookmarkEnd w:id="231"/>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r w:rsidRPr="002544B9">
        <w:rPr>
          <w:rFonts w:hint="eastAsia"/>
          <w:bCs/>
          <w:sz w:val="24"/>
        </w:rPr>
        <w:t>一、基金资产总值</w:t>
      </w:r>
    </w:p>
    <w:p w14:paraId="0338571E" w14:textId="10CDAB78" w:rsidR="006C60F8" w:rsidRPr="002544B9" w:rsidRDefault="003C7689" w:rsidP="006C7F55">
      <w:pPr>
        <w:autoSpaceDE w:val="0"/>
        <w:autoSpaceDN w:val="0"/>
        <w:spacing w:line="360" w:lineRule="auto"/>
        <w:ind w:firstLineChars="200" w:firstLine="480"/>
        <w:textAlignment w:val="bottom"/>
        <w:rPr>
          <w:bCs/>
          <w:sz w:val="24"/>
        </w:rPr>
      </w:pPr>
      <w:r w:rsidRPr="002544B9">
        <w:rPr>
          <w:rFonts w:hint="eastAsia"/>
          <w:bCs/>
          <w:sz w:val="24"/>
        </w:rPr>
        <w:t>基金资产总值是指基金拥有的各类有价证券、银行存款本息、基金应收款项及其他资产的价值总和。</w:t>
      </w:r>
    </w:p>
    <w:p w14:paraId="555097E8"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二、基金资产净值</w:t>
      </w:r>
    </w:p>
    <w:p w14:paraId="0FE0705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基金资产净值是指基金资产总值减去基金负债后的价值。</w:t>
      </w:r>
    </w:p>
    <w:p w14:paraId="30431B11"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三、基金财产的账户</w:t>
      </w:r>
    </w:p>
    <w:p w14:paraId="19722402"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托管人根据相关法律法规、规范性文件为本基金开立资金账户、证券账户以及投资所需的其他专用账户。开立的基金专用账户与基金管理人、基金托管人、基金销售机构和基金登记机构自有的财产账户以及其他基金财产账户相独立。</w:t>
      </w:r>
    </w:p>
    <w:p w14:paraId="4ADC297B"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四、基金财产的保管和处分</w:t>
      </w:r>
    </w:p>
    <w:p w14:paraId="7B303BD5"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本基金财产独立于基金管理人、基金托管人和基金销售机构的财产，并由基金托管人保管。基金管理人、基金托管人、基金份额登记机构和基金销售机构以其自有的财产承担其自身的法律责任，其债权人不得对本基金财产行使请求冻结、扣押或其他权利。除依法</w:t>
      </w:r>
      <w:proofErr w:type="gramStart"/>
      <w:r w:rsidRPr="002544B9">
        <w:rPr>
          <w:rFonts w:hint="eastAsia"/>
          <w:bCs/>
          <w:sz w:val="24"/>
        </w:rPr>
        <w:t>律法规</w:t>
      </w:r>
      <w:proofErr w:type="gramEnd"/>
      <w:r w:rsidRPr="002544B9">
        <w:rPr>
          <w:rFonts w:hint="eastAsia"/>
          <w:bCs/>
          <w:sz w:val="24"/>
        </w:rPr>
        <w:t>和《基金合同》的规定处分外，基金财产不得被处分。</w:t>
      </w:r>
    </w:p>
    <w:p w14:paraId="55088A9E" w14:textId="77777777" w:rsidR="006C7F55" w:rsidRPr="002544B9" w:rsidRDefault="006C7F55" w:rsidP="006C7F55">
      <w:pPr>
        <w:autoSpaceDE w:val="0"/>
        <w:autoSpaceDN w:val="0"/>
        <w:spacing w:line="360" w:lineRule="auto"/>
        <w:ind w:firstLineChars="200" w:firstLine="480"/>
        <w:textAlignment w:val="bottom"/>
        <w:rPr>
          <w:bCs/>
          <w:sz w:val="24"/>
        </w:rPr>
      </w:pPr>
      <w:r w:rsidRPr="002544B9">
        <w:rPr>
          <w:rFonts w:hint="eastAsia"/>
          <w:bCs/>
          <w:sz w:val="24"/>
        </w:rPr>
        <w:t>基金管理人、基金托管人因依法解散、被依法撤销或者被依法宣告破产等原因进行清算的，基金财产不属于其清算财产。基金管理人管理运作基金财产所产生的债权，不得与其固有资产产生的债务相互</w:t>
      </w:r>
      <w:proofErr w:type="gramStart"/>
      <w:r w:rsidRPr="002544B9">
        <w:rPr>
          <w:rFonts w:hint="eastAsia"/>
          <w:bCs/>
          <w:sz w:val="24"/>
        </w:rPr>
        <w:t>抵销</w:t>
      </w:r>
      <w:proofErr w:type="gramEnd"/>
      <w:r w:rsidRPr="002544B9">
        <w:rPr>
          <w:rFonts w:hint="eastAsia"/>
          <w:bCs/>
          <w:sz w:val="24"/>
        </w:rPr>
        <w:t>；基金管理人管理运作不同基金的基金财产所产生的债权债务不得相互</w:t>
      </w:r>
      <w:proofErr w:type="gramStart"/>
      <w:r w:rsidRPr="002544B9">
        <w:rPr>
          <w:rFonts w:hint="eastAsia"/>
          <w:bCs/>
          <w:sz w:val="24"/>
        </w:rPr>
        <w:t>抵销</w:t>
      </w:r>
      <w:proofErr w:type="gramEnd"/>
      <w:r w:rsidRPr="002544B9">
        <w:rPr>
          <w:rFonts w:hint="eastAsia"/>
          <w:bCs/>
          <w:sz w:val="24"/>
        </w:rPr>
        <w:t>。非因基金财产本身承担的债务，不得对基金财产强制执行。</w:t>
      </w:r>
    </w:p>
    <w:p w14:paraId="6AFB5AD4" w14:textId="77777777" w:rsidR="006C7F55" w:rsidRPr="002544B9" w:rsidRDefault="006C7F55">
      <w:pPr>
        <w:widowControl/>
        <w:jc w:val="left"/>
        <w:rPr>
          <w:bCs/>
          <w:sz w:val="24"/>
        </w:rPr>
      </w:pPr>
      <w:r w:rsidRPr="002544B9">
        <w:rPr>
          <w:bCs/>
          <w:sz w:val="24"/>
        </w:rPr>
        <w:br w:type="page"/>
      </w:r>
    </w:p>
    <w:p w14:paraId="0281768F" w14:textId="43BAA93D" w:rsidR="00AC3A9B" w:rsidRPr="002544B9" w:rsidRDefault="002C3C29" w:rsidP="006C7F55">
      <w:pPr>
        <w:pStyle w:val="1"/>
        <w:jc w:val="center"/>
        <w:rPr>
          <w:sz w:val="30"/>
          <w:szCs w:val="30"/>
        </w:rPr>
      </w:pPr>
      <w:bookmarkStart w:id="263" w:name="_Toc68266298"/>
      <w:bookmarkStart w:id="264" w:name="_Toc104205522"/>
      <w:r w:rsidRPr="002544B9">
        <w:rPr>
          <w:rFonts w:hint="eastAsia"/>
          <w:sz w:val="30"/>
          <w:szCs w:val="30"/>
        </w:rPr>
        <w:t>第十一部分</w:t>
      </w:r>
      <w:r w:rsidRPr="002544B9">
        <w:rPr>
          <w:sz w:val="30"/>
          <w:szCs w:val="30"/>
        </w:rPr>
        <w:t xml:space="preserve">  </w:t>
      </w:r>
      <w:r w:rsidRPr="002544B9">
        <w:rPr>
          <w:rFonts w:hint="eastAsia"/>
          <w:sz w:val="30"/>
          <w:szCs w:val="30"/>
        </w:rPr>
        <w:t>基金资产的估值</w:t>
      </w:r>
      <w:bookmarkEnd w:id="248"/>
      <w:bookmarkEnd w:id="249"/>
      <w:bookmarkEnd w:id="250"/>
      <w:bookmarkEnd w:id="263"/>
      <w:bookmarkEnd w:id="264"/>
    </w:p>
    <w:p w14:paraId="63DAA507"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一、估值日</w:t>
      </w:r>
    </w:p>
    <w:p w14:paraId="55F9F042" w14:textId="05BBA5A1"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本基金的估值日为本基金相关的证券</w:t>
      </w:r>
      <w:r w:rsidR="00DD41DA" w:rsidRPr="002544B9">
        <w:rPr>
          <w:rFonts w:hint="eastAsia"/>
          <w:bCs/>
          <w:sz w:val="24"/>
        </w:rPr>
        <w:t>、期货</w:t>
      </w:r>
      <w:r w:rsidRPr="002544B9">
        <w:rPr>
          <w:rFonts w:hint="eastAsia"/>
          <w:bCs/>
          <w:sz w:val="24"/>
        </w:rPr>
        <w:t>交易场所的交易日以及国家法律法规规定需要对外披露基金净值的</w:t>
      </w:r>
      <w:proofErr w:type="gramStart"/>
      <w:r w:rsidRPr="002544B9">
        <w:rPr>
          <w:rFonts w:hint="eastAsia"/>
          <w:bCs/>
          <w:sz w:val="24"/>
        </w:rPr>
        <w:t>非交易</w:t>
      </w:r>
      <w:proofErr w:type="gramEnd"/>
      <w:r w:rsidRPr="002544B9">
        <w:rPr>
          <w:rFonts w:hint="eastAsia"/>
          <w:bCs/>
          <w:sz w:val="24"/>
        </w:rPr>
        <w:t>日。</w:t>
      </w:r>
    </w:p>
    <w:p w14:paraId="7082F156"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二、估值对象</w:t>
      </w:r>
    </w:p>
    <w:p w14:paraId="6A715684" w14:textId="127401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基金所拥有的股票、</w:t>
      </w:r>
      <w:r w:rsidR="003C7689" w:rsidRPr="002544B9">
        <w:rPr>
          <w:rFonts w:hint="eastAsia"/>
          <w:bCs/>
          <w:sz w:val="24"/>
        </w:rPr>
        <w:t>存托凭证、</w:t>
      </w:r>
      <w:r w:rsidRPr="002544B9">
        <w:rPr>
          <w:rFonts w:hint="eastAsia"/>
          <w:bCs/>
          <w:sz w:val="24"/>
        </w:rPr>
        <w:t>股指期货合约、国债期货合约、债券和银行存款本息、</w:t>
      </w:r>
      <w:r w:rsidR="003C7689" w:rsidRPr="002544B9">
        <w:rPr>
          <w:rFonts w:hint="eastAsia"/>
          <w:bCs/>
          <w:sz w:val="24"/>
        </w:rPr>
        <w:t>资产支持证券、</w:t>
      </w:r>
      <w:r w:rsidRPr="002544B9">
        <w:rPr>
          <w:rFonts w:hint="eastAsia"/>
          <w:bCs/>
          <w:sz w:val="24"/>
        </w:rPr>
        <w:t>应收款项、其它投资、股票期权</w:t>
      </w:r>
      <w:r w:rsidR="003C7689" w:rsidRPr="002544B9">
        <w:rPr>
          <w:rFonts w:hint="eastAsia"/>
          <w:bCs/>
          <w:sz w:val="24"/>
        </w:rPr>
        <w:t>合约</w:t>
      </w:r>
      <w:r w:rsidRPr="002544B9">
        <w:rPr>
          <w:rFonts w:hint="eastAsia"/>
          <w:bCs/>
          <w:sz w:val="24"/>
        </w:rPr>
        <w:t>等资产及负债。</w:t>
      </w:r>
    </w:p>
    <w:p w14:paraId="191103E9"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三、估值原则</w:t>
      </w:r>
    </w:p>
    <w:p w14:paraId="3CCFC21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基金管理人在确定相关金融资产和金融负债的公允价值时，应符合《企业会计准则》、监管部门有关规定。</w:t>
      </w:r>
    </w:p>
    <w:p w14:paraId="0955819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一）对存在活跃市场且能够获取相同资产或负债报价的投资品种，在估值日有报价的，除会计准则规定的例外情况外，应将该报价不加调整地应用于该资产或负债的公允价值计量。估值日无报价且最近交易日后未发生影响公允价值计量的重大事件的，应采用最近交易日的报价确定公允价值。有充足证据表明估值日或最近交易日的报价不能真实反映公允价值的，应对报价进行调整，确定公允价值。</w:t>
      </w:r>
    </w:p>
    <w:p w14:paraId="3058344D" w14:textId="3D37E273"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与上述投资品种</w:t>
      </w:r>
      <w:r w:rsidR="003C7689" w:rsidRPr="002544B9">
        <w:rPr>
          <w:rFonts w:hint="eastAsia"/>
          <w:bCs/>
          <w:sz w:val="24"/>
        </w:rPr>
        <w:t>相</w:t>
      </w:r>
      <w:r w:rsidRPr="002544B9">
        <w:rPr>
          <w:rFonts w:hint="eastAsia"/>
          <w:bCs/>
          <w:sz w:val="24"/>
        </w:rPr>
        <w:t>同，但具有不同特征的，应以相同资产或负债的公允价值为基础，并在估值技术中考虑不同特征因素的影响。特征是指对资产出售或使用的限制等，如果该限制是针对资产持有者的，那么在估值技术中不应将该限制作为特征考虑。此外，基金管理人不应考虑因其大量持有相关资产或负债所产生的溢价或折价。</w:t>
      </w:r>
    </w:p>
    <w:p w14:paraId="42DB304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二）对不存在活跃市场的投资品种，应采用在当前情况下适用并且有足够可利用数据和其他信息支持的估值技术确定公允价值。采用估值技术确定公允价值时，应优先使用可观察输入值，只有在无法取得相关资产或负债可观察输入值或取得不切实可行的情况下，才可以使用不可观察输入值。</w:t>
      </w:r>
    </w:p>
    <w:p w14:paraId="6DD830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（三）如经济环境发生重大变化或证券发行人发生影响证券价格的重大事件，使潜在估值调整对前一估值日的基金资产净值的影响在</w:t>
      </w:r>
      <w:r w:rsidRPr="002544B9">
        <w:rPr>
          <w:bCs/>
          <w:sz w:val="24"/>
        </w:rPr>
        <w:t>0.25%</w:t>
      </w:r>
      <w:r w:rsidRPr="002544B9">
        <w:rPr>
          <w:rFonts w:hint="eastAsia"/>
          <w:bCs/>
          <w:sz w:val="24"/>
        </w:rPr>
        <w:t>以上的，应对估值进行调整并确定公允价值。</w:t>
      </w:r>
    </w:p>
    <w:p w14:paraId="19D69D85"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四、估值方法</w:t>
      </w:r>
    </w:p>
    <w:p w14:paraId="5965C31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、证券交易所上市的有价证券的估值</w:t>
      </w:r>
    </w:p>
    <w:p w14:paraId="2FF9558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0B5289D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787EAB4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2E7CFE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）交易所上市交易的可转换债券以每日收盘价作为估值全价；</w:t>
      </w:r>
    </w:p>
    <w:p w14:paraId="0C4ED4B4" w14:textId="23F73709"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）交易所上市不存在活跃市场的非固定收益类有价证券，采用估值技术确定公允价值。交易所市场挂牌转让的资产支持证券，采用估值技术确定公允价值，在估值技术难以可靠计量公允价值的情况下，按成本估值</w:t>
      </w:r>
      <w:r w:rsidR="00DD41DA" w:rsidRPr="002544B9">
        <w:rPr>
          <w:rFonts w:hint="eastAsia"/>
          <w:bCs/>
          <w:sz w:val="24"/>
        </w:rPr>
        <w:t>；</w:t>
      </w:r>
    </w:p>
    <w:p w14:paraId="4742B7F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65991A0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、处于未上市期间的有价证券应区分如下情况处理：</w:t>
      </w:r>
    </w:p>
    <w:p w14:paraId="3D889CCB"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）送股、转增股、配股和公开增发的新股，按估值日在证券交易所挂牌的同一股票的估值方法估值；该日无交易的，以最近一日的市价（收盘价）估值；</w:t>
      </w:r>
    </w:p>
    <w:p w14:paraId="3CF3E333"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）首次公开发行未上市的股票、债券，采用估值技术确定公允价值，在估值技术难以可靠计量公允价值的情况下，按成本估值；</w:t>
      </w:r>
    </w:p>
    <w:p w14:paraId="735FF1FE" w14:textId="5E072544"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w:t>
      </w:r>
      <w:r w:rsidR="003C7689" w:rsidRPr="002544B9">
        <w:rPr>
          <w:rFonts w:hint="eastAsia"/>
          <w:bCs/>
          <w:sz w:val="24"/>
        </w:rPr>
        <w:t>流通受限的股票，包括非公开发行股票、首次公开发行股票时公司股东公开发售股份、通过大宗交易取得的带限售期的股票等（不包括停牌、新发行未上市、回购交易中的质押</w:t>
      </w:r>
      <w:proofErr w:type="gramStart"/>
      <w:r w:rsidR="003C7689" w:rsidRPr="002544B9">
        <w:rPr>
          <w:rFonts w:hint="eastAsia"/>
          <w:bCs/>
          <w:sz w:val="24"/>
        </w:rPr>
        <w:t>券</w:t>
      </w:r>
      <w:proofErr w:type="gramEnd"/>
      <w:r w:rsidR="003C7689" w:rsidRPr="002544B9">
        <w:rPr>
          <w:rFonts w:hint="eastAsia"/>
          <w:bCs/>
          <w:sz w:val="24"/>
        </w:rPr>
        <w:t>等流通受限股票），按监管机构或行业协会有关规定确定公允价值</w:t>
      </w:r>
      <w:r w:rsidR="00DD41DA" w:rsidRPr="002544B9">
        <w:rPr>
          <w:rFonts w:hint="eastAsia"/>
          <w:bCs/>
          <w:sz w:val="24"/>
        </w:rPr>
        <w:t>。</w:t>
      </w:r>
    </w:p>
    <w:p w14:paraId="42D38EA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、全国银行间债券市场交易的债券、资产支持证券等固定收益品种，以第三方估值机构提供的价格数据估值。</w:t>
      </w:r>
    </w:p>
    <w:p w14:paraId="4913FCAC" w14:textId="143E0A3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、同一</w:t>
      </w:r>
      <w:r w:rsidR="003C7689" w:rsidRPr="002544B9">
        <w:rPr>
          <w:rFonts w:hint="eastAsia"/>
          <w:bCs/>
          <w:sz w:val="24"/>
        </w:rPr>
        <w:t>证券</w:t>
      </w:r>
      <w:r w:rsidRPr="002544B9">
        <w:rPr>
          <w:rFonts w:hint="eastAsia"/>
          <w:bCs/>
          <w:sz w:val="24"/>
        </w:rPr>
        <w:t>同时在两个或两个以上市场交易的，按</w:t>
      </w:r>
      <w:r w:rsidR="003C7689" w:rsidRPr="002544B9">
        <w:rPr>
          <w:rFonts w:hint="eastAsia"/>
          <w:bCs/>
          <w:sz w:val="24"/>
        </w:rPr>
        <w:t>证券</w:t>
      </w:r>
      <w:r w:rsidRPr="002544B9">
        <w:rPr>
          <w:rFonts w:hint="eastAsia"/>
          <w:bCs/>
          <w:sz w:val="24"/>
        </w:rPr>
        <w:t>所处的市场分别估值。</w:t>
      </w:r>
    </w:p>
    <w:p w14:paraId="1ED13D2F" w14:textId="5526AB04"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、本基金投资国债期货</w:t>
      </w:r>
      <w:r w:rsidR="003C7689" w:rsidRPr="002544B9">
        <w:rPr>
          <w:rFonts w:hint="eastAsia"/>
          <w:bCs/>
          <w:sz w:val="24"/>
        </w:rPr>
        <w:t>合约</w:t>
      </w:r>
      <w:r w:rsidRPr="002544B9">
        <w:rPr>
          <w:rFonts w:hint="eastAsia"/>
          <w:bCs/>
          <w:sz w:val="24"/>
        </w:rPr>
        <w:t>、股指期货</w:t>
      </w:r>
      <w:r w:rsidR="003C7689" w:rsidRPr="002544B9">
        <w:rPr>
          <w:rFonts w:hint="eastAsia"/>
          <w:bCs/>
          <w:sz w:val="24"/>
        </w:rPr>
        <w:t>合约</w:t>
      </w:r>
      <w:r w:rsidRPr="002544B9">
        <w:rPr>
          <w:rFonts w:hint="eastAsia"/>
          <w:bCs/>
          <w:sz w:val="24"/>
        </w:rPr>
        <w:t>、股票期权合约，一般以估值当日结算价进行估值，估值当日无结算价的，且最近交易日后经济环境未发生重大变化的，采用最近交易日结算价估值。</w:t>
      </w:r>
    </w:p>
    <w:p w14:paraId="1299B272" w14:textId="38F8B6C1"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6</w:t>
      </w:r>
      <w:r w:rsidR="00794997" w:rsidRPr="002544B9">
        <w:rPr>
          <w:rFonts w:hint="eastAsia"/>
          <w:bCs/>
          <w:sz w:val="24"/>
        </w:rPr>
        <w:t>、本基金投资存托凭证的估值核算，依照境内上市交易的股票执行。</w:t>
      </w:r>
    </w:p>
    <w:p w14:paraId="2D5F6ED8" w14:textId="3887E4C7"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7</w:t>
      </w:r>
      <w:r w:rsidR="00794997" w:rsidRPr="002544B9">
        <w:rPr>
          <w:rFonts w:hint="eastAsia"/>
          <w:bCs/>
          <w:sz w:val="24"/>
        </w:rPr>
        <w:t>、其他资产按法律法规或监管机构有关规定进行估值。</w:t>
      </w:r>
    </w:p>
    <w:p w14:paraId="412C2D7C" w14:textId="506077E4"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8</w:t>
      </w:r>
      <w:r w:rsidR="00794997" w:rsidRPr="002544B9">
        <w:rPr>
          <w:rFonts w:hint="eastAsia"/>
          <w:bCs/>
          <w:sz w:val="24"/>
        </w:rPr>
        <w:t>、如有确凿证据表明按上述方法进行估值不能客观反映其公允价值的，基金管理人可根据具体情况与基金托管人商定后，按最能反映公允价值的方法估值。</w:t>
      </w:r>
    </w:p>
    <w:p w14:paraId="56D9BFCB" w14:textId="1FE43840"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9</w:t>
      </w:r>
      <w:r w:rsidR="00794997" w:rsidRPr="002544B9">
        <w:rPr>
          <w:rFonts w:hint="eastAsia"/>
          <w:bCs/>
          <w:sz w:val="24"/>
        </w:rPr>
        <w:t>、当本基金发生大额申购或赎回情形时，基金管理人可以对本基金采用摆动定价机制，以确保基金估值的公平性。</w:t>
      </w:r>
    </w:p>
    <w:p w14:paraId="7A9FAF1A" w14:textId="114EC199" w:rsidR="00794997" w:rsidRPr="002544B9" w:rsidRDefault="003C7689" w:rsidP="00794997">
      <w:pPr>
        <w:autoSpaceDE w:val="0"/>
        <w:autoSpaceDN w:val="0"/>
        <w:spacing w:line="360" w:lineRule="auto"/>
        <w:ind w:firstLineChars="200" w:firstLine="480"/>
        <w:textAlignment w:val="bottom"/>
        <w:rPr>
          <w:bCs/>
          <w:sz w:val="24"/>
        </w:rPr>
      </w:pPr>
      <w:r w:rsidRPr="002544B9">
        <w:rPr>
          <w:bCs/>
          <w:sz w:val="24"/>
        </w:rPr>
        <w:t>10</w:t>
      </w:r>
      <w:r w:rsidR="00794997" w:rsidRPr="002544B9">
        <w:rPr>
          <w:rFonts w:hint="eastAsia"/>
          <w:bCs/>
          <w:sz w:val="24"/>
        </w:rPr>
        <w:t>、相关法律法规以及监管部门有强制规定的，从其规定。如有新增事项，按国家最新规定估值。</w:t>
      </w:r>
    </w:p>
    <w:p w14:paraId="5B0D68E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如基金管理人或基金托管人发现基金估值违反基金合同订明的估值方法、程序及相关法律法规的规定或者未能充分维护基金份额持有人利益时，应立即通知对方，共同查明原因，双方协商解决。</w:t>
      </w:r>
    </w:p>
    <w:p w14:paraId="2C7EA536"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根据有关法律法规，基金资产净值计算和基金会计核算的义务由基金管理人承担，基金托管人承担复核责任。本基金的基金会计</w:t>
      </w:r>
      <w:proofErr w:type="gramStart"/>
      <w:r w:rsidRPr="002544B9">
        <w:rPr>
          <w:rFonts w:hint="eastAsia"/>
          <w:bCs/>
          <w:sz w:val="24"/>
        </w:rPr>
        <w:t>主责任</w:t>
      </w:r>
      <w:proofErr w:type="gramEnd"/>
      <w:r w:rsidRPr="002544B9">
        <w:rPr>
          <w:rFonts w:hint="eastAsia"/>
          <w:bCs/>
          <w:sz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1194D80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五、估值程序</w:t>
      </w:r>
    </w:p>
    <w:p w14:paraId="1630E628"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、各类基金份额净值是按照每个工作日闭市后，该类基金资产净值除以当日该类基金份额的余额数量计算，精确到</w:t>
      </w:r>
      <w:r w:rsidRPr="002544B9">
        <w:rPr>
          <w:bCs/>
          <w:sz w:val="24"/>
        </w:rPr>
        <w:t>0.0001</w:t>
      </w:r>
      <w:r w:rsidRPr="002544B9">
        <w:rPr>
          <w:rFonts w:hint="eastAsia"/>
          <w:bCs/>
          <w:sz w:val="24"/>
        </w:rPr>
        <w:t>元，小数点后第</w:t>
      </w:r>
      <w:r w:rsidRPr="002544B9">
        <w:rPr>
          <w:bCs/>
          <w:sz w:val="24"/>
        </w:rPr>
        <w:t>5</w:t>
      </w:r>
      <w:r w:rsidRPr="002544B9">
        <w:rPr>
          <w:rFonts w:hint="eastAsia"/>
          <w:bCs/>
          <w:sz w:val="24"/>
        </w:rPr>
        <w:t>位四舍五入，由此产生的收益或损失由基金财产承担。基金管理人可以设立大额赎回情形下的净值精度应急调整机制。国家另有规定的，从其规定。</w:t>
      </w:r>
    </w:p>
    <w:p w14:paraId="6CFA3CE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基金管理人每个工作日计算基金资产净值及各类基金份额净值，经基金托管人复核，并按规定公告。</w:t>
      </w:r>
    </w:p>
    <w:p w14:paraId="570083B3" w14:textId="7ECE0DD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w:t>
      </w:r>
      <w:proofErr w:type="gramStart"/>
      <w:r w:rsidRPr="002544B9">
        <w:rPr>
          <w:rFonts w:hint="eastAsia"/>
          <w:bCs/>
          <w:sz w:val="24"/>
        </w:rPr>
        <w:t>应每个</w:t>
      </w:r>
      <w:proofErr w:type="gramEnd"/>
      <w:r w:rsidRPr="002544B9">
        <w:rPr>
          <w:rFonts w:hint="eastAsia"/>
          <w:bCs/>
          <w:sz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3C7689" w:rsidRPr="002544B9">
        <w:rPr>
          <w:rFonts w:hint="eastAsia"/>
          <w:bCs/>
          <w:sz w:val="24"/>
        </w:rPr>
        <w:t>规</w:t>
      </w:r>
      <w:r w:rsidRPr="002544B9">
        <w:rPr>
          <w:rFonts w:hint="eastAsia"/>
          <w:bCs/>
          <w:sz w:val="24"/>
        </w:rPr>
        <w:t>定对外公布。</w:t>
      </w:r>
    </w:p>
    <w:p w14:paraId="49C95300"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六、估值错误的处理</w:t>
      </w:r>
    </w:p>
    <w:p w14:paraId="4B821332" w14:textId="540762AB"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基金管理人和基金托管人将采取必要、适当、合理的措施确保基金资产估值的准确性、及时性。当</w:t>
      </w:r>
      <w:r w:rsidR="003C7689" w:rsidRPr="002544B9">
        <w:rPr>
          <w:rFonts w:hint="eastAsia"/>
          <w:bCs/>
          <w:sz w:val="24"/>
        </w:rPr>
        <w:t>任一类</w:t>
      </w:r>
      <w:r w:rsidRPr="002544B9">
        <w:rPr>
          <w:rFonts w:hint="eastAsia"/>
          <w:bCs/>
          <w:sz w:val="24"/>
        </w:rPr>
        <w:t>基金份额净值小数点后</w:t>
      </w:r>
      <w:r w:rsidRPr="002544B9">
        <w:rPr>
          <w:bCs/>
          <w:sz w:val="24"/>
        </w:rPr>
        <w:t>4</w:t>
      </w:r>
      <w:r w:rsidRPr="002544B9">
        <w:rPr>
          <w:rFonts w:hint="eastAsia"/>
          <w:bCs/>
          <w:sz w:val="24"/>
        </w:rPr>
        <w:t>位以内</w:t>
      </w:r>
      <w:r w:rsidRPr="002544B9">
        <w:rPr>
          <w:bCs/>
          <w:sz w:val="24"/>
        </w:rPr>
        <w:t>(</w:t>
      </w:r>
      <w:r w:rsidRPr="002544B9">
        <w:rPr>
          <w:rFonts w:hint="eastAsia"/>
          <w:bCs/>
          <w:sz w:val="24"/>
        </w:rPr>
        <w:t>含第</w:t>
      </w:r>
      <w:r w:rsidRPr="002544B9">
        <w:rPr>
          <w:bCs/>
          <w:sz w:val="24"/>
        </w:rPr>
        <w:t>4</w:t>
      </w:r>
      <w:r w:rsidRPr="002544B9">
        <w:rPr>
          <w:rFonts w:hint="eastAsia"/>
          <w:bCs/>
          <w:sz w:val="24"/>
        </w:rPr>
        <w:t>位</w:t>
      </w:r>
      <w:r w:rsidRPr="002544B9">
        <w:rPr>
          <w:bCs/>
          <w:sz w:val="24"/>
        </w:rPr>
        <w:t>)</w:t>
      </w:r>
      <w:r w:rsidRPr="002544B9">
        <w:rPr>
          <w:rFonts w:hint="eastAsia"/>
          <w:bCs/>
          <w:sz w:val="24"/>
        </w:rPr>
        <w:t>发生估值错误时，视为</w:t>
      </w:r>
      <w:r w:rsidR="003C7689" w:rsidRPr="002544B9">
        <w:rPr>
          <w:rFonts w:hint="eastAsia"/>
          <w:bCs/>
          <w:sz w:val="24"/>
        </w:rPr>
        <w:t>该类</w:t>
      </w:r>
      <w:r w:rsidRPr="002544B9">
        <w:rPr>
          <w:rFonts w:hint="eastAsia"/>
          <w:bCs/>
          <w:sz w:val="24"/>
        </w:rPr>
        <w:t>基金份额净值错误。</w:t>
      </w:r>
    </w:p>
    <w:p w14:paraId="58274A17" w14:textId="41F6CCC6"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基金合同的当事人应按照以下约定处理：</w:t>
      </w:r>
    </w:p>
    <w:p w14:paraId="765247E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、估值错误类型</w:t>
      </w:r>
    </w:p>
    <w:p w14:paraId="4D9CF97A" w14:textId="4282A88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本基金运作过程中，如果由于基金管理人或基金托管人、或登记机构、</w:t>
      </w:r>
      <w:r w:rsidR="003C7689" w:rsidRPr="002544B9">
        <w:rPr>
          <w:rFonts w:hint="eastAsia"/>
          <w:bCs/>
          <w:sz w:val="24"/>
        </w:rPr>
        <w:t>或证券经纪机构、</w:t>
      </w:r>
      <w:r w:rsidRPr="002544B9">
        <w:rPr>
          <w:rFonts w:hint="eastAsia"/>
          <w:bCs/>
          <w:sz w:val="24"/>
        </w:rPr>
        <w:t>或销售机构、或投资人自身的过错造成估值错误，导致其他当事人遭受损失的，过错的责任人应当对由于该估值错误遭受损失当事人</w:t>
      </w:r>
      <w:r w:rsidRPr="002544B9">
        <w:rPr>
          <w:bCs/>
          <w:sz w:val="24"/>
        </w:rPr>
        <w:t>(</w:t>
      </w:r>
      <w:r w:rsidRPr="002544B9">
        <w:rPr>
          <w:rFonts w:hint="eastAsia"/>
          <w:bCs/>
          <w:sz w:val="24"/>
        </w:rPr>
        <w:t>“受损方”</w:t>
      </w:r>
      <w:r w:rsidRPr="002544B9">
        <w:rPr>
          <w:bCs/>
          <w:sz w:val="24"/>
        </w:rPr>
        <w:t>)</w:t>
      </w:r>
      <w:r w:rsidRPr="002544B9">
        <w:rPr>
          <w:rFonts w:hint="eastAsia"/>
          <w:bCs/>
          <w:sz w:val="24"/>
        </w:rPr>
        <w:t>的直接损失按下述“估值错误处理原则”给予赔偿，承担赔偿责任。</w:t>
      </w:r>
    </w:p>
    <w:p w14:paraId="1A1B9CB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上述估值错误的主要类型包括但不限于：资料申报差错、数据传输差错、数据计算差错、系统故障差错、下达指令差错等。</w:t>
      </w:r>
    </w:p>
    <w:p w14:paraId="305787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、估值错误处理原则</w:t>
      </w:r>
    </w:p>
    <w:p w14:paraId="29091CF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5DA96667"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）估值错误的责任方对有关当事人的直接损失负责，不对间接损失负责，并且仅对估值错误的有关直接当事人负责，不对第三方负责。</w:t>
      </w:r>
    </w:p>
    <w:p w14:paraId="46CA777A"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）因估值错误而获得不当得利的当事人负有及时返还不当得利的义务。但估值错误责任方仍应对估值错误负责。如果由于获得不当得利的当事人</w:t>
      </w:r>
      <w:proofErr w:type="gramStart"/>
      <w:r w:rsidRPr="002544B9">
        <w:rPr>
          <w:rFonts w:hint="eastAsia"/>
          <w:bCs/>
          <w:sz w:val="24"/>
        </w:rPr>
        <w:t>不</w:t>
      </w:r>
      <w:proofErr w:type="gramEnd"/>
      <w:r w:rsidRPr="002544B9">
        <w:rPr>
          <w:rFonts w:hint="eastAsia"/>
          <w:bCs/>
          <w:sz w:val="24"/>
        </w:rPr>
        <w:t>返还或不全部返还不当得利造成其他当事人的利益损失</w:t>
      </w:r>
      <w:r w:rsidRPr="002544B9">
        <w:rPr>
          <w:bCs/>
          <w:sz w:val="24"/>
        </w:rPr>
        <w:t>(</w:t>
      </w:r>
      <w:r w:rsidRPr="002544B9">
        <w:rPr>
          <w:rFonts w:hint="eastAsia"/>
          <w:bCs/>
          <w:sz w:val="24"/>
        </w:rPr>
        <w:t>“受损方”</w:t>
      </w:r>
      <w:r w:rsidRPr="002544B9">
        <w:rPr>
          <w:bCs/>
          <w:sz w:val="24"/>
        </w:rPr>
        <w:t>)</w:t>
      </w:r>
      <w:r w:rsidRPr="002544B9">
        <w:rPr>
          <w:rFonts w:hint="eastAsia"/>
          <w:bCs/>
          <w:sz w:val="24"/>
        </w:rPr>
        <w:t>，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60565909"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）估值错误调整采用尽量恢复至假设未发生估值错误的正确情形的方式。</w:t>
      </w:r>
    </w:p>
    <w:p w14:paraId="6BA2A6AD"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、估值错误处理程序</w:t>
      </w:r>
    </w:p>
    <w:p w14:paraId="59E13714"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估值错误被发现后，有关的当事人应当及时进行处理，处理的程序如下：</w:t>
      </w:r>
    </w:p>
    <w:p w14:paraId="300ADA4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）查明估值错误发生的原因，列明所有的当事人，并根据估值错误发生的原因确定估值错误的责任方；</w:t>
      </w:r>
    </w:p>
    <w:p w14:paraId="2B6396E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）根据估值错误处理原则或当事人协商的方法对因估值错误造成的损失进行评估；</w:t>
      </w:r>
    </w:p>
    <w:p w14:paraId="269FF01C"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）根据估值错误处理原则或当事人协商的方法由估值错误的责任方进行更正和赔偿损失；</w:t>
      </w:r>
    </w:p>
    <w:p w14:paraId="60CB28C1"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）根据估值错误处理的方法，需要修改基金份额登记机构交易数据的，由基金份额登记机构进行更正，并就估值错误的更正向有关当事人进行确认。</w:t>
      </w:r>
    </w:p>
    <w:p w14:paraId="6CE751FF"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、基金份额净值估值错误处理的方法如下：</w:t>
      </w:r>
    </w:p>
    <w:p w14:paraId="01419455"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）基金份额净值计算出现错误时，基金管理人应当立即予以纠正，通报基金托管人，并采取合理的措施防止损失进一步扩大。</w:t>
      </w:r>
    </w:p>
    <w:p w14:paraId="4BE43B8C" w14:textId="13285C98"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）错误偏差达到</w:t>
      </w:r>
      <w:r w:rsidR="003C7689" w:rsidRPr="002544B9">
        <w:rPr>
          <w:rFonts w:hint="eastAsia"/>
          <w:bCs/>
          <w:sz w:val="24"/>
        </w:rPr>
        <w:t>某类</w:t>
      </w:r>
      <w:r w:rsidRPr="002544B9">
        <w:rPr>
          <w:rFonts w:hint="eastAsia"/>
          <w:bCs/>
          <w:sz w:val="24"/>
        </w:rPr>
        <w:t>基金份额净值的</w:t>
      </w:r>
      <w:r w:rsidRPr="002544B9">
        <w:rPr>
          <w:bCs/>
          <w:sz w:val="24"/>
        </w:rPr>
        <w:t>0.25%</w:t>
      </w:r>
      <w:r w:rsidRPr="002544B9">
        <w:rPr>
          <w:rFonts w:hint="eastAsia"/>
          <w:bCs/>
          <w:sz w:val="24"/>
        </w:rPr>
        <w:t>时，基金管理人应当通报基金托管人并报中国证监会备案；错误偏差达到</w:t>
      </w:r>
      <w:r w:rsidR="003C7689" w:rsidRPr="002544B9">
        <w:rPr>
          <w:rFonts w:hint="eastAsia"/>
          <w:bCs/>
          <w:sz w:val="24"/>
        </w:rPr>
        <w:t>某类</w:t>
      </w:r>
      <w:r w:rsidRPr="002544B9">
        <w:rPr>
          <w:rFonts w:hint="eastAsia"/>
          <w:bCs/>
          <w:sz w:val="24"/>
        </w:rPr>
        <w:t>基金份额净值的</w:t>
      </w:r>
      <w:r w:rsidRPr="002544B9">
        <w:rPr>
          <w:bCs/>
          <w:sz w:val="24"/>
        </w:rPr>
        <w:t>0.5%</w:t>
      </w:r>
      <w:r w:rsidRPr="002544B9">
        <w:rPr>
          <w:rFonts w:hint="eastAsia"/>
          <w:bCs/>
          <w:sz w:val="24"/>
        </w:rPr>
        <w:t>时，基金管理人应当公告，并报中国证监会备案。</w:t>
      </w:r>
    </w:p>
    <w:p w14:paraId="0DCD4C52"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）前述内容如法律法规或监管机关另有规定的，从其规定处理。</w:t>
      </w:r>
    </w:p>
    <w:p w14:paraId="17F5984B"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七、暂停估值的情形</w:t>
      </w:r>
    </w:p>
    <w:p w14:paraId="43E0390E"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、基金投资所涉及的证券、期货交易市场遇法定节假日或因其他原因暂停营业时；</w:t>
      </w:r>
    </w:p>
    <w:p w14:paraId="0BF9B6B0" w14:textId="77777777"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、因不可抗力或其他情形致使基金管理人、基金托管人无法准确评估基金资产价值时；</w:t>
      </w:r>
    </w:p>
    <w:p w14:paraId="05E2474C" w14:textId="7BA8E0A6"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、当</w:t>
      </w:r>
      <w:r w:rsidR="003C7689" w:rsidRPr="002544B9">
        <w:rPr>
          <w:rFonts w:hint="eastAsia"/>
          <w:bCs/>
          <w:sz w:val="24"/>
        </w:rPr>
        <w:t>特定资产占</w:t>
      </w:r>
      <w:r w:rsidRPr="002544B9">
        <w:rPr>
          <w:rFonts w:hint="eastAsia"/>
          <w:bCs/>
          <w:sz w:val="24"/>
        </w:rPr>
        <w:t>前一估值日基金资产净值</w:t>
      </w:r>
      <w:r w:rsidRPr="002544B9">
        <w:rPr>
          <w:bCs/>
          <w:sz w:val="24"/>
        </w:rPr>
        <w:t>50%</w:t>
      </w:r>
      <w:r w:rsidRPr="002544B9">
        <w:rPr>
          <w:rFonts w:hint="eastAsia"/>
          <w:bCs/>
          <w:sz w:val="24"/>
        </w:rPr>
        <w:t>以上的，经与基金托管人协商确认后，基金管理人应当暂停基金估值；</w:t>
      </w:r>
    </w:p>
    <w:p w14:paraId="54D5DB6A" w14:textId="78FDF6CD"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3C7689" w:rsidRPr="002544B9">
        <w:rPr>
          <w:rFonts w:hint="eastAsia"/>
          <w:bCs/>
          <w:sz w:val="24"/>
        </w:rPr>
        <w:t>法律法规、</w:t>
      </w:r>
      <w:r w:rsidRPr="002544B9">
        <w:rPr>
          <w:rFonts w:hint="eastAsia"/>
          <w:bCs/>
          <w:sz w:val="24"/>
        </w:rPr>
        <w:t>中国证监会和基金合同认定的其它情形。</w:t>
      </w:r>
    </w:p>
    <w:p w14:paraId="2B4F632D"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八、基金净值的确认</w:t>
      </w:r>
    </w:p>
    <w:p w14:paraId="1F9C7DE1" w14:textId="7DD5390E" w:rsidR="00794997" w:rsidRPr="002544B9" w:rsidRDefault="00794997" w:rsidP="00794997">
      <w:pPr>
        <w:autoSpaceDE w:val="0"/>
        <w:autoSpaceDN w:val="0"/>
        <w:spacing w:line="360" w:lineRule="auto"/>
        <w:ind w:firstLineChars="200" w:firstLine="480"/>
        <w:textAlignment w:val="bottom"/>
        <w:rPr>
          <w:bCs/>
          <w:sz w:val="24"/>
        </w:rPr>
      </w:pPr>
      <w:r w:rsidRPr="002544B9">
        <w:rPr>
          <w:rFonts w:hint="eastAsia"/>
          <w:bCs/>
          <w:sz w:val="24"/>
        </w:rPr>
        <w:t>基金资产净值和各类基金份额净值由基金管理人负责计算，基金托管人负责进行复核。基金管理人应于每个</w:t>
      </w:r>
      <w:r w:rsidR="003C7689" w:rsidRPr="002544B9">
        <w:rPr>
          <w:rFonts w:hint="eastAsia"/>
          <w:bCs/>
          <w:sz w:val="24"/>
        </w:rPr>
        <w:t>工作</w:t>
      </w:r>
      <w:r w:rsidRPr="002544B9">
        <w:rPr>
          <w:rFonts w:hint="eastAsia"/>
          <w:bCs/>
          <w:sz w:val="24"/>
        </w:rPr>
        <w:t>日交易结束后计算当日的基金资产净值和各类基金份额净值并发送给基金托管人。基金托管人对净值计算结果复核确认后发送给基金管理人，由基金管理人按</w:t>
      </w:r>
      <w:r w:rsidR="003C7689" w:rsidRPr="002544B9">
        <w:rPr>
          <w:rFonts w:hint="eastAsia"/>
          <w:bCs/>
          <w:sz w:val="24"/>
        </w:rPr>
        <w:t>规</w:t>
      </w:r>
      <w:r w:rsidRPr="002544B9">
        <w:rPr>
          <w:rFonts w:hint="eastAsia"/>
          <w:bCs/>
          <w:sz w:val="24"/>
        </w:rPr>
        <w:t>定对基金净值予以公布。</w:t>
      </w:r>
    </w:p>
    <w:p w14:paraId="5195F3FC" w14:textId="77777777" w:rsidR="00794997" w:rsidRPr="002544B9" w:rsidRDefault="00794997" w:rsidP="00D220CB">
      <w:pPr>
        <w:autoSpaceDE w:val="0"/>
        <w:autoSpaceDN w:val="0"/>
        <w:spacing w:line="360" w:lineRule="auto"/>
        <w:ind w:firstLineChars="200" w:firstLine="482"/>
        <w:textAlignment w:val="bottom"/>
        <w:rPr>
          <w:b/>
          <w:bCs/>
          <w:sz w:val="24"/>
        </w:rPr>
      </w:pPr>
      <w:r w:rsidRPr="002544B9">
        <w:rPr>
          <w:rFonts w:hint="eastAsia"/>
          <w:b/>
          <w:bCs/>
          <w:sz w:val="24"/>
        </w:rPr>
        <w:t>九、特殊情形的处理</w:t>
      </w:r>
    </w:p>
    <w:p w14:paraId="00BDDCD3" w14:textId="77FABFF9"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、基金管理人、基金托管人按估值方法的第</w:t>
      </w:r>
      <w:r w:rsidR="003C7689" w:rsidRPr="002544B9">
        <w:rPr>
          <w:bCs/>
          <w:sz w:val="24"/>
        </w:rPr>
        <w:t>8</w:t>
      </w:r>
      <w:r w:rsidRPr="002544B9">
        <w:rPr>
          <w:rFonts w:hint="eastAsia"/>
          <w:bCs/>
          <w:sz w:val="24"/>
        </w:rPr>
        <w:t>项进行估值时，所造成的误差不作为基金资产估值错误处理。</w:t>
      </w:r>
    </w:p>
    <w:p w14:paraId="1A462BD3" w14:textId="05D82535" w:rsidR="00794997" w:rsidRPr="002544B9" w:rsidRDefault="00794997" w:rsidP="00794997">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、由于不可抗力原因，或由于证券、期货交易所</w:t>
      </w:r>
      <w:r w:rsidR="003C7689" w:rsidRPr="002544B9">
        <w:rPr>
          <w:rFonts w:hint="eastAsia"/>
          <w:bCs/>
          <w:sz w:val="24"/>
        </w:rPr>
        <w:t>、证券经纪机构</w:t>
      </w:r>
      <w:r w:rsidRPr="002544B9">
        <w:rPr>
          <w:rFonts w:hint="eastAsia"/>
          <w:bCs/>
          <w:sz w:val="24"/>
        </w:rPr>
        <w:t>或登记结算公司等发送的数据错误等原因，基金管理人和基金托管人虽然已经采取必要、适当、合理的措施进行检查，但未能发现错误的，由此造成的基金资产估值错误，基金管理人和基金托管人免除赔偿责任。但基金管理人、基金托管人应当积极采取必要的措施消除或减轻由此造成的影响。</w:t>
      </w:r>
    </w:p>
    <w:p w14:paraId="24418391" w14:textId="77777777" w:rsidR="003C7689" w:rsidRPr="002544B9" w:rsidRDefault="003C7689" w:rsidP="00D55EDF">
      <w:pPr>
        <w:autoSpaceDE w:val="0"/>
        <w:autoSpaceDN w:val="0"/>
        <w:spacing w:line="360" w:lineRule="auto"/>
        <w:ind w:firstLineChars="200" w:firstLine="482"/>
        <w:textAlignment w:val="bottom"/>
        <w:rPr>
          <w:b/>
          <w:bCs/>
          <w:sz w:val="24"/>
        </w:rPr>
      </w:pPr>
      <w:r w:rsidRPr="002544B9">
        <w:rPr>
          <w:rFonts w:hint="eastAsia"/>
          <w:b/>
          <w:bCs/>
          <w:sz w:val="24"/>
        </w:rPr>
        <w:t>十、实施</w:t>
      </w:r>
      <w:proofErr w:type="gramStart"/>
      <w:r w:rsidRPr="002544B9">
        <w:rPr>
          <w:rFonts w:hint="eastAsia"/>
          <w:b/>
          <w:bCs/>
          <w:sz w:val="24"/>
        </w:rPr>
        <w:t>侧袋机制</w:t>
      </w:r>
      <w:proofErr w:type="gramEnd"/>
      <w:r w:rsidRPr="002544B9">
        <w:rPr>
          <w:rFonts w:hint="eastAsia"/>
          <w:b/>
          <w:bCs/>
          <w:sz w:val="24"/>
        </w:rPr>
        <w:t>期间的基金资产估值</w:t>
      </w:r>
    </w:p>
    <w:p w14:paraId="1875CD94" w14:textId="0061242D" w:rsidR="003C7689" w:rsidRPr="002544B9" w:rsidRDefault="003C7689" w:rsidP="003C7689">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的，应根据本部分的约定</w:t>
      </w:r>
      <w:proofErr w:type="gramStart"/>
      <w:r w:rsidRPr="002544B9">
        <w:rPr>
          <w:rFonts w:hint="eastAsia"/>
          <w:bCs/>
          <w:sz w:val="24"/>
        </w:rPr>
        <w:t>对主袋账户</w:t>
      </w:r>
      <w:proofErr w:type="gramEnd"/>
      <w:r w:rsidRPr="002544B9">
        <w:rPr>
          <w:rFonts w:hint="eastAsia"/>
          <w:bCs/>
          <w:sz w:val="24"/>
        </w:rPr>
        <w:t>资产进行估值并</w:t>
      </w:r>
      <w:proofErr w:type="gramStart"/>
      <w:r w:rsidRPr="002544B9">
        <w:rPr>
          <w:rFonts w:hint="eastAsia"/>
          <w:bCs/>
          <w:sz w:val="24"/>
        </w:rPr>
        <w:t>披露主袋账户</w:t>
      </w:r>
      <w:proofErr w:type="gramEnd"/>
      <w:r w:rsidRPr="002544B9">
        <w:rPr>
          <w:rFonts w:hint="eastAsia"/>
          <w:bCs/>
          <w:sz w:val="24"/>
        </w:rPr>
        <w:t>的基金净值信息，暂停</w:t>
      </w:r>
      <w:proofErr w:type="gramStart"/>
      <w:r w:rsidRPr="002544B9">
        <w:rPr>
          <w:rFonts w:hint="eastAsia"/>
          <w:bCs/>
          <w:sz w:val="24"/>
        </w:rPr>
        <w:t>披露侧袋账户</w:t>
      </w:r>
      <w:proofErr w:type="gramEnd"/>
      <w:r w:rsidRPr="002544B9">
        <w:rPr>
          <w:rFonts w:hint="eastAsia"/>
          <w:bCs/>
          <w:sz w:val="24"/>
        </w:rPr>
        <w:t>的基金净值信息。</w:t>
      </w:r>
    </w:p>
    <w:p w14:paraId="110BED9C" w14:textId="6E09C163" w:rsidR="00794997" w:rsidRPr="002544B9" w:rsidRDefault="00794997">
      <w:pPr>
        <w:widowControl/>
        <w:jc w:val="left"/>
        <w:rPr>
          <w:bCs/>
          <w:sz w:val="24"/>
        </w:rPr>
      </w:pPr>
      <w:r w:rsidRPr="002544B9">
        <w:rPr>
          <w:bCs/>
          <w:sz w:val="24"/>
        </w:rPr>
        <w:br w:type="page"/>
      </w:r>
    </w:p>
    <w:p w14:paraId="4986E29A" w14:textId="77777777" w:rsidR="00AC3A9B" w:rsidRPr="002544B9" w:rsidRDefault="002C3C29">
      <w:pPr>
        <w:pStyle w:val="1"/>
        <w:jc w:val="center"/>
        <w:rPr>
          <w:sz w:val="30"/>
          <w:szCs w:val="30"/>
        </w:rPr>
      </w:pPr>
      <w:bookmarkStart w:id="265" w:name="_Toc416264548"/>
      <w:bookmarkStart w:id="266" w:name="_Toc263092320"/>
      <w:bookmarkStart w:id="267" w:name="_Toc68266299"/>
      <w:bookmarkStart w:id="268" w:name="_Toc104205523"/>
      <w:bookmarkEnd w:id="251"/>
      <w:bookmarkEnd w:id="252"/>
      <w:bookmarkEnd w:id="253"/>
      <w:bookmarkEnd w:id="254"/>
      <w:bookmarkEnd w:id="255"/>
      <w:bookmarkEnd w:id="256"/>
      <w:bookmarkEnd w:id="257"/>
      <w:bookmarkEnd w:id="258"/>
      <w:bookmarkEnd w:id="259"/>
      <w:bookmarkEnd w:id="260"/>
      <w:bookmarkEnd w:id="261"/>
      <w:bookmarkEnd w:id="262"/>
      <w:r w:rsidRPr="002544B9">
        <w:rPr>
          <w:rFonts w:hint="eastAsia"/>
          <w:sz w:val="30"/>
          <w:szCs w:val="30"/>
        </w:rPr>
        <w:t>第十二部分</w:t>
      </w:r>
      <w:r w:rsidRPr="002544B9">
        <w:rPr>
          <w:sz w:val="30"/>
          <w:szCs w:val="30"/>
        </w:rPr>
        <w:t xml:space="preserve">  </w:t>
      </w:r>
      <w:r w:rsidRPr="002544B9">
        <w:rPr>
          <w:rFonts w:hint="eastAsia"/>
          <w:sz w:val="30"/>
          <w:szCs w:val="30"/>
        </w:rPr>
        <w:t>基金的收益分配</w:t>
      </w:r>
      <w:bookmarkEnd w:id="265"/>
      <w:bookmarkEnd w:id="266"/>
      <w:bookmarkEnd w:id="267"/>
      <w:bookmarkEnd w:id="268"/>
    </w:p>
    <w:p w14:paraId="4BE24CE1" w14:textId="77777777" w:rsidR="00E02500" w:rsidRPr="002544B9" w:rsidRDefault="00E02500" w:rsidP="00E02500">
      <w:pPr>
        <w:autoSpaceDE w:val="0"/>
        <w:autoSpaceDN w:val="0"/>
        <w:spacing w:line="360" w:lineRule="auto"/>
        <w:ind w:firstLineChars="200" w:firstLine="480"/>
        <w:textAlignment w:val="bottom"/>
        <w:rPr>
          <w:bCs/>
          <w:sz w:val="24"/>
        </w:rPr>
      </w:pPr>
      <w:bookmarkStart w:id="269" w:name="_Toc214873602"/>
      <w:bookmarkStart w:id="270" w:name="_Toc147463128"/>
      <w:bookmarkStart w:id="271" w:name="_Toc21073401"/>
      <w:bookmarkStart w:id="272" w:name="_Toc416264549"/>
      <w:bookmarkStart w:id="273" w:name="_Toc12357181"/>
      <w:bookmarkStart w:id="274" w:name="_Toc263092321"/>
      <w:bookmarkStart w:id="275" w:name="_Toc7802"/>
      <w:bookmarkStart w:id="276" w:name="_Toc17782"/>
      <w:bookmarkStart w:id="277" w:name="_Toc139991744"/>
      <w:bookmarkStart w:id="278" w:name="_Toc27832"/>
      <w:bookmarkStart w:id="279" w:name="_Toc31917"/>
      <w:bookmarkStart w:id="280" w:name="_Toc141703894"/>
      <w:bookmarkStart w:id="281" w:name="_Toc352229760"/>
      <w:bookmarkStart w:id="282" w:name="_Toc19714"/>
      <w:bookmarkStart w:id="283" w:name="_Toc2623"/>
      <w:bookmarkStart w:id="284" w:name="_Toc871"/>
      <w:r w:rsidRPr="002544B9">
        <w:rPr>
          <w:rFonts w:hint="eastAsia"/>
          <w:bCs/>
          <w:sz w:val="24"/>
        </w:rPr>
        <w:t>一、基金利润的构成</w:t>
      </w:r>
    </w:p>
    <w:p w14:paraId="43AC30B9"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基金利润指基金利息收入、投资收益、公允价值变动收益和其他收入扣除相关费用后的余额，基金已实现收益指基金利润减去公允价值变动收益后的余额。</w:t>
      </w:r>
    </w:p>
    <w:p w14:paraId="3FD613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二、基金可供分配利润</w:t>
      </w:r>
    </w:p>
    <w:p w14:paraId="12A3F97D"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基金可供分配利润指截至收益分配基准日基金未分配利润与未分配利润中已实现收益的孰低数。</w:t>
      </w:r>
    </w:p>
    <w:p w14:paraId="37A6E802"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三、基金收益分配原则</w:t>
      </w:r>
    </w:p>
    <w:p w14:paraId="191F660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、在符合有关基金分红条件的前提下，本基金管理人可以根据实际情况进行收益分配，具体分配方案以公告为准，若《基金合同》生效不满</w:t>
      </w:r>
      <w:r w:rsidRPr="002544B9">
        <w:rPr>
          <w:bCs/>
          <w:sz w:val="24"/>
        </w:rPr>
        <w:t>3</w:t>
      </w:r>
      <w:r w:rsidRPr="002544B9">
        <w:rPr>
          <w:rFonts w:hint="eastAsia"/>
          <w:bCs/>
          <w:sz w:val="24"/>
        </w:rPr>
        <w:t>个月可不进行收益分配；</w:t>
      </w:r>
    </w:p>
    <w:p w14:paraId="6499D117"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、本基金收益分配方式分两种：现金分红与红利再投资，投资者可选择现金红利或将现金红利自动转为该类别基金份额进行再投资；若投资者不选择，本基金默认的收益分配方式是现金分红；基金份额持有人可对</w:t>
      </w:r>
      <w:r w:rsidRPr="002544B9">
        <w:rPr>
          <w:bCs/>
          <w:sz w:val="24"/>
        </w:rPr>
        <w:t xml:space="preserve">A </w:t>
      </w:r>
      <w:r w:rsidRPr="002544B9">
        <w:rPr>
          <w:rFonts w:hint="eastAsia"/>
          <w:bCs/>
          <w:sz w:val="24"/>
        </w:rPr>
        <w:t>类和</w:t>
      </w:r>
      <w:r w:rsidRPr="002544B9">
        <w:rPr>
          <w:bCs/>
          <w:sz w:val="24"/>
        </w:rPr>
        <w:t>C</w:t>
      </w:r>
      <w:r w:rsidRPr="002544B9">
        <w:rPr>
          <w:rFonts w:hint="eastAsia"/>
          <w:bCs/>
          <w:sz w:val="24"/>
        </w:rPr>
        <w:t>类基金份额分别选择不同的分红方式；同一投资人持有的同一类别的基金份额只能选择一种分红方式，如投资人在不同销售机构选择的分红方式不同，</w:t>
      </w:r>
      <w:proofErr w:type="gramStart"/>
      <w:r w:rsidRPr="002544B9">
        <w:rPr>
          <w:rFonts w:hint="eastAsia"/>
          <w:bCs/>
          <w:sz w:val="24"/>
        </w:rPr>
        <w:t>则基金</w:t>
      </w:r>
      <w:proofErr w:type="gramEnd"/>
      <w:r w:rsidRPr="002544B9">
        <w:rPr>
          <w:rFonts w:hint="eastAsia"/>
          <w:bCs/>
          <w:sz w:val="24"/>
        </w:rPr>
        <w:t>份额登记机构将以投资人最后一次选择的分红方式为准；</w:t>
      </w:r>
    </w:p>
    <w:p w14:paraId="7BF7422F" w14:textId="48855839"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、基金收益分配后</w:t>
      </w:r>
      <w:r w:rsidR="00DD41DA" w:rsidRPr="002544B9">
        <w:rPr>
          <w:rFonts w:hint="eastAsia"/>
          <w:bCs/>
          <w:sz w:val="24"/>
        </w:rPr>
        <w:t>各类</w:t>
      </w:r>
      <w:r w:rsidRPr="002544B9">
        <w:rPr>
          <w:rFonts w:hint="eastAsia"/>
          <w:bCs/>
          <w:sz w:val="24"/>
        </w:rPr>
        <w:t>基金份额净值不能低于面值，即基金收益分配基准日的</w:t>
      </w:r>
      <w:r w:rsidR="00D11775" w:rsidRPr="002544B9">
        <w:rPr>
          <w:rFonts w:hint="eastAsia"/>
          <w:bCs/>
          <w:sz w:val="24"/>
        </w:rPr>
        <w:t>各类</w:t>
      </w:r>
      <w:r w:rsidRPr="002544B9">
        <w:rPr>
          <w:rFonts w:hint="eastAsia"/>
          <w:bCs/>
          <w:sz w:val="24"/>
        </w:rPr>
        <w:t>基金份额净值减去每单位</w:t>
      </w:r>
      <w:r w:rsidR="00DD41DA" w:rsidRPr="002544B9">
        <w:rPr>
          <w:rFonts w:hint="eastAsia"/>
          <w:bCs/>
          <w:sz w:val="24"/>
        </w:rPr>
        <w:t>该类别</w:t>
      </w:r>
      <w:r w:rsidRPr="002544B9">
        <w:rPr>
          <w:rFonts w:hint="eastAsia"/>
          <w:bCs/>
          <w:sz w:val="24"/>
        </w:rPr>
        <w:t>基金份额收益分配金额后不能低于面值；</w:t>
      </w:r>
    </w:p>
    <w:p w14:paraId="57B2F551"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、由于本基金</w:t>
      </w:r>
      <w:r w:rsidRPr="002544B9">
        <w:rPr>
          <w:bCs/>
          <w:sz w:val="24"/>
        </w:rPr>
        <w:t xml:space="preserve">A </w:t>
      </w:r>
      <w:r w:rsidRPr="002544B9">
        <w:rPr>
          <w:rFonts w:hint="eastAsia"/>
          <w:bCs/>
          <w:sz w:val="24"/>
        </w:rPr>
        <w:t>类基金份额不收取销售服务费，</w:t>
      </w:r>
      <w:r w:rsidRPr="002544B9">
        <w:rPr>
          <w:bCs/>
          <w:sz w:val="24"/>
        </w:rPr>
        <w:t xml:space="preserve">C </w:t>
      </w:r>
      <w:r w:rsidRPr="002544B9">
        <w:rPr>
          <w:rFonts w:hint="eastAsia"/>
          <w:bCs/>
          <w:sz w:val="24"/>
        </w:rPr>
        <w:t>类基金份额收取销售服务费，各基金份额类别对应的可分配收益将有所不同，本基金同一基金份额类别内的每一基金份额享有同等分配权；</w:t>
      </w:r>
    </w:p>
    <w:p w14:paraId="077A0204"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、法律法规或监管机关另有规定的，从其规定。</w:t>
      </w:r>
    </w:p>
    <w:p w14:paraId="01B423DA" w14:textId="2586540F" w:rsidR="00DD41DA" w:rsidRPr="002544B9" w:rsidRDefault="00DD41DA" w:rsidP="00D55EDF">
      <w:pPr>
        <w:spacing w:line="360" w:lineRule="auto"/>
        <w:ind w:firstLineChars="225" w:firstLine="540"/>
        <w:rPr>
          <w:bCs/>
          <w:sz w:val="24"/>
        </w:rPr>
      </w:pPr>
      <w:r w:rsidRPr="002544B9">
        <w:rPr>
          <w:rFonts w:hint="eastAsia"/>
          <w:bCs/>
          <w:sz w:val="24"/>
        </w:rPr>
        <w:t>在法律法规、基金合同的约定的范围内以及对基金份额持有人利益无实质不利影响的前提下，基金管理人可对基金收益分配原则进行调整，不需召开基金份额持有人大会。</w:t>
      </w:r>
    </w:p>
    <w:p w14:paraId="6EAC01E8"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四、收益分配方案</w:t>
      </w:r>
    </w:p>
    <w:p w14:paraId="57D212CC"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基金收益分配方案中应载明截止收益分配基准日的可供分配利润、基金收益分配对象、分配时间、分配数额及比例、分配方式等内容。</w:t>
      </w:r>
    </w:p>
    <w:p w14:paraId="3127FD25"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五、收益分配方案的确定、公告与实施</w:t>
      </w:r>
    </w:p>
    <w:p w14:paraId="66273088" w14:textId="48BA25EF"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本基金收益分配方案由基金管理人拟定，并由基金托管人复核，依照《信息披露办法》的有关规定在</w:t>
      </w:r>
      <w:r w:rsidR="00AF017B" w:rsidRPr="002544B9">
        <w:rPr>
          <w:rFonts w:hint="eastAsia"/>
          <w:bCs/>
          <w:sz w:val="24"/>
        </w:rPr>
        <w:t>规定媒介</w:t>
      </w:r>
      <w:r w:rsidRPr="002544B9">
        <w:rPr>
          <w:rFonts w:hint="eastAsia"/>
          <w:bCs/>
          <w:sz w:val="24"/>
        </w:rPr>
        <w:t>公告。</w:t>
      </w:r>
    </w:p>
    <w:p w14:paraId="5C01F4CF" w14:textId="77777777"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六、基金收益分配中发生的费用</w:t>
      </w:r>
    </w:p>
    <w:p w14:paraId="14730C86" w14:textId="3A2FB701" w:rsidR="00E02500" w:rsidRPr="002544B9" w:rsidRDefault="00E02500" w:rsidP="00E02500">
      <w:pPr>
        <w:autoSpaceDE w:val="0"/>
        <w:autoSpaceDN w:val="0"/>
        <w:spacing w:line="360" w:lineRule="auto"/>
        <w:ind w:firstLineChars="200" w:firstLine="480"/>
        <w:textAlignment w:val="bottom"/>
        <w:rPr>
          <w:bCs/>
          <w:sz w:val="24"/>
        </w:rPr>
      </w:pPr>
      <w:r w:rsidRPr="002544B9">
        <w:rPr>
          <w:rFonts w:hint="eastAsia"/>
          <w:bCs/>
          <w:sz w:val="24"/>
        </w:rPr>
        <w:t>基金收益分配时所发生的银行转账或其他手续费用由投资者自行承担。当投资者的现金红利小于一定金额，不足以支付银行转账或其他手续费用时，基金登记机构可将基金份额持有人的现金红利自动转为该类别基金份额。红利再投资的计算方法，依照《业务规则》执行。</w:t>
      </w:r>
    </w:p>
    <w:p w14:paraId="2989E612" w14:textId="77777777"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七、实施</w:t>
      </w:r>
      <w:proofErr w:type="gramStart"/>
      <w:r w:rsidRPr="002544B9">
        <w:rPr>
          <w:rFonts w:cs="Arial" w:hint="eastAsia"/>
          <w:color w:val="000000"/>
          <w:sz w:val="24"/>
        </w:rPr>
        <w:t>侧袋机制</w:t>
      </w:r>
      <w:proofErr w:type="gramEnd"/>
      <w:r w:rsidRPr="002544B9">
        <w:rPr>
          <w:rFonts w:cs="Arial" w:hint="eastAsia"/>
          <w:color w:val="000000"/>
          <w:sz w:val="24"/>
        </w:rPr>
        <w:t>期间的收益分配</w:t>
      </w:r>
    </w:p>
    <w:p w14:paraId="2A4C1C1A" w14:textId="6F3BB05C" w:rsidR="00A42602" w:rsidRPr="002544B9" w:rsidRDefault="00A42602" w:rsidP="00A42602">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侧袋账户</w:t>
      </w:r>
      <w:proofErr w:type="gramEnd"/>
      <w:r w:rsidRPr="002544B9">
        <w:rPr>
          <w:rFonts w:cs="Arial" w:hint="eastAsia"/>
          <w:color w:val="000000"/>
          <w:sz w:val="24"/>
        </w:rPr>
        <w:t>不进行收益分配。</w:t>
      </w:r>
    </w:p>
    <w:p w14:paraId="7F508A34" w14:textId="77777777" w:rsidR="00A42602" w:rsidRPr="002544B9" w:rsidRDefault="00A42602" w:rsidP="00E02500">
      <w:pPr>
        <w:autoSpaceDE w:val="0"/>
        <w:autoSpaceDN w:val="0"/>
        <w:spacing w:line="360" w:lineRule="auto"/>
        <w:ind w:firstLineChars="200" w:firstLine="480"/>
        <w:textAlignment w:val="bottom"/>
        <w:rPr>
          <w:bCs/>
          <w:sz w:val="24"/>
        </w:rPr>
      </w:pPr>
    </w:p>
    <w:p w14:paraId="538C80AC" w14:textId="77777777" w:rsidR="00E02500" w:rsidRPr="002544B9" w:rsidRDefault="00E02500">
      <w:pPr>
        <w:widowControl/>
        <w:jc w:val="left"/>
        <w:rPr>
          <w:bCs/>
          <w:sz w:val="24"/>
        </w:rPr>
      </w:pPr>
      <w:r w:rsidRPr="002544B9">
        <w:rPr>
          <w:bCs/>
          <w:sz w:val="24"/>
        </w:rPr>
        <w:br w:type="page"/>
      </w:r>
    </w:p>
    <w:p w14:paraId="042CBABB" w14:textId="77777777" w:rsidR="00AC3A9B" w:rsidRPr="002544B9" w:rsidRDefault="002C3C29">
      <w:pPr>
        <w:pStyle w:val="1"/>
        <w:jc w:val="center"/>
        <w:rPr>
          <w:sz w:val="30"/>
          <w:szCs w:val="30"/>
        </w:rPr>
      </w:pPr>
      <w:bookmarkStart w:id="285" w:name="_Toc68266300"/>
      <w:bookmarkStart w:id="286" w:name="_Toc104205524"/>
      <w:r w:rsidRPr="002544B9">
        <w:rPr>
          <w:rFonts w:hint="eastAsia"/>
          <w:sz w:val="30"/>
          <w:szCs w:val="30"/>
        </w:rPr>
        <w:t>第十三部分</w:t>
      </w:r>
      <w:r w:rsidRPr="002544B9">
        <w:rPr>
          <w:sz w:val="30"/>
          <w:szCs w:val="30"/>
        </w:rPr>
        <w:t xml:space="preserve">  </w:t>
      </w:r>
      <w:r w:rsidRPr="002544B9">
        <w:rPr>
          <w:rFonts w:hint="eastAsia"/>
          <w:sz w:val="30"/>
          <w:szCs w:val="30"/>
        </w:rPr>
        <w:t>基金费用与税收</w:t>
      </w:r>
      <w:bookmarkEnd w:id="269"/>
      <w:bookmarkEnd w:id="270"/>
      <w:bookmarkEnd w:id="271"/>
      <w:bookmarkEnd w:id="272"/>
      <w:bookmarkEnd w:id="273"/>
      <w:bookmarkEnd w:id="274"/>
      <w:bookmarkEnd w:id="285"/>
      <w:bookmarkEnd w:id="286"/>
    </w:p>
    <w:p w14:paraId="43A83114" w14:textId="77777777" w:rsidR="009463F2" w:rsidRPr="002544B9" w:rsidRDefault="009463F2" w:rsidP="009463F2">
      <w:pPr>
        <w:autoSpaceDE w:val="0"/>
        <w:autoSpaceDN w:val="0"/>
        <w:spacing w:line="360" w:lineRule="auto"/>
        <w:ind w:firstLineChars="200" w:firstLine="480"/>
        <w:textAlignment w:val="bottom"/>
        <w:rPr>
          <w:bCs/>
          <w:sz w:val="24"/>
        </w:rPr>
      </w:pPr>
      <w:bookmarkStart w:id="287" w:name="_Toc214873603"/>
      <w:bookmarkStart w:id="288" w:name="_Toc416264550"/>
      <w:bookmarkStart w:id="289" w:name="_Toc263092322"/>
      <w:bookmarkStart w:id="290" w:name="_Toc141703895"/>
      <w:bookmarkStart w:id="291" w:name="_Toc6493"/>
      <w:bookmarkStart w:id="292" w:name="_Toc352229761"/>
      <w:bookmarkStart w:id="293" w:name="_Toc19706"/>
      <w:bookmarkStart w:id="294" w:name="_Toc15779"/>
      <w:bookmarkStart w:id="295" w:name="_Toc24601"/>
      <w:bookmarkStart w:id="296" w:name="_Toc32046"/>
      <w:bookmarkStart w:id="297" w:name="_Toc19752"/>
      <w:bookmarkStart w:id="298" w:name="_Toc32227"/>
      <w:bookmarkStart w:id="299" w:name="_Toc32041"/>
      <w:bookmarkStart w:id="300" w:name="_Toc13987"/>
      <w:bookmarkStart w:id="301" w:name="_Toc3365"/>
      <w:bookmarkStart w:id="302" w:name="_Toc12105"/>
      <w:bookmarkStart w:id="303" w:name="_Toc139991745"/>
      <w:bookmarkEnd w:id="275"/>
      <w:bookmarkEnd w:id="276"/>
      <w:bookmarkEnd w:id="277"/>
      <w:bookmarkEnd w:id="278"/>
      <w:bookmarkEnd w:id="279"/>
      <w:bookmarkEnd w:id="280"/>
      <w:bookmarkEnd w:id="281"/>
      <w:bookmarkEnd w:id="282"/>
      <w:bookmarkEnd w:id="283"/>
      <w:bookmarkEnd w:id="284"/>
      <w:r w:rsidRPr="002544B9">
        <w:rPr>
          <w:rFonts w:hint="eastAsia"/>
          <w:bCs/>
          <w:sz w:val="24"/>
        </w:rPr>
        <w:t>一、基金费用的种类</w:t>
      </w:r>
    </w:p>
    <w:p w14:paraId="266FB65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p>
    <w:p w14:paraId="26B3EF6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5FF4A958" w14:textId="0184C758"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48118E21" w14:textId="273D208F"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w:t>
      </w:r>
      <w:r w:rsidR="0044557B" w:rsidRPr="002544B9">
        <w:rPr>
          <w:rFonts w:hint="eastAsia"/>
          <w:bCs/>
          <w:sz w:val="24"/>
        </w:rPr>
        <w:t>除法律法规、中国证监会另有规定外，</w:t>
      </w:r>
      <w:r w:rsidRPr="002544B9">
        <w:rPr>
          <w:rFonts w:hint="eastAsia"/>
          <w:bCs/>
          <w:sz w:val="24"/>
        </w:rPr>
        <w:t>《基金合同》生效后与基金相关的信息披露费用；</w:t>
      </w:r>
    </w:p>
    <w:p w14:paraId="648656D0"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、《基金合同》生效后与基金相关的会计师费、律师费、诉讼费和仲裁费；</w:t>
      </w:r>
    </w:p>
    <w:p w14:paraId="10BD46B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、基金份额持有人大会费用；</w:t>
      </w:r>
    </w:p>
    <w:p w14:paraId="484E1266" w14:textId="77DC4E9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、基金的证券、期货</w:t>
      </w:r>
      <w:r w:rsidR="0044557B" w:rsidRPr="002544B9">
        <w:rPr>
          <w:rFonts w:hint="eastAsia"/>
          <w:bCs/>
          <w:sz w:val="24"/>
        </w:rPr>
        <w:t>、期权</w:t>
      </w:r>
      <w:r w:rsidRPr="002544B9">
        <w:rPr>
          <w:rFonts w:hint="eastAsia"/>
          <w:bCs/>
          <w:sz w:val="24"/>
        </w:rPr>
        <w:t>交易费用；</w:t>
      </w:r>
    </w:p>
    <w:p w14:paraId="7624B6EE"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、基金的银行汇划费用；</w:t>
      </w:r>
    </w:p>
    <w:p w14:paraId="798ACD8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、基金的相关账户的开户及维护费用；</w:t>
      </w:r>
    </w:p>
    <w:p w14:paraId="42A87F52" w14:textId="46D12864"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0044557B" w:rsidRPr="002544B9">
        <w:rPr>
          <w:bCs/>
          <w:sz w:val="24"/>
        </w:rPr>
        <w:t>0</w:t>
      </w:r>
      <w:r w:rsidRPr="002544B9">
        <w:rPr>
          <w:rFonts w:hint="eastAsia"/>
          <w:bCs/>
          <w:sz w:val="24"/>
        </w:rPr>
        <w:t>、按照国家有关规定和《基金合同》约定，可以在基金财产中列支的其他费用。</w:t>
      </w:r>
    </w:p>
    <w:p w14:paraId="552933F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二、基金费用计提方法、计提标准和支付方式</w:t>
      </w:r>
    </w:p>
    <w:p w14:paraId="28BBA05D"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、基金管理人的管理费</w:t>
      </w:r>
      <w:r w:rsidRPr="002544B9">
        <w:rPr>
          <w:bCs/>
          <w:sz w:val="24"/>
        </w:rPr>
        <w:t xml:space="preserve"> </w:t>
      </w:r>
    </w:p>
    <w:p w14:paraId="4103DF82" w14:textId="64839EB1"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本基金的管理费按前一日基金资产净值的</w:t>
      </w:r>
      <w:r w:rsidR="004A2429" w:rsidRPr="002544B9">
        <w:rPr>
          <w:bCs/>
          <w:sz w:val="24"/>
        </w:rPr>
        <w:t>0.6</w:t>
      </w:r>
      <w:r w:rsidRPr="002544B9">
        <w:rPr>
          <w:bCs/>
          <w:sz w:val="24"/>
        </w:rPr>
        <w:t>%</w:t>
      </w:r>
      <w:r w:rsidRPr="002544B9">
        <w:rPr>
          <w:rFonts w:hint="eastAsia"/>
          <w:bCs/>
          <w:sz w:val="24"/>
        </w:rPr>
        <w:t>的年费率计提。管理费的计算方法如下：</w:t>
      </w:r>
    </w:p>
    <w:p w14:paraId="4CA26241" w14:textId="3FBBB8E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0.6</w:t>
      </w:r>
      <w:r w:rsidRPr="002544B9">
        <w:rPr>
          <w:bCs/>
          <w:sz w:val="24"/>
        </w:rPr>
        <w:t>%</w:t>
      </w:r>
      <w:r w:rsidRPr="002544B9">
        <w:rPr>
          <w:rFonts w:hint="eastAsia"/>
          <w:bCs/>
          <w:sz w:val="24"/>
        </w:rPr>
        <w:t>÷当年天数</w:t>
      </w:r>
    </w:p>
    <w:p w14:paraId="0CA04443"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为每日应计提的基金管理费</w:t>
      </w:r>
    </w:p>
    <w:p w14:paraId="7B678059"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1B950760" w14:textId="753E0C10"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基金管理费每日计提，逐日累计至每月月末，按月支付。由基金管理人授权基金托管人于次月第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个工作日自动从基金资产中一次性支付给基金管理人。若遇法定节假日、休息日或不可抗力致使无法按时支付的，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A5F75C3" w14:textId="38171503"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、基金托管人的托管费</w:t>
      </w:r>
    </w:p>
    <w:p w14:paraId="2B358405" w14:textId="14DEC234"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本基金的托管费按前一日基金资产净值的</w:t>
      </w:r>
      <w:r w:rsidR="004A2429" w:rsidRPr="002544B9">
        <w:rPr>
          <w:bCs/>
          <w:sz w:val="24"/>
        </w:rPr>
        <w:t>0.2</w:t>
      </w:r>
      <w:r w:rsidRPr="002544B9">
        <w:rPr>
          <w:bCs/>
          <w:sz w:val="24"/>
        </w:rPr>
        <w:t>0%</w:t>
      </w:r>
      <w:r w:rsidRPr="002544B9">
        <w:rPr>
          <w:rFonts w:hint="eastAsia"/>
          <w:bCs/>
          <w:sz w:val="24"/>
        </w:rPr>
        <w:t>的年费率计提。托管费的计算方法如下：</w:t>
      </w:r>
    </w:p>
    <w:p w14:paraId="3F1686EA" w14:textId="77404CBB"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004A2429" w:rsidRPr="002544B9">
        <w:rPr>
          <w:bCs/>
          <w:sz w:val="24"/>
        </w:rPr>
        <w:t>0.2</w:t>
      </w:r>
      <w:r w:rsidRPr="002544B9">
        <w:rPr>
          <w:bCs/>
          <w:sz w:val="24"/>
        </w:rPr>
        <w:t>0%</w:t>
      </w:r>
      <w:r w:rsidRPr="002544B9">
        <w:rPr>
          <w:rFonts w:hint="eastAsia"/>
          <w:bCs/>
          <w:sz w:val="24"/>
        </w:rPr>
        <w:t>÷当年天数</w:t>
      </w:r>
    </w:p>
    <w:p w14:paraId="5E42835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为每日应计提的基金托管费</w:t>
      </w:r>
    </w:p>
    <w:p w14:paraId="38B5939F"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为前一日的基金资产净值</w:t>
      </w:r>
    </w:p>
    <w:p w14:paraId="3F48A8B2" w14:textId="07B37858" w:rsidR="005A72F9" w:rsidRPr="002544B9" w:rsidRDefault="004A2429" w:rsidP="004A2429">
      <w:pPr>
        <w:autoSpaceDE w:val="0"/>
        <w:autoSpaceDN w:val="0"/>
        <w:spacing w:line="360" w:lineRule="auto"/>
        <w:ind w:firstLineChars="200" w:firstLine="480"/>
        <w:textAlignment w:val="bottom"/>
        <w:rPr>
          <w:bCs/>
          <w:sz w:val="24"/>
        </w:rPr>
      </w:pPr>
      <w:r w:rsidRPr="002544B9">
        <w:rPr>
          <w:rFonts w:hint="eastAsia"/>
          <w:bCs/>
          <w:sz w:val="24"/>
        </w:rPr>
        <w:t>基金托管费每日计提，逐日累计至每月月末，按月支付。由基金管理人授权基金托管人于次月第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个工作日自动从基金资产中一次性支付给基金托管人。若遇法定节假日、休息日或不可抗力致使无法按时支付的，</w:t>
      </w:r>
      <w:r w:rsidR="00DD41DA" w:rsidRPr="002544B9">
        <w:rPr>
          <w:rFonts w:ascii="宋体" w:hAnsi="宋体" w:hint="eastAsia"/>
          <w:color w:val="000000"/>
          <w:kern w:val="0"/>
          <w:sz w:val="24"/>
        </w:rPr>
        <w:t>顺延至最近可支付日支付</w:t>
      </w:r>
      <w:r w:rsidR="00DD41DA" w:rsidRPr="002544B9">
        <w:rPr>
          <w:rFonts w:ascii="宋体" w:hAnsi="宋体" w:hint="eastAsia"/>
          <w:kern w:val="0"/>
          <w:sz w:val="24"/>
        </w:rPr>
        <w:t>。</w:t>
      </w:r>
    </w:p>
    <w:p w14:paraId="2930D5A5" w14:textId="72F7CD32" w:rsidR="009463F2" w:rsidRPr="002544B9" w:rsidRDefault="009463F2" w:rsidP="004A24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w:t>
      </w:r>
      <w:r w:rsidRPr="002544B9">
        <w:rPr>
          <w:bCs/>
          <w:sz w:val="24"/>
        </w:rPr>
        <w:t>C</w:t>
      </w:r>
      <w:r w:rsidRPr="002544B9">
        <w:rPr>
          <w:rFonts w:hint="eastAsia"/>
          <w:bCs/>
          <w:sz w:val="24"/>
        </w:rPr>
        <w:t>类基金份额的销售服务费</w:t>
      </w:r>
    </w:p>
    <w:p w14:paraId="5180F3F5" w14:textId="21B9DD3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w:t>
      </w:r>
      <w:r w:rsidRPr="002544B9">
        <w:rPr>
          <w:bCs/>
          <w:sz w:val="24"/>
        </w:rPr>
        <w:t>A</w:t>
      </w:r>
      <w:r w:rsidRPr="002544B9">
        <w:rPr>
          <w:rFonts w:hint="eastAsia"/>
          <w:bCs/>
          <w:sz w:val="24"/>
        </w:rPr>
        <w:t>类基金份额不收取销售服务费，</w:t>
      </w:r>
      <w:r w:rsidRPr="002544B9">
        <w:rPr>
          <w:bCs/>
          <w:sz w:val="24"/>
        </w:rPr>
        <w:t>C</w:t>
      </w:r>
      <w:r w:rsidRPr="002544B9">
        <w:rPr>
          <w:rFonts w:hint="eastAsia"/>
          <w:bCs/>
          <w:sz w:val="24"/>
        </w:rPr>
        <w:t>类基金份额的销售服务费年费率为</w:t>
      </w:r>
      <w:r w:rsidRPr="002544B9">
        <w:rPr>
          <w:bCs/>
          <w:sz w:val="24"/>
        </w:rPr>
        <w:t>0.4</w:t>
      </w:r>
      <w:r w:rsidR="0044557B" w:rsidRPr="002544B9">
        <w:rPr>
          <w:bCs/>
          <w:sz w:val="24"/>
        </w:rPr>
        <w:t>0</w:t>
      </w:r>
      <w:r w:rsidRPr="002544B9">
        <w:rPr>
          <w:bCs/>
          <w:sz w:val="24"/>
        </w:rPr>
        <w:t xml:space="preserve">% </w:t>
      </w:r>
      <w:r w:rsidRPr="002544B9">
        <w:rPr>
          <w:rFonts w:hint="eastAsia"/>
          <w:bCs/>
          <w:sz w:val="24"/>
        </w:rPr>
        <w:t>。销售服务费的计算方法如下：</w:t>
      </w:r>
    </w:p>
    <w:p w14:paraId="5B1BCFC0" w14:textId="30D4AC9A"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w:t>
      </w:r>
      <w:r w:rsidRPr="002544B9">
        <w:rPr>
          <w:bCs/>
          <w:sz w:val="24"/>
        </w:rPr>
        <w:t>E</w:t>
      </w:r>
      <w:r w:rsidRPr="002544B9">
        <w:rPr>
          <w:rFonts w:hint="eastAsia"/>
          <w:bCs/>
          <w:sz w:val="24"/>
        </w:rPr>
        <w:t>×</w:t>
      </w:r>
      <w:r w:rsidRPr="002544B9">
        <w:rPr>
          <w:bCs/>
          <w:sz w:val="24"/>
        </w:rPr>
        <w:t>0.4</w:t>
      </w:r>
      <w:r w:rsidR="0044557B" w:rsidRPr="002544B9">
        <w:rPr>
          <w:bCs/>
          <w:sz w:val="24"/>
        </w:rPr>
        <w:t>0</w:t>
      </w:r>
      <w:r w:rsidRPr="002544B9">
        <w:rPr>
          <w:bCs/>
          <w:sz w:val="24"/>
        </w:rPr>
        <w:t xml:space="preserve">% </w:t>
      </w:r>
      <w:r w:rsidRPr="002544B9">
        <w:rPr>
          <w:rFonts w:hint="eastAsia"/>
          <w:bCs/>
          <w:sz w:val="24"/>
        </w:rPr>
        <w:t>÷当年天数</w:t>
      </w:r>
    </w:p>
    <w:p w14:paraId="54FDD91B"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H</w:t>
      </w:r>
      <w:r w:rsidRPr="002544B9">
        <w:rPr>
          <w:rFonts w:hint="eastAsia"/>
          <w:bCs/>
          <w:sz w:val="24"/>
        </w:rPr>
        <w:t>为</w:t>
      </w:r>
      <w:r w:rsidRPr="002544B9">
        <w:rPr>
          <w:bCs/>
          <w:sz w:val="24"/>
        </w:rPr>
        <w:t>C</w:t>
      </w:r>
      <w:r w:rsidRPr="002544B9">
        <w:rPr>
          <w:rFonts w:hint="eastAsia"/>
          <w:bCs/>
          <w:sz w:val="24"/>
        </w:rPr>
        <w:t>类基金份额每日应计提的销售服务费</w:t>
      </w:r>
    </w:p>
    <w:p w14:paraId="297ED147" w14:textId="0840FD33"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E</w:t>
      </w:r>
      <w:r w:rsidRPr="002544B9">
        <w:rPr>
          <w:rFonts w:hint="eastAsia"/>
          <w:bCs/>
          <w:sz w:val="24"/>
        </w:rPr>
        <w:t>为前一日</w:t>
      </w:r>
      <w:r w:rsidRPr="002544B9">
        <w:rPr>
          <w:bCs/>
          <w:sz w:val="24"/>
        </w:rPr>
        <w:t>C</w:t>
      </w:r>
      <w:r w:rsidRPr="002544B9">
        <w:rPr>
          <w:rFonts w:hint="eastAsia"/>
          <w:bCs/>
          <w:sz w:val="24"/>
        </w:rPr>
        <w:t>类基金份额</w:t>
      </w:r>
      <w:r w:rsidR="0044557B" w:rsidRPr="002544B9">
        <w:rPr>
          <w:rFonts w:hint="eastAsia"/>
          <w:bCs/>
          <w:sz w:val="24"/>
        </w:rPr>
        <w:t>的</w:t>
      </w:r>
      <w:r w:rsidRPr="002544B9">
        <w:rPr>
          <w:rFonts w:hint="eastAsia"/>
          <w:bCs/>
          <w:sz w:val="24"/>
        </w:rPr>
        <w:t>基金资产净值</w:t>
      </w:r>
    </w:p>
    <w:p w14:paraId="2F2236B0" w14:textId="77777777" w:rsidR="00736F2F" w:rsidRPr="002544B9" w:rsidRDefault="00736F2F" w:rsidP="00736F2F">
      <w:pPr>
        <w:autoSpaceDE w:val="0"/>
        <w:autoSpaceDN w:val="0"/>
        <w:spacing w:line="360" w:lineRule="auto"/>
        <w:ind w:firstLineChars="200" w:firstLine="480"/>
        <w:textAlignment w:val="bottom"/>
        <w:rPr>
          <w:bCs/>
          <w:sz w:val="24"/>
        </w:rPr>
      </w:pPr>
      <w:r w:rsidRPr="002544B9">
        <w:rPr>
          <w:bCs/>
          <w:sz w:val="24"/>
        </w:rPr>
        <w:t>C</w:t>
      </w:r>
      <w:r w:rsidRPr="002544B9">
        <w:rPr>
          <w:rFonts w:hint="eastAsia"/>
          <w:bCs/>
          <w:sz w:val="24"/>
        </w:rPr>
        <w:t>类基金份额的销售服务费每日计提，逐日累计至每月月末，按月支付。由基金管理人授权基金托管人于次月第</w:t>
      </w:r>
      <w:r w:rsidRPr="002544B9">
        <w:rPr>
          <w:bCs/>
          <w:sz w:val="24"/>
        </w:rPr>
        <w:t>5</w:t>
      </w:r>
      <w:r w:rsidRPr="002544B9">
        <w:rPr>
          <w:rFonts w:hint="eastAsia"/>
          <w:bCs/>
          <w:sz w:val="24"/>
        </w:rPr>
        <w:t>个工作日自动从基金资产中一次性支付给登记机构，由登记机构分别支付给销售机构。若遇法定节假日、休息日或不可抗力致使无法按时支付的，支付日期顺延。</w:t>
      </w:r>
    </w:p>
    <w:p w14:paraId="110C9231" w14:textId="0B1C7E12" w:rsidR="009463F2" w:rsidRPr="002544B9" w:rsidRDefault="009463F2" w:rsidP="00736F2F">
      <w:pPr>
        <w:autoSpaceDE w:val="0"/>
        <w:autoSpaceDN w:val="0"/>
        <w:spacing w:line="360" w:lineRule="auto"/>
        <w:ind w:firstLineChars="200" w:firstLine="480"/>
        <w:textAlignment w:val="bottom"/>
        <w:rPr>
          <w:bCs/>
          <w:sz w:val="24"/>
        </w:rPr>
      </w:pPr>
      <w:r w:rsidRPr="002544B9">
        <w:rPr>
          <w:rFonts w:hint="eastAsia"/>
          <w:bCs/>
          <w:sz w:val="24"/>
        </w:rPr>
        <w:t>上述“一、基金费用的种类”中第</w:t>
      </w:r>
      <w:r w:rsidRPr="002544B9">
        <w:rPr>
          <w:bCs/>
          <w:sz w:val="24"/>
        </w:rPr>
        <w:t>4</w:t>
      </w:r>
      <w:r w:rsidRPr="002544B9">
        <w:rPr>
          <w:rFonts w:hint="eastAsia"/>
          <w:bCs/>
          <w:sz w:val="24"/>
        </w:rPr>
        <w:t>－</w:t>
      </w:r>
      <w:r w:rsidRPr="002544B9">
        <w:rPr>
          <w:bCs/>
          <w:sz w:val="24"/>
        </w:rPr>
        <w:t>1</w:t>
      </w:r>
      <w:r w:rsidR="0044557B" w:rsidRPr="002544B9">
        <w:rPr>
          <w:bCs/>
          <w:sz w:val="24"/>
        </w:rPr>
        <w:t>0</w:t>
      </w:r>
      <w:r w:rsidRPr="002544B9">
        <w:rPr>
          <w:rFonts w:hint="eastAsia"/>
          <w:bCs/>
          <w:sz w:val="24"/>
        </w:rPr>
        <w:t>项费用，根据有关法规及相应协议规定，按费用实际支出金额列入当期费用，由基金托管人根据基金管理人指令并参照行业惯例从基金财产中支付。</w:t>
      </w:r>
    </w:p>
    <w:p w14:paraId="2A512E15"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三、不列入基金费用的项目</w:t>
      </w:r>
    </w:p>
    <w:p w14:paraId="0761972A"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下列费用不列入基金费用：</w:t>
      </w:r>
    </w:p>
    <w:p w14:paraId="45F0D294"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、基金管理人和基金托管人因未履行或未完全履行义务导致的费用支出或基金财产的损失；</w:t>
      </w:r>
    </w:p>
    <w:p w14:paraId="42CB4F52"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、基金管理人和基金托管人处理与基金运作无关的事项发生的费用；</w:t>
      </w:r>
    </w:p>
    <w:p w14:paraId="0CAECCF7"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、《基金合同》生效前的相关费用；</w:t>
      </w:r>
    </w:p>
    <w:p w14:paraId="28F9E0D8"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、其他根据相关法律法规及中国证监会的有关规定不得列入基金费用的项目。</w:t>
      </w:r>
    </w:p>
    <w:p w14:paraId="5F22B864" w14:textId="77777777" w:rsidR="0044557B" w:rsidRPr="002544B9" w:rsidRDefault="0044557B" w:rsidP="0044557B">
      <w:pPr>
        <w:spacing w:line="360" w:lineRule="auto"/>
        <w:ind w:firstLineChars="200" w:firstLine="480"/>
        <w:rPr>
          <w:bCs/>
          <w:sz w:val="24"/>
        </w:rPr>
      </w:pPr>
      <w:r w:rsidRPr="002544B9">
        <w:rPr>
          <w:rFonts w:hint="eastAsia"/>
          <w:bCs/>
          <w:sz w:val="24"/>
        </w:rPr>
        <w:t>四、实施</w:t>
      </w:r>
      <w:proofErr w:type="gramStart"/>
      <w:r w:rsidRPr="002544B9">
        <w:rPr>
          <w:rFonts w:hint="eastAsia"/>
          <w:bCs/>
          <w:sz w:val="24"/>
        </w:rPr>
        <w:t>侧袋机制</w:t>
      </w:r>
      <w:proofErr w:type="gramEnd"/>
      <w:r w:rsidRPr="002544B9">
        <w:rPr>
          <w:rFonts w:hint="eastAsia"/>
          <w:bCs/>
          <w:sz w:val="24"/>
        </w:rPr>
        <w:t>期间的基金费用</w:t>
      </w:r>
    </w:p>
    <w:p w14:paraId="4FA78153" w14:textId="5891ABEC" w:rsidR="0044557B" w:rsidRPr="002544B9" w:rsidRDefault="0044557B" w:rsidP="00D55EDF">
      <w:pPr>
        <w:spacing w:line="360" w:lineRule="auto"/>
        <w:ind w:firstLineChars="200" w:firstLine="480"/>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w:t>
      </w:r>
      <w:proofErr w:type="gramStart"/>
      <w:r w:rsidRPr="002544B9">
        <w:rPr>
          <w:rFonts w:hint="eastAsia"/>
          <w:bCs/>
          <w:sz w:val="24"/>
        </w:rPr>
        <w:t>与侧袋账户</w:t>
      </w:r>
      <w:proofErr w:type="gramEnd"/>
      <w:r w:rsidRPr="002544B9">
        <w:rPr>
          <w:rFonts w:hint="eastAsia"/>
          <w:bCs/>
          <w:sz w:val="24"/>
        </w:rPr>
        <w:t>有关的费用可以</w:t>
      </w:r>
      <w:proofErr w:type="gramStart"/>
      <w:r w:rsidRPr="002544B9">
        <w:rPr>
          <w:rFonts w:hint="eastAsia"/>
          <w:bCs/>
          <w:sz w:val="24"/>
        </w:rPr>
        <w:t>从侧袋账户</w:t>
      </w:r>
      <w:proofErr w:type="gramEnd"/>
      <w:r w:rsidRPr="002544B9">
        <w:rPr>
          <w:rFonts w:hint="eastAsia"/>
          <w:bCs/>
          <w:sz w:val="24"/>
        </w:rPr>
        <w:t>中列支，但应</w:t>
      </w:r>
      <w:proofErr w:type="gramStart"/>
      <w:r w:rsidRPr="002544B9">
        <w:rPr>
          <w:rFonts w:hint="eastAsia"/>
          <w:bCs/>
          <w:sz w:val="24"/>
        </w:rPr>
        <w:t>待侧袋</w:t>
      </w:r>
      <w:proofErr w:type="gramEnd"/>
      <w:r w:rsidRPr="002544B9">
        <w:rPr>
          <w:rFonts w:hint="eastAsia"/>
          <w:bCs/>
          <w:sz w:val="24"/>
        </w:rPr>
        <w:t>账户资产变现后方可列支，有关费用可酌情收取或减免，但不得收取管理费，其他费用详见招募说明书“侧袋机制”</w:t>
      </w:r>
      <w:r w:rsidR="006D3031" w:rsidRPr="002544B9">
        <w:rPr>
          <w:rFonts w:hint="eastAsia"/>
          <w:bCs/>
          <w:sz w:val="24"/>
        </w:rPr>
        <w:t>部分</w:t>
      </w:r>
      <w:r w:rsidRPr="002544B9">
        <w:rPr>
          <w:rFonts w:hint="eastAsia"/>
          <w:bCs/>
          <w:sz w:val="24"/>
        </w:rPr>
        <w:t>或相关公告的规定。</w:t>
      </w:r>
    </w:p>
    <w:p w14:paraId="15339264" w14:textId="677D66C1" w:rsidR="009463F2" w:rsidRPr="002544B9" w:rsidRDefault="0044557B" w:rsidP="009463F2">
      <w:pPr>
        <w:autoSpaceDE w:val="0"/>
        <w:autoSpaceDN w:val="0"/>
        <w:spacing w:line="360" w:lineRule="auto"/>
        <w:ind w:firstLineChars="200" w:firstLine="480"/>
        <w:textAlignment w:val="bottom"/>
        <w:rPr>
          <w:bCs/>
          <w:sz w:val="24"/>
        </w:rPr>
      </w:pPr>
      <w:r w:rsidRPr="002544B9">
        <w:rPr>
          <w:rFonts w:hint="eastAsia"/>
          <w:bCs/>
          <w:sz w:val="24"/>
        </w:rPr>
        <w:t>五</w:t>
      </w:r>
      <w:r w:rsidR="009463F2" w:rsidRPr="002544B9">
        <w:rPr>
          <w:rFonts w:hint="eastAsia"/>
          <w:bCs/>
          <w:sz w:val="24"/>
        </w:rPr>
        <w:t>、基金税收</w:t>
      </w:r>
    </w:p>
    <w:p w14:paraId="7683CA96" w14:textId="77777777"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本基金运作过程中涉及的各纳税主体，其纳税义务按国家税收法律、法规执行。</w:t>
      </w:r>
    </w:p>
    <w:p w14:paraId="742C5CFB" w14:textId="38FFC88A" w:rsidR="009463F2" w:rsidRPr="002544B9" w:rsidRDefault="009463F2" w:rsidP="009463F2">
      <w:pPr>
        <w:autoSpaceDE w:val="0"/>
        <w:autoSpaceDN w:val="0"/>
        <w:spacing w:line="360" w:lineRule="auto"/>
        <w:ind w:firstLineChars="200" w:firstLine="480"/>
        <w:textAlignment w:val="bottom"/>
        <w:rPr>
          <w:bCs/>
          <w:sz w:val="24"/>
        </w:rPr>
      </w:pPr>
      <w:r w:rsidRPr="002544B9">
        <w:rPr>
          <w:rFonts w:hint="eastAsia"/>
          <w:bCs/>
          <w:sz w:val="24"/>
        </w:rPr>
        <w:t>基金财产投资的相关税收，由基金份额持有人承担，基金管理人或者其他扣缴义务人按照国家有关税收征收的规定代扣代缴。</w:t>
      </w:r>
    </w:p>
    <w:p w14:paraId="64F7F18F" w14:textId="77777777" w:rsidR="009463F2" w:rsidRPr="002544B9" w:rsidRDefault="009463F2">
      <w:pPr>
        <w:autoSpaceDE w:val="0"/>
        <w:autoSpaceDN w:val="0"/>
        <w:spacing w:line="360" w:lineRule="auto"/>
        <w:ind w:firstLineChars="200" w:firstLine="480"/>
        <w:textAlignment w:val="bottom"/>
        <w:rPr>
          <w:bCs/>
          <w:sz w:val="24"/>
        </w:rPr>
      </w:pPr>
    </w:p>
    <w:p w14:paraId="16FAD5D7" w14:textId="1F1D5489" w:rsidR="009463F2" w:rsidRPr="002544B9" w:rsidRDefault="009463F2">
      <w:pPr>
        <w:widowControl/>
        <w:jc w:val="left"/>
        <w:rPr>
          <w:bCs/>
          <w:sz w:val="24"/>
        </w:rPr>
      </w:pPr>
      <w:r w:rsidRPr="002544B9">
        <w:rPr>
          <w:bCs/>
          <w:sz w:val="24"/>
        </w:rPr>
        <w:br w:type="page"/>
      </w:r>
    </w:p>
    <w:p w14:paraId="0D23472C" w14:textId="77777777" w:rsidR="00AC3A9B" w:rsidRPr="002544B9" w:rsidRDefault="002C3C29">
      <w:pPr>
        <w:pStyle w:val="1"/>
        <w:jc w:val="center"/>
        <w:rPr>
          <w:sz w:val="30"/>
          <w:szCs w:val="30"/>
        </w:rPr>
      </w:pPr>
      <w:bookmarkStart w:id="304" w:name="_Toc68266301"/>
      <w:bookmarkStart w:id="305" w:name="_Toc104205525"/>
      <w:r w:rsidRPr="002544B9">
        <w:rPr>
          <w:rFonts w:hint="eastAsia"/>
          <w:sz w:val="30"/>
          <w:szCs w:val="30"/>
        </w:rPr>
        <w:t>第十四部分</w:t>
      </w:r>
      <w:r w:rsidRPr="002544B9">
        <w:rPr>
          <w:sz w:val="30"/>
          <w:szCs w:val="30"/>
        </w:rPr>
        <w:t xml:space="preserve">  </w:t>
      </w:r>
      <w:r w:rsidRPr="002544B9">
        <w:rPr>
          <w:rFonts w:hint="eastAsia"/>
          <w:sz w:val="30"/>
          <w:szCs w:val="30"/>
        </w:rPr>
        <w:t>基金的会计与审计</w:t>
      </w:r>
      <w:bookmarkEnd w:id="287"/>
      <w:bookmarkEnd w:id="288"/>
      <w:bookmarkEnd w:id="289"/>
      <w:bookmarkEnd w:id="304"/>
      <w:bookmarkEnd w:id="305"/>
    </w:p>
    <w:p w14:paraId="457CCA5C"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一、基金会计政策</w:t>
      </w:r>
    </w:p>
    <w:p w14:paraId="5F6C025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、基金管理人为本基金的基金会计责任方；</w:t>
      </w:r>
    </w:p>
    <w:p w14:paraId="4DA2920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、基金的会计年度为公历年度的</w:t>
      </w:r>
      <w:r w:rsidRPr="002544B9">
        <w:rPr>
          <w:bCs/>
          <w:sz w:val="24"/>
        </w:rPr>
        <w:t>1</w:t>
      </w:r>
      <w:r w:rsidRPr="002544B9">
        <w:rPr>
          <w:rFonts w:hint="eastAsia"/>
          <w:bCs/>
          <w:sz w:val="24"/>
        </w:rPr>
        <w:t>月</w:t>
      </w:r>
      <w:r w:rsidRPr="002544B9">
        <w:rPr>
          <w:bCs/>
          <w:sz w:val="24"/>
        </w:rPr>
        <w:t>1</w:t>
      </w:r>
      <w:r w:rsidRPr="002544B9">
        <w:rPr>
          <w:rFonts w:hint="eastAsia"/>
          <w:bCs/>
          <w:sz w:val="24"/>
        </w:rPr>
        <w:t>日至</w:t>
      </w:r>
      <w:r w:rsidRPr="002544B9">
        <w:rPr>
          <w:bCs/>
          <w:sz w:val="24"/>
        </w:rPr>
        <w:t>12</w:t>
      </w:r>
      <w:r w:rsidRPr="002544B9">
        <w:rPr>
          <w:rFonts w:hint="eastAsia"/>
          <w:bCs/>
          <w:sz w:val="24"/>
        </w:rPr>
        <w:t>月</w:t>
      </w:r>
      <w:r w:rsidRPr="002544B9">
        <w:rPr>
          <w:bCs/>
          <w:sz w:val="24"/>
        </w:rPr>
        <w:t>31</w:t>
      </w:r>
      <w:r w:rsidRPr="002544B9">
        <w:rPr>
          <w:rFonts w:hint="eastAsia"/>
          <w:bCs/>
          <w:sz w:val="24"/>
        </w:rPr>
        <w:t>日；基金首次募集的会计年度按如下原则：如果《基金合同》生效少于</w:t>
      </w:r>
      <w:r w:rsidRPr="002544B9">
        <w:rPr>
          <w:bCs/>
          <w:sz w:val="24"/>
        </w:rPr>
        <w:t>2</w:t>
      </w:r>
      <w:r w:rsidRPr="002544B9">
        <w:rPr>
          <w:rFonts w:hint="eastAsia"/>
          <w:bCs/>
          <w:sz w:val="24"/>
        </w:rPr>
        <w:t>个月，可以并入下一个会计年度披露；</w:t>
      </w:r>
    </w:p>
    <w:p w14:paraId="70CA03B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、基金核算以人民币为记账本位币，以人民币元为记账单位；</w:t>
      </w:r>
    </w:p>
    <w:p w14:paraId="10FE7601"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、会计制度执行国家有关会计制度；</w:t>
      </w:r>
    </w:p>
    <w:p w14:paraId="0D01C016"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、本基金独立建账、独立核算；</w:t>
      </w:r>
    </w:p>
    <w:p w14:paraId="1732B68E"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、基金管理人及基金托管人各自保留完整的会计账目、凭证并进行日常的会计核算，按照有关规定编制基金会计报表；</w:t>
      </w:r>
    </w:p>
    <w:p w14:paraId="0F921FA9"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、基金托管人每月与基金管理人就基金的会计核算、报表编制等进行核对并以书面方式确认。</w:t>
      </w:r>
    </w:p>
    <w:p w14:paraId="73D5411A"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rFonts w:hint="eastAsia"/>
          <w:bCs/>
          <w:sz w:val="24"/>
        </w:rPr>
        <w:t>二、基金的年度审计</w:t>
      </w:r>
    </w:p>
    <w:p w14:paraId="572F70D0" w14:textId="50DBFB24"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、基金管理人聘请与基金管理人、基金托管人相互独立的</w:t>
      </w:r>
      <w:r w:rsidR="0044557B" w:rsidRPr="002544B9">
        <w:rPr>
          <w:rFonts w:hint="eastAsia"/>
          <w:bCs/>
          <w:sz w:val="24"/>
        </w:rPr>
        <w:t>符合《中华人民共和国证券法》规定</w:t>
      </w:r>
      <w:r w:rsidRPr="002544B9">
        <w:rPr>
          <w:rFonts w:hint="eastAsia"/>
          <w:bCs/>
          <w:sz w:val="24"/>
        </w:rPr>
        <w:t>的会计师事务所及其注册会计师对本基金的年度财务报表进行审计。</w:t>
      </w:r>
    </w:p>
    <w:p w14:paraId="5207CAD5" w14:textId="77777777"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、会计师事务所更换经办注册会计师，应事先征得基金管理人同意。</w:t>
      </w:r>
    </w:p>
    <w:p w14:paraId="15BC3997" w14:textId="223E65AD" w:rsidR="004632CC" w:rsidRPr="002544B9" w:rsidRDefault="004632CC" w:rsidP="004632CC">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、基金管理人认为有充足理由更换会计师事务所，须通报基金托管人。更换会计师事务所需依照《信息披露办法》的有关规定在</w:t>
      </w:r>
      <w:r w:rsidR="00AF017B" w:rsidRPr="002544B9">
        <w:rPr>
          <w:rFonts w:hint="eastAsia"/>
          <w:bCs/>
          <w:sz w:val="24"/>
        </w:rPr>
        <w:t>规定媒介</w:t>
      </w:r>
      <w:r w:rsidRPr="002544B9">
        <w:rPr>
          <w:rFonts w:hint="eastAsia"/>
          <w:bCs/>
          <w:sz w:val="24"/>
        </w:rPr>
        <w:t>公告。</w:t>
      </w:r>
    </w:p>
    <w:p w14:paraId="70FA1DC9" w14:textId="4AD6CC95" w:rsidR="004632CC" w:rsidRPr="002544B9" w:rsidRDefault="004632CC">
      <w:pPr>
        <w:widowControl/>
        <w:jc w:val="left"/>
        <w:rPr>
          <w:bCs/>
          <w:sz w:val="24"/>
        </w:rPr>
      </w:pPr>
      <w:r w:rsidRPr="002544B9">
        <w:rPr>
          <w:bCs/>
          <w:sz w:val="24"/>
        </w:rPr>
        <w:br w:type="page"/>
      </w:r>
    </w:p>
    <w:p w14:paraId="60CEA94D" w14:textId="77777777" w:rsidR="00AC3A9B" w:rsidRPr="002544B9" w:rsidRDefault="002C3C29">
      <w:pPr>
        <w:pStyle w:val="1"/>
        <w:jc w:val="center"/>
        <w:rPr>
          <w:sz w:val="30"/>
          <w:szCs w:val="30"/>
        </w:rPr>
      </w:pPr>
      <w:bookmarkStart w:id="306" w:name="_Toc416264551"/>
      <w:bookmarkStart w:id="307" w:name="_Toc263092323"/>
      <w:bookmarkStart w:id="308" w:name="_Toc214873604"/>
      <w:bookmarkStart w:id="309" w:name="_Toc79978642"/>
      <w:bookmarkStart w:id="310" w:name="_Toc68266302"/>
      <w:bookmarkStart w:id="311" w:name="_Toc104205526"/>
      <w:bookmarkStart w:id="312" w:name="_Toc22552"/>
      <w:bookmarkStart w:id="313" w:name="_Toc178"/>
      <w:bookmarkStart w:id="314" w:name="_Toc128310499"/>
      <w:bookmarkStart w:id="315" w:name="_Toc15525"/>
      <w:bookmarkStart w:id="316" w:name="_Toc15351"/>
      <w:bookmarkStart w:id="317" w:name="_Toc19558"/>
      <w:bookmarkStart w:id="318" w:name="_Toc352229762"/>
      <w:bookmarkStart w:id="319" w:name="_Toc93226149"/>
      <w:bookmarkStart w:id="320" w:name="_Toc92662707"/>
      <w:bookmarkStart w:id="321" w:name="_Toc139991746"/>
      <w:bookmarkStart w:id="322" w:name="_Toc141703896"/>
      <w:bookmarkStart w:id="323" w:name="_Toc25883"/>
      <w:bookmarkStart w:id="324" w:name="_Toc12761"/>
      <w:bookmarkStart w:id="325" w:name="_Toc20052"/>
      <w:bookmarkStart w:id="326" w:name="_Toc1617"/>
      <w:bookmarkStart w:id="327" w:name="_Toc3656"/>
      <w:bookmarkStart w:id="328" w:name="_Toc2182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r w:rsidRPr="002544B9">
        <w:rPr>
          <w:rFonts w:hint="eastAsia"/>
          <w:sz w:val="30"/>
          <w:szCs w:val="30"/>
        </w:rPr>
        <w:t>第十五部分</w:t>
      </w:r>
      <w:r w:rsidRPr="002544B9">
        <w:rPr>
          <w:sz w:val="30"/>
          <w:szCs w:val="30"/>
        </w:rPr>
        <w:t xml:space="preserve">  </w:t>
      </w:r>
      <w:r w:rsidRPr="002544B9">
        <w:rPr>
          <w:rFonts w:hint="eastAsia"/>
          <w:sz w:val="30"/>
          <w:szCs w:val="30"/>
        </w:rPr>
        <w:t>基金的信息披露</w:t>
      </w:r>
      <w:bookmarkEnd w:id="306"/>
      <w:bookmarkEnd w:id="307"/>
      <w:bookmarkEnd w:id="308"/>
      <w:bookmarkEnd w:id="309"/>
      <w:bookmarkEnd w:id="310"/>
      <w:bookmarkEnd w:id="311"/>
    </w:p>
    <w:p w14:paraId="2CD75D5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一、本基金的信息披露应符合《基金法》、《运作办法》、《流动性风险管理规定》、《信息披露办法》、《基金合同》及其他有关规定。相关法律法规关于信息披露的规定发生变化时，本基金从其最新规定。</w:t>
      </w:r>
    </w:p>
    <w:p w14:paraId="5D25728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二、信息披露义务人</w:t>
      </w:r>
    </w:p>
    <w:p w14:paraId="00A88D2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本基金信息披露义务人包括基金管理人、基金托管人、召集基金份额持有人大会的基金份额持有人等法律、行政法规和中国证监会规定的自然人、法人和非法人组织。</w:t>
      </w:r>
    </w:p>
    <w:p w14:paraId="5D3BC34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本基金信息披露义务人以保护基金份额持有人利益为根本出发点，按照法律法规和中国证监会的规定披露基金信息，并保证所披露信息的真实性、准确性、完整性、及时性、简明性和易得性。</w:t>
      </w:r>
    </w:p>
    <w:p w14:paraId="58C001F1" w14:textId="0712D96B"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本基金信息披露义务人应当在中国证监会规定时间内，将应予披露的基金信息通过中国证监会</w:t>
      </w:r>
      <w:r w:rsidR="00DD41DA" w:rsidRPr="002544B9">
        <w:rPr>
          <w:rFonts w:hint="eastAsia"/>
          <w:bCs/>
          <w:sz w:val="24"/>
        </w:rPr>
        <w:t>规定</w:t>
      </w:r>
      <w:r w:rsidRPr="002544B9">
        <w:rPr>
          <w:rFonts w:hint="eastAsia"/>
          <w:bCs/>
          <w:sz w:val="24"/>
        </w:rPr>
        <w:t>媒介披露，并保证基金投资者能够按照《基金合同》约定的时间和方式查阅或者复制公开披露的信息资料。</w:t>
      </w:r>
    </w:p>
    <w:p w14:paraId="59175CD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三、本基金信息披露义务人承诺公开披露的基金信息，不得有下列行为：</w:t>
      </w:r>
    </w:p>
    <w:p w14:paraId="7052236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、虚假记载、误导性陈述或者重大遗漏；</w:t>
      </w:r>
    </w:p>
    <w:p w14:paraId="1A246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、对证券投资业绩进行预测；</w:t>
      </w:r>
    </w:p>
    <w:p w14:paraId="00AB68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、违规承诺收益或者承担损失；</w:t>
      </w:r>
    </w:p>
    <w:p w14:paraId="4AD3810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、诋毁其他基金管理人、基金托管人或者基金销售机构；</w:t>
      </w:r>
    </w:p>
    <w:p w14:paraId="2F0A0E0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、登载任何自然人、法人和非法人组织的祝贺性、恭维性或推荐性的文字；</w:t>
      </w:r>
    </w:p>
    <w:p w14:paraId="2FC862E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、中国证监会禁止的其他行为。</w:t>
      </w:r>
    </w:p>
    <w:p w14:paraId="3588162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四、本基金公开披露的信息应采用中文文本。同时采用外文文本的，基金信息披露义务人应保证不同文本的内容一致。不同文本之间发生歧义的，以中文文本为准。</w:t>
      </w:r>
    </w:p>
    <w:p w14:paraId="40C5EFB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本基金公开披露的信息采用阿拉伯数字；除特别说明外，货币单位为人民币元。</w:t>
      </w:r>
    </w:p>
    <w:p w14:paraId="048B1A4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五、公开披露的基金信息</w:t>
      </w:r>
    </w:p>
    <w:p w14:paraId="677AD50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公开披露的基金信息包括：</w:t>
      </w:r>
    </w:p>
    <w:p w14:paraId="6E4A535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（一）基金招募说明书、《基金合同》、基金托管协议、基金产品资料概要</w:t>
      </w:r>
    </w:p>
    <w:p w14:paraId="346C117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、《基金合同》是界定《基金合同》当事人的各项权利、义务关系，明确基金份额持有人大会召开的规则及具体程序，说明基金产品的特性等涉及基金投资者重大利益的事项的法律文件。</w:t>
      </w:r>
    </w:p>
    <w:p w14:paraId="30E7BD01" w14:textId="792B82E2"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招募说明书应当最大限度地披露影响基金投资者决策的全部事项，说明基金认购、申购和赎回安排、基金投资、基金产品特性、风险揭示、信息披露及基金份额持有人服务等内容。《基金合同》生效后，基金招募说明书的信息发生重大变更的，基金管理人应当在三个工作日内，更新基金招募说明书并登载在</w:t>
      </w:r>
      <w:r w:rsidR="00DD41DA" w:rsidRPr="002544B9">
        <w:rPr>
          <w:rFonts w:hint="eastAsia"/>
          <w:bCs/>
          <w:sz w:val="24"/>
        </w:rPr>
        <w:t>规定</w:t>
      </w:r>
      <w:r w:rsidRPr="002544B9">
        <w:rPr>
          <w:rFonts w:hint="eastAsia"/>
          <w:bCs/>
          <w:sz w:val="24"/>
        </w:rPr>
        <w:t>网站上；基金招募说明书其他信息发生变更的，基金管理人至少每年更新一次。基金终止运作的，基金管理人不再更新基金招募说明书。</w:t>
      </w:r>
    </w:p>
    <w:p w14:paraId="454AABF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、基金托管协议是界定基金托管人和基金管理人在基金财产保管及基金运作监督等活动中的权利、义务关系的法律文件。</w:t>
      </w:r>
    </w:p>
    <w:p w14:paraId="5CB45CC7" w14:textId="15490DF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产品资料概要是基金招募说明书的摘要文件，用于向投资者提供简明的基金概要信息。基金合同生效后，基金产品资料概要的信息发生重大变更的，基金管理人应当在三个工作日内，更新基金产品资料概要，并登载在</w:t>
      </w:r>
      <w:r w:rsidR="00DD41DA" w:rsidRPr="002544B9">
        <w:rPr>
          <w:rFonts w:hint="eastAsia"/>
          <w:bCs/>
          <w:sz w:val="24"/>
        </w:rPr>
        <w:t>规定</w:t>
      </w:r>
      <w:r w:rsidRPr="002544B9">
        <w:rPr>
          <w:rFonts w:hint="eastAsia"/>
          <w:bCs/>
          <w:sz w:val="24"/>
        </w:rPr>
        <w:t>网站及基金销售机构网站或营业网点；基金产品资料概要其他信息发生变更的，基金管理人至少每年更新一次。基金终止运作的，基金管理人不再更新基金产品资料概要。</w:t>
      </w:r>
    </w:p>
    <w:p w14:paraId="0E5818A9" w14:textId="396A031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基金募集申请经中国证监会注册后，基金管理人在基金份额发售的三日前，将基金份额发售公告、基金招募说明书提示性公告、《基金合同》提示性公告登载在</w:t>
      </w:r>
      <w:r w:rsidR="00DD41DA" w:rsidRPr="002544B9">
        <w:rPr>
          <w:rFonts w:hint="eastAsia"/>
          <w:bCs/>
          <w:sz w:val="24"/>
        </w:rPr>
        <w:t>规定</w:t>
      </w:r>
      <w:r w:rsidRPr="002544B9">
        <w:rPr>
          <w:rFonts w:hint="eastAsia"/>
          <w:bCs/>
          <w:sz w:val="24"/>
        </w:rPr>
        <w:t>报刊上，将基金份额发售公告、基金招募说明书、基金产品资料概要、基金合同和基金托管协议登载在</w:t>
      </w:r>
      <w:r w:rsidR="00DD41DA" w:rsidRPr="002544B9">
        <w:rPr>
          <w:rFonts w:hint="eastAsia"/>
          <w:bCs/>
          <w:sz w:val="24"/>
        </w:rPr>
        <w:t>规定</w:t>
      </w:r>
      <w:r w:rsidRPr="002544B9">
        <w:rPr>
          <w:rFonts w:hint="eastAsia"/>
          <w:bCs/>
          <w:sz w:val="24"/>
        </w:rPr>
        <w:t>网站上，并将基金产品资料概要登载在基金销售机构网站或营业网点；基金托管人应当同时将《基金合同》、基金托管协议登载在</w:t>
      </w:r>
      <w:r w:rsidR="00DD41DA" w:rsidRPr="002544B9">
        <w:rPr>
          <w:rFonts w:hint="eastAsia"/>
          <w:bCs/>
          <w:sz w:val="24"/>
        </w:rPr>
        <w:t>规定</w:t>
      </w:r>
      <w:r w:rsidRPr="002544B9">
        <w:rPr>
          <w:rFonts w:hint="eastAsia"/>
          <w:bCs/>
          <w:sz w:val="24"/>
        </w:rPr>
        <w:t>网站上。</w:t>
      </w:r>
    </w:p>
    <w:p w14:paraId="64B6C11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（二）基金份额发售公告</w:t>
      </w:r>
    </w:p>
    <w:p w14:paraId="521B7ECE" w14:textId="3304D309"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基金管理人应当就基金份额发售的具体事宜编制基金份额发售公告，并在披露招募说明书的当日登载于</w:t>
      </w:r>
      <w:r w:rsidR="00AF017B" w:rsidRPr="002544B9">
        <w:rPr>
          <w:rFonts w:hint="eastAsia"/>
          <w:bCs/>
          <w:sz w:val="24"/>
        </w:rPr>
        <w:t>规定媒介</w:t>
      </w:r>
      <w:r w:rsidRPr="002544B9">
        <w:rPr>
          <w:rFonts w:hint="eastAsia"/>
          <w:bCs/>
          <w:sz w:val="24"/>
        </w:rPr>
        <w:t>上。</w:t>
      </w:r>
    </w:p>
    <w:p w14:paraId="03DC75B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（三）《基金合同》生效公告</w:t>
      </w:r>
    </w:p>
    <w:p w14:paraId="3B9B940A" w14:textId="5B20BFA8"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基金管理人应当在收到中国证监会确认文件的次日在</w:t>
      </w:r>
      <w:r w:rsidR="00AF017B" w:rsidRPr="002544B9">
        <w:rPr>
          <w:rFonts w:hint="eastAsia"/>
          <w:bCs/>
          <w:sz w:val="24"/>
        </w:rPr>
        <w:t>规定媒介</w:t>
      </w:r>
      <w:r w:rsidRPr="002544B9">
        <w:rPr>
          <w:rFonts w:hint="eastAsia"/>
          <w:bCs/>
          <w:sz w:val="24"/>
        </w:rPr>
        <w:t>上登载《基金合同》生效公告。</w:t>
      </w:r>
    </w:p>
    <w:p w14:paraId="5A8B18D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（四）基金净值信息</w:t>
      </w:r>
    </w:p>
    <w:p w14:paraId="254444A6" w14:textId="12658380"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《基金合同》生效后，在开始办理基金份额申购或者赎回前，基金管理人应当至少每周在</w:t>
      </w:r>
      <w:r w:rsidR="00DD41DA" w:rsidRPr="002544B9">
        <w:rPr>
          <w:rFonts w:hint="eastAsia"/>
          <w:bCs/>
          <w:sz w:val="24"/>
        </w:rPr>
        <w:t>规定</w:t>
      </w:r>
      <w:r w:rsidRPr="002544B9">
        <w:rPr>
          <w:rFonts w:hint="eastAsia"/>
          <w:bCs/>
          <w:sz w:val="24"/>
        </w:rPr>
        <w:t>网站披露一次各类基金份额净值和</w:t>
      </w:r>
      <w:r w:rsidR="0044557B" w:rsidRPr="002544B9">
        <w:rPr>
          <w:rFonts w:hint="eastAsia"/>
          <w:bCs/>
          <w:sz w:val="24"/>
        </w:rPr>
        <w:t>各类</w:t>
      </w:r>
      <w:r w:rsidRPr="002544B9">
        <w:rPr>
          <w:rFonts w:hint="eastAsia"/>
          <w:bCs/>
          <w:sz w:val="24"/>
        </w:rPr>
        <w:t>基金份额累计净值。</w:t>
      </w:r>
    </w:p>
    <w:p w14:paraId="470A60A8" w14:textId="5B72757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在开始办理基金份额申购或者赎回后，基金管理人应当在不晚于每个开放日的次日，通过</w:t>
      </w:r>
      <w:r w:rsidR="00DD41DA" w:rsidRPr="002544B9">
        <w:rPr>
          <w:rFonts w:hint="eastAsia"/>
          <w:bCs/>
          <w:sz w:val="24"/>
        </w:rPr>
        <w:t>规定</w:t>
      </w:r>
      <w:r w:rsidRPr="002544B9">
        <w:rPr>
          <w:rFonts w:hint="eastAsia"/>
          <w:bCs/>
          <w:sz w:val="24"/>
        </w:rPr>
        <w:t>网站、基金销售机构网站或营业网点披露开放日的各类基金份额净值和</w:t>
      </w:r>
      <w:r w:rsidR="0044557B" w:rsidRPr="002544B9">
        <w:rPr>
          <w:rFonts w:hint="eastAsia"/>
          <w:bCs/>
          <w:sz w:val="24"/>
        </w:rPr>
        <w:t>各类</w:t>
      </w:r>
      <w:r w:rsidRPr="002544B9">
        <w:rPr>
          <w:rFonts w:hint="eastAsia"/>
          <w:bCs/>
          <w:sz w:val="24"/>
        </w:rPr>
        <w:t>基金份额累计净值。</w:t>
      </w:r>
    </w:p>
    <w:p w14:paraId="742AEA64" w14:textId="5110C69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基金管理人应在不晚于半年度和年度最后一日的次日，在</w:t>
      </w:r>
      <w:r w:rsidR="00DD41DA" w:rsidRPr="002544B9">
        <w:rPr>
          <w:rFonts w:hint="eastAsia"/>
          <w:bCs/>
          <w:sz w:val="24"/>
        </w:rPr>
        <w:t>规定</w:t>
      </w:r>
      <w:r w:rsidRPr="002544B9">
        <w:rPr>
          <w:rFonts w:hint="eastAsia"/>
          <w:bCs/>
          <w:sz w:val="24"/>
        </w:rPr>
        <w:t>网站披露半年度和年度最后一日的各类基金份额净值和</w:t>
      </w:r>
      <w:r w:rsidR="0044557B" w:rsidRPr="002544B9">
        <w:rPr>
          <w:rFonts w:hint="eastAsia"/>
          <w:bCs/>
          <w:sz w:val="24"/>
        </w:rPr>
        <w:t>各类</w:t>
      </w:r>
      <w:r w:rsidRPr="002544B9">
        <w:rPr>
          <w:rFonts w:hint="eastAsia"/>
          <w:bCs/>
          <w:sz w:val="24"/>
        </w:rPr>
        <w:t>基金份额累计净值。</w:t>
      </w:r>
    </w:p>
    <w:p w14:paraId="2D6EE49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（五）基金份额申购、赎回价格</w:t>
      </w:r>
    </w:p>
    <w:p w14:paraId="1244E5E7" w14:textId="0B9EAA4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基金管理人应当在《基金合同》、招募说明书等信息披露文件上载</w:t>
      </w:r>
      <w:proofErr w:type="gramStart"/>
      <w:r w:rsidRPr="002544B9">
        <w:rPr>
          <w:rFonts w:hint="eastAsia"/>
          <w:bCs/>
          <w:sz w:val="24"/>
        </w:rPr>
        <w:t>明基金</w:t>
      </w:r>
      <w:proofErr w:type="gramEnd"/>
      <w:r w:rsidRPr="002544B9">
        <w:rPr>
          <w:rFonts w:hint="eastAsia"/>
          <w:bCs/>
          <w:sz w:val="24"/>
        </w:rPr>
        <w:t>份额申购、赎回价格的计算方式及有关申购、赎回费率，并保证投资者能够在基金销售机构网</w:t>
      </w:r>
      <w:r w:rsidR="00DD41DA" w:rsidRPr="002544B9">
        <w:rPr>
          <w:rFonts w:hint="eastAsia"/>
          <w:bCs/>
          <w:sz w:val="24"/>
        </w:rPr>
        <w:t>站</w:t>
      </w:r>
      <w:r w:rsidRPr="002544B9">
        <w:rPr>
          <w:rFonts w:hint="eastAsia"/>
          <w:bCs/>
          <w:sz w:val="24"/>
        </w:rPr>
        <w:t>或营业网点查阅或者复制前述信息资料。</w:t>
      </w:r>
    </w:p>
    <w:p w14:paraId="78348F5A" w14:textId="60F82EF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（六）基金定期报告，包括基金年度报告、基金中期报告和基金季度报告</w:t>
      </w:r>
    </w:p>
    <w:p w14:paraId="136C77FE" w14:textId="155EB16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基金管理人应当在每年结束之日起三个月内，编制完成基金年度报告，将年度报告登载在</w:t>
      </w:r>
      <w:r w:rsidR="003D23CA" w:rsidRPr="002544B9">
        <w:rPr>
          <w:rFonts w:hint="eastAsia"/>
          <w:bCs/>
          <w:sz w:val="24"/>
        </w:rPr>
        <w:t>规定</w:t>
      </w:r>
      <w:r w:rsidRPr="002544B9">
        <w:rPr>
          <w:rFonts w:hint="eastAsia"/>
          <w:bCs/>
          <w:sz w:val="24"/>
        </w:rPr>
        <w:t>网站上，并将年度报告提示性公告登载在</w:t>
      </w:r>
      <w:r w:rsidR="003D23CA" w:rsidRPr="002544B9">
        <w:rPr>
          <w:rFonts w:hint="eastAsia"/>
          <w:bCs/>
          <w:sz w:val="24"/>
        </w:rPr>
        <w:t>规定</w:t>
      </w:r>
      <w:r w:rsidRPr="002544B9">
        <w:rPr>
          <w:rFonts w:hint="eastAsia"/>
          <w:bCs/>
          <w:sz w:val="24"/>
        </w:rPr>
        <w:t>报刊上。基金年度报告中的财务会计报告应当经过</w:t>
      </w:r>
      <w:r w:rsidR="00C25DD8" w:rsidRPr="002544B9">
        <w:rPr>
          <w:rFonts w:hint="eastAsia"/>
          <w:bCs/>
          <w:sz w:val="24"/>
        </w:rPr>
        <w:t>符合《中华人民共和国证券法》规定</w:t>
      </w:r>
      <w:r w:rsidRPr="002544B9">
        <w:rPr>
          <w:rFonts w:hint="eastAsia"/>
          <w:bCs/>
          <w:sz w:val="24"/>
        </w:rPr>
        <w:t>的会计师事务所审计。</w:t>
      </w:r>
    </w:p>
    <w:p w14:paraId="43440E56" w14:textId="51E27BB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基金管理人应当在上半年结束之日起两个月内，编制完成基金中期报告，将中期报告登载在</w:t>
      </w:r>
      <w:r w:rsidR="003D23CA" w:rsidRPr="002544B9">
        <w:rPr>
          <w:rFonts w:hint="eastAsia"/>
          <w:bCs/>
          <w:sz w:val="24"/>
        </w:rPr>
        <w:t>规定</w:t>
      </w:r>
      <w:r w:rsidRPr="002544B9">
        <w:rPr>
          <w:rFonts w:hint="eastAsia"/>
          <w:bCs/>
          <w:sz w:val="24"/>
        </w:rPr>
        <w:t>网站上，并将中期报告提示性公告登载在</w:t>
      </w:r>
      <w:r w:rsidR="003D23CA" w:rsidRPr="002544B9">
        <w:rPr>
          <w:rFonts w:hint="eastAsia"/>
          <w:bCs/>
          <w:sz w:val="24"/>
        </w:rPr>
        <w:t>规定</w:t>
      </w:r>
      <w:r w:rsidRPr="002544B9">
        <w:rPr>
          <w:rFonts w:hint="eastAsia"/>
          <w:bCs/>
          <w:sz w:val="24"/>
        </w:rPr>
        <w:t>报刊上。</w:t>
      </w:r>
    </w:p>
    <w:p w14:paraId="24E6C286" w14:textId="1DD8A6D1"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基金管理人应当在每个季度结束之日起</w:t>
      </w:r>
      <w:r w:rsidRPr="002544B9">
        <w:rPr>
          <w:bCs/>
          <w:sz w:val="24"/>
        </w:rPr>
        <w:t>15</w:t>
      </w:r>
      <w:r w:rsidRPr="002544B9">
        <w:rPr>
          <w:rFonts w:hint="eastAsia"/>
          <w:bCs/>
          <w:sz w:val="24"/>
        </w:rPr>
        <w:t>个工作日内，编制完成基金季度报告，将季度报告登载在</w:t>
      </w:r>
      <w:r w:rsidR="003D23CA" w:rsidRPr="002544B9">
        <w:rPr>
          <w:rFonts w:hint="eastAsia"/>
          <w:bCs/>
          <w:sz w:val="24"/>
        </w:rPr>
        <w:t>规定</w:t>
      </w:r>
      <w:r w:rsidRPr="002544B9">
        <w:rPr>
          <w:rFonts w:hint="eastAsia"/>
          <w:bCs/>
          <w:sz w:val="24"/>
        </w:rPr>
        <w:t>网站上，并将季度报告提示性公告登载在</w:t>
      </w:r>
      <w:r w:rsidR="003D23CA" w:rsidRPr="002544B9">
        <w:rPr>
          <w:rFonts w:hint="eastAsia"/>
          <w:bCs/>
          <w:sz w:val="24"/>
        </w:rPr>
        <w:t>规定</w:t>
      </w:r>
      <w:r w:rsidRPr="002544B9">
        <w:rPr>
          <w:rFonts w:hint="eastAsia"/>
          <w:bCs/>
          <w:sz w:val="24"/>
        </w:rPr>
        <w:t>报刊上。</w:t>
      </w:r>
    </w:p>
    <w:p w14:paraId="43C15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《基金合同》生效不足</w:t>
      </w:r>
      <w:r w:rsidRPr="002544B9">
        <w:rPr>
          <w:bCs/>
          <w:sz w:val="24"/>
        </w:rPr>
        <w:t>2</w:t>
      </w:r>
      <w:r w:rsidRPr="002544B9">
        <w:rPr>
          <w:rFonts w:hint="eastAsia"/>
          <w:bCs/>
          <w:sz w:val="24"/>
        </w:rPr>
        <w:t>个月的，基金管理人可以不编制当期季度报告、中期报告或者年度报告。</w:t>
      </w:r>
    </w:p>
    <w:p w14:paraId="6BC85F86" w14:textId="1B84729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如报告期内出现单一投资者持有基金份额达到或超过基金总份额</w:t>
      </w:r>
      <w:r w:rsidRPr="002544B9">
        <w:rPr>
          <w:bCs/>
          <w:sz w:val="24"/>
        </w:rPr>
        <w:t>20%</w:t>
      </w:r>
      <w:r w:rsidRPr="002544B9">
        <w:rPr>
          <w:rFonts w:hint="eastAsia"/>
          <w:bCs/>
          <w:sz w:val="24"/>
        </w:rPr>
        <w:t>的情形，为保障其他投资者的权益，基金管理人至少应当在基金定期报告“影响投资者决策的其他重要信息”项下披露该投资者的类别、报告期末持有份额及占比、报告期内持有份额变化情况及</w:t>
      </w:r>
      <w:r w:rsidR="003D23CA" w:rsidRPr="002544B9">
        <w:rPr>
          <w:rFonts w:hint="eastAsia"/>
          <w:bCs/>
          <w:sz w:val="24"/>
        </w:rPr>
        <w:t>本基金</w:t>
      </w:r>
      <w:r w:rsidRPr="002544B9">
        <w:rPr>
          <w:rFonts w:hint="eastAsia"/>
          <w:bCs/>
          <w:sz w:val="24"/>
        </w:rPr>
        <w:t>的特有风险，中国证监会认定的特殊情形除外。</w:t>
      </w:r>
    </w:p>
    <w:p w14:paraId="0105863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基金管理人应当在基金年度报告和中期报告中披露基金组合资产情况及其流动性风险分析等。</w:t>
      </w:r>
    </w:p>
    <w:p w14:paraId="4BFA295E"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（七）临时报告</w:t>
      </w:r>
    </w:p>
    <w:p w14:paraId="5711E8FE" w14:textId="11922644"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本基金发生重大事件，有关信息披露义务人应当依照《信息披露办法》的有关规定编制临时报告书，并登载在</w:t>
      </w:r>
      <w:r w:rsidR="003D23CA" w:rsidRPr="002544B9">
        <w:rPr>
          <w:rFonts w:hint="eastAsia"/>
          <w:bCs/>
          <w:sz w:val="24"/>
        </w:rPr>
        <w:t>规定</w:t>
      </w:r>
      <w:r w:rsidRPr="002544B9">
        <w:rPr>
          <w:rFonts w:hint="eastAsia"/>
          <w:bCs/>
          <w:sz w:val="24"/>
        </w:rPr>
        <w:t>报刊和</w:t>
      </w:r>
      <w:r w:rsidR="003D23CA" w:rsidRPr="002544B9">
        <w:rPr>
          <w:rFonts w:hint="eastAsia"/>
          <w:bCs/>
          <w:sz w:val="24"/>
        </w:rPr>
        <w:t>规定</w:t>
      </w:r>
      <w:r w:rsidRPr="002544B9">
        <w:rPr>
          <w:rFonts w:hint="eastAsia"/>
          <w:bCs/>
          <w:sz w:val="24"/>
        </w:rPr>
        <w:t>网站上。</w:t>
      </w:r>
    </w:p>
    <w:p w14:paraId="6524488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前款所称重大事件，是指可能对基金份额持有人权益或者基金份额的价格产生重大影响的下列事件：</w:t>
      </w:r>
    </w:p>
    <w:p w14:paraId="3BFECD8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、基金份额持有人大会的召开及决定的事项；</w:t>
      </w:r>
    </w:p>
    <w:p w14:paraId="391FFBF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、基金合同终止、基金清算；</w:t>
      </w:r>
    </w:p>
    <w:p w14:paraId="1B118AC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、转换基金运作方式、基金合并；</w:t>
      </w:r>
    </w:p>
    <w:p w14:paraId="0B066EB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、更换基金管理人、基金托管人、基金份额登记机构，基金改聘会计师事务所；</w:t>
      </w:r>
    </w:p>
    <w:p w14:paraId="10D1CAE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5</w:t>
      </w:r>
      <w:r w:rsidRPr="002544B9">
        <w:rPr>
          <w:rFonts w:hint="eastAsia"/>
          <w:bCs/>
          <w:sz w:val="24"/>
        </w:rPr>
        <w:t>、基金管理人委托基金服务机构代为办理基金的份额登记、核算、估值等事项，基金托管人委托基金服务机构代为办理基金的核算、估值、复核等事项；</w:t>
      </w:r>
    </w:p>
    <w:p w14:paraId="5B60EB42"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6</w:t>
      </w:r>
      <w:r w:rsidRPr="002544B9">
        <w:rPr>
          <w:rFonts w:hint="eastAsia"/>
          <w:bCs/>
          <w:sz w:val="24"/>
        </w:rPr>
        <w:t>、基金管理人、基金托管人的法定名称、住所发生变更；</w:t>
      </w:r>
    </w:p>
    <w:p w14:paraId="302E34CB"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7</w:t>
      </w:r>
      <w:r w:rsidRPr="002544B9">
        <w:rPr>
          <w:rFonts w:hint="eastAsia"/>
          <w:bCs/>
          <w:sz w:val="24"/>
        </w:rPr>
        <w:t>、基金管理人变更持有百分之五以上股权的股东、基金管理人的实际控制人变更；</w:t>
      </w:r>
    </w:p>
    <w:p w14:paraId="77AC263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8</w:t>
      </w:r>
      <w:r w:rsidRPr="002544B9">
        <w:rPr>
          <w:rFonts w:hint="eastAsia"/>
          <w:bCs/>
          <w:sz w:val="24"/>
        </w:rPr>
        <w:t>、基金募集期延长或提前结束募集；</w:t>
      </w:r>
    </w:p>
    <w:p w14:paraId="2242D6F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9</w:t>
      </w:r>
      <w:r w:rsidRPr="002544B9">
        <w:rPr>
          <w:rFonts w:hint="eastAsia"/>
          <w:bCs/>
          <w:sz w:val="24"/>
        </w:rPr>
        <w:t>、基金管理人高级管理人员、基金经理和基金托管人专门基金托管部门负责人发生变动；</w:t>
      </w:r>
    </w:p>
    <w:p w14:paraId="793E54A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10</w:t>
      </w:r>
      <w:r w:rsidRPr="002544B9">
        <w:rPr>
          <w:rFonts w:hint="eastAsia"/>
          <w:bCs/>
          <w:sz w:val="24"/>
        </w:rPr>
        <w:t>、基金管理人的董事在最近</w:t>
      </w:r>
      <w:r w:rsidRPr="002544B9">
        <w:rPr>
          <w:bCs/>
          <w:sz w:val="24"/>
        </w:rPr>
        <w:t>12</w:t>
      </w:r>
      <w:r w:rsidRPr="002544B9">
        <w:rPr>
          <w:rFonts w:hint="eastAsia"/>
          <w:bCs/>
          <w:sz w:val="24"/>
        </w:rPr>
        <w:t>个月内变更超过百分之五十，基金管理人、基金托管人专门基金托管部门的主要业务人员在最近</w:t>
      </w:r>
      <w:r w:rsidRPr="002544B9">
        <w:rPr>
          <w:bCs/>
          <w:sz w:val="24"/>
        </w:rPr>
        <w:t>12</w:t>
      </w:r>
      <w:r w:rsidRPr="002544B9">
        <w:rPr>
          <w:rFonts w:hint="eastAsia"/>
          <w:bCs/>
          <w:sz w:val="24"/>
        </w:rPr>
        <w:t>个月内变动超过百分之三十；</w:t>
      </w:r>
    </w:p>
    <w:p w14:paraId="67420246"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11</w:t>
      </w:r>
      <w:r w:rsidRPr="002544B9">
        <w:rPr>
          <w:rFonts w:hint="eastAsia"/>
          <w:bCs/>
          <w:sz w:val="24"/>
        </w:rPr>
        <w:t>、涉及基金财产、基金管理业务、基金托管业务的诉讼或仲裁；</w:t>
      </w:r>
    </w:p>
    <w:p w14:paraId="6A5E2A7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12</w:t>
      </w:r>
      <w:r w:rsidRPr="002544B9">
        <w:rPr>
          <w:rFonts w:hint="eastAsia"/>
          <w:bCs/>
          <w:sz w:val="24"/>
        </w:rPr>
        <w:t>、基金管理人或其高级管理人员、基金经理因基金管理业务相关行为受到重大行政处罚、刑事处罚，基金托管人或其专门基金托管部门负责人因基金托管业务相关行为受到重大行政处罚、刑事处罚；</w:t>
      </w:r>
    </w:p>
    <w:p w14:paraId="398F2A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13</w:t>
      </w:r>
      <w:r w:rsidRPr="002544B9">
        <w:rPr>
          <w:rFonts w:hint="eastAsia"/>
          <w:bCs/>
          <w:sz w:val="24"/>
        </w:rPr>
        <w:t>、基金管理人运用基金财产买卖基金管理人、基金托管人及其控股股东、实际控制人或者与其有重大利害关系的公司发行的证券或者承销期内承销的证券，或者从事其他重大关联交易事项，但中国证监会另有规定的除外；</w:t>
      </w:r>
    </w:p>
    <w:p w14:paraId="4456085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14</w:t>
      </w:r>
      <w:r w:rsidRPr="002544B9">
        <w:rPr>
          <w:rFonts w:hint="eastAsia"/>
          <w:bCs/>
          <w:sz w:val="24"/>
        </w:rPr>
        <w:t>、基金收益分配事项；</w:t>
      </w:r>
    </w:p>
    <w:p w14:paraId="3389BE14"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15</w:t>
      </w:r>
      <w:r w:rsidRPr="002544B9">
        <w:rPr>
          <w:rFonts w:hint="eastAsia"/>
          <w:bCs/>
          <w:sz w:val="24"/>
        </w:rPr>
        <w:t>、管理费、托管费、销售服务费、申购费、赎回费等费用计提标准、计提方式和费率发生变更；</w:t>
      </w:r>
    </w:p>
    <w:p w14:paraId="464DD703" w14:textId="593EBF23"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16</w:t>
      </w:r>
      <w:r w:rsidRPr="002544B9">
        <w:rPr>
          <w:rFonts w:hint="eastAsia"/>
          <w:bCs/>
          <w:sz w:val="24"/>
        </w:rPr>
        <w:t>、</w:t>
      </w:r>
      <w:r w:rsidR="00C25DD8" w:rsidRPr="002544B9">
        <w:rPr>
          <w:rFonts w:hint="eastAsia"/>
          <w:bCs/>
          <w:sz w:val="24"/>
        </w:rPr>
        <w:t>某一类</w:t>
      </w:r>
      <w:r w:rsidRPr="002544B9">
        <w:rPr>
          <w:rFonts w:hint="eastAsia"/>
          <w:bCs/>
          <w:sz w:val="24"/>
        </w:rPr>
        <w:t>基金份额净值计价错误达</w:t>
      </w:r>
      <w:r w:rsidR="00C25DD8" w:rsidRPr="002544B9">
        <w:rPr>
          <w:rFonts w:hint="eastAsia"/>
          <w:bCs/>
          <w:sz w:val="24"/>
        </w:rPr>
        <w:t>该类</w:t>
      </w:r>
      <w:r w:rsidRPr="002544B9">
        <w:rPr>
          <w:rFonts w:hint="eastAsia"/>
          <w:bCs/>
          <w:sz w:val="24"/>
        </w:rPr>
        <w:t>基金份额净值百分之零点五；</w:t>
      </w:r>
    </w:p>
    <w:p w14:paraId="333E6E7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17</w:t>
      </w:r>
      <w:r w:rsidRPr="002544B9">
        <w:rPr>
          <w:rFonts w:hint="eastAsia"/>
          <w:bCs/>
          <w:sz w:val="24"/>
        </w:rPr>
        <w:t>、本基金开始办理申购、赎回；</w:t>
      </w:r>
    </w:p>
    <w:p w14:paraId="7D1FFBE1"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18</w:t>
      </w:r>
      <w:r w:rsidRPr="002544B9">
        <w:rPr>
          <w:rFonts w:hint="eastAsia"/>
          <w:bCs/>
          <w:sz w:val="24"/>
        </w:rPr>
        <w:t>、本基金发生巨额赎回并延期办理；</w:t>
      </w:r>
    </w:p>
    <w:p w14:paraId="4F0ED93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19</w:t>
      </w:r>
      <w:r w:rsidRPr="002544B9">
        <w:rPr>
          <w:rFonts w:hint="eastAsia"/>
          <w:bCs/>
          <w:sz w:val="24"/>
        </w:rPr>
        <w:t>、本基金连续发生巨额赎回并暂停接受赎回申请或延缓支付赎回款项；</w:t>
      </w:r>
    </w:p>
    <w:p w14:paraId="07B074E5"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20</w:t>
      </w:r>
      <w:r w:rsidRPr="002544B9">
        <w:rPr>
          <w:rFonts w:hint="eastAsia"/>
          <w:bCs/>
          <w:sz w:val="24"/>
        </w:rPr>
        <w:t>、本基金暂停接受申购、赎回申请或重新接受申购、赎回申请；</w:t>
      </w:r>
    </w:p>
    <w:p w14:paraId="17811B1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21</w:t>
      </w:r>
      <w:r w:rsidRPr="002544B9">
        <w:rPr>
          <w:rFonts w:hint="eastAsia"/>
          <w:bCs/>
          <w:sz w:val="24"/>
        </w:rPr>
        <w:t>、在发生涉及基金申购、赎回事项调整或潜在影响投资者赎回等重大事项时；</w:t>
      </w:r>
    </w:p>
    <w:p w14:paraId="4EF9B133"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22</w:t>
      </w:r>
      <w:r w:rsidRPr="002544B9">
        <w:rPr>
          <w:rFonts w:hint="eastAsia"/>
          <w:bCs/>
          <w:sz w:val="24"/>
        </w:rPr>
        <w:t>、基金管理人采用摆动定价机制进行估值；</w:t>
      </w:r>
    </w:p>
    <w:p w14:paraId="5C0FDBED"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23</w:t>
      </w:r>
      <w:r w:rsidRPr="002544B9">
        <w:rPr>
          <w:rFonts w:hint="eastAsia"/>
          <w:bCs/>
          <w:sz w:val="24"/>
        </w:rPr>
        <w:t>、调整基金份额类别设置；</w:t>
      </w:r>
    </w:p>
    <w:p w14:paraId="0B4B0985" w14:textId="24CC5651"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2</w:t>
      </w:r>
      <w:r w:rsidR="00C25DD8" w:rsidRPr="002544B9">
        <w:rPr>
          <w:bCs/>
          <w:sz w:val="24"/>
        </w:rPr>
        <w:t>4</w:t>
      </w:r>
      <w:r w:rsidRPr="002544B9">
        <w:rPr>
          <w:rFonts w:hint="eastAsia"/>
          <w:bCs/>
          <w:sz w:val="24"/>
        </w:rPr>
        <w:t>、基金信息披露义务人认为可能对基金份额持有人权益或者基金份额的价格产生重大影响的其他事项或中国证监会规定的其他事项。</w:t>
      </w:r>
    </w:p>
    <w:p w14:paraId="58B8E13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（八）澄清公告</w:t>
      </w:r>
    </w:p>
    <w:p w14:paraId="47A614FD" w14:textId="4E18244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在《基金合同》存续期限内，任何公共媒介中出现的或者在市场上流传的消息可能对基金份额价格产生误导性影响或者引起较大波动，以及可能损害基金份额持有人权益的，相关信息披露义务人知悉后应当立即对该消息进行公开澄清。</w:t>
      </w:r>
    </w:p>
    <w:p w14:paraId="4980055A"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（九）基金份额持有人大会决议</w:t>
      </w:r>
    </w:p>
    <w:p w14:paraId="4F5A26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基金份额持有人大会决定的事项，应当依法报中国证监会备案，并予以公告。</w:t>
      </w:r>
    </w:p>
    <w:p w14:paraId="5086261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（十）清算报告</w:t>
      </w:r>
    </w:p>
    <w:p w14:paraId="45715BDD" w14:textId="5F7B55AD"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基金终止</w:t>
      </w:r>
      <w:r w:rsidR="003D23CA" w:rsidRPr="002544B9">
        <w:rPr>
          <w:rFonts w:hint="eastAsia"/>
          <w:bCs/>
          <w:sz w:val="24"/>
        </w:rPr>
        <w:t>运作</w:t>
      </w:r>
      <w:r w:rsidRPr="002544B9">
        <w:rPr>
          <w:rFonts w:hint="eastAsia"/>
          <w:bCs/>
          <w:sz w:val="24"/>
        </w:rPr>
        <w:t>的，基金管理人应当依法组织基金财产清算小组对基金财产进行清算并</w:t>
      </w:r>
      <w:proofErr w:type="gramStart"/>
      <w:r w:rsidRPr="002544B9">
        <w:rPr>
          <w:rFonts w:hint="eastAsia"/>
          <w:bCs/>
          <w:sz w:val="24"/>
        </w:rPr>
        <w:t>作出</w:t>
      </w:r>
      <w:proofErr w:type="gramEnd"/>
      <w:r w:rsidRPr="002544B9">
        <w:rPr>
          <w:rFonts w:hint="eastAsia"/>
          <w:bCs/>
          <w:sz w:val="24"/>
        </w:rPr>
        <w:t>清算报告。基金财产清算小组应当将清算报告登载在</w:t>
      </w:r>
      <w:r w:rsidR="003D23CA" w:rsidRPr="002544B9">
        <w:rPr>
          <w:rFonts w:hint="eastAsia"/>
          <w:bCs/>
          <w:sz w:val="24"/>
        </w:rPr>
        <w:t>规定</w:t>
      </w:r>
      <w:r w:rsidRPr="002544B9">
        <w:rPr>
          <w:rFonts w:hint="eastAsia"/>
          <w:bCs/>
          <w:sz w:val="24"/>
        </w:rPr>
        <w:t>网站上，并将清算报告提示性公告登载在</w:t>
      </w:r>
      <w:r w:rsidR="003D23CA" w:rsidRPr="002544B9">
        <w:rPr>
          <w:rFonts w:hint="eastAsia"/>
          <w:bCs/>
          <w:sz w:val="24"/>
        </w:rPr>
        <w:t>规定</w:t>
      </w:r>
      <w:r w:rsidRPr="002544B9">
        <w:rPr>
          <w:rFonts w:hint="eastAsia"/>
          <w:bCs/>
          <w:sz w:val="24"/>
        </w:rPr>
        <w:t>报刊上。</w:t>
      </w:r>
    </w:p>
    <w:p w14:paraId="02D96F1E" w14:textId="3F952DA0"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（十一）实施</w:t>
      </w:r>
      <w:proofErr w:type="gramStart"/>
      <w:r w:rsidRPr="002544B9">
        <w:rPr>
          <w:rFonts w:hint="eastAsia"/>
          <w:bCs/>
          <w:sz w:val="24"/>
        </w:rPr>
        <w:t>侧袋机制</w:t>
      </w:r>
      <w:proofErr w:type="gramEnd"/>
      <w:r w:rsidRPr="002544B9">
        <w:rPr>
          <w:rFonts w:hint="eastAsia"/>
          <w:bCs/>
          <w:sz w:val="24"/>
        </w:rPr>
        <w:t>期间的信息披露</w:t>
      </w:r>
    </w:p>
    <w:p w14:paraId="2BB9233F" w14:textId="1C85D642" w:rsidR="00C25DD8" w:rsidRPr="002544B9" w:rsidRDefault="00C25DD8" w:rsidP="00C25DD8">
      <w:pPr>
        <w:autoSpaceDE w:val="0"/>
        <w:autoSpaceDN w:val="0"/>
        <w:spacing w:line="360" w:lineRule="auto"/>
        <w:ind w:firstLineChars="200" w:firstLine="480"/>
        <w:textAlignment w:val="bottom"/>
        <w:rPr>
          <w:bCs/>
          <w:sz w:val="24"/>
        </w:rPr>
      </w:pPr>
      <w:r w:rsidRPr="002544B9">
        <w:rPr>
          <w:rFonts w:hint="eastAsia"/>
          <w:bCs/>
          <w:sz w:val="24"/>
        </w:rPr>
        <w:t>本基金实施</w:t>
      </w:r>
      <w:proofErr w:type="gramStart"/>
      <w:r w:rsidRPr="002544B9">
        <w:rPr>
          <w:rFonts w:hint="eastAsia"/>
          <w:bCs/>
          <w:sz w:val="24"/>
        </w:rPr>
        <w:t>侧袋机制</w:t>
      </w:r>
      <w:proofErr w:type="gramEnd"/>
      <w:r w:rsidRPr="002544B9">
        <w:rPr>
          <w:rFonts w:hint="eastAsia"/>
          <w:bCs/>
          <w:sz w:val="24"/>
        </w:rPr>
        <w:t>的，相关信息披露义务人应当根据法律法规、基金合同和招募说明书的规定进行信息披露，详见招募说明书的规定。</w:t>
      </w:r>
    </w:p>
    <w:p w14:paraId="539C22DC" w14:textId="22A9C8E0"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（十二）基金投资股指期货的相关公告</w:t>
      </w:r>
    </w:p>
    <w:p w14:paraId="21DF729E" w14:textId="27F23D5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股指期货交易情况，包括投资政策、持仓情况、损益情况、风险指标等，并充分揭示股指期货交易对基金总体风险的影响以及是否符合既定的投资政策和投资目标。</w:t>
      </w:r>
    </w:p>
    <w:p w14:paraId="13292B20" w14:textId="69B2752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（十三）基金投资国债期货的相关公告</w:t>
      </w:r>
    </w:p>
    <w:p w14:paraId="143CEAA6" w14:textId="3DB4B412"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当在季度报告、中期报告、年度报告等定期报告和招募说明书（更新）等文件中披露国债期货交易情况，包括投资政策、持仓情况、损益情况、风险指标等，并充分揭示国债期货交易对本基金总体风险的影响以及是否符合既定的投资政策和投资目标。</w:t>
      </w:r>
    </w:p>
    <w:p w14:paraId="586CD9E6" w14:textId="5CD9E2E7"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（十四）基金投资股票期权的相关公告</w:t>
      </w:r>
    </w:p>
    <w:p w14:paraId="51B5E1D3" w14:textId="2DE29F78" w:rsidR="00C25DD8" w:rsidRPr="002544B9" w:rsidRDefault="00C25DD8" w:rsidP="00D55EDF">
      <w:pPr>
        <w:spacing w:line="360" w:lineRule="auto"/>
        <w:ind w:firstLineChars="200" w:firstLine="480"/>
        <w:rPr>
          <w:bCs/>
          <w:sz w:val="24"/>
        </w:rPr>
      </w:pPr>
      <w:r w:rsidRPr="002544B9">
        <w:rPr>
          <w:rFonts w:hint="eastAsia"/>
          <w:bCs/>
          <w:sz w:val="24"/>
        </w:rPr>
        <w:t>基金管理人应当在定期信息披露文件中披露参与股票期权交易的有关情况，包括投资政策、持仓情况、损益情况、风险指标、估值方法等，并充分揭示股票期权交易对基金总体风险的影响以及是否符合既定的投资政策和投资目标。</w:t>
      </w:r>
    </w:p>
    <w:p w14:paraId="6A0C997B" w14:textId="4A830792" w:rsidR="009419D5" w:rsidRPr="002544B9" w:rsidRDefault="009419D5" w:rsidP="00D55EDF">
      <w:pPr>
        <w:spacing w:line="360" w:lineRule="auto"/>
        <w:ind w:firstLineChars="200" w:firstLine="480"/>
        <w:rPr>
          <w:bCs/>
          <w:sz w:val="24"/>
        </w:rPr>
      </w:pPr>
      <w:r w:rsidRPr="002544B9">
        <w:rPr>
          <w:rFonts w:hint="eastAsia"/>
          <w:bCs/>
          <w:sz w:val="24"/>
        </w:rPr>
        <w:t>（十五）基金投资资产支持证券的信息披露</w:t>
      </w:r>
    </w:p>
    <w:p w14:paraId="00028E38" w14:textId="1399243E"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应在基金年报及中期报告中披露其持有的资产支持证券总额、资产支持证券市值占基金净资产的比例和报告期内所有的资产支持证券明细。基金管理人应在基金季度报告中披露其持有的资产支持证券总额、资产支持证券市值占基金净资产的比例和报告期末按市值占基金净资产比例大小排序的前</w:t>
      </w:r>
      <w:r w:rsidRPr="002544B9">
        <w:rPr>
          <w:bCs/>
          <w:sz w:val="24"/>
        </w:rPr>
        <w:t>10</w:t>
      </w:r>
      <w:r w:rsidRPr="002544B9">
        <w:rPr>
          <w:rFonts w:hint="eastAsia"/>
          <w:bCs/>
          <w:sz w:val="24"/>
        </w:rPr>
        <w:t>名资产支持证券明细。</w:t>
      </w:r>
    </w:p>
    <w:p w14:paraId="751017D7" w14:textId="4AA41AA8"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（十六）基金投资非公开发行股票的信息披露</w:t>
      </w:r>
    </w:p>
    <w:p w14:paraId="66E107F3" w14:textId="149F6BC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基金管理人在本基金投资非公开发行股票后两个交易日内，在中国证监会</w:t>
      </w:r>
      <w:r w:rsidR="00AF017B" w:rsidRPr="002544B9">
        <w:rPr>
          <w:rFonts w:hint="eastAsia"/>
          <w:bCs/>
          <w:sz w:val="24"/>
        </w:rPr>
        <w:t>规定媒介</w:t>
      </w:r>
      <w:r w:rsidRPr="002544B9">
        <w:rPr>
          <w:rFonts w:hint="eastAsia"/>
          <w:bCs/>
          <w:sz w:val="24"/>
        </w:rPr>
        <w:t>披露所投资非公开发行股票的名称、数量、总成本、账面价值，以及总成本和账面价值占基金资产净值的比例、锁定期等信息。</w:t>
      </w:r>
    </w:p>
    <w:p w14:paraId="42F5CB51" w14:textId="42899236" w:rsidR="009419D5" w:rsidRPr="002544B9" w:rsidRDefault="009419D5" w:rsidP="00F14E8B">
      <w:pPr>
        <w:autoSpaceDE w:val="0"/>
        <w:autoSpaceDN w:val="0"/>
        <w:spacing w:line="360" w:lineRule="auto"/>
        <w:ind w:firstLineChars="200" w:firstLine="480"/>
        <w:textAlignment w:val="bottom"/>
        <w:rPr>
          <w:bCs/>
          <w:sz w:val="24"/>
        </w:rPr>
      </w:pPr>
      <w:r w:rsidRPr="002544B9">
        <w:rPr>
          <w:rFonts w:hint="eastAsia"/>
          <w:bCs/>
          <w:sz w:val="24"/>
        </w:rPr>
        <w:t>（十七）中国证监会规定的其他信息。</w:t>
      </w:r>
    </w:p>
    <w:p w14:paraId="61FAD1D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六、信息披露事务管理</w:t>
      </w:r>
    </w:p>
    <w:p w14:paraId="6E4FFEE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基金管理人、基金托管人应当建立健全信息披露管理制度，指定专门部门及高级管理人员负责管理信息披露事务。</w:t>
      </w:r>
    </w:p>
    <w:p w14:paraId="0DF3357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基金信息披露义务人公开披露基金信息，应当符合中国证监会相关基金信息披露内容与格式准则等法规的规定。</w:t>
      </w:r>
    </w:p>
    <w:p w14:paraId="4657FE8F"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托管人应当按照相关法律法规、行政法规、中国证监会的规定和《基金合同》的约定，对基金管理人编制的基金资产净值、各类基金份额净值、基金份额申购赎回价格、基金定期报告、更新的招募说明书、基金产品资料概要、基金清算报告等公开披露的相关基金信息进行复核、审查，并向基金管理人进行书面或电子确认。</w:t>
      </w:r>
    </w:p>
    <w:p w14:paraId="38CDA158" w14:textId="0C450BCF"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基金管理人、基金托管人应当在</w:t>
      </w:r>
      <w:r w:rsidR="003D23CA" w:rsidRPr="002544B9">
        <w:rPr>
          <w:rFonts w:hint="eastAsia"/>
          <w:bCs/>
          <w:sz w:val="24"/>
        </w:rPr>
        <w:t>规定</w:t>
      </w:r>
      <w:r w:rsidRPr="002544B9">
        <w:rPr>
          <w:rFonts w:hint="eastAsia"/>
          <w:bCs/>
          <w:sz w:val="24"/>
        </w:rPr>
        <w:t>报刊中选择一家报刊披露本基金信息。基金管理人、基金托管人应当向中国证监会</w:t>
      </w:r>
      <w:r w:rsidR="00C25DD8" w:rsidRPr="002544B9">
        <w:rPr>
          <w:rFonts w:hint="eastAsia"/>
          <w:bCs/>
          <w:sz w:val="24"/>
        </w:rPr>
        <w:t>基金</w:t>
      </w:r>
      <w:r w:rsidRPr="002544B9">
        <w:rPr>
          <w:rFonts w:hint="eastAsia"/>
          <w:bCs/>
          <w:sz w:val="24"/>
        </w:rPr>
        <w:t>电子披露网站报送拟披露的基金信息，并保证相关报送信息的真实、准确、完整、及时。</w:t>
      </w:r>
    </w:p>
    <w:p w14:paraId="43B38E4D" w14:textId="4A1A2916"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基金管理人、基金托管人除依法在</w:t>
      </w:r>
      <w:r w:rsidR="00AF017B" w:rsidRPr="002544B9">
        <w:rPr>
          <w:rFonts w:hint="eastAsia"/>
          <w:bCs/>
          <w:sz w:val="24"/>
        </w:rPr>
        <w:t>规定媒介</w:t>
      </w:r>
      <w:r w:rsidRPr="002544B9">
        <w:rPr>
          <w:rFonts w:hint="eastAsia"/>
          <w:bCs/>
          <w:sz w:val="24"/>
        </w:rPr>
        <w:t>上披露信息外，还可以根据需要在其他公共媒介披露信息，但是其他公共媒介不得早于</w:t>
      </w:r>
      <w:r w:rsidR="00AF017B" w:rsidRPr="002544B9">
        <w:rPr>
          <w:rFonts w:hint="eastAsia"/>
          <w:bCs/>
          <w:sz w:val="24"/>
        </w:rPr>
        <w:t>规定媒介</w:t>
      </w:r>
      <w:r w:rsidRPr="002544B9">
        <w:rPr>
          <w:rFonts w:hint="eastAsia"/>
          <w:bCs/>
          <w:sz w:val="24"/>
        </w:rPr>
        <w:t>披露信息，并且在不同媒介上披露同一信息的内容应当一致。</w:t>
      </w:r>
    </w:p>
    <w:p w14:paraId="5A66F7F0"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基金管理人、基金托管人除按法律法规要求披露信息外，也可着眼于为投资者决策提供有用信息的角度，在保证公平对待投资者、</w:t>
      </w:r>
      <w:proofErr w:type="gramStart"/>
      <w:r w:rsidRPr="002544B9">
        <w:rPr>
          <w:rFonts w:hint="eastAsia"/>
          <w:bCs/>
          <w:sz w:val="24"/>
        </w:rPr>
        <w:t>不</w:t>
      </w:r>
      <w:proofErr w:type="gramEnd"/>
      <w:r w:rsidRPr="002544B9">
        <w:rPr>
          <w:rFonts w:hint="eastAsia"/>
          <w:bCs/>
          <w:sz w:val="24"/>
        </w:rPr>
        <w:t>误导投资者、不影响基金正常投资操作的前提下，自主提升信息披露服务的质量。具体要求应当符合中国证监会及自律规则的相关规定。前述自主披露如产生信息披露费用，该费用不得从基金财产中列支。</w:t>
      </w:r>
    </w:p>
    <w:p w14:paraId="3B42957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为基金信息披露义务人公开披露的基金信息出具审计报告、法律意见书的专业机构，应当制作工作底稿，并将相关档案至少保存到《基金合同》终止后</w:t>
      </w:r>
      <w:r w:rsidRPr="002544B9">
        <w:rPr>
          <w:bCs/>
          <w:sz w:val="24"/>
        </w:rPr>
        <w:t>10</w:t>
      </w:r>
      <w:r w:rsidRPr="002544B9">
        <w:rPr>
          <w:rFonts w:hint="eastAsia"/>
          <w:bCs/>
          <w:sz w:val="24"/>
        </w:rPr>
        <w:t>年。</w:t>
      </w:r>
    </w:p>
    <w:p w14:paraId="046CE9EC"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七、信息披露文件的存放与查阅</w:t>
      </w:r>
    </w:p>
    <w:p w14:paraId="6156C797"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依法必须披露的信息发布后，基金管理人、基金托管人应当按照相关法律法规规定将信息置备于公司住所，供社会公众查阅、复制。</w:t>
      </w:r>
    </w:p>
    <w:p w14:paraId="5933E949"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八、暂停或延迟信息披露的情形</w:t>
      </w:r>
    </w:p>
    <w:p w14:paraId="378971E8" w14:textId="77777777" w:rsidR="00F14E8B" w:rsidRPr="002544B9" w:rsidRDefault="00F14E8B" w:rsidP="00F14E8B">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、不可抗力；</w:t>
      </w:r>
    </w:p>
    <w:p w14:paraId="5B553DE0" w14:textId="6ADC4778" w:rsidR="00C25DD8" w:rsidRPr="002544B9" w:rsidRDefault="00C25DD8" w:rsidP="00D55EDF">
      <w:pPr>
        <w:spacing w:line="360" w:lineRule="auto"/>
        <w:ind w:firstLineChars="200" w:firstLine="480"/>
        <w:rPr>
          <w:bCs/>
          <w:sz w:val="24"/>
        </w:rPr>
      </w:pPr>
      <w:r w:rsidRPr="002544B9">
        <w:rPr>
          <w:bCs/>
          <w:sz w:val="24"/>
        </w:rPr>
        <w:t>2</w:t>
      </w:r>
      <w:r w:rsidRPr="002544B9">
        <w:rPr>
          <w:rFonts w:hint="eastAsia"/>
          <w:bCs/>
          <w:sz w:val="24"/>
        </w:rPr>
        <w:t>、发生暂停估值的情形；</w:t>
      </w:r>
    </w:p>
    <w:p w14:paraId="2EE3A9B3" w14:textId="68A71133" w:rsidR="00F14E8B" w:rsidRPr="002544B9" w:rsidRDefault="00C25DD8" w:rsidP="00F14E8B">
      <w:pPr>
        <w:autoSpaceDE w:val="0"/>
        <w:autoSpaceDN w:val="0"/>
        <w:spacing w:line="360" w:lineRule="auto"/>
        <w:ind w:firstLineChars="200" w:firstLine="480"/>
        <w:textAlignment w:val="bottom"/>
        <w:rPr>
          <w:bCs/>
          <w:sz w:val="24"/>
        </w:rPr>
      </w:pPr>
      <w:r w:rsidRPr="002544B9">
        <w:rPr>
          <w:bCs/>
          <w:sz w:val="24"/>
        </w:rPr>
        <w:t>3</w:t>
      </w:r>
      <w:r w:rsidR="00F14E8B" w:rsidRPr="002544B9">
        <w:rPr>
          <w:rFonts w:hint="eastAsia"/>
          <w:bCs/>
          <w:sz w:val="24"/>
        </w:rPr>
        <w:t>、法律法规、中国证监会规定或基金合同认定的其他情形。</w:t>
      </w:r>
    </w:p>
    <w:p w14:paraId="16831092" w14:textId="6EF1F863" w:rsidR="00F14E8B" w:rsidRPr="002544B9" w:rsidRDefault="00F14E8B" w:rsidP="00F14E8B">
      <w:pPr>
        <w:autoSpaceDE w:val="0"/>
        <w:autoSpaceDN w:val="0"/>
        <w:spacing w:line="360" w:lineRule="auto"/>
        <w:ind w:firstLineChars="200" w:firstLine="480"/>
        <w:textAlignment w:val="bottom"/>
        <w:rPr>
          <w:bCs/>
          <w:sz w:val="24"/>
        </w:rPr>
      </w:pPr>
      <w:r w:rsidRPr="002544B9">
        <w:rPr>
          <w:rFonts w:hint="eastAsia"/>
          <w:bCs/>
          <w:sz w:val="24"/>
        </w:rPr>
        <w:t>九、本基金信息披露事项以法律法规规定及本章节约定的内容为准。</w:t>
      </w:r>
    </w:p>
    <w:p w14:paraId="3D1F7B38" w14:textId="77777777" w:rsidR="00F14E8B" w:rsidRPr="002544B9" w:rsidRDefault="00F14E8B">
      <w:pPr>
        <w:autoSpaceDE w:val="0"/>
        <w:autoSpaceDN w:val="0"/>
        <w:spacing w:line="360" w:lineRule="auto"/>
        <w:ind w:firstLineChars="200" w:firstLine="480"/>
        <w:textAlignment w:val="bottom"/>
        <w:rPr>
          <w:bCs/>
          <w:sz w:val="24"/>
        </w:rPr>
      </w:pPr>
    </w:p>
    <w:p w14:paraId="377603CE" w14:textId="77777777" w:rsidR="00C25DD8" w:rsidRPr="002544B9" w:rsidRDefault="00F14E8B" w:rsidP="00C25DD8">
      <w:pPr>
        <w:pStyle w:val="1"/>
        <w:spacing w:before="240" w:after="240"/>
        <w:jc w:val="center"/>
        <w:rPr>
          <w:rFonts w:cs="Arial"/>
          <w:b w:val="0"/>
          <w:sz w:val="30"/>
          <w:szCs w:val="30"/>
        </w:rPr>
      </w:pPr>
      <w:r w:rsidRPr="002544B9">
        <w:rPr>
          <w:bCs/>
        </w:rPr>
        <w:br w:type="page"/>
      </w:r>
      <w:bookmarkStart w:id="329" w:name="_Toc63866832"/>
      <w:bookmarkStart w:id="330" w:name="_Toc16224"/>
      <w:bookmarkStart w:id="331" w:name="_Toc49433828"/>
      <w:bookmarkStart w:id="332" w:name="_Toc68266303"/>
      <w:bookmarkStart w:id="333" w:name="_Toc104205527"/>
      <w:r w:rsidR="00C25DD8" w:rsidRPr="002544B9">
        <w:rPr>
          <w:rFonts w:cs="Arial" w:hint="eastAsia"/>
          <w:sz w:val="30"/>
          <w:szCs w:val="30"/>
        </w:rPr>
        <w:t xml:space="preserve">第十六部分 </w:t>
      </w:r>
      <w:proofErr w:type="gramStart"/>
      <w:r w:rsidR="00C25DD8" w:rsidRPr="002544B9">
        <w:rPr>
          <w:rFonts w:cs="Arial" w:hint="eastAsia"/>
          <w:sz w:val="30"/>
          <w:szCs w:val="30"/>
        </w:rPr>
        <w:t>侧袋机制</w:t>
      </w:r>
      <w:bookmarkEnd w:id="329"/>
      <w:bookmarkEnd w:id="330"/>
      <w:bookmarkEnd w:id="331"/>
      <w:bookmarkEnd w:id="332"/>
      <w:bookmarkEnd w:id="333"/>
      <w:proofErr w:type="gramEnd"/>
    </w:p>
    <w:p w14:paraId="5208268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一、</w:t>
      </w:r>
      <w:proofErr w:type="gramStart"/>
      <w:r w:rsidRPr="002544B9">
        <w:rPr>
          <w:rFonts w:cs="Arial" w:hint="eastAsia"/>
          <w:color w:val="000000"/>
          <w:sz w:val="24"/>
        </w:rPr>
        <w:t>侧袋机制</w:t>
      </w:r>
      <w:proofErr w:type="gramEnd"/>
      <w:r w:rsidRPr="002544B9">
        <w:rPr>
          <w:rFonts w:cs="Arial" w:hint="eastAsia"/>
          <w:color w:val="000000"/>
          <w:sz w:val="24"/>
        </w:rPr>
        <w:t>的实施条件</w:t>
      </w:r>
    </w:p>
    <w:p w14:paraId="1DB9F656"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cs="Arial" w:hint="eastAsia"/>
          <w:color w:val="000000"/>
          <w:sz w:val="24"/>
        </w:rPr>
        <w:t>启用侧袋机制</w:t>
      </w:r>
      <w:proofErr w:type="gramEnd"/>
      <w:r w:rsidRPr="002544B9">
        <w:rPr>
          <w:rFonts w:cs="Arial" w:hint="eastAsia"/>
          <w:color w:val="000000"/>
          <w:sz w:val="24"/>
        </w:rPr>
        <w:t>，无需召开基金份额持有人大会审议。</w:t>
      </w:r>
    </w:p>
    <w:p w14:paraId="022C020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基金管理人应当在启用</w:t>
      </w:r>
      <w:proofErr w:type="gramStart"/>
      <w:r w:rsidRPr="002544B9">
        <w:rPr>
          <w:rFonts w:cs="Arial" w:hint="eastAsia"/>
          <w:color w:val="000000"/>
          <w:sz w:val="24"/>
        </w:rPr>
        <w:t>侧袋机制</w:t>
      </w:r>
      <w:proofErr w:type="gramEnd"/>
      <w:r w:rsidRPr="002544B9">
        <w:rPr>
          <w:rFonts w:cs="Arial" w:hint="eastAsia"/>
          <w:color w:val="000000"/>
          <w:sz w:val="24"/>
        </w:rPr>
        <w:t>后及时发布临时公告，并及时聘请</w:t>
      </w:r>
      <w:proofErr w:type="gramStart"/>
      <w:r w:rsidRPr="002544B9">
        <w:rPr>
          <w:rFonts w:cs="Arial" w:hint="eastAsia"/>
          <w:color w:val="000000"/>
          <w:sz w:val="24"/>
        </w:rPr>
        <w:t>侧袋机制</w:t>
      </w:r>
      <w:proofErr w:type="gramEnd"/>
      <w:r w:rsidRPr="002544B9">
        <w:rPr>
          <w:rFonts w:cs="Arial" w:hint="eastAsia"/>
          <w:color w:val="000000"/>
          <w:sz w:val="24"/>
        </w:rPr>
        <w:t>启用日发表意见且符合《中华人民共和国证券法》规定的会计师事务所进行审计并披露专项审计意见。</w:t>
      </w:r>
    </w:p>
    <w:p w14:paraId="6D57B17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二、实施</w:t>
      </w:r>
      <w:proofErr w:type="gramStart"/>
      <w:r w:rsidRPr="002544B9">
        <w:rPr>
          <w:rFonts w:cs="Arial" w:hint="eastAsia"/>
          <w:color w:val="000000"/>
          <w:sz w:val="24"/>
        </w:rPr>
        <w:t>侧袋机制</w:t>
      </w:r>
      <w:proofErr w:type="gramEnd"/>
      <w:r w:rsidRPr="002544B9">
        <w:rPr>
          <w:rFonts w:cs="Arial" w:hint="eastAsia"/>
          <w:color w:val="000000"/>
          <w:sz w:val="24"/>
        </w:rPr>
        <w:t>期间基金份额的申购与赎回</w:t>
      </w:r>
    </w:p>
    <w:p w14:paraId="584129E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、启用</w:t>
      </w:r>
      <w:proofErr w:type="gramStart"/>
      <w:r w:rsidRPr="002544B9">
        <w:rPr>
          <w:rFonts w:cs="Arial" w:hint="eastAsia"/>
          <w:color w:val="000000"/>
          <w:sz w:val="24"/>
        </w:rPr>
        <w:t>侧袋机制</w:t>
      </w:r>
      <w:proofErr w:type="gramEnd"/>
      <w:r w:rsidRPr="002544B9">
        <w:rPr>
          <w:rFonts w:cs="Arial" w:hint="eastAsia"/>
          <w:color w:val="000000"/>
          <w:sz w:val="24"/>
        </w:rPr>
        <w:t>当日，基金登记机构以基金份额持有人的原有账户份额为基础，确认</w:t>
      </w:r>
      <w:proofErr w:type="gramStart"/>
      <w:r w:rsidRPr="002544B9">
        <w:rPr>
          <w:rFonts w:cs="Arial" w:hint="eastAsia"/>
          <w:color w:val="000000"/>
          <w:sz w:val="24"/>
        </w:rPr>
        <w:t>相应侧袋账户</w:t>
      </w:r>
      <w:proofErr w:type="gramEnd"/>
      <w:r w:rsidRPr="002544B9">
        <w:rPr>
          <w:rFonts w:cs="Arial" w:hint="eastAsia"/>
          <w:color w:val="000000"/>
          <w:sz w:val="24"/>
        </w:rPr>
        <w:t>基金份额持有人名册和份额；当日收到的申购申请，按照启用</w:t>
      </w:r>
      <w:proofErr w:type="gramStart"/>
      <w:r w:rsidRPr="002544B9">
        <w:rPr>
          <w:rFonts w:cs="Arial" w:hint="eastAsia"/>
          <w:color w:val="000000"/>
          <w:sz w:val="24"/>
        </w:rPr>
        <w:t>侧袋机制</w:t>
      </w:r>
      <w:proofErr w:type="gramEnd"/>
      <w:r w:rsidRPr="002544B9">
        <w:rPr>
          <w:rFonts w:cs="Arial" w:hint="eastAsia"/>
          <w:color w:val="000000"/>
          <w:sz w:val="24"/>
        </w:rPr>
        <w:t>后</w:t>
      </w:r>
      <w:proofErr w:type="gramStart"/>
      <w:r w:rsidRPr="002544B9">
        <w:rPr>
          <w:rFonts w:cs="Arial" w:hint="eastAsia"/>
          <w:color w:val="000000"/>
          <w:sz w:val="24"/>
        </w:rPr>
        <w:t>的主袋账户</w:t>
      </w:r>
      <w:proofErr w:type="gramEnd"/>
      <w:r w:rsidRPr="002544B9">
        <w:rPr>
          <w:rFonts w:cs="Arial" w:hint="eastAsia"/>
          <w:color w:val="000000"/>
          <w:sz w:val="24"/>
        </w:rPr>
        <w:t>份额办理；当日收到的赎回申请，仅</w:t>
      </w:r>
      <w:proofErr w:type="gramStart"/>
      <w:r w:rsidRPr="002544B9">
        <w:rPr>
          <w:rFonts w:cs="Arial" w:hint="eastAsia"/>
          <w:color w:val="000000"/>
          <w:sz w:val="24"/>
        </w:rPr>
        <w:t>办理主袋账户</w:t>
      </w:r>
      <w:proofErr w:type="gramEnd"/>
      <w:r w:rsidRPr="002544B9">
        <w:rPr>
          <w:rFonts w:cs="Arial" w:hint="eastAsia"/>
          <w:color w:val="000000"/>
          <w:sz w:val="24"/>
        </w:rPr>
        <w:t>的赎回申请并支付赎回款项。</w:t>
      </w:r>
    </w:p>
    <w:p w14:paraId="56F09E4A"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、实施</w:t>
      </w:r>
      <w:proofErr w:type="gramStart"/>
      <w:r w:rsidRPr="002544B9">
        <w:rPr>
          <w:rFonts w:cs="Arial" w:hint="eastAsia"/>
          <w:color w:val="000000"/>
          <w:sz w:val="24"/>
        </w:rPr>
        <w:t>侧袋机制</w:t>
      </w:r>
      <w:proofErr w:type="gramEnd"/>
      <w:r w:rsidRPr="002544B9">
        <w:rPr>
          <w:rFonts w:cs="Arial" w:hint="eastAsia"/>
          <w:color w:val="000000"/>
          <w:sz w:val="24"/>
        </w:rPr>
        <w:t>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份额实行独立管理，</w:t>
      </w:r>
      <w:proofErr w:type="gramStart"/>
      <w:r w:rsidRPr="002544B9">
        <w:rPr>
          <w:rFonts w:cs="Arial" w:hint="eastAsia"/>
          <w:color w:val="000000"/>
          <w:sz w:val="24"/>
        </w:rPr>
        <w:t>主袋账户</w:t>
      </w:r>
      <w:proofErr w:type="gramEnd"/>
      <w:r w:rsidRPr="002544B9">
        <w:rPr>
          <w:rFonts w:cs="Arial" w:hint="eastAsia"/>
          <w:color w:val="000000"/>
          <w:sz w:val="24"/>
        </w:rPr>
        <w:t>沿用</w:t>
      </w:r>
      <w:proofErr w:type="gramStart"/>
      <w:r w:rsidRPr="002544B9">
        <w:rPr>
          <w:rFonts w:cs="Arial" w:hint="eastAsia"/>
          <w:color w:val="000000"/>
          <w:sz w:val="24"/>
        </w:rPr>
        <w:t>原基金</w:t>
      </w:r>
      <w:proofErr w:type="gramEnd"/>
      <w:r w:rsidRPr="002544B9">
        <w:rPr>
          <w:rFonts w:cs="Arial" w:hint="eastAsia"/>
          <w:color w:val="000000"/>
          <w:sz w:val="24"/>
        </w:rPr>
        <w:t>代码，</w:t>
      </w:r>
      <w:proofErr w:type="gramStart"/>
      <w:r w:rsidRPr="002544B9">
        <w:rPr>
          <w:rFonts w:cs="Arial" w:hint="eastAsia"/>
          <w:color w:val="000000"/>
          <w:sz w:val="24"/>
        </w:rPr>
        <w:t>侧袋账户</w:t>
      </w:r>
      <w:proofErr w:type="gramEnd"/>
      <w:r w:rsidRPr="002544B9">
        <w:rPr>
          <w:rFonts w:cs="Arial" w:hint="eastAsia"/>
          <w:color w:val="000000"/>
          <w:sz w:val="24"/>
        </w:rPr>
        <w:t>使用独立的基金代码。基金管理人不</w:t>
      </w:r>
      <w:proofErr w:type="gramStart"/>
      <w:r w:rsidRPr="002544B9">
        <w:rPr>
          <w:rFonts w:cs="Arial" w:hint="eastAsia"/>
          <w:color w:val="000000"/>
          <w:sz w:val="24"/>
        </w:rPr>
        <w:t>办理侧袋账户</w:t>
      </w:r>
      <w:proofErr w:type="gramEnd"/>
      <w:r w:rsidRPr="002544B9">
        <w:rPr>
          <w:rFonts w:cs="Arial" w:hint="eastAsia"/>
          <w:color w:val="000000"/>
          <w:sz w:val="24"/>
        </w:rPr>
        <w:t>份额的申购、赎回和转换；同时，基金管理人按照基金合同和招募说明书的约定</w:t>
      </w:r>
      <w:proofErr w:type="gramStart"/>
      <w:r w:rsidRPr="002544B9">
        <w:rPr>
          <w:rFonts w:cs="Arial" w:hint="eastAsia"/>
          <w:color w:val="000000"/>
          <w:sz w:val="24"/>
        </w:rPr>
        <w:t>办理主袋账户</w:t>
      </w:r>
      <w:proofErr w:type="gramEnd"/>
      <w:r w:rsidRPr="002544B9">
        <w:rPr>
          <w:rFonts w:cs="Arial" w:hint="eastAsia"/>
          <w:color w:val="000000"/>
          <w:sz w:val="24"/>
        </w:rPr>
        <w:t>份额的赎回，并</w:t>
      </w:r>
      <w:proofErr w:type="gramStart"/>
      <w:r w:rsidRPr="002544B9">
        <w:rPr>
          <w:rFonts w:cs="Arial" w:hint="eastAsia"/>
          <w:color w:val="000000"/>
          <w:sz w:val="24"/>
        </w:rPr>
        <w:t>根据主袋账户</w:t>
      </w:r>
      <w:proofErr w:type="gramEnd"/>
      <w:r w:rsidRPr="002544B9">
        <w:rPr>
          <w:rFonts w:cs="Arial" w:hint="eastAsia"/>
          <w:color w:val="000000"/>
          <w:sz w:val="24"/>
        </w:rPr>
        <w:t>运作情况确定是否暂停申购，具体事项届时将由基金管理人在相关公告中规定。</w:t>
      </w:r>
    </w:p>
    <w:p w14:paraId="67F558E5"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、基金管理人应</w:t>
      </w:r>
      <w:proofErr w:type="gramStart"/>
      <w:r w:rsidRPr="002544B9">
        <w:rPr>
          <w:rFonts w:cs="Arial" w:hint="eastAsia"/>
          <w:color w:val="000000"/>
          <w:sz w:val="24"/>
        </w:rPr>
        <w:t>按照主袋账户</w:t>
      </w:r>
      <w:proofErr w:type="gramEnd"/>
      <w:r w:rsidRPr="002544B9">
        <w:rPr>
          <w:rFonts w:cs="Arial" w:hint="eastAsia"/>
          <w:color w:val="000000"/>
          <w:sz w:val="24"/>
        </w:rPr>
        <w:t>的份额净值</w:t>
      </w:r>
      <w:proofErr w:type="gramStart"/>
      <w:r w:rsidRPr="002544B9">
        <w:rPr>
          <w:rFonts w:cs="Arial" w:hint="eastAsia"/>
          <w:color w:val="000000"/>
          <w:sz w:val="24"/>
        </w:rPr>
        <w:t>办理主袋账户</w:t>
      </w:r>
      <w:proofErr w:type="gramEnd"/>
      <w:r w:rsidRPr="002544B9">
        <w:rPr>
          <w:rFonts w:cs="Arial" w:hint="eastAsia"/>
          <w:color w:val="000000"/>
          <w:sz w:val="24"/>
        </w:rPr>
        <w:t>份额的申购和赎回。本招募说明书“基金份额的申购与赎回”部分的申购、赎回规定</w:t>
      </w:r>
      <w:proofErr w:type="gramStart"/>
      <w:r w:rsidRPr="002544B9">
        <w:rPr>
          <w:rFonts w:cs="Arial" w:hint="eastAsia"/>
          <w:color w:val="000000"/>
          <w:sz w:val="24"/>
        </w:rPr>
        <w:t>适用于主袋账户</w:t>
      </w:r>
      <w:proofErr w:type="gramEnd"/>
      <w:r w:rsidRPr="002544B9">
        <w:rPr>
          <w:rFonts w:cs="Arial" w:hint="eastAsia"/>
          <w:color w:val="000000"/>
          <w:sz w:val="24"/>
        </w:rPr>
        <w:t>份额。巨额赎回按照单个开放</w:t>
      </w:r>
      <w:proofErr w:type="gramStart"/>
      <w:r w:rsidRPr="002544B9">
        <w:rPr>
          <w:rFonts w:cs="Arial" w:hint="eastAsia"/>
          <w:color w:val="000000"/>
          <w:sz w:val="24"/>
        </w:rPr>
        <w:t>日内主袋账户</w:t>
      </w:r>
      <w:proofErr w:type="gramEnd"/>
      <w:r w:rsidRPr="002544B9">
        <w:rPr>
          <w:rFonts w:cs="Arial" w:hint="eastAsia"/>
          <w:color w:val="000000"/>
          <w:sz w:val="24"/>
        </w:rPr>
        <w:t>份额净赎回申请超过前一开放日</w:t>
      </w:r>
      <w:proofErr w:type="gramStart"/>
      <w:r w:rsidRPr="002544B9">
        <w:rPr>
          <w:rFonts w:cs="Arial" w:hint="eastAsia"/>
          <w:color w:val="000000"/>
          <w:sz w:val="24"/>
        </w:rPr>
        <w:t>的主袋账户</w:t>
      </w:r>
      <w:proofErr w:type="gramEnd"/>
      <w:r w:rsidRPr="002544B9">
        <w:rPr>
          <w:rFonts w:cs="Arial" w:hint="eastAsia"/>
          <w:color w:val="000000"/>
          <w:sz w:val="24"/>
        </w:rPr>
        <w:t>总份额的</w:t>
      </w:r>
      <w:r w:rsidRPr="002544B9">
        <w:rPr>
          <w:rFonts w:cs="Arial"/>
          <w:color w:val="000000"/>
          <w:sz w:val="24"/>
        </w:rPr>
        <w:t>10%</w:t>
      </w:r>
      <w:r w:rsidRPr="002544B9">
        <w:rPr>
          <w:rFonts w:cs="Arial" w:hint="eastAsia"/>
          <w:color w:val="000000"/>
          <w:sz w:val="24"/>
        </w:rPr>
        <w:t>认定。</w:t>
      </w:r>
    </w:p>
    <w:p w14:paraId="4A60252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三、实施</w:t>
      </w:r>
      <w:proofErr w:type="gramStart"/>
      <w:r w:rsidRPr="002544B9">
        <w:rPr>
          <w:rFonts w:cs="Arial" w:hint="eastAsia"/>
          <w:color w:val="000000"/>
          <w:sz w:val="24"/>
        </w:rPr>
        <w:t>侧袋机制</w:t>
      </w:r>
      <w:proofErr w:type="gramEnd"/>
      <w:r w:rsidRPr="002544B9">
        <w:rPr>
          <w:rFonts w:cs="Arial" w:hint="eastAsia"/>
          <w:color w:val="000000"/>
          <w:sz w:val="24"/>
        </w:rPr>
        <w:t>期间的基金投资及业绩</w:t>
      </w:r>
    </w:p>
    <w:p w14:paraId="657D37F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实施期间，招募说明书“基金的投资”部分约定的投资组合比例、投资策略、组合限制、业绩比较基准、风险收益特征等约定仅</w:t>
      </w:r>
      <w:proofErr w:type="gramStart"/>
      <w:r w:rsidRPr="002544B9">
        <w:rPr>
          <w:rFonts w:cs="Arial" w:hint="eastAsia"/>
          <w:color w:val="000000"/>
          <w:sz w:val="24"/>
        </w:rPr>
        <w:t>适用于主袋账户</w:t>
      </w:r>
      <w:proofErr w:type="gramEnd"/>
      <w:r w:rsidRPr="002544B9">
        <w:rPr>
          <w:rFonts w:cs="Arial" w:hint="eastAsia"/>
          <w:color w:val="000000"/>
          <w:sz w:val="24"/>
        </w:rPr>
        <w:t>。基金管理人计算各项投资运作指标和基金业绩指标时仅需</w:t>
      </w:r>
      <w:proofErr w:type="gramStart"/>
      <w:r w:rsidRPr="002544B9">
        <w:rPr>
          <w:rFonts w:cs="Arial" w:hint="eastAsia"/>
          <w:color w:val="000000"/>
          <w:sz w:val="24"/>
        </w:rPr>
        <w:t>考虑主袋账户</w:t>
      </w:r>
      <w:proofErr w:type="gramEnd"/>
      <w:r w:rsidRPr="002544B9">
        <w:rPr>
          <w:rFonts w:cs="Arial" w:hint="eastAsia"/>
          <w:color w:val="000000"/>
          <w:sz w:val="24"/>
        </w:rPr>
        <w:t>资产。</w:t>
      </w:r>
    </w:p>
    <w:p w14:paraId="0FD88B1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基金管理人原则上应当在</w:t>
      </w:r>
      <w:proofErr w:type="gramStart"/>
      <w:r w:rsidRPr="002544B9">
        <w:rPr>
          <w:rFonts w:cs="Arial" w:hint="eastAsia"/>
          <w:color w:val="000000"/>
          <w:sz w:val="24"/>
        </w:rPr>
        <w:t>侧袋机制</w:t>
      </w:r>
      <w:proofErr w:type="gramEnd"/>
      <w:r w:rsidRPr="002544B9">
        <w:rPr>
          <w:rFonts w:cs="Arial" w:hint="eastAsia"/>
          <w:color w:val="000000"/>
          <w:sz w:val="24"/>
        </w:rPr>
        <w:t>启用后</w:t>
      </w:r>
      <w:r w:rsidRPr="002544B9">
        <w:rPr>
          <w:rFonts w:cs="Arial"/>
          <w:color w:val="000000"/>
          <w:sz w:val="24"/>
        </w:rPr>
        <w:t>20</w:t>
      </w:r>
      <w:r w:rsidRPr="002544B9">
        <w:rPr>
          <w:rFonts w:cs="Arial" w:hint="eastAsia"/>
          <w:color w:val="000000"/>
          <w:sz w:val="24"/>
        </w:rPr>
        <w:t>个交易日内完成</w:t>
      </w:r>
      <w:proofErr w:type="gramStart"/>
      <w:r w:rsidRPr="002544B9">
        <w:rPr>
          <w:rFonts w:cs="Arial" w:hint="eastAsia"/>
          <w:color w:val="000000"/>
          <w:sz w:val="24"/>
        </w:rPr>
        <w:t>对主袋账户</w:t>
      </w:r>
      <w:proofErr w:type="gramEnd"/>
      <w:r w:rsidRPr="002544B9">
        <w:rPr>
          <w:rFonts w:cs="Arial" w:hint="eastAsia"/>
          <w:color w:val="000000"/>
          <w:sz w:val="24"/>
        </w:rPr>
        <w:t>投资组合的调整，因资产流动性受限等中国证监会规定的情形除外。</w:t>
      </w:r>
    </w:p>
    <w:p w14:paraId="015CF07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基金管理人不得</w:t>
      </w:r>
      <w:proofErr w:type="gramStart"/>
      <w:r w:rsidRPr="002544B9">
        <w:rPr>
          <w:rFonts w:cs="Arial" w:hint="eastAsia"/>
          <w:color w:val="000000"/>
          <w:sz w:val="24"/>
        </w:rPr>
        <w:t>在侧袋账户</w:t>
      </w:r>
      <w:proofErr w:type="gramEnd"/>
      <w:r w:rsidRPr="002544B9">
        <w:rPr>
          <w:rFonts w:cs="Arial" w:hint="eastAsia"/>
          <w:color w:val="000000"/>
          <w:sz w:val="24"/>
        </w:rPr>
        <w:t>中进行除特定资产处置变现以外的其他投资操作。</w:t>
      </w:r>
    </w:p>
    <w:p w14:paraId="6580AE8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实施期间，基金管理人、基金服务机构在计算基金业绩相关指标时仅</w:t>
      </w:r>
      <w:proofErr w:type="gramStart"/>
      <w:r w:rsidRPr="002544B9">
        <w:rPr>
          <w:rFonts w:cs="Arial" w:hint="eastAsia"/>
          <w:color w:val="000000"/>
          <w:sz w:val="24"/>
        </w:rPr>
        <w:t>考虑主袋账户</w:t>
      </w:r>
      <w:proofErr w:type="gramEnd"/>
      <w:r w:rsidRPr="002544B9">
        <w:rPr>
          <w:rFonts w:cs="Arial" w:hint="eastAsia"/>
          <w:color w:val="000000"/>
          <w:sz w:val="24"/>
        </w:rPr>
        <w:t>资产，</w:t>
      </w:r>
      <w:proofErr w:type="gramStart"/>
      <w:r w:rsidRPr="002544B9">
        <w:rPr>
          <w:rFonts w:cs="Arial" w:hint="eastAsia"/>
          <w:color w:val="000000"/>
          <w:sz w:val="24"/>
        </w:rPr>
        <w:t>分割侧袋账户</w:t>
      </w:r>
      <w:proofErr w:type="gramEnd"/>
      <w:r w:rsidRPr="002544B9">
        <w:rPr>
          <w:rFonts w:cs="Arial" w:hint="eastAsia"/>
          <w:color w:val="000000"/>
          <w:sz w:val="24"/>
        </w:rPr>
        <w:t>资产导致的基金净资产减少在计算基金业绩相关指标时按投资损失处理。基金管理人、基金服务机构在展示基金业绩时，应当就前述情况进行充分的解释说明，避免引起投资者误解。</w:t>
      </w:r>
    </w:p>
    <w:p w14:paraId="14B594C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四、实施</w:t>
      </w:r>
      <w:proofErr w:type="gramStart"/>
      <w:r w:rsidRPr="002544B9">
        <w:rPr>
          <w:rFonts w:cs="Arial" w:hint="eastAsia"/>
          <w:color w:val="000000"/>
          <w:sz w:val="24"/>
        </w:rPr>
        <w:t>侧袋机制</w:t>
      </w:r>
      <w:proofErr w:type="gramEnd"/>
      <w:r w:rsidRPr="002544B9">
        <w:rPr>
          <w:rFonts w:cs="Arial" w:hint="eastAsia"/>
          <w:color w:val="000000"/>
          <w:sz w:val="24"/>
        </w:rPr>
        <w:t>期间的基金估值与会计核算</w:t>
      </w:r>
    </w:p>
    <w:p w14:paraId="151A03D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的，基金管理人和基金托管人</w:t>
      </w:r>
      <w:proofErr w:type="gramStart"/>
      <w:r w:rsidRPr="002544B9">
        <w:rPr>
          <w:rFonts w:cs="Arial" w:hint="eastAsia"/>
          <w:color w:val="000000"/>
          <w:sz w:val="24"/>
        </w:rPr>
        <w:t>应对主袋账户</w:t>
      </w:r>
      <w:proofErr w:type="gramEnd"/>
      <w:r w:rsidRPr="002544B9">
        <w:rPr>
          <w:rFonts w:cs="Arial" w:hint="eastAsia"/>
          <w:color w:val="000000"/>
          <w:sz w:val="24"/>
        </w:rPr>
        <w:t>资产进行估值并</w:t>
      </w:r>
      <w:proofErr w:type="gramStart"/>
      <w:r w:rsidRPr="002544B9">
        <w:rPr>
          <w:rFonts w:cs="Arial" w:hint="eastAsia"/>
          <w:color w:val="000000"/>
          <w:sz w:val="24"/>
        </w:rPr>
        <w:t>披露主袋账户</w:t>
      </w:r>
      <w:proofErr w:type="gramEnd"/>
      <w:r w:rsidRPr="002544B9">
        <w:rPr>
          <w:rFonts w:cs="Arial" w:hint="eastAsia"/>
          <w:color w:val="000000"/>
          <w:sz w:val="24"/>
        </w:rPr>
        <w:t>的基金净值信息，暂停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roofErr w:type="gramStart"/>
      <w:r w:rsidRPr="002544B9">
        <w:rPr>
          <w:rFonts w:cs="Arial" w:hint="eastAsia"/>
          <w:color w:val="000000"/>
          <w:sz w:val="24"/>
        </w:rPr>
        <w:t>侧袋机制</w:t>
      </w:r>
      <w:proofErr w:type="gramEnd"/>
      <w:r w:rsidRPr="002544B9">
        <w:rPr>
          <w:rFonts w:cs="Arial" w:hint="eastAsia"/>
          <w:color w:val="000000"/>
          <w:sz w:val="24"/>
        </w:rPr>
        <w:t>实施期间，基金管理人</w:t>
      </w:r>
      <w:proofErr w:type="gramStart"/>
      <w:r w:rsidRPr="002544B9">
        <w:rPr>
          <w:rFonts w:cs="Arial" w:hint="eastAsia"/>
          <w:color w:val="000000"/>
          <w:sz w:val="24"/>
        </w:rPr>
        <w:t>应对侧袋账户</w:t>
      </w:r>
      <w:proofErr w:type="gramEnd"/>
      <w:r w:rsidRPr="002544B9">
        <w:rPr>
          <w:rFonts w:cs="Arial" w:hint="eastAsia"/>
          <w:color w:val="000000"/>
          <w:sz w:val="24"/>
        </w:rPr>
        <w:t>单独设置账套，实行独立核算。如果本基金同时存在</w:t>
      </w:r>
      <w:proofErr w:type="gramStart"/>
      <w:r w:rsidRPr="002544B9">
        <w:rPr>
          <w:rFonts w:cs="Arial" w:hint="eastAsia"/>
          <w:color w:val="000000"/>
          <w:sz w:val="24"/>
        </w:rPr>
        <w:t>多个侧袋账户</w:t>
      </w:r>
      <w:proofErr w:type="gramEnd"/>
      <w:r w:rsidRPr="002544B9">
        <w:rPr>
          <w:rFonts w:cs="Arial" w:hint="eastAsia"/>
          <w:color w:val="000000"/>
          <w:sz w:val="24"/>
        </w:rPr>
        <w:t>，</w:t>
      </w:r>
      <w:proofErr w:type="gramStart"/>
      <w:r w:rsidRPr="002544B9">
        <w:rPr>
          <w:rFonts w:cs="Arial" w:hint="eastAsia"/>
          <w:color w:val="000000"/>
          <w:sz w:val="24"/>
        </w:rPr>
        <w:t>不同侧袋账户</w:t>
      </w:r>
      <w:proofErr w:type="gramEnd"/>
      <w:r w:rsidRPr="002544B9">
        <w:rPr>
          <w:rFonts w:cs="Arial" w:hint="eastAsia"/>
          <w:color w:val="000000"/>
          <w:sz w:val="24"/>
        </w:rPr>
        <w:t>应分开进行核算。</w:t>
      </w:r>
      <w:proofErr w:type="gramStart"/>
      <w:r w:rsidRPr="002544B9">
        <w:rPr>
          <w:rFonts w:cs="Arial" w:hint="eastAsia"/>
          <w:color w:val="000000"/>
          <w:sz w:val="24"/>
        </w:rPr>
        <w:t>侧袋账户</w:t>
      </w:r>
      <w:proofErr w:type="gramEnd"/>
      <w:r w:rsidRPr="002544B9">
        <w:rPr>
          <w:rFonts w:cs="Arial" w:hint="eastAsia"/>
          <w:color w:val="000000"/>
          <w:sz w:val="24"/>
        </w:rPr>
        <w:t>的会计核算应符合《企业会计准则》的相关要求。</w:t>
      </w:r>
    </w:p>
    <w:p w14:paraId="22113B2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五、实施</w:t>
      </w:r>
      <w:proofErr w:type="gramStart"/>
      <w:r w:rsidRPr="002544B9">
        <w:rPr>
          <w:rFonts w:cs="Arial" w:hint="eastAsia"/>
          <w:color w:val="000000"/>
          <w:sz w:val="24"/>
        </w:rPr>
        <w:t>侧袋机制</w:t>
      </w:r>
      <w:proofErr w:type="gramEnd"/>
      <w:r w:rsidRPr="002544B9">
        <w:rPr>
          <w:rFonts w:cs="Arial" w:hint="eastAsia"/>
          <w:color w:val="000000"/>
          <w:sz w:val="24"/>
        </w:rPr>
        <w:t>期间的基金费用</w:t>
      </w:r>
    </w:p>
    <w:p w14:paraId="0A15F81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本基金实施</w:t>
      </w:r>
      <w:proofErr w:type="gramStart"/>
      <w:r w:rsidRPr="002544B9">
        <w:rPr>
          <w:rFonts w:cs="Arial" w:hint="eastAsia"/>
          <w:color w:val="000000"/>
          <w:sz w:val="24"/>
        </w:rPr>
        <w:t>侧袋机制</w:t>
      </w:r>
      <w:proofErr w:type="gramEnd"/>
      <w:r w:rsidRPr="002544B9">
        <w:rPr>
          <w:rFonts w:cs="Arial" w:hint="eastAsia"/>
          <w:color w:val="000000"/>
          <w:sz w:val="24"/>
        </w:rPr>
        <w:t>的，</w:t>
      </w:r>
      <w:proofErr w:type="gramStart"/>
      <w:r w:rsidRPr="002544B9">
        <w:rPr>
          <w:rFonts w:cs="Arial" w:hint="eastAsia"/>
          <w:color w:val="000000"/>
          <w:sz w:val="24"/>
        </w:rPr>
        <w:t>主袋账户</w:t>
      </w:r>
      <w:proofErr w:type="gramEnd"/>
      <w:r w:rsidRPr="002544B9">
        <w:rPr>
          <w:rFonts w:cs="Arial" w:hint="eastAsia"/>
          <w:color w:val="000000"/>
          <w:sz w:val="24"/>
        </w:rPr>
        <w:t>的管理费和托管费</w:t>
      </w:r>
      <w:proofErr w:type="gramStart"/>
      <w:r w:rsidRPr="002544B9">
        <w:rPr>
          <w:rFonts w:cs="Arial" w:hint="eastAsia"/>
          <w:color w:val="000000"/>
          <w:sz w:val="24"/>
        </w:rPr>
        <w:t>按主袋账户</w:t>
      </w:r>
      <w:proofErr w:type="gramEnd"/>
      <w:r w:rsidRPr="002544B9">
        <w:rPr>
          <w:rFonts w:cs="Arial" w:hint="eastAsia"/>
          <w:color w:val="000000"/>
          <w:sz w:val="24"/>
        </w:rPr>
        <w:t>基金资产净值作为基数计提；</w:t>
      </w:r>
      <w:proofErr w:type="gramStart"/>
      <w:r w:rsidRPr="002544B9">
        <w:rPr>
          <w:rFonts w:cs="Arial" w:hint="eastAsia"/>
          <w:color w:val="000000"/>
          <w:sz w:val="24"/>
        </w:rPr>
        <w:t>主袋账户</w:t>
      </w:r>
      <w:proofErr w:type="gramEnd"/>
      <w:r w:rsidRPr="002544B9">
        <w:rPr>
          <w:rFonts w:cs="Arial" w:hint="eastAsia"/>
          <w:color w:val="000000"/>
          <w:sz w:val="24"/>
        </w:rPr>
        <w:t>的</w:t>
      </w:r>
      <w:r w:rsidRPr="002544B9">
        <w:rPr>
          <w:rFonts w:cs="Arial"/>
          <w:color w:val="000000"/>
          <w:sz w:val="24"/>
        </w:rPr>
        <w:t>C</w:t>
      </w:r>
      <w:r w:rsidRPr="002544B9">
        <w:rPr>
          <w:rFonts w:cs="Arial" w:hint="eastAsia"/>
          <w:color w:val="000000"/>
          <w:sz w:val="24"/>
        </w:rPr>
        <w:t>类基金份额的销售服务费仍</w:t>
      </w:r>
      <w:proofErr w:type="gramStart"/>
      <w:r w:rsidRPr="002544B9">
        <w:rPr>
          <w:rFonts w:cs="Arial" w:hint="eastAsia"/>
          <w:color w:val="000000"/>
          <w:sz w:val="24"/>
        </w:rPr>
        <w:t>按主袋账户</w:t>
      </w:r>
      <w:proofErr w:type="gramEnd"/>
      <w:r w:rsidRPr="002544B9">
        <w:rPr>
          <w:rFonts w:cs="Arial"/>
          <w:color w:val="000000"/>
          <w:sz w:val="24"/>
        </w:rPr>
        <w:t>C</w:t>
      </w:r>
      <w:r w:rsidRPr="002544B9">
        <w:rPr>
          <w:rFonts w:cs="Arial" w:hint="eastAsia"/>
          <w:color w:val="000000"/>
          <w:sz w:val="24"/>
        </w:rPr>
        <w:t>类基金份额的基金资产净值作为基数计提。</w:t>
      </w:r>
      <w:proofErr w:type="gramStart"/>
      <w:r w:rsidRPr="002544B9">
        <w:rPr>
          <w:rFonts w:cs="Arial" w:hint="eastAsia"/>
          <w:color w:val="000000"/>
          <w:sz w:val="24"/>
        </w:rPr>
        <w:t>与侧袋账户</w:t>
      </w:r>
      <w:proofErr w:type="gramEnd"/>
      <w:r w:rsidRPr="002544B9">
        <w:rPr>
          <w:rFonts w:cs="Arial" w:hint="eastAsia"/>
          <w:color w:val="000000"/>
          <w:sz w:val="24"/>
        </w:rPr>
        <w:t>有关的费用可</w:t>
      </w:r>
      <w:proofErr w:type="gramStart"/>
      <w:r w:rsidRPr="002544B9">
        <w:rPr>
          <w:rFonts w:cs="Arial" w:hint="eastAsia"/>
          <w:color w:val="000000"/>
          <w:sz w:val="24"/>
        </w:rPr>
        <w:t>从侧袋账户</w:t>
      </w:r>
      <w:proofErr w:type="gramEnd"/>
      <w:r w:rsidRPr="002544B9">
        <w:rPr>
          <w:rFonts w:cs="Arial" w:hint="eastAsia"/>
          <w:color w:val="000000"/>
          <w:sz w:val="24"/>
        </w:rPr>
        <w:t>中列支，但应</w:t>
      </w:r>
      <w:proofErr w:type="gramStart"/>
      <w:r w:rsidRPr="002544B9">
        <w:rPr>
          <w:rFonts w:cs="Arial" w:hint="eastAsia"/>
          <w:color w:val="000000"/>
          <w:sz w:val="24"/>
        </w:rPr>
        <w:t>待侧袋</w:t>
      </w:r>
      <w:proofErr w:type="gramEnd"/>
      <w:r w:rsidRPr="002544B9">
        <w:rPr>
          <w:rFonts w:cs="Arial" w:hint="eastAsia"/>
          <w:color w:val="000000"/>
          <w:sz w:val="24"/>
        </w:rPr>
        <w:t>账户资产变现后方可列支，有关费用可酌情收取或减免，但不得收取管理费，其他费用详见相关公告的规定。因启用</w:t>
      </w:r>
      <w:proofErr w:type="gramStart"/>
      <w:r w:rsidRPr="002544B9">
        <w:rPr>
          <w:rFonts w:cs="Arial" w:hint="eastAsia"/>
          <w:color w:val="000000"/>
          <w:sz w:val="24"/>
        </w:rPr>
        <w:t>侧袋机制</w:t>
      </w:r>
      <w:proofErr w:type="gramEnd"/>
      <w:r w:rsidRPr="002544B9">
        <w:rPr>
          <w:rFonts w:cs="Arial" w:hint="eastAsia"/>
          <w:color w:val="000000"/>
          <w:sz w:val="24"/>
        </w:rPr>
        <w:t>产生的咨询、审计费用等由基金管理人承担。</w:t>
      </w:r>
    </w:p>
    <w:p w14:paraId="07DA7BE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六、</w:t>
      </w:r>
      <w:proofErr w:type="gramStart"/>
      <w:r w:rsidRPr="002544B9">
        <w:rPr>
          <w:rFonts w:cs="Arial" w:hint="eastAsia"/>
          <w:color w:val="000000"/>
          <w:sz w:val="24"/>
        </w:rPr>
        <w:t>侧袋账户</w:t>
      </w:r>
      <w:proofErr w:type="gramEnd"/>
      <w:r w:rsidRPr="002544B9">
        <w:rPr>
          <w:rFonts w:cs="Arial" w:hint="eastAsia"/>
          <w:color w:val="000000"/>
          <w:sz w:val="24"/>
        </w:rPr>
        <w:t>中特定资产的处置变现和支付</w:t>
      </w:r>
    </w:p>
    <w:p w14:paraId="63D0B4BF"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特定资产以可出售、可转让、恢复交易等方式恢复流动性后，基金管理人应当按照基金份额持有人利益最大化原则，采取将特定资产予以处置变现等方式，及时</w:t>
      </w:r>
      <w:proofErr w:type="gramStart"/>
      <w:r w:rsidRPr="002544B9">
        <w:rPr>
          <w:rFonts w:cs="Arial" w:hint="eastAsia"/>
          <w:color w:val="000000"/>
          <w:sz w:val="24"/>
        </w:rPr>
        <w:t>向侧袋账户</w:t>
      </w:r>
      <w:proofErr w:type="gramEnd"/>
      <w:r w:rsidRPr="002544B9">
        <w:rPr>
          <w:rFonts w:cs="Arial" w:hint="eastAsia"/>
          <w:color w:val="000000"/>
          <w:sz w:val="24"/>
        </w:rPr>
        <w:t>份额持有人支付对应变现款项。</w:t>
      </w:r>
    </w:p>
    <w:p w14:paraId="58B2DD1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w:t>
      </w:r>
      <w:proofErr w:type="gramStart"/>
      <w:r w:rsidRPr="002544B9">
        <w:rPr>
          <w:rFonts w:cs="Arial" w:hint="eastAsia"/>
          <w:color w:val="000000"/>
          <w:sz w:val="24"/>
        </w:rPr>
        <w:t>无论侧袋账户</w:t>
      </w:r>
      <w:proofErr w:type="gramEnd"/>
      <w:r w:rsidRPr="002544B9">
        <w:rPr>
          <w:rFonts w:cs="Arial" w:hint="eastAsia"/>
          <w:color w:val="000000"/>
          <w:sz w:val="24"/>
        </w:rPr>
        <w:t>资产是否全部完成变现，基金管理人都应当及时</w:t>
      </w:r>
      <w:proofErr w:type="gramStart"/>
      <w:r w:rsidRPr="002544B9">
        <w:rPr>
          <w:rFonts w:cs="Arial" w:hint="eastAsia"/>
          <w:color w:val="000000"/>
          <w:sz w:val="24"/>
        </w:rPr>
        <w:t>向侧袋账户</w:t>
      </w:r>
      <w:proofErr w:type="gramEnd"/>
      <w:r w:rsidRPr="002544B9">
        <w:rPr>
          <w:rFonts w:cs="Arial" w:hint="eastAsia"/>
          <w:color w:val="000000"/>
          <w:sz w:val="24"/>
        </w:rPr>
        <w:t>全部份额持有人支付已变现部分对应的款项。</w:t>
      </w:r>
      <w:proofErr w:type="gramStart"/>
      <w:r w:rsidRPr="002544B9">
        <w:rPr>
          <w:rFonts w:cs="Arial" w:hint="eastAsia"/>
          <w:color w:val="000000"/>
          <w:sz w:val="24"/>
        </w:rPr>
        <w:t>若侧袋</w:t>
      </w:r>
      <w:proofErr w:type="gramEnd"/>
      <w:r w:rsidRPr="002544B9">
        <w:rPr>
          <w:rFonts w:cs="Arial" w:hint="eastAsia"/>
          <w:color w:val="000000"/>
          <w:sz w:val="24"/>
        </w:rPr>
        <w:t>账户资产无法一次性完成处置变现，基金管理人在每次处置变现后均应按照相关法律法规要求及时发布临时公告。</w:t>
      </w:r>
    </w:p>
    <w:p w14:paraId="60D80C0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侧袋账户</w:t>
      </w:r>
      <w:proofErr w:type="gramEnd"/>
      <w:r w:rsidRPr="002544B9">
        <w:rPr>
          <w:rFonts w:cs="Arial" w:hint="eastAsia"/>
          <w:color w:val="000000"/>
          <w:sz w:val="24"/>
        </w:rPr>
        <w:t>资产全部完成变现并终止</w:t>
      </w:r>
      <w:proofErr w:type="gramStart"/>
      <w:r w:rsidRPr="002544B9">
        <w:rPr>
          <w:rFonts w:cs="Arial" w:hint="eastAsia"/>
          <w:color w:val="000000"/>
          <w:sz w:val="24"/>
        </w:rPr>
        <w:t>侧袋机制</w:t>
      </w:r>
      <w:proofErr w:type="gramEnd"/>
      <w:r w:rsidRPr="002544B9">
        <w:rPr>
          <w:rFonts w:cs="Arial" w:hint="eastAsia"/>
          <w:color w:val="000000"/>
          <w:sz w:val="24"/>
        </w:rPr>
        <w:t>后，基金管理人应及时聘请符合《中华人民共和国证券法》规定的会计师事务所进行审计并披露专项审计意见。</w:t>
      </w:r>
    </w:p>
    <w:p w14:paraId="5B513DA1"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侧袋账户</w:t>
      </w:r>
      <w:proofErr w:type="gramEnd"/>
      <w:r w:rsidRPr="002544B9">
        <w:rPr>
          <w:rFonts w:cs="Arial" w:hint="eastAsia"/>
          <w:color w:val="000000"/>
          <w:sz w:val="24"/>
        </w:rPr>
        <w:t>资产完全清算后，基金管理人应</w:t>
      </w:r>
      <w:proofErr w:type="gramStart"/>
      <w:r w:rsidRPr="002544B9">
        <w:rPr>
          <w:rFonts w:cs="Arial" w:hint="eastAsia"/>
          <w:color w:val="000000"/>
          <w:sz w:val="24"/>
        </w:rPr>
        <w:t>注销侧袋账户</w:t>
      </w:r>
      <w:proofErr w:type="gramEnd"/>
      <w:r w:rsidRPr="002544B9">
        <w:rPr>
          <w:rFonts w:cs="Arial" w:hint="eastAsia"/>
          <w:color w:val="000000"/>
          <w:sz w:val="24"/>
        </w:rPr>
        <w:t>。</w:t>
      </w:r>
    </w:p>
    <w:p w14:paraId="56B63D54"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七、</w:t>
      </w:r>
      <w:proofErr w:type="gramStart"/>
      <w:r w:rsidRPr="002544B9">
        <w:rPr>
          <w:rFonts w:cs="Arial" w:hint="eastAsia"/>
          <w:color w:val="000000"/>
          <w:sz w:val="24"/>
        </w:rPr>
        <w:t>侧袋机制</w:t>
      </w:r>
      <w:proofErr w:type="gramEnd"/>
      <w:r w:rsidRPr="002544B9">
        <w:rPr>
          <w:rFonts w:cs="Arial" w:hint="eastAsia"/>
          <w:color w:val="000000"/>
          <w:sz w:val="24"/>
        </w:rPr>
        <w:t>的信息披露</w:t>
      </w:r>
    </w:p>
    <w:p w14:paraId="285B9250"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1</w:t>
      </w:r>
      <w:r w:rsidRPr="002544B9">
        <w:rPr>
          <w:rFonts w:cs="Arial" w:hint="eastAsia"/>
          <w:color w:val="000000"/>
          <w:sz w:val="24"/>
        </w:rPr>
        <w:t>、临时公告</w:t>
      </w:r>
    </w:p>
    <w:p w14:paraId="5C08D5E3"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在</w:t>
      </w:r>
      <w:proofErr w:type="gramStart"/>
      <w:r w:rsidRPr="002544B9">
        <w:rPr>
          <w:rFonts w:cs="Arial" w:hint="eastAsia"/>
          <w:color w:val="000000"/>
          <w:sz w:val="24"/>
        </w:rPr>
        <w:t>启用侧袋机制</w:t>
      </w:r>
      <w:proofErr w:type="gramEnd"/>
      <w:r w:rsidRPr="002544B9">
        <w:rPr>
          <w:rFonts w:cs="Arial" w:hint="eastAsia"/>
          <w:color w:val="000000"/>
          <w:sz w:val="24"/>
        </w:rPr>
        <w:t>、处置特定资产、终止</w:t>
      </w:r>
      <w:proofErr w:type="gramStart"/>
      <w:r w:rsidRPr="002544B9">
        <w:rPr>
          <w:rFonts w:cs="Arial" w:hint="eastAsia"/>
          <w:color w:val="000000"/>
          <w:sz w:val="24"/>
        </w:rPr>
        <w:t>侧袋机制</w:t>
      </w:r>
      <w:proofErr w:type="gramEnd"/>
      <w:r w:rsidRPr="002544B9">
        <w:rPr>
          <w:rFonts w:cs="Arial" w:hint="eastAsia"/>
          <w:color w:val="000000"/>
          <w:sz w:val="24"/>
        </w:rPr>
        <w:t>以及发生其他可能对投资者利益产生重大影响的事项后基金管理人应及时发布临时公告。</w:t>
      </w:r>
    </w:p>
    <w:p w14:paraId="5A024299"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2</w:t>
      </w:r>
      <w:r w:rsidRPr="002544B9">
        <w:rPr>
          <w:rFonts w:cs="Arial" w:hint="eastAsia"/>
          <w:color w:val="000000"/>
          <w:sz w:val="24"/>
        </w:rPr>
        <w:t>、基金净值信息</w:t>
      </w:r>
    </w:p>
    <w:p w14:paraId="23C1DF52"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基金管理人应按照招募说明书“基金的信息披露”部分规定的基金净值信息披露方式和频率</w:t>
      </w:r>
      <w:proofErr w:type="gramStart"/>
      <w:r w:rsidRPr="002544B9">
        <w:rPr>
          <w:rFonts w:cs="Arial" w:hint="eastAsia"/>
          <w:color w:val="000000"/>
          <w:sz w:val="24"/>
        </w:rPr>
        <w:t>披露主袋账户</w:t>
      </w:r>
      <w:proofErr w:type="gramEnd"/>
      <w:r w:rsidRPr="002544B9">
        <w:rPr>
          <w:rFonts w:cs="Arial" w:hint="eastAsia"/>
          <w:color w:val="000000"/>
          <w:sz w:val="24"/>
        </w:rPr>
        <w:t>份额的基金份额净值和基金份额累计净值。实施</w:t>
      </w:r>
      <w:proofErr w:type="gramStart"/>
      <w:r w:rsidRPr="002544B9">
        <w:rPr>
          <w:rFonts w:cs="Arial" w:hint="eastAsia"/>
          <w:color w:val="000000"/>
          <w:sz w:val="24"/>
        </w:rPr>
        <w:t>侧袋机制</w:t>
      </w:r>
      <w:proofErr w:type="gramEnd"/>
      <w:r w:rsidRPr="002544B9">
        <w:rPr>
          <w:rFonts w:cs="Arial" w:hint="eastAsia"/>
          <w:color w:val="000000"/>
          <w:sz w:val="24"/>
        </w:rPr>
        <w:t>期间，本基金暂停</w:t>
      </w:r>
      <w:proofErr w:type="gramStart"/>
      <w:r w:rsidRPr="002544B9">
        <w:rPr>
          <w:rFonts w:cs="Arial" w:hint="eastAsia"/>
          <w:color w:val="000000"/>
          <w:sz w:val="24"/>
        </w:rPr>
        <w:t>披露侧袋账户</w:t>
      </w:r>
      <w:proofErr w:type="gramEnd"/>
      <w:r w:rsidRPr="002544B9">
        <w:rPr>
          <w:rFonts w:cs="Arial" w:hint="eastAsia"/>
          <w:color w:val="000000"/>
          <w:sz w:val="24"/>
        </w:rPr>
        <w:t>的基金净值信息。</w:t>
      </w:r>
    </w:p>
    <w:p w14:paraId="5FA10A4E"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r w:rsidRPr="002544B9">
        <w:rPr>
          <w:rFonts w:cs="Arial"/>
          <w:color w:val="000000"/>
          <w:sz w:val="24"/>
        </w:rPr>
        <w:t>3</w:t>
      </w:r>
      <w:r w:rsidRPr="002544B9">
        <w:rPr>
          <w:rFonts w:cs="Arial" w:hint="eastAsia"/>
          <w:color w:val="000000"/>
          <w:sz w:val="24"/>
        </w:rPr>
        <w:t>、定期报告</w:t>
      </w:r>
    </w:p>
    <w:p w14:paraId="4015310C" w14:textId="77777777" w:rsidR="006D3031" w:rsidRPr="002544B9" w:rsidRDefault="006D3031" w:rsidP="006D3031">
      <w:pPr>
        <w:autoSpaceDE w:val="0"/>
        <w:autoSpaceDN w:val="0"/>
        <w:adjustRightInd w:val="0"/>
        <w:spacing w:line="360" w:lineRule="auto"/>
        <w:ind w:firstLineChars="200" w:firstLine="480"/>
        <w:rPr>
          <w:rFonts w:cs="Arial"/>
          <w:color w:val="000000"/>
          <w:sz w:val="24"/>
        </w:rPr>
      </w:pPr>
      <w:proofErr w:type="gramStart"/>
      <w:r w:rsidRPr="002544B9">
        <w:rPr>
          <w:rFonts w:cs="Arial" w:hint="eastAsia"/>
          <w:color w:val="000000"/>
          <w:sz w:val="24"/>
        </w:rPr>
        <w:t>侧袋机制</w:t>
      </w:r>
      <w:proofErr w:type="gramEnd"/>
      <w:r w:rsidRPr="002544B9">
        <w:rPr>
          <w:rFonts w:cs="Arial" w:hint="eastAsia"/>
          <w:color w:val="000000"/>
          <w:sz w:val="24"/>
        </w:rPr>
        <w:t>实施期间，基金管理人应当在基金定期报告中披露报告期</w:t>
      </w:r>
      <w:proofErr w:type="gramStart"/>
      <w:r w:rsidRPr="002544B9">
        <w:rPr>
          <w:rFonts w:cs="Arial" w:hint="eastAsia"/>
          <w:color w:val="000000"/>
          <w:sz w:val="24"/>
        </w:rPr>
        <w:t>内侧袋</w:t>
      </w:r>
      <w:proofErr w:type="gramEnd"/>
      <w:r w:rsidRPr="002544B9">
        <w:rPr>
          <w:rFonts w:cs="Arial" w:hint="eastAsia"/>
          <w:color w:val="000000"/>
          <w:sz w:val="24"/>
        </w:rPr>
        <w:t>账户相关信息，基金定期报告中的基金会计报表仅需</w:t>
      </w:r>
      <w:proofErr w:type="gramStart"/>
      <w:r w:rsidRPr="002544B9">
        <w:rPr>
          <w:rFonts w:cs="Arial" w:hint="eastAsia"/>
          <w:color w:val="000000"/>
          <w:sz w:val="24"/>
        </w:rPr>
        <w:t>针对主袋账户</w:t>
      </w:r>
      <w:proofErr w:type="gramEnd"/>
      <w:r w:rsidRPr="002544B9">
        <w:rPr>
          <w:rFonts w:cs="Arial" w:hint="eastAsia"/>
          <w:color w:val="000000"/>
          <w:sz w:val="24"/>
        </w:rPr>
        <w:t>进行编制。</w:t>
      </w:r>
      <w:proofErr w:type="gramStart"/>
      <w:r w:rsidRPr="002544B9">
        <w:rPr>
          <w:rFonts w:cs="Arial" w:hint="eastAsia"/>
          <w:color w:val="000000"/>
          <w:sz w:val="24"/>
        </w:rPr>
        <w:t>侧袋账户</w:t>
      </w:r>
      <w:proofErr w:type="gramEnd"/>
      <w:r w:rsidRPr="002544B9">
        <w:rPr>
          <w:rFonts w:cs="Arial" w:hint="eastAsia"/>
          <w:color w:val="000000"/>
          <w:sz w:val="24"/>
        </w:rPr>
        <w:t>相关信息在定期报告中单独进行披露。会计师事务所对基金年度报告进行审计时，应对报告期内基金</w:t>
      </w:r>
      <w:proofErr w:type="gramStart"/>
      <w:r w:rsidRPr="002544B9">
        <w:rPr>
          <w:rFonts w:cs="Arial" w:hint="eastAsia"/>
          <w:color w:val="000000"/>
          <w:sz w:val="24"/>
        </w:rPr>
        <w:t>侧袋机制</w:t>
      </w:r>
      <w:proofErr w:type="gramEnd"/>
      <w:r w:rsidRPr="002544B9">
        <w:rPr>
          <w:rFonts w:cs="Arial" w:hint="eastAsia"/>
          <w:color w:val="000000"/>
          <w:sz w:val="24"/>
        </w:rPr>
        <w:t>运行相关的会计核算和年度报告披露，执行适当程序并发表审计意见。</w:t>
      </w:r>
    </w:p>
    <w:p w14:paraId="457CC2F0" w14:textId="12F3E396" w:rsidR="00C25DD8" w:rsidRPr="002544B9" w:rsidRDefault="006D3031">
      <w:pPr>
        <w:autoSpaceDE w:val="0"/>
        <w:autoSpaceDN w:val="0"/>
        <w:adjustRightInd w:val="0"/>
        <w:spacing w:line="360" w:lineRule="auto"/>
        <w:ind w:firstLineChars="200" w:firstLine="480"/>
        <w:rPr>
          <w:rFonts w:cs="Arial"/>
          <w:color w:val="000000"/>
          <w:sz w:val="24"/>
        </w:rPr>
      </w:pPr>
      <w:r w:rsidRPr="002544B9">
        <w:rPr>
          <w:rFonts w:cs="Arial" w:hint="eastAsia"/>
          <w:color w:val="000000"/>
          <w:sz w:val="24"/>
        </w:rPr>
        <w:t>八、本部</w:t>
      </w:r>
      <w:proofErr w:type="gramStart"/>
      <w:r w:rsidRPr="002544B9">
        <w:rPr>
          <w:rFonts w:cs="Arial" w:hint="eastAsia"/>
          <w:color w:val="000000"/>
          <w:sz w:val="24"/>
        </w:rPr>
        <w:t>分关于侧袋机制</w:t>
      </w:r>
      <w:proofErr w:type="gramEnd"/>
      <w:r w:rsidRPr="002544B9">
        <w:rPr>
          <w:rFonts w:cs="Arial" w:hint="eastAsia"/>
          <w:color w:val="000000"/>
          <w:sz w:val="24"/>
        </w:rPr>
        <w:t>的相关规定，凡是直接引用法律法规或监管规则的部分，如将来法律法规或监管规则修改导致相关内容被取消或变更的，或将来法律法规或监管规则针对</w:t>
      </w:r>
      <w:proofErr w:type="gramStart"/>
      <w:r w:rsidRPr="002544B9">
        <w:rPr>
          <w:rFonts w:cs="Arial" w:hint="eastAsia"/>
          <w:color w:val="000000"/>
          <w:sz w:val="24"/>
        </w:rPr>
        <w:t>侧袋机制</w:t>
      </w:r>
      <w:proofErr w:type="gramEnd"/>
      <w:r w:rsidRPr="002544B9">
        <w:rPr>
          <w:rFonts w:cs="Arial" w:hint="eastAsia"/>
          <w:color w:val="000000"/>
          <w:sz w:val="24"/>
        </w:rPr>
        <w:t>的内容有进一步规定的，基金管理人经与基金托管人协商一致并履行适当程序后，在对基金份额持有人利益无实质性不利影响的前提下，可直接对本部分内容进行修改和调整，无需召开基金份额持有人大会审议。</w:t>
      </w:r>
    </w:p>
    <w:p w14:paraId="4A1BAF2C" w14:textId="378579B9" w:rsidR="00C25DD8" w:rsidRPr="002544B9" w:rsidRDefault="00C25DD8" w:rsidP="00C25DD8">
      <w:pPr>
        <w:autoSpaceDE w:val="0"/>
        <w:autoSpaceDN w:val="0"/>
        <w:adjustRightInd w:val="0"/>
        <w:spacing w:line="360" w:lineRule="auto"/>
        <w:ind w:firstLineChars="200" w:firstLine="480"/>
        <w:rPr>
          <w:rFonts w:cs="Arial"/>
          <w:color w:val="000000"/>
          <w:sz w:val="24"/>
        </w:rPr>
        <w:sectPr w:rsidR="00C25DD8" w:rsidRPr="002544B9" w:rsidSect="007B2A9B">
          <w:footerReference w:type="default" r:id="rId24"/>
          <w:footerReference w:type="first" r:id="rId25"/>
          <w:pgSz w:w="11907" w:h="16840"/>
          <w:pgMar w:top="1440" w:right="1559" w:bottom="1440" w:left="1797" w:header="907" w:footer="964" w:gutter="0"/>
          <w:pgNumType w:chapStyle="1"/>
          <w:cols w:space="425"/>
          <w:docGrid w:type="lines" w:linePitch="312"/>
        </w:sectPr>
      </w:pPr>
    </w:p>
    <w:p w14:paraId="7BC6E670" w14:textId="68C1F268" w:rsidR="00F14E8B" w:rsidRPr="002544B9" w:rsidRDefault="00F14E8B">
      <w:pPr>
        <w:widowControl/>
        <w:jc w:val="left"/>
        <w:rPr>
          <w:bCs/>
          <w:sz w:val="24"/>
        </w:rPr>
      </w:pPr>
    </w:p>
    <w:p w14:paraId="5A226A96" w14:textId="6C4BB40E" w:rsidR="00AC3A9B" w:rsidRPr="002544B9" w:rsidRDefault="002C3C29">
      <w:pPr>
        <w:pStyle w:val="1"/>
        <w:jc w:val="center"/>
        <w:rPr>
          <w:sz w:val="30"/>
          <w:szCs w:val="30"/>
        </w:rPr>
      </w:pPr>
      <w:bookmarkStart w:id="334" w:name="_Toc21073398"/>
      <w:bookmarkStart w:id="335" w:name="_Toc263092324"/>
      <w:bookmarkStart w:id="336" w:name="_Toc214873605"/>
      <w:bookmarkStart w:id="337" w:name="_Toc147463125"/>
      <w:bookmarkStart w:id="338" w:name="_Toc12357178"/>
      <w:bookmarkStart w:id="339" w:name="_Toc416264552"/>
      <w:bookmarkStart w:id="340" w:name="_Toc68266304"/>
      <w:bookmarkStart w:id="341" w:name="_Toc104205528"/>
      <w:bookmarkStart w:id="342" w:name="_Toc92662708"/>
      <w:bookmarkStart w:id="343" w:name="_Toc93226150"/>
      <w:bookmarkStart w:id="344" w:name="_Toc128310500"/>
      <w:bookmarkStart w:id="345" w:name="_Toc21206"/>
      <w:bookmarkStart w:id="346" w:name="_Toc139991747"/>
      <w:bookmarkStart w:id="347" w:name="_Toc13255"/>
      <w:bookmarkStart w:id="348" w:name="_Toc141703897"/>
      <w:bookmarkStart w:id="349" w:name="_Toc17499"/>
      <w:bookmarkStart w:id="350" w:name="_Toc29695"/>
      <w:bookmarkStart w:id="351" w:name="_Toc23859"/>
      <w:bookmarkStart w:id="352" w:name="_Toc352229763"/>
      <w:bookmarkStart w:id="353" w:name="_Toc10894"/>
      <w:bookmarkStart w:id="354" w:name="_Toc18007"/>
      <w:bookmarkStart w:id="355" w:name="_Toc31736"/>
      <w:bookmarkStart w:id="356" w:name="_Toc28961"/>
      <w:bookmarkStart w:id="357" w:name="_Toc1043"/>
      <w:bookmarkStart w:id="358" w:name="_Toc18747"/>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r w:rsidRPr="002544B9">
        <w:rPr>
          <w:rFonts w:hint="eastAsia"/>
          <w:sz w:val="30"/>
          <w:szCs w:val="30"/>
        </w:rPr>
        <w:t>第十</w:t>
      </w:r>
      <w:r w:rsidR="00C25DD8" w:rsidRPr="002544B9">
        <w:rPr>
          <w:rFonts w:hint="eastAsia"/>
          <w:sz w:val="30"/>
          <w:szCs w:val="30"/>
        </w:rPr>
        <w:t>七</w:t>
      </w:r>
      <w:r w:rsidRPr="002544B9">
        <w:rPr>
          <w:rFonts w:hint="eastAsia"/>
          <w:sz w:val="30"/>
          <w:szCs w:val="30"/>
        </w:rPr>
        <w:t>部分</w:t>
      </w:r>
      <w:r w:rsidRPr="002544B9">
        <w:rPr>
          <w:sz w:val="30"/>
          <w:szCs w:val="30"/>
        </w:rPr>
        <w:t xml:space="preserve">  </w:t>
      </w:r>
      <w:r w:rsidRPr="002544B9">
        <w:rPr>
          <w:rFonts w:hint="eastAsia"/>
          <w:sz w:val="30"/>
          <w:szCs w:val="30"/>
        </w:rPr>
        <w:t>风险揭示</w:t>
      </w:r>
      <w:bookmarkEnd w:id="334"/>
      <w:bookmarkEnd w:id="335"/>
      <w:bookmarkEnd w:id="336"/>
      <w:bookmarkEnd w:id="337"/>
      <w:bookmarkEnd w:id="338"/>
      <w:bookmarkEnd w:id="339"/>
      <w:bookmarkEnd w:id="340"/>
      <w:bookmarkEnd w:id="341"/>
    </w:p>
    <w:p w14:paraId="755FE51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Times New Roman" w:hint="eastAsia"/>
          <w:sz w:val="24"/>
          <w:szCs w:val="24"/>
        </w:rPr>
        <w:t>一、投资于本基金的主要风险</w:t>
      </w:r>
    </w:p>
    <w:p w14:paraId="7AE49312"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、市场风险</w:t>
      </w:r>
    </w:p>
    <w:p w14:paraId="2DEB132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证券市场价格受到各种因素的影响，导致基金收益水平变化而产生风险，主要包括：</w:t>
      </w:r>
    </w:p>
    <w:p w14:paraId="2E4A6B2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）政策风险。因国家宏观政策（如货币政策、财政政策、行业政策、地区发展政策等）发生变化，导致市场价格波动而产生风险。</w:t>
      </w:r>
    </w:p>
    <w:p w14:paraId="77FD828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2</w:t>
      </w:r>
      <w:r w:rsidRPr="002544B9">
        <w:rPr>
          <w:rFonts w:asciiTheme="minorEastAsia" w:hAnsiTheme="minorEastAsia" w:cs="Arial" w:hint="eastAsia"/>
          <w:bCs/>
          <w:sz w:val="24"/>
          <w:szCs w:val="24"/>
        </w:rPr>
        <w:t>）经济周期风险。随着经济运行的周期性变化，证券市场的收益水平也呈周期性变化。本基金主要投资于债券，收益水平也会随之变化，从而产生风险。</w:t>
      </w:r>
    </w:p>
    <w:p w14:paraId="5386045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）利率风险。金融市场利率的波动会导致证券市场价格和收益率的变动。</w:t>
      </w:r>
    </w:p>
    <w:p w14:paraId="57620C9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4</w:t>
      </w:r>
      <w:r w:rsidRPr="002544B9">
        <w:rPr>
          <w:rFonts w:asciiTheme="minorEastAsia" w:hAnsiTheme="minorEastAsia" w:cs="Arial" w:hint="eastAsia"/>
          <w:bCs/>
          <w:sz w:val="24"/>
          <w:szCs w:val="24"/>
        </w:rPr>
        <w:t>）通货膨胀风险。如果发生通货膨胀，基金投资于证券所获得的收益可能会被通货膨胀抵消，从而影响基金资产的保值增值。</w:t>
      </w:r>
    </w:p>
    <w:p w14:paraId="678B096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5</w:t>
      </w:r>
      <w:r w:rsidRPr="002544B9">
        <w:rPr>
          <w:rFonts w:asciiTheme="minorEastAsia" w:hAnsiTheme="minorEastAsia" w:cs="Arial" w:hint="eastAsia"/>
          <w:bCs/>
          <w:sz w:val="24"/>
          <w:szCs w:val="24"/>
        </w:rPr>
        <w:t>）再投资风险。再投资风险反映了利率下降对固定收益证券利息收入再投资收益的影响，这与利率上升所带来的价格风险（即利率风险）互为消长。</w:t>
      </w:r>
    </w:p>
    <w:p w14:paraId="5BF38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、信用风险</w:t>
      </w:r>
    </w:p>
    <w:p w14:paraId="29288B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信用风险主要指债券、资产支持证券等信用证券发行主体信用状况恶化，导致信用评级下降甚至到期不能履行合约进行兑付的风险，另外，信用风险也包括证券交易对手因违约而产生的证券交割风险。</w:t>
      </w:r>
    </w:p>
    <w:p w14:paraId="136DCB01"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、流动性风险</w:t>
      </w:r>
    </w:p>
    <w:p w14:paraId="7611955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流动性风险是指因证券市场交易量不足，导致证券不能迅速、低成本地变现的风险。流动性风险还包括基金出现巨额赎回，致使没有足够的现金应付赎回支付所引致的风险。</w:t>
      </w:r>
    </w:p>
    <w:p w14:paraId="1B9A27D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1）拟投资市场、行业及资产的流动性风险评估</w:t>
      </w:r>
    </w:p>
    <w:p w14:paraId="03F7D7E6" w14:textId="4D99915E"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本基金的投资市场主要为证券交易所、全国银行间债券市场等流动性较好的规范型交易场所，主要投资对象为具有良好流动性的金融工具（包括国内依法发行上市的股票、</w:t>
      </w:r>
      <w:r w:rsidR="00810EF4" w:rsidRPr="002544B9">
        <w:rPr>
          <w:rFonts w:asciiTheme="minorEastAsia" w:hAnsiTheme="minorEastAsia" w:cs="Arial" w:hint="eastAsia"/>
          <w:bCs/>
          <w:sz w:val="24"/>
          <w:szCs w:val="24"/>
        </w:rPr>
        <w:t>存托凭证、</w:t>
      </w:r>
      <w:r w:rsidRPr="002544B9">
        <w:rPr>
          <w:rFonts w:asciiTheme="minorEastAsia" w:hAnsiTheme="minorEastAsia" w:cs="Arial" w:hint="eastAsia"/>
          <w:bCs/>
          <w:sz w:val="24"/>
          <w:szCs w:val="24"/>
        </w:rPr>
        <w:t>债券和货币市场工具等），同时本基金基于分散投资的原则在行业和个</w:t>
      </w:r>
      <w:proofErr w:type="gramStart"/>
      <w:r w:rsidRPr="002544B9">
        <w:rPr>
          <w:rFonts w:asciiTheme="minorEastAsia" w:hAnsiTheme="minorEastAsia" w:cs="Arial" w:hint="eastAsia"/>
          <w:bCs/>
          <w:sz w:val="24"/>
          <w:szCs w:val="24"/>
        </w:rPr>
        <w:t>券</w:t>
      </w:r>
      <w:proofErr w:type="gramEnd"/>
      <w:r w:rsidRPr="002544B9">
        <w:rPr>
          <w:rFonts w:asciiTheme="minorEastAsia" w:hAnsiTheme="minorEastAsia" w:cs="Arial" w:hint="eastAsia"/>
          <w:bCs/>
          <w:sz w:val="24"/>
          <w:szCs w:val="24"/>
        </w:rPr>
        <w:t>方面未有高集中度的特征，综合评估在正常市场环境下本基金的流动性风险适中。</w:t>
      </w:r>
    </w:p>
    <w:p w14:paraId="56225624"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 xml:space="preserve">2）巨额赎回情形下的流动性风险管理措施 </w:t>
      </w:r>
    </w:p>
    <w:p w14:paraId="7E4F76C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出现巨额赎回情形下，基金管理人可以根据基金当时的资产组合状况或巨额赎回份额占比情况决定全额赎回或部分延期赎回。同时，如本基金单个基金份额持有人在单个开放日申请赎回基金份额超过基金总份额一定比例以上的，基金管理人有权对其采取延期办理赎回申请或延缓支付赎回款项的措施。</w:t>
      </w:r>
    </w:p>
    <w:p w14:paraId="498C5FA6"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w:t>
      </w:r>
      <w:r w:rsidRPr="002544B9">
        <w:rPr>
          <w:rFonts w:asciiTheme="minorEastAsia" w:hAnsiTheme="minorEastAsia" w:cs="Arial"/>
          <w:bCs/>
          <w:sz w:val="24"/>
          <w:szCs w:val="24"/>
        </w:rPr>
        <w:t>3）实施备用的流动性风险管理工具的情形、程序及对投资者的潜在影响</w:t>
      </w:r>
    </w:p>
    <w:p w14:paraId="293E355A" w14:textId="6C707C9B"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市场大幅波动、流动性枯竭等极端情况下发生无法应对投资者巨额赎回的情形时，基金管理人将以保障投资者合法权益为前提，严格按照法律法规及基金合同的规定，谨慎选取延期办理巨额赎回申请、暂停接受赎回申请、延缓支付赎回款项、收取短期赎回费等流动性风险管理工具作为辅助措施。对于各类流动性风险管理工具的使用，基金管理人将依照严格审批、审慎决策的原则，及时有效地对风险进行监测和评估，使用前经过内部审批程序并与基金托管人协商一致。在实际运用各类流动性风险管理工具时，投资者的赎回申请、赎回款项支付等可能受到相应影响，基金管理人将严格依照法律法规及基金合同的约定进行操作，全面保障投资者的合法权益。</w:t>
      </w:r>
    </w:p>
    <w:p w14:paraId="0A13B4BD"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w:t>
      </w:r>
      <w:r w:rsidRPr="002544B9">
        <w:rPr>
          <w:rFonts w:ascii="宋体" w:hAnsi="宋体" w:cs="Arial"/>
          <w:kern w:val="0"/>
          <w:sz w:val="24"/>
          <w:szCs w:val="24"/>
        </w:rPr>
        <w:t>4）实施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对投资者的影响</w:t>
      </w:r>
    </w:p>
    <w:p w14:paraId="31097500"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是一种流动性风险管理工具，是将特定资产分离</w:t>
      </w:r>
      <w:proofErr w:type="gramStart"/>
      <w:r w:rsidRPr="002544B9">
        <w:rPr>
          <w:rFonts w:ascii="宋体" w:hAnsi="宋体" w:cs="Arial" w:hint="eastAsia"/>
          <w:kern w:val="0"/>
          <w:sz w:val="24"/>
          <w:szCs w:val="24"/>
        </w:rPr>
        <w:t>至专门的侧袋</w:t>
      </w:r>
      <w:proofErr w:type="gramEnd"/>
      <w:r w:rsidRPr="002544B9">
        <w:rPr>
          <w:rFonts w:ascii="宋体" w:hAnsi="宋体" w:cs="Arial" w:hint="eastAsia"/>
          <w:kern w:val="0"/>
          <w:sz w:val="24"/>
          <w:szCs w:val="24"/>
        </w:rPr>
        <w:t>账户进行处置清算，并以处置变现后的款项向基金份额持有人进行支付，目的在于有效隔离并化解风险，但基金启用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份额将停止披露基金份额净值，并不得办理申购、赎回和转换，</w:t>
      </w:r>
      <w:proofErr w:type="gramStart"/>
      <w:r w:rsidRPr="002544B9">
        <w:rPr>
          <w:rFonts w:ascii="宋体" w:hAnsi="宋体" w:cs="Arial" w:hint="eastAsia"/>
          <w:kern w:val="0"/>
          <w:sz w:val="24"/>
          <w:szCs w:val="24"/>
        </w:rPr>
        <w:t>仅主袋</w:t>
      </w:r>
      <w:proofErr w:type="gramEnd"/>
      <w:r w:rsidRPr="002544B9">
        <w:rPr>
          <w:rFonts w:ascii="宋体" w:hAnsi="宋体" w:cs="Arial" w:hint="eastAsia"/>
          <w:kern w:val="0"/>
          <w:sz w:val="24"/>
          <w:szCs w:val="24"/>
        </w:rPr>
        <w:t>账户份额按规定开放赎回，因此启用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时持有基金份额的持有人将在启用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后同时</w:t>
      </w:r>
      <w:proofErr w:type="gramStart"/>
      <w:r w:rsidRPr="002544B9">
        <w:rPr>
          <w:rFonts w:ascii="宋体" w:hAnsi="宋体" w:cs="Arial" w:hint="eastAsia"/>
          <w:kern w:val="0"/>
          <w:sz w:val="24"/>
          <w:szCs w:val="24"/>
        </w:rPr>
        <w:t>拥有主袋账户</w:t>
      </w:r>
      <w:proofErr w:type="gramEnd"/>
      <w:r w:rsidRPr="002544B9">
        <w:rPr>
          <w:rFonts w:ascii="宋体" w:hAnsi="宋体" w:cs="Arial" w:hint="eastAsia"/>
          <w:kern w:val="0"/>
          <w:sz w:val="24"/>
          <w:szCs w:val="24"/>
        </w:rPr>
        <w:t>份额和</w:t>
      </w:r>
      <w:proofErr w:type="gramStart"/>
      <w:r w:rsidRPr="002544B9">
        <w:rPr>
          <w:rFonts w:ascii="宋体" w:hAnsi="宋体" w:cs="Arial" w:hint="eastAsia"/>
          <w:kern w:val="0"/>
          <w:sz w:val="24"/>
          <w:szCs w:val="24"/>
        </w:rPr>
        <w:t>侧袋</w:t>
      </w:r>
      <w:proofErr w:type="gramEnd"/>
      <w:r w:rsidRPr="002544B9">
        <w:rPr>
          <w:rFonts w:ascii="宋体" w:hAnsi="宋体" w:cs="Arial" w:hint="eastAsia"/>
          <w:kern w:val="0"/>
          <w:sz w:val="24"/>
          <w:szCs w:val="24"/>
        </w:rPr>
        <w:t>账户份额，</w:t>
      </w:r>
      <w:proofErr w:type="gramStart"/>
      <w:r w:rsidRPr="002544B9">
        <w:rPr>
          <w:rFonts w:ascii="宋体" w:hAnsi="宋体" w:cs="Arial" w:hint="eastAsia"/>
          <w:kern w:val="0"/>
          <w:sz w:val="24"/>
          <w:szCs w:val="24"/>
        </w:rPr>
        <w:t>侧袋账户</w:t>
      </w:r>
      <w:proofErr w:type="gramEnd"/>
      <w:r w:rsidRPr="002544B9">
        <w:rPr>
          <w:rFonts w:ascii="宋体" w:hAnsi="宋体" w:cs="Arial" w:hint="eastAsia"/>
          <w:kern w:val="0"/>
          <w:sz w:val="24"/>
          <w:szCs w:val="24"/>
        </w:rPr>
        <w:t>份额不能赎回，其对应特定资产的变现时间具有不确定性，最终变现价格也具有不确定性并且有可能大幅低于启用</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时的特定资产的估值，基金份额持有人可能因此面临损失。</w:t>
      </w:r>
    </w:p>
    <w:p w14:paraId="52DA5FA2" w14:textId="77777777" w:rsidR="00353C23" w:rsidRPr="002544B9" w:rsidRDefault="00353C23" w:rsidP="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期间，基金管理人计算各项投资运作指标和基金业绩指标时</w:t>
      </w:r>
      <w:proofErr w:type="gramStart"/>
      <w:r w:rsidRPr="002544B9">
        <w:rPr>
          <w:rFonts w:ascii="宋体" w:hAnsi="宋体" w:cs="Arial" w:hint="eastAsia"/>
          <w:kern w:val="0"/>
          <w:sz w:val="24"/>
          <w:szCs w:val="24"/>
        </w:rPr>
        <w:t>以主袋账户</w:t>
      </w:r>
      <w:proofErr w:type="gramEnd"/>
      <w:r w:rsidRPr="002544B9">
        <w:rPr>
          <w:rFonts w:ascii="宋体" w:hAnsi="宋体" w:cs="Arial" w:hint="eastAsia"/>
          <w:kern w:val="0"/>
          <w:sz w:val="24"/>
          <w:szCs w:val="24"/>
        </w:rPr>
        <w:t>资产为基准，不</w:t>
      </w:r>
      <w:proofErr w:type="gramStart"/>
      <w:r w:rsidRPr="002544B9">
        <w:rPr>
          <w:rFonts w:ascii="宋体" w:hAnsi="宋体" w:cs="Arial" w:hint="eastAsia"/>
          <w:kern w:val="0"/>
          <w:sz w:val="24"/>
          <w:szCs w:val="24"/>
        </w:rPr>
        <w:t>反映侧袋账户</w:t>
      </w:r>
      <w:proofErr w:type="gramEnd"/>
      <w:r w:rsidRPr="002544B9">
        <w:rPr>
          <w:rFonts w:ascii="宋体" w:hAnsi="宋体" w:cs="Arial" w:hint="eastAsia"/>
          <w:kern w:val="0"/>
          <w:sz w:val="24"/>
          <w:szCs w:val="24"/>
        </w:rPr>
        <w:t>特定资产的真实价值及变化情况。本基金不</w:t>
      </w:r>
      <w:proofErr w:type="gramStart"/>
      <w:r w:rsidRPr="002544B9">
        <w:rPr>
          <w:rFonts w:ascii="宋体" w:hAnsi="宋体" w:cs="Arial" w:hint="eastAsia"/>
          <w:kern w:val="0"/>
          <w:sz w:val="24"/>
          <w:szCs w:val="24"/>
        </w:rPr>
        <w:t>披露侧袋账户</w:t>
      </w:r>
      <w:proofErr w:type="gramEnd"/>
      <w:r w:rsidRPr="002544B9">
        <w:rPr>
          <w:rFonts w:ascii="宋体" w:hAnsi="宋体" w:cs="Arial" w:hint="eastAsia"/>
          <w:kern w:val="0"/>
          <w:sz w:val="24"/>
          <w:szCs w:val="24"/>
        </w:rPr>
        <w:t>份额的净值，即便基金管理人在基金定期报告中披露报告期末特定资产可变现净值或净值区间的，也不作为特定资产最终变现价格的承诺，对于特定资产的公允价值和最终变现价格，基金管理人不承担任何保证和承诺的责任。</w:t>
      </w:r>
    </w:p>
    <w:p w14:paraId="32693B46" w14:textId="35BAD0D8" w:rsidR="00353C23" w:rsidRPr="002544B9" w:rsidRDefault="00353C23">
      <w:pPr>
        <w:adjustRightInd w:val="0"/>
        <w:snapToGrid w:val="0"/>
        <w:spacing w:line="360" w:lineRule="auto"/>
        <w:ind w:firstLineChars="200" w:firstLine="480"/>
        <w:rPr>
          <w:rFonts w:ascii="宋体" w:hAnsi="宋体" w:cs="Arial"/>
          <w:kern w:val="0"/>
          <w:sz w:val="24"/>
          <w:szCs w:val="24"/>
        </w:rPr>
      </w:pPr>
      <w:r w:rsidRPr="002544B9">
        <w:rPr>
          <w:rFonts w:ascii="宋体" w:hAnsi="宋体" w:cs="Arial" w:hint="eastAsia"/>
          <w:kern w:val="0"/>
          <w:sz w:val="24"/>
          <w:szCs w:val="24"/>
        </w:rPr>
        <w:t>基金管理人将</w:t>
      </w:r>
      <w:proofErr w:type="gramStart"/>
      <w:r w:rsidRPr="002544B9">
        <w:rPr>
          <w:rFonts w:ascii="宋体" w:hAnsi="宋体" w:cs="Arial" w:hint="eastAsia"/>
          <w:kern w:val="0"/>
          <w:sz w:val="24"/>
          <w:szCs w:val="24"/>
        </w:rPr>
        <w:t>根据主袋账户</w:t>
      </w:r>
      <w:proofErr w:type="gramEnd"/>
      <w:r w:rsidRPr="002544B9">
        <w:rPr>
          <w:rFonts w:ascii="宋体" w:hAnsi="宋体" w:cs="Arial" w:hint="eastAsia"/>
          <w:kern w:val="0"/>
          <w:sz w:val="24"/>
          <w:szCs w:val="24"/>
        </w:rPr>
        <w:t>运作情况合理确定申购政策，因此实施</w:t>
      </w:r>
      <w:proofErr w:type="gramStart"/>
      <w:r w:rsidRPr="002544B9">
        <w:rPr>
          <w:rFonts w:ascii="宋体" w:hAnsi="宋体" w:cs="Arial" w:hint="eastAsia"/>
          <w:kern w:val="0"/>
          <w:sz w:val="24"/>
          <w:szCs w:val="24"/>
        </w:rPr>
        <w:t>侧袋机制</w:t>
      </w:r>
      <w:proofErr w:type="gramEnd"/>
      <w:r w:rsidRPr="002544B9">
        <w:rPr>
          <w:rFonts w:ascii="宋体" w:hAnsi="宋体" w:cs="Arial" w:hint="eastAsia"/>
          <w:kern w:val="0"/>
          <w:sz w:val="24"/>
          <w:szCs w:val="24"/>
        </w:rPr>
        <w:t>后主袋账户份额存在暂停申购的可能。</w:t>
      </w:r>
    </w:p>
    <w:p w14:paraId="52919390"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Pr="002544B9">
        <w:rPr>
          <w:rFonts w:asciiTheme="minorEastAsia" w:hAnsiTheme="minorEastAsia" w:cs="Arial" w:hint="eastAsia"/>
          <w:bCs/>
          <w:sz w:val="24"/>
          <w:szCs w:val="24"/>
        </w:rPr>
        <w:t>、操作风险</w:t>
      </w:r>
    </w:p>
    <w:p w14:paraId="35D6DB4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操作风险是指基金运作过程中，因内部控制存在缺陷或者人为因素造成操作失误或违反操作规程等引致的风险，例如，越权违规交易、会计部门欺诈、交易错误、</w:t>
      </w:r>
      <w:r w:rsidRPr="002544B9">
        <w:rPr>
          <w:rFonts w:asciiTheme="minorEastAsia" w:hAnsiTheme="minorEastAsia" w:cs="Arial"/>
          <w:bCs/>
          <w:sz w:val="24"/>
          <w:szCs w:val="24"/>
        </w:rPr>
        <w:t>IT</w:t>
      </w:r>
      <w:r w:rsidRPr="002544B9">
        <w:rPr>
          <w:rFonts w:asciiTheme="minorEastAsia" w:hAnsiTheme="minorEastAsia" w:cs="Arial" w:hint="eastAsia"/>
          <w:bCs/>
          <w:sz w:val="24"/>
          <w:szCs w:val="24"/>
        </w:rPr>
        <w:t>系统故障等风险。</w:t>
      </w:r>
    </w:p>
    <w:p w14:paraId="0EA7C03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Pr="002544B9">
        <w:rPr>
          <w:rFonts w:asciiTheme="minorEastAsia" w:hAnsiTheme="minorEastAsia" w:cs="Arial" w:hint="eastAsia"/>
          <w:bCs/>
          <w:sz w:val="24"/>
          <w:szCs w:val="24"/>
        </w:rPr>
        <w:t>、管理风险</w:t>
      </w:r>
    </w:p>
    <w:p w14:paraId="54869E8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在基金管理运作过程中，基金管理人的研究水平、投资管理水平直接影响基金收益水平，如果基金管理人对经济形势和证券市场判断不准确、获取的信息不充分、投资操作出现失误等，都会影响基金的收益水平。</w:t>
      </w:r>
    </w:p>
    <w:p w14:paraId="4B7C8DF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6</w:t>
      </w: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w:t>
      </w:r>
    </w:p>
    <w:p w14:paraId="0EF69CBC" w14:textId="77777777" w:rsidR="00353C23"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合</w:t>
      </w:r>
      <w:proofErr w:type="gramStart"/>
      <w:r w:rsidRPr="002544B9">
        <w:rPr>
          <w:rFonts w:asciiTheme="minorEastAsia" w:hAnsiTheme="minorEastAsia" w:cs="Arial" w:hint="eastAsia"/>
          <w:bCs/>
          <w:sz w:val="24"/>
          <w:szCs w:val="24"/>
        </w:rPr>
        <w:t>规</w:t>
      </w:r>
      <w:proofErr w:type="gramEnd"/>
      <w:r w:rsidRPr="002544B9">
        <w:rPr>
          <w:rFonts w:asciiTheme="minorEastAsia" w:hAnsiTheme="minorEastAsia" w:cs="Arial" w:hint="eastAsia"/>
          <w:bCs/>
          <w:sz w:val="24"/>
          <w:szCs w:val="24"/>
        </w:rPr>
        <w:t>风险指基金管理或运作过程中，违反国家法律、法规的规定，或者违反《基金合同》有关规定的风险。</w:t>
      </w:r>
    </w:p>
    <w:p w14:paraId="720B5C6F" w14:textId="63FA28A8"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二、投资于本基金的特有风险</w:t>
      </w:r>
    </w:p>
    <w:p w14:paraId="38E615B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本基金为混合型证券投资基金，存在大类资产配置风险，有可能因为受到经济周期、市场环境或管理人能力等因素的影响，导致基金的大类资产配置比例偏离最优化水平，给基金投资组合的绩效带来风险。同时，本基金在股票投资方面采取自下而上的方法，以深入的基本面研究为基础，精选成长与价值特性突出的上市公司股票，这种对股票的评估具有一定的主观性，将在个股投资决策中给基金带来一定的不确定性，因而存在个股选择风险。</w:t>
      </w:r>
    </w:p>
    <w:p w14:paraId="6DDC165F" w14:textId="239D09F3"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、股指期货、国债期货等金融衍生</w:t>
      </w:r>
      <w:proofErr w:type="gramStart"/>
      <w:r w:rsidRPr="002544B9">
        <w:rPr>
          <w:rFonts w:asciiTheme="minorEastAsia" w:hAnsiTheme="minorEastAsia" w:cs="Arial" w:hint="eastAsia"/>
          <w:bCs/>
          <w:sz w:val="24"/>
          <w:szCs w:val="24"/>
        </w:rPr>
        <w:t>品投资</w:t>
      </w:r>
      <w:proofErr w:type="gramEnd"/>
      <w:r w:rsidRPr="002544B9">
        <w:rPr>
          <w:rFonts w:asciiTheme="minorEastAsia" w:hAnsiTheme="minorEastAsia" w:cs="Arial" w:hint="eastAsia"/>
          <w:bCs/>
          <w:sz w:val="24"/>
          <w:szCs w:val="24"/>
        </w:rPr>
        <w:t>风险</w:t>
      </w:r>
    </w:p>
    <w:p w14:paraId="2F53353F"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金融衍生品是一种金融合约，其价值取决于一种或多种基础资产或指数，其评价主要源自于对挂钩资产的价格与价格波动的预期。投资于</w:t>
      </w:r>
      <w:proofErr w:type="gramStart"/>
      <w:r w:rsidRPr="002544B9">
        <w:rPr>
          <w:rFonts w:asciiTheme="minorEastAsia" w:hAnsiTheme="minorEastAsia" w:cs="Arial" w:hint="eastAsia"/>
          <w:bCs/>
          <w:sz w:val="24"/>
          <w:szCs w:val="24"/>
        </w:rPr>
        <w:t>衍生品需承受</w:t>
      </w:r>
      <w:proofErr w:type="gramEnd"/>
      <w:r w:rsidRPr="002544B9">
        <w:rPr>
          <w:rFonts w:asciiTheme="minorEastAsia" w:hAnsiTheme="minorEastAsia" w:cs="Arial" w:hint="eastAsia"/>
          <w:bCs/>
          <w:sz w:val="24"/>
          <w:szCs w:val="24"/>
        </w:rPr>
        <w:t>市场风险、信用风险、流动性风险、操作风险和法律风险等。由于衍生品通常具有杠杆效应，价格波动比标的工具更为剧烈，有时候比投资标的资产要承担更高的风险。并且由于衍生品定价相当复杂，不适当的估值有可能使基金资产面临损失风险。</w:t>
      </w:r>
    </w:p>
    <w:p w14:paraId="262E79BF" w14:textId="3B1EB1F0"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股指期货、国债期货采用保证金交易制度，由于保证金交易具有杠杆性，当出现不利行情时，股价、指数微小的变动就可能会使投资者权益遭受较大损失。股指期货、国债期货采用每日无负债结算制度，如果没有在规定的时间内补足保证金，按规定将被强制平仓，可能给投资带来重大损失。</w:t>
      </w:r>
    </w:p>
    <w:p w14:paraId="3D021592" w14:textId="4D61541E"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002C3C29" w:rsidRPr="002544B9">
        <w:rPr>
          <w:rFonts w:asciiTheme="minorEastAsia" w:hAnsiTheme="minorEastAsia" w:cs="Arial" w:hint="eastAsia"/>
          <w:bCs/>
          <w:sz w:val="24"/>
          <w:szCs w:val="24"/>
        </w:rPr>
        <w:t>、资产支持证券投资风险</w:t>
      </w:r>
    </w:p>
    <w:p w14:paraId="14024EF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本基金投资资产支持证券，资产支持证券（</w:t>
      </w:r>
      <w:r w:rsidRPr="002544B9">
        <w:rPr>
          <w:rFonts w:asciiTheme="minorEastAsia" w:hAnsiTheme="minorEastAsia" w:cs="Arial"/>
          <w:bCs/>
          <w:sz w:val="24"/>
          <w:szCs w:val="24"/>
        </w:rPr>
        <w:t>ABS）或资产支持票据（ABN）是一种债券性质的金融工具，其向投资者支付的本息来自于基础资产</w:t>
      </w:r>
      <w:proofErr w:type="gramStart"/>
      <w:r w:rsidRPr="002544B9">
        <w:rPr>
          <w:rFonts w:asciiTheme="minorEastAsia" w:hAnsiTheme="minorEastAsia" w:cs="Arial" w:hint="eastAsia"/>
          <w:bCs/>
          <w:sz w:val="24"/>
          <w:szCs w:val="24"/>
        </w:rPr>
        <w:t>池产生</w:t>
      </w:r>
      <w:proofErr w:type="gramEnd"/>
      <w:r w:rsidRPr="002544B9">
        <w:rPr>
          <w:rFonts w:asciiTheme="minorEastAsia" w:hAnsiTheme="minorEastAsia" w:cs="Arial" w:hint="eastAsia"/>
          <w:bCs/>
          <w:sz w:val="24"/>
          <w:szCs w:val="24"/>
        </w:rPr>
        <w:t>的现金流或剩余权益。与股票和一般债券不同，资产支持证券不是对某一经营实体的利益要求权，而是对基础</w:t>
      </w:r>
      <w:proofErr w:type="gramStart"/>
      <w:r w:rsidRPr="002544B9">
        <w:rPr>
          <w:rFonts w:asciiTheme="minorEastAsia" w:hAnsiTheme="minorEastAsia" w:cs="Arial" w:hint="eastAsia"/>
          <w:bCs/>
          <w:sz w:val="24"/>
          <w:szCs w:val="24"/>
        </w:rPr>
        <w:t>资产池所产生</w:t>
      </w:r>
      <w:proofErr w:type="gramEnd"/>
      <w:r w:rsidRPr="002544B9">
        <w:rPr>
          <w:rFonts w:asciiTheme="minorEastAsia" w:hAnsiTheme="minorEastAsia" w:cs="Arial" w:hint="eastAsia"/>
          <w:bCs/>
          <w:sz w:val="24"/>
          <w:szCs w:val="24"/>
        </w:rPr>
        <w:t>的现金流和剩余权益的要求权，是一种以资产信用为支持的证券，所面临的风险主要包括交易结构风险、各种原因导致的基础资产池现金流与对应证券现金流不匹配产生的信用风险、市场交易不活跃导致的流动性风险等。</w:t>
      </w:r>
    </w:p>
    <w:p w14:paraId="379D2EA8" w14:textId="63DE70AC"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4</w:t>
      </w:r>
      <w:r w:rsidR="002C3C29" w:rsidRPr="002544B9">
        <w:rPr>
          <w:rFonts w:asciiTheme="minorEastAsia" w:hAnsiTheme="minorEastAsia" w:cs="Arial" w:hint="eastAsia"/>
          <w:bCs/>
          <w:sz w:val="24"/>
          <w:szCs w:val="24"/>
        </w:rPr>
        <w:t>、股票期权投资风险</w:t>
      </w:r>
    </w:p>
    <w:p w14:paraId="2413A858"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本基金可投资于股票期权，投资股票期权主要存在市场风险、流动性风险、保证金风险、信用风险、操作风险等风险，极端情况下会给投资组合带来较大损失。</w:t>
      </w:r>
    </w:p>
    <w:p w14:paraId="212DEC1F" w14:textId="66AD2C85" w:rsidR="00AC3A9B" w:rsidRPr="002544B9" w:rsidRDefault="00367003">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5</w:t>
      </w:r>
      <w:r w:rsidR="002C3C29" w:rsidRPr="002544B9">
        <w:rPr>
          <w:rFonts w:asciiTheme="minorEastAsia" w:hAnsiTheme="minorEastAsia" w:cs="Arial" w:hint="eastAsia"/>
          <w:bCs/>
          <w:sz w:val="24"/>
          <w:szCs w:val="24"/>
        </w:rPr>
        <w:t>、存托凭证投资风险</w:t>
      </w:r>
    </w:p>
    <w:p w14:paraId="79C824EB"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基金资产可投资于存托凭证，会面临与创新企业、境外发行人、中国存托凭证发行机制以及交易机制等差异带来的特有风险，包括但不限于创新企业业务持续能力和盈利能力等经营风险，存托凭证持有人与境外基础证券发行人的股东在法律地位、享有权利等方面存在差异可能引发的风险；存</w:t>
      </w:r>
      <w:proofErr w:type="gramStart"/>
      <w:r w:rsidRPr="002544B9">
        <w:rPr>
          <w:rFonts w:asciiTheme="minorEastAsia" w:hAnsiTheme="minorEastAsia" w:cs="Arial" w:hint="eastAsia"/>
          <w:bCs/>
          <w:sz w:val="24"/>
          <w:szCs w:val="24"/>
        </w:rPr>
        <w:t>托协议</w:t>
      </w:r>
      <w:proofErr w:type="gramEnd"/>
      <w:r w:rsidRPr="002544B9">
        <w:rPr>
          <w:rFonts w:asciiTheme="minorEastAsia" w:hAnsiTheme="minorEastAsia" w:cs="Arial" w:hint="eastAsia"/>
          <w:bCs/>
          <w:sz w:val="24"/>
          <w:szCs w:val="24"/>
        </w:rPr>
        <w:t>自动约束存托凭证持有人的风险；存托凭证持有人在分红派息、行使表决权等方面的特殊安排可能引发的风险；存托凭证退市的风险；因多地上市造成存托凭证价格差异以及受境外市场影响交易价格大幅波动的风险；存托凭证持有人权益被摊薄的风险；已在境外上市的基础证券发行人，在持续信息披露监管方面与境内可能存在差异的风险；境内外法律制度、监管环境差异可能导致的其他风险等本基金可投资存托凭证，基金净值可能受到存托凭证的境外基础证券价格波动影响，存托凭证的境外基础证券的相关风险可能直接或间接成为本基金的风险。</w:t>
      </w:r>
    </w:p>
    <w:p w14:paraId="0E3D4C67"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三、其他风险</w:t>
      </w:r>
    </w:p>
    <w:p w14:paraId="60A8B6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1</w:t>
      </w:r>
      <w:r w:rsidRPr="002544B9">
        <w:rPr>
          <w:rFonts w:asciiTheme="minorEastAsia" w:hAnsiTheme="minorEastAsia" w:cs="Arial" w:hint="eastAsia"/>
          <w:bCs/>
          <w:sz w:val="24"/>
          <w:szCs w:val="24"/>
        </w:rPr>
        <w:t>、技术风险</w:t>
      </w:r>
    </w:p>
    <w:p w14:paraId="4379B6D5"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在开放式基金的各种交易行为或者后台运作中，可能因为技术系统的故障或者差错而影响交易的正常进行或者导致投资者的利益受到影响。这种技术风险可能来自基金管理公司、登记机构、销售机构、证券交易所、证券登记结算机构等等。</w:t>
      </w:r>
    </w:p>
    <w:p w14:paraId="2F67D37C"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2</w:t>
      </w:r>
      <w:r w:rsidRPr="002544B9">
        <w:rPr>
          <w:rFonts w:asciiTheme="minorEastAsia" w:hAnsiTheme="minorEastAsia" w:cs="Arial" w:hint="eastAsia"/>
          <w:bCs/>
          <w:sz w:val="24"/>
          <w:szCs w:val="24"/>
        </w:rPr>
        <w:t>、法律风险</w:t>
      </w:r>
    </w:p>
    <w:p w14:paraId="3D29082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由于法律法规方面的原因，某些市场行为受到限制或合同不能正常执行，导致基金资产的损失。</w:t>
      </w:r>
    </w:p>
    <w:p w14:paraId="6A2B6ECD"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bCs/>
          <w:sz w:val="24"/>
          <w:szCs w:val="24"/>
        </w:rPr>
        <w:t>3</w:t>
      </w:r>
      <w:r w:rsidRPr="002544B9">
        <w:rPr>
          <w:rFonts w:asciiTheme="minorEastAsia" w:hAnsiTheme="minorEastAsia" w:cs="Arial" w:hint="eastAsia"/>
          <w:bCs/>
          <w:sz w:val="24"/>
          <w:szCs w:val="24"/>
        </w:rPr>
        <w:t>、其他风险</w:t>
      </w:r>
    </w:p>
    <w:p w14:paraId="1F46A11E" w14:textId="77777777" w:rsidR="00AC3A9B" w:rsidRPr="002544B9" w:rsidRDefault="002C3C29">
      <w:pPr>
        <w:adjustRightInd w:val="0"/>
        <w:snapToGrid w:val="0"/>
        <w:spacing w:line="360" w:lineRule="auto"/>
        <w:ind w:firstLineChars="200" w:firstLine="480"/>
        <w:rPr>
          <w:rFonts w:asciiTheme="minorEastAsia" w:hAnsiTheme="minorEastAsia" w:cs="Arial"/>
          <w:bCs/>
          <w:sz w:val="24"/>
          <w:szCs w:val="24"/>
        </w:rPr>
      </w:pPr>
      <w:r w:rsidRPr="002544B9">
        <w:rPr>
          <w:rFonts w:asciiTheme="minorEastAsia" w:hAnsiTheme="minorEastAsia" w:cs="Arial" w:hint="eastAsia"/>
          <w:bCs/>
          <w:sz w:val="24"/>
          <w:szCs w:val="24"/>
        </w:rPr>
        <w:t>战争、自然灾害等不可抗力因素的出现，将会严重影响证券市场的运行，可能导致基金资产的损失。金融市场危机、行业竞争、代理商违约、托管行违约等超出基金管理人自身直接控制能力之外的风险，可能导致基金或者基金份额持有人利益受损。</w:t>
      </w:r>
    </w:p>
    <w:p w14:paraId="739FABED" w14:textId="77777777" w:rsidR="00AC3A9B" w:rsidRPr="002544B9" w:rsidRDefault="00AC3A9B">
      <w:pPr>
        <w:widowControl/>
        <w:spacing w:line="360" w:lineRule="auto"/>
        <w:jc w:val="left"/>
        <w:rPr>
          <w:rFonts w:asciiTheme="minorEastAsia" w:hAnsiTheme="minorEastAsia" w:cs="Times New Roman"/>
          <w:b/>
          <w:bCs/>
          <w:kern w:val="44"/>
          <w:sz w:val="24"/>
          <w:szCs w:val="24"/>
        </w:rPr>
        <w:sectPr w:rsidR="00AC3A9B" w:rsidRPr="002544B9">
          <w:footerReference w:type="default" r:id="rId26"/>
          <w:pgSz w:w="11906" w:h="16838"/>
          <w:pgMar w:top="1440" w:right="1800" w:bottom="1440" w:left="1800" w:header="851" w:footer="992" w:gutter="0"/>
          <w:pgNumType w:chapStyle="1"/>
          <w:cols w:space="720"/>
          <w:docGrid w:type="lines" w:linePitch="312"/>
        </w:sectPr>
      </w:pPr>
    </w:p>
    <w:p w14:paraId="4F938D7F" w14:textId="2F4777D2" w:rsidR="00AC3A9B" w:rsidRPr="002544B9" w:rsidRDefault="002C3C29">
      <w:pPr>
        <w:pStyle w:val="1"/>
        <w:ind w:firstLine="600"/>
        <w:jc w:val="center"/>
      </w:pPr>
      <w:bookmarkStart w:id="359" w:name="_Toc68266305"/>
      <w:bookmarkStart w:id="360" w:name="_Toc104205529"/>
      <w:r w:rsidRPr="002544B9">
        <w:rPr>
          <w:rFonts w:hint="eastAsia"/>
          <w:sz w:val="30"/>
          <w:szCs w:val="30"/>
        </w:rPr>
        <w:t>第十</w:t>
      </w:r>
      <w:r w:rsidR="00C25DD8" w:rsidRPr="002544B9">
        <w:rPr>
          <w:rFonts w:hint="eastAsia"/>
          <w:sz w:val="30"/>
          <w:szCs w:val="30"/>
        </w:rPr>
        <w:t>八</w:t>
      </w:r>
      <w:r w:rsidRPr="002544B9">
        <w:rPr>
          <w:rFonts w:hint="eastAsia"/>
          <w:sz w:val="30"/>
          <w:szCs w:val="30"/>
        </w:rPr>
        <w:t>部分</w:t>
      </w:r>
      <w:r w:rsidRPr="002544B9">
        <w:rPr>
          <w:sz w:val="30"/>
          <w:szCs w:val="30"/>
        </w:rPr>
        <w:t xml:space="preserve">  </w:t>
      </w:r>
      <w:bookmarkEnd w:id="342"/>
      <w:bookmarkEnd w:id="343"/>
      <w:r w:rsidRPr="002544B9">
        <w:rPr>
          <w:rFonts w:hint="eastAsia"/>
          <w:sz w:val="30"/>
          <w:szCs w:val="30"/>
        </w:rPr>
        <w:t>基金合同的变更、终止与基金财产的清算</w:t>
      </w:r>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p>
    <w:p w14:paraId="6AA81847" w14:textId="77777777" w:rsidR="00AC3A9B" w:rsidRPr="002544B9" w:rsidRDefault="002C3C29">
      <w:pPr>
        <w:autoSpaceDE w:val="0"/>
        <w:autoSpaceDN w:val="0"/>
        <w:spacing w:line="360" w:lineRule="auto"/>
        <w:ind w:firstLineChars="200" w:firstLine="480"/>
        <w:textAlignment w:val="bottom"/>
        <w:rPr>
          <w:bCs/>
          <w:sz w:val="24"/>
        </w:rPr>
      </w:pPr>
      <w:bookmarkStart w:id="361" w:name="_Toc79392639"/>
      <w:bookmarkStart w:id="362" w:name="_Toc11802"/>
      <w:bookmarkStart w:id="363" w:name="_Toc8512"/>
      <w:bookmarkStart w:id="364" w:name="_Toc11049"/>
      <w:bookmarkStart w:id="365" w:name="_Toc193"/>
      <w:bookmarkStart w:id="366" w:name="_Toc1421"/>
      <w:bookmarkStart w:id="367" w:name="_Toc1173"/>
      <w:bookmarkStart w:id="368" w:name="_Toc12028"/>
      <w:bookmarkStart w:id="369" w:name="_Toc31866"/>
      <w:bookmarkStart w:id="370" w:name="_Toc352229764"/>
      <w:bookmarkStart w:id="371" w:name="_Toc139991748"/>
      <w:bookmarkStart w:id="372" w:name="_Toc3056"/>
      <w:bookmarkStart w:id="373" w:name="_Toc92662709"/>
      <w:bookmarkStart w:id="374" w:name="_Toc128310501"/>
      <w:bookmarkStart w:id="375" w:name="_Toc141703898"/>
      <w:bookmarkStart w:id="376" w:name="_Toc29289"/>
      <w:bookmarkStart w:id="377" w:name="_Toc21351"/>
      <w:bookmarkStart w:id="378" w:name="_Toc93226151"/>
      <w:r w:rsidRPr="002544B9">
        <w:rPr>
          <w:rFonts w:hint="eastAsia"/>
          <w:bCs/>
          <w:sz w:val="24"/>
        </w:rPr>
        <w:t>一、《基金合同》的变更</w:t>
      </w:r>
      <w:bookmarkEnd w:id="361"/>
    </w:p>
    <w:p w14:paraId="4DB83F26" w14:textId="4128E2BD"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、变更基金合同涉及法律法规规定或基金合同约定应经基金份额持有人大会决议通过的事项的，应召</w:t>
      </w:r>
      <w:proofErr w:type="gramStart"/>
      <w:r w:rsidRPr="002544B9">
        <w:rPr>
          <w:rFonts w:hint="eastAsia"/>
          <w:bCs/>
          <w:sz w:val="24"/>
        </w:rPr>
        <w:t>开基金</w:t>
      </w:r>
      <w:proofErr w:type="gramEnd"/>
      <w:r w:rsidRPr="002544B9">
        <w:rPr>
          <w:rFonts w:hint="eastAsia"/>
          <w:bCs/>
          <w:sz w:val="24"/>
        </w:rPr>
        <w:t>份额持有人大会决议通过。对于</w:t>
      </w:r>
      <w:r w:rsidR="00353C23" w:rsidRPr="002544B9">
        <w:rPr>
          <w:rFonts w:hint="eastAsia"/>
          <w:bCs/>
          <w:sz w:val="24"/>
        </w:rPr>
        <w:t>法律法规规定和基金合同约定</w:t>
      </w:r>
      <w:r w:rsidRPr="002544B9">
        <w:rPr>
          <w:rFonts w:hint="eastAsia"/>
          <w:bCs/>
          <w:sz w:val="24"/>
        </w:rPr>
        <w:t>可不经基金份额持有人大会决议通过的事项，由基金管理人和基金托管人同意后变更并公告，并报中国证监会备案。</w:t>
      </w:r>
    </w:p>
    <w:p w14:paraId="305B691A" w14:textId="58287B8C" w:rsidR="00AC3A9B" w:rsidRPr="002544B9" w:rsidRDefault="002C3C29">
      <w:pPr>
        <w:autoSpaceDE w:val="0"/>
        <w:autoSpaceDN w:val="0"/>
        <w:spacing w:line="360" w:lineRule="auto"/>
        <w:ind w:firstLineChars="200" w:firstLine="480"/>
        <w:textAlignment w:val="bottom"/>
        <w:rPr>
          <w:bCs/>
          <w:sz w:val="24"/>
        </w:rPr>
      </w:pPr>
      <w:r w:rsidRPr="002544B9">
        <w:rPr>
          <w:bCs/>
          <w:sz w:val="24"/>
        </w:rPr>
        <w:t xml:space="preserve"> 2</w:t>
      </w:r>
      <w:r w:rsidRPr="002544B9">
        <w:rPr>
          <w:rFonts w:hint="eastAsia"/>
          <w:bCs/>
          <w:sz w:val="24"/>
        </w:rPr>
        <w:t>、关于《基金合同》变更的基金份额持有人大会决议自</w:t>
      </w:r>
      <w:r w:rsidR="00353C23" w:rsidRPr="002544B9">
        <w:rPr>
          <w:rFonts w:hint="eastAsia"/>
          <w:bCs/>
          <w:sz w:val="24"/>
        </w:rPr>
        <w:t>表决通过之日起生效，并</w:t>
      </w:r>
      <w:proofErr w:type="gramStart"/>
      <w:r w:rsidR="00353C23" w:rsidRPr="002544B9">
        <w:rPr>
          <w:rFonts w:hint="eastAsia"/>
          <w:bCs/>
          <w:sz w:val="24"/>
        </w:rPr>
        <w:t>自决议</w:t>
      </w:r>
      <w:proofErr w:type="gramEnd"/>
      <w:r w:rsidR="00353C23" w:rsidRPr="002544B9">
        <w:rPr>
          <w:rFonts w:hint="eastAsia"/>
          <w:bCs/>
          <w:sz w:val="24"/>
        </w:rPr>
        <w:t>生效后依照《信息披露办法》的有关规定在</w:t>
      </w:r>
      <w:r w:rsidR="00AF017B" w:rsidRPr="002544B9">
        <w:rPr>
          <w:rFonts w:hint="eastAsia"/>
          <w:bCs/>
          <w:sz w:val="24"/>
        </w:rPr>
        <w:t>规定媒介</w:t>
      </w:r>
      <w:r w:rsidRPr="002544B9">
        <w:rPr>
          <w:rFonts w:hint="eastAsia"/>
          <w:bCs/>
          <w:sz w:val="24"/>
        </w:rPr>
        <w:t>公告。</w:t>
      </w:r>
    </w:p>
    <w:p w14:paraId="3DDBCB2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二、《基金合同》的终止事由</w:t>
      </w:r>
    </w:p>
    <w:p w14:paraId="340EA184" w14:textId="7E1DAFB5"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有下列情形之一的，</w:t>
      </w:r>
      <w:r w:rsidR="00353C23" w:rsidRPr="002544B9">
        <w:rPr>
          <w:rFonts w:hint="eastAsia"/>
          <w:bCs/>
          <w:sz w:val="24"/>
        </w:rPr>
        <w:t>经履行相关程序后，</w:t>
      </w:r>
      <w:r w:rsidRPr="002544B9">
        <w:rPr>
          <w:rFonts w:hint="eastAsia"/>
          <w:bCs/>
          <w:sz w:val="24"/>
        </w:rPr>
        <w:t>《基金合同》应当终止：</w:t>
      </w:r>
    </w:p>
    <w:p w14:paraId="30571DD2"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、基金份额持有人大会决定终止的；</w:t>
      </w:r>
    </w:p>
    <w:p w14:paraId="191FC51A"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、基金管理人、基金托管人职责终止，在</w:t>
      </w:r>
      <w:r w:rsidRPr="002544B9">
        <w:rPr>
          <w:bCs/>
          <w:sz w:val="24"/>
        </w:rPr>
        <w:t>6</w:t>
      </w:r>
      <w:r w:rsidRPr="002544B9">
        <w:rPr>
          <w:rFonts w:hint="eastAsia"/>
          <w:bCs/>
          <w:sz w:val="24"/>
        </w:rPr>
        <w:t>个月内没有新基金管理人、新基金托管人承接的；</w:t>
      </w:r>
    </w:p>
    <w:p w14:paraId="72D938AE"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、《基金合同》约定的其他情形；</w:t>
      </w:r>
    </w:p>
    <w:p w14:paraId="12605AEF"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、相关法律法规和中国证监会规定的其他情况。</w:t>
      </w:r>
    </w:p>
    <w:p w14:paraId="158D2FB6"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三、基金财产的清算</w:t>
      </w:r>
    </w:p>
    <w:p w14:paraId="646C0506" w14:textId="366D1DAA" w:rsidR="00AC3A9B" w:rsidRPr="002544B9" w:rsidRDefault="002C3C29">
      <w:pPr>
        <w:autoSpaceDE w:val="0"/>
        <w:autoSpaceDN w:val="0"/>
        <w:spacing w:line="360" w:lineRule="auto"/>
        <w:ind w:firstLineChars="200" w:firstLine="480"/>
        <w:textAlignment w:val="bottom"/>
        <w:rPr>
          <w:bCs/>
          <w:sz w:val="24"/>
        </w:rPr>
      </w:pPr>
      <w:r w:rsidRPr="002544B9">
        <w:rPr>
          <w:bCs/>
          <w:sz w:val="24"/>
        </w:rPr>
        <w:t>1</w:t>
      </w:r>
      <w:r w:rsidRPr="002544B9">
        <w:rPr>
          <w:rFonts w:hint="eastAsia"/>
          <w:bCs/>
          <w:sz w:val="24"/>
        </w:rPr>
        <w:t>、基金财产清算小组：自出现《基金合同》终止事由之日起</w:t>
      </w:r>
      <w:r w:rsidRPr="002544B9">
        <w:rPr>
          <w:bCs/>
          <w:sz w:val="24"/>
        </w:rPr>
        <w:t>30</w:t>
      </w:r>
      <w:r w:rsidRPr="002544B9">
        <w:rPr>
          <w:rFonts w:hint="eastAsia"/>
          <w:bCs/>
          <w:sz w:val="24"/>
        </w:rPr>
        <w:t>个工作日内成立清算小组，基金管理人</w:t>
      </w:r>
      <w:r w:rsidR="0026418F" w:rsidRPr="002544B9">
        <w:rPr>
          <w:rFonts w:hint="eastAsia"/>
          <w:bCs/>
          <w:sz w:val="24"/>
        </w:rPr>
        <w:t>或临时基金管理人</w:t>
      </w:r>
      <w:r w:rsidRPr="002544B9">
        <w:rPr>
          <w:rFonts w:hint="eastAsia"/>
          <w:bCs/>
          <w:sz w:val="24"/>
        </w:rPr>
        <w:t>组织基金财产清算小组并在中国证监会的监督下进行基金清算。</w:t>
      </w:r>
    </w:p>
    <w:p w14:paraId="1F09A1F4" w14:textId="2535BDA3" w:rsidR="00AC3A9B" w:rsidRPr="002544B9" w:rsidRDefault="002C3C29">
      <w:pPr>
        <w:autoSpaceDE w:val="0"/>
        <w:autoSpaceDN w:val="0"/>
        <w:spacing w:line="360" w:lineRule="auto"/>
        <w:ind w:firstLineChars="200" w:firstLine="480"/>
        <w:textAlignment w:val="bottom"/>
        <w:rPr>
          <w:bCs/>
          <w:sz w:val="24"/>
        </w:rPr>
      </w:pPr>
      <w:r w:rsidRPr="002544B9">
        <w:rPr>
          <w:bCs/>
          <w:sz w:val="24"/>
        </w:rPr>
        <w:t>2</w:t>
      </w:r>
      <w:r w:rsidRPr="002544B9">
        <w:rPr>
          <w:rFonts w:hint="eastAsia"/>
          <w:bCs/>
          <w:sz w:val="24"/>
        </w:rPr>
        <w:t>、基金财产清算小组组成：基金财产清算小组成员由基金管理人</w:t>
      </w:r>
      <w:r w:rsidR="0026418F" w:rsidRPr="002544B9">
        <w:rPr>
          <w:rFonts w:hint="eastAsia"/>
          <w:bCs/>
          <w:sz w:val="24"/>
        </w:rPr>
        <w:t>或临时基金管理人</w:t>
      </w:r>
      <w:r w:rsidRPr="002544B9">
        <w:rPr>
          <w:rFonts w:hint="eastAsia"/>
          <w:bCs/>
          <w:sz w:val="24"/>
        </w:rPr>
        <w:t>、基金托管人、</w:t>
      </w:r>
      <w:r w:rsidR="0026418F" w:rsidRPr="002544B9">
        <w:rPr>
          <w:rFonts w:hint="eastAsia"/>
          <w:bCs/>
          <w:sz w:val="24"/>
        </w:rPr>
        <w:t>符合《中华人民共和国证券法》规定</w:t>
      </w:r>
      <w:r w:rsidRPr="002544B9">
        <w:rPr>
          <w:rFonts w:hint="eastAsia"/>
          <w:bCs/>
          <w:sz w:val="24"/>
        </w:rPr>
        <w:t>的注册会计师、律师以及中国证监会指定的人员组成。基金财产清算小组可以聘用必要的工作人员。</w:t>
      </w:r>
    </w:p>
    <w:p w14:paraId="4F96E143"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3</w:t>
      </w:r>
      <w:r w:rsidRPr="002544B9">
        <w:rPr>
          <w:rFonts w:hint="eastAsia"/>
          <w:bCs/>
          <w:sz w:val="24"/>
        </w:rPr>
        <w:t>、基金财产清算小组职责：基金财产清算小组负责基金财产的保管、清理、估价、变现和分配。基金财产清算小组可以依法进行必要的民事活动。</w:t>
      </w:r>
    </w:p>
    <w:p w14:paraId="6A4C9616" w14:textId="77777777" w:rsidR="00AC3A9B" w:rsidRPr="002544B9" w:rsidRDefault="002C3C29">
      <w:pPr>
        <w:autoSpaceDE w:val="0"/>
        <w:autoSpaceDN w:val="0"/>
        <w:spacing w:line="360" w:lineRule="auto"/>
        <w:ind w:firstLineChars="200" w:firstLine="480"/>
        <w:textAlignment w:val="bottom"/>
        <w:rPr>
          <w:bCs/>
          <w:sz w:val="24"/>
        </w:rPr>
      </w:pPr>
      <w:r w:rsidRPr="002544B9">
        <w:rPr>
          <w:bCs/>
          <w:sz w:val="24"/>
        </w:rPr>
        <w:t>4</w:t>
      </w:r>
      <w:r w:rsidRPr="002544B9">
        <w:rPr>
          <w:rFonts w:hint="eastAsia"/>
          <w:bCs/>
          <w:sz w:val="24"/>
        </w:rPr>
        <w:t>、基金财产清算程序：</w:t>
      </w:r>
    </w:p>
    <w:p w14:paraId="1726C687"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1</w:t>
      </w:r>
      <w:r w:rsidRPr="002544B9">
        <w:rPr>
          <w:rFonts w:hint="eastAsia"/>
          <w:bCs/>
          <w:sz w:val="24"/>
        </w:rPr>
        <w:t>）《基金合同》终止情形出现时，由基金财产清算小组统一接管基金；</w:t>
      </w:r>
    </w:p>
    <w:p w14:paraId="459AD8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2</w:t>
      </w:r>
      <w:r w:rsidRPr="002544B9">
        <w:rPr>
          <w:rFonts w:hint="eastAsia"/>
          <w:bCs/>
          <w:sz w:val="24"/>
        </w:rPr>
        <w:t>）对基金财产和债权债务进行清理和确认；</w:t>
      </w:r>
    </w:p>
    <w:p w14:paraId="6063F37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3</w:t>
      </w:r>
      <w:r w:rsidRPr="002544B9">
        <w:rPr>
          <w:rFonts w:hint="eastAsia"/>
          <w:bCs/>
          <w:sz w:val="24"/>
        </w:rPr>
        <w:t>）对基金财产进行估值和变现；</w:t>
      </w:r>
    </w:p>
    <w:p w14:paraId="7580E4A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4</w:t>
      </w:r>
      <w:r w:rsidRPr="002544B9">
        <w:rPr>
          <w:rFonts w:hint="eastAsia"/>
          <w:bCs/>
          <w:sz w:val="24"/>
        </w:rPr>
        <w:t>）制作清算报告；</w:t>
      </w:r>
    </w:p>
    <w:p w14:paraId="6CD0466F" w14:textId="6E06B2D8"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5</w:t>
      </w:r>
      <w:r w:rsidRPr="002544B9">
        <w:rPr>
          <w:rFonts w:hint="eastAsia"/>
          <w:bCs/>
          <w:sz w:val="24"/>
        </w:rPr>
        <w:t>）聘请</w:t>
      </w:r>
      <w:r w:rsidR="003D23CA" w:rsidRPr="002544B9">
        <w:rPr>
          <w:rFonts w:hint="eastAsia"/>
          <w:bCs/>
          <w:sz w:val="24"/>
        </w:rPr>
        <w:t>符合《中华人民共和国证券法》规定</w:t>
      </w:r>
      <w:r w:rsidRPr="002544B9">
        <w:rPr>
          <w:rFonts w:hint="eastAsia"/>
          <w:bCs/>
          <w:sz w:val="24"/>
        </w:rPr>
        <w:t>的会计师事务所对清算报告进行外部审计，聘请律师事务所对清算报告出具法律意见书；</w:t>
      </w:r>
    </w:p>
    <w:p w14:paraId="0D2B0F08"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6</w:t>
      </w:r>
      <w:r w:rsidRPr="002544B9">
        <w:rPr>
          <w:rFonts w:hint="eastAsia"/>
          <w:bCs/>
          <w:sz w:val="24"/>
        </w:rPr>
        <w:t>）将清算报告报中国证监会备案并公告；</w:t>
      </w:r>
    </w:p>
    <w:p w14:paraId="47EC5F60"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w:t>
      </w:r>
      <w:r w:rsidRPr="002544B9">
        <w:rPr>
          <w:bCs/>
          <w:sz w:val="24"/>
        </w:rPr>
        <w:t>7</w:t>
      </w:r>
      <w:r w:rsidRPr="002544B9">
        <w:rPr>
          <w:rFonts w:hint="eastAsia"/>
          <w:bCs/>
          <w:sz w:val="24"/>
        </w:rPr>
        <w:t>）对基金剩余财产进行分配。</w:t>
      </w:r>
    </w:p>
    <w:p w14:paraId="5213CBED" w14:textId="1207F019" w:rsidR="00AC3A9B" w:rsidRPr="002544B9" w:rsidRDefault="002C3C29" w:rsidP="00D55EDF">
      <w:pPr>
        <w:spacing w:line="360" w:lineRule="auto"/>
        <w:ind w:firstLineChars="200" w:firstLine="480"/>
        <w:rPr>
          <w:bCs/>
          <w:sz w:val="24"/>
        </w:rPr>
      </w:pPr>
      <w:r w:rsidRPr="002544B9">
        <w:rPr>
          <w:bCs/>
          <w:sz w:val="24"/>
        </w:rPr>
        <w:t>5</w:t>
      </w:r>
      <w:r w:rsidRPr="002544B9">
        <w:rPr>
          <w:rFonts w:hint="eastAsia"/>
          <w:bCs/>
          <w:sz w:val="24"/>
        </w:rPr>
        <w:t>、基金财产清算的期限为</w:t>
      </w:r>
      <w:r w:rsidRPr="002544B9">
        <w:rPr>
          <w:bCs/>
          <w:sz w:val="24"/>
        </w:rPr>
        <w:t>6</w:t>
      </w:r>
      <w:r w:rsidRPr="002544B9">
        <w:rPr>
          <w:rFonts w:hint="eastAsia"/>
          <w:bCs/>
          <w:sz w:val="24"/>
        </w:rPr>
        <w:t>个月</w:t>
      </w:r>
      <w:r w:rsidR="0026418F" w:rsidRPr="002544B9">
        <w:rPr>
          <w:rFonts w:hint="eastAsia"/>
          <w:bCs/>
          <w:sz w:val="24"/>
        </w:rPr>
        <w:t>，但因本基金所持证券的流动性受到限制而不能及时变现的，清算期限可相应顺延。</w:t>
      </w:r>
    </w:p>
    <w:p w14:paraId="5C832C12"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四、清算费用</w:t>
      </w:r>
    </w:p>
    <w:p w14:paraId="2F3E9ABD"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清算费用是指基金财产清算小组在进行基金清算过程中发生的所有合理费用，清算费用由基金财产清算小组优先从基金财产中支付。</w:t>
      </w:r>
    </w:p>
    <w:p w14:paraId="0FC3033B"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五、基金财产清算剩余资产的分配</w:t>
      </w:r>
    </w:p>
    <w:p w14:paraId="475F953F"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依据基金财产清算的分配方案，将基金财产清算后的全部剩余资产扣除基金财产清算费用、交纳所欠税款并清偿基金债务后，按基金份额持有人持有的基金份额比例进行分配。</w:t>
      </w:r>
    </w:p>
    <w:p w14:paraId="38ED6F2C"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六、基金财产清算的公告</w:t>
      </w:r>
    </w:p>
    <w:p w14:paraId="07CECA4C" w14:textId="615F6E57" w:rsidR="00AC3A9B" w:rsidRPr="002544B9" w:rsidRDefault="002C3C29" w:rsidP="00D55EDF">
      <w:pPr>
        <w:spacing w:line="360" w:lineRule="auto"/>
        <w:ind w:firstLineChars="200" w:firstLine="480"/>
        <w:rPr>
          <w:bCs/>
          <w:sz w:val="24"/>
        </w:rPr>
      </w:pPr>
      <w:r w:rsidRPr="002544B9">
        <w:rPr>
          <w:rFonts w:hint="eastAsia"/>
          <w:bCs/>
          <w:sz w:val="24"/>
        </w:rPr>
        <w:t>清算过程中的有关重大事项须及时公告；基金财产清算报告</w:t>
      </w:r>
      <w:proofErr w:type="gramStart"/>
      <w:r w:rsidRPr="002544B9">
        <w:rPr>
          <w:rFonts w:hint="eastAsia"/>
          <w:bCs/>
          <w:sz w:val="24"/>
        </w:rPr>
        <w:t>经</w:t>
      </w:r>
      <w:r w:rsidR="0026418F" w:rsidRPr="002544B9">
        <w:rPr>
          <w:rFonts w:hint="eastAsia"/>
          <w:bCs/>
          <w:sz w:val="24"/>
        </w:rPr>
        <w:t>符合</w:t>
      </w:r>
      <w:proofErr w:type="gramEnd"/>
      <w:r w:rsidR="0026418F" w:rsidRPr="002544B9">
        <w:rPr>
          <w:rFonts w:hint="eastAsia"/>
          <w:bCs/>
          <w:sz w:val="24"/>
        </w:rPr>
        <w:t>《中华人民共和国证券法》规定</w:t>
      </w:r>
      <w:r w:rsidRPr="002544B9">
        <w:rPr>
          <w:rFonts w:hint="eastAsia"/>
          <w:bCs/>
          <w:sz w:val="24"/>
        </w:rPr>
        <w:t>的会计师事务所审计并由律师事务所出具法律意见书后报中国证监会备案并公告。基金财产清算公告于基金财产清算报告报中国证监会备案后</w:t>
      </w:r>
      <w:r w:rsidRPr="002544B9">
        <w:rPr>
          <w:bCs/>
          <w:sz w:val="24"/>
        </w:rPr>
        <w:t>5</w:t>
      </w:r>
      <w:r w:rsidRPr="002544B9">
        <w:rPr>
          <w:rFonts w:hint="eastAsia"/>
          <w:bCs/>
          <w:sz w:val="24"/>
        </w:rPr>
        <w:t>个工作日内由基金财产清算小组进行公告</w:t>
      </w:r>
      <w:r w:rsidR="00D071EA" w:rsidRPr="002544B9">
        <w:rPr>
          <w:rFonts w:hint="eastAsia"/>
          <w:bCs/>
          <w:sz w:val="24"/>
        </w:rPr>
        <w:t>，基金财产清算小组应当将清算报告登载在规定网站上，并将清算报告提示性公告登载在规定报刊上</w:t>
      </w:r>
      <w:r w:rsidRPr="002544B9">
        <w:rPr>
          <w:rFonts w:hint="eastAsia"/>
          <w:bCs/>
          <w:sz w:val="24"/>
        </w:rPr>
        <w:t>。</w:t>
      </w:r>
    </w:p>
    <w:p w14:paraId="23337AE3" w14:textId="77777777" w:rsidR="00AC3A9B" w:rsidRPr="002544B9" w:rsidRDefault="002C3C29">
      <w:pPr>
        <w:autoSpaceDE w:val="0"/>
        <w:autoSpaceDN w:val="0"/>
        <w:spacing w:line="360" w:lineRule="auto"/>
        <w:ind w:firstLineChars="200" w:firstLine="480"/>
        <w:textAlignment w:val="bottom"/>
        <w:rPr>
          <w:bCs/>
          <w:sz w:val="24"/>
        </w:rPr>
      </w:pPr>
      <w:r w:rsidRPr="002544B9">
        <w:rPr>
          <w:rFonts w:hint="eastAsia"/>
          <w:bCs/>
          <w:sz w:val="24"/>
        </w:rPr>
        <w:t>七、基金财产清算账册及文件的保存</w:t>
      </w:r>
    </w:p>
    <w:p w14:paraId="08FE0F90" w14:textId="0B1A1B2E" w:rsidR="002B4CF2" w:rsidRPr="002544B9" w:rsidRDefault="002C3C29" w:rsidP="00DF2557">
      <w:pPr>
        <w:adjustRightInd w:val="0"/>
        <w:snapToGrid w:val="0"/>
        <w:spacing w:line="360" w:lineRule="auto"/>
        <w:ind w:firstLineChars="200" w:firstLine="480"/>
        <w:rPr>
          <w:rFonts w:asciiTheme="minorEastAsia" w:hAnsiTheme="minorEastAsia" w:cs="Times New Roman"/>
          <w:sz w:val="24"/>
          <w:szCs w:val="24"/>
        </w:rPr>
      </w:pPr>
      <w:r w:rsidRPr="002544B9">
        <w:rPr>
          <w:rFonts w:hint="eastAsia"/>
          <w:bCs/>
          <w:sz w:val="24"/>
        </w:rPr>
        <w:t>基金财产清算账册及有关文件由基金托管人保存</w:t>
      </w:r>
      <w:r w:rsidR="0026418F" w:rsidRPr="002544B9">
        <w:rPr>
          <w:rFonts w:hint="eastAsia"/>
          <w:bCs/>
          <w:sz w:val="24"/>
        </w:rPr>
        <w:t>，保存期限不低于法律法规规定的最低期限。</w:t>
      </w:r>
      <w:r w:rsidR="002B4CF2" w:rsidRPr="002544B9">
        <w:rPr>
          <w:rFonts w:asciiTheme="minorEastAsia" w:hAnsiTheme="minorEastAsia" w:cs="Times New Roman"/>
          <w:sz w:val="24"/>
          <w:szCs w:val="24"/>
        </w:rPr>
        <w:br w:type="page"/>
      </w:r>
    </w:p>
    <w:p w14:paraId="38969BED" w14:textId="77777777" w:rsidR="00DF2557" w:rsidRPr="002544B9" w:rsidRDefault="00DF2557" w:rsidP="00DF2557">
      <w:pPr>
        <w:adjustRightInd w:val="0"/>
        <w:snapToGrid w:val="0"/>
        <w:spacing w:line="360" w:lineRule="auto"/>
        <w:ind w:firstLineChars="200" w:firstLine="480"/>
        <w:rPr>
          <w:rFonts w:asciiTheme="minorEastAsia" w:hAnsiTheme="minorEastAsia" w:cs="Times New Roman"/>
          <w:sz w:val="24"/>
          <w:szCs w:val="24"/>
        </w:rPr>
      </w:pPr>
    </w:p>
    <w:p w14:paraId="61114DE5" w14:textId="03917919" w:rsidR="00AC3A9B" w:rsidRPr="002544B9" w:rsidRDefault="002C3C29" w:rsidP="00DF2557">
      <w:pPr>
        <w:pStyle w:val="1"/>
        <w:jc w:val="center"/>
        <w:rPr>
          <w:sz w:val="30"/>
          <w:szCs w:val="30"/>
        </w:rPr>
      </w:pPr>
      <w:bookmarkStart w:id="379" w:name="_Toc416264553"/>
      <w:bookmarkStart w:id="380" w:name="_Toc263092326"/>
      <w:bookmarkStart w:id="381" w:name="_Toc214873607"/>
      <w:bookmarkStart w:id="382" w:name="_Toc104205530"/>
      <w:bookmarkStart w:id="383" w:name="_Toc139991749"/>
      <w:bookmarkStart w:id="384" w:name="_Toc25647"/>
      <w:bookmarkStart w:id="385" w:name="_Toc6237"/>
      <w:bookmarkStart w:id="386" w:name="_Toc123051465"/>
      <w:bookmarkStart w:id="387" w:name="_Toc7170"/>
      <w:bookmarkStart w:id="388" w:name="_Toc123102466"/>
      <w:bookmarkStart w:id="389" w:name="_Toc9005"/>
      <w:bookmarkStart w:id="390" w:name="_Toc8059"/>
      <w:bookmarkStart w:id="391" w:name="_Toc123112247"/>
      <w:bookmarkStart w:id="392" w:name="_Toc27464"/>
      <w:bookmarkStart w:id="393" w:name="_Toc352229765"/>
      <w:bookmarkStart w:id="394" w:name="_Toc98560364"/>
      <w:bookmarkStart w:id="395" w:name="_Toc8049"/>
      <w:bookmarkStart w:id="396" w:name="_Toc141703899"/>
      <w:bookmarkStart w:id="397" w:name="_Toc22978"/>
      <w:bookmarkStart w:id="398" w:name="_Toc29891"/>
      <w:bookmarkStart w:id="399" w:name="_Toc10006"/>
      <w:bookmarkStart w:id="400" w:name="_Toc11113"/>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r w:rsidRPr="002544B9">
        <w:rPr>
          <w:rFonts w:hint="eastAsia"/>
          <w:sz w:val="30"/>
          <w:szCs w:val="30"/>
        </w:rPr>
        <w:t>第十</w:t>
      </w:r>
      <w:r w:rsidR="00DF2557" w:rsidRPr="002544B9">
        <w:rPr>
          <w:rFonts w:hint="eastAsia"/>
          <w:sz w:val="30"/>
          <w:szCs w:val="30"/>
        </w:rPr>
        <w:t>九</w:t>
      </w:r>
      <w:r w:rsidRPr="002544B9">
        <w:rPr>
          <w:rFonts w:hint="eastAsia"/>
          <w:sz w:val="30"/>
          <w:szCs w:val="30"/>
        </w:rPr>
        <w:t>部分</w:t>
      </w:r>
      <w:r w:rsidRPr="002544B9">
        <w:rPr>
          <w:sz w:val="30"/>
          <w:szCs w:val="30"/>
        </w:rPr>
        <w:t xml:space="preserve">  </w:t>
      </w:r>
      <w:r w:rsidRPr="002544B9">
        <w:rPr>
          <w:rFonts w:hint="eastAsia"/>
          <w:sz w:val="30"/>
          <w:szCs w:val="30"/>
        </w:rPr>
        <w:t>基金合同的内容摘要</w:t>
      </w:r>
      <w:bookmarkEnd w:id="379"/>
      <w:bookmarkEnd w:id="380"/>
      <w:bookmarkEnd w:id="381"/>
      <w:bookmarkEnd w:id="382"/>
    </w:p>
    <w:p w14:paraId="6FE63483"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一、基金份额持有人、基金管理人和基金托管人的权利、义务</w:t>
      </w:r>
    </w:p>
    <w:p w14:paraId="6D797C2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基金管理人的权利与义务</w:t>
      </w:r>
    </w:p>
    <w:p w14:paraId="0526515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1、根据《基金法》、《运作办法》及其他有关规定，基金管理人的权利包括但不限于：</w:t>
      </w:r>
    </w:p>
    <w:p w14:paraId="2A0C21F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w:t>
      </w:r>
    </w:p>
    <w:p w14:paraId="2E7F0D7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2）自《基金合同》生效之日起，根据法律法规和《基金合同》独立运用并管理基金财产；</w:t>
      </w:r>
    </w:p>
    <w:p w14:paraId="5B3566A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3）依照《基金合同》收取基金管理费以及法律法规规定或中国证监会批准的其他费用；</w:t>
      </w:r>
    </w:p>
    <w:p w14:paraId="2AB0D4C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4）销售基金份额；</w:t>
      </w:r>
    </w:p>
    <w:p w14:paraId="5CDF15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5）按照规定召集基金份额持有人大会；</w:t>
      </w:r>
    </w:p>
    <w:p w14:paraId="7547E4F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6）依据《基金合同》及有关法律规定监督基金托管人，如认为基金托管人违反了《基金合同》及国家有关法律规定，应呈报中国证监会和其他监管部门，并采取必要措施保护基金投资者的利益；</w:t>
      </w:r>
    </w:p>
    <w:p w14:paraId="62273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7）在基金托管人更换时，提名新的基金托管人；</w:t>
      </w:r>
    </w:p>
    <w:p w14:paraId="14E599D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8）选择、更换基金销售机构，对基金销售机构的相关行为进行监督和处理； </w:t>
      </w:r>
    </w:p>
    <w:p w14:paraId="474B3EB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9）担任或委托其他符合条件的机构担任基金登记机构办理基金登记业务并获得《基金合同》规定的费用； </w:t>
      </w:r>
    </w:p>
    <w:p w14:paraId="2CB1F77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10）依据《基金合同》及有关法律规定决定基金收益的分配方案；</w:t>
      </w:r>
      <w:r w:rsidRPr="002544B9">
        <w:rPr>
          <w:rFonts w:asciiTheme="minorEastAsia" w:hAnsiTheme="minorEastAsia" w:cs="Times New Roman"/>
          <w:bCs/>
          <w:sz w:val="24"/>
          <w:szCs w:val="24"/>
        </w:rPr>
        <w:tab/>
      </w:r>
    </w:p>
    <w:p w14:paraId="426FECF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 xml:space="preserve">11）在《基金合同》约定的范围内，拒绝或暂停受理申购、赎回或转换申请； </w:t>
      </w:r>
    </w:p>
    <w:p w14:paraId="5AE2C44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12）依照法律法规为基金的利益对被投资公司行使股东权利，为基金的利益行使因基金财产投资于证券所产生的权利；</w:t>
      </w:r>
      <w:r w:rsidRPr="002544B9">
        <w:rPr>
          <w:rFonts w:asciiTheme="minorEastAsia" w:hAnsiTheme="minorEastAsia" w:cs="Times New Roman"/>
          <w:bCs/>
          <w:sz w:val="24"/>
          <w:szCs w:val="24"/>
        </w:rPr>
        <w:tab/>
      </w:r>
    </w:p>
    <w:p w14:paraId="4890BDF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13）在法律法规允许的前提下，为基金的利益依法为基金进行融资；</w:t>
      </w:r>
    </w:p>
    <w:p w14:paraId="73D5B02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14）以基金管理人的名义，代表基金份额持有人的利益行使诉讼权利或者实施其他法律行为；</w:t>
      </w:r>
      <w:r w:rsidRPr="002544B9">
        <w:rPr>
          <w:rFonts w:asciiTheme="minorEastAsia" w:hAnsiTheme="minorEastAsia" w:cs="Times New Roman"/>
          <w:bCs/>
          <w:sz w:val="24"/>
          <w:szCs w:val="24"/>
        </w:rPr>
        <w:tab/>
      </w:r>
    </w:p>
    <w:p w14:paraId="67D4DF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15）选择、更换律师事务所、会计师事务所、证券/期货经纪商或其他为基金提供服务的外部机构；</w:t>
      </w:r>
      <w:r w:rsidRPr="002544B9">
        <w:rPr>
          <w:rFonts w:asciiTheme="minorEastAsia" w:hAnsiTheme="minorEastAsia" w:cs="Times New Roman"/>
          <w:bCs/>
          <w:sz w:val="24"/>
          <w:szCs w:val="24"/>
        </w:rPr>
        <w:tab/>
      </w:r>
    </w:p>
    <w:p w14:paraId="6C7CF55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16）在符合有关法律、法规的前提下，制订和调整有关基金认购、申购、赎回、转换、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过户、转托管和收益分配等的业务规则；</w:t>
      </w:r>
    </w:p>
    <w:p w14:paraId="10DE119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17）法律法规及中国证监会规定的和《基金合同》约定的其他权利。</w:t>
      </w:r>
    </w:p>
    <w:p w14:paraId="3255537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2、根据《基金法》、《运作办法》及其他有关规定，基金管理人的义务包括但不限于：</w:t>
      </w:r>
    </w:p>
    <w:p w14:paraId="0E703AB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1）依法募集资金，办理或者委托经中国证监会认定的其他机构代为办理基金份额的发售、申购、赎回和登记事宜；</w:t>
      </w:r>
    </w:p>
    <w:p w14:paraId="0288B48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2）办理基金备案手续；</w:t>
      </w:r>
    </w:p>
    <w:p w14:paraId="51826E2B"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3）自《基金合同》生效之日起,以诚实信用、谨慎勤勉的原则管理和运用基金财产；</w:t>
      </w:r>
    </w:p>
    <w:p w14:paraId="13C93A46"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4）配备足够的具有专业资格的人员进行基金投资分析、决策，以专业化的经营方式管理和运作基金财产；</w:t>
      </w:r>
    </w:p>
    <w:p w14:paraId="29CD40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5）建立健全内部风险控制、监察与稽核、财务管理及人事管理等制度，保证所管理的基金财产和基金管理人的财产相互</w:t>
      </w:r>
      <w:proofErr w:type="gramStart"/>
      <w:r w:rsidRPr="002544B9">
        <w:rPr>
          <w:rFonts w:asciiTheme="minorEastAsia" w:hAnsiTheme="minorEastAsia" w:cs="Times New Roman" w:hint="eastAsia"/>
          <w:bCs/>
          <w:sz w:val="24"/>
          <w:szCs w:val="24"/>
        </w:rPr>
        <w:t>独立</w:t>
      </w:r>
      <w:r w:rsidRPr="002544B9">
        <w:rPr>
          <w:rFonts w:asciiTheme="minorEastAsia" w:hAnsiTheme="minorEastAsia" w:cs="Times New Roman"/>
          <w:bCs/>
          <w:sz w:val="24"/>
          <w:szCs w:val="24"/>
        </w:rPr>
        <w:t>,</w:t>
      </w:r>
      <w:proofErr w:type="gramEnd"/>
      <w:r w:rsidRPr="002544B9">
        <w:rPr>
          <w:rFonts w:asciiTheme="minorEastAsia" w:hAnsiTheme="minorEastAsia" w:cs="Times New Roman" w:hint="eastAsia"/>
          <w:bCs/>
          <w:sz w:val="24"/>
          <w:szCs w:val="24"/>
        </w:rPr>
        <w:t>对所管理的不同基金分别管理，分别记账，进行证券投资；</w:t>
      </w:r>
    </w:p>
    <w:p w14:paraId="4241D35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6）除依据《基金法》、《基金合同》及其他有关规定外,不得利用基金财产为自己及任何第三人谋取利益，不得委托第三人运作基金财产；</w:t>
      </w:r>
    </w:p>
    <w:p w14:paraId="72549BD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7）依法接受基金托管人的监督；</w:t>
      </w:r>
    </w:p>
    <w:p w14:paraId="32ECA4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8）采取适当合理的措施使计算基金份额认购、申购、赎回和注销价格的方法符合《基金合同》等法律文件的规定，按有关规定计算并公告基金净值信息，确定基金份额申购、赎回的价格；</w:t>
      </w:r>
    </w:p>
    <w:p w14:paraId="3B7D66A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9）进行基金会计核算并编制基金财务会计报告；</w:t>
      </w:r>
    </w:p>
    <w:p w14:paraId="54D839F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10）编制季度报告、中期报告和年度报告；</w:t>
      </w:r>
    </w:p>
    <w:p w14:paraId="063460A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11）严格按照《基金法》、《基金合同》及其他有关规定，履行信息披露及报告义务；</w:t>
      </w:r>
    </w:p>
    <w:p w14:paraId="226D52D8" w14:textId="3BE720C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12）保守基金商业秘密，不泄露基金投资计划、投资意向等。除《基金法》、《基金合同》及其他有关规定另有规定外，在基金信息公开披露前应予保密，不</w:t>
      </w:r>
      <w:r w:rsidRPr="002544B9">
        <w:rPr>
          <w:rFonts w:asciiTheme="minorEastAsia" w:hAnsiTheme="minorEastAsia" w:cs="Times New Roman" w:hint="eastAsia"/>
          <w:bCs/>
          <w:sz w:val="24"/>
          <w:szCs w:val="24"/>
        </w:rPr>
        <w:t>向他人泄露</w:t>
      </w:r>
      <w:r w:rsidR="0026418F" w:rsidRPr="002544B9">
        <w:rPr>
          <w:rFonts w:asciiTheme="minorEastAsia" w:hAnsiTheme="minorEastAsia" w:cs="Times New Roman" w:hint="eastAsia"/>
          <w:bCs/>
          <w:sz w:val="24"/>
          <w:szCs w:val="24"/>
        </w:rPr>
        <w:t>，但依法向监管机构、司法机关及审计、法律等外部专业顾问提供的除外</w:t>
      </w:r>
      <w:r w:rsidRPr="002544B9">
        <w:rPr>
          <w:rFonts w:asciiTheme="minorEastAsia" w:hAnsiTheme="minorEastAsia" w:cs="Times New Roman" w:hint="eastAsia"/>
          <w:bCs/>
          <w:sz w:val="24"/>
          <w:szCs w:val="24"/>
        </w:rPr>
        <w:t>；</w:t>
      </w:r>
    </w:p>
    <w:p w14:paraId="570FF05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13）按《基金合同》的约定确定基金收益分配方案，及时向基金份额持有人分配基金收益；</w:t>
      </w:r>
    </w:p>
    <w:p w14:paraId="198381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14）按规定受理申购与赎回申请，及时、足额支付赎回款项；</w:t>
      </w:r>
    </w:p>
    <w:p w14:paraId="65086A2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15）依据《基金法》、《基金合同》及其他有关规定召集基金份额持有人大会或配合基金托管人、基金份额持有人依法召集基金份额持有人大会；</w:t>
      </w:r>
    </w:p>
    <w:p w14:paraId="0EDCCE7C" w14:textId="5CB9DD6E"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16）按规定保存基金财产管理业务活动的会计账册、报表、记录和其他相关资料</w:t>
      </w:r>
      <w:r w:rsidR="0026418F" w:rsidRPr="002544B9">
        <w:rPr>
          <w:rFonts w:asciiTheme="minorEastAsia" w:hAnsiTheme="minorEastAsia" w:cs="Times New Roman" w:hint="eastAsia"/>
          <w:bCs/>
          <w:sz w:val="24"/>
          <w:szCs w:val="24"/>
        </w:rPr>
        <w:t>，保存期限不低于法律法规规定的最低期限；</w:t>
      </w:r>
    </w:p>
    <w:p w14:paraId="47EA11A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确保需要向基金投资者提供的各项文件或资料在规定时间发出，并且保证投资者能够按照《基金合同》规定的时间和方式，随时查阅到与基金有关的公开资料，并在支付合理成本的条件下得到有关资料的复印件；</w:t>
      </w:r>
    </w:p>
    <w:p w14:paraId="79B3629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18）组织并参加基金财产清算小组,参与基金财产的保管、清理、估价、变现和分配；</w:t>
      </w:r>
    </w:p>
    <w:p w14:paraId="71DA4CE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19）面临解散、依法被撤销或者被依法宣告破产时，及时报告中国证监会并通知基金托管人；</w:t>
      </w:r>
    </w:p>
    <w:p w14:paraId="5EC4A16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20）因违反《基金合同》导致基金财产的损失或损害基金份额持有人合法权益时，应当承担赔偿责任，其赔偿责任不因其退任而免除；</w:t>
      </w:r>
    </w:p>
    <w:p w14:paraId="3871509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21）监督基金托管人按法律法规和《基金合同》规定履行自己的义务，基金托管人违反《基金合同》造成基金财产损失时，基金管理人应为基金份额持有人利益向基金托管人追偿；</w:t>
      </w:r>
    </w:p>
    <w:p w14:paraId="6E2CF4E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22）当基金管理人将其义务委托第三方处理时，应当对第三方处理有关基金事务的行为承担责任；</w:t>
      </w:r>
    </w:p>
    <w:p w14:paraId="4DBC82D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23）以基金管理人名义，代表基金份额持有人利益行使诉讼权利或实施其他法律行为；</w:t>
      </w:r>
      <w:r w:rsidRPr="002544B9">
        <w:rPr>
          <w:rFonts w:asciiTheme="minorEastAsia" w:hAnsiTheme="minorEastAsia" w:cs="Times New Roman"/>
          <w:bCs/>
          <w:sz w:val="24"/>
          <w:szCs w:val="24"/>
        </w:rPr>
        <w:tab/>
      </w:r>
    </w:p>
    <w:p w14:paraId="53F501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24）基金管理人在募集期间未能达到基金的备案条件，《基金合同》不能生效，基金管理人承担全部募集费用，将已募集资金并加计银行同期存款利息在基金募集期结束后30日内退还基金认购人；</w:t>
      </w:r>
    </w:p>
    <w:p w14:paraId="793E9B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25）执行生效的基金份额持有人大会的决议；</w:t>
      </w:r>
    </w:p>
    <w:p w14:paraId="71E4D74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26）建立并保存基金份额持有人名册；</w:t>
      </w:r>
    </w:p>
    <w:p w14:paraId="40EECCBD" w14:textId="7323F218"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27）法律法规及中国证监会规定的和《基金合同》约定的其他义务。</w:t>
      </w:r>
    </w:p>
    <w:p w14:paraId="194F7CE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w:t>
      </w:r>
      <w:r w:rsidRPr="002544B9">
        <w:rPr>
          <w:rFonts w:asciiTheme="minorEastAsia" w:hAnsiTheme="minorEastAsia" w:cs="Times New Roman"/>
          <w:bCs/>
          <w:sz w:val="24"/>
          <w:szCs w:val="24"/>
        </w:rPr>
        <w:tab/>
      </w:r>
      <w:r w:rsidRPr="002544B9">
        <w:rPr>
          <w:rFonts w:asciiTheme="minorEastAsia" w:hAnsiTheme="minorEastAsia" w:cs="Times New Roman" w:hint="eastAsia"/>
          <w:bCs/>
          <w:sz w:val="24"/>
          <w:szCs w:val="24"/>
        </w:rPr>
        <w:t>基金托管人的权利与义务</w:t>
      </w:r>
    </w:p>
    <w:p w14:paraId="0910B31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1、根据《基金法》、《运作办法》及其他有关规定，基金托管人的权利包括但不限于：</w:t>
      </w:r>
    </w:p>
    <w:p w14:paraId="60B2533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1）自《基金合同》生效之日起，依法</w:t>
      </w:r>
      <w:proofErr w:type="gramStart"/>
      <w:r w:rsidRPr="002544B9">
        <w:rPr>
          <w:rFonts w:asciiTheme="minorEastAsia" w:hAnsiTheme="minorEastAsia" w:cs="Times New Roman" w:hint="eastAsia"/>
          <w:bCs/>
          <w:sz w:val="24"/>
          <w:szCs w:val="24"/>
        </w:rPr>
        <w:t>律法规</w:t>
      </w:r>
      <w:proofErr w:type="gramEnd"/>
      <w:r w:rsidRPr="002544B9">
        <w:rPr>
          <w:rFonts w:asciiTheme="minorEastAsia" w:hAnsiTheme="minorEastAsia" w:cs="Times New Roman" w:hint="eastAsia"/>
          <w:bCs/>
          <w:sz w:val="24"/>
          <w:szCs w:val="24"/>
        </w:rPr>
        <w:t>和《基金合同》的规定安全保管基金财产；</w:t>
      </w:r>
    </w:p>
    <w:p w14:paraId="3430309D"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2）依《基金合同》约定获得基金托管费以及法律法规规定或监管部门批准的其他费用；</w:t>
      </w:r>
    </w:p>
    <w:p w14:paraId="37C5CEA1"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监督基金管理人对本基金的投资运作，如发现基金管理人有违反《基金合同》及国家法律法规行为，对基金财产、其他当事人的利益造成重大损失的情形，应呈报中国证监会，并采取必要措施保护基金投资者的利益；</w:t>
      </w:r>
    </w:p>
    <w:p w14:paraId="3A94B6ED" w14:textId="5D6D237A"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4）根据相关市场规则，为基金开设</w:t>
      </w:r>
      <w:r w:rsidR="0026418F" w:rsidRPr="002544B9">
        <w:rPr>
          <w:rFonts w:asciiTheme="minorEastAsia" w:hAnsiTheme="minorEastAsia" w:cs="Times New Roman" w:hint="eastAsia"/>
          <w:bCs/>
          <w:sz w:val="24"/>
          <w:szCs w:val="24"/>
        </w:rPr>
        <w:t>托管账户、</w:t>
      </w:r>
      <w:r w:rsidRPr="002544B9">
        <w:rPr>
          <w:rFonts w:asciiTheme="minorEastAsia" w:hAnsiTheme="minorEastAsia" w:cs="Times New Roman" w:hint="eastAsia"/>
          <w:bCs/>
          <w:sz w:val="24"/>
          <w:szCs w:val="24"/>
        </w:rPr>
        <w:t>证券账户及其他投资所需账户，为基金办理证券</w:t>
      </w:r>
      <w:r w:rsidR="0026418F" w:rsidRPr="002544B9">
        <w:rPr>
          <w:rFonts w:asciiTheme="minorEastAsia" w:hAnsiTheme="minorEastAsia" w:cs="Times New Roman" w:hint="eastAsia"/>
          <w:bCs/>
          <w:sz w:val="24"/>
          <w:szCs w:val="24"/>
        </w:rPr>
        <w:t>、期货</w:t>
      </w:r>
      <w:r w:rsidRPr="002544B9">
        <w:rPr>
          <w:rFonts w:asciiTheme="minorEastAsia" w:hAnsiTheme="minorEastAsia" w:cs="Times New Roman" w:hint="eastAsia"/>
          <w:bCs/>
          <w:sz w:val="24"/>
          <w:szCs w:val="24"/>
        </w:rPr>
        <w:t>交易资金清算；</w:t>
      </w:r>
    </w:p>
    <w:p w14:paraId="763A840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5）提议召开或召集基金份额持有人大会；</w:t>
      </w:r>
    </w:p>
    <w:p w14:paraId="3DE7E9E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6）在基金管理人更换时，提名新的基金管理人；</w:t>
      </w:r>
    </w:p>
    <w:p w14:paraId="0504B8A8"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7）法律法规及中国证监会规定的和《基金合同》约定的其他权利。</w:t>
      </w:r>
    </w:p>
    <w:p w14:paraId="212CBCE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2、根据《基金法》、《运作办法》及其他有关规定，基金托管人的义务包括但不限于：</w:t>
      </w:r>
    </w:p>
    <w:p w14:paraId="4C58BD4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1）以诚实信用、勤勉尽责的原则持有并安全保管基金财产；</w:t>
      </w:r>
    </w:p>
    <w:p w14:paraId="0361CC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2）设立专门的基金托管部门，具有符合要求的营业场所，配备足够的、合格的熟悉基金托管业务的专职人员，负责基金财产托管事宜；</w:t>
      </w:r>
    </w:p>
    <w:p w14:paraId="59EEE21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建立健全内部风险控制、监察与稽核、财务管理及人事管理等制度，确保基金财产的安全，保证其托管的基金财产与基金托管人自有财产以及不同的基金财产相互独立；对所托管的不同的基金分别设置账户，独立核算，分账管理，保证不同基金之间在账户设置、资金划拨、账册记录等方面相互独立；</w:t>
      </w:r>
    </w:p>
    <w:p w14:paraId="3C64E19A"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4）除依据《基金法》、《基金合同》、《托管协议》及其他有关规定外，不得利用基金财产为自己及任何第三人谋取利益，不得委托第三人托管基金财产；</w:t>
      </w:r>
    </w:p>
    <w:p w14:paraId="052FA8D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5）保管由基金管理人代表基金签订的与基金有关的重大合同及有关凭证；</w:t>
      </w:r>
    </w:p>
    <w:p w14:paraId="106CF60F" w14:textId="61709FFF"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6）按规定开设基金财产的</w:t>
      </w:r>
      <w:r w:rsidR="0026418F" w:rsidRPr="002544B9">
        <w:rPr>
          <w:rFonts w:asciiTheme="minorEastAsia" w:hAnsiTheme="minorEastAsia" w:cs="Times New Roman" w:hint="eastAsia"/>
          <w:bCs/>
          <w:sz w:val="24"/>
          <w:szCs w:val="24"/>
        </w:rPr>
        <w:t>托管</w:t>
      </w:r>
      <w:r w:rsidRPr="002544B9">
        <w:rPr>
          <w:rFonts w:asciiTheme="minorEastAsia" w:hAnsiTheme="minorEastAsia" w:cs="Times New Roman" w:hint="eastAsia"/>
          <w:bCs/>
          <w:sz w:val="24"/>
          <w:szCs w:val="24"/>
        </w:rPr>
        <w:t>账户和证券账户等投资所需账户，按照《基金合同》、《托管协议》的约定，根据基金管理人的投资指令，及时办理清算、交割事宜；</w:t>
      </w:r>
    </w:p>
    <w:p w14:paraId="3F28488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保守基金商业秘密，除《基金法》、《基金合同》、《托管协议》及其他有关规定另有规定外，在基金信息公开披露前予以保密，不得向他人泄露，但依法向监管机构、司法机关及审计、法律等外部专业顾问提供的除外；</w:t>
      </w:r>
    </w:p>
    <w:p w14:paraId="07737442"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8）复核、审查基金管理人计算的基金资产净值、基金份额净值、基金份额申购、赎回价格；</w:t>
      </w:r>
    </w:p>
    <w:p w14:paraId="733FBC3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9）办理与基金托管业务活动有关的信息披露事项；</w:t>
      </w:r>
    </w:p>
    <w:p w14:paraId="6F23E184"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对基金财务会计报告、季度报告、中期报告和年度报告出具意见，说明基金管理人在各重要方面的运作是否严格按照《基金合同》、《托管协议》的规定进行；如果基金管理人有未执行《基金合同》、《托管协议》规定的行为，还应当说明基金托管人是否采取了适当的措施；</w:t>
      </w:r>
    </w:p>
    <w:p w14:paraId="4E8F81DC" w14:textId="5CD83314"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11）保存基金托管业务活动的记录、账册、报表和其他相关资料</w:t>
      </w:r>
      <w:r w:rsidR="0026418F" w:rsidRPr="002544B9">
        <w:rPr>
          <w:rFonts w:asciiTheme="minorEastAsia" w:hAnsiTheme="minorEastAsia" w:cs="Times New Roman" w:hint="eastAsia"/>
          <w:bCs/>
          <w:sz w:val="24"/>
          <w:szCs w:val="24"/>
        </w:rPr>
        <w:t>不低于法律法规规定的最低期限；</w:t>
      </w:r>
    </w:p>
    <w:p w14:paraId="7275A6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12）从基金管理人或其委托的登记机构处接收并保存基金份额持有人名册；</w:t>
      </w:r>
    </w:p>
    <w:p w14:paraId="26934DF7"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13）按规定制作相关账册并与基金管理人核对；</w:t>
      </w:r>
    </w:p>
    <w:p w14:paraId="7C22B67F"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14）依据基金管理人的指令或有关规定向基金份额持有人支付基金收益和赎回款项；</w:t>
      </w:r>
    </w:p>
    <w:p w14:paraId="5AC02810"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15）依据《基金法》、《基金合同》及其他有关规定，召集基金份额持有人大会或配合基金管理人、基金份额持有人依法召集基金份额持有人大会；</w:t>
      </w:r>
    </w:p>
    <w:p w14:paraId="18CDC675"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16）按照法律法规和《基金合同》及《托管协议》的规定监督基金管理人的投资运作；</w:t>
      </w:r>
    </w:p>
    <w:p w14:paraId="29432569"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17）参加基金财产清算小组，参与基金财产的保管、清理、估价、变现和分配；</w:t>
      </w:r>
    </w:p>
    <w:p w14:paraId="0FFEFBBF" w14:textId="6D2C80D9"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18）面临解散、依法被撤销或者被依法宣告破产时，及时报告中国证监会，并通知基金管理人；</w:t>
      </w:r>
    </w:p>
    <w:p w14:paraId="440C969E"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19）因违反《基金合同》及《托管协议》导致基金财产损失时，应承担赔偿责任，其赔偿责任不因其退任而免除；</w:t>
      </w:r>
    </w:p>
    <w:p w14:paraId="31FB0923"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20）按规定监督基金管理人按法律法规和《基金合同》规定履行自己的义务，基金管理人因违反《基金合同》造成基金财产损失时，应为基金份额持有人利益向基金管理人追偿；</w:t>
      </w:r>
    </w:p>
    <w:p w14:paraId="069A401C" w14:textId="77777777"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21）执行生效的基金份额持有人大会的决议；</w:t>
      </w:r>
    </w:p>
    <w:p w14:paraId="450B762F" w14:textId="669A3515" w:rsidR="001C66FB" w:rsidRPr="002544B9" w:rsidRDefault="001C66FB" w:rsidP="001C66FB">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22）法律法规及中国证监会规定的和《基金合同》约定的其他义务。</w:t>
      </w:r>
    </w:p>
    <w:p w14:paraId="25E5B335" w14:textId="5F57E4F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（三）基金份额持有人的权利</w:t>
      </w:r>
      <w:r w:rsidR="0026418F" w:rsidRPr="002544B9">
        <w:rPr>
          <w:rFonts w:asciiTheme="minorEastAsia" w:hAnsiTheme="minorEastAsia" w:cs="Times New Roman" w:hint="eastAsia"/>
          <w:bCs/>
          <w:sz w:val="24"/>
          <w:szCs w:val="24"/>
        </w:rPr>
        <w:t>与</w:t>
      </w:r>
      <w:r w:rsidRPr="002544B9">
        <w:rPr>
          <w:rFonts w:asciiTheme="minorEastAsia" w:hAnsiTheme="minorEastAsia" w:cs="Times New Roman" w:hint="eastAsia"/>
          <w:bCs/>
          <w:sz w:val="24"/>
          <w:szCs w:val="24"/>
        </w:rPr>
        <w:t>义务</w:t>
      </w:r>
    </w:p>
    <w:p w14:paraId="58156DF2"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基金投资者持有本</w:t>
      </w:r>
      <w:proofErr w:type="gramStart"/>
      <w:r w:rsidRPr="002544B9">
        <w:rPr>
          <w:rFonts w:asciiTheme="minorEastAsia" w:hAnsiTheme="minorEastAsia" w:cs="Times New Roman" w:hint="eastAsia"/>
          <w:bCs/>
          <w:sz w:val="24"/>
          <w:szCs w:val="24"/>
        </w:rPr>
        <w:t>基金基金</w:t>
      </w:r>
      <w:proofErr w:type="gramEnd"/>
      <w:r w:rsidRPr="002544B9">
        <w:rPr>
          <w:rFonts w:asciiTheme="minorEastAsia" w:hAnsiTheme="minorEastAsia" w:cs="Times New Roman" w:hint="eastAsia"/>
          <w:bCs/>
          <w:sz w:val="24"/>
          <w:szCs w:val="24"/>
        </w:rPr>
        <w:t>份额的行为即视为对《基金合同》的承认和接受，基金投资者</w:t>
      </w:r>
      <w:proofErr w:type="gramStart"/>
      <w:r w:rsidRPr="002544B9">
        <w:rPr>
          <w:rFonts w:asciiTheme="minorEastAsia" w:hAnsiTheme="minorEastAsia" w:cs="Times New Roman" w:hint="eastAsia"/>
          <w:bCs/>
          <w:sz w:val="24"/>
          <w:szCs w:val="24"/>
        </w:rPr>
        <w:t>自依据</w:t>
      </w:r>
      <w:proofErr w:type="gramEnd"/>
      <w:r w:rsidRPr="002544B9">
        <w:rPr>
          <w:rFonts w:asciiTheme="minorEastAsia" w:hAnsiTheme="minorEastAsia" w:cs="Times New Roman" w:hint="eastAsia"/>
          <w:bCs/>
          <w:sz w:val="24"/>
          <w:szCs w:val="24"/>
        </w:rPr>
        <w:t>《基金合同》取得基金份额，即成为本基金份额持有人和《基金合同》的当事人，直至其不再持有本基金的基金份额。基金份额持有人作为《基金合同》当事人并不以在《基金合同》上书面签章或签字为必要条件。</w:t>
      </w:r>
    </w:p>
    <w:p w14:paraId="4927BB2C" w14:textId="175C1077" w:rsidR="00D3567F" w:rsidRPr="002544B9" w:rsidRDefault="0026418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除法律法规另有规定或基金合同另有约定外，</w:t>
      </w:r>
      <w:r w:rsidR="00D3567F" w:rsidRPr="002544B9">
        <w:rPr>
          <w:rFonts w:asciiTheme="minorEastAsia" w:hAnsiTheme="minorEastAsia" w:cs="Times New Roman" w:hint="eastAsia"/>
          <w:bCs/>
          <w:sz w:val="24"/>
          <w:szCs w:val="24"/>
        </w:rPr>
        <w:t>同一类别每份基金份额具有同等的合法权益。</w:t>
      </w:r>
    </w:p>
    <w:p w14:paraId="1444742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1、根据《基金法》、《运作办法》及其他有关规定，基金份额持有人的权利包括但不限于：</w:t>
      </w:r>
    </w:p>
    <w:p w14:paraId="2128EEF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1）分享基金财产收益；</w:t>
      </w:r>
    </w:p>
    <w:p w14:paraId="3A64115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2）参与分配清算后的剩余基金财产；</w:t>
      </w:r>
    </w:p>
    <w:p w14:paraId="2BF9CC09"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3）依照法律及基金合同的约定转让或者申请赎回其持有的基金份额；</w:t>
      </w:r>
    </w:p>
    <w:p w14:paraId="29154D2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4）按照规定要求召开基金份额持有人大会或者召集基金份额持有人大会；</w:t>
      </w:r>
    </w:p>
    <w:p w14:paraId="313DFA3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5）出席或者委派代表出席基金份额持有人大会，对基金份额持有人大会审议事项行使表决权；</w:t>
      </w:r>
    </w:p>
    <w:p w14:paraId="31B494B4"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6）查阅或者复制公开披露的基金信息资料；</w:t>
      </w:r>
    </w:p>
    <w:p w14:paraId="77B981D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7）监督基金管理人的投资运作；</w:t>
      </w:r>
    </w:p>
    <w:p w14:paraId="22B848F7"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8）对基金管理人、基金托管人、基金服务机构损害其合法权益的行为依法提起诉讼或仲裁；</w:t>
      </w:r>
    </w:p>
    <w:p w14:paraId="12D3F670"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9）法律法规及中国证监会规定的和《基金合同》约定的其他权利。</w:t>
      </w:r>
    </w:p>
    <w:p w14:paraId="68A1DDD5"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2、根据《基金法》、《运作办法》及其他有关规定，基金份额持有人的义务包括但不限于：</w:t>
      </w:r>
    </w:p>
    <w:p w14:paraId="24C82898"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1）认真阅读并遵守《基金合同》、招募说明书等信息披露文件；</w:t>
      </w:r>
    </w:p>
    <w:p w14:paraId="2DCA1E7F"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2）了解所投资基金产品，了解自身风险承受能力，自主判断基金的投资价值，自主做出投资决策，自行承担投资风险；</w:t>
      </w:r>
    </w:p>
    <w:p w14:paraId="3E00A85B"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3）关注基金信息披露，及时行使权利和履行义务；</w:t>
      </w:r>
    </w:p>
    <w:p w14:paraId="3A478A11"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4）交纳基金认购、申购款项及法律法规和《基金合同》所规定的费用；</w:t>
      </w:r>
    </w:p>
    <w:p w14:paraId="6588944D"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5）在其持有的基金份额范围内，承担基金亏损或者《基金合同》终止的有限责任；</w:t>
      </w:r>
    </w:p>
    <w:p w14:paraId="43AE3DEA"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6）不从事任何有损基金及其他《基金合同》当事人合法权益的活动；</w:t>
      </w:r>
    </w:p>
    <w:p w14:paraId="0E8A2216"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7）执行生效的基金份额持有人大会的决议；</w:t>
      </w:r>
    </w:p>
    <w:p w14:paraId="644A64EE" w14:textId="77777777"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8）返还在基金交易过程中因任何原因获得的不当得利；</w:t>
      </w:r>
    </w:p>
    <w:p w14:paraId="247D7E16" w14:textId="6A034A96"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（9）遵守基金管理人、基金托管人、销售机构和登记机构的相关交易及业务规则；</w:t>
      </w:r>
    </w:p>
    <w:p w14:paraId="176AFEC5" w14:textId="7D5AD80C" w:rsidR="0026418F" w:rsidRPr="002544B9" w:rsidRDefault="0026418F" w:rsidP="0026418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10）提供基金管理人和监管机构依法要求提供的信息，以及不时的更新和补充，并保证其真实性；</w:t>
      </w:r>
    </w:p>
    <w:p w14:paraId="6B2A3DAE" w14:textId="49F7B35E" w:rsidR="00D3567F" w:rsidRPr="002544B9" w:rsidRDefault="00D3567F" w:rsidP="00D3567F">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26418F" w:rsidRPr="002544B9">
        <w:rPr>
          <w:rFonts w:asciiTheme="minorEastAsia" w:hAnsiTheme="minorEastAsia" w:cs="Times New Roman"/>
          <w:bCs/>
          <w:sz w:val="24"/>
          <w:szCs w:val="24"/>
        </w:rPr>
        <w:t>11</w:t>
      </w:r>
      <w:r w:rsidRPr="002544B9">
        <w:rPr>
          <w:rFonts w:asciiTheme="minorEastAsia" w:hAnsiTheme="minorEastAsia" w:cs="Times New Roman" w:hint="eastAsia"/>
          <w:bCs/>
          <w:sz w:val="24"/>
          <w:szCs w:val="24"/>
        </w:rPr>
        <w:t>）法律法规及中国证监会规定的和《基金合同》约定的其他义务。</w:t>
      </w:r>
    </w:p>
    <w:p w14:paraId="3C81F2DC"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二、基金份额持有人大会召集、议事及表决的程序和规则</w:t>
      </w:r>
    </w:p>
    <w:p w14:paraId="604EA462" w14:textId="7CA81F49"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基金份额持有人大会由基金份额持有人组成，基金份额持有人的合法授权代表有权代表基金份额持有人出席会议并表决。</w:t>
      </w:r>
      <w:r w:rsidR="0026418F" w:rsidRPr="002544B9">
        <w:rPr>
          <w:rFonts w:asciiTheme="minorEastAsia" w:hAnsiTheme="minorEastAsia" w:cs="Times New Roman" w:hint="eastAsia"/>
          <w:bCs/>
          <w:sz w:val="24"/>
          <w:szCs w:val="24"/>
        </w:rPr>
        <w:t>除法律法规另有规定或基金合同另有约定外，</w:t>
      </w:r>
      <w:r w:rsidRPr="002544B9">
        <w:rPr>
          <w:rFonts w:asciiTheme="minorEastAsia" w:hAnsiTheme="minorEastAsia" w:cs="Times New Roman" w:hint="eastAsia"/>
          <w:bCs/>
          <w:sz w:val="24"/>
          <w:szCs w:val="24"/>
        </w:rPr>
        <w:t>基金份额持有人持有的每一基金份额拥有平等的投票权。</w:t>
      </w:r>
    </w:p>
    <w:p w14:paraId="440521DD" w14:textId="0B8D5880"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本</w:t>
      </w:r>
      <w:proofErr w:type="gramStart"/>
      <w:r w:rsidRPr="002544B9">
        <w:rPr>
          <w:rFonts w:asciiTheme="minorEastAsia" w:hAnsiTheme="minorEastAsia" w:cs="Times New Roman" w:hint="eastAsia"/>
          <w:bCs/>
          <w:sz w:val="24"/>
          <w:szCs w:val="24"/>
        </w:rPr>
        <w:t>基金</w:t>
      </w:r>
      <w:r w:rsidR="0026418F" w:rsidRPr="002544B9">
        <w:rPr>
          <w:rFonts w:asciiTheme="minorEastAsia" w:hAnsiTheme="minorEastAsia" w:cs="Times New Roman" w:hint="eastAsia"/>
          <w:bCs/>
          <w:sz w:val="24"/>
          <w:szCs w:val="24"/>
        </w:rPr>
        <w:t>基金</w:t>
      </w:r>
      <w:proofErr w:type="gramEnd"/>
      <w:r w:rsidRPr="002544B9">
        <w:rPr>
          <w:rFonts w:asciiTheme="minorEastAsia" w:hAnsiTheme="minorEastAsia" w:cs="Times New Roman" w:hint="eastAsia"/>
          <w:bCs/>
          <w:sz w:val="24"/>
          <w:szCs w:val="24"/>
        </w:rPr>
        <w:t>份额持有人大会不设</w:t>
      </w:r>
      <w:r w:rsidR="0026418F" w:rsidRPr="002544B9">
        <w:rPr>
          <w:rFonts w:asciiTheme="minorEastAsia" w:hAnsiTheme="minorEastAsia" w:cs="Times New Roman" w:hint="eastAsia"/>
          <w:bCs/>
          <w:sz w:val="24"/>
          <w:szCs w:val="24"/>
        </w:rPr>
        <w:t>立</w:t>
      </w:r>
      <w:r w:rsidRPr="002544B9">
        <w:rPr>
          <w:rFonts w:asciiTheme="minorEastAsia" w:hAnsiTheme="minorEastAsia" w:cs="Times New Roman" w:hint="eastAsia"/>
          <w:bCs/>
          <w:sz w:val="24"/>
          <w:szCs w:val="24"/>
        </w:rPr>
        <w:t>日常机构。</w:t>
      </w:r>
    </w:p>
    <w:p w14:paraId="13F0E21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（一）召开事由</w:t>
      </w:r>
    </w:p>
    <w:p w14:paraId="4723AE82" w14:textId="078EB273"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w:t>
      </w:r>
      <w:r w:rsidR="0026418F"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当出现或需要决定下列事由之一的，应当召开基金份额持有人大会：</w:t>
      </w:r>
    </w:p>
    <w:p w14:paraId="3EEA7C1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1）终止基金合同；</w:t>
      </w:r>
    </w:p>
    <w:p w14:paraId="44A6F6B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2）更换基金管理人；</w:t>
      </w:r>
    </w:p>
    <w:p w14:paraId="5453901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3）更换基金托管人；</w:t>
      </w:r>
    </w:p>
    <w:p w14:paraId="24CB926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4）转换基金运作方式；</w:t>
      </w:r>
    </w:p>
    <w:p w14:paraId="30BB6CC7" w14:textId="2619F03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5）调整基金管理人、基金托管人的报酬标准</w:t>
      </w:r>
      <w:r w:rsidR="0026418F" w:rsidRPr="002544B9">
        <w:rPr>
          <w:rFonts w:asciiTheme="minorEastAsia" w:hAnsiTheme="minorEastAsia" w:cs="Times New Roman" w:hint="eastAsia"/>
          <w:bCs/>
          <w:sz w:val="24"/>
          <w:szCs w:val="24"/>
        </w:rPr>
        <w:t>或提高销售服务费率</w:t>
      </w:r>
      <w:r w:rsidRPr="002544B9">
        <w:rPr>
          <w:rFonts w:asciiTheme="minorEastAsia" w:hAnsiTheme="minorEastAsia" w:cs="Times New Roman" w:hint="eastAsia"/>
          <w:bCs/>
          <w:sz w:val="24"/>
          <w:szCs w:val="24"/>
        </w:rPr>
        <w:t>；</w:t>
      </w:r>
    </w:p>
    <w:p w14:paraId="2148EA7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6）变更基金类别；</w:t>
      </w:r>
    </w:p>
    <w:p w14:paraId="05574E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7）本基金与其他基金的合并；</w:t>
      </w:r>
    </w:p>
    <w:p w14:paraId="0158BC2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8）变更基金投资目标、范围或策略；</w:t>
      </w:r>
    </w:p>
    <w:p w14:paraId="44380A8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9）变更基金份额持有人大会程序；</w:t>
      </w:r>
    </w:p>
    <w:p w14:paraId="34F994E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10）基金管理人或基金托管人要求召开基金份额持有人大会；</w:t>
      </w:r>
    </w:p>
    <w:p w14:paraId="65D1FA0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11）单独或合计持有本基金总份额10%以上（含10%）基金份额的基金份额持有人（以基金管理人收到提议当日的基金份额计算，下同）就同一事项书面要求召开基金份额持有人大会；</w:t>
      </w:r>
    </w:p>
    <w:p w14:paraId="43726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12）对基金合同当事人权利和义务产生重大影响的其他事项；</w:t>
      </w:r>
    </w:p>
    <w:p w14:paraId="1688F0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13）法律法规、《基金合同》或中国证监会规定的其他应当召开基金份额持有人大会的事项。</w:t>
      </w:r>
    </w:p>
    <w:p w14:paraId="1E6F349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2、在法律法规规定和《基金合同》约定的范围内且对基金份额持有人利益无实质性不利影响的前提下，以下情况可由基金管理人和基金托管人协商后修改，不需召开基金份额持有人大会：</w:t>
      </w:r>
    </w:p>
    <w:p w14:paraId="2B40577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1）法律法规要求增加的基金费用的收取；</w:t>
      </w:r>
    </w:p>
    <w:p w14:paraId="5E688AA8" w14:textId="01B040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2）在法律法规和《基金合同》规定的范围内调整本基金的申购费率、调低赎回费率</w:t>
      </w:r>
      <w:r w:rsidR="000974F8" w:rsidRPr="002544B9">
        <w:rPr>
          <w:rFonts w:asciiTheme="minorEastAsia" w:hAnsiTheme="minorEastAsia" w:cs="Times New Roman" w:hint="eastAsia"/>
          <w:bCs/>
          <w:sz w:val="24"/>
          <w:szCs w:val="24"/>
        </w:rPr>
        <w:t>、调低销售服务费率或变更收费方式</w:t>
      </w:r>
      <w:r w:rsidRPr="002544B9">
        <w:rPr>
          <w:rFonts w:asciiTheme="minorEastAsia" w:hAnsiTheme="minorEastAsia" w:cs="Times New Roman" w:hint="eastAsia"/>
          <w:bCs/>
          <w:sz w:val="24"/>
          <w:szCs w:val="24"/>
        </w:rPr>
        <w:t>；</w:t>
      </w:r>
    </w:p>
    <w:p w14:paraId="6B9C36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w:t>
      </w:r>
      <w:proofErr w:type="gramStart"/>
      <w:r w:rsidRPr="002544B9">
        <w:rPr>
          <w:rFonts w:asciiTheme="minorEastAsia" w:hAnsiTheme="minorEastAsia" w:cs="Times New Roman" w:hint="eastAsia"/>
          <w:bCs/>
          <w:sz w:val="24"/>
          <w:szCs w:val="24"/>
        </w:rPr>
        <w:t>因相应</w:t>
      </w:r>
      <w:proofErr w:type="gramEnd"/>
      <w:r w:rsidRPr="002544B9">
        <w:rPr>
          <w:rFonts w:asciiTheme="minorEastAsia" w:hAnsiTheme="minorEastAsia" w:cs="Times New Roman" w:hint="eastAsia"/>
          <w:bCs/>
          <w:sz w:val="24"/>
          <w:szCs w:val="24"/>
        </w:rPr>
        <w:t>的法律法规发生变动而应当对《基金合同》进行修改；</w:t>
      </w:r>
    </w:p>
    <w:p w14:paraId="62EC8CC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4）对《基金合同》的修改对基金份额持有人利益无实质性不利影响或修改不涉及《基金合同》当事人权利义务关系发生重大变化；</w:t>
      </w:r>
    </w:p>
    <w:p w14:paraId="27E0CCD0" w14:textId="3EA8FC9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5）增加新的基金份额类别或者停止现有基金份额类别的销售等，或对基金份额分类办法及规则进行调整；</w:t>
      </w:r>
    </w:p>
    <w:p w14:paraId="761E155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6）基金管理人、销售机构、登记机构调整有关基金认购、申购、赎回、转换、</w:t>
      </w:r>
      <w:proofErr w:type="gramStart"/>
      <w:r w:rsidRPr="002544B9">
        <w:rPr>
          <w:rFonts w:asciiTheme="minorEastAsia" w:hAnsiTheme="minorEastAsia" w:cs="Times New Roman" w:hint="eastAsia"/>
          <w:bCs/>
          <w:sz w:val="24"/>
          <w:szCs w:val="24"/>
        </w:rPr>
        <w:t>非交易</w:t>
      </w:r>
      <w:proofErr w:type="gramEnd"/>
      <w:r w:rsidRPr="002544B9">
        <w:rPr>
          <w:rFonts w:asciiTheme="minorEastAsia" w:hAnsiTheme="minorEastAsia" w:cs="Times New Roman" w:hint="eastAsia"/>
          <w:bCs/>
          <w:sz w:val="24"/>
          <w:szCs w:val="24"/>
        </w:rPr>
        <w:t>过户、转托管等业务的规则；</w:t>
      </w:r>
    </w:p>
    <w:p w14:paraId="7B2572E8" w14:textId="6A9F9435"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w:t>
      </w:r>
      <w:r w:rsidR="000974F8" w:rsidRPr="002544B9">
        <w:rPr>
          <w:rFonts w:asciiTheme="minorEastAsia" w:hAnsiTheme="minorEastAsia" w:cs="Times New Roman" w:hint="eastAsia"/>
          <w:bCs/>
          <w:sz w:val="24"/>
          <w:szCs w:val="24"/>
        </w:rPr>
        <w:t>在法律法规允许的情况下，且在对现有基金份额持有人利益无实质性不利影响的前提下，</w:t>
      </w:r>
      <w:r w:rsidRPr="002544B9">
        <w:rPr>
          <w:rFonts w:asciiTheme="minorEastAsia" w:hAnsiTheme="minorEastAsia" w:cs="Times New Roman" w:hint="eastAsia"/>
          <w:bCs/>
          <w:sz w:val="24"/>
          <w:szCs w:val="24"/>
        </w:rPr>
        <w:t>推出新业务或服务；</w:t>
      </w:r>
    </w:p>
    <w:p w14:paraId="6777C0AF" w14:textId="66B6396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8）按照法律法规和《基金合同》规定不需召开基金份额持有人大会的其他情形。</w:t>
      </w:r>
    </w:p>
    <w:p w14:paraId="61FE821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（二）会议召集人及召集方式</w:t>
      </w:r>
    </w:p>
    <w:p w14:paraId="4C869B0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1、除法律法规规定或《基金合同》另有约定外，基金份额持有人大会由基金管理人召集；</w:t>
      </w:r>
    </w:p>
    <w:p w14:paraId="62F5E18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2、基金管理人未按规定召集或不能召集时，由基金托管人召集；</w:t>
      </w:r>
    </w:p>
    <w:p w14:paraId="0DDA32F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托管人认为有必要召开基金份额持有人大会的，应当向基金管理人提出书面提议。基金管理人应当自收到书面提议之日起10日内决定是否召集，并书面告知基金托管人。基金管理人决定召集的，应当自出具书面决定之日起60日内召开；基金管理人决定不召集，基金托管人仍认为有必要召开的，应当由基金托管人自行召集，并自出具书面决定之日起60日内召开并告知基金管理人，基金管理人应当配合；</w:t>
      </w:r>
    </w:p>
    <w:p w14:paraId="06E2F5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 xml:space="preserve">4、代表基金份额10%以上（含10%）的基金份额持有人就同一事项书面要求召开基金份额持有人大会，应当向基金管理人提出书面提议。基金管理人应当自收到书面提议之日起10日内决定是否召集，并书面告知提出提议的基金份额持有人代表和基金托管人。基金管理人决定召集的，应当自出具书面决定之日起60日内召开；基金管理人决定不召集，代表基金份额10%以上（含10%） </w:t>
      </w:r>
      <w:r w:rsidRPr="002544B9">
        <w:rPr>
          <w:rFonts w:asciiTheme="minorEastAsia" w:hAnsiTheme="minorEastAsia" w:cs="Times New Roman" w:hint="eastAsia"/>
          <w:bCs/>
          <w:sz w:val="24"/>
          <w:szCs w:val="24"/>
        </w:rPr>
        <w:t>的基金份额持有人仍认为有必要召开的，应当向基金托管人提出书面提议。基金托管人应当自收到书面提议之日起</w:t>
      </w:r>
      <w:r w:rsidRPr="002544B9">
        <w:rPr>
          <w:rFonts w:asciiTheme="minorEastAsia" w:hAnsiTheme="minorEastAsia" w:cs="Times New Roman"/>
          <w:bCs/>
          <w:sz w:val="24"/>
          <w:szCs w:val="24"/>
        </w:rPr>
        <w:t>10日内决定是否召集，并书面告知提出提议的基金份额持有人代表和基金管理人；基金托管人决定召集的，应当自出具书面决定之日起60日内召开并告知基金管理人，基金管理人应当配合；</w:t>
      </w:r>
    </w:p>
    <w:p w14:paraId="4BE4439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代表基金份额10%以上（含10%）的基金份额持有人就同一事项要求召开基金份额持有人大会，而基金管理人、基金托管人都不召集的，单独或合计代表基金份额10%以上（含10%）的基金份额持有人有权自行召集，并至少提前30日报中国证监会备案。基金份额持有人依法自行召集基金份额持有人大会的，基金管理人、基金托管人应当配合，不得阻碍、干扰；</w:t>
      </w:r>
    </w:p>
    <w:p w14:paraId="668BF0B5" w14:textId="0F02EBCE"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6、基金份额持有人会议的召集人负责选择确定开会时间、地点、方式和权益登记日。</w:t>
      </w:r>
    </w:p>
    <w:p w14:paraId="7D126D0D"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（三）召开基金份额持有人大会的通知时间、通知内容、通知方式</w:t>
      </w:r>
    </w:p>
    <w:p w14:paraId="701DD3F2" w14:textId="73EFAFE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1、召开基金份额持有人大会，召集人应于会议召开前30日，</w:t>
      </w:r>
      <w:r w:rsidR="000974F8" w:rsidRPr="002544B9">
        <w:rPr>
          <w:rFonts w:asciiTheme="minorEastAsia" w:hAnsiTheme="minorEastAsia" w:cs="Times New Roman" w:hint="eastAsia"/>
          <w:bCs/>
          <w:sz w:val="24"/>
          <w:szCs w:val="24"/>
        </w:rPr>
        <w:t>依据有关规定进行</w:t>
      </w:r>
      <w:r w:rsidRPr="002544B9">
        <w:rPr>
          <w:rFonts w:asciiTheme="minorEastAsia" w:hAnsiTheme="minorEastAsia" w:cs="Times New Roman" w:hint="eastAsia"/>
          <w:bCs/>
          <w:sz w:val="24"/>
          <w:szCs w:val="24"/>
        </w:rPr>
        <w:t>公告。基金份额持有人大会通知应至少载明以下内容：</w:t>
      </w:r>
    </w:p>
    <w:p w14:paraId="4358EE3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1）会议召开的时间、地点和会议形式；</w:t>
      </w:r>
    </w:p>
    <w:p w14:paraId="45B68A4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2）会议</w:t>
      </w:r>
      <w:proofErr w:type="gramStart"/>
      <w:r w:rsidRPr="002544B9">
        <w:rPr>
          <w:rFonts w:asciiTheme="minorEastAsia" w:hAnsiTheme="minorEastAsia" w:cs="Times New Roman" w:hint="eastAsia"/>
          <w:bCs/>
          <w:sz w:val="24"/>
          <w:szCs w:val="24"/>
        </w:rPr>
        <w:t>拟审议</w:t>
      </w:r>
      <w:proofErr w:type="gramEnd"/>
      <w:r w:rsidRPr="002544B9">
        <w:rPr>
          <w:rFonts w:asciiTheme="minorEastAsia" w:hAnsiTheme="minorEastAsia" w:cs="Times New Roman" w:hint="eastAsia"/>
          <w:bCs/>
          <w:sz w:val="24"/>
          <w:szCs w:val="24"/>
        </w:rPr>
        <w:t>的事项、议事程序和表决方式；</w:t>
      </w:r>
    </w:p>
    <w:p w14:paraId="06E342F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3）有权出席基金份额持有人大会的基金份额持有人的权益登记日；</w:t>
      </w:r>
    </w:p>
    <w:p w14:paraId="578C1B8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4）授权委托证明的内容要求（包括但不限于代理人身份，代理权限和代理有效期限等）、送达时间和地点；</w:t>
      </w:r>
    </w:p>
    <w:p w14:paraId="3507D2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5）会务常设联系人姓名及联系电话；</w:t>
      </w:r>
    </w:p>
    <w:p w14:paraId="081C5EF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6）出席会议者必须准备的文件和必须履行的手续；</w:t>
      </w:r>
    </w:p>
    <w:p w14:paraId="4373248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7）召集人需要通知的其他事项。</w:t>
      </w:r>
    </w:p>
    <w:p w14:paraId="334C6AB7" w14:textId="4D3B485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2、采取通讯开会方式并进行表决的情况下，由会议召集人决定在会议通知中说明本次基金份额持有人大会所采取的具体通讯方式、委托的公证机关及其联系方式和联系人、表决意见寄交的截止时间和收取方式。</w:t>
      </w:r>
    </w:p>
    <w:p w14:paraId="3DD806F8" w14:textId="765235B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如召集人为基金管理人，还应另行书面通知基金托管人到指定地点对表决意见的计票进行监督；如召集人为基金托管人，则应另行书面通知基金管理人到指定地点对表决意见的计票进行监督；如召集人为基金份额持有人，则应另行书面通知基金管理人和基金托管人到指定地点对表决意见的计票进行监督。基金管理人或基金托管人</w:t>
      </w:r>
      <w:proofErr w:type="gramStart"/>
      <w:r w:rsidRPr="002544B9">
        <w:rPr>
          <w:rFonts w:asciiTheme="minorEastAsia" w:hAnsiTheme="minorEastAsia" w:cs="Times New Roman" w:hint="eastAsia"/>
          <w:bCs/>
          <w:sz w:val="24"/>
          <w:szCs w:val="24"/>
        </w:rPr>
        <w:t>拒不派</w:t>
      </w:r>
      <w:proofErr w:type="gramEnd"/>
      <w:r w:rsidRPr="002544B9">
        <w:rPr>
          <w:rFonts w:asciiTheme="minorEastAsia" w:hAnsiTheme="minorEastAsia" w:cs="Times New Roman" w:hint="eastAsia"/>
          <w:bCs/>
          <w:sz w:val="24"/>
          <w:szCs w:val="24"/>
        </w:rPr>
        <w:t>代表对表决意见的计票进行监督的，不影响表决意见的计票效力。</w:t>
      </w:r>
    </w:p>
    <w:p w14:paraId="1523B30F"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（四）基金份额持有人出席会议的方式</w:t>
      </w:r>
    </w:p>
    <w:p w14:paraId="69FCC583"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基金份额持有人大会可通过现场开会方式、通讯开会方式或法律法规、监管机构允许的其他方式召开，会议的召开方式由会议召集人确定。</w:t>
      </w:r>
    </w:p>
    <w:p w14:paraId="2132177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由基金份额持有人本人出席或以代理投票授权委托证明委派代表出席，现场开会时基金管理人和基金托管人的授权代表应当列席基金份额持有人大会，基金管理人或基金托管人不派代表列席的，不影响表决效力。现场开会同时符合以下条件时，可以进行基金份额持有人大会议程：</w:t>
      </w:r>
    </w:p>
    <w:p w14:paraId="19BA36A0"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亲自出席会议者持有基金份额的凭证、受托出席会议者出具的委托人持有基金份额的凭证及委托人的代理投票授权委托证明符合法律法规、《基金合同》和会议通知的规定，并且持有基金份额的凭证与基金管理人持有的登记资料相符；</w:t>
      </w:r>
    </w:p>
    <w:p w14:paraId="17CE532C"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2）经核对，汇总到会者出示的在权益登记日持有基金份额的凭证显示，有效的基金份额不少于本基金在权益登记日基金总份额的二分之一（含二分之一）。</w:t>
      </w:r>
    </w:p>
    <w:p w14:paraId="6159778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若到会者在权益登记日代表的有效的基金份额少于本基金在权益登记日基金总份额的二分之一，召集人可以在原公告的基金份额持有人大会召开时间的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到会者在权益登记日代表的有效的基金份额应不少于本基金在权益登记日基金总份额的三分之一（含三分之一）。</w:t>
      </w:r>
    </w:p>
    <w:p w14:paraId="404C61BF" w14:textId="4816035C"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2、通讯开会。通讯开会系指基金份额持有人将其对表决事项的投票以书面形式或</w:t>
      </w:r>
      <w:r w:rsidR="000974F8"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的其他方式在表决截止日以前送达至召集人指定的地址</w:t>
      </w:r>
      <w:r w:rsidR="00EC0D1B" w:rsidRPr="002544B9">
        <w:rPr>
          <w:rFonts w:asciiTheme="minorEastAsia" w:hAnsiTheme="minorEastAsia" w:cs="Times New Roman" w:hint="eastAsia"/>
          <w:bCs/>
          <w:sz w:val="24"/>
          <w:szCs w:val="24"/>
        </w:rPr>
        <w:t>或系统</w:t>
      </w:r>
      <w:r w:rsidRPr="002544B9">
        <w:rPr>
          <w:rFonts w:asciiTheme="minorEastAsia" w:hAnsiTheme="minorEastAsia" w:cs="Times New Roman" w:hint="eastAsia"/>
          <w:bCs/>
          <w:sz w:val="24"/>
          <w:szCs w:val="24"/>
        </w:rPr>
        <w:t>。通讯开会应以书面方式或</w:t>
      </w:r>
      <w:r w:rsidR="00EC0D1B" w:rsidRPr="002544B9">
        <w:rPr>
          <w:rFonts w:asciiTheme="minorEastAsia" w:hAnsiTheme="minorEastAsia" w:cs="Times New Roman" w:hint="eastAsia"/>
          <w:bCs/>
          <w:sz w:val="24"/>
          <w:szCs w:val="24"/>
        </w:rPr>
        <w:t>会议通知载明</w:t>
      </w:r>
      <w:r w:rsidRPr="002544B9">
        <w:rPr>
          <w:rFonts w:asciiTheme="minorEastAsia" w:hAnsiTheme="minorEastAsia" w:cs="Times New Roman" w:hint="eastAsia"/>
          <w:bCs/>
          <w:sz w:val="24"/>
          <w:szCs w:val="24"/>
        </w:rPr>
        <w:t>的其他方式进行表决。</w:t>
      </w:r>
    </w:p>
    <w:p w14:paraId="4D4EAA16"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在同时符合以下条件时，通讯开会的方式视为有效：</w:t>
      </w:r>
    </w:p>
    <w:p w14:paraId="5DDFF5B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1）会议召集人按《基金合同》约定公布会议通知后，在2个工作日内连续公布相关提示性公告；</w:t>
      </w:r>
    </w:p>
    <w:p w14:paraId="73E1701F" w14:textId="117884C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召集人按基金合同约定通知基金托管人（如果基金托管人为召集人，则为基金管理人）到指定地点对表决意见的计票进行监督。会议召集人在基金托管人（如果基金托管人为召集人，则为基金管理人）和公证机关的监督下按照会议通知规定的方式收取基金份额持有人的表决意见；基金托管人或基金管理人经通知不参加收取表决意见的，不影响表决效力；</w:t>
      </w:r>
    </w:p>
    <w:p w14:paraId="2A9759E3" w14:textId="007258E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意见的，基金份额持有人所持有的基金份额不小于在权益登记日基金总份额的二分之一（含二分之一）；</w:t>
      </w:r>
    </w:p>
    <w:p w14:paraId="0B60206D" w14:textId="3F04CF9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意见的基金份额持有人所持有的基金份额小于在权益登记日基金总份额的二分之一，召集人可以在原公告的基金份额持有人大会召开时间的</w:t>
      </w:r>
      <w:r w:rsidRPr="002544B9">
        <w:rPr>
          <w:rFonts w:asciiTheme="minorEastAsia" w:hAnsiTheme="minorEastAsia" w:cs="Times New Roman"/>
          <w:bCs/>
          <w:sz w:val="24"/>
          <w:szCs w:val="24"/>
        </w:rPr>
        <w:t>3个月以后、6个月以内，就原定审议事项重新召集基金份额持有人大会。重新召集的基金份额持有人大会应当有代表三分之一以上（含三分之一）基金份额的持有人直接出具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意见或授权他人代表出具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w:t>
      </w:r>
    </w:p>
    <w:p w14:paraId="01C8A99A" w14:textId="4B8686D2"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4）上述第（3）项中直接出具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意见的基金份额持有人或受托代表他人出具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意见的代理人，同时提交的持有基金份额的凭证、受托出具</w:t>
      </w:r>
      <w:r w:rsidR="000974F8"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意见的代理人出具的委托人持有基金份额的凭证及委托人的代理投票授权委托证明符合法律法规、《基金合同》和会议通知的规定，并与基金登记机构记录相符。</w:t>
      </w:r>
    </w:p>
    <w:p w14:paraId="0A1F2EAC" w14:textId="4EE1A9EF"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3、在法律法规和监管机关允许的情况下，本基金的基金份额持有人亦可采用其他非书面方式授权其代理人出席基金份额持有人大会</w:t>
      </w:r>
      <w:r w:rsidR="000974F8" w:rsidRPr="002544B9">
        <w:rPr>
          <w:rFonts w:asciiTheme="minorEastAsia" w:hAnsiTheme="minorEastAsia" w:cs="Times New Roman" w:hint="eastAsia"/>
          <w:bCs/>
          <w:sz w:val="24"/>
          <w:szCs w:val="24"/>
        </w:rPr>
        <w:t>并行使表决权</w:t>
      </w:r>
      <w:r w:rsidRPr="002544B9">
        <w:rPr>
          <w:rFonts w:asciiTheme="minorEastAsia" w:hAnsiTheme="minorEastAsia" w:cs="Times New Roman" w:hint="eastAsia"/>
          <w:bCs/>
          <w:sz w:val="24"/>
          <w:szCs w:val="24"/>
        </w:rPr>
        <w:t>，具体方式由会议召集人确定并在会议通知中列明。</w:t>
      </w:r>
    </w:p>
    <w:p w14:paraId="5879E72F" w14:textId="0D30D911"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4、在会议召开方式上，本基金亦可采用其他非现场方式或者以现场方式与非现场方式相结合的方式召开基金份额持有人大会，会议程序比照现场开会和通讯方式开会的程序进行</w:t>
      </w:r>
      <w:r w:rsidR="000974F8" w:rsidRPr="002544B9">
        <w:rPr>
          <w:rFonts w:asciiTheme="minorEastAsia" w:hAnsiTheme="minorEastAsia" w:cs="Times New Roman" w:hint="eastAsia"/>
          <w:bCs/>
          <w:sz w:val="24"/>
          <w:szCs w:val="24"/>
        </w:rPr>
        <w:t>，具体方式由会议召集人确定并在会议通知中列明</w:t>
      </w:r>
      <w:r w:rsidRPr="002544B9">
        <w:rPr>
          <w:rFonts w:asciiTheme="minorEastAsia" w:hAnsiTheme="minorEastAsia" w:cs="Times New Roman" w:hint="eastAsia"/>
          <w:bCs/>
          <w:sz w:val="24"/>
          <w:szCs w:val="24"/>
        </w:rPr>
        <w:t>。</w:t>
      </w:r>
    </w:p>
    <w:p w14:paraId="5B9BE500"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（五）议事内容与程序</w:t>
      </w:r>
    </w:p>
    <w:p w14:paraId="4A435F8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1、议事内容及提案权</w:t>
      </w:r>
    </w:p>
    <w:p w14:paraId="15B3C32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议事内容为关系基金份额持有人利益的重大事项，如《基金合同》的重大修改、决定终止《基金合同》、更换基金管理人、更换基金托管人、与其他基金合并、法律法规及《基金合同》规定的其他事项以及会议召集人认为需提交基金份额持有人大会讨论的其他事项。</w:t>
      </w:r>
    </w:p>
    <w:p w14:paraId="2C52D9E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基金份额持有人大会的召集人发出召集会议的通知后，对原有提案的修改应当在基金份额持有人大会召开前及时公告。</w:t>
      </w:r>
    </w:p>
    <w:p w14:paraId="017F57BB"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基金份额持有人大会不得对未事先公告的议事内容进行表决。</w:t>
      </w:r>
    </w:p>
    <w:p w14:paraId="0D55535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2、议事程序</w:t>
      </w:r>
    </w:p>
    <w:p w14:paraId="1D6BD3A1"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1）现场开会</w:t>
      </w:r>
    </w:p>
    <w:p w14:paraId="4CA29959" w14:textId="27B0AEF8"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在现场开会的方式下，首先由大会主持人按照下列第</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七</w:t>
      </w:r>
      <w:r w:rsidR="000F0EAF" w:rsidRPr="002544B9">
        <w:rPr>
          <w:rFonts w:asciiTheme="minorEastAsia" w:hAnsiTheme="minorEastAsia" w:cs="Times New Roman" w:hint="eastAsia"/>
          <w:bCs/>
          <w:sz w:val="24"/>
          <w:szCs w:val="24"/>
        </w:rPr>
        <w:t>）</w:t>
      </w:r>
      <w:r w:rsidRPr="002544B9">
        <w:rPr>
          <w:rFonts w:asciiTheme="minorEastAsia" w:hAnsiTheme="minorEastAsia" w:cs="Times New Roman" w:hint="eastAsia"/>
          <w:bCs/>
          <w:sz w:val="24"/>
          <w:szCs w:val="24"/>
        </w:rPr>
        <w:t>条规定程序确定和公布监票人，然后由大会主持人宣读提案，经讨论后进行表决，并形成大会决议。大会主持人为基金管理人授权出席会议的代表，在基金管理人授权代表未能主持大会的情况下，由基金托管人授权其出席会议的代表主持；如果基金管理人授权代表和基金托管人授权代表均未能主持大会，则由出席大会的基金份额持有人和代理人所持表决权的</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以上（含</w:t>
      </w:r>
      <w:r w:rsidR="000974F8" w:rsidRPr="002544B9">
        <w:rPr>
          <w:rFonts w:asciiTheme="minorEastAsia" w:hAnsiTheme="minorEastAsia" w:cs="Times New Roman" w:hint="eastAsia"/>
          <w:bCs/>
          <w:sz w:val="24"/>
          <w:szCs w:val="24"/>
        </w:rPr>
        <w:t>二分之一</w:t>
      </w:r>
      <w:r w:rsidRPr="002544B9">
        <w:rPr>
          <w:rFonts w:asciiTheme="minorEastAsia" w:hAnsiTheme="minorEastAsia" w:cs="Times New Roman" w:hint="eastAsia"/>
          <w:bCs/>
          <w:sz w:val="24"/>
          <w:szCs w:val="24"/>
        </w:rPr>
        <w:t>）选举产生一名基金份额持有人作为该次基金份额持有人大会的主持人。基金管理人和基金托管人拒不出席或主持基金份额持有人大会，不影响基金份额持有人大会</w:t>
      </w:r>
      <w:proofErr w:type="gramStart"/>
      <w:r w:rsidRPr="002544B9">
        <w:rPr>
          <w:rFonts w:asciiTheme="minorEastAsia" w:hAnsiTheme="minorEastAsia" w:cs="Times New Roman" w:hint="eastAsia"/>
          <w:bCs/>
          <w:sz w:val="24"/>
          <w:szCs w:val="24"/>
        </w:rPr>
        <w:t>作出</w:t>
      </w:r>
      <w:proofErr w:type="gramEnd"/>
      <w:r w:rsidRPr="002544B9">
        <w:rPr>
          <w:rFonts w:asciiTheme="minorEastAsia" w:hAnsiTheme="minorEastAsia" w:cs="Times New Roman" w:hint="eastAsia"/>
          <w:bCs/>
          <w:sz w:val="24"/>
          <w:szCs w:val="24"/>
        </w:rPr>
        <w:t>的决议的效力。</w:t>
      </w:r>
    </w:p>
    <w:p w14:paraId="14E1C2F7"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会议召集人应当制作出席会议人员的签名册。签名</w:t>
      </w:r>
      <w:proofErr w:type="gramStart"/>
      <w:r w:rsidRPr="002544B9">
        <w:rPr>
          <w:rFonts w:asciiTheme="minorEastAsia" w:hAnsiTheme="minorEastAsia" w:cs="Times New Roman" w:hint="eastAsia"/>
          <w:bCs/>
          <w:sz w:val="24"/>
          <w:szCs w:val="24"/>
        </w:rPr>
        <w:t>册</w:t>
      </w:r>
      <w:proofErr w:type="gramEnd"/>
      <w:r w:rsidRPr="002544B9">
        <w:rPr>
          <w:rFonts w:asciiTheme="minorEastAsia" w:hAnsiTheme="minorEastAsia" w:cs="Times New Roman" w:hint="eastAsia"/>
          <w:bCs/>
          <w:sz w:val="24"/>
          <w:szCs w:val="24"/>
        </w:rPr>
        <w:t>载明参加会议人员姓名（或单位名称）、身份证明文件号码、持有或代表有表决权的基金份额、委托人姓名（或单位名称）和联系方式等事项。</w:t>
      </w:r>
    </w:p>
    <w:p w14:paraId="34012E6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2）通讯开会</w:t>
      </w:r>
    </w:p>
    <w:p w14:paraId="78EEA962" w14:textId="2C5F34B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在通讯开会的情况下，首先由召集人提前</w:t>
      </w:r>
      <w:r w:rsidRPr="002544B9">
        <w:rPr>
          <w:rFonts w:asciiTheme="minorEastAsia" w:hAnsiTheme="minorEastAsia" w:cs="Times New Roman"/>
          <w:bCs/>
          <w:sz w:val="24"/>
          <w:szCs w:val="24"/>
        </w:rPr>
        <w:t>30日公布提案，在所通知的表决截止日期后2个工作日内在公证机关监督下由召集人统计全部有效表决，在公证机关监督下形成决议。</w:t>
      </w:r>
    </w:p>
    <w:p w14:paraId="48EEB454"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（六）表决</w:t>
      </w:r>
    </w:p>
    <w:p w14:paraId="5F748AA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基金份额持有人所持每份基金份额有一票表决权。</w:t>
      </w:r>
    </w:p>
    <w:p w14:paraId="14F8621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基金份额持有人大会决议分为一般决议和特别决议：</w:t>
      </w:r>
    </w:p>
    <w:p w14:paraId="17D8E1E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一般决议，一般决议须经参加大会的基金份额持有人或其代理人所持表决权的二分之一以上（含二分之一）通过方为有效；除下列第2项所规定的须以特别决议通过事项以外的其他事项均以一般决议的方式通过。</w:t>
      </w:r>
    </w:p>
    <w:p w14:paraId="765E4B6D" w14:textId="6972FF7A"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2、特别决议，特别决议应当经参加大会的基金份额持有人或其代理人所持表决权的三分之二以上（含三分之二）通过方可做出。</w:t>
      </w:r>
      <w:r w:rsidR="000974F8" w:rsidRPr="002544B9">
        <w:rPr>
          <w:rFonts w:asciiTheme="minorEastAsia" w:hAnsiTheme="minorEastAsia" w:cs="Times New Roman" w:hint="eastAsia"/>
          <w:bCs/>
          <w:sz w:val="24"/>
          <w:szCs w:val="24"/>
        </w:rPr>
        <w:t>除法律法规、中国证监会另有规定或基金合同另有约定的以外，</w:t>
      </w:r>
      <w:r w:rsidRPr="002544B9">
        <w:rPr>
          <w:rFonts w:asciiTheme="minorEastAsia" w:hAnsiTheme="minorEastAsia" w:cs="Times New Roman" w:hint="eastAsia"/>
          <w:bCs/>
          <w:sz w:val="24"/>
          <w:szCs w:val="24"/>
        </w:rPr>
        <w:t>转换基金运作方式、更换基金管理人或者基金托管人、终止《基金合同》、本基金与其他基金合并以特别决议通过方为有效。</w:t>
      </w:r>
    </w:p>
    <w:p w14:paraId="1A809ADF"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基金份额持有人大会采取记名方式进行投票表决。</w:t>
      </w:r>
    </w:p>
    <w:p w14:paraId="52C223AB" w14:textId="53D73BB0"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采取通讯方式进行表决时，除非在计票时</w:t>
      </w:r>
      <w:r w:rsidR="000974F8" w:rsidRPr="002544B9">
        <w:rPr>
          <w:rFonts w:asciiTheme="minorEastAsia" w:hAnsiTheme="minorEastAsia" w:cs="Times New Roman" w:hint="eastAsia"/>
          <w:bCs/>
          <w:sz w:val="24"/>
          <w:szCs w:val="24"/>
        </w:rPr>
        <w:t>监督员及公证机关均认为</w:t>
      </w:r>
      <w:r w:rsidRPr="002544B9">
        <w:rPr>
          <w:rFonts w:asciiTheme="minorEastAsia" w:hAnsiTheme="minorEastAsia" w:cs="Times New Roman" w:hint="eastAsia"/>
          <w:bCs/>
          <w:sz w:val="24"/>
          <w:szCs w:val="24"/>
        </w:rPr>
        <w:t>有充分的相反证据证明，否则提交符合会议通知中规定的确认投资者身份文件的表决视为有效出席的投资者，表面符合会议通知规定的表决意见视为有效表决，表决意见模糊不清或相互矛盾的视为弃权表决，但应当计入出具</w:t>
      </w:r>
      <w:r w:rsidR="00EC0D1B" w:rsidRPr="002544B9">
        <w:rPr>
          <w:rFonts w:asciiTheme="minorEastAsia" w:hAnsiTheme="minorEastAsia" w:cs="Times New Roman" w:hint="eastAsia"/>
          <w:bCs/>
          <w:sz w:val="24"/>
          <w:szCs w:val="24"/>
        </w:rPr>
        <w:t>表决</w:t>
      </w:r>
      <w:r w:rsidRPr="002544B9">
        <w:rPr>
          <w:rFonts w:asciiTheme="minorEastAsia" w:hAnsiTheme="minorEastAsia" w:cs="Times New Roman" w:hint="eastAsia"/>
          <w:bCs/>
          <w:sz w:val="24"/>
          <w:szCs w:val="24"/>
        </w:rPr>
        <w:t>意见的基金份额持有人所代表的基金份额总数。</w:t>
      </w:r>
    </w:p>
    <w:p w14:paraId="5B760288" w14:textId="7CDF3BF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基金份额持有人大会的各项提案或同一项提案内并列的各项议题应当分开审议、逐项表决。</w:t>
      </w:r>
    </w:p>
    <w:p w14:paraId="033C29B8"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（七）计票</w:t>
      </w:r>
    </w:p>
    <w:p w14:paraId="7F27440E"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1、现场开会</w:t>
      </w:r>
    </w:p>
    <w:p w14:paraId="206ADBC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如大会由基金管理人或基金托管人召集，基金份额持有人大会的主持人应当在会议开始后宣布在出席会议的基金份额持有人和代理人中选举两名基金份额持有人代表与大会召集人授权的一名监督员共同担任监票人；如大会由基金份额持有人自行召集</w:t>
      </w:r>
      <w:proofErr w:type="gramStart"/>
      <w:r w:rsidRPr="002544B9">
        <w:rPr>
          <w:rFonts w:asciiTheme="minorEastAsia" w:hAnsiTheme="minorEastAsia" w:cs="Times New Roman" w:hint="eastAsia"/>
          <w:bCs/>
          <w:sz w:val="24"/>
          <w:szCs w:val="24"/>
        </w:rPr>
        <w:t>或大会</w:t>
      </w:r>
      <w:proofErr w:type="gramEnd"/>
      <w:r w:rsidRPr="002544B9">
        <w:rPr>
          <w:rFonts w:asciiTheme="minorEastAsia" w:hAnsiTheme="minorEastAsia" w:cs="Times New Roman" w:hint="eastAsia"/>
          <w:bCs/>
          <w:sz w:val="24"/>
          <w:szCs w:val="24"/>
        </w:rPr>
        <w:t>虽然由基金管理人或基金托管人召集，但是基金管理人或基金托管人未出席大会的，基金份额持有人大会的主持人应当在会议开始后宣布在出席会议的基金份额持有人中选举三名基金份额持有人代表担任监票人。基金管理人或基金托管人不出席大会的，不影响计票的效力。</w:t>
      </w:r>
    </w:p>
    <w:p w14:paraId="3E7E98A5"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2）监票人应当在基金份额持有人表决后立即进行清点并由大会主持人当场公布计票结果。</w:t>
      </w:r>
    </w:p>
    <w:p w14:paraId="19B2B7A1" w14:textId="0319C3FB"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3）如果会议主持人或基金份额持有人或代理人对于提交的表决结果有</w:t>
      </w:r>
      <w:r w:rsidR="000974F8" w:rsidRPr="002544B9">
        <w:rPr>
          <w:rFonts w:asciiTheme="minorEastAsia" w:hAnsiTheme="minorEastAsia" w:cs="Times New Roman" w:hint="eastAsia"/>
          <w:bCs/>
          <w:sz w:val="24"/>
          <w:szCs w:val="24"/>
        </w:rPr>
        <w:t>异议</w:t>
      </w:r>
      <w:r w:rsidRPr="002544B9">
        <w:rPr>
          <w:rFonts w:asciiTheme="minorEastAsia" w:hAnsiTheme="minorEastAsia" w:cs="Times New Roman" w:hint="eastAsia"/>
          <w:bCs/>
          <w:sz w:val="24"/>
          <w:szCs w:val="24"/>
        </w:rPr>
        <w:t>，可以在宣布表决结果后立即对所投票</w:t>
      </w:r>
      <w:proofErr w:type="gramStart"/>
      <w:r w:rsidRPr="002544B9">
        <w:rPr>
          <w:rFonts w:asciiTheme="minorEastAsia" w:hAnsiTheme="minorEastAsia" w:cs="Times New Roman" w:hint="eastAsia"/>
          <w:bCs/>
          <w:sz w:val="24"/>
          <w:szCs w:val="24"/>
        </w:rPr>
        <w:t>数要求</w:t>
      </w:r>
      <w:proofErr w:type="gramEnd"/>
      <w:r w:rsidRPr="002544B9">
        <w:rPr>
          <w:rFonts w:asciiTheme="minorEastAsia" w:hAnsiTheme="minorEastAsia" w:cs="Times New Roman" w:hint="eastAsia"/>
          <w:bCs/>
          <w:sz w:val="24"/>
          <w:szCs w:val="24"/>
        </w:rPr>
        <w:t>进行重新清点。监票人应当进行重新清点，重新清点以一次为限。重新清点后，大会主持人应当当场公布重新清点结果。</w:t>
      </w:r>
    </w:p>
    <w:p w14:paraId="783B4C1D"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4）计票过程应由公证机关予以公证,基金管理人或基金托管人拒不出席大会的，不影响计票的效力。</w:t>
      </w:r>
    </w:p>
    <w:p w14:paraId="15E3F052"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2、通讯开会</w:t>
      </w:r>
    </w:p>
    <w:p w14:paraId="3147D6B8" w14:textId="0E801D06"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在通讯开会的情况下，计票方式为：由大会召集人授权的两名监督员在基金托管人授权代表（若由基金托管人召集，则为基金管理人授权代表）的监督下进行计票，并由公证机关对其计票过程予以公证。基金管理人或基金托管</w:t>
      </w:r>
      <w:proofErr w:type="gramStart"/>
      <w:r w:rsidRPr="002544B9">
        <w:rPr>
          <w:rFonts w:asciiTheme="minorEastAsia" w:hAnsiTheme="minorEastAsia" w:cs="Times New Roman" w:hint="eastAsia"/>
          <w:bCs/>
          <w:sz w:val="24"/>
          <w:szCs w:val="24"/>
        </w:rPr>
        <w:t>人拒派</w:t>
      </w:r>
      <w:proofErr w:type="gramEnd"/>
      <w:r w:rsidRPr="002544B9">
        <w:rPr>
          <w:rFonts w:asciiTheme="minorEastAsia" w:hAnsiTheme="minorEastAsia" w:cs="Times New Roman" w:hint="eastAsia"/>
          <w:bCs/>
          <w:sz w:val="24"/>
          <w:szCs w:val="24"/>
        </w:rPr>
        <w:t>代表对表决意见的计票进行监督的，不影响计票和表决结果。</w:t>
      </w:r>
    </w:p>
    <w:p w14:paraId="43CC09DE" w14:textId="2C052F54" w:rsidR="00AC3A9B" w:rsidRPr="002544B9" w:rsidRDefault="002C3C29"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（八）生效与公告</w:t>
      </w:r>
    </w:p>
    <w:p w14:paraId="713907C8"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基金份额持有人大会的决议，召集人应当自通过之日起</w:t>
      </w:r>
      <w:r w:rsidRPr="002544B9">
        <w:rPr>
          <w:rFonts w:asciiTheme="minorEastAsia" w:hAnsiTheme="minorEastAsia" w:cs="Times New Roman"/>
          <w:bCs/>
          <w:sz w:val="24"/>
          <w:szCs w:val="24"/>
        </w:rPr>
        <w:t>5日内报中国证监会备案。</w:t>
      </w:r>
    </w:p>
    <w:p w14:paraId="33EC69C9"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基金份额持有人大会的决议自表决通过之日起生效。</w:t>
      </w:r>
    </w:p>
    <w:p w14:paraId="0FA30DAD" w14:textId="0EC3D019"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基金份额持有人大会决议自生效之日起依照《信息披露办法》的有关规定在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上公告。如果采用通讯方式进行表决，在公告基金份额持有人大会决议时，必须将公证书全文、公证机构、公证员姓名等一同公告。</w:t>
      </w:r>
    </w:p>
    <w:p w14:paraId="11AD123A" w14:textId="77777777" w:rsidR="00275C95"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基金管理人、基金托管人和基金份额持有人应当执行生效的基金份额持有人大会的决议。生效的基金份额持有人大会决议对全体基金份额持有人、基金管理人、基金托管人均有约束力。</w:t>
      </w:r>
    </w:p>
    <w:p w14:paraId="501589BD" w14:textId="0DABFADB"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（九）实施</w:t>
      </w: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期间基金份额持有人大会的特殊约定</w:t>
      </w:r>
    </w:p>
    <w:p w14:paraId="6552055A"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若本基金</w:t>
      </w:r>
      <w:proofErr w:type="gramStart"/>
      <w:r w:rsidRPr="002544B9">
        <w:rPr>
          <w:rFonts w:asciiTheme="minorEastAsia" w:hAnsiTheme="minorEastAsia" w:cs="Times New Roman" w:hint="eastAsia"/>
          <w:bCs/>
          <w:sz w:val="24"/>
          <w:szCs w:val="24"/>
        </w:rPr>
        <w:t>实施侧袋机制</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则相关</w:t>
      </w:r>
      <w:proofErr w:type="gramEnd"/>
      <w:r w:rsidRPr="002544B9">
        <w:rPr>
          <w:rFonts w:asciiTheme="minorEastAsia" w:hAnsiTheme="minorEastAsia" w:cs="Times New Roman" w:hint="eastAsia"/>
          <w:bCs/>
          <w:sz w:val="24"/>
          <w:szCs w:val="24"/>
        </w:rPr>
        <w:t>基金份额或表决权的比例</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w:t>
      </w:r>
      <w:proofErr w:type="gramStart"/>
      <w:r w:rsidRPr="002544B9">
        <w:rPr>
          <w:rFonts w:asciiTheme="minorEastAsia" w:hAnsiTheme="minorEastAsia" w:cs="Times New Roman" w:hint="eastAsia"/>
          <w:bCs/>
          <w:sz w:val="24"/>
          <w:szCs w:val="24"/>
        </w:rPr>
        <w:t>人和侧袋份额</w:t>
      </w:r>
      <w:proofErr w:type="gramEnd"/>
      <w:r w:rsidRPr="002544B9">
        <w:rPr>
          <w:rFonts w:asciiTheme="minorEastAsia" w:hAnsiTheme="minorEastAsia" w:cs="Times New Roman" w:hint="eastAsia"/>
          <w:bCs/>
          <w:sz w:val="24"/>
          <w:szCs w:val="24"/>
        </w:rPr>
        <w:t>持有人分别持有或代表的基金份额或表决权符合该等比例，但</w:t>
      </w:r>
      <w:proofErr w:type="gramStart"/>
      <w:r w:rsidRPr="002544B9">
        <w:rPr>
          <w:rFonts w:asciiTheme="minorEastAsia" w:hAnsiTheme="minorEastAsia" w:cs="Times New Roman" w:hint="eastAsia"/>
          <w:bCs/>
          <w:sz w:val="24"/>
          <w:szCs w:val="24"/>
        </w:rPr>
        <w:t>若相关</w:t>
      </w:r>
      <w:proofErr w:type="gramEnd"/>
      <w:r w:rsidRPr="002544B9">
        <w:rPr>
          <w:rFonts w:asciiTheme="minorEastAsia" w:hAnsiTheme="minorEastAsia" w:cs="Times New Roman" w:hint="eastAsia"/>
          <w:bCs/>
          <w:sz w:val="24"/>
          <w:szCs w:val="24"/>
        </w:rPr>
        <w:t>基金份额持有人大会召集和审议事项不</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的，则仅</w:t>
      </w:r>
      <w:proofErr w:type="gramStart"/>
      <w:r w:rsidRPr="002544B9">
        <w:rPr>
          <w:rFonts w:asciiTheme="minorEastAsia" w:hAnsiTheme="minorEastAsia" w:cs="Times New Roman" w:hint="eastAsia"/>
          <w:bCs/>
          <w:sz w:val="24"/>
          <w:szCs w:val="24"/>
        </w:rPr>
        <w:t>指主袋份额</w:t>
      </w:r>
      <w:proofErr w:type="gramEnd"/>
      <w:r w:rsidRPr="002544B9">
        <w:rPr>
          <w:rFonts w:asciiTheme="minorEastAsia" w:hAnsiTheme="minorEastAsia" w:cs="Times New Roman" w:hint="eastAsia"/>
          <w:bCs/>
          <w:sz w:val="24"/>
          <w:szCs w:val="24"/>
        </w:rPr>
        <w:t>持有人持有或代表的基金份额或表决权符合该等比例：</w:t>
      </w:r>
    </w:p>
    <w:p w14:paraId="16A44AE7"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1、基金份额持有人行使提议权、召集权、提名权所需单独或合计代表相关基金份额10%以上（含10%）；</w:t>
      </w:r>
    </w:p>
    <w:p w14:paraId="37DA476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2、现场开会的到会者在权益登记日代表的基金份额不少于本基金在权益登记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4BF1F8D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3、通讯开会的直接出具表决意见或授权他人代表出具表决意见的基金份额持有人所持有的基金份额不小于在权益登记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基金份额的二分之一（含二分之一）；</w:t>
      </w:r>
    </w:p>
    <w:p w14:paraId="1CE3E8FC"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w:t>
      </w:r>
      <w:proofErr w:type="gramStart"/>
      <w:r w:rsidRPr="002544B9">
        <w:rPr>
          <w:rFonts w:asciiTheme="minorEastAsia" w:hAnsiTheme="minorEastAsia" w:cs="Times New Roman" w:hint="eastAsia"/>
          <w:bCs/>
          <w:sz w:val="24"/>
          <w:szCs w:val="24"/>
        </w:rPr>
        <w:t>若参</w:t>
      </w:r>
      <w:proofErr w:type="gramEnd"/>
      <w:r w:rsidRPr="002544B9">
        <w:rPr>
          <w:rFonts w:asciiTheme="minorEastAsia" w:hAnsiTheme="minorEastAsia" w:cs="Times New Roman" w:hint="eastAsia"/>
          <w:bCs/>
          <w:sz w:val="24"/>
          <w:szCs w:val="24"/>
        </w:rPr>
        <w:t>与基金份额持有人大会投票的基金份额持有人所持有的基金份额小于在权益登记</w:t>
      </w:r>
      <w:proofErr w:type="gramStart"/>
      <w:r w:rsidRPr="002544B9">
        <w:rPr>
          <w:rFonts w:asciiTheme="minorEastAsia" w:hAnsiTheme="minorEastAsia" w:cs="Times New Roman" w:hint="eastAsia"/>
          <w:bCs/>
          <w:sz w:val="24"/>
          <w:szCs w:val="24"/>
        </w:rPr>
        <w:t>日相关</w:t>
      </w:r>
      <w:proofErr w:type="gramEnd"/>
      <w:r w:rsidRPr="002544B9">
        <w:rPr>
          <w:rFonts w:asciiTheme="minorEastAsia" w:hAnsiTheme="minorEastAsia" w:cs="Times New Roman" w:hint="eastAsia"/>
          <w:bCs/>
          <w:sz w:val="24"/>
          <w:szCs w:val="24"/>
        </w:rPr>
        <w:t>基金份额的二分之一，召集人在原公告的基金份额持有人大会召开时间的</w:t>
      </w:r>
      <w:r w:rsidRPr="002544B9">
        <w:rPr>
          <w:rFonts w:asciiTheme="minorEastAsia" w:hAnsiTheme="minorEastAsia" w:cs="Times New Roman"/>
          <w:bCs/>
          <w:sz w:val="24"/>
          <w:szCs w:val="24"/>
        </w:rPr>
        <w:t>3个月以后、6个月以内就原定审议事项重新召集的基金份额持有人大会应当有代表三分之一以上（含三分之一）相关基金份额的持有人参与或授权他人参与基金份额持有人大会投票；</w:t>
      </w:r>
    </w:p>
    <w:p w14:paraId="6E6DCAB5"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5、现场开会由出席大会的基金份额持有人和代理人所持表决权的二分之一以上（含二分之一）选举产生一名基金份额持有人作为该次基金份额持有人大会的主持人；</w:t>
      </w:r>
    </w:p>
    <w:p w14:paraId="050686AE"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6、一般决议须经参加大会的基金份额持有人或其代理人所持表决权的二分之一以上（含二分之一）通过；</w:t>
      </w:r>
    </w:p>
    <w:p w14:paraId="66697DAD"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7、特别决议应当经参加大会的基金份额持有人或其代理人所持表决权的三分之二以上（含三分之二）通过。</w:t>
      </w:r>
    </w:p>
    <w:p w14:paraId="78074616" w14:textId="77777777"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实施期间，基金份额持有人大会审议事项</w:t>
      </w:r>
      <w:proofErr w:type="gramStart"/>
      <w:r w:rsidRPr="002544B9">
        <w:rPr>
          <w:rFonts w:asciiTheme="minorEastAsia" w:hAnsiTheme="minorEastAsia" w:cs="Times New Roman" w:hint="eastAsia"/>
          <w:bCs/>
          <w:sz w:val="24"/>
          <w:szCs w:val="24"/>
        </w:rPr>
        <w:t>涉及主袋账户</w:t>
      </w:r>
      <w:proofErr w:type="gramEnd"/>
      <w:r w:rsidRPr="002544B9">
        <w:rPr>
          <w:rFonts w:asciiTheme="minorEastAsia" w:hAnsiTheme="minorEastAsia" w:cs="Times New Roman" w:hint="eastAsia"/>
          <w:bCs/>
          <w:sz w:val="24"/>
          <w:szCs w:val="24"/>
        </w:rPr>
        <w:t>和</w:t>
      </w:r>
      <w:proofErr w:type="gramStart"/>
      <w:r w:rsidRPr="002544B9">
        <w:rPr>
          <w:rFonts w:asciiTheme="minorEastAsia" w:hAnsiTheme="minorEastAsia" w:cs="Times New Roman" w:hint="eastAsia"/>
          <w:bCs/>
          <w:sz w:val="24"/>
          <w:szCs w:val="24"/>
        </w:rPr>
        <w:t>侧袋</w:t>
      </w:r>
      <w:proofErr w:type="gramEnd"/>
      <w:r w:rsidRPr="002544B9">
        <w:rPr>
          <w:rFonts w:asciiTheme="minorEastAsia" w:hAnsiTheme="minorEastAsia" w:cs="Times New Roman" w:hint="eastAsia"/>
          <w:bCs/>
          <w:sz w:val="24"/>
          <w:szCs w:val="24"/>
        </w:rPr>
        <w:t>账户的，应分别</w:t>
      </w:r>
      <w:proofErr w:type="gramStart"/>
      <w:r w:rsidRPr="002544B9">
        <w:rPr>
          <w:rFonts w:asciiTheme="minorEastAsia" w:hAnsiTheme="minorEastAsia" w:cs="Times New Roman" w:hint="eastAsia"/>
          <w:bCs/>
          <w:sz w:val="24"/>
          <w:szCs w:val="24"/>
        </w:rPr>
        <w:t>由主袋账户</w:t>
      </w:r>
      <w:proofErr w:type="gramEnd"/>
      <w:r w:rsidRPr="002544B9">
        <w:rPr>
          <w:rFonts w:asciiTheme="minorEastAsia" w:hAnsiTheme="minorEastAsia" w:cs="Times New Roman" w:hint="eastAsia"/>
          <w:bCs/>
          <w:sz w:val="24"/>
          <w:szCs w:val="24"/>
        </w:rPr>
        <w:t>、</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的基金份额持有人进行表决，同</w:t>
      </w:r>
      <w:proofErr w:type="gramStart"/>
      <w:r w:rsidRPr="002544B9">
        <w:rPr>
          <w:rFonts w:asciiTheme="minorEastAsia" w:hAnsiTheme="minorEastAsia" w:cs="Times New Roman" w:hint="eastAsia"/>
          <w:bCs/>
          <w:sz w:val="24"/>
          <w:szCs w:val="24"/>
        </w:rPr>
        <w:t>一主侧袋账户</w:t>
      </w:r>
      <w:proofErr w:type="gramEnd"/>
      <w:r w:rsidRPr="002544B9">
        <w:rPr>
          <w:rFonts w:asciiTheme="minorEastAsia" w:hAnsiTheme="minorEastAsia" w:cs="Times New Roman" w:hint="eastAsia"/>
          <w:bCs/>
          <w:sz w:val="24"/>
          <w:szCs w:val="24"/>
        </w:rPr>
        <w:t>内的每份基金份额具有平等的表决权。表决事项未</w:t>
      </w:r>
      <w:proofErr w:type="gramStart"/>
      <w:r w:rsidRPr="002544B9">
        <w:rPr>
          <w:rFonts w:asciiTheme="minorEastAsia" w:hAnsiTheme="minorEastAsia" w:cs="Times New Roman" w:hint="eastAsia"/>
          <w:bCs/>
          <w:sz w:val="24"/>
          <w:szCs w:val="24"/>
        </w:rPr>
        <w:t>涉及侧袋账户</w:t>
      </w:r>
      <w:proofErr w:type="gramEnd"/>
      <w:r w:rsidRPr="002544B9">
        <w:rPr>
          <w:rFonts w:asciiTheme="minorEastAsia" w:hAnsiTheme="minorEastAsia" w:cs="Times New Roman" w:hint="eastAsia"/>
          <w:bCs/>
          <w:sz w:val="24"/>
          <w:szCs w:val="24"/>
        </w:rPr>
        <w:t>的，</w:t>
      </w:r>
      <w:proofErr w:type="gramStart"/>
      <w:r w:rsidRPr="002544B9">
        <w:rPr>
          <w:rFonts w:asciiTheme="minorEastAsia" w:hAnsiTheme="minorEastAsia" w:cs="Times New Roman" w:hint="eastAsia"/>
          <w:bCs/>
          <w:sz w:val="24"/>
          <w:szCs w:val="24"/>
        </w:rPr>
        <w:t>侧袋账户</w:t>
      </w:r>
      <w:proofErr w:type="gramEnd"/>
      <w:r w:rsidRPr="002544B9">
        <w:rPr>
          <w:rFonts w:asciiTheme="minorEastAsia" w:hAnsiTheme="minorEastAsia" w:cs="Times New Roman" w:hint="eastAsia"/>
          <w:bCs/>
          <w:sz w:val="24"/>
          <w:szCs w:val="24"/>
        </w:rPr>
        <w:t>份额无表决权。</w:t>
      </w:r>
    </w:p>
    <w:p w14:paraId="70BC88D1" w14:textId="4A18BDF1" w:rsidR="000974F8" w:rsidRPr="002544B9" w:rsidRDefault="000974F8" w:rsidP="000974F8">
      <w:pPr>
        <w:widowControl/>
        <w:spacing w:line="360" w:lineRule="auto"/>
        <w:ind w:firstLineChars="200" w:firstLine="480"/>
        <w:jc w:val="left"/>
        <w:rPr>
          <w:rFonts w:asciiTheme="minorEastAsia" w:hAnsiTheme="minorEastAsia" w:cs="Times New Roman"/>
          <w:bCs/>
          <w:sz w:val="24"/>
          <w:szCs w:val="24"/>
        </w:rPr>
      </w:pPr>
      <w:proofErr w:type="gramStart"/>
      <w:r w:rsidRPr="002544B9">
        <w:rPr>
          <w:rFonts w:asciiTheme="minorEastAsia" w:hAnsiTheme="minorEastAsia" w:cs="Times New Roman" w:hint="eastAsia"/>
          <w:bCs/>
          <w:sz w:val="24"/>
          <w:szCs w:val="24"/>
        </w:rPr>
        <w:t>侧袋机制</w:t>
      </w:r>
      <w:proofErr w:type="gramEnd"/>
      <w:r w:rsidRPr="002544B9">
        <w:rPr>
          <w:rFonts w:asciiTheme="minorEastAsia" w:hAnsiTheme="minorEastAsia" w:cs="Times New Roman" w:hint="eastAsia"/>
          <w:bCs/>
          <w:sz w:val="24"/>
          <w:szCs w:val="24"/>
        </w:rPr>
        <w:t>实施期间，关于基金份额持有人大会的相关规定以本节特殊约定内容为准，本节没有规定的适用本部分的相关规定。</w:t>
      </w:r>
    </w:p>
    <w:p w14:paraId="640FDEB7" w14:textId="09130569" w:rsidR="00AC3A9B" w:rsidRPr="002544B9" w:rsidRDefault="00275C95" w:rsidP="00275C95">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000974F8" w:rsidRPr="002544B9">
        <w:rPr>
          <w:rFonts w:asciiTheme="minorEastAsia" w:hAnsiTheme="minorEastAsia" w:cs="Times New Roman" w:hint="eastAsia"/>
          <w:bCs/>
          <w:sz w:val="24"/>
          <w:szCs w:val="24"/>
        </w:rPr>
        <w:t>十</w:t>
      </w:r>
      <w:r w:rsidRPr="002544B9">
        <w:rPr>
          <w:rFonts w:asciiTheme="minorEastAsia" w:hAnsiTheme="minorEastAsia" w:cs="Times New Roman" w:hint="eastAsia"/>
          <w:bCs/>
          <w:sz w:val="24"/>
          <w:szCs w:val="24"/>
        </w:rPr>
        <w:t>）本部</w:t>
      </w:r>
      <w:proofErr w:type="gramStart"/>
      <w:r w:rsidRPr="002544B9">
        <w:rPr>
          <w:rFonts w:asciiTheme="minorEastAsia" w:hAnsiTheme="minorEastAsia" w:cs="Times New Roman" w:hint="eastAsia"/>
          <w:bCs/>
          <w:sz w:val="24"/>
          <w:szCs w:val="24"/>
        </w:rPr>
        <w:t>分关于</w:t>
      </w:r>
      <w:proofErr w:type="gramEnd"/>
      <w:r w:rsidRPr="002544B9">
        <w:rPr>
          <w:rFonts w:asciiTheme="minorEastAsia" w:hAnsiTheme="minorEastAsia" w:cs="Times New Roman" w:hint="eastAsia"/>
          <w:bCs/>
          <w:sz w:val="24"/>
          <w:szCs w:val="24"/>
        </w:rPr>
        <w:t>基金份额持有人大会召开事由、召开条件、议事程序、表决条件等规定，凡是直接引用法律法规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的部分，如将来法律法规</w:t>
      </w:r>
      <w:r w:rsidR="00C16C78" w:rsidRPr="002544B9">
        <w:rPr>
          <w:rFonts w:asciiTheme="minorEastAsia" w:hAnsiTheme="minorEastAsia" w:cs="Times New Roman" w:hint="eastAsia"/>
          <w:bCs/>
          <w:sz w:val="24"/>
          <w:szCs w:val="24"/>
        </w:rPr>
        <w:t>或监管规则</w:t>
      </w:r>
      <w:r w:rsidRPr="002544B9">
        <w:rPr>
          <w:rFonts w:asciiTheme="minorEastAsia" w:hAnsiTheme="minorEastAsia" w:cs="Times New Roman" w:hint="eastAsia"/>
          <w:bCs/>
          <w:sz w:val="24"/>
          <w:szCs w:val="24"/>
        </w:rPr>
        <w:t>修改导致相关内容被取消或变更的，基金管理人提前公告后，可直接对本部分内容进行修改和调整，无需召开基金份额持有人大会审议。</w:t>
      </w:r>
    </w:p>
    <w:p w14:paraId="4FE00186" w14:textId="77777777" w:rsidR="00AC3A9B" w:rsidRPr="002544B9" w:rsidRDefault="002C3C29">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三、基金合同解除和终止的事由、程序以及基金财产清算方式</w:t>
      </w:r>
    </w:p>
    <w:p w14:paraId="5A876201" w14:textId="2D62F8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（一）《基金合同》的变更</w:t>
      </w:r>
    </w:p>
    <w:p w14:paraId="16C7A72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1、变更基金合同涉及法律法规规定或本基金合同约定应经基金份额持有人大会决议通过的事项的，应召</w:t>
      </w:r>
      <w:proofErr w:type="gramStart"/>
      <w:r w:rsidRPr="002544B9">
        <w:rPr>
          <w:rFonts w:asciiTheme="minorEastAsia" w:hAnsiTheme="minorEastAsia" w:cs="Times New Roman" w:hint="eastAsia"/>
          <w:bCs/>
          <w:sz w:val="24"/>
          <w:szCs w:val="24"/>
        </w:rPr>
        <w:t>开基金</w:t>
      </w:r>
      <w:proofErr w:type="gramEnd"/>
      <w:r w:rsidRPr="002544B9">
        <w:rPr>
          <w:rFonts w:asciiTheme="minorEastAsia" w:hAnsiTheme="minorEastAsia" w:cs="Times New Roman" w:hint="eastAsia"/>
          <w:bCs/>
          <w:sz w:val="24"/>
          <w:szCs w:val="24"/>
        </w:rPr>
        <w:t>份额持有人大会决议通过。对于法律法规规定和基金合同约定可不经基金份额持有人大会决议通过的事项，由基金管理人和基金托管人同意后变更并公告，并报中国证监会备案。</w:t>
      </w:r>
    </w:p>
    <w:p w14:paraId="0464D831" w14:textId="10C9DA00"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2、关于《基金合同》变更的基金份额持有人大会决议自表决通过之日起生效，并</w:t>
      </w:r>
      <w:proofErr w:type="gramStart"/>
      <w:r w:rsidRPr="002544B9">
        <w:rPr>
          <w:rFonts w:asciiTheme="minorEastAsia" w:hAnsiTheme="minorEastAsia" w:cs="Times New Roman" w:hint="eastAsia"/>
          <w:bCs/>
          <w:sz w:val="24"/>
          <w:szCs w:val="24"/>
        </w:rPr>
        <w:t>自决议</w:t>
      </w:r>
      <w:proofErr w:type="gramEnd"/>
      <w:r w:rsidRPr="002544B9">
        <w:rPr>
          <w:rFonts w:asciiTheme="minorEastAsia" w:hAnsiTheme="minorEastAsia" w:cs="Times New Roman" w:hint="eastAsia"/>
          <w:bCs/>
          <w:sz w:val="24"/>
          <w:szCs w:val="24"/>
        </w:rPr>
        <w:t>生效后依照《信息披露办法》的有关规定在</w:t>
      </w:r>
      <w:r w:rsidR="00AF017B" w:rsidRPr="002544B9">
        <w:rPr>
          <w:rFonts w:asciiTheme="minorEastAsia" w:hAnsiTheme="minorEastAsia" w:cs="Times New Roman" w:hint="eastAsia"/>
          <w:bCs/>
          <w:sz w:val="24"/>
          <w:szCs w:val="24"/>
        </w:rPr>
        <w:t>规定媒介</w:t>
      </w:r>
      <w:r w:rsidRPr="002544B9">
        <w:rPr>
          <w:rFonts w:asciiTheme="minorEastAsia" w:hAnsiTheme="minorEastAsia" w:cs="Times New Roman" w:hint="eastAsia"/>
          <w:bCs/>
          <w:sz w:val="24"/>
          <w:szCs w:val="24"/>
        </w:rPr>
        <w:t>公告。</w:t>
      </w:r>
    </w:p>
    <w:p w14:paraId="2BC692CA" w14:textId="0F44966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（二）《基金合同》的终止事由</w:t>
      </w:r>
    </w:p>
    <w:p w14:paraId="7BFA11B1"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有下列情形之一的，经履行相关程序后，《基金合同》应当终止：</w:t>
      </w:r>
    </w:p>
    <w:p w14:paraId="4385A9FD"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1、基金份额持有人大会决定终止的；</w:t>
      </w:r>
    </w:p>
    <w:p w14:paraId="79D71DF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2、基金管理人、基金托管人职责终止，在6个月内没有新基金管理人、新基金托管人承接的；</w:t>
      </w:r>
    </w:p>
    <w:p w14:paraId="4CA5320B"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3、《基金合同》约定的其他情形；</w:t>
      </w:r>
    </w:p>
    <w:p w14:paraId="787DBB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4、相关法律法规和中国证监会规定的其他情况。</w:t>
      </w:r>
    </w:p>
    <w:p w14:paraId="0A8FA9E6" w14:textId="010DAD33"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（三）基金财产的清算</w:t>
      </w:r>
    </w:p>
    <w:p w14:paraId="4475823E" w14:textId="6B39619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1、基金财产清算小组：自出现《基金合同》终止事由之日起30个工作日内成立清算小组，基金管理人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组织基金财产清算小组并在中国证监会的监督下进行基金清算。</w:t>
      </w:r>
    </w:p>
    <w:p w14:paraId="6B126C5F" w14:textId="2ABCE81A"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2、基金财产清算小组组成：基金财产清算小组成员由基金管理人</w:t>
      </w:r>
      <w:r w:rsidR="008D530A" w:rsidRPr="002544B9">
        <w:rPr>
          <w:rFonts w:asciiTheme="minorEastAsia" w:hAnsiTheme="minorEastAsia" w:cs="Times New Roman" w:hint="eastAsia"/>
          <w:bCs/>
          <w:sz w:val="24"/>
          <w:szCs w:val="24"/>
        </w:rPr>
        <w:t>或临时基金管理人</w:t>
      </w:r>
      <w:r w:rsidRPr="002544B9">
        <w:rPr>
          <w:rFonts w:asciiTheme="minorEastAsia" w:hAnsiTheme="minorEastAsia" w:cs="Times New Roman" w:hint="eastAsia"/>
          <w:bCs/>
          <w:sz w:val="24"/>
          <w:szCs w:val="24"/>
        </w:rPr>
        <w:t>、基金托管人、</w:t>
      </w:r>
      <w:r w:rsidR="008D530A" w:rsidRPr="002544B9">
        <w:rPr>
          <w:rFonts w:asciiTheme="minorEastAsia" w:hAnsiTheme="minorEastAsia" w:cs="Times New Roman" w:hint="eastAsia"/>
          <w:bCs/>
          <w:sz w:val="24"/>
          <w:szCs w:val="24"/>
        </w:rPr>
        <w:t>符合《中华人民共和国证券法》规定</w:t>
      </w:r>
      <w:r w:rsidRPr="002544B9">
        <w:rPr>
          <w:rFonts w:asciiTheme="minorEastAsia" w:hAnsiTheme="minorEastAsia" w:cs="Times New Roman" w:hint="eastAsia"/>
          <w:bCs/>
          <w:sz w:val="24"/>
          <w:szCs w:val="24"/>
        </w:rPr>
        <w:t>的注册会计师、律师以及中国证监会指定的人员组成。基金财产清算小组可以聘用必要的工作人员。</w:t>
      </w:r>
    </w:p>
    <w:p w14:paraId="3CD46F4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3、基金财产清算小组职责：基金财产清算小组负责基金财产的保管、清理、估价、变现和分配。基金财产清算小组可以依法进行必要的民事活动。</w:t>
      </w:r>
    </w:p>
    <w:p w14:paraId="3CBDA68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4、基金财产清算程序：</w:t>
      </w:r>
    </w:p>
    <w:p w14:paraId="52AA313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1）《基金合同》终止情形出现时，由基金财产清算小组统一接管基金；</w:t>
      </w:r>
    </w:p>
    <w:p w14:paraId="662E7F84"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2）对基金财产和债权债务进行清理和确认；</w:t>
      </w:r>
    </w:p>
    <w:p w14:paraId="20DECCD0"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3）对基金财产进行估值和变现；</w:t>
      </w:r>
    </w:p>
    <w:p w14:paraId="1E640395"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4）制作清算报告；</w:t>
      </w:r>
    </w:p>
    <w:p w14:paraId="7DEA318F"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5）聘请会计师事务所对清算报告进行外部审计，聘请律师事务所对清算报告出具法律意见书；</w:t>
      </w:r>
    </w:p>
    <w:p w14:paraId="1C7C3143"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6）将清算报告报中国证监会备案并公告；</w:t>
      </w:r>
    </w:p>
    <w:p w14:paraId="637AA9F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w:t>
      </w:r>
      <w:r w:rsidRPr="002544B9">
        <w:rPr>
          <w:rFonts w:asciiTheme="minorEastAsia" w:hAnsiTheme="minorEastAsia" w:cs="Times New Roman"/>
          <w:bCs/>
          <w:sz w:val="24"/>
          <w:szCs w:val="24"/>
        </w:rPr>
        <w:t>7）对基金剩余财产进行分配。</w:t>
      </w:r>
    </w:p>
    <w:p w14:paraId="73D80FCC" w14:textId="5C0AEBE8"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bCs/>
          <w:sz w:val="24"/>
          <w:szCs w:val="24"/>
        </w:rPr>
        <w:t>5、基金财产清算的期限为6个月，但因本基金所持证券的流动性受到限制而不能及时变现的，清算期限</w:t>
      </w:r>
      <w:r w:rsidR="008D530A" w:rsidRPr="002544B9">
        <w:rPr>
          <w:rFonts w:asciiTheme="minorEastAsia" w:hAnsiTheme="minorEastAsia" w:cs="Times New Roman" w:hint="eastAsia"/>
          <w:bCs/>
          <w:sz w:val="24"/>
          <w:szCs w:val="24"/>
        </w:rPr>
        <w:t>可</w:t>
      </w:r>
      <w:r w:rsidRPr="002544B9">
        <w:rPr>
          <w:rFonts w:asciiTheme="minorEastAsia" w:hAnsiTheme="minorEastAsia" w:cs="Times New Roman" w:hint="eastAsia"/>
          <w:bCs/>
          <w:sz w:val="24"/>
          <w:szCs w:val="24"/>
        </w:rPr>
        <w:t>相应顺延。</w:t>
      </w:r>
    </w:p>
    <w:p w14:paraId="42E2EA7D" w14:textId="1F09D3D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（四）清算费用</w:t>
      </w:r>
    </w:p>
    <w:p w14:paraId="164A8E1C"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清算费用是指基金财产清算小组在进行基金清算过程中发生的所有合理费用，清算费用由基金财产清算小组优先从基金财产中支付。</w:t>
      </w:r>
    </w:p>
    <w:p w14:paraId="453A93B3" w14:textId="6638FB0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（五）基金财产清算剩余资产的分配</w:t>
      </w:r>
    </w:p>
    <w:p w14:paraId="73411776" w14:textId="77777777"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依据基金财产清算的分配方案，将基金财产清算后的全部剩余资产扣除基金财产清算费用、交纳所欠税款并清偿基金债务后，按基金份额持有人持有的基金份额比例进行分配。</w:t>
      </w:r>
    </w:p>
    <w:p w14:paraId="232DF71D" w14:textId="5A8B9119"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（六）基金财产清算的公告</w:t>
      </w:r>
    </w:p>
    <w:p w14:paraId="356DE715" w14:textId="0E21FE15"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清算过程中的有关重大事项须及时公告；基金财产清算报告</w:t>
      </w:r>
      <w:proofErr w:type="gramStart"/>
      <w:r w:rsidRPr="002544B9">
        <w:rPr>
          <w:rFonts w:asciiTheme="minorEastAsia" w:hAnsiTheme="minorEastAsia" w:cs="Times New Roman" w:hint="eastAsia"/>
          <w:bCs/>
          <w:sz w:val="24"/>
          <w:szCs w:val="24"/>
        </w:rPr>
        <w:t>经</w:t>
      </w:r>
      <w:r w:rsidR="008D530A" w:rsidRPr="002544B9">
        <w:rPr>
          <w:rFonts w:asciiTheme="minorEastAsia" w:hAnsiTheme="minorEastAsia" w:cs="Times New Roman" w:hint="eastAsia"/>
          <w:bCs/>
          <w:sz w:val="24"/>
          <w:szCs w:val="24"/>
        </w:rPr>
        <w:t>符合</w:t>
      </w:r>
      <w:proofErr w:type="gramEnd"/>
      <w:r w:rsidR="008D530A" w:rsidRPr="002544B9">
        <w:rPr>
          <w:rFonts w:asciiTheme="minorEastAsia" w:hAnsiTheme="minorEastAsia" w:cs="Times New Roman" w:hint="eastAsia"/>
          <w:bCs/>
          <w:sz w:val="24"/>
          <w:szCs w:val="24"/>
        </w:rPr>
        <w:t>《中华人民共和国证券法》规定</w:t>
      </w:r>
      <w:r w:rsidRPr="002544B9">
        <w:rPr>
          <w:rFonts w:asciiTheme="minorEastAsia" w:hAnsiTheme="minorEastAsia" w:cs="Times New Roman" w:hint="eastAsia"/>
          <w:bCs/>
          <w:sz w:val="24"/>
          <w:szCs w:val="24"/>
        </w:rPr>
        <w:t>的会计师事务所审计并由律师事务所出具法律意见书后报中国证监会备案并公告。基金财产清算公告于基金财产清算报告报中国证监会备案后</w:t>
      </w:r>
      <w:r w:rsidRPr="002544B9">
        <w:rPr>
          <w:rFonts w:asciiTheme="minorEastAsia" w:hAnsiTheme="minorEastAsia" w:cs="Times New Roman"/>
          <w:bCs/>
          <w:sz w:val="24"/>
          <w:szCs w:val="24"/>
        </w:rPr>
        <w:t>5个工作日内由基金财产清算小组进行公告，基金财产清算小组应当将清算报告登载在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定网站上，并将清算报告提示性公告登载在</w:t>
      </w:r>
      <w:r w:rsidR="008D530A" w:rsidRPr="002544B9">
        <w:rPr>
          <w:rFonts w:asciiTheme="minorEastAsia" w:hAnsiTheme="minorEastAsia" w:cs="Times New Roman" w:hint="eastAsia"/>
          <w:bCs/>
          <w:sz w:val="24"/>
          <w:szCs w:val="24"/>
        </w:rPr>
        <w:t>规</w:t>
      </w:r>
      <w:r w:rsidRPr="002544B9">
        <w:rPr>
          <w:rFonts w:asciiTheme="minorEastAsia" w:hAnsiTheme="minorEastAsia" w:cs="Times New Roman" w:hint="eastAsia"/>
          <w:bCs/>
          <w:sz w:val="24"/>
          <w:szCs w:val="24"/>
        </w:rPr>
        <w:t>定报刊上。</w:t>
      </w:r>
    </w:p>
    <w:p w14:paraId="5446D869" w14:textId="26105B4F"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（七）基金财产清算账册及文件的保存</w:t>
      </w:r>
    </w:p>
    <w:p w14:paraId="1C20697C" w14:textId="7FA924AC" w:rsidR="002040A3" w:rsidRPr="002544B9" w:rsidRDefault="002040A3" w:rsidP="002040A3">
      <w:pPr>
        <w:widowControl/>
        <w:spacing w:line="360" w:lineRule="auto"/>
        <w:ind w:firstLineChars="200" w:firstLine="480"/>
        <w:jc w:val="left"/>
        <w:rPr>
          <w:rFonts w:asciiTheme="minorEastAsia" w:hAnsiTheme="minorEastAsia" w:cs="Times New Roman"/>
          <w:bCs/>
          <w:sz w:val="24"/>
          <w:szCs w:val="24"/>
        </w:rPr>
      </w:pPr>
      <w:r w:rsidRPr="002544B9">
        <w:rPr>
          <w:rFonts w:asciiTheme="minorEastAsia" w:hAnsiTheme="minorEastAsia" w:cs="Times New Roman" w:hint="eastAsia"/>
          <w:bCs/>
          <w:sz w:val="24"/>
          <w:szCs w:val="24"/>
        </w:rPr>
        <w:t>基金财产清算账册及有关文件由基金托管人保存</w:t>
      </w:r>
      <w:r w:rsidR="008D530A" w:rsidRPr="002544B9">
        <w:rPr>
          <w:rFonts w:asciiTheme="minorEastAsia" w:hAnsiTheme="minorEastAsia" w:cs="Times New Roman" w:hint="eastAsia"/>
          <w:bCs/>
          <w:sz w:val="24"/>
          <w:szCs w:val="24"/>
        </w:rPr>
        <w:t>，保存期限不低于法律法规规定的最低期限</w:t>
      </w:r>
      <w:r w:rsidRPr="002544B9">
        <w:rPr>
          <w:rFonts w:asciiTheme="minorEastAsia" w:hAnsiTheme="minorEastAsia" w:cs="Times New Roman" w:hint="eastAsia"/>
          <w:bCs/>
          <w:sz w:val="24"/>
          <w:szCs w:val="24"/>
        </w:rPr>
        <w:t>。</w:t>
      </w:r>
    </w:p>
    <w:p w14:paraId="5382AFE7" w14:textId="77777777" w:rsidR="002040A3" w:rsidRPr="002544B9" w:rsidRDefault="002040A3">
      <w:pPr>
        <w:widowControl/>
        <w:jc w:val="left"/>
        <w:rPr>
          <w:rFonts w:asciiTheme="minorEastAsia" w:hAnsiTheme="minorEastAsia" w:cs="Times New Roman"/>
          <w:bCs/>
          <w:sz w:val="24"/>
          <w:szCs w:val="24"/>
        </w:rPr>
      </w:pPr>
      <w:r w:rsidRPr="002544B9">
        <w:rPr>
          <w:rFonts w:asciiTheme="minorEastAsia" w:hAnsiTheme="minorEastAsia" w:cs="Times New Roman"/>
          <w:bCs/>
          <w:sz w:val="24"/>
          <w:szCs w:val="24"/>
        </w:rPr>
        <w:br w:type="page"/>
      </w:r>
    </w:p>
    <w:p w14:paraId="0ABC48D2" w14:textId="16F0D692" w:rsidR="00AC3A9B" w:rsidRPr="002544B9" w:rsidRDefault="002C3C29">
      <w:pPr>
        <w:pStyle w:val="1"/>
        <w:jc w:val="center"/>
        <w:rPr>
          <w:sz w:val="30"/>
          <w:szCs w:val="30"/>
        </w:rPr>
      </w:pPr>
      <w:bookmarkStart w:id="401" w:name="_Toc214873614"/>
      <w:bookmarkStart w:id="402" w:name="_Toc263092327"/>
      <w:bookmarkStart w:id="403" w:name="_Toc416264554"/>
      <w:bookmarkStart w:id="404" w:name="_Toc68266307"/>
      <w:bookmarkStart w:id="405" w:name="_Toc104205531"/>
      <w:bookmarkStart w:id="406" w:name="_Toc141703901"/>
      <w:bookmarkStart w:id="407" w:name="_Toc21240"/>
      <w:bookmarkStart w:id="408" w:name="_Toc139991750"/>
      <w:bookmarkStart w:id="409" w:name="_Toc79392641"/>
      <w:bookmarkStart w:id="410" w:name="_Toc27058"/>
      <w:bookmarkStart w:id="411" w:name="_Toc13398"/>
      <w:bookmarkStart w:id="412" w:name="_Toc352229766"/>
      <w:bookmarkStart w:id="413" w:name="_Toc9708"/>
      <w:bookmarkStart w:id="414" w:name="_Toc123051466"/>
      <w:bookmarkStart w:id="415" w:name="_Toc7367"/>
      <w:bookmarkStart w:id="416" w:name="_Toc48649720"/>
      <w:bookmarkStart w:id="417" w:name="_Toc30645"/>
      <w:bookmarkStart w:id="418" w:name="_Toc28549"/>
      <w:bookmarkStart w:id="419" w:name="_Toc98560365"/>
      <w:bookmarkStart w:id="420" w:name="_Toc23166"/>
      <w:bookmarkStart w:id="421" w:name="_Toc12191"/>
      <w:bookmarkStart w:id="422" w:name="_Toc8710"/>
      <w:bookmarkStart w:id="423" w:name="_Toc123102467"/>
      <w:bookmarkStart w:id="424" w:name="_Toc123112248"/>
      <w:bookmarkStart w:id="425" w:name="_Toc2302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r w:rsidRPr="002544B9">
        <w:rPr>
          <w:rFonts w:hint="eastAsia"/>
          <w:sz w:val="30"/>
          <w:szCs w:val="30"/>
        </w:rPr>
        <w:t>第</w:t>
      </w:r>
      <w:r w:rsidR="00C25DD8" w:rsidRPr="002544B9">
        <w:rPr>
          <w:rFonts w:hint="eastAsia"/>
          <w:sz w:val="30"/>
          <w:szCs w:val="30"/>
        </w:rPr>
        <w:t>二十</w:t>
      </w:r>
      <w:r w:rsidRPr="002544B9">
        <w:rPr>
          <w:rFonts w:hint="eastAsia"/>
          <w:sz w:val="30"/>
          <w:szCs w:val="30"/>
        </w:rPr>
        <w:t>部分</w:t>
      </w:r>
      <w:r w:rsidRPr="002544B9">
        <w:rPr>
          <w:sz w:val="30"/>
          <w:szCs w:val="30"/>
        </w:rPr>
        <w:t xml:space="preserve">  </w:t>
      </w:r>
      <w:r w:rsidRPr="002544B9">
        <w:rPr>
          <w:rFonts w:hint="eastAsia"/>
          <w:sz w:val="30"/>
          <w:szCs w:val="30"/>
        </w:rPr>
        <w:t>基金托管协议的内容摘要</w:t>
      </w:r>
      <w:bookmarkEnd w:id="401"/>
      <w:bookmarkEnd w:id="402"/>
      <w:bookmarkEnd w:id="403"/>
      <w:bookmarkEnd w:id="404"/>
      <w:bookmarkEnd w:id="405"/>
    </w:p>
    <w:p w14:paraId="7442649F" w14:textId="059DE4DB"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托管协议当事人</w:t>
      </w:r>
    </w:p>
    <w:p w14:paraId="321B1AC7"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（一）基金管理人（或简称“管理人”）</w:t>
      </w:r>
    </w:p>
    <w:p w14:paraId="54DF173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名称：富荣基金管理有限公司</w:t>
      </w:r>
    </w:p>
    <w:p w14:paraId="0D8B5BE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住所：广州市南沙区海滨路</w:t>
      </w:r>
      <w:r w:rsidRPr="002544B9">
        <w:rPr>
          <w:rFonts w:asciiTheme="minorEastAsia" w:hAnsiTheme="minorEastAsia" w:cs="Arial"/>
          <w:kern w:val="0"/>
          <w:sz w:val="24"/>
          <w:szCs w:val="24"/>
        </w:rPr>
        <w:t>171号南沙金融大厦11楼1101之一J20室</w:t>
      </w:r>
    </w:p>
    <w:p w14:paraId="365241A1" w14:textId="52A99A64" w:rsidR="00AC3A9B" w:rsidRPr="002544B9" w:rsidRDefault="002C3C29">
      <w:pPr>
        <w:adjustRightInd w:val="0"/>
        <w:snapToGrid w:val="0"/>
        <w:spacing w:line="360" w:lineRule="auto"/>
        <w:ind w:left="840" w:hanging="420"/>
        <w:rPr>
          <w:rFonts w:asciiTheme="minorEastAsia" w:hAnsiTheme="minorEastAsia" w:cs="Times New Roman"/>
          <w:kern w:val="0"/>
          <w:sz w:val="24"/>
          <w:szCs w:val="24"/>
        </w:rPr>
      </w:pPr>
      <w:r w:rsidRPr="002544B9">
        <w:rPr>
          <w:rFonts w:asciiTheme="minorEastAsia" w:hAnsiTheme="minorEastAsia" w:cs="Arial" w:hint="eastAsia"/>
          <w:kern w:val="0"/>
          <w:sz w:val="24"/>
          <w:szCs w:val="24"/>
        </w:rPr>
        <w:t>办公地址：</w:t>
      </w:r>
      <w:r w:rsidR="00466D2A" w:rsidRPr="002544B9">
        <w:rPr>
          <w:rFonts w:asciiTheme="minorEastAsia" w:hAnsiTheme="minorEastAsia" w:cs="Arial" w:hint="eastAsia"/>
          <w:kern w:val="0"/>
          <w:sz w:val="24"/>
          <w:szCs w:val="24"/>
        </w:rPr>
        <w:t>广东省</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52号安吉</w:t>
      </w:r>
      <w:proofErr w:type="gramStart"/>
      <w:r w:rsidRPr="002544B9">
        <w:rPr>
          <w:rFonts w:asciiTheme="minorEastAsia" w:hAnsiTheme="minorEastAsia" w:cs="Times New Roman" w:hint="eastAsia"/>
          <w:kern w:val="0"/>
          <w:sz w:val="24"/>
          <w:szCs w:val="24"/>
        </w:rPr>
        <w:t>尔大厦</w:t>
      </w:r>
      <w:proofErr w:type="gramEnd"/>
      <w:r w:rsidRPr="002544B9">
        <w:rPr>
          <w:rFonts w:asciiTheme="minorEastAsia" w:hAnsiTheme="minorEastAsia" w:cs="Times New Roman"/>
          <w:kern w:val="0"/>
          <w:sz w:val="24"/>
          <w:szCs w:val="24"/>
        </w:rPr>
        <w:t>24层</w:t>
      </w:r>
    </w:p>
    <w:p w14:paraId="0CAC8F9D"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法定代表人：杨小舟</w:t>
      </w:r>
    </w:p>
    <w:p w14:paraId="530E3082" w14:textId="30644AB9"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成立</w:t>
      </w:r>
      <w:r w:rsidR="00466D2A" w:rsidRPr="002544B9">
        <w:rPr>
          <w:rFonts w:asciiTheme="minorEastAsia" w:hAnsiTheme="minorEastAsia" w:cs="Arial" w:hint="eastAsia"/>
          <w:kern w:val="0"/>
          <w:sz w:val="24"/>
          <w:szCs w:val="24"/>
        </w:rPr>
        <w:t>时间</w:t>
      </w:r>
      <w:r w:rsidRPr="002544B9">
        <w:rPr>
          <w:rFonts w:asciiTheme="minorEastAsia" w:hAnsiTheme="minorEastAsia" w:cs="Arial" w:hint="eastAsia"/>
          <w:kern w:val="0"/>
          <w:sz w:val="24"/>
          <w:szCs w:val="24"/>
        </w:rPr>
        <w:t>：</w:t>
      </w:r>
      <w:r w:rsidRPr="002544B9">
        <w:rPr>
          <w:rFonts w:asciiTheme="minorEastAsia" w:hAnsiTheme="minorEastAsia" w:cs="Arial"/>
          <w:kern w:val="0"/>
          <w:sz w:val="24"/>
          <w:szCs w:val="24"/>
        </w:rPr>
        <w:t>2016年1月25日</w:t>
      </w:r>
      <w:r w:rsidRPr="002544B9">
        <w:rPr>
          <w:rFonts w:asciiTheme="minorEastAsia" w:hAnsiTheme="minorEastAsia" w:cs="Arial"/>
          <w:kern w:val="0"/>
          <w:sz w:val="24"/>
          <w:szCs w:val="24"/>
        </w:rPr>
        <w:tab/>
      </w:r>
    </w:p>
    <w:p w14:paraId="5353CCB1" w14:textId="623CEC37" w:rsidR="00466D2A"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批准设立机关</w:t>
      </w:r>
      <w:r w:rsidR="00466D2A" w:rsidRPr="002544B9">
        <w:rPr>
          <w:rFonts w:asciiTheme="minorEastAsia" w:hAnsiTheme="minorEastAsia" w:cs="Arial" w:hint="eastAsia"/>
          <w:kern w:val="0"/>
          <w:sz w:val="24"/>
          <w:szCs w:val="24"/>
        </w:rPr>
        <w:t>：中国证监会</w:t>
      </w:r>
    </w:p>
    <w:p w14:paraId="6267C716" w14:textId="3D65C5E3"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批准设立文号：证监许可【</w:t>
      </w:r>
      <w:r w:rsidRPr="002544B9">
        <w:rPr>
          <w:rFonts w:asciiTheme="minorEastAsia" w:hAnsiTheme="minorEastAsia" w:cs="Arial"/>
          <w:kern w:val="0"/>
          <w:sz w:val="24"/>
          <w:szCs w:val="24"/>
        </w:rPr>
        <w:t>2015】3118号</w:t>
      </w:r>
    </w:p>
    <w:p w14:paraId="7B1AB893" w14:textId="02B44472"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经营范围：基金销售</w:t>
      </w:r>
      <w:r w:rsidRPr="002544B9">
        <w:rPr>
          <w:rFonts w:asciiTheme="minorEastAsia" w:hAnsiTheme="minorEastAsia" w:cs="Arial"/>
          <w:kern w:val="0"/>
          <w:sz w:val="24"/>
          <w:szCs w:val="24"/>
        </w:rPr>
        <w:t>;基金募集;特定客户资产管理业务以及中国证监会许可的其他业务;资产管理（不含许可审批项目）</w:t>
      </w:r>
    </w:p>
    <w:p w14:paraId="33E7FF45" w14:textId="66D66A35"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注册资本：</w:t>
      </w:r>
      <w:r w:rsidRPr="002544B9">
        <w:rPr>
          <w:rFonts w:asciiTheme="minorEastAsia" w:hAnsiTheme="minorEastAsia" w:cs="Arial"/>
          <w:kern w:val="0"/>
          <w:sz w:val="24"/>
          <w:szCs w:val="24"/>
        </w:rPr>
        <w:t>2</w:t>
      </w:r>
      <w:r w:rsidRPr="002544B9">
        <w:rPr>
          <w:rFonts w:asciiTheme="minorEastAsia" w:hAnsiTheme="minorEastAsia" w:cs="Arial" w:hint="eastAsia"/>
          <w:kern w:val="0"/>
          <w:sz w:val="24"/>
          <w:szCs w:val="24"/>
        </w:rPr>
        <w:t>亿元人民币</w:t>
      </w:r>
    </w:p>
    <w:p w14:paraId="4AB572DB" w14:textId="6FA1459C" w:rsidR="00EC0D1B" w:rsidRPr="002544B9" w:rsidRDefault="00EC0D1B">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组织形式：有限责任公司</w:t>
      </w:r>
    </w:p>
    <w:p w14:paraId="6638D268" w14:textId="77777777" w:rsidR="00AC3A9B" w:rsidRPr="002544B9" w:rsidRDefault="002C3C29">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存续期间：永续经营</w:t>
      </w:r>
    </w:p>
    <w:p w14:paraId="117CF038" w14:textId="77777777" w:rsidR="00AC3A9B" w:rsidRPr="002544B9" w:rsidRDefault="002C3C29" w:rsidP="00D55EDF">
      <w:pPr>
        <w:adjustRightInd w:val="0"/>
        <w:snapToGrid w:val="0"/>
        <w:spacing w:line="360" w:lineRule="auto"/>
        <w:ind w:left="840" w:hanging="420"/>
        <w:rPr>
          <w:rFonts w:asciiTheme="minorEastAsia" w:hAnsiTheme="minorEastAsia" w:cs="Arial"/>
          <w:kern w:val="0"/>
          <w:sz w:val="24"/>
          <w:szCs w:val="24"/>
        </w:rPr>
      </w:pPr>
      <w:r w:rsidRPr="002544B9">
        <w:rPr>
          <w:rFonts w:asciiTheme="minorEastAsia" w:hAnsiTheme="minorEastAsia" w:cs="Arial" w:hint="eastAsia"/>
          <w:kern w:val="0"/>
          <w:sz w:val="24"/>
          <w:szCs w:val="24"/>
        </w:rPr>
        <w:t>（二）基金托管人</w:t>
      </w:r>
    </w:p>
    <w:p w14:paraId="264D479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名称：</w:t>
      </w:r>
      <w:bookmarkStart w:id="426" w:name="_Hlk101960455"/>
      <w:r w:rsidRPr="002544B9">
        <w:rPr>
          <w:rFonts w:ascii="宋体" w:hAnsi="宋体" w:hint="eastAsia"/>
          <w:color w:val="000000"/>
          <w:sz w:val="24"/>
        </w:rPr>
        <w:t>国泰君安证券股份有限公司</w:t>
      </w:r>
      <w:bookmarkEnd w:id="426"/>
    </w:p>
    <w:p w14:paraId="7DC04158"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住所：中国（上海）自由贸易试验区商城路</w:t>
      </w:r>
      <w:r w:rsidRPr="002544B9">
        <w:rPr>
          <w:rFonts w:ascii="宋体" w:hAnsi="宋体"/>
          <w:color w:val="000000"/>
          <w:sz w:val="24"/>
        </w:rPr>
        <w:t>618号</w:t>
      </w:r>
    </w:p>
    <w:p w14:paraId="5397D6D6"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办公地址：上海市静安区新闸路</w:t>
      </w:r>
      <w:r w:rsidRPr="002544B9">
        <w:rPr>
          <w:rFonts w:ascii="宋体" w:hAnsi="宋体"/>
          <w:color w:val="000000"/>
          <w:sz w:val="24"/>
        </w:rPr>
        <w:t>669号19层</w:t>
      </w:r>
    </w:p>
    <w:p w14:paraId="0319B1FA"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法定代表人：贺青</w:t>
      </w:r>
    </w:p>
    <w:p w14:paraId="0BCD7C52"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成立时间：</w:t>
      </w:r>
      <w:r w:rsidRPr="002544B9">
        <w:rPr>
          <w:rFonts w:ascii="宋体" w:hAnsi="宋体"/>
          <w:color w:val="000000"/>
          <w:sz w:val="24"/>
        </w:rPr>
        <w:t>1999年8月18日</w:t>
      </w:r>
    </w:p>
    <w:p w14:paraId="6527079E"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批准设立机关：中国证监会</w:t>
      </w:r>
    </w:p>
    <w:p w14:paraId="255C213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批准设立文号：证监机构字</w:t>
      </w:r>
      <w:r w:rsidRPr="002544B9">
        <w:rPr>
          <w:rFonts w:ascii="宋体" w:hAnsi="宋体"/>
          <w:color w:val="000000"/>
          <w:sz w:val="24"/>
        </w:rPr>
        <w:t>[1999]77号</w:t>
      </w:r>
    </w:p>
    <w:p w14:paraId="5A7309F4"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组织形式：股份有限公司</w:t>
      </w:r>
    </w:p>
    <w:p w14:paraId="0A51C0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注册资本：</w:t>
      </w:r>
      <w:r w:rsidRPr="002544B9">
        <w:rPr>
          <w:rFonts w:ascii="宋体" w:hAnsi="宋体"/>
          <w:color w:val="000000"/>
          <w:sz w:val="24"/>
        </w:rPr>
        <w:t>890794.7万元人民币</w:t>
      </w:r>
    </w:p>
    <w:p w14:paraId="7D5AF59B"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存续期间：持续经营</w:t>
      </w:r>
    </w:p>
    <w:p w14:paraId="258D464D"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基金托管业务批准文号：证监许可</w:t>
      </w:r>
      <w:r w:rsidRPr="002544B9">
        <w:rPr>
          <w:rFonts w:ascii="宋体" w:hAnsi="宋体"/>
          <w:color w:val="000000"/>
          <w:sz w:val="24"/>
        </w:rPr>
        <w:t>[2014]511号</w:t>
      </w:r>
    </w:p>
    <w:p w14:paraId="37CECFB7" w14:textId="77777777"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联系人：【丛艳】</w:t>
      </w:r>
      <w:r w:rsidRPr="002544B9">
        <w:rPr>
          <w:rFonts w:ascii="宋体" w:hAnsi="宋体"/>
          <w:color w:val="000000"/>
          <w:sz w:val="24"/>
        </w:rPr>
        <w:t xml:space="preserve"> </w:t>
      </w:r>
    </w:p>
    <w:p w14:paraId="61BC1DB7" w14:textId="14036DDC" w:rsidR="0068460C" w:rsidRPr="002544B9" w:rsidRDefault="0068460C" w:rsidP="0068460C">
      <w:pPr>
        <w:adjustRightInd w:val="0"/>
        <w:snapToGrid w:val="0"/>
        <w:spacing w:line="360" w:lineRule="auto"/>
        <w:ind w:firstLineChars="200" w:firstLine="480"/>
        <w:rPr>
          <w:rFonts w:ascii="宋体" w:hAnsi="宋体"/>
          <w:color w:val="000000"/>
          <w:sz w:val="24"/>
        </w:rPr>
      </w:pPr>
      <w:r w:rsidRPr="002544B9">
        <w:rPr>
          <w:rFonts w:ascii="宋体" w:hAnsi="宋体" w:hint="eastAsia"/>
          <w:color w:val="000000"/>
          <w:sz w:val="24"/>
        </w:rPr>
        <w:t>联系电话：</w:t>
      </w:r>
      <w:r w:rsidRPr="002544B9">
        <w:rPr>
          <w:rFonts w:ascii="宋体" w:hAnsi="宋体"/>
          <w:color w:val="000000"/>
          <w:sz w:val="24"/>
        </w:rPr>
        <w:t>021-38676666</w:t>
      </w:r>
    </w:p>
    <w:p w14:paraId="08CCCD13" w14:textId="77777777" w:rsidR="0068460C" w:rsidRPr="002544B9" w:rsidRDefault="0068460C" w:rsidP="00B6555E">
      <w:pPr>
        <w:adjustRightInd w:val="0"/>
        <w:snapToGrid w:val="0"/>
        <w:spacing w:line="360" w:lineRule="auto"/>
        <w:ind w:firstLineChars="200" w:firstLine="480"/>
        <w:rPr>
          <w:rFonts w:ascii="宋体" w:hAnsi="宋体"/>
          <w:color w:val="000000"/>
          <w:sz w:val="24"/>
        </w:rPr>
      </w:pPr>
    </w:p>
    <w:p w14:paraId="44AD1177" w14:textId="0952D6A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基金托管人对基金管理人的业务监督和核查</w:t>
      </w:r>
    </w:p>
    <w:p w14:paraId="3FF7415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（一）基金托管人对基金管理人的投资行为行使监督权</w:t>
      </w:r>
    </w:p>
    <w:p w14:paraId="0B9187C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1、基金托管人根据有关法律法规的规定及《基金合同》和本协议的约定，对基金的投资范围、投资对象进行监督。</w:t>
      </w:r>
    </w:p>
    <w:p w14:paraId="6911F451" w14:textId="668BEDB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本基金的投资范围为具有良好流动性的金融工具，包括国内依法发行上市的股票（含</w:t>
      </w:r>
      <w:r w:rsidR="003B3B43" w:rsidRPr="002544B9">
        <w:rPr>
          <w:rFonts w:asciiTheme="minorEastAsia" w:hAnsiTheme="minorEastAsia" w:cs="Arial" w:hint="eastAsia"/>
          <w:color w:val="000000"/>
          <w:sz w:val="24"/>
          <w:szCs w:val="24"/>
        </w:rPr>
        <w:t>主板、</w:t>
      </w:r>
      <w:proofErr w:type="gramStart"/>
      <w:r w:rsidRPr="002544B9">
        <w:rPr>
          <w:rFonts w:asciiTheme="minorEastAsia" w:hAnsiTheme="minorEastAsia" w:cs="Arial" w:hint="eastAsia"/>
          <w:color w:val="000000"/>
          <w:sz w:val="24"/>
          <w:szCs w:val="24"/>
        </w:rPr>
        <w:t>科创板</w:t>
      </w:r>
      <w:proofErr w:type="gramEnd"/>
      <w:r w:rsidRPr="002544B9">
        <w:rPr>
          <w:rFonts w:asciiTheme="minorEastAsia" w:hAnsiTheme="minorEastAsia" w:cs="Arial" w:hint="eastAsia"/>
          <w:color w:val="000000"/>
          <w:sz w:val="24"/>
          <w:szCs w:val="24"/>
        </w:rPr>
        <w:t>、创业板及其他经中国证监会</w:t>
      </w:r>
      <w:r w:rsidR="00466D2A" w:rsidRPr="002544B9">
        <w:rPr>
          <w:rFonts w:asciiTheme="minorEastAsia" w:hAnsiTheme="minorEastAsia" w:cs="Arial" w:hint="eastAsia"/>
          <w:color w:val="000000"/>
          <w:sz w:val="24"/>
          <w:szCs w:val="24"/>
        </w:rPr>
        <w:t>允许投资</w:t>
      </w:r>
      <w:r w:rsidRPr="002544B9">
        <w:rPr>
          <w:rFonts w:asciiTheme="minorEastAsia" w:hAnsiTheme="minorEastAsia" w:cs="Arial" w:hint="eastAsia"/>
          <w:color w:val="000000"/>
          <w:sz w:val="24"/>
          <w:szCs w:val="24"/>
        </w:rPr>
        <w:t>的股票）、</w:t>
      </w:r>
      <w:r w:rsidR="00466D2A" w:rsidRPr="002544B9">
        <w:rPr>
          <w:rFonts w:asciiTheme="minorEastAsia" w:hAnsiTheme="minorEastAsia" w:cs="Arial" w:hint="eastAsia"/>
          <w:color w:val="000000"/>
          <w:sz w:val="24"/>
          <w:szCs w:val="24"/>
        </w:rPr>
        <w:t>存托凭证、</w:t>
      </w:r>
      <w:r w:rsidRPr="002544B9">
        <w:rPr>
          <w:rFonts w:asciiTheme="minorEastAsia" w:hAnsiTheme="minorEastAsia" w:cs="Arial" w:hint="eastAsia"/>
          <w:color w:val="000000"/>
          <w:sz w:val="24"/>
          <w:szCs w:val="24"/>
        </w:rPr>
        <w:t>债券（包括国债、央行票据、金融债券、企业债券、公司债券、中期票据、短期融资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、超短期融资</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次级债券、政府支持债券、地方政府债券、可转换债券、可交换债券及其他经中国证监会允许投资的债券）、资产支持证券、债券回购、同业存单、银行存款（包括协议存款、定期存款及其他银行存款）、货币市场工具、股指期货、国债期货、股票期权以及法律法规或中国证监会允许基金投资的其他金融工具</w:t>
      </w:r>
      <w:r w:rsidRPr="002544B9">
        <w:rPr>
          <w:rFonts w:asciiTheme="minorEastAsia" w:hAnsiTheme="minorEastAsia" w:cs="Arial"/>
          <w:color w:val="000000"/>
          <w:sz w:val="24"/>
          <w:szCs w:val="24"/>
        </w:rPr>
        <w:t>(但须符合中国证监会相关规定)。</w:t>
      </w:r>
    </w:p>
    <w:p w14:paraId="70D6B54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本基金将根据法律法规的规定参与融资业务。在未来条件许可的情况下，本基金可根据相关法律法规，在履行适当程序后，参与融券业务和转融通证券出借业务。</w:t>
      </w:r>
    </w:p>
    <w:p w14:paraId="77F4FCD8" w14:textId="17F83F7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如果法律法规或监管机构以后允许基金投资其他品种，基金管理人在履行适当程序后，可以将其纳入投资范围。</w:t>
      </w:r>
    </w:p>
    <w:p w14:paraId="0C94D026" w14:textId="367D233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本基金的投资组合比例为：股票资产占基金资产的比例为</w:t>
      </w:r>
      <w:r w:rsidRPr="002544B9">
        <w:rPr>
          <w:rFonts w:asciiTheme="minorEastAsia" w:hAnsiTheme="minorEastAsia" w:cs="Arial"/>
          <w:color w:val="000000"/>
          <w:sz w:val="24"/>
          <w:szCs w:val="24"/>
        </w:rPr>
        <w:t>60%-95%。每个交易日日终在扣除股指期货、国债期货、股票期权合约需缴纳的</w:t>
      </w:r>
      <w:r w:rsidR="00B64868" w:rsidRPr="002544B9">
        <w:rPr>
          <w:rFonts w:asciiTheme="minorEastAsia" w:hAnsiTheme="minorEastAsia" w:cs="Arial" w:hint="eastAsia"/>
          <w:color w:val="000000"/>
          <w:sz w:val="24"/>
          <w:szCs w:val="24"/>
        </w:rPr>
        <w:t>交易</w:t>
      </w:r>
      <w:r w:rsidRPr="002544B9">
        <w:rPr>
          <w:rFonts w:asciiTheme="minorEastAsia" w:hAnsiTheme="minorEastAsia" w:cs="Arial" w:hint="eastAsia"/>
          <w:color w:val="000000"/>
          <w:sz w:val="24"/>
          <w:szCs w:val="24"/>
        </w:rPr>
        <w:t>保证金以后，基金保留的现金或投资于到期日在一年以内的政府债券的比例合计不低于基金资产净值的</w:t>
      </w:r>
      <w:r w:rsidRPr="002544B9">
        <w:rPr>
          <w:rFonts w:asciiTheme="minorEastAsia" w:hAnsiTheme="minorEastAsia" w:cs="Arial"/>
          <w:color w:val="000000"/>
          <w:sz w:val="24"/>
          <w:szCs w:val="24"/>
        </w:rPr>
        <w:t>5%，本基金所指的现金不包括结算备付金、存出保证金、应收申购款等。股指期货、国债期货、股票期权及其他金融工具的投资比例依照法律法规或监管机构的规定执行。</w:t>
      </w:r>
    </w:p>
    <w:p w14:paraId="4402080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如果法律法规或中国证监会变更投资品种的投资比例限制，基金管理人在履行适当程序后，可以调整上述投资品种的投资比例。</w:t>
      </w:r>
    </w:p>
    <w:p w14:paraId="1CFA3C8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2、基金托管人根据有关法律法规的规定及《基金合同》和本协议的约定，对基金投资、融资比例进行监督。</w:t>
      </w:r>
    </w:p>
    <w:p w14:paraId="46EFB31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 xml:space="preserve">1）根据法律法规的规定及《基金合同》的约定，本基金投资组合遵循以下投资限制：  </w:t>
      </w:r>
    </w:p>
    <w:p w14:paraId="74B598B2" w14:textId="29A8B924"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1）股票资产占基金资产的比例为60%-95%；</w:t>
      </w:r>
    </w:p>
    <w:p w14:paraId="75AFD8B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每个交易日日终在扣除国债期货、股指期货、股票期权合约需缴纳的交易保证金后，本基金保持不低于基金资产净值5%的现金或者到期日在一年以内的政府债券，其中，现金不包括结算备付金、存出保证金、应收申购款等；</w:t>
      </w:r>
    </w:p>
    <w:p w14:paraId="761A3F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3）本基金持有一家公司发行的证券，其市值不超过基金资产净值的10％；</w:t>
      </w:r>
    </w:p>
    <w:p w14:paraId="67FD02D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4）本基金管理人管理的全部基金持有一家公司发行的证券，不超过该证券的10％；</w:t>
      </w:r>
    </w:p>
    <w:p w14:paraId="7062ACEC"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5）本基金投资于同一原始权益人的各类资产支持证券的比例，不得超过基金资产净值的10%；</w:t>
      </w:r>
    </w:p>
    <w:p w14:paraId="1490CA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6）本基金持有的全部资产支持证券，其市值不得超过基金资产净值的20%；</w:t>
      </w:r>
    </w:p>
    <w:p w14:paraId="11A7192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7）本基金持有的同一(指同一信用级别)资产支持证券的比例，不得超过该资产支持证券规模的10%；</w:t>
      </w:r>
    </w:p>
    <w:p w14:paraId="527C936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8）本基金管理人管理的全部证券投资基金投资于同一原始权益人的各类资产支持证券，不得超过其各类资产支持证券合计规模的10%；</w:t>
      </w:r>
    </w:p>
    <w:p w14:paraId="102EE28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9）本基金应投资于信用级别评级为BBB以上(含BBB)的资产支持证券。基金持有资产支持证券期间，如果其信用等级下降、不再符合投资标准，应在评级报告发布之日起3个月内予以全部卖出；</w:t>
      </w:r>
    </w:p>
    <w:p w14:paraId="71B448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10）基金财产参与股票发行申购，本基金所申报的金额不超过本基金的总资产，本基金所申报的股票数量不超过拟发行股票公司本次发行股票的总量；</w:t>
      </w:r>
    </w:p>
    <w:p w14:paraId="2C58D2E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11）本基金进入全国银行间同业市场进行债券回购的资金余额不得超过基金资产净值的40%；本基金在全国银行间同业市场的债券回购最长期限为1年，债券回购到期后不得展期；</w:t>
      </w:r>
    </w:p>
    <w:p w14:paraId="66A0F02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12）本基金参与股指期货、国债期货交易依据下列标准建构组合：</w:t>
      </w:r>
    </w:p>
    <w:p w14:paraId="472A773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①在任何交易日日终，持有的买入国债期货和股指期货合约价值与有价证券市值之和不得超过基金资产净值的</w:t>
      </w:r>
      <w:r w:rsidRPr="002544B9">
        <w:rPr>
          <w:rFonts w:asciiTheme="minorEastAsia" w:hAnsiTheme="minorEastAsia" w:cs="Arial"/>
          <w:color w:val="000000"/>
          <w:sz w:val="24"/>
          <w:szCs w:val="24"/>
        </w:rPr>
        <w:t>95%，其中，有价证券指股票、债券（不含到期日在一年以内的政府债券）、资产支持证券、买入返售金融资产（不含质押式回购）等；</w:t>
      </w:r>
    </w:p>
    <w:p w14:paraId="432B56E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②在任何交易日日终，持有的买入股指期货合约价值，不得超过基金资产净值的</w:t>
      </w:r>
      <w:r w:rsidRPr="002544B9">
        <w:rPr>
          <w:rFonts w:asciiTheme="minorEastAsia" w:hAnsiTheme="minorEastAsia" w:cs="Arial"/>
          <w:color w:val="000000"/>
          <w:sz w:val="24"/>
          <w:szCs w:val="24"/>
        </w:rPr>
        <w:t>10%；在任何交易日日终，持有的买入国债期货合约价值，不得超过基金资产净值的15%；</w:t>
      </w:r>
    </w:p>
    <w:p w14:paraId="70B206C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③在任何交易日日终，持有的卖出股指期货合约价值不得超过基金持有的股票总市值的</w:t>
      </w:r>
      <w:r w:rsidRPr="002544B9">
        <w:rPr>
          <w:rFonts w:asciiTheme="minorEastAsia" w:hAnsiTheme="minorEastAsia" w:cs="Arial"/>
          <w:color w:val="000000"/>
          <w:sz w:val="24"/>
          <w:szCs w:val="24"/>
        </w:rPr>
        <w:t>20%；在任何交易日日终，持有的卖出国债期货合约价值不得超过基金持有的债券总市值的30%；</w:t>
      </w:r>
    </w:p>
    <w:p w14:paraId="78B9F9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④本基金所持有的股票市值和买入、卖出股指期货合约价值，合计（轧差计算）应当符合基金合同关于股票投资比例的有关约定；本基金所持有的债券（不含到期日在一年以内的政府债券）市值和买入、卖出国债期货合约价值，合计（轧差计算）应当符合基金合同关于债券投资比例的有关约定；</w:t>
      </w:r>
    </w:p>
    <w:p w14:paraId="119FA01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⑤本基金在任何交易日内交易（不包括平仓）的股指期货合约的成交金额不得超过上一交易日基金资产净值的</w:t>
      </w:r>
      <w:r w:rsidRPr="002544B9">
        <w:rPr>
          <w:rFonts w:asciiTheme="minorEastAsia" w:hAnsiTheme="minorEastAsia" w:cs="Arial"/>
          <w:color w:val="000000"/>
          <w:sz w:val="24"/>
          <w:szCs w:val="24"/>
        </w:rPr>
        <w:t>20%；本基金在任何交易日内交易（不包括平仓）的国债期货合约的成交金额不得超过上一交易日基金资产净值的30%；</w:t>
      </w:r>
    </w:p>
    <w:p w14:paraId="33CCE38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13）本基金投资流通受限证券，基金管理人应事先根据中国证监会相关规定，在首次投资前与基金托管人签订风险控制补充协议，并明确基金投资流通受限证券的比例，根据比例进行投资；</w:t>
      </w:r>
    </w:p>
    <w:p w14:paraId="564177BA" w14:textId="6DD46C70"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14）基金资产</w:t>
      </w:r>
      <w:r w:rsidR="00B64868" w:rsidRPr="002544B9">
        <w:rPr>
          <w:rFonts w:asciiTheme="minorEastAsia" w:hAnsiTheme="minorEastAsia" w:cs="Arial" w:hint="eastAsia"/>
          <w:color w:val="000000"/>
          <w:sz w:val="24"/>
          <w:szCs w:val="24"/>
        </w:rPr>
        <w:t>总值</w:t>
      </w:r>
      <w:r w:rsidRPr="002544B9">
        <w:rPr>
          <w:rFonts w:asciiTheme="minorEastAsia" w:hAnsiTheme="minorEastAsia" w:cs="Arial" w:hint="eastAsia"/>
          <w:color w:val="000000"/>
          <w:sz w:val="24"/>
          <w:szCs w:val="24"/>
        </w:rPr>
        <w:t>不得超过基金</w:t>
      </w:r>
      <w:r w:rsidR="00B92368" w:rsidRPr="002544B9">
        <w:rPr>
          <w:rFonts w:asciiTheme="minorEastAsia" w:hAnsiTheme="minorEastAsia" w:cs="Arial" w:hint="eastAsia"/>
          <w:color w:val="000000"/>
          <w:sz w:val="24"/>
          <w:szCs w:val="24"/>
        </w:rPr>
        <w:t>资产</w:t>
      </w:r>
      <w:r w:rsidR="00B64868" w:rsidRPr="002544B9">
        <w:rPr>
          <w:rFonts w:asciiTheme="minorEastAsia" w:hAnsiTheme="minorEastAsia" w:cs="Arial" w:hint="eastAsia"/>
          <w:color w:val="000000"/>
          <w:sz w:val="24"/>
          <w:szCs w:val="24"/>
        </w:rPr>
        <w:t>净值</w:t>
      </w:r>
      <w:r w:rsidRPr="002544B9">
        <w:rPr>
          <w:rFonts w:asciiTheme="minorEastAsia" w:hAnsiTheme="minorEastAsia" w:cs="Arial" w:hint="eastAsia"/>
          <w:color w:val="000000"/>
          <w:sz w:val="24"/>
          <w:szCs w:val="24"/>
        </w:rPr>
        <w:t>的</w:t>
      </w:r>
      <w:r w:rsidRPr="002544B9">
        <w:rPr>
          <w:rFonts w:asciiTheme="minorEastAsia" w:hAnsiTheme="minorEastAsia" w:cs="Arial"/>
          <w:color w:val="000000"/>
          <w:sz w:val="24"/>
          <w:szCs w:val="24"/>
        </w:rPr>
        <w:t>140%；</w:t>
      </w:r>
    </w:p>
    <w:p w14:paraId="289AF1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15）本基金管理人管理的全部开放式基金持有一家上市公司发行的可流通股票，不得超过该上市公司可流通股票的15%；本基金管理人管理的全部投资组合持有一家上市公司发行的可流通股票，不得超过该上市公司可流通股票的30%；</w:t>
      </w:r>
    </w:p>
    <w:p w14:paraId="5B31F6BB" w14:textId="0C89520E"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16）本基金主动投资于流动性受限资产的市值合计不得超过</w:t>
      </w:r>
      <w:r w:rsidR="00B64868" w:rsidRPr="002544B9">
        <w:rPr>
          <w:rFonts w:asciiTheme="minorEastAsia" w:hAnsiTheme="minorEastAsia" w:cs="Arial" w:hint="eastAsia"/>
          <w:color w:val="000000"/>
          <w:sz w:val="24"/>
          <w:szCs w:val="24"/>
        </w:rPr>
        <w:t>基金</w:t>
      </w:r>
      <w:r w:rsidRPr="002544B9">
        <w:rPr>
          <w:rFonts w:asciiTheme="minorEastAsia" w:hAnsiTheme="minorEastAsia" w:cs="Arial" w:hint="eastAsia"/>
          <w:color w:val="000000"/>
          <w:sz w:val="24"/>
          <w:szCs w:val="24"/>
        </w:rPr>
        <w:t>资产净值的</w:t>
      </w:r>
      <w:r w:rsidRPr="002544B9">
        <w:rPr>
          <w:rFonts w:asciiTheme="minorEastAsia" w:hAnsiTheme="minorEastAsia" w:cs="Arial"/>
          <w:color w:val="000000"/>
          <w:sz w:val="24"/>
          <w:szCs w:val="24"/>
        </w:rPr>
        <w:t>15%；</w:t>
      </w:r>
    </w:p>
    <w:p w14:paraId="26D3407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因证券市场波动、上市公司股票停牌、基金规模变动等基金管理人之外的因素致使基金不符合前款所规定比例限制的，基金管理人不得主动新增流动性受限资产的投资；</w:t>
      </w:r>
    </w:p>
    <w:p w14:paraId="115D21F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17）本基金与私募类</w:t>
      </w:r>
      <w:proofErr w:type="gramStart"/>
      <w:r w:rsidRPr="002544B9">
        <w:rPr>
          <w:rFonts w:asciiTheme="minorEastAsia" w:hAnsiTheme="minorEastAsia" w:cs="Arial" w:hint="eastAsia"/>
          <w:color w:val="000000"/>
          <w:sz w:val="24"/>
          <w:szCs w:val="24"/>
        </w:rPr>
        <w:t>证券资管产品</w:t>
      </w:r>
      <w:proofErr w:type="gramEnd"/>
      <w:r w:rsidRPr="002544B9">
        <w:rPr>
          <w:rFonts w:asciiTheme="minorEastAsia" w:hAnsiTheme="minorEastAsia" w:cs="Arial" w:hint="eastAsia"/>
          <w:color w:val="000000"/>
          <w:sz w:val="24"/>
          <w:szCs w:val="24"/>
        </w:rPr>
        <w:t>及中国证监会认定的其他主体为交易对手开展逆回购交易的，可接受质押品的资质要求应当与基金合同约定的投资范围保持一致；</w:t>
      </w:r>
    </w:p>
    <w:p w14:paraId="3CEC1F6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18）本基金参与股票期权交易的，需遵守下列投资比例限制：</w:t>
      </w:r>
    </w:p>
    <w:p w14:paraId="497D67C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①本基金因未平仓的期权合约支付和收取的权利金总额不得超过基金资产净值的</w:t>
      </w:r>
      <w:r w:rsidRPr="002544B9">
        <w:rPr>
          <w:rFonts w:asciiTheme="minorEastAsia" w:hAnsiTheme="minorEastAsia" w:cs="Arial"/>
          <w:color w:val="000000"/>
          <w:sz w:val="24"/>
          <w:szCs w:val="24"/>
        </w:rPr>
        <w:t>10%；</w:t>
      </w:r>
    </w:p>
    <w:p w14:paraId="6B02B0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②本基金开仓卖出认购期权的，应持有足额标的证券；开仓卖出认沽期权的，应持有合约行权所需的全额现金或交易所规则认可的可冲抵期权保证金的现金等价物；</w:t>
      </w:r>
    </w:p>
    <w:p w14:paraId="613EF5F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③本基金未平仓的期权合约面值不得超过基金资产净值的</w:t>
      </w:r>
      <w:r w:rsidRPr="002544B9">
        <w:rPr>
          <w:rFonts w:asciiTheme="minorEastAsia" w:hAnsiTheme="minorEastAsia" w:cs="Arial"/>
          <w:color w:val="000000"/>
          <w:sz w:val="24"/>
          <w:szCs w:val="24"/>
        </w:rPr>
        <w:t>20%。其中，合约面值按照行权价乘以合约乘数计算；</w:t>
      </w:r>
    </w:p>
    <w:p w14:paraId="6088A9E1" w14:textId="0C165CFA"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19</w:t>
      </w:r>
      <w:r w:rsidR="00A05560" w:rsidRPr="002544B9">
        <w:rPr>
          <w:rFonts w:asciiTheme="minorEastAsia" w:hAnsiTheme="minorEastAsia" w:cs="Arial" w:hint="eastAsia"/>
          <w:color w:val="000000"/>
          <w:sz w:val="24"/>
          <w:szCs w:val="24"/>
        </w:rPr>
        <w:t>）本基金投资存托凭证的比例限制依照境内上市交易的股票执行，与境内上市交易的股票合并计算；</w:t>
      </w:r>
    </w:p>
    <w:p w14:paraId="75E9FEAB" w14:textId="50F9A030"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20</w:t>
      </w:r>
      <w:r w:rsidR="00A05560" w:rsidRPr="002544B9">
        <w:rPr>
          <w:rFonts w:asciiTheme="minorEastAsia" w:hAnsiTheme="minorEastAsia" w:cs="Arial" w:hint="eastAsia"/>
          <w:color w:val="000000"/>
          <w:sz w:val="24"/>
          <w:szCs w:val="24"/>
        </w:rPr>
        <w:t>）本基金参与融资的，每个交易日日终，本基金持有的融资买入股票与其他有价证券市值之和，不得超过基金资产净值的</w:t>
      </w:r>
      <w:r w:rsidR="00A05560" w:rsidRPr="002544B9">
        <w:rPr>
          <w:rFonts w:asciiTheme="minorEastAsia" w:hAnsiTheme="minorEastAsia" w:cs="Arial"/>
          <w:color w:val="000000"/>
          <w:sz w:val="24"/>
          <w:szCs w:val="24"/>
        </w:rPr>
        <w:t>95%；</w:t>
      </w:r>
    </w:p>
    <w:p w14:paraId="2CDBCF79" w14:textId="13832237" w:rsidR="00A05560" w:rsidRPr="002544B9" w:rsidRDefault="00B64868"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21</w:t>
      </w:r>
      <w:r w:rsidR="00A05560" w:rsidRPr="002544B9">
        <w:rPr>
          <w:rFonts w:asciiTheme="minorEastAsia" w:hAnsiTheme="minorEastAsia" w:cs="Arial" w:hint="eastAsia"/>
          <w:color w:val="000000"/>
          <w:sz w:val="24"/>
          <w:szCs w:val="24"/>
        </w:rPr>
        <w:t>）法律法规及中国证监会规定的和《基金合同》约定的其他投资限制。</w:t>
      </w:r>
    </w:p>
    <w:p w14:paraId="07B31746" w14:textId="28C4441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除上述第</w:t>
      </w:r>
      <w:r w:rsidRPr="002544B9">
        <w:rPr>
          <w:rFonts w:asciiTheme="minorEastAsia" w:hAnsiTheme="minorEastAsia" w:cs="Arial"/>
          <w:color w:val="000000"/>
          <w:sz w:val="24"/>
          <w:szCs w:val="24"/>
        </w:rPr>
        <w:t>2）、9）、13）、16）、17）项另有约定外，因证券、期货市场波动、</w:t>
      </w:r>
      <w:r w:rsidR="00B64868" w:rsidRPr="002544B9">
        <w:rPr>
          <w:rFonts w:asciiTheme="minorEastAsia" w:hAnsiTheme="minorEastAsia" w:cs="Arial" w:hint="eastAsia"/>
          <w:color w:val="000000"/>
          <w:sz w:val="24"/>
          <w:szCs w:val="24"/>
        </w:rPr>
        <w:t>证券发行人</w:t>
      </w:r>
      <w:r w:rsidRPr="002544B9">
        <w:rPr>
          <w:rFonts w:asciiTheme="minorEastAsia" w:hAnsiTheme="minorEastAsia" w:cs="Arial" w:hint="eastAsia"/>
          <w:color w:val="000000"/>
          <w:sz w:val="24"/>
          <w:szCs w:val="24"/>
        </w:rPr>
        <w:t>合并、基金规模变动等基金管理人之外的因素致使基金投资比例不符合上述规定投资比例的，基金管理人应当在</w:t>
      </w:r>
      <w:r w:rsidRPr="002544B9">
        <w:rPr>
          <w:rFonts w:asciiTheme="minorEastAsia" w:hAnsiTheme="minorEastAsia" w:cs="Arial"/>
          <w:color w:val="000000"/>
          <w:sz w:val="24"/>
          <w:szCs w:val="24"/>
        </w:rPr>
        <w:t>10个交易日内进行调整，但中国证监会规定的特殊情形除外。</w:t>
      </w:r>
    </w:p>
    <w:p w14:paraId="7C90826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基金管理人应当自基金合同生效之日起</w:t>
      </w:r>
      <w:r w:rsidRPr="002544B9">
        <w:rPr>
          <w:rFonts w:asciiTheme="minorEastAsia" w:hAnsiTheme="minorEastAsia" w:cs="Arial"/>
          <w:color w:val="000000"/>
          <w:sz w:val="24"/>
          <w:szCs w:val="24"/>
        </w:rPr>
        <w:t>6个月内使基金的投资组合比例符合基金合同的有关约定。在此期间，基金的投资范围、投资策略应当符合基金合同的约定。基金托管人对基金的投资的监督与检查自基金合同生效之日起开始。</w:t>
      </w:r>
    </w:p>
    <w:p w14:paraId="4EE70560" w14:textId="0C75E5DA"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法律法规或监管部门取消或变更上述限制，如适用于本基金，基金管理人在履行适当程序后，则本基金投资不再受相关限制或以变更后的规定为准。</w:t>
      </w:r>
    </w:p>
    <w:p w14:paraId="0FC625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基金托管人依照上述规定对本基金的投资组合限制及调整期限进行监督。</w:t>
      </w:r>
    </w:p>
    <w:p w14:paraId="3FAC4D4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3、基金托管人根据有关法律、法规的规定及基金合同和本协议的约定，对基金投资禁止行为进行监督。基金财产不得用于下列投资或者活动。</w:t>
      </w:r>
    </w:p>
    <w:p w14:paraId="501C712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1）承销证券；</w:t>
      </w:r>
    </w:p>
    <w:p w14:paraId="6E2CF9D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2）违反规定向他人贷款或者提供担保；</w:t>
      </w:r>
    </w:p>
    <w:p w14:paraId="4E7AB5A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3）从事承担无限责任的投资；</w:t>
      </w:r>
    </w:p>
    <w:p w14:paraId="5497B92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4）买卖其他基金份额，但是中国证监会另有规定的除外；</w:t>
      </w:r>
    </w:p>
    <w:p w14:paraId="5BA8210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5）向基金管理人、基金托管人出资；</w:t>
      </w:r>
    </w:p>
    <w:p w14:paraId="5C080B6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6）从事内幕交易、操纵证券交易价格及其他不正当的证券交易活动；</w:t>
      </w:r>
    </w:p>
    <w:p w14:paraId="3BA9F33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7）法律、行政法规和中国证监会规定禁止的其他活动。</w:t>
      </w:r>
    </w:p>
    <w:p w14:paraId="01E4507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运用基金财产买卖基金管理人、基金托管人及其控股股东、实际控制人或者与其有重大利害关系的公司发行的证券或者承销期内承销的证券，或者从事其他重大关联交易的，应当符合基金的投资目标和投资策略，遵循基金份额持有人利益优先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2EEE88C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法律、行政法规或监管部门取消或调整上述禁止行为，如适用于本基金，基金管理人在履行适当程序后，则本基金投资按照取消或调整后的规定执行。</w:t>
      </w:r>
    </w:p>
    <w:p w14:paraId="10029EC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4、基金托管人根据有关法律、法规规定及基金合同和本协议约定，对基金管理人参与银行间债券市场进行监督。</w:t>
      </w:r>
    </w:p>
    <w:p w14:paraId="4F9115C6"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基金托管人依据有关法律、法规规定和《基金合同》约定对基金管理人参与银行间市场交易时面临的交易对手资信风险进行监督。</w:t>
      </w:r>
    </w:p>
    <w:p w14:paraId="0BFD27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在基金投资运作之前向基金托管人提供符合法律、法规及行业标准的、经慎重选择的、本基金适用的银行间市场交易对手的名单，并约定各交易对手所适用的交易结算方式。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回函确认收到该名单。基金管理人应严格按照交易对手名单的范围在银行间债券市场选择交易对手。基金托管人监督基金管理人是否按事前提供的银行间债券市场交易对手名单和交易结算方式进行交易。</w:t>
      </w:r>
    </w:p>
    <w:p w14:paraId="09E4C3D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基金管理人应定期【（每半年）】和不定期对银行间市场现券及回购交易对手的名单进行更新。基金托管人在收到名单后【</w:t>
      </w:r>
      <w:r w:rsidRPr="002544B9">
        <w:rPr>
          <w:rFonts w:asciiTheme="minorEastAsia" w:hAnsiTheme="minorEastAsia" w:cs="Arial"/>
          <w:color w:val="000000"/>
          <w:sz w:val="24"/>
          <w:szCs w:val="24"/>
        </w:rPr>
        <w:t>2】</w:t>
      </w:r>
      <w:proofErr w:type="gramStart"/>
      <w:r w:rsidRPr="002544B9">
        <w:rPr>
          <w:rFonts w:asciiTheme="minorEastAsia" w:hAnsiTheme="minorEastAsia" w:cs="Arial" w:hint="eastAsia"/>
          <w:color w:val="000000"/>
          <w:sz w:val="24"/>
          <w:szCs w:val="24"/>
        </w:rPr>
        <w:t>个</w:t>
      </w:r>
      <w:proofErr w:type="gramEnd"/>
      <w:r w:rsidRPr="002544B9">
        <w:rPr>
          <w:rFonts w:asciiTheme="minorEastAsia" w:hAnsiTheme="minorEastAsia" w:cs="Arial" w:hint="eastAsia"/>
          <w:color w:val="000000"/>
          <w:sz w:val="24"/>
          <w:szCs w:val="24"/>
        </w:rPr>
        <w:t>工作日内电话或书面回函确认，新名单自基金托管人确认当日生效。新名单生效前已与本次剔除的交易对手所进行但尚未结算的交易，仍应按照协议进行结算。</w:t>
      </w:r>
    </w:p>
    <w:p w14:paraId="2838FB5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基金管理人参与银行间市场交易时，应按银行间债券市场的交易规则进行交易，并有责任控制交易对手的资信风险，由于交易对手资信风险引起的损失</w:t>
      </w:r>
      <w:r w:rsidRPr="002544B9">
        <w:rPr>
          <w:rFonts w:asciiTheme="minorEastAsia" w:hAnsiTheme="minorEastAsia" w:cs="Arial"/>
          <w:color w:val="000000"/>
          <w:sz w:val="24"/>
          <w:szCs w:val="24"/>
        </w:rPr>
        <w:t>,基金管理人应当负责向相关责任人追偿。基金托管人不承担由此造成的任何法律责任及损失。</w:t>
      </w:r>
    </w:p>
    <w:p w14:paraId="2D0F57A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如基金托管人事后发现基金管理人没有按照事先约定的交易对手或交易方式进行交易时，基金托管人应及时提醒基金管理人，但基金托管人不承担由此造成的任何损失和责任。</w:t>
      </w:r>
    </w:p>
    <w:p w14:paraId="40A3799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5、基金托管人根据有关法律、法规的规定及基金合同和本协议的约定，对基金管理人选择存款银行进行监督。</w:t>
      </w:r>
    </w:p>
    <w:p w14:paraId="5A7C655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投资银行定期存款的，基金管理人应根据法律、法规的规定及基金合同的约定，确定符合条件的所有存款银行的名单，并及时提供给基金托管人。基金管理人应严格按照名单范围选择投资对象，基金托管人监督基金管理人是否按事前提供的对手名单进行投资。基金管理人超越名单范围进行投资的，基金托管人应及时提醒基金管理人，但基金托管人不承担由此造成的任何损失和责任。</w:t>
      </w:r>
    </w:p>
    <w:p w14:paraId="7149232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本基金投资银行存款应符合如下规定：</w:t>
      </w:r>
    </w:p>
    <w:p w14:paraId="1DD794B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1）基金管理人、基金托管人应当与存款银行建立定期对账机制，确保基金银行存款业务账目及核算的真实、准确。</w:t>
      </w:r>
    </w:p>
    <w:p w14:paraId="72713E2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与基金托管人应根据相关规定，就本基金银行存款业务另行签订书面协议，明确双方在相关协议签署、账户开设与管理、投资指令传达与执行、资金划拨、账目核对、到期兑付、文件保管以及存款证实书的开立、传递、保管等流程中的权利、义务和职责，以确保基金财产的安全，保护基金份额持有人的合法权益。</w:t>
      </w:r>
    </w:p>
    <w:p w14:paraId="7D6AE3F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3）基金托管人应加强对基金银行存款业务的监督与核查，严格审查、复核相关协议、账户资料、投资指令、存款证实书等有关文件，切实履行托管职责。</w:t>
      </w:r>
    </w:p>
    <w:p w14:paraId="08B86D9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4）基金管理人与基金托管人在开展基金存款业务时，应严格遵守《基金法》、《运作办法》等有关法律、法规，以及国家有关账户管理、利率管理、支付结算等的各项规定。</w:t>
      </w:r>
    </w:p>
    <w:p w14:paraId="26514B9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投资银行存款的，基金管理人应根据法律法规的规定及基金合同的约定，确定符合条件的所有存款银行的名单，并及时提供给基金托管人，基金托管人应据以对基金投资银行存款的交易对手是否符合有关规定进行监督。基金管理人对定期存款提前支取的损失由其承担。</w:t>
      </w:r>
    </w:p>
    <w:p w14:paraId="4C06001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6、基金托管人根据有关法律法规的规定及《基金合同》的约定，对基金管理人投资流通受限证券进行监督。</w:t>
      </w:r>
    </w:p>
    <w:p w14:paraId="1D3D655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投资流通受限证券，应事先根据中国证监会相关规定，明确基金投资流通受限证券的比例，制订严格的投资决策流程和风险控制制度，防范流动性风险、法律风险和操作风险等各种风险。基金托管人对基金管理人是否遵守相关制度、流动性风险处置预案以及相关投资额度和比例等的情况进行监督。</w:t>
      </w:r>
    </w:p>
    <w:p w14:paraId="57659A4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1）本基金投资的流通受限证券须为经中国证监会批准的非公开发行股票、公开发行股票网下配售部分等在发行时明确一定期限锁定期的可交易证券，不包括由于发布重大消息或其他原因而临时停牌的证券、已发行未上市证券、回购交易中的质押</w:t>
      </w:r>
      <w:proofErr w:type="gramStart"/>
      <w:r w:rsidRPr="002544B9">
        <w:rPr>
          <w:rFonts w:asciiTheme="minorEastAsia" w:hAnsiTheme="minorEastAsia" w:cs="Arial" w:hint="eastAsia"/>
          <w:color w:val="000000"/>
          <w:sz w:val="24"/>
          <w:szCs w:val="24"/>
        </w:rPr>
        <w:t>券</w:t>
      </w:r>
      <w:proofErr w:type="gramEnd"/>
      <w:r w:rsidRPr="002544B9">
        <w:rPr>
          <w:rFonts w:asciiTheme="minorEastAsia" w:hAnsiTheme="minorEastAsia" w:cs="Arial" w:hint="eastAsia"/>
          <w:color w:val="000000"/>
          <w:sz w:val="24"/>
          <w:szCs w:val="24"/>
        </w:rPr>
        <w:t>等流通受限证券。本基金不投资有</w:t>
      </w:r>
      <w:proofErr w:type="gramStart"/>
      <w:r w:rsidRPr="002544B9">
        <w:rPr>
          <w:rFonts w:asciiTheme="minorEastAsia" w:hAnsiTheme="minorEastAsia" w:cs="Arial" w:hint="eastAsia"/>
          <w:color w:val="000000"/>
          <w:sz w:val="24"/>
          <w:szCs w:val="24"/>
        </w:rPr>
        <w:t>锁定期但锁定</w:t>
      </w:r>
      <w:proofErr w:type="gramEnd"/>
      <w:r w:rsidRPr="002544B9">
        <w:rPr>
          <w:rFonts w:asciiTheme="minorEastAsia" w:hAnsiTheme="minorEastAsia" w:cs="Arial" w:hint="eastAsia"/>
          <w:color w:val="000000"/>
          <w:sz w:val="24"/>
          <w:szCs w:val="24"/>
        </w:rPr>
        <w:t>期不明确的证券。</w:t>
      </w:r>
    </w:p>
    <w:p w14:paraId="6FDCE0FF"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本基金投资的流通受限证券限于可由中国证券登记结算有限责任公司或中央国债登记结算有限责任公司、银行间市场清算所股份有限公司负责登记和存管，并可在证券交易所或全国银行间债券市场交易的证券。</w:t>
      </w:r>
    </w:p>
    <w:p w14:paraId="07B087D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本基金投资的流通受限证券应保证登记存管在本基金名下，基金管理人负责相关工作的落实和协调，并确保基金托管人能够正常查询。因基金管理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产生的流通受限证券登记存管问题，造成基金托管人无法安全保管本基金资产的责任与损失，及因流通受限证券存管直接影响本基金安全的责任及损失，由基金管理人承担。</w:t>
      </w:r>
    </w:p>
    <w:p w14:paraId="1A58A1B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本基金投资流通受限证券，不得预付任何形式的保证金。</w:t>
      </w:r>
    </w:p>
    <w:p w14:paraId="5540DC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2）基金管理人投资非公开发行股票，应制订流动性风险处置预案并经其董事会批准。风险处置预案应包括但不限于因投资流通受限证券需要解决的基金投资比例限制失调、基金流动性困难以及相关损失的应对解决措施，以及有关异常情况的处置。基金管理人应在首次投资流通受限证券前向基金托管人提供董事会批准的有关基金投资流通受限证券的投资决策流程、风险控制制度。基金投资非公开发行股票，基金管理人还应提供基金管理人董事会批准的相关流动性风险处置预案。</w:t>
      </w:r>
    </w:p>
    <w:p w14:paraId="3454E72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对本基金投资流通受限证券的流动性风险负责，确保对相关风险采取积极有效的措施，在合理的时间内有效解决基金运作的流动性问题。如因基金巨额赎回或市场发生剧烈变动等原因而导致基金现金周转困难时，基金管理人应保证提供足额现金确保基金的支付结算，并承担所有损失。对本基金因投资流通受限证券导致的流动性风险，基金托管人不承担任何责任。如因基金管理</w:t>
      </w:r>
      <w:proofErr w:type="gramStart"/>
      <w:r w:rsidRPr="002544B9">
        <w:rPr>
          <w:rFonts w:asciiTheme="minorEastAsia" w:hAnsiTheme="minorEastAsia" w:cs="Arial" w:hint="eastAsia"/>
          <w:color w:val="000000"/>
          <w:sz w:val="24"/>
          <w:szCs w:val="24"/>
        </w:rPr>
        <w:t>人原因</w:t>
      </w:r>
      <w:proofErr w:type="gramEnd"/>
      <w:r w:rsidRPr="002544B9">
        <w:rPr>
          <w:rFonts w:asciiTheme="minorEastAsia" w:hAnsiTheme="minorEastAsia" w:cs="Arial" w:hint="eastAsia"/>
          <w:color w:val="000000"/>
          <w:sz w:val="24"/>
          <w:szCs w:val="24"/>
        </w:rPr>
        <w:t>导致本基金出现损失致使基金托管人承担连带赔偿责任的，基金管理人应赔偿基金托管人由此遭受的损失。</w:t>
      </w:r>
    </w:p>
    <w:p w14:paraId="383403A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3）本基金投资非公开发行股票，基金管理人应至少于投资前三个工作日向基金托管人提交有关书面资料，并保证向基金托管人提供的有关资料真实、准确、完整。有关资料如有调整，基金管理人应及时提供调整后的资料。上述书面资料包括但不限于：</w:t>
      </w:r>
    </w:p>
    <w:p w14:paraId="3E7C102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1）中国证监会批准发行非公开发行股票的批准文件。</w:t>
      </w:r>
    </w:p>
    <w:p w14:paraId="3883974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2）非公开发行股票有关发行数量、发行价格、锁定期等发行资料。</w:t>
      </w:r>
    </w:p>
    <w:p w14:paraId="2B4E8D94"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3）非公开发行股票发行人与中国证券登记结算有限责任公司或中央国债登记结算有限责任公司签订的证券登记及服务协议。</w:t>
      </w:r>
    </w:p>
    <w:p w14:paraId="7F9A2EFE"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4）基金拟认购的数量、价格、总成本、账面价值。</w:t>
      </w:r>
    </w:p>
    <w:p w14:paraId="5909CA5F" w14:textId="7A7F8A0D"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4）基金管理人应在本基金投资非公开发行股票后两个交易日内，在中国证监会</w:t>
      </w:r>
      <w:r w:rsidR="00AF017B" w:rsidRPr="002544B9">
        <w:rPr>
          <w:rFonts w:asciiTheme="minorEastAsia" w:hAnsiTheme="minorEastAsia" w:cs="Arial" w:hint="eastAsia"/>
          <w:color w:val="000000"/>
          <w:sz w:val="24"/>
          <w:szCs w:val="24"/>
        </w:rPr>
        <w:t>规定媒介</w:t>
      </w:r>
      <w:r w:rsidRPr="002544B9">
        <w:rPr>
          <w:rFonts w:asciiTheme="minorEastAsia" w:hAnsiTheme="minorEastAsia" w:cs="Arial" w:hint="eastAsia"/>
          <w:color w:val="000000"/>
          <w:sz w:val="24"/>
          <w:szCs w:val="24"/>
        </w:rPr>
        <w:t>披露所投资非公开发行股票的名称、数量、总成本、账面价值，以及总成本和账面价值占基金资产净值的比例、锁定期等信息。</w:t>
      </w:r>
    </w:p>
    <w:p w14:paraId="67A58157"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本基金有关投资流通受限证券比例如违反有关限制规定，在合理期限内未能进行及时调整，基金管理人应在两个工作日内编制临时报告书，予以公告。</w:t>
      </w:r>
    </w:p>
    <w:p w14:paraId="535FD6D9"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5）基金托管人根据有关规定有权对基金管理人进行以下事项监督：</w:t>
      </w:r>
    </w:p>
    <w:p w14:paraId="1EC2206B"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1）本基金投资流通受限证券时的法律法规遵守情况。</w:t>
      </w:r>
    </w:p>
    <w:p w14:paraId="18627D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2）在基金投资流通受限证券管理工作方面有关制度、流动性风险处置预案的建立与完善情况。</w:t>
      </w:r>
    </w:p>
    <w:p w14:paraId="157CBA75"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3）有关比例限制的执行情况。</w:t>
      </w:r>
    </w:p>
    <w:p w14:paraId="6D09D518"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4）信息披露情况。</w:t>
      </w:r>
    </w:p>
    <w:p w14:paraId="2D40FB9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w:t>
      </w:r>
      <w:r w:rsidRPr="002544B9">
        <w:rPr>
          <w:rFonts w:asciiTheme="minorEastAsia" w:hAnsiTheme="minorEastAsia" w:cs="Arial"/>
          <w:color w:val="000000"/>
          <w:sz w:val="24"/>
          <w:szCs w:val="24"/>
        </w:rPr>
        <w:t>6）相关法律法规对基金投资流通受限证券有新规定的，从其规定。</w:t>
      </w:r>
    </w:p>
    <w:p w14:paraId="30FFE1A3"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7、基金托管人根据有关法律、法规的规定及基金合同和本协议的约定，对基金管理人产品禁投池进行监督。</w:t>
      </w:r>
    </w:p>
    <w:p w14:paraId="637FFCA2"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基金管理人向基金托管人提供符合法律、法规及行业标准的基金禁投池清单。基金托管人在收到名单后</w:t>
      </w:r>
      <w:r w:rsidRPr="002544B9">
        <w:rPr>
          <w:rFonts w:asciiTheme="minorEastAsia" w:hAnsiTheme="minorEastAsia" w:cs="Arial"/>
          <w:color w:val="000000"/>
          <w:sz w:val="24"/>
          <w:szCs w:val="24"/>
        </w:rPr>
        <w:t>2个工作日内电话或回函确认收到该名单。基金管理人应定期和不定期对基金禁投池清单进行更新。基金托管人在收到清单后2个工作日内电话或书面回函确认，新清单自基金托管人确认当日生效。新清单生效</w:t>
      </w:r>
      <w:proofErr w:type="gramStart"/>
      <w:r w:rsidRPr="002544B9">
        <w:rPr>
          <w:rFonts w:asciiTheme="minorEastAsia" w:hAnsiTheme="minorEastAsia" w:cs="Arial" w:hint="eastAsia"/>
          <w:color w:val="000000"/>
          <w:sz w:val="24"/>
          <w:szCs w:val="24"/>
        </w:rPr>
        <w:t>前基金</w:t>
      </w:r>
      <w:proofErr w:type="gramEnd"/>
      <w:r w:rsidRPr="002544B9">
        <w:rPr>
          <w:rFonts w:asciiTheme="minorEastAsia" w:hAnsiTheme="minorEastAsia" w:cs="Arial" w:hint="eastAsia"/>
          <w:color w:val="000000"/>
          <w:sz w:val="24"/>
          <w:szCs w:val="24"/>
        </w:rPr>
        <w:t>托管人仍</w:t>
      </w:r>
      <w:proofErr w:type="gramStart"/>
      <w:r w:rsidRPr="002544B9">
        <w:rPr>
          <w:rFonts w:asciiTheme="minorEastAsia" w:hAnsiTheme="minorEastAsia" w:cs="Arial" w:hint="eastAsia"/>
          <w:color w:val="000000"/>
          <w:sz w:val="24"/>
          <w:szCs w:val="24"/>
        </w:rPr>
        <w:t>按原禁投池</w:t>
      </w:r>
      <w:proofErr w:type="gramEnd"/>
      <w:r w:rsidRPr="002544B9">
        <w:rPr>
          <w:rFonts w:asciiTheme="minorEastAsia" w:hAnsiTheme="minorEastAsia" w:cs="Arial" w:hint="eastAsia"/>
          <w:color w:val="000000"/>
          <w:sz w:val="24"/>
          <w:szCs w:val="24"/>
        </w:rPr>
        <w:t>清单进行监督。</w:t>
      </w:r>
    </w:p>
    <w:p w14:paraId="400BCB90"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基金管理人超越名单范围进行投资的，基金托管人应及时提醒基金管理人，但基金托管人不承担由此造成的任何损失和责任。</w:t>
      </w:r>
    </w:p>
    <w:p w14:paraId="1F8D1EB1"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二）基金托管人应根据有关法律、法规的规定及基金合同的约定，对基金资产净值计算、各类基金份额的基金份额净值计算、应收资金到账、基金费用开支及收入确认、基金收益分配、相关信息披露、基金宣传推介材料中登载基金业绩表现数据等进行监督和核查。</w:t>
      </w:r>
    </w:p>
    <w:p w14:paraId="03DF3BCE" w14:textId="60DC95B1"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（三）基金管理人应积极配合和协助基金托管人的监督和核查，在规定时间内答复并改正，就基金托管人的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疑义进行解释或举证。对基金托管人按照法规要求需向中国证监会报送基金监督报告的，基金管理人应积极配合提供相关数据资料和制度等。</w:t>
      </w:r>
    </w:p>
    <w:p w14:paraId="2605F699" w14:textId="4F81746F"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的上述事项及投资指令或实际投资运作违反法律法规、《基金合同》和本托管协议的规定，应及时以电话提醒或书面提示等方式通知基金管理人限期纠正。基金管理人应积极配合和协助基金托管人的监督和核查。基金管理人收到书面通知后应在下一工作日前及时核对并以书面形式给基金托管人发出回函，就基金托管人的</w:t>
      </w:r>
      <w:r w:rsidR="00B64868" w:rsidRPr="002544B9">
        <w:rPr>
          <w:rFonts w:asciiTheme="minorEastAsia" w:hAnsiTheme="minorEastAsia" w:cs="Arial" w:hint="eastAsia"/>
          <w:color w:val="000000"/>
          <w:sz w:val="24"/>
          <w:szCs w:val="24"/>
        </w:rPr>
        <w:t>合理</w:t>
      </w:r>
      <w:r w:rsidRPr="002544B9">
        <w:rPr>
          <w:rFonts w:asciiTheme="minorEastAsia" w:hAnsiTheme="minorEastAsia" w:cs="Arial" w:hint="eastAsia"/>
          <w:color w:val="000000"/>
          <w:sz w:val="24"/>
          <w:szCs w:val="24"/>
        </w:rPr>
        <w:t>疑义进行解释或举证，说明违规原因及纠正期限，并保证在规定期限内及时改正。在上述规定期限内，基金托管人有权随时对通知事项进行复查，督促基金管理人改正。基金管理人对基金托管人通知的违规事项未能在限期内纠正的，基金托管人应报告中国证监会。</w:t>
      </w:r>
    </w:p>
    <w:p w14:paraId="4DD21E3A" w14:textId="77777777" w:rsidR="00A05560" w:rsidRPr="002544B9" w:rsidRDefault="00A05560" w:rsidP="00A05560">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若基金</w:t>
      </w:r>
      <w:proofErr w:type="gramEnd"/>
      <w:r w:rsidRPr="002544B9">
        <w:rPr>
          <w:rFonts w:asciiTheme="minorEastAsia" w:hAnsiTheme="minorEastAsia" w:cs="Arial" w:hint="eastAsia"/>
          <w:color w:val="000000"/>
          <w:sz w:val="24"/>
          <w:szCs w:val="24"/>
        </w:rPr>
        <w:t>托管人发现基金管理人依据交易程序已经生效的指令违反法律、行政法规和其他有关规定，或者违反《基金合同》约定的，应当立即通知基金管理人，由此造成的损失由基金管理人承担。</w:t>
      </w:r>
    </w:p>
    <w:p w14:paraId="759A16D7" w14:textId="77777777" w:rsidR="00B64868" w:rsidRPr="002544B9" w:rsidRDefault="00A05560"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发现基金管理人有重大违规行为，应及时报告中国证监会，同时通知基金管理人限期纠正，并将纠正结果报告中国证监会。基金管理人无正当理由，拒绝、阻挠对方根据本托管协议规定行使监督权，或采取拖延、欺诈等手段妨碍对方进行有效监督，情节严重或经基金托管人提出警告仍不改正的，基金托管人应报告中国证监会。</w:t>
      </w:r>
    </w:p>
    <w:p w14:paraId="0BA1414F" w14:textId="7A0817CF"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color w:val="000000"/>
          <w:sz w:val="24"/>
          <w:szCs w:val="24"/>
        </w:rPr>
        <w:t>（</w:t>
      </w:r>
      <w:r w:rsidRPr="002544B9">
        <w:rPr>
          <w:rFonts w:asciiTheme="minorEastAsia" w:hAnsiTheme="minorEastAsia" w:cs="Arial" w:hint="eastAsia"/>
          <w:color w:val="000000"/>
          <w:sz w:val="24"/>
          <w:szCs w:val="24"/>
        </w:rPr>
        <w:t>四）当基金持有特定资产且存在或潜在大额赎回申请时，根据最大限度保护基金份额持有人利益的原则，基金管理人经与基金托管人协商一致，并咨询会计师事务所意见后，可以依照法律法规及基金合同的约定</w:t>
      </w:r>
      <w:proofErr w:type="gramStart"/>
      <w:r w:rsidRPr="002544B9">
        <w:rPr>
          <w:rFonts w:asciiTheme="minorEastAsia" w:hAnsiTheme="minorEastAsia" w:cs="Arial" w:hint="eastAsia"/>
          <w:color w:val="000000"/>
          <w:sz w:val="24"/>
          <w:szCs w:val="24"/>
        </w:rPr>
        <w:t>启用侧袋机制</w:t>
      </w:r>
      <w:proofErr w:type="gramEnd"/>
      <w:r w:rsidRPr="002544B9">
        <w:rPr>
          <w:rFonts w:asciiTheme="minorEastAsia" w:hAnsiTheme="minorEastAsia" w:cs="Arial" w:hint="eastAsia"/>
          <w:color w:val="000000"/>
          <w:sz w:val="24"/>
          <w:szCs w:val="24"/>
        </w:rPr>
        <w:t>，无需召开基金份额持有人大会审议。</w:t>
      </w:r>
    </w:p>
    <w:p w14:paraId="44532407"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侧袋机制</w:t>
      </w:r>
      <w:proofErr w:type="gramEnd"/>
      <w:r w:rsidRPr="002544B9">
        <w:rPr>
          <w:rFonts w:asciiTheme="minorEastAsia" w:hAnsiTheme="minorEastAsia" w:cs="Arial" w:hint="eastAsia"/>
          <w:color w:val="000000"/>
          <w:sz w:val="24"/>
          <w:szCs w:val="24"/>
        </w:rPr>
        <w:t>实施期间，本基金的投资组合比例、投资策略、组合限制、业绩比较基准、风险收益特征等约定仅</w:t>
      </w:r>
      <w:proofErr w:type="gramStart"/>
      <w:r w:rsidRPr="002544B9">
        <w:rPr>
          <w:rFonts w:asciiTheme="minorEastAsia" w:hAnsiTheme="minorEastAsia" w:cs="Arial" w:hint="eastAsia"/>
          <w:color w:val="000000"/>
          <w:sz w:val="24"/>
          <w:szCs w:val="24"/>
        </w:rPr>
        <w:t>适用于主袋账户</w:t>
      </w:r>
      <w:proofErr w:type="gramEnd"/>
      <w:r w:rsidRPr="002544B9">
        <w:rPr>
          <w:rFonts w:asciiTheme="minorEastAsia" w:hAnsiTheme="minorEastAsia" w:cs="Arial" w:hint="eastAsia"/>
          <w:color w:val="000000"/>
          <w:sz w:val="24"/>
          <w:szCs w:val="24"/>
        </w:rPr>
        <w:t>。</w:t>
      </w:r>
    </w:p>
    <w:p w14:paraId="449A0074" w14:textId="77777777"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proofErr w:type="gramStart"/>
      <w:r w:rsidRPr="002544B9">
        <w:rPr>
          <w:rFonts w:asciiTheme="minorEastAsia" w:hAnsiTheme="minorEastAsia" w:cs="Arial" w:hint="eastAsia"/>
          <w:color w:val="000000"/>
          <w:sz w:val="24"/>
          <w:szCs w:val="24"/>
        </w:rPr>
        <w:t>侧袋账户</w:t>
      </w:r>
      <w:proofErr w:type="gramEnd"/>
      <w:r w:rsidRPr="002544B9">
        <w:rPr>
          <w:rFonts w:asciiTheme="minorEastAsia" w:hAnsiTheme="minorEastAsia" w:cs="Arial" w:hint="eastAsia"/>
          <w:color w:val="000000"/>
          <w:sz w:val="24"/>
          <w:szCs w:val="24"/>
        </w:rPr>
        <w:t>的实施条件、实施程序、运作安排（包括但不限于对基金赎回的影响、信息披露、费用列支等）、投资安排、特定资产的处置变现和支付等对投资者权益有重大影响的事项详见基金合同和招募说明书的规定。</w:t>
      </w:r>
    </w:p>
    <w:p w14:paraId="4DC3D61B" w14:textId="631028CC" w:rsidR="00B64868" w:rsidRPr="002544B9" w:rsidRDefault="00B64868" w:rsidP="00B64868">
      <w:pPr>
        <w:adjustRightInd w:val="0"/>
        <w:snapToGrid w:val="0"/>
        <w:spacing w:line="360" w:lineRule="auto"/>
        <w:ind w:firstLineChars="200" w:firstLine="480"/>
        <w:rPr>
          <w:rFonts w:asciiTheme="minorEastAsia" w:hAnsiTheme="minorEastAsia" w:cs="Arial"/>
          <w:color w:val="000000"/>
          <w:sz w:val="24"/>
          <w:szCs w:val="24"/>
        </w:rPr>
      </w:pPr>
      <w:r w:rsidRPr="002544B9">
        <w:rPr>
          <w:rFonts w:asciiTheme="minorEastAsia" w:hAnsiTheme="minorEastAsia" w:cs="Arial" w:hint="eastAsia"/>
          <w:color w:val="000000"/>
          <w:sz w:val="24"/>
          <w:szCs w:val="24"/>
        </w:rPr>
        <w:t>基金托管人依照相关法律法规的规定以及基金合同和招募说明书的约定，对侧</w:t>
      </w:r>
      <w:proofErr w:type="gramStart"/>
      <w:r w:rsidRPr="002544B9">
        <w:rPr>
          <w:rFonts w:asciiTheme="minorEastAsia" w:hAnsiTheme="minorEastAsia" w:cs="Arial" w:hint="eastAsia"/>
          <w:color w:val="000000"/>
          <w:sz w:val="24"/>
          <w:szCs w:val="24"/>
        </w:rPr>
        <w:t>袋机制</w:t>
      </w:r>
      <w:proofErr w:type="gramEnd"/>
      <w:r w:rsidRPr="002544B9">
        <w:rPr>
          <w:rFonts w:asciiTheme="minorEastAsia" w:hAnsiTheme="minorEastAsia" w:cs="Arial" w:hint="eastAsia"/>
          <w:color w:val="000000"/>
          <w:sz w:val="24"/>
          <w:szCs w:val="24"/>
        </w:rPr>
        <w:t>启用、特定资产处置和信息披露等方面进行复核和监督。</w:t>
      </w:r>
      <w:r w:rsidRPr="002544B9">
        <w:rPr>
          <w:rFonts w:asciiTheme="minorEastAsia" w:hAnsiTheme="minorEastAsia" w:cs="Arial"/>
          <w:color w:val="000000"/>
          <w:sz w:val="24"/>
          <w:szCs w:val="24"/>
        </w:rPr>
        <w:t xml:space="preserve">  </w:t>
      </w:r>
    </w:p>
    <w:p w14:paraId="3CB74E2A" w14:textId="32D2D417"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基金管理人对基金托管人的业务核查</w:t>
      </w:r>
    </w:p>
    <w:p w14:paraId="3FA1173E" w14:textId="09E01F7E"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根据《基金法》及其他有关法规、《基金合同》和本协议规定，基金管理人对基金托管人履行托管职责的情况进行核查，核查事项包括但不限于基金托管人是否安全保管基金财产、开立基金财产的银行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是否及时、准确复核基金管理人计算的基金资产净值和各类基金份额的基金份额净值，是否根据基金管理人指令办理清算交收，是否按照法规规定和《基金合同》规定进行相关信息披露和监督基金投资运作等行为。</w:t>
      </w:r>
    </w:p>
    <w:p w14:paraId="22057B2B"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基金管理人定期【（每半年）】和不定期地对基金托管人保管的基金资产进行核查。基金托管人应积极配合基金管理人的核查行为，包括但不限于：提交相关资料以</w:t>
      </w:r>
      <w:proofErr w:type="gramStart"/>
      <w:r w:rsidRPr="002544B9">
        <w:rPr>
          <w:rFonts w:ascii="宋体" w:hAnsi="宋体" w:hint="eastAsia"/>
          <w:sz w:val="24"/>
          <w:szCs w:val="24"/>
        </w:rPr>
        <w:t>供基金</w:t>
      </w:r>
      <w:proofErr w:type="gramEnd"/>
      <w:r w:rsidRPr="002544B9">
        <w:rPr>
          <w:rFonts w:ascii="宋体" w:hAnsi="宋体" w:hint="eastAsia"/>
          <w:sz w:val="24"/>
          <w:szCs w:val="24"/>
        </w:rPr>
        <w:t>管理人核查托管财产的完整性和真实性，在规定时间内答复并改正。</w:t>
      </w:r>
    </w:p>
    <w:p w14:paraId="4752EBB3" w14:textId="77777777"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未对基金资产实行分账管理、擅自挪用基金资产、未执行或无故延迟执行基金管理人资金划拨指令、泄露基金投资信息等违反《基金法》、《基金合同》、本协议及其他有关规定的，应及时以书面形式通知基金托管人在限期内纠正，基金托管人收到通知后应及时核对并以书面形式对基金管理人发出回函，说明违规原因及纠正期限，并保证在规定期限内及时改正。在限期内，基金管理人有权随时对通知事项进行复查，督促基金托管人改正。基金托管人对基金管理人通知的违规事项未能在限期内纠正的，基金管理人应报告中国证监会。对基金管理人按照法规要求需向中国证监会报送基金监督报告的，基金托管人应积极配合提供相关数据资料和制度等。</w:t>
      </w:r>
    </w:p>
    <w:p w14:paraId="71D8BAB8" w14:textId="53290C04" w:rsidR="00715D13" w:rsidRPr="002544B9" w:rsidRDefault="00715D13" w:rsidP="00715D13">
      <w:pPr>
        <w:spacing w:line="360" w:lineRule="auto"/>
        <w:ind w:firstLineChars="200" w:firstLine="480"/>
        <w:rPr>
          <w:rFonts w:ascii="宋体" w:hAnsi="宋体"/>
          <w:sz w:val="24"/>
          <w:szCs w:val="24"/>
        </w:rPr>
      </w:pPr>
      <w:r w:rsidRPr="002544B9">
        <w:rPr>
          <w:rFonts w:ascii="宋体" w:hAnsi="宋体" w:hint="eastAsia"/>
          <w:sz w:val="24"/>
          <w:szCs w:val="24"/>
        </w:rPr>
        <w:t>基金管理人发现基金托管人有重大违规行为，应立即报告中国证监会，同时通知基金托管人在限期内纠正。基金托管人无正当理由，拒绝、阻挠对方根据本协议规定行使监督权，或采取拖延、欺诈等手段妨碍对方进行有效监督，情节严重或经基金管理人提出警告仍不改正的，基金管理人应报告中国证监会。</w:t>
      </w:r>
    </w:p>
    <w:p w14:paraId="228020A1" w14:textId="77777777" w:rsidR="00715D13" w:rsidRPr="002544B9" w:rsidRDefault="00715D13">
      <w:pPr>
        <w:spacing w:line="360" w:lineRule="auto"/>
        <w:ind w:firstLineChars="200" w:firstLine="480"/>
        <w:rPr>
          <w:rFonts w:ascii="宋体" w:hAnsi="宋体"/>
          <w:sz w:val="24"/>
          <w:szCs w:val="24"/>
        </w:rPr>
      </w:pPr>
    </w:p>
    <w:p w14:paraId="3750C767" w14:textId="0E7EB210"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基金财产的保管</w:t>
      </w:r>
    </w:p>
    <w:p w14:paraId="1A7108A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（一）基金财产保管的原则</w:t>
      </w:r>
    </w:p>
    <w:p w14:paraId="7D649D6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1、基金托管人应安全保管基金财产，未经基金管理人的指令，不得自行运用、处分、分配基金的任何资产。</w:t>
      </w:r>
    </w:p>
    <w:p w14:paraId="17F6F92C" w14:textId="1B35C8FE"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2、基金财产应独立于基金管理人、基金托管人</w:t>
      </w:r>
      <w:r w:rsidR="00B64868" w:rsidRPr="002544B9">
        <w:rPr>
          <w:rFonts w:ascii="宋体" w:hAnsi="宋体" w:hint="eastAsia"/>
          <w:sz w:val="24"/>
          <w:szCs w:val="24"/>
        </w:rPr>
        <w:t>、证券经纪机构</w:t>
      </w:r>
      <w:r w:rsidRPr="002544B9">
        <w:rPr>
          <w:rFonts w:ascii="宋体" w:hAnsi="宋体" w:hint="eastAsia"/>
          <w:sz w:val="24"/>
          <w:szCs w:val="24"/>
        </w:rPr>
        <w:t>的固有财产。</w:t>
      </w:r>
    </w:p>
    <w:p w14:paraId="78C1B96A" w14:textId="7624E788"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3、基金托管人按照规定开立基金财产的银行</w:t>
      </w:r>
      <w:r w:rsidR="00B64868" w:rsidRPr="002544B9">
        <w:rPr>
          <w:rFonts w:ascii="宋体" w:hAnsi="宋体" w:hint="eastAsia"/>
          <w:sz w:val="24"/>
          <w:szCs w:val="24"/>
        </w:rPr>
        <w:t>存款</w:t>
      </w:r>
      <w:r w:rsidRPr="002544B9">
        <w:rPr>
          <w:rFonts w:ascii="宋体" w:hAnsi="宋体" w:hint="eastAsia"/>
          <w:sz w:val="24"/>
          <w:szCs w:val="24"/>
        </w:rPr>
        <w:t>账户、证券账户、债券托管账户等投资所需账户。</w:t>
      </w:r>
    </w:p>
    <w:p w14:paraId="3AF30CB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4、基金托管人对所托管的不同基金财产分别设置账户，与基金托管人的其他业务和其他基金的托管业务实行严格的分账管理，确保基金财产的完整和独立。</w:t>
      </w:r>
    </w:p>
    <w:p w14:paraId="193AE5C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对于因为基金投资产生的应收资产和基金申购过程中产生的应收资产，应由基金管理人负责与有关当事人确定到账日期并通知基金托管人，到账日基金资产没有到达基金银行存款账户的，基金托管人应及时通知基金管理人采取措施进行催收。由此给基金造成损失的，基金管理人应负责向有关当事人追偿基金的损失。基金托管人对此不承担任何责任。</w:t>
      </w:r>
    </w:p>
    <w:p w14:paraId="038EBAD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6、除依据法律法规和《基金合同》的规定外，基金托管人不得委托第三人托管基金财产。</w:t>
      </w:r>
    </w:p>
    <w:p w14:paraId="15A2D45A" w14:textId="00D3468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（二）基金募集资产的验证</w:t>
      </w:r>
    </w:p>
    <w:p w14:paraId="22B9390B"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基金募集期间募集的资金应存于基金管理人在具有基金销售业务资格或托管资格的商业银行开设的富荣基金管理有限公司基金募集专户。该账户由基金管理人开立并管理。</w:t>
      </w:r>
    </w:p>
    <w:p w14:paraId="36CE2540" w14:textId="4B6D1DF5"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基金募集期满之日起</w:t>
      </w:r>
      <w:r w:rsidRPr="002544B9">
        <w:rPr>
          <w:rFonts w:ascii="宋体" w:hAnsi="宋体"/>
          <w:sz w:val="24"/>
          <w:szCs w:val="24"/>
        </w:rPr>
        <w:t>10日内，募集的基金</w:t>
      </w:r>
      <w:r w:rsidR="00B64868" w:rsidRPr="002544B9">
        <w:rPr>
          <w:rFonts w:ascii="宋体" w:hAnsi="宋体" w:hint="eastAsia"/>
          <w:sz w:val="24"/>
          <w:szCs w:val="24"/>
        </w:rPr>
        <w:t>份额总额、基金</w:t>
      </w:r>
      <w:r w:rsidRPr="002544B9">
        <w:rPr>
          <w:rFonts w:ascii="宋体" w:hAnsi="宋体" w:hint="eastAsia"/>
          <w:sz w:val="24"/>
          <w:szCs w:val="24"/>
        </w:rPr>
        <w:t>募集金额</w:t>
      </w:r>
      <w:r w:rsidR="00B64868" w:rsidRPr="002544B9">
        <w:rPr>
          <w:rFonts w:ascii="宋体" w:hAnsi="宋体" w:hint="eastAsia"/>
          <w:sz w:val="24"/>
          <w:szCs w:val="24"/>
        </w:rPr>
        <w:t>、基金份额持有人人数</w:t>
      </w:r>
      <w:r w:rsidRPr="002544B9">
        <w:rPr>
          <w:rFonts w:ascii="宋体" w:hAnsi="宋体" w:hint="eastAsia"/>
          <w:sz w:val="24"/>
          <w:szCs w:val="24"/>
        </w:rPr>
        <w:t>符合《基金法》、《运作办法》等有关规定后，由基金管理人聘请</w:t>
      </w:r>
      <w:r w:rsidR="000E3D83" w:rsidRPr="002544B9">
        <w:rPr>
          <w:rFonts w:ascii="宋体" w:hAnsi="宋体" w:hint="eastAsia"/>
          <w:sz w:val="24"/>
          <w:szCs w:val="24"/>
        </w:rPr>
        <w:t>符合《中华人民共和国证券法》规定</w:t>
      </w:r>
      <w:r w:rsidRPr="002544B9">
        <w:rPr>
          <w:rFonts w:ascii="宋体" w:hAnsi="宋体" w:hint="eastAsia"/>
          <w:sz w:val="24"/>
          <w:szCs w:val="24"/>
        </w:rPr>
        <w:t>的会计师事务所进行验资，出具验资报告，出具的验资报告应由参加验资的</w:t>
      </w:r>
      <w:r w:rsidRPr="002544B9">
        <w:rPr>
          <w:rFonts w:ascii="宋体" w:hAnsi="宋体"/>
          <w:sz w:val="24"/>
          <w:szCs w:val="24"/>
        </w:rPr>
        <w:t>2名以上（含2名）中国注册会计师签字有效。验资完成，基金管理人应将募集到的全部资金存入基金托管人为基金开立的基金银行存款账户中，基金托管人在收到资金当日出具相关证明文件。</w:t>
      </w:r>
    </w:p>
    <w:p w14:paraId="1D77E251"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（三）基金的银行存款账户的开立和管理</w:t>
      </w:r>
    </w:p>
    <w:p w14:paraId="1B31FDA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1、基金托管人应负责本基金银行存款账户的开立和管理。</w:t>
      </w:r>
    </w:p>
    <w:p w14:paraId="67DC499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2、基金托管人以本基金的名义在商业银行开立基金的银行存款账户，并根据中国人民银行规定计息。本基金的银行预留印鉴由基金托管</w:t>
      </w:r>
      <w:proofErr w:type="gramStart"/>
      <w:r w:rsidRPr="002544B9">
        <w:rPr>
          <w:rFonts w:ascii="宋体" w:hAnsi="宋体" w:hint="eastAsia"/>
          <w:sz w:val="24"/>
          <w:szCs w:val="24"/>
        </w:rPr>
        <w:t>人制</w:t>
      </w:r>
      <w:proofErr w:type="gramEnd"/>
      <w:r w:rsidRPr="002544B9">
        <w:rPr>
          <w:rFonts w:ascii="宋体" w:hAnsi="宋体" w:hint="eastAsia"/>
          <w:sz w:val="24"/>
          <w:szCs w:val="24"/>
        </w:rPr>
        <w:t>作、保管和使用。本基金的一切货币收支活动，包括但不限于投资、支付赎回金额、支付基金收益，均需通过本基金的银行存款账户进行。</w:t>
      </w:r>
    </w:p>
    <w:p w14:paraId="09008EA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3、本基金银行存款账户的开立和使用，限于满足开展本基金业务的需要。基金托管人和基金管理人不得假借本基金的名义开立其他任何银行存款账户；亦不得使用基金的任何银行存款账户进行本基金业务以外的活动。</w:t>
      </w:r>
    </w:p>
    <w:p w14:paraId="756DAA9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4、基金托管人可以通过申请开通本基金银行账户的企业网上银行业务进行资金支付，并使用企业网上银行（简称“网银”）办理托管资产的资金结算汇划业务。</w:t>
      </w:r>
    </w:p>
    <w:p w14:paraId="0B35F10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5、基金银行存款账户的管理应符合法律、法规以及银行业监督管理机构的其他规定。</w:t>
      </w:r>
    </w:p>
    <w:p w14:paraId="2F6C0D0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（四）基金的证券交收账户和资金交收账户的开立和管理</w:t>
      </w:r>
    </w:p>
    <w:p w14:paraId="5F3CB8E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基金托管人以基金托管人和本基金联名的方式在中国证券登记结算有限责任公司开立证券账户。</w:t>
      </w:r>
    </w:p>
    <w:p w14:paraId="378F782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基金证券账户的开立和使用，限于满足开展本基金业务的需要。基金托管人和基金管理人不得出借和未经对方同意擅自转让基金的任何证券账户；亦不得使用基金的任何账户进行本基金业务以外的活动。</w:t>
      </w:r>
    </w:p>
    <w:p w14:paraId="1602178A"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基金管理人不得对基金证券交收账户、资金交收账户进行证券的超卖或超买。</w:t>
      </w:r>
    </w:p>
    <w:p w14:paraId="6671BC88"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（五）债券托管账户的开立和管理</w:t>
      </w:r>
    </w:p>
    <w:p w14:paraId="345A99D4"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1、募集资金经验资后，基金托管人负责在中央国债登记结算有限责任公司及银行间市场清算所股份有限公司以本基金的名义开立债券托管账户，并由基金托管人负责基金的债券及资金的清算。在上述手续办理完毕后，由基金托管人向人民银行进行报备。基金管理人负责申请基金进入全国银行间同业拆借市场进行交易，由基金管理人在中国外汇交易中心开设同业拆借市场交易账户。</w:t>
      </w:r>
    </w:p>
    <w:p w14:paraId="12CC2D7D"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sz w:val="24"/>
          <w:szCs w:val="24"/>
        </w:rPr>
        <w:t>2、基金管理人代表基金对外签订中国银行间债券市场回购交易主协议。</w:t>
      </w:r>
    </w:p>
    <w:p w14:paraId="3DF9D53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（六）其他账户的开立和管理</w:t>
      </w:r>
    </w:p>
    <w:p w14:paraId="3475CA1E"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若中国证监会或其他监管机构在本托管协议订立日之后允许基金从事其他投资品种的投资业务，涉及相关账户的开立、使用的，由基金管理人协助基金托管人根据有关法律、法规的规定和《基金合同》的约定，开立有关账户。该账户按有关规则使用并管理。</w:t>
      </w:r>
    </w:p>
    <w:p w14:paraId="25D7B5A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法律法规等有关规定对相关账户的开立和管理另有规定的，从其规定办理。</w:t>
      </w:r>
    </w:p>
    <w:p w14:paraId="5F603F20"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（七）基金财产投资的有关实物证券、银行存款定期存单等有价凭证的保管</w:t>
      </w:r>
    </w:p>
    <w:p w14:paraId="0A6293B5"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实物证券由基金托管人存放于基金托管人或其他基金管理人与基金托管人协议一致的第三方机构的保管库。实物证券的购买和转让，由基金托管人根据基金管理人的指令办理。基金托管人对由基金托管人以外机构实际有效控制的本基金资产不承担保管责任。</w:t>
      </w:r>
    </w:p>
    <w:p w14:paraId="02C93B82"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银行存款定期存单等有价凭证由基金托管人负责保管。</w:t>
      </w:r>
    </w:p>
    <w:p w14:paraId="7CFC98E7"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（八）与基金财产有关的重大合同的保管</w:t>
      </w:r>
    </w:p>
    <w:p w14:paraId="0182DC59" w14:textId="77777777"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由基金管理人代表基金签署的与基金有关的重大合同的原件分别由基金托管人、基金管理人保管，相关业务程序另有限制除外。除本协议另有规定外，基金管理人在代基金签署与基金有关的重大合同时应尽可能保证持有二份以上的正本，以便基金管理人和基金托管人至少各持有一份正本的原件，基金管理人在合同签署后</w:t>
      </w:r>
      <w:r w:rsidRPr="002544B9">
        <w:rPr>
          <w:rFonts w:ascii="宋体" w:hAnsi="宋体"/>
          <w:sz w:val="24"/>
          <w:szCs w:val="24"/>
        </w:rPr>
        <w:t>15个工作日内通过专人送达、挂号邮寄等安全方式将合同原件送达基金托管人处。合同的保管期限按照国家有关规定执行。</w:t>
      </w:r>
    </w:p>
    <w:p w14:paraId="144BE121" w14:textId="2625265B"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对于无法取得二份以上的正本的，基金管理人应向基金托管人提供与原件核对一致后加盖授权业务章的合同</w:t>
      </w:r>
      <w:r w:rsidR="000E3D83" w:rsidRPr="002544B9">
        <w:rPr>
          <w:rFonts w:ascii="宋体" w:hAnsi="宋体" w:hint="eastAsia"/>
          <w:sz w:val="24"/>
          <w:szCs w:val="24"/>
        </w:rPr>
        <w:t>扫描件或</w:t>
      </w:r>
      <w:r w:rsidRPr="002544B9">
        <w:rPr>
          <w:rFonts w:ascii="宋体" w:hAnsi="宋体" w:hint="eastAsia"/>
          <w:sz w:val="24"/>
          <w:szCs w:val="24"/>
        </w:rPr>
        <w:t>传真件，未经双方协商或未在合同约定范围内，合同原件不得转移。</w:t>
      </w:r>
    </w:p>
    <w:p w14:paraId="7EC37F56" w14:textId="5350837E" w:rsidR="00D2509E" w:rsidRPr="002544B9" w:rsidRDefault="00D2509E" w:rsidP="00D2509E">
      <w:pPr>
        <w:spacing w:line="360" w:lineRule="auto"/>
        <w:ind w:firstLineChars="200" w:firstLine="480"/>
        <w:rPr>
          <w:rFonts w:ascii="宋体" w:hAnsi="宋体"/>
          <w:sz w:val="24"/>
          <w:szCs w:val="24"/>
        </w:rPr>
      </w:pPr>
      <w:r w:rsidRPr="002544B9">
        <w:rPr>
          <w:rFonts w:ascii="宋体" w:hAnsi="宋体" w:hint="eastAsia"/>
          <w:sz w:val="24"/>
          <w:szCs w:val="24"/>
        </w:rPr>
        <w:t>因基金管理人未按本协议约定及时向基金托管人送达重大合同原件或</w:t>
      </w:r>
      <w:r w:rsidR="000E3D83" w:rsidRPr="002544B9">
        <w:rPr>
          <w:rFonts w:ascii="宋体" w:hAnsi="宋体" w:hint="eastAsia"/>
          <w:sz w:val="24"/>
          <w:szCs w:val="24"/>
        </w:rPr>
        <w:t>扫描件或</w:t>
      </w:r>
      <w:r w:rsidRPr="002544B9">
        <w:rPr>
          <w:rFonts w:ascii="宋体" w:hAnsi="宋体" w:hint="eastAsia"/>
          <w:sz w:val="24"/>
          <w:szCs w:val="24"/>
        </w:rPr>
        <w:t>传真件导致的法律责任，基金托管人不予承担。</w:t>
      </w:r>
    </w:p>
    <w:p w14:paraId="2CF9113C" w14:textId="77777777" w:rsidR="00D2509E" w:rsidRPr="002544B9" w:rsidRDefault="00D2509E">
      <w:pPr>
        <w:spacing w:line="360" w:lineRule="auto"/>
        <w:ind w:firstLineChars="200" w:firstLine="480"/>
        <w:rPr>
          <w:rFonts w:ascii="宋体" w:hAnsi="宋体"/>
          <w:sz w:val="24"/>
          <w:szCs w:val="24"/>
        </w:rPr>
      </w:pPr>
    </w:p>
    <w:p w14:paraId="34C8A73D" w14:textId="10395A13"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基金资产净值计算和会计核算</w:t>
      </w:r>
    </w:p>
    <w:p w14:paraId="73463BF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（一）基金资产净值及各类基金份额的基金份额净值的计算与复核</w:t>
      </w:r>
    </w:p>
    <w:p w14:paraId="6877E85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基金资产净值是指基金资产总值减去负债后的价值。</w:t>
      </w:r>
    </w:p>
    <w:p w14:paraId="5B1961D7" w14:textId="0033C85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基金管理人应每工作日对基金资产估值。</w:t>
      </w:r>
      <w:r w:rsidR="000E3D83" w:rsidRPr="002544B9">
        <w:rPr>
          <w:rFonts w:asciiTheme="minorEastAsia" w:hAnsiTheme="minorEastAsia" w:cs="Arial" w:hint="eastAsia"/>
          <w:sz w:val="24"/>
          <w:szCs w:val="24"/>
        </w:rPr>
        <w:t>但基金管理人根据法律法规或基金合同的规定暂停估值时除外。</w:t>
      </w:r>
      <w:r w:rsidRPr="002544B9">
        <w:rPr>
          <w:rFonts w:asciiTheme="minorEastAsia" w:hAnsiTheme="minorEastAsia" w:cs="Arial" w:hint="eastAsia"/>
          <w:sz w:val="24"/>
          <w:szCs w:val="24"/>
        </w:rPr>
        <w:t>估值原则应符合《基金合同》、</w:t>
      </w:r>
      <w:r w:rsidR="000E3D83" w:rsidRPr="002544B9">
        <w:rPr>
          <w:rFonts w:asciiTheme="minorEastAsia" w:hAnsiTheme="minorEastAsia" w:cs="Arial" w:hint="eastAsia"/>
          <w:sz w:val="24"/>
          <w:szCs w:val="24"/>
        </w:rPr>
        <w:t>《中国证监会关于证券投资基金估值业务的指导意见》、</w:t>
      </w:r>
      <w:r w:rsidRPr="002544B9">
        <w:rPr>
          <w:rFonts w:asciiTheme="minorEastAsia" w:hAnsiTheme="minorEastAsia" w:cs="Arial" w:hint="eastAsia"/>
          <w:sz w:val="24"/>
          <w:szCs w:val="24"/>
        </w:rPr>
        <w:t>《证券投资基金会计核算业务指引》及其他法律、法规的规定。基金资产净值和各类基金份额的基金份额净值由基金管理人负责计算，基金托管人复核。各类基金份额净值是按照每个工作日闭市后，该类基金资产净值除以当日该类基金份额的余额数量计算，精确到</w:t>
      </w:r>
      <w:r w:rsidRPr="002544B9">
        <w:rPr>
          <w:rFonts w:asciiTheme="minorEastAsia" w:hAnsiTheme="minorEastAsia" w:cs="Arial"/>
          <w:sz w:val="24"/>
          <w:szCs w:val="24"/>
        </w:rPr>
        <w:t>0.0001元，小数点后第5位四舍五入，由此产生的收益或损失由基金财产承担。基金管理人可以设立大额赎回情形下的净值精度应急调整机制。国家另有规定的，从其规定。基金管理人</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工作日对基金资产估值。但基金管理人根据法律法规或基金合同的规定暂停估值时除外。基金管理人每个工作日对基金资产估值后，将各类基金份额净值结果发送基金托管人，经基金托管人复核无误后，由基金管理人按</w:t>
      </w:r>
      <w:r w:rsidR="000E3D83" w:rsidRPr="002544B9">
        <w:rPr>
          <w:rFonts w:asciiTheme="minorEastAsia" w:hAnsiTheme="minorEastAsia" w:cs="Arial" w:hint="eastAsia"/>
          <w:sz w:val="24"/>
          <w:szCs w:val="24"/>
        </w:rPr>
        <w:t>规</w:t>
      </w:r>
      <w:r w:rsidRPr="002544B9">
        <w:rPr>
          <w:rFonts w:asciiTheme="minorEastAsia" w:hAnsiTheme="minorEastAsia" w:cs="Arial" w:hint="eastAsia"/>
          <w:sz w:val="24"/>
          <w:szCs w:val="24"/>
        </w:rPr>
        <w:t>定对外公布。</w:t>
      </w:r>
    </w:p>
    <w:p w14:paraId="77CB683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本基金按以下方法估值：</w:t>
      </w:r>
      <w:r w:rsidRPr="002544B9">
        <w:rPr>
          <w:rFonts w:asciiTheme="minorEastAsia" w:hAnsiTheme="minorEastAsia" w:cs="Arial"/>
          <w:sz w:val="24"/>
          <w:szCs w:val="24"/>
        </w:rPr>
        <w:t xml:space="preserve"> </w:t>
      </w:r>
    </w:p>
    <w:p w14:paraId="5169200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1、证券交易所上市的有价证券的估值</w:t>
      </w:r>
    </w:p>
    <w:p w14:paraId="48FD981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交易所上市的有价证券（包括股票等），以其估值日在证券交易所挂牌的市价（收盘价）估值；估值日无交易的，且最近交易日后经济环境未发生重大变化或证券发行机构未发生影响证券价格的重大事件的，以最近交易日的市价（收盘价）估值，如最近交易日后经济环境发生了重大变化或证券发行机构发生影响证券价格的重大事件的，可参考类似投资品种的现行市价及重大变化因素，调整最近交易市价，确定公允价格；</w:t>
      </w:r>
    </w:p>
    <w:p w14:paraId="43C14A8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交易所上市实行净价交易的债券按估值日第三方估值机构提供的相应品种的净价进行估值；如最近交易日后经济环境发生了重大变化的，可参考类似投资品种的现行市价及重大变化因素，调整最近交易市价，确定公允价值；</w:t>
      </w:r>
    </w:p>
    <w:p w14:paraId="69550D8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交易所上市未实行净价交易的债券按估值日收盘价减去债券收盘价中所含的债券应收利息得到的净价进行估值；估值日没有交易的，且最近交易日后经济环境未发生重大变化，按最近交易日债券收盘价减去债券收盘价中所含的债券应收利息得到的净价进行估值。如最近交易日后经济环境发生了重大变化的，可参考类似投资品种的现行市价及重大变化因素，调整最近交易市价，确定公允价值。经与托管人协商一致，基金管理人可采用第三方估值机构提供的相关数据作为估值依据；</w:t>
      </w:r>
    </w:p>
    <w:p w14:paraId="7EF426B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4）交易所上市交易的可转换债券以每日收盘价作为估值全价；</w:t>
      </w:r>
    </w:p>
    <w:p w14:paraId="777E294C" w14:textId="5D9A14A4"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5）交易所上市不存在活跃市场的非固定收益类有价证券，采用估值技术确定公允价值。交易所市场挂牌转让的资产支持证券，采用估值技术确定公允价值，在估值技术难以可靠计量公允价值的情况下，按成本估值</w:t>
      </w:r>
      <w:r w:rsidR="000E3D83" w:rsidRPr="002544B9">
        <w:rPr>
          <w:rFonts w:asciiTheme="minorEastAsia" w:hAnsiTheme="minorEastAsia" w:cs="Arial"/>
          <w:sz w:val="24"/>
          <w:szCs w:val="24"/>
        </w:rPr>
        <w:t>；</w:t>
      </w:r>
    </w:p>
    <w:p w14:paraId="3E033B5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6）对在交易所市场发行未上市或未挂牌转让的债券，对存在活跃市场的情况下，应以活跃市场上未经调整的报价作为估值日的公允价值；对于活跃市场报价未能代表估值日公允价值的情况下，应对市场报价进行调整以确认估值日的公允价值；对于不存在市场活动或市场活动很少的情况下，应采用估值技术确定其公允价值。</w:t>
      </w:r>
    </w:p>
    <w:p w14:paraId="1D07BC9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2、处于未上市期间的有价证券应区分如下情况处理：</w:t>
      </w:r>
    </w:p>
    <w:p w14:paraId="4CDAB3B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1）送股、转增股、配股和公开增发的新股，按估值日在证券交易所挂牌的同一股票的估值方法估值；该日无交易的，以最近一日的市价（收盘价）估值；</w:t>
      </w:r>
    </w:p>
    <w:p w14:paraId="7D2E2D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2）首次公开发行未上市的股票、债券，采用估值技术确定公允价值，在估值技术难以可靠计量公允价值的情况下，按成本估值；</w:t>
      </w:r>
    </w:p>
    <w:p w14:paraId="6F83524B" w14:textId="7B16B04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w:t>
      </w:r>
      <w:r w:rsidR="000E3D83" w:rsidRPr="002544B9">
        <w:rPr>
          <w:rFonts w:asciiTheme="minorEastAsia" w:hAnsiTheme="minorEastAsia" w:cs="Arial" w:hint="eastAsia"/>
          <w:sz w:val="24"/>
          <w:szCs w:val="24"/>
        </w:rPr>
        <w:t>流通受限的股票，包括非公开发行股票、</w:t>
      </w:r>
      <w:r w:rsidRPr="002544B9">
        <w:rPr>
          <w:rFonts w:asciiTheme="minorEastAsia" w:hAnsiTheme="minorEastAsia" w:cs="Arial" w:hint="eastAsia"/>
          <w:sz w:val="24"/>
          <w:szCs w:val="24"/>
        </w:rPr>
        <w:t>首次公开发行</w:t>
      </w:r>
      <w:r w:rsidR="000E3D83" w:rsidRPr="002544B9">
        <w:rPr>
          <w:rFonts w:asciiTheme="minorEastAsia" w:hAnsiTheme="minorEastAsia" w:cs="Arial" w:hint="eastAsia"/>
          <w:sz w:val="24"/>
          <w:szCs w:val="24"/>
        </w:rPr>
        <w:t>股票时公司股东公开发售股份、通过大宗交易取得的带限售期的股票等（不包括停牌、新发行未上市、回购交易中的质押</w:t>
      </w:r>
      <w:proofErr w:type="gramStart"/>
      <w:r w:rsidR="000E3D83" w:rsidRPr="002544B9">
        <w:rPr>
          <w:rFonts w:asciiTheme="minorEastAsia" w:hAnsiTheme="minorEastAsia" w:cs="Arial" w:hint="eastAsia"/>
          <w:sz w:val="24"/>
          <w:szCs w:val="24"/>
        </w:rPr>
        <w:t>券</w:t>
      </w:r>
      <w:proofErr w:type="gramEnd"/>
      <w:r w:rsidR="000E3D83" w:rsidRPr="002544B9">
        <w:rPr>
          <w:rFonts w:asciiTheme="minorEastAsia" w:hAnsiTheme="minorEastAsia" w:cs="Arial" w:hint="eastAsia"/>
          <w:sz w:val="24"/>
          <w:szCs w:val="24"/>
        </w:rPr>
        <w:t>等流通受限股票）</w:t>
      </w:r>
      <w:r w:rsidRPr="002544B9">
        <w:rPr>
          <w:rFonts w:asciiTheme="minorEastAsia" w:hAnsiTheme="minorEastAsia" w:cs="Arial" w:hint="eastAsia"/>
          <w:sz w:val="24"/>
          <w:szCs w:val="24"/>
        </w:rPr>
        <w:t>，按监管机构或行业协会有关规定确定公允价值。</w:t>
      </w:r>
    </w:p>
    <w:p w14:paraId="1BF8E9C8"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3、全国银行间债券市场交易的债券、资产支持证券等固定收益品种，以第三方估值机构提供的价格数据估值。</w:t>
      </w:r>
    </w:p>
    <w:p w14:paraId="372D4BBD" w14:textId="332722F5"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4、同一</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券同时在两个或两个以上市场交易的，按</w:t>
      </w:r>
      <w:r w:rsidR="000E3D83" w:rsidRPr="002544B9">
        <w:rPr>
          <w:rFonts w:asciiTheme="minorEastAsia" w:hAnsiTheme="minorEastAsia" w:cs="Arial" w:hint="eastAsia"/>
          <w:sz w:val="24"/>
          <w:szCs w:val="24"/>
        </w:rPr>
        <w:t>证</w:t>
      </w:r>
      <w:r w:rsidRPr="002544B9">
        <w:rPr>
          <w:rFonts w:asciiTheme="minorEastAsia" w:hAnsiTheme="minorEastAsia" w:cs="Arial" w:hint="eastAsia"/>
          <w:sz w:val="24"/>
          <w:szCs w:val="24"/>
        </w:rPr>
        <w:t>券所处的市场分别估值。</w:t>
      </w:r>
    </w:p>
    <w:p w14:paraId="5FBF6055" w14:textId="46CC401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5、本基金投资国债期货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、股指期货</w:t>
      </w:r>
      <w:r w:rsidR="000E3D83" w:rsidRPr="002544B9">
        <w:rPr>
          <w:rFonts w:asciiTheme="minorEastAsia" w:hAnsiTheme="minorEastAsia" w:cs="Arial" w:hint="eastAsia"/>
          <w:sz w:val="24"/>
          <w:szCs w:val="24"/>
        </w:rPr>
        <w:t>合约</w:t>
      </w:r>
      <w:r w:rsidRPr="002544B9">
        <w:rPr>
          <w:rFonts w:asciiTheme="minorEastAsia" w:hAnsiTheme="minorEastAsia" w:cs="Arial" w:hint="eastAsia"/>
          <w:sz w:val="24"/>
          <w:szCs w:val="24"/>
        </w:rPr>
        <w:t>、股票期权合约，一般以估值当日结算价进行估值，估值当日无结算价的，且最近交易日后经济环境未发生重大变化的，采用最近交易日结算价估值。</w:t>
      </w:r>
    </w:p>
    <w:p w14:paraId="5B01D2AA" w14:textId="25F831F3"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6</w:t>
      </w:r>
      <w:r w:rsidR="006F7508" w:rsidRPr="002544B9">
        <w:rPr>
          <w:rFonts w:asciiTheme="minorEastAsia" w:hAnsiTheme="minorEastAsia" w:cs="Arial" w:hint="eastAsia"/>
          <w:sz w:val="24"/>
          <w:szCs w:val="24"/>
        </w:rPr>
        <w:t>、本基金投资存托凭证的估值核算，依照境内上市交易的股票执行。</w:t>
      </w:r>
    </w:p>
    <w:p w14:paraId="6FFBA6E3" w14:textId="3DA1113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7</w:t>
      </w:r>
      <w:r w:rsidR="006F7508" w:rsidRPr="002544B9">
        <w:rPr>
          <w:rFonts w:asciiTheme="minorEastAsia" w:hAnsiTheme="minorEastAsia" w:cs="Arial" w:hint="eastAsia"/>
          <w:sz w:val="24"/>
          <w:szCs w:val="24"/>
        </w:rPr>
        <w:t>、其他资产按法律法规或监管机构有关规定进行估值。</w:t>
      </w:r>
    </w:p>
    <w:p w14:paraId="243E3838" w14:textId="671D5D70"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8</w:t>
      </w:r>
      <w:r w:rsidR="006F7508" w:rsidRPr="002544B9">
        <w:rPr>
          <w:rFonts w:asciiTheme="minorEastAsia" w:hAnsiTheme="minorEastAsia" w:cs="Arial" w:hint="eastAsia"/>
          <w:sz w:val="24"/>
          <w:szCs w:val="24"/>
        </w:rPr>
        <w:t>、如有确凿证据表明按上述方法进行估值不能客观反映其公允价值的，基金管理人可根据具体情况与基金托管人商定后，按最能反映公允价值的方法估值。</w:t>
      </w:r>
    </w:p>
    <w:p w14:paraId="01FF8973" w14:textId="6C968D51" w:rsidR="006F7508" w:rsidRPr="002544B9" w:rsidRDefault="000E3D83"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9</w:t>
      </w:r>
      <w:r w:rsidR="006F7508" w:rsidRPr="002544B9">
        <w:rPr>
          <w:rFonts w:asciiTheme="minorEastAsia" w:hAnsiTheme="minorEastAsia" w:cs="Arial" w:hint="eastAsia"/>
          <w:sz w:val="24"/>
          <w:szCs w:val="24"/>
        </w:rPr>
        <w:t>、当本基金发生大额申购或赎回情形时，基金管理人可以对本基金采用摆动定价机制，以确保基金估值的公平性。</w:t>
      </w:r>
    </w:p>
    <w:p w14:paraId="4348B0BB" w14:textId="66B85163"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w:t>
      </w:r>
      <w:r w:rsidR="000E3D83" w:rsidRPr="002544B9">
        <w:rPr>
          <w:rFonts w:asciiTheme="minorEastAsia" w:hAnsiTheme="minorEastAsia" w:cs="Arial"/>
          <w:sz w:val="24"/>
          <w:szCs w:val="24"/>
        </w:rPr>
        <w:t>0</w:t>
      </w:r>
      <w:r w:rsidRPr="002544B9">
        <w:rPr>
          <w:rFonts w:asciiTheme="minorEastAsia" w:hAnsiTheme="minorEastAsia" w:cs="Arial" w:hint="eastAsia"/>
          <w:sz w:val="24"/>
          <w:szCs w:val="24"/>
        </w:rPr>
        <w:t>、相关法律法规以及监管部门有强制规定的，从其规定。如有新增事项，按国家最新规定估值。</w:t>
      </w:r>
    </w:p>
    <w:p w14:paraId="56B0D95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如基金管理人或基金托管人发现基金估值违反基金合同订明的估值方法、程序及相关法律法规的规定或者未能充分维护基金份额持有人利益时，应立即通知对方，共同查明原因，双方协商解决。</w:t>
      </w:r>
    </w:p>
    <w:p w14:paraId="598FB70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根据有关法律法规，基金资产净值计算和基金会计核算的义务由基金管理人承担，基金托管人承担复核责任。本基金的基金会计</w:t>
      </w:r>
      <w:proofErr w:type="gramStart"/>
      <w:r w:rsidRPr="002544B9">
        <w:rPr>
          <w:rFonts w:asciiTheme="minorEastAsia" w:hAnsiTheme="minorEastAsia" w:cs="Arial" w:hint="eastAsia"/>
          <w:sz w:val="24"/>
          <w:szCs w:val="24"/>
        </w:rPr>
        <w:t>主责任</w:t>
      </w:r>
      <w:proofErr w:type="gramEnd"/>
      <w:r w:rsidRPr="002544B9">
        <w:rPr>
          <w:rFonts w:asciiTheme="minorEastAsia" w:hAnsiTheme="minorEastAsia" w:cs="Arial" w:hint="eastAsia"/>
          <w:sz w:val="24"/>
          <w:szCs w:val="24"/>
        </w:rPr>
        <w:t>方由基金管理人担任，因此，就与本基金有关的会计问题，如经相关各方在平等基础上充分讨论后，仍无法达成一致的意见，按照基金管理人对基金净值信息的计算结果对外予以公布，由此给基金份额持有人和基金造成的损失以及因该交易日基金资产净值计算顺延错误而引起的损失，由基金管理人负责赔付。</w:t>
      </w:r>
    </w:p>
    <w:p w14:paraId="796E47A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（二）估值错误处理</w:t>
      </w:r>
    </w:p>
    <w:p w14:paraId="16BF10DC" w14:textId="4E6AD26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基金管理人和基金托管人将采取必要、适当、合理的措施确保基金资产估值的准确性、及时性。当</w:t>
      </w:r>
      <w:r w:rsidR="000E3D83" w:rsidRPr="002544B9">
        <w:rPr>
          <w:rFonts w:asciiTheme="minorEastAsia" w:hAnsiTheme="minorEastAsia" w:cs="Arial" w:hint="eastAsia"/>
          <w:sz w:val="24"/>
          <w:szCs w:val="24"/>
        </w:rPr>
        <w:t>任一类</w:t>
      </w:r>
      <w:r w:rsidRPr="002544B9">
        <w:rPr>
          <w:rFonts w:asciiTheme="minorEastAsia" w:hAnsiTheme="minorEastAsia" w:cs="Arial" w:hint="eastAsia"/>
          <w:sz w:val="24"/>
          <w:szCs w:val="24"/>
        </w:rPr>
        <w:t>基金份额净值小数点后</w:t>
      </w:r>
      <w:r w:rsidRPr="002544B9">
        <w:rPr>
          <w:rFonts w:asciiTheme="minorEastAsia" w:hAnsiTheme="minorEastAsia" w:cs="Arial"/>
          <w:sz w:val="24"/>
          <w:szCs w:val="24"/>
        </w:rPr>
        <w:t>4位以内（含第4位）发生估值错误时，视为</w:t>
      </w:r>
      <w:r w:rsidR="000E3D83" w:rsidRPr="002544B9">
        <w:rPr>
          <w:rFonts w:asciiTheme="minorEastAsia" w:hAnsiTheme="minorEastAsia" w:cs="Arial" w:hint="eastAsia"/>
          <w:sz w:val="24"/>
          <w:szCs w:val="24"/>
        </w:rPr>
        <w:t>该类</w:t>
      </w:r>
      <w:r w:rsidRPr="002544B9">
        <w:rPr>
          <w:rFonts w:asciiTheme="minorEastAsia" w:hAnsiTheme="minorEastAsia" w:cs="Arial" w:hint="eastAsia"/>
          <w:sz w:val="24"/>
          <w:szCs w:val="24"/>
        </w:rPr>
        <w:t>基金份额净值错误。</w:t>
      </w:r>
    </w:p>
    <w:p w14:paraId="3AF676E7" w14:textId="481731A2"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基金合同的当事人应按照以下约定处理：</w:t>
      </w:r>
    </w:p>
    <w:p w14:paraId="1C3C517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1、估值错误类型</w:t>
      </w:r>
    </w:p>
    <w:p w14:paraId="510EEC85" w14:textId="7CE2604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本基金运作过程中，如果由于基金管理人或基金托管人、或登记机构、</w:t>
      </w:r>
      <w:r w:rsidR="000E3D83" w:rsidRPr="002544B9">
        <w:rPr>
          <w:rFonts w:asciiTheme="minorEastAsia" w:hAnsiTheme="minorEastAsia" w:cs="Arial" w:hint="eastAsia"/>
          <w:sz w:val="24"/>
          <w:szCs w:val="24"/>
        </w:rPr>
        <w:t>或证券经纪机构、</w:t>
      </w:r>
      <w:r w:rsidR="000E3D83" w:rsidRPr="002544B9">
        <w:rPr>
          <w:rFonts w:asciiTheme="minorEastAsia" w:hAnsiTheme="minorEastAsia" w:cs="Arial"/>
          <w:sz w:val="24"/>
          <w:szCs w:val="24"/>
        </w:rPr>
        <w:t xml:space="preserve"> </w:t>
      </w:r>
      <w:r w:rsidRPr="002544B9">
        <w:rPr>
          <w:rFonts w:asciiTheme="minorEastAsia" w:hAnsiTheme="minorEastAsia" w:cs="Arial" w:hint="eastAsia"/>
          <w:sz w:val="24"/>
          <w:szCs w:val="24"/>
        </w:rPr>
        <w:t>或销售机构、或投资人自身的过错造成估值错误，导致其他当事人遭受损失的，过错的责任人应当对由于该估值错误遭受损失当事人（“受损方”）的直接损失按下述“估值错误处理原则”给予赔偿，承担赔偿责任。</w:t>
      </w:r>
    </w:p>
    <w:p w14:paraId="4494886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上述估值错误的主要类型包括但不限于：资料申报差错、数据传输差错、数据计算差错、系统故障差错、下达指令差错等。</w:t>
      </w:r>
    </w:p>
    <w:p w14:paraId="11429CD6"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2、估值错误处理原则</w:t>
      </w:r>
    </w:p>
    <w:p w14:paraId="43876C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估值错误已发生，但尚未给当事人造成损失时，估值错误责任方应及时协调各方，及时进行更正，因更正估值错误发生的费用由估值错误责任方承担；由于估值错误责任方未及时更正已产生的估值错误，给当事人造成损失的，由估值错误责任方对直接损失承担赔偿责任；若估值错误责任方已经积极协调，并且有协助义务的当事人有足够的时间进行更正而未更正，则其应当承担相应赔偿责任。估值错误责任方应对更正的情况向有关当事人进行确认，确保估值错误已得到更正。</w:t>
      </w:r>
    </w:p>
    <w:p w14:paraId="3D48EBF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2）估值错误的责任方对有关当事人的直接损失负责，不对间接损失负责，并且仅对估值错误的有关直接当事人负责，不对第三方负责。</w:t>
      </w:r>
    </w:p>
    <w:p w14:paraId="31903F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3）因估值错误而获得不当得利的当事人负有及时返还不当得利的义务。但估值错误责任方仍应对估值错误负责。如果由于获得不当得利的当事人</w:t>
      </w:r>
      <w:proofErr w:type="gramStart"/>
      <w:r w:rsidRPr="002544B9">
        <w:rPr>
          <w:rFonts w:asciiTheme="minorEastAsia" w:hAnsiTheme="minorEastAsia" w:cs="Arial" w:hint="eastAsia"/>
          <w:sz w:val="24"/>
          <w:szCs w:val="24"/>
        </w:rPr>
        <w:t>不</w:t>
      </w:r>
      <w:proofErr w:type="gramEnd"/>
      <w:r w:rsidRPr="002544B9">
        <w:rPr>
          <w:rFonts w:asciiTheme="minorEastAsia" w:hAnsiTheme="minorEastAsia" w:cs="Arial" w:hint="eastAsia"/>
          <w:sz w:val="24"/>
          <w:szCs w:val="24"/>
        </w:rPr>
        <w:t>返还或不全部返还不当得利造成其他当事人的利益损失（“受损方”），则估值错误责任方应赔偿受损方的损失，并在其支付的赔偿金额的范围内对获得不当得利的当事人享有要求交付不当得利的权利；如果获得不当得利的当事人已经将此部分不当得利返还给受损方，则受损方应当将其已经获得的赔偿额加上已经获得的不当得利返还的总和超过其实际损失的差额部分支付给估值错误责任方。</w:t>
      </w:r>
    </w:p>
    <w:p w14:paraId="05DC93B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4）估值错误调整采用尽量恢复至假设未发生估值错误的正确情形的方式。</w:t>
      </w:r>
    </w:p>
    <w:p w14:paraId="7A1B38F4"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3、估值错误处理程序</w:t>
      </w:r>
    </w:p>
    <w:p w14:paraId="0164DD4F"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估值错误被发现后，有关的当事人应当及时进行处理，处理的程序如下：</w:t>
      </w:r>
    </w:p>
    <w:p w14:paraId="158ACC22"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1）查明估值错误发生的原因，列明所有的当事人，并根据估值错误发生的原因确定估值错误的责任方；</w:t>
      </w:r>
    </w:p>
    <w:p w14:paraId="08C6032E"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2）根据估值错误处理原则或当事人协商的方法对因估值错误造成的损失进行评估；</w:t>
      </w:r>
    </w:p>
    <w:p w14:paraId="2F74BDF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3）根据估值错误处理原则或当事人协商的方法由估值错误的责任方进行更正和赔偿损失；</w:t>
      </w:r>
    </w:p>
    <w:p w14:paraId="2CA94C92" w14:textId="1E07CA9C"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4）根据估值错误处理的方法，需要修改基金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登记机构交易数据的，由基金</w:t>
      </w:r>
      <w:r w:rsidR="000E3D83" w:rsidRPr="002544B9">
        <w:rPr>
          <w:rFonts w:asciiTheme="minorEastAsia" w:hAnsiTheme="minorEastAsia" w:cs="Arial" w:hint="eastAsia"/>
          <w:sz w:val="24"/>
          <w:szCs w:val="24"/>
        </w:rPr>
        <w:t>份额</w:t>
      </w:r>
      <w:r w:rsidRPr="002544B9">
        <w:rPr>
          <w:rFonts w:asciiTheme="minorEastAsia" w:hAnsiTheme="minorEastAsia" w:cs="Arial" w:hint="eastAsia"/>
          <w:sz w:val="24"/>
          <w:szCs w:val="24"/>
        </w:rPr>
        <w:t>登记机构进行更正，并就估值错误的更正向有关当事人进行确认。</w:t>
      </w:r>
    </w:p>
    <w:p w14:paraId="75EB3AF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4、基金份额净值估值错误处理的方法如下：</w:t>
      </w:r>
    </w:p>
    <w:p w14:paraId="5C42079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1）基金份额净值计算出现错误时，基金管理人应当立即予以纠正，通报基金托管人，并采取合理的措施防止损失进一步扩大。</w:t>
      </w:r>
    </w:p>
    <w:p w14:paraId="6C29CC4C" w14:textId="3044B660"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2）错误偏差达到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0.25%时，基金管理人应当通报基金托管人并报中国证监会备案；错误偏差达到</w:t>
      </w:r>
      <w:r w:rsidR="000E3D83" w:rsidRPr="002544B9">
        <w:rPr>
          <w:rFonts w:asciiTheme="minorEastAsia" w:hAnsiTheme="minorEastAsia" w:cs="Arial" w:hint="eastAsia"/>
          <w:sz w:val="24"/>
          <w:szCs w:val="24"/>
        </w:rPr>
        <w:t>某类</w:t>
      </w:r>
      <w:r w:rsidRPr="002544B9">
        <w:rPr>
          <w:rFonts w:asciiTheme="minorEastAsia" w:hAnsiTheme="minorEastAsia" w:cs="Arial" w:hint="eastAsia"/>
          <w:sz w:val="24"/>
          <w:szCs w:val="24"/>
        </w:rPr>
        <w:t>基金份额净值的</w:t>
      </w:r>
      <w:r w:rsidRPr="002544B9">
        <w:rPr>
          <w:rFonts w:asciiTheme="minorEastAsia" w:hAnsiTheme="minorEastAsia" w:cs="Arial"/>
          <w:sz w:val="24"/>
          <w:szCs w:val="24"/>
        </w:rPr>
        <w:t>0.5%时，基金管理人应当公告</w:t>
      </w:r>
      <w:r w:rsidR="000E3D83" w:rsidRPr="002544B9">
        <w:rPr>
          <w:rFonts w:asciiTheme="minorEastAsia" w:hAnsiTheme="minorEastAsia" w:cs="Arial" w:hint="eastAsia"/>
          <w:sz w:val="24"/>
          <w:szCs w:val="24"/>
        </w:rPr>
        <w:t>，并报中国证监会备案</w:t>
      </w:r>
      <w:r w:rsidRPr="002544B9">
        <w:rPr>
          <w:rFonts w:asciiTheme="minorEastAsia" w:hAnsiTheme="minorEastAsia" w:cs="Arial" w:hint="eastAsia"/>
          <w:sz w:val="24"/>
          <w:szCs w:val="24"/>
        </w:rPr>
        <w:t>。</w:t>
      </w:r>
    </w:p>
    <w:p w14:paraId="1A8F7267"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w:t>
      </w:r>
      <w:r w:rsidRPr="002544B9">
        <w:rPr>
          <w:rFonts w:asciiTheme="minorEastAsia" w:hAnsiTheme="minorEastAsia" w:cs="Arial"/>
          <w:sz w:val="24"/>
          <w:szCs w:val="24"/>
        </w:rPr>
        <w:t>3）前述内容如法律法规或监管机关另有规定的，从其规定处理。</w:t>
      </w:r>
    </w:p>
    <w:p w14:paraId="0C249763"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（三）暂停估值的情形</w:t>
      </w:r>
    </w:p>
    <w:p w14:paraId="72D06CC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1、基金投资所涉及的证券/期货交易市场遇法定节假日或因其他原因暂停营业时；</w:t>
      </w:r>
    </w:p>
    <w:p w14:paraId="40E9265E" w14:textId="222A2799"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2、因不可抗力</w:t>
      </w:r>
      <w:r w:rsidR="000E3D83" w:rsidRPr="002544B9">
        <w:rPr>
          <w:rFonts w:asciiTheme="minorEastAsia" w:hAnsiTheme="minorEastAsia" w:cs="Arial" w:hint="eastAsia"/>
          <w:sz w:val="24"/>
          <w:szCs w:val="24"/>
        </w:rPr>
        <w:t>或其他情形</w:t>
      </w:r>
      <w:r w:rsidRPr="002544B9">
        <w:rPr>
          <w:rFonts w:asciiTheme="minorEastAsia" w:hAnsiTheme="minorEastAsia" w:cs="Arial" w:hint="eastAsia"/>
          <w:sz w:val="24"/>
          <w:szCs w:val="24"/>
        </w:rPr>
        <w:t>致使基金管理人、基金托管人无法准确评估基金资产价值时；</w:t>
      </w:r>
    </w:p>
    <w:p w14:paraId="4B71C089" w14:textId="3CD7F88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3、当</w:t>
      </w:r>
      <w:r w:rsidR="000E3D83" w:rsidRPr="002544B9">
        <w:rPr>
          <w:rFonts w:asciiTheme="minorEastAsia" w:hAnsiTheme="minorEastAsia" w:cs="Arial" w:hint="eastAsia"/>
          <w:sz w:val="24"/>
          <w:szCs w:val="24"/>
        </w:rPr>
        <w:t>特定资产占</w:t>
      </w:r>
      <w:r w:rsidRPr="002544B9">
        <w:rPr>
          <w:rFonts w:asciiTheme="minorEastAsia" w:hAnsiTheme="minorEastAsia" w:cs="Arial" w:hint="eastAsia"/>
          <w:sz w:val="24"/>
          <w:szCs w:val="24"/>
        </w:rPr>
        <w:t>前一估值日基金资产净值</w:t>
      </w:r>
      <w:r w:rsidRPr="002544B9">
        <w:rPr>
          <w:rFonts w:asciiTheme="minorEastAsia" w:hAnsiTheme="minorEastAsia" w:cs="Arial"/>
          <w:sz w:val="24"/>
          <w:szCs w:val="24"/>
        </w:rPr>
        <w:t>50%以上的，经与基金托管人协商确认后，基金管理人应当暂停基金估值；</w:t>
      </w:r>
    </w:p>
    <w:p w14:paraId="65F4202F" w14:textId="35B520CE"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sz w:val="24"/>
          <w:szCs w:val="24"/>
        </w:rPr>
        <w:t>4、</w:t>
      </w:r>
      <w:r w:rsidR="000E3D83" w:rsidRPr="002544B9">
        <w:rPr>
          <w:rFonts w:asciiTheme="minorEastAsia" w:hAnsiTheme="minorEastAsia" w:cs="Arial" w:hint="eastAsia"/>
          <w:sz w:val="24"/>
          <w:szCs w:val="24"/>
        </w:rPr>
        <w:t>法律法规、</w:t>
      </w:r>
      <w:r w:rsidRPr="002544B9">
        <w:rPr>
          <w:rFonts w:asciiTheme="minorEastAsia" w:hAnsiTheme="minorEastAsia" w:cs="Arial" w:hint="eastAsia"/>
          <w:sz w:val="24"/>
          <w:szCs w:val="24"/>
        </w:rPr>
        <w:t>中国证监会和基金合同认定的其它情形。</w:t>
      </w:r>
    </w:p>
    <w:p w14:paraId="618391CD"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（四）基金会计制度</w:t>
      </w:r>
    </w:p>
    <w:p w14:paraId="0F7D4070"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按国家有关部门制定的会计制度执行。</w:t>
      </w:r>
    </w:p>
    <w:p w14:paraId="531DCFCB"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（五）基金账册的建立</w:t>
      </w:r>
    </w:p>
    <w:p w14:paraId="39B9870C"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和基金托管人在《基金合同》生效后，应按照双方约定的同一记账方法和会计处理原则，分别独立地设置、登录和保管本基金的全套账册，对双方各自的账册定期进行核对，互相监督，以保证基金财产的安全。若双方对会计处理方法存在分歧，应以基金管理人的处理方法为准。</w:t>
      </w:r>
    </w:p>
    <w:p w14:paraId="1D7EAB35"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（六）会计数据和财务指标的核对</w:t>
      </w:r>
    </w:p>
    <w:p w14:paraId="1F7ACD8C" w14:textId="44673E38"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双方</w:t>
      </w:r>
      <w:proofErr w:type="gramStart"/>
      <w:r w:rsidRPr="002544B9">
        <w:rPr>
          <w:rFonts w:asciiTheme="minorEastAsia" w:hAnsiTheme="minorEastAsia" w:cs="Arial" w:hint="eastAsia"/>
          <w:sz w:val="24"/>
          <w:szCs w:val="24"/>
        </w:rPr>
        <w:t>应每个</w:t>
      </w:r>
      <w:proofErr w:type="gramEnd"/>
      <w:r w:rsidRPr="002544B9">
        <w:rPr>
          <w:rFonts w:asciiTheme="minorEastAsia" w:hAnsiTheme="minorEastAsia" w:cs="Arial" w:hint="eastAsia"/>
          <w:sz w:val="24"/>
          <w:szCs w:val="24"/>
        </w:rPr>
        <w:t>交易日核对账目，如发现双方的账目存在不符的，基金管理人和基金托管人必须及时查明原因并纠正，确保核对一致。若当日核对不符，暂时无法查找到错账的原因而影响到基金净值</w:t>
      </w:r>
      <w:r w:rsidR="000E3D83" w:rsidRPr="002544B9">
        <w:rPr>
          <w:rFonts w:asciiTheme="minorEastAsia" w:hAnsiTheme="minorEastAsia" w:cs="Arial" w:hint="eastAsia"/>
          <w:sz w:val="24"/>
          <w:szCs w:val="24"/>
        </w:rPr>
        <w:t>信息</w:t>
      </w:r>
      <w:r w:rsidRPr="002544B9">
        <w:rPr>
          <w:rFonts w:asciiTheme="minorEastAsia" w:hAnsiTheme="minorEastAsia" w:cs="Arial" w:hint="eastAsia"/>
          <w:sz w:val="24"/>
          <w:szCs w:val="24"/>
        </w:rPr>
        <w:t>的计算和公告的，以基金管理人的账册为准。</w:t>
      </w:r>
    </w:p>
    <w:p w14:paraId="452C3DAA"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（七）基金定期报告的编制和复核</w:t>
      </w:r>
    </w:p>
    <w:p w14:paraId="5D750372" w14:textId="77777777" w:rsidR="00DC0C5F"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基金财务报表由基金管理人和基金托管人每</w:t>
      </w:r>
      <w:proofErr w:type="gramStart"/>
      <w:r w:rsidRPr="002544B9">
        <w:rPr>
          <w:rFonts w:asciiTheme="minorEastAsia" w:hAnsiTheme="minorEastAsia" w:cs="Arial" w:hint="eastAsia"/>
          <w:sz w:val="24"/>
          <w:szCs w:val="24"/>
        </w:rPr>
        <w:t>月分别独立</w:t>
      </w:r>
      <w:proofErr w:type="gramEnd"/>
      <w:r w:rsidRPr="002544B9">
        <w:rPr>
          <w:rFonts w:asciiTheme="minorEastAsia" w:hAnsiTheme="minorEastAsia" w:cs="Arial" w:hint="eastAsia"/>
          <w:sz w:val="24"/>
          <w:szCs w:val="24"/>
        </w:rPr>
        <w:t>编制。月度报表的编制，应于每月终了后</w:t>
      </w:r>
      <w:r w:rsidRPr="002544B9">
        <w:rPr>
          <w:rFonts w:asciiTheme="minorEastAsia" w:hAnsiTheme="minorEastAsia" w:cs="Arial"/>
          <w:sz w:val="24"/>
          <w:szCs w:val="24"/>
        </w:rPr>
        <w:t>5个工作日内完成。定期报告文件应按中国证监会的要求公告。季度报表的编制，应于每季度终了后15个工作日内完成；</w:t>
      </w:r>
      <w:r w:rsidR="00BA461C" w:rsidRPr="002544B9">
        <w:rPr>
          <w:rFonts w:asciiTheme="minorEastAsia" w:hAnsiTheme="minorEastAsia" w:cs="Arial" w:hint="eastAsia"/>
          <w:sz w:val="24"/>
          <w:szCs w:val="24"/>
        </w:rPr>
        <w:t>《基金合同》生效后，基金招募说明书的信息发生重大变更的，基金管理人应当在三个工作日内，更新基金招募说明书并登载在规定网站上；基金招募说明书其他信息发生变更的，基金管理人至少每年更新一次。基金终止运作的，基金管理人不再更新基金招募说明书。中期报告在基金会计年度前</w:t>
      </w:r>
      <w:r w:rsidR="00BA461C" w:rsidRPr="002544B9">
        <w:rPr>
          <w:rFonts w:asciiTheme="minorEastAsia" w:hAnsiTheme="minorEastAsia" w:cs="Arial"/>
          <w:sz w:val="24"/>
          <w:szCs w:val="24"/>
        </w:rPr>
        <w:t>6个月结束后的两个月内公告；年度报告在会计年度结束后三个月内公告。</w:t>
      </w:r>
    </w:p>
    <w:p w14:paraId="23AB30D1" w14:textId="77777777"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基金管理人在月度报表完成当日，以约定方式将有关报表提供基金托管人；基金托管人在</w:t>
      </w:r>
      <w:r w:rsidRPr="002544B9">
        <w:rPr>
          <w:rFonts w:asciiTheme="minorEastAsia" w:hAnsiTheme="minorEastAsia" w:cs="Arial"/>
          <w:sz w:val="24"/>
          <w:szCs w:val="24"/>
        </w:rPr>
        <w:t>2个工作日内进行复核，并将复核结果反馈给基金管理人。基金管理人在季度报表完成当日，以约定方式将有关报表提供基金托管人；基金托管人在5个工作日内进行复核，并将复核结果反馈给基金管理人。基金管理人在更新招募说明书完成当日，将有关报告提供基金托管人，基金托管人在收到15日内进行复核，并将复核结果反馈给基金管理人。基金管理人在半年度报告完成当日，将有关报告提供基金托管人，基金托管人在收到后20日内进行复核，并将复核结果反馈给基金管理人。基金管理人在年度报告完成当日，将有关报告提供基金托管人，基金托管人在收到后30日内复核，并将复核结果反馈给基金管理人。基金托管人在复核过程中，发现双方的报表存在不符时，基金管理人和基金托管人应共同查明原因，进行调整，调整以双方认可的账务处理方式为准。如果基金管理人与基金托管人不能</w:t>
      </w:r>
      <w:proofErr w:type="gramStart"/>
      <w:r w:rsidRPr="002544B9">
        <w:rPr>
          <w:rFonts w:asciiTheme="minorEastAsia" w:hAnsiTheme="minorEastAsia" w:cs="Arial" w:hint="eastAsia"/>
          <w:sz w:val="24"/>
          <w:szCs w:val="24"/>
        </w:rPr>
        <w:t>于应当</w:t>
      </w:r>
      <w:proofErr w:type="gramEnd"/>
      <w:r w:rsidRPr="002544B9">
        <w:rPr>
          <w:rFonts w:asciiTheme="minorEastAsia" w:hAnsiTheme="minorEastAsia" w:cs="Arial" w:hint="eastAsia"/>
          <w:sz w:val="24"/>
          <w:szCs w:val="24"/>
        </w:rPr>
        <w:t>发布公告之日前就相关报表达成一致，基金管理人有权按照其编制的报表对外发布公告，基金托管人有权就相关情况报证监会备案。</w:t>
      </w:r>
    </w:p>
    <w:p w14:paraId="4BB95C6F" w14:textId="76FF0FF1" w:rsidR="006F7508" w:rsidRPr="002544B9" w:rsidRDefault="006F7508" w:rsidP="006F7508">
      <w:pPr>
        <w:adjustRightInd w:val="0"/>
        <w:snapToGrid w:val="0"/>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基金托管人在对财务报表、季度报告、</w:t>
      </w:r>
      <w:r w:rsidR="00BA461C" w:rsidRPr="002544B9">
        <w:rPr>
          <w:rFonts w:asciiTheme="minorEastAsia" w:hAnsiTheme="minorEastAsia" w:cs="Arial" w:hint="eastAsia"/>
          <w:sz w:val="24"/>
          <w:szCs w:val="24"/>
        </w:rPr>
        <w:t>中期</w:t>
      </w:r>
      <w:r w:rsidRPr="002544B9">
        <w:rPr>
          <w:rFonts w:asciiTheme="minorEastAsia" w:hAnsiTheme="minorEastAsia" w:cs="Arial" w:hint="eastAsia"/>
          <w:sz w:val="24"/>
          <w:szCs w:val="24"/>
        </w:rPr>
        <w:t>报告或年度报告复核完毕后，可以出具复核确认书（盖章）</w:t>
      </w:r>
      <w:r w:rsidR="00BA461C" w:rsidRPr="002544B9">
        <w:rPr>
          <w:rFonts w:asciiTheme="minorEastAsia" w:hAnsiTheme="minorEastAsia" w:cs="Arial" w:hint="eastAsia"/>
          <w:sz w:val="24"/>
          <w:szCs w:val="24"/>
        </w:rPr>
        <w:t>、进行电子确认</w:t>
      </w:r>
      <w:r w:rsidRPr="002544B9">
        <w:rPr>
          <w:rFonts w:asciiTheme="minorEastAsia" w:hAnsiTheme="minorEastAsia" w:cs="Arial" w:hint="eastAsia"/>
          <w:sz w:val="24"/>
          <w:szCs w:val="24"/>
        </w:rPr>
        <w:t>或以其他双方约定的方式确认，以</w:t>
      </w:r>
      <w:proofErr w:type="gramStart"/>
      <w:r w:rsidRPr="002544B9">
        <w:rPr>
          <w:rFonts w:asciiTheme="minorEastAsia" w:hAnsiTheme="minorEastAsia" w:cs="Arial" w:hint="eastAsia"/>
          <w:sz w:val="24"/>
          <w:szCs w:val="24"/>
        </w:rPr>
        <w:t>备有权</w:t>
      </w:r>
      <w:proofErr w:type="gramEnd"/>
      <w:r w:rsidRPr="002544B9">
        <w:rPr>
          <w:rFonts w:asciiTheme="minorEastAsia" w:hAnsiTheme="minorEastAsia" w:cs="Arial" w:hint="eastAsia"/>
          <w:sz w:val="24"/>
          <w:szCs w:val="24"/>
        </w:rPr>
        <w:t>机构对相关文件审核检查</w:t>
      </w:r>
    </w:p>
    <w:p w14:paraId="4891EED1" w14:textId="77777777" w:rsidR="006F7508" w:rsidRPr="002544B9" w:rsidRDefault="006F7508">
      <w:pPr>
        <w:adjustRightInd w:val="0"/>
        <w:snapToGrid w:val="0"/>
        <w:spacing w:line="360" w:lineRule="auto"/>
        <w:ind w:firstLineChars="200" w:firstLine="480"/>
        <w:rPr>
          <w:rFonts w:asciiTheme="minorEastAsia" w:hAnsiTheme="minorEastAsia" w:cs="Arial"/>
          <w:sz w:val="24"/>
          <w:szCs w:val="24"/>
        </w:rPr>
      </w:pPr>
    </w:p>
    <w:p w14:paraId="1ABBFF65" w14:textId="7EA86561"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基金份额持有人名册的保管</w:t>
      </w:r>
    </w:p>
    <w:p w14:paraId="5A28C17A"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基金管理人可委托基金登记机构登记和保管基金份额持有人名册。基金份额持有人名册的内容包括但不限于基金份额持有人的名称和持有的基金份额。</w:t>
      </w:r>
    </w:p>
    <w:p w14:paraId="6893484C" w14:textId="4182376A"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基金份额持有人名册，包括基金募集期结束时的基金份额持有人名册、基金权益登记日的基金份额持有人名册、基金份额持有人大会</w:t>
      </w:r>
      <w:r w:rsidR="00BA461C" w:rsidRPr="002544B9">
        <w:rPr>
          <w:rFonts w:ascii="宋体" w:hAnsi="宋体" w:hint="eastAsia"/>
          <w:sz w:val="24"/>
          <w:szCs w:val="24"/>
        </w:rPr>
        <w:t>权益</w:t>
      </w:r>
      <w:r w:rsidRPr="002544B9">
        <w:rPr>
          <w:rFonts w:ascii="宋体" w:hAnsi="宋体" w:hint="eastAsia"/>
          <w:sz w:val="24"/>
          <w:szCs w:val="24"/>
        </w:rPr>
        <w:t>登记日的基金份额持有人名册、每年最后一个交易日的基金份额持有人名册，由基金登记机构负责编制和保管，并对基金份额持有人名册的真实性、完整性和准确性负责。</w:t>
      </w:r>
    </w:p>
    <w:p w14:paraId="754989C9"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基金管理人应根据基金托管人的要求定期和不定期向基金托管人提供基金份额持有人名册。</w:t>
      </w:r>
    </w:p>
    <w:p w14:paraId="2137DFBA" w14:textId="313829CC"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（一）基金管理人于《基金合同》生效日及《基金合同》终止日后</w:t>
      </w:r>
      <w:r w:rsidRPr="002544B9">
        <w:rPr>
          <w:rFonts w:ascii="宋体" w:hAnsi="宋体"/>
          <w:sz w:val="24"/>
          <w:szCs w:val="24"/>
        </w:rPr>
        <w:t>10个工作日内向基金托管人提供由登记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778EB836" w14:textId="1A9B95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（二）基金管理人于基金份额持有人大会权益登记日后</w:t>
      </w:r>
      <w:r w:rsidRPr="002544B9">
        <w:rPr>
          <w:rFonts w:ascii="宋体" w:hAnsi="宋体"/>
          <w:sz w:val="24"/>
          <w:szCs w:val="24"/>
        </w:rPr>
        <w:t>5个工作日内向基金托管人提供由登记</w:t>
      </w:r>
      <w:r w:rsidR="00BA461C" w:rsidRPr="002544B9">
        <w:rPr>
          <w:rFonts w:ascii="宋体" w:hAnsi="宋体" w:hint="eastAsia"/>
          <w:sz w:val="24"/>
          <w:szCs w:val="24"/>
        </w:rPr>
        <w:t>机构</w:t>
      </w:r>
      <w:r w:rsidRPr="002544B9">
        <w:rPr>
          <w:rFonts w:ascii="宋体" w:hAnsi="宋体" w:hint="eastAsia"/>
          <w:sz w:val="24"/>
          <w:szCs w:val="24"/>
        </w:rPr>
        <w:t>编制的基金份额持有人名册；</w:t>
      </w:r>
    </w:p>
    <w:p w14:paraId="393DE10F"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（三）基金管理人于每年最后一个交易日后</w:t>
      </w:r>
      <w:r w:rsidRPr="002544B9">
        <w:rPr>
          <w:rFonts w:ascii="宋体" w:hAnsi="宋体"/>
          <w:sz w:val="24"/>
          <w:szCs w:val="24"/>
        </w:rPr>
        <w:t>10个工作日内向基金托管人提供由登记机构编制的基金份额持有人名册；</w:t>
      </w:r>
    </w:p>
    <w:p w14:paraId="15EFD671" w14:textId="77777777"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（四）除上述约定时间外，如果确因业务需要，基金托管人与基金管理人商议一致后，由基金管理人向基金托管人提供由登记机构编制的基金份额持有人名册。</w:t>
      </w:r>
    </w:p>
    <w:p w14:paraId="640783F6" w14:textId="64821CA3" w:rsidR="00F16637" w:rsidRPr="002544B9" w:rsidRDefault="00F16637" w:rsidP="00F16637">
      <w:pPr>
        <w:spacing w:line="360" w:lineRule="auto"/>
        <w:ind w:firstLineChars="200" w:firstLine="480"/>
        <w:rPr>
          <w:rFonts w:ascii="宋体" w:hAnsi="宋体"/>
          <w:sz w:val="24"/>
          <w:szCs w:val="24"/>
        </w:rPr>
      </w:pPr>
      <w:r w:rsidRPr="002544B9">
        <w:rPr>
          <w:rFonts w:ascii="宋体" w:hAnsi="宋体" w:hint="eastAsia"/>
          <w:sz w:val="24"/>
          <w:szCs w:val="24"/>
        </w:rPr>
        <w:t>基金托管人以电子版形式妥善保管基金份额持有人名册，并定期刻成光盘备份，保存期限</w:t>
      </w:r>
      <w:r w:rsidR="00BA461C" w:rsidRPr="002544B9">
        <w:rPr>
          <w:rFonts w:ascii="宋体" w:hAnsi="宋体" w:hint="eastAsia"/>
          <w:sz w:val="24"/>
          <w:szCs w:val="24"/>
        </w:rPr>
        <w:t>不低于法律法规规定的最低期限</w:t>
      </w:r>
      <w:r w:rsidRPr="002544B9">
        <w:rPr>
          <w:rFonts w:ascii="宋体" w:hAnsi="宋体" w:hint="eastAsia"/>
          <w:sz w:val="24"/>
          <w:szCs w:val="24"/>
        </w:rPr>
        <w:t>。基金托管人不得将所保管的基金份额持有人名册用于基金托管业务以外的其他用途，并应遵守保密义务。</w:t>
      </w:r>
      <w:proofErr w:type="gramStart"/>
      <w:r w:rsidRPr="002544B9">
        <w:rPr>
          <w:rFonts w:ascii="宋体" w:hAnsi="宋体" w:hint="eastAsia"/>
          <w:sz w:val="24"/>
          <w:szCs w:val="24"/>
        </w:rPr>
        <w:t>若基金</w:t>
      </w:r>
      <w:proofErr w:type="gramEnd"/>
      <w:r w:rsidRPr="002544B9">
        <w:rPr>
          <w:rFonts w:ascii="宋体" w:hAnsi="宋体" w:hint="eastAsia"/>
          <w:sz w:val="24"/>
          <w:szCs w:val="24"/>
        </w:rPr>
        <w:t>管理人或基金托管人由于自身原因无法妥善保管基金份额持有人名册，应按有关法规规定各自承担相应的责任。</w:t>
      </w:r>
    </w:p>
    <w:p w14:paraId="0F5E630A" w14:textId="77777777" w:rsidR="00F16637" w:rsidRPr="002544B9" w:rsidRDefault="00F16637">
      <w:pPr>
        <w:spacing w:line="360" w:lineRule="auto"/>
        <w:ind w:firstLineChars="200" w:firstLine="480"/>
        <w:rPr>
          <w:rFonts w:ascii="宋体" w:hAnsi="宋体"/>
          <w:sz w:val="24"/>
          <w:szCs w:val="24"/>
        </w:rPr>
      </w:pPr>
    </w:p>
    <w:p w14:paraId="1F1E4F23" w14:textId="16DE49B4" w:rsidR="00AC3A9B" w:rsidRPr="002544B9" w:rsidRDefault="002C3C29"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争议解决方式</w:t>
      </w:r>
    </w:p>
    <w:p w14:paraId="416D79CD" w14:textId="4B85A9D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相关各方当事人同意，因本协议而产生的或与本协议有关的一切争议，应通过友好协商或者调解解决。托管协议当事人不愿通过协商、调解解决或者协商、调解不成的，应将争议提交上海仲裁委员会金融仲裁院，根据该会当时有效的仲裁规则进行仲裁，仲裁的地点为上海市，仲裁裁决是终局的，并对相关各方当事人均有约束力。</w:t>
      </w:r>
      <w:r w:rsidR="00BA461C" w:rsidRPr="002544B9">
        <w:rPr>
          <w:rFonts w:ascii="宋体" w:hAnsi="宋体" w:hint="eastAsia"/>
          <w:sz w:val="24"/>
          <w:szCs w:val="24"/>
        </w:rPr>
        <w:t>除非仲裁裁决另有规定，</w:t>
      </w:r>
      <w:r w:rsidRPr="002544B9">
        <w:rPr>
          <w:rFonts w:ascii="宋体" w:hAnsi="宋体" w:hint="eastAsia"/>
          <w:sz w:val="24"/>
          <w:szCs w:val="24"/>
        </w:rPr>
        <w:t>仲裁费用由败诉方承担。</w:t>
      </w:r>
    </w:p>
    <w:p w14:paraId="1FE6812B" w14:textId="77777777"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争议处理期间，相关各方当事人应恪守基金管理人和基金托管人职责，继续忠实、勤勉、尽责地履行《基金合同》和本协议规定的义务，维护基金份额持有人的合法权益。</w:t>
      </w:r>
    </w:p>
    <w:p w14:paraId="79DB7FC2" w14:textId="5D482E23" w:rsidR="00DA4EDB" w:rsidRPr="002544B9" w:rsidRDefault="00DA4EDB" w:rsidP="00DA4EDB">
      <w:pPr>
        <w:adjustRightInd w:val="0"/>
        <w:snapToGrid w:val="0"/>
        <w:spacing w:line="360" w:lineRule="auto"/>
        <w:ind w:firstLineChars="200" w:firstLine="480"/>
        <w:rPr>
          <w:rFonts w:ascii="宋体" w:hAnsi="宋体"/>
          <w:sz w:val="24"/>
          <w:szCs w:val="24"/>
        </w:rPr>
      </w:pPr>
      <w:r w:rsidRPr="002544B9">
        <w:rPr>
          <w:rFonts w:ascii="宋体" w:hAnsi="宋体" w:hint="eastAsia"/>
          <w:sz w:val="24"/>
          <w:szCs w:val="24"/>
        </w:rPr>
        <w:t>本协议受中华人民共和国</w:t>
      </w:r>
      <w:r w:rsidR="00BA461C" w:rsidRPr="002544B9">
        <w:rPr>
          <w:rFonts w:ascii="宋体" w:hAnsi="宋体" w:hint="eastAsia"/>
          <w:sz w:val="24"/>
          <w:szCs w:val="24"/>
        </w:rPr>
        <w:t>法律（为本协议之目的，</w:t>
      </w:r>
      <w:r w:rsidRPr="002544B9">
        <w:rPr>
          <w:rFonts w:ascii="宋体" w:hAnsi="宋体" w:hint="eastAsia"/>
          <w:sz w:val="24"/>
          <w:szCs w:val="24"/>
        </w:rPr>
        <w:t>不包括香港、澳门特别行政区及台湾地区法律</w:t>
      </w:r>
      <w:r w:rsidR="00BA461C" w:rsidRPr="002544B9">
        <w:rPr>
          <w:rFonts w:ascii="宋体" w:hAnsi="宋体" w:hint="eastAsia"/>
          <w:sz w:val="24"/>
          <w:szCs w:val="24"/>
        </w:rPr>
        <w:t>）</w:t>
      </w:r>
      <w:r w:rsidRPr="002544B9">
        <w:rPr>
          <w:rFonts w:ascii="宋体" w:hAnsi="宋体" w:hint="eastAsia"/>
          <w:sz w:val="24"/>
          <w:szCs w:val="24"/>
        </w:rPr>
        <w:t>管辖</w:t>
      </w:r>
      <w:r w:rsidR="00BA461C" w:rsidRPr="002544B9">
        <w:rPr>
          <w:rFonts w:ascii="宋体" w:hAnsi="宋体" w:hint="eastAsia"/>
          <w:sz w:val="24"/>
          <w:szCs w:val="24"/>
        </w:rPr>
        <w:t>并从其解释</w:t>
      </w:r>
      <w:r w:rsidRPr="002544B9">
        <w:rPr>
          <w:rFonts w:ascii="宋体" w:hAnsi="宋体" w:hint="eastAsia"/>
          <w:sz w:val="24"/>
          <w:szCs w:val="24"/>
        </w:rPr>
        <w:t>。</w:t>
      </w:r>
    </w:p>
    <w:p w14:paraId="15CF426D" w14:textId="18AFB36B" w:rsidR="00AC3A9B" w:rsidRPr="002544B9" w:rsidRDefault="00BA461C" w:rsidP="00006A18">
      <w:pPr>
        <w:pStyle w:val="aff1"/>
        <w:numPr>
          <w:ilvl w:val="0"/>
          <w:numId w:val="5"/>
        </w:numPr>
        <w:tabs>
          <w:tab w:val="left" w:pos="851"/>
        </w:tabs>
        <w:adjustRightInd w:val="0"/>
        <w:snapToGrid w:val="0"/>
        <w:spacing w:line="360" w:lineRule="auto"/>
        <w:ind w:firstLineChars="0"/>
        <w:outlineLvl w:val="1"/>
        <w:rPr>
          <w:rFonts w:asciiTheme="minorEastAsia" w:hAnsiTheme="minorEastAsia" w:cs="Arial"/>
          <w:b/>
          <w:sz w:val="24"/>
          <w:szCs w:val="24"/>
        </w:rPr>
      </w:pPr>
      <w:r w:rsidRPr="002544B9">
        <w:rPr>
          <w:rFonts w:asciiTheme="minorEastAsia" w:hAnsiTheme="minorEastAsia" w:cs="Arial" w:hint="eastAsia"/>
          <w:b/>
          <w:sz w:val="24"/>
          <w:szCs w:val="24"/>
        </w:rPr>
        <w:t>基金</w:t>
      </w:r>
      <w:r w:rsidR="002C3C29" w:rsidRPr="002544B9">
        <w:rPr>
          <w:rFonts w:asciiTheme="minorEastAsia" w:hAnsiTheme="minorEastAsia" w:cs="Arial" w:hint="eastAsia"/>
          <w:b/>
          <w:sz w:val="24"/>
          <w:szCs w:val="24"/>
        </w:rPr>
        <w:t>托管协议的变更、终止与基金财产的清算</w:t>
      </w:r>
    </w:p>
    <w:p w14:paraId="33748AFB"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（一）基金托管协议的变更</w:t>
      </w:r>
    </w:p>
    <w:p w14:paraId="19047EE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本协议双方当事人经协商一致，可以对协议进行修改。修改后的新协议，其内容不得与《基金合同》的规定有任何冲突，并报中国证监会备案。</w:t>
      </w:r>
    </w:p>
    <w:p w14:paraId="5C8419FC"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（二）基金托管协议的终止</w:t>
      </w:r>
    </w:p>
    <w:p w14:paraId="52E5C4BE"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1、《基金合同》终止；</w:t>
      </w:r>
    </w:p>
    <w:p w14:paraId="53B991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2、基金托管人解散、依法被撤销、破产，被依法取消基金托管资格或因其他事由造成其他基金托管人接管基金财产；</w:t>
      </w:r>
    </w:p>
    <w:p w14:paraId="11210AD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3、基金管理人解散、依法被撤销、破产，被依法取消基金管理资格或因其他事由造成其他基金管理人接管基金管理权；</w:t>
      </w:r>
    </w:p>
    <w:p w14:paraId="3BA8D136"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4、发生《基金法》、《销售办法》、《运作办法》或其他法律、法规规定的终止事项。</w:t>
      </w:r>
    </w:p>
    <w:p w14:paraId="566EE3E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（三）基金财产的清算</w:t>
      </w:r>
    </w:p>
    <w:p w14:paraId="772AD6BB" w14:textId="70E0FC1F"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1、基金财产清算小组：自出现《基金合同》终止事由之日起30个工作日内成立清算小组，基金管理人</w:t>
      </w:r>
      <w:r w:rsidR="00BA461C" w:rsidRPr="002544B9">
        <w:rPr>
          <w:rFonts w:ascii="宋体" w:hAnsi="宋体" w:hint="eastAsia"/>
          <w:sz w:val="24"/>
          <w:szCs w:val="24"/>
        </w:rPr>
        <w:t>或临时基金管理人</w:t>
      </w:r>
      <w:r w:rsidRPr="002544B9">
        <w:rPr>
          <w:rFonts w:ascii="宋体" w:hAnsi="宋体" w:hint="eastAsia"/>
          <w:sz w:val="24"/>
          <w:szCs w:val="24"/>
        </w:rPr>
        <w:t>组织基金财产清算小组并在中国证监会的监督下进行基金清算。</w:t>
      </w:r>
    </w:p>
    <w:p w14:paraId="417CC9C1" w14:textId="79CFF04A"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2、基金财产清算小组组成：基金财产清算小组成员由基金管理人</w:t>
      </w:r>
      <w:r w:rsidR="00BA461C" w:rsidRPr="002544B9">
        <w:rPr>
          <w:rFonts w:ascii="宋体" w:hAnsi="宋体" w:hint="eastAsia"/>
          <w:sz w:val="24"/>
          <w:szCs w:val="24"/>
        </w:rPr>
        <w:t>或临时基金管理人</w:t>
      </w:r>
      <w:r w:rsidRPr="002544B9">
        <w:rPr>
          <w:rFonts w:ascii="宋体" w:hAnsi="宋体" w:hint="eastAsia"/>
          <w:sz w:val="24"/>
          <w:szCs w:val="24"/>
        </w:rPr>
        <w:t>、基金托管人、</w:t>
      </w:r>
      <w:r w:rsidR="00BA461C" w:rsidRPr="002544B9">
        <w:rPr>
          <w:rFonts w:ascii="宋体" w:hAnsi="宋体" w:hint="eastAsia"/>
          <w:sz w:val="24"/>
          <w:szCs w:val="24"/>
        </w:rPr>
        <w:t>符合《中华人民共和国证券法》规定</w:t>
      </w:r>
      <w:r w:rsidRPr="002544B9">
        <w:rPr>
          <w:rFonts w:ascii="宋体" w:hAnsi="宋体" w:hint="eastAsia"/>
          <w:sz w:val="24"/>
          <w:szCs w:val="24"/>
        </w:rPr>
        <w:t>的注册会计师、律师以及中国证监会指定的人员组成。基金财产清算小组可以聘用必要的工作人员。</w:t>
      </w:r>
    </w:p>
    <w:p w14:paraId="6B54DAA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3、基金财产清算小组职责：基金财产清算小组负责基金财产的保管、清理、估价、变现和分配。基金财产清算小组可以依法进行必要的民事活动。</w:t>
      </w:r>
    </w:p>
    <w:p w14:paraId="3156692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4、基金财产清算程序：</w:t>
      </w:r>
    </w:p>
    <w:p w14:paraId="5B0CE77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1）《基金合同》终止情形出现时，由基金财产清算小组统一接管基金；</w:t>
      </w:r>
    </w:p>
    <w:p w14:paraId="19199CF3"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2）对基金财产和债权债务进行清理和确认；</w:t>
      </w:r>
    </w:p>
    <w:p w14:paraId="06A6D76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3）对基金财产进行估值和变现；</w:t>
      </w:r>
    </w:p>
    <w:p w14:paraId="49A1EB3F"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4）制作清算报告；</w:t>
      </w:r>
    </w:p>
    <w:p w14:paraId="63CABA8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5）聘请会计师事务所对清算报告进行外部审计，聘请律师事务所对清算报告出具法律意见书；</w:t>
      </w:r>
    </w:p>
    <w:p w14:paraId="7361F945"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6）将清算报告报中国证监会备案并公告；</w:t>
      </w:r>
    </w:p>
    <w:p w14:paraId="10A4C96D"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w:t>
      </w:r>
      <w:r w:rsidRPr="002544B9">
        <w:rPr>
          <w:rFonts w:ascii="宋体" w:hAnsi="宋体"/>
          <w:sz w:val="24"/>
          <w:szCs w:val="24"/>
        </w:rPr>
        <w:t>7）对基金剩余财产进行分配。</w:t>
      </w:r>
    </w:p>
    <w:p w14:paraId="1CD009BB" w14:textId="3942413E"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5、基金财产清算的期限为6个月，但因本基金所持证券的流动性受到限制而不能及时变现的，</w:t>
      </w:r>
      <w:r w:rsidR="00BA461C" w:rsidRPr="002544B9">
        <w:rPr>
          <w:rFonts w:ascii="宋体" w:hAnsi="宋体" w:hint="eastAsia"/>
          <w:sz w:val="24"/>
          <w:szCs w:val="24"/>
        </w:rPr>
        <w:t>清算期限可相应顺延。</w:t>
      </w:r>
    </w:p>
    <w:p w14:paraId="74120812"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6、清算费用</w:t>
      </w:r>
    </w:p>
    <w:p w14:paraId="72CCA321"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清算费用是指基金财产清算小组在进行基金清算过程中发生的所有合理费用，清算费用由基金财产清算小组优先从基金财产中支付。</w:t>
      </w:r>
    </w:p>
    <w:p w14:paraId="2F9B2E49"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7、基金财产清算剩余资产的分配</w:t>
      </w:r>
    </w:p>
    <w:p w14:paraId="6F4B85C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依据基金财产清算的分配方案，将基金财产清算后的全部剩余资产扣除基金财产清算费用、交纳所欠税款并清偿基金债务后，按基金份额持有人持有的基金份额比例进行分配。</w:t>
      </w:r>
    </w:p>
    <w:p w14:paraId="3F5711C8"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8、基金财产清算的公告</w:t>
      </w:r>
    </w:p>
    <w:p w14:paraId="0A52093D" w14:textId="4EEABC02" w:rsidR="007448C3" w:rsidRPr="002544B9" w:rsidRDefault="007448C3" w:rsidP="007448C3">
      <w:pPr>
        <w:spacing w:line="360" w:lineRule="auto"/>
        <w:ind w:firstLineChars="200" w:firstLine="480"/>
        <w:rPr>
          <w:rFonts w:ascii="宋体" w:hAnsi="宋体"/>
          <w:sz w:val="24"/>
          <w:szCs w:val="24"/>
        </w:rPr>
      </w:pPr>
      <w:r w:rsidRPr="002544B9">
        <w:rPr>
          <w:rFonts w:ascii="宋体" w:hAnsi="宋体" w:hint="eastAsia"/>
          <w:sz w:val="24"/>
          <w:szCs w:val="24"/>
        </w:rPr>
        <w:t>清算过程中的有关重大事项须及时公告；基金财产清算报告</w:t>
      </w:r>
      <w:proofErr w:type="gramStart"/>
      <w:r w:rsidRPr="002544B9">
        <w:rPr>
          <w:rFonts w:ascii="宋体" w:hAnsi="宋体" w:hint="eastAsia"/>
          <w:sz w:val="24"/>
          <w:szCs w:val="24"/>
        </w:rPr>
        <w:t>经</w:t>
      </w:r>
      <w:r w:rsidR="00BA461C" w:rsidRPr="002544B9">
        <w:rPr>
          <w:rFonts w:ascii="宋体" w:hAnsi="宋体" w:hint="eastAsia"/>
          <w:sz w:val="24"/>
          <w:szCs w:val="24"/>
        </w:rPr>
        <w:t>符合</w:t>
      </w:r>
      <w:proofErr w:type="gramEnd"/>
      <w:r w:rsidR="00BA461C" w:rsidRPr="002544B9">
        <w:rPr>
          <w:rFonts w:ascii="宋体" w:hAnsi="宋体" w:hint="eastAsia"/>
          <w:sz w:val="24"/>
          <w:szCs w:val="24"/>
        </w:rPr>
        <w:t>《中华人民共和国证券法》规定的</w:t>
      </w:r>
      <w:r w:rsidRPr="002544B9">
        <w:rPr>
          <w:rFonts w:ascii="宋体" w:hAnsi="宋体" w:hint="eastAsia"/>
          <w:sz w:val="24"/>
          <w:szCs w:val="24"/>
        </w:rPr>
        <w:t>会计师事务所审计并由律师事务所出具法律意见书后报中国证监会备案并公告。基金财产清算公告于基金财产清算报告报中国证监会备案后</w:t>
      </w:r>
      <w:r w:rsidRPr="002544B9">
        <w:rPr>
          <w:rFonts w:ascii="宋体" w:hAnsi="宋体"/>
          <w:sz w:val="24"/>
          <w:szCs w:val="24"/>
        </w:rPr>
        <w:t>5个工作日内由基金财产清算小组进行公告</w:t>
      </w:r>
      <w:r w:rsidR="007E46DD" w:rsidRPr="002544B9">
        <w:rPr>
          <w:rFonts w:ascii="宋体" w:hAnsi="宋体" w:hint="eastAsia"/>
          <w:sz w:val="24"/>
          <w:szCs w:val="24"/>
        </w:rPr>
        <w:t>，基金财产清算小组应当将清算报告登载在规定网站上，并将清算报告提示性公告登载在规定报刊上</w:t>
      </w:r>
      <w:r w:rsidRPr="002544B9">
        <w:rPr>
          <w:rFonts w:ascii="宋体" w:hAnsi="宋体" w:hint="eastAsia"/>
          <w:sz w:val="24"/>
          <w:szCs w:val="24"/>
        </w:rPr>
        <w:t>。</w:t>
      </w:r>
    </w:p>
    <w:p w14:paraId="08392C00" w14:textId="77777777" w:rsidR="007448C3" w:rsidRPr="002544B9" w:rsidRDefault="007448C3" w:rsidP="007448C3">
      <w:pPr>
        <w:spacing w:line="360" w:lineRule="auto"/>
        <w:ind w:firstLineChars="200" w:firstLine="480"/>
        <w:rPr>
          <w:rFonts w:ascii="宋体" w:hAnsi="宋体"/>
          <w:sz w:val="24"/>
          <w:szCs w:val="24"/>
        </w:rPr>
      </w:pPr>
      <w:r w:rsidRPr="002544B9">
        <w:rPr>
          <w:rFonts w:ascii="宋体" w:hAnsi="宋体"/>
          <w:sz w:val="24"/>
          <w:szCs w:val="24"/>
        </w:rPr>
        <w:t>9、基金财产清算账册及文件的保存</w:t>
      </w:r>
    </w:p>
    <w:p w14:paraId="38BCB7A3" w14:textId="4829C91B" w:rsidR="007448C3" w:rsidRPr="002544B9" w:rsidRDefault="007448C3">
      <w:pPr>
        <w:spacing w:line="360" w:lineRule="auto"/>
        <w:ind w:firstLineChars="200" w:firstLine="480"/>
        <w:rPr>
          <w:rFonts w:ascii="宋体" w:hAnsi="宋体"/>
          <w:sz w:val="24"/>
          <w:szCs w:val="24"/>
        </w:rPr>
      </w:pPr>
      <w:r w:rsidRPr="002544B9">
        <w:rPr>
          <w:rFonts w:ascii="宋体" w:hAnsi="宋体" w:hint="eastAsia"/>
          <w:sz w:val="24"/>
          <w:szCs w:val="24"/>
        </w:rPr>
        <w:t>基金财产清算账册及有关文件由基金托管人保存</w:t>
      </w:r>
      <w:r w:rsidR="00BA461C" w:rsidRPr="002544B9">
        <w:rPr>
          <w:rFonts w:ascii="宋体" w:hAnsi="宋体" w:hint="eastAsia"/>
          <w:sz w:val="24"/>
          <w:szCs w:val="24"/>
        </w:rPr>
        <w:t>，保存期限不低于法律法规规定的最低期限。</w:t>
      </w:r>
    </w:p>
    <w:p w14:paraId="3ADDB817" w14:textId="4F16A557" w:rsidR="007448C3" w:rsidRPr="002544B9" w:rsidRDefault="007448C3">
      <w:pPr>
        <w:widowControl/>
        <w:jc w:val="left"/>
        <w:rPr>
          <w:rFonts w:ascii="宋体" w:hAnsi="宋体"/>
          <w:sz w:val="24"/>
          <w:szCs w:val="24"/>
        </w:rPr>
      </w:pPr>
      <w:r w:rsidRPr="002544B9">
        <w:rPr>
          <w:rFonts w:ascii="宋体" w:hAnsi="宋体"/>
          <w:sz w:val="24"/>
          <w:szCs w:val="24"/>
        </w:rPr>
        <w:br w:type="page"/>
      </w:r>
    </w:p>
    <w:p w14:paraId="2C4C1422" w14:textId="71C4E811" w:rsidR="00AC3A9B" w:rsidRPr="002544B9" w:rsidRDefault="002C3C29">
      <w:pPr>
        <w:pStyle w:val="1"/>
        <w:jc w:val="center"/>
        <w:rPr>
          <w:sz w:val="30"/>
          <w:szCs w:val="30"/>
        </w:rPr>
      </w:pPr>
      <w:bookmarkStart w:id="427" w:name="_Toc68266308"/>
      <w:bookmarkStart w:id="428" w:name="_Toc104205532"/>
      <w:bookmarkStart w:id="429" w:name="_Toc214873621"/>
      <w:bookmarkStart w:id="430" w:name="_Toc147463123"/>
      <w:bookmarkStart w:id="431" w:name="_Toc12357176"/>
      <w:bookmarkStart w:id="432" w:name="_Toc21073396"/>
      <w:bookmarkStart w:id="433" w:name="_Toc263092328"/>
      <w:bookmarkStart w:id="434" w:name="_Toc416264555"/>
      <w:bookmarkStart w:id="435" w:name="_Toc24923"/>
      <w:bookmarkStart w:id="436" w:name="_Toc123112249"/>
      <w:bookmarkStart w:id="437" w:name="_Toc25651"/>
      <w:bookmarkStart w:id="438" w:name="_Toc23999"/>
      <w:bookmarkStart w:id="439" w:name="_Toc123102468"/>
      <w:bookmarkStart w:id="440" w:name="_Toc8636"/>
      <w:bookmarkStart w:id="441" w:name="_Toc30350"/>
      <w:bookmarkStart w:id="442" w:name="_Toc1790"/>
      <w:bookmarkStart w:id="443" w:name="_Toc21983"/>
      <w:bookmarkStart w:id="444" w:name="_Toc352229767"/>
      <w:bookmarkStart w:id="445" w:name="_Toc6202"/>
      <w:bookmarkStart w:id="446" w:name="_Toc6110"/>
      <w:bookmarkStart w:id="447" w:name="_Toc141703902"/>
      <w:bookmarkStart w:id="448" w:name="_Toc3319"/>
      <w:bookmarkStart w:id="449" w:name="_Toc123051467"/>
      <w:bookmarkStart w:id="450" w:name="_Toc139991751"/>
      <w:bookmarkStart w:id="451" w:name="_Toc98560366"/>
      <w:bookmarkStart w:id="452" w:name="_Toc7288"/>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r w:rsidRPr="002544B9">
        <w:rPr>
          <w:rFonts w:hint="eastAsia"/>
          <w:sz w:val="30"/>
          <w:szCs w:val="30"/>
        </w:rPr>
        <w:t>第二十</w:t>
      </w:r>
      <w:r w:rsidR="00C25DD8" w:rsidRPr="002544B9">
        <w:rPr>
          <w:rFonts w:hint="eastAsia"/>
          <w:sz w:val="30"/>
          <w:szCs w:val="30"/>
        </w:rPr>
        <w:t>一</w:t>
      </w:r>
      <w:r w:rsidRPr="002544B9">
        <w:rPr>
          <w:rFonts w:hint="eastAsia"/>
          <w:sz w:val="30"/>
          <w:szCs w:val="30"/>
        </w:rPr>
        <w:t>部分</w:t>
      </w:r>
      <w:r w:rsidRPr="002544B9">
        <w:rPr>
          <w:sz w:val="30"/>
          <w:szCs w:val="30"/>
        </w:rPr>
        <w:t xml:space="preserve">  </w:t>
      </w:r>
      <w:r w:rsidRPr="002544B9">
        <w:rPr>
          <w:rFonts w:hint="eastAsia"/>
          <w:sz w:val="30"/>
          <w:szCs w:val="30"/>
        </w:rPr>
        <w:t>对基金份额持有人的服务</w:t>
      </w:r>
      <w:bookmarkEnd w:id="427"/>
      <w:bookmarkEnd w:id="428"/>
    </w:p>
    <w:p w14:paraId="7DAD1FA2"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基金管理人承诺为基金份额持有人提供一系列服务，基金管理人根据基金份额持有人的需要和市场的变化，有权增加或变更服务项目。主要服务内容如下：</w:t>
      </w:r>
    </w:p>
    <w:p w14:paraId="75A38E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（一）电话人工咨询服务</w:t>
      </w:r>
    </w:p>
    <w:p w14:paraId="1E9AC55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投资者可以通过拨打基金管理人客服热线转人工坐席，进行基金业务的相关咨询，人工坐席服务时间为每周一至周五上午</w:t>
      </w:r>
      <w:r w:rsidRPr="002544B9">
        <w:rPr>
          <w:rFonts w:asciiTheme="minorEastAsia" w:hAnsiTheme="minorEastAsia" w:cs="Arial"/>
          <w:sz w:val="24"/>
          <w:szCs w:val="24"/>
        </w:rPr>
        <w:t>9:00-11:30，下午13:00-17:00（法定节假日及因此导致的证券交易所休市日除外）。针对非人工服务时间内的电话留言，基金管理人将设有专员进行及时回复。</w:t>
      </w:r>
    </w:p>
    <w:p w14:paraId="3291257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（二）自助查询服务</w:t>
      </w:r>
    </w:p>
    <w:p w14:paraId="0557536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投资者可通过基金管理人呼叫中心自动语音系统、基金管理人网上账户查询系统进行账户余额、交易情况、基金净值等信息查询。</w:t>
      </w:r>
    </w:p>
    <w:p w14:paraId="02272BA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（三）邮件咨询服务</w:t>
      </w:r>
    </w:p>
    <w:p w14:paraId="33C15C1D"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投资者可通过电子邮件的形式向基金管理人提出疑问，针对投资者的问题，基金管理人将设有专员进行及时回复。</w:t>
      </w:r>
    </w:p>
    <w:p w14:paraId="1BF786D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（四）免费信息订阅服务</w:t>
      </w:r>
    </w:p>
    <w:p w14:paraId="01FD1A2A"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为了给投资者带来良好的服务体验，基金管理人除了交易确认短信外，提供多个渠道的免费信息订阅服务。投资人可以通过基金管理人网站、客服热线等渠道提交信息定制申请，在申请获基金管理人确认后，基金管理人将通过手机短信、电子邮件等方式为客户发送所定制的信息。通过手机短信可定制的信息包括：月度短信账单、持有基金周末净值等；通过邮件定制的信息包括：电子对账单等信息。基金管理人将根据业务发展需要和实际情况，适时调整发送的定制信息内容。</w:t>
      </w:r>
    </w:p>
    <w:p w14:paraId="65E15CE0"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（五）资料邮寄服务</w:t>
      </w:r>
    </w:p>
    <w:p w14:paraId="11B4F03F"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基金管理人可免费为基金投资人提供基金持有证明和交易对账单邮寄服务。投资者可根据需要，通过基金管理人网站或客服热线定制、修改或取消该服务。</w:t>
      </w:r>
    </w:p>
    <w:p w14:paraId="6571567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（六）客户投诉受理服务</w:t>
      </w:r>
    </w:p>
    <w:p w14:paraId="480EC1D6"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投资人可以通过客服热线、书信、电子邮件等渠道，对基金管理人和销售机构所提供的服务进行投诉。</w:t>
      </w:r>
    </w:p>
    <w:p w14:paraId="792F07D4"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对于工作日期间受理的投诉，以“及时回复”为处理原则，对于不能及时回复的投诉，基金管理人承诺在</w:t>
      </w:r>
      <w:r w:rsidRPr="002544B9">
        <w:rPr>
          <w:rFonts w:asciiTheme="minorEastAsia" w:hAnsiTheme="minorEastAsia" w:cs="Arial"/>
          <w:sz w:val="24"/>
          <w:szCs w:val="24"/>
        </w:rPr>
        <w:t xml:space="preserve"> 3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工作日之内对基金投资人的投诉做出回复。对于非工作日提出的投诉，基金管理人将在顺延到下</w:t>
      </w:r>
      <w:r w:rsidRPr="002544B9">
        <w:rPr>
          <w:rFonts w:asciiTheme="minorEastAsia" w:hAnsiTheme="minorEastAsia" w:cs="Arial"/>
          <w:sz w:val="24"/>
          <w:szCs w:val="24"/>
        </w:rPr>
        <w:t xml:space="preserve"> 1 </w:t>
      </w:r>
      <w:proofErr w:type="gramStart"/>
      <w:r w:rsidRPr="002544B9">
        <w:rPr>
          <w:rFonts w:asciiTheme="minorEastAsia" w:hAnsiTheme="minorEastAsia" w:cs="Arial" w:hint="eastAsia"/>
          <w:sz w:val="24"/>
          <w:szCs w:val="24"/>
        </w:rPr>
        <w:t>个</w:t>
      </w:r>
      <w:proofErr w:type="gramEnd"/>
      <w:r w:rsidRPr="002544B9">
        <w:rPr>
          <w:rFonts w:asciiTheme="minorEastAsia" w:hAnsiTheme="minorEastAsia" w:cs="Arial" w:hint="eastAsia"/>
          <w:sz w:val="24"/>
          <w:szCs w:val="24"/>
        </w:rPr>
        <w:t>工作日进行回复。</w:t>
      </w:r>
    </w:p>
    <w:p w14:paraId="1C4C4F19"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（七）基金管理人联系方式</w:t>
      </w:r>
      <w:r w:rsidRPr="002544B9">
        <w:rPr>
          <w:rFonts w:asciiTheme="minorEastAsia" w:hAnsiTheme="minorEastAsia" w:cs="Arial"/>
          <w:sz w:val="24"/>
          <w:szCs w:val="24"/>
        </w:rPr>
        <w:t xml:space="preserve"> </w:t>
      </w:r>
    </w:p>
    <w:p w14:paraId="368327F5"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基金管理人网址：</w:t>
      </w:r>
      <w:r w:rsidRPr="002544B9">
        <w:rPr>
          <w:rFonts w:asciiTheme="minorEastAsia" w:hAnsiTheme="minorEastAsia" w:cs="Arial"/>
          <w:sz w:val="24"/>
          <w:szCs w:val="24"/>
        </w:rPr>
        <w:t xml:space="preserve"> www.furamc.com.cn</w:t>
      </w:r>
    </w:p>
    <w:p w14:paraId="60A0AC7B"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电子信箱：</w:t>
      </w:r>
      <w:r w:rsidRPr="002544B9">
        <w:rPr>
          <w:rFonts w:asciiTheme="minorEastAsia" w:hAnsiTheme="minorEastAsia" w:cs="Arial"/>
          <w:sz w:val="24"/>
          <w:szCs w:val="24"/>
        </w:rPr>
        <w:t>service@furamc.com.cn</w:t>
      </w:r>
    </w:p>
    <w:p w14:paraId="0F05D9A8"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客服热线：</w:t>
      </w:r>
      <w:r w:rsidRPr="002544B9">
        <w:rPr>
          <w:rFonts w:asciiTheme="minorEastAsia" w:hAnsiTheme="minorEastAsia" w:cs="Arial"/>
          <w:sz w:val="24"/>
          <w:szCs w:val="24"/>
        </w:rPr>
        <w:t>4006855600</w:t>
      </w:r>
    </w:p>
    <w:p w14:paraId="6E7BB5E1" w14:textId="480224FD"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客户服务部门地址：</w:t>
      </w:r>
      <w:r w:rsidRPr="002544B9">
        <w:rPr>
          <w:rFonts w:asciiTheme="minorEastAsia" w:hAnsiTheme="minorEastAsia" w:cs="Times New Roman" w:hint="eastAsia"/>
          <w:kern w:val="0"/>
          <w:sz w:val="24"/>
          <w:szCs w:val="24"/>
        </w:rPr>
        <w:t>深圳市福田区八卦四路</w:t>
      </w:r>
      <w:r w:rsidRPr="002544B9">
        <w:rPr>
          <w:rFonts w:asciiTheme="minorEastAsia" w:hAnsiTheme="minorEastAsia" w:cs="Times New Roman"/>
          <w:kern w:val="0"/>
          <w:sz w:val="24"/>
          <w:szCs w:val="24"/>
        </w:rPr>
        <w:t>安吉</w:t>
      </w:r>
      <w:r w:rsidRPr="002544B9">
        <w:rPr>
          <w:rFonts w:asciiTheme="minorEastAsia" w:hAnsiTheme="minorEastAsia" w:cs="Times New Roman" w:hint="eastAsia"/>
          <w:kern w:val="0"/>
          <w:sz w:val="24"/>
          <w:szCs w:val="24"/>
        </w:rPr>
        <w:t>尔大厦</w:t>
      </w:r>
      <w:r w:rsidRPr="002544B9">
        <w:rPr>
          <w:rFonts w:asciiTheme="minorEastAsia" w:hAnsiTheme="minorEastAsia" w:cs="Times New Roman"/>
          <w:kern w:val="0"/>
          <w:sz w:val="24"/>
          <w:szCs w:val="24"/>
        </w:rPr>
        <w:t>24层</w:t>
      </w:r>
      <w:r w:rsidRPr="002544B9">
        <w:rPr>
          <w:rFonts w:asciiTheme="minorEastAsia" w:hAnsiTheme="minorEastAsia" w:cs="Arial" w:hint="eastAsia"/>
          <w:sz w:val="24"/>
          <w:szCs w:val="24"/>
        </w:rPr>
        <w:t>，富荣基金管理有限公司客户服务部门（收）</w:t>
      </w:r>
    </w:p>
    <w:p w14:paraId="1AFD6D41" w14:textId="77777777" w:rsidR="00AC3A9B" w:rsidRPr="002544B9" w:rsidRDefault="002C3C29">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邮编：</w:t>
      </w:r>
      <w:r w:rsidRPr="002544B9">
        <w:rPr>
          <w:rFonts w:asciiTheme="minorEastAsia" w:hAnsiTheme="minorEastAsia" w:cs="Arial"/>
          <w:sz w:val="24"/>
          <w:szCs w:val="24"/>
        </w:rPr>
        <w:t>518038</w:t>
      </w:r>
    </w:p>
    <w:p w14:paraId="6B021D21" w14:textId="5C599298" w:rsidR="00BB44F8" w:rsidRDefault="002C3C29" w:rsidP="00BB44F8">
      <w:pPr>
        <w:spacing w:line="360" w:lineRule="auto"/>
        <w:ind w:firstLineChars="200" w:firstLine="480"/>
        <w:rPr>
          <w:rFonts w:asciiTheme="minorEastAsia" w:hAnsiTheme="minorEastAsia" w:cs="Arial"/>
          <w:sz w:val="24"/>
          <w:szCs w:val="24"/>
        </w:rPr>
      </w:pPr>
      <w:r w:rsidRPr="002544B9">
        <w:rPr>
          <w:rFonts w:asciiTheme="minorEastAsia" w:hAnsiTheme="minorEastAsia" w:cs="Arial" w:hint="eastAsia"/>
          <w:sz w:val="24"/>
          <w:szCs w:val="24"/>
        </w:rPr>
        <w:t>（八）如本招募说明书存在任何您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无法理解的内容，请通过</w:t>
      </w:r>
      <w:proofErr w:type="gramStart"/>
      <w:r w:rsidRPr="002544B9">
        <w:rPr>
          <w:rFonts w:asciiTheme="minorEastAsia" w:hAnsiTheme="minorEastAsia" w:cs="Arial" w:hint="eastAsia"/>
          <w:sz w:val="24"/>
          <w:szCs w:val="24"/>
        </w:rPr>
        <w:t>上述联系</w:t>
      </w:r>
      <w:proofErr w:type="gramEnd"/>
      <w:r w:rsidRPr="002544B9">
        <w:rPr>
          <w:rFonts w:asciiTheme="minorEastAsia" w:hAnsiTheme="minorEastAsia" w:cs="Arial" w:hint="eastAsia"/>
          <w:sz w:val="24"/>
          <w:szCs w:val="24"/>
        </w:rPr>
        <w:t>方式联系基金管理人。</w:t>
      </w:r>
      <w:proofErr w:type="gramStart"/>
      <w:r w:rsidRPr="002544B9">
        <w:rPr>
          <w:rFonts w:asciiTheme="minorEastAsia" w:hAnsiTheme="minorEastAsia" w:cs="Arial" w:hint="eastAsia"/>
          <w:sz w:val="24"/>
          <w:szCs w:val="24"/>
        </w:rPr>
        <w:t>请确保</w:t>
      </w:r>
      <w:proofErr w:type="gramEnd"/>
      <w:r w:rsidRPr="002544B9">
        <w:rPr>
          <w:rFonts w:asciiTheme="minorEastAsia" w:hAnsiTheme="minorEastAsia" w:cs="Arial" w:hint="eastAsia"/>
          <w:sz w:val="24"/>
          <w:szCs w:val="24"/>
        </w:rPr>
        <w:t>投资前，您</w:t>
      </w:r>
      <w:r w:rsidRPr="002544B9">
        <w:rPr>
          <w:rFonts w:asciiTheme="minorEastAsia" w:hAnsiTheme="minorEastAsia" w:cs="Arial"/>
          <w:sz w:val="24"/>
          <w:szCs w:val="24"/>
        </w:rPr>
        <w:t>/</w:t>
      </w:r>
      <w:proofErr w:type="gramStart"/>
      <w:r w:rsidRPr="002544B9">
        <w:rPr>
          <w:rFonts w:asciiTheme="minorEastAsia" w:hAnsiTheme="minorEastAsia" w:cs="Arial" w:hint="eastAsia"/>
          <w:sz w:val="24"/>
          <w:szCs w:val="24"/>
        </w:rPr>
        <w:t>贵机构</w:t>
      </w:r>
      <w:proofErr w:type="gramEnd"/>
      <w:r w:rsidRPr="002544B9">
        <w:rPr>
          <w:rFonts w:asciiTheme="minorEastAsia" w:hAnsiTheme="minorEastAsia" w:cs="Arial" w:hint="eastAsia"/>
          <w:sz w:val="24"/>
          <w:szCs w:val="24"/>
        </w:rPr>
        <w:t>已经全面理解了本招募说明书</w:t>
      </w:r>
      <w:r w:rsidRPr="002544B9">
        <w:rPr>
          <w:rFonts w:asciiTheme="minorEastAsia" w:hAnsiTheme="minorEastAsia" w:cs="Arial"/>
          <w:sz w:val="24"/>
          <w:szCs w:val="24"/>
        </w:rPr>
        <w:t>。</w:t>
      </w:r>
    </w:p>
    <w:p w14:paraId="7359AEF4" w14:textId="5299A965" w:rsidR="00BB44F8" w:rsidRDefault="00BB44F8" w:rsidP="00BB44F8">
      <w:pPr>
        <w:spacing w:line="360" w:lineRule="auto"/>
        <w:ind w:firstLineChars="200" w:firstLine="480"/>
        <w:rPr>
          <w:rFonts w:asciiTheme="minorEastAsia" w:hAnsiTheme="minorEastAsia" w:cs="Arial"/>
          <w:sz w:val="24"/>
          <w:szCs w:val="24"/>
        </w:rPr>
      </w:pPr>
    </w:p>
    <w:p w14:paraId="6C04711D" w14:textId="77777777" w:rsidR="00BB44F8" w:rsidRDefault="00BB44F8" w:rsidP="00BB44F8">
      <w:pPr>
        <w:spacing w:line="360" w:lineRule="auto"/>
        <w:ind w:firstLineChars="200" w:firstLine="480"/>
        <w:rPr>
          <w:rFonts w:asciiTheme="minorEastAsia" w:hAnsiTheme="minorEastAsia" w:cs="Arial"/>
          <w:sz w:val="24"/>
          <w:szCs w:val="24"/>
        </w:rPr>
      </w:pPr>
    </w:p>
    <w:p w14:paraId="51D8F5A6" w14:textId="4F944D2C" w:rsidR="00BB44F8" w:rsidRDefault="00BB44F8" w:rsidP="00BB44F8">
      <w:pPr>
        <w:spacing w:line="360" w:lineRule="auto"/>
        <w:ind w:firstLineChars="200" w:firstLine="480"/>
        <w:rPr>
          <w:rFonts w:asciiTheme="minorEastAsia" w:hAnsiTheme="minorEastAsia" w:cs="Arial"/>
          <w:sz w:val="24"/>
          <w:szCs w:val="24"/>
        </w:rPr>
      </w:pPr>
      <w:r>
        <w:rPr>
          <w:rFonts w:asciiTheme="minorEastAsia" w:hAnsiTheme="minorEastAsia" w:cs="Arial"/>
          <w:sz w:val="24"/>
          <w:szCs w:val="24"/>
        </w:rPr>
        <w:br w:type="page"/>
      </w:r>
    </w:p>
    <w:p w14:paraId="22D62D80" w14:textId="3F8F0B05" w:rsidR="00BB44F8" w:rsidRDefault="00BB44F8" w:rsidP="00BB44F8">
      <w:pPr>
        <w:pStyle w:val="1"/>
        <w:jc w:val="center"/>
        <w:rPr>
          <w:sz w:val="30"/>
          <w:szCs w:val="30"/>
        </w:rPr>
      </w:pPr>
      <w:bookmarkStart w:id="453" w:name="_Toc30359"/>
      <w:bookmarkStart w:id="454" w:name="_Toc256666809"/>
      <w:bookmarkStart w:id="455" w:name="_Toc520207207"/>
      <w:bookmarkStart w:id="456" w:name="_Toc256666929"/>
      <w:bookmarkStart w:id="457" w:name="_Toc521338342"/>
      <w:bookmarkStart w:id="458" w:name="_Toc482624810"/>
      <w:bookmarkStart w:id="459" w:name="_Toc37770224"/>
      <w:bookmarkStart w:id="460" w:name="_Toc104205533"/>
      <w:r>
        <w:rPr>
          <w:rFonts w:hint="eastAsia"/>
          <w:sz w:val="30"/>
          <w:szCs w:val="30"/>
        </w:rPr>
        <w:t xml:space="preserve">第二十二部分  </w:t>
      </w:r>
      <w:bookmarkEnd w:id="453"/>
      <w:bookmarkEnd w:id="454"/>
      <w:bookmarkEnd w:id="455"/>
      <w:bookmarkEnd w:id="456"/>
      <w:bookmarkEnd w:id="457"/>
      <w:bookmarkEnd w:id="458"/>
      <w:r>
        <w:rPr>
          <w:rFonts w:hint="eastAsia"/>
          <w:sz w:val="30"/>
          <w:szCs w:val="30"/>
        </w:rPr>
        <w:t>其他应披露事项</w:t>
      </w:r>
      <w:bookmarkEnd w:id="459"/>
      <w:bookmarkEnd w:id="460"/>
    </w:p>
    <w:tbl>
      <w:tblPr>
        <w:tblpPr w:leftFromText="180" w:rightFromText="180" w:vertAnchor="text" w:tblpX="-68" w:tblpY="1"/>
        <w:tblOverlap w:val="never"/>
        <w:tblW w:w="903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997"/>
        <w:gridCol w:w="5774"/>
        <w:gridCol w:w="2268"/>
      </w:tblGrid>
      <w:tr w:rsidR="00BB44F8" w14:paraId="795C833A" w14:textId="77777777" w:rsidTr="007B2A9B">
        <w:trPr>
          <w:trHeight w:val="382"/>
        </w:trPr>
        <w:tc>
          <w:tcPr>
            <w:tcW w:w="997" w:type="dxa"/>
            <w:tcBorders>
              <w:top w:val="single" w:sz="4" w:space="0" w:color="auto"/>
              <w:left w:val="single" w:sz="4" w:space="0" w:color="auto"/>
              <w:bottom w:val="single" w:sz="4" w:space="0" w:color="auto"/>
              <w:right w:val="single" w:sz="4" w:space="0" w:color="auto"/>
            </w:tcBorders>
          </w:tcPr>
          <w:p w14:paraId="2880B622" w14:textId="77777777" w:rsidR="00BB44F8" w:rsidRDefault="00BB44F8" w:rsidP="007901A1">
            <w:pPr>
              <w:jc w:val="center"/>
              <w:rPr>
                <w:rFonts w:ascii="宋体" w:hAnsi="宋体"/>
                <w:szCs w:val="21"/>
              </w:rPr>
            </w:pPr>
            <w:r>
              <w:rPr>
                <w:rFonts w:asciiTheme="minorEastAsia" w:hAnsiTheme="minorEastAsia" w:cs="Arial" w:hint="eastAsia"/>
                <w:sz w:val="24"/>
                <w:szCs w:val="24"/>
              </w:rPr>
              <w:t>序号</w:t>
            </w:r>
          </w:p>
        </w:tc>
        <w:tc>
          <w:tcPr>
            <w:tcW w:w="5774" w:type="dxa"/>
            <w:tcBorders>
              <w:top w:val="single" w:sz="4" w:space="0" w:color="auto"/>
              <w:left w:val="single" w:sz="4" w:space="0" w:color="auto"/>
              <w:bottom w:val="single" w:sz="4" w:space="0" w:color="auto"/>
              <w:right w:val="single" w:sz="4" w:space="0" w:color="auto"/>
            </w:tcBorders>
          </w:tcPr>
          <w:p w14:paraId="6CD7ED6C" w14:textId="77777777" w:rsidR="00BB44F8" w:rsidRDefault="00BB44F8" w:rsidP="007901A1">
            <w:pPr>
              <w:jc w:val="center"/>
              <w:rPr>
                <w:rFonts w:ascii="宋体" w:hAnsi="宋体"/>
                <w:szCs w:val="21"/>
              </w:rPr>
            </w:pPr>
            <w:r>
              <w:rPr>
                <w:rFonts w:asciiTheme="minorEastAsia" w:hAnsiTheme="minorEastAsia" w:cs="Arial" w:hint="eastAsia"/>
                <w:sz w:val="24"/>
                <w:szCs w:val="24"/>
              </w:rPr>
              <w:t>公告事项</w:t>
            </w:r>
          </w:p>
        </w:tc>
        <w:tc>
          <w:tcPr>
            <w:tcW w:w="2268" w:type="dxa"/>
            <w:tcBorders>
              <w:top w:val="single" w:sz="4" w:space="0" w:color="auto"/>
              <w:left w:val="single" w:sz="4" w:space="0" w:color="auto"/>
              <w:bottom w:val="single" w:sz="4" w:space="0" w:color="auto"/>
              <w:right w:val="single" w:sz="4" w:space="0" w:color="auto"/>
            </w:tcBorders>
          </w:tcPr>
          <w:p w14:paraId="32BC357B" w14:textId="77777777" w:rsidR="00BB44F8" w:rsidRDefault="00BB44F8" w:rsidP="007901A1">
            <w:pPr>
              <w:jc w:val="center"/>
              <w:rPr>
                <w:rFonts w:ascii="宋体" w:hAnsi="宋体"/>
                <w:szCs w:val="21"/>
              </w:rPr>
            </w:pPr>
            <w:r>
              <w:rPr>
                <w:rFonts w:asciiTheme="minorEastAsia" w:hAnsiTheme="minorEastAsia" w:cs="Arial" w:hint="eastAsia"/>
                <w:sz w:val="24"/>
                <w:szCs w:val="24"/>
              </w:rPr>
              <w:t>披露日期</w:t>
            </w:r>
          </w:p>
        </w:tc>
      </w:tr>
      <w:tr w:rsidR="007901A1" w14:paraId="1F7070C2"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604E740"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p>
        </w:tc>
        <w:tc>
          <w:tcPr>
            <w:tcW w:w="5774" w:type="dxa"/>
            <w:tcBorders>
              <w:top w:val="single" w:sz="4" w:space="0" w:color="auto"/>
              <w:left w:val="single" w:sz="4" w:space="0" w:color="auto"/>
              <w:bottom w:val="single" w:sz="4" w:space="0" w:color="auto"/>
              <w:right w:val="single" w:sz="4" w:space="0" w:color="auto"/>
            </w:tcBorders>
            <w:vAlign w:val="bottom"/>
          </w:tcPr>
          <w:p w14:paraId="752851AC" w14:textId="77777777" w:rsidR="007901A1" w:rsidRDefault="007901A1" w:rsidP="007901A1">
            <w:pPr>
              <w:jc w:val="left"/>
              <w:rPr>
                <w:rFonts w:asciiTheme="minorEastAsia" w:hAnsiTheme="minorEastAsia" w:cs="Arial"/>
                <w:sz w:val="24"/>
                <w:szCs w:val="24"/>
              </w:rPr>
            </w:pPr>
            <w:proofErr w:type="gramStart"/>
            <w:r>
              <w:rPr>
                <w:rFonts w:hint="eastAsia"/>
                <w:color w:val="000000"/>
                <w:sz w:val="22"/>
              </w:rPr>
              <w:t>富荣福银混合型</w:t>
            </w:r>
            <w:proofErr w:type="gramEnd"/>
            <w:r>
              <w:rPr>
                <w:rFonts w:hint="eastAsia"/>
                <w:color w:val="000000"/>
                <w:sz w:val="22"/>
              </w:rPr>
              <w:t>证券投资</w:t>
            </w:r>
            <w:proofErr w:type="gramStart"/>
            <w:r>
              <w:rPr>
                <w:rFonts w:hint="eastAsia"/>
                <w:color w:val="000000"/>
                <w:sz w:val="22"/>
              </w:rPr>
              <w:t>基金基金</w:t>
            </w:r>
            <w:proofErr w:type="gramEnd"/>
            <w:r>
              <w:rPr>
                <w:rFonts w:hint="eastAsia"/>
                <w:color w:val="000000"/>
                <w:sz w:val="22"/>
              </w:rPr>
              <w:t>份额发售公告</w:t>
            </w:r>
          </w:p>
        </w:tc>
        <w:tc>
          <w:tcPr>
            <w:tcW w:w="2268" w:type="dxa"/>
            <w:tcBorders>
              <w:top w:val="single" w:sz="4" w:space="0" w:color="auto"/>
              <w:left w:val="single" w:sz="4" w:space="0" w:color="auto"/>
              <w:bottom w:val="single" w:sz="4" w:space="0" w:color="auto"/>
              <w:right w:val="single" w:sz="4" w:space="0" w:color="auto"/>
            </w:tcBorders>
            <w:vAlign w:val="center"/>
          </w:tcPr>
          <w:p w14:paraId="26D22201"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9</w:t>
            </w:r>
            <w:r>
              <w:rPr>
                <w:rFonts w:hint="eastAsia"/>
                <w:color w:val="000000"/>
                <w:sz w:val="22"/>
              </w:rPr>
              <w:t>日</w:t>
            </w:r>
          </w:p>
        </w:tc>
      </w:tr>
      <w:tr w:rsidR="007901A1" w14:paraId="6A6FF66F"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587153BC"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p>
        </w:tc>
        <w:tc>
          <w:tcPr>
            <w:tcW w:w="5774" w:type="dxa"/>
            <w:tcBorders>
              <w:top w:val="single" w:sz="4" w:space="0" w:color="auto"/>
              <w:left w:val="single" w:sz="4" w:space="0" w:color="auto"/>
              <w:bottom w:val="single" w:sz="4" w:space="0" w:color="auto"/>
              <w:right w:val="single" w:sz="4" w:space="0" w:color="auto"/>
            </w:tcBorders>
            <w:vAlign w:val="bottom"/>
          </w:tcPr>
          <w:p w14:paraId="0EA63814" w14:textId="77777777" w:rsidR="007901A1" w:rsidRDefault="007901A1" w:rsidP="007901A1">
            <w:pPr>
              <w:jc w:val="left"/>
              <w:rPr>
                <w:rFonts w:asciiTheme="minorEastAsia" w:hAnsiTheme="minorEastAsia" w:cs="Arial"/>
                <w:sz w:val="24"/>
                <w:szCs w:val="24"/>
              </w:rPr>
            </w:pPr>
            <w:proofErr w:type="gramStart"/>
            <w:r>
              <w:rPr>
                <w:rFonts w:hint="eastAsia"/>
                <w:color w:val="000000"/>
                <w:sz w:val="22"/>
              </w:rPr>
              <w:t>富荣福银混合型</w:t>
            </w:r>
            <w:proofErr w:type="gramEnd"/>
            <w:r>
              <w:rPr>
                <w:rFonts w:hint="eastAsia"/>
                <w:color w:val="000000"/>
                <w:sz w:val="22"/>
              </w:rPr>
              <w:t>证券投资</w:t>
            </w:r>
            <w:proofErr w:type="gramStart"/>
            <w:r>
              <w:rPr>
                <w:rFonts w:hint="eastAsia"/>
                <w:color w:val="000000"/>
                <w:sz w:val="22"/>
              </w:rPr>
              <w:t>基金基金</w:t>
            </w:r>
            <w:proofErr w:type="gramEnd"/>
            <w:r>
              <w:rPr>
                <w:rFonts w:hint="eastAsia"/>
                <w:color w:val="000000"/>
                <w:sz w:val="22"/>
              </w:rPr>
              <w:t>合同和招募说明书提示性公告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19C21682"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9</w:t>
            </w:r>
            <w:r>
              <w:rPr>
                <w:rFonts w:hint="eastAsia"/>
                <w:color w:val="000000"/>
                <w:sz w:val="22"/>
              </w:rPr>
              <w:t>日</w:t>
            </w:r>
          </w:p>
        </w:tc>
      </w:tr>
      <w:tr w:rsidR="007901A1" w14:paraId="33118254"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2C0E32E4"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3</w:t>
            </w:r>
          </w:p>
        </w:tc>
        <w:tc>
          <w:tcPr>
            <w:tcW w:w="5774" w:type="dxa"/>
            <w:tcBorders>
              <w:top w:val="single" w:sz="4" w:space="0" w:color="auto"/>
              <w:left w:val="single" w:sz="4" w:space="0" w:color="auto"/>
              <w:bottom w:val="single" w:sz="4" w:space="0" w:color="auto"/>
              <w:right w:val="single" w:sz="4" w:space="0" w:color="auto"/>
            </w:tcBorders>
            <w:vAlign w:val="bottom"/>
          </w:tcPr>
          <w:p w14:paraId="37C31125" w14:textId="77777777" w:rsidR="007901A1" w:rsidRDefault="007901A1" w:rsidP="007901A1">
            <w:pPr>
              <w:jc w:val="left"/>
              <w:rPr>
                <w:rFonts w:asciiTheme="minorEastAsia" w:hAnsiTheme="minorEastAsia" w:cs="Arial"/>
                <w:sz w:val="24"/>
                <w:szCs w:val="24"/>
              </w:rPr>
            </w:pPr>
            <w:r>
              <w:rPr>
                <w:rFonts w:hint="eastAsia"/>
                <w:color w:val="000000"/>
                <w:sz w:val="22"/>
              </w:rPr>
              <w:t>关于</w:t>
            </w:r>
            <w:proofErr w:type="gramStart"/>
            <w:r>
              <w:rPr>
                <w:rFonts w:hint="eastAsia"/>
                <w:color w:val="000000"/>
                <w:sz w:val="22"/>
              </w:rPr>
              <w:t>富荣福银混合型</w:t>
            </w:r>
            <w:proofErr w:type="gramEnd"/>
            <w:r>
              <w:rPr>
                <w:rFonts w:hint="eastAsia"/>
                <w:color w:val="000000"/>
                <w:sz w:val="22"/>
              </w:rPr>
              <w:t>证券投资基金提前结束募集的公告</w:t>
            </w:r>
          </w:p>
        </w:tc>
        <w:tc>
          <w:tcPr>
            <w:tcW w:w="2268" w:type="dxa"/>
            <w:tcBorders>
              <w:top w:val="single" w:sz="4" w:space="0" w:color="auto"/>
              <w:left w:val="single" w:sz="4" w:space="0" w:color="auto"/>
              <w:bottom w:val="single" w:sz="4" w:space="0" w:color="auto"/>
              <w:right w:val="single" w:sz="4" w:space="0" w:color="auto"/>
            </w:tcBorders>
            <w:vAlign w:val="center"/>
          </w:tcPr>
          <w:p w14:paraId="51759ABF"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17</w:t>
            </w:r>
            <w:r>
              <w:rPr>
                <w:rFonts w:hint="eastAsia"/>
                <w:color w:val="000000"/>
                <w:sz w:val="22"/>
              </w:rPr>
              <w:t>日</w:t>
            </w:r>
          </w:p>
        </w:tc>
      </w:tr>
      <w:tr w:rsidR="007901A1" w14:paraId="7952F52A"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50F04D0D"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4</w:t>
            </w:r>
          </w:p>
        </w:tc>
        <w:tc>
          <w:tcPr>
            <w:tcW w:w="5774" w:type="dxa"/>
            <w:tcBorders>
              <w:top w:val="single" w:sz="4" w:space="0" w:color="auto"/>
              <w:left w:val="single" w:sz="4" w:space="0" w:color="auto"/>
              <w:bottom w:val="single" w:sz="4" w:space="0" w:color="auto"/>
              <w:right w:val="single" w:sz="4" w:space="0" w:color="auto"/>
            </w:tcBorders>
            <w:vAlign w:val="bottom"/>
          </w:tcPr>
          <w:p w14:paraId="2DC8BDEC" w14:textId="77777777" w:rsidR="007901A1" w:rsidRDefault="007901A1" w:rsidP="007901A1">
            <w:pPr>
              <w:jc w:val="left"/>
              <w:rPr>
                <w:rFonts w:asciiTheme="minorEastAsia" w:hAnsiTheme="minorEastAsia" w:cs="Arial"/>
                <w:sz w:val="24"/>
                <w:szCs w:val="24"/>
              </w:rPr>
            </w:pPr>
            <w:proofErr w:type="gramStart"/>
            <w:r>
              <w:rPr>
                <w:rFonts w:hint="eastAsia"/>
                <w:color w:val="000000"/>
                <w:sz w:val="22"/>
              </w:rPr>
              <w:t>富荣福银混合型</w:t>
            </w:r>
            <w:proofErr w:type="gramEnd"/>
            <w:r>
              <w:rPr>
                <w:rFonts w:hint="eastAsia"/>
                <w:color w:val="000000"/>
                <w:sz w:val="22"/>
              </w:rPr>
              <w:t>证券投资</w:t>
            </w:r>
            <w:proofErr w:type="gramStart"/>
            <w:r>
              <w:rPr>
                <w:rFonts w:hint="eastAsia"/>
                <w:color w:val="000000"/>
                <w:sz w:val="22"/>
              </w:rPr>
              <w:t>基金基金</w:t>
            </w:r>
            <w:proofErr w:type="gramEnd"/>
            <w:r>
              <w:rPr>
                <w:rFonts w:hint="eastAsia"/>
                <w:color w:val="000000"/>
                <w:sz w:val="22"/>
              </w:rPr>
              <w:t>合同生效公告</w:t>
            </w:r>
          </w:p>
        </w:tc>
        <w:tc>
          <w:tcPr>
            <w:tcW w:w="2268" w:type="dxa"/>
            <w:tcBorders>
              <w:top w:val="single" w:sz="4" w:space="0" w:color="auto"/>
              <w:left w:val="single" w:sz="4" w:space="0" w:color="auto"/>
              <w:bottom w:val="single" w:sz="4" w:space="0" w:color="auto"/>
              <w:right w:val="single" w:sz="4" w:space="0" w:color="auto"/>
            </w:tcBorders>
            <w:vAlign w:val="center"/>
          </w:tcPr>
          <w:p w14:paraId="092AC42E"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19</w:t>
            </w:r>
            <w:r>
              <w:rPr>
                <w:rFonts w:hint="eastAsia"/>
                <w:color w:val="000000"/>
                <w:sz w:val="22"/>
              </w:rPr>
              <w:t>日</w:t>
            </w:r>
          </w:p>
        </w:tc>
      </w:tr>
      <w:tr w:rsidR="007901A1" w14:paraId="21587468"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5AB9A2BB"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5</w:t>
            </w:r>
          </w:p>
        </w:tc>
        <w:tc>
          <w:tcPr>
            <w:tcW w:w="5774" w:type="dxa"/>
            <w:tcBorders>
              <w:top w:val="single" w:sz="4" w:space="0" w:color="auto"/>
              <w:left w:val="single" w:sz="4" w:space="0" w:color="auto"/>
              <w:bottom w:val="single" w:sz="4" w:space="0" w:color="auto"/>
              <w:right w:val="single" w:sz="4" w:space="0" w:color="auto"/>
            </w:tcBorders>
            <w:vAlign w:val="bottom"/>
          </w:tcPr>
          <w:p w14:paraId="1EA4B9A0"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富荣基金管理有限公司基金行业高级管理人员变更公告</w:t>
            </w:r>
          </w:p>
        </w:tc>
        <w:tc>
          <w:tcPr>
            <w:tcW w:w="2268" w:type="dxa"/>
            <w:tcBorders>
              <w:top w:val="single" w:sz="4" w:space="0" w:color="auto"/>
              <w:left w:val="single" w:sz="4" w:space="0" w:color="auto"/>
              <w:bottom w:val="single" w:sz="4" w:space="0" w:color="auto"/>
              <w:right w:val="single" w:sz="4" w:space="0" w:color="auto"/>
            </w:tcBorders>
            <w:vAlign w:val="center"/>
          </w:tcPr>
          <w:p w14:paraId="3071F2DD"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6</w:t>
            </w:r>
            <w:r>
              <w:rPr>
                <w:rFonts w:hint="eastAsia"/>
                <w:color w:val="000000"/>
                <w:sz w:val="22"/>
              </w:rPr>
              <w:t>月</w:t>
            </w:r>
            <w:r>
              <w:rPr>
                <w:rFonts w:hint="eastAsia"/>
                <w:color w:val="000000"/>
                <w:sz w:val="22"/>
              </w:rPr>
              <w:t>24</w:t>
            </w:r>
            <w:r>
              <w:rPr>
                <w:rFonts w:hint="eastAsia"/>
                <w:color w:val="000000"/>
                <w:sz w:val="22"/>
              </w:rPr>
              <w:t>日</w:t>
            </w:r>
          </w:p>
        </w:tc>
      </w:tr>
      <w:tr w:rsidR="007901A1" w14:paraId="69132023"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0020EC11"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6</w:t>
            </w:r>
          </w:p>
        </w:tc>
        <w:tc>
          <w:tcPr>
            <w:tcW w:w="5774" w:type="dxa"/>
            <w:tcBorders>
              <w:top w:val="single" w:sz="4" w:space="0" w:color="auto"/>
              <w:left w:val="single" w:sz="4" w:space="0" w:color="auto"/>
              <w:bottom w:val="single" w:sz="4" w:space="0" w:color="auto"/>
              <w:right w:val="single" w:sz="4" w:space="0" w:color="auto"/>
            </w:tcBorders>
            <w:vAlign w:val="bottom"/>
          </w:tcPr>
          <w:p w14:paraId="0A0CF49D" w14:textId="77777777" w:rsidR="007901A1" w:rsidRDefault="007901A1" w:rsidP="007901A1">
            <w:pPr>
              <w:jc w:val="left"/>
              <w:rPr>
                <w:rFonts w:asciiTheme="minorEastAsia" w:hAnsiTheme="minorEastAsia" w:cs="Arial"/>
                <w:sz w:val="24"/>
                <w:szCs w:val="24"/>
              </w:rPr>
            </w:pPr>
            <w:proofErr w:type="gramStart"/>
            <w:r>
              <w:rPr>
                <w:rFonts w:hint="eastAsia"/>
                <w:color w:val="000000"/>
                <w:sz w:val="22"/>
              </w:rPr>
              <w:t>富荣福银混合型</w:t>
            </w:r>
            <w:proofErr w:type="gramEnd"/>
            <w:r>
              <w:rPr>
                <w:rFonts w:hint="eastAsia"/>
                <w:color w:val="000000"/>
                <w:sz w:val="22"/>
              </w:rPr>
              <w:t>证券投资基金开放日常申购、赎回、转换、定期定额投资业务公告</w:t>
            </w:r>
          </w:p>
        </w:tc>
        <w:tc>
          <w:tcPr>
            <w:tcW w:w="2268" w:type="dxa"/>
            <w:tcBorders>
              <w:top w:val="single" w:sz="4" w:space="0" w:color="auto"/>
              <w:left w:val="single" w:sz="4" w:space="0" w:color="auto"/>
              <w:bottom w:val="single" w:sz="4" w:space="0" w:color="auto"/>
              <w:right w:val="single" w:sz="4" w:space="0" w:color="auto"/>
            </w:tcBorders>
            <w:vAlign w:val="center"/>
          </w:tcPr>
          <w:p w14:paraId="2E10D380"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19</w:t>
            </w:r>
            <w:r>
              <w:rPr>
                <w:rFonts w:hint="eastAsia"/>
                <w:color w:val="000000"/>
                <w:sz w:val="22"/>
              </w:rPr>
              <w:t>日</w:t>
            </w:r>
          </w:p>
        </w:tc>
      </w:tr>
      <w:tr w:rsidR="007901A1" w14:paraId="52E14CE6"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7CFB5FF"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7</w:t>
            </w:r>
          </w:p>
        </w:tc>
        <w:tc>
          <w:tcPr>
            <w:tcW w:w="5774" w:type="dxa"/>
            <w:tcBorders>
              <w:top w:val="single" w:sz="4" w:space="0" w:color="auto"/>
              <w:left w:val="single" w:sz="4" w:space="0" w:color="auto"/>
              <w:bottom w:val="single" w:sz="4" w:space="0" w:color="auto"/>
              <w:right w:val="single" w:sz="4" w:space="0" w:color="auto"/>
            </w:tcBorders>
            <w:vAlign w:val="bottom"/>
          </w:tcPr>
          <w:p w14:paraId="3685D825"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富荣基金管理有限公司关于旗下部分基金参加上海万得基金销售有限公司基金申购及定期定额投资申购费率优惠活动的公告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47C1DB7B"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7901A1" w14:paraId="3AA97A72"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77878507"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8</w:t>
            </w:r>
          </w:p>
        </w:tc>
        <w:tc>
          <w:tcPr>
            <w:tcW w:w="5774" w:type="dxa"/>
            <w:tcBorders>
              <w:top w:val="single" w:sz="4" w:space="0" w:color="auto"/>
              <w:left w:val="single" w:sz="4" w:space="0" w:color="auto"/>
              <w:bottom w:val="single" w:sz="4" w:space="0" w:color="auto"/>
              <w:right w:val="single" w:sz="4" w:space="0" w:color="auto"/>
            </w:tcBorders>
            <w:vAlign w:val="bottom"/>
          </w:tcPr>
          <w:p w14:paraId="25074938"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富荣基金管理有限公司关于旗下部分基金新增上海万得基金销售有限公司为销售机构并开通基金定期定额投资业务和基金转换业务的公告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23909D92"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21</w:t>
            </w:r>
            <w:r>
              <w:rPr>
                <w:rFonts w:hint="eastAsia"/>
                <w:color w:val="000000"/>
                <w:sz w:val="22"/>
              </w:rPr>
              <w:t>日</w:t>
            </w:r>
          </w:p>
        </w:tc>
      </w:tr>
      <w:tr w:rsidR="007901A1" w14:paraId="6E410427"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6F94DAA9"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9</w:t>
            </w:r>
          </w:p>
        </w:tc>
        <w:tc>
          <w:tcPr>
            <w:tcW w:w="5774" w:type="dxa"/>
            <w:tcBorders>
              <w:top w:val="single" w:sz="4" w:space="0" w:color="auto"/>
              <w:left w:val="single" w:sz="4" w:space="0" w:color="auto"/>
              <w:bottom w:val="single" w:sz="4" w:space="0" w:color="auto"/>
              <w:right w:val="single" w:sz="4" w:space="0" w:color="auto"/>
            </w:tcBorders>
            <w:vAlign w:val="bottom"/>
          </w:tcPr>
          <w:p w14:paraId="3C957DCE" w14:textId="77777777" w:rsidR="007901A1" w:rsidRDefault="007901A1" w:rsidP="007901A1">
            <w:pPr>
              <w:jc w:val="left"/>
              <w:rPr>
                <w:rFonts w:asciiTheme="minorEastAsia" w:hAnsiTheme="minorEastAsia" w:cs="Arial"/>
                <w:sz w:val="24"/>
                <w:szCs w:val="24"/>
              </w:rPr>
            </w:pPr>
            <w:proofErr w:type="gramStart"/>
            <w:r>
              <w:rPr>
                <w:rFonts w:hint="eastAsia"/>
                <w:color w:val="000000"/>
                <w:sz w:val="22"/>
              </w:rPr>
              <w:t>富荣福银混合型</w:t>
            </w:r>
            <w:proofErr w:type="gramEnd"/>
            <w:r>
              <w:rPr>
                <w:rFonts w:hint="eastAsia"/>
                <w:color w:val="000000"/>
                <w:sz w:val="22"/>
              </w:rPr>
              <w:t>证券投资基金暂停大额申购、大额转换转入、大额定期定额投资业务的公告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4E081DC7"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22</w:t>
            </w:r>
            <w:r>
              <w:rPr>
                <w:rFonts w:hint="eastAsia"/>
                <w:color w:val="000000"/>
                <w:sz w:val="22"/>
              </w:rPr>
              <w:t>日</w:t>
            </w:r>
          </w:p>
        </w:tc>
      </w:tr>
      <w:tr w:rsidR="007901A1" w14:paraId="12BAFD57"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5D93464"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0</w:t>
            </w:r>
          </w:p>
        </w:tc>
        <w:tc>
          <w:tcPr>
            <w:tcW w:w="5774" w:type="dxa"/>
            <w:tcBorders>
              <w:top w:val="single" w:sz="4" w:space="0" w:color="auto"/>
              <w:left w:val="single" w:sz="4" w:space="0" w:color="auto"/>
              <w:bottom w:val="single" w:sz="4" w:space="0" w:color="auto"/>
              <w:right w:val="single" w:sz="4" w:space="0" w:color="auto"/>
            </w:tcBorders>
            <w:vAlign w:val="bottom"/>
          </w:tcPr>
          <w:p w14:paraId="68BBC16F"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富荣基金管理有限公司关于旗下部分基金新增泛华</w:t>
            </w:r>
            <w:proofErr w:type="gramStart"/>
            <w:r>
              <w:rPr>
                <w:rFonts w:hint="eastAsia"/>
                <w:color w:val="000000"/>
                <w:sz w:val="22"/>
              </w:rPr>
              <w:t>普益基金</w:t>
            </w:r>
            <w:proofErr w:type="gramEnd"/>
            <w:r>
              <w:rPr>
                <w:rFonts w:hint="eastAsia"/>
                <w:color w:val="000000"/>
                <w:sz w:val="22"/>
              </w:rPr>
              <w:t>销售有限公司为销售机构并开通基金定期定额投资业务和基金转换业务的公告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05F8A8C1"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23</w:t>
            </w:r>
            <w:r>
              <w:rPr>
                <w:rFonts w:hint="eastAsia"/>
                <w:color w:val="000000"/>
                <w:sz w:val="22"/>
              </w:rPr>
              <w:t>日</w:t>
            </w:r>
          </w:p>
        </w:tc>
      </w:tr>
      <w:tr w:rsidR="007901A1" w14:paraId="760989BB"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40A4DA1C"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1</w:t>
            </w:r>
          </w:p>
        </w:tc>
        <w:tc>
          <w:tcPr>
            <w:tcW w:w="5774" w:type="dxa"/>
            <w:tcBorders>
              <w:top w:val="single" w:sz="4" w:space="0" w:color="auto"/>
              <w:left w:val="single" w:sz="4" w:space="0" w:color="auto"/>
              <w:bottom w:val="single" w:sz="4" w:space="0" w:color="auto"/>
              <w:right w:val="single" w:sz="4" w:space="0" w:color="auto"/>
            </w:tcBorders>
            <w:vAlign w:val="bottom"/>
          </w:tcPr>
          <w:p w14:paraId="0F503399"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富荣基金管理有限公司关于旗下部分基金参加泛华</w:t>
            </w:r>
            <w:proofErr w:type="gramStart"/>
            <w:r>
              <w:rPr>
                <w:rFonts w:hint="eastAsia"/>
                <w:color w:val="000000"/>
                <w:sz w:val="22"/>
              </w:rPr>
              <w:t>普益基金</w:t>
            </w:r>
            <w:proofErr w:type="gramEnd"/>
            <w:r>
              <w:rPr>
                <w:rFonts w:hint="eastAsia"/>
                <w:color w:val="000000"/>
                <w:sz w:val="22"/>
              </w:rPr>
              <w:t>销售有限公司基金申购及定期定额投资申购费率优惠活动的公告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12D83CBE"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7</w:t>
            </w:r>
            <w:r>
              <w:rPr>
                <w:rFonts w:hint="eastAsia"/>
                <w:color w:val="000000"/>
                <w:sz w:val="22"/>
              </w:rPr>
              <w:t>月</w:t>
            </w:r>
            <w:r>
              <w:rPr>
                <w:rFonts w:hint="eastAsia"/>
                <w:color w:val="000000"/>
                <w:sz w:val="22"/>
              </w:rPr>
              <w:t>23</w:t>
            </w:r>
            <w:r>
              <w:rPr>
                <w:rFonts w:hint="eastAsia"/>
                <w:color w:val="000000"/>
                <w:sz w:val="22"/>
              </w:rPr>
              <w:t>日</w:t>
            </w:r>
          </w:p>
        </w:tc>
      </w:tr>
      <w:tr w:rsidR="007901A1" w14:paraId="2DB40A3A"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493A3D79"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2</w:t>
            </w:r>
          </w:p>
        </w:tc>
        <w:tc>
          <w:tcPr>
            <w:tcW w:w="5774" w:type="dxa"/>
            <w:tcBorders>
              <w:top w:val="single" w:sz="4" w:space="0" w:color="auto"/>
              <w:left w:val="single" w:sz="4" w:space="0" w:color="auto"/>
              <w:bottom w:val="single" w:sz="4" w:space="0" w:color="auto"/>
              <w:right w:val="single" w:sz="4" w:space="0" w:color="auto"/>
            </w:tcBorders>
            <w:vAlign w:val="bottom"/>
          </w:tcPr>
          <w:p w14:paraId="5A5533DB"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富荣基金管理有限公司关于恢复</w:t>
            </w:r>
            <w:proofErr w:type="gramStart"/>
            <w:r>
              <w:rPr>
                <w:rFonts w:hint="eastAsia"/>
                <w:color w:val="000000"/>
                <w:sz w:val="22"/>
              </w:rPr>
              <w:t>泰信财富</w:t>
            </w:r>
            <w:proofErr w:type="gramEnd"/>
            <w:r>
              <w:rPr>
                <w:rFonts w:hint="eastAsia"/>
                <w:color w:val="000000"/>
                <w:sz w:val="22"/>
              </w:rPr>
              <w:t>基金销售有限公司办理旗下基金相关销售业务的公告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11B33DCA"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8</w:t>
            </w:r>
            <w:r>
              <w:rPr>
                <w:rFonts w:hint="eastAsia"/>
                <w:color w:val="000000"/>
                <w:sz w:val="22"/>
              </w:rPr>
              <w:t>月</w:t>
            </w:r>
            <w:r>
              <w:rPr>
                <w:rFonts w:hint="eastAsia"/>
                <w:color w:val="000000"/>
                <w:sz w:val="22"/>
              </w:rPr>
              <w:t>27</w:t>
            </w:r>
            <w:r>
              <w:rPr>
                <w:rFonts w:hint="eastAsia"/>
                <w:color w:val="000000"/>
                <w:sz w:val="22"/>
              </w:rPr>
              <w:t>日</w:t>
            </w:r>
          </w:p>
        </w:tc>
      </w:tr>
      <w:tr w:rsidR="007901A1" w14:paraId="7812CA74"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19A54C58"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3</w:t>
            </w:r>
          </w:p>
        </w:tc>
        <w:tc>
          <w:tcPr>
            <w:tcW w:w="5774" w:type="dxa"/>
            <w:tcBorders>
              <w:top w:val="single" w:sz="4" w:space="0" w:color="auto"/>
              <w:left w:val="single" w:sz="4" w:space="0" w:color="auto"/>
              <w:bottom w:val="single" w:sz="4" w:space="0" w:color="auto"/>
              <w:right w:val="single" w:sz="4" w:space="0" w:color="auto"/>
            </w:tcBorders>
            <w:vAlign w:val="bottom"/>
          </w:tcPr>
          <w:p w14:paraId="756E8669"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w:t>
            </w:r>
            <w:proofErr w:type="gramStart"/>
            <w:r>
              <w:rPr>
                <w:rFonts w:hint="eastAsia"/>
                <w:color w:val="000000"/>
                <w:sz w:val="22"/>
              </w:rPr>
              <w:t>众惠基金</w:t>
            </w:r>
            <w:proofErr w:type="gramEnd"/>
            <w:r>
              <w:rPr>
                <w:rFonts w:hint="eastAsia"/>
                <w:color w:val="000000"/>
                <w:sz w:val="22"/>
              </w:rPr>
              <w:t>销售有限公司基金申购及定期定额投资申购费率优惠活动的公告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2C275E0F"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7901A1" w14:paraId="39DBF715"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0A98CB8F"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4</w:t>
            </w:r>
          </w:p>
        </w:tc>
        <w:tc>
          <w:tcPr>
            <w:tcW w:w="5774" w:type="dxa"/>
            <w:tcBorders>
              <w:top w:val="single" w:sz="4" w:space="0" w:color="auto"/>
              <w:left w:val="single" w:sz="4" w:space="0" w:color="auto"/>
              <w:bottom w:val="single" w:sz="4" w:space="0" w:color="auto"/>
              <w:right w:val="single" w:sz="4" w:space="0" w:color="auto"/>
            </w:tcBorders>
            <w:vAlign w:val="bottom"/>
          </w:tcPr>
          <w:p w14:paraId="22C5E021"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w:t>
            </w:r>
            <w:proofErr w:type="gramStart"/>
            <w:r>
              <w:rPr>
                <w:rFonts w:hint="eastAsia"/>
                <w:color w:val="000000"/>
                <w:sz w:val="22"/>
              </w:rPr>
              <w:t>众惠基金</w:t>
            </w:r>
            <w:proofErr w:type="gramEnd"/>
            <w:r>
              <w:rPr>
                <w:rFonts w:hint="eastAsia"/>
                <w:color w:val="000000"/>
                <w:sz w:val="22"/>
              </w:rPr>
              <w:t>销售有限公司为销售机构并开通基金定期定额投资业务和基金转换业务的公告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1C3407CA"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8</w:t>
            </w:r>
            <w:r>
              <w:rPr>
                <w:rFonts w:hint="eastAsia"/>
                <w:color w:val="000000"/>
                <w:sz w:val="22"/>
              </w:rPr>
              <w:t>日</w:t>
            </w:r>
          </w:p>
        </w:tc>
      </w:tr>
      <w:tr w:rsidR="007901A1" w14:paraId="49D68AD2"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240584EC"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5</w:t>
            </w:r>
          </w:p>
        </w:tc>
        <w:tc>
          <w:tcPr>
            <w:tcW w:w="5774" w:type="dxa"/>
            <w:tcBorders>
              <w:top w:val="single" w:sz="4" w:space="0" w:color="auto"/>
              <w:left w:val="single" w:sz="4" w:space="0" w:color="auto"/>
              <w:bottom w:val="single" w:sz="4" w:space="0" w:color="auto"/>
              <w:right w:val="single" w:sz="4" w:space="0" w:color="auto"/>
            </w:tcBorders>
            <w:vAlign w:val="bottom"/>
          </w:tcPr>
          <w:p w14:paraId="02C90537"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富荣基金管理有限公司关于旗下部分基金参加上海好买基金销售有限公司基金申购及定期定额投资申购费率优惠活动的公告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4D9BA49"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7901A1" w14:paraId="7EC98765"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43AE9CA8"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6</w:t>
            </w:r>
          </w:p>
        </w:tc>
        <w:tc>
          <w:tcPr>
            <w:tcW w:w="5774" w:type="dxa"/>
            <w:tcBorders>
              <w:top w:val="single" w:sz="4" w:space="0" w:color="auto"/>
              <w:left w:val="single" w:sz="4" w:space="0" w:color="auto"/>
              <w:bottom w:val="single" w:sz="4" w:space="0" w:color="auto"/>
              <w:right w:val="single" w:sz="4" w:space="0" w:color="auto"/>
            </w:tcBorders>
            <w:vAlign w:val="bottom"/>
          </w:tcPr>
          <w:p w14:paraId="1CBCC215"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富荣基金管理有限公司关于旗下部分基金新增上海好买基金销售有限公司为销售机构并开通基金定期定额投资业务和基金转换业务的公告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106E6C6F"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10</w:t>
            </w:r>
            <w:r>
              <w:rPr>
                <w:rFonts w:hint="eastAsia"/>
                <w:color w:val="000000"/>
                <w:sz w:val="22"/>
              </w:rPr>
              <w:t>日</w:t>
            </w:r>
          </w:p>
        </w:tc>
      </w:tr>
      <w:tr w:rsidR="007901A1" w14:paraId="7822DF75"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50EB8B1E"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7</w:t>
            </w:r>
          </w:p>
        </w:tc>
        <w:tc>
          <w:tcPr>
            <w:tcW w:w="5774" w:type="dxa"/>
            <w:tcBorders>
              <w:top w:val="single" w:sz="4" w:space="0" w:color="auto"/>
              <w:left w:val="single" w:sz="4" w:space="0" w:color="auto"/>
              <w:bottom w:val="single" w:sz="4" w:space="0" w:color="auto"/>
              <w:right w:val="single" w:sz="4" w:space="0" w:color="auto"/>
            </w:tcBorders>
            <w:vAlign w:val="bottom"/>
          </w:tcPr>
          <w:p w14:paraId="7744D7BC"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富荣基金管理有限公司关于旗下部分基金新增上海基</w:t>
            </w:r>
            <w:proofErr w:type="gramStart"/>
            <w:r>
              <w:rPr>
                <w:rFonts w:hint="eastAsia"/>
                <w:color w:val="000000"/>
                <w:sz w:val="22"/>
              </w:rPr>
              <w:t>煜</w:t>
            </w:r>
            <w:proofErr w:type="gramEnd"/>
            <w:r>
              <w:rPr>
                <w:rFonts w:hint="eastAsia"/>
                <w:color w:val="000000"/>
                <w:sz w:val="22"/>
              </w:rPr>
              <w:t>基金销售有限公司为销售机构并开通基金转换业务的公告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27153F55"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23</w:t>
            </w:r>
            <w:r>
              <w:rPr>
                <w:rFonts w:hint="eastAsia"/>
                <w:color w:val="000000"/>
                <w:sz w:val="22"/>
              </w:rPr>
              <w:t>日</w:t>
            </w:r>
          </w:p>
        </w:tc>
      </w:tr>
      <w:tr w:rsidR="007901A1" w14:paraId="75407D9A"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1FDDDA09"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8</w:t>
            </w:r>
          </w:p>
        </w:tc>
        <w:tc>
          <w:tcPr>
            <w:tcW w:w="5774" w:type="dxa"/>
            <w:tcBorders>
              <w:top w:val="single" w:sz="4" w:space="0" w:color="auto"/>
              <w:left w:val="single" w:sz="4" w:space="0" w:color="auto"/>
              <w:bottom w:val="single" w:sz="4" w:space="0" w:color="auto"/>
              <w:right w:val="single" w:sz="4" w:space="0" w:color="auto"/>
            </w:tcBorders>
            <w:vAlign w:val="bottom"/>
          </w:tcPr>
          <w:p w14:paraId="1D024EEF"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富荣基金管理有限公司关于旗下部分基金参加上海基</w:t>
            </w:r>
            <w:proofErr w:type="gramStart"/>
            <w:r>
              <w:rPr>
                <w:rFonts w:hint="eastAsia"/>
                <w:color w:val="000000"/>
                <w:sz w:val="22"/>
              </w:rPr>
              <w:t>煜</w:t>
            </w:r>
            <w:proofErr w:type="gramEnd"/>
            <w:r>
              <w:rPr>
                <w:rFonts w:hint="eastAsia"/>
                <w:color w:val="000000"/>
                <w:sz w:val="22"/>
              </w:rPr>
              <w:t>基金销售有限公司基金申购费率优惠活动的公告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C9ADB1F"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9</w:t>
            </w:r>
            <w:r>
              <w:rPr>
                <w:rFonts w:hint="eastAsia"/>
                <w:color w:val="000000"/>
                <w:sz w:val="22"/>
              </w:rPr>
              <w:t>月</w:t>
            </w:r>
            <w:r>
              <w:rPr>
                <w:rFonts w:hint="eastAsia"/>
                <w:color w:val="000000"/>
                <w:sz w:val="22"/>
              </w:rPr>
              <w:t>23</w:t>
            </w:r>
            <w:r>
              <w:rPr>
                <w:rFonts w:hint="eastAsia"/>
                <w:color w:val="000000"/>
                <w:sz w:val="22"/>
              </w:rPr>
              <w:t>日</w:t>
            </w:r>
          </w:p>
        </w:tc>
      </w:tr>
      <w:tr w:rsidR="007901A1" w14:paraId="51ABBD3C"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1C0E5935"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1</w:t>
            </w:r>
            <w:r>
              <w:rPr>
                <w:rFonts w:asciiTheme="minorEastAsia" w:hAnsiTheme="minorEastAsia" w:cs="Arial"/>
                <w:sz w:val="24"/>
                <w:szCs w:val="24"/>
              </w:rPr>
              <w:t>9</w:t>
            </w:r>
          </w:p>
        </w:tc>
        <w:tc>
          <w:tcPr>
            <w:tcW w:w="5774" w:type="dxa"/>
            <w:tcBorders>
              <w:top w:val="single" w:sz="4" w:space="0" w:color="auto"/>
              <w:left w:val="single" w:sz="4" w:space="0" w:color="auto"/>
              <w:bottom w:val="single" w:sz="4" w:space="0" w:color="auto"/>
              <w:right w:val="single" w:sz="4" w:space="0" w:color="auto"/>
            </w:tcBorders>
            <w:vAlign w:val="bottom"/>
          </w:tcPr>
          <w:p w14:paraId="6D80F934"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3</w:t>
            </w:r>
            <w:r>
              <w:rPr>
                <w:rFonts w:hint="eastAsia"/>
                <w:color w:val="000000"/>
                <w:sz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07E52D84"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27</w:t>
            </w:r>
            <w:r>
              <w:rPr>
                <w:rFonts w:hint="eastAsia"/>
                <w:color w:val="000000"/>
                <w:sz w:val="22"/>
              </w:rPr>
              <w:t>日</w:t>
            </w:r>
          </w:p>
        </w:tc>
      </w:tr>
      <w:tr w:rsidR="007901A1" w14:paraId="49E818E0"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ED9E2B4"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0</w:t>
            </w:r>
          </w:p>
        </w:tc>
        <w:tc>
          <w:tcPr>
            <w:tcW w:w="5774" w:type="dxa"/>
            <w:tcBorders>
              <w:top w:val="single" w:sz="4" w:space="0" w:color="auto"/>
              <w:left w:val="single" w:sz="4" w:space="0" w:color="auto"/>
              <w:bottom w:val="single" w:sz="4" w:space="0" w:color="auto"/>
              <w:right w:val="single" w:sz="4" w:space="0" w:color="auto"/>
            </w:tcBorders>
            <w:vAlign w:val="bottom"/>
          </w:tcPr>
          <w:p w14:paraId="47DAF3D3"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富荣基金管理有限公司关于旗下部分基金新增上海利得基金销售有限公司为销售机构并开通基金定期定额投资业务和基金转换业务的公告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35C8B6BA"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27</w:t>
            </w:r>
            <w:r>
              <w:rPr>
                <w:rFonts w:hint="eastAsia"/>
                <w:color w:val="000000"/>
                <w:sz w:val="22"/>
              </w:rPr>
              <w:t>日</w:t>
            </w:r>
          </w:p>
        </w:tc>
      </w:tr>
      <w:tr w:rsidR="007901A1" w14:paraId="23BD30C0"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4A68799"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1</w:t>
            </w:r>
          </w:p>
        </w:tc>
        <w:tc>
          <w:tcPr>
            <w:tcW w:w="5774" w:type="dxa"/>
            <w:tcBorders>
              <w:top w:val="single" w:sz="4" w:space="0" w:color="auto"/>
              <w:left w:val="single" w:sz="4" w:space="0" w:color="auto"/>
              <w:bottom w:val="single" w:sz="4" w:space="0" w:color="auto"/>
              <w:right w:val="single" w:sz="4" w:space="0" w:color="auto"/>
            </w:tcBorders>
            <w:vAlign w:val="bottom"/>
          </w:tcPr>
          <w:p w14:paraId="73ACC156"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富荣基金管理有限公司关于旗下部分基金参加上海利得基金销售有限公司基金申购及定期定额投资申购费率优惠活动的公告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4581E864"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10</w:t>
            </w:r>
            <w:r>
              <w:rPr>
                <w:rFonts w:hint="eastAsia"/>
                <w:color w:val="000000"/>
                <w:sz w:val="22"/>
              </w:rPr>
              <w:t>月</w:t>
            </w:r>
            <w:r>
              <w:rPr>
                <w:rFonts w:hint="eastAsia"/>
                <w:color w:val="000000"/>
                <w:sz w:val="22"/>
              </w:rPr>
              <w:t>27</w:t>
            </w:r>
            <w:r>
              <w:rPr>
                <w:rFonts w:hint="eastAsia"/>
                <w:color w:val="000000"/>
                <w:sz w:val="22"/>
              </w:rPr>
              <w:t>日</w:t>
            </w:r>
          </w:p>
        </w:tc>
      </w:tr>
      <w:tr w:rsidR="007901A1" w14:paraId="338DE051"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2C040939"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2</w:t>
            </w:r>
          </w:p>
        </w:tc>
        <w:tc>
          <w:tcPr>
            <w:tcW w:w="5774" w:type="dxa"/>
            <w:tcBorders>
              <w:top w:val="single" w:sz="4" w:space="0" w:color="auto"/>
              <w:left w:val="single" w:sz="4" w:space="0" w:color="auto"/>
              <w:bottom w:val="single" w:sz="4" w:space="0" w:color="auto"/>
              <w:right w:val="single" w:sz="4" w:space="0" w:color="auto"/>
            </w:tcBorders>
            <w:vAlign w:val="bottom"/>
          </w:tcPr>
          <w:p w14:paraId="31E29085"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w:t>
            </w:r>
            <w:proofErr w:type="gramStart"/>
            <w:r>
              <w:rPr>
                <w:rFonts w:hint="eastAsia"/>
                <w:color w:val="000000"/>
                <w:sz w:val="22"/>
              </w:rPr>
              <w:t>腾安基金</w:t>
            </w:r>
            <w:proofErr w:type="gramEnd"/>
            <w:r>
              <w:rPr>
                <w:rFonts w:hint="eastAsia"/>
                <w:color w:val="000000"/>
                <w:sz w:val="22"/>
              </w:rPr>
              <w:t>销售（深圳）有限公司为销售机构并开通基金定期定额投资业务和基金转换业务的公告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5BCF1CBA"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19</w:t>
            </w:r>
            <w:r>
              <w:rPr>
                <w:rFonts w:hint="eastAsia"/>
                <w:color w:val="000000"/>
                <w:sz w:val="22"/>
              </w:rPr>
              <w:t>日</w:t>
            </w:r>
          </w:p>
        </w:tc>
      </w:tr>
      <w:tr w:rsidR="007901A1" w14:paraId="4560A354"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64E3479C"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3</w:t>
            </w:r>
          </w:p>
        </w:tc>
        <w:tc>
          <w:tcPr>
            <w:tcW w:w="5774" w:type="dxa"/>
            <w:tcBorders>
              <w:top w:val="single" w:sz="4" w:space="0" w:color="auto"/>
              <w:left w:val="single" w:sz="4" w:space="0" w:color="auto"/>
              <w:bottom w:val="single" w:sz="4" w:space="0" w:color="auto"/>
              <w:right w:val="single" w:sz="4" w:space="0" w:color="auto"/>
            </w:tcBorders>
            <w:vAlign w:val="bottom"/>
          </w:tcPr>
          <w:p w14:paraId="7E3F10BF"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w:t>
            </w:r>
            <w:proofErr w:type="gramStart"/>
            <w:r>
              <w:rPr>
                <w:rFonts w:hint="eastAsia"/>
                <w:color w:val="000000"/>
                <w:sz w:val="22"/>
              </w:rPr>
              <w:t>腾安基金</w:t>
            </w:r>
            <w:proofErr w:type="gramEnd"/>
            <w:r>
              <w:rPr>
                <w:rFonts w:hint="eastAsia"/>
                <w:color w:val="000000"/>
                <w:sz w:val="22"/>
              </w:rPr>
              <w:t>销售（深圳）有限公司基金申购及定期定额投资申购费率优惠活动的公告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47270DD"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19</w:t>
            </w:r>
            <w:r>
              <w:rPr>
                <w:rFonts w:hint="eastAsia"/>
                <w:color w:val="000000"/>
                <w:sz w:val="22"/>
              </w:rPr>
              <w:t>日</w:t>
            </w:r>
          </w:p>
        </w:tc>
      </w:tr>
      <w:tr w:rsidR="007901A1" w14:paraId="13AC9936"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2766AD93"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4</w:t>
            </w:r>
          </w:p>
        </w:tc>
        <w:tc>
          <w:tcPr>
            <w:tcW w:w="5774" w:type="dxa"/>
            <w:tcBorders>
              <w:top w:val="single" w:sz="4" w:space="0" w:color="auto"/>
              <w:left w:val="single" w:sz="4" w:space="0" w:color="auto"/>
              <w:bottom w:val="single" w:sz="4" w:space="0" w:color="auto"/>
              <w:right w:val="single" w:sz="4" w:space="0" w:color="auto"/>
            </w:tcBorders>
            <w:vAlign w:val="bottom"/>
          </w:tcPr>
          <w:p w14:paraId="291DB500"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富荣基金管理有限公司关于旗下部分基金新增宁波银行股份有限公司为销售机构并开通基金定期定额投资业务和基金转换业务的公告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3B5773F"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26</w:t>
            </w:r>
            <w:r>
              <w:rPr>
                <w:rFonts w:hint="eastAsia"/>
                <w:color w:val="000000"/>
                <w:sz w:val="22"/>
              </w:rPr>
              <w:t>日</w:t>
            </w:r>
          </w:p>
        </w:tc>
      </w:tr>
      <w:tr w:rsidR="007901A1" w14:paraId="5CE25DB1"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5F7E60B1"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5</w:t>
            </w:r>
          </w:p>
        </w:tc>
        <w:tc>
          <w:tcPr>
            <w:tcW w:w="5774" w:type="dxa"/>
            <w:tcBorders>
              <w:top w:val="single" w:sz="4" w:space="0" w:color="auto"/>
              <w:left w:val="single" w:sz="4" w:space="0" w:color="auto"/>
              <w:bottom w:val="single" w:sz="4" w:space="0" w:color="auto"/>
              <w:right w:val="single" w:sz="4" w:space="0" w:color="auto"/>
            </w:tcBorders>
            <w:vAlign w:val="bottom"/>
          </w:tcPr>
          <w:p w14:paraId="0E50495C" w14:textId="77777777" w:rsidR="007901A1" w:rsidRDefault="007901A1" w:rsidP="007901A1">
            <w:pPr>
              <w:jc w:val="left"/>
              <w:rPr>
                <w:rFonts w:asciiTheme="minorEastAsia" w:hAnsiTheme="minorEastAsia" w:cs="Arial"/>
                <w:sz w:val="24"/>
                <w:szCs w:val="24"/>
              </w:rPr>
            </w:pPr>
            <w:r>
              <w:rPr>
                <w:rFonts w:hint="eastAsia"/>
                <w:color w:val="000000"/>
                <w:sz w:val="22"/>
              </w:rPr>
              <w:t>富荣基金管理有限公司关于旗下部分基金参加宁波银行股份有限公司基金申购及定期定额投资申购费率优惠活动的公告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391B06D8" w14:textId="77777777" w:rsidR="007901A1" w:rsidRDefault="007901A1" w:rsidP="007901A1">
            <w:pPr>
              <w:jc w:val="center"/>
              <w:rPr>
                <w:rFonts w:asciiTheme="minorEastAsia" w:hAnsiTheme="minorEastAsia" w:cs="Arial"/>
                <w:sz w:val="24"/>
                <w:szCs w:val="24"/>
              </w:rPr>
            </w:pPr>
            <w:r>
              <w:rPr>
                <w:rFonts w:hint="eastAsia"/>
                <w:color w:val="000000"/>
                <w:sz w:val="22"/>
              </w:rPr>
              <w:t>2021</w:t>
            </w:r>
            <w:r>
              <w:rPr>
                <w:rFonts w:hint="eastAsia"/>
                <w:color w:val="000000"/>
                <w:sz w:val="22"/>
              </w:rPr>
              <w:t>年</w:t>
            </w:r>
            <w:r>
              <w:rPr>
                <w:rFonts w:hint="eastAsia"/>
                <w:color w:val="000000"/>
                <w:sz w:val="22"/>
              </w:rPr>
              <w:t>11</w:t>
            </w:r>
            <w:r>
              <w:rPr>
                <w:rFonts w:hint="eastAsia"/>
                <w:color w:val="000000"/>
                <w:sz w:val="22"/>
              </w:rPr>
              <w:t>月</w:t>
            </w:r>
            <w:r>
              <w:rPr>
                <w:rFonts w:hint="eastAsia"/>
                <w:color w:val="000000"/>
                <w:sz w:val="22"/>
              </w:rPr>
              <w:t>26</w:t>
            </w:r>
            <w:r>
              <w:rPr>
                <w:rFonts w:hint="eastAsia"/>
                <w:color w:val="000000"/>
                <w:sz w:val="22"/>
              </w:rPr>
              <w:t>日</w:t>
            </w:r>
          </w:p>
        </w:tc>
      </w:tr>
      <w:tr w:rsidR="007901A1" w14:paraId="6B789E80"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7331253E"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6</w:t>
            </w:r>
          </w:p>
        </w:tc>
        <w:tc>
          <w:tcPr>
            <w:tcW w:w="5774" w:type="dxa"/>
            <w:tcBorders>
              <w:top w:val="single" w:sz="4" w:space="0" w:color="auto"/>
              <w:left w:val="single" w:sz="4" w:space="0" w:color="auto"/>
              <w:bottom w:val="single" w:sz="4" w:space="0" w:color="auto"/>
              <w:right w:val="single" w:sz="4" w:space="0" w:color="auto"/>
            </w:tcBorders>
            <w:vAlign w:val="bottom"/>
          </w:tcPr>
          <w:p w14:paraId="3F6EA27A" w14:textId="77777777" w:rsidR="007901A1" w:rsidRDefault="007901A1" w:rsidP="007901A1">
            <w:pPr>
              <w:jc w:val="left"/>
              <w:rPr>
                <w:color w:val="000000"/>
                <w:sz w:val="22"/>
              </w:rPr>
            </w:pPr>
            <w:r>
              <w:rPr>
                <w:rFonts w:hint="eastAsia"/>
                <w:color w:val="000000"/>
                <w:sz w:val="22"/>
              </w:rPr>
              <w:t>富荣基金管理有限公司关于旗下公开募集证券投资基金执行新金融工具相关会计准则的公告</w:t>
            </w:r>
          </w:p>
        </w:tc>
        <w:tc>
          <w:tcPr>
            <w:tcW w:w="2268" w:type="dxa"/>
            <w:tcBorders>
              <w:top w:val="single" w:sz="4" w:space="0" w:color="auto"/>
              <w:left w:val="single" w:sz="4" w:space="0" w:color="auto"/>
              <w:bottom w:val="single" w:sz="4" w:space="0" w:color="auto"/>
              <w:right w:val="single" w:sz="4" w:space="0" w:color="auto"/>
            </w:tcBorders>
            <w:vAlign w:val="center"/>
          </w:tcPr>
          <w:p w14:paraId="125BEBFA"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1</w:t>
            </w:r>
            <w:r>
              <w:rPr>
                <w:rFonts w:hint="eastAsia"/>
                <w:color w:val="000000"/>
                <w:sz w:val="22"/>
              </w:rPr>
              <w:t>日</w:t>
            </w:r>
          </w:p>
        </w:tc>
      </w:tr>
      <w:tr w:rsidR="007901A1" w14:paraId="0E8E7911"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0D6575AF"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7</w:t>
            </w:r>
          </w:p>
        </w:tc>
        <w:tc>
          <w:tcPr>
            <w:tcW w:w="5774" w:type="dxa"/>
            <w:tcBorders>
              <w:top w:val="single" w:sz="4" w:space="0" w:color="auto"/>
              <w:left w:val="single" w:sz="4" w:space="0" w:color="auto"/>
              <w:bottom w:val="single" w:sz="4" w:space="0" w:color="auto"/>
              <w:right w:val="single" w:sz="4" w:space="0" w:color="auto"/>
            </w:tcBorders>
            <w:vAlign w:val="bottom"/>
          </w:tcPr>
          <w:p w14:paraId="086084AF" w14:textId="77777777" w:rsidR="007901A1" w:rsidRDefault="007901A1" w:rsidP="007901A1">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年第</w:t>
            </w:r>
            <w:r>
              <w:rPr>
                <w:rFonts w:hint="eastAsia"/>
                <w:color w:val="000000"/>
                <w:sz w:val="22"/>
              </w:rPr>
              <w:t>4</w:t>
            </w:r>
            <w:r>
              <w:rPr>
                <w:rFonts w:hint="eastAsia"/>
                <w:color w:val="000000"/>
                <w:sz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79CED356"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1</w:t>
            </w:r>
            <w:r>
              <w:rPr>
                <w:rFonts w:hint="eastAsia"/>
                <w:color w:val="000000"/>
                <w:sz w:val="22"/>
              </w:rPr>
              <w:t>月</w:t>
            </w:r>
            <w:r>
              <w:rPr>
                <w:rFonts w:hint="eastAsia"/>
                <w:color w:val="000000"/>
                <w:sz w:val="22"/>
              </w:rPr>
              <w:t>24</w:t>
            </w:r>
            <w:r>
              <w:rPr>
                <w:rFonts w:hint="eastAsia"/>
                <w:color w:val="000000"/>
                <w:sz w:val="22"/>
              </w:rPr>
              <w:t>日</w:t>
            </w:r>
          </w:p>
        </w:tc>
      </w:tr>
      <w:tr w:rsidR="007901A1" w14:paraId="1530565E"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0AC7272B"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8</w:t>
            </w:r>
          </w:p>
        </w:tc>
        <w:tc>
          <w:tcPr>
            <w:tcW w:w="5774" w:type="dxa"/>
            <w:tcBorders>
              <w:top w:val="single" w:sz="4" w:space="0" w:color="auto"/>
              <w:left w:val="single" w:sz="4" w:space="0" w:color="auto"/>
              <w:bottom w:val="single" w:sz="4" w:space="0" w:color="auto"/>
              <w:right w:val="single" w:sz="4" w:space="0" w:color="auto"/>
            </w:tcBorders>
            <w:vAlign w:val="bottom"/>
          </w:tcPr>
          <w:p w14:paraId="1536539F" w14:textId="77777777" w:rsidR="007901A1" w:rsidRDefault="007901A1" w:rsidP="007901A1">
            <w:pPr>
              <w:jc w:val="left"/>
              <w:rPr>
                <w:color w:val="000000"/>
                <w:sz w:val="22"/>
              </w:rPr>
            </w:pPr>
            <w:r>
              <w:rPr>
                <w:rFonts w:hint="eastAsia"/>
                <w:color w:val="000000"/>
                <w:sz w:val="22"/>
              </w:rPr>
              <w:t>富荣基金管理有限公司旗下全部基金</w:t>
            </w:r>
            <w:r>
              <w:rPr>
                <w:rFonts w:hint="eastAsia"/>
                <w:color w:val="000000"/>
                <w:sz w:val="22"/>
              </w:rPr>
              <w:t>2021</w:t>
            </w:r>
            <w:r>
              <w:rPr>
                <w:rFonts w:hint="eastAsia"/>
                <w:color w:val="000000"/>
                <w:sz w:val="22"/>
              </w:rPr>
              <w:t>年年度报告提示性公告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6032BAAD"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3</w:t>
            </w:r>
            <w:r>
              <w:rPr>
                <w:rFonts w:hint="eastAsia"/>
                <w:color w:val="000000"/>
                <w:sz w:val="22"/>
              </w:rPr>
              <w:t>月</w:t>
            </w:r>
            <w:r>
              <w:rPr>
                <w:rFonts w:hint="eastAsia"/>
                <w:color w:val="000000"/>
                <w:sz w:val="22"/>
              </w:rPr>
              <w:t>31</w:t>
            </w:r>
            <w:r>
              <w:rPr>
                <w:rFonts w:hint="eastAsia"/>
                <w:color w:val="000000"/>
                <w:sz w:val="22"/>
              </w:rPr>
              <w:t>日</w:t>
            </w:r>
          </w:p>
        </w:tc>
      </w:tr>
      <w:tr w:rsidR="007901A1" w14:paraId="010731C4"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7A6E0D9D"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2</w:t>
            </w:r>
            <w:r>
              <w:rPr>
                <w:rFonts w:asciiTheme="minorEastAsia" w:hAnsiTheme="minorEastAsia" w:cs="Arial"/>
                <w:sz w:val="24"/>
                <w:szCs w:val="24"/>
              </w:rPr>
              <w:t>9</w:t>
            </w:r>
          </w:p>
        </w:tc>
        <w:tc>
          <w:tcPr>
            <w:tcW w:w="5774" w:type="dxa"/>
            <w:tcBorders>
              <w:top w:val="single" w:sz="4" w:space="0" w:color="auto"/>
              <w:left w:val="single" w:sz="4" w:space="0" w:color="auto"/>
              <w:bottom w:val="single" w:sz="4" w:space="0" w:color="auto"/>
              <w:right w:val="single" w:sz="4" w:space="0" w:color="auto"/>
            </w:tcBorders>
            <w:vAlign w:val="bottom"/>
          </w:tcPr>
          <w:p w14:paraId="6B0D4C73" w14:textId="77777777" w:rsidR="007901A1" w:rsidRDefault="007901A1" w:rsidP="007901A1">
            <w:pPr>
              <w:jc w:val="left"/>
              <w:rPr>
                <w:color w:val="000000"/>
                <w:sz w:val="22"/>
              </w:rPr>
            </w:pPr>
            <w:r>
              <w:rPr>
                <w:rFonts w:hint="eastAsia"/>
                <w:color w:val="000000"/>
                <w:sz w:val="22"/>
              </w:rPr>
              <w:t>富荣基金管理有限公司旗下全部基金</w:t>
            </w:r>
            <w:r>
              <w:rPr>
                <w:rFonts w:hint="eastAsia"/>
                <w:color w:val="000000"/>
                <w:sz w:val="22"/>
              </w:rPr>
              <w:t>2022</w:t>
            </w:r>
            <w:r>
              <w:rPr>
                <w:rFonts w:hint="eastAsia"/>
                <w:color w:val="000000"/>
                <w:sz w:val="22"/>
              </w:rPr>
              <w:t>年第</w:t>
            </w:r>
            <w:r>
              <w:rPr>
                <w:rFonts w:hint="eastAsia"/>
                <w:color w:val="000000"/>
                <w:sz w:val="22"/>
              </w:rPr>
              <w:t>1</w:t>
            </w:r>
            <w:r>
              <w:rPr>
                <w:rFonts w:hint="eastAsia"/>
                <w:color w:val="000000"/>
                <w:sz w:val="22"/>
              </w:rPr>
              <w:t>季度报告提示性公告</w:t>
            </w:r>
          </w:p>
        </w:tc>
        <w:tc>
          <w:tcPr>
            <w:tcW w:w="2268" w:type="dxa"/>
            <w:tcBorders>
              <w:top w:val="single" w:sz="4" w:space="0" w:color="auto"/>
              <w:left w:val="single" w:sz="4" w:space="0" w:color="auto"/>
              <w:bottom w:val="single" w:sz="4" w:space="0" w:color="auto"/>
              <w:right w:val="single" w:sz="4" w:space="0" w:color="auto"/>
            </w:tcBorders>
            <w:vAlign w:val="center"/>
          </w:tcPr>
          <w:p w14:paraId="783AC0E6"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22</w:t>
            </w:r>
            <w:r>
              <w:rPr>
                <w:rFonts w:hint="eastAsia"/>
                <w:color w:val="000000"/>
                <w:sz w:val="22"/>
              </w:rPr>
              <w:t>日</w:t>
            </w:r>
          </w:p>
        </w:tc>
      </w:tr>
      <w:tr w:rsidR="007901A1" w14:paraId="5AAA20F3"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0C0CE993"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0</w:t>
            </w:r>
          </w:p>
        </w:tc>
        <w:tc>
          <w:tcPr>
            <w:tcW w:w="5774" w:type="dxa"/>
            <w:tcBorders>
              <w:top w:val="single" w:sz="4" w:space="0" w:color="auto"/>
              <w:left w:val="single" w:sz="4" w:space="0" w:color="auto"/>
              <w:bottom w:val="single" w:sz="4" w:space="0" w:color="auto"/>
              <w:right w:val="single" w:sz="4" w:space="0" w:color="auto"/>
            </w:tcBorders>
            <w:vAlign w:val="bottom"/>
          </w:tcPr>
          <w:p w14:paraId="666956D0" w14:textId="77777777" w:rsidR="007901A1" w:rsidRDefault="007901A1" w:rsidP="007901A1">
            <w:pPr>
              <w:jc w:val="left"/>
              <w:rPr>
                <w:color w:val="000000"/>
                <w:sz w:val="22"/>
              </w:rPr>
            </w:pPr>
            <w:r>
              <w:rPr>
                <w:rFonts w:hint="eastAsia"/>
                <w:color w:val="000000"/>
                <w:sz w:val="22"/>
              </w:rPr>
              <w:t>富荣基金管理有限公司关于旗下基金参加北京</w:t>
            </w:r>
            <w:proofErr w:type="gramStart"/>
            <w:r>
              <w:rPr>
                <w:rFonts w:hint="eastAsia"/>
                <w:color w:val="000000"/>
                <w:sz w:val="22"/>
              </w:rPr>
              <w:t>创金启富基金</w:t>
            </w:r>
            <w:proofErr w:type="gramEnd"/>
            <w:r>
              <w:rPr>
                <w:rFonts w:hint="eastAsia"/>
                <w:color w:val="000000"/>
                <w:sz w:val="22"/>
              </w:rPr>
              <w:t>销售有限公司基金认购、申购及定期定额投资申购费率优惠活动的公告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34478F"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7901A1" w14:paraId="25BBEC6E"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4BBEE89D"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74" w:type="dxa"/>
            <w:tcBorders>
              <w:top w:val="single" w:sz="4" w:space="0" w:color="auto"/>
              <w:left w:val="single" w:sz="4" w:space="0" w:color="auto"/>
              <w:bottom w:val="single" w:sz="4" w:space="0" w:color="auto"/>
              <w:right w:val="single" w:sz="4" w:space="0" w:color="auto"/>
            </w:tcBorders>
            <w:vAlign w:val="bottom"/>
          </w:tcPr>
          <w:p w14:paraId="75EE9CCF" w14:textId="77777777" w:rsidR="007901A1" w:rsidRDefault="007901A1" w:rsidP="007901A1">
            <w:pPr>
              <w:jc w:val="left"/>
              <w:rPr>
                <w:color w:val="000000"/>
                <w:sz w:val="22"/>
              </w:rPr>
            </w:pPr>
            <w:r>
              <w:rPr>
                <w:rFonts w:hint="eastAsia"/>
                <w:color w:val="000000"/>
                <w:sz w:val="22"/>
              </w:rPr>
              <w:t>富荣基金管理有限公司关于旗下基金参加和讯信息科技有限公司基金认购、申购及定期定额投资申购费率优惠活动的公告</w:t>
            </w:r>
          </w:p>
        </w:tc>
        <w:tc>
          <w:tcPr>
            <w:tcW w:w="2268" w:type="dxa"/>
            <w:tcBorders>
              <w:top w:val="single" w:sz="4" w:space="0" w:color="auto"/>
              <w:left w:val="single" w:sz="4" w:space="0" w:color="auto"/>
              <w:bottom w:val="single" w:sz="4" w:space="0" w:color="auto"/>
              <w:right w:val="single" w:sz="4" w:space="0" w:color="auto"/>
            </w:tcBorders>
            <w:vAlign w:val="center"/>
          </w:tcPr>
          <w:p w14:paraId="5E029FDE"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7901A1" w14:paraId="744B849E"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3569F734"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2</w:t>
            </w:r>
          </w:p>
        </w:tc>
        <w:tc>
          <w:tcPr>
            <w:tcW w:w="5774" w:type="dxa"/>
            <w:tcBorders>
              <w:top w:val="single" w:sz="4" w:space="0" w:color="auto"/>
              <w:left w:val="single" w:sz="4" w:space="0" w:color="auto"/>
              <w:bottom w:val="single" w:sz="4" w:space="0" w:color="auto"/>
              <w:right w:val="single" w:sz="4" w:space="0" w:color="auto"/>
            </w:tcBorders>
            <w:vAlign w:val="bottom"/>
          </w:tcPr>
          <w:p w14:paraId="3D3D450E" w14:textId="77777777" w:rsidR="007901A1" w:rsidRDefault="007901A1" w:rsidP="007901A1">
            <w:pPr>
              <w:jc w:val="left"/>
              <w:rPr>
                <w:color w:val="000000"/>
                <w:sz w:val="22"/>
              </w:rPr>
            </w:pPr>
            <w:r>
              <w:rPr>
                <w:rFonts w:hint="eastAsia"/>
                <w:color w:val="000000"/>
                <w:sz w:val="22"/>
              </w:rPr>
              <w:t>富荣基金管理有限公司关于旗下基金新增北京</w:t>
            </w:r>
            <w:proofErr w:type="gramStart"/>
            <w:r>
              <w:rPr>
                <w:rFonts w:hint="eastAsia"/>
                <w:color w:val="000000"/>
                <w:sz w:val="22"/>
              </w:rPr>
              <w:t>创金启富基金</w:t>
            </w:r>
            <w:proofErr w:type="gramEnd"/>
            <w:r>
              <w:rPr>
                <w:rFonts w:hint="eastAsia"/>
                <w:color w:val="000000"/>
                <w:sz w:val="22"/>
              </w:rPr>
              <w:t>销售有限公司为销售机构、开通基金定期定额投资业务和基金转换业务的公告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728F08A5"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r w:rsidR="007901A1" w14:paraId="0D77D49E" w14:textId="77777777" w:rsidTr="007901A1">
        <w:trPr>
          <w:trHeight w:val="382"/>
        </w:trPr>
        <w:tc>
          <w:tcPr>
            <w:tcW w:w="997" w:type="dxa"/>
            <w:tcBorders>
              <w:top w:val="single" w:sz="4" w:space="0" w:color="auto"/>
              <w:left w:val="single" w:sz="4" w:space="0" w:color="auto"/>
              <w:bottom w:val="single" w:sz="4" w:space="0" w:color="auto"/>
              <w:right w:val="single" w:sz="4" w:space="0" w:color="auto"/>
            </w:tcBorders>
          </w:tcPr>
          <w:p w14:paraId="102BAA25" w14:textId="77777777" w:rsidR="007901A1" w:rsidRDefault="007901A1" w:rsidP="007901A1">
            <w:pPr>
              <w:jc w:val="center"/>
              <w:rPr>
                <w:rFonts w:asciiTheme="minorEastAsia" w:hAnsiTheme="minorEastAsia" w:cs="Arial"/>
                <w:sz w:val="24"/>
                <w:szCs w:val="24"/>
              </w:rPr>
            </w:pPr>
            <w:r>
              <w:rPr>
                <w:rFonts w:asciiTheme="minorEastAsia" w:hAnsiTheme="minorEastAsia" w:cs="Arial" w:hint="eastAsia"/>
                <w:sz w:val="24"/>
                <w:szCs w:val="24"/>
              </w:rPr>
              <w:t>3</w:t>
            </w:r>
            <w:r>
              <w:rPr>
                <w:rFonts w:asciiTheme="minorEastAsia" w:hAnsiTheme="minorEastAsia" w:cs="Arial"/>
                <w:sz w:val="24"/>
                <w:szCs w:val="24"/>
              </w:rPr>
              <w:t>3</w:t>
            </w:r>
          </w:p>
        </w:tc>
        <w:tc>
          <w:tcPr>
            <w:tcW w:w="5774" w:type="dxa"/>
            <w:tcBorders>
              <w:top w:val="single" w:sz="4" w:space="0" w:color="auto"/>
              <w:left w:val="single" w:sz="4" w:space="0" w:color="auto"/>
              <w:bottom w:val="single" w:sz="4" w:space="0" w:color="auto"/>
              <w:right w:val="single" w:sz="4" w:space="0" w:color="auto"/>
            </w:tcBorders>
            <w:vAlign w:val="bottom"/>
          </w:tcPr>
          <w:p w14:paraId="762B13F2" w14:textId="77777777" w:rsidR="007901A1" w:rsidRDefault="007901A1" w:rsidP="007901A1">
            <w:pPr>
              <w:jc w:val="left"/>
              <w:rPr>
                <w:color w:val="000000"/>
                <w:sz w:val="22"/>
              </w:rPr>
            </w:pPr>
            <w:r>
              <w:rPr>
                <w:rFonts w:hint="eastAsia"/>
                <w:color w:val="000000"/>
                <w:sz w:val="22"/>
              </w:rPr>
              <w:t>富荣基金管理有限公司关于旗下基金新增和讯信息科技有限公司为销售机构、开通基金定期定额投资业务和基金转换业务的公告</w:t>
            </w:r>
          </w:p>
        </w:tc>
        <w:tc>
          <w:tcPr>
            <w:tcW w:w="2268" w:type="dxa"/>
            <w:tcBorders>
              <w:top w:val="single" w:sz="4" w:space="0" w:color="auto"/>
              <w:left w:val="single" w:sz="4" w:space="0" w:color="auto"/>
              <w:bottom w:val="single" w:sz="4" w:space="0" w:color="auto"/>
              <w:right w:val="single" w:sz="4" w:space="0" w:color="auto"/>
            </w:tcBorders>
            <w:vAlign w:val="center"/>
          </w:tcPr>
          <w:p w14:paraId="6DA92831" w14:textId="77777777" w:rsidR="007901A1" w:rsidRDefault="007901A1" w:rsidP="007901A1">
            <w:pPr>
              <w:jc w:val="center"/>
              <w:rPr>
                <w:color w:val="000000"/>
                <w:sz w:val="22"/>
              </w:rPr>
            </w:pPr>
            <w:r>
              <w:rPr>
                <w:rFonts w:hint="eastAsia"/>
                <w:color w:val="000000"/>
                <w:sz w:val="22"/>
              </w:rPr>
              <w:t>2022</w:t>
            </w:r>
            <w:r>
              <w:rPr>
                <w:rFonts w:hint="eastAsia"/>
                <w:color w:val="000000"/>
                <w:sz w:val="22"/>
              </w:rPr>
              <w:t>年</w:t>
            </w:r>
            <w:r>
              <w:rPr>
                <w:rFonts w:hint="eastAsia"/>
                <w:color w:val="000000"/>
                <w:sz w:val="22"/>
              </w:rPr>
              <w:t>4</w:t>
            </w:r>
            <w:r>
              <w:rPr>
                <w:rFonts w:hint="eastAsia"/>
                <w:color w:val="000000"/>
                <w:sz w:val="22"/>
              </w:rPr>
              <w:t>月</w:t>
            </w:r>
            <w:r>
              <w:rPr>
                <w:rFonts w:hint="eastAsia"/>
                <w:color w:val="000000"/>
                <w:sz w:val="22"/>
              </w:rPr>
              <w:t>25</w:t>
            </w:r>
            <w:r>
              <w:rPr>
                <w:rFonts w:hint="eastAsia"/>
                <w:color w:val="000000"/>
                <w:sz w:val="22"/>
              </w:rPr>
              <w:t>日</w:t>
            </w:r>
          </w:p>
        </w:tc>
      </w:tr>
    </w:tbl>
    <w:p w14:paraId="6DA68672" w14:textId="77777777" w:rsidR="00BB44F8" w:rsidRPr="007901A1" w:rsidRDefault="00BB44F8" w:rsidP="007B2A9B"/>
    <w:p w14:paraId="58622366" w14:textId="4B247CEA" w:rsidR="00B769DF" w:rsidRPr="007901A1" w:rsidRDefault="00B769DF">
      <w:pPr>
        <w:spacing w:line="360" w:lineRule="auto"/>
        <w:ind w:firstLineChars="200" w:firstLine="480"/>
        <w:rPr>
          <w:rFonts w:asciiTheme="minorEastAsia" w:hAnsiTheme="minorEastAsia" w:cs="Arial"/>
          <w:sz w:val="24"/>
          <w:szCs w:val="24"/>
        </w:rPr>
        <w:sectPr w:rsidR="00B769DF" w:rsidRPr="007901A1">
          <w:footerReference w:type="default" r:id="rId27"/>
          <w:pgSz w:w="11906" w:h="16838"/>
          <w:pgMar w:top="1440" w:right="1800" w:bottom="1440" w:left="1800" w:header="851" w:footer="992" w:gutter="0"/>
          <w:pgNumType w:chapStyle="1"/>
          <w:cols w:space="720"/>
          <w:docGrid w:type="lines" w:linePitch="312"/>
        </w:sectPr>
      </w:pPr>
    </w:p>
    <w:p w14:paraId="1DA20BCC" w14:textId="1551EBE8" w:rsidR="00AC3A9B" w:rsidRPr="002544B9" w:rsidRDefault="00FB53B6">
      <w:pPr>
        <w:pStyle w:val="1"/>
        <w:jc w:val="center"/>
        <w:rPr>
          <w:sz w:val="30"/>
          <w:szCs w:val="30"/>
        </w:rPr>
      </w:pPr>
      <w:bookmarkStart w:id="461" w:name="_Toc214873622"/>
      <w:bookmarkStart w:id="462" w:name="_Toc416264556"/>
      <w:bookmarkStart w:id="463" w:name="_Toc530223198"/>
      <w:bookmarkStart w:id="464" w:name="_Toc263092329"/>
      <w:bookmarkStart w:id="465" w:name="_Toc68266309"/>
      <w:bookmarkStart w:id="466" w:name="_Toc104205534"/>
      <w:bookmarkEnd w:id="429"/>
      <w:bookmarkEnd w:id="430"/>
      <w:bookmarkEnd w:id="431"/>
      <w:bookmarkEnd w:id="432"/>
      <w:bookmarkEnd w:id="433"/>
      <w:bookmarkEnd w:id="434"/>
      <w:r w:rsidRPr="002544B9">
        <w:rPr>
          <w:rFonts w:hint="eastAsia"/>
          <w:sz w:val="30"/>
          <w:szCs w:val="30"/>
        </w:rPr>
        <w:t>第二十</w:t>
      </w:r>
      <w:r w:rsidR="00BB44F8">
        <w:rPr>
          <w:rFonts w:hint="eastAsia"/>
          <w:sz w:val="30"/>
          <w:szCs w:val="30"/>
        </w:rPr>
        <w:t>三</w:t>
      </w:r>
      <w:r w:rsidR="002C3C29" w:rsidRPr="002544B9">
        <w:rPr>
          <w:rFonts w:hint="eastAsia"/>
          <w:sz w:val="30"/>
          <w:szCs w:val="30"/>
        </w:rPr>
        <w:t>部分</w:t>
      </w:r>
      <w:r w:rsidR="002C3C29" w:rsidRPr="002544B9">
        <w:rPr>
          <w:sz w:val="30"/>
          <w:szCs w:val="30"/>
        </w:rPr>
        <w:t xml:space="preserve">  </w:t>
      </w:r>
      <w:r w:rsidR="002C3C29" w:rsidRPr="002544B9">
        <w:rPr>
          <w:rFonts w:hint="eastAsia"/>
          <w:sz w:val="30"/>
          <w:szCs w:val="30"/>
        </w:rPr>
        <w:t>招募说明书存放及查阅方式</w:t>
      </w:r>
      <w:bookmarkEnd w:id="461"/>
      <w:bookmarkEnd w:id="462"/>
      <w:bookmarkEnd w:id="463"/>
      <w:bookmarkEnd w:id="464"/>
      <w:bookmarkEnd w:id="465"/>
      <w:bookmarkEnd w:id="466"/>
    </w:p>
    <w:p w14:paraId="6CAB5A9D"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依法必须披露的信息发布后，基金管理人、基金托管人应当按照相关法律法规规定将信息置备于公司住所、基金上市交易的证券交易所，供社会公众查阅、复制；投资人在支付工本费后，可在合理时间内取得上述文件复制件或复印件。对投资人按此种方式所获得的文件及其复印件，基金管理人保证文本的内容与所公告的内容完全一致。</w:t>
      </w:r>
    </w:p>
    <w:p w14:paraId="58B7C080" w14:textId="6A586109"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投资人还可以直接登录基金管理人的网站（</w:t>
      </w:r>
      <w:r w:rsidRPr="002544B9">
        <w:rPr>
          <w:rFonts w:asciiTheme="minorEastAsia" w:hAnsiTheme="minorEastAsia" w:cs="Arial"/>
          <w:kern w:val="0"/>
          <w:sz w:val="24"/>
          <w:szCs w:val="24"/>
        </w:rPr>
        <w:t>www.furamc.com.cn）查阅和下载招募说明书。</w:t>
      </w:r>
    </w:p>
    <w:p w14:paraId="1C60DE25" w14:textId="0D73BFE3" w:rsidR="00AC3A9B" w:rsidRPr="002544B9" w:rsidRDefault="00AC3A9B">
      <w:pPr>
        <w:keepNext/>
        <w:keepLines/>
        <w:autoSpaceDE w:val="0"/>
        <w:autoSpaceDN w:val="0"/>
        <w:adjustRightInd w:val="0"/>
        <w:snapToGrid w:val="0"/>
        <w:spacing w:line="360" w:lineRule="auto"/>
        <w:ind w:firstLineChars="150" w:firstLine="361"/>
        <w:jc w:val="center"/>
        <w:textAlignment w:val="baseline"/>
        <w:outlineLvl w:val="0"/>
        <w:rPr>
          <w:rFonts w:asciiTheme="minorEastAsia" w:hAnsiTheme="minorEastAsia" w:cs="Times New Roman"/>
          <w:b/>
          <w:kern w:val="0"/>
          <w:sz w:val="24"/>
          <w:szCs w:val="24"/>
        </w:rPr>
        <w:sectPr w:rsidR="00AC3A9B" w:rsidRPr="002544B9">
          <w:pgSz w:w="11906" w:h="16838"/>
          <w:pgMar w:top="1440" w:right="1800" w:bottom="1440" w:left="1800" w:header="851" w:footer="992" w:gutter="0"/>
          <w:cols w:space="425"/>
          <w:docGrid w:type="lines" w:linePitch="312"/>
        </w:sectPr>
      </w:pPr>
      <w:bookmarkStart w:id="467" w:name="_Toc263092330"/>
      <w:bookmarkStart w:id="468" w:name="_Toc416268879"/>
    </w:p>
    <w:p w14:paraId="4B36FDA5" w14:textId="02D3EFA3" w:rsidR="00AC3A9B" w:rsidRPr="002544B9" w:rsidRDefault="002C3C29">
      <w:pPr>
        <w:pStyle w:val="1"/>
        <w:jc w:val="center"/>
      </w:pPr>
      <w:bookmarkStart w:id="469" w:name="_Toc68266310"/>
      <w:bookmarkStart w:id="470" w:name="_Toc104205535"/>
      <w:bookmarkEnd w:id="61"/>
      <w:bookmarkEnd w:id="62"/>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67"/>
      <w:bookmarkEnd w:id="468"/>
      <w:r w:rsidRPr="002544B9">
        <w:rPr>
          <w:rFonts w:hint="eastAsia"/>
          <w:sz w:val="30"/>
          <w:szCs w:val="30"/>
        </w:rPr>
        <w:t>第二十</w:t>
      </w:r>
      <w:r w:rsidR="004359D4">
        <w:rPr>
          <w:rFonts w:hint="eastAsia"/>
          <w:sz w:val="30"/>
          <w:szCs w:val="30"/>
        </w:rPr>
        <w:t>四</w:t>
      </w:r>
      <w:r w:rsidRPr="002544B9">
        <w:rPr>
          <w:rFonts w:hint="eastAsia"/>
          <w:sz w:val="30"/>
          <w:szCs w:val="30"/>
        </w:rPr>
        <w:t>部分</w:t>
      </w:r>
      <w:r w:rsidRPr="002544B9">
        <w:rPr>
          <w:sz w:val="30"/>
          <w:szCs w:val="30"/>
        </w:rPr>
        <w:t xml:space="preserve">  </w:t>
      </w:r>
      <w:r w:rsidRPr="002544B9">
        <w:rPr>
          <w:rFonts w:hint="eastAsia"/>
          <w:sz w:val="30"/>
          <w:szCs w:val="30"/>
        </w:rPr>
        <w:t>备查文件</w:t>
      </w:r>
      <w:bookmarkEnd w:id="469"/>
      <w:bookmarkEnd w:id="470"/>
    </w:p>
    <w:p w14:paraId="17AD725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以下备查文件存放在基金管理人的办公场所，在办公时间可供免费查阅。</w:t>
      </w:r>
    </w:p>
    <w:p w14:paraId="7409484D" w14:textId="7391CBB6"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（一）中国证监会</w:t>
      </w:r>
      <w:r w:rsidRPr="002544B9">
        <w:rPr>
          <w:rFonts w:asciiTheme="minorEastAsia" w:hAnsiTheme="minorEastAsia" w:cs="Arial" w:hint="eastAsia"/>
          <w:kern w:val="0"/>
          <w:sz w:val="24"/>
          <w:szCs w:val="24"/>
        </w:rPr>
        <w:t>准予</w:t>
      </w:r>
      <w:proofErr w:type="gramStart"/>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proofErr w:type="gramEnd"/>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注册</w:t>
      </w:r>
      <w:r w:rsidRPr="002544B9">
        <w:rPr>
          <w:rFonts w:asciiTheme="minorEastAsia" w:hAnsiTheme="minorEastAsia" w:cs="Arial"/>
          <w:kern w:val="0"/>
          <w:sz w:val="24"/>
          <w:szCs w:val="24"/>
        </w:rPr>
        <w:t xml:space="preserve">的文件 </w:t>
      </w:r>
    </w:p>
    <w:p w14:paraId="2327AF1B" w14:textId="3B40FD61"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（二）《</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证券投资基金基金合同》 </w:t>
      </w:r>
    </w:p>
    <w:p w14:paraId="44755F79" w14:textId="47453A3F"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（三）《</w:t>
      </w:r>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r w:rsidRPr="002544B9">
        <w:rPr>
          <w:rFonts w:asciiTheme="minorEastAsia" w:hAnsiTheme="minorEastAsia" w:cs="Arial"/>
          <w:kern w:val="0"/>
          <w:sz w:val="24"/>
          <w:szCs w:val="24"/>
        </w:rPr>
        <w:t xml:space="preserve">证券投资基金托管协议》 </w:t>
      </w:r>
    </w:p>
    <w:p w14:paraId="65DC756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（四）基金管理人业务资格批件、营业执照</w:t>
      </w:r>
    </w:p>
    <w:p w14:paraId="5591D9F2"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（五）基金托管人业务资格批件、营业执照</w:t>
      </w:r>
    </w:p>
    <w:p w14:paraId="576302B6" w14:textId="45D84BB8"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（六）关于申请募集</w:t>
      </w:r>
      <w:r w:rsidRPr="002544B9">
        <w:rPr>
          <w:rFonts w:asciiTheme="minorEastAsia" w:hAnsiTheme="minorEastAsia" w:cs="Arial" w:hint="eastAsia"/>
          <w:kern w:val="0"/>
          <w:sz w:val="24"/>
          <w:szCs w:val="24"/>
        </w:rPr>
        <w:t>注册</w:t>
      </w:r>
      <w:proofErr w:type="gramStart"/>
      <w:r w:rsidR="00505F4A" w:rsidRPr="002544B9">
        <w:rPr>
          <w:rFonts w:asciiTheme="minorEastAsia" w:hAnsiTheme="minorEastAsia" w:cs="Arial"/>
          <w:kern w:val="0"/>
          <w:sz w:val="24"/>
          <w:szCs w:val="24"/>
        </w:rPr>
        <w:t>富荣</w:t>
      </w:r>
      <w:r w:rsidR="00F144DD" w:rsidRPr="002544B9">
        <w:rPr>
          <w:rFonts w:asciiTheme="minorEastAsia" w:hAnsiTheme="minorEastAsia" w:cs="Arial"/>
          <w:kern w:val="0"/>
          <w:sz w:val="24"/>
          <w:szCs w:val="24"/>
        </w:rPr>
        <w:t>福银</w:t>
      </w:r>
      <w:r w:rsidR="00505F4A" w:rsidRPr="002544B9">
        <w:rPr>
          <w:rFonts w:asciiTheme="minorEastAsia" w:hAnsiTheme="minorEastAsia" w:cs="Arial"/>
          <w:kern w:val="0"/>
          <w:sz w:val="24"/>
          <w:szCs w:val="24"/>
        </w:rPr>
        <w:t>混合型</w:t>
      </w:r>
      <w:proofErr w:type="gramEnd"/>
      <w:r w:rsidRPr="002544B9">
        <w:rPr>
          <w:rFonts w:asciiTheme="minorEastAsia" w:hAnsiTheme="minorEastAsia" w:cs="Arial"/>
          <w:kern w:val="0"/>
          <w:sz w:val="24"/>
          <w:szCs w:val="24"/>
        </w:rPr>
        <w:t>证券投资基金</w:t>
      </w:r>
      <w:r w:rsidRPr="002544B9">
        <w:rPr>
          <w:rFonts w:asciiTheme="minorEastAsia" w:hAnsiTheme="minorEastAsia" w:cs="Arial" w:hint="eastAsia"/>
          <w:kern w:val="0"/>
          <w:sz w:val="24"/>
          <w:szCs w:val="24"/>
        </w:rPr>
        <w:t>的</w:t>
      </w:r>
      <w:r w:rsidRPr="002544B9">
        <w:rPr>
          <w:rFonts w:asciiTheme="minorEastAsia" w:hAnsiTheme="minorEastAsia" w:cs="Arial"/>
          <w:kern w:val="0"/>
          <w:sz w:val="24"/>
          <w:szCs w:val="24"/>
        </w:rPr>
        <w:t>法律意见书</w:t>
      </w:r>
    </w:p>
    <w:p w14:paraId="0C6BEC3E"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hint="eastAsia"/>
          <w:kern w:val="0"/>
          <w:sz w:val="24"/>
          <w:szCs w:val="24"/>
        </w:rPr>
        <w:t>（七）中国证监会要求的其他文件</w:t>
      </w:r>
    </w:p>
    <w:p w14:paraId="2352BE1F" w14:textId="77777777" w:rsidR="00AC3A9B" w:rsidRPr="002544B9" w:rsidRDefault="002C3C29">
      <w:pPr>
        <w:widowControl/>
        <w:adjustRightInd w:val="0"/>
        <w:snapToGrid w:val="0"/>
        <w:spacing w:line="360" w:lineRule="auto"/>
        <w:ind w:rightChars="-85" w:right="-178" w:firstLineChars="200" w:firstLine="480"/>
        <w:rPr>
          <w:rFonts w:asciiTheme="minorEastAsia" w:hAnsiTheme="minorEastAsia" w:cs="Arial"/>
          <w:kern w:val="0"/>
          <w:sz w:val="24"/>
          <w:szCs w:val="24"/>
        </w:rPr>
      </w:pPr>
      <w:r w:rsidRPr="002544B9">
        <w:rPr>
          <w:rFonts w:asciiTheme="minorEastAsia" w:hAnsiTheme="minorEastAsia" w:cs="Arial"/>
          <w:kern w:val="0"/>
          <w:sz w:val="24"/>
          <w:szCs w:val="24"/>
        </w:rPr>
        <w:t>查阅方式：投资者可在营业时间免费查阅，也可按工本费购买复印件。</w:t>
      </w:r>
    </w:p>
    <w:p w14:paraId="38547C8F"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1C3B56DD" w14:textId="77777777" w:rsidR="00AC3A9B" w:rsidRPr="002544B9" w:rsidRDefault="00AC3A9B">
      <w:pPr>
        <w:widowControl/>
        <w:adjustRightInd w:val="0"/>
        <w:snapToGrid w:val="0"/>
        <w:spacing w:line="360" w:lineRule="auto"/>
        <w:ind w:rightChars="-85" w:right="-178" w:firstLineChars="200" w:firstLine="480"/>
        <w:rPr>
          <w:rFonts w:asciiTheme="minorEastAsia" w:hAnsiTheme="minorEastAsia" w:cs="Arial"/>
          <w:kern w:val="0"/>
          <w:sz w:val="24"/>
          <w:szCs w:val="24"/>
        </w:rPr>
      </w:pPr>
    </w:p>
    <w:p w14:paraId="2B8018C1"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C426DFD"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B8286D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97C7AD0"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6780760C"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463D8732" w14:textId="77777777" w:rsidR="00AC3A9B" w:rsidRPr="002544B9" w:rsidRDefault="00AC3A9B">
      <w:pPr>
        <w:widowControl/>
        <w:adjustRightInd w:val="0"/>
        <w:snapToGrid w:val="0"/>
        <w:spacing w:line="360" w:lineRule="auto"/>
        <w:ind w:rightChars="-85" w:right="-178" w:firstLineChars="200" w:firstLine="420"/>
        <w:rPr>
          <w:rFonts w:ascii="Arial" w:eastAsia="宋体" w:hAnsi="Arial" w:cs="Arial"/>
          <w:kern w:val="0"/>
          <w:szCs w:val="21"/>
        </w:rPr>
      </w:pPr>
    </w:p>
    <w:p w14:paraId="2B02186A"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A6F5362"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6BDE84E8"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529D9BDC" w14:textId="77777777" w:rsidR="004359D4" w:rsidRDefault="004359D4" w:rsidP="004359D4">
      <w:pPr>
        <w:widowControl/>
        <w:adjustRightInd w:val="0"/>
        <w:snapToGrid w:val="0"/>
        <w:spacing w:line="360" w:lineRule="auto"/>
        <w:ind w:rightChars="-85" w:right="-178" w:firstLineChars="200" w:firstLine="420"/>
        <w:rPr>
          <w:rFonts w:ascii="Arial" w:eastAsia="宋体" w:hAnsi="Arial" w:cs="Arial"/>
          <w:kern w:val="0"/>
          <w:szCs w:val="21"/>
        </w:rPr>
      </w:pPr>
    </w:p>
    <w:p w14:paraId="03713033" w14:textId="77777777" w:rsidR="004359D4" w:rsidRDefault="004359D4" w:rsidP="004359D4">
      <w:pPr>
        <w:widowControl/>
        <w:adjustRightInd w:val="0"/>
        <w:snapToGrid w:val="0"/>
        <w:spacing w:line="360" w:lineRule="auto"/>
        <w:ind w:rightChars="-85" w:right="-178"/>
        <w:jc w:val="right"/>
        <w:rPr>
          <w:rFonts w:asciiTheme="minorEastAsia" w:hAnsiTheme="minorEastAsia" w:cs="Arial"/>
          <w:kern w:val="0"/>
          <w:sz w:val="24"/>
          <w:szCs w:val="24"/>
        </w:rPr>
      </w:pPr>
      <w:r>
        <w:rPr>
          <w:rFonts w:asciiTheme="minorEastAsia" w:hAnsiTheme="minorEastAsia" w:cs="Arial" w:hint="eastAsia"/>
          <w:kern w:val="0"/>
          <w:sz w:val="24"/>
          <w:szCs w:val="24"/>
        </w:rPr>
        <w:t xml:space="preserve">富荣基金管理有限公司 </w:t>
      </w:r>
    </w:p>
    <w:p w14:paraId="7384D869" w14:textId="7D03B62C" w:rsidR="00AC3A9B" w:rsidRDefault="004359D4" w:rsidP="007B2A9B">
      <w:pPr>
        <w:widowControl/>
        <w:adjustRightInd w:val="0"/>
        <w:snapToGrid w:val="0"/>
        <w:spacing w:line="360" w:lineRule="auto"/>
        <w:ind w:rightChars="-85" w:right="-178" w:firstLineChars="2700" w:firstLine="6480"/>
      </w:pPr>
      <w:r>
        <w:rPr>
          <w:rFonts w:asciiTheme="minorEastAsia" w:hAnsiTheme="minorEastAsia" w:cs="Arial" w:hint="eastAsia"/>
          <w:kern w:val="0"/>
          <w:sz w:val="24"/>
          <w:szCs w:val="24"/>
        </w:rPr>
        <w:t>202</w:t>
      </w:r>
      <w:r>
        <w:rPr>
          <w:rFonts w:asciiTheme="minorEastAsia" w:hAnsiTheme="minorEastAsia" w:cs="Arial"/>
          <w:kern w:val="0"/>
          <w:sz w:val="24"/>
          <w:szCs w:val="24"/>
        </w:rPr>
        <w:t>2</w:t>
      </w:r>
      <w:r>
        <w:rPr>
          <w:rFonts w:asciiTheme="minorEastAsia" w:hAnsiTheme="minorEastAsia" w:cs="Arial" w:hint="eastAsia"/>
          <w:kern w:val="0"/>
          <w:sz w:val="24"/>
          <w:szCs w:val="24"/>
        </w:rPr>
        <w:t>年</w:t>
      </w:r>
      <w:r w:rsidR="00BD0E3F">
        <w:rPr>
          <w:rFonts w:asciiTheme="minorEastAsia" w:hAnsiTheme="minorEastAsia" w:cs="Arial" w:hint="eastAsia"/>
          <w:kern w:val="0"/>
          <w:sz w:val="24"/>
          <w:szCs w:val="24"/>
        </w:rPr>
        <w:t>6</w:t>
      </w:r>
      <w:r>
        <w:rPr>
          <w:rFonts w:asciiTheme="minorEastAsia" w:hAnsiTheme="minorEastAsia" w:cs="Arial" w:hint="eastAsia"/>
          <w:kern w:val="0"/>
          <w:sz w:val="24"/>
          <w:szCs w:val="24"/>
        </w:rPr>
        <w:t>月</w:t>
      </w:r>
      <w:r w:rsidR="00BD0E3F">
        <w:rPr>
          <w:rFonts w:asciiTheme="minorEastAsia" w:hAnsiTheme="minorEastAsia" w:cs="Arial" w:hint="eastAsia"/>
          <w:kern w:val="0"/>
          <w:sz w:val="24"/>
          <w:szCs w:val="24"/>
        </w:rPr>
        <w:t>9</w:t>
      </w:r>
      <w:r>
        <w:rPr>
          <w:rFonts w:asciiTheme="minorEastAsia" w:hAnsiTheme="minorEastAsia" w:cs="Arial" w:hint="eastAsia"/>
          <w:kern w:val="0"/>
          <w:sz w:val="24"/>
          <w:szCs w:val="24"/>
        </w:rPr>
        <w:t>日</w:t>
      </w:r>
    </w:p>
    <w:sectPr w:rsidR="00AC3A9B" w:rsidSect="005500C2">
      <w:footerReference w:type="default" r:id="rId28"/>
      <w:pgSz w:w="11906" w:h="16838"/>
      <w:pgMar w:top="1440" w:right="1800" w:bottom="1440" w:left="1800" w:header="851" w:footer="992" w:gutter="0"/>
      <w:pgNumType w:start="1" w:chapStyle="1"/>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C8A73B" w14:textId="77777777" w:rsidR="00650432" w:rsidRDefault="00650432">
      <w:r>
        <w:separator/>
      </w:r>
    </w:p>
  </w:endnote>
  <w:endnote w:type="continuationSeparator" w:id="0">
    <w:p w14:paraId="4449D4DB" w14:textId="77777777" w:rsidR="00650432" w:rsidRDefault="0065043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 w:name="ˎ̥">
    <w:altName w:val="微软雅黑"/>
    <w:charset w:val="00"/>
    <w:family w:val="auto"/>
    <w:pitch w:val="default"/>
    <w:sig w:usb0="00000000" w:usb1="00000000" w:usb2="00000000" w:usb3="00000000" w:csb0="00040001" w:csb1="00000000"/>
  </w:font>
  <w:font w:name="方正仿宋简体">
    <w:altName w:val="宋体"/>
    <w:charset w:val="86"/>
    <w:family w:val="auto"/>
    <w:pitch w:val="default"/>
    <w:sig w:usb0="00000000" w:usb1="0000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96794151"/>
    </w:sdtPr>
    <w:sdtEndPr/>
    <w:sdtContent>
      <w:p w14:paraId="7FC40B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4</w:t>
        </w:r>
        <w:r>
          <w:rPr>
            <w:lang w:val="zh-CN"/>
          </w:rPr>
          <w:fldChar w:fldCharType="end"/>
        </w:r>
      </w:p>
    </w:sdtContent>
  </w:sdt>
  <w:p w14:paraId="1F069B76" w14:textId="77777777" w:rsidR="00A3404B" w:rsidRDefault="00A3404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82390005"/>
    </w:sdtPr>
    <w:sdtEndPr/>
    <w:sdtContent>
      <w:p w14:paraId="592BD03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5</w:t>
        </w:r>
        <w:r>
          <w:rPr>
            <w:lang w:val="zh-CN"/>
          </w:rPr>
          <w:fldChar w:fldCharType="end"/>
        </w:r>
      </w:p>
    </w:sdtContent>
  </w:sdt>
  <w:p w14:paraId="00DECC49" w14:textId="77777777" w:rsidR="00A3404B" w:rsidRDefault="00A3404B">
    <w:pPr>
      <w:pStyle w:val="af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15157458"/>
    </w:sdtPr>
    <w:sdtEndPr/>
    <w:sdtContent>
      <w:p w14:paraId="521B671D"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9</w:t>
        </w:r>
        <w:r>
          <w:rPr>
            <w:lang w:val="zh-CN"/>
          </w:rPr>
          <w:fldChar w:fldCharType="end"/>
        </w:r>
      </w:p>
    </w:sdtContent>
  </w:sdt>
  <w:p w14:paraId="004FAC37" w14:textId="77777777" w:rsidR="00A3404B" w:rsidRDefault="00A3404B">
    <w:pPr>
      <w:pStyle w:val="af0"/>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26527"/>
    </w:sdtPr>
    <w:sdtEndPr/>
    <w:sdtContent>
      <w:p w14:paraId="709CE399"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10</w:t>
        </w:r>
        <w:r>
          <w:rPr>
            <w:lang w:val="zh-CN"/>
          </w:rPr>
          <w:fldChar w:fldCharType="end"/>
        </w:r>
      </w:p>
    </w:sdtContent>
  </w:sdt>
  <w:p w14:paraId="4DD46500" w14:textId="77777777" w:rsidR="00A3404B" w:rsidRDefault="00A3404B">
    <w:pPr>
      <w:pStyle w:val="af0"/>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56205945"/>
    </w:sdtPr>
    <w:sdtEndPr/>
    <w:sdtContent>
      <w:p w14:paraId="5702E34A" w14:textId="77777777" w:rsidR="006A48A6" w:rsidRDefault="006A48A6">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26</w:t>
        </w:r>
        <w:r>
          <w:rPr>
            <w:lang w:val="zh-CN"/>
          </w:rPr>
          <w:fldChar w:fldCharType="end"/>
        </w:r>
      </w:p>
    </w:sdtContent>
  </w:sdt>
  <w:p w14:paraId="24D662B4" w14:textId="77777777" w:rsidR="006A48A6" w:rsidRDefault="006A48A6">
    <w:pPr>
      <w:pStyle w:val="af0"/>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32165260"/>
    </w:sdtPr>
    <w:sdtEndPr/>
    <w:sdtContent>
      <w:p w14:paraId="468D4C81"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30</w:t>
        </w:r>
        <w:r>
          <w:rPr>
            <w:lang w:val="zh-CN"/>
          </w:rPr>
          <w:fldChar w:fldCharType="end"/>
        </w:r>
      </w:p>
    </w:sdtContent>
  </w:sdt>
  <w:p w14:paraId="35BCC41C" w14:textId="77777777" w:rsidR="00A3404B" w:rsidRDefault="00A3404B">
    <w:pPr>
      <w:pStyle w:val="af0"/>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06333424"/>
    </w:sdtPr>
    <w:sdtEndPr/>
    <w:sdtContent>
      <w:p w14:paraId="40CE31D3"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32</w:t>
        </w:r>
        <w:r>
          <w:rPr>
            <w:lang w:val="zh-CN"/>
          </w:rPr>
          <w:fldChar w:fldCharType="end"/>
        </w:r>
      </w:p>
    </w:sdtContent>
  </w:sdt>
  <w:p w14:paraId="415A3F46" w14:textId="77777777" w:rsidR="00A3404B" w:rsidRDefault="00A3404B">
    <w:pPr>
      <w:pStyle w:val="af0"/>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1C0D5E" w14:textId="18707306" w:rsidR="00A3404B" w:rsidRDefault="00A3404B">
    <w:pPr>
      <w:pStyle w:val="af0"/>
      <w:jc w:val="center"/>
    </w:pPr>
    <w:r>
      <w:fldChar w:fldCharType="begin"/>
    </w:r>
    <w:r>
      <w:instrText xml:space="preserve"> PAGE   \* MERGEFORMAT </w:instrText>
    </w:r>
    <w:r>
      <w:fldChar w:fldCharType="separate"/>
    </w:r>
    <w:r w:rsidR="005A2B57" w:rsidRPr="005A2B57">
      <w:rPr>
        <w:noProof/>
        <w:lang w:val="zh-CN"/>
      </w:rPr>
      <w:t>33</w:t>
    </w:r>
    <w:r>
      <w:rPr>
        <w:lang w:val="zh-CN"/>
      </w:rPr>
      <w:fldChar w:fldCharType="end"/>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A2C4513" w14:textId="2CF9636E" w:rsidR="00A3404B" w:rsidRDefault="00A3404B">
    <w:pPr>
      <w:pStyle w:val="af0"/>
      <w:jc w:val="center"/>
    </w:pPr>
    <w:r>
      <w:fldChar w:fldCharType="begin"/>
    </w:r>
    <w:r>
      <w:instrText xml:space="preserve"> PAGE   \* MERGEFORMAT </w:instrText>
    </w:r>
    <w:r>
      <w:fldChar w:fldCharType="separate"/>
    </w:r>
    <w:r w:rsidR="00F96E82" w:rsidRPr="00F96E82">
      <w:rPr>
        <w:noProof/>
        <w:lang w:val="zh-CN"/>
      </w:rPr>
      <w:t>33</w:t>
    </w:r>
    <w:r>
      <w:rPr>
        <w:lang w:val="zh-CN"/>
      </w:rPr>
      <w:fldChar w:fldCharType="end"/>
    </w:r>
  </w:p>
  <w:p w14:paraId="3F62E2D6" w14:textId="77777777" w:rsidR="00A3404B" w:rsidRDefault="00A3404B">
    <w:pPr>
      <w:pStyle w:val="af0"/>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951766251"/>
    </w:sdtPr>
    <w:sdtEndPr/>
    <w:sdtContent>
      <w:p w14:paraId="33234942"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87</w:t>
        </w:r>
        <w:r>
          <w:rPr>
            <w:lang w:val="zh-CN"/>
          </w:rPr>
          <w:fldChar w:fldCharType="end"/>
        </w:r>
      </w:p>
    </w:sdtContent>
  </w:sdt>
  <w:p w14:paraId="6BBE4177" w14:textId="77777777" w:rsidR="00A3404B" w:rsidRDefault="00A3404B">
    <w:pPr>
      <w:pStyle w:val="af0"/>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37500172"/>
    </w:sdtPr>
    <w:sdtEndPr/>
    <w:sdtContent>
      <w:p w14:paraId="18DD9CA6" w14:textId="77777777" w:rsidR="00A3404B" w:rsidRDefault="00A3404B">
        <w:pPr>
          <w:pStyle w:val="af0"/>
          <w:jc w:val="center"/>
        </w:pPr>
        <w:r>
          <w:rPr>
            <w:lang w:val="zh-CN"/>
          </w:rPr>
          <w:fldChar w:fldCharType="begin"/>
        </w:r>
        <w:r>
          <w:rPr>
            <w:lang w:val="zh-CN"/>
          </w:rPr>
          <w:instrText>PAGE   \* MERGEFORMAT</w:instrText>
        </w:r>
        <w:r>
          <w:rPr>
            <w:lang w:val="zh-CN"/>
          </w:rPr>
          <w:fldChar w:fldCharType="separate"/>
        </w:r>
        <w:r w:rsidR="005A2B57">
          <w:rPr>
            <w:noProof/>
            <w:lang w:val="zh-CN"/>
          </w:rPr>
          <w:t>133</w:t>
        </w:r>
        <w:r>
          <w:rPr>
            <w:lang w:val="zh-CN"/>
          </w:rPr>
          <w:fldChar w:fldCharType="end"/>
        </w:r>
      </w:p>
    </w:sdtContent>
  </w:sdt>
  <w:p w14:paraId="08CF4182" w14:textId="77777777" w:rsidR="00A3404B" w:rsidRDefault="00A3404B">
    <w:pPr>
      <w:pStyle w:val="af0"/>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91081186"/>
    </w:sdtPr>
    <w:sdtEndPr/>
    <w:sdtContent>
      <w:p w14:paraId="187390F5" w14:textId="13DBD6A7" w:rsidR="005500C2" w:rsidRDefault="005500C2">
        <w:pPr>
          <w:pStyle w:val="af0"/>
          <w:jc w:val="center"/>
        </w:pPr>
        <w:r>
          <w:t>129</w:t>
        </w:r>
      </w:p>
    </w:sdtContent>
  </w:sdt>
  <w:p w14:paraId="248CCF29" w14:textId="77777777" w:rsidR="005500C2" w:rsidRDefault="005500C2">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45E2DD1" w14:textId="77777777" w:rsidR="00650432" w:rsidRDefault="00650432">
      <w:r>
        <w:rPr>
          <w:rFonts w:ascii="Arial" w:eastAsia="宋体" w:hAnsi="Arial" w:cs="Arial" w:hint="eastAsia"/>
          <w:sz w:val="18"/>
          <w:szCs w:val="21"/>
        </w:rPr>
        <w:t>········</w:t>
      </w:r>
      <w:r>
        <w:separator/>
      </w:r>
    </w:p>
  </w:footnote>
  <w:footnote w:type="continuationSeparator" w:id="0">
    <w:p w14:paraId="2E4F8112" w14:textId="77777777" w:rsidR="00650432" w:rsidRDefault="0065043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755BAD" w14:textId="383D4190" w:rsidR="00A3404B" w:rsidRDefault="00A3404B" w:rsidP="00103FC9">
    <w:pPr>
      <w:pStyle w:val="af2"/>
      <w:jc w:val="both"/>
    </w:pPr>
    <w:proofErr w:type="gramStart"/>
    <w:r>
      <w:rPr>
        <w:rFonts w:ascii="Arial" w:hAnsi="Arial" w:cs="Arial" w:hint="eastAsia"/>
        <w:szCs w:val="21"/>
      </w:rPr>
      <w:t>富荣</w:t>
    </w:r>
    <w:r w:rsidR="00F144DD">
      <w:rPr>
        <w:rFonts w:ascii="Arial" w:hAnsi="Arial" w:cs="Arial" w:hint="eastAsia"/>
        <w:szCs w:val="21"/>
      </w:rPr>
      <w:t>福银</w:t>
    </w:r>
    <w:r>
      <w:rPr>
        <w:rFonts w:ascii="Arial" w:hAnsi="Arial" w:cs="Arial" w:hint="eastAsia"/>
        <w:szCs w:val="21"/>
      </w:rPr>
      <w:t>混合型</w:t>
    </w:r>
    <w:proofErr w:type="gramEnd"/>
    <w:r>
      <w:rPr>
        <w:rFonts w:ascii="Arial" w:hAnsi="Arial" w:cs="Arial" w:hint="eastAsia"/>
        <w:szCs w:val="21"/>
      </w:rPr>
      <w:t>证券投资基金</w:t>
    </w:r>
    <w:r w:rsidR="00564721">
      <w:rPr>
        <w:rFonts w:ascii="Arial" w:hAnsi="Arial" w:cs="Arial" w:hint="eastAsia"/>
        <w:szCs w:val="21"/>
      </w:rPr>
      <w:t>更新的</w:t>
    </w:r>
    <w:r>
      <w:rPr>
        <w:rFonts w:hint="eastAsia"/>
      </w:rPr>
      <w:t>招募说明书</w:t>
    </w:r>
    <w:r w:rsidR="00564721">
      <w:rPr>
        <w:rFonts w:hint="eastAsia"/>
      </w:rPr>
      <w:t>（</w:t>
    </w:r>
    <w:r w:rsidR="00564721">
      <w:rPr>
        <w:rFonts w:hint="eastAsia"/>
      </w:rPr>
      <w:t>2</w:t>
    </w:r>
    <w:r w:rsidR="00564721">
      <w:t>022</w:t>
    </w:r>
    <w:r w:rsidR="00564721">
      <w:rPr>
        <w:rFonts w:hint="eastAsia"/>
      </w:rPr>
      <w:t>年第</w:t>
    </w:r>
    <w:r w:rsidR="00564721">
      <w:rPr>
        <w:rFonts w:hint="eastAsia"/>
      </w:rPr>
      <w:t>1</w:t>
    </w:r>
    <w:r w:rsidR="00564721">
      <w:rPr>
        <w:rFonts w:hint="eastAsia"/>
      </w:rPr>
      <w:t>号）</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468E7B" w14:textId="6723F6BD" w:rsidR="00564721" w:rsidRPr="0043683C" w:rsidRDefault="00564721" w:rsidP="007B2A9B">
    <w:pPr>
      <w:pStyle w:val="af2"/>
      <w:jc w:val="both"/>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multilevel"/>
    <w:tmpl w:val="00000006"/>
    <w:lvl w:ilvl="0">
      <w:start w:val="4"/>
      <w:numFmt w:val="chineseCounting"/>
      <w:pStyle w:val="2"/>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15:restartNumberingAfterBreak="0">
    <w:nsid w:val="0000000D"/>
    <w:multiLevelType w:val="singleLevel"/>
    <w:tmpl w:val="0000000D"/>
    <w:lvl w:ilvl="0">
      <w:start w:val="1"/>
      <w:numFmt w:val="bullet"/>
      <w:pStyle w:val="Listbullet"/>
      <w:lvlText w:val=""/>
      <w:lvlJc w:val="left"/>
      <w:pPr>
        <w:tabs>
          <w:tab w:val="left" w:pos="360"/>
        </w:tabs>
        <w:ind w:left="360" w:hanging="360"/>
      </w:pPr>
      <w:rPr>
        <w:rFonts w:ascii="Symbol" w:hAnsi="Symbol" w:hint="default"/>
        <w:color w:val="auto"/>
      </w:rPr>
    </w:lvl>
  </w:abstractNum>
  <w:abstractNum w:abstractNumId="2" w15:restartNumberingAfterBreak="0">
    <w:nsid w:val="15615095"/>
    <w:multiLevelType w:val="hybridMultilevel"/>
    <w:tmpl w:val="8F2E7B80"/>
    <w:lvl w:ilvl="0" w:tplc="0DCEF48E">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32EA6CF3"/>
    <w:multiLevelType w:val="multilevel"/>
    <w:tmpl w:val="32EA6CF3"/>
    <w:lvl w:ilvl="0">
      <w:start w:val="2"/>
      <w:numFmt w:val="japaneseCounting"/>
      <w:lvlText w:val="%1、"/>
      <w:lvlJc w:val="left"/>
      <w:pPr>
        <w:ind w:left="872" w:hanging="450"/>
      </w:pPr>
      <w:rPr>
        <w:rFonts w:hint="default"/>
      </w:rPr>
    </w:lvl>
    <w:lvl w:ilvl="1">
      <w:start w:val="1"/>
      <w:numFmt w:val="lowerLetter"/>
      <w:lvlText w:val="%2)"/>
      <w:lvlJc w:val="left"/>
      <w:pPr>
        <w:ind w:left="1262" w:hanging="420"/>
      </w:pPr>
    </w:lvl>
    <w:lvl w:ilvl="2">
      <w:start w:val="1"/>
      <w:numFmt w:val="lowerRoman"/>
      <w:lvlText w:val="%3."/>
      <w:lvlJc w:val="right"/>
      <w:pPr>
        <w:ind w:left="1682" w:hanging="420"/>
      </w:pPr>
    </w:lvl>
    <w:lvl w:ilvl="3">
      <w:start w:val="1"/>
      <w:numFmt w:val="decimal"/>
      <w:lvlText w:val="%4."/>
      <w:lvlJc w:val="left"/>
      <w:pPr>
        <w:ind w:left="2102" w:hanging="420"/>
      </w:pPr>
    </w:lvl>
    <w:lvl w:ilvl="4">
      <w:start w:val="1"/>
      <w:numFmt w:val="lowerLetter"/>
      <w:lvlText w:val="%5)"/>
      <w:lvlJc w:val="left"/>
      <w:pPr>
        <w:ind w:left="2522" w:hanging="420"/>
      </w:pPr>
    </w:lvl>
    <w:lvl w:ilvl="5">
      <w:start w:val="1"/>
      <w:numFmt w:val="lowerRoman"/>
      <w:lvlText w:val="%6."/>
      <w:lvlJc w:val="right"/>
      <w:pPr>
        <w:ind w:left="2942" w:hanging="420"/>
      </w:pPr>
    </w:lvl>
    <w:lvl w:ilvl="6">
      <w:start w:val="1"/>
      <w:numFmt w:val="decimal"/>
      <w:lvlText w:val="%7."/>
      <w:lvlJc w:val="left"/>
      <w:pPr>
        <w:ind w:left="3362" w:hanging="420"/>
      </w:pPr>
    </w:lvl>
    <w:lvl w:ilvl="7">
      <w:start w:val="1"/>
      <w:numFmt w:val="lowerLetter"/>
      <w:lvlText w:val="%8)"/>
      <w:lvlJc w:val="left"/>
      <w:pPr>
        <w:ind w:left="3782" w:hanging="420"/>
      </w:pPr>
    </w:lvl>
    <w:lvl w:ilvl="8">
      <w:start w:val="1"/>
      <w:numFmt w:val="lowerRoman"/>
      <w:lvlText w:val="%9."/>
      <w:lvlJc w:val="right"/>
      <w:pPr>
        <w:ind w:left="4202" w:hanging="420"/>
      </w:pPr>
    </w:lvl>
  </w:abstractNum>
  <w:abstractNum w:abstractNumId="4" w15:restartNumberingAfterBreak="0">
    <w:nsid w:val="63A211E1"/>
    <w:multiLevelType w:val="multilevel"/>
    <w:tmpl w:val="63A211E1"/>
    <w:lvl w:ilvl="0">
      <w:start w:val="1"/>
      <w:numFmt w:val="none"/>
      <w:lvlText w:val="一、"/>
      <w:lvlJc w:val="left"/>
      <w:pPr>
        <w:ind w:left="840" w:hanging="420"/>
      </w:p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num w:numId="1" w16cid:durableId="712342477">
    <w:abstractNumId w:val="0"/>
  </w:num>
  <w:num w:numId="2" w16cid:durableId="622805580">
    <w:abstractNumId w:val="1"/>
  </w:num>
  <w:num w:numId="3" w16cid:durableId="214357279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630750277">
    <w:abstractNumId w:val="3"/>
  </w:num>
  <w:num w:numId="5" w16cid:durableId="13476456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hideSpellingErrors/>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1228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62CC"/>
    <w:rsid w:val="00001E24"/>
    <w:rsid w:val="0000336D"/>
    <w:rsid w:val="00006A18"/>
    <w:rsid w:val="00007E80"/>
    <w:rsid w:val="00011E0C"/>
    <w:rsid w:val="000150A1"/>
    <w:rsid w:val="00015FE3"/>
    <w:rsid w:val="00016B2F"/>
    <w:rsid w:val="0001763C"/>
    <w:rsid w:val="00021C6F"/>
    <w:rsid w:val="00024EED"/>
    <w:rsid w:val="00026A47"/>
    <w:rsid w:val="00026E12"/>
    <w:rsid w:val="00032C15"/>
    <w:rsid w:val="00036415"/>
    <w:rsid w:val="0003661E"/>
    <w:rsid w:val="00040033"/>
    <w:rsid w:val="000417AB"/>
    <w:rsid w:val="00041F00"/>
    <w:rsid w:val="00043AE3"/>
    <w:rsid w:val="00043E2F"/>
    <w:rsid w:val="000455CE"/>
    <w:rsid w:val="00045DF2"/>
    <w:rsid w:val="000507C1"/>
    <w:rsid w:val="00050E32"/>
    <w:rsid w:val="000515D1"/>
    <w:rsid w:val="0005270F"/>
    <w:rsid w:val="0005295B"/>
    <w:rsid w:val="00053F56"/>
    <w:rsid w:val="00055889"/>
    <w:rsid w:val="00055F60"/>
    <w:rsid w:val="000570B2"/>
    <w:rsid w:val="000579D5"/>
    <w:rsid w:val="0006090B"/>
    <w:rsid w:val="00061EFE"/>
    <w:rsid w:val="00062C1B"/>
    <w:rsid w:val="00063460"/>
    <w:rsid w:val="00063887"/>
    <w:rsid w:val="00063FB4"/>
    <w:rsid w:val="00065FA9"/>
    <w:rsid w:val="00066597"/>
    <w:rsid w:val="00070358"/>
    <w:rsid w:val="00072066"/>
    <w:rsid w:val="00072559"/>
    <w:rsid w:val="000740F2"/>
    <w:rsid w:val="00076E9C"/>
    <w:rsid w:val="000776EE"/>
    <w:rsid w:val="000807B7"/>
    <w:rsid w:val="000817BB"/>
    <w:rsid w:val="00084A9D"/>
    <w:rsid w:val="00092FE3"/>
    <w:rsid w:val="00093B11"/>
    <w:rsid w:val="00094942"/>
    <w:rsid w:val="0009505B"/>
    <w:rsid w:val="0009610D"/>
    <w:rsid w:val="00096D0E"/>
    <w:rsid w:val="000974F8"/>
    <w:rsid w:val="000A07FA"/>
    <w:rsid w:val="000A1798"/>
    <w:rsid w:val="000A2809"/>
    <w:rsid w:val="000A34E4"/>
    <w:rsid w:val="000A4496"/>
    <w:rsid w:val="000A53A9"/>
    <w:rsid w:val="000B0075"/>
    <w:rsid w:val="000B0476"/>
    <w:rsid w:val="000B467C"/>
    <w:rsid w:val="000B4DA0"/>
    <w:rsid w:val="000B6836"/>
    <w:rsid w:val="000B720D"/>
    <w:rsid w:val="000B7428"/>
    <w:rsid w:val="000B7ACE"/>
    <w:rsid w:val="000C00C5"/>
    <w:rsid w:val="000C0BDF"/>
    <w:rsid w:val="000C1E78"/>
    <w:rsid w:val="000C2A62"/>
    <w:rsid w:val="000C3020"/>
    <w:rsid w:val="000C36FD"/>
    <w:rsid w:val="000C4C8F"/>
    <w:rsid w:val="000D1C20"/>
    <w:rsid w:val="000D2A86"/>
    <w:rsid w:val="000D3337"/>
    <w:rsid w:val="000D525E"/>
    <w:rsid w:val="000D7FC9"/>
    <w:rsid w:val="000E1E9B"/>
    <w:rsid w:val="000E3D34"/>
    <w:rsid w:val="000E3D83"/>
    <w:rsid w:val="000E4187"/>
    <w:rsid w:val="000E7BCA"/>
    <w:rsid w:val="000F0EAF"/>
    <w:rsid w:val="000F4000"/>
    <w:rsid w:val="000F4E57"/>
    <w:rsid w:val="000F5C40"/>
    <w:rsid w:val="000F63F5"/>
    <w:rsid w:val="000F685B"/>
    <w:rsid w:val="00100EB0"/>
    <w:rsid w:val="00101ED0"/>
    <w:rsid w:val="00102D5B"/>
    <w:rsid w:val="00103FC9"/>
    <w:rsid w:val="0010455F"/>
    <w:rsid w:val="00105BC6"/>
    <w:rsid w:val="00107B18"/>
    <w:rsid w:val="00110756"/>
    <w:rsid w:val="00111FD3"/>
    <w:rsid w:val="00112609"/>
    <w:rsid w:val="00112ACF"/>
    <w:rsid w:val="00115947"/>
    <w:rsid w:val="0012019B"/>
    <w:rsid w:val="001223B0"/>
    <w:rsid w:val="001225F3"/>
    <w:rsid w:val="0012332B"/>
    <w:rsid w:val="00127ED5"/>
    <w:rsid w:val="00127EE7"/>
    <w:rsid w:val="001323BE"/>
    <w:rsid w:val="00132839"/>
    <w:rsid w:val="00135275"/>
    <w:rsid w:val="001368A2"/>
    <w:rsid w:val="001369D9"/>
    <w:rsid w:val="0014009E"/>
    <w:rsid w:val="001431F8"/>
    <w:rsid w:val="00145063"/>
    <w:rsid w:val="00147C35"/>
    <w:rsid w:val="00150AFC"/>
    <w:rsid w:val="0015138A"/>
    <w:rsid w:val="00151DB5"/>
    <w:rsid w:val="001548F6"/>
    <w:rsid w:val="001569AD"/>
    <w:rsid w:val="00157AF8"/>
    <w:rsid w:val="001609F9"/>
    <w:rsid w:val="001617BC"/>
    <w:rsid w:val="001635EE"/>
    <w:rsid w:val="00166406"/>
    <w:rsid w:val="00166FE9"/>
    <w:rsid w:val="0016706A"/>
    <w:rsid w:val="0017094D"/>
    <w:rsid w:val="00170C44"/>
    <w:rsid w:val="00171B39"/>
    <w:rsid w:val="001745C9"/>
    <w:rsid w:val="001756AE"/>
    <w:rsid w:val="001756E7"/>
    <w:rsid w:val="00175EFD"/>
    <w:rsid w:val="001815D7"/>
    <w:rsid w:val="00181F45"/>
    <w:rsid w:val="00184AAE"/>
    <w:rsid w:val="00184E9F"/>
    <w:rsid w:val="00185220"/>
    <w:rsid w:val="00185938"/>
    <w:rsid w:val="00186FFA"/>
    <w:rsid w:val="001939DE"/>
    <w:rsid w:val="00194D9A"/>
    <w:rsid w:val="0019518D"/>
    <w:rsid w:val="00196862"/>
    <w:rsid w:val="00197F8C"/>
    <w:rsid w:val="001A0D71"/>
    <w:rsid w:val="001A1017"/>
    <w:rsid w:val="001A1315"/>
    <w:rsid w:val="001A1C76"/>
    <w:rsid w:val="001A3539"/>
    <w:rsid w:val="001A41F8"/>
    <w:rsid w:val="001A47DA"/>
    <w:rsid w:val="001A4CAD"/>
    <w:rsid w:val="001A6505"/>
    <w:rsid w:val="001A670B"/>
    <w:rsid w:val="001B101B"/>
    <w:rsid w:val="001B1C13"/>
    <w:rsid w:val="001B23ED"/>
    <w:rsid w:val="001B598D"/>
    <w:rsid w:val="001B6F07"/>
    <w:rsid w:val="001B716E"/>
    <w:rsid w:val="001C08B6"/>
    <w:rsid w:val="001C275F"/>
    <w:rsid w:val="001C404F"/>
    <w:rsid w:val="001C66FB"/>
    <w:rsid w:val="001C71D3"/>
    <w:rsid w:val="001C79DE"/>
    <w:rsid w:val="001C7D92"/>
    <w:rsid w:val="001D3C2F"/>
    <w:rsid w:val="001D4772"/>
    <w:rsid w:val="001E05E8"/>
    <w:rsid w:val="001E3B99"/>
    <w:rsid w:val="001F029F"/>
    <w:rsid w:val="001F0DEC"/>
    <w:rsid w:val="001F141D"/>
    <w:rsid w:val="001F1CF9"/>
    <w:rsid w:val="001F2A1F"/>
    <w:rsid w:val="001F2EE0"/>
    <w:rsid w:val="001F32BF"/>
    <w:rsid w:val="001F41B8"/>
    <w:rsid w:val="001F670C"/>
    <w:rsid w:val="001F6CAF"/>
    <w:rsid w:val="001F7512"/>
    <w:rsid w:val="00200C7F"/>
    <w:rsid w:val="00201AB5"/>
    <w:rsid w:val="00203D74"/>
    <w:rsid w:val="002040A3"/>
    <w:rsid w:val="002078F3"/>
    <w:rsid w:val="00207CD5"/>
    <w:rsid w:val="00211085"/>
    <w:rsid w:val="00212167"/>
    <w:rsid w:val="002138DB"/>
    <w:rsid w:val="002210DF"/>
    <w:rsid w:val="00224418"/>
    <w:rsid w:val="00224EE1"/>
    <w:rsid w:val="0022597A"/>
    <w:rsid w:val="00225DB5"/>
    <w:rsid w:val="002275A8"/>
    <w:rsid w:val="00227859"/>
    <w:rsid w:val="00227AD6"/>
    <w:rsid w:val="00227AFA"/>
    <w:rsid w:val="00230271"/>
    <w:rsid w:val="0023113A"/>
    <w:rsid w:val="00232510"/>
    <w:rsid w:val="00232779"/>
    <w:rsid w:val="00234F40"/>
    <w:rsid w:val="0023618C"/>
    <w:rsid w:val="0023759E"/>
    <w:rsid w:val="0023788E"/>
    <w:rsid w:val="00241ACA"/>
    <w:rsid w:val="002430FE"/>
    <w:rsid w:val="002472F8"/>
    <w:rsid w:val="00247F2D"/>
    <w:rsid w:val="002507FE"/>
    <w:rsid w:val="0025184A"/>
    <w:rsid w:val="002518DB"/>
    <w:rsid w:val="00252C86"/>
    <w:rsid w:val="0025398C"/>
    <w:rsid w:val="002544B9"/>
    <w:rsid w:val="002601E9"/>
    <w:rsid w:val="00260AE0"/>
    <w:rsid w:val="002622A9"/>
    <w:rsid w:val="00263BCA"/>
    <w:rsid w:val="0026418F"/>
    <w:rsid w:val="00266917"/>
    <w:rsid w:val="00266A12"/>
    <w:rsid w:val="002701CE"/>
    <w:rsid w:val="0027177B"/>
    <w:rsid w:val="00272867"/>
    <w:rsid w:val="00272F3A"/>
    <w:rsid w:val="00273FCA"/>
    <w:rsid w:val="002752C2"/>
    <w:rsid w:val="00275C95"/>
    <w:rsid w:val="00276490"/>
    <w:rsid w:val="002775A2"/>
    <w:rsid w:val="002807C8"/>
    <w:rsid w:val="00282732"/>
    <w:rsid w:val="002834CB"/>
    <w:rsid w:val="00283A8E"/>
    <w:rsid w:val="00283F15"/>
    <w:rsid w:val="002863C8"/>
    <w:rsid w:val="00291943"/>
    <w:rsid w:val="00291D52"/>
    <w:rsid w:val="00293582"/>
    <w:rsid w:val="002940A2"/>
    <w:rsid w:val="00294C41"/>
    <w:rsid w:val="00295C02"/>
    <w:rsid w:val="00295EF8"/>
    <w:rsid w:val="002966EC"/>
    <w:rsid w:val="002A00D7"/>
    <w:rsid w:val="002A18EC"/>
    <w:rsid w:val="002A1DD0"/>
    <w:rsid w:val="002A6E10"/>
    <w:rsid w:val="002A7CB9"/>
    <w:rsid w:val="002B01D8"/>
    <w:rsid w:val="002B1A83"/>
    <w:rsid w:val="002B435D"/>
    <w:rsid w:val="002B4CF2"/>
    <w:rsid w:val="002B4DD9"/>
    <w:rsid w:val="002B64A8"/>
    <w:rsid w:val="002B64E8"/>
    <w:rsid w:val="002B65D1"/>
    <w:rsid w:val="002C385C"/>
    <w:rsid w:val="002C3C29"/>
    <w:rsid w:val="002C438F"/>
    <w:rsid w:val="002D3234"/>
    <w:rsid w:val="002D32E2"/>
    <w:rsid w:val="002D33E0"/>
    <w:rsid w:val="002D581C"/>
    <w:rsid w:val="002E2B52"/>
    <w:rsid w:val="002E2D5E"/>
    <w:rsid w:val="002E342B"/>
    <w:rsid w:val="002E3582"/>
    <w:rsid w:val="002E4399"/>
    <w:rsid w:val="002E7690"/>
    <w:rsid w:val="002F0AEB"/>
    <w:rsid w:val="002F23E0"/>
    <w:rsid w:val="002F3DFB"/>
    <w:rsid w:val="002F3F19"/>
    <w:rsid w:val="0030418D"/>
    <w:rsid w:val="003042BB"/>
    <w:rsid w:val="00305747"/>
    <w:rsid w:val="00306F90"/>
    <w:rsid w:val="00307617"/>
    <w:rsid w:val="003079B5"/>
    <w:rsid w:val="00307A3B"/>
    <w:rsid w:val="00307AB6"/>
    <w:rsid w:val="003155E3"/>
    <w:rsid w:val="00315BE3"/>
    <w:rsid w:val="00315D57"/>
    <w:rsid w:val="003217E9"/>
    <w:rsid w:val="00324E41"/>
    <w:rsid w:val="00326A72"/>
    <w:rsid w:val="00327DF4"/>
    <w:rsid w:val="00327F7E"/>
    <w:rsid w:val="0033271C"/>
    <w:rsid w:val="0033347C"/>
    <w:rsid w:val="00333E36"/>
    <w:rsid w:val="0033564F"/>
    <w:rsid w:val="00336927"/>
    <w:rsid w:val="00340466"/>
    <w:rsid w:val="0034084F"/>
    <w:rsid w:val="00341D19"/>
    <w:rsid w:val="00344461"/>
    <w:rsid w:val="003464BC"/>
    <w:rsid w:val="003464D5"/>
    <w:rsid w:val="00351A57"/>
    <w:rsid w:val="00351F35"/>
    <w:rsid w:val="00352C16"/>
    <w:rsid w:val="00353591"/>
    <w:rsid w:val="00353C23"/>
    <w:rsid w:val="00354A44"/>
    <w:rsid w:val="003558A1"/>
    <w:rsid w:val="00355E38"/>
    <w:rsid w:val="003567DD"/>
    <w:rsid w:val="00357378"/>
    <w:rsid w:val="00357882"/>
    <w:rsid w:val="00361F09"/>
    <w:rsid w:val="00365C58"/>
    <w:rsid w:val="0036675B"/>
    <w:rsid w:val="0036697D"/>
    <w:rsid w:val="00367003"/>
    <w:rsid w:val="00367074"/>
    <w:rsid w:val="00367E2C"/>
    <w:rsid w:val="00370829"/>
    <w:rsid w:val="00370B4F"/>
    <w:rsid w:val="0037184C"/>
    <w:rsid w:val="00371EC6"/>
    <w:rsid w:val="00371ED5"/>
    <w:rsid w:val="00376750"/>
    <w:rsid w:val="00377542"/>
    <w:rsid w:val="00381F92"/>
    <w:rsid w:val="00386A86"/>
    <w:rsid w:val="0038792B"/>
    <w:rsid w:val="00390719"/>
    <w:rsid w:val="003928DF"/>
    <w:rsid w:val="00392C0F"/>
    <w:rsid w:val="003962D5"/>
    <w:rsid w:val="00397AF5"/>
    <w:rsid w:val="003A1C92"/>
    <w:rsid w:val="003A3022"/>
    <w:rsid w:val="003A59A7"/>
    <w:rsid w:val="003A6148"/>
    <w:rsid w:val="003A65C4"/>
    <w:rsid w:val="003A733C"/>
    <w:rsid w:val="003A78F9"/>
    <w:rsid w:val="003B2407"/>
    <w:rsid w:val="003B2B86"/>
    <w:rsid w:val="003B2C1E"/>
    <w:rsid w:val="003B318D"/>
    <w:rsid w:val="003B374D"/>
    <w:rsid w:val="003B3AC2"/>
    <w:rsid w:val="003B3B43"/>
    <w:rsid w:val="003B3D76"/>
    <w:rsid w:val="003B62C2"/>
    <w:rsid w:val="003C0A28"/>
    <w:rsid w:val="003C12F6"/>
    <w:rsid w:val="003C3BD4"/>
    <w:rsid w:val="003C4E68"/>
    <w:rsid w:val="003C6950"/>
    <w:rsid w:val="003C71FB"/>
    <w:rsid w:val="003C7689"/>
    <w:rsid w:val="003D23CA"/>
    <w:rsid w:val="003D25AE"/>
    <w:rsid w:val="003D32C5"/>
    <w:rsid w:val="003D3E7F"/>
    <w:rsid w:val="003D4F54"/>
    <w:rsid w:val="003D6EEC"/>
    <w:rsid w:val="003E33DE"/>
    <w:rsid w:val="003E7547"/>
    <w:rsid w:val="003E7E89"/>
    <w:rsid w:val="003F024E"/>
    <w:rsid w:val="003F07F0"/>
    <w:rsid w:val="003F0D6B"/>
    <w:rsid w:val="003F1495"/>
    <w:rsid w:val="003F1645"/>
    <w:rsid w:val="003F2C03"/>
    <w:rsid w:val="003F2F14"/>
    <w:rsid w:val="003F3EBD"/>
    <w:rsid w:val="003F7179"/>
    <w:rsid w:val="003F71BA"/>
    <w:rsid w:val="00401CB3"/>
    <w:rsid w:val="00402349"/>
    <w:rsid w:val="004052E3"/>
    <w:rsid w:val="004055CF"/>
    <w:rsid w:val="00407289"/>
    <w:rsid w:val="004072CD"/>
    <w:rsid w:val="0041206B"/>
    <w:rsid w:val="00412850"/>
    <w:rsid w:val="00413B26"/>
    <w:rsid w:val="00416668"/>
    <w:rsid w:val="0041693E"/>
    <w:rsid w:val="00416A03"/>
    <w:rsid w:val="00416A30"/>
    <w:rsid w:val="00417728"/>
    <w:rsid w:val="00417E3F"/>
    <w:rsid w:val="004212FB"/>
    <w:rsid w:val="00423971"/>
    <w:rsid w:val="00424206"/>
    <w:rsid w:val="004254CB"/>
    <w:rsid w:val="00427D57"/>
    <w:rsid w:val="004307A3"/>
    <w:rsid w:val="00431618"/>
    <w:rsid w:val="00432722"/>
    <w:rsid w:val="004334EC"/>
    <w:rsid w:val="004344F1"/>
    <w:rsid w:val="00434ACE"/>
    <w:rsid w:val="004353E6"/>
    <w:rsid w:val="004359D4"/>
    <w:rsid w:val="00436233"/>
    <w:rsid w:val="0043660A"/>
    <w:rsid w:val="004366F9"/>
    <w:rsid w:val="0043683C"/>
    <w:rsid w:val="004419FB"/>
    <w:rsid w:val="0044557B"/>
    <w:rsid w:val="00447A84"/>
    <w:rsid w:val="00451F4D"/>
    <w:rsid w:val="0045300A"/>
    <w:rsid w:val="004570E4"/>
    <w:rsid w:val="00457A75"/>
    <w:rsid w:val="004632CC"/>
    <w:rsid w:val="00463AC0"/>
    <w:rsid w:val="00463D15"/>
    <w:rsid w:val="004657EA"/>
    <w:rsid w:val="004665F2"/>
    <w:rsid w:val="00466D2A"/>
    <w:rsid w:val="00467190"/>
    <w:rsid w:val="00467738"/>
    <w:rsid w:val="00467F0E"/>
    <w:rsid w:val="00470701"/>
    <w:rsid w:val="00473F80"/>
    <w:rsid w:val="0047585E"/>
    <w:rsid w:val="00476243"/>
    <w:rsid w:val="00480219"/>
    <w:rsid w:val="00481714"/>
    <w:rsid w:val="00481E25"/>
    <w:rsid w:val="004820BD"/>
    <w:rsid w:val="004822FB"/>
    <w:rsid w:val="0048357D"/>
    <w:rsid w:val="00485170"/>
    <w:rsid w:val="0048715E"/>
    <w:rsid w:val="00487357"/>
    <w:rsid w:val="00490E64"/>
    <w:rsid w:val="004922D1"/>
    <w:rsid w:val="00493650"/>
    <w:rsid w:val="00493840"/>
    <w:rsid w:val="00494FA6"/>
    <w:rsid w:val="004A2429"/>
    <w:rsid w:val="004A4445"/>
    <w:rsid w:val="004A65D7"/>
    <w:rsid w:val="004B258A"/>
    <w:rsid w:val="004B45FA"/>
    <w:rsid w:val="004B5F31"/>
    <w:rsid w:val="004B617B"/>
    <w:rsid w:val="004B72B2"/>
    <w:rsid w:val="004C13D9"/>
    <w:rsid w:val="004C1FB1"/>
    <w:rsid w:val="004C27F1"/>
    <w:rsid w:val="004C42FE"/>
    <w:rsid w:val="004C4A0F"/>
    <w:rsid w:val="004C4BF6"/>
    <w:rsid w:val="004C4EE6"/>
    <w:rsid w:val="004C79C5"/>
    <w:rsid w:val="004D253C"/>
    <w:rsid w:val="004D2D86"/>
    <w:rsid w:val="004D3208"/>
    <w:rsid w:val="004D5A0E"/>
    <w:rsid w:val="004D693A"/>
    <w:rsid w:val="004D719C"/>
    <w:rsid w:val="004D73CA"/>
    <w:rsid w:val="004D7A1C"/>
    <w:rsid w:val="004E08FD"/>
    <w:rsid w:val="004E28F1"/>
    <w:rsid w:val="004E3218"/>
    <w:rsid w:val="004E3FD5"/>
    <w:rsid w:val="004E411F"/>
    <w:rsid w:val="004E5BE5"/>
    <w:rsid w:val="004F02E3"/>
    <w:rsid w:val="004F4E5A"/>
    <w:rsid w:val="004F7007"/>
    <w:rsid w:val="00501B74"/>
    <w:rsid w:val="00503979"/>
    <w:rsid w:val="005043F9"/>
    <w:rsid w:val="00505F4A"/>
    <w:rsid w:val="005067A5"/>
    <w:rsid w:val="00506A9D"/>
    <w:rsid w:val="00513369"/>
    <w:rsid w:val="00515068"/>
    <w:rsid w:val="00515CEA"/>
    <w:rsid w:val="00516A76"/>
    <w:rsid w:val="00517167"/>
    <w:rsid w:val="00520016"/>
    <w:rsid w:val="00520314"/>
    <w:rsid w:val="00526303"/>
    <w:rsid w:val="005266D4"/>
    <w:rsid w:val="005307B0"/>
    <w:rsid w:val="00532478"/>
    <w:rsid w:val="005339D1"/>
    <w:rsid w:val="00540285"/>
    <w:rsid w:val="00540E2F"/>
    <w:rsid w:val="005435FB"/>
    <w:rsid w:val="00543AAE"/>
    <w:rsid w:val="005445AA"/>
    <w:rsid w:val="005500C2"/>
    <w:rsid w:val="00550B96"/>
    <w:rsid w:val="00552750"/>
    <w:rsid w:val="0055353E"/>
    <w:rsid w:val="00553C15"/>
    <w:rsid w:val="00555BA2"/>
    <w:rsid w:val="00556041"/>
    <w:rsid w:val="0055734F"/>
    <w:rsid w:val="005622B6"/>
    <w:rsid w:val="0056275F"/>
    <w:rsid w:val="00562DCF"/>
    <w:rsid w:val="00563324"/>
    <w:rsid w:val="00563426"/>
    <w:rsid w:val="00564640"/>
    <w:rsid w:val="00564721"/>
    <w:rsid w:val="00565760"/>
    <w:rsid w:val="00566F0E"/>
    <w:rsid w:val="005677AD"/>
    <w:rsid w:val="00571308"/>
    <w:rsid w:val="005730A9"/>
    <w:rsid w:val="0057480F"/>
    <w:rsid w:val="0057704C"/>
    <w:rsid w:val="00577C24"/>
    <w:rsid w:val="005803F4"/>
    <w:rsid w:val="00581D26"/>
    <w:rsid w:val="005857CA"/>
    <w:rsid w:val="00585A88"/>
    <w:rsid w:val="00587B08"/>
    <w:rsid w:val="0059102D"/>
    <w:rsid w:val="005916C4"/>
    <w:rsid w:val="00592B7E"/>
    <w:rsid w:val="00593DBE"/>
    <w:rsid w:val="0059486A"/>
    <w:rsid w:val="00595A44"/>
    <w:rsid w:val="00597B85"/>
    <w:rsid w:val="005A098B"/>
    <w:rsid w:val="005A1FB0"/>
    <w:rsid w:val="005A2B57"/>
    <w:rsid w:val="005A304E"/>
    <w:rsid w:val="005A3605"/>
    <w:rsid w:val="005A4328"/>
    <w:rsid w:val="005A4D49"/>
    <w:rsid w:val="005A72F9"/>
    <w:rsid w:val="005A7A85"/>
    <w:rsid w:val="005B1DAC"/>
    <w:rsid w:val="005B38F6"/>
    <w:rsid w:val="005B766D"/>
    <w:rsid w:val="005C0239"/>
    <w:rsid w:val="005C5145"/>
    <w:rsid w:val="005D19A9"/>
    <w:rsid w:val="005D51A1"/>
    <w:rsid w:val="005D6453"/>
    <w:rsid w:val="005E29FB"/>
    <w:rsid w:val="005F0253"/>
    <w:rsid w:val="005F27B9"/>
    <w:rsid w:val="005F3AD5"/>
    <w:rsid w:val="005F4F71"/>
    <w:rsid w:val="005F62D9"/>
    <w:rsid w:val="005F6C53"/>
    <w:rsid w:val="006018E5"/>
    <w:rsid w:val="00601DA1"/>
    <w:rsid w:val="00601E16"/>
    <w:rsid w:val="00602B88"/>
    <w:rsid w:val="006038C3"/>
    <w:rsid w:val="0060438B"/>
    <w:rsid w:val="006048CB"/>
    <w:rsid w:val="0060620F"/>
    <w:rsid w:val="00611CEA"/>
    <w:rsid w:val="006129D5"/>
    <w:rsid w:val="006132D5"/>
    <w:rsid w:val="00613D11"/>
    <w:rsid w:val="006140CC"/>
    <w:rsid w:val="0061438B"/>
    <w:rsid w:val="006162F5"/>
    <w:rsid w:val="006212EC"/>
    <w:rsid w:val="006218FD"/>
    <w:rsid w:val="00621934"/>
    <w:rsid w:val="00621E15"/>
    <w:rsid w:val="00622A23"/>
    <w:rsid w:val="00622ED9"/>
    <w:rsid w:val="00624228"/>
    <w:rsid w:val="006259CB"/>
    <w:rsid w:val="00626C8D"/>
    <w:rsid w:val="00626D65"/>
    <w:rsid w:val="00627DBF"/>
    <w:rsid w:val="00627E38"/>
    <w:rsid w:val="00632249"/>
    <w:rsid w:val="00634E01"/>
    <w:rsid w:val="00635709"/>
    <w:rsid w:val="006367A1"/>
    <w:rsid w:val="00636857"/>
    <w:rsid w:val="00637A2B"/>
    <w:rsid w:val="006404E1"/>
    <w:rsid w:val="00641394"/>
    <w:rsid w:val="006424F1"/>
    <w:rsid w:val="006447F2"/>
    <w:rsid w:val="0064498B"/>
    <w:rsid w:val="00644FA5"/>
    <w:rsid w:val="006459AC"/>
    <w:rsid w:val="0064649E"/>
    <w:rsid w:val="00646DF1"/>
    <w:rsid w:val="00647036"/>
    <w:rsid w:val="00647998"/>
    <w:rsid w:val="00647B84"/>
    <w:rsid w:val="006500C3"/>
    <w:rsid w:val="00650432"/>
    <w:rsid w:val="006504A9"/>
    <w:rsid w:val="00650E90"/>
    <w:rsid w:val="0065288C"/>
    <w:rsid w:val="00653D3F"/>
    <w:rsid w:val="00656CAB"/>
    <w:rsid w:val="00656F9A"/>
    <w:rsid w:val="006610F6"/>
    <w:rsid w:val="006620BA"/>
    <w:rsid w:val="00662717"/>
    <w:rsid w:val="00662A4D"/>
    <w:rsid w:val="00664521"/>
    <w:rsid w:val="00664560"/>
    <w:rsid w:val="00664A4B"/>
    <w:rsid w:val="006662A1"/>
    <w:rsid w:val="00666ACE"/>
    <w:rsid w:val="00673746"/>
    <w:rsid w:val="00673BD7"/>
    <w:rsid w:val="006748D6"/>
    <w:rsid w:val="00675885"/>
    <w:rsid w:val="0068149E"/>
    <w:rsid w:val="0068156F"/>
    <w:rsid w:val="006827D6"/>
    <w:rsid w:val="0068365D"/>
    <w:rsid w:val="006845DD"/>
    <w:rsid w:val="0068460C"/>
    <w:rsid w:val="00685627"/>
    <w:rsid w:val="00686670"/>
    <w:rsid w:val="006869A7"/>
    <w:rsid w:val="00687DC9"/>
    <w:rsid w:val="0069362E"/>
    <w:rsid w:val="00693840"/>
    <w:rsid w:val="006A1FB2"/>
    <w:rsid w:val="006A3AEA"/>
    <w:rsid w:val="006A48A6"/>
    <w:rsid w:val="006A609D"/>
    <w:rsid w:val="006A62A6"/>
    <w:rsid w:val="006A6921"/>
    <w:rsid w:val="006B231F"/>
    <w:rsid w:val="006B2EB8"/>
    <w:rsid w:val="006B324A"/>
    <w:rsid w:val="006B353C"/>
    <w:rsid w:val="006B5258"/>
    <w:rsid w:val="006B5E4E"/>
    <w:rsid w:val="006B6220"/>
    <w:rsid w:val="006B788D"/>
    <w:rsid w:val="006C2816"/>
    <w:rsid w:val="006C371E"/>
    <w:rsid w:val="006C4A63"/>
    <w:rsid w:val="006C60F8"/>
    <w:rsid w:val="006C632A"/>
    <w:rsid w:val="006C688D"/>
    <w:rsid w:val="006C6DCF"/>
    <w:rsid w:val="006C7F55"/>
    <w:rsid w:val="006D0194"/>
    <w:rsid w:val="006D11CD"/>
    <w:rsid w:val="006D164A"/>
    <w:rsid w:val="006D2026"/>
    <w:rsid w:val="006D3031"/>
    <w:rsid w:val="006D4512"/>
    <w:rsid w:val="006D6E03"/>
    <w:rsid w:val="006E30D2"/>
    <w:rsid w:val="006E4865"/>
    <w:rsid w:val="006E55E8"/>
    <w:rsid w:val="006E567D"/>
    <w:rsid w:val="006E585E"/>
    <w:rsid w:val="006E6B5E"/>
    <w:rsid w:val="006E799A"/>
    <w:rsid w:val="006E7CCA"/>
    <w:rsid w:val="006F0F3C"/>
    <w:rsid w:val="006F0F6A"/>
    <w:rsid w:val="006F36D3"/>
    <w:rsid w:val="006F4638"/>
    <w:rsid w:val="006F5C33"/>
    <w:rsid w:val="006F741E"/>
    <w:rsid w:val="006F7508"/>
    <w:rsid w:val="00701A92"/>
    <w:rsid w:val="007021F5"/>
    <w:rsid w:val="00702608"/>
    <w:rsid w:val="00702DD7"/>
    <w:rsid w:val="00703058"/>
    <w:rsid w:val="007032EB"/>
    <w:rsid w:val="00703F25"/>
    <w:rsid w:val="00704D7F"/>
    <w:rsid w:val="007066B5"/>
    <w:rsid w:val="00707B95"/>
    <w:rsid w:val="00710D35"/>
    <w:rsid w:val="0071206F"/>
    <w:rsid w:val="00713346"/>
    <w:rsid w:val="007142AE"/>
    <w:rsid w:val="0071452E"/>
    <w:rsid w:val="00715D13"/>
    <w:rsid w:val="00716B55"/>
    <w:rsid w:val="00716D3B"/>
    <w:rsid w:val="00717A34"/>
    <w:rsid w:val="00722704"/>
    <w:rsid w:val="00723B1D"/>
    <w:rsid w:val="007270B2"/>
    <w:rsid w:val="00732DA2"/>
    <w:rsid w:val="00736608"/>
    <w:rsid w:val="00736F2F"/>
    <w:rsid w:val="00736F54"/>
    <w:rsid w:val="00740060"/>
    <w:rsid w:val="00740CBA"/>
    <w:rsid w:val="00741DBB"/>
    <w:rsid w:val="00742372"/>
    <w:rsid w:val="00743C6B"/>
    <w:rsid w:val="0074463C"/>
    <w:rsid w:val="007448C3"/>
    <w:rsid w:val="00744DD8"/>
    <w:rsid w:val="00745CA2"/>
    <w:rsid w:val="00746029"/>
    <w:rsid w:val="00746174"/>
    <w:rsid w:val="00746D8F"/>
    <w:rsid w:val="00750314"/>
    <w:rsid w:val="00750772"/>
    <w:rsid w:val="007530DC"/>
    <w:rsid w:val="007546AB"/>
    <w:rsid w:val="0075534A"/>
    <w:rsid w:val="00760954"/>
    <w:rsid w:val="00760DC1"/>
    <w:rsid w:val="0076181C"/>
    <w:rsid w:val="00762387"/>
    <w:rsid w:val="00766DBF"/>
    <w:rsid w:val="00767695"/>
    <w:rsid w:val="00767E9E"/>
    <w:rsid w:val="00771C0C"/>
    <w:rsid w:val="00771D0E"/>
    <w:rsid w:val="00773E87"/>
    <w:rsid w:val="00774210"/>
    <w:rsid w:val="007743FF"/>
    <w:rsid w:val="00774BE4"/>
    <w:rsid w:val="00775188"/>
    <w:rsid w:val="00775ABC"/>
    <w:rsid w:val="00780A15"/>
    <w:rsid w:val="0078316E"/>
    <w:rsid w:val="007834DB"/>
    <w:rsid w:val="00785310"/>
    <w:rsid w:val="00785A76"/>
    <w:rsid w:val="00787C08"/>
    <w:rsid w:val="00787D48"/>
    <w:rsid w:val="007901A1"/>
    <w:rsid w:val="00790FC7"/>
    <w:rsid w:val="007929DD"/>
    <w:rsid w:val="007942D9"/>
    <w:rsid w:val="00794997"/>
    <w:rsid w:val="00795893"/>
    <w:rsid w:val="00795A6A"/>
    <w:rsid w:val="00796706"/>
    <w:rsid w:val="007A354C"/>
    <w:rsid w:val="007A559F"/>
    <w:rsid w:val="007A57BE"/>
    <w:rsid w:val="007A6409"/>
    <w:rsid w:val="007A659F"/>
    <w:rsid w:val="007A6F07"/>
    <w:rsid w:val="007A708A"/>
    <w:rsid w:val="007B0165"/>
    <w:rsid w:val="007B0317"/>
    <w:rsid w:val="007B0530"/>
    <w:rsid w:val="007B11A4"/>
    <w:rsid w:val="007B1A77"/>
    <w:rsid w:val="007B2A9B"/>
    <w:rsid w:val="007B3A9A"/>
    <w:rsid w:val="007C09AB"/>
    <w:rsid w:val="007C16F7"/>
    <w:rsid w:val="007C30A7"/>
    <w:rsid w:val="007C384C"/>
    <w:rsid w:val="007C3F95"/>
    <w:rsid w:val="007C51A5"/>
    <w:rsid w:val="007C5BF3"/>
    <w:rsid w:val="007C7D83"/>
    <w:rsid w:val="007D03BD"/>
    <w:rsid w:val="007D3214"/>
    <w:rsid w:val="007D3B33"/>
    <w:rsid w:val="007E0DDF"/>
    <w:rsid w:val="007E0E8A"/>
    <w:rsid w:val="007E174A"/>
    <w:rsid w:val="007E36BF"/>
    <w:rsid w:val="007E46DD"/>
    <w:rsid w:val="007E6165"/>
    <w:rsid w:val="007E6BA9"/>
    <w:rsid w:val="007E7483"/>
    <w:rsid w:val="007F0C2B"/>
    <w:rsid w:val="007F0F86"/>
    <w:rsid w:val="007F3034"/>
    <w:rsid w:val="007F3452"/>
    <w:rsid w:val="007F5FFE"/>
    <w:rsid w:val="007F610C"/>
    <w:rsid w:val="007F72A0"/>
    <w:rsid w:val="007F7416"/>
    <w:rsid w:val="007F7827"/>
    <w:rsid w:val="00800633"/>
    <w:rsid w:val="0080091B"/>
    <w:rsid w:val="008101DA"/>
    <w:rsid w:val="00810EF4"/>
    <w:rsid w:val="00811FE7"/>
    <w:rsid w:val="0081243C"/>
    <w:rsid w:val="00814210"/>
    <w:rsid w:val="00815169"/>
    <w:rsid w:val="008170B0"/>
    <w:rsid w:val="008178F3"/>
    <w:rsid w:val="00817FFC"/>
    <w:rsid w:val="0082084A"/>
    <w:rsid w:val="0082089D"/>
    <w:rsid w:val="00820C62"/>
    <w:rsid w:val="00821726"/>
    <w:rsid w:val="00824FDE"/>
    <w:rsid w:val="008253FA"/>
    <w:rsid w:val="008266F8"/>
    <w:rsid w:val="00826BAB"/>
    <w:rsid w:val="00826E64"/>
    <w:rsid w:val="00827213"/>
    <w:rsid w:val="00827565"/>
    <w:rsid w:val="008276B4"/>
    <w:rsid w:val="00827AF1"/>
    <w:rsid w:val="00827F46"/>
    <w:rsid w:val="0083059C"/>
    <w:rsid w:val="00831A98"/>
    <w:rsid w:val="00836A83"/>
    <w:rsid w:val="00842CCB"/>
    <w:rsid w:val="008437A5"/>
    <w:rsid w:val="00847C44"/>
    <w:rsid w:val="00853093"/>
    <w:rsid w:val="00855EC3"/>
    <w:rsid w:val="00861559"/>
    <w:rsid w:val="00864D27"/>
    <w:rsid w:val="0086578E"/>
    <w:rsid w:val="00865A22"/>
    <w:rsid w:val="008667D3"/>
    <w:rsid w:val="00871622"/>
    <w:rsid w:val="008733D4"/>
    <w:rsid w:val="00873D63"/>
    <w:rsid w:val="00874351"/>
    <w:rsid w:val="00874DD2"/>
    <w:rsid w:val="00884B02"/>
    <w:rsid w:val="0088622D"/>
    <w:rsid w:val="00886530"/>
    <w:rsid w:val="0088667C"/>
    <w:rsid w:val="00886EAA"/>
    <w:rsid w:val="00887898"/>
    <w:rsid w:val="00890371"/>
    <w:rsid w:val="0089172A"/>
    <w:rsid w:val="00892775"/>
    <w:rsid w:val="008929A7"/>
    <w:rsid w:val="0089384B"/>
    <w:rsid w:val="00896041"/>
    <w:rsid w:val="008A0316"/>
    <w:rsid w:val="008A06C3"/>
    <w:rsid w:val="008A0CB5"/>
    <w:rsid w:val="008A2FA6"/>
    <w:rsid w:val="008A323E"/>
    <w:rsid w:val="008A35AA"/>
    <w:rsid w:val="008A3D44"/>
    <w:rsid w:val="008B23EF"/>
    <w:rsid w:val="008B2FEF"/>
    <w:rsid w:val="008B3FD5"/>
    <w:rsid w:val="008B44D8"/>
    <w:rsid w:val="008B4D5A"/>
    <w:rsid w:val="008B4D9A"/>
    <w:rsid w:val="008B6C7F"/>
    <w:rsid w:val="008B6C99"/>
    <w:rsid w:val="008B7004"/>
    <w:rsid w:val="008B7206"/>
    <w:rsid w:val="008B7336"/>
    <w:rsid w:val="008C3F19"/>
    <w:rsid w:val="008C72FF"/>
    <w:rsid w:val="008C7978"/>
    <w:rsid w:val="008D2EA1"/>
    <w:rsid w:val="008D355E"/>
    <w:rsid w:val="008D3588"/>
    <w:rsid w:val="008D3884"/>
    <w:rsid w:val="008D4429"/>
    <w:rsid w:val="008D530A"/>
    <w:rsid w:val="008D62D7"/>
    <w:rsid w:val="008D682A"/>
    <w:rsid w:val="008D696E"/>
    <w:rsid w:val="008D769B"/>
    <w:rsid w:val="008E12EB"/>
    <w:rsid w:val="008E59EB"/>
    <w:rsid w:val="008E73F3"/>
    <w:rsid w:val="008F3918"/>
    <w:rsid w:val="008F412E"/>
    <w:rsid w:val="008F679F"/>
    <w:rsid w:val="008F6E8B"/>
    <w:rsid w:val="008F7348"/>
    <w:rsid w:val="00900E8E"/>
    <w:rsid w:val="00902224"/>
    <w:rsid w:val="00903CB1"/>
    <w:rsid w:val="00904611"/>
    <w:rsid w:val="009046B4"/>
    <w:rsid w:val="00904EB3"/>
    <w:rsid w:val="0090511D"/>
    <w:rsid w:val="00905381"/>
    <w:rsid w:val="00906588"/>
    <w:rsid w:val="00907531"/>
    <w:rsid w:val="00911C03"/>
    <w:rsid w:val="009127E2"/>
    <w:rsid w:val="009129A5"/>
    <w:rsid w:val="00913D49"/>
    <w:rsid w:val="00916A1B"/>
    <w:rsid w:val="00917135"/>
    <w:rsid w:val="009202B7"/>
    <w:rsid w:val="00922978"/>
    <w:rsid w:val="009249C5"/>
    <w:rsid w:val="00927495"/>
    <w:rsid w:val="009277AE"/>
    <w:rsid w:val="00932586"/>
    <w:rsid w:val="00933594"/>
    <w:rsid w:val="009419D5"/>
    <w:rsid w:val="00943D86"/>
    <w:rsid w:val="00943E94"/>
    <w:rsid w:val="009463F2"/>
    <w:rsid w:val="009466C4"/>
    <w:rsid w:val="00947662"/>
    <w:rsid w:val="0095094F"/>
    <w:rsid w:val="00953446"/>
    <w:rsid w:val="00953A8B"/>
    <w:rsid w:val="00954913"/>
    <w:rsid w:val="00955037"/>
    <w:rsid w:val="009559BC"/>
    <w:rsid w:val="00955C3E"/>
    <w:rsid w:val="00961263"/>
    <w:rsid w:val="00961907"/>
    <w:rsid w:val="00961F52"/>
    <w:rsid w:val="009639D8"/>
    <w:rsid w:val="00965D95"/>
    <w:rsid w:val="00965E53"/>
    <w:rsid w:val="00970058"/>
    <w:rsid w:val="00971061"/>
    <w:rsid w:val="00971DE0"/>
    <w:rsid w:val="009775BB"/>
    <w:rsid w:val="00977E6D"/>
    <w:rsid w:val="00980EE0"/>
    <w:rsid w:val="00981EA6"/>
    <w:rsid w:val="0098279D"/>
    <w:rsid w:val="00982F8A"/>
    <w:rsid w:val="00986F18"/>
    <w:rsid w:val="0098753F"/>
    <w:rsid w:val="00990375"/>
    <w:rsid w:val="00990719"/>
    <w:rsid w:val="00992BC7"/>
    <w:rsid w:val="00993EAA"/>
    <w:rsid w:val="00994C45"/>
    <w:rsid w:val="00994CDC"/>
    <w:rsid w:val="009974C2"/>
    <w:rsid w:val="00997664"/>
    <w:rsid w:val="00997906"/>
    <w:rsid w:val="009A1160"/>
    <w:rsid w:val="009A4AE9"/>
    <w:rsid w:val="009A5C6A"/>
    <w:rsid w:val="009B2161"/>
    <w:rsid w:val="009B2AFA"/>
    <w:rsid w:val="009B33F0"/>
    <w:rsid w:val="009B41BB"/>
    <w:rsid w:val="009B5534"/>
    <w:rsid w:val="009C1149"/>
    <w:rsid w:val="009C148D"/>
    <w:rsid w:val="009C1ADC"/>
    <w:rsid w:val="009C4CCC"/>
    <w:rsid w:val="009C5CAD"/>
    <w:rsid w:val="009C6AE4"/>
    <w:rsid w:val="009D11EF"/>
    <w:rsid w:val="009D22CF"/>
    <w:rsid w:val="009D2B1D"/>
    <w:rsid w:val="009D39E5"/>
    <w:rsid w:val="009D4FDA"/>
    <w:rsid w:val="009D6C7B"/>
    <w:rsid w:val="009D6F62"/>
    <w:rsid w:val="009D7B45"/>
    <w:rsid w:val="009E0008"/>
    <w:rsid w:val="009E0EA7"/>
    <w:rsid w:val="009E19E9"/>
    <w:rsid w:val="009E2A2C"/>
    <w:rsid w:val="009E2D8D"/>
    <w:rsid w:val="009E71B1"/>
    <w:rsid w:val="009F05AC"/>
    <w:rsid w:val="009F2352"/>
    <w:rsid w:val="009F3BA7"/>
    <w:rsid w:val="009F527B"/>
    <w:rsid w:val="00A01319"/>
    <w:rsid w:val="00A0497F"/>
    <w:rsid w:val="00A05560"/>
    <w:rsid w:val="00A10026"/>
    <w:rsid w:val="00A105D3"/>
    <w:rsid w:val="00A10B82"/>
    <w:rsid w:val="00A13228"/>
    <w:rsid w:val="00A142AA"/>
    <w:rsid w:val="00A233EB"/>
    <w:rsid w:val="00A24011"/>
    <w:rsid w:val="00A25BD3"/>
    <w:rsid w:val="00A25F53"/>
    <w:rsid w:val="00A268F2"/>
    <w:rsid w:val="00A27A58"/>
    <w:rsid w:val="00A27A5B"/>
    <w:rsid w:val="00A30939"/>
    <w:rsid w:val="00A32695"/>
    <w:rsid w:val="00A3404B"/>
    <w:rsid w:val="00A36D05"/>
    <w:rsid w:val="00A406B6"/>
    <w:rsid w:val="00A40719"/>
    <w:rsid w:val="00A41DC4"/>
    <w:rsid w:val="00A42602"/>
    <w:rsid w:val="00A4419B"/>
    <w:rsid w:val="00A441D8"/>
    <w:rsid w:val="00A515EC"/>
    <w:rsid w:val="00A52083"/>
    <w:rsid w:val="00A56D34"/>
    <w:rsid w:val="00A617C7"/>
    <w:rsid w:val="00A64091"/>
    <w:rsid w:val="00A66633"/>
    <w:rsid w:val="00A70800"/>
    <w:rsid w:val="00A70CD3"/>
    <w:rsid w:val="00A737CD"/>
    <w:rsid w:val="00A76477"/>
    <w:rsid w:val="00A80A75"/>
    <w:rsid w:val="00A8232E"/>
    <w:rsid w:val="00A84026"/>
    <w:rsid w:val="00A84DEF"/>
    <w:rsid w:val="00A85BF2"/>
    <w:rsid w:val="00A86555"/>
    <w:rsid w:val="00A902FD"/>
    <w:rsid w:val="00A90C15"/>
    <w:rsid w:val="00A90E33"/>
    <w:rsid w:val="00A919E1"/>
    <w:rsid w:val="00A91A75"/>
    <w:rsid w:val="00A94EE3"/>
    <w:rsid w:val="00A9733E"/>
    <w:rsid w:val="00A97E08"/>
    <w:rsid w:val="00A97FCE"/>
    <w:rsid w:val="00AA00C1"/>
    <w:rsid w:val="00AA06B3"/>
    <w:rsid w:val="00AA1B86"/>
    <w:rsid w:val="00AA1D46"/>
    <w:rsid w:val="00AA1DCC"/>
    <w:rsid w:val="00AA23F2"/>
    <w:rsid w:val="00AA5B81"/>
    <w:rsid w:val="00AB53F5"/>
    <w:rsid w:val="00AB7A62"/>
    <w:rsid w:val="00AC3A9B"/>
    <w:rsid w:val="00AC48B9"/>
    <w:rsid w:val="00AC6648"/>
    <w:rsid w:val="00AC6ACB"/>
    <w:rsid w:val="00AC76DE"/>
    <w:rsid w:val="00AC7FFA"/>
    <w:rsid w:val="00AD2515"/>
    <w:rsid w:val="00AD352B"/>
    <w:rsid w:val="00AD4A06"/>
    <w:rsid w:val="00AD5119"/>
    <w:rsid w:val="00AD7C5A"/>
    <w:rsid w:val="00AE3BBE"/>
    <w:rsid w:val="00AE58E1"/>
    <w:rsid w:val="00AE760D"/>
    <w:rsid w:val="00AF017B"/>
    <w:rsid w:val="00AF0459"/>
    <w:rsid w:val="00AF0CC0"/>
    <w:rsid w:val="00AF1E57"/>
    <w:rsid w:val="00AF2209"/>
    <w:rsid w:val="00AF2EDB"/>
    <w:rsid w:val="00AF46AF"/>
    <w:rsid w:val="00AF666B"/>
    <w:rsid w:val="00AF7806"/>
    <w:rsid w:val="00B00CB2"/>
    <w:rsid w:val="00B00E64"/>
    <w:rsid w:val="00B01097"/>
    <w:rsid w:val="00B013D2"/>
    <w:rsid w:val="00B05F2B"/>
    <w:rsid w:val="00B0678B"/>
    <w:rsid w:val="00B06B61"/>
    <w:rsid w:val="00B11BD0"/>
    <w:rsid w:val="00B16AA7"/>
    <w:rsid w:val="00B17162"/>
    <w:rsid w:val="00B208BE"/>
    <w:rsid w:val="00B21804"/>
    <w:rsid w:val="00B23014"/>
    <w:rsid w:val="00B230AC"/>
    <w:rsid w:val="00B257F8"/>
    <w:rsid w:val="00B26126"/>
    <w:rsid w:val="00B26AC4"/>
    <w:rsid w:val="00B30835"/>
    <w:rsid w:val="00B3218B"/>
    <w:rsid w:val="00B35604"/>
    <w:rsid w:val="00B3716C"/>
    <w:rsid w:val="00B378E1"/>
    <w:rsid w:val="00B462B0"/>
    <w:rsid w:val="00B507A8"/>
    <w:rsid w:val="00B51CC3"/>
    <w:rsid w:val="00B53466"/>
    <w:rsid w:val="00B550E5"/>
    <w:rsid w:val="00B57A86"/>
    <w:rsid w:val="00B57E1F"/>
    <w:rsid w:val="00B60CAE"/>
    <w:rsid w:val="00B6279C"/>
    <w:rsid w:val="00B64868"/>
    <w:rsid w:val="00B6555E"/>
    <w:rsid w:val="00B6572D"/>
    <w:rsid w:val="00B657B2"/>
    <w:rsid w:val="00B66964"/>
    <w:rsid w:val="00B701CC"/>
    <w:rsid w:val="00B70C00"/>
    <w:rsid w:val="00B713F9"/>
    <w:rsid w:val="00B725B9"/>
    <w:rsid w:val="00B7322D"/>
    <w:rsid w:val="00B7394E"/>
    <w:rsid w:val="00B74125"/>
    <w:rsid w:val="00B75320"/>
    <w:rsid w:val="00B762B2"/>
    <w:rsid w:val="00B769DF"/>
    <w:rsid w:val="00B76A24"/>
    <w:rsid w:val="00B76C5D"/>
    <w:rsid w:val="00B807F6"/>
    <w:rsid w:val="00B8145F"/>
    <w:rsid w:val="00B8243F"/>
    <w:rsid w:val="00B841A9"/>
    <w:rsid w:val="00B84727"/>
    <w:rsid w:val="00B874F3"/>
    <w:rsid w:val="00B91090"/>
    <w:rsid w:val="00B92368"/>
    <w:rsid w:val="00B9537A"/>
    <w:rsid w:val="00BA461C"/>
    <w:rsid w:val="00BA6526"/>
    <w:rsid w:val="00BA6A61"/>
    <w:rsid w:val="00BB0E10"/>
    <w:rsid w:val="00BB3BBE"/>
    <w:rsid w:val="00BB44F8"/>
    <w:rsid w:val="00BB6706"/>
    <w:rsid w:val="00BC01BE"/>
    <w:rsid w:val="00BC05C8"/>
    <w:rsid w:val="00BC23F7"/>
    <w:rsid w:val="00BD0E3F"/>
    <w:rsid w:val="00BD234C"/>
    <w:rsid w:val="00BE059D"/>
    <w:rsid w:val="00BE3049"/>
    <w:rsid w:val="00BE31E8"/>
    <w:rsid w:val="00BE52BC"/>
    <w:rsid w:val="00BE78EF"/>
    <w:rsid w:val="00BF1CE5"/>
    <w:rsid w:val="00BF303E"/>
    <w:rsid w:val="00BF5CAD"/>
    <w:rsid w:val="00BF6D52"/>
    <w:rsid w:val="00BF7B8F"/>
    <w:rsid w:val="00C01DB3"/>
    <w:rsid w:val="00C02B65"/>
    <w:rsid w:val="00C03236"/>
    <w:rsid w:val="00C04900"/>
    <w:rsid w:val="00C056B1"/>
    <w:rsid w:val="00C07554"/>
    <w:rsid w:val="00C079CB"/>
    <w:rsid w:val="00C126A1"/>
    <w:rsid w:val="00C13C8B"/>
    <w:rsid w:val="00C151E8"/>
    <w:rsid w:val="00C169CD"/>
    <w:rsid w:val="00C16C78"/>
    <w:rsid w:val="00C2125F"/>
    <w:rsid w:val="00C25DD8"/>
    <w:rsid w:val="00C3180D"/>
    <w:rsid w:val="00C325B9"/>
    <w:rsid w:val="00C32A46"/>
    <w:rsid w:val="00C33B54"/>
    <w:rsid w:val="00C40584"/>
    <w:rsid w:val="00C43018"/>
    <w:rsid w:val="00C43F36"/>
    <w:rsid w:val="00C4420B"/>
    <w:rsid w:val="00C4483D"/>
    <w:rsid w:val="00C45E81"/>
    <w:rsid w:val="00C4686F"/>
    <w:rsid w:val="00C47192"/>
    <w:rsid w:val="00C47BA9"/>
    <w:rsid w:val="00C50456"/>
    <w:rsid w:val="00C50655"/>
    <w:rsid w:val="00C50AFD"/>
    <w:rsid w:val="00C51CED"/>
    <w:rsid w:val="00C5449B"/>
    <w:rsid w:val="00C553BF"/>
    <w:rsid w:val="00C5687A"/>
    <w:rsid w:val="00C569CB"/>
    <w:rsid w:val="00C61360"/>
    <w:rsid w:val="00C61A87"/>
    <w:rsid w:val="00C62978"/>
    <w:rsid w:val="00C63530"/>
    <w:rsid w:val="00C63584"/>
    <w:rsid w:val="00C70DA5"/>
    <w:rsid w:val="00C71655"/>
    <w:rsid w:val="00C716C4"/>
    <w:rsid w:val="00C71CCE"/>
    <w:rsid w:val="00C735C3"/>
    <w:rsid w:val="00C73B18"/>
    <w:rsid w:val="00C756DC"/>
    <w:rsid w:val="00C76B96"/>
    <w:rsid w:val="00C7780F"/>
    <w:rsid w:val="00C852E5"/>
    <w:rsid w:val="00C855B0"/>
    <w:rsid w:val="00C8745B"/>
    <w:rsid w:val="00C87F34"/>
    <w:rsid w:val="00C9183C"/>
    <w:rsid w:val="00C96251"/>
    <w:rsid w:val="00CA26C5"/>
    <w:rsid w:val="00CA3D1C"/>
    <w:rsid w:val="00CA4897"/>
    <w:rsid w:val="00CA55C9"/>
    <w:rsid w:val="00CA6AE2"/>
    <w:rsid w:val="00CA7D51"/>
    <w:rsid w:val="00CB483E"/>
    <w:rsid w:val="00CB537F"/>
    <w:rsid w:val="00CB6322"/>
    <w:rsid w:val="00CB6A88"/>
    <w:rsid w:val="00CB7CC8"/>
    <w:rsid w:val="00CB7FDF"/>
    <w:rsid w:val="00CC016C"/>
    <w:rsid w:val="00CC1524"/>
    <w:rsid w:val="00CC38BC"/>
    <w:rsid w:val="00CC3DEA"/>
    <w:rsid w:val="00CC3FD6"/>
    <w:rsid w:val="00CC4646"/>
    <w:rsid w:val="00CC4BBF"/>
    <w:rsid w:val="00CC5211"/>
    <w:rsid w:val="00CC65D6"/>
    <w:rsid w:val="00CC661A"/>
    <w:rsid w:val="00CC6F62"/>
    <w:rsid w:val="00CD0E38"/>
    <w:rsid w:val="00CD3951"/>
    <w:rsid w:val="00CD6407"/>
    <w:rsid w:val="00CD7625"/>
    <w:rsid w:val="00CE0741"/>
    <w:rsid w:val="00CE087B"/>
    <w:rsid w:val="00CE33BB"/>
    <w:rsid w:val="00CE433D"/>
    <w:rsid w:val="00CE5C34"/>
    <w:rsid w:val="00CE6B61"/>
    <w:rsid w:val="00CF1BA6"/>
    <w:rsid w:val="00CF1D49"/>
    <w:rsid w:val="00CF2220"/>
    <w:rsid w:val="00CF48EF"/>
    <w:rsid w:val="00CF53EA"/>
    <w:rsid w:val="00CF5831"/>
    <w:rsid w:val="00D00216"/>
    <w:rsid w:val="00D00657"/>
    <w:rsid w:val="00D01214"/>
    <w:rsid w:val="00D0390E"/>
    <w:rsid w:val="00D03BF9"/>
    <w:rsid w:val="00D040E4"/>
    <w:rsid w:val="00D04116"/>
    <w:rsid w:val="00D05AD2"/>
    <w:rsid w:val="00D05E9B"/>
    <w:rsid w:val="00D071EA"/>
    <w:rsid w:val="00D076A0"/>
    <w:rsid w:val="00D102BE"/>
    <w:rsid w:val="00D11775"/>
    <w:rsid w:val="00D12E4A"/>
    <w:rsid w:val="00D153A1"/>
    <w:rsid w:val="00D15D01"/>
    <w:rsid w:val="00D201F4"/>
    <w:rsid w:val="00D20D5E"/>
    <w:rsid w:val="00D21C3E"/>
    <w:rsid w:val="00D220CB"/>
    <w:rsid w:val="00D22C99"/>
    <w:rsid w:val="00D2509E"/>
    <w:rsid w:val="00D27438"/>
    <w:rsid w:val="00D31CFA"/>
    <w:rsid w:val="00D32E0A"/>
    <w:rsid w:val="00D330AB"/>
    <w:rsid w:val="00D3314C"/>
    <w:rsid w:val="00D3567F"/>
    <w:rsid w:val="00D3588A"/>
    <w:rsid w:val="00D37186"/>
    <w:rsid w:val="00D37326"/>
    <w:rsid w:val="00D40F56"/>
    <w:rsid w:val="00D4184D"/>
    <w:rsid w:val="00D42938"/>
    <w:rsid w:val="00D436A2"/>
    <w:rsid w:val="00D4394D"/>
    <w:rsid w:val="00D43FF0"/>
    <w:rsid w:val="00D5008E"/>
    <w:rsid w:val="00D51298"/>
    <w:rsid w:val="00D51F1D"/>
    <w:rsid w:val="00D5367C"/>
    <w:rsid w:val="00D54704"/>
    <w:rsid w:val="00D55835"/>
    <w:rsid w:val="00D55EDF"/>
    <w:rsid w:val="00D56867"/>
    <w:rsid w:val="00D579D9"/>
    <w:rsid w:val="00D60C57"/>
    <w:rsid w:val="00D61184"/>
    <w:rsid w:val="00D62D7A"/>
    <w:rsid w:val="00D63F02"/>
    <w:rsid w:val="00D646EF"/>
    <w:rsid w:val="00D65047"/>
    <w:rsid w:val="00D65943"/>
    <w:rsid w:val="00D66C1D"/>
    <w:rsid w:val="00D678EB"/>
    <w:rsid w:val="00D67A9A"/>
    <w:rsid w:val="00D67B99"/>
    <w:rsid w:val="00D67FCF"/>
    <w:rsid w:val="00D72F9D"/>
    <w:rsid w:val="00D73195"/>
    <w:rsid w:val="00D73D18"/>
    <w:rsid w:val="00D74935"/>
    <w:rsid w:val="00D767F4"/>
    <w:rsid w:val="00D80B74"/>
    <w:rsid w:val="00D879F9"/>
    <w:rsid w:val="00D87E19"/>
    <w:rsid w:val="00D90250"/>
    <w:rsid w:val="00D9048A"/>
    <w:rsid w:val="00D9445F"/>
    <w:rsid w:val="00D9458E"/>
    <w:rsid w:val="00D94904"/>
    <w:rsid w:val="00D963EA"/>
    <w:rsid w:val="00D97EAA"/>
    <w:rsid w:val="00DA019A"/>
    <w:rsid w:val="00DA1D15"/>
    <w:rsid w:val="00DA26A0"/>
    <w:rsid w:val="00DA3702"/>
    <w:rsid w:val="00DA3803"/>
    <w:rsid w:val="00DA3916"/>
    <w:rsid w:val="00DA3E33"/>
    <w:rsid w:val="00DA40AA"/>
    <w:rsid w:val="00DA4881"/>
    <w:rsid w:val="00DA4EDB"/>
    <w:rsid w:val="00DA53A0"/>
    <w:rsid w:val="00DA5FBF"/>
    <w:rsid w:val="00DA6765"/>
    <w:rsid w:val="00DA6AD8"/>
    <w:rsid w:val="00DA79A0"/>
    <w:rsid w:val="00DB36A1"/>
    <w:rsid w:val="00DB3D86"/>
    <w:rsid w:val="00DB6A8E"/>
    <w:rsid w:val="00DC09FD"/>
    <w:rsid w:val="00DC0C5F"/>
    <w:rsid w:val="00DC18B9"/>
    <w:rsid w:val="00DC7978"/>
    <w:rsid w:val="00DD0A4B"/>
    <w:rsid w:val="00DD0C64"/>
    <w:rsid w:val="00DD1AB6"/>
    <w:rsid w:val="00DD1AFB"/>
    <w:rsid w:val="00DD27F1"/>
    <w:rsid w:val="00DD3BE2"/>
    <w:rsid w:val="00DD41DA"/>
    <w:rsid w:val="00DD4528"/>
    <w:rsid w:val="00DD53A7"/>
    <w:rsid w:val="00DD56A4"/>
    <w:rsid w:val="00DD5DCA"/>
    <w:rsid w:val="00DD6105"/>
    <w:rsid w:val="00DD72CD"/>
    <w:rsid w:val="00DE06B7"/>
    <w:rsid w:val="00DE3476"/>
    <w:rsid w:val="00DE4379"/>
    <w:rsid w:val="00DE50F1"/>
    <w:rsid w:val="00DE633F"/>
    <w:rsid w:val="00DE77DE"/>
    <w:rsid w:val="00DF0229"/>
    <w:rsid w:val="00DF2557"/>
    <w:rsid w:val="00DF304F"/>
    <w:rsid w:val="00DF3267"/>
    <w:rsid w:val="00DF38F8"/>
    <w:rsid w:val="00DF45B1"/>
    <w:rsid w:val="00DF6319"/>
    <w:rsid w:val="00DF6BD8"/>
    <w:rsid w:val="00DF783A"/>
    <w:rsid w:val="00E02500"/>
    <w:rsid w:val="00E02857"/>
    <w:rsid w:val="00E106B1"/>
    <w:rsid w:val="00E10CD8"/>
    <w:rsid w:val="00E11B05"/>
    <w:rsid w:val="00E12766"/>
    <w:rsid w:val="00E141FF"/>
    <w:rsid w:val="00E14466"/>
    <w:rsid w:val="00E174CD"/>
    <w:rsid w:val="00E176A7"/>
    <w:rsid w:val="00E20DFC"/>
    <w:rsid w:val="00E224CB"/>
    <w:rsid w:val="00E240DA"/>
    <w:rsid w:val="00E2460D"/>
    <w:rsid w:val="00E24BAE"/>
    <w:rsid w:val="00E26015"/>
    <w:rsid w:val="00E30609"/>
    <w:rsid w:val="00E33B1F"/>
    <w:rsid w:val="00E343B0"/>
    <w:rsid w:val="00E355E6"/>
    <w:rsid w:val="00E365A5"/>
    <w:rsid w:val="00E37EE1"/>
    <w:rsid w:val="00E40F3D"/>
    <w:rsid w:val="00E41248"/>
    <w:rsid w:val="00E41F54"/>
    <w:rsid w:val="00E420B8"/>
    <w:rsid w:val="00E43134"/>
    <w:rsid w:val="00E441CE"/>
    <w:rsid w:val="00E47286"/>
    <w:rsid w:val="00E47675"/>
    <w:rsid w:val="00E50115"/>
    <w:rsid w:val="00E51132"/>
    <w:rsid w:val="00E5173A"/>
    <w:rsid w:val="00E52137"/>
    <w:rsid w:val="00E52A7D"/>
    <w:rsid w:val="00E54E26"/>
    <w:rsid w:val="00E55E4E"/>
    <w:rsid w:val="00E57235"/>
    <w:rsid w:val="00E57A93"/>
    <w:rsid w:val="00E62684"/>
    <w:rsid w:val="00E63ED8"/>
    <w:rsid w:val="00E669D9"/>
    <w:rsid w:val="00E674AD"/>
    <w:rsid w:val="00E70940"/>
    <w:rsid w:val="00E7129C"/>
    <w:rsid w:val="00E717B9"/>
    <w:rsid w:val="00E71E62"/>
    <w:rsid w:val="00E748C9"/>
    <w:rsid w:val="00E74B49"/>
    <w:rsid w:val="00E76519"/>
    <w:rsid w:val="00E80778"/>
    <w:rsid w:val="00E80F55"/>
    <w:rsid w:val="00E82762"/>
    <w:rsid w:val="00E85501"/>
    <w:rsid w:val="00E86E07"/>
    <w:rsid w:val="00E91FD1"/>
    <w:rsid w:val="00E92997"/>
    <w:rsid w:val="00E93FC3"/>
    <w:rsid w:val="00E94FCE"/>
    <w:rsid w:val="00E954C7"/>
    <w:rsid w:val="00E96579"/>
    <w:rsid w:val="00E973A1"/>
    <w:rsid w:val="00E97FBC"/>
    <w:rsid w:val="00EA09A1"/>
    <w:rsid w:val="00EA21B1"/>
    <w:rsid w:val="00EA255E"/>
    <w:rsid w:val="00EA303A"/>
    <w:rsid w:val="00EA440C"/>
    <w:rsid w:val="00EA48DF"/>
    <w:rsid w:val="00EA663F"/>
    <w:rsid w:val="00EB099E"/>
    <w:rsid w:val="00EB4B39"/>
    <w:rsid w:val="00EB4E35"/>
    <w:rsid w:val="00EB59F8"/>
    <w:rsid w:val="00EB7500"/>
    <w:rsid w:val="00EB7A6E"/>
    <w:rsid w:val="00EC00EA"/>
    <w:rsid w:val="00EC055C"/>
    <w:rsid w:val="00EC0D1B"/>
    <w:rsid w:val="00EC171F"/>
    <w:rsid w:val="00EC1AE2"/>
    <w:rsid w:val="00EC3E30"/>
    <w:rsid w:val="00EC42CA"/>
    <w:rsid w:val="00EC5578"/>
    <w:rsid w:val="00ED00EB"/>
    <w:rsid w:val="00ED161A"/>
    <w:rsid w:val="00ED215A"/>
    <w:rsid w:val="00ED28A0"/>
    <w:rsid w:val="00ED759A"/>
    <w:rsid w:val="00ED7EC6"/>
    <w:rsid w:val="00EE2CAD"/>
    <w:rsid w:val="00EE2DDB"/>
    <w:rsid w:val="00EE3223"/>
    <w:rsid w:val="00EE32AB"/>
    <w:rsid w:val="00EE361C"/>
    <w:rsid w:val="00EE769B"/>
    <w:rsid w:val="00EF005C"/>
    <w:rsid w:val="00EF0BA8"/>
    <w:rsid w:val="00EF1175"/>
    <w:rsid w:val="00EF23BF"/>
    <w:rsid w:val="00EF388D"/>
    <w:rsid w:val="00EF4FA9"/>
    <w:rsid w:val="00EF666F"/>
    <w:rsid w:val="00EF7526"/>
    <w:rsid w:val="00F00F4C"/>
    <w:rsid w:val="00F0312E"/>
    <w:rsid w:val="00F03FD6"/>
    <w:rsid w:val="00F0657B"/>
    <w:rsid w:val="00F07C7F"/>
    <w:rsid w:val="00F1136A"/>
    <w:rsid w:val="00F123C7"/>
    <w:rsid w:val="00F13903"/>
    <w:rsid w:val="00F144DD"/>
    <w:rsid w:val="00F14E8B"/>
    <w:rsid w:val="00F152EA"/>
    <w:rsid w:val="00F16637"/>
    <w:rsid w:val="00F16B98"/>
    <w:rsid w:val="00F21671"/>
    <w:rsid w:val="00F225F5"/>
    <w:rsid w:val="00F24306"/>
    <w:rsid w:val="00F2763A"/>
    <w:rsid w:val="00F27A37"/>
    <w:rsid w:val="00F31116"/>
    <w:rsid w:val="00F32B8F"/>
    <w:rsid w:val="00F36309"/>
    <w:rsid w:val="00F36E5E"/>
    <w:rsid w:val="00F37574"/>
    <w:rsid w:val="00F40B47"/>
    <w:rsid w:val="00F414AC"/>
    <w:rsid w:val="00F418FA"/>
    <w:rsid w:val="00F46DF6"/>
    <w:rsid w:val="00F475C7"/>
    <w:rsid w:val="00F4785D"/>
    <w:rsid w:val="00F47904"/>
    <w:rsid w:val="00F52598"/>
    <w:rsid w:val="00F53671"/>
    <w:rsid w:val="00F559B1"/>
    <w:rsid w:val="00F562CC"/>
    <w:rsid w:val="00F5696E"/>
    <w:rsid w:val="00F579C1"/>
    <w:rsid w:val="00F57AF4"/>
    <w:rsid w:val="00F57BAE"/>
    <w:rsid w:val="00F61F55"/>
    <w:rsid w:val="00F80437"/>
    <w:rsid w:val="00F8118C"/>
    <w:rsid w:val="00F81A31"/>
    <w:rsid w:val="00F81B60"/>
    <w:rsid w:val="00F82480"/>
    <w:rsid w:val="00F8348C"/>
    <w:rsid w:val="00F8366C"/>
    <w:rsid w:val="00F86EA6"/>
    <w:rsid w:val="00F87422"/>
    <w:rsid w:val="00F904BE"/>
    <w:rsid w:val="00F919AC"/>
    <w:rsid w:val="00F92CCB"/>
    <w:rsid w:val="00F96E82"/>
    <w:rsid w:val="00F974D6"/>
    <w:rsid w:val="00F978F4"/>
    <w:rsid w:val="00FA073A"/>
    <w:rsid w:val="00FA20B1"/>
    <w:rsid w:val="00FA20E0"/>
    <w:rsid w:val="00FA44A3"/>
    <w:rsid w:val="00FA4D06"/>
    <w:rsid w:val="00FA6603"/>
    <w:rsid w:val="00FA6BC6"/>
    <w:rsid w:val="00FA791D"/>
    <w:rsid w:val="00FB0928"/>
    <w:rsid w:val="00FB2C7E"/>
    <w:rsid w:val="00FB3241"/>
    <w:rsid w:val="00FB360B"/>
    <w:rsid w:val="00FB389B"/>
    <w:rsid w:val="00FB5322"/>
    <w:rsid w:val="00FB53B6"/>
    <w:rsid w:val="00FB5917"/>
    <w:rsid w:val="00FB72D8"/>
    <w:rsid w:val="00FC0FC7"/>
    <w:rsid w:val="00FC3827"/>
    <w:rsid w:val="00FC761C"/>
    <w:rsid w:val="00FD0980"/>
    <w:rsid w:val="00FD13AE"/>
    <w:rsid w:val="00FD2447"/>
    <w:rsid w:val="00FD3125"/>
    <w:rsid w:val="00FD3D2B"/>
    <w:rsid w:val="00FD40A6"/>
    <w:rsid w:val="00FD48C7"/>
    <w:rsid w:val="00FE0530"/>
    <w:rsid w:val="00FE09BA"/>
    <w:rsid w:val="00FE0A3A"/>
    <w:rsid w:val="00FE2785"/>
    <w:rsid w:val="00FE351A"/>
    <w:rsid w:val="00FE3BDC"/>
    <w:rsid w:val="00FE5605"/>
    <w:rsid w:val="00FE6303"/>
    <w:rsid w:val="00FE71D4"/>
    <w:rsid w:val="00FE7430"/>
    <w:rsid w:val="00FF171F"/>
    <w:rsid w:val="00FF1AC9"/>
    <w:rsid w:val="00FF252B"/>
    <w:rsid w:val="00FF284A"/>
    <w:rsid w:val="00FF5B67"/>
    <w:rsid w:val="00FF5EAD"/>
    <w:rsid w:val="355D284F"/>
    <w:rsid w:val="3A9D031B"/>
    <w:rsid w:val="5E741D82"/>
    <w:rsid w:val="62860977"/>
    <w:rsid w:val="747E58DC"/>
    <w:rsid w:val="76BE0AA2"/>
    <w:rsid w:val="777B7A1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5D897823"/>
  <w15:docId w15:val="{44CD5E5E-59E2-40AE-8FDE-3109967703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qFormat="1"/>
    <w:lsdException w:name="toc 2" w:semiHidden="1" w:uiPriority="39" w:unhideWhenUsed="1"/>
    <w:lsdException w:name="toc 3" w:semiHidden="1" w:uiPriority="0"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qFormat="1"/>
    <w:lsdException w:name="annotation text" w:uiPriority="0"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uiPriority="0"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qFormat="1"/>
    <w:lsdException w:name="Body Text Indent 3" w:semiHidden="1" w:uiPriority="0" w:unhideWhenUsed="1" w:qFormat="1"/>
    <w:lsdException w:name="Block Text" w:semiHidden="1" w:unhideWhenUsed="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0"/>
    <w:uiPriority w:val="9"/>
    <w:qFormat/>
    <w:pPr>
      <w:keepNext/>
      <w:keepLines/>
      <w:spacing w:before="120" w:after="120" w:line="360" w:lineRule="auto"/>
      <w:outlineLvl w:val="0"/>
    </w:pPr>
    <w:rPr>
      <w:rFonts w:ascii="宋体" w:eastAsia="宋体" w:hAnsi="Times New Roman" w:cs="Times New Roman"/>
      <w:b/>
      <w:color w:val="000000"/>
      <w:kern w:val="0"/>
      <w:sz w:val="24"/>
      <w:szCs w:val="20"/>
    </w:rPr>
  </w:style>
  <w:style w:type="paragraph" w:styleId="2">
    <w:name w:val="heading 2"/>
    <w:basedOn w:val="a"/>
    <w:next w:val="a"/>
    <w:link w:val="20"/>
    <w:semiHidden/>
    <w:unhideWhenUsed/>
    <w:qFormat/>
    <w:pPr>
      <w:keepNext/>
      <w:keepLines/>
      <w:numPr>
        <w:numId w:val="1"/>
      </w:numPr>
      <w:spacing w:before="260" w:after="260" w:line="412" w:lineRule="auto"/>
      <w:outlineLvl w:val="1"/>
    </w:pPr>
    <w:rPr>
      <w:rFonts w:ascii="Arial" w:eastAsia="黑体" w:hAnsi="Arial" w:cs="Times New Roman"/>
      <w:b/>
      <w:sz w:val="32"/>
      <w:szCs w:val="20"/>
    </w:rPr>
  </w:style>
  <w:style w:type="paragraph" w:styleId="3">
    <w:name w:val="heading 3"/>
    <w:basedOn w:val="a"/>
    <w:next w:val="a"/>
    <w:link w:val="30"/>
    <w:semiHidden/>
    <w:unhideWhenUsed/>
    <w:qFormat/>
    <w:pPr>
      <w:keepNext/>
      <w:keepLines/>
      <w:spacing w:before="260" w:after="260" w:line="412" w:lineRule="auto"/>
      <w:outlineLvl w:val="2"/>
    </w:pPr>
    <w:rPr>
      <w:rFonts w:ascii="Times New Roman" w:eastAsia="宋体" w:hAnsi="Times New Roman" w:cs="Times New Roman"/>
      <w:b/>
      <w:kern w:val="0"/>
      <w:sz w:val="32"/>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semiHidden/>
    <w:unhideWhenUsed/>
    <w:pPr>
      <w:ind w:firstLineChars="200" w:firstLine="420"/>
    </w:pPr>
    <w:rPr>
      <w:rFonts w:ascii="Times New Roman" w:eastAsia="宋体" w:hAnsi="Times New Roman" w:cs="Times New Roman"/>
      <w:szCs w:val="20"/>
    </w:rPr>
  </w:style>
  <w:style w:type="paragraph" w:styleId="a4">
    <w:name w:val="Document Map"/>
    <w:basedOn w:val="a"/>
    <w:link w:val="a5"/>
    <w:semiHidden/>
    <w:unhideWhenUsed/>
    <w:pPr>
      <w:shd w:val="clear" w:color="auto" w:fill="000080"/>
    </w:pPr>
    <w:rPr>
      <w:rFonts w:ascii="Times New Roman" w:eastAsia="宋体" w:hAnsi="Times New Roman" w:cs="Times New Roman"/>
      <w:szCs w:val="20"/>
    </w:rPr>
  </w:style>
  <w:style w:type="paragraph" w:styleId="a6">
    <w:name w:val="annotation text"/>
    <w:basedOn w:val="a"/>
    <w:link w:val="a7"/>
    <w:unhideWhenUsed/>
    <w:qFormat/>
    <w:pPr>
      <w:jc w:val="left"/>
    </w:pPr>
    <w:rPr>
      <w:rFonts w:ascii="Times New Roman" w:eastAsia="宋体" w:hAnsi="Times New Roman" w:cs="Times New Roman"/>
      <w:szCs w:val="20"/>
    </w:rPr>
  </w:style>
  <w:style w:type="paragraph" w:styleId="a8">
    <w:name w:val="Body Text"/>
    <w:basedOn w:val="a"/>
    <w:link w:val="a9"/>
    <w:semiHidden/>
    <w:unhideWhenUsed/>
    <w:pPr>
      <w:autoSpaceDE w:val="0"/>
      <w:autoSpaceDN w:val="0"/>
      <w:adjustRightInd w:val="0"/>
      <w:spacing w:line="360" w:lineRule="auto"/>
      <w:jc w:val="left"/>
    </w:pPr>
    <w:rPr>
      <w:rFonts w:ascii="宋体" w:eastAsia="宋体" w:hAnsi="Calibri" w:cs="Times New Roman"/>
      <w:kern w:val="0"/>
    </w:rPr>
  </w:style>
  <w:style w:type="paragraph" w:styleId="aa">
    <w:name w:val="Body Text Indent"/>
    <w:basedOn w:val="a"/>
    <w:link w:val="ab"/>
    <w:uiPriority w:val="99"/>
    <w:semiHidden/>
    <w:unhideWhenUsed/>
    <w:pPr>
      <w:spacing w:after="120"/>
      <w:ind w:leftChars="200" w:left="420"/>
    </w:pPr>
  </w:style>
  <w:style w:type="paragraph" w:styleId="TOC3">
    <w:name w:val="toc 3"/>
    <w:basedOn w:val="a"/>
    <w:next w:val="a"/>
    <w:semiHidden/>
    <w:unhideWhenUsed/>
    <w:qFormat/>
    <w:pPr>
      <w:ind w:leftChars="400" w:left="840"/>
    </w:pPr>
    <w:rPr>
      <w:rFonts w:ascii="Times New Roman" w:eastAsia="宋体" w:hAnsi="Times New Roman" w:cs="Times New Roman"/>
      <w:szCs w:val="20"/>
    </w:rPr>
  </w:style>
  <w:style w:type="paragraph" w:styleId="ac">
    <w:name w:val="Plain Text"/>
    <w:basedOn w:val="a"/>
    <w:link w:val="ad"/>
    <w:semiHidden/>
    <w:unhideWhenUsed/>
    <w:pPr>
      <w:adjustRightInd w:val="0"/>
      <w:spacing w:line="312" w:lineRule="atLeast"/>
    </w:pPr>
    <w:rPr>
      <w:rFonts w:ascii="宋体" w:eastAsia="宋体" w:hAnsi="Courier New" w:cs="Times New Roman"/>
      <w:kern w:val="0"/>
      <w:szCs w:val="20"/>
    </w:rPr>
  </w:style>
  <w:style w:type="paragraph" w:styleId="21">
    <w:name w:val="Body Text Indent 2"/>
    <w:basedOn w:val="a"/>
    <w:link w:val="22"/>
    <w:semiHidden/>
    <w:unhideWhenUsed/>
    <w:qFormat/>
    <w:pPr>
      <w:spacing w:line="360" w:lineRule="auto"/>
      <w:ind w:firstLine="425"/>
    </w:pPr>
    <w:rPr>
      <w:rFonts w:ascii="仿宋_GB2312" w:eastAsia="仿宋_GB2312" w:hAnsi="Times New Roman" w:cs="Times New Roman"/>
      <w:sz w:val="28"/>
      <w:szCs w:val="20"/>
    </w:rPr>
  </w:style>
  <w:style w:type="paragraph" w:styleId="ae">
    <w:name w:val="Balloon Text"/>
    <w:basedOn w:val="a"/>
    <w:link w:val="af"/>
    <w:semiHidden/>
    <w:unhideWhenUsed/>
    <w:qFormat/>
    <w:rPr>
      <w:rFonts w:ascii="Times New Roman" w:eastAsia="宋体" w:hAnsi="Times New Roman" w:cs="Times New Roman"/>
      <w:sz w:val="18"/>
      <w:szCs w:val="20"/>
    </w:rPr>
  </w:style>
  <w:style w:type="paragraph" w:styleId="af0">
    <w:name w:val="footer"/>
    <w:basedOn w:val="a"/>
    <w:link w:val="af1"/>
    <w:uiPriority w:val="99"/>
    <w:unhideWhenUsed/>
    <w:qFormat/>
    <w:pPr>
      <w:tabs>
        <w:tab w:val="center" w:pos="4153"/>
        <w:tab w:val="right" w:pos="8306"/>
      </w:tabs>
      <w:snapToGrid w:val="0"/>
      <w:jc w:val="left"/>
    </w:pPr>
    <w:rPr>
      <w:rFonts w:ascii="Times New Roman" w:eastAsia="宋体" w:hAnsi="Times New Roman" w:cs="Times New Roman"/>
      <w:sz w:val="18"/>
      <w:szCs w:val="18"/>
    </w:rPr>
  </w:style>
  <w:style w:type="paragraph" w:styleId="af2">
    <w:name w:val="header"/>
    <w:basedOn w:val="a"/>
    <w:link w:val="af3"/>
    <w:uiPriority w:val="99"/>
    <w:unhideWhenUsed/>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rPr>
  </w:style>
  <w:style w:type="paragraph" w:styleId="TOC1">
    <w:name w:val="toc 1"/>
    <w:basedOn w:val="a"/>
    <w:next w:val="a"/>
    <w:uiPriority w:val="39"/>
    <w:unhideWhenUsed/>
    <w:qFormat/>
    <w:pPr>
      <w:tabs>
        <w:tab w:val="right" w:leader="dot" w:pos="8296"/>
      </w:tabs>
      <w:spacing w:line="360" w:lineRule="auto"/>
    </w:pPr>
    <w:rPr>
      <w:rFonts w:ascii="Times New Roman" w:eastAsia="宋体" w:hAnsi="Times New Roman" w:cs="Times New Roman"/>
      <w:szCs w:val="20"/>
    </w:rPr>
  </w:style>
  <w:style w:type="paragraph" w:styleId="af4">
    <w:name w:val="footnote text"/>
    <w:basedOn w:val="a"/>
    <w:link w:val="af5"/>
    <w:semiHidden/>
    <w:unhideWhenUsed/>
    <w:qFormat/>
    <w:pPr>
      <w:snapToGrid w:val="0"/>
      <w:jc w:val="left"/>
    </w:pPr>
    <w:rPr>
      <w:rFonts w:ascii="Times New Roman" w:eastAsia="宋体" w:hAnsi="Times New Roman" w:cs="Times New Roman"/>
      <w:sz w:val="18"/>
      <w:szCs w:val="20"/>
    </w:rPr>
  </w:style>
  <w:style w:type="paragraph" w:styleId="31">
    <w:name w:val="Body Text Indent 3"/>
    <w:basedOn w:val="a"/>
    <w:link w:val="32"/>
    <w:semiHidden/>
    <w:unhideWhenUsed/>
    <w:qFormat/>
    <w:pPr>
      <w:autoSpaceDE w:val="0"/>
      <w:autoSpaceDN w:val="0"/>
      <w:adjustRightInd w:val="0"/>
      <w:spacing w:line="360" w:lineRule="auto"/>
      <w:ind w:left="420" w:firstLine="435"/>
    </w:pPr>
    <w:rPr>
      <w:rFonts w:ascii="Times New Roman" w:eastAsia="宋体" w:hAnsi="Times New Roman" w:cs="Times New Roman"/>
      <w:color w:val="0000FF"/>
      <w:szCs w:val="20"/>
    </w:rPr>
  </w:style>
  <w:style w:type="paragraph" w:styleId="af6">
    <w:name w:val="Title"/>
    <w:basedOn w:val="a"/>
    <w:next w:val="a"/>
    <w:link w:val="af7"/>
    <w:qFormat/>
    <w:pPr>
      <w:spacing w:before="240" w:after="60"/>
      <w:jc w:val="center"/>
      <w:outlineLvl w:val="0"/>
    </w:pPr>
    <w:rPr>
      <w:rFonts w:ascii="Cambria" w:eastAsia="宋体" w:hAnsi="Cambria" w:cs="Times New Roman"/>
      <w:b/>
      <w:sz w:val="32"/>
    </w:rPr>
  </w:style>
  <w:style w:type="paragraph" w:styleId="af8">
    <w:name w:val="annotation subject"/>
    <w:basedOn w:val="a6"/>
    <w:next w:val="a6"/>
    <w:link w:val="af9"/>
    <w:semiHidden/>
    <w:unhideWhenUsed/>
    <w:rPr>
      <w:b/>
    </w:rPr>
  </w:style>
  <w:style w:type="table" w:styleId="afa">
    <w:name w:val="Table Grid"/>
    <w:basedOn w:val="a1"/>
    <w:uiPriority w:val="39"/>
    <w:qFormat/>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afb">
    <w:name w:val="FollowedHyperlink"/>
    <w:basedOn w:val="a0"/>
    <w:uiPriority w:val="99"/>
    <w:semiHidden/>
    <w:unhideWhenUsed/>
    <w:qFormat/>
    <w:rPr>
      <w:color w:val="800080" w:themeColor="followedHyperlink"/>
      <w:u w:val="single"/>
    </w:rPr>
  </w:style>
  <w:style w:type="character" w:styleId="afc">
    <w:name w:val="Hyperlink"/>
    <w:aliases w:val="超级链接"/>
    <w:uiPriority w:val="99"/>
    <w:unhideWhenUsed/>
    <w:qFormat/>
    <w:rPr>
      <w:color w:val="0000FF"/>
      <w:u w:val="single"/>
    </w:rPr>
  </w:style>
  <w:style w:type="character" w:styleId="afd">
    <w:name w:val="annotation reference"/>
    <w:unhideWhenUsed/>
    <w:qFormat/>
    <w:rPr>
      <w:sz w:val="21"/>
    </w:rPr>
  </w:style>
  <w:style w:type="character" w:styleId="afe">
    <w:name w:val="footnote reference"/>
    <w:semiHidden/>
    <w:unhideWhenUsed/>
    <w:qFormat/>
    <w:rPr>
      <w:vertAlign w:val="superscript"/>
    </w:rPr>
  </w:style>
  <w:style w:type="character" w:customStyle="1" w:styleId="10">
    <w:name w:val="标题 1 字符"/>
    <w:basedOn w:val="a0"/>
    <w:link w:val="1"/>
    <w:uiPriority w:val="9"/>
    <w:qFormat/>
    <w:rPr>
      <w:rFonts w:ascii="宋体" w:eastAsia="宋体" w:hAnsi="Times New Roman" w:cs="Times New Roman"/>
      <w:b/>
      <w:color w:val="000000"/>
      <w:kern w:val="0"/>
      <w:sz w:val="24"/>
      <w:szCs w:val="20"/>
    </w:rPr>
  </w:style>
  <w:style w:type="character" w:customStyle="1" w:styleId="20">
    <w:name w:val="标题 2 字符"/>
    <w:basedOn w:val="a0"/>
    <w:link w:val="2"/>
    <w:semiHidden/>
    <w:qFormat/>
    <w:rPr>
      <w:rFonts w:ascii="Arial" w:eastAsia="黑体" w:hAnsi="Arial" w:cs="Times New Roman"/>
      <w:b/>
      <w:sz w:val="32"/>
      <w:szCs w:val="20"/>
    </w:rPr>
  </w:style>
  <w:style w:type="character" w:customStyle="1" w:styleId="30">
    <w:name w:val="标题 3 字符"/>
    <w:basedOn w:val="a0"/>
    <w:link w:val="3"/>
    <w:semiHidden/>
    <w:qFormat/>
    <w:rPr>
      <w:rFonts w:ascii="Times New Roman" w:eastAsia="宋体" w:hAnsi="Times New Roman" w:cs="Times New Roman"/>
      <w:b/>
      <w:kern w:val="0"/>
      <w:sz w:val="32"/>
      <w:szCs w:val="20"/>
    </w:rPr>
  </w:style>
  <w:style w:type="character" w:customStyle="1" w:styleId="af5">
    <w:name w:val="脚注文本 字符"/>
    <w:basedOn w:val="a0"/>
    <w:link w:val="af4"/>
    <w:semiHidden/>
    <w:qFormat/>
    <w:rPr>
      <w:rFonts w:ascii="Times New Roman" w:eastAsia="宋体" w:hAnsi="Times New Roman" w:cs="Times New Roman"/>
      <w:sz w:val="18"/>
      <w:szCs w:val="20"/>
    </w:rPr>
  </w:style>
  <w:style w:type="character" w:customStyle="1" w:styleId="Char">
    <w:name w:val="批注文字 Char"/>
    <w:basedOn w:val="a0"/>
    <w:qFormat/>
  </w:style>
  <w:style w:type="character" w:customStyle="1" w:styleId="af3">
    <w:name w:val="页眉 字符"/>
    <w:basedOn w:val="a0"/>
    <w:link w:val="af2"/>
    <w:uiPriority w:val="99"/>
    <w:qFormat/>
    <w:rPr>
      <w:rFonts w:ascii="Times New Roman" w:eastAsia="宋体" w:hAnsi="Times New Roman" w:cs="Times New Roman"/>
      <w:sz w:val="18"/>
      <w:szCs w:val="18"/>
    </w:rPr>
  </w:style>
  <w:style w:type="character" w:customStyle="1" w:styleId="af1">
    <w:name w:val="页脚 字符"/>
    <w:basedOn w:val="a0"/>
    <w:link w:val="af0"/>
    <w:uiPriority w:val="99"/>
    <w:qFormat/>
    <w:rPr>
      <w:rFonts w:ascii="Times New Roman" w:eastAsia="宋体" w:hAnsi="Times New Roman" w:cs="Times New Roman"/>
      <w:sz w:val="18"/>
      <w:szCs w:val="18"/>
    </w:rPr>
  </w:style>
  <w:style w:type="character" w:customStyle="1" w:styleId="af7">
    <w:name w:val="标题 字符"/>
    <w:basedOn w:val="a0"/>
    <w:link w:val="af6"/>
    <w:qFormat/>
    <w:rPr>
      <w:rFonts w:ascii="Cambria" w:eastAsia="宋体" w:hAnsi="Cambria" w:cs="Times New Roman"/>
      <w:b/>
      <w:sz w:val="32"/>
    </w:rPr>
  </w:style>
  <w:style w:type="character" w:customStyle="1" w:styleId="a9">
    <w:name w:val="正文文本 字符"/>
    <w:basedOn w:val="a0"/>
    <w:link w:val="a8"/>
    <w:semiHidden/>
    <w:qFormat/>
    <w:rPr>
      <w:rFonts w:ascii="宋体" w:eastAsia="宋体" w:hAnsi="Calibri" w:cs="Times New Roman"/>
      <w:kern w:val="0"/>
    </w:rPr>
  </w:style>
  <w:style w:type="character" w:customStyle="1" w:styleId="22">
    <w:name w:val="正文文本缩进 2 字符"/>
    <w:basedOn w:val="a0"/>
    <w:link w:val="21"/>
    <w:semiHidden/>
    <w:qFormat/>
    <w:rPr>
      <w:rFonts w:ascii="仿宋_GB2312" w:eastAsia="仿宋_GB2312" w:hAnsi="Times New Roman" w:cs="Times New Roman"/>
      <w:sz w:val="28"/>
      <w:szCs w:val="20"/>
    </w:rPr>
  </w:style>
  <w:style w:type="character" w:customStyle="1" w:styleId="32">
    <w:name w:val="正文文本缩进 3 字符"/>
    <w:basedOn w:val="a0"/>
    <w:link w:val="31"/>
    <w:semiHidden/>
    <w:qFormat/>
    <w:rPr>
      <w:rFonts w:ascii="Times New Roman" w:eastAsia="宋体" w:hAnsi="Times New Roman" w:cs="Times New Roman"/>
      <w:color w:val="0000FF"/>
      <w:szCs w:val="20"/>
    </w:rPr>
  </w:style>
  <w:style w:type="character" w:customStyle="1" w:styleId="a5">
    <w:name w:val="文档结构图 字符"/>
    <w:basedOn w:val="a0"/>
    <w:link w:val="a4"/>
    <w:semiHidden/>
    <w:qFormat/>
    <w:rPr>
      <w:rFonts w:ascii="Times New Roman" w:eastAsia="宋体" w:hAnsi="Times New Roman" w:cs="Times New Roman"/>
      <w:szCs w:val="20"/>
      <w:shd w:val="clear" w:color="auto" w:fill="000080"/>
    </w:rPr>
  </w:style>
  <w:style w:type="character" w:customStyle="1" w:styleId="ad">
    <w:name w:val="纯文本 字符"/>
    <w:basedOn w:val="a0"/>
    <w:link w:val="ac"/>
    <w:semiHidden/>
    <w:qFormat/>
    <w:rPr>
      <w:rFonts w:ascii="宋体" w:eastAsia="宋体" w:hAnsi="Courier New" w:cs="Times New Roman"/>
      <w:kern w:val="0"/>
      <w:szCs w:val="20"/>
    </w:rPr>
  </w:style>
  <w:style w:type="character" w:customStyle="1" w:styleId="af9">
    <w:name w:val="批注主题 字符"/>
    <w:basedOn w:val="Char"/>
    <w:link w:val="af8"/>
    <w:semiHidden/>
    <w:qFormat/>
    <w:rPr>
      <w:rFonts w:ascii="Times New Roman" w:eastAsia="宋体" w:hAnsi="Times New Roman" w:cs="Times New Roman"/>
      <w:b/>
      <w:szCs w:val="20"/>
    </w:rPr>
  </w:style>
  <w:style w:type="character" w:customStyle="1" w:styleId="af">
    <w:name w:val="批注框文本 字符"/>
    <w:basedOn w:val="a0"/>
    <w:link w:val="ae"/>
    <w:semiHidden/>
    <w:qFormat/>
    <w:rPr>
      <w:rFonts w:ascii="Times New Roman" w:eastAsia="宋体" w:hAnsi="Times New Roman" w:cs="Times New Roman"/>
      <w:sz w:val="18"/>
      <w:szCs w:val="20"/>
    </w:rPr>
  </w:style>
  <w:style w:type="paragraph" w:customStyle="1" w:styleId="11">
    <w:name w:val="修订1"/>
    <w:semiHidden/>
    <w:qFormat/>
    <w:rPr>
      <w:kern w:val="2"/>
      <w:sz w:val="21"/>
    </w:rPr>
  </w:style>
  <w:style w:type="paragraph" w:customStyle="1" w:styleId="Listbullet">
    <w:name w:val="List_bullet"/>
    <w:basedOn w:val="a"/>
    <w:qFormat/>
    <w:pPr>
      <w:widowControl/>
      <w:numPr>
        <w:numId w:val="2"/>
      </w:numPr>
      <w:jc w:val="left"/>
    </w:pPr>
    <w:rPr>
      <w:rFonts w:ascii="Times New Roman" w:eastAsia="宋体" w:hAnsi="Times New Roman" w:cs="Times New Roman"/>
      <w:kern w:val="0"/>
      <w:sz w:val="24"/>
      <w:szCs w:val="20"/>
    </w:rPr>
  </w:style>
  <w:style w:type="paragraph" w:customStyle="1" w:styleId="CharCharChar">
    <w:name w:val="Char Char Char"/>
    <w:basedOn w:val="a"/>
    <w:qFormat/>
    <w:rPr>
      <w:rFonts w:ascii="Times New Roman" w:eastAsia="宋体" w:hAnsi="Times New Roman" w:cs="Times New Roman"/>
      <w:szCs w:val="20"/>
    </w:rPr>
  </w:style>
  <w:style w:type="paragraph" w:customStyle="1" w:styleId="aff">
    <w:name w:val="正文所"/>
    <w:basedOn w:val="a"/>
    <w:qFormat/>
    <w:pPr>
      <w:spacing w:line="360" w:lineRule="auto"/>
      <w:ind w:firstLineChars="200" w:firstLine="420"/>
    </w:pPr>
    <w:rPr>
      <w:rFonts w:ascii="宋体" w:eastAsia="宋体" w:hAnsi="Times New Roman" w:cs="Times New Roman"/>
      <w:szCs w:val="20"/>
    </w:rPr>
  </w:style>
  <w:style w:type="paragraph" w:customStyle="1" w:styleId="CharCharCharChar">
    <w:name w:val="Char Char Char Char"/>
    <w:basedOn w:val="a"/>
    <w:qFormat/>
    <w:pPr>
      <w:tabs>
        <w:tab w:val="left" w:pos="360"/>
      </w:tabs>
    </w:pPr>
    <w:rPr>
      <w:rFonts w:ascii="Times New Roman" w:eastAsia="宋体" w:hAnsi="Times New Roman" w:cs="Times New Roman"/>
      <w:szCs w:val="20"/>
    </w:rPr>
  </w:style>
  <w:style w:type="paragraph" w:customStyle="1" w:styleId="Char0">
    <w:name w:val="Char"/>
    <w:basedOn w:val="a"/>
    <w:qFormat/>
    <w:rPr>
      <w:rFonts w:ascii="Times New Roman" w:eastAsia="宋体" w:hAnsi="Times New Roman" w:cs="Times New Roman"/>
      <w:szCs w:val="20"/>
    </w:rPr>
  </w:style>
  <w:style w:type="paragraph" w:customStyle="1" w:styleId="unnamed1">
    <w:name w:val="unnamed1"/>
    <w:basedOn w:val="a"/>
    <w:qFormat/>
    <w:pPr>
      <w:spacing w:before="60" w:after="60"/>
      <w:ind w:left="15" w:right="15"/>
    </w:pPr>
    <w:rPr>
      <w:rFonts w:ascii="宋体" w:eastAsia="宋体" w:hAnsi="宋体" w:cs="Times New Roman"/>
      <w:color w:val="000000"/>
      <w:sz w:val="18"/>
      <w:szCs w:val="18"/>
    </w:rPr>
  </w:style>
  <w:style w:type="paragraph" w:customStyle="1" w:styleId="Style6">
    <w:name w:val="_Style 6"/>
    <w:basedOn w:val="a"/>
    <w:next w:val="a"/>
    <w:qFormat/>
    <w:pPr>
      <w:adjustRightInd w:val="0"/>
      <w:snapToGrid w:val="0"/>
      <w:ind w:firstLineChars="200" w:firstLine="480"/>
    </w:pPr>
    <w:rPr>
      <w:rFonts w:ascii="仿宋_GB2312" w:eastAsia="仿宋_GB2312" w:hAnsi="宋体" w:cs="Times New Roman"/>
      <w:color w:val="000000"/>
      <w:sz w:val="24"/>
      <w:szCs w:val="20"/>
    </w:rPr>
  </w:style>
  <w:style w:type="paragraph" w:customStyle="1" w:styleId="InfoBlue">
    <w:name w:val="InfoBlue"/>
    <w:basedOn w:val="a"/>
    <w:next w:val="a8"/>
    <w:qFormat/>
    <w:pPr>
      <w:tabs>
        <w:tab w:val="left" w:pos="420"/>
      </w:tabs>
      <w:spacing w:after="120" w:line="240" w:lineRule="atLeast"/>
      <w:ind w:left="420" w:hanging="420"/>
      <w:jc w:val="left"/>
    </w:pPr>
    <w:rPr>
      <w:rFonts w:ascii="宋体" w:eastAsia="宋体" w:hAnsi="宋体" w:cs="Times New Roman"/>
      <w:szCs w:val="20"/>
    </w:rPr>
  </w:style>
  <w:style w:type="paragraph" w:customStyle="1" w:styleId="msonormal1">
    <w:name w:val="msonormal1"/>
    <w:qFormat/>
    <w:pPr>
      <w:widowControl w:val="0"/>
      <w:jc w:val="both"/>
    </w:pPr>
    <w:rPr>
      <w:kern w:val="2"/>
      <w:sz w:val="21"/>
    </w:rPr>
  </w:style>
  <w:style w:type="paragraph" w:customStyle="1" w:styleId="CharChar">
    <w:name w:val="Char Char"/>
    <w:basedOn w:val="a"/>
    <w:qFormat/>
    <w:rPr>
      <w:rFonts w:ascii="Times New Roman" w:eastAsia="宋体" w:hAnsi="Times New Roman" w:cs="Times New Roman"/>
      <w:szCs w:val="20"/>
    </w:rPr>
  </w:style>
  <w:style w:type="paragraph" w:customStyle="1" w:styleId="CharChar1">
    <w:name w:val="Char Char1"/>
    <w:basedOn w:val="a"/>
    <w:qFormat/>
    <w:rPr>
      <w:rFonts w:ascii="Times New Roman" w:eastAsia="宋体" w:hAnsi="Times New Roman" w:cs="Times New Roman"/>
      <w:szCs w:val="20"/>
    </w:rPr>
  </w:style>
  <w:style w:type="paragraph" w:customStyle="1" w:styleId="aff0">
    <w:name w:val="正文正文"/>
    <w:basedOn w:val="a"/>
    <w:qFormat/>
    <w:pPr>
      <w:spacing w:afterLines="25" w:line="360" w:lineRule="auto"/>
      <w:ind w:firstLineChars="200" w:firstLine="200"/>
    </w:pPr>
    <w:rPr>
      <w:rFonts w:ascii="Times New Roman" w:eastAsia="宋体" w:hAnsi="Times New Roman" w:cs="Times New Roman"/>
      <w:sz w:val="24"/>
      <w:szCs w:val="20"/>
    </w:rPr>
  </w:style>
  <w:style w:type="paragraph" w:customStyle="1" w:styleId="Default">
    <w:name w:val="Default"/>
    <w:qFormat/>
    <w:pPr>
      <w:widowControl w:val="0"/>
      <w:autoSpaceDE w:val="0"/>
      <w:autoSpaceDN w:val="0"/>
      <w:adjustRightInd w:val="0"/>
    </w:pPr>
    <w:rPr>
      <w:rFonts w:ascii="宋体"/>
      <w:color w:val="000000"/>
      <w:sz w:val="24"/>
    </w:rPr>
  </w:style>
  <w:style w:type="character" w:customStyle="1" w:styleId="Char1">
    <w:name w:val="页眉 Char1"/>
    <w:qFormat/>
    <w:rPr>
      <w:rFonts w:ascii="Times New Roman" w:eastAsia="宋体" w:hAnsi="Times New Roman" w:cs="Times New Roman" w:hint="default"/>
      <w:sz w:val="18"/>
      <w:szCs w:val="18"/>
    </w:rPr>
  </w:style>
  <w:style w:type="character" w:customStyle="1" w:styleId="unnamed11">
    <w:name w:val="unnamed11"/>
    <w:qFormat/>
    <w:rPr>
      <w:rFonts w:ascii="宋体" w:eastAsia="宋体" w:hAnsi="宋体" w:hint="eastAsia"/>
      <w:sz w:val="18"/>
    </w:rPr>
  </w:style>
  <w:style w:type="character" w:customStyle="1" w:styleId="read">
    <w:name w:val="read"/>
    <w:basedOn w:val="a0"/>
    <w:qFormat/>
  </w:style>
  <w:style w:type="character" w:customStyle="1" w:styleId="Char10">
    <w:name w:val="正文文本 Char1"/>
    <w:qFormat/>
    <w:rPr>
      <w:rFonts w:ascii="Times New Roman" w:eastAsia="宋体" w:hAnsi="Times New Roman" w:cs="Times New Roman" w:hint="default"/>
      <w:szCs w:val="20"/>
    </w:rPr>
  </w:style>
  <w:style w:type="character" w:customStyle="1" w:styleId="Char11">
    <w:name w:val="标题 Char1"/>
    <w:qFormat/>
    <w:rPr>
      <w:rFonts w:ascii="Cambria" w:eastAsia="宋体" w:hAnsi="Cambria" w:cs="Times New Roman" w:hint="default"/>
      <w:b/>
      <w:bCs/>
      <w:sz w:val="32"/>
      <w:szCs w:val="32"/>
    </w:rPr>
  </w:style>
  <w:style w:type="character" w:customStyle="1" w:styleId="Char2">
    <w:name w:val="正文文本 Char2"/>
    <w:basedOn w:val="a0"/>
    <w:uiPriority w:val="99"/>
    <w:semiHidden/>
    <w:qFormat/>
    <w:rPr>
      <w:rFonts w:ascii="Times New Roman" w:eastAsia="宋体" w:hAnsi="Times New Roman" w:cs="Times New Roman" w:hint="default"/>
      <w:szCs w:val="20"/>
    </w:rPr>
  </w:style>
  <w:style w:type="character" w:customStyle="1" w:styleId="2Char1">
    <w:name w:val="正文文本缩进 2 Char1"/>
    <w:basedOn w:val="a0"/>
    <w:uiPriority w:val="99"/>
    <w:semiHidden/>
    <w:qFormat/>
    <w:rPr>
      <w:rFonts w:ascii="Times New Roman" w:eastAsia="宋体" w:hAnsi="Times New Roman" w:cs="Times New Roman" w:hint="default"/>
      <w:szCs w:val="20"/>
    </w:rPr>
  </w:style>
  <w:style w:type="character" w:customStyle="1" w:styleId="a7">
    <w:name w:val="批注文字 字符"/>
    <w:basedOn w:val="a0"/>
    <w:link w:val="a6"/>
    <w:qFormat/>
    <w:locked/>
    <w:rPr>
      <w:rFonts w:ascii="Times New Roman" w:eastAsia="宋体" w:hAnsi="Times New Roman" w:cs="Times New Roman"/>
      <w:szCs w:val="20"/>
    </w:rPr>
  </w:style>
  <w:style w:type="character" w:customStyle="1" w:styleId="Char12">
    <w:name w:val="批注主题 Char1"/>
    <w:basedOn w:val="a7"/>
    <w:uiPriority w:val="99"/>
    <w:semiHidden/>
    <w:qFormat/>
    <w:rPr>
      <w:rFonts w:ascii="Times New Roman" w:eastAsia="宋体" w:hAnsi="Times New Roman" w:cs="Times New Roman"/>
      <w:b/>
      <w:bCs/>
      <w:szCs w:val="20"/>
    </w:rPr>
  </w:style>
  <w:style w:type="character" w:customStyle="1" w:styleId="3Char1">
    <w:name w:val="正文文本缩进 3 Char1"/>
    <w:basedOn w:val="a0"/>
    <w:uiPriority w:val="99"/>
    <w:semiHidden/>
    <w:qFormat/>
    <w:rPr>
      <w:rFonts w:ascii="Times New Roman" w:eastAsia="宋体" w:hAnsi="Times New Roman" w:cs="Times New Roman" w:hint="default"/>
      <w:sz w:val="16"/>
      <w:szCs w:val="16"/>
    </w:rPr>
  </w:style>
  <w:style w:type="character" w:customStyle="1" w:styleId="Char13">
    <w:name w:val="纯文本 Char1"/>
    <w:basedOn w:val="a0"/>
    <w:uiPriority w:val="99"/>
    <w:semiHidden/>
    <w:qFormat/>
    <w:rPr>
      <w:rFonts w:ascii="宋体" w:eastAsia="宋体" w:hAnsi="Courier New" w:cs="Courier New" w:hint="eastAsia"/>
      <w:szCs w:val="21"/>
    </w:rPr>
  </w:style>
  <w:style w:type="character" w:customStyle="1" w:styleId="Char20">
    <w:name w:val="标题 Char2"/>
    <w:basedOn w:val="a0"/>
    <w:uiPriority w:val="10"/>
    <w:qFormat/>
    <w:rPr>
      <w:rFonts w:ascii="Cambria" w:eastAsia="宋体" w:hAnsi="Cambria" w:cs="Times New Roman" w:hint="default"/>
      <w:b/>
      <w:bCs/>
      <w:sz w:val="32"/>
      <w:szCs w:val="32"/>
    </w:rPr>
  </w:style>
  <w:style w:type="character" w:customStyle="1" w:styleId="Char14">
    <w:name w:val="文档结构图 Char1"/>
    <w:basedOn w:val="a0"/>
    <w:uiPriority w:val="99"/>
    <w:semiHidden/>
    <w:qFormat/>
    <w:rPr>
      <w:rFonts w:ascii="宋体" w:eastAsia="宋体" w:hAnsi="Times New Roman" w:cs="Times New Roman" w:hint="eastAsia"/>
      <w:sz w:val="18"/>
      <w:szCs w:val="18"/>
    </w:rPr>
  </w:style>
  <w:style w:type="character" w:customStyle="1" w:styleId="Char15">
    <w:name w:val="批注框文本 Char1"/>
    <w:basedOn w:val="a0"/>
    <w:uiPriority w:val="99"/>
    <w:semiHidden/>
    <w:qFormat/>
    <w:rPr>
      <w:rFonts w:ascii="Times New Roman" w:eastAsia="宋体" w:hAnsi="Times New Roman" w:cs="Times New Roman" w:hint="default"/>
      <w:sz w:val="18"/>
      <w:szCs w:val="18"/>
    </w:rPr>
  </w:style>
  <w:style w:type="character" w:customStyle="1" w:styleId="Char16">
    <w:name w:val="脚注文本 Char1"/>
    <w:basedOn w:val="a0"/>
    <w:uiPriority w:val="99"/>
    <w:semiHidden/>
    <w:qFormat/>
    <w:rPr>
      <w:rFonts w:ascii="Times New Roman" w:eastAsia="宋体" w:hAnsi="Times New Roman" w:cs="Times New Roman" w:hint="default"/>
      <w:sz w:val="18"/>
      <w:szCs w:val="18"/>
    </w:rPr>
  </w:style>
  <w:style w:type="character" w:customStyle="1" w:styleId="txtcontent11">
    <w:name w:val="txtcontent11"/>
    <w:qFormat/>
    <w:rPr>
      <w:rFonts w:ascii="ˎ̥" w:hAnsi="ˎ̥" w:hint="default"/>
      <w:color w:val="000000"/>
      <w:sz w:val="21"/>
      <w:szCs w:val="21"/>
    </w:rPr>
  </w:style>
  <w:style w:type="paragraph" w:styleId="aff1">
    <w:name w:val="List Paragraph"/>
    <w:basedOn w:val="a"/>
    <w:uiPriority w:val="34"/>
    <w:qFormat/>
    <w:pPr>
      <w:ind w:firstLineChars="200" w:firstLine="420"/>
    </w:pPr>
  </w:style>
  <w:style w:type="paragraph" w:customStyle="1" w:styleId="CharCharCharCharCharChar1CharCharChar">
    <w:name w:val="Char Char Char Char Char Char1 Char Char Char"/>
    <w:basedOn w:val="a"/>
    <w:pPr>
      <w:autoSpaceDE w:val="0"/>
      <w:autoSpaceDN w:val="0"/>
      <w:adjustRightInd w:val="0"/>
      <w:jc w:val="left"/>
      <w:textAlignment w:val="baseline"/>
    </w:pPr>
    <w:rPr>
      <w:rFonts w:ascii="Times New Roman" w:eastAsia="方正仿宋简体" w:hAnsi="Times New Roman" w:cs="Times New Roman"/>
      <w:sz w:val="32"/>
      <w:szCs w:val="20"/>
    </w:rPr>
  </w:style>
  <w:style w:type="character" w:customStyle="1" w:styleId="fontstyle01">
    <w:name w:val="fontstyle01"/>
    <w:rPr>
      <w:rFonts w:ascii="宋体" w:eastAsia="宋体" w:hAnsi="宋体" w:hint="eastAsia"/>
      <w:color w:val="000000"/>
      <w:sz w:val="24"/>
      <w:szCs w:val="24"/>
    </w:rPr>
  </w:style>
  <w:style w:type="character" w:customStyle="1" w:styleId="ab">
    <w:name w:val="正文文本缩进 字符"/>
    <w:basedOn w:val="a0"/>
    <w:link w:val="aa"/>
    <w:uiPriority w:val="99"/>
    <w:semiHidden/>
  </w:style>
  <w:style w:type="paragraph" w:customStyle="1" w:styleId="zhangjiep">
    <w:name w:val="zhangjie_p"/>
    <w:basedOn w:val="a"/>
    <w:pPr>
      <w:widowControl/>
      <w:autoSpaceDE w:val="0"/>
      <w:autoSpaceDN w:val="0"/>
      <w:adjustRightInd w:val="0"/>
      <w:spacing w:before="30" w:line="288" w:lineRule="auto"/>
      <w:ind w:left="15"/>
      <w:jc w:val="left"/>
      <w:outlineLvl w:val="1"/>
    </w:pPr>
    <w:rPr>
      <w:rFonts w:ascii="宋体" w:eastAsia="宋体" w:hAnsi="宋体" w:cs="宋体"/>
      <w:kern w:val="0"/>
      <w:sz w:val="24"/>
      <w:szCs w:val="24"/>
    </w:rPr>
  </w:style>
  <w:style w:type="paragraph" w:customStyle="1" w:styleId="zhangjiep2">
    <w:name w:val="zhangjie_p2"/>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left">
    <w:name w:val="biaoge_left"/>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biaogecenter">
    <w:name w:val="biaoge_center"/>
    <w:basedOn w:val="a"/>
    <w:pPr>
      <w:widowControl/>
      <w:autoSpaceDE w:val="0"/>
      <w:autoSpaceDN w:val="0"/>
      <w:adjustRightInd w:val="0"/>
      <w:spacing w:before="29" w:line="288" w:lineRule="auto"/>
      <w:ind w:left="15"/>
      <w:jc w:val="center"/>
    </w:pPr>
    <w:rPr>
      <w:rFonts w:ascii="宋体" w:eastAsia="宋体" w:hAnsi="宋体" w:cs="宋体"/>
      <w:kern w:val="0"/>
      <w:sz w:val="24"/>
      <w:szCs w:val="24"/>
    </w:rPr>
  </w:style>
  <w:style w:type="paragraph" w:customStyle="1" w:styleId="biaogeright">
    <w:name w:val="biaoge_right"/>
    <w:basedOn w:val="a"/>
    <w:pPr>
      <w:widowControl/>
      <w:autoSpaceDE w:val="0"/>
      <w:autoSpaceDN w:val="0"/>
      <w:adjustRightInd w:val="0"/>
      <w:spacing w:before="29" w:line="288" w:lineRule="auto"/>
      <w:ind w:left="15"/>
      <w:jc w:val="right"/>
    </w:pPr>
    <w:rPr>
      <w:rFonts w:ascii="宋体" w:eastAsia="宋体" w:hAnsi="宋体" w:cs="宋体"/>
      <w:kern w:val="0"/>
      <w:sz w:val="24"/>
      <w:szCs w:val="24"/>
    </w:rPr>
  </w:style>
  <w:style w:type="paragraph" w:customStyle="1" w:styleId="neirong">
    <w:name w:val="neirong"/>
    <w:basedOn w:val="a"/>
    <w:pPr>
      <w:widowControl/>
      <w:autoSpaceDE w:val="0"/>
      <w:autoSpaceDN w:val="0"/>
      <w:adjustRightInd w:val="0"/>
      <w:spacing w:before="29" w:line="288" w:lineRule="auto"/>
      <w:ind w:left="15"/>
      <w:jc w:val="left"/>
    </w:pPr>
    <w:rPr>
      <w:rFonts w:ascii="宋体" w:eastAsia="宋体" w:hAnsi="宋体" w:cs="宋体"/>
      <w:kern w:val="0"/>
      <w:sz w:val="24"/>
      <w:szCs w:val="24"/>
    </w:rPr>
  </w:style>
  <w:style w:type="paragraph" w:customStyle="1" w:styleId="23">
    <w:name w:val="修订2"/>
    <w:hidden/>
    <w:uiPriority w:val="99"/>
    <w:semiHidden/>
    <w:rPr>
      <w:rFonts w:asciiTheme="minorHAnsi" w:eastAsiaTheme="minorEastAsia" w:hAnsiTheme="minorHAnsi" w:cstheme="minorBidi"/>
      <w:kern w:val="2"/>
      <w:sz w:val="21"/>
      <w:szCs w:val="22"/>
    </w:rPr>
  </w:style>
  <w:style w:type="paragraph" w:customStyle="1" w:styleId="33">
    <w:name w:val="修订3"/>
    <w:hidden/>
    <w:uiPriority w:val="99"/>
    <w:unhideWhenUsed/>
    <w:rPr>
      <w:rFonts w:asciiTheme="minorHAnsi" w:eastAsiaTheme="minorEastAsia" w:hAnsiTheme="minorHAnsi" w:cstheme="minorBidi"/>
      <w:kern w:val="2"/>
      <w:sz w:val="21"/>
      <w:szCs w:val="22"/>
    </w:rPr>
  </w:style>
  <w:style w:type="paragraph" w:styleId="aff2">
    <w:name w:val="Revision"/>
    <w:hidden/>
    <w:uiPriority w:val="99"/>
    <w:semiHidden/>
    <w:rsid w:val="0037184C"/>
    <w:rPr>
      <w:rFonts w:asciiTheme="minorHAnsi" w:eastAsiaTheme="minorEastAsia" w:hAnsiTheme="minorHAnsi" w:cstheme="minorBidi"/>
      <w:kern w:val="2"/>
      <w:sz w:val="21"/>
      <w:szCs w:val="22"/>
    </w:rPr>
  </w:style>
  <w:style w:type="character" w:customStyle="1" w:styleId="12">
    <w:name w:val="批注文字 字符1"/>
    <w:basedOn w:val="a0"/>
    <w:qFormat/>
    <w:locked/>
    <w:rsid w:val="00A27A5B"/>
    <w:rPr>
      <w:kern w:val="2"/>
      <w:sz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53626252">
      <w:bodyDiv w:val="1"/>
      <w:marLeft w:val="0"/>
      <w:marRight w:val="0"/>
      <w:marTop w:val="0"/>
      <w:marBottom w:val="0"/>
      <w:divBdr>
        <w:top w:val="none" w:sz="0" w:space="0" w:color="auto"/>
        <w:left w:val="none" w:sz="0" w:space="0" w:color="auto"/>
        <w:bottom w:val="none" w:sz="0" w:space="0" w:color="auto"/>
        <w:right w:val="none" w:sz="0" w:space="0" w:color="auto"/>
      </w:divBdr>
    </w:div>
    <w:div w:id="1062870347">
      <w:bodyDiv w:val="1"/>
      <w:marLeft w:val="0"/>
      <w:marRight w:val="0"/>
      <w:marTop w:val="0"/>
      <w:marBottom w:val="0"/>
      <w:divBdr>
        <w:top w:val="none" w:sz="0" w:space="0" w:color="auto"/>
        <w:left w:val="none" w:sz="0" w:space="0" w:color="auto"/>
        <w:bottom w:val="none" w:sz="0" w:space="0" w:color="auto"/>
        <w:right w:val="none" w:sz="0" w:space="0" w:color="auto"/>
      </w:divBdr>
    </w:div>
    <w:div w:id="1233277804">
      <w:bodyDiv w:val="1"/>
      <w:marLeft w:val="0"/>
      <w:marRight w:val="0"/>
      <w:marTop w:val="0"/>
      <w:marBottom w:val="0"/>
      <w:divBdr>
        <w:top w:val="none" w:sz="0" w:space="0" w:color="auto"/>
        <w:left w:val="none" w:sz="0" w:space="0" w:color="auto"/>
        <w:bottom w:val="none" w:sz="0" w:space="0" w:color="auto"/>
        <w:right w:val="none" w:sz="0" w:space="0" w:color="auto"/>
      </w:divBdr>
    </w:div>
    <w:div w:id="181725564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hyperlink" Target="http://www.txfund.com" TargetMode="External"/><Relationship Id="rId26" Type="http://schemas.openxmlformats.org/officeDocument/2006/relationships/footer" Target="footer10.xml"/><Relationship Id="rId3" Type="http://schemas.openxmlformats.org/officeDocument/2006/relationships/numbering" Target="numbering.xml"/><Relationship Id="rId21" Type="http://schemas.openxmlformats.org/officeDocument/2006/relationships/footer" Target="footer7.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hyperlink" Target="http://www.taixincf.com" TargetMode="External"/><Relationship Id="rId25" Type="http://schemas.openxmlformats.org/officeDocument/2006/relationships/footer" Target="footer9.xml"/><Relationship Id="rId2" Type="http://schemas.openxmlformats.org/officeDocument/2006/relationships/customXml" Target="../customXml/item2.xml"/><Relationship Id="rId16" Type="http://schemas.openxmlformats.org/officeDocument/2006/relationships/hyperlink" Target="http://www.licaike.com" TargetMode="External"/><Relationship Id="rId20" Type="http://schemas.openxmlformats.org/officeDocument/2006/relationships/footer" Target="footer6.xm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2.xml"/><Relationship Id="rId24" Type="http://schemas.openxmlformats.org/officeDocument/2006/relationships/footer" Target="footer8.xml"/><Relationship Id="rId5" Type="http://schemas.openxmlformats.org/officeDocument/2006/relationships/settings" Target="settings.xml"/><Relationship Id="rId15" Type="http://schemas.openxmlformats.org/officeDocument/2006/relationships/hyperlink" Target="http://www.puyifund.com" TargetMode="External"/><Relationship Id="rId23" Type="http://schemas.openxmlformats.org/officeDocument/2006/relationships/image" Target="media/image2.jpeg"/><Relationship Id="rId28" Type="http://schemas.openxmlformats.org/officeDocument/2006/relationships/footer" Target="footer12.xml"/><Relationship Id="rId10" Type="http://schemas.openxmlformats.org/officeDocument/2006/relationships/footer" Target="footer1.xml"/><Relationship Id="rId19" Type="http://schemas.openxmlformats.org/officeDocument/2006/relationships/footer" Target="footer5.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4.xml"/><Relationship Id="rId22" Type="http://schemas.openxmlformats.org/officeDocument/2006/relationships/image" Target="media/image1.jpeg"/><Relationship Id="rId27" Type="http://schemas.openxmlformats.org/officeDocument/2006/relationships/footer" Target="footer11.xml"/><Relationship Id="rId30"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19F8E89-6106-43A5-9646-30DE9A8659A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747</TotalTime>
  <Pages>130</Pages>
  <Words>14263</Words>
  <Characters>81303</Characters>
  <Application>Microsoft Office Word</Application>
  <DocSecurity>0</DocSecurity>
  <Lines>677</Lines>
  <Paragraphs>190</Paragraphs>
  <ScaleCrop>false</ScaleCrop>
  <LinksUpToDate>false</LinksUpToDate>
  <CharactersWithSpaces>95376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徐铮</cp:lastModifiedBy>
  <cp:lastPrinted>2021-04-09T08:45:00Z</cp:lastPrinted>
  <dcterms:created xsi:type="dcterms:W3CDTF">2020-05-18T02:04:00Z</dcterms:created>
  <dcterms:modified xsi:type="dcterms:W3CDTF">2022-05-31T07:59:00Z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