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footer9.xml" ContentType="application/vnd.openxmlformats-officedocument.wordprocessingml.foot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9DA95" w14:textId="77777777" w:rsidR="00CD61EF" w:rsidRDefault="00CD61EF">
      <w:pPr>
        <w:pStyle w:val="a5"/>
        <w:spacing w:before="0"/>
        <w:ind w:left="0" w:firstLine="0"/>
        <w:rPr>
          <w:rFonts w:ascii="Times New Roman"/>
          <w:sz w:val="20"/>
        </w:rPr>
      </w:pPr>
    </w:p>
    <w:p w14:paraId="65A367E9" w14:textId="77777777" w:rsidR="00CD61EF" w:rsidRDefault="00CD61EF">
      <w:pPr>
        <w:pStyle w:val="a5"/>
        <w:spacing w:before="0"/>
        <w:ind w:left="0" w:firstLine="0"/>
        <w:rPr>
          <w:rFonts w:ascii="Times New Roman"/>
          <w:sz w:val="20"/>
        </w:rPr>
      </w:pPr>
    </w:p>
    <w:p w14:paraId="48D6310F" w14:textId="77777777" w:rsidR="00CD61EF" w:rsidRPr="00AA6CC6" w:rsidRDefault="00CD61EF" w:rsidP="00AA6CC6">
      <w:pPr>
        <w:pStyle w:val="a5"/>
        <w:spacing w:before="0" w:line="360" w:lineRule="auto"/>
        <w:ind w:left="0" w:firstLine="0"/>
        <w:rPr>
          <w:rFonts w:asciiTheme="majorEastAsia" w:eastAsiaTheme="majorEastAsia" w:hAnsiTheme="majorEastAsia"/>
          <w:sz w:val="20"/>
        </w:rPr>
      </w:pPr>
    </w:p>
    <w:p w14:paraId="5C24D700" w14:textId="77777777" w:rsidR="00CD61EF" w:rsidRPr="00AA6CC6" w:rsidRDefault="00CD61EF" w:rsidP="00AA6CC6">
      <w:pPr>
        <w:pStyle w:val="a5"/>
        <w:spacing w:before="0" w:line="360" w:lineRule="auto"/>
        <w:ind w:left="0" w:firstLine="0"/>
        <w:rPr>
          <w:rFonts w:asciiTheme="majorEastAsia" w:eastAsiaTheme="majorEastAsia" w:hAnsiTheme="majorEastAsia"/>
          <w:sz w:val="20"/>
        </w:rPr>
      </w:pPr>
    </w:p>
    <w:p w14:paraId="0C5910F1" w14:textId="77777777" w:rsidR="00CD61EF" w:rsidRPr="00AA6CC6" w:rsidRDefault="00CD61EF" w:rsidP="00AA6CC6">
      <w:pPr>
        <w:pStyle w:val="a5"/>
        <w:spacing w:before="0" w:line="360" w:lineRule="auto"/>
        <w:ind w:left="0" w:firstLine="0"/>
        <w:rPr>
          <w:rFonts w:asciiTheme="majorEastAsia" w:eastAsiaTheme="majorEastAsia" w:hAnsiTheme="majorEastAsia"/>
          <w:sz w:val="23"/>
        </w:rPr>
      </w:pPr>
    </w:p>
    <w:p w14:paraId="4FEB9D48" w14:textId="77777777" w:rsidR="00CD61EF" w:rsidRPr="00AA6CC6" w:rsidRDefault="002B79C0" w:rsidP="00AA6CC6">
      <w:pPr>
        <w:pStyle w:val="ad"/>
        <w:spacing w:line="360" w:lineRule="auto"/>
        <w:rPr>
          <w:rFonts w:asciiTheme="majorEastAsia" w:eastAsiaTheme="majorEastAsia" w:hAnsiTheme="majorEastAsia"/>
        </w:rPr>
      </w:pPr>
      <w:r w:rsidRPr="00AA6CC6">
        <w:rPr>
          <w:rFonts w:asciiTheme="majorEastAsia" w:eastAsiaTheme="majorEastAsia" w:hAnsiTheme="majorEastAsia"/>
        </w:rPr>
        <w:t>富荣基金管理有限公司</w:t>
      </w:r>
    </w:p>
    <w:p w14:paraId="1CFDA1AF" w14:textId="77777777" w:rsidR="00CD61EF" w:rsidRPr="00AA6CC6" w:rsidRDefault="00CD61EF" w:rsidP="00AA6CC6">
      <w:pPr>
        <w:pStyle w:val="a5"/>
        <w:spacing w:before="0" w:line="360" w:lineRule="auto"/>
        <w:ind w:left="0" w:firstLine="0"/>
        <w:rPr>
          <w:rFonts w:asciiTheme="majorEastAsia" w:eastAsiaTheme="majorEastAsia" w:hAnsiTheme="majorEastAsia"/>
          <w:b/>
          <w:sz w:val="53"/>
        </w:rPr>
      </w:pPr>
    </w:p>
    <w:p w14:paraId="493077D6" w14:textId="77777777" w:rsidR="00CD61EF" w:rsidRPr="00AA6CC6" w:rsidRDefault="002B79C0" w:rsidP="00AA6CC6">
      <w:pPr>
        <w:spacing w:line="360" w:lineRule="auto"/>
        <w:ind w:left="417" w:right="657"/>
        <w:jc w:val="center"/>
        <w:rPr>
          <w:rFonts w:asciiTheme="majorEastAsia" w:eastAsiaTheme="majorEastAsia" w:hAnsiTheme="majorEastAsia"/>
          <w:b/>
          <w:sz w:val="48"/>
        </w:rPr>
      </w:pPr>
      <w:bookmarkStart w:id="0" w:name="_Hlk70004615"/>
      <w:bookmarkStart w:id="1" w:name="_Hlk70004887"/>
      <w:r w:rsidRPr="00AA6CC6">
        <w:rPr>
          <w:rFonts w:asciiTheme="majorEastAsia" w:eastAsiaTheme="majorEastAsia" w:hAnsiTheme="majorEastAsia" w:hint="eastAsia"/>
          <w:b/>
          <w:sz w:val="48"/>
        </w:rPr>
        <w:t>富荣中短债债券型证券投资基金</w:t>
      </w:r>
    </w:p>
    <w:p w14:paraId="63722E99" w14:textId="0D941781" w:rsidR="00CD61EF" w:rsidRPr="00AA6CC6" w:rsidRDefault="002B79C0" w:rsidP="00AA6CC6">
      <w:pPr>
        <w:spacing w:line="360" w:lineRule="auto"/>
        <w:ind w:left="417" w:right="657"/>
        <w:jc w:val="center"/>
        <w:rPr>
          <w:rFonts w:asciiTheme="majorEastAsia" w:eastAsiaTheme="majorEastAsia" w:hAnsiTheme="majorEastAsia"/>
          <w:b/>
          <w:sz w:val="48"/>
        </w:rPr>
      </w:pPr>
      <w:r w:rsidRPr="00AA6CC6">
        <w:rPr>
          <w:rFonts w:asciiTheme="majorEastAsia" w:eastAsiaTheme="majorEastAsia" w:hAnsiTheme="majorEastAsia" w:hint="eastAsia"/>
          <w:b/>
          <w:sz w:val="48"/>
        </w:rPr>
        <w:t>基金</w:t>
      </w:r>
      <w:bookmarkEnd w:id="0"/>
      <w:r w:rsidRPr="00AA6CC6">
        <w:rPr>
          <w:rFonts w:asciiTheme="majorEastAsia" w:eastAsiaTheme="majorEastAsia" w:hAnsiTheme="majorEastAsia" w:hint="eastAsia"/>
          <w:b/>
          <w:sz w:val="48"/>
        </w:rPr>
        <w:t>合同</w:t>
      </w:r>
    </w:p>
    <w:bookmarkEnd w:id="1"/>
    <w:p w14:paraId="2E7285F7" w14:textId="77777777" w:rsidR="00CD61EF" w:rsidRPr="00AA6CC6" w:rsidRDefault="00CD61EF" w:rsidP="00AA6CC6">
      <w:pPr>
        <w:pStyle w:val="a5"/>
        <w:spacing w:before="0" w:line="360" w:lineRule="auto"/>
        <w:ind w:left="0" w:firstLine="0"/>
        <w:rPr>
          <w:rFonts w:asciiTheme="majorEastAsia" w:eastAsiaTheme="majorEastAsia" w:hAnsiTheme="majorEastAsia"/>
          <w:b/>
          <w:sz w:val="48"/>
        </w:rPr>
      </w:pPr>
    </w:p>
    <w:p w14:paraId="7A8A1B29" w14:textId="77777777" w:rsidR="00CD61EF" w:rsidRPr="00AA6CC6" w:rsidRDefault="00CD61EF" w:rsidP="00AA6CC6">
      <w:pPr>
        <w:pStyle w:val="a5"/>
        <w:spacing w:before="0" w:line="360" w:lineRule="auto"/>
        <w:ind w:left="0" w:firstLine="0"/>
        <w:rPr>
          <w:rFonts w:asciiTheme="majorEastAsia" w:eastAsiaTheme="majorEastAsia" w:hAnsiTheme="majorEastAsia"/>
          <w:b/>
          <w:sz w:val="48"/>
        </w:rPr>
      </w:pPr>
    </w:p>
    <w:p w14:paraId="1F40EA35" w14:textId="77777777" w:rsidR="00CD61EF" w:rsidRPr="00AA6CC6" w:rsidRDefault="00CD61EF" w:rsidP="00AA6CC6">
      <w:pPr>
        <w:pStyle w:val="a5"/>
        <w:spacing w:before="0" w:line="360" w:lineRule="auto"/>
        <w:ind w:left="0" w:firstLine="0"/>
        <w:rPr>
          <w:rFonts w:asciiTheme="majorEastAsia" w:eastAsiaTheme="majorEastAsia" w:hAnsiTheme="majorEastAsia"/>
          <w:b/>
          <w:sz w:val="54"/>
        </w:rPr>
      </w:pPr>
    </w:p>
    <w:p w14:paraId="1865C5E7" w14:textId="77777777" w:rsidR="00CD61EF" w:rsidRPr="00AA6CC6" w:rsidRDefault="002B79C0" w:rsidP="00AA6CC6">
      <w:pPr>
        <w:spacing w:line="360" w:lineRule="auto"/>
        <w:ind w:left="1380" w:right="1620" w:hanging="2"/>
        <w:jc w:val="center"/>
        <w:rPr>
          <w:rFonts w:asciiTheme="majorEastAsia" w:eastAsiaTheme="majorEastAsia" w:hAnsiTheme="majorEastAsia"/>
          <w:b/>
          <w:sz w:val="36"/>
        </w:rPr>
      </w:pPr>
      <w:r w:rsidRPr="00AA6CC6">
        <w:rPr>
          <w:rFonts w:asciiTheme="majorEastAsia" w:eastAsiaTheme="majorEastAsia" w:hAnsiTheme="majorEastAsia" w:hint="eastAsia"/>
          <w:b/>
          <w:sz w:val="36"/>
        </w:rPr>
        <w:t>基金管理人：富荣基金管理有限公司基金托管人：平安银行股份有限公司</w:t>
      </w:r>
    </w:p>
    <w:p w14:paraId="1365EFCF" w14:textId="77777777" w:rsidR="00CD61EF" w:rsidRPr="00AA6CC6" w:rsidRDefault="00CD61EF" w:rsidP="00AA6CC6">
      <w:pPr>
        <w:spacing w:line="360" w:lineRule="auto"/>
        <w:ind w:left="1380" w:right="1620" w:hanging="2"/>
        <w:jc w:val="center"/>
        <w:rPr>
          <w:rFonts w:asciiTheme="majorEastAsia" w:eastAsiaTheme="majorEastAsia" w:hAnsiTheme="majorEastAsia"/>
          <w:b/>
          <w:sz w:val="36"/>
        </w:rPr>
      </w:pPr>
    </w:p>
    <w:p w14:paraId="48AD9737" w14:textId="6EBDA50A" w:rsidR="00CD61EF" w:rsidRPr="00AA6CC6" w:rsidRDefault="002B79C0" w:rsidP="00AA6CC6">
      <w:pPr>
        <w:spacing w:line="360" w:lineRule="auto"/>
        <w:ind w:left="417" w:right="53"/>
        <w:jc w:val="center"/>
        <w:rPr>
          <w:rFonts w:asciiTheme="majorEastAsia" w:eastAsiaTheme="majorEastAsia" w:hAnsiTheme="majorEastAsia"/>
          <w:b/>
          <w:sz w:val="30"/>
        </w:rPr>
      </w:pPr>
      <w:r w:rsidRPr="00AA6CC6">
        <w:rPr>
          <w:rFonts w:asciiTheme="majorEastAsia" w:eastAsiaTheme="majorEastAsia" w:hAnsiTheme="majorEastAsia" w:hint="eastAsia"/>
          <w:b/>
          <w:sz w:val="30"/>
        </w:rPr>
        <w:t>二〇二一年</w:t>
      </w:r>
      <w:r w:rsidR="00156CE0">
        <w:rPr>
          <w:rFonts w:asciiTheme="majorEastAsia" w:eastAsiaTheme="majorEastAsia" w:hAnsiTheme="majorEastAsia" w:hint="eastAsia"/>
          <w:b/>
          <w:sz w:val="30"/>
        </w:rPr>
        <w:t>十一</w:t>
      </w:r>
      <w:r w:rsidRPr="00AA6CC6">
        <w:rPr>
          <w:rFonts w:asciiTheme="majorEastAsia" w:eastAsiaTheme="majorEastAsia" w:hAnsiTheme="majorEastAsia" w:hint="eastAsia"/>
          <w:b/>
          <w:sz w:val="30"/>
        </w:rPr>
        <w:t>月</w:t>
      </w:r>
    </w:p>
    <w:p w14:paraId="468EE99A" w14:textId="77777777" w:rsidR="00CD61EF" w:rsidRDefault="00CD61EF">
      <w:pPr>
        <w:jc w:val="center"/>
        <w:rPr>
          <w:rFonts w:ascii="Microsoft JhengHei" w:eastAsia="Microsoft JhengHei"/>
          <w:sz w:val="30"/>
        </w:rPr>
        <w:sectPr w:rsidR="00CD61EF">
          <w:type w:val="continuous"/>
          <w:pgSz w:w="11910" w:h="16840"/>
          <w:pgMar w:top="1580" w:right="1440" w:bottom="280" w:left="1680" w:header="720" w:footer="720" w:gutter="0"/>
          <w:cols w:space="720"/>
        </w:sectPr>
      </w:pPr>
    </w:p>
    <w:p w14:paraId="73A4A3DD" w14:textId="77777777" w:rsidR="00CD61EF" w:rsidRDefault="002B79C0">
      <w:pPr>
        <w:pStyle w:val="2"/>
      </w:pPr>
      <w:r>
        <w:lastRenderedPageBreak/>
        <w:t>目录</w:t>
      </w:r>
    </w:p>
    <w:sdt>
      <w:sdtPr>
        <w:rPr>
          <w:sz w:val="21"/>
          <w:szCs w:val="21"/>
        </w:rPr>
        <w:id w:val="898091808"/>
        <w:docPartObj>
          <w:docPartGallery w:val="Table of Contents"/>
          <w:docPartUnique/>
        </w:docPartObj>
      </w:sdtPr>
      <w:sdtEndPr/>
      <w:sdtContent>
        <w:p w14:paraId="0E2F5D35" w14:textId="77777777" w:rsidR="00CD61EF" w:rsidRDefault="002B79C0">
          <w:pPr>
            <w:rPr>
              <w:noProof/>
            </w:rPr>
          </w:pPr>
          <w:r>
            <w:fldChar w:fldCharType="begin"/>
          </w:r>
          <w:r>
            <w:instrText xml:space="preserve">TOC \o "1-1" \h \z \u </w:instrText>
          </w:r>
          <w:r>
            <w:fldChar w:fldCharType="separate"/>
          </w:r>
        </w:p>
        <w:p w14:paraId="4A1780E9" w14:textId="60D2A743" w:rsidR="00CD61EF" w:rsidRDefault="00156CE0">
          <w:pPr>
            <w:pStyle w:val="TOC1"/>
            <w:tabs>
              <w:tab w:val="right" w:leader="dot" w:pos="8790"/>
            </w:tabs>
            <w:rPr>
              <w:noProof/>
            </w:rPr>
          </w:pPr>
          <w:hyperlink w:anchor="_Toc17216" w:history="1">
            <w:r w:rsidR="002B79C0">
              <w:rPr>
                <w:noProof/>
                <w:spacing w:val="11"/>
              </w:rPr>
              <w:t>第一部分 前言</w:t>
            </w:r>
            <w:r w:rsidR="002B79C0">
              <w:rPr>
                <w:noProof/>
              </w:rPr>
              <w:tab/>
            </w:r>
            <w:r w:rsidR="002B79C0">
              <w:rPr>
                <w:noProof/>
              </w:rPr>
              <w:fldChar w:fldCharType="begin"/>
            </w:r>
            <w:r w:rsidR="002B79C0">
              <w:rPr>
                <w:noProof/>
              </w:rPr>
              <w:instrText xml:space="preserve"> PAGEREF _Toc17216 \h </w:instrText>
            </w:r>
            <w:r w:rsidR="002B79C0">
              <w:rPr>
                <w:noProof/>
              </w:rPr>
            </w:r>
            <w:r w:rsidR="002B79C0">
              <w:rPr>
                <w:noProof/>
              </w:rPr>
              <w:fldChar w:fldCharType="separate"/>
            </w:r>
            <w:r w:rsidR="005059F6">
              <w:rPr>
                <w:noProof/>
              </w:rPr>
              <w:t>3</w:t>
            </w:r>
            <w:r w:rsidR="002B79C0">
              <w:rPr>
                <w:noProof/>
              </w:rPr>
              <w:fldChar w:fldCharType="end"/>
            </w:r>
          </w:hyperlink>
        </w:p>
        <w:p w14:paraId="02B94F81" w14:textId="0C6795C7" w:rsidR="00CD61EF" w:rsidRDefault="00156CE0">
          <w:pPr>
            <w:pStyle w:val="TOC1"/>
            <w:tabs>
              <w:tab w:val="right" w:leader="dot" w:pos="8790"/>
            </w:tabs>
            <w:rPr>
              <w:noProof/>
            </w:rPr>
          </w:pPr>
          <w:hyperlink w:anchor="_Toc30171" w:history="1">
            <w:r w:rsidR="002B79C0">
              <w:rPr>
                <w:noProof/>
                <w:spacing w:val="11"/>
              </w:rPr>
              <w:t>第二部分 释义</w:t>
            </w:r>
            <w:r w:rsidR="002B79C0">
              <w:rPr>
                <w:noProof/>
              </w:rPr>
              <w:tab/>
            </w:r>
            <w:r w:rsidR="002B79C0">
              <w:rPr>
                <w:noProof/>
              </w:rPr>
              <w:fldChar w:fldCharType="begin"/>
            </w:r>
            <w:r w:rsidR="002B79C0">
              <w:rPr>
                <w:noProof/>
              </w:rPr>
              <w:instrText xml:space="preserve"> PAGEREF _Toc30171 \h </w:instrText>
            </w:r>
            <w:r w:rsidR="002B79C0">
              <w:rPr>
                <w:noProof/>
              </w:rPr>
            </w:r>
            <w:r w:rsidR="002B79C0">
              <w:rPr>
                <w:noProof/>
              </w:rPr>
              <w:fldChar w:fldCharType="separate"/>
            </w:r>
            <w:r w:rsidR="005059F6">
              <w:rPr>
                <w:noProof/>
              </w:rPr>
              <w:t>5</w:t>
            </w:r>
            <w:r w:rsidR="002B79C0">
              <w:rPr>
                <w:noProof/>
              </w:rPr>
              <w:fldChar w:fldCharType="end"/>
            </w:r>
          </w:hyperlink>
        </w:p>
        <w:p w14:paraId="1A2BA7B6" w14:textId="7CE99E00" w:rsidR="00CD61EF" w:rsidRDefault="00156CE0">
          <w:pPr>
            <w:pStyle w:val="TOC1"/>
            <w:tabs>
              <w:tab w:val="right" w:leader="dot" w:pos="8790"/>
            </w:tabs>
            <w:rPr>
              <w:noProof/>
            </w:rPr>
          </w:pPr>
          <w:hyperlink w:anchor="_Toc4791" w:history="1">
            <w:r w:rsidR="002B79C0">
              <w:rPr>
                <w:noProof/>
                <w:spacing w:val="5"/>
              </w:rPr>
              <w:t>第三部分 基金的基本情况</w:t>
            </w:r>
            <w:r w:rsidR="002B79C0">
              <w:rPr>
                <w:noProof/>
              </w:rPr>
              <w:tab/>
            </w:r>
            <w:r w:rsidR="002B79C0">
              <w:rPr>
                <w:noProof/>
              </w:rPr>
              <w:fldChar w:fldCharType="begin"/>
            </w:r>
            <w:r w:rsidR="002B79C0">
              <w:rPr>
                <w:noProof/>
              </w:rPr>
              <w:instrText xml:space="preserve"> PAGEREF _Toc4791 \h </w:instrText>
            </w:r>
            <w:r w:rsidR="002B79C0">
              <w:rPr>
                <w:noProof/>
              </w:rPr>
            </w:r>
            <w:r w:rsidR="002B79C0">
              <w:rPr>
                <w:noProof/>
              </w:rPr>
              <w:fldChar w:fldCharType="separate"/>
            </w:r>
            <w:r w:rsidR="005059F6">
              <w:rPr>
                <w:noProof/>
              </w:rPr>
              <w:t>10</w:t>
            </w:r>
            <w:r w:rsidR="002B79C0">
              <w:rPr>
                <w:noProof/>
              </w:rPr>
              <w:fldChar w:fldCharType="end"/>
            </w:r>
          </w:hyperlink>
        </w:p>
        <w:p w14:paraId="17CDAC2A" w14:textId="295F545F" w:rsidR="00CD61EF" w:rsidRDefault="00156CE0">
          <w:pPr>
            <w:pStyle w:val="TOC1"/>
            <w:tabs>
              <w:tab w:val="right" w:leader="dot" w:pos="8790"/>
            </w:tabs>
            <w:rPr>
              <w:noProof/>
            </w:rPr>
          </w:pPr>
          <w:hyperlink w:anchor="_Toc30731" w:history="1">
            <w:r w:rsidR="002B79C0">
              <w:rPr>
                <w:noProof/>
                <w:spacing w:val="5"/>
              </w:rPr>
              <w:t>第四部分 基金份额的发售</w:t>
            </w:r>
            <w:r w:rsidR="002B79C0">
              <w:rPr>
                <w:noProof/>
              </w:rPr>
              <w:tab/>
            </w:r>
            <w:r w:rsidR="002B79C0">
              <w:rPr>
                <w:noProof/>
              </w:rPr>
              <w:fldChar w:fldCharType="begin"/>
            </w:r>
            <w:r w:rsidR="002B79C0">
              <w:rPr>
                <w:noProof/>
              </w:rPr>
              <w:instrText xml:space="preserve"> PAGEREF _Toc30731 \h </w:instrText>
            </w:r>
            <w:r w:rsidR="002B79C0">
              <w:rPr>
                <w:noProof/>
              </w:rPr>
            </w:r>
            <w:r w:rsidR="002B79C0">
              <w:rPr>
                <w:noProof/>
              </w:rPr>
              <w:fldChar w:fldCharType="separate"/>
            </w:r>
            <w:r w:rsidR="005059F6">
              <w:rPr>
                <w:noProof/>
              </w:rPr>
              <w:t>12</w:t>
            </w:r>
            <w:r w:rsidR="002B79C0">
              <w:rPr>
                <w:noProof/>
              </w:rPr>
              <w:fldChar w:fldCharType="end"/>
            </w:r>
          </w:hyperlink>
        </w:p>
        <w:p w14:paraId="485296D5" w14:textId="4934896B" w:rsidR="00CD61EF" w:rsidRDefault="00156CE0">
          <w:pPr>
            <w:pStyle w:val="TOC1"/>
            <w:tabs>
              <w:tab w:val="right" w:leader="dot" w:pos="8790"/>
            </w:tabs>
            <w:rPr>
              <w:noProof/>
            </w:rPr>
          </w:pPr>
          <w:hyperlink w:anchor="_Toc18056" w:history="1">
            <w:r w:rsidR="002B79C0">
              <w:rPr>
                <w:noProof/>
                <w:spacing w:val="8"/>
              </w:rPr>
              <w:t>第五部分 基金备案</w:t>
            </w:r>
            <w:r w:rsidR="002B79C0">
              <w:rPr>
                <w:noProof/>
              </w:rPr>
              <w:tab/>
            </w:r>
            <w:r w:rsidR="002B79C0">
              <w:rPr>
                <w:noProof/>
              </w:rPr>
              <w:fldChar w:fldCharType="begin"/>
            </w:r>
            <w:r w:rsidR="002B79C0">
              <w:rPr>
                <w:noProof/>
              </w:rPr>
              <w:instrText xml:space="preserve"> PAGEREF _Toc18056 \h </w:instrText>
            </w:r>
            <w:r w:rsidR="002B79C0">
              <w:rPr>
                <w:noProof/>
              </w:rPr>
            </w:r>
            <w:r w:rsidR="002B79C0">
              <w:rPr>
                <w:noProof/>
              </w:rPr>
              <w:fldChar w:fldCharType="separate"/>
            </w:r>
            <w:r w:rsidR="005059F6">
              <w:rPr>
                <w:noProof/>
              </w:rPr>
              <w:t>14</w:t>
            </w:r>
            <w:r w:rsidR="002B79C0">
              <w:rPr>
                <w:noProof/>
              </w:rPr>
              <w:fldChar w:fldCharType="end"/>
            </w:r>
          </w:hyperlink>
        </w:p>
        <w:p w14:paraId="23713F79" w14:textId="7F889D97" w:rsidR="00CD61EF" w:rsidRDefault="00156CE0">
          <w:pPr>
            <w:pStyle w:val="TOC1"/>
            <w:tabs>
              <w:tab w:val="right" w:leader="dot" w:pos="8790"/>
            </w:tabs>
            <w:rPr>
              <w:noProof/>
            </w:rPr>
          </w:pPr>
          <w:hyperlink w:anchor="_Toc2318" w:history="1">
            <w:r w:rsidR="002B79C0">
              <w:rPr>
                <w:noProof/>
                <w:spacing w:val="2"/>
              </w:rPr>
              <w:t>第六部分 基金份额的申购与赎回</w:t>
            </w:r>
            <w:r w:rsidR="002B79C0">
              <w:rPr>
                <w:noProof/>
              </w:rPr>
              <w:tab/>
            </w:r>
            <w:r w:rsidR="002B79C0">
              <w:rPr>
                <w:noProof/>
              </w:rPr>
              <w:fldChar w:fldCharType="begin"/>
            </w:r>
            <w:r w:rsidR="002B79C0">
              <w:rPr>
                <w:noProof/>
              </w:rPr>
              <w:instrText xml:space="preserve"> PAGEREF _Toc2318 \h </w:instrText>
            </w:r>
            <w:r w:rsidR="002B79C0">
              <w:rPr>
                <w:noProof/>
              </w:rPr>
            </w:r>
            <w:r w:rsidR="002B79C0">
              <w:rPr>
                <w:noProof/>
              </w:rPr>
              <w:fldChar w:fldCharType="separate"/>
            </w:r>
            <w:r w:rsidR="005059F6">
              <w:rPr>
                <w:noProof/>
              </w:rPr>
              <w:t>15</w:t>
            </w:r>
            <w:r w:rsidR="002B79C0">
              <w:rPr>
                <w:noProof/>
              </w:rPr>
              <w:fldChar w:fldCharType="end"/>
            </w:r>
          </w:hyperlink>
        </w:p>
        <w:p w14:paraId="4A9CD37B" w14:textId="3712B440" w:rsidR="00CD61EF" w:rsidRDefault="00156CE0">
          <w:pPr>
            <w:pStyle w:val="TOC1"/>
            <w:tabs>
              <w:tab w:val="right" w:leader="dot" w:pos="8790"/>
            </w:tabs>
            <w:rPr>
              <w:noProof/>
            </w:rPr>
          </w:pPr>
          <w:hyperlink w:anchor="_Toc31542" w:history="1">
            <w:r w:rsidR="002B79C0">
              <w:rPr>
                <w:rFonts w:ascii="Times New Roman" w:hAnsi="Times New Roman" w:cs="Times New Roman"/>
                <w:noProof/>
                <w:szCs w:val="20"/>
              </w:rPr>
              <w:t>第七部分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基金合同</w:t>
            </w:r>
            <w:r w:rsidR="002B79C0">
              <w:rPr>
                <w:rFonts w:ascii="Times New Roman" w:hAnsi="Times New Roman" w:cs="Times New Roman" w:hint="eastAsia"/>
                <w:noProof/>
                <w:szCs w:val="20"/>
              </w:rPr>
              <w:t>当事人及权利义务</w:t>
            </w:r>
            <w:r w:rsidR="002B79C0">
              <w:rPr>
                <w:noProof/>
              </w:rPr>
              <w:tab/>
            </w:r>
            <w:r w:rsidR="002B79C0">
              <w:rPr>
                <w:noProof/>
              </w:rPr>
              <w:fldChar w:fldCharType="begin"/>
            </w:r>
            <w:r w:rsidR="002B79C0">
              <w:rPr>
                <w:noProof/>
              </w:rPr>
              <w:instrText xml:space="preserve"> PAGEREF _Toc31542 \h </w:instrText>
            </w:r>
            <w:r w:rsidR="002B79C0">
              <w:rPr>
                <w:noProof/>
              </w:rPr>
            </w:r>
            <w:r w:rsidR="002B79C0">
              <w:rPr>
                <w:noProof/>
              </w:rPr>
              <w:fldChar w:fldCharType="separate"/>
            </w:r>
            <w:r w:rsidR="005059F6">
              <w:rPr>
                <w:noProof/>
              </w:rPr>
              <w:t>24</w:t>
            </w:r>
            <w:r w:rsidR="002B79C0">
              <w:rPr>
                <w:noProof/>
              </w:rPr>
              <w:fldChar w:fldCharType="end"/>
            </w:r>
          </w:hyperlink>
        </w:p>
        <w:p w14:paraId="7D69FD4E" w14:textId="6399C19B" w:rsidR="00CD61EF" w:rsidRDefault="00156CE0">
          <w:pPr>
            <w:pStyle w:val="TOC1"/>
            <w:tabs>
              <w:tab w:val="right" w:leader="dot" w:pos="8790"/>
            </w:tabs>
            <w:rPr>
              <w:noProof/>
            </w:rPr>
          </w:pPr>
          <w:hyperlink w:anchor="_Toc27782" w:history="1">
            <w:r w:rsidR="002B79C0">
              <w:rPr>
                <w:rFonts w:ascii="Times New Roman" w:hAnsi="Times New Roman" w:cs="Times New Roman"/>
                <w:noProof/>
                <w:szCs w:val="20"/>
              </w:rPr>
              <w:t>第八部分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基金份</w:t>
            </w:r>
            <w:r w:rsidR="002B79C0">
              <w:rPr>
                <w:rFonts w:ascii="Times New Roman" w:hAnsi="Times New Roman" w:cs="Times New Roman" w:hint="eastAsia"/>
                <w:noProof/>
                <w:szCs w:val="20"/>
              </w:rPr>
              <w:t>额持有人大会</w:t>
            </w:r>
            <w:r w:rsidR="002B79C0">
              <w:rPr>
                <w:noProof/>
              </w:rPr>
              <w:tab/>
            </w:r>
            <w:r w:rsidR="002B79C0">
              <w:rPr>
                <w:noProof/>
              </w:rPr>
              <w:fldChar w:fldCharType="begin"/>
            </w:r>
            <w:r w:rsidR="002B79C0">
              <w:rPr>
                <w:noProof/>
              </w:rPr>
              <w:instrText xml:space="preserve"> PAGEREF _Toc27782 \h </w:instrText>
            </w:r>
            <w:r w:rsidR="002B79C0">
              <w:rPr>
                <w:noProof/>
              </w:rPr>
            </w:r>
            <w:r w:rsidR="002B79C0">
              <w:rPr>
                <w:noProof/>
              </w:rPr>
              <w:fldChar w:fldCharType="separate"/>
            </w:r>
            <w:r w:rsidR="005059F6">
              <w:rPr>
                <w:noProof/>
              </w:rPr>
              <w:t>32</w:t>
            </w:r>
            <w:r w:rsidR="002B79C0">
              <w:rPr>
                <w:noProof/>
              </w:rPr>
              <w:fldChar w:fldCharType="end"/>
            </w:r>
          </w:hyperlink>
        </w:p>
        <w:p w14:paraId="6627A18E" w14:textId="1CA546A8" w:rsidR="00CD61EF" w:rsidRDefault="00156CE0">
          <w:pPr>
            <w:pStyle w:val="TOC1"/>
            <w:tabs>
              <w:tab w:val="right" w:leader="dot" w:pos="8790"/>
            </w:tabs>
            <w:rPr>
              <w:noProof/>
            </w:rPr>
          </w:pPr>
          <w:hyperlink w:anchor="_Toc8816" w:history="1">
            <w:r w:rsidR="002B79C0">
              <w:rPr>
                <w:rFonts w:ascii="Times New Roman" w:hAnsi="Times New Roman" w:cs="Times New Roman"/>
                <w:noProof/>
                <w:szCs w:val="20"/>
              </w:rPr>
              <w:t>第九部分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基金管理人、基金托管人的更</w:t>
            </w:r>
            <w:r w:rsidR="002B79C0">
              <w:rPr>
                <w:rFonts w:ascii="Times New Roman" w:hAnsi="Times New Roman" w:cs="Times New Roman" w:hint="eastAsia"/>
                <w:noProof/>
                <w:szCs w:val="20"/>
              </w:rPr>
              <w:t>换条件和程序</w:t>
            </w:r>
            <w:r w:rsidR="002B79C0">
              <w:rPr>
                <w:noProof/>
              </w:rPr>
              <w:tab/>
            </w:r>
            <w:r w:rsidR="002B79C0">
              <w:rPr>
                <w:noProof/>
              </w:rPr>
              <w:fldChar w:fldCharType="begin"/>
            </w:r>
            <w:r w:rsidR="002B79C0">
              <w:rPr>
                <w:noProof/>
              </w:rPr>
              <w:instrText xml:space="preserve"> PAGEREF _Toc8816 \h </w:instrText>
            </w:r>
            <w:r w:rsidR="002B79C0">
              <w:rPr>
                <w:noProof/>
              </w:rPr>
            </w:r>
            <w:r w:rsidR="002B79C0">
              <w:rPr>
                <w:noProof/>
              </w:rPr>
              <w:fldChar w:fldCharType="separate"/>
            </w:r>
            <w:r w:rsidR="005059F6">
              <w:rPr>
                <w:noProof/>
              </w:rPr>
              <w:t>40</w:t>
            </w:r>
            <w:r w:rsidR="002B79C0">
              <w:rPr>
                <w:noProof/>
              </w:rPr>
              <w:fldChar w:fldCharType="end"/>
            </w:r>
          </w:hyperlink>
        </w:p>
        <w:p w14:paraId="196DA71F" w14:textId="0B944B5D" w:rsidR="00CD61EF" w:rsidRDefault="00156CE0">
          <w:pPr>
            <w:pStyle w:val="TOC1"/>
            <w:tabs>
              <w:tab w:val="right" w:leader="dot" w:pos="8790"/>
            </w:tabs>
            <w:rPr>
              <w:noProof/>
            </w:rPr>
          </w:pPr>
          <w:hyperlink w:anchor="_Toc32653" w:history="1">
            <w:r w:rsidR="002B79C0">
              <w:rPr>
                <w:rFonts w:ascii="Times New Roman" w:hAnsi="Times New Roman" w:cs="Times New Roman"/>
                <w:noProof/>
                <w:szCs w:val="20"/>
              </w:rPr>
              <w:t>第十部分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基金的托管</w:t>
            </w:r>
            <w:r w:rsidR="002B79C0">
              <w:rPr>
                <w:noProof/>
              </w:rPr>
              <w:tab/>
            </w:r>
            <w:r w:rsidR="002B79C0">
              <w:rPr>
                <w:noProof/>
              </w:rPr>
              <w:fldChar w:fldCharType="begin"/>
            </w:r>
            <w:r w:rsidR="002B79C0">
              <w:rPr>
                <w:noProof/>
              </w:rPr>
              <w:instrText xml:space="preserve"> PAGEREF _Toc32653 \h </w:instrText>
            </w:r>
            <w:r w:rsidR="002B79C0">
              <w:rPr>
                <w:noProof/>
              </w:rPr>
            </w:r>
            <w:r w:rsidR="002B79C0">
              <w:rPr>
                <w:noProof/>
              </w:rPr>
              <w:fldChar w:fldCharType="separate"/>
            </w:r>
            <w:r w:rsidR="005059F6">
              <w:rPr>
                <w:noProof/>
              </w:rPr>
              <w:t>43</w:t>
            </w:r>
            <w:r w:rsidR="002B79C0">
              <w:rPr>
                <w:noProof/>
              </w:rPr>
              <w:fldChar w:fldCharType="end"/>
            </w:r>
          </w:hyperlink>
        </w:p>
        <w:p w14:paraId="1EB0FE45" w14:textId="531BE854" w:rsidR="00CD61EF" w:rsidRDefault="00156CE0">
          <w:pPr>
            <w:pStyle w:val="TOC1"/>
            <w:tabs>
              <w:tab w:val="right" w:leader="dot" w:pos="8790"/>
            </w:tabs>
            <w:rPr>
              <w:noProof/>
            </w:rPr>
          </w:pPr>
          <w:hyperlink w:anchor="_Toc22103" w:history="1">
            <w:r w:rsidR="002B79C0">
              <w:rPr>
                <w:rFonts w:ascii="Times New Roman" w:hAnsi="Times New Roman" w:cs="Times New Roman"/>
                <w:noProof/>
                <w:szCs w:val="20"/>
              </w:rPr>
              <w:t>第十一部分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基金份</w:t>
            </w:r>
            <w:r w:rsidR="002B79C0">
              <w:rPr>
                <w:rFonts w:ascii="Times New Roman" w:hAnsi="Times New Roman" w:cs="Times New Roman" w:hint="eastAsia"/>
                <w:noProof/>
                <w:szCs w:val="20"/>
              </w:rPr>
              <w:t>额的登记</w:t>
            </w:r>
            <w:r w:rsidR="002B79C0">
              <w:rPr>
                <w:noProof/>
              </w:rPr>
              <w:tab/>
            </w:r>
            <w:r w:rsidR="002B79C0">
              <w:rPr>
                <w:noProof/>
              </w:rPr>
              <w:fldChar w:fldCharType="begin"/>
            </w:r>
            <w:r w:rsidR="002B79C0">
              <w:rPr>
                <w:noProof/>
              </w:rPr>
              <w:instrText xml:space="preserve"> PAGEREF _Toc22103 \h </w:instrText>
            </w:r>
            <w:r w:rsidR="002B79C0">
              <w:rPr>
                <w:noProof/>
              </w:rPr>
            </w:r>
            <w:r w:rsidR="002B79C0">
              <w:rPr>
                <w:noProof/>
              </w:rPr>
              <w:fldChar w:fldCharType="separate"/>
            </w:r>
            <w:r w:rsidR="005059F6">
              <w:rPr>
                <w:noProof/>
              </w:rPr>
              <w:t>44</w:t>
            </w:r>
            <w:r w:rsidR="002B79C0">
              <w:rPr>
                <w:noProof/>
              </w:rPr>
              <w:fldChar w:fldCharType="end"/>
            </w:r>
          </w:hyperlink>
        </w:p>
        <w:p w14:paraId="071764C7" w14:textId="70ACCB89" w:rsidR="00CD61EF" w:rsidRDefault="00156CE0">
          <w:pPr>
            <w:pStyle w:val="TOC1"/>
            <w:tabs>
              <w:tab w:val="right" w:leader="dot" w:pos="8790"/>
            </w:tabs>
            <w:rPr>
              <w:noProof/>
            </w:rPr>
          </w:pPr>
          <w:hyperlink w:anchor="_Toc1929" w:history="1">
            <w:r w:rsidR="002B79C0">
              <w:rPr>
                <w:rFonts w:ascii="Times New Roman" w:hAnsi="Times New Roman" w:cs="Times New Roman"/>
                <w:noProof/>
                <w:szCs w:val="20"/>
              </w:rPr>
              <w:t>第十二部分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基金的投</w:t>
            </w:r>
            <w:r w:rsidR="002B79C0">
              <w:rPr>
                <w:rFonts w:ascii="Times New Roman" w:hAnsi="Times New Roman" w:cs="Times New Roman" w:hint="eastAsia"/>
                <w:noProof/>
                <w:szCs w:val="20"/>
              </w:rPr>
              <w:t>资</w:t>
            </w:r>
            <w:r w:rsidR="002B79C0">
              <w:rPr>
                <w:noProof/>
              </w:rPr>
              <w:tab/>
            </w:r>
            <w:r w:rsidR="002B79C0">
              <w:rPr>
                <w:noProof/>
              </w:rPr>
              <w:fldChar w:fldCharType="begin"/>
            </w:r>
            <w:r w:rsidR="002B79C0">
              <w:rPr>
                <w:noProof/>
              </w:rPr>
              <w:instrText xml:space="preserve"> PAGEREF _Toc1929 \h </w:instrText>
            </w:r>
            <w:r w:rsidR="002B79C0">
              <w:rPr>
                <w:noProof/>
              </w:rPr>
            </w:r>
            <w:r w:rsidR="002B79C0">
              <w:rPr>
                <w:noProof/>
              </w:rPr>
              <w:fldChar w:fldCharType="separate"/>
            </w:r>
            <w:r w:rsidR="005059F6">
              <w:rPr>
                <w:noProof/>
              </w:rPr>
              <w:t>46</w:t>
            </w:r>
            <w:r w:rsidR="002B79C0">
              <w:rPr>
                <w:noProof/>
              </w:rPr>
              <w:fldChar w:fldCharType="end"/>
            </w:r>
          </w:hyperlink>
        </w:p>
        <w:p w14:paraId="2781D340" w14:textId="30092BA0" w:rsidR="00CD61EF" w:rsidRDefault="00156CE0">
          <w:pPr>
            <w:pStyle w:val="TOC1"/>
            <w:tabs>
              <w:tab w:val="right" w:leader="dot" w:pos="8790"/>
            </w:tabs>
            <w:rPr>
              <w:noProof/>
            </w:rPr>
          </w:pPr>
          <w:hyperlink w:anchor="_Toc4973" w:history="1">
            <w:r w:rsidR="002B79C0">
              <w:rPr>
                <w:rFonts w:ascii="Times New Roman" w:hAnsi="Times New Roman" w:cs="Times New Roman"/>
                <w:noProof/>
                <w:szCs w:val="20"/>
              </w:rPr>
              <w:t>第十三部分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基金的</w:t>
            </w:r>
            <w:r w:rsidR="002B79C0">
              <w:rPr>
                <w:rFonts w:ascii="Times New Roman" w:hAnsi="Times New Roman" w:cs="Times New Roman" w:hint="eastAsia"/>
                <w:noProof/>
                <w:szCs w:val="20"/>
              </w:rPr>
              <w:t>财产</w:t>
            </w:r>
            <w:r w:rsidR="002B79C0">
              <w:rPr>
                <w:noProof/>
              </w:rPr>
              <w:tab/>
            </w:r>
            <w:r w:rsidR="002B79C0">
              <w:rPr>
                <w:noProof/>
              </w:rPr>
              <w:fldChar w:fldCharType="begin"/>
            </w:r>
            <w:r w:rsidR="002B79C0">
              <w:rPr>
                <w:noProof/>
              </w:rPr>
              <w:instrText xml:space="preserve"> PAGEREF _Toc4973 \h </w:instrText>
            </w:r>
            <w:r w:rsidR="002B79C0">
              <w:rPr>
                <w:noProof/>
              </w:rPr>
            </w:r>
            <w:r w:rsidR="002B79C0">
              <w:rPr>
                <w:noProof/>
              </w:rPr>
              <w:fldChar w:fldCharType="separate"/>
            </w:r>
            <w:r w:rsidR="005059F6">
              <w:rPr>
                <w:noProof/>
              </w:rPr>
              <w:t>53</w:t>
            </w:r>
            <w:r w:rsidR="002B79C0">
              <w:rPr>
                <w:noProof/>
              </w:rPr>
              <w:fldChar w:fldCharType="end"/>
            </w:r>
          </w:hyperlink>
        </w:p>
        <w:p w14:paraId="3A92177E" w14:textId="6ADB5F7B" w:rsidR="00CD61EF" w:rsidRDefault="00156CE0">
          <w:pPr>
            <w:pStyle w:val="TOC1"/>
            <w:tabs>
              <w:tab w:val="right" w:leader="dot" w:pos="8790"/>
            </w:tabs>
            <w:rPr>
              <w:noProof/>
            </w:rPr>
          </w:pPr>
          <w:hyperlink w:anchor="_Toc4296" w:history="1">
            <w:r w:rsidR="002B79C0">
              <w:rPr>
                <w:rFonts w:ascii="Times New Roman" w:hAnsi="Times New Roman" w:cs="Times New Roman"/>
                <w:noProof/>
                <w:szCs w:val="20"/>
              </w:rPr>
              <w:t>第十四部分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w:t>
            </w:r>
            <w:r w:rsidR="002B79C0">
              <w:rPr>
                <w:rFonts w:ascii="Times New Roman" w:hAnsi="Times New Roman" w:cs="Times New Roman" w:hint="eastAsia"/>
                <w:noProof/>
                <w:szCs w:val="20"/>
              </w:rPr>
              <w:t>资产估值</w:t>
            </w:r>
            <w:r w:rsidR="002B79C0">
              <w:rPr>
                <w:noProof/>
              </w:rPr>
              <w:tab/>
            </w:r>
            <w:r w:rsidR="002B79C0">
              <w:rPr>
                <w:noProof/>
              </w:rPr>
              <w:fldChar w:fldCharType="begin"/>
            </w:r>
            <w:r w:rsidR="002B79C0">
              <w:rPr>
                <w:noProof/>
              </w:rPr>
              <w:instrText xml:space="preserve"> PAGEREF _Toc4296 \h </w:instrText>
            </w:r>
            <w:r w:rsidR="002B79C0">
              <w:rPr>
                <w:noProof/>
              </w:rPr>
            </w:r>
            <w:r w:rsidR="002B79C0">
              <w:rPr>
                <w:noProof/>
              </w:rPr>
              <w:fldChar w:fldCharType="separate"/>
            </w:r>
            <w:r w:rsidR="005059F6">
              <w:rPr>
                <w:noProof/>
              </w:rPr>
              <w:t>54</w:t>
            </w:r>
            <w:r w:rsidR="002B79C0">
              <w:rPr>
                <w:noProof/>
              </w:rPr>
              <w:fldChar w:fldCharType="end"/>
            </w:r>
          </w:hyperlink>
        </w:p>
        <w:p w14:paraId="119BFD11" w14:textId="7CEAE106" w:rsidR="00CD61EF" w:rsidRDefault="00156CE0">
          <w:pPr>
            <w:pStyle w:val="TOC1"/>
            <w:tabs>
              <w:tab w:val="right" w:leader="dot" w:pos="8790"/>
            </w:tabs>
            <w:rPr>
              <w:noProof/>
            </w:rPr>
          </w:pPr>
          <w:hyperlink w:anchor="_Toc30553" w:history="1">
            <w:r w:rsidR="002B79C0">
              <w:rPr>
                <w:rFonts w:ascii="Times New Roman" w:hAnsi="Times New Roman" w:cs="Times New Roman"/>
                <w:noProof/>
                <w:szCs w:val="20"/>
              </w:rPr>
              <w:t>第十五部分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w:t>
            </w:r>
            <w:r w:rsidR="002B79C0">
              <w:rPr>
                <w:rFonts w:ascii="Times New Roman" w:hAnsi="Times New Roman" w:cs="Times New Roman" w:hint="eastAsia"/>
                <w:noProof/>
                <w:szCs w:val="20"/>
              </w:rPr>
              <w:t>费用与税收</w:t>
            </w:r>
            <w:r w:rsidR="002B79C0">
              <w:rPr>
                <w:noProof/>
              </w:rPr>
              <w:tab/>
            </w:r>
            <w:r w:rsidR="002B79C0">
              <w:rPr>
                <w:noProof/>
              </w:rPr>
              <w:fldChar w:fldCharType="begin"/>
            </w:r>
            <w:r w:rsidR="002B79C0">
              <w:rPr>
                <w:noProof/>
              </w:rPr>
              <w:instrText xml:space="preserve"> PAGEREF _Toc30553 \h </w:instrText>
            </w:r>
            <w:r w:rsidR="002B79C0">
              <w:rPr>
                <w:noProof/>
              </w:rPr>
            </w:r>
            <w:r w:rsidR="002B79C0">
              <w:rPr>
                <w:noProof/>
              </w:rPr>
              <w:fldChar w:fldCharType="separate"/>
            </w:r>
            <w:r w:rsidR="005059F6">
              <w:rPr>
                <w:noProof/>
              </w:rPr>
              <w:t>60</w:t>
            </w:r>
            <w:r w:rsidR="002B79C0">
              <w:rPr>
                <w:noProof/>
              </w:rPr>
              <w:fldChar w:fldCharType="end"/>
            </w:r>
          </w:hyperlink>
        </w:p>
        <w:p w14:paraId="284822CF" w14:textId="59C7A062" w:rsidR="00CD61EF" w:rsidRDefault="00156CE0">
          <w:pPr>
            <w:pStyle w:val="TOC1"/>
            <w:tabs>
              <w:tab w:val="right" w:leader="dot" w:pos="8790"/>
            </w:tabs>
            <w:rPr>
              <w:noProof/>
            </w:rPr>
          </w:pPr>
          <w:hyperlink w:anchor="_Toc8879" w:history="1">
            <w:r w:rsidR="002B79C0">
              <w:rPr>
                <w:rFonts w:ascii="Times New Roman" w:hAnsi="Times New Roman" w:cs="Times New Roman"/>
                <w:noProof/>
                <w:szCs w:val="20"/>
              </w:rPr>
              <w:t>第十六部分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基金的收益与分配</w:t>
            </w:r>
            <w:r w:rsidR="002B79C0">
              <w:rPr>
                <w:noProof/>
              </w:rPr>
              <w:tab/>
            </w:r>
            <w:r w:rsidR="002B79C0">
              <w:rPr>
                <w:noProof/>
              </w:rPr>
              <w:fldChar w:fldCharType="begin"/>
            </w:r>
            <w:r w:rsidR="002B79C0">
              <w:rPr>
                <w:noProof/>
              </w:rPr>
              <w:instrText xml:space="preserve"> PAGEREF _Toc8879 \h </w:instrText>
            </w:r>
            <w:r w:rsidR="002B79C0">
              <w:rPr>
                <w:noProof/>
              </w:rPr>
            </w:r>
            <w:r w:rsidR="002B79C0">
              <w:rPr>
                <w:noProof/>
              </w:rPr>
              <w:fldChar w:fldCharType="separate"/>
            </w:r>
            <w:r w:rsidR="005059F6">
              <w:rPr>
                <w:noProof/>
              </w:rPr>
              <w:t>63</w:t>
            </w:r>
            <w:r w:rsidR="002B79C0">
              <w:rPr>
                <w:noProof/>
              </w:rPr>
              <w:fldChar w:fldCharType="end"/>
            </w:r>
          </w:hyperlink>
        </w:p>
        <w:p w14:paraId="726C2A6D" w14:textId="5A60BD85" w:rsidR="00CD61EF" w:rsidRDefault="00156CE0">
          <w:pPr>
            <w:pStyle w:val="TOC1"/>
            <w:tabs>
              <w:tab w:val="right" w:leader="dot" w:pos="8790"/>
            </w:tabs>
            <w:rPr>
              <w:noProof/>
            </w:rPr>
          </w:pPr>
          <w:hyperlink w:anchor="_Toc21182" w:history="1">
            <w:r w:rsidR="002B79C0">
              <w:rPr>
                <w:rFonts w:ascii="Times New Roman" w:hAnsi="Times New Roman" w:cs="Times New Roman"/>
                <w:noProof/>
                <w:szCs w:val="20"/>
              </w:rPr>
              <w:t>第十七部分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基金的</w:t>
            </w:r>
            <w:r w:rsidR="002B79C0">
              <w:rPr>
                <w:rFonts w:ascii="Times New Roman" w:hAnsi="Times New Roman" w:cs="Times New Roman" w:hint="eastAsia"/>
                <w:noProof/>
                <w:szCs w:val="20"/>
              </w:rPr>
              <w:t>会计与审计</w:t>
            </w:r>
            <w:r w:rsidR="002B79C0">
              <w:rPr>
                <w:noProof/>
              </w:rPr>
              <w:tab/>
            </w:r>
            <w:r w:rsidR="002B79C0">
              <w:rPr>
                <w:noProof/>
              </w:rPr>
              <w:fldChar w:fldCharType="begin"/>
            </w:r>
            <w:r w:rsidR="002B79C0">
              <w:rPr>
                <w:noProof/>
              </w:rPr>
              <w:instrText xml:space="preserve"> PAGEREF _Toc21182 \h </w:instrText>
            </w:r>
            <w:r w:rsidR="002B79C0">
              <w:rPr>
                <w:noProof/>
              </w:rPr>
            </w:r>
            <w:r w:rsidR="002B79C0">
              <w:rPr>
                <w:noProof/>
              </w:rPr>
              <w:fldChar w:fldCharType="separate"/>
            </w:r>
            <w:r w:rsidR="005059F6">
              <w:rPr>
                <w:noProof/>
              </w:rPr>
              <w:t>65</w:t>
            </w:r>
            <w:r w:rsidR="002B79C0">
              <w:rPr>
                <w:noProof/>
              </w:rPr>
              <w:fldChar w:fldCharType="end"/>
            </w:r>
          </w:hyperlink>
        </w:p>
        <w:p w14:paraId="3AA47F86" w14:textId="4C538310" w:rsidR="00CD61EF" w:rsidRDefault="00156CE0">
          <w:pPr>
            <w:pStyle w:val="TOC1"/>
            <w:tabs>
              <w:tab w:val="right" w:leader="dot" w:pos="8790"/>
            </w:tabs>
            <w:rPr>
              <w:noProof/>
            </w:rPr>
          </w:pPr>
          <w:hyperlink w:anchor="_Toc32459" w:history="1">
            <w:r w:rsidR="002B79C0">
              <w:rPr>
                <w:rFonts w:ascii="Times New Roman" w:hAnsi="Times New Roman" w:cs="Times New Roman"/>
                <w:noProof/>
                <w:szCs w:val="20"/>
              </w:rPr>
              <w:t>第十八部分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基金的信息披露</w:t>
            </w:r>
            <w:r w:rsidR="002B79C0">
              <w:rPr>
                <w:noProof/>
              </w:rPr>
              <w:tab/>
            </w:r>
            <w:r w:rsidR="002B79C0">
              <w:rPr>
                <w:noProof/>
              </w:rPr>
              <w:fldChar w:fldCharType="begin"/>
            </w:r>
            <w:r w:rsidR="002B79C0">
              <w:rPr>
                <w:noProof/>
              </w:rPr>
              <w:instrText xml:space="preserve"> PAGEREF _Toc32459 \h </w:instrText>
            </w:r>
            <w:r w:rsidR="002B79C0">
              <w:rPr>
                <w:noProof/>
              </w:rPr>
            </w:r>
            <w:r w:rsidR="002B79C0">
              <w:rPr>
                <w:noProof/>
              </w:rPr>
              <w:fldChar w:fldCharType="separate"/>
            </w:r>
            <w:r w:rsidR="005059F6">
              <w:rPr>
                <w:noProof/>
              </w:rPr>
              <w:t>66</w:t>
            </w:r>
            <w:r w:rsidR="002B79C0">
              <w:rPr>
                <w:noProof/>
              </w:rPr>
              <w:fldChar w:fldCharType="end"/>
            </w:r>
          </w:hyperlink>
        </w:p>
        <w:p w14:paraId="53BD0F1F" w14:textId="3AD7DE4B" w:rsidR="00CD61EF" w:rsidRDefault="00156CE0">
          <w:pPr>
            <w:pStyle w:val="TOC1"/>
            <w:tabs>
              <w:tab w:val="right" w:leader="dot" w:pos="8790"/>
            </w:tabs>
            <w:rPr>
              <w:noProof/>
            </w:rPr>
          </w:pPr>
          <w:hyperlink w:anchor="_Toc3748" w:history="1">
            <w:r w:rsidR="002B79C0">
              <w:rPr>
                <w:rFonts w:ascii="Times New Roman" w:hAnsi="Times New Roman" w:cs="Times New Roman"/>
                <w:noProof/>
                <w:szCs w:val="20"/>
              </w:rPr>
              <w:t>第十九部分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基金合同的</w:t>
            </w:r>
            <w:r w:rsidR="002B79C0">
              <w:rPr>
                <w:rFonts w:ascii="Times New Roman" w:hAnsi="Times New Roman" w:cs="Times New Roman" w:hint="eastAsia"/>
                <w:noProof/>
                <w:szCs w:val="20"/>
              </w:rPr>
              <w:t>变更、终止与基金财产的清算</w:t>
            </w:r>
            <w:r w:rsidR="002B79C0">
              <w:rPr>
                <w:noProof/>
              </w:rPr>
              <w:tab/>
            </w:r>
            <w:r w:rsidR="002B79C0">
              <w:rPr>
                <w:noProof/>
              </w:rPr>
              <w:fldChar w:fldCharType="begin"/>
            </w:r>
            <w:r w:rsidR="002B79C0">
              <w:rPr>
                <w:noProof/>
              </w:rPr>
              <w:instrText xml:space="preserve"> PAGEREF _Toc3748 \h </w:instrText>
            </w:r>
            <w:r w:rsidR="002B79C0">
              <w:rPr>
                <w:noProof/>
              </w:rPr>
            </w:r>
            <w:r w:rsidR="002B79C0">
              <w:rPr>
                <w:noProof/>
              </w:rPr>
              <w:fldChar w:fldCharType="separate"/>
            </w:r>
            <w:r w:rsidR="005059F6">
              <w:rPr>
                <w:noProof/>
              </w:rPr>
              <w:t>73</w:t>
            </w:r>
            <w:r w:rsidR="002B79C0">
              <w:rPr>
                <w:noProof/>
              </w:rPr>
              <w:fldChar w:fldCharType="end"/>
            </w:r>
          </w:hyperlink>
        </w:p>
        <w:p w14:paraId="16F9F121" w14:textId="0677C927" w:rsidR="00CD61EF" w:rsidRDefault="00156CE0">
          <w:pPr>
            <w:pStyle w:val="TOC1"/>
            <w:tabs>
              <w:tab w:val="right" w:leader="dot" w:pos="8790"/>
            </w:tabs>
            <w:rPr>
              <w:noProof/>
            </w:rPr>
          </w:pPr>
          <w:hyperlink w:anchor="_Toc2311" w:history="1">
            <w:r w:rsidR="002B79C0">
              <w:rPr>
                <w:rFonts w:ascii="Times New Roman" w:hAnsi="Times New Roman" w:cs="Times New Roman"/>
                <w:noProof/>
                <w:szCs w:val="20"/>
              </w:rPr>
              <w:t>第二十部分</w:t>
            </w:r>
            <w:r w:rsidR="002B79C0">
              <w:rPr>
                <w:rFonts w:ascii="Times New Roman" w:hAnsi="Times New Roman" w:cs="Times New Roman"/>
                <w:noProof/>
                <w:szCs w:val="20"/>
              </w:rPr>
              <w:t xml:space="preserve"> </w:t>
            </w:r>
            <w:r w:rsidR="002B79C0">
              <w:rPr>
                <w:rFonts w:ascii="Times New Roman" w:hAnsi="Times New Roman" w:cs="Times New Roman" w:hint="eastAsia"/>
                <w:noProof/>
                <w:szCs w:val="20"/>
              </w:rPr>
              <w:t>违约责任</w:t>
            </w:r>
            <w:r w:rsidR="002B79C0">
              <w:rPr>
                <w:noProof/>
              </w:rPr>
              <w:tab/>
            </w:r>
            <w:r w:rsidR="002B79C0">
              <w:rPr>
                <w:noProof/>
              </w:rPr>
              <w:fldChar w:fldCharType="begin"/>
            </w:r>
            <w:r w:rsidR="002B79C0">
              <w:rPr>
                <w:noProof/>
              </w:rPr>
              <w:instrText xml:space="preserve"> PAGEREF _Toc2311 \h </w:instrText>
            </w:r>
            <w:r w:rsidR="002B79C0">
              <w:rPr>
                <w:noProof/>
              </w:rPr>
            </w:r>
            <w:r w:rsidR="002B79C0">
              <w:rPr>
                <w:noProof/>
              </w:rPr>
              <w:fldChar w:fldCharType="separate"/>
            </w:r>
            <w:r w:rsidR="005059F6">
              <w:rPr>
                <w:noProof/>
              </w:rPr>
              <w:t>75</w:t>
            </w:r>
            <w:r w:rsidR="002B79C0">
              <w:rPr>
                <w:noProof/>
              </w:rPr>
              <w:fldChar w:fldCharType="end"/>
            </w:r>
          </w:hyperlink>
        </w:p>
        <w:p w14:paraId="0DA442CD" w14:textId="3C6C91D8" w:rsidR="00CD61EF" w:rsidRDefault="00156CE0">
          <w:pPr>
            <w:pStyle w:val="TOC1"/>
            <w:tabs>
              <w:tab w:val="right" w:leader="dot" w:pos="8790"/>
            </w:tabs>
            <w:rPr>
              <w:noProof/>
            </w:rPr>
          </w:pPr>
          <w:hyperlink w:anchor="_Toc10822" w:history="1">
            <w:r w:rsidR="002B79C0">
              <w:rPr>
                <w:rFonts w:ascii="Times New Roman" w:hAnsi="Times New Roman" w:cs="Times New Roman"/>
                <w:noProof/>
                <w:szCs w:val="20"/>
              </w:rPr>
              <w:t>第二十一部分</w:t>
            </w:r>
            <w:r w:rsidR="002B79C0">
              <w:rPr>
                <w:rFonts w:ascii="Times New Roman" w:hAnsi="Times New Roman" w:cs="Times New Roman"/>
                <w:noProof/>
                <w:szCs w:val="20"/>
              </w:rPr>
              <w:t xml:space="preserve"> </w:t>
            </w:r>
            <w:r w:rsidR="002B79C0">
              <w:rPr>
                <w:rFonts w:ascii="Times New Roman" w:hAnsi="Times New Roman" w:cs="Times New Roman" w:hint="eastAsia"/>
                <w:noProof/>
                <w:szCs w:val="20"/>
              </w:rPr>
              <w:t>争议的处理和适用的法律</w:t>
            </w:r>
            <w:r w:rsidR="002B79C0">
              <w:rPr>
                <w:noProof/>
              </w:rPr>
              <w:tab/>
            </w:r>
            <w:r w:rsidR="002B79C0">
              <w:rPr>
                <w:noProof/>
              </w:rPr>
              <w:fldChar w:fldCharType="begin"/>
            </w:r>
            <w:r w:rsidR="002B79C0">
              <w:rPr>
                <w:noProof/>
              </w:rPr>
              <w:instrText xml:space="preserve"> PAGEREF _Toc10822 \h </w:instrText>
            </w:r>
            <w:r w:rsidR="002B79C0">
              <w:rPr>
                <w:noProof/>
              </w:rPr>
            </w:r>
            <w:r w:rsidR="002B79C0">
              <w:rPr>
                <w:noProof/>
              </w:rPr>
              <w:fldChar w:fldCharType="separate"/>
            </w:r>
            <w:r w:rsidR="005059F6">
              <w:rPr>
                <w:noProof/>
              </w:rPr>
              <w:t>76</w:t>
            </w:r>
            <w:r w:rsidR="002B79C0">
              <w:rPr>
                <w:noProof/>
              </w:rPr>
              <w:fldChar w:fldCharType="end"/>
            </w:r>
          </w:hyperlink>
        </w:p>
        <w:p w14:paraId="71A374B5" w14:textId="2C23D98C" w:rsidR="00CD61EF" w:rsidRDefault="00156CE0">
          <w:pPr>
            <w:pStyle w:val="TOC1"/>
            <w:tabs>
              <w:tab w:val="right" w:leader="dot" w:pos="8790"/>
            </w:tabs>
            <w:rPr>
              <w:noProof/>
            </w:rPr>
          </w:pPr>
          <w:hyperlink w:anchor="_Toc10948" w:history="1">
            <w:r w:rsidR="002B79C0">
              <w:rPr>
                <w:rFonts w:ascii="Times New Roman" w:hAnsi="Times New Roman" w:cs="Times New Roman"/>
                <w:noProof/>
                <w:szCs w:val="20"/>
              </w:rPr>
              <w:t>第二十二部分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基金合同的效力</w:t>
            </w:r>
            <w:r w:rsidR="002B79C0">
              <w:rPr>
                <w:noProof/>
              </w:rPr>
              <w:tab/>
            </w:r>
            <w:r w:rsidR="002B79C0">
              <w:rPr>
                <w:noProof/>
              </w:rPr>
              <w:fldChar w:fldCharType="begin"/>
            </w:r>
            <w:r w:rsidR="002B79C0">
              <w:rPr>
                <w:noProof/>
              </w:rPr>
              <w:instrText xml:space="preserve"> PAGEREF _Toc10948 \h </w:instrText>
            </w:r>
            <w:r w:rsidR="002B79C0">
              <w:rPr>
                <w:noProof/>
              </w:rPr>
            </w:r>
            <w:r w:rsidR="002B79C0">
              <w:rPr>
                <w:noProof/>
              </w:rPr>
              <w:fldChar w:fldCharType="separate"/>
            </w:r>
            <w:r w:rsidR="005059F6">
              <w:rPr>
                <w:noProof/>
              </w:rPr>
              <w:t>77</w:t>
            </w:r>
            <w:r w:rsidR="002B79C0">
              <w:rPr>
                <w:noProof/>
              </w:rPr>
              <w:fldChar w:fldCharType="end"/>
            </w:r>
          </w:hyperlink>
        </w:p>
        <w:p w14:paraId="26C13379" w14:textId="765D8DAC" w:rsidR="00CD61EF" w:rsidRDefault="00156CE0">
          <w:pPr>
            <w:pStyle w:val="TOC1"/>
            <w:tabs>
              <w:tab w:val="right" w:leader="dot" w:pos="8790"/>
            </w:tabs>
            <w:rPr>
              <w:noProof/>
            </w:rPr>
          </w:pPr>
          <w:hyperlink w:anchor="_Toc31816" w:history="1">
            <w:r w:rsidR="002B79C0">
              <w:rPr>
                <w:rFonts w:ascii="Times New Roman" w:hAnsi="Times New Roman" w:cs="Times New Roman"/>
                <w:noProof/>
                <w:szCs w:val="20"/>
              </w:rPr>
              <w:t>第二十三部分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其他事</w:t>
            </w:r>
            <w:r w:rsidR="002B79C0">
              <w:rPr>
                <w:rFonts w:ascii="Times New Roman" w:hAnsi="Times New Roman" w:cs="Times New Roman" w:hint="eastAsia"/>
                <w:noProof/>
                <w:szCs w:val="20"/>
              </w:rPr>
              <w:t>项</w:t>
            </w:r>
            <w:r w:rsidR="002B79C0">
              <w:rPr>
                <w:noProof/>
              </w:rPr>
              <w:tab/>
            </w:r>
            <w:r w:rsidR="002B79C0">
              <w:rPr>
                <w:noProof/>
              </w:rPr>
              <w:fldChar w:fldCharType="begin"/>
            </w:r>
            <w:r w:rsidR="002B79C0">
              <w:rPr>
                <w:noProof/>
              </w:rPr>
              <w:instrText xml:space="preserve"> PAGEREF _Toc31816 \h </w:instrText>
            </w:r>
            <w:r w:rsidR="002B79C0">
              <w:rPr>
                <w:noProof/>
              </w:rPr>
            </w:r>
            <w:r w:rsidR="002B79C0">
              <w:rPr>
                <w:noProof/>
              </w:rPr>
              <w:fldChar w:fldCharType="separate"/>
            </w:r>
            <w:r w:rsidR="005059F6">
              <w:rPr>
                <w:noProof/>
              </w:rPr>
              <w:t>78</w:t>
            </w:r>
            <w:r w:rsidR="002B79C0">
              <w:rPr>
                <w:noProof/>
              </w:rPr>
              <w:fldChar w:fldCharType="end"/>
            </w:r>
          </w:hyperlink>
        </w:p>
        <w:p w14:paraId="5CE07C33" w14:textId="7E10FA10" w:rsidR="00CD61EF" w:rsidRDefault="00156CE0">
          <w:pPr>
            <w:pStyle w:val="TOC1"/>
            <w:tabs>
              <w:tab w:val="right" w:leader="dot" w:pos="8790"/>
            </w:tabs>
            <w:rPr>
              <w:noProof/>
            </w:rPr>
          </w:pPr>
          <w:hyperlink w:anchor="_Toc20409" w:history="1">
            <w:r w:rsidR="002B79C0">
              <w:rPr>
                <w:rFonts w:ascii="Times New Roman" w:hAnsi="Times New Roman" w:cs="Times New Roman"/>
                <w:noProof/>
                <w:szCs w:val="20"/>
              </w:rPr>
              <w:t>第二十四部分</w:t>
            </w:r>
            <w:r w:rsidR="002B79C0">
              <w:rPr>
                <w:rFonts w:ascii="Times New Roman" w:hAnsi="Times New Roman" w:cs="Times New Roman"/>
                <w:noProof/>
                <w:szCs w:val="20"/>
              </w:rPr>
              <w:t xml:space="preserve"> </w:t>
            </w:r>
            <w:r w:rsidR="002B79C0">
              <w:rPr>
                <w:rFonts w:ascii="Times New Roman" w:hAnsi="Times New Roman" w:cs="Times New Roman"/>
                <w:noProof/>
                <w:szCs w:val="20"/>
              </w:rPr>
              <w:t>基金合同</w:t>
            </w:r>
            <w:r w:rsidR="002B79C0">
              <w:rPr>
                <w:rFonts w:ascii="Times New Roman" w:hAnsi="Times New Roman" w:cs="Times New Roman" w:hint="eastAsia"/>
                <w:noProof/>
                <w:szCs w:val="20"/>
              </w:rPr>
              <w:t>内容</w:t>
            </w:r>
            <w:r w:rsidR="002B79C0">
              <w:rPr>
                <w:rFonts w:ascii="Times New Roman" w:hAnsi="Times New Roman" w:cs="Times New Roman"/>
                <w:noProof/>
                <w:szCs w:val="20"/>
              </w:rPr>
              <w:t>摘要</w:t>
            </w:r>
            <w:r w:rsidR="002B79C0">
              <w:rPr>
                <w:noProof/>
              </w:rPr>
              <w:tab/>
            </w:r>
            <w:r w:rsidR="002B79C0">
              <w:rPr>
                <w:noProof/>
              </w:rPr>
              <w:fldChar w:fldCharType="begin"/>
            </w:r>
            <w:r w:rsidR="002B79C0">
              <w:rPr>
                <w:noProof/>
              </w:rPr>
              <w:instrText xml:space="preserve"> PAGEREF _Toc20409 \h </w:instrText>
            </w:r>
            <w:r w:rsidR="002B79C0">
              <w:rPr>
                <w:noProof/>
              </w:rPr>
            </w:r>
            <w:r w:rsidR="002B79C0">
              <w:rPr>
                <w:noProof/>
              </w:rPr>
              <w:fldChar w:fldCharType="separate"/>
            </w:r>
            <w:r w:rsidR="005059F6">
              <w:rPr>
                <w:noProof/>
              </w:rPr>
              <w:t>79</w:t>
            </w:r>
            <w:r w:rsidR="002B79C0">
              <w:rPr>
                <w:noProof/>
              </w:rPr>
              <w:fldChar w:fldCharType="end"/>
            </w:r>
          </w:hyperlink>
        </w:p>
        <w:p w14:paraId="2B09A92A" w14:textId="7882C84F" w:rsidR="00CD61EF" w:rsidRDefault="002B79C0">
          <w:pPr>
            <w:pStyle w:val="TOC1"/>
            <w:tabs>
              <w:tab w:val="right" w:leader="dot" w:pos="8780"/>
            </w:tabs>
          </w:pPr>
          <w:r>
            <w:fldChar w:fldCharType="end"/>
          </w:r>
        </w:p>
      </w:sdtContent>
    </w:sdt>
    <w:p w14:paraId="2CAB74AB" w14:textId="77777777" w:rsidR="00CD61EF" w:rsidRDefault="00CD61EF">
      <w:pPr>
        <w:sectPr w:rsidR="00CD61EF">
          <w:headerReference w:type="default" r:id="rId9"/>
          <w:pgSz w:w="11910" w:h="16840"/>
          <w:pgMar w:top="1440" w:right="1440" w:bottom="280" w:left="1680" w:header="877" w:footer="0" w:gutter="0"/>
          <w:cols w:space="720"/>
        </w:sectPr>
      </w:pPr>
    </w:p>
    <w:p w14:paraId="48A797BE" w14:textId="77777777" w:rsidR="00CD61EF" w:rsidRDefault="002B79C0">
      <w:pPr>
        <w:pStyle w:val="1"/>
      </w:pPr>
      <w:bookmarkStart w:id="2" w:name="_Toc17216"/>
      <w:r>
        <w:rPr>
          <w:spacing w:val="11"/>
        </w:rPr>
        <w:lastRenderedPageBreak/>
        <w:t>第一部分 前言</w:t>
      </w:r>
      <w:bookmarkEnd w:id="2"/>
    </w:p>
    <w:p w14:paraId="607522C5" w14:textId="77777777" w:rsidR="00CD61EF" w:rsidRDefault="00CD61EF">
      <w:pPr>
        <w:pStyle w:val="a5"/>
        <w:spacing w:before="4"/>
        <w:ind w:left="0" w:firstLine="0"/>
        <w:rPr>
          <w:rFonts w:ascii="Microsoft JhengHei"/>
          <w:b/>
        </w:rPr>
      </w:pPr>
    </w:p>
    <w:p w14:paraId="08C3DC1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一、订立本基金合同的目的、依据和原则</w:t>
      </w:r>
    </w:p>
    <w:p w14:paraId="5CDF809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、订立本基金合同的目的是保护投资人合法权益，明确基金合同当事人的权利义务，规范基金运作。</w:t>
      </w:r>
    </w:p>
    <w:p w14:paraId="05546AE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、订立本基金合同的依据是《中华人民共和国</w:t>
      </w:r>
      <w:r>
        <w:rPr>
          <w:rFonts w:ascii="Times New Roman" w:hAnsi="Times New Roman" w:cs="Times New Roman" w:hint="eastAsia"/>
          <w:bCs/>
          <w:kern w:val="2"/>
          <w:sz w:val="24"/>
          <w:szCs w:val="20"/>
        </w:rPr>
        <w:t>民</w:t>
      </w:r>
      <w:r>
        <w:rPr>
          <w:rFonts w:ascii="Times New Roman" w:hAnsi="Times New Roman" w:cs="Times New Roman"/>
          <w:bCs/>
          <w:kern w:val="2"/>
          <w:sz w:val="24"/>
          <w:szCs w:val="20"/>
        </w:rPr>
        <w:t>法</w:t>
      </w:r>
      <w:r>
        <w:rPr>
          <w:rFonts w:ascii="Times New Roman" w:hAnsi="Times New Roman" w:cs="Times New Roman" w:hint="eastAsia"/>
          <w:bCs/>
          <w:kern w:val="2"/>
          <w:sz w:val="24"/>
          <w:szCs w:val="20"/>
        </w:rPr>
        <w:t>典</w:t>
      </w:r>
      <w:r>
        <w:rPr>
          <w:rFonts w:ascii="Times New Roman" w:hAnsi="Times New Roman" w:cs="Times New Roman"/>
          <w:bCs/>
          <w:kern w:val="2"/>
          <w:sz w:val="24"/>
          <w:szCs w:val="20"/>
        </w:rPr>
        <w:t>》、《中华人民共和国证券法》（以下简称</w:t>
      </w:r>
      <w:r>
        <w:rPr>
          <w:rFonts w:ascii="Times New Roman" w:hAnsi="Times New Roman" w:cs="Times New Roman"/>
          <w:bCs/>
          <w:kern w:val="2"/>
          <w:sz w:val="24"/>
          <w:szCs w:val="20"/>
        </w:rPr>
        <w:t>“</w:t>
      </w:r>
      <w:r>
        <w:rPr>
          <w:rFonts w:ascii="Times New Roman" w:hAnsi="Times New Roman" w:cs="Times New Roman"/>
          <w:bCs/>
          <w:kern w:val="2"/>
          <w:sz w:val="24"/>
          <w:szCs w:val="20"/>
        </w:rPr>
        <w:t>《证券法》</w:t>
      </w:r>
      <w:r>
        <w:rPr>
          <w:rFonts w:ascii="Times New Roman" w:hAnsi="Times New Roman" w:cs="Times New Roman"/>
          <w:bCs/>
          <w:kern w:val="2"/>
          <w:sz w:val="24"/>
          <w:szCs w:val="20"/>
        </w:rPr>
        <w:t>”</w:t>
      </w:r>
      <w:r>
        <w:rPr>
          <w:rFonts w:ascii="Times New Roman" w:hAnsi="Times New Roman" w:cs="Times New Roman"/>
          <w:bCs/>
          <w:kern w:val="2"/>
          <w:sz w:val="24"/>
          <w:szCs w:val="20"/>
        </w:rPr>
        <w:t>）、《中华人民共和国证券投资基金法》（以下简称</w:t>
      </w:r>
      <w:r>
        <w:rPr>
          <w:rFonts w:ascii="Times New Roman" w:hAnsi="Times New Roman" w:cs="Times New Roman"/>
          <w:bCs/>
          <w:kern w:val="2"/>
          <w:sz w:val="24"/>
          <w:szCs w:val="20"/>
        </w:rPr>
        <w:t>“</w:t>
      </w:r>
      <w:r>
        <w:rPr>
          <w:rFonts w:ascii="Times New Roman" w:hAnsi="Times New Roman" w:cs="Times New Roman"/>
          <w:bCs/>
          <w:kern w:val="2"/>
          <w:sz w:val="24"/>
          <w:szCs w:val="20"/>
        </w:rPr>
        <w:t>《基金法》</w:t>
      </w:r>
      <w:r>
        <w:rPr>
          <w:rFonts w:ascii="Times New Roman" w:hAnsi="Times New Roman" w:cs="Times New Roman"/>
          <w:bCs/>
          <w:kern w:val="2"/>
          <w:sz w:val="24"/>
          <w:szCs w:val="20"/>
        </w:rPr>
        <w:t>”</w:t>
      </w:r>
      <w:r>
        <w:rPr>
          <w:rFonts w:ascii="Times New Roman" w:hAnsi="Times New Roman" w:cs="Times New Roman"/>
          <w:bCs/>
          <w:kern w:val="2"/>
          <w:sz w:val="24"/>
          <w:szCs w:val="20"/>
        </w:rPr>
        <w:t>）、《公开募集证券投资基金运作管理办法》（以下简称</w:t>
      </w:r>
      <w:r>
        <w:rPr>
          <w:rFonts w:ascii="Times New Roman" w:hAnsi="Times New Roman" w:cs="Times New Roman"/>
          <w:bCs/>
          <w:kern w:val="2"/>
          <w:sz w:val="24"/>
          <w:szCs w:val="20"/>
        </w:rPr>
        <w:t>“</w:t>
      </w:r>
      <w:r>
        <w:rPr>
          <w:rFonts w:ascii="Times New Roman" w:hAnsi="Times New Roman" w:cs="Times New Roman"/>
          <w:bCs/>
          <w:kern w:val="2"/>
          <w:sz w:val="24"/>
          <w:szCs w:val="20"/>
        </w:rPr>
        <w:t>《运作办法》</w:t>
      </w:r>
      <w:r>
        <w:rPr>
          <w:rFonts w:ascii="Times New Roman" w:hAnsi="Times New Roman" w:cs="Times New Roman"/>
          <w:bCs/>
          <w:kern w:val="2"/>
          <w:sz w:val="24"/>
          <w:szCs w:val="20"/>
        </w:rPr>
        <w:t>”</w:t>
      </w:r>
      <w:r>
        <w:rPr>
          <w:rFonts w:ascii="Times New Roman" w:hAnsi="Times New Roman" w:cs="Times New Roman"/>
          <w:bCs/>
          <w:kern w:val="2"/>
          <w:sz w:val="24"/>
          <w:szCs w:val="20"/>
        </w:rPr>
        <w:t>）、《公开募集证券投资基金销售机构监督管理办法》（以下简称</w:t>
      </w:r>
      <w:r>
        <w:rPr>
          <w:rFonts w:ascii="Times New Roman" w:hAnsi="Times New Roman" w:cs="Times New Roman"/>
          <w:bCs/>
          <w:kern w:val="2"/>
          <w:sz w:val="24"/>
          <w:szCs w:val="20"/>
        </w:rPr>
        <w:t>“</w:t>
      </w:r>
      <w:r>
        <w:rPr>
          <w:rFonts w:ascii="Times New Roman" w:hAnsi="Times New Roman" w:cs="Times New Roman"/>
          <w:bCs/>
          <w:kern w:val="2"/>
          <w:sz w:val="24"/>
          <w:szCs w:val="20"/>
        </w:rPr>
        <w:t>《销售办法》</w:t>
      </w:r>
      <w:r>
        <w:rPr>
          <w:rFonts w:ascii="Times New Roman" w:hAnsi="Times New Roman" w:cs="Times New Roman"/>
          <w:bCs/>
          <w:kern w:val="2"/>
          <w:sz w:val="24"/>
          <w:szCs w:val="20"/>
        </w:rPr>
        <w:t>”</w:t>
      </w:r>
      <w:r>
        <w:rPr>
          <w:rFonts w:ascii="Times New Roman" w:hAnsi="Times New Roman" w:cs="Times New Roman"/>
          <w:bCs/>
          <w:kern w:val="2"/>
          <w:sz w:val="24"/>
          <w:szCs w:val="20"/>
        </w:rPr>
        <w:t>）、《公开募集证券投资基金信息披露管理办法》（以下简称</w:t>
      </w:r>
      <w:r>
        <w:rPr>
          <w:rFonts w:ascii="Times New Roman" w:hAnsi="Times New Roman" w:cs="Times New Roman"/>
          <w:bCs/>
          <w:kern w:val="2"/>
          <w:sz w:val="24"/>
          <w:szCs w:val="20"/>
        </w:rPr>
        <w:t>“</w:t>
      </w:r>
      <w:r>
        <w:rPr>
          <w:rFonts w:ascii="Times New Roman" w:hAnsi="Times New Roman" w:cs="Times New Roman"/>
          <w:bCs/>
          <w:kern w:val="2"/>
          <w:sz w:val="24"/>
          <w:szCs w:val="20"/>
        </w:rPr>
        <w:t>《信息披露办法》</w:t>
      </w:r>
      <w:r>
        <w:rPr>
          <w:rFonts w:ascii="Times New Roman" w:hAnsi="Times New Roman" w:cs="Times New Roman"/>
          <w:bCs/>
          <w:kern w:val="2"/>
          <w:sz w:val="24"/>
          <w:szCs w:val="20"/>
        </w:rPr>
        <w:t>”</w:t>
      </w:r>
      <w:r>
        <w:rPr>
          <w:rFonts w:ascii="Times New Roman" w:hAnsi="Times New Roman" w:cs="Times New Roman"/>
          <w:bCs/>
          <w:kern w:val="2"/>
          <w:sz w:val="24"/>
          <w:szCs w:val="20"/>
        </w:rPr>
        <w:t>）、《公开募集开放式证券投资基金流动性风险管理规定》（以下简称</w:t>
      </w:r>
      <w:r>
        <w:rPr>
          <w:rFonts w:ascii="Times New Roman" w:hAnsi="Times New Roman" w:cs="Times New Roman"/>
          <w:bCs/>
          <w:kern w:val="2"/>
          <w:sz w:val="24"/>
          <w:szCs w:val="20"/>
        </w:rPr>
        <w:t>“</w:t>
      </w:r>
      <w:r>
        <w:rPr>
          <w:rFonts w:ascii="Times New Roman" w:hAnsi="Times New Roman" w:cs="Times New Roman"/>
          <w:bCs/>
          <w:kern w:val="2"/>
          <w:sz w:val="24"/>
          <w:szCs w:val="20"/>
        </w:rPr>
        <w:t>《流动性风险管理规定》</w:t>
      </w:r>
      <w:r>
        <w:rPr>
          <w:rFonts w:ascii="Times New Roman" w:hAnsi="Times New Roman" w:cs="Times New Roman"/>
          <w:bCs/>
          <w:kern w:val="2"/>
          <w:sz w:val="24"/>
          <w:szCs w:val="20"/>
        </w:rPr>
        <w:t>”</w:t>
      </w:r>
      <w:r>
        <w:rPr>
          <w:rFonts w:ascii="Times New Roman" w:hAnsi="Times New Roman" w:cs="Times New Roman"/>
          <w:bCs/>
          <w:kern w:val="2"/>
          <w:sz w:val="24"/>
          <w:szCs w:val="20"/>
        </w:rPr>
        <w:t>）和其他有关法律法规。</w:t>
      </w:r>
    </w:p>
    <w:p w14:paraId="1296288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、订立本基金合同的原则是平等自愿、诚实信用、充分保护投资人合法权益。</w:t>
      </w:r>
    </w:p>
    <w:p w14:paraId="259D087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459FBF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5B242AE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三、富荣中短债债券型证券投资基金由基金管理人依照《基金法》、基金合同及其他有关规定募集，并经中国证券监督管理委员会（以下简称</w:t>
      </w:r>
      <w:r>
        <w:rPr>
          <w:rFonts w:ascii="Times New Roman" w:hAnsi="Times New Roman" w:cs="Times New Roman"/>
          <w:bCs/>
          <w:kern w:val="2"/>
          <w:sz w:val="24"/>
          <w:szCs w:val="20"/>
        </w:rPr>
        <w:t>“</w:t>
      </w:r>
      <w:r>
        <w:rPr>
          <w:rFonts w:ascii="Times New Roman" w:hAnsi="Times New Roman" w:cs="Times New Roman"/>
          <w:bCs/>
          <w:kern w:val="2"/>
          <w:sz w:val="24"/>
          <w:szCs w:val="20"/>
        </w:rPr>
        <w:t>中国证监会</w:t>
      </w:r>
      <w:r>
        <w:rPr>
          <w:rFonts w:ascii="Times New Roman" w:hAnsi="Times New Roman" w:cs="Times New Roman"/>
          <w:bCs/>
          <w:kern w:val="2"/>
          <w:sz w:val="24"/>
          <w:szCs w:val="20"/>
        </w:rPr>
        <w:t>”</w:t>
      </w:r>
      <w:r>
        <w:rPr>
          <w:rFonts w:ascii="Times New Roman" w:hAnsi="Times New Roman" w:cs="Times New Roman"/>
          <w:bCs/>
          <w:kern w:val="2"/>
          <w:sz w:val="24"/>
          <w:szCs w:val="20"/>
        </w:rPr>
        <w:t>）注册。</w:t>
      </w:r>
    </w:p>
    <w:p w14:paraId="158F3A5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中国证监会对本基金募集的注册，并不表明其对本基金的投资价值和市场前景做出实质性判断或保证，也不表明投资于本基金没有风险。</w:t>
      </w:r>
    </w:p>
    <w:p w14:paraId="32BDBB3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基金管理人依照恪尽职守、诚实信用、谨慎勤勉的原则管理和运用基金财产，</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但不保证投资于本基金一定盈利，也不保证最低收益。</w:t>
      </w:r>
    </w:p>
    <w:p w14:paraId="33C46C93"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投资者应当认真阅读基金招募说明书、基金合同、基金产品资料概要等信息披露文件，自主判断基金的投资价值，自主做出投资决策，自行承担投资风险。</w:t>
      </w:r>
    </w:p>
    <w:p w14:paraId="1186085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四、基金管理人、基金托管人在本基金合同之外披露涉及本基金的信息，其内容涉及界定基金合同当事人之间权利义务关系的，如与基金合同有冲突，以基金合</w:t>
      </w:r>
      <w:r>
        <w:rPr>
          <w:rFonts w:ascii="Times New Roman" w:hAnsi="Times New Roman" w:cs="Times New Roman"/>
          <w:bCs/>
          <w:kern w:val="2"/>
          <w:sz w:val="24"/>
          <w:szCs w:val="20"/>
        </w:rPr>
        <w:lastRenderedPageBreak/>
        <w:t>同为准。</w:t>
      </w:r>
    </w:p>
    <w:p w14:paraId="5DFAA94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五、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743CE10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六、本基金按照中国法律法规成立并运作，若基金合同的内容与届时有效的法律法规的强制性规定不一致，应当以届时有效的法律法规的规定为准。</w:t>
      </w:r>
    </w:p>
    <w:p w14:paraId="5E92D53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hint="eastAsia"/>
          <w:bCs/>
          <w:kern w:val="2"/>
          <w:sz w:val="24"/>
          <w:szCs w:val="20"/>
        </w:rPr>
        <w:t>七、为对冲信用风险，本基金可能投资于信用衍生品，信用衍生品的投资可能面临流动性风险、偿付风险以及价格波动风险等。</w:t>
      </w:r>
    </w:p>
    <w:p w14:paraId="420B6871" w14:textId="77777777" w:rsidR="00CD61EF" w:rsidRDefault="00CD61EF">
      <w:pPr>
        <w:spacing w:line="364" w:lineRule="auto"/>
        <w:jc w:val="both"/>
        <w:sectPr w:rsidR="00CD61EF">
          <w:headerReference w:type="default" r:id="rId10"/>
          <w:footerReference w:type="default" r:id="rId11"/>
          <w:pgSz w:w="11910" w:h="16840"/>
          <w:pgMar w:top="1440" w:right="1440" w:bottom="1180" w:left="1680" w:header="877" w:footer="998" w:gutter="0"/>
          <w:cols w:space="720"/>
        </w:sectPr>
      </w:pPr>
    </w:p>
    <w:p w14:paraId="4AB28460" w14:textId="77777777" w:rsidR="00CD61EF" w:rsidRDefault="002B79C0">
      <w:pPr>
        <w:pStyle w:val="1"/>
      </w:pPr>
      <w:bookmarkStart w:id="3" w:name="_Toc30171"/>
      <w:r>
        <w:rPr>
          <w:spacing w:val="11"/>
        </w:rPr>
        <w:lastRenderedPageBreak/>
        <w:t>第二部分 释义</w:t>
      </w:r>
      <w:bookmarkEnd w:id="3"/>
    </w:p>
    <w:p w14:paraId="3D8D4219" w14:textId="77777777" w:rsidR="00CD61EF" w:rsidRDefault="00CD61EF">
      <w:pPr>
        <w:pStyle w:val="a5"/>
        <w:spacing w:before="13"/>
        <w:ind w:left="0" w:firstLine="0"/>
        <w:rPr>
          <w:rFonts w:ascii="Microsoft JhengHei"/>
          <w:b/>
          <w:sz w:val="32"/>
        </w:rPr>
      </w:pPr>
    </w:p>
    <w:p w14:paraId="6F2D902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在本基金合同中，除非文意另有所指，下列词语或简称具有如下含义：</w:t>
      </w:r>
    </w:p>
    <w:p w14:paraId="41FFDE3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、基金或本基金：指富荣中短债债券型证券投资基金</w:t>
      </w:r>
    </w:p>
    <w:p w14:paraId="0FFBD64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、基金管理人或本基金管理人：指富荣基金管理有限公司</w:t>
      </w:r>
    </w:p>
    <w:p w14:paraId="4B58C29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、基金托管人或本基金托管人：指平安银行股份有限公司</w:t>
      </w:r>
    </w:p>
    <w:p w14:paraId="272D7E9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、基金合同、《基金合同》或本基金合同：指《富荣中短债债券型证券投资基金基金合同》及对本基金合同的任何有效修订和补充</w:t>
      </w:r>
    </w:p>
    <w:p w14:paraId="175EEE2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、托管协议：指基金管理人与基金托管人就本基金签订之《富荣中短债债券型证券投资基金托管协议》及对该托管协议的任何有效修订和补充</w:t>
      </w:r>
    </w:p>
    <w:p w14:paraId="2FE332F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、招募说明书或《招募说明书》：指《富荣中短债债券型证券投资基金招募说明书》及其更新</w:t>
      </w:r>
    </w:p>
    <w:p w14:paraId="3A26538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、基金产品资料概要：指《富荣中短债债券型证券投资基金基金产品资料概要》及其更新</w:t>
      </w:r>
    </w:p>
    <w:p w14:paraId="6B5ED47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8</w:t>
      </w:r>
      <w:r>
        <w:rPr>
          <w:rFonts w:ascii="Times New Roman" w:hAnsi="Times New Roman" w:cs="Times New Roman"/>
          <w:bCs/>
          <w:kern w:val="2"/>
          <w:sz w:val="24"/>
          <w:szCs w:val="20"/>
        </w:rPr>
        <w:t>、基金份额发售公告：指《富荣中短债债券型证券投资基金基金份额发售公告》</w:t>
      </w:r>
    </w:p>
    <w:p w14:paraId="300A513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9</w:t>
      </w:r>
      <w:r>
        <w:rPr>
          <w:rFonts w:ascii="Times New Roman" w:hAnsi="Times New Roman" w:cs="Times New Roman"/>
          <w:bCs/>
          <w:kern w:val="2"/>
          <w:sz w:val="24"/>
          <w:szCs w:val="20"/>
        </w:rPr>
        <w:t>、法律法规：指中国现行有效并公布实施的法律、行政法规、规范性文件、司法解释、行政规章以及其他对基金合同当事人有约束力的决定、决议、通知等</w:t>
      </w:r>
    </w:p>
    <w:p w14:paraId="16DB9A5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10</w:t>
      </w:r>
      <w:r>
        <w:rPr>
          <w:rFonts w:ascii="Times New Roman" w:hAnsi="Times New Roman" w:cs="Times New Roman"/>
          <w:bCs/>
          <w:kern w:val="2"/>
          <w:sz w:val="24"/>
          <w:szCs w:val="20"/>
        </w:rPr>
        <w:t>、《基金法》：指</w:t>
      </w:r>
      <w:r>
        <w:rPr>
          <w:rFonts w:ascii="Times New Roman" w:hAnsi="Times New Roman" w:cs="Times New Roman"/>
          <w:bCs/>
          <w:kern w:val="2"/>
          <w:sz w:val="24"/>
          <w:szCs w:val="20"/>
        </w:rPr>
        <w:t xml:space="preserve"> 2003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28 </w:t>
      </w:r>
      <w:r>
        <w:rPr>
          <w:rFonts w:ascii="Times New Roman" w:hAnsi="Times New Roman" w:cs="Times New Roman"/>
          <w:bCs/>
          <w:kern w:val="2"/>
          <w:sz w:val="24"/>
          <w:szCs w:val="20"/>
        </w:rPr>
        <w:t>日经第十届全国人民代表大会常务委员会第五次会议通过，经</w:t>
      </w:r>
      <w:r>
        <w:rPr>
          <w:rFonts w:ascii="Times New Roman" w:hAnsi="Times New Roman" w:cs="Times New Roman"/>
          <w:bCs/>
          <w:kern w:val="2"/>
          <w:sz w:val="24"/>
          <w:szCs w:val="20"/>
        </w:rPr>
        <w:t xml:space="preserve"> 2012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12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28 </w:t>
      </w:r>
      <w:r>
        <w:rPr>
          <w:rFonts w:ascii="Times New Roman" w:hAnsi="Times New Roman" w:cs="Times New Roman"/>
          <w:bCs/>
          <w:kern w:val="2"/>
          <w:sz w:val="24"/>
          <w:szCs w:val="20"/>
        </w:rPr>
        <w:t>日第十一届全国人民代表大会常务委员会第三十次会议修订，自</w:t>
      </w:r>
      <w:r>
        <w:rPr>
          <w:rFonts w:ascii="Times New Roman" w:hAnsi="Times New Roman" w:cs="Times New Roman"/>
          <w:bCs/>
          <w:kern w:val="2"/>
          <w:sz w:val="24"/>
          <w:szCs w:val="20"/>
        </w:rPr>
        <w:t xml:space="preserve"> 2013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6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1 </w:t>
      </w:r>
      <w:r>
        <w:rPr>
          <w:rFonts w:ascii="Times New Roman" w:hAnsi="Times New Roman" w:cs="Times New Roman"/>
          <w:bCs/>
          <w:kern w:val="2"/>
          <w:sz w:val="24"/>
          <w:szCs w:val="20"/>
        </w:rPr>
        <w:t>日起实施，并经</w:t>
      </w:r>
      <w:r>
        <w:rPr>
          <w:rFonts w:ascii="Times New Roman" w:hAnsi="Times New Roman" w:cs="Times New Roman"/>
          <w:bCs/>
          <w:kern w:val="2"/>
          <w:sz w:val="24"/>
          <w:szCs w:val="20"/>
        </w:rPr>
        <w:t xml:space="preserve"> 2015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4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24 </w:t>
      </w:r>
      <w:r>
        <w:rPr>
          <w:rFonts w:ascii="Times New Roman" w:hAnsi="Times New Roman" w:cs="Times New Roman"/>
          <w:bCs/>
          <w:kern w:val="2"/>
          <w:sz w:val="24"/>
          <w:szCs w:val="20"/>
        </w:rPr>
        <w:t>日第十二届全国人民代表大会常务委员会第十四次会议《全国人民代表大会常务委员会关于修改</w:t>
      </w:r>
      <w:r>
        <w:rPr>
          <w:rFonts w:ascii="Times New Roman" w:hAnsi="Times New Roman" w:cs="Times New Roman"/>
          <w:bCs/>
          <w:kern w:val="2"/>
          <w:sz w:val="24"/>
          <w:szCs w:val="20"/>
        </w:rPr>
        <w:t>&lt;</w:t>
      </w:r>
      <w:r>
        <w:rPr>
          <w:rFonts w:ascii="Times New Roman" w:hAnsi="Times New Roman" w:cs="Times New Roman"/>
          <w:bCs/>
          <w:kern w:val="2"/>
          <w:sz w:val="24"/>
          <w:szCs w:val="20"/>
        </w:rPr>
        <w:t>中华人民共和国港口法</w:t>
      </w:r>
      <w:r>
        <w:rPr>
          <w:rFonts w:ascii="Times New Roman" w:hAnsi="Times New Roman" w:cs="Times New Roman"/>
          <w:bCs/>
          <w:kern w:val="2"/>
          <w:sz w:val="24"/>
          <w:szCs w:val="20"/>
        </w:rPr>
        <w:t>&gt;</w:t>
      </w:r>
      <w:r>
        <w:rPr>
          <w:rFonts w:ascii="Times New Roman" w:hAnsi="Times New Roman" w:cs="Times New Roman"/>
          <w:bCs/>
          <w:kern w:val="2"/>
          <w:sz w:val="24"/>
          <w:szCs w:val="20"/>
        </w:rPr>
        <w:t>等七部法律的决定》修正的《中华人民共和国证券投资基金法》及颁布机关对其不时做出的修订</w:t>
      </w:r>
    </w:p>
    <w:p w14:paraId="01BD5EF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11</w:t>
      </w:r>
      <w:r>
        <w:rPr>
          <w:rFonts w:ascii="Times New Roman" w:hAnsi="Times New Roman" w:cs="Times New Roman"/>
          <w:bCs/>
          <w:kern w:val="2"/>
          <w:sz w:val="24"/>
          <w:szCs w:val="20"/>
        </w:rPr>
        <w:t>、《销售办法》：指中国证监会</w:t>
      </w:r>
      <w:r>
        <w:rPr>
          <w:rFonts w:ascii="Times New Roman" w:hAnsi="Times New Roman" w:cs="Times New Roman"/>
          <w:bCs/>
          <w:kern w:val="2"/>
          <w:sz w:val="24"/>
          <w:szCs w:val="20"/>
        </w:rPr>
        <w:t xml:space="preserve"> 2020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8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28 </w:t>
      </w:r>
      <w:r>
        <w:rPr>
          <w:rFonts w:ascii="Times New Roman" w:hAnsi="Times New Roman" w:cs="Times New Roman"/>
          <w:bCs/>
          <w:kern w:val="2"/>
          <w:sz w:val="24"/>
          <w:szCs w:val="20"/>
        </w:rPr>
        <w:t>日颁布、同年</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1 </w:t>
      </w:r>
      <w:r>
        <w:rPr>
          <w:rFonts w:ascii="Times New Roman" w:hAnsi="Times New Roman" w:cs="Times New Roman"/>
          <w:bCs/>
          <w:kern w:val="2"/>
          <w:sz w:val="24"/>
          <w:szCs w:val="20"/>
        </w:rPr>
        <w:t>日实施的《公开募集证券投资基金销售机构监督管理办法》及颁布机关对其不时做出的修订</w:t>
      </w:r>
    </w:p>
    <w:p w14:paraId="58EFFAC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12</w:t>
      </w:r>
      <w:r>
        <w:rPr>
          <w:rFonts w:ascii="Times New Roman" w:hAnsi="Times New Roman" w:cs="Times New Roman"/>
          <w:bCs/>
          <w:kern w:val="2"/>
          <w:sz w:val="24"/>
          <w:szCs w:val="20"/>
        </w:rPr>
        <w:t>、《信息披露办法》：指中国证监会</w:t>
      </w:r>
      <w:r>
        <w:rPr>
          <w:rFonts w:ascii="Times New Roman" w:hAnsi="Times New Roman" w:cs="Times New Roman"/>
          <w:bCs/>
          <w:kern w:val="2"/>
          <w:sz w:val="24"/>
          <w:szCs w:val="20"/>
        </w:rPr>
        <w:t xml:space="preserve"> 2019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7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26 </w:t>
      </w:r>
      <w:r>
        <w:rPr>
          <w:rFonts w:ascii="Times New Roman" w:hAnsi="Times New Roman" w:cs="Times New Roman"/>
          <w:bCs/>
          <w:kern w:val="2"/>
          <w:sz w:val="24"/>
          <w:szCs w:val="20"/>
        </w:rPr>
        <w:t>日颁布、同年</w:t>
      </w:r>
      <w:r>
        <w:rPr>
          <w:rFonts w:ascii="Times New Roman" w:hAnsi="Times New Roman" w:cs="Times New Roman"/>
          <w:bCs/>
          <w:kern w:val="2"/>
          <w:sz w:val="24"/>
          <w:szCs w:val="20"/>
        </w:rPr>
        <w:t xml:space="preserve"> 9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1</w:t>
      </w:r>
      <w:r>
        <w:rPr>
          <w:rFonts w:ascii="Times New Roman" w:hAnsi="Times New Roman" w:cs="Times New Roman"/>
          <w:bCs/>
          <w:kern w:val="2"/>
          <w:sz w:val="24"/>
          <w:szCs w:val="20"/>
        </w:rPr>
        <w:t>日实施，并经</w:t>
      </w:r>
      <w:r>
        <w:rPr>
          <w:rFonts w:ascii="Times New Roman" w:hAnsi="Times New Roman" w:cs="Times New Roman"/>
          <w:bCs/>
          <w:kern w:val="2"/>
          <w:sz w:val="24"/>
          <w:szCs w:val="20"/>
        </w:rPr>
        <w:t xml:space="preserve"> 2020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3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20 </w:t>
      </w:r>
      <w:r>
        <w:rPr>
          <w:rFonts w:ascii="Times New Roman" w:hAnsi="Times New Roman" w:cs="Times New Roman"/>
          <w:bCs/>
          <w:kern w:val="2"/>
          <w:sz w:val="24"/>
          <w:szCs w:val="20"/>
        </w:rPr>
        <w:t>日中国证监会《关于修改部分证券期货规章的决定》修</w:t>
      </w:r>
      <w:r>
        <w:rPr>
          <w:rFonts w:ascii="Times New Roman" w:hAnsi="Times New Roman" w:cs="Times New Roman" w:hint="eastAsia"/>
          <w:bCs/>
          <w:kern w:val="2"/>
          <w:sz w:val="24"/>
          <w:szCs w:val="20"/>
        </w:rPr>
        <w:t>正</w:t>
      </w:r>
      <w:r>
        <w:rPr>
          <w:rFonts w:ascii="Times New Roman" w:hAnsi="Times New Roman" w:cs="Times New Roman"/>
          <w:bCs/>
          <w:kern w:val="2"/>
          <w:sz w:val="24"/>
          <w:szCs w:val="20"/>
        </w:rPr>
        <w:t>的《公开募集证券投资基金信息披露管理办法》及颁布机关对其不时做出的修订</w:t>
      </w:r>
    </w:p>
    <w:p w14:paraId="097452C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13</w:t>
      </w:r>
      <w:r>
        <w:rPr>
          <w:rFonts w:ascii="Times New Roman" w:hAnsi="Times New Roman" w:cs="Times New Roman"/>
          <w:bCs/>
          <w:kern w:val="2"/>
          <w:sz w:val="24"/>
          <w:szCs w:val="20"/>
        </w:rPr>
        <w:t>、《运作办法》：指中国证监会</w:t>
      </w:r>
      <w:r>
        <w:rPr>
          <w:rFonts w:ascii="Times New Roman" w:hAnsi="Times New Roman" w:cs="Times New Roman"/>
          <w:bCs/>
          <w:kern w:val="2"/>
          <w:sz w:val="24"/>
          <w:szCs w:val="20"/>
        </w:rPr>
        <w:t xml:space="preserve"> 2014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7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7 </w:t>
      </w:r>
      <w:r>
        <w:rPr>
          <w:rFonts w:ascii="Times New Roman" w:hAnsi="Times New Roman" w:cs="Times New Roman"/>
          <w:bCs/>
          <w:kern w:val="2"/>
          <w:sz w:val="24"/>
          <w:szCs w:val="20"/>
        </w:rPr>
        <w:t>日颁布、同年</w:t>
      </w:r>
      <w:r>
        <w:rPr>
          <w:rFonts w:ascii="Times New Roman" w:hAnsi="Times New Roman" w:cs="Times New Roman"/>
          <w:bCs/>
          <w:kern w:val="2"/>
          <w:sz w:val="24"/>
          <w:szCs w:val="20"/>
        </w:rPr>
        <w:t xml:space="preserve"> 8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8 </w:t>
      </w:r>
      <w:r>
        <w:rPr>
          <w:rFonts w:ascii="Times New Roman" w:hAnsi="Times New Roman" w:cs="Times New Roman"/>
          <w:bCs/>
          <w:kern w:val="2"/>
          <w:sz w:val="24"/>
          <w:szCs w:val="20"/>
        </w:rPr>
        <w:t>日实施的《公开募集证券投资基金运作管理办法》及颁布机关对其不时做出的修订</w:t>
      </w:r>
    </w:p>
    <w:p w14:paraId="4E9771E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lastRenderedPageBreak/>
        <w:t>14</w:t>
      </w:r>
      <w:r>
        <w:rPr>
          <w:rFonts w:ascii="Times New Roman" w:hAnsi="Times New Roman" w:cs="Times New Roman"/>
          <w:bCs/>
          <w:kern w:val="2"/>
          <w:sz w:val="24"/>
          <w:szCs w:val="20"/>
        </w:rPr>
        <w:t>、《流动性风险管理规定》：指中国证监会</w:t>
      </w:r>
      <w:r>
        <w:rPr>
          <w:rFonts w:ascii="Times New Roman" w:hAnsi="Times New Roman" w:cs="Times New Roman"/>
          <w:bCs/>
          <w:kern w:val="2"/>
          <w:sz w:val="24"/>
          <w:szCs w:val="20"/>
        </w:rPr>
        <w:t xml:space="preserve"> 2017 </w:t>
      </w:r>
      <w:r>
        <w:rPr>
          <w:rFonts w:ascii="Times New Roman" w:hAnsi="Times New Roman" w:cs="Times New Roman"/>
          <w:bCs/>
          <w:kern w:val="2"/>
          <w:sz w:val="24"/>
          <w:szCs w:val="20"/>
        </w:rPr>
        <w:t>年</w:t>
      </w:r>
      <w:r>
        <w:rPr>
          <w:rFonts w:ascii="Times New Roman" w:hAnsi="Times New Roman" w:cs="Times New Roman"/>
          <w:bCs/>
          <w:kern w:val="2"/>
          <w:sz w:val="24"/>
          <w:szCs w:val="20"/>
        </w:rPr>
        <w:t xml:space="preserve"> 8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31 </w:t>
      </w:r>
      <w:r>
        <w:rPr>
          <w:rFonts w:ascii="Times New Roman" w:hAnsi="Times New Roman" w:cs="Times New Roman"/>
          <w:bCs/>
          <w:kern w:val="2"/>
          <w:sz w:val="24"/>
          <w:szCs w:val="20"/>
        </w:rPr>
        <w:t>日颁布、同年</w:t>
      </w:r>
      <w:r>
        <w:rPr>
          <w:rFonts w:ascii="Times New Roman" w:hAnsi="Times New Roman" w:cs="Times New Roman"/>
          <w:bCs/>
          <w:kern w:val="2"/>
          <w:sz w:val="24"/>
          <w:szCs w:val="20"/>
        </w:rPr>
        <w:t xml:space="preserve">10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1 </w:t>
      </w:r>
      <w:r>
        <w:rPr>
          <w:rFonts w:ascii="Times New Roman" w:hAnsi="Times New Roman" w:cs="Times New Roman"/>
          <w:bCs/>
          <w:kern w:val="2"/>
          <w:sz w:val="24"/>
          <w:szCs w:val="20"/>
        </w:rPr>
        <w:t>日实施的《公开募集开放式证券投资基金流动性风险管理规定》及颁布机关对其不时做出的修订</w:t>
      </w:r>
    </w:p>
    <w:p w14:paraId="22F9A92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15</w:t>
      </w:r>
      <w:r>
        <w:rPr>
          <w:rFonts w:ascii="Times New Roman" w:hAnsi="Times New Roman" w:cs="Times New Roman"/>
          <w:bCs/>
          <w:kern w:val="2"/>
          <w:sz w:val="24"/>
          <w:szCs w:val="20"/>
        </w:rPr>
        <w:t>、中国证监会：指中国证券监督管理委员会</w:t>
      </w:r>
    </w:p>
    <w:p w14:paraId="5EDBD94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16</w:t>
      </w:r>
      <w:r>
        <w:rPr>
          <w:rFonts w:ascii="Times New Roman" w:hAnsi="Times New Roman" w:cs="Times New Roman"/>
          <w:bCs/>
          <w:kern w:val="2"/>
          <w:sz w:val="24"/>
          <w:szCs w:val="20"/>
        </w:rPr>
        <w:t>、银行业监督管理机构：指中国人民银行和</w:t>
      </w:r>
      <w:r>
        <w:rPr>
          <w:rFonts w:ascii="Times New Roman" w:hAnsi="Times New Roman" w:cs="Times New Roman"/>
          <w:bCs/>
          <w:kern w:val="2"/>
          <w:sz w:val="24"/>
          <w:szCs w:val="20"/>
        </w:rPr>
        <w:t>/</w:t>
      </w:r>
      <w:r>
        <w:rPr>
          <w:rFonts w:ascii="Times New Roman" w:hAnsi="Times New Roman" w:cs="Times New Roman"/>
          <w:bCs/>
          <w:kern w:val="2"/>
          <w:sz w:val="24"/>
          <w:szCs w:val="20"/>
        </w:rPr>
        <w:t>或中国银行保险监督管理委员会</w:t>
      </w:r>
    </w:p>
    <w:p w14:paraId="332C0A0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17</w:t>
      </w:r>
      <w:r>
        <w:rPr>
          <w:rFonts w:ascii="Times New Roman" w:hAnsi="Times New Roman" w:cs="Times New Roman"/>
          <w:bCs/>
          <w:kern w:val="2"/>
          <w:sz w:val="24"/>
          <w:szCs w:val="20"/>
        </w:rPr>
        <w:t>、基金合同当事人：指受基金合同约束，根据基金合同享有权利并承担义务的法律主体，包括基金管理人、基金托管人和基金份额持有人</w:t>
      </w:r>
    </w:p>
    <w:p w14:paraId="3B8AA5E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18</w:t>
      </w:r>
      <w:r>
        <w:rPr>
          <w:rFonts w:ascii="Times New Roman" w:hAnsi="Times New Roman" w:cs="Times New Roman"/>
          <w:bCs/>
          <w:kern w:val="2"/>
          <w:sz w:val="24"/>
          <w:szCs w:val="20"/>
        </w:rPr>
        <w:t>、个人投资者：指依据有关法律法规规定可投资于证券投资基金的自然人</w:t>
      </w:r>
    </w:p>
    <w:p w14:paraId="510C9C6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19</w:t>
      </w:r>
      <w:r>
        <w:rPr>
          <w:rFonts w:ascii="Times New Roman" w:hAnsi="Times New Roman" w:cs="Times New Roman"/>
          <w:bCs/>
          <w:kern w:val="2"/>
          <w:sz w:val="24"/>
          <w:szCs w:val="20"/>
        </w:rPr>
        <w:t>、机构投资者：指依法可以投资证券投资基金的、在中华人民共和国境内合法登记并存续或经有关政府部门批准设立并存续的企业法人、事业法人、社会团体或其他组织</w:t>
      </w:r>
    </w:p>
    <w:p w14:paraId="6BD9592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20</w:t>
      </w:r>
      <w:r>
        <w:rPr>
          <w:rFonts w:ascii="Times New Roman" w:hAnsi="Times New Roman" w:cs="Times New Roman"/>
          <w:bCs/>
          <w:kern w:val="2"/>
          <w:sz w:val="24"/>
          <w:szCs w:val="20"/>
        </w:rPr>
        <w:t>、合格境外机构投资者：指符合《</w:t>
      </w:r>
      <w:r>
        <w:rPr>
          <w:rFonts w:ascii="Times New Roman" w:hAnsi="Times New Roman" w:cs="Times New Roman" w:hint="eastAsia"/>
          <w:bCs/>
          <w:kern w:val="2"/>
          <w:sz w:val="24"/>
          <w:szCs w:val="20"/>
        </w:rPr>
        <w:t>合格境外机构投资者和人民币合格境外机构投资者境内证券期货投资管理办法</w:t>
      </w:r>
      <w:r>
        <w:rPr>
          <w:rFonts w:ascii="Times New Roman" w:hAnsi="Times New Roman" w:cs="Times New Roman"/>
          <w:bCs/>
          <w:kern w:val="2"/>
          <w:sz w:val="24"/>
          <w:szCs w:val="20"/>
        </w:rPr>
        <w:t>》及相关法律法规规定可以投资于在中国境内依法募集的证券投资基金的中国境外的机构投资者</w:t>
      </w:r>
    </w:p>
    <w:p w14:paraId="0C3D6A4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21</w:t>
      </w:r>
      <w:r>
        <w:rPr>
          <w:rFonts w:ascii="Times New Roman" w:hAnsi="Times New Roman" w:cs="Times New Roman"/>
          <w:bCs/>
          <w:kern w:val="2"/>
          <w:sz w:val="24"/>
          <w:szCs w:val="20"/>
        </w:rPr>
        <w:t>、人民币合格境外机构投资者：指按照《</w:t>
      </w:r>
      <w:r>
        <w:rPr>
          <w:rFonts w:ascii="Times New Roman" w:hAnsi="Times New Roman" w:cs="Times New Roman" w:hint="eastAsia"/>
          <w:bCs/>
          <w:kern w:val="2"/>
          <w:sz w:val="24"/>
          <w:szCs w:val="20"/>
        </w:rPr>
        <w:t>合格境外机构投资者和人民币合格境外机构投资者境内证券期货投资管理办法</w:t>
      </w:r>
      <w:r>
        <w:rPr>
          <w:rFonts w:ascii="Times New Roman" w:hAnsi="Times New Roman" w:cs="Times New Roman"/>
          <w:bCs/>
          <w:kern w:val="2"/>
          <w:sz w:val="24"/>
          <w:szCs w:val="20"/>
        </w:rPr>
        <w:t>》及相关法律法规规定，运用来自境外的人民币资金进行境内证券投资的境外法人</w:t>
      </w:r>
    </w:p>
    <w:p w14:paraId="2B22380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22</w:t>
      </w:r>
      <w:r>
        <w:rPr>
          <w:rFonts w:ascii="Times New Roman" w:hAnsi="Times New Roman" w:cs="Times New Roman"/>
          <w:bCs/>
          <w:kern w:val="2"/>
          <w:sz w:val="24"/>
          <w:szCs w:val="20"/>
        </w:rPr>
        <w:t>、投资人、投资者：指个人投资者、机构投资者、合格境外机构投资者和人民币合格境外机构投资者以及法律法规或中国证监会允许购买证券投资基金的其他投资人的合称</w:t>
      </w:r>
    </w:p>
    <w:p w14:paraId="5ACC140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23</w:t>
      </w:r>
      <w:r>
        <w:rPr>
          <w:rFonts w:ascii="Times New Roman" w:hAnsi="Times New Roman" w:cs="Times New Roman"/>
          <w:bCs/>
          <w:kern w:val="2"/>
          <w:sz w:val="24"/>
          <w:szCs w:val="20"/>
        </w:rPr>
        <w:t>、基金份额持有人：指依基金合同和招募说明书合法取得基金份额的投资人</w:t>
      </w:r>
    </w:p>
    <w:p w14:paraId="6229F05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24</w:t>
      </w:r>
      <w:r>
        <w:rPr>
          <w:rFonts w:ascii="Times New Roman" w:hAnsi="Times New Roman" w:cs="Times New Roman"/>
          <w:bCs/>
          <w:kern w:val="2"/>
          <w:sz w:val="24"/>
          <w:szCs w:val="20"/>
        </w:rPr>
        <w:t>、基金销售业务：指基金管理人或销售机构宣传推介基金，发售基金份额，办理基金份额的申购、赎回、转换、转托管及定期定额投资等业务</w:t>
      </w:r>
    </w:p>
    <w:p w14:paraId="7DF62D9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25</w:t>
      </w:r>
      <w:r>
        <w:rPr>
          <w:rFonts w:ascii="Times New Roman" w:hAnsi="Times New Roman" w:cs="Times New Roman"/>
          <w:bCs/>
          <w:kern w:val="2"/>
          <w:sz w:val="24"/>
          <w:szCs w:val="20"/>
        </w:rPr>
        <w:t>、销售机构：指富荣基金管理有限公司以及符合《销售办法》和中国证监会规定的其他条件，取得基金销售业务资格并与基金管理人签订了基金销售服务协议，办理基金销售业务的机构</w:t>
      </w:r>
    </w:p>
    <w:p w14:paraId="684000F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26</w:t>
      </w:r>
      <w:r>
        <w:rPr>
          <w:rFonts w:ascii="Times New Roman" w:hAnsi="Times New Roman" w:cs="Times New Roman"/>
          <w:bCs/>
          <w:kern w:val="2"/>
          <w:sz w:val="24"/>
          <w:szCs w:val="20"/>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7A71574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27</w:t>
      </w:r>
      <w:r>
        <w:rPr>
          <w:rFonts w:ascii="Times New Roman" w:hAnsi="Times New Roman" w:cs="Times New Roman"/>
          <w:bCs/>
          <w:kern w:val="2"/>
          <w:sz w:val="24"/>
          <w:szCs w:val="20"/>
        </w:rPr>
        <w:t>、登记机构：指办理登记业务的机构。基金的登记机构为富荣基金管理有限</w:t>
      </w:r>
      <w:r>
        <w:rPr>
          <w:rFonts w:ascii="Times New Roman" w:hAnsi="Times New Roman" w:cs="Times New Roman"/>
          <w:bCs/>
          <w:kern w:val="2"/>
          <w:sz w:val="24"/>
          <w:szCs w:val="20"/>
        </w:rPr>
        <w:lastRenderedPageBreak/>
        <w:t>公司或接受富荣基金管理有限公司委托</w:t>
      </w:r>
      <w:r>
        <w:rPr>
          <w:rFonts w:ascii="Times New Roman" w:hAnsi="Times New Roman" w:cs="Times New Roman" w:hint="eastAsia"/>
          <w:bCs/>
          <w:kern w:val="2"/>
          <w:sz w:val="24"/>
          <w:szCs w:val="20"/>
        </w:rPr>
        <w:t>代为</w:t>
      </w:r>
      <w:r>
        <w:rPr>
          <w:rFonts w:ascii="Times New Roman" w:hAnsi="Times New Roman" w:cs="Times New Roman"/>
          <w:bCs/>
          <w:kern w:val="2"/>
          <w:sz w:val="24"/>
          <w:szCs w:val="20"/>
        </w:rPr>
        <w:t>办理登记业务的机构</w:t>
      </w:r>
    </w:p>
    <w:p w14:paraId="692EE37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28</w:t>
      </w:r>
      <w:r>
        <w:rPr>
          <w:rFonts w:ascii="Times New Roman" w:hAnsi="Times New Roman" w:cs="Times New Roman"/>
          <w:bCs/>
          <w:kern w:val="2"/>
          <w:sz w:val="24"/>
          <w:szCs w:val="20"/>
        </w:rPr>
        <w:t>、基金账户：指登记机构为投资人开立的、记录其持有的、基金管理人所管理的基金份额余额及其变动情况的账户</w:t>
      </w:r>
    </w:p>
    <w:p w14:paraId="46D9129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29</w:t>
      </w:r>
      <w:r>
        <w:rPr>
          <w:rFonts w:ascii="Times New Roman" w:hAnsi="Times New Roman" w:cs="Times New Roman"/>
          <w:bCs/>
          <w:kern w:val="2"/>
          <w:sz w:val="24"/>
          <w:szCs w:val="20"/>
        </w:rPr>
        <w:t>、基金交易账户：指销售机构为投资人开立的、记录投资人通过该销售机构办理认购、申购、赎回、转换、转托管及定期定额投资等业务而引起的基金份额变动及结余情况的账户</w:t>
      </w:r>
    </w:p>
    <w:p w14:paraId="10AAF3D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30</w:t>
      </w:r>
      <w:r>
        <w:rPr>
          <w:rFonts w:ascii="Times New Roman" w:hAnsi="Times New Roman" w:cs="Times New Roman"/>
          <w:bCs/>
          <w:kern w:val="2"/>
          <w:sz w:val="24"/>
          <w:szCs w:val="20"/>
        </w:rPr>
        <w:t>、基金合同生效日：指基金募集达到法律法规规定及基金合同规定的条件，</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基金管理人向中国证监会办理基金备案手续完毕，并获得中国证监会书面确认的日期</w:t>
      </w:r>
    </w:p>
    <w:p w14:paraId="09592F7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31</w:t>
      </w:r>
      <w:r>
        <w:rPr>
          <w:rFonts w:ascii="Times New Roman" w:hAnsi="Times New Roman" w:cs="Times New Roman"/>
          <w:bCs/>
          <w:kern w:val="2"/>
          <w:sz w:val="24"/>
          <w:szCs w:val="20"/>
        </w:rPr>
        <w:t>、基金合同终止日：指基金合同规定的基金合同终止事由出现后，基金财产清算完毕，清算结果报中国证监会备案并予以公告的日期</w:t>
      </w:r>
    </w:p>
    <w:p w14:paraId="3D7D953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32</w:t>
      </w:r>
      <w:r>
        <w:rPr>
          <w:rFonts w:ascii="Times New Roman" w:hAnsi="Times New Roman" w:cs="Times New Roman"/>
          <w:bCs/>
          <w:kern w:val="2"/>
          <w:sz w:val="24"/>
          <w:szCs w:val="20"/>
        </w:rPr>
        <w:t>、基金募集期：指自基金份额发售之日起至发售结束之日止的期间，最长不得超过</w:t>
      </w:r>
      <w:r>
        <w:rPr>
          <w:rFonts w:ascii="Times New Roman" w:hAnsi="Times New Roman" w:cs="Times New Roman"/>
          <w:bCs/>
          <w:kern w:val="2"/>
          <w:sz w:val="24"/>
          <w:szCs w:val="20"/>
        </w:rPr>
        <w:t xml:space="preserve"> 3 </w:t>
      </w:r>
      <w:r>
        <w:rPr>
          <w:rFonts w:ascii="Times New Roman" w:hAnsi="Times New Roman" w:cs="Times New Roman"/>
          <w:bCs/>
          <w:kern w:val="2"/>
          <w:sz w:val="24"/>
          <w:szCs w:val="20"/>
        </w:rPr>
        <w:t>个月</w:t>
      </w:r>
    </w:p>
    <w:p w14:paraId="15D2E57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33</w:t>
      </w:r>
      <w:r>
        <w:rPr>
          <w:rFonts w:ascii="Times New Roman" w:hAnsi="Times New Roman" w:cs="Times New Roman"/>
          <w:bCs/>
          <w:kern w:val="2"/>
          <w:sz w:val="24"/>
          <w:szCs w:val="20"/>
        </w:rPr>
        <w:t>、存续期：指基金合同生效至终止之间的不定期期限</w:t>
      </w:r>
    </w:p>
    <w:p w14:paraId="56B977F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34</w:t>
      </w:r>
      <w:r>
        <w:rPr>
          <w:rFonts w:ascii="Times New Roman" w:hAnsi="Times New Roman" w:cs="Times New Roman"/>
          <w:bCs/>
          <w:kern w:val="2"/>
          <w:sz w:val="24"/>
          <w:szCs w:val="20"/>
        </w:rPr>
        <w:t>、工作日：指上海证券交易所、深圳证券交易所的正常交易日</w:t>
      </w:r>
    </w:p>
    <w:p w14:paraId="243D37D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35</w:t>
      </w:r>
      <w:r>
        <w:rPr>
          <w:rFonts w:ascii="Times New Roman" w:hAnsi="Times New Roman" w:cs="Times New Roman"/>
          <w:bCs/>
          <w:kern w:val="2"/>
          <w:sz w:val="24"/>
          <w:szCs w:val="20"/>
        </w:rPr>
        <w:t>、</w:t>
      </w:r>
      <w:r>
        <w:rPr>
          <w:rFonts w:ascii="Times New Roman" w:hAnsi="Times New Roman" w:cs="Times New Roman"/>
          <w:bCs/>
          <w:kern w:val="2"/>
          <w:sz w:val="24"/>
          <w:szCs w:val="20"/>
        </w:rPr>
        <w:t xml:space="preserve">T </w:t>
      </w:r>
      <w:r>
        <w:rPr>
          <w:rFonts w:ascii="Times New Roman" w:hAnsi="Times New Roman" w:cs="Times New Roman"/>
          <w:bCs/>
          <w:kern w:val="2"/>
          <w:sz w:val="24"/>
          <w:szCs w:val="20"/>
        </w:rPr>
        <w:t>日：指销售机构在规定时间受理投资人申购、赎回或其他业务申请的开放日</w:t>
      </w:r>
    </w:p>
    <w:p w14:paraId="5B943AE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36</w:t>
      </w:r>
      <w:r>
        <w:rPr>
          <w:rFonts w:ascii="Times New Roman" w:hAnsi="Times New Roman" w:cs="Times New Roman"/>
          <w:bCs/>
          <w:kern w:val="2"/>
          <w:sz w:val="24"/>
          <w:szCs w:val="20"/>
        </w:rPr>
        <w:t>、</w:t>
      </w:r>
      <w:r>
        <w:rPr>
          <w:rFonts w:ascii="Times New Roman" w:hAnsi="Times New Roman" w:cs="Times New Roman"/>
          <w:bCs/>
          <w:kern w:val="2"/>
          <w:sz w:val="24"/>
          <w:szCs w:val="20"/>
        </w:rPr>
        <w:t xml:space="preserve">T+n </w:t>
      </w:r>
      <w:r>
        <w:rPr>
          <w:rFonts w:ascii="Times New Roman" w:hAnsi="Times New Roman" w:cs="Times New Roman"/>
          <w:bCs/>
          <w:kern w:val="2"/>
          <w:sz w:val="24"/>
          <w:szCs w:val="20"/>
        </w:rPr>
        <w:t>日：指自</w:t>
      </w:r>
      <w:r>
        <w:rPr>
          <w:rFonts w:ascii="Times New Roman" w:hAnsi="Times New Roman" w:cs="Times New Roman"/>
          <w:bCs/>
          <w:kern w:val="2"/>
          <w:sz w:val="24"/>
          <w:szCs w:val="20"/>
        </w:rPr>
        <w:t xml:space="preserve"> T </w:t>
      </w:r>
      <w:r>
        <w:rPr>
          <w:rFonts w:ascii="Times New Roman" w:hAnsi="Times New Roman" w:cs="Times New Roman"/>
          <w:bCs/>
          <w:kern w:val="2"/>
          <w:sz w:val="24"/>
          <w:szCs w:val="20"/>
        </w:rPr>
        <w:t>日起第</w:t>
      </w:r>
      <w:r>
        <w:rPr>
          <w:rFonts w:ascii="Times New Roman" w:hAnsi="Times New Roman" w:cs="Times New Roman"/>
          <w:bCs/>
          <w:kern w:val="2"/>
          <w:sz w:val="24"/>
          <w:szCs w:val="20"/>
        </w:rPr>
        <w:t xml:space="preserve"> n </w:t>
      </w:r>
      <w:r>
        <w:rPr>
          <w:rFonts w:ascii="Times New Roman" w:hAnsi="Times New Roman" w:cs="Times New Roman"/>
          <w:bCs/>
          <w:kern w:val="2"/>
          <w:sz w:val="24"/>
          <w:szCs w:val="20"/>
        </w:rPr>
        <w:t>个工作日（不包含</w:t>
      </w:r>
      <w:r>
        <w:rPr>
          <w:rFonts w:ascii="Times New Roman" w:hAnsi="Times New Roman" w:cs="Times New Roman"/>
          <w:bCs/>
          <w:kern w:val="2"/>
          <w:sz w:val="24"/>
          <w:szCs w:val="20"/>
        </w:rPr>
        <w:t xml:space="preserve"> T </w:t>
      </w:r>
      <w:r>
        <w:rPr>
          <w:rFonts w:ascii="Times New Roman" w:hAnsi="Times New Roman" w:cs="Times New Roman"/>
          <w:bCs/>
          <w:kern w:val="2"/>
          <w:sz w:val="24"/>
          <w:szCs w:val="20"/>
        </w:rPr>
        <w:t>日）</w:t>
      </w:r>
    </w:p>
    <w:p w14:paraId="60A3824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37</w:t>
      </w:r>
      <w:r>
        <w:rPr>
          <w:rFonts w:ascii="Times New Roman" w:hAnsi="Times New Roman" w:cs="Times New Roman"/>
          <w:bCs/>
          <w:kern w:val="2"/>
          <w:sz w:val="24"/>
          <w:szCs w:val="20"/>
        </w:rPr>
        <w:t>、开放日：指为投资人办理基金份额申购、赎回或其他业务的工作日</w:t>
      </w:r>
    </w:p>
    <w:p w14:paraId="7BCAEFD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38</w:t>
      </w:r>
      <w:r>
        <w:rPr>
          <w:rFonts w:ascii="Times New Roman" w:hAnsi="Times New Roman" w:cs="Times New Roman"/>
          <w:bCs/>
          <w:kern w:val="2"/>
          <w:sz w:val="24"/>
          <w:szCs w:val="20"/>
        </w:rPr>
        <w:t>、开放时间：指开放日基金接受申购、赎回或其他交易的时间段</w:t>
      </w:r>
    </w:p>
    <w:p w14:paraId="336098A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39</w:t>
      </w:r>
      <w:r>
        <w:rPr>
          <w:rFonts w:ascii="Times New Roman" w:hAnsi="Times New Roman" w:cs="Times New Roman"/>
          <w:bCs/>
          <w:kern w:val="2"/>
          <w:sz w:val="24"/>
          <w:szCs w:val="20"/>
        </w:rPr>
        <w:t>、《业务规则》：指《富荣基金管理有限公司开放式基金业务规则》，是规范基金管理人所管理的开放式证券投资基金登记方面的业务规则，由基金管理人和投资人共同遵守</w:t>
      </w:r>
    </w:p>
    <w:p w14:paraId="1BCBF38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40</w:t>
      </w:r>
      <w:r>
        <w:rPr>
          <w:rFonts w:ascii="Times New Roman" w:hAnsi="Times New Roman" w:cs="Times New Roman"/>
          <w:bCs/>
          <w:kern w:val="2"/>
          <w:sz w:val="24"/>
          <w:szCs w:val="20"/>
        </w:rPr>
        <w:t>、认购：指在基金募集期内，投资人根据基金合同和招募说明书的规定申请购买基金份额的行为</w:t>
      </w:r>
    </w:p>
    <w:p w14:paraId="7A4ABE8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41</w:t>
      </w:r>
      <w:r>
        <w:rPr>
          <w:rFonts w:ascii="Times New Roman" w:hAnsi="Times New Roman" w:cs="Times New Roman"/>
          <w:bCs/>
          <w:kern w:val="2"/>
          <w:sz w:val="24"/>
          <w:szCs w:val="20"/>
        </w:rPr>
        <w:t>、申购：指基金合同生效后，投资人根据基金合同和招募说明书的规定申请购买基金份额的行为</w:t>
      </w:r>
    </w:p>
    <w:p w14:paraId="207D747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42</w:t>
      </w:r>
      <w:r>
        <w:rPr>
          <w:rFonts w:ascii="Times New Roman" w:hAnsi="Times New Roman" w:cs="Times New Roman"/>
          <w:bCs/>
          <w:kern w:val="2"/>
          <w:sz w:val="24"/>
          <w:szCs w:val="20"/>
        </w:rPr>
        <w:t>、赎回：指基金合同生效后，基金份额持有人按基金合同和招募说明书规定的条件要求将基金份额兑换为现金的行为</w:t>
      </w:r>
    </w:p>
    <w:p w14:paraId="07E94D6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43</w:t>
      </w:r>
      <w:r>
        <w:rPr>
          <w:rFonts w:ascii="Times New Roman" w:hAnsi="Times New Roman" w:cs="Times New Roman"/>
          <w:bCs/>
          <w:kern w:val="2"/>
          <w:sz w:val="24"/>
          <w:szCs w:val="20"/>
        </w:rPr>
        <w:t>、基金转换：指基金份额持有人按照本基金合同和基金管理人届时有效公告</w:t>
      </w:r>
      <w:r>
        <w:rPr>
          <w:rFonts w:ascii="Times New Roman" w:hAnsi="Times New Roman" w:cs="Times New Roman"/>
          <w:bCs/>
          <w:kern w:val="2"/>
          <w:sz w:val="24"/>
          <w:szCs w:val="20"/>
        </w:rPr>
        <w:lastRenderedPageBreak/>
        <w:t>规定的条件，申请将其持有基金管理人管理的、某一基金的基金份额转换为基金管理人管理的其他基金基金份额的行为</w:t>
      </w:r>
    </w:p>
    <w:p w14:paraId="1C4B11E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44</w:t>
      </w:r>
      <w:r>
        <w:rPr>
          <w:rFonts w:ascii="Times New Roman" w:hAnsi="Times New Roman" w:cs="Times New Roman"/>
          <w:bCs/>
          <w:kern w:val="2"/>
          <w:sz w:val="24"/>
          <w:szCs w:val="20"/>
        </w:rPr>
        <w:t>、转托管：指基金份额持有人在本基金的不同销售机构之间实施的变更所持基金份额销售机构的操作</w:t>
      </w:r>
    </w:p>
    <w:p w14:paraId="06FBA31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45</w:t>
      </w:r>
      <w:r>
        <w:rPr>
          <w:rFonts w:ascii="Times New Roman" w:hAnsi="Times New Roman" w:cs="Times New Roman"/>
          <w:bCs/>
          <w:kern w:val="2"/>
          <w:sz w:val="24"/>
          <w:szCs w:val="20"/>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EAB813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46</w:t>
      </w:r>
      <w:r>
        <w:rPr>
          <w:rFonts w:ascii="Times New Roman" w:hAnsi="Times New Roman" w:cs="Times New Roman"/>
          <w:bCs/>
          <w:kern w:val="2"/>
          <w:sz w:val="24"/>
          <w:szCs w:val="20"/>
        </w:rPr>
        <w:t>、巨额赎回：指本基金单个开放日，基金净赎回申请（赎回申请份额总数加上基金转换中转出申请份额总数后扣除申购申请份额总数及基金转换中转入申请份额总数后的余额）超过上一</w:t>
      </w:r>
      <w:r>
        <w:rPr>
          <w:rFonts w:ascii="Times New Roman" w:hAnsi="Times New Roman" w:cs="Times New Roman" w:hint="eastAsia"/>
          <w:bCs/>
          <w:kern w:val="2"/>
          <w:sz w:val="24"/>
          <w:szCs w:val="20"/>
        </w:rPr>
        <w:t>开放</w:t>
      </w:r>
      <w:r>
        <w:rPr>
          <w:rFonts w:ascii="Times New Roman" w:hAnsi="Times New Roman" w:cs="Times New Roman"/>
          <w:bCs/>
          <w:kern w:val="2"/>
          <w:sz w:val="24"/>
          <w:szCs w:val="20"/>
        </w:rPr>
        <w:t>日基金总份额的</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的情形</w:t>
      </w:r>
    </w:p>
    <w:p w14:paraId="1489041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47</w:t>
      </w:r>
      <w:r>
        <w:rPr>
          <w:rFonts w:ascii="Times New Roman" w:hAnsi="Times New Roman" w:cs="Times New Roman"/>
          <w:bCs/>
          <w:kern w:val="2"/>
          <w:sz w:val="24"/>
          <w:szCs w:val="20"/>
        </w:rPr>
        <w:t>、元：指人民币元</w:t>
      </w:r>
    </w:p>
    <w:p w14:paraId="676F53A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48</w:t>
      </w:r>
      <w:r>
        <w:rPr>
          <w:rFonts w:ascii="Times New Roman" w:hAnsi="Times New Roman" w:cs="Times New Roman"/>
          <w:bCs/>
          <w:kern w:val="2"/>
          <w:sz w:val="24"/>
          <w:szCs w:val="20"/>
        </w:rPr>
        <w:t>、基金收益：指基金投资所得</w:t>
      </w:r>
      <w:r>
        <w:rPr>
          <w:rFonts w:ascii="Times New Roman" w:hAnsi="Times New Roman" w:cs="Times New Roman" w:hint="eastAsia"/>
          <w:bCs/>
          <w:kern w:val="2"/>
          <w:sz w:val="24"/>
          <w:szCs w:val="20"/>
        </w:rPr>
        <w:t>红利、股息、</w:t>
      </w:r>
      <w:r>
        <w:rPr>
          <w:rFonts w:ascii="Times New Roman" w:hAnsi="Times New Roman" w:cs="Times New Roman"/>
          <w:bCs/>
          <w:kern w:val="2"/>
          <w:sz w:val="24"/>
          <w:szCs w:val="20"/>
        </w:rPr>
        <w:t>债券利息、买卖证券价差、银行存款利息、已实现的其他合法收入及因运用基金财产带来的成本和费用的节约</w:t>
      </w:r>
    </w:p>
    <w:p w14:paraId="34E9115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49</w:t>
      </w:r>
      <w:r>
        <w:rPr>
          <w:rFonts w:ascii="Times New Roman" w:hAnsi="Times New Roman" w:cs="Times New Roman"/>
          <w:bCs/>
          <w:kern w:val="2"/>
          <w:sz w:val="24"/>
          <w:szCs w:val="20"/>
        </w:rPr>
        <w:t>、基金资产总值：指基金拥有的各类有价证券、银行存款本息、基金应收款及其他资产的价值总和</w:t>
      </w:r>
    </w:p>
    <w:p w14:paraId="6C4A66F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50</w:t>
      </w:r>
      <w:r>
        <w:rPr>
          <w:rFonts w:ascii="Times New Roman" w:hAnsi="Times New Roman" w:cs="Times New Roman"/>
          <w:bCs/>
          <w:kern w:val="2"/>
          <w:sz w:val="24"/>
          <w:szCs w:val="20"/>
        </w:rPr>
        <w:t>、基金资产净值：指基金资产总值减去基金负债后的价值</w:t>
      </w:r>
    </w:p>
    <w:p w14:paraId="7D5C9B9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51</w:t>
      </w:r>
      <w:r>
        <w:rPr>
          <w:rFonts w:ascii="Times New Roman" w:hAnsi="Times New Roman" w:cs="Times New Roman"/>
          <w:bCs/>
          <w:kern w:val="2"/>
          <w:sz w:val="24"/>
          <w:szCs w:val="20"/>
        </w:rPr>
        <w:t>、基金份额净值：指计算日基金资产净值除以计算日基金份额总数</w:t>
      </w:r>
    </w:p>
    <w:p w14:paraId="64CAFBB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52</w:t>
      </w:r>
      <w:r>
        <w:rPr>
          <w:rFonts w:ascii="Times New Roman" w:hAnsi="Times New Roman" w:cs="Times New Roman"/>
          <w:bCs/>
          <w:kern w:val="2"/>
          <w:sz w:val="24"/>
          <w:szCs w:val="20"/>
        </w:rPr>
        <w:t>、基金资产估值：指计算评估基金资产和负债的价值，以确定基金资产净值和基金份额净值的过程</w:t>
      </w:r>
    </w:p>
    <w:p w14:paraId="5A26F33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53</w:t>
      </w:r>
      <w:r>
        <w:rPr>
          <w:rFonts w:ascii="Times New Roman" w:hAnsi="Times New Roman" w:cs="Times New Roman"/>
          <w:bCs/>
          <w:kern w:val="2"/>
          <w:sz w:val="24"/>
          <w:szCs w:val="20"/>
        </w:rPr>
        <w:t>、基金份额的类别：本基金根据认购、申购费用</w:t>
      </w:r>
      <w:r>
        <w:rPr>
          <w:rFonts w:hint="eastAsia"/>
          <w:bCs/>
          <w:sz w:val="24"/>
          <w:szCs w:val="24"/>
        </w:rPr>
        <w:t>、销售服务费收取方式等的不同，</w:t>
      </w:r>
      <w:r>
        <w:rPr>
          <w:rFonts w:ascii="Times New Roman" w:hAnsi="Times New Roman" w:cs="Times New Roman"/>
          <w:bCs/>
          <w:kern w:val="2"/>
          <w:sz w:val="24"/>
          <w:szCs w:val="20"/>
        </w:rPr>
        <w:t>将基金份额分为不同的类别</w:t>
      </w:r>
      <w:r>
        <w:rPr>
          <w:rFonts w:hint="eastAsia"/>
          <w:bCs/>
          <w:sz w:val="24"/>
          <w:szCs w:val="24"/>
        </w:rPr>
        <w:t>，各基金份额类别分别设置代码，分别计算和公告基金份额净值和基金份额累计净值</w:t>
      </w:r>
    </w:p>
    <w:p w14:paraId="234E7CF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54</w:t>
      </w:r>
      <w:r>
        <w:rPr>
          <w:rFonts w:ascii="Times New Roman" w:hAnsi="Times New Roman" w:cs="Times New Roman"/>
          <w:bCs/>
          <w:kern w:val="2"/>
          <w:sz w:val="24"/>
          <w:szCs w:val="20"/>
        </w:rPr>
        <w:t>、</w:t>
      </w:r>
      <w:r>
        <w:rPr>
          <w:rFonts w:ascii="Times New Roman" w:hAnsi="Times New Roman" w:cs="Times New Roman"/>
          <w:bCs/>
          <w:kern w:val="2"/>
          <w:sz w:val="24"/>
          <w:szCs w:val="20"/>
        </w:rPr>
        <w:t xml:space="preserve">A </w:t>
      </w:r>
      <w:r>
        <w:rPr>
          <w:rFonts w:ascii="Times New Roman" w:hAnsi="Times New Roman" w:cs="Times New Roman"/>
          <w:bCs/>
          <w:kern w:val="2"/>
          <w:sz w:val="24"/>
          <w:szCs w:val="20"/>
        </w:rPr>
        <w:t>类基金份额：指在投资者认购、申购时收取认购、申购费用，不从本类别基金资产中计提销售服务费的基金份额</w:t>
      </w:r>
    </w:p>
    <w:p w14:paraId="151D2212" w14:textId="468D246E"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55</w:t>
      </w:r>
      <w:r>
        <w:rPr>
          <w:rFonts w:ascii="Times New Roman" w:hAnsi="Times New Roman" w:cs="Times New Roman"/>
          <w:bCs/>
          <w:kern w:val="2"/>
          <w:sz w:val="24"/>
          <w:szCs w:val="20"/>
        </w:rPr>
        <w:t>、</w:t>
      </w:r>
      <w:r>
        <w:rPr>
          <w:rFonts w:ascii="Times New Roman" w:hAnsi="Times New Roman" w:cs="Times New Roman"/>
          <w:bCs/>
          <w:kern w:val="2"/>
          <w:sz w:val="24"/>
          <w:szCs w:val="20"/>
        </w:rPr>
        <w:t xml:space="preserve">C </w:t>
      </w:r>
      <w:r>
        <w:rPr>
          <w:rFonts w:ascii="Times New Roman" w:hAnsi="Times New Roman" w:cs="Times New Roman"/>
          <w:bCs/>
          <w:kern w:val="2"/>
          <w:sz w:val="24"/>
          <w:szCs w:val="20"/>
        </w:rPr>
        <w:t>类基金份额：指在投资者认购、申购时不收取认购、申购费用，但从本类别基金资产中计提销售服务费的基金份额</w:t>
      </w:r>
    </w:p>
    <w:p w14:paraId="19B0B63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56</w:t>
      </w:r>
      <w:r>
        <w:rPr>
          <w:rFonts w:ascii="Times New Roman" w:hAnsi="Times New Roman" w:cs="Times New Roman"/>
          <w:bCs/>
          <w:kern w:val="2"/>
          <w:sz w:val="24"/>
          <w:szCs w:val="20"/>
        </w:rPr>
        <w:t>、规定媒介：指符合中国证监会规定条件的用以进行信息披露的全国性报刊及《信息披露办法》规定的互联网网站（包括基金管理人网站、基金托管人网站、中国证监会基金电子披露网站）等媒介</w:t>
      </w:r>
    </w:p>
    <w:p w14:paraId="2B4A9C1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57</w:t>
      </w:r>
      <w:r>
        <w:rPr>
          <w:rFonts w:ascii="Times New Roman" w:hAnsi="Times New Roman" w:cs="Times New Roman"/>
          <w:bCs/>
          <w:kern w:val="2"/>
          <w:sz w:val="24"/>
          <w:szCs w:val="20"/>
        </w:rPr>
        <w:t>、销售服务费：指从基金财产中计提的，用于本基金市场推广、销售以及基</w:t>
      </w:r>
      <w:r>
        <w:rPr>
          <w:rFonts w:ascii="Times New Roman" w:hAnsi="Times New Roman" w:cs="Times New Roman"/>
          <w:bCs/>
          <w:kern w:val="2"/>
          <w:sz w:val="24"/>
          <w:szCs w:val="20"/>
        </w:rPr>
        <w:lastRenderedPageBreak/>
        <w:t>金份额持有人服务的费用</w:t>
      </w:r>
    </w:p>
    <w:p w14:paraId="6852145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58</w:t>
      </w:r>
      <w:r>
        <w:rPr>
          <w:rFonts w:ascii="Times New Roman" w:hAnsi="Times New Roman" w:cs="Times New Roman"/>
          <w:bCs/>
          <w:kern w:val="2"/>
          <w:sz w:val="24"/>
          <w:szCs w:val="20"/>
        </w:rPr>
        <w:t>、流动性受限资产：指由于法律法规、监管、合同或操作障碍等原因无法以合理价格予以变现的资产，包括但不限于到期日在</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个交易日以上的逆回购与银行定期存款（含协议约定有条件提前支取的银行存款）、</w:t>
      </w:r>
      <w:r>
        <w:rPr>
          <w:rFonts w:ascii="Times New Roman" w:hAnsi="Times New Roman" w:cs="Times New Roman" w:hint="eastAsia"/>
          <w:bCs/>
          <w:kern w:val="2"/>
          <w:sz w:val="24"/>
          <w:szCs w:val="20"/>
        </w:rPr>
        <w:t>停牌股票、流通受限的新股及非公开发行股票、</w:t>
      </w:r>
      <w:r>
        <w:rPr>
          <w:rFonts w:ascii="Times New Roman" w:hAnsi="Times New Roman" w:cs="Times New Roman"/>
          <w:bCs/>
          <w:kern w:val="2"/>
          <w:sz w:val="24"/>
          <w:szCs w:val="20"/>
        </w:rPr>
        <w:t>资产支持证券、因发行人债务违约无法进行转让或交易的债券等</w:t>
      </w:r>
    </w:p>
    <w:p w14:paraId="2FE3111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59</w:t>
      </w:r>
      <w:r>
        <w:rPr>
          <w:rFonts w:ascii="Times New Roman" w:hAnsi="Times New Roman" w:cs="Times New Roman"/>
          <w:bCs/>
          <w:kern w:val="2"/>
          <w:sz w:val="24"/>
          <w:szCs w:val="20"/>
        </w:rPr>
        <w:t>、摆动定价机制：指当本基金遭遇大额申购赎回时，通过调整基金份额净值的方式，将基金调整投资组合的市场冲击成本分配给实际申购、赎回的投资者，</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从而减少对存量基金份额持有人利益的不利影响，确保投资人的合法权益不受损害并得到公平对待</w:t>
      </w:r>
    </w:p>
    <w:p w14:paraId="351478A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60</w:t>
      </w:r>
      <w:r>
        <w:rPr>
          <w:rFonts w:ascii="Times New Roman" w:hAnsi="Times New Roman" w:cs="Times New Roman"/>
          <w:bCs/>
          <w:kern w:val="2"/>
          <w:sz w:val="24"/>
          <w:szCs w:val="20"/>
        </w:rPr>
        <w:t>、侧袋机制：指将基金投资组合中的特定资产从原有账户分离至一个专门账户进行处置清算，目的在于有效隔离并化解风险，确保投资者得到公平对待，</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属于流动性风险管理工具。侧袋机制实施期间，原有账户称为主袋账户，专门账户称为侧袋账户</w:t>
      </w:r>
    </w:p>
    <w:p w14:paraId="6D646BF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61</w:t>
      </w:r>
      <w:r>
        <w:rPr>
          <w:rFonts w:ascii="Times New Roman" w:hAnsi="Times New Roman" w:cs="Times New Roman"/>
          <w:bCs/>
          <w:kern w:val="2"/>
          <w:sz w:val="24"/>
          <w:szCs w:val="20"/>
        </w:rPr>
        <w:t>、特定资产：包括：（</w:t>
      </w:r>
      <w:r>
        <w:rPr>
          <w:rFonts w:ascii="Times New Roman" w:hAnsi="Times New Roman" w:cs="Times New Roman"/>
          <w:bCs/>
          <w:kern w:val="2"/>
          <w:sz w:val="24"/>
          <w:szCs w:val="20"/>
        </w:rPr>
        <w:t>1</w:t>
      </w:r>
      <w:r>
        <w:rPr>
          <w:rFonts w:ascii="Times New Roman" w:hAnsi="Times New Roman" w:cs="Times New Roman"/>
          <w:bCs/>
          <w:kern w:val="2"/>
          <w:sz w:val="24"/>
          <w:szCs w:val="20"/>
        </w:rPr>
        <w:t>）无可参考的活跃市场价格且采用估值技术仍导致公允价值存在重大不确定性的资产；（</w:t>
      </w:r>
      <w:r>
        <w:rPr>
          <w:rFonts w:ascii="Times New Roman" w:hAnsi="Times New Roman" w:cs="Times New Roman"/>
          <w:bCs/>
          <w:kern w:val="2"/>
          <w:sz w:val="24"/>
          <w:szCs w:val="20"/>
        </w:rPr>
        <w:t>2</w:t>
      </w:r>
      <w:r>
        <w:rPr>
          <w:rFonts w:ascii="Times New Roman" w:hAnsi="Times New Roman" w:cs="Times New Roman"/>
          <w:bCs/>
          <w:kern w:val="2"/>
          <w:sz w:val="24"/>
          <w:szCs w:val="20"/>
        </w:rPr>
        <w:t>）按摊余成本计量且计提资产减值准备仍导致资产价值存在重大不确定性的资产；（</w:t>
      </w:r>
      <w:r>
        <w:rPr>
          <w:rFonts w:ascii="Times New Roman" w:hAnsi="Times New Roman" w:cs="Times New Roman"/>
          <w:bCs/>
          <w:kern w:val="2"/>
          <w:sz w:val="24"/>
          <w:szCs w:val="20"/>
        </w:rPr>
        <w:t>3</w:t>
      </w:r>
      <w:r>
        <w:rPr>
          <w:rFonts w:ascii="Times New Roman" w:hAnsi="Times New Roman" w:cs="Times New Roman"/>
          <w:bCs/>
          <w:kern w:val="2"/>
          <w:sz w:val="24"/>
          <w:szCs w:val="20"/>
        </w:rPr>
        <w:t>）其他资产价值存在重大不确定性的资产</w:t>
      </w:r>
    </w:p>
    <w:p w14:paraId="408EB46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62</w:t>
      </w:r>
      <w:r>
        <w:rPr>
          <w:rFonts w:ascii="Times New Roman" w:hAnsi="Times New Roman" w:cs="Times New Roman"/>
          <w:bCs/>
          <w:kern w:val="2"/>
          <w:sz w:val="24"/>
          <w:szCs w:val="20"/>
        </w:rPr>
        <w:t>、</w:t>
      </w:r>
      <w:r>
        <w:rPr>
          <w:rFonts w:ascii="Times New Roman" w:hAnsi="Times New Roman" w:cs="Times New Roman" w:hint="eastAsia"/>
          <w:bCs/>
          <w:kern w:val="2"/>
          <w:sz w:val="24"/>
          <w:szCs w:val="20"/>
        </w:rPr>
        <w:t>信用衍生品：指符合证券交易所或银行间市场相关业务规则，专门用于管理信用风险的信用衍生工具</w:t>
      </w:r>
    </w:p>
    <w:p w14:paraId="3DABACF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63</w:t>
      </w:r>
      <w:r>
        <w:rPr>
          <w:rFonts w:ascii="Times New Roman" w:hAnsi="Times New Roman" w:cs="Times New Roman" w:hint="eastAsia"/>
          <w:bCs/>
          <w:kern w:val="2"/>
          <w:sz w:val="24"/>
          <w:szCs w:val="20"/>
        </w:rPr>
        <w:t>、信用保护买方：亦称信用保护购买方，指接受信用风险保护的一方</w:t>
      </w:r>
    </w:p>
    <w:p w14:paraId="7E170F2A"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64</w:t>
      </w:r>
      <w:r>
        <w:rPr>
          <w:rFonts w:ascii="Times New Roman" w:hAnsi="Times New Roman" w:cs="Times New Roman" w:hint="eastAsia"/>
          <w:bCs/>
          <w:kern w:val="2"/>
          <w:sz w:val="24"/>
          <w:szCs w:val="20"/>
        </w:rPr>
        <w:t>、信用保护卖方：亦称信用保护提供方，指提供信用风险保护的一方</w:t>
      </w:r>
    </w:p>
    <w:p w14:paraId="55ADA82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65</w:t>
      </w:r>
      <w:r>
        <w:rPr>
          <w:rFonts w:ascii="Times New Roman" w:hAnsi="Times New Roman" w:cs="Times New Roman" w:hint="eastAsia"/>
          <w:bCs/>
          <w:kern w:val="2"/>
          <w:sz w:val="24"/>
          <w:szCs w:val="20"/>
        </w:rPr>
        <w:t>、名义本金：亦称交易名义本金，指一笔信用衍生品交易提供信用保护的金额，各项支付和结算以此金额为计算基准</w:t>
      </w:r>
    </w:p>
    <w:p w14:paraId="0217ED2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66</w:t>
      </w:r>
      <w:r>
        <w:rPr>
          <w:rFonts w:ascii="Times New Roman" w:hAnsi="Times New Roman" w:cs="Times New Roman"/>
          <w:bCs/>
          <w:kern w:val="2"/>
          <w:sz w:val="24"/>
          <w:szCs w:val="20"/>
        </w:rPr>
        <w:t>、不可抗力：指本基金合同当事人不能预见、不能避免且不能克服的客观事件</w:t>
      </w:r>
    </w:p>
    <w:p w14:paraId="6AF1D1F9" w14:textId="77777777" w:rsidR="00CD61EF" w:rsidRDefault="00CD61EF">
      <w:pPr>
        <w:spacing w:line="364" w:lineRule="auto"/>
        <w:sectPr w:rsidR="00CD61EF">
          <w:pgSz w:w="11910" w:h="16840"/>
          <w:pgMar w:top="1440" w:right="1440" w:bottom="1180" w:left="1680" w:header="877" w:footer="998" w:gutter="0"/>
          <w:cols w:space="720"/>
        </w:sectPr>
      </w:pPr>
    </w:p>
    <w:p w14:paraId="5A11315F" w14:textId="77777777" w:rsidR="00CD61EF" w:rsidRDefault="002B79C0">
      <w:pPr>
        <w:pStyle w:val="1"/>
      </w:pPr>
      <w:bookmarkStart w:id="4" w:name="_Toc4791"/>
      <w:r>
        <w:rPr>
          <w:spacing w:val="5"/>
        </w:rPr>
        <w:lastRenderedPageBreak/>
        <w:t>第三部分 基金的基本情况</w:t>
      </w:r>
      <w:bookmarkEnd w:id="4"/>
    </w:p>
    <w:p w14:paraId="609FFA47" w14:textId="77777777" w:rsidR="00CD61EF" w:rsidRDefault="00CD61EF">
      <w:pPr>
        <w:pStyle w:val="a5"/>
        <w:spacing w:before="13"/>
        <w:ind w:left="0" w:firstLine="0"/>
        <w:rPr>
          <w:rFonts w:ascii="Microsoft JhengHei"/>
          <w:b/>
          <w:sz w:val="32"/>
        </w:rPr>
      </w:pPr>
    </w:p>
    <w:p w14:paraId="74515DC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一、基金名称</w:t>
      </w:r>
    </w:p>
    <w:p w14:paraId="7088131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富荣中短债债券型证券投资基金</w:t>
      </w:r>
    </w:p>
    <w:p w14:paraId="2F50DA7B"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0"/>
        </w:rPr>
      </w:pPr>
    </w:p>
    <w:p w14:paraId="4BDA700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二、基金的类别</w:t>
      </w:r>
    </w:p>
    <w:p w14:paraId="1608CA7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债券型证券投资基金</w:t>
      </w:r>
    </w:p>
    <w:p w14:paraId="6A4BC564" w14:textId="77777777" w:rsidR="00CD61EF" w:rsidRDefault="00CD61EF">
      <w:pPr>
        <w:autoSpaceDE/>
        <w:autoSpaceDN/>
        <w:spacing w:line="360" w:lineRule="auto"/>
        <w:ind w:firstLineChars="200" w:firstLine="440"/>
        <w:jc w:val="both"/>
        <w:rPr>
          <w:rFonts w:ascii="Times New Roman" w:hAnsi="Times New Roman" w:cs="Times New Roman"/>
          <w:bCs/>
          <w:kern w:val="2"/>
          <w:szCs w:val="20"/>
        </w:rPr>
      </w:pPr>
    </w:p>
    <w:p w14:paraId="77E073D4"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0"/>
        </w:rPr>
      </w:pPr>
    </w:p>
    <w:p w14:paraId="78C8786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三、基金的运作方式</w:t>
      </w:r>
    </w:p>
    <w:p w14:paraId="3DC1343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契约型、开放式</w:t>
      </w:r>
    </w:p>
    <w:p w14:paraId="37FDA9A7" w14:textId="77777777" w:rsidR="00CD61EF" w:rsidRDefault="00CD61EF">
      <w:pPr>
        <w:autoSpaceDE/>
        <w:autoSpaceDN/>
        <w:spacing w:line="360" w:lineRule="auto"/>
        <w:ind w:firstLineChars="200" w:firstLine="440"/>
        <w:jc w:val="both"/>
        <w:rPr>
          <w:rFonts w:ascii="Times New Roman" w:hAnsi="Times New Roman" w:cs="Times New Roman"/>
          <w:bCs/>
          <w:kern w:val="2"/>
          <w:szCs w:val="20"/>
        </w:rPr>
      </w:pPr>
    </w:p>
    <w:p w14:paraId="19624CE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四、基金的投资目标</w:t>
      </w:r>
    </w:p>
    <w:p w14:paraId="6B2DF11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本基金在严控风险和保持资产流动性的基础上，主要投资中短期债券，力争实现资产的长期稳健增值。</w:t>
      </w:r>
    </w:p>
    <w:p w14:paraId="5C870D1E" w14:textId="77777777" w:rsidR="00CD61EF" w:rsidRDefault="00CD61EF">
      <w:pPr>
        <w:autoSpaceDE/>
        <w:autoSpaceDN/>
        <w:spacing w:line="360" w:lineRule="auto"/>
        <w:ind w:firstLineChars="200" w:firstLine="440"/>
        <w:jc w:val="both"/>
        <w:rPr>
          <w:rFonts w:ascii="Times New Roman" w:hAnsi="Times New Roman" w:cs="Times New Roman"/>
          <w:bCs/>
          <w:kern w:val="2"/>
          <w:szCs w:val="20"/>
        </w:rPr>
      </w:pPr>
    </w:p>
    <w:p w14:paraId="440F2B3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五、基金的最低募集份额总额</w:t>
      </w:r>
    </w:p>
    <w:p w14:paraId="14F9A55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本基金的最低募集份额总额为</w:t>
      </w:r>
      <w:r>
        <w:rPr>
          <w:rFonts w:ascii="Times New Roman" w:hAnsi="Times New Roman" w:cs="Times New Roman"/>
          <w:bCs/>
          <w:kern w:val="2"/>
          <w:sz w:val="24"/>
          <w:szCs w:val="20"/>
        </w:rPr>
        <w:t xml:space="preserve"> 2 </w:t>
      </w:r>
      <w:r>
        <w:rPr>
          <w:rFonts w:ascii="Times New Roman" w:hAnsi="Times New Roman" w:cs="Times New Roman"/>
          <w:bCs/>
          <w:kern w:val="2"/>
          <w:sz w:val="24"/>
          <w:szCs w:val="20"/>
        </w:rPr>
        <w:t>亿份。</w:t>
      </w:r>
    </w:p>
    <w:p w14:paraId="4849A618"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0"/>
        </w:rPr>
      </w:pPr>
    </w:p>
    <w:p w14:paraId="4C75C13B"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0"/>
        </w:rPr>
      </w:pPr>
    </w:p>
    <w:p w14:paraId="5C82DE7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六、基金份额发售面值和认购费用</w:t>
      </w:r>
    </w:p>
    <w:p w14:paraId="239D092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本基金基金份额发售面值为人民币</w:t>
      </w:r>
      <w:r>
        <w:rPr>
          <w:rFonts w:ascii="Times New Roman" w:hAnsi="Times New Roman" w:cs="Times New Roman"/>
          <w:bCs/>
          <w:kern w:val="2"/>
          <w:sz w:val="24"/>
          <w:szCs w:val="20"/>
        </w:rPr>
        <w:t xml:space="preserve"> 1.00 </w:t>
      </w:r>
      <w:r>
        <w:rPr>
          <w:rFonts w:ascii="Times New Roman" w:hAnsi="Times New Roman" w:cs="Times New Roman"/>
          <w:bCs/>
          <w:kern w:val="2"/>
          <w:sz w:val="24"/>
          <w:szCs w:val="20"/>
        </w:rPr>
        <w:t>元。</w:t>
      </w:r>
    </w:p>
    <w:p w14:paraId="5A758837" w14:textId="5CB92E7A"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w:t>
      </w:r>
      <w:r>
        <w:rPr>
          <w:rFonts w:ascii="Times New Roman" w:hAnsi="Times New Roman" w:cs="Times New Roman"/>
          <w:bCs/>
          <w:kern w:val="2"/>
          <w:sz w:val="24"/>
          <w:szCs w:val="20"/>
        </w:rPr>
        <w:t>A</w:t>
      </w:r>
      <w:r>
        <w:rPr>
          <w:rFonts w:ascii="Times New Roman" w:hAnsi="Times New Roman" w:cs="Times New Roman" w:hint="eastAsia"/>
          <w:bCs/>
          <w:kern w:val="2"/>
          <w:sz w:val="24"/>
          <w:szCs w:val="20"/>
        </w:rPr>
        <w:t>类基金份额的</w:t>
      </w:r>
      <w:r>
        <w:rPr>
          <w:rFonts w:ascii="Times New Roman" w:hAnsi="Times New Roman" w:cs="Times New Roman"/>
          <w:bCs/>
          <w:kern w:val="2"/>
          <w:sz w:val="24"/>
          <w:szCs w:val="20"/>
        </w:rPr>
        <w:t>具体认购费率按招募说明书</w:t>
      </w:r>
      <w:r>
        <w:rPr>
          <w:rFonts w:ascii="Times New Roman" w:hAnsi="Times New Roman" w:cs="Times New Roman" w:hint="eastAsia"/>
          <w:bCs/>
          <w:kern w:val="2"/>
          <w:sz w:val="24"/>
          <w:szCs w:val="20"/>
        </w:rPr>
        <w:t>及基金产品资料概要</w:t>
      </w:r>
      <w:r>
        <w:rPr>
          <w:rFonts w:ascii="Times New Roman" w:hAnsi="Times New Roman" w:cs="Times New Roman"/>
          <w:bCs/>
          <w:kern w:val="2"/>
          <w:sz w:val="24"/>
          <w:szCs w:val="20"/>
        </w:rPr>
        <w:t>的规定执行。</w:t>
      </w:r>
      <w:r>
        <w:rPr>
          <w:rFonts w:ascii="Times New Roman" w:hAnsi="Times New Roman" w:cs="Times New Roman"/>
          <w:bCs/>
          <w:kern w:val="2"/>
          <w:sz w:val="24"/>
          <w:szCs w:val="20"/>
        </w:rPr>
        <w:t>A</w:t>
      </w:r>
      <w:r>
        <w:rPr>
          <w:rFonts w:ascii="Times New Roman" w:hAnsi="Times New Roman" w:cs="Times New Roman"/>
          <w:bCs/>
          <w:kern w:val="2"/>
          <w:sz w:val="24"/>
          <w:szCs w:val="20"/>
        </w:rPr>
        <w:t>类基金份额认购费用不列入基金财产，</w:t>
      </w:r>
      <w:r>
        <w:rPr>
          <w:rFonts w:ascii="Times New Roman" w:hAnsi="Times New Roman" w:cs="Times New Roman"/>
          <w:bCs/>
          <w:kern w:val="2"/>
          <w:sz w:val="24"/>
          <w:szCs w:val="20"/>
        </w:rPr>
        <w:t>C</w:t>
      </w:r>
      <w:r>
        <w:rPr>
          <w:rFonts w:ascii="Times New Roman" w:hAnsi="Times New Roman" w:cs="Times New Roman"/>
          <w:bCs/>
          <w:kern w:val="2"/>
          <w:sz w:val="24"/>
          <w:szCs w:val="20"/>
        </w:rPr>
        <w:t>类基金份额不收取认购费用。</w:t>
      </w:r>
    </w:p>
    <w:p w14:paraId="69F79EC3"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0"/>
        </w:rPr>
      </w:pPr>
    </w:p>
    <w:p w14:paraId="5B92978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七、基金存续期限不定期</w:t>
      </w:r>
    </w:p>
    <w:p w14:paraId="21CCC79A" w14:textId="77777777" w:rsidR="00CD61EF" w:rsidRDefault="00CD61EF">
      <w:pPr>
        <w:autoSpaceDE/>
        <w:autoSpaceDN/>
        <w:spacing w:line="360" w:lineRule="auto"/>
        <w:ind w:firstLineChars="200" w:firstLine="440"/>
        <w:jc w:val="both"/>
        <w:rPr>
          <w:rFonts w:ascii="Times New Roman" w:hAnsi="Times New Roman" w:cs="Times New Roman"/>
          <w:bCs/>
          <w:kern w:val="2"/>
          <w:szCs w:val="20"/>
        </w:rPr>
      </w:pPr>
    </w:p>
    <w:p w14:paraId="48122E7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八、基金份额的类别</w:t>
      </w:r>
    </w:p>
    <w:p w14:paraId="7C8C9A89" w14:textId="3499B63B"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本基金根据所收取费用</w:t>
      </w:r>
      <w:r>
        <w:rPr>
          <w:rFonts w:ascii="Times New Roman" w:hAnsi="Times New Roman" w:cs="Times New Roman" w:hint="eastAsia"/>
          <w:bCs/>
          <w:kern w:val="2"/>
          <w:sz w:val="24"/>
          <w:szCs w:val="20"/>
        </w:rPr>
        <w:t>等</w:t>
      </w:r>
      <w:r>
        <w:rPr>
          <w:rFonts w:ascii="Times New Roman" w:hAnsi="Times New Roman" w:cs="Times New Roman"/>
          <w:bCs/>
          <w:kern w:val="2"/>
          <w:sz w:val="24"/>
          <w:szCs w:val="20"/>
        </w:rPr>
        <w:t>差异，将基金份额分为不同的类别。</w:t>
      </w:r>
      <w:r>
        <w:rPr>
          <w:rFonts w:ascii="Times New Roman" w:hAnsi="Times New Roman" w:cs="Times New Roman"/>
          <w:bCs/>
          <w:kern w:val="2"/>
          <w:sz w:val="24"/>
          <w:szCs w:val="20"/>
        </w:rPr>
        <w:t xml:space="preserve">A </w:t>
      </w:r>
      <w:r>
        <w:rPr>
          <w:rFonts w:ascii="Times New Roman" w:hAnsi="Times New Roman" w:cs="Times New Roman"/>
          <w:bCs/>
          <w:kern w:val="2"/>
          <w:sz w:val="24"/>
          <w:szCs w:val="20"/>
        </w:rPr>
        <w:t>类基金份额在投资人认购</w:t>
      </w:r>
      <w:r>
        <w:rPr>
          <w:rFonts w:ascii="Times New Roman" w:hAnsi="Times New Roman" w:cs="Times New Roman"/>
          <w:bCs/>
          <w:kern w:val="2"/>
          <w:sz w:val="24"/>
          <w:szCs w:val="20"/>
        </w:rPr>
        <w:t>/</w:t>
      </w:r>
      <w:r>
        <w:rPr>
          <w:rFonts w:ascii="Times New Roman" w:hAnsi="Times New Roman" w:cs="Times New Roman"/>
          <w:bCs/>
          <w:kern w:val="2"/>
          <w:sz w:val="24"/>
          <w:szCs w:val="20"/>
        </w:rPr>
        <w:t>申购基金时收取认购</w:t>
      </w:r>
      <w:r>
        <w:rPr>
          <w:rFonts w:ascii="Times New Roman" w:hAnsi="Times New Roman" w:cs="Times New Roman"/>
          <w:bCs/>
          <w:kern w:val="2"/>
          <w:sz w:val="24"/>
          <w:szCs w:val="20"/>
        </w:rPr>
        <w:t>/</w:t>
      </w:r>
      <w:r>
        <w:rPr>
          <w:rFonts w:ascii="Times New Roman" w:hAnsi="Times New Roman" w:cs="Times New Roman"/>
          <w:bCs/>
          <w:kern w:val="2"/>
          <w:sz w:val="24"/>
          <w:szCs w:val="20"/>
        </w:rPr>
        <w:t>申购费用，并不再从本类别基金资产中计提销售服务费；</w:t>
      </w:r>
      <w:r>
        <w:rPr>
          <w:rFonts w:ascii="Times New Roman" w:hAnsi="Times New Roman" w:cs="Times New Roman"/>
          <w:bCs/>
          <w:kern w:val="2"/>
          <w:sz w:val="24"/>
          <w:szCs w:val="20"/>
        </w:rPr>
        <w:t xml:space="preserve">C </w:t>
      </w:r>
      <w:r>
        <w:rPr>
          <w:rFonts w:ascii="Times New Roman" w:hAnsi="Times New Roman" w:cs="Times New Roman"/>
          <w:bCs/>
          <w:kern w:val="2"/>
          <w:sz w:val="24"/>
          <w:szCs w:val="20"/>
        </w:rPr>
        <w:t>类基金份额在投资人认购</w:t>
      </w:r>
      <w:r>
        <w:rPr>
          <w:rFonts w:ascii="Times New Roman" w:hAnsi="Times New Roman" w:cs="Times New Roman"/>
          <w:bCs/>
          <w:kern w:val="2"/>
          <w:sz w:val="24"/>
          <w:szCs w:val="20"/>
        </w:rPr>
        <w:t>/</w:t>
      </w:r>
      <w:r>
        <w:rPr>
          <w:rFonts w:ascii="Times New Roman" w:hAnsi="Times New Roman" w:cs="Times New Roman"/>
          <w:bCs/>
          <w:kern w:val="2"/>
          <w:sz w:val="24"/>
          <w:szCs w:val="20"/>
        </w:rPr>
        <w:t>申购基金时不收取认购</w:t>
      </w:r>
      <w:r>
        <w:rPr>
          <w:rFonts w:ascii="Times New Roman" w:hAnsi="Times New Roman" w:cs="Times New Roman"/>
          <w:bCs/>
          <w:kern w:val="2"/>
          <w:sz w:val="24"/>
          <w:szCs w:val="20"/>
        </w:rPr>
        <w:t>/</w:t>
      </w:r>
      <w:r>
        <w:rPr>
          <w:rFonts w:ascii="Times New Roman" w:hAnsi="Times New Roman" w:cs="Times New Roman"/>
          <w:bCs/>
          <w:kern w:val="2"/>
          <w:sz w:val="24"/>
          <w:szCs w:val="20"/>
        </w:rPr>
        <w:t>申购费用，而是从本类别</w:t>
      </w:r>
      <w:r>
        <w:rPr>
          <w:rFonts w:ascii="Times New Roman" w:hAnsi="Times New Roman" w:cs="Times New Roman"/>
          <w:bCs/>
          <w:kern w:val="2"/>
          <w:sz w:val="24"/>
          <w:szCs w:val="20"/>
        </w:rPr>
        <w:lastRenderedPageBreak/>
        <w:t>基金资产中计提销售服务费。相关费率的设置及费率水平在招募说明书或相关公告中列示。</w:t>
      </w:r>
    </w:p>
    <w:p w14:paraId="391172C8" w14:textId="1C466620"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w:t>
      </w:r>
      <w:r>
        <w:rPr>
          <w:rFonts w:ascii="Times New Roman" w:hAnsi="Times New Roman" w:cs="Times New Roman"/>
          <w:bCs/>
          <w:kern w:val="2"/>
          <w:sz w:val="24"/>
          <w:szCs w:val="20"/>
        </w:rPr>
        <w:t>A</w:t>
      </w:r>
      <w:r>
        <w:rPr>
          <w:rFonts w:ascii="Times New Roman" w:hAnsi="Times New Roman" w:cs="Times New Roman" w:hint="eastAsia"/>
          <w:bCs/>
          <w:kern w:val="2"/>
          <w:sz w:val="24"/>
          <w:szCs w:val="20"/>
        </w:rPr>
        <w:t>类和</w:t>
      </w:r>
      <w:r w:rsidR="00DB4D65">
        <w:rPr>
          <w:rFonts w:ascii="Times New Roman" w:hAnsi="Times New Roman" w:cs="Times New Roman"/>
          <w:bCs/>
          <w:kern w:val="2"/>
          <w:sz w:val="24"/>
          <w:szCs w:val="20"/>
        </w:rPr>
        <w:t>C</w:t>
      </w:r>
      <w:r>
        <w:rPr>
          <w:rFonts w:ascii="Times New Roman" w:hAnsi="Times New Roman" w:cs="Times New Roman" w:hint="eastAsia"/>
          <w:bCs/>
          <w:kern w:val="2"/>
          <w:sz w:val="24"/>
          <w:szCs w:val="20"/>
        </w:rPr>
        <w:t>类</w:t>
      </w:r>
      <w:r>
        <w:rPr>
          <w:rFonts w:ascii="Times New Roman" w:hAnsi="Times New Roman" w:cs="Times New Roman"/>
          <w:bCs/>
          <w:kern w:val="2"/>
          <w:sz w:val="24"/>
          <w:szCs w:val="20"/>
        </w:rPr>
        <w:t>基金份额分别设置代码，分别计算并公布基金份额净值和基金份额累计净值。</w:t>
      </w:r>
    </w:p>
    <w:p w14:paraId="6D6D239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投资人在认购</w:t>
      </w:r>
      <w:r>
        <w:rPr>
          <w:rFonts w:ascii="Times New Roman" w:hAnsi="Times New Roman" w:cs="Times New Roman"/>
          <w:bCs/>
          <w:kern w:val="2"/>
          <w:sz w:val="24"/>
          <w:szCs w:val="20"/>
        </w:rPr>
        <w:t>/</w:t>
      </w:r>
      <w:r>
        <w:rPr>
          <w:rFonts w:ascii="Times New Roman" w:hAnsi="Times New Roman" w:cs="Times New Roman"/>
          <w:bCs/>
          <w:kern w:val="2"/>
          <w:sz w:val="24"/>
          <w:szCs w:val="20"/>
        </w:rPr>
        <w:t>申购基金份额时可自行选择基金份额类别，本基金不同基金份额类别之间不得相互转换。</w:t>
      </w:r>
    </w:p>
    <w:p w14:paraId="0EFC50C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可根据基金实际运作情况，在符合法律法规且对基金份额持有人利益无实质不利影响的情况下，经与基金托管人协商一致，增加新的基金份额类别，或停止某类基金份额类别的销售，或取消某基金份额类别，或对基金份额分类办法及规则进行调整并公告。</w:t>
      </w:r>
    </w:p>
    <w:p w14:paraId="00B27C0B" w14:textId="77777777" w:rsidR="00CD61EF" w:rsidRDefault="00CD61EF">
      <w:pPr>
        <w:spacing w:line="364" w:lineRule="auto"/>
        <w:jc w:val="both"/>
        <w:sectPr w:rsidR="00CD61EF">
          <w:pgSz w:w="11910" w:h="16840"/>
          <w:pgMar w:top="1440" w:right="1440" w:bottom="1180" w:left="1680" w:header="877" w:footer="998" w:gutter="0"/>
          <w:cols w:space="720"/>
        </w:sectPr>
      </w:pPr>
    </w:p>
    <w:p w14:paraId="5A4D5E81" w14:textId="77777777" w:rsidR="00CD61EF" w:rsidRDefault="002B79C0">
      <w:pPr>
        <w:pStyle w:val="1"/>
      </w:pPr>
      <w:bookmarkStart w:id="5" w:name="_Toc30731"/>
      <w:r>
        <w:rPr>
          <w:spacing w:val="5"/>
        </w:rPr>
        <w:lastRenderedPageBreak/>
        <w:t>第四部分 基金份额的发售</w:t>
      </w:r>
      <w:bookmarkEnd w:id="5"/>
    </w:p>
    <w:p w14:paraId="652F50A8" w14:textId="77777777" w:rsidR="00CD61EF" w:rsidRDefault="00CD61EF">
      <w:pPr>
        <w:pStyle w:val="a5"/>
        <w:spacing w:before="13"/>
        <w:ind w:left="0" w:firstLine="0"/>
        <w:rPr>
          <w:rFonts w:ascii="Microsoft JhengHei"/>
          <w:b/>
          <w:sz w:val="32"/>
        </w:rPr>
      </w:pPr>
    </w:p>
    <w:p w14:paraId="6336218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一、基金份额的发售时间、发售方式、发售对象</w:t>
      </w:r>
    </w:p>
    <w:p w14:paraId="2EB0685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、发售时间</w:t>
      </w:r>
    </w:p>
    <w:p w14:paraId="409EE17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自基金份额发售之日起最长不得超过</w:t>
      </w:r>
      <w:r>
        <w:rPr>
          <w:rFonts w:ascii="Times New Roman" w:hAnsi="Times New Roman" w:cs="Times New Roman"/>
          <w:bCs/>
          <w:kern w:val="2"/>
          <w:sz w:val="24"/>
          <w:szCs w:val="24"/>
        </w:rPr>
        <w:t xml:space="preserve"> 3 </w:t>
      </w:r>
      <w:r>
        <w:rPr>
          <w:rFonts w:ascii="Times New Roman" w:hAnsi="Times New Roman" w:cs="Times New Roman"/>
          <w:bCs/>
          <w:kern w:val="2"/>
          <w:sz w:val="24"/>
          <w:szCs w:val="24"/>
        </w:rPr>
        <w:t>个月，具体发售时间见基金份额发售公告。</w:t>
      </w:r>
    </w:p>
    <w:p w14:paraId="2A3B62C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、发售方式</w:t>
      </w:r>
    </w:p>
    <w:p w14:paraId="43482A2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通过各销售机构的基金销售网点或其指定的其他方式公开发售，各销售机构的具体名单见基金份额发售公告以及基金管理人网站。</w:t>
      </w:r>
    </w:p>
    <w:p w14:paraId="4286022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、发售对象</w:t>
      </w:r>
    </w:p>
    <w:p w14:paraId="2A0E09F5"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6" w:name="_Hlk71706016"/>
      <w:r>
        <w:rPr>
          <w:rFonts w:ascii="Times New Roman" w:hAnsi="Times New Roman" w:cs="Times New Roman"/>
          <w:bCs/>
          <w:kern w:val="2"/>
          <w:sz w:val="24"/>
          <w:szCs w:val="24"/>
        </w:rPr>
        <w:t>符合法律法规规定的可投资于证券投资基金的个人投资者、机构投资者、合格境外机构投资者和人民币合格境外机构投资者以及法律法规或中国证监会允许购买证券投资基金的其他投资人。</w:t>
      </w:r>
    </w:p>
    <w:bookmarkEnd w:id="6"/>
    <w:p w14:paraId="77A0C9C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二、基金份额的认购</w:t>
      </w:r>
    </w:p>
    <w:p w14:paraId="6E69C5F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、认购费用</w:t>
      </w:r>
    </w:p>
    <w:p w14:paraId="6ADC5325" w14:textId="42FC187D"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w:t>
      </w:r>
      <w:r>
        <w:rPr>
          <w:rFonts w:ascii="Times New Roman" w:hAnsi="Times New Roman" w:cs="Times New Roman"/>
          <w:bCs/>
          <w:kern w:val="2"/>
          <w:sz w:val="24"/>
          <w:szCs w:val="24"/>
        </w:rPr>
        <w:t xml:space="preserve"> A </w:t>
      </w:r>
      <w:r>
        <w:rPr>
          <w:rFonts w:ascii="Times New Roman" w:hAnsi="Times New Roman" w:cs="Times New Roman"/>
          <w:bCs/>
          <w:kern w:val="2"/>
          <w:sz w:val="24"/>
          <w:szCs w:val="24"/>
        </w:rPr>
        <w:t>类基金份额在认购时收取基金认购费用，</w:t>
      </w:r>
      <w:r>
        <w:rPr>
          <w:rFonts w:ascii="Times New Roman" w:hAnsi="Times New Roman" w:cs="Times New Roman"/>
          <w:bCs/>
          <w:kern w:val="2"/>
          <w:sz w:val="24"/>
          <w:szCs w:val="24"/>
        </w:rPr>
        <w:t xml:space="preserve">C </w:t>
      </w:r>
      <w:r>
        <w:rPr>
          <w:rFonts w:ascii="Times New Roman" w:hAnsi="Times New Roman" w:cs="Times New Roman"/>
          <w:bCs/>
          <w:kern w:val="2"/>
          <w:sz w:val="24"/>
          <w:szCs w:val="24"/>
        </w:rPr>
        <w:t>类基金份额不收取认购费用。</w:t>
      </w:r>
    </w:p>
    <w:p w14:paraId="216E981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w:t>
      </w:r>
      <w:r>
        <w:rPr>
          <w:rFonts w:ascii="Times New Roman" w:hAnsi="Times New Roman" w:cs="Times New Roman"/>
          <w:bCs/>
          <w:kern w:val="2"/>
          <w:sz w:val="24"/>
          <w:szCs w:val="24"/>
        </w:rPr>
        <w:t xml:space="preserve"> A </w:t>
      </w:r>
      <w:r>
        <w:rPr>
          <w:rFonts w:ascii="Times New Roman" w:hAnsi="Times New Roman" w:cs="Times New Roman"/>
          <w:bCs/>
          <w:kern w:val="2"/>
          <w:sz w:val="24"/>
          <w:szCs w:val="24"/>
        </w:rPr>
        <w:t>类份额的认购费率由基金管理人决定，并在招募说明书</w:t>
      </w:r>
      <w:r>
        <w:rPr>
          <w:rFonts w:ascii="Times New Roman" w:hAnsi="Times New Roman" w:cs="Times New Roman" w:hint="eastAsia"/>
          <w:bCs/>
          <w:kern w:val="2"/>
          <w:sz w:val="24"/>
          <w:szCs w:val="24"/>
        </w:rPr>
        <w:t>及基金产品资料概要</w:t>
      </w:r>
      <w:r>
        <w:rPr>
          <w:rFonts w:ascii="Times New Roman" w:hAnsi="Times New Roman" w:cs="Times New Roman"/>
          <w:bCs/>
          <w:kern w:val="2"/>
          <w:sz w:val="24"/>
          <w:szCs w:val="24"/>
        </w:rPr>
        <w:t>中列示。基金认购费用不列入基金财产。</w:t>
      </w:r>
    </w:p>
    <w:p w14:paraId="2ACEA37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、募集期利息的处理方式</w:t>
      </w:r>
    </w:p>
    <w:p w14:paraId="5462140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有效认购款项在募集期间产生的利息将折算为基金份额归基金份额持有人所有，其中利息转份额的具体数额以登记机构的记录为准。</w:t>
      </w:r>
    </w:p>
    <w:p w14:paraId="51A622E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、基金认购份额的计算</w:t>
      </w:r>
    </w:p>
    <w:p w14:paraId="6D9709F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基金认购份额具体的计算方法在招募说明书中列示。</w:t>
      </w:r>
    </w:p>
    <w:p w14:paraId="5666D6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、认购份额余额的处理方式</w:t>
      </w:r>
    </w:p>
    <w:p w14:paraId="423616A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认购份额的计算保留到小数点后</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位，小数点</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位以后的部分四舍五入，由此误差产生的收益或损失由基金财产承担。</w:t>
      </w:r>
    </w:p>
    <w:p w14:paraId="3010413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、认购申请的确认</w:t>
      </w:r>
    </w:p>
    <w:p w14:paraId="7AA1A89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销售机构对认购申请的受理并不代表该申请一定成功，而仅代表销售机构确实接收到认购申请。认购的确认以登记机构的确认结果为准。对于认购申请及认购份</w:t>
      </w:r>
      <w:r>
        <w:rPr>
          <w:rFonts w:ascii="Times New Roman" w:hAnsi="Times New Roman" w:cs="Times New Roman"/>
          <w:bCs/>
          <w:kern w:val="2"/>
          <w:sz w:val="24"/>
          <w:szCs w:val="24"/>
        </w:rPr>
        <w:lastRenderedPageBreak/>
        <w:t>额的确认情况，投资人应及时查询并妥善行使合法权利，否则，由此产生的投资者的任何损失由投资者自行承担。</w:t>
      </w:r>
    </w:p>
    <w:p w14:paraId="26CCFCF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三、基金份额认购金额的限制</w:t>
      </w:r>
    </w:p>
    <w:p w14:paraId="2110BF5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、投资人认购时，需按销售机构规定的方式全额缴款。</w:t>
      </w:r>
    </w:p>
    <w:p w14:paraId="1A88FD8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、基金管理人可以对每个基金交易账户的单笔最低认购金额进行限制，具体限制请参见招募说明书或相关公告。</w:t>
      </w:r>
    </w:p>
    <w:p w14:paraId="147372E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、基金管理人可以对募集期间的单个投资人的累计认购金额进行限制，具体限制和处理方法请参见招募说明书或相关公告。</w:t>
      </w:r>
    </w:p>
    <w:p w14:paraId="2C0C8EC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、如本基金单个投资人累计认购的基金份额数达到或超过基金认购总份额的</w:t>
      </w:r>
      <w:r>
        <w:rPr>
          <w:rFonts w:ascii="Times New Roman" w:hAnsi="Times New Roman" w:cs="Times New Roman"/>
          <w:bCs/>
          <w:kern w:val="2"/>
          <w:sz w:val="24"/>
          <w:szCs w:val="24"/>
        </w:rPr>
        <w:t xml:space="preserve"> 50%</w:t>
      </w:r>
      <w:r>
        <w:rPr>
          <w:rFonts w:ascii="Times New Roman" w:hAnsi="Times New Roman" w:cs="Times New Roman"/>
          <w:bCs/>
          <w:kern w:val="2"/>
          <w:sz w:val="24"/>
          <w:szCs w:val="24"/>
        </w:rPr>
        <w:t>，基金管理人可以采取比例确认等方式对该投资人的认购申请进行限制。基金管理人接受某笔或者某些认购申请有可能导致投资者变相规避前述</w:t>
      </w:r>
      <w:r>
        <w:rPr>
          <w:rFonts w:ascii="Times New Roman" w:hAnsi="Times New Roman" w:cs="Times New Roman"/>
          <w:bCs/>
          <w:kern w:val="2"/>
          <w:sz w:val="24"/>
          <w:szCs w:val="24"/>
        </w:rPr>
        <w:t xml:space="preserve"> 50%</w:t>
      </w:r>
      <w:r>
        <w:rPr>
          <w:rFonts w:ascii="Times New Roman" w:hAnsi="Times New Roman" w:cs="Times New Roman"/>
          <w:bCs/>
          <w:kern w:val="2"/>
          <w:sz w:val="24"/>
          <w:szCs w:val="24"/>
        </w:rPr>
        <w:t>比例要求的，基金管理人有权拒绝该等全部或者部分认购申请。投资人认购的基金份额数以基金合同生效后登记机构的确认为准。</w:t>
      </w:r>
    </w:p>
    <w:p w14:paraId="78CDD68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、投资人在募集期内可以多次认购基金份额，</w:t>
      </w:r>
      <w:r>
        <w:rPr>
          <w:rFonts w:ascii="Times New Roman" w:hAnsi="Times New Roman" w:cs="Times New Roman"/>
          <w:bCs/>
          <w:kern w:val="2"/>
          <w:sz w:val="24"/>
          <w:szCs w:val="24"/>
        </w:rPr>
        <w:t xml:space="preserve">A </w:t>
      </w:r>
      <w:r>
        <w:rPr>
          <w:rFonts w:ascii="Times New Roman" w:hAnsi="Times New Roman" w:cs="Times New Roman"/>
          <w:bCs/>
          <w:kern w:val="2"/>
          <w:sz w:val="24"/>
          <w:szCs w:val="24"/>
        </w:rPr>
        <w:t>类基金份额的认购费按每笔认购申请单独计算。但已受理的认购申请不得撤销。</w:t>
      </w:r>
    </w:p>
    <w:p w14:paraId="0BAC1DBD" w14:textId="77777777" w:rsidR="00CD61EF" w:rsidRDefault="00CD61EF">
      <w:pPr>
        <w:spacing w:line="364" w:lineRule="auto"/>
        <w:sectPr w:rsidR="00CD61EF">
          <w:headerReference w:type="default" r:id="rId12"/>
          <w:footerReference w:type="default" r:id="rId13"/>
          <w:pgSz w:w="11910" w:h="16840"/>
          <w:pgMar w:top="1440" w:right="1440" w:bottom="1180" w:left="1680" w:header="877" w:footer="998" w:gutter="0"/>
          <w:cols w:space="720"/>
        </w:sectPr>
      </w:pPr>
    </w:p>
    <w:p w14:paraId="64FD98BA" w14:textId="77777777" w:rsidR="00CD61EF" w:rsidRDefault="002B79C0">
      <w:pPr>
        <w:pStyle w:val="1"/>
        <w:ind w:right="655"/>
      </w:pPr>
      <w:bookmarkStart w:id="7" w:name="_Toc18056"/>
      <w:r>
        <w:rPr>
          <w:spacing w:val="8"/>
        </w:rPr>
        <w:lastRenderedPageBreak/>
        <w:t>第五部分 基金备案</w:t>
      </w:r>
      <w:bookmarkEnd w:id="7"/>
    </w:p>
    <w:p w14:paraId="6FD8F2D5" w14:textId="77777777" w:rsidR="00CD61EF" w:rsidRDefault="00CD61EF">
      <w:pPr>
        <w:pStyle w:val="a5"/>
        <w:spacing w:before="13"/>
        <w:ind w:left="0" w:firstLine="0"/>
        <w:rPr>
          <w:rFonts w:ascii="Microsoft JhengHei"/>
          <w:b/>
          <w:sz w:val="32"/>
        </w:rPr>
      </w:pPr>
    </w:p>
    <w:p w14:paraId="70E8B85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一、基金备案的条件</w:t>
      </w:r>
    </w:p>
    <w:p w14:paraId="2AF5795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本基金自基金份额发售之日起</w:t>
      </w:r>
      <w:r>
        <w:rPr>
          <w:rFonts w:ascii="Times New Roman" w:hAnsi="Times New Roman" w:cs="Times New Roman"/>
          <w:bCs/>
          <w:kern w:val="2"/>
          <w:sz w:val="24"/>
          <w:szCs w:val="24"/>
        </w:rPr>
        <w:t xml:space="preserve"> 3 </w:t>
      </w:r>
      <w:r>
        <w:rPr>
          <w:rFonts w:ascii="Times New Roman" w:hAnsi="Times New Roman" w:cs="Times New Roman"/>
          <w:bCs/>
          <w:kern w:val="2"/>
          <w:sz w:val="24"/>
          <w:szCs w:val="24"/>
        </w:rPr>
        <w:t>个月内，在基金募集份额总额不少于</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亿</w:t>
      </w:r>
    </w:p>
    <w:p w14:paraId="263BCE7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份，基金募集金额不少于</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亿元人民币且基金认购人数不少于</w:t>
      </w:r>
      <w:r>
        <w:rPr>
          <w:rFonts w:ascii="Times New Roman" w:hAnsi="Times New Roman" w:cs="Times New Roman"/>
          <w:bCs/>
          <w:kern w:val="2"/>
          <w:sz w:val="24"/>
          <w:szCs w:val="24"/>
        </w:rPr>
        <w:t xml:space="preserve"> 200 </w:t>
      </w:r>
      <w:r>
        <w:rPr>
          <w:rFonts w:ascii="Times New Roman" w:hAnsi="Times New Roman" w:cs="Times New Roman"/>
          <w:bCs/>
          <w:kern w:val="2"/>
          <w:sz w:val="24"/>
          <w:szCs w:val="24"/>
        </w:rPr>
        <w:t>人的条件下，</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基金募集期届满或基金管理人依据法律法规及招募说明书可以决定停止基金发</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售，并在</w:t>
      </w:r>
      <w:r>
        <w:rPr>
          <w:rFonts w:ascii="Times New Roman" w:hAnsi="Times New Roman" w:cs="Times New Roman"/>
          <w:bCs/>
          <w:kern w:val="2"/>
          <w:sz w:val="24"/>
          <w:szCs w:val="24"/>
        </w:rPr>
        <w:t xml:space="preserve"> 10 </w:t>
      </w:r>
      <w:r>
        <w:rPr>
          <w:rFonts w:ascii="Times New Roman" w:hAnsi="Times New Roman" w:cs="Times New Roman"/>
          <w:bCs/>
          <w:kern w:val="2"/>
          <w:sz w:val="24"/>
          <w:szCs w:val="24"/>
        </w:rPr>
        <w:t>日内聘请法定验资机构验资，自收到验资报告之日起</w:t>
      </w:r>
      <w:r>
        <w:rPr>
          <w:rFonts w:ascii="Times New Roman" w:hAnsi="Times New Roman" w:cs="Times New Roman"/>
          <w:bCs/>
          <w:kern w:val="2"/>
          <w:sz w:val="24"/>
          <w:szCs w:val="24"/>
        </w:rPr>
        <w:t xml:space="preserve"> 10 </w:t>
      </w:r>
      <w:r>
        <w:rPr>
          <w:rFonts w:ascii="Times New Roman" w:hAnsi="Times New Roman" w:cs="Times New Roman"/>
          <w:bCs/>
          <w:kern w:val="2"/>
          <w:sz w:val="24"/>
          <w:szCs w:val="24"/>
        </w:rPr>
        <w:t>日内，向中国证监会办理基金备案手续。</w:t>
      </w:r>
    </w:p>
    <w:p w14:paraId="5F6BEA3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A04408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二、基金合同不能生效时募集资金的处理方式</w:t>
      </w:r>
    </w:p>
    <w:p w14:paraId="202C560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如果募集期限届满，未满足基金备案条件，基金管理人应当承担下列责任：</w:t>
      </w:r>
    </w:p>
    <w:p w14:paraId="5FEC51D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、以其固有财产承担因募集行为而产生的债务和费用；</w:t>
      </w:r>
    </w:p>
    <w:p w14:paraId="080C40A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、在基金募集期限届满后</w:t>
      </w:r>
      <w:r>
        <w:rPr>
          <w:rFonts w:ascii="Times New Roman" w:hAnsi="Times New Roman" w:cs="Times New Roman"/>
          <w:bCs/>
          <w:kern w:val="2"/>
          <w:sz w:val="24"/>
          <w:szCs w:val="24"/>
        </w:rPr>
        <w:t xml:space="preserve"> 30 </w:t>
      </w:r>
      <w:r>
        <w:rPr>
          <w:rFonts w:ascii="Times New Roman" w:hAnsi="Times New Roman" w:cs="Times New Roman"/>
          <w:bCs/>
          <w:kern w:val="2"/>
          <w:sz w:val="24"/>
          <w:szCs w:val="24"/>
        </w:rPr>
        <w:t>日内返还投资者已缴纳的款项，并加计银行同期活期存款利息；</w:t>
      </w:r>
    </w:p>
    <w:p w14:paraId="591A270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、如基金募集失败，基金管理人、基金托管人及销售机构不得请求报酬。基金管理人、基金托管人和销售机构为基金募集支付的一切费用应由各方各自承担。</w:t>
      </w:r>
    </w:p>
    <w:p w14:paraId="5B5927B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三、基金存续期内的基金份额持有人数量和资产规模</w:t>
      </w:r>
    </w:p>
    <w:p w14:paraId="06566DD5" w14:textId="5C4456EA"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《基金合同》生效后，连续</w:t>
      </w:r>
      <w:r>
        <w:rPr>
          <w:rFonts w:ascii="Times New Roman" w:hAnsi="Times New Roman" w:cs="Times New Roman"/>
          <w:bCs/>
          <w:kern w:val="2"/>
          <w:sz w:val="24"/>
          <w:szCs w:val="24"/>
        </w:rPr>
        <w:t xml:space="preserve"> 20 </w:t>
      </w:r>
      <w:r>
        <w:rPr>
          <w:rFonts w:ascii="Times New Roman" w:hAnsi="Times New Roman" w:cs="Times New Roman"/>
          <w:bCs/>
          <w:kern w:val="2"/>
          <w:sz w:val="24"/>
          <w:szCs w:val="24"/>
        </w:rPr>
        <w:t>个工作日出现基金份额持有人数量不满</w:t>
      </w:r>
      <w:r>
        <w:rPr>
          <w:rFonts w:ascii="Times New Roman" w:hAnsi="Times New Roman" w:cs="Times New Roman"/>
          <w:bCs/>
          <w:kern w:val="2"/>
          <w:sz w:val="24"/>
          <w:szCs w:val="24"/>
        </w:rPr>
        <w:t xml:space="preserve"> 200</w:t>
      </w:r>
      <w:r>
        <w:rPr>
          <w:rFonts w:ascii="Times New Roman" w:hAnsi="Times New Roman" w:cs="Times New Roman"/>
          <w:bCs/>
          <w:kern w:val="2"/>
          <w:sz w:val="24"/>
          <w:szCs w:val="24"/>
        </w:rPr>
        <w:t>人或者基金资产净值低于</w:t>
      </w:r>
      <w:r>
        <w:rPr>
          <w:rFonts w:ascii="Times New Roman" w:hAnsi="Times New Roman" w:cs="Times New Roman"/>
          <w:bCs/>
          <w:kern w:val="2"/>
          <w:sz w:val="24"/>
          <w:szCs w:val="24"/>
        </w:rPr>
        <w:t xml:space="preserve"> 5000</w:t>
      </w:r>
      <w:r>
        <w:rPr>
          <w:rFonts w:ascii="Times New Roman" w:hAnsi="Times New Roman" w:cs="Times New Roman"/>
          <w:bCs/>
          <w:kern w:val="2"/>
          <w:sz w:val="24"/>
          <w:szCs w:val="24"/>
        </w:rPr>
        <w:t>万元情形的，基金管理人应当在定期报告中予以披露。连续</w:t>
      </w:r>
      <w:r>
        <w:rPr>
          <w:rFonts w:ascii="Times New Roman" w:hAnsi="Times New Roman" w:cs="Times New Roman"/>
          <w:bCs/>
          <w:kern w:val="2"/>
          <w:sz w:val="24"/>
          <w:szCs w:val="24"/>
        </w:rPr>
        <w:t xml:space="preserve"> 60 </w:t>
      </w:r>
      <w:r>
        <w:rPr>
          <w:rFonts w:ascii="Times New Roman" w:hAnsi="Times New Roman" w:cs="Times New Roman"/>
          <w:bCs/>
          <w:kern w:val="2"/>
          <w:sz w:val="24"/>
          <w:szCs w:val="24"/>
        </w:rPr>
        <w:t>个工作日出现前述情形的，基金管理人应当于</w:t>
      </w:r>
      <w:r>
        <w:rPr>
          <w:rFonts w:ascii="Times New Roman" w:hAnsi="Times New Roman" w:cs="Times New Roman"/>
          <w:bCs/>
          <w:kern w:val="2"/>
          <w:sz w:val="24"/>
          <w:szCs w:val="24"/>
        </w:rPr>
        <w:t xml:space="preserve"> 10 </w:t>
      </w:r>
      <w:r>
        <w:rPr>
          <w:rFonts w:ascii="Times New Roman" w:hAnsi="Times New Roman" w:cs="Times New Roman"/>
          <w:bCs/>
          <w:kern w:val="2"/>
          <w:sz w:val="24"/>
          <w:szCs w:val="24"/>
        </w:rPr>
        <w:t>个工作日内向中国证监会报告并提出解决方案，如持续运作、转换运作方式、与其他基金合并或者终止基金合同等，并于</w:t>
      </w:r>
      <w:r>
        <w:rPr>
          <w:rFonts w:ascii="Times New Roman" w:hAnsi="Times New Roman" w:cs="Times New Roman"/>
          <w:bCs/>
          <w:kern w:val="2"/>
          <w:sz w:val="24"/>
          <w:szCs w:val="24"/>
        </w:rPr>
        <w:t xml:space="preserve"> 6 </w:t>
      </w:r>
      <w:r>
        <w:rPr>
          <w:rFonts w:ascii="Times New Roman" w:hAnsi="Times New Roman" w:cs="Times New Roman"/>
          <w:bCs/>
          <w:kern w:val="2"/>
          <w:sz w:val="24"/>
          <w:szCs w:val="24"/>
        </w:rPr>
        <w:t>个月内召开基金份额持有人大会进行表决。</w:t>
      </w:r>
    </w:p>
    <w:p w14:paraId="3CC034A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法律法规或中国证监会另有规定时，从其规定。</w:t>
      </w:r>
    </w:p>
    <w:p w14:paraId="34B003CB" w14:textId="77777777" w:rsidR="00CD61EF" w:rsidRDefault="00CD61EF">
      <w:pPr>
        <w:sectPr w:rsidR="00CD61EF">
          <w:headerReference w:type="default" r:id="rId14"/>
          <w:footerReference w:type="default" r:id="rId15"/>
          <w:pgSz w:w="11910" w:h="16840"/>
          <w:pgMar w:top="1440" w:right="1440" w:bottom="1180" w:left="1680" w:header="877" w:footer="998" w:gutter="0"/>
          <w:cols w:space="720"/>
        </w:sectPr>
      </w:pPr>
    </w:p>
    <w:p w14:paraId="5F8E4D86" w14:textId="77777777" w:rsidR="00CD61EF" w:rsidRDefault="002B79C0">
      <w:pPr>
        <w:pStyle w:val="1"/>
        <w:ind w:right="654"/>
      </w:pPr>
      <w:bookmarkStart w:id="8" w:name="_Toc2318"/>
      <w:r>
        <w:rPr>
          <w:spacing w:val="2"/>
        </w:rPr>
        <w:lastRenderedPageBreak/>
        <w:t>第六部分 基金份额的申购与赎回</w:t>
      </w:r>
      <w:bookmarkEnd w:id="8"/>
    </w:p>
    <w:p w14:paraId="7140F228" w14:textId="77777777" w:rsidR="00CD61EF" w:rsidRDefault="00CD61EF">
      <w:pPr>
        <w:pStyle w:val="a5"/>
        <w:spacing w:before="13"/>
        <w:ind w:left="0" w:firstLine="0"/>
        <w:rPr>
          <w:rFonts w:ascii="Microsoft JhengHei"/>
          <w:b/>
          <w:sz w:val="32"/>
        </w:rPr>
      </w:pPr>
    </w:p>
    <w:p w14:paraId="6396D89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一、申购和赎回场所</w:t>
      </w:r>
    </w:p>
    <w:p w14:paraId="2D0141C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的申购与赎回将通过销售机构进行。具体的销售机构将由基金管理人在招募说明书或基金管理人网站列明。基金管理人可根据情况变更或增减销售机构。基金投资者应当在销售机构办理基金销售业务的营业场所或按销售机构提供的其他方式办理基金份额的申购与赎回。</w:t>
      </w:r>
    </w:p>
    <w:p w14:paraId="244525F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二、申购和赎回的开放日及时间</w:t>
      </w:r>
    </w:p>
    <w:p w14:paraId="0BCF4BA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、开放日及开放时间</w:t>
      </w:r>
    </w:p>
    <w:p w14:paraId="2A9713D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投资人在开放日办理基金份额的申购及</w:t>
      </w:r>
      <w:r>
        <w:rPr>
          <w:rFonts w:ascii="Times New Roman" w:hAnsi="Times New Roman" w:cs="Times New Roman"/>
          <w:bCs/>
          <w:kern w:val="2"/>
          <w:sz w:val="24"/>
          <w:szCs w:val="24"/>
        </w:rPr>
        <w:t>/</w:t>
      </w:r>
      <w:r>
        <w:rPr>
          <w:rFonts w:ascii="Times New Roman" w:hAnsi="Times New Roman" w:cs="Times New Roman"/>
          <w:bCs/>
          <w:kern w:val="2"/>
          <w:sz w:val="24"/>
          <w:szCs w:val="24"/>
        </w:rPr>
        <w:t>或赎回，具体办理时间为上海证券交易所、深圳证券交易所的正常交易日的交易时间，但基金管理人根据法律法规、中国证监会的要求或本基金合同的规定公告暂停申购、赎回时除外。</w:t>
      </w:r>
    </w:p>
    <w:p w14:paraId="00E14A2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基金合同生效后，若出现新的证券</w:t>
      </w:r>
      <w:r>
        <w:rPr>
          <w:rFonts w:ascii="Times New Roman" w:hAnsi="Times New Roman" w:cs="Times New Roman"/>
          <w:bCs/>
          <w:kern w:val="2"/>
          <w:sz w:val="24"/>
          <w:szCs w:val="24"/>
        </w:rPr>
        <w:t>/</w:t>
      </w:r>
      <w:r>
        <w:rPr>
          <w:rFonts w:ascii="Times New Roman" w:hAnsi="Times New Roman" w:cs="Times New Roman"/>
          <w:bCs/>
          <w:kern w:val="2"/>
          <w:sz w:val="24"/>
          <w:szCs w:val="24"/>
        </w:rPr>
        <w:t>期货交易市场、证券</w:t>
      </w:r>
      <w:r>
        <w:rPr>
          <w:rFonts w:ascii="Times New Roman" w:hAnsi="Times New Roman" w:cs="Times New Roman"/>
          <w:bCs/>
          <w:kern w:val="2"/>
          <w:sz w:val="24"/>
          <w:szCs w:val="24"/>
        </w:rPr>
        <w:t>/</w:t>
      </w:r>
      <w:r>
        <w:rPr>
          <w:rFonts w:ascii="Times New Roman" w:hAnsi="Times New Roman" w:cs="Times New Roman"/>
          <w:bCs/>
          <w:kern w:val="2"/>
          <w:sz w:val="24"/>
          <w:szCs w:val="24"/>
        </w:rPr>
        <w:t>期货交易所交易时间变更或其他特殊情况，基金管理人将视情况对前述开放日及开放时间进行相应的调整，但应在实施日前依照《信息披露办法》的有关规定在规定媒介上公告。</w:t>
      </w:r>
    </w:p>
    <w:p w14:paraId="5DE7216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、申购、赎回开始日及业务办理时间</w:t>
      </w:r>
    </w:p>
    <w:p w14:paraId="06F90E5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基金管理人自基金合同生效之日起不超过</w:t>
      </w:r>
      <w:r>
        <w:rPr>
          <w:rFonts w:ascii="Times New Roman" w:hAnsi="Times New Roman" w:cs="Times New Roman"/>
          <w:bCs/>
          <w:kern w:val="2"/>
          <w:sz w:val="24"/>
          <w:szCs w:val="24"/>
        </w:rPr>
        <w:t xml:space="preserve"> 3 </w:t>
      </w:r>
      <w:r>
        <w:rPr>
          <w:rFonts w:ascii="Times New Roman" w:hAnsi="Times New Roman" w:cs="Times New Roman"/>
          <w:bCs/>
          <w:kern w:val="2"/>
          <w:sz w:val="24"/>
          <w:szCs w:val="24"/>
        </w:rPr>
        <w:t>个月开始办理申购，具体业务办理时间在申购开始公告中规定。</w:t>
      </w:r>
    </w:p>
    <w:p w14:paraId="1BA8CF9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基金管理人自基金合同生效之日起不超过</w:t>
      </w:r>
      <w:r>
        <w:rPr>
          <w:rFonts w:ascii="Times New Roman" w:hAnsi="Times New Roman" w:cs="Times New Roman"/>
          <w:bCs/>
          <w:kern w:val="2"/>
          <w:sz w:val="24"/>
          <w:szCs w:val="24"/>
        </w:rPr>
        <w:t xml:space="preserve"> 3 </w:t>
      </w:r>
      <w:r>
        <w:rPr>
          <w:rFonts w:ascii="Times New Roman" w:hAnsi="Times New Roman" w:cs="Times New Roman"/>
          <w:bCs/>
          <w:kern w:val="2"/>
          <w:sz w:val="24"/>
          <w:szCs w:val="24"/>
        </w:rPr>
        <w:t>个月开始办理赎回，具体业务办理时间在赎回开始公告中规定。</w:t>
      </w:r>
    </w:p>
    <w:p w14:paraId="3630AA7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在确定申购开始与赎回开始时间后，基金管理人应在申购、赎回开放日前依照《信息披露办法》的有关规定在规定媒介上公告申购与赎回的开始时间。</w:t>
      </w:r>
    </w:p>
    <w:p w14:paraId="0408BCE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w:t>
      </w:r>
      <w:r>
        <w:rPr>
          <w:rFonts w:ascii="Times New Roman" w:hAnsi="Times New Roman" w:cs="Times New Roman" w:hint="eastAsia"/>
          <w:bCs/>
          <w:kern w:val="2"/>
          <w:sz w:val="24"/>
          <w:szCs w:val="24"/>
        </w:rPr>
        <w:t>该类</w:t>
      </w:r>
      <w:r>
        <w:rPr>
          <w:rFonts w:ascii="Times New Roman" w:hAnsi="Times New Roman" w:cs="Times New Roman"/>
          <w:bCs/>
          <w:kern w:val="2"/>
          <w:sz w:val="24"/>
          <w:szCs w:val="24"/>
        </w:rPr>
        <w:t>基金份额申购、赎回的价格。</w:t>
      </w:r>
    </w:p>
    <w:p w14:paraId="5E438E5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三、申购与赎回的原则</w:t>
      </w:r>
    </w:p>
    <w:p w14:paraId="60B8375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w:t>
      </w:r>
      <w:r>
        <w:rPr>
          <w:rFonts w:ascii="Times New Roman" w:hAnsi="Times New Roman" w:cs="Times New Roman"/>
          <w:bCs/>
          <w:kern w:val="2"/>
          <w:sz w:val="24"/>
          <w:szCs w:val="24"/>
        </w:rPr>
        <w:t>“</w:t>
      </w:r>
      <w:r>
        <w:rPr>
          <w:rFonts w:ascii="Times New Roman" w:hAnsi="Times New Roman" w:cs="Times New Roman"/>
          <w:bCs/>
          <w:kern w:val="2"/>
          <w:sz w:val="24"/>
          <w:szCs w:val="24"/>
        </w:rPr>
        <w:t>未知价</w:t>
      </w:r>
      <w:r>
        <w:rPr>
          <w:rFonts w:ascii="Times New Roman" w:hAnsi="Times New Roman" w:cs="Times New Roman"/>
          <w:bCs/>
          <w:kern w:val="2"/>
          <w:sz w:val="24"/>
          <w:szCs w:val="24"/>
        </w:rPr>
        <w:t>”</w:t>
      </w:r>
      <w:r>
        <w:rPr>
          <w:rFonts w:ascii="Times New Roman" w:hAnsi="Times New Roman" w:cs="Times New Roman"/>
          <w:bCs/>
          <w:kern w:val="2"/>
          <w:sz w:val="24"/>
          <w:szCs w:val="24"/>
        </w:rPr>
        <w:t>原则，即申购、赎回价格以申请当日收市后计算的</w:t>
      </w:r>
      <w:r>
        <w:rPr>
          <w:rFonts w:ascii="Times New Roman" w:hAnsi="Times New Roman" w:cs="Times New Roman" w:hint="eastAsia"/>
          <w:bCs/>
          <w:kern w:val="2"/>
          <w:sz w:val="24"/>
          <w:szCs w:val="24"/>
        </w:rPr>
        <w:t>该类</w:t>
      </w:r>
      <w:r>
        <w:rPr>
          <w:rFonts w:ascii="Times New Roman" w:hAnsi="Times New Roman" w:cs="Times New Roman"/>
          <w:bCs/>
          <w:kern w:val="2"/>
          <w:sz w:val="24"/>
          <w:szCs w:val="24"/>
        </w:rPr>
        <w:t>基金份额净</w:t>
      </w:r>
    </w:p>
    <w:p w14:paraId="16308E27"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4"/>
        </w:rPr>
        <w:sectPr w:rsidR="00CD61EF">
          <w:pgSz w:w="11910" w:h="16840"/>
          <w:pgMar w:top="1440" w:right="1440" w:bottom="1180" w:left="1680" w:header="877" w:footer="998" w:gutter="0"/>
          <w:cols w:space="720"/>
        </w:sectPr>
      </w:pPr>
    </w:p>
    <w:p w14:paraId="5FCA3DD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值为基准进行计算；</w:t>
      </w:r>
    </w:p>
    <w:p w14:paraId="6CB257F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bCs/>
          <w:kern w:val="2"/>
          <w:sz w:val="24"/>
          <w:szCs w:val="24"/>
        </w:rPr>
        <w:t>“</w:t>
      </w:r>
      <w:r>
        <w:rPr>
          <w:rFonts w:ascii="Times New Roman" w:hAnsi="Times New Roman" w:cs="Times New Roman"/>
          <w:bCs/>
          <w:kern w:val="2"/>
          <w:sz w:val="24"/>
          <w:szCs w:val="24"/>
        </w:rPr>
        <w:t>金额申购、份额赎回</w:t>
      </w:r>
      <w:r>
        <w:rPr>
          <w:rFonts w:ascii="Times New Roman" w:hAnsi="Times New Roman" w:cs="Times New Roman"/>
          <w:bCs/>
          <w:kern w:val="2"/>
          <w:sz w:val="24"/>
          <w:szCs w:val="24"/>
        </w:rPr>
        <w:t>”</w:t>
      </w:r>
      <w:r>
        <w:rPr>
          <w:rFonts w:ascii="Times New Roman" w:hAnsi="Times New Roman" w:cs="Times New Roman"/>
          <w:bCs/>
          <w:kern w:val="2"/>
          <w:sz w:val="24"/>
          <w:szCs w:val="24"/>
        </w:rPr>
        <w:t>原则，即申购以金额申请，赎回以份额申请；</w:t>
      </w:r>
    </w:p>
    <w:p w14:paraId="10E64F5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、当日的申购与赎回申请可以在基金管理人规定的时间以内撤销，但申请经登记机构受理的不得撤销；</w:t>
      </w:r>
    </w:p>
    <w:p w14:paraId="6E7D982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、基金份额持有人赎回时，除指定赎回外，基金管理人按</w:t>
      </w:r>
      <w:r>
        <w:rPr>
          <w:rFonts w:ascii="Times New Roman" w:hAnsi="Times New Roman" w:cs="Times New Roman"/>
          <w:bCs/>
          <w:kern w:val="2"/>
          <w:sz w:val="24"/>
          <w:szCs w:val="24"/>
        </w:rPr>
        <w:t>“</w:t>
      </w:r>
      <w:r>
        <w:rPr>
          <w:rFonts w:ascii="Times New Roman" w:hAnsi="Times New Roman" w:cs="Times New Roman"/>
          <w:bCs/>
          <w:kern w:val="2"/>
          <w:sz w:val="24"/>
          <w:szCs w:val="24"/>
        </w:rPr>
        <w:t>先进先出</w:t>
      </w:r>
      <w:r>
        <w:rPr>
          <w:rFonts w:ascii="Times New Roman" w:hAnsi="Times New Roman" w:cs="Times New Roman"/>
          <w:bCs/>
          <w:kern w:val="2"/>
          <w:sz w:val="24"/>
          <w:szCs w:val="24"/>
        </w:rPr>
        <w:t>”</w:t>
      </w:r>
      <w:r>
        <w:rPr>
          <w:rFonts w:ascii="Times New Roman" w:hAnsi="Times New Roman" w:cs="Times New Roman"/>
          <w:bCs/>
          <w:kern w:val="2"/>
          <w:sz w:val="24"/>
          <w:szCs w:val="24"/>
        </w:rPr>
        <w:t>的原则，对该持有人账户在该销售机构托管的基金份额进行处理，即登记确认日期在先的基金份额先赎回，登记确认日期在后的基金份额后赎回，以确定被赎回基金份额的持有期限和所适用的赎回费率；</w:t>
      </w:r>
    </w:p>
    <w:p w14:paraId="63425C0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、办理申购、赎回业务时，应当遵循基金份额持有人利益优先原则，确保投资者的合法权益不受损害并得到公平对待。</w:t>
      </w:r>
    </w:p>
    <w:p w14:paraId="03D0F57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基金管理人可在法律法规允许的情况下，对上述原则进行调整。基金管理人必须在新规则开始实施前依照《信息披露办法》的有关规定在规定媒介上公告。</w:t>
      </w:r>
    </w:p>
    <w:p w14:paraId="0265EBA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四、申购与赎回的程序</w:t>
      </w:r>
    </w:p>
    <w:p w14:paraId="1B0DAD6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、申购和赎回的申请方式</w:t>
      </w:r>
    </w:p>
    <w:p w14:paraId="76C1EC1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投资人必须根据销售机构规定的程序，在开放日的具体业务办理时间内提出申购或赎回的申请。</w:t>
      </w:r>
    </w:p>
    <w:p w14:paraId="088AE42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、申购和赎回的款项支付</w:t>
      </w:r>
    </w:p>
    <w:p w14:paraId="535F963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投资人在提交申购申请时须按销售机构规定的方式备足申购资金，投资人在提交赎回申请时须持有足够的基金份额余额，否则所提交的申购、赎回申请不成立。投资人申购基金份额时，必须全额交付申购款项，投资人全额交付申购款项，</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申购成立；基金份额登记机构确认基金份额时，申购生效。若资金在规定时间内未全额到账则申购不成立，申购款项本金将退回投资人账户，基金管理人、基金托管人和销售机构等不承担由此产生的利息等任何损失。</w:t>
      </w:r>
    </w:p>
    <w:p w14:paraId="1511B07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基金份额持有人递交赎回申请，赎回成立；基金份额登记机构确认赎回时，</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赎回生效。投资人赎回申请生效后，基金管理人将在</w:t>
      </w:r>
      <w:r>
        <w:rPr>
          <w:rFonts w:ascii="Times New Roman" w:hAnsi="Times New Roman" w:cs="Times New Roman"/>
          <w:bCs/>
          <w:kern w:val="2"/>
          <w:sz w:val="24"/>
          <w:szCs w:val="24"/>
        </w:rPr>
        <w:t xml:space="preserve"> T</w:t>
      </w:r>
      <w:r>
        <w:rPr>
          <w:rFonts w:ascii="Times New Roman" w:hAnsi="Times New Roman" w:cs="Times New Roman"/>
          <w:bCs/>
          <w:kern w:val="2"/>
          <w:sz w:val="24"/>
          <w:szCs w:val="24"/>
        </w:rPr>
        <w:t>＋</w:t>
      </w:r>
      <w:r>
        <w:rPr>
          <w:rFonts w:ascii="Times New Roman" w:hAnsi="Times New Roman" w:cs="Times New Roman"/>
          <w:bCs/>
          <w:kern w:val="2"/>
          <w:sz w:val="24"/>
          <w:szCs w:val="24"/>
        </w:rPr>
        <w:t xml:space="preserve">7 </w:t>
      </w:r>
      <w:r>
        <w:rPr>
          <w:rFonts w:ascii="Times New Roman" w:hAnsi="Times New Roman" w:cs="Times New Roman"/>
          <w:bCs/>
          <w:kern w:val="2"/>
          <w:sz w:val="24"/>
          <w:szCs w:val="24"/>
        </w:rPr>
        <w:t>日（包括该日）内支付赎回款项。在发生巨额赎回或基金合同载明的其他延缓支付赎回款项的情形时，赎回款项的支付办法参照本基金合同有关条款处理。</w:t>
      </w:r>
    </w:p>
    <w:p w14:paraId="62AB96D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遇交易所或交易市场数据传输延迟、通讯系统故障、银行数据交换系统故障或其他非基金管理人及基金托管人所能控制的因素影响业务处理流程，则赎回款支付相应顺延。</w:t>
      </w:r>
    </w:p>
    <w:p w14:paraId="6BC6156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3</w:t>
      </w:r>
      <w:r>
        <w:rPr>
          <w:rFonts w:ascii="Times New Roman" w:hAnsi="Times New Roman" w:cs="Times New Roman"/>
          <w:bCs/>
          <w:kern w:val="2"/>
          <w:sz w:val="24"/>
          <w:szCs w:val="24"/>
        </w:rPr>
        <w:t>、申购和赎回申请的确认</w:t>
      </w:r>
    </w:p>
    <w:p w14:paraId="29313C0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基金管理人或基金管理人委托的登记机构应以交易时间结束前受理有效申购和赎回申请的当天作为申购或赎回申请日（</w:t>
      </w:r>
      <w:r>
        <w:rPr>
          <w:rFonts w:ascii="Times New Roman" w:hAnsi="Times New Roman" w:cs="Times New Roman"/>
          <w:bCs/>
          <w:kern w:val="2"/>
          <w:sz w:val="24"/>
          <w:szCs w:val="24"/>
        </w:rPr>
        <w:t xml:space="preserve">T  </w:t>
      </w:r>
      <w:r>
        <w:rPr>
          <w:rFonts w:ascii="Times New Roman" w:hAnsi="Times New Roman" w:cs="Times New Roman"/>
          <w:bCs/>
          <w:kern w:val="2"/>
          <w:sz w:val="24"/>
          <w:szCs w:val="24"/>
        </w:rPr>
        <w:t>日），在正常情况下，本基金登记机构在</w:t>
      </w:r>
      <w:r>
        <w:rPr>
          <w:rFonts w:ascii="Times New Roman" w:hAnsi="Times New Roman" w:cs="Times New Roman"/>
          <w:bCs/>
          <w:kern w:val="2"/>
          <w:sz w:val="24"/>
          <w:szCs w:val="24"/>
        </w:rPr>
        <w:t xml:space="preserve"> T+1 </w:t>
      </w:r>
      <w:r>
        <w:rPr>
          <w:rFonts w:ascii="Times New Roman" w:hAnsi="Times New Roman" w:cs="Times New Roman"/>
          <w:bCs/>
          <w:kern w:val="2"/>
          <w:sz w:val="24"/>
          <w:szCs w:val="24"/>
        </w:rPr>
        <w:t>日内（包括该日）对该交易的有效性进行确认。</w:t>
      </w:r>
      <w:r>
        <w:rPr>
          <w:rFonts w:ascii="Times New Roman" w:hAnsi="Times New Roman" w:cs="Times New Roman"/>
          <w:bCs/>
          <w:kern w:val="2"/>
          <w:sz w:val="24"/>
          <w:szCs w:val="24"/>
        </w:rPr>
        <w:t xml:space="preserve">T </w:t>
      </w:r>
      <w:r>
        <w:rPr>
          <w:rFonts w:ascii="Times New Roman" w:hAnsi="Times New Roman" w:cs="Times New Roman"/>
          <w:bCs/>
          <w:kern w:val="2"/>
          <w:sz w:val="24"/>
          <w:szCs w:val="24"/>
        </w:rPr>
        <w:t>日提交的有效申请，投资人可在</w:t>
      </w:r>
      <w:r>
        <w:rPr>
          <w:rFonts w:ascii="Times New Roman" w:hAnsi="Times New Roman" w:cs="Times New Roman"/>
          <w:bCs/>
          <w:kern w:val="2"/>
          <w:sz w:val="24"/>
          <w:szCs w:val="24"/>
        </w:rPr>
        <w:t xml:space="preserve"> T+2 </w:t>
      </w:r>
      <w:r>
        <w:rPr>
          <w:rFonts w:ascii="Times New Roman" w:hAnsi="Times New Roman" w:cs="Times New Roman"/>
          <w:bCs/>
          <w:kern w:val="2"/>
          <w:sz w:val="24"/>
          <w:szCs w:val="24"/>
        </w:rPr>
        <w:t>日后（包括该日）及时到销售网点柜台或以销售机构规定的其他方式查询申请的确认情况。若申购不成功或无效，则申购款项本金退还给投资人。</w:t>
      </w:r>
    </w:p>
    <w:p w14:paraId="60D8F0B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基金管理人可在法律法规允许的范围内，依法对上述申购和赎回申请的确认时间进行调整，并必须在调整实施日前按照《信息披露办法》的有关规定在规定媒介上公告。</w:t>
      </w:r>
      <w:r>
        <w:rPr>
          <w:rFonts w:ascii="Times New Roman" w:hAnsi="Times New Roman" w:cs="Times New Roman"/>
          <w:bCs/>
          <w:kern w:val="2"/>
          <w:sz w:val="24"/>
          <w:szCs w:val="24"/>
        </w:rPr>
        <w:t xml:space="preserve"> </w:t>
      </w:r>
    </w:p>
    <w:p w14:paraId="7D97BFA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销售机构对申购、赎回申请的受理并不代表申请一定成功，而仅代表销售机构确实接收到申请。申购、赎回申请的确认以登记机构的确认结果为准。对于申请的确认情况，投资者应及时查询。</w:t>
      </w:r>
    </w:p>
    <w:p w14:paraId="41A11AD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五、申购和赎回的数量限制</w:t>
      </w:r>
    </w:p>
    <w:p w14:paraId="5C8FF04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、基金管理人可以规定投资人首次申购和每次申购的最低金额以及每次赎回的最低份额，具体规定请参见招募说明书或相关公告。</w:t>
      </w:r>
    </w:p>
    <w:p w14:paraId="1902319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、基金管理人可以规定投资人每个基金交易账户的最低基金份额余额，具体规定请参见招募说明书或相关公告。</w:t>
      </w:r>
    </w:p>
    <w:p w14:paraId="0434EDC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、基金管理人可以规定单个投资人累计持有的基金份额上限，具体规定请参见招募说明书或相关公告。</w:t>
      </w:r>
    </w:p>
    <w:p w14:paraId="7D92E48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、基金管理人可以规定单一投资人单日或单笔申购金额上限，具体金额请参见招募说明书或相关公告。</w:t>
      </w:r>
    </w:p>
    <w:p w14:paraId="0755E4D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、当接受申购申请对存量基金份额持有人利益构成潜在重大不利影响时，</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招募说明书或基金管理人相关公告。</w:t>
      </w:r>
    </w:p>
    <w:p w14:paraId="0538BED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6</w:t>
      </w:r>
      <w:r>
        <w:rPr>
          <w:rFonts w:ascii="Times New Roman" w:hAnsi="Times New Roman" w:cs="Times New Roman"/>
          <w:bCs/>
          <w:kern w:val="2"/>
          <w:sz w:val="24"/>
          <w:szCs w:val="24"/>
        </w:rPr>
        <w:t>、基金管理人可在法律法规允许的情况下，调整上述规定申购金额、赎回份额和最低基金份额保留余额的数量限制。基金管理人必须在调整实施前依照《信息披露办法》的有关规定在规定媒介上公告。</w:t>
      </w:r>
    </w:p>
    <w:p w14:paraId="6CFDCA1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六、申购和赎回的价格、费用及其用途</w:t>
      </w:r>
    </w:p>
    <w:p w14:paraId="5F3ED6F4" w14:textId="2E5A3030"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1</w:t>
      </w:r>
      <w:r>
        <w:rPr>
          <w:rFonts w:ascii="Times New Roman" w:hAnsi="Times New Roman" w:cs="Times New Roman"/>
          <w:bCs/>
          <w:kern w:val="2"/>
          <w:sz w:val="24"/>
          <w:szCs w:val="24"/>
        </w:rPr>
        <w:t>、申购、赎回价格以申请当日收市后计算的各类基金份额净值为基准进行计算。本基金分为</w:t>
      </w:r>
      <w:r>
        <w:rPr>
          <w:rFonts w:ascii="Times New Roman" w:hAnsi="Times New Roman" w:cs="Times New Roman"/>
          <w:bCs/>
          <w:kern w:val="2"/>
          <w:sz w:val="24"/>
          <w:szCs w:val="24"/>
        </w:rPr>
        <w:t>A</w:t>
      </w:r>
      <w:r>
        <w:rPr>
          <w:rFonts w:ascii="Times New Roman" w:hAnsi="Times New Roman" w:cs="Times New Roman" w:hint="eastAsia"/>
          <w:bCs/>
          <w:kern w:val="2"/>
          <w:sz w:val="24"/>
          <w:szCs w:val="24"/>
        </w:rPr>
        <w:t>类</w:t>
      </w:r>
      <w:r w:rsidR="00DB4D65">
        <w:rPr>
          <w:rFonts w:ascii="Times New Roman" w:hAnsi="Times New Roman" w:cs="Times New Roman" w:hint="eastAsia"/>
          <w:bCs/>
          <w:kern w:val="2"/>
          <w:sz w:val="24"/>
          <w:szCs w:val="24"/>
        </w:rPr>
        <w:t>和</w:t>
      </w:r>
      <w:r>
        <w:rPr>
          <w:rFonts w:ascii="Times New Roman" w:hAnsi="Times New Roman" w:cs="Times New Roman"/>
          <w:bCs/>
          <w:kern w:val="2"/>
          <w:sz w:val="24"/>
          <w:szCs w:val="24"/>
        </w:rPr>
        <w:t>C</w:t>
      </w:r>
      <w:r>
        <w:rPr>
          <w:rFonts w:ascii="Times New Roman" w:hAnsi="Times New Roman" w:cs="Times New Roman" w:hint="eastAsia"/>
          <w:bCs/>
          <w:kern w:val="2"/>
          <w:sz w:val="24"/>
          <w:szCs w:val="24"/>
        </w:rPr>
        <w:t>类</w:t>
      </w:r>
      <w:r w:rsidR="00DB4D65">
        <w:rPr>
          <w:rFonts w:ascii="Times New Roman" w:hAnsi="Times New Roman" w:cs="Times New Roman" w:hint="eastAsia"/>
          <w:bCs/>
          <w:kern w:val="2"/>
          <w:sz w:val="24"/>
          <w:szCs w:val="24"/>
        </w:rPr>
        <w:t>两</w:t>
      </w:r>
      <w:r>
        <w:rPr>
          <w:rFonts w:ascii="Times New Roman" w:hAnsi="Times New Roman" w:cs="Times New Roman" w:hint="eastAsia"/>
          <w:bCs/>
          <w:kern w:val="2"/>
          <w:sz w:val="24"/>
          <w:szCs w:val="24"/>
        </w:rPr>
        <w:t>类</w:t>
      </w:r>
      <w:r>
        <w:rPr>
          <w:rFonts w:ascii="Times New Roman" w:hAnsi="Times New Roman" w:cs="Times New Roman"/>
          <w:bCs/>
          <w:kern w:val="2"/>
          <w:sz w:val="24"/>
          <w:szCs w:val="24"/>
        </w:rPr>
        <w:t>基金份额，</w:t>
      </w:r>
      <w:r w:rsidR="00DB4D65">
        <w:rPr>
          <w:rFonts w:ascii="Times New Roman" w:hAnsi="Times New Roman" w:cs="Times New Roman" w:hint="eastAsia"/>
          <w:bCs/>
          <w:kern w:val="2"/>
          <w:sz w:val="24"/>
          <w:szCs w:val="24"/>
        </w:rPr>
        <w:t>两</w:t>
      </w:r>
      <w:r>
        <w:rPr>
          <w:rFonts w:ascii="Times New Roman" w:hAnsi="Times New Roman" w:cs="Times New Roman" w:hint="eastAsia"/>
          <w:bCs/>
          <w:kern w:val="2"/>
          <w:sz w:val="24"/>
          <w:szCs w:val="24"/>
        </w:rPr>
        <w:t>类</w:t>
      </w:r>
      <w:r>
        <w:rPr>
          <w:rFonts w:ascii="Times New Roman" w:hAnsi="Times New Roman" w:cs="Times New Roman"/>
          <w:bCs/>
          <w:kern w:val="2"/>
          <w:sz w:val="24"/>
          <w:szCs w:val="24"/>
        </w:rPr>
        <w:t>基金份额单独设置基金代码，</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分别计算和公告基金份额净值。本基金各类基金份额净值的计算，均保留到小数点后</w:t>
      </w:r>
      <w:r>
        <w:rPr>
          <w:rFonts w:ascii="Times New Roman" w:hAnsi="Times New Roman" w:cs="Times New Roman"/>
          <w:bCs/>
          <w:kern w:val="2"/>
          <w:sz w:val="24"/>
          <w:szCs w:val="24"/>
        </w:rPr>
        <w:t xml:space="preserve"> 4 </w:t>
      </w:r>
      <w:r>
        <w:rPr>
          <w:rFonts w:ascii="Times New Roman" w:hAnsi="Times New Roman" w:cs="Times New Roman"/>
          <w:bCs/>
          <w:kern w:val="2"/>
          <w:sz w:val="24"/>
          <w:szCs w:val="24"/>
        </w:rPr>
        <w:t>位，小数点后第</w:t>
      </w:r>
      <w:r>
        <w:rPr>
          <w:rFonts w:ascii="Times New Roman" w:hAnsi="Times New Roman" w:cs="Times New Roman"/>
          <w:bCs/>
          <w:kern w:val="2"/>
          <w:sz w:val="24"/>
          <w:szCs w:val="24"/>
        </w:rPr>
        <w:t xml:space="preserve"> 5 </w:t>
      </w:r>
      <w:r>
        <w:rPr>
          <w:rFonts w:ascii="Times New Roman" w:hAnsi="Times New Roman" w:cs="Times New Roman"/>
          <w:bCs/>
          <w:kern w:val="2"/>
          <w:sz w:val="24"/>
          <w:szCs w:val="24"/>
        </w:rPr>
        <w:t>位四舍五入，由此产生的收益或损失由基金财产承担。</w:t>
      </w:r>
      <w:r>
        <w:rPr>
          <w:rFonts w:ascii="Times New Roman" w:hAnsi="Times New Roman" w:cs="Times New Roman"/>
          <w:bCs/>
          <w:kern w:val="2"/>
          <w:sz w:val="24"/>
          <w:szCs w:val="24"/>
        </w:rPr>
        <w:t xml:space="preserve">T </w:t>
      </w:r>
      <w:r>
        <w:rPr>
          <w:rFonts w:ascii="Times New Roman" w:hAnsi="Times New Roman" w:cs="Times New Roman"/>
          <w:bCs/>
          <w:kern w:val="2"/>
          <w:sz w:val="24"/>
          <w:szCs w:val="24"/>
        </w:rPr>
        <w:t>日的各类基金份额净值在当天收市后计算，并按照基金合同约定公告。遇特殊情况，经履行适当程序，可以适当延迟计算或公告。</w:t>
      </w:r>
    </w:p>
    <w:p w14:paraId="08C93F9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、申购份额的计算及余额的处理方式：本基金申购份额的计算方式详见招募说明书。本基金的</w:t>
      </w:r>
      <w:r>
        <w:rPr>
          <w:rFonts w:ascii="Times New Roman" w:hAnsi="Times New Roman" w:cs="Times New Roman"/>
          <w:bCs/>
          <w:kern w:val="2"/>
          <w:sz w:val="24"/>
          <w:szCs w:val="24"/>
        </w:rPr>
        <w:t xml:space="preserve"> A </w:t>
      </w:r>
      <w:r>
        <w:rPr>
          <w:rFonts w:ascii="Times New Roman" w:hAnsi="Times New Roman" w:cs="Times New Roman"/>
          <w:bCs/>
          <w:kern w:val="2"/>
          <w:sz w:val="24"/>
          <w:szCs w:val="24"/>
        </w:rPr>
        <w:t>类基金份额的申购费率由基金管理人决定，并在招募说明书</w:t>
      </w:r>
      <w:r>
        <w:rPr>
          <w:rFonts w:ascii="Times New Roman" w:hAnsi="Times New Roman" w:cs="Times New Roman" w:hint="eastAsia"/>
          <w:bCs/>
          <w:kern w:val="2"/>
          <w:sz w:val="24"/>
          <w:szCs w:val="24"/>
        </w:rPr>
        <w:t>及基金产品资料概要</w:t>
      </w:r>
      <w:r>
        <w:rPr>
          <w:rFonts w:ascii="Times New Roman" w:hAnsi="Times New Roman" w:cs="Times New Roman"/>
          <w:bCs/>
          <w:kern w:val="2"/>
          <w:sz w:val="24"/>
          <w:szCs w:val="24"/>
        </w:rPr>
        <w:t>中列示。申购的有效份额为净申购金额除以当日各类基金份额的基金份额净值，有效份额单位为份，上述计算结果均按四舍五入方法，保留到小数点后</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位，</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由此产生的收益或损失由基金财产承担。</w:t>
      </w:r>
    </w:p>
    <w:p w14:paraId="2B98208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、赎回金额的计算及处理方式：本基金赎回金额的计算详见招募说明书。本基金的赎回费率由基金管理人决定，并在招募说明书</w:t>
      </w:r>
      <w:r>
        <w:rPr>
          <w:rFonts w:ascii="Times New Roman" w:hAnsi="Times New Roman" w:cs="Times New Roman" w:hint="eastAsia"/>
          <w:bCs/>
          <w:kern w:val="2"/>
          <w:sz w:val="24"/>
          <w:szCs w:val="24"/>
        </w:rPr>
        <w:t>及基金产品资料概要</w:t>
      </w:r>
      <w:r>
        <w:rPr>
          <w:rFonts w:ascii="Times New Roman" w:hAnsi="Times New Roman" w:cs="Times New Roman"/>
          <w:bCs/>
          <w:kern w:val="2"/>
          <w:sz w:val="24"/>
          <w:szCs w:val="24"/>
        </w:rPr>
        <w:t>中列示。赎回金额为按实际确认的有效赎回份额乘以当日各类基金份额的基金份额净值并扣除相应的费用，赎回金额单位为元。上述计算结果均按四舍五入方法，保留到小数点后</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位，</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由此产生的收益或损失由基金财产承担。</w:t>
      </w:r>
    </w:p>
    <w:p w14:paraId="06248AC7" w14:textId="783D259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、本基金</w:t>
      </w:r>
      <w:r>
        <w:rPr>
          <w:rFonts w:ascii="Times New Roman" w:hAnsi="Times New Roman" w:cs="Times New Roman"/>
          <w:bCs/>
          <w:kern w:val="2"/>
          <w:sz w:val="24"/>
          <w:szCs w:val="24"/>
        </w:rPr>
        <w:t xml:space="preserve"> A </w:t>
      </w:r>
      <w:r>
        <w:rPr>
          <w:rFonts w:ascii="Times New Roman" w:hAnsi="Times New Roman" w:cs="Times New Roman"/>
          <w:bCs/>
          <w:kern w:val="2"/>
          <w:sz w:val="24"/>
          <w:szCs w:val="24"/>
        </w:rPr>
        <w:t>类基金份额的申购费用由该类基金份额的投资人承担，不列入基金财产。</w:t>
      </w:r>
      <w:r>
        <w:rPr>
          <w:rFonts w:ascii="Times New Roman" w:hAnsi="Times New Roman" w:cs="Times New Roman"/>
          <w:bCs/>
          <w:kern w:val="2"/>
          <w:sz w:val="24"/>
          <w:szCs w:val="24"/>
        </w:rPr>
        <w:t xml:space="preserve">C </w:t>
      </w:r>
      <w:r>
        <w:rPr>
          <w:rFonts w:ascii="Times New Roman" w:hAnsi="Times New Roman" w:cs="Times New Roman"/>
          <w:bCs/>
          <w:kern w:val="2"/>
          <w:sz w:val="24"/>
          <w:szCs w:val="24"/>
        </w:rPr>
        <w:t>类基金份额不收取申购费。</w:t>
      </w:r>
    </w:p>
    <w:p w14:paraId="42EC9C7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赎回费用由赎回基金份额的基金份额持有人承担，在基金份额持有人赎回基金份额时收取。赎回费用归入基金财产的比例依照相关法律法规设定，具体见招募说明书的规定，未归入基金财产的部分用于支付登记费和其他必要的手续费。其中，对持续持有期少于</w:t>
      </w:r>
      <w:r>
        <w:rPr>
          <w:rFonts w:ascii="Times New Roman" w:hAnsi="Times New Roman" w:cs="Times New Roman"/>
          <w:bCs/>
          <w:kern w:val="2"/>
          <w:sz w:val="24"/>
          <w:szCs w:val="24"/>
        </w:rPr>
        <w:t xml:space="preserve"> 7 </w:t>
      </w:r>
      <w:r>
        <w:rPr>
          <w:rFonts w:ascii="Times New Roman" w:hAnsi="Times New Roman" w:cs="Times New Roman"/>
          <w:bCs/>
          <w:kern w:val="2"/>
          <w:sz w:val="24"/>
          <w:szCs w:val="24"/>
        </w:rPr>
        <w:t>日的投资者收取不低于</w:t>
      </w:r>
      <w:r>
        <w:rPr>
          <w:rFonts w:ascii="Times New Roman" w:hAnsi="Times New Roman" w:cs="Times New Roman"/>
          <w:bCs/>
          <w:kern w:val="2"/>
          <w:sz w:val="24"/>
          <w:szCs w:val="24"/>
        </w:rPr>
        <w:t xml:space="preserve"> 1.5%</w:t>
      </w:r>
      <w:r>
        <w:rPr>
          <w:rFonts w:ascii="Times New Roman" w:hAnsi="Times New Roman" w:cs="Times New Roman"/>
          <w:bCs/>
          <w:kern w:val="2"/>
          <w:sz w:val="24"/>
          <w:szCs w:val="24"/>
        </w:rPr>
        <w:t>的赎回费，并全额计入基金财产。</w:t>
      </w:r>
    </w:p>
    <w:p w14:paraId="0A3AF5C5" w14:textId="246AD76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6</w:t>
      </w:r>
      <w:r>
        <w:rPr>
          <w:rFonts w:ascii="Times New Roman" w:hAnsi="Times New Roman" w:cs="Times New Roman"/>
          <w:bCs/>
          <w:kern w:val="2"/>
          <w:sz w:val="24"/>
          <w:szCs w:val="24"/>
        </w:rPr>
        <w:t>、本基金</w:t>
      </w:r>
      <w:r>
        <w:rPr>
          <w:rFonts w:ascii="Times New Roman" w:hAnsi="Times New Roman" w:cs="Times New Roman"/>
          <w:bCs/>
          <w:kern w:val="2"/>
          <w:sz w:val="24"/>
          <w:szCs w:val="24"/>
        </w:rPr>
        <w:t xml:space="preserve"> A </w:t>
      </w:r>
      <w:r>
        <w:rPr>
          <w:rFonts w:ascii="Times New Roman" w:hAnsi="Times New Roman" w:cs="Times New Roman"/>
          <w:bCs/>
          <w:kern w:val="2"/>
          <w:sz w:val="24"/>
          <w:szCs w:val="24"/>
        </w:rPr>
        <w:t>类基金份额收取申购费用，</w:t>
      </w:r>
      <w:r>
        <w:rPr>
          <w:rFonts w:ascii="Times New Roman" w:hAnsi="Times New Roman" w:cs="Times New Roman"/>
          <w:bCs/>
          <w:kern w:val="2"/>
          <w:sz w:val="24"/>
          <w:szCs w:val="24"/>
        </w:rPr>
        <w:t xml:space="preserve">C </w:t>
      </w:r>
      <w:r>
        <w:rPr>
          <w:rFonts w:ascii="Times New Roman" w:hAnsi="Times New Roman" w:cs="Times New Roman"/>
          <w:bCs/>
          <w:kern w:val="2"/>
          <w:sz w:val="24"/>
          <w:szCs w:val="24"/>
        </w:rPr>
        <w:t>类基金份额不收取申购费用。本基金的申购费率、申购份额具体的计算方法、赎回费率、赎回金额具体的计算方法和收费方式由基金管理人根据基金合同的规定确定，并在招募说明书中列示。</w:t>
      </w:r>
    </w:p>
    <w:p w14:paraId="12F34210"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4"/>
        </w:rPr>
        <w:sectPr w:rsidR="00CD61EF">
          <w:pgSz w:w="11910" w:h="16840"/>
          <w:pgMar w:top="1440" w:right="1440" w:bottom="1180" w:left="1680" w:header="877" w:footer="998" w:gutter="0"/>
          <w:cols w:space="720"/>
        </w:sectPr>
      </w:pPr>
    </w:p>
    <w:p w14:paraId="193A1BD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基金管理人可以在基金合同约定的范围内调整费率或收费方式，并最迟应于新的费率或收费方式实施日前依照《信息披露办法》的有关规定在规定媒介上公告。</w:t>
      </w:r>
    </w:p>
    <w:p w14:paraId="654A80C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7</w:t>
      </w:r>
      <w:r>
        <w:rPr>
          <w:rFonts w:ascii="Times New Roman" w:hAnsi="Times New Roman" w:cs="Times New Roman"/>
          <w:bCs/>
          <w:kern w:val="2"/>
          <w:sz w:val="24"/>
          <w:szCs w:val="24"/>
        </w:rPr>
        <w:t>、当本基金发生大额申购或赎回情形时，基金管理人可以采用摆动定价机制，以确保基金估值的公平性，具体处理原则与操作规范遵循相关法律法规以及监管部门、自律规则的规定。</w:t>
      </w:r>
    </w:p>
    <w:p w14:paraId="763C7B8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8</w:t>
      </w:r>
      <w:r>
        <w:rPr>
          <w:rFonts w:ascii="Times New Roman" w:hAnsi="Times New Roman" w:cs="Times New Roman"/>
          <w:bCs/>
          <w:kern w:val="2"/>
          <w:sz w:val="24"/>
          <w:szCs w:val="24"/>
        </w:rPr>
        <w:t>、基金管理人可以在不违背法律法规规定及基金合同约定的情况下根据市场情况制定基金促销计划，定期或不定期地开展基金促销活动。在基金促销活动期间，在对现有基金份额持有人利益无实质不利影响的前提下，基金管理人可以按中国证监会要求履行必要的手续后，对投资人适当调低基金销售费用。</w:t>
      </w:r>
    </w:p>
    <w:p w14:paraId="095B232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七、拒绝或暂停申购的情形</w:t>
      </w:r>
    </w:p>
    <w:p w14:paraId="0860BC5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发生下列情况时，基金管理人可拒绝或暂停接受投资人的申购申请：</w:t>
      </w:r>
    </w:p>
    <w:p w14:paraId="0225B39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、因不可抗力导致基金无法正常运作。</w:t>
      </w:r>
    </w:p>
    <w:p w14:paraId="7B676FD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、发生基金合同规定的暂停基金资产估值情况时。</w:t>
      </w:r>
    </w:p>
    <w:p w14:paraId="4A3B3A1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、证券、期货交易所交易时间非正常停市，导致基金管理人无法计算当日基金资产净值。</w:t>
      </w:r>
    </w:p>
    <w:p w14:paraId="5D3170B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、接受某笔或某些申购申请可能会影响或损害现有基金份额持有人利益时。</w:t>
      </w:r>
    </w:p>
    <w:p w14:paraId="4CBE9BF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、基金资产规模过大，使基金管理人无法找到合适的投资品种，或其他可能对基金业绩产生负面影响，或发生其他损害现有基金份额持有人利益的情形。</w:t>
      </w:r>
    </w:p>
    <w:p w14:paraId="4772FB8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6</w:t>
      </w:r>
      <w:r>
        <w:rPr>
          <w:rFonts w:ascii="Times New Roman" w:hAnsi="Times New Roman" w:cs="Times New Roman"/>
          <w:bCs/>
          <w:kern w:val="2"/>
          <w:sz w:val="24"/>
          <w:szCs w:val="24"/>
        </w:rPr>
        <w:t>、基金管理人、基金托管人、销售机构、基金销售支付结算机构或登记机构的异常情况导致基金会计系统、基金销售系统、基金销售支付结算系统或基金注册登记系统无法正常运行。</w:t>
      </w:r>
    </w:p>
    <w:p w14:paraId="2128098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7</w:t>
      </w:r>
      <w:r>
        <w:rPr>
          <w:rFonts w:ascii="Times New Roman" w:hAnsi="Times New Roman" w:cs="Times New Roman"/>
          <w:bCs/>
          <w:kern w:val="2"/>
          <w:sz w:val="24"/>
          <w:szCs w:val="24"/>
        </w:rPr>
        <w:t>、当</w:t>
      </w:r>
      <w:r>
        <w:rPr>
          <w:rFonts w:ascii="Times New Roman" w:hAnsi="Times New Roman" w:cs="Times New Roman" w:hint="eastAsia"/>
          <w:bCs/>
          <w:kern w:val="2"/>
          <w:sz w:val="24"/>
          <w:szCs w:val="24"/>
        </w:rPr>
        <w:t>前一估值日基金资产净值</w:t>
      </w:r>
      <w:r>
        <w:rPr>
          <w:rFonts w:ascii="Times New Roman" w:hAnsi="Times New Roman" w:cs="Times New Roman"/>
          <w:bCs/>
          <w:kern w:val="2"/>
          <w:sz w:val="24"/>
          <w:szCs w:val="24"/>
        </w:rPr>
        <w:t>50%</w:t>
      </w:r>
      <w:r>
        <w:rPr>
          <w:rFonts w:ascii="Times New Roman" w:hAnsi="Times New Roman" w:cs="Times New Roman"/>
          <w:bCs/>
          <w:kern w:val="2"/>
          <w:sz w:val="24"/>
          <w:szCs w:val="24"/>
        </w:rPr>
        <w:t>以上的资产出现无可参考的活跃市场价格且采用估值技术仍导致公允价值存在重大不确定性时，</w:t>
      </w:r>
      <w:r>
        <w:rPr>
          <w:rFonts w:ascii="Times New Roman" w:hAnsi="Times New Roman" w:cs="Times New Roman" w:hint="eastAsia"/>
          <w:bCs/>
          <w:kern w:val="2"/>
          <w:sz w:val="24"/>
          <w:szCs w:val="24"/>
        </w:rPr>
        <w:t>经与基金托管人协商确认后，</w:t>
      </w:r>
      <w:r>
        <w:rPr>
          <w:rFonts w:ascii="Times New Roman" w:hAnsi="Times New Roman" w:cs="Times New Roman"/>
          <w:bCs/>
          <w:kern w:val="2"/>
          <w:sz w:val="24"/>
          <w:szCs w:val="24"/>
        </w:rPr>
        <w:t>基金管理人应当暂停接受基金申购申请。</w:t>
      </w:r>
    </w:p>
    <w:p w14:paraId="1801CB8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8</w:t>
      </w:r>
      <w:r>
        <w:rPr>
          <w:rFonts w:ascii="Times New Roman" w:hAnsi="Times New Roman" w:cs="Times New Roman"/>
          <w:bCs/>
          <w:kern w:val="2"/>
          <w:sz w:val="24"/>
          <w:szCs w:val="24"/>
        </w:rPr>
        <w:t>、基金管理人接受某笔或者某些申购申请有可能导致单一投资者持有基金份额的比例达到或者超过</w:t>
      </w:r>
      <w:r>
        <w:rPr>
          <w:rFonts w:ascii="Times New Roman" w:hAnsi="Times New Roman" w:cs="Times New Roman"/>
          <w:bCs/>
          <w:kern w:val="2"/>
          <w:sz w:val="24"/>
          <w:szCs w:val="24"/>
        </w:rPr>
        <w:t xml:space="preserve"> 50%</w:t>
      </w:r>
      <w:r>
        <w:rPr>
          <w:rFonts w:ascii="Times New Roman" w:hAnsi="Times New Roman" w:cs="Times New Roman"/>
          <w:bCs/>
          <w:kern w:val="2"/>
          <w:sz w:val="24"/>
          <w:szCs w:val="24"/>
        </w:rPr>
        <w:t>，或者变相规避</w:t>
      </w:r>
      <w:r>
        <w:rPr>
          <w:rFonts w:ascii="Times New Roman" w:hAnsi="Times New Roman" w:cs="Times New Roman"/>
          <w:bCs/>
          <w:kern w:val="2"/>
          <w:sz w:val="24"/>
          <w:szCs w:val="24"/>
        </w:rPr>
        <w:t xml:space="preserve"> 50%</w:t>
      </w:r>
      <w:r>
        <w:rPr>
          <w:rFonts w:ascii="Times New Roman" w:hAnsi="Times New Roman" w:cs="Times New Roman"/>
          <w:bCs/>
          <w:kern w:val="2"/>
          <w:sz w:val="24"/>
          <w:szCs w:val="24"/>
        </w:rPr>
        <w:t>集中度的情形。</w:t>
      </w:r>
    </w:p>
    <w:p w14:paraId="17E97A7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9</w:t>
      </w:r>
      <w:r>
        <w:rPr>
          <w:rFonts w:ascii="Times New Roman" w:hAnsi="Times New Roman" w:cs="Times New Roman"/>
          <w:bCs/>
          <w:kern w:val="2"/>
          <w:sz w:val="24"/>
          <w:szCs w:val="24"/>
        </w:rPr>
        <w:t>、申请超过基金管理人设定的基金总规模、单日净申购比例上限、单一投资者单日或单笔申购金额上限的，出现上述情形时，基金管理人有权将上述申购申请全部或部分确认失败。</w:t>
      </w:r>
    </w:p>
    <w:p w14:paraId="730D110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10</w:t>
      </w:r>
      <w:r>
        <w:rPr>
          <w:rFonts w:ascii="Times New Roman" w:hAnsi="Times New Roman" w:cs="Times New Roman"/>
          <w:bCs/>
          <w:kern w:val="2"/>
          <w:sz w:val="24"/>
          <w:szCs w:val="24"/>
        </w:rPr>
        <w:t>、基金合同约定、法律法规规定或中国证监会认定的其他情形。</w:t>
      </w:r>
    </w:p>
    <w:p w14:paraId="57544BC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发生上述第</w:t>
      </w:r>
      <w:r>
        <w:rPr>
          <w:rFonts w:ascii="Times New Roman" w:hAnsi="Times New Roman" w:cs="Times New Roman"/>
          <w:bCs/>
          <w:kern w:val="2"/>
          <w:sz w:val="24"/>
          <w:szCs w:val="24"/>
        </w:rPr>
        <w:t xml:space="preserve"> 1</w:t>
      </w:r>
      <w:r>
        <w:rPr>
          <w:rFonts w:ascii="Times New Roman" w:hAnsi="Times New Roman" w:cs="Times New Roman"/>
          <w:bCs/>
          <w:kern w:val="2"/>
          <w:sz w:val="24"/>
          <w:szCs w:val="24"/>
        </w:rPr>
        <w:t>、</w:t>
      </w:r>
      <w:r>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bCs/>
          <w:kern w:val="2"/>
          <w:sz w:val="24"/>
          <w:szCs w:val="24"/>
        </w:rPr>
        <w:t>3</w:t>
      </w:r>
      <w:r>
        <w:rPr>
          <w:rFonts w:ascii="Times New Roman" w:hAnsi="Times New Roman" w:cs="Times New Roman"/>
          <w:bCs/>
          <w:kern w:val="2"/>
          <w:sz w:val="24"/>
          <w:szCs w:val="24"/>
        </w:rPr>
        <w:t>、</w:t>
      </w:r>
      <w:r>
        <w:rPr>
          <w:rFonts w:ascii="Times New Roman" w:hAnsi="Times New Roman" w:cs="Times New Roman"/>
          <w:bCs/>
          <w:kern w:val="2"/>
          <w:sz w:val="24"/>
          <w:szCs w:val="24"/>
        </w:rPr>
        <w:t>5</w:t>
      </w:r>
      <w:r>
        <w:rPr>
          <w:rFonts w:ascii="Times New Roman" w:hAnsi="Times New Roman" w:cs="Times New Roman"/>
          <w:bCs/>
          <w:kern w:val="2"/>
          <w:sz w:val="24"/>
          <w:szCs w:val="24"/>
        </w:rPr>
        <w:t>、</w:t>
      </w:r>
      <w:r>
        <w:rPr>
          <w:rFonts w:ascii="Times New Roman" w:hAnsi="Times New Roman" w:cs="Times New Roman"/>
          <w:bCs/>
          <w:kern w:val="2"/>
          <w:sz w:val="24"/>
          <w:szCs w:val="24"/>
        </w:rPr>
        <w:t>6</w:t>
      </w:r>
      <w:r>
        <w:rPr>
          <w:rFonts w:ascii="Times New Roman" w:hAnsi="Times New Roman" w:cs="Times New Roman"/>
          <w:bCs/>
          <w:kern w:val="2"/>
          <w:sz w:val="24"/>
          <w:szCs w:val="24"/>
        </w:rPr>
        <w:t>、</w:t>
      </w:r>
      <w:r>
        <w:rPr>
          <w:rFonts w:ascii="Times New Roman" w:hAnsi="Times New Roman" w:cs="Times New Roman"/>
          <w:bCs/>
          <w:kern w:val="2"/>
          <w:sz w:val="24"/>
          <w:szCs w:val="24"/>
        </w:rPr>
        <w:t>7</w:t>
      </w:r>
      <w:r>
        <w:rPr>
          <w:rFonts w:ascii="Times New Roman" w:hAnsi="Times New Roman" w:cs="Times New Roman"/>
          <w:bCs/>
          <w:kern w:val="2"/>
          <w:sz w:val="24"/>
          <w:szCs w:val="24"/>
        </w:rPr>
        <w:t>、</w:t>
      </w:r>
      <w:r>
        <w:rPr>
          <w:rFonts w:ascii="Times New Roman" w:hAnsi="Times New Roman" w:cs="Times New Roman"/>
          <w:bCs/>
          <w:kern w:val="2"/>
          <w:sz w:val="24"/>
          <w:szCs w:val="24"/>
        </w:rPr>
        <w:t xml:space="preserve">10 </w:t>
      </w:r>
      <w:r>
        <w:rPr>
          <w:rFonts w:ascii="Times New Roman" w:hAnsi="Times New Roman" w:cs="Times New Roman"/>
          <w:bCs/>
          <w:kern w:val="2"/>
          <w:sz w:val="24"/>
          <w:szCs w:val="24"/>
        </w:rPr>
        <w:t>项暂停申购情形之一且基金管理人决定暂停接受投资人申购申请时，基金管理人应当根据有关规定在规定媒介上刊登暂停申购公告。如果投资人的申购申请被全部或部分拒绝的，被拒绝的申购款项本金将退还给投资人。在暂停申购的情况消除时，基金管理人应及时恢复申购业务的办理。</w:t>
      </w:r>
    </w:p>
    <w:p w14:paraId="57EB2D1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八、暂停赎回或延缓支付赎回款项的情形</w:t>
      </w:r>
    </w:p>
    <w:p w14:paraId="742E90F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发生下列情形时，基金管理人可暂停接受投资人的赎回申请或延缓支付赎回款项：</w:t>
      </w:r>
    </w:p>
    <w:p w14:paraId="397D49D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、因不可抗力导致基金管理人不能支付赎回款项。</w:t>
      </w:r>
    </w:p>
    <w:p w14:paraId="1686E12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、发生基金合同规定的暂停基金资产估值情况时。</w:t>
      </w:r>
    </w:p>
    <w:p w14:paraId="4F77538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、证券、期货交易所交易时间非正常停市，导致基金管理人无法计算当日基金资产净值。</w:t>
      </w:r>
    </w:p>
    <w:p w14:paraId="2FCD3AA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、连续两个或两个以上开放日发生巨额赎回。</w:t>
      </w:r>
    </w:p>
    <w:p w14:paraId="6F4F671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、继续接受赎回申请将损害现有基金份额持有人利益的情形时。</w:t>
      </w:r>
    </w:p>
    <w:p w14:paraId="5431C79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6</w:t>
      </w:r>
      <w:r>
        <w:rPr>
          <w:rFonts w:ascii="Times New Roman" w:hAnsi="Times New Roman" w:cs="Times New Roman"/>
          <w:bCs/>
          <w:kern w:val="2"/>
          <w:sz w:val="24"/>
          <w:szCs w:val="24"/>
        </w:rPr>
        <w:t>、当</w:t>
      </w:r>
      <w:r>
        <w:rPr>
          <w:rFonts w:ascii="Times New Roman" w:hAnsi="Times New Roman" w:cs="Times New Roman" w:hint="eastAsia"/>
          <w:bCs/>
          <w:kern w:val="2"/>
          <w:sz w:val="24"/>
          <w:szCs w:val="24"/>
        </w:rPr>
        <w:t>前一估值日基金资产净值</w:t>
      </w:r>
      <w:r>
        <w:rPr>
          <w:rFonts w:ascii="Times New Roman" w:hAnsi="Times New Roman" w:cs="Times New Roman"/>
          <w:bCs/>
          <w:kern w:val="2"/>
          <w:sz w:val="24"/>
          <w:szCs w:val="24"/>
        </w:rPr>
        <w:t>50%</w:t>
      </w:r>
      <w:r>
        <w:rPr>
          <w:rFonts w:ascii="Times New Roman" w:hAnsi="Times New Roman" w:cs="Times New Roman"/>
          <w:bCs/>
          <w:kern w:val="2"/>
          <w:sz w:val="24"/>
          <w:szCs w:val="24"/>
        </w:rPr>
        <w:t>以上的资产出现无可参考的活跃市场价格且采用估值技术仍导致公允价值存在重大不确定性时，经与基金托管人协商确认后，基金管理人应当延缓支付赎回款项或暂停接受基金赎回申请。</w:t>
      </w:r>
    </w:p>
    <w:p w14:paraId="14C2287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7</w:t>
      </w:r>
      <w:r>
        <w:rPr>
          <w:rFonts w:ascii="Times New Roman" w:hAnsi="Times New Roman" w:cs="Times New Roman"/>
          <w:bCs/>
          <w:kern w:val="2"/>
          <w:sz w:val="24"/>
          <w:szCs w:val="24"/>
        </w:rPr>
        <w:t>、基金合同约定、法律法规规定或中国证监会认定的其他情形。</w:t>
      </w:r>
    </w:p>
    <w:p w14:paraId="77985EA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发生上述情形之一且基金管理人决定暂停赎回或延缓支付赎回款项时，基金管理人应按规定报中国证监会备案。已确认的赎回申请，基金管理人应足额支付；</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如暂时不能足额支付，应将可支付部分按单个账户申请量占申请总量的比例分配给赎回申请人，未支付部分可延期支付。若出现上述第</w:t>
      </w:r>
      <w:r>
        <w:rPr>
          <w:rFonts w:ascii="Times New Roman" w:hAnsi="Times New Roman" w:cs="Times New Roman"/>
          <w:bCs/>
          <w:kern w:val="2"/>
          <w:sz w:val="24"/>
          <w:szCs w:val="24"/>
        </w:rPr>
        <w:t xml:space="preserve"> 4 </w:t>
      </w:r>
      <w:r>
        <w:rPr>
          <w:rFonts w:ascii="Times New Roman" w:hAnsi="Times New Roman" w:cs="Times New Roman"/>
          <w:bCs/>
          <w:kern w:val="2"/>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2B74610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九、巨额赎回的情形及处理方式</w:t>
      </w:r>
    </w:p>
    <w:p w14:paraId="2ABADEC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、巨额赎回的认定</w:t>
      </w:r>
    </w:p>
    <w:p w14:paraId="5E002EB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若本基金单个开放日内的基金份额净赎回申请（赎回申请份额总数加上基金转换中转出申请份额总数后扣除申购申请份额总数及基金转换中转入申请份额</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总数后的余额）超过前一</w:t>
      </w:r>
      <w:r>
        <w:rPr>
          <w:rFonts w:ascii="Times New Roman" w:hAnsi="Times New Roman" w:cs="Times New Roman" w:hint="eastAsia"/>
          <w:bCs/>
          <w:kern w:val="2"/>
          <w:sz w:val="24"/>
          <w:szCs w:val="24"/>
        </w:rPr>
        <w:t>开放</w:t>
      </w:r>
      <w:r>
        <w:rPr>
          <w:rFonts w:ascii="Times New Roman" w:hAnsi="Times New Roman" w:cs="Times New Roman"/>
          <w:bCs/>
          <w:kern w:val="2"/>
          <w:sz w:val="24"/>
          <w:szCs w:val="24"/>
        </w:rPr>
        <w:t>日的基金总份额的</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，即认为是发生了巨额赎回。</w:t>
      </w:r>
    </w:p>
    <w:p w14:paraId="480DCAF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、巨额赎回的处理方式</w:t>
      </w:r>
    </w:p>
    <w:p w14:paraId="543082C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当基金出现巨额赎回时，基金管理人可以根据基金当时的资产组合状况决定全</w:t>
      </w:r>
      <w:r>
        <w:rPr>
          <w:rFonts w:ascii="Times New Roman" w:hAnsi="Times New Roman" w:cs="Times New Roman"/>
          <w:bCs/>
          <w:kern w:val="2"/>
          <w:sz w:val="24"/>
          <w:szCs w:val="24"/>
        </w:rPr>
        <w:lastRenderedPageBreak/>
        <w:t>额赎回或部分延期赎回。</w:t>
      </w:r>
    </w:p>
    <w:p w14:paraId="641601B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全额赎回：当基金管理人认为有能力支付投资人的全部赎回申请时，</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按正常赎回程序执行。</w:t>
      </w:r>
    </w:p>
    <w:p w14:paraId="3B4C486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部分延期赎回：当基金管理人认为支付投资人的赎回申请有困难或认为因支付投资人的赎回申请而进行的财产变现可能会对基金资产净值造成较大</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波动时，基金管理人在当日接受赎回比例不低于上一</w:t>
      </w:r>
      <w:r>
        <w:rPr>
          <w:rFonts w:ascii="Times New Roman" w:hAnsi="Times New Roman" w:cs="Times New Roman" w:hint="eastAsia"/>
          <w:bCs/>
          <w:kern w:val="2"/>
          <w:sz w:val="24"/>
          <w:szCs w:val="24"/>
        </w:rPr>
        <w:t>开放</w:t>
      </w:r>
      <w:r>
        <w:rPr>
          <w:rFonts w:ascii="Times New Roman" w:hAnsi="Times New Roman" w:cs="Times New Roman"/>
          <w:bCs/>
          <w:kern w:val="2"/>
          <w:sz w:val="24"/>
          <w:szCs w:val="24"/>
        </w:rPr>
        <w:t>日基金总份额的</w:t>
      </w:r>
      <w:r>
        <w:rPr>
          <w:rFonts w:ascii="Times New Roman" w:hAnsi="Times New Roman" w:cs="Times New Roman"/>
          <w:bCs/>
          <w:kern w:val="2"/>
          <w:sz w:val="24"/>
          <w:szCs w:val="24"/>
        </w:rPr>
        <w:t xml:space="preserve"> 10% </w:t>
      </w:r>
      <w:r>
        <w:rPr>
          <w:rFonts w:ascii="Times New Roman" w:hAnsi="Times New Roman" w:cs="Times New Roman"/>
          <w:bCs/>
          <w:kern w:val="2"/>
          <w:sz w:val="24"/>
          <w:szCs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将自动转入下一个开放日继续赎回，直到全部赎回为止；选择取消赎回的，当日未获受理的部分赎回申请将被撤销。延期的赎回申请与下一开放日赎回申请一并处理，无优先权并以下一开放日该类基金份额的基金份额净值为基础计算赎回金额，以此类推，直到全部赎回为止。如投资人在提交赎回申请时未作明确选择，</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投资人未能赎回部分作自动延期赎回处理。部分延期赎回不受单笔赎回最低份额的限制。</w:t>
      </w:r>
    </w:p>
    <w:p w14:paraId="78838F5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如果发生巨额赎回，且单个开放日内单个基金份额持有人申请赎回的基金份额占前一</w:t>
      </w:r>
      <w:r>
        <w:rPr>
          <w:rFonts w:ascii="Times New Roman" w:hAnsi="Times New Roman" w:cs="Times New Roman" w:hint="eastAsia"/>
          <w:bCs/>
          <w:kern w:val="2"/>
          <w:sz w:val="24"/>
          <w:szCs w:val="24"/>
        </w:rPr>
        <w:t>开放</w:t>
      </w:r>
      <w:r>
        <w:rPr>
          <w:rFonts w:ascii="Times New Roman" w:hAnsi="Times New Roman" w:cs="Times New Roman"/>
          <w:bCs/>
          <w:kern w:val="2"/>
          <w:sz w:val="24"/>
          <w:szCs w:val="24"/>
        </w:rPr>
        <w:t>日基金总份额的比例超过</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时，基金管理人可以对该单个基金份额持有人超过该比例以上的赎回申请实施延期办理（基金份额持有人可在提交赎回申请时选择将当日未获办理部分予以撤销）。对该单个基金份额持有人不超过</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比例的赎回申请，与当日其他赎回申请一起，应当按照其申请赎回份额占当日申请赎回总份额的比例，确定该单个账户当日办理的赎回份额；投资者未能赎回部分，除投资者在提交赎回申请时选择将当日未获办理部分予以撤销外，延迟至下一个开放日办理，赎回价格为下一个开放日的价格。依照上述规定转入下一个开放日的赎回不享有赎回优先权，并以此类推，直到全部赎回为止。</w:t>
      </w:r>
    </w:p>
    <w:p w14:paraId="6A1E94E1"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暂停赎回：连续</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个开放日以上（含本数）发生巨额赎回，如基金管理人认为有必要，可暂停接受基金的赎回申请；已经接受的赎回申请可以延缓支付赎回款项，但不得超过</w:t>
      </w:r>
      <w:r>
        <w:rPr>
          <w:rFonts w:ascii="Times New Roman" w:hAnsi="Times New Roman" w:cs="Times New Roman"/>
          <w:bCs/>
          <w:kern w:val="2"/>
          <w:sz w:val="24"/>
          <w:szCs w:val="24"/>
        </w:rPr>
        <w:t xml:space="preserve"> 20 </w:t>
      </w:r>
      <w:r>
        <w:rPr>
          <w:rFonts w:ascii="Times New Roman" w:hAnsi="Times New Roman" w:cs="Times New Roman"/>
          <w:bCs/>
          <w:kern w:val="2"/>
          <w:sz w:val="24"/>
          <w:szCs w:val="24"/>
        </w:rPr>
        <w:t>个工作日，并应当在规定媒介上进行公告。</w:t>
      </w:r>
    </w:p>
    <w:p w14:paraId="324276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、巨额赎回的公告</w:t>
      </w:r>
    </w:p>
    <w:p w14:paraId="3ABF280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当发生上述巨额赎回并延期办理时，基金管理人应当通过邮寄、传真或者招募说明书规定的其他方式在</w:t>
      </w:r>
      <w:r>
        <w:rPr>
          <w:rFonts w:ascii="Times New Roman" w:hAnsi="Times New Roman" w:cs="Times New Roman"/>
          <w:bCs/>
          <w:kern w:val="2"/>
          <w:sz w:val="24"/>
          <w:szCs w:val="24"/>
        </w:rPr>
        <w:t xml:space="preserve"> 3 </w:t>
      </w:r>
      <w:r>
        <w:rPr>
          <w:rFonts w:ascii="Times New Roman" w:hAnsi="Times New Roman" w:cs="Times New Roman"/>
          <w:bCs/>
          <w:kern w:val="2"/>
          <w:sz w:val="24"/>
          <w:szCs w:val="24"/>
        </w:rPr>
        <w:t>个交易日内通知基金份额持有人，说明有关处理方法，并在</w:t>
      </w:r>
      <w:r>
        <w:rPr>
          <w:rFonts w:ascii="Times New Roman" w:hAnsi="Times New Roman" w:cs="Times New Roman"/>
          <w:bCs/>
          <w:kern w:val="2"/>
          <w:sz w:val="24"/>
          <w:szCs w:val="24"/>
        </w:rPr>
        <w:t xml:space="preserve"> 2 </w:t>
      </w:r>
      <w:r>
        <w:rPr>
          <w:rFonts w:ascii="Times New Roman" w:hAnsi="Times New Roman" w:cs="Times New Roman"/>
          <w:bCs/>
          <w:kern w:val="2"/>
          <w:sz w:val="24"/>
          <w:szCs w:val="24"/>
        </w:rPr>
        <w:t>日内在规定媒介上刊登公告。</w:t>
      </w:r>
    </w:p>
    <w:p w14:paraId="52705A6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十、暂停申购或赎回的公告和重新开放申购或赎回的公告</w:t>
      </w:r>
    </w:p>
    <w:p w14:paraId="3B491FE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、发生上述暂停申购或赎回情况的，基金管理人应在规定期限内在规定媒介上刊登暂停公告。</w:t>
      </w:r>
    </w:p>
    <w:p w14:paraId="7F59856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、暂停结束，基金重新开放申购或赎回时，基金管理人应依照《信息披露办法》的有关规定，不迟于重新开放日，在规定媒介上刊登基金重新开放申购或赎回公告，并公布最近</w:t>
      </w:r>
      <w:r>
        <w:rPr>
          <w:rFonts w:ascii="Times New Roman" w:hAnsi="Times New Roman" w:cs="Times New Roman"/>
          <w:bCs/>
          <w:kern w:val="2"/>
          <w:sz w:val="24"/>
          <w:szCs w:val="24"/>
        </w:rPr>
        <w:t xml:space="preserve"> 1 </w:t>
      </w:r>
      <w:r>
        <w:rPr>
          <w:rFonts w:ascii="Times New Roman" w:hAnsi="Times New Roman" w:cs="Times New Roman"/>
          <w:bCs/>
          <w:kern w:val="2"/>
          <w:sz w:val="24"/>
          <w:szCs w:val="24"/>
        </w:rPr>
        <w:t>个开放日的各类基金份额净值；也可以根据实际情况在暂停公告中明确重新开放申购或赎回的时间，届时不再另行发布重新开放的公告。</w:t>
      </w:r>
    </w:p>
    <w:p w14:paraId="285FD23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十一、基金转换</w:t>
      </w:r>
    </w:p>
    <w:p w14:paraId="7F10E73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基金管理人可以根据相关法律法规以及本基金合同的规定决定开办本基金与基金管理人管理的其他基金之间的转换业务，基金转换可以收取一定的转换费，</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相关规则由基金管理人届时根据相关法律法规及本基金合同的规定制定并公告，并提前告知基金托管人与相关机构。</w:t>
      </w:r>
    </w:p>
    <w:p w14:paraId="468220C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十二、基金份额的转让</w:t>
      </w:r>
    </w:p>
    <w:p w14:paraId="092FAA4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基金份额持有人应根据基金管理人公告的业务规则办理基金份额转让业务。</w:t>
      </w:r>
    </w:p>
    <w:p w14:paraId="04A49D5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十三、基金的非交易过户</w:t>
      </w:r>
    </w:p>
    <w:p w14:paraId="3A35F9B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43BA924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78AF76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十四、基金的转托管</w:t>
      </w:r>
    </w:p>
    <w:p w14:paraId="5942E29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基金份额持有人可办理已持有基金份额在不同销售机构之间的转托管，基金销售机构可以按照规定的标准收取转托管费。</w:t>
      </w:r>
    </w:p>
    <w:p w14:paraId="75FAC9F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十五、定期定额投资计划</w:t>
      </w:r>
    </w:p>
    <w:p w14:paraId="3121E04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BA66A7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十六、基金份额的冻结与解冻</w:t>
      </w:r>
    </w:p>
    <w:p w14:paraId="3A506E6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3AA7CDA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十七、实施侧袋机制期间本基金的申购与赎回</w:t>
      </w:r>
    </w:p>
    <w:p w14:paraId="5289DCB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本基金实施侧袋机制的，本基金的申购和赎回安排详见招募说明书或相关公告。</w:t>
      </w:r>
    </w:p>
    <w:p w14:paraId="0DE4DF74" w14:textId="77777777" w:rsidR="00CD61EF" w:rsidRDefault="00CD61EF">
      <w:pPr>
        <w:spacing w:line="364" w:lineRule="auto"/>
        <w:jc w:val="both"/>
        <w:sectPr w:rsidR="00CD61EF">
          <w:headerReference w:type="default" r:id="rId16"/>
          <w:footerReference w:type="default" r:id="rId17"/>
          <w:pgSz w:w="11910" w:h="16840"/>
          <w:pgMar w:top="1440" w:right="1440" w:bottom="1180" w:left="1680" w:header="877" w:footer="998" w:gutter="0"/>
          <w:cols w:space="720"/>
        </w:sectPr>
      </w:pPr>
    </w:p>
    <w:p w14:paraId="205D147F"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9" w:name="_Toc31542"/>
      <w:r>
        <w:rPr>
          <w:rFonts w:ascii="Times New Roman" w:eastAsia="宋体" w:hAnsi="Times New Roman" w:cs="Times New Roman"/>
          <w:bCs w:val="0"/>
          <w:szCs w:val="20"/>
        </w:rPr>
        <w:lastRenderedPageBreak/>
        <w:t>第七部分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基金合同</w:t>
      </w:r>
      <w:r>
        <w:rPr>
          <w:rFonts w:ascii="Times New Roman" w:eastAsia="宋体" w:hAnsi="Times New Roman" w:cs="Times New Roman" w:hint="eastAsia"/>
          <w:bCs w:val="0"/>
          <w:szCs w:val="20"/>
        </w:rPr>
        <w:t>当事人及权利义务</w:t>
      </w:r>
      <w:bookmarkEnd w:id="9"/>
    </w:p>
    <w:p w14:paraId="2DE81E2F" w14:textId="77777777" w:rsidR="00CD61EF" w:rsidRDefault="00CD61EF">
      <w:pPr>
        <w:pStyle w:val="a5"/>
        <w:spacing w:before="13"/>
        <w:ind w:left="0" w:firstLine="0"/>
        <w:rPr>
          <w:rFonts w:ascii="Microsoft JhengHei"/>
          <w:b/>
          <w:sz w:val="32"/>
        </w:rPr>
      </w:pPr>
    </w:p>
    <w:p w14:paraId="3CDAC6F1"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一、基金管理人</w:t>
      </w:r>
    </w:p>
    <w:p w14:paraId="300EEB89"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基金管理人简况</w:t>
      </w:r>
    </w:p>
    <w:p w14:paraId="476EB465"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bookmarkStart w:id="10" w:name="_Hlk70004664"/>
      <w:r>
        <w:rPr>
          <w:rFonts w:ascii="Times New Roman" w:hAnsi="Times New Roman" w:cs="Times New Roman" w:hint="eastAsia"/>
          <w:bCs/>
          <w:kern w:val="2"/>
          <w:sz w:val="24"/>
          <w:szCs w:val="24"/>
        </w:rPr>
        <w:t>名称：富荣基金管理有限公司</w:t>
      </w:r>
    </w:p>
    <w:p w14:paraId="7D0B676C"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住所：广州市南沙区海滨路</w:t>
      </w:r>
      <w:r>
        <w:rPr>
          <w:rFonts w:ascii="Times New Roman" w:hAnsi="Times New Roman" w:cs="Times New Roman"/>
          <w:bCs/>
          <w:kern w:val="2"/>
          <w:sz w:val="24"/>
          <w:szCs w:val="24"/>
        </w:rPr>
        <w:t>171</w:t>
      </w:r>
      <w:r>
        <w:rPr>
          <w:rFonts w:ascii="Times New Roman" w:hAnsi="Times New Roman" w:cs="Times New Roman"/>
          <w:bCs/>
          <w:kern w:val="2"/>
          <w:sz w:val="24"/>
          <w:szCs w:val="24"/>
        </w:rPr>
        <w:t>号南沙金融大厦</w:t>
      </w:r>
      <w:r>
        <w:rPr>
          <w:rFonts w:ascii="Times New Roman" w:hAnsi="Times New Roman" w:cs="Times New Roman"/>
          <w:bCs/>
          <w:kern w:val="2"/>
          <w:sz w:val="24"/>
          <w:szCs w:val="24"/>
        </w:rPr>
        <w:t>11</w:t>
      </w:r>
      <w:r>
        <w:rPr>
          <w:rFonts w:ascii="Times New Roman" w:hAnsi="Times New Roman" w:cs="Times New Roman"/>
          <w:bCs/>
          <w:kern w:val="2"/>
          <w:sz w:val="24"/>
          <w:szCs w:val="24"/>
        </w:rPr>
        <w:t>楼</w:t>
      </w:r>
      <w:r>
        <w:rPr>
          <w:rFonts w:ascii="Times New Roman" w:hAnsi="Times New Roman" w:cs="Times New Roman"/>
          <w:bCs/>
          <w:kern w:val="2"/>
          <w:sz w:val="24"/>
          <w:szCs w:val="24"/>
        </w:rPr>
        <w:t>1101</w:t>
      </w:r>
      <w:r>
        <w:rPr>
          <w:rFonts w:ascii="Times New Roman" w:hAnsi="Times New Roman" w:cs="Times New Roman"/>
          <w:bCs/>
          <w:kern w:val="2"/>
          <w:sz w:val="24"/>
          <w:szCs w:val="24"/>
        </w:rPr>
        <w:t>之一</w:t>
      </w:r>
      <w:r>
        <w:rPr>
          <w:rFonts w:ascii="Times New Roman" w:hAnsi="Times New Roman" w:cs="Times New Roman"/>
          <w:bCs/>
          <w:kern w:val="2"/>
          <w:sz w:val="24"/>
          <w:szCs w:val="24"/>
        </w:rPr>
        <w:t>J20</w:t>
      </w:r>
      <w:r>
        <w:rPr>
          <w:rFonts w:ascii="Times New Roman" w:hAnsi="Times New Roman" w:cs="Times New Roman"/>
          <w:bCs/>
          <w:kern w:val="2"/>
          <w:sz w:val="24"/>
          <w:szCs w:val="24"/>
        </w:rPr>
        <w:t>室</w:t>
      </w:r>
    </w:p>
    <w:p w14:paraId="398B872E"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法定代表人：杨小舟</w:t>
      </w:r>
    </w:p>
    <w:p w14:paraId="38CDCDBF"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设立日期：</w:t>
      </w:r>
      <w:r>
        <w:rPr>
          <w:rFonts w:ascii="Times New Roman" w:hAnsi="Times New Roman" w:cs="Times New Roman"/>
          <w:bCs/>
          <w:kern w:val="2"/>
          <w:sz w:val="24"/>
          <w:szCs w:val="24"/>
        </w:rPr>
        <w:t>2016</w:t>
      </w:r>
      <w:r>
        <w:rPr>
          <w:rFonts w:ascii="Times New Roman" w:hAnsi="Times New Roman" w:cs="Times New Roman"/>
          <w:bCs/>
          <w:kern w:val="2"/>
          <w:sz w:val="24"/>
          <w:szCs w:val="24"/>
        </w:rPr>
        <w:t>年</w:t>
      </w:r>
      <w:r>
        <w:rPr>
          <w:rFonts w:ascii="Times New Roman" w:hAnsi="Times New Roman" w:cs="Times New Roman"/>
          <w:bCs/>
          <w:kern w:val="2"/>
          <w:sz w:val="24"/>
          <w:szCs w:val="24"/>
        </w:rPr>
        <w:t>1</w:t>
      </w:r>
      <w:r>
        <w:rPr>
          <w:rFonts w:ascii="Times New Roman" w:hAnsi="Times New Roman" w:cs="Times New Roman"/>
          <w:bCs/>
          <w:kern w:val="2"/>
          <w:sz w:val="24"/>
          <w:szCs w:val="24"/>
        </w:rPr>
        <w:t>月</w:t>
      </w:r>
      <w:r>
        <w:rPr>
          <w:rFonts w:ascii="Times New Roman" w:hAnsi="Times New Roman" w:cs="Times New Roman"/>
          <w:bCs/>
          <w:kern w:val="2"/>
          <w:sz w:val="24"/>
          <w:szCs w:val="24"/>
        </w:rPr>
        <w:t>25</w:t>
      </w:r>
      <w:r>
        <w:rPr>
          <w:rFonts w:ascii="Times New Roman" w:hAnsi="Times New Roman" w:cs="Times New Roman"/>
          <w:bCs/>
          <w:kern w:val="2"/>
          <w:sz w:val="24"/>
          <w:szCs w:val="24"/>
        </w:rPr>
        <w:t>日</w:t>
      </w:r>
    </w:p>
    <w:p w14:paraId="4A5AF0A7"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批准设立机关及批准设立文号：中国证监会证监许可【</w:t>
      </w:r>
      <w:r>
        <w:rPr>
          <w:rFonts w:ascii="Times New Roman" w:hAnsi="Times New Roman" w:cs="Times New Roman"/>
          <w:bCs/>
          <w:kern w:val="2"/>
          <w:sz w:val="24"/>
          <w:szCs w:val="24"/>
        </w:rPr>
        <w:t>2015</w:t>
      </w:r>
      <w:r>
        <w:rPr>
          <w:rFonts w:ascii="Times New Roman" w:hAnsi="Times New Roman" w:cs="Times New Roman"/>
          <w:bCs/>
          <w:kern w:val="2"/>
          <w:sz w:val="24"/>
          <w:szCs w:val="24"/>
        </w:rPr>
        <w:t>】</w:t>
      </w:r>
      <w:r>
        <w:rPr>
          <w:rFonts w:ascii="Times New Roman" w:hAnsi="Times New Roman" w:cs="Times New Roman"/>
          <w:bCs/>
          <w:kern w:val="2"/>
          <w:sz w:val="24"/>
          <w:szCs w:val="24"/>
        </w:rPr>
        <w:t>3118</w:t>
      </w:r>
      <w:r>
        <w:rPr>
          <w:rFonts w:ascii="Times New Roman" w:hAnsi="Times New Roman" w:cs="Times New Roman"/>
          <w:bCs/>
          <w:kern w:val="2"/>
          <w:sz w:val="24"/>
          <w:szCs w:val="24"/>
        </w:rPr>
        <w:t>号</w:t>
      </w:r>
    </w:p>
    <w:p w14:paraId="1DCF0F76"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组织形式：有限责任公司</w:t>
      </w:r>
    </w:p>
    <w:p w14:paraId="2B90DEB6"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注册资本：</w:t>
      </w:r>
      <w:r>
        <w:rPr>
          <w:rFonts w:ascii="Times New Roman" w:hAnsi="Times New Roman" w:cs="Times New Roman"/>
          <w:bCs/>
          <w:kern w:val="2"/>
          <w:sz w:val="24"/>
          <w:szCs w:val="24"/>
        </w:rPr>
        <w:t>2</w:t>
      </w:r>
      <w:r>
        <w:rPr>
          <w:rFonts w:ascii="Times New Roman" w:hAnsi="Times New Roman" w:cs="Times New Roman"/>
          <w:bCs/>
          <w:kern w:val="2"/>
          <w:sz w:val="24"/>
          <w:szCs w:val="24"/>
        </w:rPr>
        <w:t>亿元人民币</w:t>
      </w:r>
    </w:p>
    <w:p w14:paraId="6FBCB279"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存续期限：永续经营</w:t>
      </w:r>
    </w:p>
    <w:p w14:paraId="3517BB4D"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联系电话：</w:t>
      </w:r>
      <w:r>
        <w:rPr>
          <w:rFonts w:ascii="Times New Roman" w:hAnsi="Times New Roman" w:cs="Times New Roman"/>
          <w:bCs/>
          <w:kern w:val="2"/>
          <w:sz w:val="24"/>
          <w:szCs w:val="24"/>
        </w:rPr>
        <w:t>0755-84356633</w:t>
      </w:r>
      <w:bookmarkEnd w:id="10"/>
    </w:p>
    <w:p w14:paraId="6A794FD0"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基金管理人的权利与义务</w:t>
      </w:r>
    </w:p>
    <w:p w14:paraId="4AF7CC68"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、根据《基金法》、《运作办法》及其他有关规定，基金管理人的权利包括但不限于：</w:t>
      </w:r>
    </w:p>
    <w:p w14:paraId="1F699690" w14:textId="77777777" w:rsidR="00CD61EF" w:rsidRDefault="002B79C0">
      <w:pPr>
        <w:pStyle w:val="af2"/>
        <w:numPr>
          <w:ilvl w:val="0"/>
          <w:numId w:val="1"/>
        </w:numPr>
        <w:tabs>
          <w:tab w:val="left" w:pos="1202"/>
        </w:tabs>
        <w:ind w:hanging="602"/>
        <w:rPr>
          <w:sz w:val="24"/>
        </w:rPr>
      </w:pPr>
      <w:r>
        <w:rPr>
          <w:sz w:val="24"/>
        </w:rPr>
        <w:t>依法募集资金；</w:t>
      </w:r>
    </w:p>
    <w:p w14:paraId="30C1D18E" w14:textId="77777777" w:rsidR="00CD61EF" w:rsidRDefault="002B79C0">
      <w:pPr>
        <w:pStyle w:val="af2"/>
        <w:numPr>
          <w:ilvl w:val="0"/>
          <w:numId w:val="1"/>
        </w:numPr>
        <w:tabs>
          <w:tab w:val="left" w:pos="1202"/>
        </w:tabs>
        <w:spacing w:before="161" w:line="364" w:lineRule="auto"/>
        <w:ind w:left="120" w:right="364" w:firstLine="479"/>
        <w:rPr>
          <w:sz w:val="24"/>
        </w:rPr>
      </w:pPr>
      <w:r>
        <w:rPr>
          <w:sz w:val="24"/>
        </w:rPr>
        <w:t>自《基金合同》生效之日起，根据法律法规和《基金合同》独立运用并管理基金财产；</w:t>
      </w:r>
    </w:p>
    <w:p w14:paraId="1690F3C1" w14:textId="77777777" w:rsidR="00CD61EF" w:rsidRDefault="002B79C0">
      <w:pPr>
        <w:pStyle w:val="af2"/>
        <w:numPr>
          <w:ilvl w:val="0"/>
          <w:numId w:val="1"/>
        </w:numPr>
        <w:tabs>
          <w:tab w:val="left" w:pos="1202"/>
        </w:tabs>
        <w:spacing w:line="364" w:lineRule="auto"/>
        <w:ind w:left="120" w:right="364" w:firstLine="479"/>
        <w:rPr>
          <w:sz w:val="24"/>
        </w:rPr>
      </w:pPr>
      <w:r>
        <w:rPr>
          <w:sz w:val="24"/>
        </w:rPr>
        <w:t>依照《基金合同》收取基金管理费以及法律法规规定或中国证监会批准的其他费用；</w:t>
      </w:r>
    </w:p>
    <w:p w14:paraId="51E3EB4F" w14:textId="77777777" w:rsidR="00CD61EF" w:rsidRDefault="002B79C0">
      <w:pPr>
        <w:pStyle w:val="af2"/>
        <w:numPr>
          <w:ilvl w:val="0"/>
          <w:numId w:val="1"/>
        </w:numPr>
        <w:tabs>
          <w:tab w:val="left" w:pos="1202"/>
        </w:tabs>
        <w:ind w:hanging="602"/>
        <w:rPr>
          <w:sz w:val="24"/>
        </w:rPr>
      </w:pPr>
      <w:r>
        <w:rPr>
          <w:sz w:val="24"/>
        </w:rPr>
        <w:t>销售基金份额；</w:t>
      </w:r>
    </w:p>
    <w:p w14:paraId="2FC71862" w14:textId="77777777" w:rsidR="00CD61EF" w:rsidRDefault="002B79C0">
      <w:pPr>
        <w:pStyle w:val="af2"/>
        <w:numPr>
          <w:ilvl w:val="0"/>
          <w:numId w:val="1"/>
        </w:numPr>
        <w:tabs>
          <w:tab w:val="left" w:pos="1202"/>
        </w:tabs>
        <w:spacing w:before="161"/>
        <w:ind w:hanging="602"/>
        <w:rPr>
          <w:sz w:val="24"/>
        </w:rPr>
      </w:pPr>
      <w:r>
        <w:rPr>
          <w:sz w:val="24"/>
        </w:rPr>
        <w:t>按照规定召集基金份额持有人大会；</w:t>
      </w:r>
    </w:p>
    <w:p w14:paraId="03FF238C" w14:textId="77777777" w:rsidR="00CD61EF" w:rsidRDefault="002B79C0">
      <w:pPr>
        <w:pStyle w:val="af2"/>
        <w:numPr>
          <w:ilvl w:val="0"/>
          <w:numId w:val="1"/>
        </w:numPr>
        <w:tabs>
          <w:tab w:val="left" w:pos="1202"/>
        </w:tabs>
        <w:spacing w:before="161" w:line="364" w:lineRule="auto"/>
        <w:ind w:left="120" w:right="357" w:firstLine="479"/>
        <w:jc w:val="both"/>
        <w:rPr>
          <w:sz w:val="24"/>
        </w:rPr>
      </w:pPr>
      <w:r>
        <w:rPr>
          <w:sz w:val="24"/>
        </w:rPr>
        <w:t>依据《基金合同》及有关法律规定监督基金托管人，如认为基金托管</w:t>
      </w:r>
      <w:r>
        <w:rPr>
          <w:spacing w:val="-21"/>
          <w:sz w:val="24"/>
        </w:rPr>
        <w:t>人违反了《基金合同》及国家有关法律规定，应呈报中国证监会和其他监管部门，</w:t>
      </w:r>
      <w:r>
        <w:rPr>
          <w:spacing w:val="-118"/>
          <w:sz w:val="24"/>
        </w:rPr>
        <w:t xml:space="preserve"> </w:t>
      </w:r>
      <w:r>
        <w:rPr>
          <w:sz w:val="24"/>
        </w:rPr>
        <w:t>并采取必要措施保护基金投资者的利益；</w:t>
      </w:r>
    </w:p>
    <w:p w14:paraId="6E037152" w14:textId="77777777" w:rsidR="00CD61EF" w:rsidRDefault="002B79C0">
      <w:pPr>
        <w:pStyle w:val="af2"/>
        <w:numPr>
          <w:ilvl w:val="0"/>
          <w:numId w:val="1"/>
        </w:numPr>
        <w:tabs>
          <w:tab w:val="left" w:pos="1202"/>
        </w:tabs>
        <w:ind w:hanging="602"/>
        <w:rPr>
          <w:sz w:val="24"/>
        </w:rPr>
      </w:pPr>
      <w:r>
        <w:rPr>
          <w:sz w:val="24"/>
        </w:rPr>
        <w:t>在基金托管人更换时，提名新的基金托管人；</w:t>
      </w:r>
    </w:p>
    <w:p w14:paraId="151F513A" w14:textId="77777777" w:rsidR="00CD61EF" w:rsidRDefault="002B79C0">
      <w:pPr>
        <w:pStyle w:val="af2"/>
        <w:numPr>
          <w:ilvl w:val="0"/>
          <w:numId w:val="1"/>
        </w:numPr>
        <w:tabs>
          <w:tab w:val="left" w:pos="1202"/>
        </w:tabs>
        <w:spacing w:before="211"/>
        <w:ind w:hanging="602"/>
        <w:rPr>
          <w:sz w:val="24"/>
        </w:rPr>
      </w:pPr>
      <w:r>
        <w:rPr>
          <w:sz w:val="24"/>
        </w:rPr>
        <w:t>选择、更换基金销售机构，对基金销售机构的相关行为进行监督和处</w:t>
      </w:r>
    </w:p>
    <w:p w14:paraId="6D7BCA0D" w14:textId="77777777" w:rsidR="00CD61EF" w:rsidRDefault="00CD61EF">
      <w:pPr>
        <w:rPr>
          <w:sz w:val="24"/>
        </w:rPr>
        <w:sectPr w:rsidR="00CD61EF">
          <w:pgSz w:w="11910" w:h="16840"/>
          <w:pgMar w:top="1440" w:right="1440" w:bottom="1180" w:left="1680" w:header="877" w:footer="998" w:gutter="0"/>
          <w:cols w:space="720"/>
        </w:sectPr>
      </w:pPr>
    </w:p>
    <w:p w14:paraId="41034677" w14:textId="77777777" w:rsidR="00CD61EF" w:rsidRDefault="002B79C0">
      <w:pPr>
        <w:pStyle w:val="a5"/>
        <w:spacing w:before="114"/>
        <w:ind w:firstLine="0"/>
      </w:pPr>
      <w:r>
        <w:lastRenderedPageBreak/>
        <w:t>理；</w:t>
      </w:r>
    </w:p>
    <w:p w14:paraId="35B312E1" w14:textId="77777777" w:rsidR="00CD61EF" w:rsidRDefault="002B79C0">
      <w:pPr>
        <w:pStyle w:val="af2"/>
        <w:numPr>
          <w:ilvl w:val="0"/>
          <w:numId w:val="1"/>
        </w:numPr>
        <w:tabs>
          <w:tab w:val="left" w:pos="1202"/>
        </w:tabs>
        <w:spacing w:before="132" w:line="345" w:lineRule="auto"/>
        <w:ind w:left="120" w:right="364" w:firstLine="479"/>
        <w:rPr>
          <w:sz w:val="24"/>
        </w:rPr>
      </w:pPr>
      <w:r>
        <w:rPr>
          <w:sz w:val="24"/>
        </w:rPr>
        <w:t>担任或委托其他符合条件的机构担任基金登记机构办理基金登记业务并获得《基金合同》规定的费用；</w:t>
      </w:r>
    </w:p>
    <w:p w14:paraId="31E81ECD" w14:textId="77777777" w:rsidR="00CD61EF" w:rsidRDefault="002B79C0">
      <w:pPr>
        <w:pStyle w:val="af2"/>
        <w:numPr>
          <w:ilvl w:val="0"/>
          <w:numId w:val="1"/>
        </w:numPr>
        <w:tabs>
          <w:tab w:val="left" w:pos="1322"/>
        </w:tabs>
        <w:spacing w:before="0" w:line="303" w:lineRule="exact"/>
        <w:ind w:left="1321" w:hanging="722"/>
        <w:rPr>
          <w:sz w:val="24"/>
        </w:rPr>
      </w:pPr>
      <w:r>
        <w:rPr>
          <w:sz w:val="24"/>
        </w:rPr>
        <w:t>依据《基金合同》及有关法律规定决定基金收益的分配方案；</w:t>
      </w:r>
    </w:p>
    <w:p w14:paraId="30F268E1" w14:textId="77777777" w:rsidR="00CD61EF" w:rsidRDefault="002B79C0">
      <w:pPr>
        <w:pStyle w:val="af2"/>
        <w:numPr>
          <w:ilvl w:val="0"/>
          <w:numId w:val="1"/>
        </w:numPr>
        <w:tabs>
          <w:tab w:val="left" w:pos="1312"/>
        </w:tabs>
        <w:spacing w:before="132" w:line="345" w:lineRule="auto"/>
        <w:ind w:left="120" w:right="357" w:firstLine="479"/>
        <w:rPr>
          <w:sz w:val="24"/>
        </w:rPr>
      </w:pPr>
      <w:r>
        <w:rPr>
          <w:spacing w:val="-3"/>
          <w:sz w:val="24"/>
        </w:rPr>
        <w:t>在《基金合同》约定的范围内，拒绝或暂停受理申购、赎回或转换申</w:t>
      </w:r>
      <w:r>
        <w:rPr>
          <w:sz w:val="24"/>
        </w:rPr>
        <w:t>请；</w:t>
      </w:r>
    </w:p>
    <w:p w14:paraId="5EAE4160" w14:textId="77777777" w:rsidR="00CD61EF" w:rsidRDefault="002B79C0">
      <w:pPr>
        <w:pStyle w:val="af2"/>
        <w:numPr>
          <w:ilvl w:val="0"/>
          <w:numId w:val="1"/>
        </w:numPr>
        <w:tabs>
          <w:tab w:val="left" w:pos="1322"/>
        </w:tabs>
        <w:spacing w:before="0" w:line="343" w:lineRule="auto"/>
        <w:ind w:left="120" w:right="359" w:firstLine="479"/>
        <w:rPr>
          <w:sz w:val="24"/>
        </w:rPr>
      </w:pPr>
      <w:r>
        <w:rPr>
          <w:sz w:val="24"/>
        </w:rPr>
        <w:t>依照法律法规为基金的利益对被投资公司行使相关权利，为基金的利益行使因基金财产投资于证券所产生的权利；</w:t>
      </w:r>
    </w:p>
    <w:p w14:paraId="5E0EDE35" w14:textId="77777777" w:rsidR="00CD61EF" w:rsidRDefault="002B79C0">
      <w:pPr>
        <w:pStyle w:val="af2"/>
        <w:numPr>
          <w:ilvl w:val="0"/>
          <w:numId w:val="1"/>
        </w:numPr>
        <w:tabs>
          <w:tab w:val="left" w:pos="1322"/>
        </w:tabs>
        <w:spacing w:before="0"/>
        <w:ind w:left="1321" w:hanging="722"/>
        <w:rPr>
          <w:sz w:val="24"/>
        </w:rPr>
      </w:pPr>
      <w:r>
        <w:rPr>
          <w:sz w:val="24"/>
        </w:rPr>
        <w:t>在法律法规允许的前提下，为基金的利益依法为基金进行融资；</w:t>
      </w:r>
    </w:p>
    <w:p w14:paraId="7B6F8B64" w14:textId="77777777" w:rsidR="00CD61EF" w:rsidRDefault="002B79C0">
      <w:pPr>
        <w:pStyle w:val="af2"/>
        <w:numPr>
          <w:ilvl w:val="0"/>
          <w:numId w:val="1"/>
        </w:numPr>
        <w:tabs>
          <w:tab w:val="left" w:pos="1322"/>
        </w:tabs>
        <w:spacing w:before="129" w:line="343" w:lineRule="auto"/>
        <w:ind w:left="120" w:right="361" w:firstLine="479"/>
        <w:rPr>
          <w:sz w:val="24"/>
        </w:rPr>
      </w:pPr>
      <w:r>
        <w:rPr>
          <w:sz w:val="24"/>
        </w:rPr>
        <w:t>以基金管理人的名义，代表基金份额持有人的利益行使诉讼或仲裁权利，或者实施其他法律行为；</w:t>
      </w:r>
    </w:p>
    <w:p w14:paraId="01436A00" w14:textId="77777777" w:rsidR="00CD61EF" w:rsidRDefault="002B79C0">
      <w:pPr>
        <w:pStyle w:val="af2"/>
        <w:numPr>
          <w:ilvl w:val="0"/>
          <w:numId w:val="1"/>
        </w:numPr>
        <w:tabs>
          <w:tab w:val="left" w:pos="1322"/>
        </w:tabs>
        <w:spacing w:line="343" w:lineRule="auto"/>
        <w:ind w:left="120" w:right="359" w:firstLine="479"/>
        <w:jc w:val="both"/>
        <w:rPr>
          <w:sz w:val="24"/>
        </w:rPr>
      </w:pPr>
      <w:r>
        <w:rPr>
          <w:spacing w:val="-4"/>
          <w:sz w:val="24"/>
        </w:rPr>
        <w:t>选择、更换律师事务所、会计师事务所、证券经纪商、期货经纪机构</w:t>
      </w:r>
      <w:r>
        <w:rPr>
          <w:spacing w:val="-3"/>
          <w:sz w:val="24"/>
        </w:rPr>
        <w:t>或其他为基金提供服务的外部机构</w:t>
      </w:r>
      <w:r>
        <w:rPr>
          <w:sz w:val="24"/>
        </w:rPr>
        <w:t>；</w:t>
      </w:r>
    </w:p>
    <w:p w14:paraId="1246406B" w14:textId="77777777" w:rsidR="00CD61EF" w:rsidRDefault="002B79C0">
      <w:pPr>
        <w:pStyle w:val="af2"/>
        <w:numPr>
          <w:ilvl w:val="0"/>
          <w:numId w:val="1"/>
        </w:numPr>
        <w:tabs>
          <w:tab w:val="left" w:pos="1322"/>
        </w:tabs>
        <w:spacing w:line="343" w:lineRule="auto"/>
        <w:ind w:left="120" w:right="244" w:firstLine="479"/>
        <w:rPr>
          <w:sz w:val="24"/>
        </w:rPr>
      </w:pPr>
      <w:r>
        <w:rPr>
          <w:sz w:val="24"/>
        </w:rPr>
        <w:t>在符合有关法律、法规的前提下，制订和调整有关基金认购、申购、赎回、转换和非交易过户等的业务规则；</w:t>
      </w:r>
    </w:p>
    <w:p w14:paraId="2C22081D" w14:textId="77777777" w:rsidR="00CD61EF" w:rsidRDefault="002B79C0">
      <w:pPr>
        <w:pStyle w:val="af2"/>
        <w:numPr>
          <w:ilvl w:val="0"/>
          <w:numId w:val="1"/>
        </w:numPr>
        <w:tabs>
          <w:tab w:val="left" w:pos="1322"/>
        </w:tabs>
        <w:spacing w:before="0" w:line="306" w:lineRule="exact"/>
        <w:ind w:left="1321" w:hanging="722"/>
        <w:rPr>
          <w:sz w:val="24"/>
        </w:rPr>
      </w:pPr>
      <w:r>
        <w:rPr>
          <w:sz w:val="24"/>
        </w:rPr>
        <w:t>法律法规及中国证监会规定的和《基金合同》约定的其他权利。</w:t>
      </w:r>
    </w:p>
    <w:p w14:paraId="309E0B34" w14:textId="77777777" w:rsidR="00CD61EF" w:rsidRDefault="002B79C0">
      <w:pPr>
        <w:pStyle w:val="a5"/>
        <w:spacing w:before="134" w:line="343" w:lineRule="auto"/>
        <w:ind w:right="362"/>
      </w:pPr>
      <w:r>
        <w:rPr>
          <w:rFonts w:ascii="Times New Roman" w:eastAsia="Times New Roman"/>
        </w:rPr>
        <w:t>2</w:t>
      </w:r>
      <w:r>
        <w:rPr>
          <w:spacing w:val="-17"/>
        </w:rPr>
        <w:t>、根据《基金法》、《运作办法》及其他有关规定，基金管理人的义务包括</w:t>
      </w:r>
      <w:r>
        <w:t>但不限于：</w:t>
      </w:r>
    </w:p>
    <w:p w14:paraId="3A2090BC" w14:textId="77777777" w:rsidR="00CD61EF" w:rsidRDefault="002B79C0">
      <w:pPr>
        <w:pStyle w:val="af2"/>
        <w:numPr>
          <w:ilvl w:val="0"/>
          <w:numId w:val="2"/>
        </w:numPr>
        <w:tabs>
          <w:tab w:val="left" w:pos="1202"/>
        </w:tabs>
        <w:spacing w:before="0" w:line="345" w:lineRule="auto"/>
        <w:ind w:right="364" w:firstLine="479"/>
        <w:rPr>
          <w:sz w:val="24"/>
        </w:rPr>
      </w:pPr>
      <w:r>
        <w:rPr>
          <w:sz w:val="24"/>
        </w:rPr>
        <w:t>依法募集资金，办理或者委托经中国证监会认定的其他机构代为办理基金份额的发售、申购、赎回和登记事宜；</w:t>
      </w:r>
    </w:p>
    <w:p w14:paraId="0E5D5F65" w14:textId="77777777" w:rsidR="00CD61EF" w:rsidRDefault="002B79C0">
      <w:pPr>
        <w:pStyle w:val="af2"/>
        <w:numPr>
          <w:ilvl w:val="0"/>
          <w:numId w:val="2"/>
        </w:numPr>
        <w:tabs>
          <w:tab w:val="left" w:pos="1202"/>
        </w:tabs>
        <w:spacing w:before="0" w:line="303" w:lineRule="exact"/>
        <w:ind w:left="1201" w:hanging="602"/>
        <w:rPr>
          <w:sz w:val="24"/>
        </w:rPr>
      </w:pPr>
      <w:r>
        <w:rPr>
          <w:sz w:val="24"/>
        </w:rPr>
        <w:t>办理基金备案手续；</w:t>
      </w:r>
    </w:p>
    <w:p w14:paraId="2F214E74" w14:textId="77777777" w:rsidR="00CD61EF" w:rsidRDefault="002B79C0">
      <w:pPr>
        <w:pStyle w:val="af2"/>
        <w:numPr>
          <w:ilvl w:val="0"/>
          <w:numId w:val="2"/>
        </w:numPr>
        <w:tabs>
          <w:tab w:val="left" w:pos="1202"/>
        </w:tabs>
        <w:spacing w:before="131" w:line="345" w:lineRule="auto"/>
        <w:ind w:right="364" w:firstLine="479"/>
        <w:rPr>
          <w:sz w:val="24"/>
        </w:rPr>
      </w:pPr>
      <w:r>
        <w:rPr>
          <w:sz w:val="24"/>
        </w:rPr>
        <w:t>自《基金合同》生效之日起，以诚实信用、谨慎勤勉的原则管理和运用基金财产；</w:t>
      </w:r>
    </w:p>
    <w:p w14:paraId="2BCB8ACA" w14:textId="77777777" w:rsidR="00CD61EF" w:rsidRDefault="002B79C0">
      <w:pPr>
        <w:pStyle w:val="af2"/>
        <w:numPr>
          <w:ilvl w:val="0"/>
          <w:numId w:val="2"/>
        </w:numPr>
        <w:tabs>
          <w:tab w:val="left" w:pos="1202"/>
        </w:tabs>
        <w:spacing w:before="0" w:line="343" w:lineRule="auto"/>
        <w:ind w:right="364" w:firstLine="479"/>
        <w:rPr>
          <w:sz w:val="24"/>
        </w:rPr>
      </w:pPr>
      <w:r>
        <w:rPr>
          <w:sz w:val="24"/>
        </w:rPr>
        <w:t>配备足够的具有专业资格的人员进行基金投资分析、决策，以专业化的经营方式管理和运作基金财产；</w:t>
      </w:r>
    </w:p>
    <w:p w14:paraId="3A982845" w14:textId="77777777" w:rsidR="00CD61EF" w:rsidRDefault="002B79C0">
      <w:pPr>
        <w:pStyle w:val="af2"/>
        <w:numPr>
          <w:ilvl w:val="0"/>
          <w:numId w:val="2"/>
        </w:numPr>
        <w:tabs>
          <w:tab w:val="left" w:pos="1202"/>
        </w:tabs>
        <w:spacing w:before="0" w:line="343" w:lineRule="auto"/>
        <w:ind w:right="359" w:firstLine="479"/>
        <w:jc w:val="both"/>
        <w:rPr>
          <w:sz w:val="24"/>
        </w:rPr>
      </w:pPr>
      <w:r>
        <w:rPr>
          <w:sz w:val="24"/>
        </w:rPr>
        <w:t>建立健全内部风险控制、流动性风险管理、监察与稽核、财务管理及</w:t>
      </w:r>
      <w:r>
        <w:rPr>
          <w:spacing w:val="-3"/>
          <w:sz w:val="24"/>
        </w:rPr>
        <w:t>人事管理等制度，保证所管理的基金财产和基金管理人的财产相互独立，对所管</w:t>
      </w:r>
      <w:r>
        <w:rPr>
          <w:sz w:val="24"/>
        </w:rPr>
        <w:t>理的不同基金分别管理，分别记账，进行证券投资；</w:t>
      </w:r>
    </w:p>
    <w:p w14:paraId="7A4DC471" w14:textId="77777777" w:rsidR="00CD61EF" w:rsidRDefault="002B79C0">
      <w:pPr>
        <w:pStyle w:val="af2"/>
        <w:numPr>
          <w:ilvl w:val="0"/>
          <w:numId w:val="2"/>
        </w:numPr>
        <w:tabs>
          <w:tab w:val="left" w:pos="1202"/>
        </w:tabs>
        <w:spacing w:before="0" w:line="343" w:lineRule="auto"/>
        <w:ind w:right="359" w:firstLine="479"/>
        <w:jc w:val="both"/>
      </w:pPr>
      <w:r>
        <w:rPr>
          <w:sz w:val="24"/>
        </w:rPr>
        <w:t>除依据《基金法》、《基金合同》及其他有关规定外，不得利用基金财产为自己及任何第三人谋取利益，不得委托第三人运作基金财产；</w:t>
      </w:r>
    </w:p>
    <w:p w14:paraId="14761A0A" w14:textId="77777777" w:rsidR="00CD61EF" w:rsidRDefault="00CD61EF">
      <w:pPr>
        <w:sectPr w:rsidR="00CD61EF">
          <w:pgSz w:w="11910" w:h="16840"/>
          <w:pgMar w:top="1440" w:right="1440" w:bottom="1180" w:left="1680" w:header="877" w:footer="998" w:gutter="0"/>
          <w:cols w:space="720"/>
        </w:sectPr>
      </w:pPr>
    </w:p>
    <w:p w14:paraId="11D1B632" w14:textId="77777777" w:rsidR="00CD61EF" w:rsidRDefault="002B79C0">
      <w:pPr>
        <w:pStyle w:val="af2"/>
        <w:numPr>
          <w:ilvl w:val="0"/>
          <w:numId w:val="2"/>
        </w:numPr>
        <w:tabs>
          <w:tab w:val="left" w:pos="1202"/>
        </w:tabs>
        <w:spacing w:before="64"/>
        <w:ind w:left="1201" w:hanging="602"/>
        <w:rPr>
          <w:sz w:val="24"/>
        </w:rPr>
      </w:pPr>
      <w:r>
        <w:rPr>
          <w:sz w:val="24"/>
        </w:rPr>
        <w:lastRenderedPageBreak/>
        <w:t>依法接受基金托管人的监督；</w:t>
      </w:r>
    </w:p>
    <w:p w14:paraId="3547575C" w14:textId="77777777" w:rsidR="00CD61EF" w:rsidRDefault="002B79C0">
      <w:pPr>
        <w:pStyle w:val="af2"/>
        <w:numPr>
          <w:ilvl w:val="0"/>
          <w:numId w:val="2"/>
        </w:numPr>
        <w:tabs>
          <w:tab w:val="left" w:pos="1202"/>
        </w:tabs>
        <w:spacing w:before="160" w:line="364" w:lineRule="auto"/>
        <w:ind w:right="359" w:firstLine="479"/>
        <w:jc w:val="both"/>
        <w:rPr>
          <w:sz w:val="24"/>
        </w:rPr>
      </w:pPr>
      <w:r>
        <w:rPr>
          <w:sz w:val="24"/>
        </w:rPr>
        <w:t>采取适当合理的措施使计算基金份额认购、申购、赎回和注销价格的</w:t>
      </w:r>
      <w:r>
        <w:rPr>
          <w:spacing w:val="-3"/>
          <w:sz w:val="24"/>
        </w:rPr>
        <w:t>方法符合《基金合同》等法律文件的规定，按有关规定计算并公告基金净值，确</w:t>
      </w:r>
      <w:r>
        <w:rPr>
          <w:sz w:val="24"/>
        </w:rPr>
        <w:t>定基金份额申购、赎回的价格；</w:t>
      </w:r>
    </w:p>
    <w:p w14:paraId="0CEF2AEF" w14:textId="77777777" w:rsidR="00CD61EF" w:rsidRDefault="002B79C0">
      <w:pPr>
        <w:pStyle w:val="af2"/>
        <w:numPr>
          <w:ilvl w:val="0"/>
          <w:numId w:val="2"/>
        </w:numPr>
        <w:tabs>
          <w:tab w:val="left" w:pos="1202"/>
        </w:tabs>
        <w:spacing w:before="2"/>
        <w:ind w:left="1201" w:hanging="602"/>
        <w:rPr>
          <w:sz w:val="24"/>
        </w:rPr>
      </w:pPr>
      <w:r>
        <w:rPr>
          <w:sz w:val="24"/>
        </w:rPr>
        <w:t>进行基金会计核算并编制基金财务会计报告；</w:t>
      </w:r>
    </w:p>
    <w:p w14:paraId="4E4EC361" w14:textId="77777777" w:rsidR="00CD61EF" w:rsidRDefault="002B79C0">
      <w:pPr>
        <w:pStyle w:val="af2"/>
        <w:numPr>
          <w:ilvl w:val="0"/>
          <w:numId w:val="2"/>
        </w:numPr>
        <w:tabs>
          <w:tab w:val="left" w:pos="1322"/>
        </w:tabs>
        <w:spacing w:before="161"/>
        <w:ind w:left="1321" w:hanging="722"/>
        <w:rPr>
          <w:sz w:val="24"/>
        </w:rPr>
      </w:pPr>
      <w:r>
        <w:rPr>
          <w:sz w:val="24"/>
        </w:rPr>
        <w:t>编制季度、中期和年度基金定期报告；</w:t>
      </w:r>
    </w:p>
    <w:p w14:paraId="3EAA2EB0" w14:textId="77777777" w:rsidR="00CD61EF" w:rsidRDefault="002B79C0">
      <w:pPr>
        <w:pStyle w:val="af2"/>
        <w:numPr>
          <w:ilvl w:val="0"/>
          <w:numId w:val="2"/>
        </w:numPr>
        <w:tabs>
          <w:tab w:val="left" w:pos="1312"/>
        </w:tabs>
        <w:spacing w:before="160" w:line="364" w:lineRule="auto"/>
        <w:ind w:right="357" w:firstLine="479"/>
        <w:rPr>
          <w:sz w:val="24"/>
        </w:rPr>
      </w:pPr>
      <w:r>
        <w:rPr>
          <w:spacing w:val="-19"/>
          <w:sz w:val="24"/>
        </w:rPr>
        <w:t>严格按照《基金法》、《基金合同》及其他有关规定，履行信息披露及</w:t>
      </w:r>
      <w:r>
        <w:rPr>
          <w:sz w:val="24"/>
        </w:rPr>
        <w:t>报告义务；</w:t>
      </w:r>
    </w:p>
    <w:p w14:paraId="21CDF699" w14:textId="77777777" w:rsidR="00CD61EF" w:rsidRDefault="002B79C0">
      <w:pPr>
        <w:pStyle w:val="af2"/>
        <w:numPr>
          <w:ilvl w:val="0"/>
          <w:numId w:val="2"/>
        </w:numPr>
        <w:tabs>
          <w:tab w:val="left" w:pos="1322"/>
        </w:tabs>
        <w:ind w:left="1321" w:hanging="722"/>
        <w:rPr>
          <w:sz w:val="24"/>
        </w:rPr>
      </w:pPr>
      <w:r>
        <w:rPr>
          <w:spacing w:val="-26"/>
          <w:sz w:val="24"/>
        </w:rPr>
        <w:t>保守基金商业秘密，不泄露基金投资计划、投资意向等。除《基金法》、</w:t>
      </w:r>
    </w:p>
    <w:p w14:paraId="757A0B31" w14:textId="77777777" w:rsidR="00CD61EF" w:rsidRDefault="002B79C0">
      <w:pPr>
        <w:pStyle w:val="a5"/>
        <w:spacing w:before="162" w:line="364" w:lineRule="auto"/>
        <w:ind w:right="357" w:firstLine="0"/>
      </w:pPr>
      <w:r>
        <w:rPr>
          <w:spacing w:val="-3"/>
        </w:rPr>
        <w:t>《基金合同》及其他有关规定另有规定外，在基金信息公开披露前应予保密，不</w:t>
      </w:r>
      <w:r>
        <w:t>向他人泄露；</w:t>
      </w:r>
    </w:p>
    <w:p w14:paraId="660C5F2B" w14:textId="77777777" w:rsidR="00CD61EF" w:rsidRDefault="002B79C0">
      <w:pPr>
        <w:pStyle w:val="af2"/>
        <w:numPr>
          <w:ilvl w:val="0"/>
          <w:numId w:val="2"/>
        </w:numPr>
        <w:tabs>
          <w:tab w:val="left" w:pos="1322"/>
        </w:tabs>
        <w:spacing w:line="364" w:lineRule="auto"/>
        <w:ind w:right="357" w:firstLine="479"/>
        <w:rPr>
          <w:sz w:val="24"/>
        </w:rPr>
      </w:pPr>
      <w:r>
        <w:rPr>
          <w:sz w:val="24"/>
        </w:rPr>
        <w:t>按《基金合同》的约定确定基金收益分配方案，及时向基金份额持有人分配基金收益；</w:t>
      </w:r>
    </w:p>
    <w:p w14:paraId="03ABE4F1" w14:textId="77777777" w:rsidR="00CD61EF" w:rsidRDefault="002B79C0">
      <w:pPr>
        <w:pStyle w:val="af2"/>
        <w:numPr>
          <w:ilvl w:val="0"/>
          <w:numId w:val="2"/>
        </w:numPr>
        <w:tabs>
          <w:tab w:val="left" w:pos="1322"/>
        </w:tabs>
        <w:ind w:left="1321" w:hanging="722"/>
        <w:rPr>
          <w:sz w:val="24"/>
        </w:rPr>
      </w:pPr>
      <w:r>
        <w:rPr>
          <w:sz w:val="24"/>
        </w:rPr>
        <w:t>按规定受理申购与赎回申请，及时、足额支付赎回款项；</w:t>
      </w:r>
    </w:p>
    <w:p w14:paraId="747AAFBD" w14:textId="77777777" w:rsidR="00CD61EF" w:rsidRDefault="002B79C0">
      <w:pPr>
        <w:pStyle w:val="af2"/>
        <w:numPr>
          <w:ilvl w:val="0"/>
          <w:numId w:val="2"/>
        </w:numPr>
        <w:tabs>
          <w:tab w:val="left" w:pos="1322"/>
        </w:tabs>
        <w:spacing w:before="160" w:line="364" w:lineRule="auto"/>
        <w:ind w:right="361" w:firstLine="479"/>
        <w:rPr>
          <w:sz w:val="24"/>
        </w:rPr>
      </w:pPr>
      <w:r>
        <w:rPr>
          <w:spacing w:val="-18"/>
          <w:sz w:val="24"/>
        </w:rPr>
        <w:t>依据《基金法》、《基金合同》及其他有关规定召集基金份额持有人</w:t>
      </w:r>
      <w:r>
        <w:rPr>
          <w:sz w:val="24"/>
        </w:rPr>
        <w:t>大会或配合基金托管人、基金份额持有人依法召集基金份额持有人大会；</w:t>
      </w:r>
    </w:p>
    <w:p w14:paraId="21B4DCB9" w14:textId="77777777" w:rsidR="00CD61EF" w:rsidRDefault="002B79C0">
      <w:pPr>
        <w:pStyle w:val="af2"/>
        <w:numPr>
          <w:ilvl w:val="0"/>
          <w:numId w:val="2"/>
        </w:numPr>
        <w:tabs>
          <w:tab w:val="left" w:pos="1322"/>
        </w:tabs>
        <w:spacing w:before="2" w:line="364" w:lineRule="auto"/>
        <w:ind w:right="357" w:firstLine="479"/>
        <w:rPr>
          <w:sz w:val="24"/>
        </w:rPr>
      </w:pPr>
      <w:r>
        <w:rPr>
          <w:sz w:val="24"/>
        </w:rPr>
        <w:t>按规定保存基金财产管理业务活动的会计账册、报表、记录和其他</w:t>
      </w:r>
      <w:r>
        <w:rPr>
          <w:spacing w:val="-13"/>
          <w:sz w:val="24"/>
        </w:rPr>
        <w:t xml:space="preserve">相关资料 </w:t>
      </w:r>
      <w:r>
        <w:rPr>
          <w:rFonts w:ascii="Times New Roman" w:eastAsia="Times New Roman"/>
          <w:sz w:val="24"/>
        </w:rPr>
        <w:t xml:space="preserve">15 </w:t>
      </w:r>
      <w:r>
        <w:rPr>
          <w:sz w:val="24"/>
        </w:rPr>
        <w:t>年以上；</w:t>
      </w:r>
    </w:p>
    <w:p w14:paraId="328470D0" w14:textId="77777777" w:rsidR="00CD61EF" w:rsidRDefault="002B79C0">
      <w:pPr>
        <w:pStyle w:val="af2"/>
        <w:numPr>
          <w:ilvl w:val="0"/>
          <w:numId w:val="2"/>
        </w:numPr>
        <w:tabs>
          <w:tab w:val="left" w:pos="1322"/>
        </w:tabs>
        <w:spacing w:line="364" w:lineRule="auto"/>
        <w:ind w:right="357" w:firstLine="479"/>
        <w:jc w:val="both"/>
        <w:rPr>
          <w:sz w:val="24"/>
        </w:rPr>
      </w:pPr>
      <w:r>
        <w:rPr>
          <w:sz w:val="24"/>
        </w:rPr>
        <w:t>确保需要向基金投资者提供的各项文件或资料在规定时间发出，并</w:t>
      </w:r>
      <w:r>
        <w:rPr>
          <w:spacing w:val="-3"/>
          <w:sz w:val="24"/>
        </w:rPr>
        <w:t>且保证投资者能够按照《基金合同》规定的时间和方式，随时查阅到与基金有关</w:t>
      </w:r>
      <w:r>
        <w:rPr>
          <w:sz w:val="24"/>
        </w:rPr>
        <w:t>的公开资料，并在支付合理成本的条件下得到有关资料的复印件；</w:t>
      </w:r>
    </w:p>
    <w:p w14:paraId="1DE8999B" w14:textId="77777777" w:rsidR="00CD61EF" w:rsidRDefault="002B79C0">
      <w:pPr>
        <w:pStyle w:val="af2"/>
        <w:numPr>
          <w:ilvl w:val="0"/>
          <w:numId w:val="2"/>
        </w:numPr>
        <w:tabs>
          <w:tab w:val="left" w:pos="1322"/>
        </w:tabs>
        <w:spacing w:before="2" w:line="364" w:lineRule="auto"/>
        <w:ind w:right="244" w:firstLine="479"/>
        <w:rPr>
          <w:sz w:val="24"/>
        </w:rPr>
      </w:pPr>
      <w:r>
        <w:rPr>
          <w:sz w:val="24"/>
        </w:rPr>
        <w:t>组织并参加基金财产清算小组，参与基金财产的保管、清理、估价、变现和分配；</w:t>
      </w:r>
    </w:p>
    <w:p w14:paraId="7F599211" w14:textId="77777777" w:rsidR="00CD61EF" w:rsidRDefault="002B79C0">
      <w:pPr>
        <w:pStyle w:val="af2"/>
        <w:numPr>
          <w:ilvl w:val="0"/>
          <w:numId w:val="2"/>
        </w:numPr>
        <w:tabs>
          <w:tab w:val="left" w:pos="1322"/>
        </w:tabs>
        <w:spacing w:line="364" w:lineRule="auto"/>
        <w:ind w:right="357" w:firstLine="479"/>
        <w:rPr>
          <w:sz w:val="24"/>
        </w:rPr>
      </w:pPr>
      <w:r>
        <w:rPr>
          <w:sz w:val="24"/>
        </w:rPr>
        <w:t>面临解散、依法被撤销或者被依法宣告破产时，及时报告中国证监会并通知基金托管人；</w:t>
      </w:r>
    </w:p>
    <w:p w14:paraId="2A459050" w14:textId="77777777" w:rsidR="00CD61EF" w:rsidRDefault="002B79C0">
      <w:pPr>
        <w:pStyle w:val="af2"/>
        <w:numPr>
          <w:ilvl w:val="0"/>
          <w:numId w:val="2"/>
        </w:numPr>
        <w:tabs>
          <w:tab w:val="left" w:pos="1322"/>
        </w:tabs>
        <w:spacing w:before="2" w:line="364" w:lineRule="auto"/>
        <w:ind w:right="357" w:firstLine="479"/>
        <w:rPr>
          <w:sz w:val="24"/>
        </w:rPr>
      </w:pPr>
      <w:r>
        <w:rPr>
          <w:sz w:val="24"/>
        </w:rPr>
        <w:t>因违反《基金合同》导致基金财产的损失或损害基金份额持有人合法权益时，应当承担赔偿责任，其赔偿责任不因其退任而免除；</w:t>
      </w:r>
    </w:p>
    <w:p w14:paraId="49BE0389" w14:textId="77777777" w:rsidR="00CD61EF" w:rsidRDefault="002B79C0">
      <w:pPr>
        <w:pStyle w:val="af2"/>
        <w:numPr>
          <w:ilvl w:val="0"/>
          <w:numId w:val="2"/>
        </w:numPr>
        <w:tabs>
          <w:tab w:val="left" w:pos="1322"/>
        </w:tabs>
        <w:spacing w:before="2" w:line="364" w:lineRule="auto"/>
        <w:ind w:right="357" w:firstLine="479"/>
      </w:pPr>
      <w:r>
        <w:rPr>
          <w:sz w:val="24"/>
        </w:rPr>
        <w:t>监督基金托管人按法律法规和《基金合同》规定履行自己的义务， 基金托管人违反《基金合同》造成基金财产损失时，基金管理人应为基金份额持有人利益向基金托管人追偿；</w:t>
      </w:r>
    </w:p>
    <w:p w14:paraId="199A7AA2" w14:textId="77777777" w:rsidR="00CD61EF" w:rsidRDefault="002B79C0">
      <w:pPr>
        <w:pStyle w:val="af2"/>
        <w:numPr>
          <w:ilvl w:val="0"/>
          <w:numId w:val="2"/>
        </w:numPr>
        <w:tabs>
          <w:tab w:val="left" w:pos="1322"/>
        </w:tabs>
        <w:spacing w:before="160" w:line="364" w:lineRule="auto"/>
        <w:ind w:right="239" w:firstLine="479"/>
        <w:jc w:val="both"/>
        <w:rPr>
          <w:sz w:val="24"/>
        </w:rPr>
      </w:pPr>
      <w:r>
        <w:rPr>
          <w:sz w:val="24"/>
        </w:rPr>
        <w:lastRenderedPageBreak/>
        <w:t>当基金管理人将其义务委托第三方处理时，应当对第三方处理有关基</w:t>
      </w:r>
      <w:r>
        <w:rPr>
          <w:spacing w:val="-9"/>
          <w:sz w:val="24"/>
        </w:rPr>
        <w:t>金事务的行为承担责任，但因第三方责任导致基金财产或基金份额持有人利益受</w:t>
      </w:r>
      <w:r>
        <w:rPr>
          <w:spacing w:val="-17"/>
          <w:sz w:val="24"/>
        </w:rPr>
        <w:t>到损失，而基金管理人首先承担了责任的情况下，基金管理人有权向第三方追偿；</w:t>
      </w:r>
    </w:p>
    <w:p w14:paraId="565F66DA" w14:textId="77777777" w:rsidR="00CD61EF" w:rsidRDefault="002B79C0">
      <w:pPr>
        <w:pStyle w:val="af2"/>
        <w:numPr>
          <w:ilvl w:val="0"/>
          <w:numId w:val="2"/>
        </w:numPr>
        <w:tabs>
          <w:tab w:val="left" w:pos="1322"/>
        </w:tabs>
        <w:spacing w:before="2" w:line="364" w:lineRule="auto"/>
        <w:ind w:right="361" w:firstLine="479"/>
        <w:rPr>
          <w:sz w:val="24"/>
        </w:rPr>
      </w:pPr>
      <w:r>
        <w:rPr>
          <w:sz w:val="24"/>
        </w:rPr>
        <w:t>以基金管理人名义，代表基金份额持有人利益行使诉讼权利或实施其他法律行为；</w:t>
      </w:r>
    </w:p>
    <w:p w14:paraId="24F99668" w14:textId="77777777" w:rsidR="00CD61EF" w:rsidRDefault="002B79C0">
      <w:pPr>
        <w:pStyle w:val="af2"/>
        <w:numPr>
          <w:ilvl w:val="0"/>
          <w:numId w:val="2"/>
        </w:numPr>
        <w:tabs>
          <w:tab w:val="left" w:pos="1322"/>
        </w:tabs>
        <w:spacing w:line="364" w:lineRule="auto"/>
        <w:ind w:right="359" w:firstLine="479"/>
        <w:jc w:val="both"/>
        <w:rPr>
          <w:sz w:val="24"/>
        </w:rPr>
      </w:pPr>
      <w:r>
        <w:rPr>
          <w:spacing w:val="-6"/>
          <w:sz w:val="24"/>
        </w:rPr>
        <w:t>基金在募集期间未能达到基金的备案条件，《基金合同》不能</w:t>
      </w:r>
      <w:r>
        <w:rPr>
          <w:spacing w:val="-3"/>
          <w:sz w:val="24"/>
        </w:rPr>
        <w:t>生效，基金管理人承担因募集行为而产生的债务和费用，将已募集资金并加计银</w:t>
      </w:r>
      <w:r>
        <w:rPr>
          <w:spacing w:val="-4"/>
          <w:sz w:val="24"/>
        </w:rPr>
        <w:t xml:space="preserve">行同期活期存款利息在基金募集期结束后 </w:t>
      </w:r>
      <w:r>
        <w:rPr>
          <w:rFonts w:ascii="Times New Roman" w:eastAsia="Times New Roman"/>
          <w:sz w:val="24"/>
        </w:rPr>
        <w:t xml:space="preserve">30 </w:t>
      </w:r>
      <w:r>
        <w:rPr>
          <w:sz w:val="24"/>
        </w:rPr>
        <w:t>日内退还基金认购人；</w:t>
      </w:r>
    </w:p>
    <w:p w14:paraId="160BEC20" w14:textId="77777777" w:rsidR="00CD61EF" w:rsidRDefault="002B79C0">
      <w:pPr>
        <w:pStyle w:val="af2"/>
        <w:numPr>
          <w:ilvl w:val="0"/>
          <w:numId w:val="2"/>
        </w:numPr>
        <w:tabs>
          <w:tab w:val="left" w:pos="1322"/>
        </w:tabs>
        <w:spacing w:before="3"/>
        <w:ind w:left="1321" w:hanging="722"/>
        <w:rPr>
          <w:sz w:val="24"/>
        </w:rPr>
      </w:pPr>
      <w:r>
        <w:rPr>
          <w:sz w:val="24"/>
        </w:rPr>
        <w:t>执行生效的基金份额持有人大会的决议；</w:t>
      </w:r>
    </w:p>
    <w:p w14:paraId="626E4105" w14:textId="77777777" w:rsidR="00CD61EF" w:rsidRDefault="002B79C0">
      <w:pPr>
        <w:pStyle w:val="af2"/>
        <w:numPr>
          <w:ilvl w:val="0"/>
          <w:numId w:val="2"/>
        </w:numPr>
        <w:tabs>
          <w:tab w:val="left" w:pos="1322"/>
        </w:tabs>
        <w:spacing w:before="160"/>
        <w:ind w:left="1321" w:hanging="722"/>
        <w:rPr>
          <w:sz w:val="24"/>
        </w:rPr>
      </w:pPr>
      <w:r>
        <w:rPr>
          <w:sz w:val="24"/>
        </w:rPr>
        <w:t>建立并保存基金份额持有人名册；</w:t>
      </w:r>
    </w:p>
    <w:p w14:paraId="3AC13BE7" w14:textId="77777777" w:rsidR="00CD61EF" w:rsidRDefault="002B79C0">
      <w:pPr>
        <w:pStyle w:val="af2"/>
        <w:numPr>
          <w:ilvl w:val="0"/>
          <w:numId w:val="2"/>
        </w:numPr>
        <w:tabs>
          <w:tab w:val="left" w:pos="1322"/>
        </w:tabs>
        <w:spacing w:before="161" w:line="364" w:lineRule="auto"/>
        <w:ind w:left="600" w:right="745" w:firstLine="0"/>
        <w:rPr>
          <w:sz w:val="24"/>
        </w:rPr>
      </w:pPr>
      <w:r>
        <w:rPr>
          <w:spacing w:val="-1"/>
          <w:sz w:val="24"/>
        </w:rPr>
        <w:t>法律法规及中国证监会规定的和《基金合同》约定的其他义务。</w:t>
      </w:r>
      <w:r>
        <w:rPr>
          <w:sz w:val="24"/>
        </w:rPr>
        <w:t>二、基金托管人</w:t>
      </w:r>
    </w:p>
    <w:p w14:paraId="2223D3A7"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基金托管人简况</w:t>
      </w:r>
    </w:p>
    <w:p w14:paraId="537B7320"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名称：平安银行股份有限公司</w:t>
      </w:r>
    </w:p>
    <w:p w14:paraId="41FC7B13"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住所：广东省深圳市罗湖区深南东路</w:t>
      </w:r>
      <w:r>
        <w:rPr>
          <w:rFonts w:ascii="Times New Roman" w:hAnsi="Times New Roman" w:cs="Times New Roman"/>
          <w:bCs/>
          <w:kern w:val="2"/>
          <w:sz w:val="24"/>
          <w:szCs w:val="24"/>
        </w:rPr>
        <w:t>5047</w:t>
      </w:r>
      <w:r>
        <w:rPr>
          <w:rFonts w:ascii="Times New Roman" w:hAnsi="Times New Roman" w:cs="Times New Roman" w:hint="eastAsia"/>
          <w:bCs/>
          <w:kern w:val="2"/>
          <w:sz w:val="24"/>
          <w:szCs w:val="24"/>
        </w:rPr>
        <w:t>号</w:t>
      </w:r>
    </w:p>
    <w:p w14:paraId="0E0A69B0"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法定代表人：谢永林</w:t>
      </w:r>
    </w:p>
    <w:p w14:paraId="408539FD"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成立时间：</w:t>
      </w:r>
      <w:r>
        <w:rPr>
          <w:rFonts w:ascii="Times New Roman" w:hAnsi="Times New Roman" w:cs="Times New Roman"/>
          <w:bCs/>
          <w:kern w:val="2"/>
          <w:sz w:val="24"/>
          <w:szCs w:val="24"/>
        </w:rPr>
        <w:t>1987</w:t>
      </w:r>
      <w:r>
        <w:rPr>
          <w:rFonts w:ascii="Times New Roman" w:hAnsi="Times New Roman" w:cs="Times New Roman" w:hint="eastAsia"/>
          <w:bCs/>
          <w:kern w:val="2"/>
          <w:sz w:val="24"/>
          <w:szCs w:val="24"/>
        </w:rPr>
        <w:t>年</w:t>
      </w:r>
      <w:r>
        <w:rPr>
          <w:rFonts w:ascii="Times New Roman" w:hAnsi="Times New Roman" w:cs="Times New Roman"/>
          <w:bCs/>
          <w:kern w:val="2"/>
          <w:sz w:val="24"/>
          <w:szCs w:val="24"/>
        </w:rPr>
        <w:t>12</w:t>
      </w:r>
      <w:r>
        <w:rPr>
          <w:rFonts w:ascii="Times New Roman" w:hAnsi="Times New Roman" w:cs="Times New Roman" w:hint="eastAsia"/>
          <w:bCs/>
          <w:kern w:val="2"/>
          <w:sz w:val="24"/>
          <w:szCs w:val="24"/>
        </w:rPr>
        <w:t>月</w:t>
      </w:r>
      <w:r>
        <w:rPr>
          <w:rFonts w:ascii="Times New Roman" w:hAnsi="Times New Roman" w:cs="Times New Roman"/>
          <w:bCs/>
          <w:kern w:val="2"/>
          <w:sz w:val="24"/>
          <w:szCs w:val="24"/>
        </w:rPr>
        <w:t>22</w:t>
      </w:r>
      <w:r>
        <w:rPr>
          <w:rFonts w:ascii="Times New Roman" w:hAnsi="Times New Roman" w:cs="Times New Roman" w:hint="eastAsia"/>
          <w:bCs/>
          <w:kern w:val="2"/>
          <w:sz w:val="24"/>
          <w:szCs w:val="24"/>
        </w:rPr>
        <w:t>日</w:t>
      </w:r>
    </w:p>
    <w:p w14:paraId="520E6977"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组织形式：股份有限公司</w:t>
      </w:r>
    </w:p>
    <w:p w14:paraId="0DF0C9CF"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注册资本：</w:t>
      </w:r>
      <w:r>
        <w:rPr>
          <w:rFonts w:ascii="Times New Roman" w:hAnsi="Times New Roman" w:cs="Times New Roman"/>
          <w:bCs/>
          <w:kern w:val="2"/>
          <w:sz w:val="24"/>
          <w:szCs w:val="24"/>
        </w:rPr>
        <w:t>19,405,918,198</w:t>
      </w:r>
      <w:r>
        <w:rPr>
          <w:rFonts w:ascii="Times New Roman" w:hAnsi="Times New Roman" w:cs="Times New Roman" w:hint="eastAsia"/>
          <w:bCs/>
          <w:kern w:val="2"/>
          <w:sz w:val="24"/>
          <w:szCs w:val="24"/>
        </w:rPr>
        <w:t>元人民币</w:t>
      </w:r>
    </w:p>
    <w:p w14:paraId="697AB9ED"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存续期间：持续经营</w:t>
      </w:r>
    </w:p>
    <w:p w14:paraId="243BADFD"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基金托管资格批文及文号：中国证监会证监许可</w:t>
      </w:r>
      <w:r>
        <w:rPr>
          <w:rFonts w:ascii="Times New Roman" w:hAnsi="Times New Roman" w:cs="Times New Roman"/>
          <w:bCs/>
          <w:kern w:val="2"/>
          <w:sz w:val="24"/>
          <w:szCs w:val="24"/>
        </w:rPr>
        <w:t>[2008]1037</w:t>
      </w:r>
      <w:r>
        <w:rPr>
          <w:rFonts w:ascii="Times New Roman" w:hAnsi="Times New Roman" w:cs="Times New Roman" w:hint="eastAsia"/>
          <w:bCs/>
          <w:kern w:val="2"/>
          <w:sz w:val="24"/>
          <w:szCs w:val="24"/>
        </w:rPr>
        <w:t>号</w:t>
      </w:r>
    </w:p>
    <w:p w14:paraId="208E842D" w14:textId="77777777" w:rsidR="00CD61EF" w:rsidRDefault="002B79C0">
      <w:pPr>
        <w:autoSpaceDE/>
        <w:autoSpaceDN/>
        <w:adjustRightInd w:val="0"/>
        <w:snapToGrid w:val="0"/>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基金托管人的权利与义务</w:t>
      </w:r>
    </w:p>
    <w:p w14:paraId="16716DD8" w14:textId="77777777" w:rsidR="00CD61EF" w:rsidRDefault="002B79C0">
      <w:pPr>
        <w:pStyle w:val="a5"/>
        <w:spacing w:before="160" w:line="364" w:lineRule="auto"/>
        <w:ind w:right="362"/>
      </w:pPr>
      <w:r>
        <w:rPr>
          <w:rFonts w:ascii="Times New Roman" w:eastAsia="Times New Roman"/>
        </w:rPr>
        <w:t>1</w:t>
      </w:r>
      <w:r>
        <w:rPr>
          <w:spacing w:val="-17"/>
        </w:rPr>
        <w:t>、根据《基金法》、《运作办法》及其他有关规定，基金托管人的权利包括</w:t>
      </w:r>
      <w:r>
        <w:t>但不限于：</w:t>
      </w:r>
    </w:p>
    <w:p w14:paraId="188FB37D" w14:textId="77777777" w:rsidR="00CD61EF" w:rsidRDefault="00CD61EF">
      <w:pPr>
        <w:spacing w:line="364" w:lineRule="auto"/>
        <w:sectPr w:rsidR="00CD61EF">
          <w:pgSz w:w="11910" w:h="16840"/>
          <w:pgMar w:top="1440" w:right="1440" w:bottom="1180" w:left="1680" w:header="877" w:footer="998" w:gutter="0"/>
          <w:cols w:space="720"/>
        </w:sectPr>
      </w:pPr>
    </w:p>
    <w:p w14:paraId="5BE588D7" w14:textId="77777777" w:rsidR="00CD61EF" w:rsidRDefault="002B79C0">
      <w:pPr>
        <w:pStyle w:val="af2"/>
        <w:numPr>
          <w:ilvl w:val="0"/>
          <w:numId w:val="3"/>
        </w:numPr>
        <w:tabs>
          <w:tab w:val="left" w:pos="1202"/>
        </w:tabs>
        <w:spacing w:before="64" w:line="364" w:lineRule="auto"/>
        <w:ind w:right="361" w:firstLine="479"/>
        <w:rPr>
          <w:sz w:val="24"/>
        </w:rPr>
      </w:pPr>
      <w:r>
        <w:rPr>
          <w:spacing w:val="-6"/>
          <w:sz w:val="24"/>
        </w:rPr>
        <w:lastRenderedPageBreak/>
        <w:t>自《基金合同》生效之日起，依法律法规和《基金合同》</w:t>
      </w:r>
      <w:r>
        <w:rPr>
          <w:spacing w:val="-27"/>
          <w:sz w:val="24"/>
        </w:rPr>
        <w:t>、《托管协议</w:t>
      </w:r>
      <w:r>
        <w:rPr>
          <w:sz w:val="24"/>
        </w:rPr>
        <w:t>》的规定安全保管基金财产；</w:t>
      </w:r>
    </w:p>
    <w:p w14:paraId="0FBF966C" w14:textId="77777777" w:rsidR="00CD61EF" w:rsidRDefault="002B79C0">
      <w:pPr>
        <w:pStyle w:val="af2"/>
        <w:numPr>
          <w:ilvl w:val="0"/>
          <w:numId w:val="3"/>
        </w:numPr>
        <w:tabs>
          <w:tab w:val="left" w:pos="1202"/>
        </w:tabs>
        <w:spacing w:line="364" w:lineRule="auto"/>
        <w:ind w:right="364" w:firstLine="479"/>
        <w:rPr>
          <w:sz w:val="24"/>
        </w:rPr>
      </w:pPr>
      <w:r>
        <w:rPr>
          <w:sz w:val="24"/>
        </w:rPr>
        <w:t>依《基金合同》约定获得基金托管费以及法律法规规定或监管部门批准的其他费用；</w:t>
      </w:r>
    </w:p>
    <w:p w14:paraId="43FA5971" w14:textId="77777777" w:rsidR="00CD61EF" w:rsidRDefault="002B79C0">
      <w:pPr>
        <w:pStyle w:val="af2"/>
        <w:numPr>
          <w:ilvl w:val="0"/>
          <w:numId w:val="3"/>
        </w:numPr>
        <w:tabs>
          <w:tab w:val="left" w:pos="1202"/>
        </w:tabs>
        <w:spacing w:line="364" w:lineRule="auto"/>
        <w:ind w:right="357" w:firstLine="479"/>
        <w:jc w:val="both"/>
        <w:rPr>
          <w:sz w:val="24"/>
        </w:rPr>
      </w:pPr>
      <w:r>
        <w:rPr>
          <w:sz w:val="24"/>
        </w:rPr>
        <w:t>监督基金管理人对本基金的投资运作，如发现基金管理人有违反《基</w:t>
      </w:r>
      <w:r>
        <w:rPr>
          <w:spacing w:val="-3"/>
          <w:sz w:val="24"/>
        </w:rPr>
        <w:t>金合同》及国家法律法规行为，对基金财产、其他当事人的利益造成重大损失的</w:t>
      </w:r>
      <w:r>
        <w:rPr>
          <w:sz w:val="24"/>
        </w:rPr>
        <w:t>情形，应呈报中国证监会，并采取必要措施保护基金投资者的利益；</w:t>
      </w:r>
    </w:p>
    <w:p w14:paraId="76462455" w14:textId="77777777" w:rsidR="00CD61EF" w:rsidRDefault="002B79C0">
      <w:pPr>
        <w:pStyle w:val="af2"/>
        <w:numPr>
          <w:ilvl w:val="0"/>
          <w:numId w:val="3"/>
        </w:numPr>
        <w:tabs>
          <w:tab w:val="left" w:pos="1202"/>
        </w:tabs>
        <w:spacing w:before="2" w:line="364" w:lineRule="auto"/>
        <w:ind w:right="357" w:firstLine="479"/>
        <w:jc w:val="both"/>
        <w:rPr>
          <w:sz w:val="24"/>
        </w:rPr>
      </w:pPr>
      <w:r>
        <w:rPr>
          <w:spacing w:val="-12"/>
          <w:sz w:val="24"/>
        </w:rPr>
        <w:t>根据相关市场规则，为基金开设资金账户、证券账户等投资所需账户</w:t>
      </w:r>
      <w:r>
        <w:rPr>
          <w:spacing w:val="-4"/>
          <w:sz w:val="24"/>
        </w:rPr>
        <w:t>、协助提供开立期货业务相关账户及交易编码的基金托管人相关信息、为基金办</w:t>
      </w:r>
      <w:r>
        <w:rPr>
          <w:sz w:val="24"/>
        </w:rPr>
        <w:t>理证券、期货交易资金清算；</w:t>
      </w:r>
    </w:p>
    <w:p w14:paraId="7BECBA60" w14:textId="77777777" w:rsidR="00CD61EF" w:rsidRDefault="002B79C0">
      <w:pPr>
        <w:pStyle w:val="af2"/>
        <w:numPr>
          <w:ilvl w:val="0"/>
          <w:numId w:val="3"/>
        </w:numPr>
        <w:tabs>
          <w:tab w:val="left" w:pos="1202"/>
        </w:tabs>
        <w:spacing w:before="3"/>
        <w:ind w:left="1201" w:hanging="602"/>
        <w:rPr>
          <w:sz w:val="24"/>
        </w:rPr>
      </w:pPr>
      <w:r>
        <w:rPr>
          <w:sz w:val="24"/>
        </w:rPr>
        <w:t>提议召开或召集基金份额持有人大会；</w:t>
      </w:r>
    </w:p>
    <w:p w14:paraId="43B6EB7D" w14:textId="77777777" w:rsidR="00CD61EF" w:rsidRDefault="002B79C0">
      <w:pPr>
        <w:pStyle w:val="af2"/>
        <w:numPr>
          <w:ilvl w:val="0"/>
          <w:numId w:val="3"/>
        </w:numPr>
        <w:tabs>
          <w:tab w:val="left" w:pos="1202"/>
        </w:tabs>
        <w:spacing w:before="160"/>
        <w:ind w:left="1201" w:hanging="602"/>
        <w:rPr>
          <w:sz w:val="24"/>
        </w:rPr>
      </w:pPr>
      <w:r>
        <w:rPr>
          <w:sz w:val="24"/>
        </w:rPr>
        <w:t>在基金管理人更换时，提名新的基金管理人；</w:t>
      </w:r>
    </w:p>
    <w:p w14:paraId="5B74E291" w14:textId="77777777" w:rsidR="00CD61EF" w:rsidRDefault="002B79C0">
      <w:pPr>
        <w:pStyle w:val="af2"/>
        <w:numPr>
          <w:ilvl w:val="0"/>
          <w:numId w:val="3"/>
        </w:numPr>
        <w:tabs>
          <w:tab w:val="left" w:pos="1202"/>
        </w:tabs>
        <w:spacing w:before="161"/>
        <w:ind w:left="1201" w:hanging="602"/>
        <w:rPr>
          <w:sz w:val="24"/>
        </w:rPr>
      </w:pPr>
      <w:r>
        <w:rPr>
          <w:sz w:val="24"/>
        </w:rPr>
        <w:t>法律法规及中国证监会规定的和《基金合同》约定的其他权利。</w:t>
      </w:r>
    </w:p>
    <w:p w14:paraId="2E24AB72" w14:textId="77777777" w:rsidR="00CD61EF" w:rsidRDefault="002B79C0">
      <w:pPr>
        <w:pStyle w:val="a5"/>
        <w:spacing w:before="160" w:line="364" w:lineRule="auto"/>
        <w:ind w:right="362"/>
      </w:pPr>
      <w:r>
        <w:rPr>
          <w:rFonts w:ascii="Times New Roman" w:eastAsia="Times New Roman"/>
        </w:rPr>
        <w:t>2</w:t>
      </w:r>
      <w:r>
        <w:rPr>
          <w:spacing w:val="-17"/>
        </w:rPr>
        <w:t>、根据《基金法》、《运作办法》及其他有关规定，基金托管人的义务包括</w:t>
      </w:r>
      <w:r>
        <w:t>但不限于：</w:t>
      </w:r>
    </w:p>
    <w:p w14:paraId="4FD1F4ED" w14:textId="77777777" w:rsidR="00CD61EF" w:rsidRDefault="002B79C0">
      <w:pPr>
        <w:pStyle w:val="af2"/>
        <w:numPr>
          <w:ilvl w:val="0"/>
          <w:numId w:val="4"/>
        </w:numPr>
        <w:tabs>
          <w:tab w:val="left" w:pos="1202"/>
        </w:tabs>
        <w:ind w:hanging="602"/>
        <w:rPr>
          <w:sz w:val="24"/>
        </w:rPr>
      </w:pPr>
      <w:r>
        <w:rPr>
          <w:sz w:val="24"/>
        </w:rPr>
        <w:t>以诚实信用、勤勉尽责的原则持有并安全保管基金财产；</w:t>
      </w:r>
    </w:p>
    <w:p w14:paraId="44AE10FF" w14:textId="77777777" w:rsidR="00CD61EF" w:rsidRDefault="002B79C0">
      <w:pPr>
        <w:pStyle w:val="af2"/>
        <w:numPr>
          <w:ilvl w:val="0"/>
          <w:numId w:val="4"/>
        </w:numPr>
        <w:tabs>
          <w:tab w:val="left" w:pos="1202"/>
        </w:tabs>
        <w:spacing w:before="161" w:line="364" w:lineRule="auto"/>
        <w:ind w:left="120" w:right="364" w:firstLine="479"/>
        <w:rPr>
          <w:sz w:val="24"/>
        </w:rPr>
      </w:pPr>
      <w:r>
        <w:rPr>
          <w:sz w:val="24"/>
        </w:rPr>
        <w:t>设立专门的基金托管部门，具有符合要求的营业场所，配备足够的、合格的熟悉基金托管业务的专职人员，负责基金财产托管事宜；</w:t>
      </w:r>
    </w:p>
    <w:p w14:paraId="64CEEBDD" w14:textId="77777777" w:rsidR="00CD61EF" w:rsidRDefault="002B79C0">
      <w:pPr>
        <w:pStyle w:val="af2"/>
        <w:numPr>
          <w:ilvl w:val="0"/>
          <w:numId w:val="4"/>
        </w:numPr>
        <w:tabs>
          <w:tab w:val="left" w:pos="1202"/>
        </w:tabs>
        <w:spacing w:line="364" w:lineRule="auto"/>
        <w:ind w:left="120" w:right="357" w:firstLine="479"/>
        <w:jc w:val="both"/>
        <w:rPr>
          <w:sz w:val="24"/>
        </w:rPr>
      </w:pPr>
      <w:r>
        <w:rPr>
          <w:sz w:val="24"/>
        </w:rPr>
        <w:t>建立健全内部风险控制、监察与稽核、财务管理及人事管理等制度，</w:t>
      </w:r>
      <w:r>
        <w:rPr>
          <w:spacing w:val="-118"/>
          <w:sz w:val="24"/>
        </w:rPr>
        <w:t xml:space="preserve"> </w:t>
      </w:r>
      <w:r>
        <w:rPr>
          <w:spacing w:val="-10"/>
          <w:sz w:val="24"/>
        </w:rPr>
        <w:t>确保基金财产的安全，保证其托管的基金财产与基金托管人自有财产以及不同的</w:t>
      </w:r>
      <w:r>
        <w:rPr>
          <w:spacing w:val="-19"/>
          <w:sz w:val="24"/>
        </w:rPr>
        <w:t>基金财产相互独立；对所托管的不同的基金分别设置账户，独立核算，分账管理，</w:t>
      </w:r>
      <w:r>
        <w:rPr>
          <w:spacing w:val="-118"/>
          <w:sz w:val="24"/>
        </w:rPr>
        <w:t xml:space="preserve"> </w:t>
      </w:r>
      <w:r>
        <w:rPr>
          <w:sz w:val="24"/>
        </w:rPr>
        <w:t>保证不同基金之间在账户设置、资金划拨、账册记录等方面相互独立；</w:t>
      </w:r>
    </w:p>
    <w:p w14:paraId="713B6655" w14:textId="77777777" w:rsidR="00CD61EF" w:rsidRDefault="002B79C0">
      <w:pPr>
        <w:pStyle w:val="af2"/>
        <w:numPr>
          <w:ilvl w:val="0"/>
          <w:numId w:val="4"/>
        </w:numPr>
        <w:tabs>
          <w:tab w:val="left" w:pos="1202"/>
        </w:tabs>
        <w:spacing w:before="3" w:line="364" w:lineRule="auto"/>
        <w:ind w:left="120" w:right="362" w:firstLine="479"/>
        <w:rPr>
          <w:sz w:val="24"/>
        </w:rPr>
      </w:pPr>
      <w:r>
        <w:rPr>
          <w:spacing w:val="-17"/>
          <w:sz w:val="24"/>
        </w:rPr>
        <w:t>除依据《基金法》、《基金合同》及其他有关规定外，不得利用基金财</w:t>
      </w:r>
      <w:r>
        <w:rPr>
          <w:sz w:val="24"/>
        </w:rPr>
        <w:t>产为自己及任何第三人谋取利益，不得委托第三人托管基金财产；</w:t>
      </w:r>
    </w:p>
    <w:p w14:paraId="0ED1BE0C" w14:textId="77777777" w:rsidR="00CD61EF" w:rsidRDefault="002B79C0">
      <w:pPr>
        <w:pStyle w:val="af2"/>
        <w:numPr>
          <w:ilvl w:val="0"/>
          <w:numId w:val="4"/>
        </w:numPr>
        <w:tabs>
          <w:tab w:val="left" w:pos="1202"/>
        </w:tabs>
        <w:ind w:hanging="602"/>
        <w:rPr>
          <w:sz w:val="24"/>
        </w:rPr>
      </w:pPr>
      <w:r>
        <w:rPr>
          <w:sz w:val="24"/>
        </w:rPr>
        <w:t>保管由基金管理人代表基金签订的与基金有关的重大合同及有关凭证；</w:t>
      </w:r>
    </w:p>
    <w:p w14:paraId="1F748CE1" w14:textId="77777777" w:rsidR="00CD61EF" w:rsidRDefault="002B79C0">
      <w:pPr>
        <w:pStyle w:val="af2"/>
        <w:numPr>
          <w:ilvl w:val="0"/>
          <w:numId w:val="4"/>
        </w:numPr>
        <w:tabs>
          <w:tab w:val="left" w:pos="1202"/>
        </w:tabs>
        <w:spacing w:before="161" w:line="364" w:lineRule="auto"/>
        <w:ind w:left="120" w:right="244" w:firstLine="479"/>
        <w:rPr>
          <w:sz w:val="24"/>
        </w:rPr>
      </w:pPr>
      <w:r>
        <w:rPr>
          <w:sz w:val="24"/>
        </w:rPr>
        <w:t>按规定开设基金财产的资金账户和证券账户等投资所需账户，协助提供开立期货业务相关账户及交易编码的基金托管人相关信息，按照《基金合同》的约定，根据基金管理人的投资指令，及时办理清算、交割事宜；</w:t>
      </w:r>
    </w:p>
    <w:p w14:paraId="554D6842" w14:textId="77777777" w:rsidR="00CD61EF" w:rsidRDefault="002B79C0">
      <w:pPr>
        <w:pStyle w:val="af2"/>
        <w:numPr>
          <w:ilvl w:val="0"/>
          <w:numId w:val="4"/>
        </w:numPr>
        <w:tabs>
          <w:tab w:val="left" w:pos="1202"/>
        </w:tabs>
        <w:spacing w:before="2"/>
        <w:ind w:hanging="602"/>
        <w:rPr>
          <w:sz w:val="24"/>
        </w:rPr>
      </w:pPr>
      <w:r>
        <w:rPr>
          <w:spacing w:val="-15"/>
          <w:sz w:val="24"/>
        </w:rPr>
        <w:t>保守基金商业秘密，除《基金法》、《基金合同》及其他有关规定另有</w:t>
      </w:r>
    </w:p>
    <w:p w14:paraId="15A5819F" w14:textId="77777777" w:rsidR="00CD61EF" w:rsidRDefault="00CD61EF">
      <w:pPr>
        <w:rPr>
          <w:sz w:val="24"/>
        </w:rPr>
        <w:sectPr w:rsidR="00CD61EF">
          <w:pgSz w:w="11910" w:h="16840"/>
          <w:pgMar w:top="1440" w:right="1440" w:bottom="1180" w:left="1680" w:header="877" w:footer="998" w:gutter="0"/>
          <w:cols w:space="720"/>
        </w:sectPr>
      </w:pPr>
    </w:p>
    <w:p w14:paraId="096A7BD8" w14:textId="77777777" w:rsidR="00CD61EF" w:rsidRDefault="002B79C0">
      <w:pPr>
        <w:pStyle w:val="a5"/>
        <w:spacing w:before="64"/>
        <w:ind w:firstLine="0"/>
      </w:pPr>
      <w:r>
        <w:lastRenderedPageBreak/>
        <w:t>规定外，在基金信息公开披露前予以保密，不得向他人泄露；</w:t>
      </w:r>
    </w:p>
    <w:p w14:paraId="551DC118" w14:textId="77777777" w:rsidR="00CD61EF" w:rsidRDefault="002B79C0">
      <w:pPr>
        <w:pStyle w:val="af2"/>
        <w:numPr>
          <w:ilvl w:val="0"/>
          <w:numId w:val="4"/>
        </w:numPr>
        <w:tabs>
          <w:tab w:val="left" w:pos="1202"/>
        </w:tabs>
        <w:spacing w:before="160" w:line="364" w:lineRule="auto"/>
        <w:ind w:left="120" w:right="360" w:firstLine="479"/>
        <w:rPr>
          <w:sz w:val="24"/>
        </w:rPr>
      </w:pPr>
      <w:r>
        <w:rPr>
          <w:sz w:val="24"/>
        </w:rPr>
        <w:t>复核、审查基金管理人计算的基金资产净值、基金份额净值、基金份额申购、赎回价格；</w:t>
      </w:r>
    </w:p>
    <w:p w14:paraId="71859553" w14:textId="77777777" w:rsidR="00CD61EF" w:rsidRDefault="002B79C0">
      <w:pPr>
        <w:pStyle w:val="af2"/>
        <w:numPr>
          <w:ilvl w:val="0"/>
          <w:numId w:val="4"/>
        </w:numPr>
        <w:tabs>
          <w:tab w:val="left" w:pos="1202"/>
        </w:tabs>
        <w:spacing w:before="2"/>
        <w:ind w:hanging="602"/>
        <w:rPr>
          <w:sz w:val="24"/>
        </w:rPr>
      </w:pPr>
      <w:r>
        <w:rPr>
          <w:sz w:val="24"/>
        </w:rPr>
        <w:t>办理与基金托管业务活动有关的信息披露事项；</w:t>
      </w:r>
    </w:p>
    <w:p w14:paraId="2CBE88AA" w14:textId="77777777" w:rsidR="00CD61EF" w:rsidRDefault="002B79C0">
      <w:pPr>
        <w:pStyle w:val="af2"/>
        <w:numPr>
          <w:ilvl w:val="0"/>
          <w:numId w:val="4"/>
        </w:numPr>
        <w:tabs>
          <w:tab w:val="left" w:pos="1322"/>
        </w:tabs>
        <w:spacing w:before="160" w:line="364" w:lineRule="auto"/>
        <w:ind w:left="120" w:right="357" w:firstLine="479"/>
        <w:jc w:val="both"/>
        <w:rPr>
          <w:sz w:val="24"/>
        </w:rPr>
      </w:pPr>
      <w:r>
        <w:rPr>
          <w:sz w:val="24"/>
        </w:rPr>
        <w:t>对基金财务会计报告、季度、中期和年度基金报告出具意见，说明</w:t>
      </w:r>
      <w:r>
        <w:rPr>
          <w:spacing w:val="-3"/>
          <w:sz w:val="24"/>
        </w:rPr>
        <w:t>基金管理人在各重要方面的运作是否严格按照《基金合同》的规定进行；如果基金管理人有未执行《基金合同》规定的行为，还应当说明基金托管人是否采取了</w:t>
      </w:r>
      <w:r>
        <w:rPr>
          <w:sz w:val="24"/>
        </w:rPr>
        <w:t>适当的措施；</w:t>
      </w:r>
    </w:p>
    <w:p w14:paraId="248DB0CF" w14:textId="77777777" w:rsidR="00CD61EF" w:rsidRDefault="002B79C0">
      <w:pPr>
        <w:pStyle w:val="af2"/>
        <w:numPr>
          <w:ilvl w:val="0"/>
          <w:numId w:val="4"/>
        </w:numPr>
        <w:tabs>
          <w:tab w:val="left" w:pos="1312"/>
        </w:tabs>
        <w:spacing w:before="3" w:line="364" w:lineRule="auto"/>
        <w:ind w:left="120" w:right="356" w:firstLine="479"/>
        <w:jc w:val="both"/>
        <w:rPr>
          <w:rFonts w:ascii="Times New Roman" w:hAnsi="Times New Roman" w:cs="Times New Roman"/>
          <w:bCs/>
          <w:kern w:val="2"/>
          <w:sz w:val="24"/>
          <w:szCs w:val="24"/>
        </w:rPr>
      </w:pPr>
      <w:r>
        <w:rPr>
          <w:spacing w:val="-2"/>
          <w:sz w:val="24"/>
        </w:rPr>
        <w:t>保存基金托管业务活动的记录、账册、报表和其他相关资料</w:t>
      </w:r>
      <w:r>
        <w:rPr>
          <w:rFonts w:ascii="Times New Roman" w:hAnsi="Times New Roman" w:cs="Times New Roman" w:hint="eastAsia"/>
          <w:bCs/>
          <w:kern w:val="2"/>
          <w:sz w:val="24"/>
          <w:szCs w:val="24"/>
        </w:rPr>
        <w:t>不低于法律法规规定的最低期限</w:t>
      </w:r>
      <w:r>
        <w:rPr>
          <w:rFonts w:ascii="Times New Roman" w:hAnsi="Times New Roman" w:cs="Times New Roman"/>
          <w:bCs/>
          <w:kern w:val="2"/>
          <w:sz w:val="24"/>
          <w:szCs w:val="24"/>
        </w:rPr>
        <w:t>；</w:t>
      </w:r>
    </w:p>
    <w:p w14:paraId="6AC4C0E0" w14:textId="77777777" w:rsidR="00CD61EF" w:rsidRDefault="002B79C0">
      <w:pPr>
        <w:pStyle w:val="af2"/>
        <w:numPr>
          <w:ilvl w:val="0"/>
          <w:numId w:val="4"/>
        </w:numPr>
        <w:tabs>
          <w:tab w:val="left" w:pos="1322"/>
        </w:tabs>
        <w:ind w:left="1321" w:hanging="722"/>
        <w:rPr>
          <w:rFonts w:ascii="Times New Roman" w:hAnsi="Times New Roman" w:cs="Times New Roman"/>
          <w:bCs/>
          <w:kern w:val="2"/>
          <w:sz w:val="24"/>
          <w:szCs w:val="24"/>
        </w:rPr>
      </w:pPr>
      <w:r>
        <w:rPr>
          <w:rFonts w:ascii="Times New Roman" w:hAnsi="Times New Roman" w:cs="Times New Roman"/>
          <w:bCs/>
          <w:kern w:val="2"/>
          <w:sz w:val="24"/>
          <w:szCs w:val="24"/>
        </w:rPr>
        <w:t>从基金管理人或其委托的登记机构处接收并保存基金份额持有人名册；</w:t>
      </w:r>
    </w:p>
    <w:p w14:paraId="19283CC0" w14:textId="77777777" w:rsidR="00CD61EF" w:rsidRDefault="002B79C0">
      <w:pPr>
        <w:pStyle w:val="af2"/>
        <w:numPr>
          <w:ilvl w:val="0"/>
          <w:numId w:val="4"/>
        </w:numPr>
        <w:tabs>
          <w:tab w:val="left" w:pos="1322"/>
        </w:tabs>
        <w:spacing w:before="161"/>
        <w:ind w:left="1321" w:hanging="722"/>
        <w:rPr>
          <w:rFonts w:ascii="Times New Roman" w:hAnsi="Times New Roman" w:cs="Times New Roman"/>
          <w:bCs/>
          <w:kern w:val="2"/>
          <w:sz w:val="24"/>
          <w:szCs w:val="24"/>
        </w:rPr>
      </w:pPr>
      <w:r>
        <w:rPr>
          <w:rFonts w:ascii="Times New Roman" w:hAnsi="Times New Roman" w:cs="Times New Roman"/>
          <w:bCs/>
          <w:kern w:val="2"/>
          <w:sz w:val="24"/>
          <w:szCs w:val="24"/>
        </w:rPr>
        <w:t>按规定制作相关账册并与基金管理人核对；</w:t>
      </w:r>
    </w:p>
    <w:p w14:paraId="37AF5077" w14:textId="77777777" w:rsidR="00CD61EF" w:rsidRDefault="002B79C0">
      <w:pPr>
        <w:pStyle w:val="af2"/>
        <w:numPr>
          <w:ilvl w:val="0"/>
          <w:numId w:val="4"/>
        </w:numPr>
        <w:tabs>
          <w:tab w:val="left" w:pos="1322"/>
        </w:tabs>
        <w:spacing w:before="160" w:line="364" w:lineRule="auto"/>
        <w:ind w:left="120" w:right="357" w:firstLine="479"/>
        <w:rPr>
          <w:rFonts w:ascii="Times New Roman" w:hAnsi="Times New Roman" w:cs="Times New Roman"/>
          <w:bCs/>
          <w:kern w:val="2"/>
          <w:sz w:val="24"/>
          <w:szCs w:val="24"/>
        </w:rPr>
      </w:pPr>
      <w:r>
        <w:rPr>
          <w:rFonts w:ascii="Times New Roman" w:hAnsi="Times New Roman" w:cs="Times New Roman"/>
          <w:bCs/>
          <w:kern w:val="2"/>
          <w:sz w:val="24"/>
          <w:szCs w:val="24"/>
        </w:rPr>
        <w:t>依据基金管理人的指令或有关规定向基金份额持有人支付基金收益和赎回款项；</w:t>
      </w:r>
    </w:p>
    <w:p w14:paraId="5BAEC058" w14:textId="77777777" w:rsidR="00CD61EF" w:rsidRDefault="002B79C0">
      <w:pPr>
        <w:pStyle w:val="af2"/>
        <w:numPr>
          <w:ilvl w:val="0"/>
          <w:numId w:val="4"/>
        </w:numPr>
        <w:tabs>
          <w:tab w:val="left" w:pos="1322"/>
        </w:tabs>
        <w:spacing w:before="2" w:line="364" w:lineRule="auto"/>
        <w:ind w:left="120" w:right="361" w:firstLine="479"/>
        <w:rPr>
          <w:rFonts w:ascii="Times New Roman" w:hAnsi="Times New Roman" w:cs="Times New Roman"/>
          <w:bCs/>
          <w:kern w:val="2"/>
          <w:sz w:val="24"/>
          <w:szCs w:val="24"/>
        </w:rPr>
      </w:pPr>
      <w:r>
        <w:rPr>
          <w:rFonts w:ascii="Times New Roman" w:hAnsi="Times New Roman" w:cs="Times New Roman"/>
          <w:bCs/>
          <w:kern w:val="2"/>
          <w:sz w:val="24"/>
          <w:szCs w:val="24"/>
        </w:rPr>
        <w:t>依据《基金法》、《基金合同》及其他有关规定，召集基金份额持有人大会或配合基金管理人、基金份额持有人依法召集基金份额持有人大会；</w:t>
      </w:r>
    </w:p>
    <w:p w14:paraId="5A15C503" w14:textId="77777777" w:rsidR="00CD61EF" w:rsidRDefault="002B79C0">
      <w:pPr>
        <w:pStyle w:val="af2"/>
        <w:numPr>
          <w:ilvl w:val="0"/>
          <w:numId w:val="4"/>
        </w:numPr>
        <w:tabs>
          <w:tab w:val="left" w:pos="1322"/>
        </w:tabs>
        <w:ind w:left="1321" w:hanging="722"/>
        <w:rPr>
          <w:rFonts w:ascii="Times New Roman" w:hAnsi="Times New Roman" w:cs="Times New Roman"/>
          <w:bCs/>
          <w:kern w:val="2"/>
          <w:sz w:val="24"/>
          <w:szCs w:val="24"/>
        </w:rPr>
      </w:pPr>
      <w:r>
        <w:rPr>
          <w:rFonts w:ascii="Times New Roman" w:hAnsi="Times New Roman" w:cs="Times New Roman"/>
          <w:bCs/>
          <w:kern w:val="2"/>
          <w:sz w:val="24"/>
          <w:szCs w:val="24"/>
        </w:rPr>
        <w:t>按照法律法规和《基金合同》的规定监督基金管理人的投资运作；</w:t>
      </w:r>
    </w:p>
    <w:p w14:paraId="1033E427" w14:textId="77777777" w:rsidR="00CD61EF" w:rsidRDefault="002B79C0">
      <w:pPr>
        <w:pStyle w:val="af2"/>
        <w:numPr>
          <w:ilvl w:val="0"/>
          <w:numId w:val="4"/>
        </w:numPr>
        <w:tabs>
          <w:tab w:val="left" w:pos="1322"/>
        </w:tabs>
        <w:spacing w:before="161" w:line="364" w:lineRule="auto"/>
        <w:ind w:left="120" w:right="357" w:firstLine="479"/>
        <w:rPr>
          <w:rFonts w:ascii="Times New Roman" w:hAnsi="Times New Roman" w:cs="Times New Roman"/>
          <w:bCs/>
          <w:kern w:val="2"/>
          <w:sz w:val="24"/>
          <w:szCs w:val="24"/>
        </w:rPr>
      </w:pPr>
      <w:r>
        <w:rPr>
          <w:rFonts w:ascii="Times New Roman" w:hAnsi="Times New Roman" w:cs="Times New Roman"/>
          <w:bCs/>
          <w:kern w:val="2"/>
          <w:sz w:val="24"/>
          <w:szCs w:val="24"/>
        </w:rPr>
        <w:t>参加基金财产清算小组，参与基金财产的保管、清理、估价、变现和分配；</w:t>
      </w:r>
    </w:p>
    <w:p w14:paraId="31C45A66" w14:textId="77777777" w:rsidR="00CD61EF" w:rsidRDefault="002B79C0">
      <w:pPr>
        <w:pStyle w:val="af2"/>
        <w:numPr>
          <w:ilvl w:val="0"/>
          <w:numId w:val="4"/>
        </w:numPr>
        <w:tabs>
          <w:tab w:val="left" w:pos="1322"/>
        </w:tabs>
        <w:spacing w:line="364" w:lineRule="auto"/>
        <w:ind w:left="120" w:right="358" w:firstLine="479"/>
        <w:rPr>
          <w:rFonts w:ascii="Times New Roman" w:hAnsi="Times New Roman" w:cs="Times New Roman"/>
          <w:bCs/>
          <w:kern w:val="2"/>
          <w:sz w:val="24"/>
          <w:szCs w:val="24"/>
        </w:rPr>
      </w:pPr>
      <w:r>
        <w:rPr>
          <w:rFonts w:ascii="Times New Roman" w:hAnsi="Times New Roman" w:cs="Times New Roman"/>
          <w:bCs/>
          <w:kern w:val="2"/>
          <w:sz w:val="24"/>
          <w:szCs w:val="24"/>
        </w:rPr>
        <w:t>面临解散、依法被撤销或者被依法宣告破产时，及时报告中国证监会和银行业监督管理机构，并通知基金管理人；</w:t>
      </w:r>
    </w:p>
    <w:p w14:paraId="54CCD7AA" w14:textId="77777777" w:rsidR="00CD61EF" w:rsidRDefault="002B79C0">
      <w:pPr>
        <w:pStyle w:val="af2"/>
        <w:numPr>
          <w:ilvl w:val="0"/>
          <w:numId w:val="4"/>
        </w:numPr>
        <w:tabs>
          <w:tab w:val="left" w:pos="1322"/>
        </w:tabs>
        <w:spacing w:line="364" w:lineRule="auto"/>
        <w:ind w:left="120" w:right="361" w:firstLine="479"/>
        <w:rPr>
          <w:rFonts w:ascii="Times New Roman" w:hAnsi="Times New Roman" w:cs="Times New Roman"/>
          <w:bCs/>
          <w:kern w:val="2"/>
          <w:sz w:val="24"/>
          <w:szCs w:val="24"/>
        </w:rPr>
      </w:pPr>
      <w:r>
        <w:rPr>
          <w:rFonts w:ascii="Times New Roman" w:hAnsi="Times New Roman" w:cs="Times New Roman"/>
          <w:bCs/>
          <w:kern w:val="2"/>
          <w:sz w:val="24"/>
          <w:szCs w:val="24"/>
        </w:rPr>
        <w:t>因违反《基金合同》导致基金财产损失时，应承担赔偿责任，其赔偿责任不因其退任而免除；</w:t>
      </w:r>
    </w:p>
    <w:p w14:paraId="517A8214" w14:textId="77777777" w:rsidR="00CD61EF" w:rsidRDefault="002B79C0">
      <w:pPr>
        <w:pStyle w:val="af2"/>
        <w:numPr>
          <w:ilvl w:val="0"/>
          <w:numId w:val="4"/>
        </w:numPr>
        <w:tabs>
          <w:tab w:val="left" w:pos="1322"/>
        </w:tabs>
        <w:spacing w:line="364" w:lineRule="auto"/>
        <w:ind w:left="120" w:right="357" w:firstLine="479"/>
        <w:jc w:val="both"/>
        <w:rPr>
          <w:rFonts w:ascii="Times New Roman" w:hAnsi="Times New Roman" w:cs="Times New Roman"/>
          <w:bCs/>
          <w:kern w:val="2"/>
          <w:sz w:val="24"/>
          <w:szCs w:val="24"/>
        </w:rPr>
      </w:pPr>
      <w:r>
        <w:rPr>
          <w:rFonts w:ascii="Times New Roman" w:hAnsi="Times New Roman" w:cs="Times New Roman"/>
          <w:bCs/>
          <w:kern w:val="2"/>
          <w:sz w:val="24"/>
          <w:szCs w:val="24"/>
        </w:rPr>
        <w:t>按规定监督基金管理人按法律法规和《基金合同》规定履行自己的义务，基金管理人因违反《基金合同》造成基金财产损失时，应为基金份额持有人利益向基金管理人追偿；</w:t>
      </w:r>
    </w:p>
    <w:p w14:paraId="63DD13A1" w14:textId="77777777" w:rsidR="00CD61EF" w:rsidRDefault="002B79C0">
      <w:pPr>
        <w:pStyle w:val="af2"/>
        <w:numPr>
          <w:ilvl w:val="0"/>
          <w:numId w:val="4"/>
        </w:numPr>
        <w:tabs>
          <w:tab w:val="left" w:pos="1322"/>
        </w:tabs>
        <w:spacing w:before="3"/>
        <w:ind w:left="1321" w:hanging="722"/>
        <w:rPr>
          <w:rFonts w:ascii="Times New Roman" w:hAnsi="Times New Roman" w:cs="Times New Roman"/>
          <w:bCs/>
          <w:kern w:val="2"/>
          <w:sz w:val="24"/>
          <w:szCs w:val="24"/>
        </w:rPr>
      </w:pPr>
      <w:r>
        <w:rPr>
          <w:rFonts w:ascii="Times New Roman" w:hAnsi="Times New Roman" w:cs="Times New Roman"/>
          <w:bCs/>
          <w:kern w:val="2"/>
          <w:sz w:val="24"/>
          <w:szCs w:val="24"/>
        </w:rPr>
        <w:t>执行生效的基金份额持有人大会的决议；</w:t>
      </w:r>
    </w:p>
    <w:p w14:paraId="3346E394" w14:textId="77777777" w:rsidR="00CD61EF" w:rsidRDefault="002B79C0">
      <w:pPr>
        <w:pStyle w:val="af2"/>
        <w:numPr>
          <w:ilvl w:val="0"/>
          <w:numId w:val="4"/>
        </w:numPr>
        <w:tabs>
          <w:tab w:val="left" w:pos="1322"/>
        </w:tabs>
        <w:spacing w:before="160" w:line="364" w:lineRule="auto"/>
        <w:ind w:left="600" w:right="745" w:firstLine="0"/>
        <w:rPr>
          <w:rFonts w:ascii="Times New Roman" w:hAnsi="Times New Roman" w:cs="Times New Roman"/>
          <w:bCs/>
          <w:kern w:val="2"/>
          <w:sz w:val="24"/>
          <w:szCs w:val="24"/>
        </w:rPr>
      </w:pPr>
      <w:r>
        <w:rPr>
          <w:rFonts w:ascii="Times New Roman" w:hAnsi="Times New Roman" w:cs="Times New Roman"/>
          <w:bCs/>
          <w:kern w:val="2"/>
          <w:sz w:val="24"/>
          <w:szCs w:val="24"/>
        </w:rPr>
        <w:t>法律法规及中国证监会规定的和《基金合同》约定的其他义务。三、基金份额持有人</w:t>
      </w:r>
    </w:p>
    <w:p w14:paraId="4195614F" w14:textId="77777777" w:rsidR="00CD61EF" w:rsidRDefault="00CD61EF">
      <w:pPr>
        <w:spacing w:line="364" w:lineRule="auto"/>
        <w:rPr>
          <w:rFonts w:ascii="Times New Roman" w:hAnsi="Times New Roman" w:cs="Times New Roman"/>
          <w:bCs/>
          <w:kern w:val="2"/>
          <w:sz w:val="24"/>
          <w:szCs w:val="24"/>
        </w:rPr>
        <w:sectPr w:rsidR="00CD61EF">
          <w:pgSz w:w="11910" w:h="16840"/>
          <w:pgMar w:top="1440" w:right="1440" w:bottom="1180" w:left="1680" w:header="877" w:footer="998" w:gutter="0"/>
          <w:cols w:space="720"/>
        </w:sectPr>
      </w:pPr>
    </w:p>
    <w:p w14:paraId="1AC2E48D" w14:textId="77777777" w:rsidR="00CD61EF" w:rsidRDefault="002B79C0">
      <w:pPr>
        <w:pStyle w:val="a5"/>
        <w:spacing w:before="64" w:line="364" w:lineRule="auto"/>
        <w:ind w:right="236"/>
        <w:rPr>
          <w:rFonts w:ascii="Times New Roman" w:hAnsi="Times New Roman" w:cs="Times New Roman"/>
          <w:bCs/>
          <w:kern w:val="2"/>
        </w:rPr>
      </w:pPr>
      <w:r>
        <w:rPr>
          <w:rFonts w:ascii="Times New Roman" w:hAnsi="Times New Roman" w:cs="Times New Roman"/>
          <w:bCs/>
          <w:kern w:val="2"/>
        </w:rPr>
        <w:lastRenderedPageBreak/>
        <w:t>基金投资者持有本基金基金份额的行为即视为对《基金合同》的承认和接受，</w:t>
      </w:r>
      <w:r>
        <w:rPr>
          <w:rFonts w:ascii="Times New Roman" w:hAnsi="Times New Roman" w:cs="Times New Roman"/>
          <w:bCs/>
          <w:kern w:val="2"/>
        </w:rPr>
        <w:t xml:space="preserve"> </w:t>
      </w:r>
      <w:r>
        <w:rPr>
          <w:rFonts w:ascii="Times New Roman" w:hAnsi="Times New Roman" w:cs="Times New Roman"/>
          <w:bCs/>
          <w:kern w:val="2"/>
        </w:rPr>
        <w:t>基金投资者自依据《基金合同》取得本基金的基金份额，即成为本基金份额持有人和《基金合同》的当事人，直至其不再持有本基金的基金份额。基金份额持有人作为《基金合同》当事人并不以在《基金合同》上书面签章或签字为必要条件。</w:t>
      </w:r>
    </w:p>
    <w:p w14:paraId="41C6A853" w14:textId="77777777" w:rsidR="00CD61EF" w:rsidRDefault="002B79C0">
      <w:pPr>
        <w:pStyle w:val="a5"/>
        <w:spacing w:before="2" w:line="364" w:lineRule="auto"/>
        <w:ind w:right="356"/>
        <w:rPr>
          <w:rFonts w:ascii="Times New Roman" w:hAnsi="Times New Roman" w:cs="Times New Roman"/>
          <w:bCs/>
          <w:kern w:val="2"/>
        </w:rPr>
      </w:pPr>
      <w:r>
        <w:rPr>
          <w:rFonts w:ascii="Times New Roman" w:hAnsi="Times New Roman" w:cs="Times New Roman"/>
          <w:bCs/>
          <w:kern w:val="2"/>
        </w:rPr>
        <w:t>除法律法规另有规定或本基金合同另有约定外，同一类别每份基金份额具有同等的合法权益。</w:t>
      </w:r>
    </w:p>
    <w:p w14:paraId="7D344D58" w14:textId="77777777" w:rsidR="00CD61EF" w:rsidRDefault="002B79C0">
      <w:pPr>
        <w:pStyle w:val="a5"/>
        <w:spacing w:before="2" w:line="364" w:lineRule="auto"/>
        <w:ind w:right="362"/>
        <w:rPr>
          <w:rFonts w:ascii="Times New Roman" w:hAnsi="Times New Roman" w:cs="Times New Roman"/>
          <w:bCs/>
          <w:kern w:val="2"/>
        </w:rPr>
      </w:pPr>
      <w:r>
        <w:rPr>
          <w:rFonts w:ascii="Times New Roman" w:hAnsi="Times New Roman" w:cs="Times New Roman"/>
          <w:bCs/>
          <w:kern w:val="2"/>
        </w:rPr>
        <w:t>1</w:t>
      </w:r>
      <w:r>
        <w:rPr>
          <w:rFonts w:ascii="Times New Roman" w:hAnsi="Times New Roman" w:cs="Times New Roman"/>
          <w:bCs/>
          <w:kern w:val="2"/>
        </w:rPr>
        <w:t>、根据《基金法》、《运作办法》及其他有关规定，基金份额持有人的权利包括但不限于：</w:t>
      </w:r>
    </w:p>
    <w:p w14:paraId="5A8816F6" w14:textId="77777777" w:rsidR="00CD61EF" w:rsidRDefault="002B79C0">
      <w:pPr>
        <w:pStyle w:val="af2"/>
        <w:numPr>
          <w:ilvl w:val="0"/>
          <w:numId w:val="5"/>
        </w:numPr>
        <w:tabs>
          <w:tab w:val="left" w:pos="1202"/>
        </w:tabs>
        <w:ind w:hanging="602"/>
        <w:rPr>
          <w:rFonts w:ascii="Times New Roman" w:hAnsi="Times New Roman" w:cs="Times New Roman"/>
          <w:bCs/>
          <w:kern w:val="2"/>
          <w:sz w:val="24"/>
          <w:szCs w:val="24"/>
        </w:rPr>
      </w:pPr>
      <w:r>
        <w:rPr>
          <w:rFonts w:ascii="Times New Roman" w:hAnsi="Times New Roman" w:cs="Times New Roman"/>
          <w:bCs/>
          <w:kern w:val="2"/>
          <w:sz w:val="24"/>
          <w:szCs w:val="24"/>
        </w:rPr>
        <w:t>分享基金财产收益；</w:t>
      </w:r>
    </w:p>
    <w:p w14:paraId="31E5CE15" w14:textId="77777777" w:rsidR="00CD61EF" w:rsidRDefault="002B79C0">
      <w:pPr>
        <w:pStyle w:val="af2"/>
        <w:numPr>
          <w:ilvl w:val="0"/>
          <w:numId w:val="5"/>
        </w:numPr>
        <w:tabs>
          <w:tab w:val="left" w:pos="1202"/>
        </w:tabs>
        <w:spacing w:before="161"/>
        <w:ind w:hanging="602"/>
        <w:rPr>
          <w:rFonts w:ascii="Times New Roman" w:hAnsi="Times New Roman" w:cs="Times New Roman"/>
          <w:bCs/>
          <w:kern w:val="2"/>
          <w:sz w:val="24"/>
          <w:szCs w:val="24"/>
        </w:rPr>
      </w:pPr>
      <w:r>
        <w:rPr>
          <w:rFonts w:ascii="Times New Roman" w:hAnsi="Times New Roman" w:cs="Times New Roman"/>
          <w:bCs/>
          <w:kern w:val="2"/>
          <w:sz w:val="24"/>
          <w:szCs w:val="24"/>
        </w:rPr>
        <w:t>参与分配清算后的剩余基金财产；</w:t>
      </w:r>
    </w:p>
    <w:p w14:paraId="581FD8FD" w14:textId="77777777" w:rsidR="00CD61EF" w:rsidRDefault="002B79C0">
      <w:pPr>
        <w:pStyle w:val="af2"/>
        <w:numPr>
          <w:ilvl w:val="0"/>
          <w:numId w:val="5"/>
        </w:numPr>
        <w:tabs>
          <w:tab w:val="left" w:pos="1202"/>
        </w:tabs>
        <w:spacing w:before="160"/>
        <w:ind w:hanging="602"/>
        <w:rPr>
          <w:rFonts w:ascii="Times New Roman" w:hAnsi="Times New Roman" w:cs="Times New Roman"/>
          <w:bCs/>
          <w:kern w:val="2"/>
          <w:sz w:val="24"/>
          <w:szCs w:val="24"/>
        </w:rPr>
      </w:pPr>
      <w:r>
        <w:rPr>
          <w:rFonts w:ascii="Times New Roman" w:hAnsi="Times New Roman" w:cs="Times New Roman"/>
          <w:bCs/>
          <w:kern w:val="2"/>
          <w:sz w:val="24"/>
          <w:szCs w:val="24"/>
        </w:rPr>
        <w:t>依法转让或者申请赎回其持有的基金份额；</w:t>
      </w:r>
    </w:p>
    <w:p w14:paraId="58D44830" w14:textId="77777777" w:rsidR="00CD61EF" w:rsidRDefault="002B79C0">
      <w:pPr>
        <w:pStyle w:val="af2"/>
        <w:numPr>
          <w:ilvl w:val="0"/>
          <w:numId w:val="5"/>
        </w:numPr>
        <w:tabs>
          <w:tab w:val="left" w:pos="1227"/>
        </w:tabs>
        <w:spacing w:before="161"/>
        <w:ind w:left="1226" w:hanging="627"/>
        <w:rPr>
          <w:rFonts w:ascii="Times New Roman" w:hAnsi="Times New Roman" w:cs="Times New Roman"/>
          <w:bCs/>
          <w:kern w:val="2"/>
          <w:sz w:val="24"/>
          <w:szCs w:val="24"/>
        </w:rPr>
      </w:pPr>
      <w:r>
        <w:rPr>
          <w:rFonts w:ascii="Times New Roman" w:hAnsi="Times New Roman" w:cs="Times New Roman"/>
          <w:bCs/>
          <w:kern w:val="2"/>
          <w:sz w:val="24"/>
          <w:szCs w:val="24"/>
        </w:rPr>
        <w:t>按照规定要求召开基金份额持有人大会或者召集基金份额持有人大会；</w:t>
      </w:r>
    </w:p>
    <w:p w14:paraId="62E230F4" w14:textId="77777777" w:rsidR="00CD61EF" w:rsidRDefault="002B79C0">
      <w:pPr>
        <w:pStyle w:val="af2"/>
        <w:numPr>
          <w:ilvl w:val="0"/>
          <w:numId w:val="5"/>
        </w:numPr>
        <w:tabs>
          <w:tab w:val="left" w:pos="1202"/>
        </w:tabs>
        <w:spacing w:before="160" w:line="364" w:lineRule="auto"/>
        <w:ind w:left="120" w:right="364" w:firstLine="479"/>
        <w:rPr>
          <w:rFonts w:ascii="Times New Roman" w:hAnsi="Times New Roman" w:cs="Times New Roman"/>
          <w:bCs/>
          <w:kern w:val="2"/>
          <w:sz w:val="24"/>
          <w:szCs w:val="24"/>
        </w:rPr>
      </w:pPr>
      <w:r>
        <w:rPr>
          <w:rFonts w:ascii="Times New Roman" w:hAnsi="Times New Roman" w:cs="Times New Roman"/>
          <w:bCs/>
          <w:kern w:val="2"/>
          <w:sz w:val="24"/>
          <w:szCs w:val="24"/>
        </w:rPr>
        <w:t>出席或者委派代表出席基金份额持有人大会，对基金份额持有人大会审议事项行使表决权；</w:t>
      </w:r>
    </w:p>
    <w:p w14:paraId="1A7CE07A" w14:textId="77777777" w:rsidR="00CD61EF" w:rsidRDefault="002B79C0">
      <w:pPr>
        <w:pStyle w:val="af2"/>
        <w:numPr>
          <w:ilvl w:val="0"/>
          <w:numId w:val="5"/>
        </w:numPr>
        <w:tabs>
          <w:tab w:val="left" w:pos="1202"/>
        </w:tabs>
        <w:spacing w:before="2"/>
        <w:ind w:hanging="602"/>
        <w:rPr>
          <w:rFonts w:ascii="Times New Roman" w:hAnsi="Times New Roman" w:cs="Times New Roman"/>
          <w:bCs/>
          <w:kern w:val="2"/>
          <w:sz w:val="24"/>
          <w:szCs w:val="24"/>
        </w:rPr>
      </w:pPr>
      <w:r>
        <w:rPr>
          <w:rFonts w:ascii="Times New Roman" w:hAnsi="Times New Roman" w:cs="Times New Roman"/>
          <w:bCs/>
          <w:kern w:val="2"/>
          <w:sz w:val="24"/>
          <w:szCs w:val="24"/>
        </w:rPr>
        <w:t>查阅或者复制公开披露的基金信息资料；</w:t>
      </w:r>
    </w:p>
    <w:p w14:paraId="43BC6802" w14:textId="77777777" w:rsidR="00CD61EF" w:rsidRDefault="002B79C0">
      <w:pPr>
        <w:pStyle w:val="af2"/>
        <w:numPr>
          <w:ilvl w:val="0"/>
          <w:numId w:val="5"/>
        </w:numPr>
        <w:tabs>
          <w:tab w:val="left" w:pos="1202"/>
        </w:tabs>
        <w:spacing w:before="160"/>
        <w:ind w:hanging="602"/>
        <w:rPr>
          <w:rFonts w:ascii="Times New Roman" w:hAnsi="Times New Roman" w:cs="Times New Roman"/>
          <w:bCs/>
          <w:kern w:val="2"/>
          <w:sz w:val="24"/>
          <w:szCs w:val="24"/>
        </w:rPr>
      </w:pPr>
      <w:r>
        <w:rPr>
          <w:rFonts w:ascii="Times New Roman" w:hAnsi="Times New Roman" w:cs="Times New Roman"/>
          <w:bCs/>
          <w:kern w:val="2"/>
          <w:sz w:val="24"/>
          <w:szCs w:val="24"/>
        </w:rPr>
        <w:t>监督基金管理人的投资运作；</w:t>
      </w:r>
    </w:p>
    <w:p w14:paraId="2DEEFDB4" w14:textId="77777777" w:rsidR="00CD61EF" w:rsidRDefault="002B79C0">
      <w:pPr>
        <w:pStyle w:val="af2"/>
        <w:numPr>
          <w:ilvl w:val="0"/>
          <w:numId w:val="5"/>
        </w:numPr>
        <w:tabs>
          <w:tab w:val="left" w:pos="1202"/>
        </w:tabs>
        <w:spacing w:before="161" w:line="364" w:lineRule="auto"/>
        <w:ind w:left="120" w:right="364" w:firstLine="479"/>
        <w:rPr>
          <w:rFonts w:ascii="Times New Roman" w:hAnsi="Times New Roman" w:cs="Times New Roman"/>
          <w:bCs/>
          <w:kern w:val="2"/>
          <w:sz w:val="24"/>
          <w:szCs w:val="24"/>
        </w:rPr>
      </w:pPr>
      <w:r>
        <w:rPr>
          <w:rFonts w:ascii="Times New Roman" w:hAnsi="Times New Roman" w:cs="Times New Roman"/>
          <w:bCs/>
          <w:kern w:val="2"/>
          <w:sz w:val="24"/>
          <w:szCs w:val="24"/>
        </w:rPr>
        <w:t>对基金管理人、基金托管人、基金服务机构损害其合法权益的行为依法提起诉讼或仲裁；</w:t>
      </w:r>
    </w:p>
    <w:p w14:paraId="4487A839" w14:textId="77777777" w:rsidR="00CD61EF" w:rsidRDefault="002B79C0">
      <w:pPr>
        <w:pStyle w:val="af2"/>
        <w:numPr>
          <w:ilvl w:val="0"/>
          <w:numId w:val="5"/>
        </w:numPr>
        <w:tabs>
          <w:tab w:val="left" w:pos="1202"/>
        </w:tabs>
        <w:ind w:hanging="602"/>
        <w:rPr>
          <w:rFonts w:ascii="Times New Roman" w:hAnsi="Times New Roman" w:cs="Times New Roman"/>
          <w:bCs/>
          <w:kern w:val="2"/>
          <w:sz w:val="24"/>
          <w:szCs w:val="24"/>
        </w:rPr>
      </w:pPr>
      <w:r>
        <w:rPr>
          <w:rFonts w:ascii="Times New Roman" w:hAnsi="Times New Roman" w:cs="Times New Roman"/>
          <w:bCs/>
          <w:kern w:val="2"/>
          <w:sz w:val="24"/>
          <w:szCs w:val="24"/>
        </w:rPr>
        <w:t>法律法规及中国证监会规定的和《基金合同》约定的其他权利。</w:t>
      </w:r>
    </w:p>
    <w:p w14:paraId="234D77A3" w14:textId="77777777" w:rsidR="00CD61EF" w:rsidRDefault="002B79C0">
      <w:pPr>
        <w:pStyle w:val="a5"/>
        <w:spacing w:before="161" w:line="364" w:lineRule="auto"/>
        <w:ind w:right="362"/>
        <w:rPr>
          <w:rFonts w:ascii="Times New Roman" w:hAnsi="Times New Roman" w:cs="Times New Roman"/>
          <w:bCs/>
          <w:kern w:val="2"/>
        </w:rPr>
      </w:pPr>
      <w:r>
        <w:rPr>
          <w:rFonts w:ascii="Times New Roman" w:hAnsi="Times New Roman" w:cs="Times New Roman"/>
          <w:bCs/>
          <w:kern w:val="2"/>
        </w:rPr>
        <w:t>2</w:t>
      </w:r>
      <w:r>
        <w:rPr>
          <w:rFonts w:ascii="Times New Roman" w:hAnsi="Times New Roman" w:cs="Times New Roman"/>
          <w:bCs/>
          <w:kern w:val="2"/>
        </w:rPr>
        <w:t>、根据《基金法》、《运作办法》及其他有关规定，基金份额持有人的义务包括但不限于：</w:t>
      </w:r>
    </w:p>
    <w:p w14:paraId="6DF37563" w14:textId="77777777" w:rsidR="00CD61EF" w:rsidRDefault="002B79C0">
      <w:pPr>
        <w:pStyle w:val="af2"/>
        <w:numPr>
          <w:ilvl w:val="0"/>
          <w:numId w:val="6"/>
        </w:numPr>
        <w:tabs>
          <w:tab w:val="left" w:pos="1202"/>
        </w:tabs>
        <w:spacing w:line="364" w:lineRule="auto"/>
        <w:ind w:right="357" w:firstLine="479"/>
        <w:jc w:val="both"/>
        <w:rPr>
          <w:rFonts w:ascii="Times New Roman" w:hAnsi="Times New Roman" w:cs="Times New Roman"/>
          <w:bCs/>
          <w:kern w:val="2"/>
          <w:sz w:val="24"/>
          <w:szCs w:val="24"/>
        </w:rPr>
      </w:pPr>
      <w:r>
        <w:rPr>
          <w:rFonts w:ascii="Times New Roman" w:hAnsi="Times New Roman" w:cs="Times New Roman"/>
          <w:bCs/>
          <w:kern w:val="2"/>
          <w:sz w:val="24"/>
          <w:szCs w:val="24"/>
        </w:rPr>
        <w:t>认真阅读并遵守《基金合同》、《招募说明书》等信息披露文件，缴纳认购、申购款项表示对《基金合同》、招募说明书等信息披露文件的理解、认可、接受；</w:t>
      </w:r>
    </w:p>
    <w:p w14:paraId="2FEB5A9D" w14:textId="77777777" w:rsidR="00CD61EF" w:rsidRDefault="002B79C0">
      <w:pPr>
        <w:pStyle w:val="af2"/>
        <w:numPr>
          <w:ilvl w:val="0"/>
          <w:numId w:val="6"/>
        </w:numPr>
        <w:tabs>
          <w:tab w:val="left" w:pos="1202"/>
        </w:tabs>
        <w:spacing w:before="2" w:line="364" w:lineRule="auto"/>
        <w:ind w:right="364" w:firstLine="479"/>
        <w:rPr>
          <w:rFonts w:ascii="Times New Roman" w:hAnsi="Times New Roman" w:cs="Times New Roman"/>
          <w:bCs/>
          <w:kern w:val="2"/>
          <w:sz w:val="24"/>
          <w:szCs w:val="24"/>
        </w:rPr>
      </w:pPr>
      <w:r>
        <w:rPr>
          <w:rFonts w:ascii="Times New Roman" w:hAnsi="Times New Roman" w:cs="Times New Roman"/>
          <w:bCs/>
          <w:kern w:val="2"/>
          <w:sz w:val="24"/>
          <w:szCs w:val="24"/>
        </w:rPr>
        <w:t>了解所投资基金产品，了解自身风险承受能力，自主判断基金的投资价值，自主做出投资决策，自行承担投资风险；</w:t>
      </w:r>
    </w:p>
    <w:p w14:paraId="7300186B" w14:textId="77777777" w:rsidR="00CD61EF" w:rsidRDefault="002B79C0">
      <w:pPr>
        <w:pStyle w:val="af2"/>
        <w:numPr>
          <w:ilvl w:val="0"/>
          <w:numId w:val="6"/>
        </w:numPr>
        <w:tabs>
          <w:tab w:val="left" w:pos="1202"/>
        </w:tabs>
        <w:spacing w:line="364" w:lineRule="auto"/>
        <w:ind w:right="244" w:firstLine="479"/>
        <w:rPr>
          <w:rFonts w:ascii="Times New Roman" w:hAnsi="Times New Roman" w:cs="Times New Roman"/>
          <w:bCs/>
          <w:kern w:val="2"/>
          <w:sz w:val="24"/>
          <w:szCs w:val="24"/>
        </w:rPr>
      </w:pPr>
      <w:r>
        <w:rPr>
          <w:rFonts w:ascii="Times New Roman" w:hAnsi="Times New Roman" w:cs="Times New Roman"/>
          <w:bCs/>
          <w:kern w:val="2"/>
          <w:sz w:val="24"/>
          <w:szCs w:val="24"/>
        </w:rPr>
        <w:t>接受基金管理人或销售机构要求的风险承受能力调查和评价，如实提供身份信息、投资经验、财产状况、风险认知等相关信息，并保证所提供资料、信息的真实性、准确性、完整性；</w:t>
      </w:r>
    </w:p>
    <w:p w14:paraId="65B5A37A" w14:textId="77777777" w:rsidR="00CD61EF" w:rsidRDefault="00CD61EF">
      <w:pPr>
        <w:spacing w:line="364" w:lineRule="auto"/>
        <w:rPr>
          <w:rFonts w:ascii="Times New Roman" w:hAnsi="Times New Roman" w:cs="Times New Roman"/>
          <w:bCs/>
          <w:kern w:val="2"/>
          <w:sz w:val="24"/>
          <w:szCs w:val="24"/>
        </w:rPr>
        <w:sectPr w:rsidR="00CD61EF">
          <w:pgSz w:w="11910" w:h="16840"/>
          <w:pgMar w:top="1440" w:right="1440" w:bottom="1180" w:left="1680" w:header="877" w:footer="998" w:gutter="0"/>
          <w:cols w:space="720"/>
        </w:sectPr>
      </w:pPr>
    </w:p>
    <w:p w14:paraId="044D5AA9" w14:textId="77777777" w:rsidR="00CD61EF" w:rsidRDefault="002B79C0">
      <w:pPr>
        <w:pStyle w:val="af2"/>
        <w:numPr>
          <w:ilvl w:val="0"/>
          <w:numId w:val="6"/>
        </w:numPr>
        <w:tabs>
          <w:tab w:val="left" w:pos="1202"/>
        </w:tabs>
        <w:spacing w:before="64"/>
        <w:ind w:left="1201" w:hanging="602"/>
        <w:rPr>
          <w:rFonts w:ascii="Times New Roman" w:hAnsi="Times New Roman" w:cs="Times New Roman"/>
          <w:bCs/>
          <w:kern w:val="2"/>
          <w:sz w:val="24"/>
          <w:szCs w:val="24"/>
        </w:rPr>
      </w:pPr>
      <w:r>
        <w:rPr>
          <w:rFonts w:ascii="Times New Roman" w:hAnsi="Times New Roman" w:cs="Times New Roman"/>
          <w:bCs/>
          <w:kern w:val="2"/>
          <w:sz w:val="24"/>
          <w:szCs w:val="24"/>
        </w:rPr>
        <w:lastRenderedPageBreak/>
        <w:t>关注基金信息披露，及时行使权利和履行义务；</w:t>
      </w:r>
    </w:p>
    <w:p w14:paraId="269BC8FB" w14:textId="77777777" w:rsidR="00CD61EF" w:rsidRDefault="002B79C0">
      <w:pPr>
        <w:pStyle w:val="af2"/>
        <w:numPr>
          <w:ilvl w:val="0"/>
          <w:numId w:val="6"/>
        </w:numPr>
        <w:tabs>
          <w:tab w:val="left" w:pos="1202"/>
        </w:tabs>
        <w:spacing w:before="160"/>
        <w:ind w:left="1201" w:hanging="602"/>
        <w:rPr>
          <w:rFonts w:ascii="Times New Roman" w:hAnsi="Times New Roman" w:cs="Times New Roman"/>
          <w:bCs/>
          <w:kern w:val="2"/>
          <w:sz w:val="24"/>
          <w:szCs w:val="24"/>
        </w:rPr>
      </w:pPr>
      <w:r>
        <w:rPr>
          <w:rFonts w:ascii="Times New Roman" w:hAnsi="Times New Roman" w:cs="Times New Roman"/>
          <w:bCs/>
          <w:kern w:val="2"/>
          <w:sz w:val="24"/>
          <w:szCs w:val="24"/>
        </w:rPr>
        <w:t>交纳基金认购、申购款项及法律法规和《基金合同》所规定的费用；</w:t>
      </w:r>
    </w:p>
    <w:p w14:paraId="417A18E1" w14:textId="77777777" w:rsidR="00CD61EF" w:rsidRDefault="002B79C0">
      <w:pPr>
        <w:pStyle w:val="af2"/>
        <w:numPr>
          <w:ilvl w:val="0"/>
          <w:numId w:val="6"/>
        </w:numPr>
        <w:tabs>
          <w:tab w:val="left" w:pos="1202"/>
        </w:tabs>
        <w:spacing w:before="161" w:line="364" w:lineRule="auto"/>
        <w:ind w:right="364" w:firstLine="479"/>
        <w:rPr>
          <w:rFonts w:ascii="Times New Roman" w:hAnsi="Times New Roman" w:cs="Times New Roman"/>
          <w:bCs/>
          <w:kern w:val="2"/>
          <w:sz w:val="24"/>
          <w:szCs w:val="24"/>
        </w:rPr>
      </w:pPr>
      <w:r>
        <w:rPr>
          <w:rFonts w:ascii="Times New Roman" w:hAnsi="Times New Roman" w:cs="Times New Roman"/>
          <w:bCs/>
          <w:kern w:val="2"/>
          <w:sz w:val="24"/>
          <w:szCs w:val="24"/>
        </w:rPr>
        <w:t>在其持有的基金份额范围内，承担基金亏损或者《基金合同》终止的有限责任；</w:t>
      </w:r>
    </w:p>
    <w:p w14:paraId="04194576" w14:textId="77777777" w:rsidR="00CD61EF" w:rsidRDefault="002B79C0">
      <w:pPr>
        <w:pStyle w:val="af2"/>
        <w:numPr>
          <w:ilvl w:val="0"/>
          <w:numId w:val="6"/>
        </w:numPr>
        <w:tabs>
          <w:tab w:val="left" w:pos="1202"/>
        </w:tabs>
        <w:ind w:left="1201" w:hanging="602"/>
        <w:rPr>
          <w:rFonts w:ascii="Times New Roman" w:hAnsi="Times New Roman" w:cs="Times New Roman"/>
          <w:bCs/>
          <w:kern w:val="2"/>
          <w:sz w:val="24"/>
          <w:szCs w:val="24"/>
        </w:rPr>
      </w:pPr>
      <w:r>
        <w:rPr>
          <w:rFonts w:ascii="Times New Roman" w:hAnsi="Times New Roman" w:cs="Times New Roman"/>
          <w:bCs/>
          <w:kern w:val="2"/>
          <w:sz w:val="24"/>
          <w:szCs w:val="24"/>
        </w:rPr>
        <w:t>不从事任何有损基金及其他《基金合同》当事人合法权益的活动；</w:t>
      </w:r>
    </w:p>
    <w:p w14:paraId="588A6B8D" w14:textId="77777777" w:rsidR="00CD61EF" w:rsidRDefault="002B79C0">
      <w:pPr>
        <w:pStyle w:val="af2"/>
        <w:numPr>
          <w:ilvl w:val="0"/>
          <w:numId w:val="6"/>
        </w:numPr>
        <w:tabs>
          <w:tab w:val="left" w:pos="1202"/>
        </w:tabs>
        <w:spacing w:before="161"/>
        <w:ind w:left="1201" w:hanging="602"/>
        <w:rPr>
          <w:rFonts w:ascii="Times New Roman" w:hAnsi="Times New Roman" w:cs="Times New Roman"/>
          <w:bCs/>
          <w:kern w:val="2"/>
          <w:sz w:val="24"/>
          <w:szCs w:val="24"/>
        </w:rPr>
      </w:pPr>
      <w:r>
        <w:rPr>
          <w:rFonts w:ascii="Times New Roman" w:hAnsi="Times New Roman" w:cs="Times New Roman"/>
          <w:bCs/>
          <w:kern w:val="2"/>
          <w:sz w:val="24"/>
          <w:szCs w:val="24"/>
        </w:rPr>
        <w:t>执行生效的基金份额持有人大会的决议；</w:t>
      </w:r>
    </w:p>
    <w:p w14:paraId="514CD617" w14:textId="77777777" w:rsidR="00CD61EF" w:rsidRDefault="002B79C0">
      <w:pPr>
        <w:pStyle w:val="af2"/>
        <w:numPr>
          <w:ilvl w:val="0"/>
          <w:numId w:val="6"/>
        </w:numPr>
        <w:tabs>
          <w:tab w:val="left" w:pos="1202"/>
        </w:tabs>
        <w:spacing w:before="160"/>
        <w:ind w:left="1201" w:hanging="602"/>
        <w:rPr>
          <w:rFonts w:ascii="Times New Roman" w:hAnsi="Times New Roman" w:cs="Times New Roman"/>
          <w:bCs/>
          <w:kern w:val="2"/>
          <w:sz w:val="24"/>
          <w:szCs w:val="24"/>
        </w:rPr>
      </w:pPr>
      <w:r>
        <w:rPr>
          <w:rFonts w:ascii="Times New Roman" w:hAnsi="Times New Roman" w:cs="Times New Roman"/>
          <w:bCs/>
          <w:kern w:val="2"/>
          <w:sz w:val="24"/>
          <w:szCs w:val="24"/>
        </w:rPr>
        <w:t>返还在基金交易过程中因任何原因获得的不当得利；</w:t>
      </w:r>
    </w:p>
    <w:p w14:paraId="0BBE1058" w14:textId="77777777" w:rsidR="00CD61EF" w:rsidRDefault="002B79C0">
      <w:pPr>
        <w:pStyle w:val="af2"/>
        <w:numPr>
          <w:ilvl w:val="0"/>
          <w:numId w:val="6"/>
        </w:numPr>
        <w:tabs>
          <w:tab w:val="left" w:pos="1322"/>
        </w:tabs>
        <w:spacing w:before="161" w:line="364" w:lineRule="auto"/>
        <w:ind w:right="357" w:firstLine="479"/>
        <w:rPr>
          <w:rFonts w:ascii="Times New Roman" w:hAnsi="Times New Roman" w:cs="Times New Roman"/>
          <w:bCs/>
          <w:kern w:val="2"/>
          <w:sz w:val="24"/>
          <w:szCs w:val="24"/>
        </w:rPr>
      </w:pPr>
      <w:r>
        <w:rPr>
          <w:rFonts w:ascii="Times New Roman" w:hAnsi="Times New Roman" w:cs="Times New Roman"/>
          <w:bCs/>
          <w:kern w:val="2"/>
          <w:sz w:val="24"/>
          <w:szCs w:val="24"/>
        </w:rPr>
        <w:t>遵守基金管理人、基金托管人、销售机构和登记机构的相关交易及业务规则；</w:t>
      </w:r>
    </w:p>
    <w:p w14:paraId="1585A73C" w14:textId="77777777" w:rsidR="00CD61EF" w:rsidRDefault="002B79C0">
      <w:pPr>
        <w:pStyle w:val="af2"/>
        <w:numPr>
          <w:ilvl w:val="0"/>
          <w:numId w:val="6"/>
        </w:numPr>
        <w:tabs>
          <w:tab w:val="left" w:pos="1312"/>
        </w:tabs>
        <w:spacing w:line="364" w:lineRule="auto"/>
        <w:ind w:right="357" w:firstLine="479"/>
        <w:rPr>
          <w:rFonts w:ascii="Times New Roman" w:hAnsi="Times New Roman" w:cs="Times New Roman"/>
          <w:bCs/>
          <w:kern w:val="2"/>
          <w:sz w:val="24"/>
          <w:szCs w:val="24"/>
        </w:rPr>
      </w:pPr>
      <w:r>
        <w:rPr>
          <w:rFonts w:ascii="Times New Roman" w:hAnsi="Times New Roman" w:cs="Times New Roman"/>
          <w:bCs/>
          <w:kern w:val="2"/>
          <w:sz w:val="24"/>
          <w:szCs w:val="24"/>
        </w:rPr>
        <w:t>提供基金管理人和监管机构依法要求提供的信息，以及不时的更新和补充，并保证其真实性；</w:t>
      </w:r>
    </w:p>
    <w:p w14:paraId="436D632B" w14:textId="77777777" w:rsidR="00CD61EF" w:rsidRDefault="002B79C0">
      <w:pPr>
        <w:pStyle w:val="af2"/>
        <w:numPr>
          <w:ilvl w:val="0"/>
          <w:numId w:val="6"/>
        </w:numPr>
        <w:tabs>
          <w:tab w:val="left" w:pos="1322"/>
        </w:tabs>
        <w:spacing w:before="2"/>
        <w:ind w:left="1321" w:hanging="722"/>
        <w:rPr>
          <w:rFonts w:ascii="Times New Roman" w:hAnsi="Times New Roman" w:cs="Times New Roman"/>
          <w:bCs/>
          <w:kern w:val="2"/>
          <w:sz w:val="24"/>
          <w:szCs w:val="24"/>
        </w:rPr>
      </w:pPr>
      <w:r>
        <w:rPr>
          <w:rFonts w:ascii="Times New Roman" w:hAnsi="Times New Roman" w:cs="Times New Roman"/>
          <w:bCs/>
          <w:kern w:val="2"/>
          <w:sz w:val="24"/>
          <w:szCs w:val="24"/>
        </w:rPr>
        <w:t>法律法规及中国证监会规定的和《基金合同》约定的其他义务。</w:t>
      </w:r>
    </w:p>
    <w:p w14:paraId="56822F34" w14:textId="77777777" w:rsidR="00CD61EF" w:rsidRDefault="00CD61EF">
      <w:pPr>
        <w:rPr>
          <w:sz w:val="24"/>
        </w:rPr>
        <w:sectPr w:rsidR="00CD61EF">
          <w:pgSz w:w="11910" w:h="16840"/>
          <w:pgMar w:top="1440" w:right="1440" w:bottom="1180" w:left="1680" w:header="877" w:footer="998" w:gutter="0"/>
          <w:cols w:space="720"/>
        </w:sectPr>
      </w:pPr>
    </w:p>
    <w:p w14:paraId="5B59BBC6"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11" w:name="_Toc27782"/>
      <w:r>
        <w:rPr>
          <w:rFonts w:ascii="Times New Roman" w:eastAsia="宋体" w:hAnsi="Times New Roman" w:cs="Times New Roman"/>
          <w:bCs w:val="0"/>
          <w:szCs w:val="20"/>
        </w:rPr>
        <w:lastRenderedPageBreak/>
        <w:t>第八部分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基金份</w:t>
      </w:r>
      <w:r>
        <w:rPr>
          <w:rFonts w:ascii="Times New Roman" w:eastAsia="宋体" w:hAnsi="Times New Roman" w:cs="Times New Roman" w:hint="eastAsia"/>
          <w:bCs w:val="0"/>
          <w:szCs w:val="20"/>
        </w:rPr>
        <w:t>额持有人大会</w:t>
      </w:r>
      <w:bookmarkEnd w:id="11"/>
    </w:p>
    <w:p w14:paraId="1C858BA0" w14:textId="77777777" w:rsidR="00CD61EF" w:rsidRDefault="00CD61EF">
      <w:pPr>
        <w:pStyle w:val="a5"/>
        <w:spacing w:before="13"/>
        <w:ind w:left="0" w:firstLine="0"/>
        <w:rPr>
          <w:rFonts w:ascii="Microsoft JhengHei"/>
          <w:b/>
          <w:sz w:val="32"/>
        </w:rPr>
      </w:pPr>
    </w:p>
    <w:p w14:paraId="4A4A33C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由基金份额持有人组成，基金份额持有人的合法授权代表有权代表基金份额持有人出席会议并表决。除法律法规另有规定或本基金合同另有约定外，基金份额持有人持有的每一基金份额拥有平等的投票权。</w:t>
      </w:r>
    </w:p>
    <w:p w14:paraId="1BB1D53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本基金份额持有人大会不设日常机构。</w:t>
      </w:r>
    </w:p>
    <w:p w14:paraId="104CF94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一、召开事由</w:t>
      </w:r>
    </w:p>
    <w:p w14:paraId="74047E1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、当出现或需要决定下列事由之一的，应当召开基金份额持有人大会</w:t>
      </w:r>
      <w:r>
        <w:rPr>
          <w:rFonts w:hint="eastAsia"/>
          <w:bCs/>
          <w:sz w:val="24"/>
        </w:rPr>
        <w:t>，法律法规或中国证监会另有规定或基金合同另有约定的除外</w:t>
      </w:r>
      <w:r>
        <w:rPr>
          <w:rFonts w:ascii="Times New Roman" w:hAnsi="Times New Roman" w:cs="Times New Roman"/>
          <w:bCs/>
          <w:kern w:val="2"/>
          <w:sz w:val="24"/>
          <w:szCs w:val="20"/>
        </w:rPr>
        <w:t>：</w:t>
      </w:r>
    </w:p>
    <w:p w14:paraId="6B6571D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终止《基金合同》；</w:t>
      </w:r>
    </w:p>
    <w:p w14:paraId="2DCD6EA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2</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更换基金管理人；</w:t>
      </w:r>
    </w:p>
    <w:p w14:paraId="3D1B720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3</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更换基金托管人；</w:t>
      </w:r>
    </w:p>
    <w:p w14:paraId="60F37E6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4</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转换基金运作方式；</w:t>
      </w:r>
    </w:p>
    <w:p w14:paraId="7845A7F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5</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调整基金管理人、基金托管人的报酬标准或提高销售服务费；</w:t>
      </w:r>
    </w:p>
    <w:p w14:paraId="2349611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6</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变更基金类别；</w:t>
      </w:r>
    </w:p>
    <w:p w14:paraId="511E3ED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7</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本基金与其他基金的合并；</w:t>
      </w:r>
    </w:p>
    <w:p w14:paraId="105E9521"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8</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变更基金投资目标、范围或策略；</w:t>
      </w:r>
    </w:p>
    <w:p w14:paraId="178BDB9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bCs/>
          <w:kern w:val="2"/>
          <w:sz w:val="24"/>
          <w:szCs w:val="20"/>
        </w:rPr>
        <w:t>9</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变更基金份额持有人大会程序；</w:t>
      </w:r>
    </w:p>
    <w:p w14:paraId="6B74306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bCs/>
          <w:kern w:val="2"/>
          <w:sz w:val="24"/>
          <w:szCs w:val="20"/>
        </w:rPr>
        <w:t>0</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基金管理人或基金托管人要求召开基金份额持有人大会；</w:t>
      </w:r>
    </w:p>
    <w:p w14:paraId="6372E07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bCs/>
          <w:kern w:val="2"/>
          <w:sz w:val="24"/>
          <w:szCs w:val="20"/>
        </w:rPr>
        <w:t>1</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单独或合计持有本基金总份额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）基金份额的基金份额持有人（以基金管理人收到提议当日的基金份额计算，下同）就同一事项书面要求召开基金份额持有人大会；</w:t>
      </w:r>
    </w:p>
    <w:p w14:paraId="491A6D2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bCs/>
          <w:kern w:val="2"/>
          <w:sz w:val="24"/>
          <w:szCs w:val="20"/>
        </w:rPr>
        <w:t>2</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对基金合同当事人权利和义务产生重大影响的其他事项；</w:t>
      </w:r>
    </w:p>
    <w:p w14:paraId="15DB54C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bCs/>
          <w:kern w:val="2"/>
          <w:sz w:val="24"/>
          <w:szCs w:val="20"/>
        </w:rPr>
        <w:t>3</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法律法规、《基金合同》或中国证监会规定的其他应当召开基金份额持有人大会的事项。</w:t>
      </w:r>
    </w:p>
    <w:p w14:paraId="1A5032A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、在法律法规规定和《基金合同》约定的范围内、且对基金份额持有人利益无实质性不利影响的前提下，以下情况可由基金管理人和基金托管人协商后修改，不需召开基金份额持有人大会：</w:t>
      </w:r>
    </w:p>
    <w:p w14:paraId="11B515A1"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调低其他应由本基金或基金份额持有人承担的费用；</w:t>
      </w:r>
    </w:p>
    <w:p w14:paraId="6B0B81D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2</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法律法规要求增加的基金费用的收取；</w:t>
      </w:r>
    </w:p>
    <w:p w14:paraId="3381632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lastRenderedPageBreak/>
        <w:t>（</w:t>
      </w:r>
      <w:r>
        <w:rPr>
          <w:rFonts w:ascii="Times New Roman" w:hAnsi="Times New Roman" w:cs="Times New Roman" w:hint="eastAsia"/>
          <w:bCs/>
          <w:kern w:val="2"/>
          <w:sz w:val="24"/>
          <w:szCs w:val="20"/>
        </w:rPr>
        <w:t>3</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调整本基金的申购费率、调低赎回费率、调低销售服务费或在对现有基金份额持有人利益无实质性不利影响的前提下变更或增加收费方式；</w:t>
      </w:r>
    </w:p>
    <w:p w14:paraId="05C5E32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bCs/>
          <w:kern w:val="2"/>
          <w:sz w:val="24"/>
          <w:szCs w:val="20"/>
        </w:rPr>
        <w:t>4</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因相应的法律法规、登记机构的相关业务规则发生变动而应当对《基金合同》进行修改；</w:t>
      </w:r>
    </w:p>
    <w:p w14:paraId="13A81F0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5</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对《基金合同》的修改对基金份额持有人利益无实质性不利影响或修改不涉及《基金合同》当事人权利义务关系发生重大变化；</w:t>
      </w:r>
    </w:p>
    <w:p w14:paraId="33BBB49A"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6</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基金推出新业务或服务；</w:t>
      </w:r>
    </w:p>
    <w:p w14:paraId="430C35F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7</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调整本基金份额类别的设置，</w:t>
      </w:r>
      <w:r>
        <w:rPr>
          <w:rFonts w:ascii="Times New Roman" w:hAnsi="Times New Roman" w:cs="Times New Roman" w:hint="eastAsia"/>
          <w:bCs/>
          <w:kern w:val="2"/>
          <w:sz w:val="24"/>
          <w:szCs w:val="20"/>
        </w:rPr>
        <w:t>或停止某类基金份额类别的销售，或取消某基金份额类别，</w:t>
      </w:r>
      <w:r>
        <w:rPr>
          <w:rFonts w:ascii="Times New Roman" w:hAnsi="Times New Roman" w:cs="Times New Roman"/>
          <w:bCs/>
          <w:kern w:val="2"/>
          <w:sz w:val="24"/>
          <w:szCs w:val="20"/>
        </w:rPr>
        <w:t>对基金份额分类办法及规则进行调整；</w:t>
      </w:r>
    </w:p>
    <w:p w14:paraId="467FEDA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8</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基金管理人、登记机构、销售机构调整有关基金认购、申购、赎回、转换、非交易过户、转托管等业务的规则；</w:t>
      </w:r>
    </w:p>
    <w:p w14:paraId="34CDB341"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9</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按照法律法规和《基金合同》规定不需召开基金份额持有人大会的其他情形。</w:t>
      </w:r>
    </w:p>
    <w:p w14:paraId="5262A14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二、会议召集人及召集方式</w:t>
      </w:r>
    </w:p>
    <w:p w14:paraId="2CD2D4E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、除法律法规规定或《基金合同》另有约定外，基金份额持有人大会由基金管理人召集。</w:t>
      </w:r>
    </w:p>
    <w:p w14:paraId="2F3E51C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、基金管理人未按规定召集或不能召集时，由基金托管人召集。</w:t>
      </w:r>
    </w:p>
    <w:p w14:paraId="04D4DB9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、基金托管人认为有必要召开基金份额持有人大会的，应当向基金管理人提出书面提议。基金管理人应当自收到书面提议之日起</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日内决定是否召集，并书面告知基金托管人。基金管理人决定召集的，应当自出具书面决定之日起</w:t>
      </w:r>
      <w:r>
        <w:rPr>
          <w:rFonts w:ascii="Times New Roman" w:hAnsi="Times New Roman" w:cs="Times New Roman"/>
          <w:bCs/>
          <w:kern w:val="2"/>
          <w:sz w:val="24"/>
          <w:szCs w:val="20"/>
        </w:rPr>
        <w:t xml:space="preserve"> 60 </w:t>
      </w:r>
      <w:r>
        <w:rPr>
          <w:rFonts w:ascii="Times New Roman" w:hAnsi="Times New Roman" w:cs="Times New Roman"/>
          <w:bCs/>
          <w:kern w:val="2"/>
          <w:sz w:val="24"/>
          <w:szCs w:val="20"/>
        </w:rPr>
        <w:t>日内召开；基金管理人决定不召集，基金托管人仍认为有必要召开的，应当由基金托管人自行召集，并自出具书面决定之日起</w:t>
      </w:r>
      <w:r>
        <w:rPr>
          <w:rFonts w:ascii="Times New Roman" w:hAnsi="Times New Roman" w:cs="Times New Roman"/>
          <w:bCs/>
          <w:kern w:val="2"/>
          <w:sz w:val="24"/>
          <w:szCs w:val="20"/>
        </w:rPr>
        <w:t xml:space="preserve"> 60 </w:t>
      </w:r>
      <w:r>
        <w:rPr>
          <w:rFonts w:ascii="Times New Roman" w:hAnsi="Times New Roman" w:cs="Times New Roman"/>
          <w:bCs/>
          <w:kern w:val="2"/>
          <w:sz w:val="24"/>
          <w:szCs w:val="20"/>
        </w:rPr>
        <w:t>日内召开并告知基金管理人，</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基金管理人应当配合。</w:t>
      </w:r>
    </w:p>
    <w:p w14:paraId="74F84F6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、代表基金份额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）的基金份额持有人就同一事项书面要求召开基金份额持有人大会，应当向基金管理人提出书面提议。基金管理人应当自收到书面提议之日起</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日内决定是否召集，并书面告知提出提议的基金份额持有人代表和基金托管人。基金管理人决定召集的，应当自出具书面决定之日起</w:t>
      </w:r>
      <w:r>
        <w:rPr>
          <w:rFonts w:ascii="Times New Roman" w:hAnsi="Times New Roman" w:cs="Times New Roman"/>
          <w:bCs/>
          <w:kern w:val="2"/>
          <w:sz w:val="24"/>
          <w:szCs w:val="20"/>
        </w:rPr>
        <w:t xml:space="preserve">60 </w:t>
      </w:r>
      <w:r>
        <w:rPr>
          <w:rFonts w:ascii="Times New Roman" w:hAnsi="Times New Roman" w:cs="Times New Roman"/>
          <w:bCs/>
          <w:kern w:val="2"/>
          <w:sz w:val="24"/>
          <w:szCs w:val="20"/>
        </w:rPr>
        <w:t>日内召开；基金管理人决定不召集，代表基金份额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）的基金份额持有人仍认为有必要召开的，应当向基金托管人提出书面提议。基金托管人应当自收到书面提议之日起</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日内决定是否召集，并书面告知提出提议的基金份额持有人代表和基金</w:t>
      </w:r>
      <w:r>
        <w:rPr>
          <w:rFonts w:ascii="Times New Roman" w:hAnsi="Times New Roman" w:cs="Times New Roman"/>
          <w:bCs/>
          <w:kern w:val="2"/>
          <w:sz w:val="24"/>
          <w:szCs w:val="20"/>
        </w:rPr>
        <w:lastRenderedPageBreak/>
        <w:t>管理人；基金托管人决定召集的，应当自出具书面决定之日起</w:t>
      </w:r>
      <w:r>
        <w:rPr>
          <w:rFonts w:ascii="Times New Roman" w:hAnsi="Times New Roman" w:cs="Times New Roman"/>
          <w:bCs/>
          <w:kern w:val="2"/>
          <w:sz w:val="24"/>
          <w:szCs w:val="20"/>
        </w:rPr>
        <w:t xml:space="preserve"> 60 </w:t>
      </w:r>
      <w:r>
        <w:rPr>
          <w:rFonts w:ascii="Times New Roman" w:hAnsi="Times New Roman" w:cs="Times New Roman"/>
          <w:bCs/>
          <w:kern w:val="2"/>
          <w:sz w:val="24"/>
          <w:szCs w:val="20"/>
        </w:rPr>
        <w:t>日内召开并告知基金管理人，基金管理人应当配合。</w:t>
      </w:r>
    </w:p>
    <w:p w14:paraId="750BC4D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、代表基金份额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）的基金份额持有人就同一事项要求召开基金份额持有人大会，而基金管理人、基金托管人都不召集的，单独或合计代表基金份额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）的基金份额持有人有权自行召集，并至少提前</w:t>
      </w:r>
      <w:r>
        <w:rPr>
          <w:rFonts w:ascii="Times New Roman" w:hAnsi="Times New Roman" w:cs="Times New Roman"/>
          <w:bCs/>
          <w:kern w:val="2"/>
          <w:sz w:val="24"/>
          <w:szCs w:val="20"/>
        </w:rPr>
        <w:t xml:space="preserve"> 30 </w:t>
      </w:r>
      <w:r>
        <w:rPr>
          <w:rFonts w:ascii="Times New Roman" w:hAnsi="Times New Roman" w:cs="Times New Roman"/>
          <w:bCs/>
          <w:kern w:val="2"/>
          <w:sz w:val="24"/>
          <w:szCs w:val="20"/>
        </w:rPr>
        <w:t>日报中国证监会备案。基金份额持有人依法自行召集基金份额持有人大会的，基金管理人、基金托管人应当配合，不得阻碍、干扰。</w:t>
      </w:r>
    </w:p>
    <w:p w14:paraId="5F8B477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、基金份额持有人会议的召集人负责选择确定开会时间、地点、方式和权益登记日。</w:t>
      </w:r>
    </w:p>
    <w:p w14:paraId="7D40A41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三、召开基金份额持有人大会的通知时间、通知内容、通知方式</w:t>
      </w:r>
    </w:p>
    <w:p w14:paraId="33E3479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、召开基金份额持有人大会，召集人应于会议召开前</w:t>
      </w:r>
      <w:r>
        <w:rPr>
          <w:rFonts w:ascii="Times New Roman" w:hAnsi="Times New Roman" w:cs="Times New Roman"/>
          <w:bCs/>
          <w:kern w:val="2"/>
          <w:sz w:val="24"/>
          <w:szCs w:val="20"/>
        </w:rPr>
        <w:t xml:space="preserve"> 30 </w:t>
      </w:r>
      <w:r>
        <w:rPr>
          <w:rFonts w:ascii="Times New Roman" w:hAnsi="Times New Roman" w:cs="Times New Roman"/>
          <w:bCs/>
          <w:kern w:val="2"/>
          <w:sz w:val="24"/>
          <w:szCs w:val="20"/>
        </w:rPr>
        <w:t>日，在规定媒介公告。基金份额持有人大会通知应至少载明以下内容：</w:t>
      </w:r>
    </w:p>
    <w:p w14:paraId="313D576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会议召开的时间、地点和会议形式；</w:t>
      </w:r>
    </w:p>
    <w:p w14:paraId="194FAA9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2</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会议拟审议的事项、议事程序和表决方式；</w:t>
      </w:r>
    </w:p>
    <w:p w14:paraId="20505353"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3</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有权出席基金份额持有人大会的基金份额持有人的权益登记日；</w:t>
      </w:r>
    </w:p>
    <w:p w14:paraId="4499634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4</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授权委托证明的内容要求（包括但不限于代理人身份，代理权限和代理有效期限等）、送达时间和地点；</w:t>
      </w:r>
    </w:p>
    <w:p w14:paraId="4B82899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5</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会务常设联系人姓名及联系电话；</w:t>
      </w:r>
    </w:p>
    <w:p w14:paraId="69E6184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6</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出席会议者必须准备的文件和必须履行的手续；</w:t>
      </w:r>
    </w:p>
    <w:p w14:paraId="3B3F8B7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7</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召集人需要通知的其他事项。</w:t>
      </w:r>
    </w:p>
    <w:p w14:paraId="0FD5CB8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7EE444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2ABE14C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四、基金份额持有人出席会议的方式</w:t>
      </w:r>
    </w:p>
    <w:p w14:paraId="5930375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基金份额持有人大会可通过现场开会方式、通讯开会方式或法律法规及监管机</w:t>
      </w:r>
      <w:r>
        <w:rPr>
          <w:rFonts w:ascii="Times New Roman" w:hAnsi="Times New Roman" w:cs="Times New Roman"/>
          <w:bCs/>
          <w:kern w:val="2"/>
          <w:sz w:val="24"/>
          <w:szCs w:val="20"/>
        </w:rPr>
        <w:lastRenderedPageBreak/>
        <w:t>关允许的其他方式召开，会议的召开方式由会议召集人确定。</w:t>
      </w:r>
    </w:p>
    <w:p w14:paraId="29C6DF2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D6C25B3"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8EF1CE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经核对，汇总到会者出示的在权益登记日持有基金份额的凭证显示，</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Times New Roman" w:hAnsi="Times New Roman" w:cs="Times New Roman"/>
          <w:bCs/>
          <w:kern w:val="2"/>
          <w:sz w:val="24"/>
          <w:szCs w:val="20"/>
        </w:rPr>
        <w:t xml:space="preserve"> 3 </w:t>
      </w:r>
      <w:r>
        <w:rPr>
          <w:rFonts w:ascii="Times New Roman" w:hAnsi="Times New Roman" w:cs="Times New Roman"/>
          <w:bCs/>
          <w:kern w:val="2"/>
          <w:sz w:val="24"/>
          <w:szCs w:val="20"/>
        </w:rPr>
        <w:t>个月以后、</w:t>
      </w:r>
      <w:r>
        <w:rPr>
          <w:rFonts w:ascii="Times New Roman" w:hAnsi="Times New Roman" w:cs="Times New Roman"/>
          <w:bCs/>
          <w:kern w:val="2"/>
          <w:sz w:val="24"/>
          <w:szCs w:val="20"/>
        </w:rPr>
        <w:t xml:space="preserve">6 </w:t>
      </w:r>
      <w:r>
        <w:rPr>
          <w:rFonts w:ascii="Times New Roman" w:hAnsi="Times New Roman" w:cs="Times New Roman"/>
          <w:bCs/>
          <w:kern w:val="2"/>
          <w:sz w:val="24"/>
          <w:szCs w:val="20"/>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834410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、通讯开会。通讯开会系指基金份额持有人将其对表决事项的投票以书面形式或会议通知载明的形式在表决截止日以前送达至召集人指定的地址或系统。</w:t>
      </w:r>
    </w:p>
    <w:p w14:paraId="27AE859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通讯开会应以书面方式或会议通知载明的其他方式进行表决。在同时符合以下条件时，通讯开会的方式视为有效：</w:t>
      </w:r>
    </w:p>
    <w:p w14:paraId="6D482E4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会议召集人按《基金合同》约定公布会议通知后，在</w:t>
      </w:r>
      <w:r>
        <w:rPr>
          <w:rFonts w:ascii="Times New Roman" w:hAnsi="Times New Roman" w:cs="Times New Roman"/>
          <w:bCs/>
          <w:kern w:val="2"/>
          <w:sz w:val="24"/>
          <w:szCs w:val="20"/>
        </w:rPr>
        <w:t xml:space="preserve"> 2 </w:t>
      </w:r>
      <w:r>
        <w:rPr>
          <w:rFonts w:ascii="Times New Roman" w:hAnsi="Times New Roman" w:cs="Times New Roman"/>
          <w:bCs/>
          <w:kern w:val="2"/>
          <w:sz w:val="24"/>
          <w:szCs w:val="20"/>
        </w:rPr>
        <w:t>个工作日内连续公布相关提示性公告；</w:t>
      </w:r>
    </w:p>
    <w:p w14:paraId="0525132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2</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召集人按基金合同约定通知基金托管人（如果基金托管人为召集人，</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A5C3DE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3</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少于本基金在权益登记日基金总份额的二分之一，召集人可以在原公告的基金</w:t>
      </w:r>
      <w:r>
        <w:rPr>
          <w:rFonts w:ascii="Times New Roman" w:hAnsi="Times New Roman" w:cs="Times New Roman"/>
          <w:bCs/>
          <w:kern w:val="2"/>
          <w:sz w:val="24"/>
          <w:szCs w:val="20"/>
        </w:rPr>
        <w:lastRenderedPageBreak/>
        <w:t>份额持有人大会召开时间的</w:t>
      </w:r>
      <w:r>
        <w:rPr>
          <w:rFonts w:ascii="Times New Roman" w:hAnsi="Times New Roman" w:cs="Times New Roman"/>
          <w:bCs/>
          <w:kern w:val="2"/>
          <w:sz w:val="24"/>
          <w:szCs w:val="20"/>
        </w:rPr>
        <w:t xml:space="preserve"> 3 </w:t>
      </w:r>
      <w:r>
        <w:rPr>
          <w:rFonts w:ascii="Times New Roman" w:hAnsi="Times New Roman" w:cs="Times New Roman"/>
          <w:bCs/>
          <w:kern w:val="2"/>
          <w:sz w:val="24"/>
          <w:szCs w:val="20"/>
        </w:rPr>
        <w:t>个月以后、</w:t>
      </w:r>
      <w:r>
        <w:rPr>
          <w:rFonts w:ascii="Times New Roman" w:hAnsi="Times New Roman" w:cs="Times New Roman"/>
          <w:bCs/>
          <w:kern w:val="2"/>
          <w:sz w:val="24"/>
          <w:szCs w:val="20"/>
        </w:rPr>
        <w:t xml:space="preserve">6 </w:t>
      </w:r>
      <w:r>
        <w:rPr>
          <w:rFonts w:ascii="Times New Roman" w:hAnsi="Times New Roman" w:cs="Times New Roman"/>
          <w:bCs/>
          <w:kern w:val="2"/>
          <w:sz w:val="24"/>
          <w:szCs w:val="20"/>
        </w:rPr>
        <w:t>个月以内，就原定审议事项重新召集基金份额持有人大会。重新召集的基金份额持有人大会应当有代表基金总份额三分之一以上（含三分之一）基金份额的持有人直接出具表决意见或授权他人代表出具表决意见；</w:t>
      </w:r>
    </w:p>
    <w:p w14:paraId="3FBF50A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4</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上述第（</w:t>
      </w:r>
      <w:r>
        <w:rPr>
          <w:rFonts w:ascii="Times New Roman" w:hAnsi="Times New Roman" w:cs="Times New Roman"/>
          <w:bCs/>
          <w:kern w:val="2"/>
          <w:sz w:val="24"/>
          <w:szCs w:val="20"/>
        </w:rPr>
        <w:t>3</w:t>
      </w:r>
      <w:r>
        <w:rPr>
          <w:rFonts w:ascii="Times New Roman" w:hAnsi="Times New Roman" w:cs="Times New Roman"/>
          <w:bCs/>
          <w:kern w:val="2"/>
          <w:sz w:val="24"/>
          <w:szCs w:val="20"/>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9862E8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在法律法规和监管机关允许的情况下，经会议通知载明，本基金亦可采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程序比照现场开会和通讯方式开会的程序进行。</w:t>
      </w:r>
    </w:p>
    <w:p w14:paraId="1BB491D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五、议事内容与程序</w:t>
      </w:r>
    </w:p>
    <w:p w14:paraId="794ADA6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、议事内容及提案权</w:t>
      </w:r>
    </w:p>
    <w:p w14:paraId="47A9E60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议事内容为关系基金份额持有人利益的重大事项，如《基金合同》的重大修改、决定终止《基金合同》、更换基金管理人、更换基金托管人、与其他基金合并（法律法规、基金合同和中国证监会另有规定的除外）、法律法规及《基金合同》规定的其他事项以及会议召集人认为需提交基金份额持有人大会讨论的其他事项。</w:t>
      </w:r>
    </w:p>
    <w:p w14:paraId="5BEA8C5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基金份额持有人大会的召集人发出召集会议的通知后，对原有提案的修改应当在基金份额持有人大会召开前及时公告。</w:t>
      </w:r>
    </w:p>
    <w:p w14:paraId="50177BE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基金份额持有人大会不得对未事先公告的议事内容进行表决。</w:t>
      </w:r>
    </w:p>
    <w:p w14:paraId="2FF8A4D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、议事程序</w:t>
      </w:r>
    </w:p>
    <w:p w14:paraId="70D8526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1</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现场开会</w:t>
      </w:r>
    </w:p>
    <w:p w14:paraId="35DDF6C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大会的情况下，由基金托管人授权其出席会议的代表主持；如果基金管理人授权代表和基金托管人授权代表均未能主持大会，则由出席大会的基金份额持有人和</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代理人所持表决权的二分之一以上（含二分之一）选举产生一名基金份额持有人或代理人作为</w:t>
      </w:r>
      <w:r>
        <w:rPr>
          <w:rFonts w:ascii="Times New Roman" w:hAnsi="Times New Roman" w:cs="Times New Roman"/>
          <w:bCs/>
          <w:kern w:val="2"/>
          <w:sz w:val="24"/>
          <w:szCs w:val="20"/>
        </w:rPr>
        <w:lastRenderedPageBreak/>
        <w:t>该次基金份额持有人大会的主持人。基金管理人和基金托管人拒不</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出席或主持基金份额持有人大会，不影响基金份额持有人大会作出的决议的效力。</w:t>
      </w:r>
    </w:p>
    <w:p w14:paraId="1F514DD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会议召集人应当制作出席会议人员的签名册。签名册载明参加会议人员姓名（或单位名称）、身份证明文件号码、持有或代表有表决权的基金份额、委托人姓名（或单位名称）和联系方式等事项。</w:t>
      </w:r>
    </w:p>
    <w:p w14:paraId="0D25171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hint="eastAsia"/>
          <w:bCs/>
          <w:kern w:val="2"/>
          <w:sz w:val="24"/>
          <w:szCs w:val="20"/>
        </w:rPr>
        <w:t>（</w:t>
      </w:r>
      <w:r>
        <w:rPr>
          <w:rFonts w:ascii="Times New Roman" w:hAnsi="Times New Roman" w:cs="Times New Roman" w:hint="eastAsia"/>
          <w:bCs/>
          <w:kern w:val="2"/>
          <w:sz w:val="24"/>
          <w:szCs w:val="20"/>
        </w:rPr>
        <w:t>2</w:t>
      </w:r>
      <w:r>
        <w:rPr>
          <w:rFonts w:ascii="Times New Roman" w:hAnsi="Times New Roman" w:cs="Times New Roman" w:hint="eastAsia"/>
          <w:bCs/>
          <w:kern w:val="2"/>
          <w:sz w:val="24"/>
          <w:szCs w:val="20"/>
        </w:rPr>
        <w:t>）</w:t>
      </w:r>
      <w:r>
        <w:rPr>
          <w:rFonts w:ascii="Times New Roman" w:hAnsi="Times New Roman" w:cs="Times New Roman"/>
          <w:bCs/>
          <w:kern w:val="2"/>
          <w:sz w:val="24"/>
          <w:szCs w:val="20"/>
        </w:rPr>
        <w:t>通讯开会</w:t>
      </w:r>
    </w:p>
    <w:p w14:paraId="62F488B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在通讯开会的情况下，首先由召集人提前</w:t>
      </w:r>
      <w:r>
        <w:rPr>
          <w:rFonts w:ascii="Times New Roman" w:hAnsi="Times New Roman" w:cs="Times New Roman"/>
          <w:bCs/>
          <w:kern w:val="2"/>
          <w:sz w:val="24"/>
          <w:szCs w:val="20"/>
        </w:rPr>
        <w:t xml:space="preserve"> 30 </w:t>
      </w:r>
      <w:r>
        <w:rPr>
          <w:rFonts w:ascii="Times New Roman" w:hAnsi="Times New Roman" w:cs="Times New Roman"/>
          <w:bCs/>
          <w:kern w:val="2"/>
          <w:sz w:val="24"/>
          <w:szCs w:val="20"/>
        </w:rPr>
        <w:t>日公布提案，在所通知的表决截止日期后</w:t>
      </w:r>
      <w:r>
        <w:rPr>
          <w:rFonts w:ascii="Times New Roman" w:hAnsi="Times New Roman" w:cs="Times New Roman"/>
          <w:bCs/>
          <w:kern w:val="2"/>
          <w:sz w:val="24"/>
          <w:szCs w:val="20"/>
        </w:rPr>
        <w:t xml:space="preserve"> 2 </w:t>
      </w:r>
      <w:r>
        <w:rPr>
          <w:rFonts w:ascii="Times New Roman" w:hAnsi="Times New Roman" w:cs="Times New Roman"/>
          <w:bCs/>
          <w:kern w:val="2"/>
          <w:sz w:val="24"/>
          <w:szCs w:val="20"/>
        </w:rPr>
        <w:t>个工作日内在公证机关监督下由召集人统计全部有效表决，在公证机关监督下形成决议。</w:t>
      </w:r>
    </w:p>
    <w:p w14:paraId="5A2E359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六、表决</w:t>
      </w:r>
    </w:p>
    <w:p w14:paraId="39C9C80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基金份额持有人所持每份基金份额有一票表决权。</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基金份额持有人大会决议分为一般决议和特别决议：</w:t>
      </w:r>
    </w:p>
    <w:p w14:paraId="0D0B91E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、一般决议，一般决议须经参加大会的基金份额持有人或其代理人所持表决权的二分之一以上（含二分之一）通过方为有效；除下列第</w:t>
      </w:r>
      <w:r>
        <w:rPr>
          <w:rFonts w:ascii="Times New Roman" w:hAnsi="Times New Roman" w:cs="Times New Roman"/>
          <w:bCs/>
          <w:kern w:val="2"/>
          <w:sz w:val="24"/>
          <w:szCs w:val="20"/>
        </w:rPr>
        <w:t xml:space="preserve"> 2 </w:t>
      </w:r>
      <w:r>
        <w:rPr>
          <w:rFonts w:ascii="Times New Roman" w:hAnsi="Times New Roman" w:cs="Times New Roman"/>
          <w:bCs/>
          <w:kern w:val="2"/>
          <w:sz w:val="24"/>
          <w:szCs w:val="20"/>
        </w:rPr>
        <w:t>项所规定的须以特别决议通过事项以外的其他事项均以一般决议的方式通过。</w:t>
      </w:r>
    </w:p>
    <w:p w14:paraId="0FE9313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特别决议，特别决议应当经参加大会的基金份额持有人或其代理人所持表决权的三分之二以上（含三分之二）通过方可做出。转换基金运作方式、更换基金管理人或者基金托管人、终止《基金合同》、本基金与其他基金合并（就上述情形，法律法规、《基金合同》和中国证监会另有规定的除外）以特别决议通过方为有效。</w:t>
      </w:r>
    </w:p>
    <w:p w14:paraId="001122A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基金份额持有人大会采取记名方式进行投票表决。</w:t>
      </w:r>
    </w:p>
    <w:p w14:paraId="2C6C4D0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采取通讯方式进行表决时，除非在计票时有充分的相反证据证明，否则提交符合会议通知中规定的确认投资者身份文件的表决视为有效出席的投资者，表面</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符合会议通知规定的表决意见视为有效表决，表决意见模糊不清或相互矛盾的视</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为弃权表决，但应当计入出具表决意见的基金份额持有人所代表的基金份额总数。</w:t>
      </w:r>
    </w:p>
    <w:p w14:paraId="51D4850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基金份额持有人大会的各项提案或同一项提案内并列的各项议题应当分开审议、逐项表决。</w:t>
      </w:r>
    </w:p>
    <w:p w14:paraId="610113F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七、计票</w:t>
      </w:r>
    </w:p>
    <w:p w14:paraId="0167FF8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、现场开会</w:t>
      </w:r>
    </w:p>
    <w:p w14:paraId="0DC320E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如大会由基金管理人或基金托管人召集，基金份额持有人大会的主持人应当在会议开始后宣布在出席会议的基金份额持有人和代理人中选举两名基金份额持有人</w:t>
      </w:r>
      <w:r>
        <w:rPr>
          <w:rFonts w:ascii="Times New Roman" w:hAnsi="Times New Roman" w:cs="Times New Roman"/>
          <w:bCs/>
          <w:kern w:val="2"/>
          <w:sz w:val="24"/>
          <w:szCs w:val="20"/>
        </w:rPr>
        <w:lastRenderedPageBreak/>
        <w:t>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11D3357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监票人应当在基金份额持有人表决后立即进行清点并由大会主持人当场公布计票结果。</w:t>
      </w:r>
    </w:p>
    <w:p w14:paraId="6EB6BD87"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7391DB70"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计票过程应由公证机关予以公证，基金管理人或基金托管人拒不出席大会的，不影响计票的效力。</w:t>
      </w:r>
    </w:p>
    <w:p w14:paraId="3D9C55C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、通讯开会</w:t>
      </w:r>
    </w:p>
    <w:p w14:paraId="31941B3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9E42DD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八、生效与公告</w:t>
      </w:r>
    </w:p>
    <w:p w14:paraId="61BEB74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基金份额持有人大会的决议，召集人应当自通过之日起</w:t>
      </w:r>
      <w:r>
        <w:rPr>
          <w:rFonts w:ascii="Times New Roman" w:hAnsi="Times New Roman" w:cs="Times New Roman"/>
          <w:bCs/>
          <w:kern w:val="2"/>
          <w:sz w:val="24"/>
          <w:szCs w:val="20"/>
        </w:rPr>
        <w:t xml:space="preserve"> 5  </w:t>
      </w:r>
      <w:r>
        <w:rPr>
          <w:rFonts w:ascii="Times New Roman" w:hAnsi="Times New Roman" w:cs="Times New Roman"/>
          <w:bCs/>
          <w:kern w:val="2"/>
          <w:sz w:val="24"/>
          <w:szCs w:val="20"/>
        </w:rPr>
        <w:t>日内报中国证监会备案。</w:t>
      </w:r>
    </w:p>
    <w:p w14:paraId="6C898DB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基金份额持有人大会的决议自表决通过之日起生效。</w:t>
      </w:r>
    </w:p>
    <w:p w14:paraId="740E491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基金份额持有人大会决议自生效之日起按规定在规定媒介上公告。如果采用通讯方式进行表决，在公告基金份额持有人大会决议时，必须将公证书全文、公证机构、公证员姓名等一同公告。</w:t>
      </w:r>
    </w:p>
    <w:p w14:paraId="63161C2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基金管理人、基金托管人和基金份额持有人应当执行生效的基金份额持有人大会的决议。生效的基金份额持有人大会决议对全体基金份额持有人、基金管理人、基金托管人均有约束力。</w:t>
      </w:r>
    </w:p>
    <w:p w14:paraId="6243755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九、实施侧袋机制期间基金份额持有人大会的特殊约定</w:t>
      </w:r>
    </w:p>
    <w:p w14:paraId="50FA3F2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若本基金实施侧袋机制，则相关基金份额或表决权的比例指主袋份额持有人和侧袋份额持有人分别持有或代表的基金份额或表决权符合该等比例，但若相关基金</w:t>
      </w:r>
      <w:r>
        <w:rPr>
          <w:rFonts w:ascii="Times New Roman" w:hAnsi="Times New Roman" w:cs="Times New Roman"/>
          <w:bCs/>
          <w:kern w:val="2"/>
          <w:sz w:val="24"/>
          <w:szCs w:val="20"/>
        </w:rPr>
        <w:lastRenderedPageBreak/>
        <w:t>份额持有人大会召集和审议事项不涉及侧袋账户的，则仅指主袋份额持有人持有或代表的基金份额或表决权符合该等比例：</w:t>
      </w:r>
    </w:p>
    <w:p w14:paraId="2B55E19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、基金份额持有人行使提议权、召集权、提名权所需单独或合计代表相关基金份额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w:t>
      </w:r>
    </w:p>
    <w:p w14:paraId="18BBFB3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、现场开会的到会者在权益登记日代表的基金份额不少于本基金在权益登记日相关基金份额的二分之一（含二分之一）；</w:t>
      </w:r>
    </w:p>
    <w:p w14:paraId="7EA1C1B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、通讯开会的直接出具表决意见或授权他人代表出具表决意见的基金份额持有人所持有的基金份额不小于在权益登记日相关基金份额的二分之一（含二分之一）；</w:t>
      </w:r>
    </w:p>
    <w:p w14:paraId="1E90E3D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、当参与基金份额持有人大会投票的基金份额持有人所持有的基金份额小于在权益登记日相关基金份额的二分之一，召集人在原公告的基金份额持有人大会召开时间的</w:t>
      </w:r>
      <w:r>
        <w:rPr>
          <w:rFonts w:ascii="Times New Roman" w:hAnsi="Times New Roman" w:cs="Times New Roman"/>
          <w:bCs/>
          <w:kern w:val="2"/>
          <w:sz w:val="24"/>
          <w:szCs w:val="20"/>
        </w:rPr>
        <w:t xml:space="preserve"> 3 </w:t>
      </w:r>
      <w:r>
        <w:rPr>
          <w:rFonts w:ascii="Times New Roman" w:hAnsi="Times New Roman" w:cs="Times New Roman"/>
          <w:bCs/>
          <w:kern w:val="2"/>
          <w:sz w:val="24"/>
          <w:szCs w:val="20"/>
        </w:rPr>
        <w:t>个月以后、</w:t>
      </w:r>
      <w:r>
        <w:rPr>
          <w:rFonts w:ascii="Times New Roman" w:hAnsi="Times New Roman" w:cs="Times New Roman"/>
          <w:bCs/>
          <w:kern w:val="2"/>
          <w:sz w:val="24"/>
          <w:szCs w:val="20"/>
        </w:rPr>
        <w:t xml:space="preserve">6 </w:t>
      </w:r>
      <w:r>
        <w:rPr>
          <w:rFonts w:ascii="Times New Roman" w:hAnsi="Times New Roman" w:cs="Times New Roman"/>
          <w:bCs/>
          <w:kern w:val="2"/>
          <w:sz w:val="24"/>
          <w:szCs w:val="20"/>
        </w:rPr>
        <w:t>个月以内就原定审议事项重新召集的基金份额持有人大会应当有代表三分之一以上（含三分之一）相关基金份额的持有人参与或授权他人参与基金份额持有人大会投票；</w:t>
      </w:r>
    </w:p>
    <w:p w14:paraId="37828E9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、现场开会由出席大会的基金份额持有人和代理人所持表决权的</w:t>
      </w:r>
      <w:r>
        <w:rPr>
          <w:rFonts w:ascii="Times New Roman" w:hAnsi="Times New Roman" w:cs="Times New Roman"/>
          <w:bCs/>
          <w:kern w:val="2"/>
          <w:sz w:val="24"/>
          <w:szCs w:val="20"/>
        </w:rPr>
        <w:t xml:space="preserve"> 50%</w:t>
      </w:r>
      <w:r>
        <w:rPr>
          <w:rFonts w:ascii="Times New Roman" w:hAnsi="Times New Roman" w:cs="Times New Roman"/>
          <w:bCs/>
          <w:kern w:val="2"/>
          <w:sz w:val="24"/>
          <w:szCs w:val="20"/>
        </w:rPr>
        <w:t>以上</w:t>
      </w:r>
    </w:p>
    <w:p w14:paraId="26A539F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（含</w:t>
      </w:r>
      <w:r>
        <w:rPr>
          <w:rFonts w:ascii="Times New Roman" w:hAnsi="Times New Roman" w:cs="Times New Roman"/>
          <w:bCs/>
          <w:kern w:val="2"/>
          <w:sz w:val="24"/>
          <w:szCs w:val="20"/>
        </w:rPr>
        <w:t xml:space="preserve"> 50%</w:t>
      </w:r>
      <w:r>
        <w:rPr>
          <w:rFonts w:ascii="Times New Roman" w:hAnsi="Times New Roman" w:cs="Times New Roman"/>
          <w:bCs/>
          <w:kern w:val="2"/>
          <w:sz w:val="24"/>
          <w:szCs w:val="20"/>
        </w:rPr>
        <w:t>）选举产生一名基金份额持有人作为该次基金份额持有人大会的主持人；</w:t>
      </w:r>
    </w:p>
    <w:p w14:paraId="2BAE271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、一般决议须经参加大会的基金份额持有人或其代理人所持表决权的二分之一以上（含二分之一）通过；</w:t>
      </w:r>
    </w:p>
    <w:p w14:paraId="531DFC6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、特别决议应当经参加大会的基金份额持有人或其代理人所持表决权的三分之二以上（含三分之二）通过。</w:t>
      </w:r>
    </w:p>
    <w:p w14:paraId="40683EC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7A3E1A5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侧袋机制实施期间，关于基金份额持有人大会的相关规定以本节特殊约定内容为准，本节没有规定的适用上文相关约定。</w:t>
      </w:r>
    </w:p>
    <w:p w14:paraId="3B85233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十、本部分关于基金份额持有人大会召开事由、召开条件、议事程序、表决条件等规定，凡是直接引用法律法规的部分，如将来法律法规修改导致相关内容被取消或变更的，经与基金托管人协商一致，基金管理人提前公告后，可直接对本部分内容进行修改和调整，无需召开基金份额持有人大会审议。</w:t>
      </w:r>
    </w:p>
    <w:p w14:paraId="7DA5DECE" w14:textId="77777777" w:rsidR="00CD61EF" w:rsidRDefault="00CD61EF">
      <w:pPr>
        <w:spacing w:line="364" w:lineRule="auto"/>
        <w:jc w:val="both"/>
        <w:sectPr w:rsidR="00CD61EF">
          <w:headerReference w:type="default" r:id="rId18"/>
          <w:footerReference w:type="default" r:id="rId19"/>
          <w:pgSz w:w="11910" w:h="16840"/>
          <w:pgMar w:top="1440" w:right="1440" w:bottom="1180" w:left="1680" w:header="877" w:footer="998" w:gutter="0"/>
          <w:cols w:space="720"/>
        </w:sectPr>
      </w:pPr>
    </w:p>
    <w:p w14:paraId="5F618A82" w14:textId="77777777" w:rsidR="00CD61EF" w:rsidRDefault="002B79C0">
      <w:pPr>
        <w:pStyle w:val="1"/>
        <w:keepNext/>
        <w:keepLines/>
        <w:autoSpaceDE/>
        <w:autoSpaceDN/>
        <w:spacing w:before="120" w:after="120" w:line="360" w:lineRule="auto"/>
        <w:ind w:left="0" w:right="0"/>
        <w:rPr>
          <w:rFonts w:ascii="Times New Roman" w:eastAsia="宋体" w:hAnsi="Times New Roman" w:cs="Times New Roman"/>
          <w:bCs w:val="0"/>
          <w:szCs w:val="20"/>
        </w:rPr>
      </w:pPr>
      <w:bookmarkStart w:id="12" w:name="_Toc8816"/>
      <w:r>
        <w:rPr>
          <w:rFonts w:ascii="Times New Roman" w:eastAsia="宋体" w:hAnsi="Times New Roman" w:cs="Times New Roman"/>
          <w:bCs w:val="0"/>
          <w:szCs w:val="20"/>
        </w:rPr>
        <w:lastRenderedPageBreak/>
        <w:t>第九部分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基金管理人、基金托管人的更</w:t>
      </w:r>
      <w:r>
        <w:rPr>
          <w:rFonts w:ascii="Times New Roman" w:eastAsia="宋体" w:hAnsi="Times New Roman" w:cs="Times New Roman" w:hint="eastAsia"/>
          <w:bCs w:val="0"/>
          <w:szCs w:val="20"/>
        </w:rPr>
        <w:t>换条件和程序</w:t>
      </w:r>
      <w:bookmarkEnd w:id="12"/>
    </w:p>
    <w:p w14:paraId="3C0B78DD" w14:textId="77777777" w:rsidR="00CD61EF" w:rsidRDefault="00CD61EF">
      <w:pPr>
        <w:pStyle w:val="a5"/>
        <w:spacing w:before="4"/>
        <w:ind w:left="0" w:firstLine="0"/>
        <w:rPr>
          <w:rFonts w:ascii="Microsoft JhengHei"/>
          <w:b/>
          <w:sz w:val="39"/>
        </w:rPr>
      </w:pPr>
    </w:p>
    <w:p w14:paraId="1F2895B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一、基金管理人和基金托管人职责终止的情形</w:t>
      </w:r>
    </w:p>
    <w:p w14:paraId="7305839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基金管理人职责终止的情形</w:t>
      </w:r>
    </w:p>
    <w:p w14:paraId="35965BC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有下列情形之一的，基金管理人职责终止：</w:t>
      </w:r>
    </w:p>
    <w:p w14:paraId="644C8B6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13" w:name="_Hlk70009075"/>
      <w:r>
        <w:rPr>
          <w:rFonts w:ascii="Times New Roman" w:hAnsi="Times New Roman" w:cs="Times New Roman"/>
          <w:bCs/>
          <w:kern w:val="2"/>
          <w:sz w:val="24"/>
          <w:szCs w:val="20"/>
        </w:rPr>
        <w:t>1</w:t>
      </w:r>
      <w:r>
        <w:rPr>
          <w:rFonts w:ascii="Times New Roman" w:hAnsi="Times New Roman" w:cs="Times New Roman"/>
          <w:bCs/>
          <w:kern w:val="2"/>
          <w:sz w:val="24"/>
          <w:szCs w:val="20"/>
        </w:rPr>
        <w:t>、被依法取消基金管理资格；</w:t>
      </w:r>
    </w:p>
    <w:p w14:paraId="678DF17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、被基金份额持有人大会解任；</w:t>
      </w:r>
    </w:p>
    <w:p w14:paraId="4B767C9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、依法解散、被依法撤销或被依法宣告破产；</w:t>
      </w:r>
    </w:p>
    <w:p w14:paraId="1B9766F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、法律法规及中国证监会规定的和《基金合同》约定的其他情形。</w:t>
      </w:r>
    </w:p>
    <w:bookmarkEnd w:id="13"/>
    <w:p w14:paraId="1A55894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基金托管人职责终止的情形</w:t>
      </w:r>
    </w:p>
    <w:p w14:paraId="5E7FBB6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有下列情形之一的，基金托管人职责终止：</w:t>
      </w:r>
    </w:p>
    <w:p w14:paraId="65449BF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14" w:name="_Hlk70009175"/>
      <w:r>
        <w:rPr>
          <w:rFonts w:ascii="Times New Roman" w:hAnsi="Times New Roman" w:cs="Times New Roman"/>
          <w:bCs/>
          <w:kern w:val="2"/>
          <w:sz w:val="24"/>
          <w:szCs w:val="20"/>
        </w:rPr>
        <w:t>1</w:t>
      </w:r>
      <w:r>
        <w:rPr>
          <w:rFonts w:ascii="Times New Roman" w:hAnsi="Times New Roman" w:cs="Times New Roman"/>
          <w:bCs/>
          <w:kern w:val="2"/>
          <w:sz w:val="24"/>
          <w:szCs w:val="20"/>
        </w:rPr>
        <w:t>、被依法取消基金托管资格；</w:t>
      </w:r>
    </w:p>
    <w:p w14:paraId="141FDB6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、被基金份额持有人大会解任；</w:t>
      </w:r>
    </w:p>
    <w:p w14:paraId="25319AC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、依法解散、被依法撤销或被依法宣告破产；</w:t>
      </w:r>
    </w:p>
    <w:p w14:paraId="7B0B5DEA"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、法律法规及中国证监会规定的和《基金合同》约定的其他情形。</w:t>
      </w:r>
      <w:bookmarkEnd w:id="14"/>
    </w:p>
    <w:p w14:paraId="7E1EDED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二、基金管理人和基金托管人的更换程序</w:t>
      </w:r>
    </w:p>
    <w:p w14:paraId="0158535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基金管理人的更换程序</w:t>
      </w:r>
    </w:p>
    <w:p w14:paraId="3482447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15" w:name="_Hlk70009119"/>
      <w:r>
        <w:rPr>
          <w:rFonts w:ascii="Times New Roman" w:hAnsi="Times New Roman" w:cs="Times New Roman"/>
          <w:bCs/>
          <w:kern w:val="2"/>
          <w:sz w:val="24"/>
          <w:szCs w:val="20"/>
        </w:rPr>
        <w:t>1</w:t>
      </w:r>
      <w:r>
        <w:rPr>
          <w:rFonts w:ascii="Times New Roman" w:hAnsi="Times New Roman" w:cs="Times New Roman"/>
          <w:bCs/>
          <w:kern w:val="2"/>
          <w:sz w:val="24"/>
          <w:szCs w:val="20"/>
        </w:rPr>
        <w:t>、提名：新任基金管理人由基金托管人或由单独或合计持有</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10%</w:t>
      </w:r>
      <w:r>
        <w:rPr>
          <w:rFonts w:ascii="Times New Roman" w:hAnsi="Times New Roman" w:cs="Times New Roman"/>
          <w:bCs/>
          <w:kern w:val="2"/>
          <w:sz w:val="24"/>
          <w:szCs w:val="20"/>
        </w:rPr>
        <w:t>）基金份额的基金份额持有人提名；</w:t>
      </w:r>
    </w:p>
    <w:p w14:paraId="048864F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、决议：基金份额持有人大会在基金管理人职责终止后</w:t>
      </w:r>
      <w:r>
        <w:rPr>
          <w:rFonts w:ascii="Times New Roman" w:hAnsi="Times New Roman" w:cs="Times New Roman"/>
          <w:bCs/>
          <w:kern w:val="2"/>
          <w:sz w:val="24"/>
          <w:szCs w:val="20"/>
        </w:rPr>
        <w:t xml:space="preserve"> 6 </w:t>
      </w:r>
      <w:r>
        <w:rPr>
          <w:rFonts w:ascii="Times New Roman" w:hAnsi="Times New Roman" w:cs="Times New Roman"/>
          <w:bCs/>
          <w:kern w:val="2"/>
          <w:sz w:val="24"/>
          <w:szCs w:val="20"/>
        </w:rPr>
        <w:t>个月内对被提名的基金管理人形成决议，该决议需经参加大会的基金份额持有人所持表决权的三分之二以上（含三分之二）表决通过，决议自表决通过之日起生效；</w:t>
      </w:r>
    </w:p>
    <w:p w14:paraId="7F971D4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、临时基金管理人：新任基金管理人产生之前，由中国证监会指定临时基金管理人；</w:t>
      </w:r>
    </w:p>
    <w:p w14:paraId="634A38E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、备案：基金份额持有人大会更换基金管理人的决议须报中国证监会备案；</w:t>
      </w:r>
    </w:p>
    <w:p w14:paraId="317659A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、公告：基金管理人更换后，由基金托管人在更换基金管理人的基金份额持有人大会决议生效后按规定在规定媒介公告；</w:t>
      </w:r>
    </w:p>
    <w:p w14:paraId="2459293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、交接：基金管理人职责终止的，基金管理人应妥善保管基金管理业务资料，及时向临时基金管理人或新任基金管理人办理基金管理业务的移交手续，临时基金</w:t>
      </w:r>
      <w:r>
        <w:rPr>
          <w:rFonts w:ascii="Times New Roman" w:hAnsi="Times New Roman" w:cs="Times New Roman"/>
          <w:bCs/>
          <w:kern w:val="2"/>
          <w:sz w:val="24"/>
          <w:szCs w:val="20"/>
        </w:rPr>
        <w:lastRenderedPageBreak/>
        <w:t>管理人或新任基金管理人应及时接收。新任基金管理人或临时基金管理人应与基金托管人核对基金资产总值和净值；</w:t>
      </w:r>
    </w:p>
    <w:p w14:paraId="0B8DFD0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、审计：基金管理人职责终止的，应当按照法律法规规定聘请会计师事务所对基金财产进行审计，并将审计结果予以公告，同时报中国证监会备案，审计费用从基金财产中列支；</w:t>
      </w:r>
    </w:p>
    <w:p w14:paraId="61304F7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8</w:t>
      </w:r>
      <w:r>
        <w:rPr>
          <w:rFonts w:ascii="Times New Roman" w:hAnsi="Times New Roman" w:cs="Times New Roman"/>
          <w:bCs/>
          <w:kern w:val="2"/>
          <w:sz w:val="24"/>
          <w:szCs w:val="20"/>
        </w:rPr>
        <w:t>、基金名称变更：基金管理人更换后，如果原任或新任基金管理人要求，</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应按其要求替换或删除基金名称中与原基金管理人有关的名称字样。</w:t>
      </w:r>
    </w:p>
    <w:bookmarkEnd w:id="15"/>
    <w:p w14:paraId="1565F10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基金托管人的更换程序</w:t>
      </w:r>
    </w:p>
    <w:p w14:paraId="02DCA77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16" w:name="_Hlk70009212"/>
      <w:r>
        <w:rPr>
          <w:rFonts w:ascii="Times New Roman" w:hAnsi="Times New Roman" w:cs="Times New Roman"/>
          <w:bCs/>
          <w:kern w:val="2"/>
          <w:sz w:val="24"/>
          <w:szCs w:val="20"/>
        </w:rPr>
        <w:t>1</w:t>
      </w:r>
      <w:r>
        <w:rPr>
          <w:rFonts w:ascii="Times New Roman" w:hAnsi="Times New Roman" w:cs="Times New Roman"/>
          <w:bCs/>
          <w:kern w:val="2"/>
          <w:sz w:val="24"/>
          <w:szCs w:val="20"/>
        </w:rPr>
        <w:t>、提名：新任基金托管人由基金管理人或由单独或合计持有</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10%</w:t>
      </w:r>
      <w:r>
        <w:rPr>
          <w:rFonts w:ascii="Times New Roman" w:hAnsi="Times New Roman" w:cs="Times New Roman"/>
          <w:bCs/>
          <w:kern w:val="2"/>
          <w:sz w:val="24"/>
          <w:szCs w:val="20"/>
        </w:rPr>
        <w:t>）基金份额的基金份额持有人提名；</w:t>
      </w:r>
    </w:p>
    <w:p w14:paraId="66110E6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、决议：基金份额持有人大会在基金托管人职责终止后</w:t>
      </w:r>
      <w:r>
        <w:rPr>
          <w:rFonts w:ascii="Times New Roman" w:hAnsi="Times New Roman" w:cs="Times New Roman"/>
          <w:bCs/>
          <w:kern w:val="2"/>
          <w:sz w:val="24"/>
          <w:szCs w:val="20"/>
        </w:rPr>
        <w:t xml:space="preserve"> 6 </w:t>
      </w:r>
      <w:r>
        <w:rPr>
          <w:rFonts w:ascii="Times New Roman" w:hAnsi="Times New Roman" w:cs="Times New Roman"/>
          <w:bCs/>
          <w:kern w:val="2"/>
          <w:sz w:val="24"/>
          <w:szCs w:val="20"/>
        </w:rPr>
        <w:t>个月内对被提名的基金托管人形成决议，该决议需经参加大会的基金份额持有人所持表决权的三分之二以上（含三分之二）表决通过，决议自表决通过之日起生效；</w:t>
      </w:r>
    </w:p>
    <w:p w14:paraId="3761F8D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、临时基金托管人：新任基金托管人产生之前，由中国证监会指定临时基金托管人；</w:t>
      </w:r>
    </w:p>
    <w:p w14:paraId="4493E07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、备案：基金份额持有人大会更换基金托管人的决议须报中国证监会备案；</w:t>
      </w:r>
    </w:p>
    <w:p w14:paraId="7816197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、公告：基金托管人更换后，由基金管理人在更换基金托管人的基金份额持有人大会决议生效后按规定在规定媒介公告；</w:t>
      </w:r>
    </w:p>
    <w:p w14:paraId="02DB5F2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交接：基金托管人职责终止的，应当妥善保管基金财产和基金托管业务资料，及时办理基金财产和基金托管业务的移交手续，新任基金托管人或者临时基金托管人应当及时接收。新任基金托管人或临时基金托管人与基金管理人核对基金资产总值和净值；</w:t>
      </w:r>
    </w:p>
    <w:p w14:paraId="34DDC66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、审计：基金托管人职责终止的，应当按照法律法规规定聘请会计师事务所对基金财产进行审计，并将审计结果予以公告，同时报中国证监会备案，审计费用从基金财产中列支。</w:t>
      </w:r>
      <w:bookmarkEnd w:id="16"/>
    </w:p>
    <w:p w14:paraId="3B119E4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（三）基金管理人与基金托管人同时更换的条件和程序</w:t>
      </w:r>
    </w:p>
    <w:p w14:paraId="2DF235D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17" w:name="_Hlk70009269"/>
      <w:r>
        <w:rPr>
          <w:rFonts w:ascii="Times New Roman" w:hAnsi="Times New Roman" w:cs="Times New Roman"/>
          <w:bCs/>
          <w:kern w:val="2"/>
          <w:sz w:val="24"/>
          <w:szCs w:val="20"/>
        </w:rPr>
        <w:t>1</w:t>
      </w:r>
      <w:r>
        <w:rPr>
          <w:rFonts w:ascii="Times New Roman" w:hAnsi="Times New Roman" w:cs="Times New Roman"/>
          <w:bCs/>
          <w:kern w:val="2"/>
          <w:sz w:val="24"/>
          <w:szCs w:val="20"/>
        </w:rPr>
        <w:t>、提名：如果基金管理人和基金托管人同时更换，由单独或合计持有基金总份额</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以上（含</w:t>
      </w:r>
      <w:r>
        <w:rPr>
          <w:rFonts w:ascii="Times New Roman" w:hAnsi="Times New Roman" w:cs="Times New Roman"/>
          <w:bCs/>
          <w:kern w:val="2"/>
          <w:sz w:val="24"/>
          <w:szCs w:val="20"/>
        </w:rPr>
        <w:t xml:space="preserve"> 10%</w:t>
      </w:r>
      <w:r>
        <w:rPr>
          <w:rFonts w:ascii="Times New Roman" w:hAnsi="Times New Roman" w:cs="Times New Roman"/>
          <w:bCs/>
          <w:kern w:val="2"/>
          <w:sz w:val="24"/>
          <w:szCs w:val="20"/>
        </w:rPr>
        <w:t>）的基金份额持有人提名新的基金管理人和基金托管人；</w:t>
      </w:r>
    </w:p>
    <w:p w14:paraId="4007E1A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、基金管理人和基金托管人的更换分别按上述程序进行；</w:t>
      </w:r>
    </w:p>
    <w:p w14:paraId="0968A32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、公告：新任基金管理人和新任基金托管人应在更换基金管理人和基金托管人</w:t>
      </w:r>
      <w:r>
        <w:rPr>
          <w:rFonts w:ascii="Times New Roman" w:hAnsi="Times New Roman" w:cs="Times New Roman"/>
          <w:bCs/>
          <w:kern w:val="2"/>
          <w:sz w:val="24"/>
          <w:szCs w:val="20"/>
        </w:rPr>
        <w:lastRenderedPageBreak/>
        <w:t>的基金份额持有人大会决议生效后按规定在规定媒介上联合公告。</w:t>
      </w:r>
    </w:p>
    <w:bookmarkEnd w:id="17"/>
    <w:p w14:paraId="0E46EC3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三、</w:t>
      </w:r>
      <w:bookmarkStart w:id="18" w:name="_Hlk70009303"/>
      <w:r>
        <w:rPr>
          <w:rFonts w:ascii="Times New Roman" w:hAnsi="Times New Roman" w:cs="Times New Roman"/>
          <w:bCs/>
          <w:kern w:val="2"/>
          <w:sz w:val="24"/>
          <w:szCs w:val="20"/>
        </w:rPr>
        <w:t>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基金托管人在继续履行相关职责期间，仍有权按照本</w:t>
      </w:r>
      <w:r>
        <w:rPr>
          <w:rFonts w:ascii="Times New Roman" w:hAnsi="Times New Roman" w:cs="Times New Roman" w:hint="eastAsia"/>
          <w:bCs/>
          <w:kern w:val="2"/>
          <w:sz w:val="24"/>
          <w:szCs w:val="20"/>
        </w:rPr>
        <w:t>基金</w:t>
      </w:r>
      <w:r>
        <w:rPr>
          <w:rFonts w:ascii="Times New Roman" w:hAnsi="Times New Roman" w:cs="Times New Roman"/>
          <w:bCs/>
          <w:kern w:val="2"/>
          <w:sz w:val="24"/>
          <w:szCs w:val="20"/>
        </w:rPr>
        <w:t>合同的规定收取基金管理费或基金托管费。</w:t>
      </w:r>
      <w:bookmarkEnd w:id="18"/>
    </w:p>
    <w:p w14:paraId="51E037B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四、本部分关于基金管理人、基金托管人更换条件和程序的约定，凡是直接引用法律法规的部分，如将来法律法规修改导致相关内容被取消或变更的，基金管理人与基金托管人协商一致并提前公告后，可直接对相应内容进行修改和调整，无需召开基金份额持有人大会审议。</w:t>
      </w:r>
    </w:p>
    <w:p w14:paraId="21C75E59" w14:textId="77777777" w:rsidR="00CD61EF" w:rsidRDefault="00CD61EF">
      <w:pPr>
        <w:autoSpaceDE/>
        <w:autoSpaceDN/>
        <w:spacing w:line="360" w:lineRule="auto"/>
        <w:ind w:firstLineChars="200" w:firstLine="440"/>
        <w:jc w:val="both"/>
        <w:sectPr w:rsidR="00CD61EF">
          <w:headerReference w:type="default" r:id="rId20"/>
          <w:footerReference w:type="default" r:id="rId21"/>
          <w:pgSz w:w="11910" w:h="16840"/>
          <w:pgMar w:top="1440" w:right="1440" w:bottom="1180" w:left="1680" w:header="877" w:footer="998" w:gutter="0"/>
          <w:cols w:space="720"/>
        </w:sectPr>
      </w:pPr>
    </w:p>
    <w:p w14:paraId="787B4C81"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19" w:name="_Toc32653"/>
      <w:r>
        <w:rPr>
          <w:rFonts w:ascii="Times New Roman" w:eastAsia="宋体" w:hAnsi="Times New Roman" w:cs="Times New Roman"/>
          <w:bCs w:val="0"/>
          <w:szCs w:val="20"/>
        </w:rPr>
        <w:lastRenderedPageBreak/>
        <w:t>第十部分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基金的托管</w:t>
      </w:r>
      <w:bookmarkEnd w:id="19"/>
    </w:p>
    <w:p w14:paraId="2D32D857" w14:textId="77777777" w:rsidR="00CD61EF" w:rsidRDefault="00CD61EF">
      <w:pPr>
        <w:pStyle w:val="a5"/>
        <w:spacing w:before="13"/>
        <w:ind w:left="0" w:firstLine="0"/>
        <w:rPr>
          <w:rFonts w:ascii="Microsoft JhengHei"/>
          <w:b/>
          <w:sz w:val="32"/>
        </w:rPr>
      </w:pPr>
    </w:p>
    <w:p w14:paraId="12A2559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基金托管人和基金管理人按照《基金法》、《基金合同》及其他有关规定订立托管协议。</w:t>
      </w:r>
    </w:p>
    <w:p w14:paraId="78BAC02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2F6B3FE9" w14:textId="77777777" w:rsidR="00CD61EF" w:rsidRDefault="00CD61EF">
      <w:pPr>
        <w:spacing w:line="364" w:lineRule="auto"/>
        <w:jc w:val="both"/>
        <w:sectPr w:rsidR="00CD61EF">
          <w:pgSz w:w="11910" w:h="16840"/>
          <w:pgMar w:top="1440" w:right="1440" w:bottom="1180" w:left="1680" w:header="877" w:footer="998" w:gutter="0"/>
          <w:cols w:space="720"/>
        </w:sectPr>
      </w:pPr>
    </w:p>
    <w:p w14:paraId="407FA516"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20" w:name="_Toc22103"/>
      <w:r>
        <w:rPr>
          <w:rFonts w:ascii="Times New Roman" w:eastAsia="宋体" w:hAnsi="Times New Roman" w:cs="Times New Roman"/>
          <w:bCs w:val="0"/>
          <w:szCs w:val="20"/>
        </w:rPr>
        <w:lastRenderedPageBreak/>
        <w:t>第十一部分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基金份</w:t>
      </w:r>
      <w:r>
        <w:rPr>
          <w:rFonts w:ascii="Times New Roman" w:eastAsia="宋体" w:hAnsi="Times New Roman" w:cs="Times New Roman" w:hint="eastAsia"/>
          <w:bCs w:val="0"/>
          <w:szCs w:val="20"/>
        </w:rPr>
        <w:t>额的登记</w:t>
      </w:r>
      <w:bookmarkEnd w:id="20"/>
    </w:p>
    <w:p w14:paraId="7BED15DB" w14:textId="77777777" w:rsidR="00CD61EF" w:rsidRDefault="00CD61EF">
      <w:pPr>
        <w:pStyle w:val="a5"/>
        <w:spacing w:before="13"/>
        <w:ind w:left="0" w:firstLine="0"/>
        <w:rPr>
          <w:rFonts w:ascii="Microsoft JhengHei"/>
          <w:b/>
          <w:sz w:val="32"/>
        </w:rPr>
      </w:pPr>
    </w:p>
    <w:p w14:paraId="516C5CB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一、基金份额的登记业务</w:t>
      </w:r>
    </w:p>
    <w:p w14:paraId="452E5A9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1E56E2F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二、基金登记业务办理机构</w:t>
      </w:r>
    </w:p>
    <w:p w14:paraId="064F1FB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本基金的登记业务由基金管理人或基金管理人委托的其他符合条件的机构</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办理。基金管理人委托其他机构办理本基金登记业务的，应与代理人签订委托代理协议，以明确基金管理人和代理机构在投资者基金账户管理、基金份额登记、清算及基金交易确认、发放红利、建立并保管基金份额持有人名册和办理非交易过户等事宜中的权利和义务，保护基金份额持有人的合法权益。</w:t>
      </w:r>
    </w:p>
    <w:p w14:paraId="247F6E9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三、基金登记机构的权利</w:t>
      </w:r>
    </w:p>
    <w:p w14:paraId="47C3686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基金登记机构享有以下权利：</w:t>
      </w:r>
    </w:p>
    <w:p w14:paraId="2E8942C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、取得登记费；</w:t>
      </w:r>
    </w:p>
    <w:p w14:paraId="62D3ED2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、建立和管理投资者基金账户；</w:t>
      </w:r>
    </w:p>
    <w:p w14:paraId="773E3D6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、保管基金份额持有人开户资料、交易资料、基金份额持有人名册等；</w:t>
      </w:r>
    </w:p>
    <w:p w14:paraId="29C737E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、在法律法规允许的范围内，对登记业务的办理时间和相关业务规则进行调整，并依照有关规定于开始实施前在规定媒介上公告；</w:t>
      </w:r>
    </w:p>
    <w:p w14:paraId="5AB90A8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、法律法规及中国证监会规定的和《基金合同》约定的其他权利。</w:t>
      </w:r>
    </w:p>
    <w:p w14:paraId="07D7082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四、基金登记机构的义务</w:t>
      </w:r>
    </w:p>
    <w:p w14:paraId="5F5FE7A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基金登记机构承担以下义务：</w:t>
      </w:r>
    </w:p>
    <w:p w14:paraId="7D47C43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、配备足够的专业人员办理本基金份额的登记业务；</w:t>
      </w:r>
    </w:p>
    <w:p w14:paraId="453E7EA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、严格按照法律法规和《基金合同》规定的条件办理本基金份额的登记业务；</w:t>
      </w:r>
    </w:p>
    <w:p w14:paraId="098E2B2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、妥善保存登记数据，并将基金份额持有人名称、身份信息及基金份额明细等数据备份至中国证监会认定的机构。其保存期限自基金账户销户之日起不得少于</w:t>
      </w:r>
      <w:r>
        <w:rPr>
          <w:rFonts w:ascii="Times New Roman" w:hAnsi="Times New Roman" w:cs="Times New Roman"/>
          <w:bCs/>
          <w:kern w:val="2"/>
          <w:sz w:val="24"/>
          <w:szCs w:val="20"/>
        </w:rPr>
        <w:t xml:space="preserve"> 20 </w:t>
      </w:r>
      <w:r>
        <w:rPr>
          <w:rFonts w:ascii="Times New Roman" w:hAnsi="Times New Roman" w:cs="Times New Roman"/>
          <w:bCs/>
          <w:kern w:val="2"/>
          <w:sz w:val="24"/>
          <w:szCs w:val="20"/>
        </w:rPr>
        <w:t>年；</w:t>
      </w:r>
    </w:p>
    <w:p w14:paraId="2E1975F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21D0656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lastRenderedPageBreak/>
        <w:t>5</w:t>
      </w:r>
      <w:r>
        <w:rPr>
          <w:rFonts w:ascii="Times New Roman" w:hAnsi="Times New Roman" w:cs="Times New Roman"/>
          <w:bCs/>
          <w:kern w:val="2"/>
          <w:sz w:val="24"/>
          <w:szCs w:val="20"/>
        </w:rPr>
        <w:t>、按《基金合同》及招募说明书规定为投资者办理非交易过户业务、提供其他必要的服务；</w:t>
      </w:r>
    </w:p>
    <w:p w14:paraId="52CF930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、接受基金管理人的监督，如因登记机构的原因而造成基金管理人或者基金份额持有人损失的，依法承担相应的赔偿责任；</w:t>
      </w:r>
    </w:p>
    <w:p w14:paraId="00489FF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、法律法规及中国证监会规定的和《基金合同》约定的其他义务。</w:t>
      </w:r>
    </w:p>
    <w:p w14:paraId="7D2D2BC1" w14:textId="77777777" w:rsidR="00CD61EF" w:rsidRDefault="00CD61EF">
      <w:pPr>
        <w:sectPr w:rsidR="00CD61EF">
          <w:pgSz w:w="11910" w:h="16840"/>
          <w:pgMar w:top="1440" w:right="1440" w:bottom="1180" w:left="1680" w:header="877" w:footer="998" w:gutter="0"/>
          <w:cols w:space="720"/>
        </w:sectPr>
      </w:pPr>
    </w:p>
    <w:p w14:paraId="48F47C55"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21" w:name="_Toc1929"/>
      <w:r>
        <w:rPr>
          <w:rFonts w:ascii="Times New Roman" w:eastAsia="宋体" w:hAnsi="Times New Roman" w:cs="Times New Roman"/>
          <w:bCs w:val="0"/>
          <w:szCs w:val="20"/>
        </w:rPr>
        <w:lastRenderedPageBreak/>
        <w:t>第十二部分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基金的投</w:t>
      </w:r>
      <w:r>
        <w:rPr>
          <w:rFonts w:ascii="Times New Roman" w:eastAsia="宋体" w:hAnsi="Times New Roman" w:cs="Times New Roman" w:hint="eastAsia"/>
          <w:bCs w:val="0"/>
          <w:szCs w:val="20"/>
        </w:rPr>
        <w:t>资</w:t>
      </w:r>
      <w:bookmarkEnd w:id="21"/>
    </w:p>
    <w:p w14:paraId="66529C6C" w14:textId="77777777" w:rsidR="00CD61EF" w:rsidRDefault="00CD61EF">
      <w:pPr>
        <w:pStyle w:val="a5"/>
        <w:spacing w:before="13"/>
        <w:ind w:left="0" w:firstLine="0"/>
        <w:rPr>
          <w:rFonts w:ascii="Microsoft JhengHei"/>
          <w:b/>
          <w:sz w:val="32"/>
        </w:rPr>
      </w:pPr>
    </w:p>
    <w:p w14:paraId="0A47C96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一、投资目标</w:t>
      </w:r>
    </w:p>
    <w:p w14:paraId="7F05688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本基金在严控风险和保持资产流动性的基础上，主要投资中短期债券，力争实现资产的长期稳健增值。</w:t>
      </w:r>
    </w:p>
    <w:p w14:paraId="0D87D82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二、投资范围</w:t>
      </w:r>
    </w:p>
    <w:p w14:paraId="2F7C83EC"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22" w:name="_Hlk70005099"/>
      <w:r>
        <w:rPr>
          <w:rFonts w:ascii="Times New Roman" w:hAnsi="Times New Roman" w:cs="Times New Roman" w:hint="eastAsia"/>
          <w:bCs/>
          <w:kern w:val="2"/>
          <w:sz w:val="24"/>
          <w:szCs w:val="24"/>
        </w:rPr>
        <w:t>本基金投资于具有良好流动性的金融工具，包括债券（包括国债、地方政府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w:t>
      </w:r>
      <w:r>
        <w:rPr>
          <w:rFonts w:hint="eastAsia"/>
          <w:spacing w:val="-1"/>
        </w:rPr>
        <w:t>信用衍生品、</w:t>
      </w:r>
      <w:r>
        <w:rPr>
          <w:rFonts w:ascii="Times New Roman" w:hAnsi="Times New Roman" w:cs="Times New Roman" w:hint="eastAsia"/>
          <w:bCs/>
          <w:kern w:val="2"/>
          <w:sz w:val="24"/>
          <w:szCs w:val="24"/>
        </w:rPr>
        <w:t>银行存款</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包括协议存款、通知存款以及定期存款等其它银行存款</w:t>
      </w:r>
      <w:r>
        <w:rPr>
          <w:rFonts w:ascii="Times New Roman" w:hAnsi="Times New Roman" w:cs="Times New Roman"/>
          <w:bCs/>
          <w:kern w:val="2"/>
          <w:sz w:val="24"/>
          <w:szCs w:val="24"/>
        </w:rPr>
        <w:t>)</w:t>
      </w:r>
      <w:r>
        <w:rPr>
          <w:rFonts w:ascii="Times New Roman" w:hAnsi="Times New Roman" w:cs="Times New Roman"/>
          <w:bCs/>
          <w:kern w:val="2"/>
          <w:sz w:val="24"/>
          <w:szCs w:val="24"/>
        </w:rPr>
        <w:t>、同业存单、货币市场工具等法律法规或中国证监会允许基金投资的其他金融工具，但须符合中国证监会相关规定。</w:t>
      </w:r>
      <w:bookmarkEnd w:id="22"/>
    </w:p>
    <w:p w14:paraId="56DDC535"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23" w:name="_Hlk70005119"/>
      <w:r>
        <w:rPr>
          <w:rFonts w:ascii="Times New Roman" w:hAnsi="Times New Roman" w:cs="Times New Roman"/>
          <w:bCs/>
          <w:kern w:val="2"/>
          <w:sz w:val="24"/>
          <w:szCs w:val="24"/>
        </w:rPr>
        <w:t>本基金不投资于股票。</w:t>
      </w:r>
    </w:p>
    <w:p w14:paraId="14E35F3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如法律法规或监管机构以后允许基金投资其他品种，基金管理人在履行适当程序后，可以将其纳入投资范围。</w:t>
      </w:r>
    </w:p>
    <w:p w14:paraId="71C990F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基金的投资组合比例为：</w:t>
      </w:r>
      <w:r>
        <w:rPr>
          <w:rFonts w:ascii="Times New Roman" w:hAnsi="Times New Roman" w:cs="Times New Roman" w:hint="eastAsia"/>
          <w:bCs/>
          <w:kern w:val="2"/>
          <w:sz w:val="24"/>
          <w:szCs w:val="24"/>
        </w:rPr>
        <w:t>本基金投资于债券资产的比例不低于基金资产的</w:t>
      </w:r>
      <w:r>
        <w:rPr>
          <w:rFonts w:ascii="Times New Roman" w:hAnsi="Times New Roman" w:cs="Times New Roman"/>
          <w:bCs/>
          <w:kern w:val="2"/>
          <w:sz w:val="24"/>
          <w:szCs w:val="24"/>
        </w:rPr>
        <w:t>80%</w:t>
      </w:r>
      <w:r>
        <w:rPr>
          <w:rFonts w:ascii="Times New Roman" w:hAnsi="Times New Roman" w:cs="Times New Roman"/>
          <w:bCs/>
          <w:kern w:val="2"/>
          <w:sz w:val="24"/>
          <w:szCs w:val="24"/>
        </w:rPr>
        <w:t>，投资于中短期债券的比例不低于非现金基金资产的</w:t>
      </w:r>
      <w:r>
        <w:rPr>
          <w:rFonts w:ascii="Times New Roman" w:hAnsi="Times New Roman" w:cs="Times New Roman"/>
          <w:bCs/>
          <w:kern w:val="2"/>
          <w:sz w:val="24"/>
          <w:szCs w:val="24"/>
        </w:rPr>
        <w:t xml:space="preserve"> 80%</w:t>
      </w:r>
      <w:r>
        <w:rPr>
          <w:rFonts w:ascii="Times New Roman" w:hAnsi="Times New Roman" w:cs="Times New Roman"/>
          <w:bCs/>
          <w:kern w:val="2"/>
          <w:sz w:val="24"/>
          <w:szCs w:val="24"/>
        </w:rPr>
        <w:t>。每个交易日日终在扣除国债期货合约需缴纳的交易保证金后，本基金保持合计不低于基金资产净值</w:t>
      </w:r>
      <w:r>
        <w:rPr>
          <w:rFonts w:ascii="Times New Roman" w:hAnsi="Times New Roman" w:cs="Times New Roman"/>
          <w:bCs/>
          <w:kern w:val="2"/>
          <w:sz w:val="24"/>
          <w:szCs w:val="24"/>
        </w:rPr>
        <w:t xml:space="preserve"> 5%</w:t>
      </w:r>
      <w:r>
        <w:rPr>
          <w:rFonts w:ascii="Times New Roman" w:hAnsi="Times New Roman" w:cs="Times New Roman"/>
          <w:bCs/>
          <w:kern w:val="2"/>
          <w:sz w:val="24"/>
          <w:szCs w:val="24"/>
        </w:rPr>
        <w:t>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w:t>
      </w:r>
      <w:r>
        <w:rPr>
          <w:rFonts w:ascii="Times New Roman" w:hAnsi="Times New Roman" w:cs="Times New Roman" w:hint="eastAsia"/>
          <w:bCs/>
          <w:kern w:val="2"/>
          <w:sz w:val="24"/>
          <w:szCs w:val="24"/>
        </w:rPr>
        <w:t>可转换债券（含可分离交易可转换债券）、可交换债券等金融工具。</w:t>
      </w:r>
    </w:p>
    <w:p w14:paraId="5CCAF32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如法律法规或中国证监会变更上述投资品种的比例限制，基金管理人在履行适当程序后，可以调整上述投资品种的投资比例。</w:t>
      </w:r>
    </w:p>
    <w:bookmarkEnd w:id="23"/>
    <w:p w14:paraId="70DDF0A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三、投资策略</w:t>
      </w:r>
    </w:p>
    <w:p w14:paraId="0D665BA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、资产配置策略</w:t>
      </w:r>
    </w:p>
    <w:p w14:paraId="2AD73B5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1</w:t>
      </w:r>
      <w:r>
        <w:rPr>
          <w:rFonts w:ascii="Times New Roman" w:hAnsi="Times New Roman" w:cs="Times New Roman"/>
          <w:bCs/>
          <w:kern w:val="2"/>
          <w:sz w:val="24"/>
          <w:szCs w:val="24"/>
        </w:rPr>
        <w:t>）整体资产配置策略</w:t>
      </w:r>
    </w:p>
    <w:p w14:paraId="1E0C1D0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lastRenderedPageBreak/>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51C22D4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2</w:t>
      </w:r>
      <w:r>
        <w:rPr>
          <w:rFonts w:ascii="Times New Roman" w:hAnsi="Times New Roman" w:cs="Times New Roman"/>
          <w:bCs/>
          <w:kern w:val="2"/>
          <w:sz w:val="24"/>
          <w:szCs w:val="24"/>
        </w:rPr>
        <w:t>）类属资产配置策略</w:t>
      </w:r>
    </w:p>
    <w:p w14:paraId="2150865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在整体资产配置策略的指导下，根据资产的风险来源、收益率水平、以及市场流动性等因素，采取积极投资策略，定期对投资组合类属资产进行最优化配置和调整，确定类属资产的最优权数。</w:t>
      </w:r>
    </w:p>
    <w:p w14:paraId="293E874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hint="eastAsia"/>
          <w:bCs/>
          <w:kern w:val="2"/>
          <w:sz w:val="24"/>
          <w:szCs w:val="24"/>
        </w:rPr>
        <w:t>个券</w:t>
      </w:r>
      <w:r>
        <w:rPr>
          <w:rFonts w:ascii="Times New Roman" w:hAnsi="Times New Roman" w:cs="Times New Roman"/>
          <w:bCs/>
          <w:kern w:val="2"/>
          <w:sz w:val="24"/>
          <w:szCs w:val="24"/>
        </w:rPr>
        <w:t>投资策略</w:t>
      </w:r>
    </w:p>
    <w:p w14:paraId="5ED7A5A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11FBA84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1</w:t>
      </w:r>
      <w:r>
        <w:rPr>
          <w:rFonts w:ascii="Times New Roman" w:hAnsi="Times New Roman" w:cs="Times New Roman"/>
          <w:bCs/>
          <w:kern w:val="2"/>
          <w:sz w:val="24"/>
          <w:szCs w:val="24"/>
        </w:rPr>
        <w:t>）久期控制是根据对宏观经济发展状况、金融市场运行特点等因素的分析确定组合的整体久期，有效的控制整体资产风险；</w:t>
      </w:r>
    </w:p>
    <w:p w14:paraId="7E7287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2</w:t>
      </w:r>
      <w:r>
        <w:rPr>
          <w:rFonts w:ascii="Times New Roman" w:hAnsi="Times New Roman" w:cs="Times New Roman"/>
          <w:bCs/>
          <w:kern w:val="2"/>
          <w:sz w:val="24"/>
          <w:szCs w:val="24"/>
        </w:rPr>
        <w:t>）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0ABB809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3</w:t>
      </w:r>
      <w:r>
        <w:rPr>
          <w:rFonts w:ascii="Times New Roman" w:hAnsi="Times New Roman" w:cs="Times New Roman"/>
          <w:bCs/>
          <w:kern w:val="2"/>
          <w:sz w:val="24"/>
          <w:szCs w:val="24"/>
        </w:rPr>
        <w:t>）相对价值判断是根据对同类债券的相对价值判断，选择合适的交易时机，增持相对低估、价格将上升的债券，减持相对高估、价格将下降的债券。</w:t>
      </w:r>
    </w:p>
    <w:p w14:paraId="5640C85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、信用债投资策略</w:t>
      </w:r>
    </w:p>
    <w:p w14:paraId="0E52A7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13E6D61C" w14:textId="0AD3C745" w:rsidR="00CD61EF" w:rsidRDefault="002B79C0">
      <w:pPr>
        <w:autoSpaceDE/>
        <w:autoSpaceDN/>
        <w:spacing w:line="360" w:lineRule="auto"/>
        <w:ind w:firstLineChars="200" w:firstLine="480"/>
        <w:jc w:val="both"/>
        <w:rPr>
          <w:rFonts w:ascii="Times New Roman" w:hAnsi="Times New Roman" w:cs="Times New Roman"/>
          <w:bCs/>
          <w:kern w:val="2"/>
        </w:rPr>
      </w:pPr>
      <w:bookmarkStart w:id="24" w:name="_Hlk75349697"/>
      <w:r>
        <w:rPr>
          <w:rFonts w:ascii="Times New Roman" w:hAnsi="Times New Roman" w:cs="Times New Roman" w:hint="eastAsia"/>
          <w:bCs/>
          <w:kern w:val="2"/>
          <w:sz w:val="24"/>
          <w:szCs w:val="24"/>
        </w:rPr>
        <w:t>本基金可投资于评级在</w:t>
      </w:r>
      <w:r>
        <w:rPr>
          <w:rFonts w:ascii="Times New Roman" w:hAnsi="Times New Roman" w:cs="Times New Roman"/>
          <w:bCs/>
          <w:kern w:val="2"/>
          <w:sz w:val="24"/>
          <w:szCs w:val="24"/>
        </w:rPr>
        <w:t>AA</w:t>
      </w:r>
      <w:r w:rsidR="00EA7679">
        <w:rPr>
          <w:rFonts w:ascii="Times New Roman" w:hAnsi="Times New Roman" w:cs="Times New Roman"/>
          <w:bCs/>
          <w:kern w:val="2"/>
          <w:sz w:val="24"/>
          <w:szCs w:val="24"/>
        </w:rPr>
        <w:t>+</w:t>
      </w:r>
      <w:r>
        <w:rPr>
          <w:rFonts w:ascii="Times New Roman" w:hAnsi="Times New Roman" w:cs="Times New Roman"/>
          <w:bCs/>
          <w:kern w:val="2"/>
          <w:sz w:val="24"/>
          <w:szCs w:val="24"/>
        </w:rPr>
        <w:t>级及以上级别的信用债，其中投资于</w:t>
      </w:r>
      <w:r>
        <w:rPr>
          <w:rFonts w:ascii="Times New Roman" w:hAnsi="Times New Roman" w:cs="Times New Roman"/>
          <w:bCs/>
          <w:kern w:val="2"/>
          <w:sz w:val="24"/>
          <w:szCs w:val="24"/>
        </w:rPr>
        <w:t>AAA</w:t>
      </w:r>
      <w:r>
        <w:rPr>
          <w:rFonts w:ascii="Times New Roman" w:hAnsi="Times New Roman" w:cs="Times New Roman"/>
          <w:bCs/>
          <w:kern w:val="2"/>
          <w:sz w:val="24"/>
          <w:szCs w:val="24"/>
        </w:rPr>
        <w:t>级的信用债占信用债投资比例为</w:t>
      </w:r>
      <w:r w:rsidR="005D38B0">
        <w:rPr>
          <w:rFonts w:ascii="Times New Roman" w:hAnsi="Times New Roman" w:cs="Times New Roman"/>
          <w:bCs/>
          <w:kern w:val="2"/>
          <w:sz w:val="24"/>
          <w:szCs w:val="24"/>
        </w:rPr>
        <w:t>50</w:t>
      </w:r>
      <w:r>
        <w:rPr>
          <w:rFonts w:ascii="Times New Roman" w:hAnsi="Times New Roman" w:cs="Times New Roman"/>
          <w:bCs/>
          <w:kern w:val="2"/>
          <w:sz w:val="24"/>
          <w:szCs w:val="24"/>
        </w:rPr>
        <w:t>%-100%</w:t>
      </w:r>
      <w:r>
        <w:rPr>
          <w:rFonts w:ascii="Times New Roman" w:hAnsi="Times New Roman" w:cs="Times New Roman"/>
          <w:bCs/>
          <w:kern w:val="2"/>
          <w:sz w:val="24"/>
          <w:szCs w:val="24"/>
        </w:rPr>
        <w:t>，投资于</w:t>
      </w:r>
      <w:r>
        <w:rPr>
          <w:rFonts w:ascii="Times New Roman" w:hAnsi="Times New Roman" w:cs="Times New Roman"/>
          <w:bCs/>
          <w:kern w:val="2"/>
          <w:sz w:val="24"/>
          <w:szCs w:val="24"/>
        </w:rPr>
        <w:t>AA+</w:t>
      </w:r>
      <w:r>
        <w:rPr>
          <w:rFonts w:ascii="Times New Roman" w:hAnsi="Times New Roman" w:cs="Times New Roman"/>
          <w:bCs/>
          <w:kern w:val="2"/>
          <w:sz w:val="24"/>
          <w:szCs w:val="24"/>
        </w:rPr>
        <w:t>级的信用债占信用债投资比例为</w:t>
      </w:r>
      <w:r>
        <w:rPr>
          <w:rFonts w:ascii="Times New Roman" w:hAnsi="Times New Roman" w:cs="Times New Roman"/>
          <w:bCs/>
          <w:kern w:val="2"/>
          <w:sz w:val="24"/>
          <w:szCs w:val="24"/>
        </w:rPr>
        <w:t>0-</w:t>
      </w:r>
      <w:r w:rsidR="005D38B0">
        <w:rPr>
          <w:rFonts w:ascii="Times New Roman" w:hAnsi="Times New Roman" w:cs="Times New Roman"/>
          <w:bCs/>
          <w:kern w:val="2"/>
          <w:sz w:val="24"/>
          <w:szCs w:val="24"/>
        </w:rPr>
        <w:t>50</w:t>
      </w:r>
      <w:r>
        <w:rPr>
          <w:rFonts w:ascii="Times New Roman" w:hAnsi="Times New Roman" w:cs="Times New Roman"/>
          <w:bCs/>
          <w:kern w:val="2"/>
          <w:sz w:val="24"/>
          <w:szCs w:val="24"/>
        </w:rPr>
        <w:t>%</w:t>
      </w:r>
      <w:r>
        <w:rPr>
          <w:rFonts w:ascii="Times New Roman" w:hAnsi="Times New Roman" w:cs="Times New Roman"/>
          <w:bCs/>
          <w:kern w:val="2"/>
          <w:sz w:val="24"/>
          <w:szCs w:val="24"/>
        </w:rPr>
        <w:t>。</w:t>
      </w:r>
    </w:p>
    <w:bookmarkEnd w:id="24"/>
    <w:p w14:paraId="19B0A8D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w:t>
      </w:r>
      <w:bookmarkStart w:id="25" w:name="_Hlk75349755"/>
      <w:r>
        <w:rPr>
          <w:rFonts w:ascii="Times New Roman" w:hAnsi="Times New Roman" w:cs="Times New Roman" w:hint="eastAsia"/>
          <w:bCs/>
          <w:kern w:val="2"/>
          <w:sz w:val="24"/>
          <w:szCs w:val="24"/>
        </w:rPr>
        <w:t>可转换债券、可交换债券投资</w:t>
      </w:r>
      <w:r>
        <w:rPr>
          <w:rFonts w:ascii="Times New Roman" w:hAnsi="Times New Roman" w:cs="Times New Roman"/>
          <w:bCs/>
          <w:kern w:val="2"/>
          <w:sz w:val="24"/>
          <w:szCs w:val="24"/>
        </w:rPr>
        <w:t>策略</w:t>
      </w:r>
      <w:bookmarkEnd w:id="25"/>
    </w:p>
    <w:p w14:paraId="2949400E" w14:textId="41A806D6"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lastRenderedPageBreak/>
        <w:t>可转债、可交换债兼具权益类证券与固定收益类证券的特性，本基金一方面将对发债主体的信用基本面进行深入挖掘以明确该可转债、可交换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债进行投资。</w:t>
      </w:r>
    </w:p>
    <w:p w14:paraId="661B11A3" w14:textId="00E621E1" w:rsidR="005D38B0" w:rsidRPr="007B6F38" w:rsidRDefault="005D38B0">
      <w:pPr>
        <w:autoSpaceDE/>
        <w:autoSpaceDN/>
        <w:spacing w:line="360" w:lineRule="auto"/>
        <w:ind w:firstLineChars="200" w:firstLine="480"/>
        <w:jc w:val="both"/>
        <w:rPr>
          <w:rFonts w:ascii="Times New Roman" w:hAnsi="Times New Roman" w:cs="Times New Roman"/>
          <w:bCs/>
          <w:kern w:val="2"/>
          <w:sz w:val="24"/>
          <w:szCs w:val="24"/>
        </w:rPr>
      </w:pPr>
      <w:bookmarkStart w:id="26" w:name="_Hlk75350250"/>
      <w:r w:rsidRPr="007B6F38">
        <w:rPr>
          <w:rFonts w:ascii="Times New Roman" w:hAnsi="Times New Roman" w:cs="Times New Roman" w:hint="eastAsia"/>
          <w:bCs/>
          <w:kern w:val="2"/>
          <w:sz w:val="24"/>
          <w:szCs w:val="24"/>
        </w:rPr>
        <w:t>本基金投资于可转换债券（含可分离交易可转换债券）、可交换债券的比例不超过基金资产总值的</w:t>
      </w:r>
      <w:r w:rsidRPr="007B6F38">
        <w:rPr>
          <w:rFonts w:ascii="Times New Roman" w:hAnsi="Times New Roman" w:cs="Times New Roman"/>
          <w:bCs/>
          <w:kern w:val="2"/>
          <w:sz w:val="24"/>
          <w:szCs w:val="24"/>
        </w:rPr>
        <w:t>20%</w:t>
      </w:r>
      <w:r w:rsidRPr="007B6F38">
        <w:rPr>
          <w:rFonts w:ascii="Times New Roman" w:hAnsi="Times New Roman" w:cs="Times New Roman" w:hint="eastAsia"/>
          <w:bCs/>
          <w:kern w:val="2"/>
          <w:sz w:val="24"/>
          <w:szCs w:val="24"/>
        </w:rPr>
        <w:t>。</w:t>
      </w:r>
    </w:p>
    <w:bookmarkEnd w:id="26"/>
    <w:p w14:paraId="7A2B22A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、资产支持证券投资策略</w:t>
      </w:r>
    </w:p>
    <w:p w14:paraId="63DDBBD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本基金将在国内资产证券化产品具体政策框架下，通过宏观经济、提前偿还率、资产池结构及资产池资产所在行业景气变化等因素的研究，对个券进行风险分析和价值评估后选择风险调整后收益高的品种进行投资。本基金将严格控制资产支持证券的总体投资规模并进行分散投资，以降低流动性风险。</w:t>
      </w:r>
    </w:p>
    <w:p w14:paraId="4C7BBFC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6</w:t>
      </w:r>
      <w:r>
        <w:rPr>
          <w:rFonts w:ascii="Times New Roman" w:hAnsi="Times New Roman" w:cs="Times New Roman"/>
          <w:bCs/>
          <w:kern w:val="2"/>
          <w:sz w:val="24"/>
          <w:szCs w:val="24"/>
        </w:rPr>
        <w:t>、国债期货投资策略</w:t>
      </w:r>
    </w:p>
    <w:p w14:paraId="4278461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1B26180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7</w:t>
      </w:r>
      <w:r>
        <w:rPr>
          <w:rFonts w:ascii="Times New Roman" w:hAnsi="Times New Roman" w:cs="Times New Roman"/>
          <w:bCs/>
          <w:kern w:val="2"/>
          <w:sz w:val="24"/>
          <w:szCs w:val="24"/>
        </w:rPr>
        <w:t>、证券公司短期公司债券投资策略</w:t>
      </w:r>
    </w:p>
    <w:p w14:paraId="1F73BFE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3696873E" w14:textId="77777777" w:rsidR="00CD61EF" w:rsidRDefault="002B79C0">
      <w:pPr>
        <w:pStyle w:val="a5"/>
        <w:spacing w:before="0" w:line="360" w:lineRule="auto"/>
        <w:ind w:right="357"/>
        <w:jc w:val="both"/>
      </w:pPr>
      <w:r>
        <w:rPr>
          <w:rFonts w:hint="eastAsia"/>
        </w:rPr>
        <w:t>8、信用衍生品投资策略</w:t>
      </w:r>
    </w:p>
    <w:p w14:paraId="47CF2C71" w14:textId="77777777" w:rsidR="00CD61EF" w:rsidRDefault="002B79C0">
      <w:pPr>
        <w:pStyle w:val="a5"/>
        <w:spacing w:before="0" w:line="360" w:lineRule="auto"/>
        <w:ind w:right="357"/>
        <w:jc w:val="both"/>
      </w:pPr>
      <w:r>
        <w:rPr>
          <w:rFonts w:hint="eastAsia"/>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1E8B97F" w14:textId="77777777" w:rsidR="00CD61EF" w:rsidRDefault="00CD61EF">
      <w:pPr>
        <w:autoSpaceDE/>
        <w:autoSpaceDN/>
        <w:spacing w:line="360" w:lineRule="auto"/>
        <w:ind w:firstLineChars="200" w:firstLine="440"/>
        <w:jc w:val="both"/>
        <w:rPr>
          <w:rFonts w:ascii="Times New Roman" w:hAnsi="Times New Roman" w:cs="Times New Roman"/>
          <w:bCs/>
          <w:kern w:val="2"/>
        </w:rPr>
      </w:pPr>
    </w:p>
    <w:p w14:paraId="0821442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四、投资限制</w:t>
      </w:r>
    </w:p>
    <w:p w14:paraId="7F4098A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、组合限制</w:t>
      </w:r>
    </w:p>
    <w:p w14:paraId="6C2D54F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基金的投资组合应遵循以下限制：</w:t>
      </w:r>
    </w:p>
    <w:p w14:paraId="2221BCA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bookmarkStart w:id="27" w:name="_Hlk70005190"/>
      <w:r>
        <w:rPr>
          <w:rFonts w:ascii="Times New Roman" w:hAnsi="Times New Roman" w:cs="Times New Roman" w:hint="eastAsia"/>
          <w:bCs/>
          <w:kern w:val="2"/>
          <w:sz w:val="24"/>
          <w:szCs w:val="24"/>
        </w:rPr>
        <w:lastRenderedPageBreak/>
        <w:t>（</w:t>
      </w:r>
      <w:r>
        <w:rPr>
          <w:rFonts w:ascii="Times New Roman" w:hAnsi="Times New Roman" w:cs="Times New Roman" w:hint="eastAsia"/>
          <w:bCs/>
          <w:kern w:val="2"/>
          <w:sz w:val="24"/>
          <w:szCs w:val="24"/>
        </w:rPr>
        <w:t>1</w:t>
      </w:r>
      <w:r>
        <w:rPr>
          <w:rFonts w:ascii="Times New Roman" w:hAnsi="Times New Roman" w:cs="Times New Roman" w:hint="eastAsia"/>
          <w:bCs/>
          <w:kern w:val="2"/>
          <w:sz w:val="24"/>
          <w:szCs w:val="24"/>
        </w:rPr>
        <w:t>）本基金投资于债券资产的比例不低于基金资产的</w:t>
      </w:r>
      <w:r>
        <w:rPr>
          <w:rFonts w:ascii="Times New Roman" w:hAnsi="Times New Roman" w:cs="Times New Roman"/>
          <w:bCs/>
          <w:kern w:val="2"/>
          <w:sz w:val="24"/>
          <w:szCs w:val="24"/>
        </w:rPr>
        <w:t xml:space="preserve"> 80%</w:t>
      </w:r>
      <w:r>
        <w:rPr>
          <w:rFonts w:ascii="Times New Roman" w:hAnsi="Times New Roman" w:cs="Times New Roman"/>
          <w:bCs/>
          <w:kern w:val="2"/>
          <w:sz w:val="24"/>
          <w:szCs w:val="24"/>
        </w:rPr>
        <w:t>，投资于中短期债券的比例不低于非现金基金资产的</w:t>
      </w:r>
      <w:r>
        <w:rPr>
          <w:rFonts w:ascii="Times New Roman" w:hAnsi="Times New Roman" w:cs="Times New Roman"/>
          <w:bCs/>
          <w:kern w:val="2"/>
          <w:sz w:val="24"/>
          <w:szCs w:val="24"/>
        </w:rPr>
        <w:t xml:space="preserve"> 80%</w:t>
      </w:r>
      <w:r>
        <w:rPr>
          <w:rFonts w:ascii="Times New Roman" w:hAnsi="Times New Roman" w:cs="Times New Roman"/>
          <w:bCs/>
          <w:kern w:val="2"/>
          <w:sz w:val="24"/>
          <w:szCs w:val="24"/>
        </w:rPr>
        <w:t>；</w:t>
      </w:r>
    </w:p>
    <w:p w14:paraId="0350528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2</w:t>
      </w:r>
      <w:r>
        <w:rPr>
          <w:rFonts w:ascii="Times New Roman" w:hAnsi="Times New Roman" w:cs="Times New Roman" w:hint="eastAsia"/>
          <w:bCs/>
          <w:kern w:val="2"/>
          <w:sz w:val="24"/>
          <w:szCs w:val="24"/>
        </w:rPr>
        <w:t>）本基金每个交易日日终在扣除国债期货合约需缴纳的交易保证金后，</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应当保持不低于基金资产净值</w:t>
      </w:r>
      <w:r>
        <w:rPr>
          <w:rFonts w:ascii="Times New Roman" w:hAnsi="Times New Roman" w:cs="Times New Roman"/>
          <w:bCs/>
          <w:kern w:val="2"/>
          <w:sz w:val="24"/>
          <w:szCs w:val="24"/>
        </w:rPr>
        <w:t xml:space="preserve"> 5</w:t>
      </w:r>
      <w:r>
        <w:rPr>
          <w:rFonts w:ascii="Times New Roman" w:hAnsi="Times New Roman" w:cs="Times New Roman"/>
          <w:bCs/>
          <w:kern w:val="2"/>
          <w:sz w:val="24"/>
          <w:szCs w:val="24"/>
        </w:rPr>
        <w:t>％的现金或者到期日在一年以内的政府债券；本基金所指的现金不包括结算备付金、存出保证金、应收申购款等；</w:t>
      </w:r>
    </w:p>
    <w:p w14:paraId="3B7ACD6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3</w:t>
      </w:r>
      <w:r>
        <w:rPr>
          <w:rFonts w:ascii="Times New Roman" w:hAnsi="Times New Roman" w:cs="Times New Roman" w:hint="eastAsia"/>
          <w:bCs/>
          <w:kern w:val="2"/>
          <w:sz w:val="24"/>
          <w:szCs w:val="24"/>
        </w:rPr>
        <w:t>）本基金持有一家公司发行的证券，其市值不超过基金资产净值的</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w:t>
      </w:r>
    </w:p>
    <w:p w14:paraId="712793E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4</w:t>
      </w:r>
      <w:r>
        <w:rPr>
          <w:rFonts w:ascii="Times New Roman" w:hAnsi="Times New Roman" w:cs="Times New Roman" w:hint="eastAsia"/>
          <w:bCs/>
          <w:kern w:val="2"/>
          <w:sz w:val="24"/>
          <w:szCs w:val="24"/>
        </w:rPr>
        <w:t>）本基金管理人管理的全部基金持有一家公司发行的证券，不超过该证券的</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w:t>
      </w:r>
    </w:p>
    <w:p w14:paraId="16621CC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5</w:t>
      </w:r>
      <w:r>
        <w:rPr>
          <w:rFonts w:ascii="Times New Roman" w:hAnsi="Times New Roman" w:cs="Times New Roman" w:hint="eastAsia"/>
          <w:bCs/>
          <w:kern w:val="2"/>
          <w:sz w:val="24"/>
          <w:szCs w:val="24"/>
        </w:rPr>
        <w:t>）本基金投资于同一原始权益人的各类资产支持证券的比例，不得超过基金资产净值的</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w:t>
      </w:r>
    </w:p>
    <w:p w14:paraId="4CF79F2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6</w:t>
      </w:r>
      <w:r>
        <w:rPr>
          <w:rFonts w:ascii="Times New Roman" w:hAnsi="Times New Roman" w:cs="Times New Roman" w:hint="eastAsia"/>
          <w:bCs/>
          <w:kern w:val="2"/>
          <w:sz w:val="24"/>
          <w:szCs w:val="24"/>
        </w:rPr>
        <w:t>）本基金持有的全部资产支持证券，其市值不得超过基金资产净值的</w:t>
      </w:r>
      <w:r>
        <w:rPr>
          <w:rFonts w:ascii="Times New Roman" w:hAnsi="Times New Roman" w:cs="Times New Roman"/>
          <w:bCs/>
          <w:kern w:val="2"/>
          <w:sz w:val="24"/>
          <w:szCs w:val="24"/>
        </w:rPr>
        <w:t>20</w:t>
      </w:r>
      <w:r>
        <w:rPr>
          <w:rFonts w:ascii="Times New Roman" w:hAnsi="Times New Roman" w:cs="Times New Roman"/>
          <w:bCs/>
          <w:kern w:val="2"/>
          <w:sz w:val="24"/>
          <w:szCs w:val="24"/>
        </w:rPr>
        <w:t>％；</w:t>
      </w:r>
    </w:p>
    <w:p w14:paraId="52A10A88"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7</w:t>
      </w:r>
      <w:r>
        <w:rPr>
          <w:rFonts w:ascii="Times New Roman" w:hAnsi="Times New Roman" w:cs="Times New Roman" w:hint="eastAsia"/>
          <w:bCs/>
          <w:kern w:val="2"/>
          <w:sz w:val="24"/>
          <w:szCs w:val="24"/>
        </w:rPr>
        <w:t>）本基金持有的同一（指同一信用级别）资产支持证券的比例，不得超过该资产支持证券规模的</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w:t>
      </w:r>
    </w:p>
    <w:p w14:paraId="071DF72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8</w:t>
      </w:r>
      <w:r>
        <w:rPr>
          <w:rFonts w:ascii="Times New Roman" w:hAnsi="Times New Roman" w:cs="Times New Roman" w:hint="eastAsia"/>
          <w:bCs/>
          <w:kern w:val="2"/>
          <w:sz w:val="24"/>
          <w:szCs w:val="24"/>
        </w:rPr>
        <w:t>）本基金管理人管理的全部基金投资于同一原始权益人的各类资产支持证券，不得超过其各类资产支持证券合计规模的</w:t>
      </w:r>
      <w:r>
        <w:rPr>
          <w:rFonts w:ascii="Times New Roman" w:hAnsi="Times New Roman" w:cs="Times New Roman"/>
          <w:bCs/>
          <w:kern w:val="2"/>
          <w:sz w:val="24"/>
          <w:szCs w:val="24"/>
        </w:rPr>
        <w:t xml:space="preserve"> 10</w:t>
      </w:r>
      <w:r>
        <w:rPr>
          <w:rFonts w:ascii="Times New Roman" w:hAnsi="Times New Roman" w:cs="Times New Roman"/>
          <w:bCs/>
          <w:kern w:val="2"/>
          <w:sz w:val="24"/>
          <w:szCs w:val="24"/>
        </w:rPr>
        <w:t>％；</w:t>
      </w:r>
    </w:p>
    <w:p w14:paraId="23A01ED0"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9</w:t>
      </w:r>
      <w:r>
        <w:rPr>
          <w:rFonts w:ascii="Times New Roman" w:hAnsi="Times New Roman" w:cs="Times New Roman" w:hint="eastAsia"/>
          <w:bCs/>
          <w:kern w:val="2"/>
          <w:sz w:val="24"/>
          <w:szCs w:val="24"/>
        </w:rPr>
        <w:t>）本基金应投资于信用级别评级为</w:t>
      </w:r>
      <w:r>
        <w:rPr>
          <w:rFonts w:ascii="Times New Roman" w:hAnsi="Times New Roman" w:cs="Times New Roman"/>
          <w:bCs/>
          <w:kern w:val="2"/>
          <w:sz w:val="24"/>
          <w:szCs w:val="24"/>
        </w:rPr>
        <w:t xml:space="preserve"> BBB </w:t>
      </w:r>
      <w:r>
        <w:rPr>
          <w:rFonts w:ascii="Times New Roman" w:hAnsi="Times New Roman" w:cs="Times New Roman"/>
          <w:bCs/>
          <w:kern w:val="2"/>
          <w:sz w:val="24"/>
          <w:szCs w:val="24"/>
        </w:rPr>
        <w:t>以上（含</w:t>
      </w:r>
      <w:r>
        <w:rPr>
          <w:rFonts w:ascii="Times New Roman" w:hAnsi="Times New Roman" w:cs="Times New Roman"/>
          <w:bCs/>
          <w:kern w:val="2"/>
          <w:sz w:val="24"/>
          <w:szCs w:val="24"/>
        </w:rPr>
        <w:t xml:space="preserve"> BBB</w:t>
      </w:r>
      <w:r>
        <w:rPr>
          <w:rFonts w:ascii="Times New Roman" w:hAnsi="Times New Roman" w:cs="Times New Roman"/>
          <w:bCs/>
          <w:kern w:val="2"/>
          <w:sz w:val="24"/>
          <w:szCs w:val="24"/>
        </w:rPr>
        <w:t>）的资产支持证券。基金持有资产支持证券期间，如果其信用等级下降、不再符合投资标准，应在评级报告发布之日起</w:t>
      </w:r>
      <w:r>
        <w:rPr>
          <w:rFonts w:ascii="Times New Roman" w:hAnsi="Times New Roman" w:cs="Times New Roman"/>
          <w:bCs/>
          <w:kern w:val="2"/>
          <w:sz w:val="24"/>
          <w:szCs w:val="24"/>
        </w:rPr>
        <w:t xml:space="preserve"> 3 </w:t>
      </w:r>
      <w:r>
        <w:rPr>
          <w:rFonts w:ascii="Times New Roman" w:hAnsi="Times New Roman" w:cs="Times New Roman"/>
          <w:bCs/>
          <w:kern w:val="2"/>
          <w:sz w:val="24"/>
          <w:szCs w:val="24"/>
        </w:rPr>
        <w:t>个月内予以全部卖出；</w:t>
      </w:r>
    </w:p>
    <w:p w14:paraId="50CAE482"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0</w:t>
      </w:r>
      <w:r>
        <w:rPr>
          <w:rFonts w:ascii="Times New Roman" w:hAnsi="Times New Roman" w:cs="Times New Roman" w:hint="eastAsia"/>
          <w:bCs/>
          <w:kern w:val="2"/>
          <w:sz w:val="24"/>
          <w:szCs w:val="24"/>
        </w:rPr>
        <w:t>）本基金进入全国银行间同业市场进行债券回购的资金余额不得超过基金资产净值的</w:t>
      </w:r>
      <w:r>
        <w:rPr>
          <w:rFonts w:ascii="Times New Roman" w:hAnsi="Times New Roman" w:cs="Times New Roman"/>
          <w:bCs/>
          <w:kern w:val="2"/>
          <w:sz w:val="24"/>
          <w:szCs w:val="24"/>
        </w:rPr>
        <w:t xml:space="preserve"> 40%</w:t>
      </w:r>
      <w:r>
        <w:rPr>
          <w:rFonts w:ascii="Times New Roman" w:hAnsi="Times New Roman" w:cs="Times New Roman"/>
          <w:bCs/>
          <w:kern w:val="2"/>
          <w:sz w:val="24"/>
          <w:szCs w:val="24"/>
        </w:rPr>
        <w:t>；本基金在全国银行间同业市场中的债券回购最长期限为</w:t>
      </w:r>
      <w:r>
        <w:rPr>
          <w:rFonts w:ascii="Times New Roman" w:hAnsi="Times New Roman" w:cs="Times New Roman"/>
          <w:bCs/>
          <w:kern w:val="2"/>
          <w:sz w:val="24"/>
          <w:szCs w:val="24"/>
        </w:rPr>
        <w:t xml:space="preserve"> 1 </w:t>
      </w:r>
      <w:r>
        <w:rPr>
          <w:rFonts w:ascii="Times New Roman" w:hAnsi="Times New Roman" w:cs="Times New Roman"/>
          <w:bCs/>
          <w:kern w:val="2"/>
          <w:sz w:val="24"/>
          <w:szCs w:val="24"/>
        </w:rPr>
        <w:t>年，债券回购到期后不得展期；</w:t>
      </w:r>
    </w:p>
    <w:p w14:paraId="12AD2BF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1</w:t>
      </w:r>
      <w:r>
        <w:rPr>
          <w:rFonts w:ascii="Times New Roman" w:hAnsi="Times New Roman" w:cs="Times New Roman" w:hint="eastAsia"/>
          <w:bCs/>
          <w:kern w:val="2"/>
          <w:sz w:val="24"/>
          <w:szCs w:val="24"/>
        </w:rPr>
        <w:t>）本基金参与国债期货交易，需遵守下列投资比例限制：</w:t>
      </w:r>
    </w:p>
    <w:p w14:paraId="187D5DC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）基金在任何交易日日终，持有的买入国债期货合约价值，不得超过基金资产净值的</w:t>
      </w:r>
      <w:r>
        <w:rPr>
          <w:rFonts w:ascii="Times New Roman" w:hAnsi="Times New Roman" w:cs="Times New Roman"/>
          <w:bCs/>
          <w:kern w:val="2"/>
          <w:sz w:val="24"/>
          <w:szCs w:val="24"/>
        </w:rPr>
        <w:t xml:space="preserve"> 15%</w:t>
      </w:r>
      <w:r>
        <w:rPr>
          <w:rFonts w:ascii="Times New Roman" w:hAnsi="Times New Roman" w:cs="Times New Roman"/>
          <w:bCs/>
          <w:kern w:val="2"/>
          <w:sz w:val="24"/>
          <w:szCs w:val="24"/>
        </w:rPr>
        <w:t>；</w:t>
      </w:r>
    </w:p>
    <w:p w14:paraId="1C8479F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）基金在任何交易日日终，持有的卖出国债期货合约价值不得超过基金持有的债券总市值的</w:t>
      </w:r>
      <w:r>
        <w:rPr>
          <w:rFonts w:ascii="Times New Roman" w:hAnsi="Times New Roman" w:cs="Times New Roman"/>
          <w:bCs/>
          <w:kern w:val="2"/>
          <w:sz w:val="24"/>
          <w:szCs w:val="24"/>
        </w:rPr>
        <w:t xml:space="preserve"> 30%</w:t>
      </w:r>
      <w:r>
        <w:rPr>
          <w:rFonts w:ascii="Times New Roman" w:hAnsi="Times New Roman" w:cs="Times New Roman" w:hint="eastAsia"/>
          <w:bCs/>
          <w:kern w:val="2"/>
          <w:sz w:val="24"/>
          <w:szCs w:val="24"/>
        </w:rPr>
        <w:t>；</w:t>
      </w:r>
    </w:p>
    <w:p w14:paraId="214788D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）基金在任何交易日内交易（不包括平仓）的国债期货合约的成交金额不得超过上一交易日基金资产净值的</w:t>
      </w:r>
      <w:r>
        <w:rPr>
          <w:rFonts w:ascii="Times New Roman" w:hAnsi="Times New Roman" w:cs="Times New Roman"/>
          <w:bCs/>
          <w:kern w:val="2"/>
          <w:sz w:val="24"/>
          <w:szCs w:val="24"/>
        </w:rPr>
        <w:t xml:space="preserve"> 30%</w:t>
      </w:r>
      <w:r>
        <w:rPr>
          <w:rFonts w:ascii="Times New Roman" w:hAnsi="Times New Roman" w:cs="Times New Roman"/>
          <w:bCs/>
          <w:kern w:val="2"/>
          <w:sz w:val="24"/>
          <w:szCs w:val="24"/>
        </w:rPr>
        <w:t>；</w:t>
      </w:r>
    </w:p>
    <w:p w14:paraId="50597BF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）基金所持有的债券（不含到期日在一年以内的政府债券）市值和买入、卖出国债期货合约价值，合计（轧差计算）应当符合基金合同关于债券投资比例的有关</w:t>
      </w:r>
      <w:r>
        <w:rPr>
          <w:rFonts w:ascii="Times New Roman" w:hAnsi="Times New Roman" w:cs="Times New Roman"/>
          <w:bCs/>
          <w:kern w:val="2"/>
          <w:sz w:val="24"/>
          <w:szCs w:val="24"/>
        </w:rPr>
        <w:lastRenderedPageBreak/>
        <w:t>约定。</w:t>
      </w:r>
    </w:p>
    <w:p w14:paraId="13F5A71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2</w:t>
      </w:r>
      <w:r>
        <w:rPr>
          <w:rFonts w:ascii="Times New Roman" w:hAnsi="Times New Roman" w:cs="Times New Roman" w:hint="eastAsia"/>
          <w:bCs/>
          <w:kern w:val="2"/>
          <w:sz w:val="24"/>
          <w:szCs w:val="24"/>
        </w:rPr>
        <w:t>）本基金主动投资流动性受限资产的市值合计不得超过本基金基金资产净值的</w:t>
      </w:r>
      <w:r>
        <w:rPr>
          <w:rFonts w:ascii="Times New Roman" w:hAnsi="Times New Roman" w:cs="Times New Roman"/>
          <w:bCs/>
          <w:kern w:val="2"/>
          <w:sz w:val="24"/>
          <w:szCs w:val="24"/>
        </w:rPr>
        <w:t xml:space="preserve"> 15%</w:t>
      </w:r>
      <w:r>
        <w:rPr>
          <w:rFonts w:ascii="Times New Roman" w:hAnsi="Times New Roman" w:cs="Times New Roman"/>
          <w:bCs/>
          <w:kern w:val="2"/>
          <w:sz w:val="24"/>
          <w:szCs w:val="24"/>
        </w:rPr>
        <w:t>；因证券市场波动、基金规模变动等基金管理人之外的因素致使基金投资比例不符合上述投资比例限制的，基金管理人不得主动新增流动性受限资产的投资；</w:t>
      </w:r>
    </w:p>
    <w:p w14:paraId="521820E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3</w:t>
      </w:r>
      <w:r>
        <w:rPr>
          <w:rFonts w:ascii="Times New Roman" w:hAnsi="Times New Roman" w:cs="Times New Roman" w:hint="eastAsia"/>
          <w:bCs/>
          <w:kern w:val="2"/>
          <w:sz w:val="24"/>
          <w:szCs w:val="24"/>
        </w:rPr>
        <w:t>）本基金与私募类证券资管产品及中国证监会认定的其他主体为交易对手方开展逆回购交易的，可接受质押品的资质要求应当与本基金合同约定的投资范围保持一致；</w:t>
      </w:r>
    </w:p>
    <w:p w14:paraId="02B422C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4</w:t>
      </w:r>
      <w:r>
        <w:rPr>
          <w:rFonts w:ascii="Times New Roman" w:hAnsi="Times New Roman" w:cs="Times New Roman" w:hint="eastAsia"/>
          <w:bCs/>
          <w:kern w:val="2"/>
          <w:sz w:val="24"/>
          <w:szCs w:val="24"/>
        </w:rPr>
        <w:t>）本基金不持有具有信用保护卖方属性的信用衍生品，不持有合约类信用衍生品。投资信用衍生品名义本金不得超过本基金对应受保护债券面值的</w:t>
      </w:r>
      <w:r>
        <w:rPr>
          <w:rFonts w:ascii="Times New Roman" w:hAnsi="Times New Roman" w:cs="Times New Roman"/>
          <w:bCs/>
          <w:kern w:val="2"/>
          <w:sz w:val="24"/>
          <w:szCs w:val="24"/>
        </w:rPr>
        <w:t>100%</w:t>
      </w:r>
      <w:r>
        <w:rPr>
          <w:rFonts w:ascii="Times New Roman" w:hAnsi="Times New Roman" w:cs="Times New Roman"/>
          <w:bCs/>
          <w:kern w:val="2"/>
          <w:sz w:val="24"/>
          <w:szCs w:val="24"/>
        </w:rPr>
        <w:t>，投资于同一信用保护卖方的各类信用衍生品名义本金合计不得超过基金净值的</w:t>
      </w:r>
      <w:r>
        <w:rPr>
          <w:rFonts w:ascii="Times New Roman" w:hAnsi="Times New Roman" w:cs="Times New Roman"/>
          <w:bCs/>
          <w:kern w:val="2"/>
          <w:sz w:val="24"/>
          <w:szCs w:val="24"/>
        </w:rPr>
        <w:t>10%</w:t>
      </w:r>
      <w:r>
        <w:rPr>
          <w:rFonts w:ascii="Times New Roman" w:hAnsi="Times New Roman" w:cs="Times New Roman"/>
          <w:bCs/>
          <w:kern w:val="2"/>
          <w:sz w:val="24"/>
          <w:szCs w:val="24"/>
        </w:rPr>
        <w:t>。因证券市场波动、证券发行人合并、基金规模变动等基金管理人之外的因素，致使基金投资比例不符合上述规定投资比例的，基金管理人应该在三个月内进行调整；</w:t>
      </w:r>
    </w:p>
    <w:p w14:paraId="53A7F23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5</w:t>
      </w:r>
      <w:r>
        <w:rPr>
          <w:rFonts w:ascii="Times New Roman" w:hAnsi="Times New Roman" w:cs="Times New Roman" w:hint="eastAsia"/>
          <w:bCs/>
          <w:kern w:val="2"/>
          <w:sz w:val="24"/>
          <w:szCs w:val="24"/>
        </w:rPr>
        <w:t>）本基金总资产不得超过基金净资产的</w:t>
      </w:r>
      <w:r>
        <w:rPr>
          <w:rFonts w:ascii="Times New Roman" w:hAnsi="Times New Roman" w:cs="Times New Roman"/>
          <w:bCs/>
          <w:kern w:val="2"/>
          <w:sz w:val="24"/>
          <w:szCs w:val="24"/>
        </w:rPr>
        <w:t xml:space="preserve"> 140%</w:t>
      </w:r>
      <w:r>
        <w:rPr>
          <w:rFonts w:ascii="Times New Roman" w:hAnsi="Times New Roman" w:cs="Times New Roman"/>
          <w:bCs/>
          <w:kern w:val="2"/>
          <w:sz w:val="24"/>
          <w:szCs w:val="24"/>
        </w:rPr>
        <w:t>；</w:t>
      </w:r>
    </w:p>
    <w:p w14:paraId="6D04A08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6</w:t>
      </w:r>
      <w:r>
        <w:rPr>
          <w:rFonts w:ascii="Times New Roman" w:hAnsi="Times New Roman" w:cs="Times New Roman" w:hint="eastAsia"/>
          <w:bCs/>
          <w:kern w:val="2"/>
          <w:sz w:val="24"/>
          <w:szCs w:val="24"/>
        </w:rPr>
        <w:t>）法律法规及中国证监会规定的和《基金合同》约定的其他投资限制。</w:t>
      </w:r>
    </w:p>
    <w:p w14:paraId="658EEC0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bookmarkStart w:id="28" w:name="_Hlk70005204"/>
      <w:bookmarkEnd w:id="27"/>
      <w:r>
        <w:rPr>
          <w:rFonts w:ascii="Times New Roman" w:hAnsi="Times New Roman" w:cs="Times New Roman"/>
          <w:bCs/>
          <w:kern w:val="2"/>
          <w:sz w:val="24"/>
          <w:szCs w:val="24"/>
        </w:rPr>
        <w:t>除上述第（</w:t>
      </w:r>
      <w:r>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bCs/>
          <w:kern w:val="2"/>
          <w:sz w:val="24"/>
          <w:szCs w:val="24"/>
        </w:rPr>
        <w:t>9</w:t>
      </w:r>
      <w:r>
        <w:rPr>
          <w:rFonts w:ascii="Times New Roman" w:hAnsi="Times New Roman" w:cs="Times New Roman"/>
          <w:bCs/>
          <w:kern w:val="2"/>
          <w:sz w:val="24"/>
          <w:szCs w:val="24"/>
        </w:rPr>
        <w:t>）、（</w:t>
      </w:r>
      <w:r>
        <w:rPr>
          <w:rFonts w:ascii="Times New Roman" w:hAnsi="Times New Roman" w:cs="Times New Roman"/>
          <w:bCs/>
          <w:kern w:val="2"/>
          <w:sz w:val="24"/>
          <w:szCs w:val="24"/>
        </w:rPr>
        <w:t>12</w:t>
      </w:r>
      <w:r>
        <w:rPr>
          <w:rFonts w:ascii="Times New Roman" w:hAnsi="Times New Roman" w:cs="Times New Roman"/>
          <w:bCs/>
          <w:kern w:val="2"/>
          <w:sz w:val="24"/>
          <w:szCs w:val="24"/>
        </w:rPr>
        <w:t>）、（</w:t>
      </w:r>
      <w:r>
        <w:rPr>
          <w:rFonts w:ascii="Times New Roman" w:hAnsi="Times New Roman" w:cs="Times New Roman"/>
          <w:bCs/>
          <w:kern w:val="2"/>
          <w:sz w:val="24"/>
          <w:szCs w:val="24"/>
        </w:rPr>
        <w:t>13</w:t>
      </w:r>
      <w:r>
        <w:rPr>
          <w:rFonts w:ascii="Times New Roman" w:hAnsi="Times New Roman" w:cs="Times New Roman"/>
          <w:bCs/>
          <w:kern w:val="2"/>
          <w:sz w:val="24"/>
          <w:szCs w:val="24"/>
        </w:rPr>
        <w:t>）</w:t>
      </w: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bCs/>
          <w:kern w:val="2"/>
          <w:sz w:val="24"/>
          <w:szCs w:val="24"/>
        </w:rPr>
        <w:t>4</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项外，因证券</w:t>
      </w:r>
      <w:r>
        <w:rPr>
          <w:rFonts w:ascii="Times New Roman" w:hAnsi="Times New Roman" w:cs="Times New Roman"/>
          <w:bCs/>
          <w:kern w:val="2"/>
          <w:sz w:val="24"/>
          <w:szCs w:val="24"/>
        </w:rPr>
        <w:t>/</w:t>
      </w:r>
      <w:r>
        <w:rPr>
          <w:rFonts w:ascii="Times New Roman" w:hAnsi="Times New Roman" w:cs="Times New Roman"/>
          <w:bCs/>
          <w:kern w:val="2"/>
          <w:sz w:val="24"/>
          <w:szCs w:val="24"/>
        </w:rPr>
        <w:t>期货市场波动、证券发行人合并、基金规模变动等基金管理人之外的因素致使基金投资比例不符合上述规定投资比例的，基金管理人应当在</w:t>
      </w:r>
      <w:r>
        <w:rPr>
          <w:rFonts w:ascii="Times New Roman" w:hAnsi="Times New Roman" w:cs="Times New Roman"/>
          <w:bCs/>
          <w:kern w:val="2"/>
          <w:sz w:val="24"/>
          <w:szCs w:val="24"/>
        </w:rPr>
        <w:t xml:space="preserve"> 10 </w:t>
      </w:r>
      <w:r>
        <w:rPr>
          <w:rFonts w:ascii="Times New Roman" w:hAnsi="Times New Roman" w:cs="Times New Roman"/>
          <w:bCs/>
          <w:kern w:val="2"/>
          <w:sz w:val="24"/>
          <w:szCs w:val="24"/>
        </w:rPr>
        <w:t>个交易日内进行调整，但中国证监会规定的特殊情形除外。法律法规另有规定的，从其规定。</w:t>
      </w:r>
      <w:bookmarkEnd w:id="28"/>
    </w:p>
    <w:p w14:paraId="3702918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基金管理人应当自基金合同生效之日起</w:t>
      </w:r>
      <w:r>
        <w:rPr>
          <w:rFonts w:ascii="Times New Roman" w:hAnsi="Times New Roman" w:cs="Times New Roman"/>
          <w:bCs/>
          <w:kern w:val="2"/>
          <w:sz w:val="24"/>
          <w:szCs w:val="24"/>
        </w:rPr>
        <w:t xml:space="preserve"> 6 </w:t>
      </w:r>
      <w:r>
        <w:rPr>
          <w:rFonts w:ascii="Times New Roman" w:hAnsi="Times New Roman" w:cs="Times New Roman"/>
          <w:bCs/>
          <w:kern w:val="2"/>
          <w:sz w:val="24"/>
          <w:szCs w:val="24"/>
        </w:rPr>
        <w:t>个月内使基金的投资组合比例符合基金合同的有关约定。在上述期间内，本基金的投资范围、投资策略应当符合基金合同的约定。基金托管人对基金的投资的监督与检查自本基金合同生效之日起开始。法律法规或监管部门另有规定的，从其规定。</w:t>
      </w:r>
    </w:p>
    <w:p w14:paraId="7896BE7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上述投资组合限制条款中，若属法律法规或监管部门的强制性规定，则当法律法规或监管部门取消或变更上述限制，如适用于本基金，基金管理人在履行适当程序后，则本基金投资不再受相关限制或以变更以后的规定为准。</w:t>
      </w:r>
    </w:p>
    <w:p w14:paraId="4A15B8D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、禁止行为</w:t>
      </w:r>
    </w:p>
    <w:p w14:paraId="3E5FFED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为维护基金份额持有人的合法权益，基金财产不得用于下列投资或者活动：</w:t>
      </w:r>
    </w:p>
    <w:p w14:paraId="03BF906A"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bookmarkStart w:id="29" w:name="_Hlk70009388"/>
      <w:r>
        <w:rPr>
          <w:rFonts w:ascii="Times New Roman" w:hAnsi="Times New Roman" w:cs="Times New Roman" w:hint="eastAsia"/>
          <w:bCs/>
          <w:kern w:val="2"/>
          <w:sz w:val="24"/>
          <w:szCs w:val="24"/>
        </w:rPr>
        <w:t>（</w:t>
      </w:r>
      <w:r>
        <w:rPr>
          <w:rFonts w:ascii="Times New Roman" w:hAnsi="Times New Roman" w:cs="Times New Roman"/>
          <w:bCs/>
          <w:kern w:val="2"/>
          <w:sz w:val="24"/>
          <w:szCs w:val="24"/>
        </w:rPr>
        <w:t>1</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承销证券；</w:t>
      </w:r>
    </w:p>
    <w:p w14:paraId="6713E8F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2</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违反规定向他人贷款或者提供担保；</w:t>
      </w:r>
    </w:p>
    <w:p w14:paraId="01DDC10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3</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从事承担无限责任的投资；</w:t>
      </w:r>
    </w:p>
    <w:p w14:paraId="3343B75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lastRenderedPageBreak/>
        <w:t>（</w:t>
      </w:r>
      <w:r>
        <w:rPr>
          <w:rFonts w:ascii="Times New Roman" w:hAnsi="Times New Roman" w:cs="Times New Roman"/>
          <w:bCs/>
          <w:kern w:val="2"/>
          <w:sz w:val="24"/>
          <w:szCs w:val="24"/>
        </w:rPr>
        <w:t>4</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买卖其他基金份额，但是中国证监会另有规定的除外；</w:t>
      </w:r>
    </w:p>
    <w:p w14:paraId="47DE21A3"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5</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向其基金管理人、基金托管人出资；</w:t>
      </w:r>
    </w:p>
    <w:p w14:paraId="2FBD3332"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6</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从事内幕交易、操纵证券交易价格及其他不正当的证券交易活动；</w:t>
      </w:r>
    </w:p>
    <w:p w14:paraId="0861DBD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7</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法律、行政法规和中国证监会规定禁止的其他活动。</w:t>
      </w:r>
    </w:p>
    <w:bookmarkEnd w:id="29"/>
    <w:p w14:paraId="2D3C407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B8202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如法律、行政法规或监管部门取消或调整上述禁止性规定，如适用于本基金，</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基金管理人在履行适当程序后，本基金可不受上述规定的限制或按调整后的规定执行。</w:t>
      </w:r>
    </w:p>
    <w:p w14:paraId="459D361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五、业绩比较基准</w:t>
      </w:r>
    </w:p>
    <w:p w14:paraId="3B31702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本基金的业绩比较基准为：</w:t>
      </w:r>
      <w:r>
        <w:rPr>
          <w:rFonts w:ascii="Times New Roman" w:hAnsi="Times New Roman" w:cs="Times New Roman" w:hint="eastAsia"/>
          <w:bCs/>
          <w:kern w:val="2"/>
          <w:sz w:val="24"/>
          <w:szCs w:val="24"/>
        </w:rPr>
        <w:t>中债总财富</w:t>
      </w:r>
      <w:r>
        <w:rPr>
          <w:rFonts w:ascii="Times New Roman" w:hAnsi="Times New Roman" w:cs="Times New Roman"/>
          <w:bCs/>
          <w:kern w:val="2"/>
          <w:sz w:val="24"/>
          <w:szCs w:val="24"/>
        </w:rPr>
        <w:t>(1-3</w:t>
      </w:r>
      <w:r>
        <w:rPr>
          <w:rFonts w:ascii="Times New Roman" w:hAnsi="Times New Roman" w:cs="Times New Roman"/>
          <w:bCs/>
          <w:kern w:val="2"/>
          <w:sz w:val="24"/>
          <w:szCs w:val="24"/>
        </w:rPr>
        <w:t>年</w:t>
      </w:r>
      <w:r>
        <w:rPr>
          <w:rFonts w:ascii="Times New Roman" w:hAnsi="Times New Roman" w:cs="Times New Roman"/>
          <w:bCs/>
          <w:kern w:val="2"/>
          <w:sz w:val="24"/>
          <w:szCs w:val="24"/>
        </w:rPr>
        <w:t>)</w:t>
      </w:r>
      <w:r>
        <w:rPr>
          <w:rFonts w:ascii="Times New Roman" w:hAnsi="Times New Roman" w:cs="Times New Roman"/>
          <w:bCs/>
          <w:kern w:val="2"/>
          <w:sz w:val="24"/>
          <w:szCs w:val="24"/>
        </w:rPr>
        <w:t>指数收益率</w:t>
      </w:r>
      <w:r>
        <w:rPr>
          <w:rFonts w:ascii="Times New Roman" w:hAnsi="Times New Roman" w:cs="Times New Roman"/>
          <w:bCs/>
          <w:kern w:val="2"/>
          <w:sz w:val="24"/>
          <w:szCs w:val="24"/>
        </w:rPr>
        <w:t>*80%+</w:t>
      </w:r>
      <w:r>
        <w:rPr>
          <w:rFonts w:ascii="Times New Roman" w:hAnsi="Times New Roman" w:cs="Times New Roman"/>
          <w:bCs/>
          <w:kern w:val="2"/>
          <w:sz w:val="24"/>
          <w:szCs w:val="24"/>
        </w:rPr>
        <w:t>一年期定期存款利率</w:t>
      </w:r>
      <w:r>
        <w:rPr>
          <w:rFonts w:ascii="Times New Roman" w:hAnsi="Times New Roman" w:cs="Times New Roman"/>
          <w:bCs/>
          <w:kern w:val="2"/>
          <w:sz w:val="24"/>
          <w:szCs w:val="24"/>
        </w:rPr>
        <w:t>(</w:t>
      </w:r>
      <w:r>
        <w:rPr>
          <w:rFonts w:ascii="Times New Roman" w:hAnsi="Times New Roman" w:cs="Times New Roman"/>
          <w:bCs/>
          <w:kern w:val="2"/>
          <w:sz w:val="24"/>
          <w:szCs w:val="24"/>
        </w:rPr>
        <w:t>税后</w:t>
      </w:r>
      <w:r>
        <w:rPr>
          <w:rFonts w:ascii="Times New Roman" w:hAnsi="Times New Roman" w:cs="Times New Roman"/>
          <w:bCs/>
          <w:kern w:val="2"/>
          <w:sz w:val="24"/>
          <w:szCs w:val="24"/>
        </w:rPr>
        <w:t>)*20%</w:t>
      </w:r>
    </w:p>
    <w:p w14:paraId="72A8EA99" w14:textId="08E71052"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本基金为债券型证券投资基金，重点投资中短债主题证券，所以本基金选取中债总财富（</w:t>
      </w:r>
      <w:r>
        <w:rPr>
          <w:rFonts w:ascii="Times New Roman" w:hAnsi="Times New Roman" w:cs="Times New Roman"/>
          <w:bCs/>
          <w:kern w:val="2"/>
          <w:sz w:val="24"/>
          <w:szCs w:val="24"/>
        </w:rPr>
        <w:t xml:space="preserve">1-3 </w:t>
      </w:r>
      <w:r>
        <w:rPr>
          <w:rFonts w:ascii="Times New Roman" w:hAnsi="Times New Roman" w:cs="Times New Roman"/>
          <w:bCs/>
          <w:kern w:val="2"/>
          <w:sz w:val="24"/>
          <w:szCs w:val="24"/>
        </w:rPr>
        <w:t>年）指数收益率作为业绩比较基准。中债总财富（</w:t>
      </w:r>
      <w:r>
        <w:rPr>
          <w:rFonts w:ascii="Times New Roman" w:hAnsi="Times New Roman" w:cs="Times New Roman"/>
          <w:bCs/>
          <w:kern w:val="2"/>
          <w:sz w:val="24"/>
          <w:szCs w:val="24"/>
        </w:rPr>
        <w:t xml:space="preserve">1-3 </w:t>
      </w:r>
      <w:r>
        <w:rPr>
          <w:rFonts w:ascii="Times New Roman" w:hAnsi="Times New Roman" w:cs="Times New Roman"/>
          <w:bCs/>
          <w:kern w:val="2"/>
          <w:sz w:val="24"/>
          <w:szCs w:val="24"/>
        </w:rPr>
        <w:t>年）指数是综合反映银行间债券市场和沪深交易所债券市场的跨市场中短期债券指数，对中短期债券价格变动趋势有很强的代表性，能较好</w:t>
      </w:r>
      <w:r w:rsidR="003A7167">
        <w:rPr>
          <w:rFonts w:ascii="Times New Roman" w:hAnsi="Times New Roman" w:cs="Times New Roman" w:hint="eastAsia"/>
          <w:bCs/>
          <w:kern w:val="2"/>
          <w:sz w:val="24"/>
          <w:szCs w:val="24"/>
        </w:rPr>
        <w:t>地</w:t>
      </w:r>
      <w:r>
        <w:rPr>
          <w:rFonts w:ascii="Times New Roman" w:hAnsi="Times New Roman" w:cs="Times New Roman"/>
          <w:bCs/>
          <w:kern w:val="2"/>
          <w:sz w:val="24"/>
          <w:szCs w:val="24"/>
        </w:rPr>
        <w:t>反映本基金的投资策略</w:t>
      </w:r>
      <w:r>
        <w:rPr>
          <w:rFonts w:ascii="Times New Roman" w:hAnsi="Times New Roman" w:cs="Times New Roman"/>
          <w:bCs/>
          <w:kern w:val="2"/>
          <w:sz w:val="24"/>
          <w:szCs w:val="24"/>
        </w:rPr>
        <w:t>,</w:t>
      </w:r>
      <w:r>
        <w:rPr>
          <w:rFonts w:ascii="Times New Roman" w:hAnsi="Times New Roman" w:cs="Times New Roman"/>
          <w:bCs/>
          <w:kern w:val="2"/>
          <w:sz w:val="24"/>
          <w:szCs w:val="24"/>
        </w:rPr>
        <w:t>较为科学、合理</w:t>
      </w:r>
      <w:r w:rsidR="003A7167">
        <w:rPr>
          <w:rFonts w:ascii="Times New Roman" w:hAnsi="Times New Roman" w:cs="Times New Roman" w:hint="eastAsia"/>
          <w:bCs/>
          <w:kern w:val="2"/>
          <w:sz w:val="24"/>
          <w:szCs w:val="24"/>
        </w:rPr>
        <w:t>地</w:t>
      </w:r>
      <w:r>
        <w:rPr>
          <w:rFonts w:ascii="Times New Roman" w:hAnsi="Times New Roman" w:cs="Times New Roman"/>
          <w:bCs/>
          <w:kern w:val="2"/>
          <w:sz w:val="24"/>
          <w:szCs w:val="24"/>
        </w:rPr>
        <w:t>评价本基金的业绩表现。</w:t>
      </w:r>
    </w:p>
    <w:p w14:paraId="553CECA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如果今后法律法规发生变化，或者人民银行调整或停止发布基准利率，或者指数编制单位停止计算编制上述指数或更改指数名称</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或者有更权威的、更能为市场普遍接受的业绩比较基准推出，或者市场上出现更加适合用于本基金业绩比较基准的指数时，经与基金托管人协商一致，基金管理人可以在按照监管部门要求履行适当程序后调整或变更业绩比较基准并及时公告，而无需召开基金份额持有人大会。</w:t>
      </w:r>
    </w:p>
    <w:p w14:paraId="1D4F093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六、风险收益特征</w:t>
      </w:r>
    </w:p>
    <w:p w14:paraId="7C20B72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本基金为债券型证券投资基金，风险与收益高于货币市场基金，低于混合型基金及股票型基金。</w:t>
      </w:r>
    </w:p>
    <w:p w14:paraId="0E1F33E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七、基金管理人代表基金行使</w:t>
      </w:r>
      <w:r>
        <w:rPr>
          <w:rFonts w:ascii="Times New Roman" w:hAnsi="Times New Roman" w:cs="Times New Roman" w:hint="eastAsia"/>
          <w:bCs/>
          <w:kern w:val="2"/>
          <w:sz w:val="24"/>
          <w:szCs w:val="24"/>
        </w:rPr>
        <w:t>股东或债权人</w:t>
      </w:r>
      <w:r>
        <w:rPr>
          <w:rFonts w:ascii="Times New Roman" w:hAnsi="Times New Roman" w:cs="Times New Roman"/>
          <w:bCs/>
          <w:kern w:val="2"/>
          <w:sz w:val="24"/>
          <w:szCs w:val="24"/>
        </w:rPr>
        <w:t>权利的处理原则及方法</w:t>
      </w:r>
    </w:p>
    <w:p w14:paraId="5E16EB9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、基金管理人按照国家有关规定代表基金独立行使</w:t>
      </w:r>
      <w:r>
        <w:rPr>
          <w:rFonts w:ascii="Times New Roman" w:hAnsi="Times New Roman" w:cs="Times New Roman" w:hint="eastAsia"/>
          <w:bCs/>
          <w:kern w:val="2"/>
          <w:sz w:val="24"/>
          <w:szCs w:val="24"/>
        </w:rPr>
        <w:t>股东或债权人</w:t>
      </w:r>
      <w:r>
        <w:rPr>
          <w:rFonts w:ascii="Times New Roman" w:hAnsi="Times New Roman" w:cs="Times New Roman"/>
          <w:bCs/>
          <w:kern w:val="2"/>
          <w:sz w:val="24"/>
          <w:szCs w:val="24"/>
        </w:rPr>
        <w:t>权利，保护基金份额持有人的利益；</w:t>
      </w:r>
    </w:p>
    <w:p w14:paraId="30584B4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hint="eastAsia"/>
          <w:bCs/>
          <w:kern w:val="2"/>
          <w:sz w:val="24"/>
          <w:szCs w:val="24"/>
        </w:rPr>
        <w:t>、不谋求对上市公司的控股；</w:t>
      </w:r>
    </w:p>
    <w:p w14:paraId="464BE92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、有利于基金财产的安全与增值；</w:t>
      </w:r>
    </w:p>
    <w:p w14:paraId="693D917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、不通过关联交易为自身、雇员、授权代理人或任何存在利害关系的第三人牟取任何不当利益。</w:t>
      </w:r>
    </w:p>
    <w:p w14:paraId="7A02FA9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八、侧袋机制的实施和投资运作安排</w:t>
      </w:r>
    </w:p>
    <w:p w14:paraId="5F555E8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691961C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侧袋机制实施期间，本部分约定的投资组合比例、投资策略、组合限制、业绩比较基准、风险收益特征等约定仅适用于主袋账户。</w:t>
      </w:r>
    </w:p>
    <w:p w14:paraId="0DC9C4C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侧袋账户的实施条件、实施程序、运作安排、投资安排、特定资产的处置变现和支付等对投资者权益有重大影响的事项详见招募说明书的规定。</w:t>
      </w:r>
    </w:p>
    <w:p w14:paraId="108DB3F9" w14:textId="77777777" w:rsidR="00CD61EF" w:rsidRDefault="00CD61EF">
      <w:pPr>
        <w:spacing w:line="364" w:lineRule="auto"/>
        <w:sectPr w:rsidR="00CD61EF">
          <w:headerReference w:type="default" r:id="rId22"/>
          <w:footerReference w:type="default" r:id="rId23"/>
          <w:pgSz w:w="11910" w:h="16840"/>
          <w:pgMar w:top="1440" w:right="1440" w:bottom="1180" w:left="1680" w:header="877" w:footer="998" w:gutter="0"/>
          <w:cols w:space="720"/>
        </w:sectPr>
      </w:pPr>
    </w:p>
    <w:p w14:paraId="273E101B"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30" w:name="_Toc4973"/>
      <w:r>
        <w:rPr>
          <w:rFonts w:ascii="Times New Roman" w:eastAsia="宋体" w:hAnsi="Times New Roman" w:cs="Times New Roman"/>
          <w:bCs w:val="0"/>
          <w:szCs w:val="20"/>
        </w:rPr>
        <w:lastRenderedPageBreak/>
        <w:t>第十三部分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基金的</w:t>
      </w:r>
      <w:r>
        <w:rPr>
          <w:rFonts w:ascii="Times New Roman" w:eastAsia="宋体" w:hAnsi="Times New Roman" w:cs="Times New Roman" w:hint="eastAsia"/>
          <w:bCs w:val="0"/>
          <w:szCs w:val="20"/>
        </w:rPr>
        <w:t>财产</w:t>
      </w:r>
      <w:bookmarkEnd w:id="30"/>
    </w:p>
    <w:p w14:paraId="12FC9B93" w14:textId="77777777" w:rsidR="00CD61EF" w:rsidRDefault="00CD61EF">
      <w:pPr>
        <w:pStyle w:val="a5"/>
        <w:spacing w:before="13"/>
        <w:ind w:left="0" w:firstLine="0"/>
        <w:rPr>
          <w:rFonts w:ascii="Microsoft JhengHei"/>
          <w:b/>
          <w:sz w:val="32"/>
        </w:rPr>
      </w:pPr>
    </w:p>
    <w:p w14:paraId="7FE91FFA"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一、基金资产总值</w:t>
      </w:r>
    </w:p>
    <w:p w14:paraId="2D7CC843"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基金资产总值是指基金拥有的各类有价证券、银行存款本息、基金应收款及其他资产的价值总和。</w:t>
      </w:r>
    </w:p>
    <w:p w14:paraId="271B715B"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二、基金资产净值</w:t>
      </w:r>
    </w:p>
    <w:p w14:paraId="62D880AE" w14:textId="77777777" w:rsidR="00CD61EF" w:rsidRDefault="002B79C0">
      <w:pPr>
        <w:autoSpaceDE/>
        <w:autoSpaceDN/>
        <w:spacing w:line="360" w:lineRule="auto"/>
        <w:ind w:firstLineChars="200" w:firstLine="480"/>
        <w:jc w:val="both"/>
        <w:rPr>
          <w:rFonts w:ascii="Times New Roman" w:hAnsi="Times New Roman" w:cs="Times New Roman"/>
          <w:kern w:val="2"/>
          <w:sz w:val="24"/>
          <w:szCs w:val="20"/>
        </w:rPr>
      </w:pPr>
      <w:r>
        <w:rPr>
          <w:rFonts w:ascii="Times New Roman" w:hAnsi="Times New Roman" w:cs="Times New Roman"/>
          <w:kern w:val="2"/>
          <w:sz w:val="24"/>
          <w:szCs w:val="20"/>
        </w:rPr>
        <w:t>基金资产净值是指基金资产总值减去基金负债后的价值。</w:t>
      </w:r>
    </w:p>
    <w:p w14:paraId="26CD7E23"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三、基金财产的账户</w:t>
      </w:r>
    </w:p>
    <w:p w14:paraId="346CBFE9"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基金托管人根据相关法律法规、规范性文件为本基金开立资金账户、证券账户以及投资所需的其他专用账户，协助提供开立期货业务相关账户及交易编码的基金托管人相关信息。开立的基金专用账户与基金管理人、基金托管人、基金销售机构和基金登记机构自有的财产账户以及其他基金财产账户相独立。</w:t>
      </w:r>
    </w:p>
    <w:p w14:paraId="4B0B1427"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四、基金财产的保管和处分</w:t>
      </w:r>
    </w:p>
    <w:p w14:paraId="0310F317"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本基金财产独立于基金管理人、基金托管人、证券经纪机构和基金销售机构等基金服务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C4A6171" w14:textId="77777777" w:rsidR="00CD61EF" w:rsidRDefault="002B79C0">
      <w:pPr>
        <w:autoSpaceDE/>
        <w:autoSpaceDN/>
        <w:spacing w:line="360" w:lineRule="auto"/>
        <w:ind w:firstLineChars="200" w:firstLine="480"/>
        <w:jc w:val="both"/>
        <w:rPr>
          <w:rFonts w:ascii="Times New Roman" w:hAnsi="Times New Roman" w:cs="Times New Roman"/>
          <w:kern w:val="2"/>
          <w:szCs w:val="20"/>
        </w:rPr>
      </w:pPr>
      <w:r>
        <w:rPr>
          <w:rFonts w:ascii="Times New Roman" w:hAnsi="Times New Roman" w:cs="Times New Roman"/>
          <w:kern w:val="2"/>
          <w:sz w:val="24"/>
          <w:szCs w:val="20"/>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w:t>
      </w:r>
      <w:r>
        <w:rPr>
          <w:rFonts w:ascii="Times New Roman" w:hAnsi="Times New Roman" w:cs="Times New Roman"/>
          <w:kern w:val="2"/>
          <w:sz w:val="24"/>
          <w:szCs w:val="20"/>
        </w:rPr>
        <w:t xml:space="preserve"> </w:t>
      </w:r>
      <w:r>
        <w:rPr>
          <w:rFonts w:ascii="Times New Roman" w:hAnsi="Times New Roman" w:cs="Times New Roman"/>
          <w:kern w:val="2"/>
          <w:sz w:val="24"/>
          <w:szCs w:val="20"/>
        </w:rPr>
        <w:t>不得对基金财产强制执行。</w:t>
      </w:r>
    </w:p>
    <w:p w14:paraId="0C890CB7" w14:textId="77777777" w:rsidR="00CD61EF" w:rsidRDefault="00CD61EF">
      <w:pPr>
        <w:spacing w:line="364" w:lineRule="auto"/>
        <w:sectPr w:rsidR="00CD61EF">
          <w:pgSz w:w="11910" w:h="16840"/>
          <w:pgMar w:top="1440" w:right="1440" w:bottom="1180" w:left="1680" w:header="877" w:footer="998" w:gutter="0"/>
          <w:cols w:space="720"/>
        </w:sectPr>
      </w:pPr>
    </w:p>
    <w:p w14:paraId="00B978BD"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31" w:name="_Toc4296"/>
      <w:r>
        <w:rPr>
          <w:rFonts w:ascii="Times New Roman" w:eastAsia="宋体" w:hAnsi="Times New Roman" w:cs="Times New Roman"/>
          <w:bCs w:val="0"/>
          <w:szCs w:val="20"/>
        </w:rPr>
        <w:lastRenderedPageBreak/>
        <w:t>第十四部分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w:t>
      </w:r>
      <w:r>
        <w:rPr>
          <w:rFonts w:ascii="Times New Roman" w:eastAsia="宋体" w:hAnsi="Times New Roman" w:cs="Times New Roman" w:hint="eastAsia"/>
          <w:bCs w:val="0"/>
          <w:szCs w:val="20"/>
        </w:rPr>
        <w:t>资产估值</w:t>
      </w:r>
      <w:bookmarkEnd w:id="31"/>
    </w:p>
    <w:p w14:paraId="66599D3C" w14:textId="77777777" w:rsidR="00CD61EF" w:rsidRDefault="00CD61EF">
      <w:pPr>
        <w:autoSpaceDE/>
        <w:autoSpaceDN/>
        <w:spacing w:line="360" w:lineRule="auto"/>
        <w:ind w:firstLineChars="200" w:firstLine="480"/>
        <w:jc w:val="both"/>
        <w:rPr>
          <w:rFonts w:ascii="Times New Roman" w:hAnsi="Times New Roman" w:cs="Times New Roman"/>
          <w:bCs/>
          <w:kern w:val="2"/>
          <w:sz w:val="24"/>
        </w:rPr>
      </w:pPr>
    </w:p>
    <w:p w14:paraId="16F1F7F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一、估值日</w:t>
      </w:r>
    </w:p>
    <w:p w14:paraId="5BC1A22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本基金的估值日为本基金相关的证券交易场所的交易日以及国家法律法规规定需要对外披露基金净值的非交易日。</w:t>
      </w:r>
    </w:p>
    <w:p w14:paraId="2E75B41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二、估值对象</w:t>
      </w:r>
    </w:p>
    <w:p w14:paraId="7489AF1D"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32" w:name="_Hlk70007234"/>
      <w:r>
        <w:rPr>
          <w:rFonts w:ascii="Times New Roman" w:hAnsi="Times New Roman" w:cs="Times New Roman"/>
          <w:bCs/>
          <w:kern w:val="2"/>
          <w:sz w:val="24"/>
          <w:szCs w:val="24"/>
        </w:rPr>
        <w:t>基金所拥有的债券、银行存款本息、应收款项、国债期货合约、</w:t>
      </w:r>
      <w:r>
        <w:rPr>
          <w:rFonts w:hint="eastAsia"/>
          <w:spacing w:val="-3"/>
        </w:rPr>
        <w:t>信用衍生品、</w:t>
      </w:r>
      <w:r>
        <w:rPr>
          <w:rFonts w:ascii="Times New Roman" w:hAnsi="Times New Roman" w:cs="Times New Roman"/>
          <w:bCs/>
          <w:kern w:val="2"/>
          <w:sz w:val="24"/>
          <w:szCs w:val="24"/>
        </w:rPr>
        <w:t>资产支持证券及其它投资等资产及负债。</w:t>
      </w:r>
    </w:p>
    <w:bookmarkEnd w:id="32"/>
    <w:p w14:paraId="610FDB8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三、估值原则</w:t>
      </w:r>
    </w:p>
    <w:p w14:paraId="38669F5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基金管理人在确定相关金融资产和金融负债的公允价值时，应符合《企业会计准则》、监管部门有关规定。</w:t>
      </w:r>
    </w:p>
    <w:p w14:paraId="53FBB4C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A523C6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FE3678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1206628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（三）如经济环境发生重大变化或证券发行人发生影响证券价格的重大事件，</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使潜在估值调整对前一估值日的基金资产净值的影响在</w:t>
      </w:r>
      <w:r>
        <w:rPr>
          <w:rFonts w:ascii="Times New Roman" w:hAnsi="Times New Roman" w:cs="Times New Roman"/>
          <w:bCs/>
          <w:kern w:val="2"/>
          <w:sz w:val="24"/>
          <w:szCs w:val="24"/>
        </w:rPr>
        <w:t xml:space="preserve"> 0.25%</w:t>
      </w:r>
      <w:r>
        <w:rPr>
          <w:rFonts w:ascii="Times New Roman" w:hAnsi="Times New Roman" w:cs="Times New Roman"/>
          <w:bCs/>
          <w:kern w:val="2"/>
          <w:sz w:val="24"/>
          <w:szCs w:val="24"/>
        </w:rPr>
        <w:t>以上的，应对估值进行调整并确定公允价值。</w:t>
      </w:r>
    </w:p>
    <w:p w14:paraId="19FFBF4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四、估值方法</w:t>
      </w:r>
    </w:p>
    <w:p w14:paraId="0358AFA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、证券交易所上市的有价证券的估值</w:t>
      </w:r>
    </w:p>
    <w:p w14:paraId="7C5846E0"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bookmarkStart w:id="33" w:name="_Hlk70007297"/>
      <w:r>
        <w:rPr>
          <w:rFonts w:ascii="Times New Roman" w:hAnsi="Times New Roman" w:cs="Times New Roman" w:hint="eastAsia"/>
          <w:bCs/>
          <w:kern w:val="2"/>
          <w:sz w:val="24"/>
          <w:szCs w:val="24"/>
        </w:rPr>
        <w:lastRenderedPageBreak/>
        <w:t>（</w:t>
      </w:r>
      <w:r>
        <w:rPr>
          <w:rFonts w:ascii="Times New Roman" w:hAnsi="Times New Roman" w:cs="Times New Roman" w:hint="eastAsia"/>
          <w:bCs/>
          <w:kern w:val="2"/>
          <w:sz w:val="24"/>
          <w:szCs w:val="24"/>
        </w:rPr>
        <w:t>1</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如最近交易日后经济环境发生了重大变化或证券发行机构发生影响证券价格的重大事件的，可参考类似投资品种的现行市价及重大变化因素，调整最近交易市价，确定公允价格；</w:t>
      </w:r>
    </w:p>
    <w:p w14:paraId="61A40712"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2</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交易所上市实行净价交易的债券选取估值日第三方估值机构提供的相应品种对应的估值净价估值；如最近交易日后经济环境发生了重大变化的，可参考类似投资品种的现行市价及重大变化因素，调整最近交易市价，确定公允价格；</w:t>
      </w:r>
    </w:p>
    <w:p w14:paraId="6CB0159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3</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对在交易所市场上市未实行净价交易的债券（可转债除外），按估值日第三方估值机构提供的相应品种当日的估值全价减去估值全价中所含的债券（</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税后）应收利息得到的净价进行估值；</w:t>
      </w:r>
    </w:p>
    <w:p w14:paraId="3A38B90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bCs/>
          <w:kern w:val="2"/>
          <w:sz w:val="24"/>
          <w:szCs w:val="24"/>
        </w:rPr>
        <w:t>4</w:t>
      </w:r>
      <w:r>
        <w:rPr>
          <w:rFonts w:ascii="Times New Roman" w:hAnsi="Times New Roman" w:cs="Times New Roman"/>
          <w:bCs/>
          <w:kern w:val="2"/>
          <w:sz w:val="24"/>
          <w:szCs w:val="24"/>
        </w:rPr>
        <w:t>）交易所上市交易的可转换债券以每日收盘价作为估值全价；</w:t>
      </w:r>
    </w:p>
    <w:p w14:paraId="2D1E97C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5</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交易所上市不存在活跃市场的有价证券，采用估值技术确定公允价值。交易所挂牌转让的资产支持证券，采用估值技术确定公允价值，在估值技术难以可靠计量公允价值的情况下，按成本估值。</w:t>
      </w:r>
      <w:bookmarkEnd w:id="33"/>
    </w:p>
    <w:p w14:paraId="09B2B36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w:t>
      </w:r>
      <w:bookmarkStart w:id="34" w:name="_Hlk70007348"/>
      <w:r>
        <w:rPr>
          <w:rFonts w:ascii="Times New Roman" w:hAnsi="Times New Roman" w:cs="Times New Roman"/>
          <w:bCs/>
          <w:kern w:val="2"/>
          <w:sz w:val="24"/>
          <w:szCs w:val="24"/>
        </w:rPr>
        <w:t>首次公开发行未上市的债券，采用估值技术确定公允价值，在估值技术难以可靠计量公允价值的情况下，按成本估值。对在交易所市场发行未上市或未挂牌转让的债券，对存在活跃市场的情况下，应以活跃市场上未经调整的报价作为计量日的公允价值进行估值；对于活跃市场报价未能代表计量日公允价值的情况下，按成本应对市场报价进行调整，确认计量日的公允价值；对于不存在市场活动或市场活动很少的情况下，则采用估值技术确定公允价值，在估值技术难以可靠计量公允价值的情况下，按成本估值。</w:t>
      </w:r>
      <w:bookmarkEnd w:id="34"/>
    </w:p>
    <w:p w14:paraId="27980ED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w:t>
      </w:r>
      <w:bookmarkStart w:id="35" w:name="_Hlk70007368"/>
      <w:r>
        <w:rPr>
          <w:rFonts w:ascii="Times New Roman" w:hAnsi="Times New Roman" w:cs="Times New Roman"/>
          <w:bCs/>
          <w:kern w:val="2"/>
          <w:sz w:val="24"/>
          <w:szCs w:val="24"/>
        </w:rPr>
        <w:t>全国银行间债券市场交易的债券、资产支持证券等固定收益品种，选取</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第三方估值机构提供的相应品种当日的估值净价进行估值。对银行间市场未上市，</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且第三方估值机构未提供估值价格的固定收益品种，按成本估值</w:t>
      </w:r>
      <w:bookmarkEnd w:id="35"/>
      <w:r>
        <w:rPr>
          <w:rFonts w:ascii="Times New Roman" w:hAnsi="Times New Roman" w:cs="Times New Roman"/>
          <w:bCs/>
          <w:kern w:val="2"/>
          <w:sz w:val="24"/>
          <w:szCs w:val="24"/>
        </w:rPr>
        <w:t>。</w:t>
      </w:r>
    </w:p>
    <w:p w14:paraId="0F7D307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、同一债券同时在两个或两个以上市场交易的，按债券所处的市场分别估值。</w:t>
      </w:r>
    </w:p>
    <w:p w14:paraId="50B8CBC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w:t>
      </w:r>
      <w:bookmarkStart w:id="36" w:name="_Hlk70007396"/>
      <w:r>
        <w:rPr>
          <w:rFonts w:ascii="Times New Roman" w:hAnsi="Times New Roman" w:cs="Times New Roman"/>
          <w:bCs/>
          <w:kern w:val="2"/>
          <w:sz w:val="24"/>
          <w:szCs w:val="24"/>
        </w:rPr>
        <w:t>同业存单按估值日第三方估值机构提供的估值净价估值；选定的第三方估值机构未提供估值价格的，按成本估值。</w:t>
      </w:r>
    </w:p>
    <w:p w14:paraId="5C6D570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6</w:t>
      </w:r>
      <w:r>
        <w:rPr>
          <w:rFonts w:ascii="Times New Roman" w:hAnsi="Times New Roman" w:cs="Times New Roman"/>
          <w:bCs/>
          <w:kern w:val="2"/>
          <w:sz w:val="24"/>
          <w:szCs w:val="24"/>
        </w:rPr>
        <w:t>、本基金投资国债期货合约，一般以估值当日结算价进行估值，估值当日无结</w:t>
      </w:r>
      <w:r>
        <w:rPr>
          <w:rFonts w:ascii="Times New Roman" w:hAnsi="Times New Roman" w:cs="Times New Roman"/>
          <w:bCs/>
          <w:kern w:val="2"/>
          <w:sz w:val="24"/>
          <w:szCs w:val="24"/>
        </w:rPr>
        <w:lastRenderedPageBreak/>
        <w:t>算价的，且最近交易日后经济环境未发生重大变化的，采用最近交易日结算价估值。</w:t>
      </w:r>
    </w:p>
    <w:p w14:paraId="69B04596" w14:textId="77777777" w:rsidR="00CD61EF" w:rsidRDefault="002B79C0">
      <w:pPr>
        <w:pStyle w:val="a5"/>
        <w:spacing w:before="2" w:line="364" w:lineRule="auto"/>
        <w:ind w:right="364"/>
      </w:pPr>
      <w:r>
        <w:rPr>
          <w:rFonts w:ascii="Times New Roman" w:eastAsia="Times New Roman"/>
        </w:rPr>
        <w:t>7</w:t>
      </w:r>
      <w:r>
        <w:t>、</w:t>
      </w:r>
      <w:r>
        <w:rPr>
          <w:rFonts w:hint="eastAsia"/>
        </w:rPr>
        <w:t>对证券交易所或银行间市场上交易的凭证类信用衍生品，根据以下原则确定公允价值：</w:t>
      </w:r>
    </w:p>
    <w:p w14:paraId="2A6A857A" w14:textId="77777777" w:rsidR="00CD61EF" w:rsidRDefault="002B79C0">
      <w:pPr>
        <w:pStyle w:val="a5"/>
        <w:spacing w:before="2" w:line="364" w:lineRule="auto"/>
        <w:ind w:right="364"/>
      </w:pPr>
      <w:r>
        <w:rPr>
          <w:rFonts w:hint="eastAsia"/>
        </w:rPr>
        <w:t>（</w:t>
      </w:r>
      <w: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538F6812" w14:textId="77777777" w:rsidR="00CD61EF" w:rsidRDefault="002B79C0">
      <w:pPr>
        <w:autoSpaceDE/>
        <w:autoSpaceDN/>
        <w:spacing w:line="360" w:lineRule="auto"/>
        <w:ind w:firstLineChars="200" w:firstLine="440"/>
        <w:jc w:val="both"/>
      </w:pPr>
      <w:r>
        <w:rPr>
          <w:rFonts w:hint="eastAsia"/>
        </w:rPr>
        <w:t>（</w:t>
      </w:r>
      <w:r>
        <w:t>2）对证券交易所或银行间市场非上市交易的合约类信用衍生品，且估值基准服务机构未提供估值价格的，采用估值技术确定其公允价值。</w:t>
      </w:r>
    </w:p>
    <w:p w14:paraId="3F9850B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8</w:t>
      </w:r>
      <w:r>
        <w:rPr>
          <w:rFonts w:ascii="Times New Roman" w:hAnsi="Times New Roman" w:cs="Times New Roman"/>
          <w:bCs/>
          <w:kern w:val="2"/>
          <w:sz w:val="24"/>
          <w:szCs w:val="24"/>
        </w:rPr>
        <w:t>、当本基金发生大额申购或赎回情形时，基金管理人可以采用摆动定价机制，以确保基金估值的公平性。</w:t>
      </w:r>
    </w:p>
    <w:p w14:paraId="515D05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9</w:t>
      </w:r>
      <w:r>
        <w:rPr>
          <w:rFonts w:ascii="Times New Roman" w:hAnsi="Times New Roman" w:cs="Times New Roman"/>
          <w:bCs/>
          <w:kern w:val="2"/>
          <w:sz w:val="24"/>
          <w:szCs w:val="24"/>
        </w:rPr>
        <w:t>、如有确凿证据表明按上述方法进行估值不能客观反映其公允价值的，基</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金管理人可根据具体情况与基金托管人商定后，按最能反映公允价值的价格估值。</w:t>
      </w:r>
    </w:p>
    <w:p w14:paraId="789F256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10</w:t>
      </w:r>
      <w:r>
        <w:rPr>
          <w:rFonts w:ascii="Times New Roman" w:hAnsi="Times New Roman" w:cs="Times New Roman"/>
          <w:bCs/>
          <w:kern w:val="2"/>
          <w:sz w:val="24"/>
          <w:szCs w:val="24"/>
        </w:rPr>
        <w:t>、相关法律法规以及监管部门有强制规定的，从其规定。如有新增事项，</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按国家最新规定估值。</w:t>
      </w:r>
    </w:p>
    <w:p w14:paraId="0C6A4F90"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37" w:name="_Hlk70007487"/>
      <w:bookmarkEnd w:id="36"/>
      <w:r>
        <w:rPr>
          <w:rFonts w:ascii="Times New Roman" w:hAnsi="Times New Roman" w:cs="Times New Roman"/>
          <w:bCs/>
          <w:kern w:val="2"/>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57AFFE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的计算结果对外予以公布。</w:t>
      </w:r>
    </w:p>
    <w:bookmarkEnd w:id="37"/>
    <w:p w14:paraId="3AB7604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五、估值程序</w:t>
      </w:r>
    </w:p>
    <w:p w14:paraId="27F4B80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、基金份额净值是按照每个工作日闭市后，基金资产净值除以当日该类基金份额的余额数量计算，精确到</w:t>
      </w:r>
      <w:r>
        <w:rPr>
          <w:rFonts w:ascii="Times New Roman" w:hAnsi="Times New Roman" w:cs="Times New Roman"/>
          <w:bCs/>
          <w:kern w:val="2"/>
          <w:sz w:val="24"/>
          <w:szCs w:val="24"/>
        </w:rPr>
        <w:t xml:space="preserve"> 0.0001 </w:t>
      </w:r>
      <w:r>
        <w:rPr>
          <w:rFonts w:ascii="Times New Roman" w:hAnsi="Times New Roman" w:cs="Times New Roman"/>
          <w:bCs/>
          <w:kern w:val="2"/>
          <w:sz w:val="24"/>
          <w:szCs w:val="24"/>
        </w:rPr>
        <w:t>元，小数点后第</w:t>
      </w:r>
      <w:r>
        <w:rPr>
          <w:rFonts w:ascii="Times New Roman" w:hAnsi="Times New Roman" w:cs="Times New Roman"/>
          <w:bCs/>
          <w:kern w:val="2"/>
          <w:sz w:val="24"/>
          <w:szCs w:val="24"/>
        </w:rPr>
        <w:t xml:space="preserve"> 5 </w:t>
      </w:r>
      <w:r>
        <w:rPr>
          <w:rFonts w:ascii="Times New Roman" w:hAnsi="Times New Roman" w:cs="Times New Roman"/>
          <w:bCs/>
          <w:kern w:val="2"/>
          <w:sz w:val="24"/>
          <w:szCs w:val="24"/>
        </w:rPr>
        <w:t>位四舍五入。基金管理人可以设立大额赎回情形下的净值精度应急调整机制。国家另有规定的，从其规定。</w:t>
      </w:r>
    </w:p>
    <w:p w14:paraId="72453F5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基金管理人每个工作日计算基金资产净值及各类基金份额净值，并按规定公告。如遇特殊情况，经中国证监会同意，可以适当延迟计算或公告。</w:t>
      </w:r>
    </w:p>
    <w:p w14:paraId="659B88B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2</w:t>
      </w:r>
      <w:r>
        <w:rPr>
          <w:rFonts w:ascii="Times New Roman" w:hAnsi="Times New Roman" w:cs="Times New Roman"/>
          <w:bCs/>
          <w:kern w:val="2"/>
          <w:sz w:val="24"/>
          <w:szCs w:val="24"/>
        </w:rPr>
        <w:t>、基金管理人应每个工作日对基金资产估值。但基金管理人根据法律法规</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或本基金合同的规定暂停估值时除外。基金管理人每个工作日对基金资产估值后，</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将</w:t>
      </w:r>
      <w:r>
        <w:rPr>
          <w:rFonts w:ascii="Times New Roman" w:hAnsi="Times New Roman" w:cs="Times New Roman"/>
          <w:bCs/>
          <w:kern w:val="2"/>
          <w:sz w:val="24"/>
          <w:szCs w:val="24"/>
        </w:rPr>
        <w:lastRenderedPageBreak/>
        <w:t>各类基金份额净值结果发送基金托管人，经基金托管人复核无误后，由基金管理人按规定对外公布。</w:t>
      </w:r>
    </w:p>
    <w:p w14:paraId="1AD83FB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六、估值错误的处理</w:t>
      </w:r>
    </w:p>
    <w:p w14:paraId="75119058"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38" w:name="_Hlk70007577"/>
      <w:r>
        <w:rPr>
          <w:rFonts w:ascii="Times New Roman" w:hAnsi="Times New Roman" w:cs="Times New Roman"/>
          <w:bCs/>
          <w:kern w:val="2"/>
          <w:sz w:val="24"/>
          <w:szCs w:val="24"/>
        </w:rPr>
        <w:t>基金管理人和基金托管人将采取必要、适当、合理的措施确保基金资产估值的准确性、及时性。当任一类别基金份额净值小数点后</w:t>
      </w:r>
      <w:r>
        <w:rPr>
          <w:rFonts w:ascii="Times New Roman" w:hAnsi="Times New Roman" w:cs="Times New Roman"/>
          <w:bCs/>
          <w:kern w:val="2"/>
          <w:sz w:val="24"/>
          <w:szCs w:val="24"/>
        </w:rPr>
        <w:t xml:space="preserve"> 4 </w:t>
      </w:r>
      <w:r>
        <w:rPr>
          <w:rFonts w:ascii="Times New Roman" w:hAnsi="Times New Roman" w:cs="Times New Roman"/>
          <w:bCs/>
          <w:kern w:val="2"/>
          <w:sz w:val="24"/>
          <w:szCs w:val="24"/>
        </w:rPr>
        <w:t>位以内（含第</w:t>
      </w:r>
      <w:r>
        <w:rPr>
          <w:rFonts w:ascii="Times New Roman" w:hAnsi="Times New Roman" w:cs="Times New Roman"/>
          <w:bCs/>
          <w:kern w:val="2"/>
          <w:sz w:val="24"/>
          <w:szCs w:val="24"/>
        </w:rPr>
        <w:t xml:space="preserve"> 4 </w:t>
      </w:r>
      <w:r>
        <w:rPr>
          <w:rFonts w:ascii="Times New Roman" w:hAnsi="Times New Roman" w:cs="Times New Roman"/>
          <w:bCs/>
          <w:kern w:val="2"/>
          <w:sz w:val="24"/>
          <w:szCs w:val="24"/>
        </w:rPr>
        <w:t>位）发生估值错误时，视为该类基金份额净值错误。</w:t>
      </w:r>
    </w:p>
    <w:p w14:paraId="3DDB6EA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本基金合同的当事人应按照以下约定处理：</w:t>
      </w:r>
    </w:p>
    <w:p w14:paraId="263047F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、估值错误类型</w:t>
      </w:r>
    </w:p>
    <w:p w14:paraId="2546C0E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Times New Roman" w:hAnsi="Times New Roman" w:cs="Times New Roman"/>
          <w:bCs/>
          <w:kern w:val="2"/>
          <w:sz w:val="24"/>
          <w:szCs w:val="24"/>
        </w:rPr>
        <w:t>“</w:t>
      </w:r>
      <w:r>
        <w:rPr>
          <w:rFonts w:ascii="Times New Roman" w:hAnsi="Times New Roman" w:cs="Times New Roman"/>
          <w:bCs/>
          <w:kern w:val="2"/>
          <w:sz w:val="24"/>
          <w:szCs w:val="24"/>
        </w:rPr>
        <w:t>受损方</w:t>
      </w:r>
      <w:r>
        <w:rPr>
          <w:rFonts w:ascii="Times New Roman" w:hAnsi="Times New Roman" w:cs="Times New Roman"/>
          <w:bCs/>
          <w:kern w:val="2"/>
          <w:sz w:val="24"/>
          <w:szCs w:val="24"/>
        </w:rPr>
        <w:t>”</w:t>
      </w:r>
      <w:r>
        <w:rPr>
          <w:rFonts w:ascii="Times New Roman" w:hAnsi="Times New Roman" w:cs="Times New Roman"/>
          <w:bCs/>
          <w:kern w:val="2"/>
          <w:sz w:val="24"/>
          <w:szCs w:val="24"/>
        </w:rPr>
        <w:t>）的直接损失按下述</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估值错误处理原则</w:t>
      </w:r>
      <w:r>
        <w:rPr>
          <w:rFonts w:ascii="Times New Roman" w:hAnsi="Times New Roman" w:cs="Times New Roman"/>
          <w:bCs/>
          <w:kern w:val="2"/>
          <w:sz w:val="24"/>
          <w:szCs w:val="24"/>
        </w:rPr>
        <w:t>”</w:t>
      </w:r>
      <w:r>
        <w:rPr>
          <w:rFonts w:ascii="Times New Roman" w:hAnsi="Times New Roman" w:cs="Times New Roman"/>
          <w:bCs/>
          <w:kern w:val="2"/>
          <w:sz w:val="24"/>
          <w:szCs w:val="24"/>
        </w:rPr>
        <w:t>给予赔偿，承担赔偿责任。</w:t>
      </w:r>
    </w:p>
    <w:p w14:paraId="266236E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上述估值错误的主要类型包括但不限于：资料申报差错、数据传输差错、数据计算差错、系统故障差错、下达指令差错等。</w:t>
      </w:r>
    </w:p>
    <w:p w14:paraId="20E11A7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、估值错误处理原则</w:t>
      </w:r>
    </w:p>
    <w:p w14:paraId="76C19CFF"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估值错误已发生，但尚未给当事人造成损失时，估值错误责任方应及时协调各方，及时进行更正，因更正估值错误发生的费用由估值错误责任方承担；</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CB0EB4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2</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估值错误的责任方对有关当事人的直接损失负责，不对间接损失负责，并且仅对估值错误的有关直接当事人负责，不对第三方负责。</w:t>
      </w:r>
    </w:p>
    <w:p w14:paraId="2A3FF52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3</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Times New Roman" w:hAnsi="Times New Roman" w:cs="Times New Roman"/>
          <w:bCs/>
          <w:kern w:val="2"/>
          <w:sz w:val="24"/>
          <w:szCs w:val="24"/>
        </w:rPr>
        <w:t>“</w:t>
      </w:r>
      <w:r>
        <w:rPr>
          <w:rFonts w:ascii="Times New Roman" w:hAnsi="Times New Roman" w:cs="Times New Roman"/>
          <w:bCs/>
          <w:kern w:val="2"/>
          <w:sz w:val="24"/>
          <w:szCs w:val="24"/>
        </w:rPr>
        <w:t>受损方</w:t>
      </w:r>
      <w:r>
        <w:rPr>
          <w:rFonts w:ascii="Times New Roman" w:hAnsi="Times New Roman" w:cs="Times New Roman"/>
          <w:bCs/>
          <w:kern w:val="2"/>
          <w:sz w:val="24"/>
          <w:szCs w:val="24"/>
        </w:rPr>
        <w:t>”</w:t>
      </w:r>
      <w:r>
        <w:rPr>
          <w:rFonts w:ascii="Times New Roman" w:hAnsi="Times New Roman" w:cs="Times New Roman"/>
          <w:bCs/>
          <w:kern w:val="2"/>
          <w:sz w:val="24"/>
          <w:szCs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2AD206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lastRenderedPageBreak/>
        <w:t>（</w:t>
      </w:r>
      <w:r>
        <w:rPr>
          <w:rFonts w:ascii="Times New Roman" w:hAnsi="Times New Roman" w:cs="Times New Roman" w:hint="eastAsia"/>
          <w:bCs/>
          <w:kern w:val="2"/>
          <w:sz w:val="24"/>
          <w:szCs w:val="24"/>
        </w:rPr>
        <w:t>4</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估值错误调整采用尽量恢复至假设未发生估值错误的正确情形的方式。</w:t>
      </w:r>
    </w:p>
    <w:p w14:paraId="76C0E89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、估值错误处理程序</w:t>
      </w:r>
    </w:p>
    <w:p w14:paraId="61A77BF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估值错误被发现后，有关的当事人应当及时进行处理，处理的程序如下：</w:t>
      </w:r>
    </w:p>
    <w:p w14:paraId="714B727E"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查明估值错误发生的原因，列明所有的当事人，并根据估值错误发生的原因确定估值错误的责任方；</w:t>
      </w:r>
    </w:p>
    <w:p w14:paraId="76743BB7"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2</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根据估值错误处理原则或当事人协商的方法对因估值错误造成的损失进行评估；</w:t>
      </w:r>
    </w:p>
    <w:p w14:paraId="6423C3B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3</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根据估值错误处理原则或当事人协商的方法由估值错误的责任方进行更正和赔偿损失；</w:t>
      </w:r>
    </w:p>
    <w:p w14:paraId="4B17C3B4"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4</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根据估值错误处理的方法，需要修改基金登记机构交易数据的，由基金登记机构进行更正，并就估值错误的更正向有关当事人进行确认。</w:t>
      </w:r>
    </w:p>
    <w:p w14:paraId="69BBBF2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、基金份额净值估值错误处理的方法如下：</w:t>
      </w:r>
    </w:p>
    <w:p w14:paraId="62A0670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基金份额净值计算出现错误时，基金管理人应当立即予以纠正，通报基金托管人，并采取合理的措施防止损失进一步扩大。</w:t>
      </w:r>
    </w:p>
    <w:p w14:paraId="3E9D2BB2"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2</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错误偏差达到该类基金份额净值的</w:t>
      </w:r>
      <w:r>
        <w:rPr>
          <w:rFonts w:ascii="Times New Roman" w:hAnsi="Times New Roman" w:cs="Times New Roman"/>
          <w:bCs/>
          <w:kern w:val="2"/>
          <w:sz w:val="24"/>
          <w:szCs w:val="24"/>
        </w:rPr>
        <w:t xml:space="preserve"> 0.25%</w:t>
      </w:r>
      <w:r>
        <w:rPr>
          <w:rFonts w:ascii="Times New Roman" w:hAnsi="Times New Roman" w:cs="Times New Roman"/>
          <w:bCs/>
          <w:kern w:val="2"/>
          <w:sz w:val="24"/>
          <w:szCs w:val="24"/>
        </w:rPr>
        <w:t>时，基金管理人应当通报基金托管人并报中国证监会备案；错误偏差达到该类基金份额净值的</w:t>
      </w:r>
      <w:r>
        <w:rPr>
          <w:rFonts w:ascii="Times New Roman" w:hAnsi="Times New Roman" w:cs="Times New Roman"/>
          <w:bCs/>
          <w:kern w:val="2"/>
          <w:sz w:val="24"/>
          <w:szCs w:val="24"/>
        </w:rPr>
        <w:t xml:space="preserve"> 0.5%</w:t>
      </w:r>
      <w:r>
        <w:rPr>
          <w:rFonts w:ascii="Times New Roman" w:hAnsi="Times New Roman" w:cs="Times New Roman"/>
          <w:bCs/>
          <w:kern w:val="2"/>
          <w:sz w:val="24"/>
          <w:szCs w:val="24"/>
        </w:rPr>
        <w:t>时，基金管理人应当公告并报中国证监会备案。</w:t>
      </w:r>
    </w:p>
    <w:p w14:paraId="2EA20F53"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3</w:t>
      </w:r>
      <w:r>
        <w:rPr>
          <w:rFonts w:ascii="Times New Roman" w:hAnsi="Times New Roman" w:cs="Times New Roman" w:hint="eastAsia"/>
          <w:bCs/>
          <w:kern w:val="2"/>
          <w:sz w:val="24"/>
          <w:szCs w:val="24"/>
        </w:rPr>
        <w:t>）</w:t>
      </w:r>
      <w:r>
        <w:rPr>
          <w:rFonts w:ascii="Times New Roman" w:hAnsi="Times New Roman" w:cs="Times New Roman"/>
          <w:bCs/>
          <w:kern w:val="2"/>
          <w:sz w:val="24"/>
          <w:szCs w:val="24"/>
        </w:rPr>
        <w:t>前述内容如法律法规或监管机关另有规定的，从其规定处理。</w:t>
      </w:r>
      <w:bookmarkEnd w:id="38"/>
    </w:p>
    <w:p w14:paraId="1A32BDD1"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七、暂停估值的情形</w:t>
      </w:r>
    </w:p>
    <w:p w14:paraId="27A8CC86"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39" w:name="_Hlk70007627"/>
      <w:r>
        <w:rPr>
          <w:rFonts w:ascii="Times New Roman" w:hAnsi="Times New Roman" w:cs="Times New Roman"/>
          <w:bCs/>
          <w:kern w:val="2"/>
          <w:sz w:val="24"/>
          <w:szCs w:val="24"/>
        </w:rPr>
        <w:t>1</w:t>
      </w:r>
      <w:r>
        <w:rPr>
          <w:rFonts w:ascii="Times New Roman" w:hAnsi="Times New Roman" w:cs="Times New Roman"/>
          <w:bCs/>
          <w:kern w:val="2"/>
          <w:sz w:val="24"/>
          <w:szCs w:val="24"/>
        </w:rPr>
        <w:t>、基金投资所涉及的证券</w:t>
      </w:r>
      <w:r>
        <w:rPr>
          <w:rFonts w:ascii="Times New Roman" w:hAnsi="Times New Roman" w:cs="Times New Roman"/>
          <w:bCs/>
          <w:kern w:val="2"/>
          <w:sz w:val="24"/>
          <w:szCs w:val="24"/>
        </w:rPr>
        <w:t>/</w:t>
      </w:r>
      <w:r>
        <w:rPr>
          <w:rFonts w:ascii="Times New Roman" w:hAnsi="Times New Roman" w:cs="Times New Roman"/>
          <w:bCs/>
          <w:kern w:val="2"/>
          <w:sz w:val="24"/>
          <w:szCs w:val="24"/>
        </w:rPr>
        <w:t>期货交易市场遇法定节假日或因其他原因暂停营业时；</w:t>
      </w:r>
    </w:p>
    <w:p w14:paraId="11BB031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、因不可抗力致使基金管理人、基金托管人无法准确评估基金资产价值时；</w:t>
      </w:r>
    </w:p>
    <w:p w14:paraId="4E72CEC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、当特定资产占前一估值日基金资产净值</w:t>
      </w:r>
      <w:r>
        <w:rPr>
          <w:rFonts w:ascii="Times New Roman" w:hAnsi="Times New Roman" w:cs="Times New Roman"/>
          <w:bCs/>
          <w:kern w:val="2"/>
          <w:sz w:val="24"/>
          <w:szCs w:val="24"/>
        </w:rPr>
        <w:t xml:space="preserve"> 50%</w:t>
      </w:r>
      <w:r>
        <w:rPr>
          <w:rFonts w:ascii="Times New Roman" w:hAnsi="Times New Roman" w:cs="Times New Roman"/>
          <w:bCs/>
          <w:kern w:val="2"/>
          <w:sz w:val="24"/>
          <w:szCs w:val="24"/>
        </w:rPr>
        <w:t>以上的，经与基金托管人协商确认后，基金管理人应当暂停估值；</w:t>
      </w:r>
    </w:p>
    <w:p w14:paraId="25740D2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、法律法规或中国证监会和基金合同认定的其它情形。</w:t>
      </w:r>
    </w:p>
    <w:bookmarkEnd w:id="39"/>
    <w:p w14:paraId="7028541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八、基金净值的确认</w:t>
      </w:r>
    </w:p>
    <w:p w14:paraId="56301EC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依据基金合同和相关法律法规的规定对基金净值予以公布。</w:t>
      </w:r>
    </w:p>
    <w:p w14:paraId="0F187E6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九、实施侧袋机制期间的基金资产估值</w:t>
      </w:r>
    </w:p>
    <w:p w14:paraId="39B5CFF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本基金实施侧袋机制的，应根据本部分的约定对主袋账户资产进行估值并披露主袋账户的基金份额净值和基金份额累计净值，暂停披露侧袋账户份额净值。</w:t>
      </w:r>
    </w:p>
    <w:p w14:paraId="0EF735E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十、特殊情形的处理</w:t>
      </w:r>
    </w:p>
    <w:p w14:paraId="3CDCBC1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、基金管理人或基金托管人按本部分第四条有关估值方法规定的第</w:t>
      </w:r>
      <w:r>
        <w:rPr>
          <w:rFonts w:ascii="Times New Roman" w:hAnsi="Times New Roman" w:cs="Times New Roman"/>
          <w:bCs/>
          <w:kern w:val="2"/>
          <w:sz w:val="24"/>
          <w:szCs w:val="24"/>
        </w:rPr>
        <w:t>9</w:t>
      </w:r>
      <w:r>
        <w:rPr>
          <w:rFonts w:ascii="Times New Roman" w:hAnsi="Times New Roman" w:cs="Times New Roman"/>
          <w:bCs/>
          <w:kern w:val="2"/>
          <w:sz w:val="24"/>
          <w:szCs w:val="24"/>
        </w:rPr>
        <w:t>项条款进行估值时，所造成的误差不作为基金资产估值错误处理。</w:t>
      </w:r>
    </w:p>
    <w:p w14:paraId="7B285C8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、由于不可抗力原因，或由于证券</w:t>
      </w:r>
      <w:r>
        <w:rPr>
          <w:rFonts w:ascii="Times New Roman" w:hAnsi="Times New Roman" w:cs="Times New Roman"/>
          <w:bCs/>
          <w:kern w:val="2"/>
          <w:sz w:val="24"/>
          <w:szCs w:val="24"/>
        </w:rPr>
        <w:t>/</w:t>
      </w:r>
      <w:r>
        <w:rPr>
          <w:rFonts w:ascii="Times New Roman" w:hAnsi="Times New Roman" w:cs="Times New Roman"/>
          <w:bCs/>
          <w:kern w:val="2"/>
          <w:sz w:val="24"/>
          <w:szCs w:val="24"/>
        </w:rPr>
        <w:t>期货交易所、登记结算公司、证券经纪机构、期货公司、存款银行等第三方机构发送的数据错误等非基金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和基金托管人应当积极采取必要的措施减轻或消除由此造成的影响。</w:t>
      </w:r>
    </w:p>
    <w:p w14:paraId="56736EC7" w14:textId="77777777" w:rsidR="00CD61EF" w:rsidRDefault="00CD61EF">
      <w:pPr>
        <w:spacing w:line="364" w:lineRule="auto"/>
        <w:jc w:val="both"/>
        <w:sectPr w:rsidR="00CD61EF">
          <w:pgSz w:w="11910" w:h="16840"/>
          <w:pgMar w:top="1440" w:right="1440" w:bottom="1180" w:left="1680" w:header="877" w:footer="998" w:gutter="0"/>
          <w:cols w:space="720"/>
        </w:sectPr>
      </w:pPr>
    </w:p>
    <w:p w14:paraId="256DB551"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40" w:name="_Toc30553"/>
      <w:r>
        <w:rPr>
          <w:rFonts w:ascii="Times New Roman" w:eastAsia="宋体" w:hAnsi="Times New Roman" w:cs="Times New Roman"/>
          <w:bCs w:val="0"/>
          <w:szCs w:val="20"/>
        </w:rPr>
        <w:lastRenderedPageBreak/>
        <w:t>第十五部分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w:t>
      </w:r>
      <w:r>
        <w:rPr>
          <w:rFonts w:ascii="Times New Roman" w:eastAsia="宋体" w:hAnsi="Times New Roman" w:cs="Times New Roman" w:hint="eastAsia"/>
          <w:bCs w:val="0"/>
          <w:szCs w:val="20"/>
        </w:rPr>
        <w:t>费用与税收</w:t>
      </w:r>
      <w:bookmarkEnd w:id="40"/>
    </w:p>
    <w:p w14:paraId="7CD1A2EA" w14:textId="77777777" w:rsidR="00CD61EF" w:rsidRDefault="00CD61EF">
      <w:pPr>
        <w:pStyle w:val="a5"/>
        <w:spacing w:before="13"/>
        <w:ind w:left="0" w:firstLine="0"/>
        <w:rPr>
          <w:rFonts w:ascii="Microsoft JhengHei"/>
          <w:b/>
          <w:sz w:val="32"/>
        </w:rPr>
      </w:pPr>
    </w:p>
    <w:p w14:paraId="1163D79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一、基金费用的种类</w:t>
      </w:r>
    </w:p>
    <w:p w14:paraId="3E522A3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、基金管理人的管理费；</w:t>
      </w:r>
    </w:p>
    <w:p w14:paraId="712B98C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、基金托管人的托管费；</w:t>
      </w:r>
    </w:p>
    <w:p w14:paraId="3091586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、销售服务费；</w:t>
      </w:r>
    </w:p>
    <w:p w14:paraId="52F9F562"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41" w:name="_Hlk71718160"/>
      <w:r>
        <w:rPr>
          <w:rFonts w:ascii="Times New Roman" w:hAnsi="Times New Roman" w:cs="Times New Roman"/>
          <w:bCs/>
          <w:kern w:val="2"/>
          <w:sz w:val="24"/>
          <w:szCs w:val="24"/>
        </w:rPr>
        <w:t>4</w:t>
      </w:r>
      <w:r>
        <w:rPr>
          <w:rFonts w:ascii="Times New Roman" w:hAnsi="Times New Roman" w:cs="Times New Roman"/>
          <w:bCs/>
          <w:kern w:val="2"/>
          <w:sz w:val="24"/>
          <w:szCs w:val="24"/>
        </w:rPr>
        <w:t>、《基金合同》生效后与基金相关的信息披露费用，法律法规、中国证监会另有规定的除外；</w:t>
      </w:r>
    </w:p>
    <w:p w14:paraId="5A479BB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、《基金合同》生效后与基金相关的会计师费、律师费、诉讼费和仲裁费；</w:t>
      </w:r>
    </w:p>
    <w:p w14:paraId="082EE4D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6</w:t>
      </w:r>
      <w:r>
        <w:rPr>
          <w:rFonts w:ascii="Times New Roman" w:hAnsi="Times New Roman" w:cs="Times New Roman"/>
          <w:bCs/>
          <w:kern w:val="2"/>
          <w:sz w:val="24"/>
          <w:szCs w:val="24"/>
        </w:rPr>
        <w:t>、基金份额持有人大会费用；</w:t>
      </w:r>
    </w:p>
    <w:p w14:paraId="0A0E395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7</w:t>
      </w:r>
      <w:r>
        <w:rPr>
          <w:rFonts w:ascii="Times New Roman" w:hAnsi="Times New Roman" w:cs="Times New Roman"/>
          <w:bCs/>
          <w:kern w:val="2"/>
          <w:sz w:val="24"/>
          <w:szCs w:val="24"/>
        </w:rPr>
        <w:t>、</w:t>
      </w:r>
      <w:bookmarkStart w:id="42" w:name="_Hlk70008762"/>
      <w:r>
        <w:rPr>
          <w:rFonts w:ascii="Times New Roman" w:hAnsi="Times New Roman" w:cs="Times New Roman"/>
          <w:bCs/>
          <w:kern w:val="2"/>
          <w:sz w:val="24"/>
          <w:szCs w:val="24"/>
        </w:rPr>
        <w:t>基金的证券</w:t>
      </w:r>
      <w:r>
        <w:rPr>
          <w:rFonts w:ascii="Times New Roman" w:hAnsi="Times New Roman" w:cs="Times New Roman"/>
          <w:bCs/>
          <w:kern w:val="2"/>
          <w:sz w:val="24"/>
          <w:szCs w:val="24"/>
        </w:rPr>
        <w:t>/</w:t>
      </w:r>
      <w:r>
        <w:rPr>
          <w:rFonts w:ascii="Times New Roman" w:hAnsi="Times New Roman" w:cs="Times New Roman"/>
          <w:bCs/>
          <w:kern w:val="2"/>
          <w:sz w:val="24"/>
          <w:szCs w:val="24"/>
        </w:rPr>
        <w:t>期货交易费用</w:t>
      </w:r>
      <w:bookmarkEnd w:id="42"/>
      <w:r>
        <w:rPr>
          <w:rFonts w:ascii="Times New Roman" w:hAnsi="Times New Roman" w:cs="Times New Roman"/>
          <w:bCs/>
          <w:kern w:val="2"/>
          <w:sz w:val="24"/>
          <w:szCs w:val="24"/>
        </w:rPr>
        <w:t>；</w:t>
      </w:r>
    </w:p>
    <w:p w14:paraId="5EBA96A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8</w:t>
      </w:r>
      <w:r>
        <w:rPr>
          <w:rFonts w:ascii="Times New Roman" w:hAnsi="Times New Roman" w:cs="Times New Roman"/>
          <w:bCs/>
          <w:kern w:val="2"/>
          <w:sz w:val="24"/>
          <w:szCs w:val="24"/>
        </w:rPr>
        <w:t>、基金的银行汇划费用；</w:t>
      </w:r>
    </w:p>
    <w:p w14:paraId="3732223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9</w:t>
      </w:r>
      <w:r>
        <w:rPr>
          <w:rFonts w:ascii="Times New Roman" w:hAnsi="Times New Roman" w:cs="Times New Roman"/>
          <w:bCs/>
          <w:kern w:val="2"/>
          <w:sz w:val="24"/>
          <w:szCs w:val="24"/>
        </w:rPr>
        <w:t>、基金的开户费用、账户维护费用；</w:t>
      </w:r>
    </w:p>
    <w:p w14:paraId="19567B0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10</w:t>
      </w:r>
      <w:r>
        <w:rPr>
          <w:rFonts w:ascii="Times New Roman" w:hAnsi="Times New Roman" w:cs="Times New Roman"/>
          <w:bCs/>
          <w:kern w:val="2"/>
          <w:sz w:val="24"/>
          <w:szCs w:val="24"/>
        </w:rPr>
        <w:t>、按照国家有关规定和《基金合同》约定，可以在基金财产中列支的其他费用。</w:t>
      </w:r>
    </w:p>
    <w:bookmarkEnd w:id="41"/>
    <w:p w14:paraId="25B9C0F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二、基金费用计提方法、计提标准和支付方式</w:t>
      </w:r>
    </w:p>
    <w:p w14:paraId="622C70E9" w14:textId="77777777" w:rsidR="00CD61EF" w:rsidRDefault="002B79C0">
      <w:pPr>
        <w:autoSpaceDE/>
        <w:autoSpaceDN/>
        <w:spacing w:line="360" w:lineRule="auto"/>
        <w:ind w:firstLineChars="200" w:firstLine="480"/>
        <w:jc w:val="both"/>
        <w:rPr>
          <w:rFonts w:ascii="Times New Roman" w:hAnsi="Times New Roman" w:cs="Times New Roman"/>
          <w:bCs/>
          <w:kern w:val="2"/>
        </w:rPr>
      </w:pPr>
      <w:bookmarkStart w:id="43" w:name="_Hlk71718296"/>
      <w:r>
        <w:rPr>
          <w:rFonts w:ascii="Times New Roman" w:hAnsi="Times New Roman" w:cs="Times New Roman"/>
          <w:bCs/>
          <w:kern w:val="2"/>
          <w:sz w:val="24"/>
          <w:szCs w:val="24"/>
        </w:rPr>
        <w:t>1</w:t>
      </w:r>
      <w:r>
        <w:rPr>
          <w:rFonts w:ascii="Times New Roman" w:hAnsi="Times New Roman" w:cs="Times New Roman"/>
          <w:bCs/>
          <w:kern w:val="2"/>
          <w:sz w:val="24"/>
          <w:szCs w:val="24"/>
        </w:rPr>
        <w:t>、基金管理人的管理费</w:t>
      </w:r>
    </w:p>
    <w:p w14:paraId="5DF488C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本基金的管理费按前一日基金资产净值的</w:t>
      </w:r>
      <w:r>
        <w:rPr>
          <w:rFonts w:ascii="Times New Roman" w:hAnsi="Times New Roman" w:cs="Times New Roman"/>
          <w:bCs/>
          <w:kern w:val="2"/>
          <w:sz w:val="24"/>
          <w:szCs w:val="24"/>
        </w:rPr>
        <w:t>0.3%</w:t>
      </w:r>
      <w:r>
        <w:rPr>
          <w:rFonts w:ascii="Times New Roman" w:hAnsi="Times New Roman" w:cs="Times New Roman"/>
          <w:bCs/>
          <w:kern w:val="2"/>
          <w:sz w:val="24"/>
          <w:szCs w:val="24"/>
        </w:rPr>
        <w:t>年费率计提。管理费的计算方法如下：</w:t>
      </w:r>
    </w:p>
    <w:p w14:paraId="093087A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H</w:t>
      </w:r>
      <w:r>
        <w:rPr>
          <w:rFonts w:ascii="Times New Roman" w:hAnsi="Times New Roman" w:cs="Times New Roman"/>
          <w:bCs/>
          <w:kern w:val="2"/>
          <w:sz w:val="24"/>
          <w:szCs w:val="24"/>
        </w:rPr>
        <w:t>＝</w:t>
      </w:r>
      <w:r>
        <w:rPr>
          <w:rFonts w:ascii="Times New Roman" w:hAnsi="Times New Roman" w:cs="Times New Roman"/>
          <w:bCs/>
          <w:kern w:val="2"/>
          <w:sz w:val="24"/>
          <w:szCs w:val="24"/>
        </w:rPr>
        <w:t>E×0.3%÷</w:t>
      </w:r>
      <w:r>
        <w:rPr>
          <w:rFonts w:ascii="Times New Roman" w:hAnsi="Times New Roman" w:cs="Times New Roman"/>
          <w:bCs/>
          <w:kern w:val="2"/>
          <w:sz w:val="24"/>
          <w:szCs w:val="24"/>
        </w:rPr>
        <w:t>当年天数</w:t>
      </w:r>
      <w:r>
        <w:rPr>
          <w:rFonts w:ascii="Times New Roman" w:hAnsi="Times New Roman" w:cs="Times New Roman"/>
          <w:bCs/>
          <w:kern w:val="2"/>
          <w:sz w:val="24"/>
          <w:szCs w:val="24"/>
        </w:rPr>
        <w:t xml:space="preserve"> </w:t>
      </w:r>
    </w:p>
    <w:p w14:paraId="25D1A69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 xml:space="preserve">H </w:t>
      </w:r>
      <w:r>
        <w:rPr>
          <w:rFonts w:ascii="Times New Roman" w:hAnsi="Times New Roman" w:cs="Times New Roman"/>
          <w:bCs/>
          <w:kern w:val="2"/>
          <w:sz w:val="24"/>
          <w:szCs w:val="24"/>
        </w:rPr>
        <w:t>为每日应计提的基金管理费</w:t>
      </w:r>
    </w:p>
    <w:p w14:paraId="76F148F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 xml:space="preserve">E </w:t>
      </w:r>
      <w:r>
        <w:rPr>
          <w:rFonts w:ascii="Times New Roman" w:hAnsi="Times New Roman" w:cs="Times New Roman"/>
          <w:bCs/>
          <w:kern w:val="2"/>
          <w:sz w:val="24"/>
          <w:szCs w:val="24"/>
        </w:rPr>
        <w:t>为前一日的基金资产净值</w:t>
      </w:r>
    </w:p>
    <w:p w14:paraId="218948EF"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基金管理费在基金合同生效后每日计提，逐日累计至每月月末，按月支付，</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由基金管理人向基金托管人发送基金管理费划款指令，基金托管人复核后于次月前</w:t>
      </w:r>
      <w:r>
        <w:rPr>
          <w:rFonts w:ascii="Times New Roman" w:hAnsi="Times New Roman" w:cs="Times New Roman"/>
          <w:bCs/>
          <w:kern w:val="2"/>
          <w:sz w:val="24"/>
          <w:szCs w:val="24"/>
        </w:rPr>
        <w:t xml:space="preserve"> 5 </w:t>
      </w:r>
      <w:r>
        <w:rPr>
          <w:rFonts w:ascii="Times New Roman" w:hAnsi="Times New Roman" w:cs="Times New Roman"/>
          <w:bCs/>
          <w:kern w:val="2"/>
          <w:sz w:val="24"/>
          <w:szCs w:val="24"/>
        </w:rPr>
        <w:t>个工作日内从基金财产中一次性支付给基金管理人。若遇法定节假日、休息日或不可抗力等致使无法按时支付的，顺延至最近可支付日支付。</w:t>
      </w:r>
    </w:p>
    <w:p w14:paraId="2ABFAF9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、基金托管人的托管费</w:t>
      </w:r>
    </w:p>
    <w:p w14:paraId="16C051F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本基金的托管费按前一日基金资产净值的</w:t>
      </w:r>
      <w:r>
        <w:rPr>
          <w:rFonts w:ascii="Times New Roman" w:hAnsi="Times New Roman" w:cs="Times New Roman"/>
          <w:bCs/>
          <w:kern w:val="2"/>
          <w:sz w:val="24"/>
          <w:szCs w:val="24"/>
        </w:rPr>
        <w:t>0.05%</w:t>
      </w:r>
      <w:r>
        <w:rPr>
          <w:rFonts w:ascii="Times New Roman" w:hAnsi="Times New Roman" w:cs="Times New Roman"/>
          <w:bCs/>
          <w:kern w:val="2"/>
          <w:sz w:val="24"/>
          <w:szCs w:val="24"/>
        </w:rPr>
        <w:t>的年费率计提。托管费的计算方法如下：</w:t>
      </w:r>
    </w:p>
    <w:p w14:paraId="6B14E18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H</w:t>
      </w:r>
      <w:r>
        <w:rPr>
          <w:rFonts w:ascii="Times New Roman" w:hAnsi="Times New Roman" w:cs="Times New Roman"/>
          <w:bCs/>
          <w:kern w:val="2"/>
          <w:sz w:val="24"/>
          <w:szCs w:val="24"/>
        </w:rPr>
        <w:t>＝</w:t>
      </w:r>
      <w:r>
        <w:rPr>
          <w:rFonts w:ascii="Times New Roman" w:hAnsi="Times New Roman" w:cs="Times New Roman"/>
          <w:bCs/>
          <w:kern w:val="2"/>
          <w:sz w:val="24"/>
          <w:szCs w:val="24"/>
        </w:rPr>
        <w:t>E×0.05%÷</w:t>
      </w:r>
      <w:r>
        <w:rPr>
          <w:rFonts w:ascii="Times New Roman" w:hAnsi="Times New Roman" w:cs="Times New Roman"/>
          <w:bCs/>
          <w:kern w:val="2"/>
          <w:sz w:val="24"/>
          <w:szCs w:val="24"/>
        </w:rPr>
        <w:t>当年天数</w:t>
      </w:r>
    </w:p>
    <w:p w14:paraId="1B1C8A07"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lastRenderedPageBreak/>
        <w:t xml:space="preserve">H </w:t>
      </w:r>
      <w:r>
        <w:rPr>
          <w:rFonts w:ascii="Times New Roman" w:hAnsi="Times New Roman" w:cs="Times New Roman"/>
          <w:bCs/>
          <w:kern w:val="2"/>
          <w:sz w:val="24"/>
          <w:szCs w:val="24"/>
        </w:rPr>
        <w:t>为每日应计提的基金托管费</w:t>
      </w:r>
    </w:p>
    <w:p w14:paraId="30E7F8C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 xml:space="preserve">E </w:t>
      </w:r>
      <w:r>
        <w:rPr>
          <w:rFonts w:ascii="Times New Roman" w:hAnsi="Times New Roman" w:cs="Times New Roman"/>
          <w:bCs/>
          <w:kern w:val="2"/>
          <w:sz w:val="24"/>
          <w:szCs w:val="24"/>
        </w:rPr>
        <w:t>为前一日的基金资产净值</w:t>
      </w:r>
    </w:p>
    <w:p w14:paraId="4E40842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基金托管费在基金合同生效后每日计提，逐日累计至每月月末，按月支付，</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由基金管理人向基金托管人发送基金托管费划款指令，</w:t>
      </w:r>
      <w:bookmarkStart w:id="44" w:name="_Hlk70008860"/>
      <w:r>
        <w:rPr>
          <w:rFonts w:ascii="Times New Roman" w:hAnsi="Times New Roman" w:cs="Times New Roman"/>
          <w:bCs/>
          <w:kern w:val="2"/>
          <w:sz w:val="24"/>
          <w:szCs w:val="24"/>
        </w:rPr>
        <w:t>基金托管人复核后于次月前</w:t>
      </w:r>
      <w:r>
        <w:rPr>
          <w:rFonts w:ascii="Times New Roman" w:hAnsi="Times New Roman" w:cs="Times New Roman"/>
          <w:bCs/>
          <w:kern w:val="2"/>
          <w:sz w:val="24"/>
          <w:szCs w:val="24"/>
        </w:rPr>
        <w:t xml:space="preserve"> 5 </w:t>
      </w:r>
      <w:r>
        <w:rPr>
          <w:rFonts w:ascii="Times New Roman" w:hAnsi="Times New Roman" w:cs="Times New Roman"/>
          <w:bCs/>
          <w:kern w:val="2"/>
          <w:sz w:val="24"/>
          <w:szCs w:val="24"/>
        </w:rPr>
        <w:t>个工作日内从基金财产中一次性支取。</w:t>
      </w:r>
      <w:bookmarkStart w:id="45" w:name="_Hlk70008869"/>
      <w:bookmarkEnd w:id="44"/>
      <w:r>
        <w:rPr>
          <w:rFonts w:ascii="Times New Roman" w:hAnsi="Times New Roman" w:cs="Times New Roman"/>
          <w:bCs/>
          <w:kern w:val="2"/>
          <w:sz w:val="24"/>
          <w:szCs w:val="24"/>
        </w:rPr>
        <w:t>若遇法定节假日、休息日或不可抗力等致使无法按时支付的，顺延至最近可支付日支付。</w:t>
      </w:r>
      <w:bookmarkEnd w:id="45"/>
    </w:p>
    <w:p w14:paraId="1C1B729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、销售服务费</w:t>
      </w:r>
    </w:p>
    <w:p w14:paraId="6406CB56" w14:textId="07072A1C" w:rsidR="00CD61EF" w:rsidRDefault="002B79C0">
      <w:pPr>
        <w:autoSpaceDE/>
        <w:autoSpaceDN/>
        <w:spacing w:line="360" w:lineRule="auto"/>
        <w:ind w:firstLineChars="200" w:firstLine="480"/>
        <w:jc w:val="both"/>
        <w:rPr>
          <w:rFonts w:ascii="Times New Roman" w:hAnsi="Times New Roman" w:cs="Times New Roman"/>
          <w:bCs/>
          <w:kern w:val="2"/>
        </w:rPr>
      </w:pPr>
      <w:bookmarkStart w:id="46" w:name="_Hlk70008661"/>
      <w:r>
        <w:rPr>
          <w:rFonts w:ascii="Times New Roman" w:hAnsi="Times New Roman" w:cs="Times New Roman"/>
          <w:bCs/>
          <w:kern w:val="2"/>
          <w:sz w:val="24"/>
          <w:szCs w:val="24"/>
        </w:rPr>
        <w:t>本基金</w:t>
      </w:r>
      <w:r>
        <w:rPr>
          <w:rFonts w:ascii="Times New Roman" w:hAnsi="Times New Roman" w:cs="Times New Roman"/>
          <w:bCs/>
          <w:kern w:val="2"/>
          <w:sz w:val="24"/>
          <w:szCs w:val="24"/>
        </w:rPr>
        <w:t xml:space="preserve"> A </w:t>
      </w:r>
      <w:r>
        <w:rPr>
          <w:rFonts w:ascii="Times New Roman" w:hAnsi="Times New Roman" w:cs="Times New Roman"/>
          <w:bCs/>
          <w:kern w:val="2"/>
          <w:sz w:val="24"/>
          <w:szCs w:val="24"/>
        </w:rPr>
        <w:t>类基金份额不收取销售服务费，</w:t>
      </w:r>
      <w:r>
        <w:rPr>
          <w:rFonts w:ascii="Times New Roman" w:hAnsi="Times New Roman" w:cs="Times New Roman"/>
          <w:bCs/>
          <w:kern w:val="2"/>
          <w:sz w:val="24"/>
          <w:szCs w:val="24"/>
        </w:rPr>
        <w:t xml:space="preserve">C </w:t>
      </w:r>
      <w:r>
        <w:rPr>
          <w:rFonts w:ascii="Times New Roman" w:hAnsi="Times New Roman" w:cs="Times New Roman"/>
          <w:bCs/>
          <w:kern w:val="2"/>
          <w:sz w:val="24"/>
          <w:szCs w:val="24"/>
        </w:rPr>
        <w:t>类基金份额</w:t>
      </w:r>
      <w:r>
        <w:rPr>
          <w:rFonts w:ascii="Times New Roman" w:hAnsi="Times New Roman" w:cs="Times New Roman" w:hint="eastAsia"/>
          <w:bCs/>
          <w:kern w:val="2"/>
          <w:sz w:val="24"/>
          <w:szCs w:val="24"/>
        </w:rPr>
        <w:t>收取销售服务费。</w:t>
      </w:r>
    </w:p>
    <w:p w14:paraId="73B397F4" w14:textId="19755F9F"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 xml:space="preserve">C </w:t>
      </w:r>
      <w:r>
        <w:rPr>
          <w:rFonts w:ascii="Times New Roman" w:hAnsi="Times New Roman" w:cs="Times New Roman"/>
          <w:bCs/>
          <w:kern w:val="2"/>
          <w:sz w:val="24"/>
          <w:szCs w:val="24"/>
        </w:rPr>
        <w:t>类基金份额的销售服务费年费率为</w:t>
      </w:r>
      <w:r>
        <w:rPr>
          <w:rFonts w:ascii="Times New Roman" w:hAnsi="Times New Roman" w:cs="Times New Roman"/>
          <w:bCs/>
          <w:kern w:val="2"/>
          <w:sz w:val="24"/>
          <w:szCs w:val="24"/>
        </w:rPr>
        <w:t>0.</w:t>
      </w:r>
      <w:r w:rsidR="00DB4D65">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bCs/>
          <w:kern w:val="2"/>
          <w:sz w:val="24"/>
          <w:szCs w:val="24"/>
        </w:rPr>
        <w:t>，按前一日</w:t>
      </w:r>
      <w:r>
        <w:rPr>
          <w:rFonts w:ascii="Times New Roman" w:hAnsi="Times New Roman" w:cs="Times New Roman"/>
          <w:bCs/>
          <w:kern w:val="2"/>
          <w:sz w:val="24"/>
          <w:szCs w:val="24"/>
        </w:rPr>
        <w:t xml:space="preserve"> C </w:t>
      </w:r>
      <w:r>
        <w:rPr>
          <w:rFonts w:ascii="Times New Roman" w:hAnsi="Times New Roman" w:cs="Times New Roman"/>
          <w:bCs/>
          <w:kern w:val="2"/>
          <w:sz w:val="24"/>
          <w:szCs w:val="24"/>
        </w:rPr>
        <w:t>类基金资产净值的</w:t>
      </w:r>
      <w:r>
        <w:rPr>
          <w:rFonts w:ascii="Times New Roman" w:hAnsi="Times New Roman" w:cs="Times New Roman"/>
          <w:bCs/>
          <w:kern w:val="2"/>
          <w:sz w:val="24"/>
          <w:szCs w:val="24"/>
        </w:rPr>
        <w:t>0.</w:t>
      </w:r>
      <w:r w:rsidR="00DB4D65">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bCs/>
          <w:kern w:val="2"/>
          <w:sz w:val="24"/>
          <w:szCs w:val="24"/>
        </w:rPr>
        <w:t>年费率计提。</w:t>
      </w:r>
      <w:r>
        <w:rPr>
          <w:rFonts w:ascii="Times New Roman" w:hAnsi="Times New Roman" w:cs="Times New Roman"/>
          <w:bCs/>
          <w:kern w:val="2"/>
          <w:sz w:val="24"/>
          <w:szCs w:val="24"/>
        </w:rPr>
        <w:t>C</w:t>
      </w:r>
      <w:r>
        <w:rPr>
          <w:rFonts w:ascii="Times New Roman" w:hAnsi="Times New Roman" w:cs="Times New Roman" w:hint="eastAsia"/>
          <w:bCs/>
          <w:kern w:val="2"/>
          <w:sz w:val="24"/>
          <w:szCs w:val="24"/>
        </w:rPr>
        <w:t>类基金份额的</w:t>
      </w:r>
      <w:r>
        <w:rPr>
          <w:rFonts w:ascii="Times New Roman" w:hAnsi="Times New Roman" w:cs="Times New Roman"/>
          <w:bCs/>
          <w:kern w:val="2"/>
          <w:sz w:val="24"/>
          <w:szCs w:val="24"/>
        </w:rPr>
        <w:t>销售服务费的计算方法如下：</w:t>
      </w:r>
    </w:p>
    <w:p w14:paraId="4BD95331" w14:textId="46E22164"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H</w:t>
      </w:r>
      <w:r>
        <w:rPr>
          <w:rFonts w:ascii="Times New Roman" w:hAnsi="Times New Roman" w:cs="Times New Roman"/>
          <w:bCs/>
          <w:kern w:val="2"/>
          <w:sz w:val="24"/>
          <w:szCs w:val="24"/>
        </w:rPr>
        <w:t>＝</w:t>
      </w:r>
      <w:r>
        <w:rPr>
          <w:rFonts w:ascii="Times New Roman" w:hAnsi="Times New Roman" w:cs="Times New Roman"/>
          <w:bCs/>
          <w:kern w:val="2"/>
          <w:sz w:val="24"/>
          <w:szCs w:val="24"/>
        </w:rPr>
        <w:t>E×0.</w:t>
      </w:r>
      <w:r w:rsidR="00DB4D65">
        <w:rPr>
          <w:rFonts w:ascii="Times New Roman" w:hAnsi="Times New Roman" w:cs="Times New Roman"/>
          <w:bCs/>
          <w:kern w:val="2"/>
          <w:sz w:val="24"/>
          <w:szCs w:val="24"/>
        </w:rPr>
        <w:t>2</w:t>
      </w:r>
      <w:r>
        <w:rPr>
          <w:rFonts w:ascii="Times New Roman" w:hAnsi="Times New Roman" w:cs="Times New Roman"/>
          <w:bCs/>
          <w:kern w:val="2"/>
          <w:sz w:val="24"/>
          <w:szCs w:val="24"/>
        </w:rPr>
        <w:t>%÷</w:t>
      </w:r>
      <w:r>
        <w:rPr>
          <w:rFonts w:ascii="Times New Roman" w:hAnsi="Times New Roman" w:cs="Times New Roman"/>
          <w:bCs/>
          <w:kern w:val="2"/>
          <w:sz w:val="24"/>
          <w:szCs w:val="24"/>
        </w:rPr>
        <w:t>当年天数</w:t>
      </w:r>
    </w:p>
    <w:p w14:paraId="6B5959D6"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 xml:space="preserve">H </w:t>
      </w:r>
      <w:r>
        <w:rPr>
          <w:rFonts w:ascii="Times New Roman" w:hAnsi="Times New Roman" w:cs="Times New Roman"/>
          <w:bCs/>
          <w:kern w:val="2"/>
          <w:sz w:val="24"/>
          <w:szCs w:val="24"/>
        </w:rPr>
        <w:t>为</w:t>
      </w:r>
      <w:r>
        <w:rPr>
          <w:rFonts w:ascii="Times New Roman" w:hAnsi="Times New Roman" w:cs="Times New Roman"/>
          <w:bCs/>
          <w:kern w:val="2"/>
          <w:sz w:val="24"/>
          <w:szCs w:val="24"/>
        </w:rPr>
        <w:t xml:space="preserve"> C </w:t>
      </w:r>
      <w:r>
        <w:rPr>
          <w:rFonts w:ascii="Times New Roman" w:hAnsi="Times New Roman" w:cs="Times New Roman"/>
          <w:bCs/>
          <w:kern w:val="2"/>
          <w:sz w:val="24"/>
          <w:szCs w:val="24"/>
        </w:rPr>
        <w:t>类基金份额每日应计提的销售服务费</w:t>
      </w:r>
    </w:p>
    <w:p w14:paraId="5DD85B2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 xml:space="preserve">E </w:t>
      </w:r>
      <w:r>
        <w:rPr>
          <w:rFonts w:ascii="Times New Roman" w:hAnsi="Times New Roman" w:cs="Times New Roman"/>
          <w:bCs/>
          <w:kern w:val="2"/>
          <w:sz w:val="24"/>
          <w:szCs w:val="24"/>
        </w:rPr>
        <w:t>为</w:t>
      </w:r>
      <w:r>
        <w:rPr>
          <w:rFonts w:ascii="Times New Roman" w:hAnsi="Times New Roman" w:cs="Times New Roman"/>
          <w:bCs/>
          <w:kern w:val="2"/>
          <w:sz w:val="24"/>
          <w:szCs w:val="24"/>
        </w:rPr>
        <w:t xml:space="preserve"> C </w:t>
      </w:r>
      <w:r>
        <w:rPr>
          <w:rFonts w:ascii="Times New Roman" w:hAnsi="Times New Roman" w:cs="Times New Roman"/>
          <w:bCs/>
          <w:kern w:val="2"/>
          <w:sz w:val="24"/>
          <w:szCs w:val="24"/>
        </w:rPr>
        <w:t>类基金份额前一日基金资产净值</w:t>
      </w:r>
    </w:p>
    <w:p w14:paraId="3B53A17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基金销售服务费在基金合同生效后每日计提，逐日累计至每月月末，按月支付，</w:t>
      </w:r>
      <w:bookmarkStart w:id="47" w:name="_Hlk70008901"/>
      <w:r>
        <w:rPr>
          <w:rFonts w:ascii="Times New Roman" w:hAnsi="Times New Roman" w:cs="Times New Roman"/>
          <w:bCs/>
          <w:kern w:val="2"/>
          <w:sz w:val="24"/>
          <w:szCs w:val="24"/>
        </w:rPr>
        <w:t>由基金管理人向基金托管人发送销售服务费划款指令，</w:t>
      </w:r>
      <w:bookmarkStart w:id="48" w:name="_Hlk70008893"/>
      <w:bookmarkEnd w:id="47"/>
      <w:r>
        <w:rPr>
          <w:rFonts w:ascii="Times New Roman" w:hAnsi="Times New Roman" w:cs="Times New Roman"/>
          <w:bCs/>
          <w:kern w:val="2"/>
          <w:sz w:val="24"/>
          <w:szCs w:val="24"/>
        </w:rPr>
        <w:t>基金托管人复核后于次月前</w:t>
      </w:r>
      <w:r>
        <w:rPr>
          <w:rFonts w:ascii="Times New Roman" w:hAnsi="Times New Roman" w:cs="Times New Roman"/>
          <w:bCs/>
          <w:kern w:val="2"/>
          <w:sz w:val="24"/>
          <w:szCs w:val="24"/>
        </w:rPr>
        <w:t xml:space="preserve"> 5 </w:t>
      </w:r>
      <w:r>
        <w:rPr>
          <w:rFonts w:ascii="Times New Roman" w:hAnsi="Times New Roman" w:cs="Times New Roman"/>
          <w:bCs/>
          <w:kern w:val="2"/>
          <w:sz w:val="24"/>
          <w:szCs w:val="24"/>
        </w:rPr>
        <w:t>个工作日内从基金财产中一次性支付给基金管理人，由基金管理人代付给销售机构。若遇法定节假日、休息日或不可抗力等致使无法按时支付的，顺延至最近可支付日支付。</w:t>
      </w:r>
    </w:p>
    <w:bookmarkEnd w:id="46"/>
    <w:bookmarkEnd w:id="48"/>
    <w:p w14:paraId="1266637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上述</w:t>
      </w:r>
      <w:r>
        <w:rPr>
          <w:rFonts w:ascii="Times New Roman" w:hAnsi="Times New Roman" w:cs="Times New Roman"/>
          <w:bCs/>
          <w:kern w:val="2"/>
          <w:sz w:val="24"/>
          <w:szCs w:val="24"/>
        </w:rPr>
        <w:t>“</w:t>
      </w:r>
      <w:r>
        <w:rPr>
          <w:rFonts w:ascii="Times New Roman" w:hAnsi="Times New Roman" w:cs="Times New Roman"/>
          <w:bCs/>
          <w:kern w:val="2"/>
          <w:sz w:val="24"/>
          <w:szCs w:val="24"/>
        </w:rPr>
        <w:t>一、基金费用的种类</w:t>
      </w:r>
      <w:r>
        <w:rPr>
          <w:rFonts w:ascii="Times New Roman" w:hAnsi="Times New Roman" w:cs="Times New Roman"/>
          <w:bCs/>
          <w:kern w:val="2"/>
          <w:sz w:val="24"/>
          <w:szCs w:val="24"/>
        </w:rPr>
        <w:t>”</w:t>
      </w:r>
      <w:r>
        <w:rPr>
          <w:rFonts w:ascii="Times New Roman" w:hAnsi="Times New Roman" w:cs="Times New Roman"/>
          <w:bCs/>
          <w:kern w:val="2"/>
          <w:sz w:val="24"/>
          <w:szCs w:val="24"/>
        </w:rPr>
        <w:t>中第</w:t>
      </w:r>
      <w:r>
        <w:rPr>
          <w:rFonts w:ascii="Times New Roman" w:hAnsi="Times New Roman" w:cs="Times New Roman"/>
          <w:bCs/>
          <w:kern w:val="2"/>
          <w:sz w:val="24"/>
          <w:szCs w:val="24"/>
        </w:rPr>
        <w:t xml:space="preserve"> 4</w:t>
      </w:r>
      <w:r>
        <w:rPr>
          <w:rFonts w:ascii="Times New Roman" w:hAnsi="Times New Roman" w:cs="Times New Roman"/>
          <w:bCs/>
          <w:kern w:val="2"/>
          <w:sz w:val="24"/>
          <w:szCs w:val="24"/>
        </w:rPr>
        <w:t>－</w:t>
      </w:r>
      <w:r>
        <w:rPr>
          <w:rFonts w:ascii="Times New Roman" w:hAnsi="Times New Roman" w:cs="Times New Roman"/>
          <w:bCs/>
          <w:kern w:val="2"/>
          <w:sz w:val="24"/>
          <w:szCs w:val="24"/>
        </w:rPr>
        <w:t xml:space="preserve">10 </w:t>
      </w:r>
      <w:r>
        <w:rPr>
          <w:rFonts w:ascii="Times New Roman" w:hAnsi="Times New Roman" w:cs="Times New Roman"/>
          <w:bCs/>
          <w:kern w:val="2"/>
          <w:sz w:val="24"/>
          <w:szCs w:val="24"/>
        </w:rPr>
        <w:t>项费用，根据有关法规及相应协议规定，按费用实际支出金额列入当期费用，由基金托管人从基金财产中支付。</w:t>
      </w:r>
    </w:p>
    <w:bookmarkEnd w:id="43"/>
    <w:p w14:paraId="7D01C0A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三、不列入基金费用的项目下列费用不列入基金费用：</w:t>
      </w:r>
    </w:p>
    <w:p w14:paraId="47481E3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、基金管理人和基金托管人因未履行或未完全履行义务导致的费用支出或基金财产的损失；</w:t>
      </w:r>
    </w:p>
    <w:p w14:paraId="34BBADCC"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、基金管理人和基金托管人处理与基金运作无关的事项发生的费用；</w:t>
      </w:r>
    </w:p>
    <w:p w14:paraId="1F073D1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、《基金合同》生效前的相关费用；</w:t>
      </w:r>
    </w:p>
    <w:p w14:paraId="73BF1D8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、其他根据相关法律法规及中国证监会的有关规定不得列入基金费用的项目。</w:t>
      </w:r>
    </w:p>
    <w:p w14:paraId="05DCA82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四、实施侧袋机制期间的基金费用</w:t>
      </w:r>
    </w:p>
    <w:p w14:paraId="7D2B870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本基金实施侧袋机制的，与侧袋账户有关的费用可以从侧袋账户中列支，但应待侧袋账户资产变现后方可列支，有关费用可酌情收取或减免，但不得收取管理费，详见招募说明书</w:t>
      </w:r>
      <w:r>
        <w:rPr>
          <w:rFonts w:ascii="Times New Roman" w:hAnsi="Times New Roman" w:cs="Times New Roman"/>
          <w:bCs/>
          <w:kern w:val="2"/>
          <w:sz w:val="24"/>
          <w:szCs w:val="24"/>
        </w:rPr>
        <w:t>“</w:t>
      </w:r>
      <w:r>
        <w:rPr>
          <w:rFonts w:ascii="Times New Roman" w:hAnsi="Times New Roman" w:cs="Times New Roman" w:hint="eastAsia"/>
          <w:bCs/>
          <w:kern w:val="2"/>
          <w:sz w:val="24"/>
          <w:szCs w:val="24"/>
        </w:rPr>
        <w:t>侧袋机制</w:t>
      </w:r>
      <w:r>
        <w:rPr>
          <w:rFonts w:ascii="Times New Roman" w:hAnsi="Times New Roman" w:cs="Times New Roman"/>
          <w:bCs/>
          <w:kern w:val="2"/>
          <w:sz w:val="24"/>
          <w:szCs w:val="24"/>
        </w:rPr>
        <w:t>”</w:t>
      </w:r>
      <w:r>
        <w:rPr>
          <w:rFonts w:ascii="Times New Roman" w:hAnsi="Times New Roman" w:cs="Times New Roman" w:hint="eastAsia"/>
          <w:bCs/>
          <w:kern w:val="2"/>
          <w:sz w:val="24"/>
          <w:szCs w:val="24"/>
        </w:rPr>
        <w:t>部分</w:t>
      </w:r>
      <w:r>
        <w:rPr>
          <w:rFonts w:ascii="Times New Roman" w:hAnsi="Times New Roman" w:cs="Times New Roman"/>
          <w:bCs/>
          <w:kern w:val="2"/>
          <w:sz w:val="24"/>
          <w:szCs w:val="24"/>
        </w:rPr>
        <w:t>的规定。</w:t>
      </w:r>
    </w:p>
    <w:p w14:paraId="09E90858"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lastRenderedPageBreak/>
        <w:t>五、基金税收</w:t>
      </w:r>
    </w:p>
    <w:p w14:paraId="4BF1CCF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本基金运作过程中涉及的各纳税主体，其纳税义务按国家税收法律、法规执行。</w:t>
      </w:r>
    </w:p>
    <w:p w14:paraId="1650238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基金财产投资的相关税收，由基金份额持有人承担，基金管理人或者其他扣缴义务人按照国家有关税收征收的规定代扣代缴。</w:t>
      </w:r>
    </w:p>
    <w:p w14:paraId="1B6EB933" w14:textId="77777777" w:rsidR="00CD61EF" w:rsidRDefault="00CD61EF">
      <w:pPr>
        <w:spacing w:line="364" w:lineRule="auto"/>
        <w:sectPr w:rsidR="00CD61EF">
          <w:headerReference w:type="default" r:id="rId24"/>
          <w:footerReference w:type="default" r:id="rId25"/>
          <w:pgSz w:w="11910" w:h="16840"/>
          <w:pgMar w:top="1440" w:right="1440" w:bottom="1180" w:left="1680" w:header="877" w:footer="998" w:gutter="0"/>
          <w:cols w:space="720"/>
        </w:sectPr>
      </w:pPr>
    </w:p>
    <w:p w14:paraId="01C388E3"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49" w:name="_Toc8879"/>
      <w:r>
        <w:rPr>
          <w:rFonts w:ascii="Times New Roman" w:eastAsia="宋体" w:hAnsi="Times New Roman" w:cs="Times New Roman"/>
          <w:bCs w:val="0"/>
          <w:szCs w:val="20"/>
        </w:rPr>
        <w:lastRenderedPageBreak/>
        <w:t>第十六部分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基金的收益与分配</w:t>
      </w:r>
      <w:bookmarkEnd w:id="49"/>
    </w:p>
    <w:p w14:paraId="45671826" w14:textId="77777777" w:rsidR="00CD61EF" w:rsidRDefault="00CD61EF">
      <w:pPr>
        <w:pStyle w:val="a5"/>
        <w:spacing w:before="4"/>
        <w:ind w:left="0" w:firstLine="0"/>
        <w:rPr>
          <w:rFonts w:ascii="Microsoft JhengHei"/>
          <w:b/>
        </w:rPr>
      </w:pPr>
    </w:p>
    <w:p w14:paraId="1F163FAD"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bookmarkStart w:id="50" w:name="_Hlk71718104"/>
      <w:r>
        <w:rPr>
          <w:rFonts w:ascii="Times New Roman" w:hAnsi="Times New Roman" w:cs="Times New Roman"/>
          <w:bCs/>
          <w:kern w:val="2"/>
          <w:sz w:val="24"/>
          <w:szCs w:val="20"/>
        </w:rPr>
        <w:t>一、基金利润的构成</w:t>
      </w:r>
    </w:p>
    <w:p w14:paraId="3395A079"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基金利润指基金利息收入、投资收益、公允价值变动收益和其他收入扣除相关费用后的余额，基金已实现收益指基金利润减去公允价值变动收益后的余额。</w:t>
      </w:r>
    </w:p>
    <w:p w14:paraId="0E3A0685"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二、基金可供分配利润</w:t>
      </w:r>
    </w:p>
    <w:p w14:paraId="6318D782"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基金可供分配利润指截至收益分配基准日基金未分配利润与未分配利润中已实现收益的孰低数。</w:t>
      </w:r>
    </w:p>
    <w:p w14:paraId="4B108319"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三、基金收益分配原则</w:t>
      </w:r>
    </w:p>
    <w:p w14:paraId="53822CFF"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bookmarkStart w:id="51" w:name="_Hlk70008337"/>
      <w:r>
        <w:rPr>
          <w:rFonts w:ascii="Times New Roman" w:hAnsi="Times New Roman" w:cs="Times New Roman"/>
          <w:bCs/>
          <w:kern w:val="2"/>
          <w:sz w:val="24"/>
          <w:szCs w:val="20"/>
        </w:rPr>
        <w:t>1</w:t>
      </w:r>
      <w:r>
        <w:rPr>
          <w:rFonts w:ascii="Times New Roman" w:hAnsi="Times New Roman" w:cs="Times New Roman"/>
          <w:bCs/>
          <w:kern w:val="2"/>
          <w:sz w:val="24"/>
          <w:szCs w:val="20"/>
        </w:rPr>
        <w:t>、若基金合同生效不满</w:t>
      </w:r>
      <w:r>
        <w:rPr>
          <w:rFonts w:ascii="Times New Roman" w:hAnsi="Times New Roman" w:cs="Times New Roman"/>
          <w:bCs/>
          <w:kern w:val="2"/>
          <w:sz w:val="24"/>
          <w:szCs w:val="20"/>
        </w:rPr>
        <w:t xml:space="preserve"> 3 </w:t>
      </w:r>
      <w:r>
        <w:rPr>
          <w:rFonts w:ascii="Times New Roman" w:hAnsi="Times New Roman" w:cs="Times New Roman"/>
          <w:bCs/>
          <w:kern w:val="2"/>
          <w:sz w:val="24"/>
          <w:szCs w:val="20"/>
        </w:rPr>
        <w:t>个月可不进行收益分配；</w:t>
      </w:r>
    </w:p>
    <w:p w14:paraId="44052773"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、本基金收益分配方式分两种：现金分红与红利再投资，投资者可选择现金红利或将现金红利自动转为对应类别的基金份额进行再投资；若投资者不选择，</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本基金默认的收益分配方式是现金分红；</w:t>
      </w:r>
    </w:p>
    <w:p w14:paraId="14C74770"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、基金收益分配后各类基金份额净值不能低于面值，即基金收益分配基准日的各类基金份额净值减去每单位该类基金份额收益分配金额后不能低于面值；</w:t>
      </w:r>
    </w:p>
    <w:p w14:paraId="3C0C534D"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、本基金的同一类别的每一基金份额享有同等分配权；</w:t>
      </w:r>
    </w:p>
    <w:p w14:paraId="3FE492FB"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、法律法规或监管机构另有规定的，从其规定。</w:t>
      </w:r>
    </w:p>
    <w:bookmarkEnd w:id="51"/>
    <w:p w14:paraId="3EE77123"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在不违反法律法规且对基金份额持有人利益无实质性不利影响的前提下，基金管理人经与基金托管人协商一致后可对基金收益分配原则进行调整，无需召开基金份额持有人大会。</w:t>
      </w:r>
    </w:p>
    <w:p w14:paraId="4FEC3045"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四、收益分配方案</w:t>
      </w:r>
    </w:p>
    <w:p w14:paraId="330497C4"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基金收益分配方案中应载明截止收益分配基准日的可供分配利润、基金收益分配对象、分配时间、分配数额及比例、分配方式等内容。</w:t>
      </w:r>
    </w:p>
    <w:p w14:paraId="523F05BB"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五、收益分配方案的确定、公告与实施</w:t>
      </w:r>
    </w:p>
    <w:p w14:paraId="56CBB45E"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本基金收益分配方案由基金管理人拟定，并由基金托管人复核，按照《信息披露办法》的规定在规定媒介公告。</w:t>
      </w:r>
    </w:p>
    <w:p w14:paraId="5FD36764" w14:textId="77777777" w:rsidR="00CD61EF" w:rsidRDefault="002B79C0">
      <w:pPr>
        <w:autoSpaceDE/>
        <w:autoSpaceDN/>
        <w:spacing w:line="360" w:lineRule="auto"/>
        <w:ind w:firstLineChars="225" w:firstLine="540"/>
        <w:jc w:val="both"/>
        <w:rPr>
          <w:rFonts w:ascii="Times New Roman" w:hAnsi="Times New Roman" w:cs="Times New Roman"/>
          <w:bCs/>
          <w:kern w:val="2"/>
          <w:sz w:val="24"/>
          <w:szCs w:val="20"/>
        </w:rPr>
      </w:pPr>
      <w:r>
        <w:rPr>
          <w:rFonts w:ascii="Times New Roman" w:hAnsi="Times New Roman" w:cs="Times New Roman"/>
          <w:bCs/>
          <w:kern w:val="2"/>
          <w:sz w:val="24"/>
          <w:szCs w:val="20"/>
        </w:rPr>
        <w:t>法律法规或监管机关另有规定的，从其规定。</w:t>
      </w:r>
    </w:p>
    <w:p w14:paraId="4C326116"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六、基金收益分配中发生的费用</w:t>
      </w:r>
    </w:p>
    <w:p w14:paraId="43C36933"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基金收益分配时所发生的银行转账或其他手续费用由投资者自行承担。当投资者的现金红利小于一定金额，不足以支付银行转账或其他手续费用时，基金登记机</w:t>
      </w:r>
      <w:r>
        <w:rPr>
          <w:rFonts w:ascii="Times New Roman" w:hAnsi="Times New Roman" w:cs="Times New Roman"/>
          <w:bCs/>
          <w:kern w:val="2"/>
          <w:sz w:val="24"/>
          <w:szCs w:val="20"/>
        </w:rPr>
        <w:lastRenderedPageBreak/>
        <w:t>构可将基金份额持有人的现金红利自动转为对应类别的基金份额。红利再投资的计算方法，依照《业务规则》执行。</w:t>
      </w:r>
    </w:p>
    <w:bookmarkEnd w:id="50"/>
    <w:p w14:paraId="3AA7AC0F"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七、实施侧袋机制期间的收益分配</w:t>
      </w:r>
    </w:p>
    <w:p w14:paraId="4D808FD1" w14:textId="77777777" w:rsidR="00CD61EF" w:rsidRDefault="002B79C0">
      <w:pPr>
        <w:autoSpaceDE/>
        <w:autoSpaceDN/>
        <w:spacing w:line="360" w:lineRule="auto"/>
        <w:ind w:firstLineChars="225" w:firstLine="540"/>
        <w:jc w:val="both"/>
        <w:rPr>
          <w:rFonts w:ascii="Times New Roman" w:hAnsi="Times New Roman" w:cs="Times New Roman"/>
          <w:bCs/>
          <w:kern w:val="2"/>
          <w:szCs w:val="20"/>
        </w:rPr>
      </w:pPr>
      <w:r>
        <w:rPr>
          <w:rFonts w:ascii="Times New Roman" w:hAnsi="Times New Roman" w:cs="Times New Roman"/>
          <w:bCs/>
          <w:kern w:val="2"/>
          <w:sz w:val="24"/>
          <w:szCs w:val="20"/>
        </w:rPr>
        <w:t>本基金实施侧袋机制的，侧袋账户不进行收益分配，详见招募说明书的规定。</w:t>
      </w:r>
    </w:p>
    <w:p w14:paraId="581A32FF" w14:textId="77777777" w:rsidR="00CD61EF" w:rsidRDefault="00CD61EF">
      <w:pPr>
        <w:sectPr w:rsidR="00CD61EF">
          <w:pgSz w:w="11910" w:h="16840"/>
          <w:pgMar w:top="1440" w:right="1440" w:bottom="1180" w:left="1680" w:header="877" w:footer="998" w:gutter="0"/>
          <w:cols w:space="720"/>
        </w:sectPr>
      </w:pPr>
    </w:p>
    <w:p w14:paraId="002333F6"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52" w:name="_Toc21182"/>
      <w:r>
        <w:rPr>
          <w:rFonts w:ascii="Times New Roman" w:eastAsia="宋体" w:hAnsi="Times New Roman" w:cs="Times New Roman"/>
          <w:bCs w:val="0"/>
          <w:szCs w:val="20"/>
        </w:rPr>
        <w:lastRenderedPageBreak/>
        <w:t>第十七部分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基金的</w:t>
      </w:r>
      <w:r>
        <w:rPr>
          <w:rFonts w:ascii="Times New Roman" w:eastAsia="宋体" w:hAnsi="Times New Roman" w:cs="Times New Roman" w:hint="eastAsia"/>
          <w:bCs w:val="0"/>
          <w:szCs w:val="20"/>
        </w:rPr>
        <w:t>会计与审计</w:t>
      </w:r>
      <w:bookmarkEnd w:id="52"/>
    </w:p>
    <w:p w14:paraId="618D173E" w14:textId="77777777" w:rsidR="00CD61EF" w:rsidRDefault="00CD61EF">
      <w:pPr>
        <w:pStyle w:val="a5"/>
        <w:spacing w:before="13"/>
        <w:ind w:left="0" w:firstLine="0"/>
        <w:rPr>
          <w:rFonts w:ascii="Microsoft JhengHei"/>
          <w:b/>
          <w:sz w:val="32"/>
        </w:rPr>
      </w:pPr>
    </w:p>
    <w:p w14:paraId="7CC18C2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一、基金会计政策</w:t>
      </w:r>
    </w:p>
    <w:p w14:paraId="282B7CB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、基金管理人为本基金的基金会计责任方。</w:t>
      </w:r>
    </w:p>
    <w:p w14:paraId="275CD87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、基金的会计年度为公历年度的</w:t>
      </w:r>
      <w:r>
        <w:rPr>
          <w:rFonts w:ascii="Times New Roman" w:hAnsi="Times New Roman" w:cs="Times New Roman"/>
          <w:bCs/>
          <w:kern w:val="2"/>
          <w:sz w:val="24"/>
          <w:szCs w:val="20"/>
        </w:rPr>
        <w:t xml:space="preserve"> 1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1 </w:t>
      </w:r>
      <w:r>
        <w:rPr>
          <w:rFonts w:ascii="Times New Roman" w:hAnsi="Times New Roman" w:cs="Times New Roman"/>
          <w:bCs/>
          <w:kern w:val="2"/>
          <w:sz w:val="24"/>
          <w:szCs w:val="20"/>
        </w:rPr>
        <w:t>日至</w:t>
      </w:r>
      <w:r>
        <w:rPr>
          <w:rFonts w:ascii="Times New Roman" w:hAnsi="Times New Roman" w:cs="Times New Roman"/>
          <w:bCs/>
          <w:kern w:val="2"/>
          <w:sz w:val="24"/>
          <w:szCs w:val="20"/>
        </w:rPr>
        <w:t xml:space="preserve"> 12 </w:t>
      </w:r>
      <w:r>
        <w:rPr>
          <w:rFonts w:ascii="Times New Roman" w:hAnsi="Times New Roman" w:cs="Times New Roman"/>
          <w:bCs/>
          <w:kern w:val="2"/>
          <w:sz w:val="24"/>
          <w:szCs w:val="20"/>
        </w:rPr>
        <w:t>月</w:t>
      </w:r>
      <w:r>
        <w:rPr>
          <w:rFonts w:ascii="Times New Roman" w:hAnsi="Times New Roman" w:cs="Times New Roman"/>
          <w:bCs/>
          <w:kern w:val="2"/>
          <w:sz w:val="24"/>
          <w:szCs w:val="20"/>
        </w:rPr>
        <w:t xml:space="preserve"> 31 </w:t>
      </w:r>
      <w:r>
        <w:rPr>
          <w:rFonts w:ascii="Times New Roman" w:hAnsi="Times New Roman" w:cs="Times New Roman"/>
          <w:bCs/>
          <w:kern w:val="2"/>
          <w:sz w:val="24"/>
          <w:szCs w:val="20"/>
        </w:rPr>
        <w:t>日；基金首次募集的会计年度按如下原则：如果《基金合同》生效少于</w:t>
      </w:r>
      <w:r>
        <w:rPr>
          <w:rFonts w:ascii="Times New Roman" w:hAnsi="Times New Roman" w:cs="Times New Roman"/>
          <w:bCs/>
          <w:kern w:val="2"/>
          <w:sz w:val="24"/>
          <w:szCs w:val="20"/>
        </w:rPr>
        <w:t xml:space="preserve"> 2 </w:t>
      </w:r>
      <w:r>
        <w:rPr>
          <w:rFonts w:ascii="Times New Roman" w:hAnsi="Times New Roman" w:cs="Times New Roman"/>
          <w:bCs/>
          <w:kern w:val="2"/>
          <w:sz w:val="24"/>
          <w:szCs w:val="20"/>
        </w:rPr>
        <w:t>个月，可以并入下一个会计年度披露。</w:t>
      </w:r>
    </w:p>
    <w:p w14:paraId="2FE83DF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、基金核算以人民币为记账本位币，以人民币元为记账单位。</w:t>
      </w:r>
    </w:p>
    <w:p w14:paraId="7B9E218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、会计制度执行国家有关会计制度。</w:t>
      </w:r>
    </w:p>
    <w:p w14:paraId="7C79B22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、本基金独立建账、独立核算。</w:t>
      </w:r>
    </w:p>
    <w:p w14:paraId="63B4684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、基金管理人及基金托管人各自保留完整的会计账目、凭证并进行日常的会计核算，按照有关规定编制基金会计报表。</w:t>
      </w:r>
    </w:p>
    <w:p w14:paraId="1B11F54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、基金托管人每月与基金管理人就基金的会计核算、报表编制等进行核对并以书面或双方约定的其他方式确认。</w:t>
      </w:r>
    </w:p>
    <w:p w14:paraId="1AFAFA6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二、基金的年度审计</w:t>
      </w:r>
    </w:p>
    <w:p w14:paraId="296462C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、基金管理人聘请与基金管理人、基金托管人相互独立且符合《证券法》规定的会计师事务所及其注册会计师对本基金的年度财务报表进行审计。</w:t>
      </w:r>
    </w:p>
    <w:p w14:paraId="0B2E830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、会计师事务所更换经办注册会计师，应事先征得基金管理人同意。</w:t>
      </w:r>
    </w:p>
    <w:p w14:paraId="12664EE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、基金管理人认为有充足理由更换会计师事务所，须通报基金托管人。更换会计师事务所需按照《信息披露办法》的要求在规定媒介公告。</w:t>
      </w:r>
    </w:p>
    <w:p w14:paraId="79ED00AD" w14:textId="77777777" w:rsidR="00CD61EF" w:rsidRDefault="00CD61EF">
      <w:pPr>
        <w:spacing w:line="364" w:lineRule="auto"/>
        <w:sectPr w:rsidR="00CD61EF">
          <w:pgSz w:w="11910" w:h="16840"/>
          <w:pgMar w:top="1440" w:right="1440" w:bottom="1180" w:left="1680" w:header="877" w:footer="998" w:gutter="0"/>
          <w:cols w:space="720"/>
        </w:sectPr>
      </w:pPr>
    </w:p>
    <w:p w14:paraId="143FDF1E"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53" w:name="_Toc32459"/>
      <w:r>
        <w:rPr>
          <w:rFonts w:ascii="Times New Roman" w:eastAsia="宋体" w:hAnsi="Times New Roman" w:cs="Times New Roman"/>
          <w:bCs w:val="0"/>
          <w:szCs w:val="20"/>
        </w:rPr>
        <w:lastRenderedPageBreak/>
        <w:t>第十八部分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基金的信息披露</w:t>
      </w:r>
      <w:bookmarkEnd w:id="53"/>
    </w:p>
    <w:p w14:paraId="715F3585" w14:textId="77777777" w:rsidR="00CD61EF" w:rsidRDefault="00CD61EF">
      <w:pPr>
        <w:pStyle w:val="a5"/>
        <w:spacing w:before="13"/>
        <w:ind w:left="0" w:firstLine="0"/>
        <w:rPr>
          <w:rFonts w:ascii="Microsoft JhengHei"/>
          <w:b/>
          <w:sz w:val="32"/>
        </w:rPr>
      </w:pPr>
    </w:p>
    <w:p w14:paraId="6C95354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54" w:name="_Hlk71718503"/>
      <w:r>
        <w:rPr>
          <w:rFonts w:ascii="Times New Roman" w:hAnsi="Times New Roman" w:cs="Times New Roman"/>
          <w:bCs/>
          <w:kern w:val="2"/>
          <w:sz w:val="24"/>
          <w:szCs w:val="20"/>
        </w:rPr>
        <w:t>一、本基金的信息披露应符合《基金法》、《运作办法》、《信息披露办法》、</w:t>
      </w:r>
    </w:p>
    <w:p w14:paraId="332A290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《流动性风险管理规定》、《基金合同》及其他有关规定。相关法律法规关于信息披露的规定发生变化时，本基金从其最新规定。</w:t>
      </w:r>
    </w:p>
    <w:p w14:paraId="7374E6F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二、信息披露义务人</w:t>
      </w:r>
    </w:p>
    <w:p w14:paraId="66CD10A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本基金信息披露义务人包括基金管理人、基金托管人、召集基金份额持有人大会的基金份额持有人等法律、</w:t>
      </w:r>
      <w:r>
        <w:rPr>
          <w:rFonts w:ascii="Times New Roman" w:hAnsi="Times New Roman" w:cs="Times New Roman" w:hint="eastAsia"/>
          <w:bCs/>
          <w:kern w:val="2"/>
          <w:sz w:val="24"/>
          <w:szCs w:val="20"/>
        </w:rPr>
        <w:t>行政</w:t>
      </w:r>
      <w:r>
        <w:rPr>
          <w:rFonts w:ascii="Times New Roman" w:hAnsi="Times New Roman" w:cs="Times New Roman"/>
          <w:bCs/>
          <w:kern w:val="2"/>
          <w:sz w:val="24"/>
          <w:szCs w:val="20"/>
        </w:rPr>
        <w:t>法规和中国证监会规定的自然人、法人和非法人组织。</w:t>
      </w:r>
    </w:p>
    <w:p w14:paraId="6405CEB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本基金信息披露义务人以保护基金份额持有人利益为根本出发点，按照法律法规和中国证监会的规定披露基金信息，并保证所披露信息的真实性、准确性、完整性、及时性、简明性和易得性。</w:t>
      </w:r>
    </w:p>
    <w:p w14:paraId="4DD8CEE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本基金信息披露义务人应当在中国证监会规定时间内，将应予披露的基金信息通过符合中国证监会规定条件的</w:t>
      </w:r>
      <w:r>
        <w:rPr>
          <w:rFonts w:ascii="Times New Roman" w:hAnsi="Times New Roman" w:cs="Times New Roman" w:hint="eastAsia"/>
          <w:bCs/>
          <w:kern w:val="2"/>
          <w:sz w:val="24"/>
          <w:szCs w:val="20"/>
        </w:rPr>
        <w:t>用以进行信息披露</w:t>
      </w:r>
      <w:r>
        <w:rPr>
          <w:rFonts w:ascii="Times New Roman" w:hAnsi="Times New Roman" w:cs="Times New Roman"/>
          <w:bCs/>
          <w:kern w:val="2"/>
          <w:sz w:val="24"/>
          <w:szCs w:val="20"/>
        </w:rPr>
        <w:t>的全国性报刊（以下简称</w:t>
      </w:r>
      <w:r>
        <w:rPr>
          <w:rFonts w:ascii="Times New Roman" w:hAnsi="Times New Roman" w:cs="Times New Roman"/>
          <w:bCs/>
          <w:kern w:val="2"/>
          <w:sz w:val="24"/>
          <w:szCs w:val="20"/>
        </w:rPr>
        <w:t>“</w:t>
      </w:r>
      <w:r>
        <w:rPr>
          <w:rFonts w:ascii="Times New Roman" w:hAnsi="Times New Roman" w:cs="Times New Roman"/>
          <w:bCs/>
          <w:kern w:val="2"/>
          <w:sz w:val="24"/>
          <w:szCs w:val="20"/>
        </w:rPr>
        <w:t>规定报刊</w:t>
      </w:r>
      <w:r>
        <w:rPr>
          <w:rFonts w:ascii="Times New Roman" w:hAnsi="Times New Roman" w:cs="Times New Roman"/>
          <w:bCs/>
          <w:kern w:val="2"/>
          <w:sz w:val="24"/>
          <w:szCs w:val="20"/>
        </w:rPr>
        <w:t>”</w:t>
      </w:r>
      <w:r>
        <w:rPr>
          <w:rFonts w:ascii="Times New Roman" w:hAnsi="Times New Roman" w:cs="Times New Roman"/>
          <w:bCs/>
          <w:kern w:val="2"/>
          <w:sz w:val="24"/>
          <w:szCs w:val="20"/>
        </w:rPr>
        <w:t>）和《信息披露办法》规定的互联网网站（以下简称</w:t>
      </w:r>
      <w:r>
        <w:rPr>
          <w:rFonts w:ascii="Times New Roman" w:hAnsi="Times New Roman" w:cs="Times New Roman"/>
          <w:bCs/>
          <w:kern w:val="2"/>
          <w:sz w:val="24"/>
          <w:szCs w:val="20"/>
        </w:rPr>
        <w:t>“</w:t>
      </w:r>
      <w:r>
        <w:rPr>
          <w:rFonts w:ascii="Times New Roman" w:hAnsi="Times New Roman" w:cs="Times New Roman"/>
          <w:bCs/>
          <w:kern w:val="2"/>
          <w:sz w:val="24"/>
          <w:szCs w:val="20"/>
        </w:rPr>
        <w:t>规定网站</w:t>
      </w:r>
      <w:r>
        <w:rPr>
          <w:rFonts w:ascii="Times New Roman" w:hAnsi="Times New Roman" w:cs="Times New Roman"/>
          <w:bCs/>
          <w:kern w:val="2"/>
          <w:sz w:val="24"/>
          <w:szCs w:val="20"/>
        </w:rPr>
        <w:t>”</w:t>
      </w:r>
      <w:r>
        <w:rPr>
          <w:rFonts w:ascii="Times New Roman" w:hAnsi="Times New Roman" w:cs="Times New Roman"/>
          <w:bCs/>
          <w:kern w:val="2"/>
          <w:sz w:val="24"/>
          <w:szCs w:val="20"/>
        </w:rPr>
        <w:t>，包括基金管理人网站、基金托管人网站、中国证监会基金电子披露网站）等媒介披露，并保证基金投资者能够按照《基金合同》约定的时间和方式查阅或者复制公开披露的信息资料。</w:t>
      </w:r>
    </w:p>
    <w:p w14:paraId="1185334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三、本基金信息披露义务人承诺公开披露的基金信息，不得有下列行为：</w:t>
      </w:r>
    </w:p>
    <w:p w14:paraId="3E0D04B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、虚假记载、误导性陈述或者重大遗漏；</w:t>
      </w:r>
    </w:p>
    <w:p w14:paraId="147A6C6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、对证券投资业绩进行预测；</w:t>
      </w:r>
    </w:p>
    <w:p w14:paraId="379D33F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、违规承诺收益或者承担损失；</w:t>
      </w:r>
    </w:p>
    <w:p w14:paraId="24DF32F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、诋毁其他基金管理人、基金托管人或者基金销售机构；</w:t>
      </w:r>
    </w:p>
    <w:p w14:paraId="21B31C5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、登载任何自然人、法人和非法人组织的祝贺性、恭维性或推荐性的文字；</w:t>
      </w:r>
    </w:p>
    <w:p w14:paraId="6F5279E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、中国证监会禁止的其他行为。</w:t>
      </w:r>
    </w:p>
    <w:p w14:paraId="4A1ADC3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四、本基金公开披露的信息应采用中文文本。如同时采用外文文本的，基金信息披露义务人应保证不同文本的内容一致。不同文本之间发生歧义的，以中文文本为准。</w:t>
      </w:r>
    </w:p>
    <w:p w14:paraId="037F39C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本基金公开披露的信息采用阿拉伯数字；除特别说明外，货币单位为人民币元。</w:t>
      </w:r>
    </w:p>
    <w:p w14:paraId="42D803D9"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0"/>
        </w:rPr>
        <w:sectPr w:rsidR="00CD61EF">
          <w:pgSz w:w="11910" w:h="16840"/>
          <w:pgMar w:top="1440" w:right="1440" w:bottom="1180" w:left="1680" w:header="877" w:footer="998" w:gutter="0"/>
          <w:cols w:space="720"/>
        </w:sectPr>
      </w:pPr>
    </w:p>
    <w:p w14:paraId="7418680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lastRenderedPageBreak/>
        <w:t>五、公开披露的基金信息</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公开披露的基金信息包括：</w:t>
      </w:r>
    </w:p>
    <w:p w14:paraId="675BF0B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（一）基金招募说明书、基金产品资料概要、《基金合同》、基金托管协议</w:t>
      </w:r>
    </w:p>
    <w:p w14:paraId="4D2DA4D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、《基金合同》是界定《基金合同》当事人的各项权利、义务关系，明确基金份额持有人大会召开的规则及具体程序，说明基金产品的特性等涉及基金投资者重大利益的事项的法律文件。</w:t>
      </w:r>
    </w:p>
    <w:p w14:paraId="6B18E30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、基金招募说明书应当最大限度地披露影响基金投资者决策的全部事项，</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说明基金认购、申购和赎回安排、基金投资、基金产品特性、风险揭示、信息披露及基金份额持有人服务等内容。</w:t>
      </w:r>
    </w:p>
    <w:p w14:paraId="34CB76F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基金产品资料概要是基金招募说明书的摘要文件，用于向投资者提供简明的基金概要信息。基金管理人应当依照法律法规和中国证监会的规定编制、披露与更新基金产品资料概要。</w:t>
      </w:r>
    </w:p>
    <w:p w14:paraId="7C9FA45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基金合同生效后，基金招募说明书、基金产品资料概要的信息发生重大变更的，基金管理人应当在三个工作日内，更新基金招募说明书和基金产品资料概要，</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并登载在规定网站上，其中基金产品资料概要还应当登载在基金销售机构网站或营业网点。除此之外，基金招募说明书、基金产品资料概要其他信息发生变更的，</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基金管理人至少每年更新一次。</w:t>
      </w:r>
    </w:p>
    <w:p w14:paraId="137089C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基金终止</w:t>
      </w:r>
      <w:r>
        <w:rPr>
          <w:rFonts w:ascii="Times New Roman" w:hAnsi="Times New Roman" w:cs="Times New Roman" w:hint="eastAsia"/>
          <w:bCs/>
          <w:kern w:val="2"/>
          <w:sz w:val="24"/>
          <w:szCs w:val="20"/>
        </w:rPr>
        <w:t>运作</w:t>
      </w:r>
      <w:r>
        <w:rPr>
          <w:rFonts w:ascii="Times New Roman" w:hAnsi="Times New Roman" w:cs="Times New Roman"/>
          <w:bCs/>
          <w:kern w:val="2"/>
          <w:sz w:val="24"/>
          <w:szCs w:val="20"/>
        </w:rPr>
        <w:t>的，基金管理人可以不再更新基金招募说明书和基金产品资料概要。</w:t>
      </w:r>
    </w:p>
    <w:p w14:paraId="5F63626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、基金托管协议是界定基金托管人和基金管理人在基金财产保管及基金运作监督等活动中的权利、义务关系的法律文件。</w:t>
      </w:r>
    </w:p>
    <w:p w14:paraId="02C2D69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基金募集申请经中国证监会注册后，基金管理人在基金份额发售的三日前，</w:t>
      </w:r>
      <w:r>
        <w:rPr>
          <w:rFonts w:ascii="Times New Roman" w:hAnsi="Times New Roman" w:cs="Times New Roman"/>
          <w:bCs/>
          <w:kern w:val="2"/>
          <w:sz w:val="24"/>
          <w:szCs w:val="20"/>
        </w:rPr>
        <w:t xml:space="preserve"> </w:t>
      </w:r>
      <w:r>
        <w:rPr>
          <w:rFonts w:ascii="Times New Roman" w:hAnsi="Times New Roman" w:cs="Times New Roman"/>
          <w:bCs/>
          <w:kern w:val="2"/>
          <w:sz w:val="24"/>
          <w:szCs w:val="20"/>
        </w:rPr>
        <w:t>将基金份额发售公告、基金招募说明书提示性公告和基金合同提示性公告登载在规定报刊上，将基金份额发售公告、基金招募说明书、基金产品资料概要、基金合同和基金托管协议登载在规定网站上，其中基金产品资料概要还应当登载在基金销售机构网站或营业网点；基金托管人应当同时将基金合同、基金托管协议登载在规定网站上。</w:t>
      </w:r>
    </w:p>
    <w:p w14:paraId="07AF6282"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（二）基金份额发售公告</w:t>
      </w:r>
    </w:p>
    <w:p w14:paraId="6E62CE2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基金管理人应当就基金份额发售的具体事宜编制基金份额发售公告，并在披露招募说明书的当日登载于规定媒介上。</w:t>
      </w:r>
    </w:p>
    <w:p w14:paraId="5F8C609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三</w:t>
      </w:r>
      <w:r>
        <w:rPr>
          <w:rFonts w:ascii="Times New Roman" w:hAnsi="Times New Roman" w:cs="Times New Roman"/>
          <w:bCs/>
          <w:kern w:val="2"/>
          <w:sz w:val="24"/>
          <w:szCs w:val="20"/>
        </w:rPr>
        <w:t>）《基金合同》生效公告</w:t>
      </w:r>
    </w:p>
    <w:p w14:paraId="276354A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lastRenderedPageBreak/>
        <w:t>基金管理人应当在收到中国证监会确认文件的次日在规定报刊和规定网站上登载《基金合同》生效公告。</w:t>
      </w:r>
    </w:p>
    <w:p w14:paraId="28B380E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四</w:t>
      </w:r>
      <w:r>
        <w:rPr>
          <w:rFonts w:ascii="Times New Roman" w:hAnsi="Times New Roman" w:cs="Times New Roman"/>
          <w:bCs/>
          <w:kern w:val="2"/>
          <w:sz w:val="24"/>
          <w:szCs w:val="20"/>
        </w:rPr>
        <w:t>）基金净值信息</w:t>
      </w:r>
    </w:p>
    <w:p w14:paraId="09650FE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《基金合同》生效后，在开始办理基金份额申购或者赎回前，基金管理人应当至少每周在规定网站</w:t>
      </w:r>
      <w:r>
        <w:rPr>
          <w:rFonts w:ascii="Times New Roman" w:hAnsi="Times New Roman" w:cs="Times New Roman" w:hint="eastAsia"/>
          <w:bCs/>
          <w:kern w:val="2"/>
          <w:sz w:val="24"/>
          <w:szCs w:val="20"/>
        </w:rPr>
        <w:t>披露</w:t>
      </w:r>
      <w:r>
        <w:rPr>
          <w:rFonts w:ascii="Times New Roman" w:hAnsi="Times New Roman" w:cs="Times New Roman"/>
          <w:bCs/>
          <w:kern w:val="2"/>
          <w:sz w:val="24"/>
          <w:szCs w:val="20"/>
        </w:rPr>
        <w:t>一次各类基金份额净值和各类基金份额累计净值。</w:t>
      </w:r>
    </w:p>
    <w:p w14:paraId="051F358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在开始办理基金份额申购或者赎回后，基金管理人应当在不晚于每个开放日的次日，通过规定网站、基金销售机构网站或者营业网点披露开放日的各类基金份额净值和各类基金份额累计净值。</w:t>
      </w:r>
    </w:p>
    <w:p w14:paraId="19547EF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基金管理人应当在不晚于半年度和年度最后一日的次日，在规定网站</w:t>
      </w:r>
      <w:r>
        <w:rPr>
          <w:rFonts w:ascii="Times New Roman" w:hAnsi="Times New Roman" w:cs="Times New Roman" w:hint="eastAsia"/>
          <w:bCs/>
          <w:kern w:val="2"/>
          <w:sz w:val="24"/>
          <w:szCs w:val="20"/>
        </w:rPr>
        <w:t>披露</w:t>
      </w:r>
      <w:r>
        <w:rPr>
          <w:rFonts w:ascii="Times New Roman" w:hAnsi="Times New Roman" w:cs="Times New Roman"/>
          <w:bCs/>
          <w:kern w:val="2"/>
          <w:sz w:val="24"/>
          <w:szCs w:val="20"/>
        </w:rPr>
        <w:t>半年度和年度最后一日的各类基金份额净值和各类基金份额累计净值。</w:t>
      </w:r>
    </w:p>
    <w:p w14:paraId="599883A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五</w:t>
      </w:r>
      <w:r>
        <w:rPr>
          <w:rFonts w:ascii="Times New Roman" w:hAnsi="Times New Roman" w:cs="Times New Roman"/>
          <w:bCs/>
          <w:kern w:val="2"/>
          <w:sz w:val="24"/>
          <w:szCs w:val="20"/>
        </w:rPr>
        <w:t>）基金份额申购、赎回价格</w:t>
      </w:r>
    </w:p>
    <w:p w14:paraId="4B0086E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6E43F37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六</w:t>
      </w:r>
      <w:r>
        <w:rPr>
          <w:rFonts w:ascii="Times New Roman" w:hAnsi="Times New Roman" w:cs="Times New Roman"/>
          <w:bCs/>
          <w:kern w:val="2"/>
          <w:sz w:val="24"/>
          <w:szCs w:val="20"/>
        </w:rPr>
        <w:t>）基金定期报告，包括基金年度报告、基金中期报告和基金季度报告（含资产组合季度报告）</w:t>
      </w:r>
    </w:p>
    <w:p w14:paraId="3FE08BE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基金管理人应当在每年结束之日起三个月内，编制完成基金年度报告，</w:t>
      </w:r>
      <w:bookmarkStart w:id="55" w:name="_Hlk70008101"/>
      <w:r>
        <w:rPr>
          <w:rFonts w:ascii="Times New Roman" w:hAnsi="Times New Roman" w:cs="Times New Roman"/>
          <w:bCs/>
          <w:kern w:val="2"/>
          <w:sz w:val="24"/>
          <w:szCs w:val="20"/>
        </w:rPr>
        <w:t>将年度报告登载于规定网站上，并将年度报告提示性公告登载在规定报刊上</w:t>
      </w:r>
      <w:bookmarkEnd w:id="55"/>
      <w:r>
        <w:rPr>
          <w:rFonts w:ascii="Times New Roman" w:hAnsi="Times New Roman" w:cs="Times New Roman"/>
          <w:bCs/>
          <w:kern w:val="2"/>
          <w:sz w:val="24"/>
          <w:szCs w:val="20"/>
        </w:rPr>
        <w:t>。基金年度报告中的财务会计报告应当经过符合《证券法》规定的会计师事务所审计。</w:t>
      </w:r>
    </w:p>
    <w:p w14:paraId="2464DFA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基金管理人应当在上半年结束之日起两个月内，编制完成基金中期报告，将中期报告</w:t>
      </w:r>
      <w:bookmarkStart w:id="56" w:name="_Hlk70008079"/>
      <w:r>
        <w:rPr>
          <w:rFonts w:ascii="Times New Roman" w:hAnsi="Times New Roman" w:cs="Times New Roman"/>
          <w:bCs/>
          <w:kern w:val="2"/>
          <w:sz w:val="24"/>
          <w:szCs w:val="20"/>
        </w:rPr>
        <w:t>登载在规定网站上，并将中期报告提示性公告登载在规定报刊上。</w:t>
      </w:r>
    </w:p>
    <w:bookmarkEnd w:id="56"/>
    <w:p w14:paraId="4CE4303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基金管理人应当在季度结束之日起</w:t>
      </w:r>
      <w:r>
        <w:rPr>
          <w:rFonts w:ascii="Times New Roman" w:hAnsi="Times New Roman" w:cs="Times New Roman"/>
          <w:bCs/>
          <w:kern w:val="2"/>
          <w:sz w:val="24"/>
          <w:szCs w:val="20"/>
        </w:rPr>
        <w:t xml:space="preserve"> 15 </w:t>
      </w:r>
      <w:r>
        <w:rPr>
          <w:rFonts w:ascii="Times New Roman" w:hAnsi="Times New Roman" w:cs="Times New Roman"/>
          <w:bCs/>
          <w:kern w:val="2"/>
          <w:sz w:val="24"/>
          <w:szCs w:val="20"/>
        </w:rPr>
        <w:t>个工作日内，编制完成基金季度报告，</w:t>
      </w:r>
      <w:r>
        <w:rPr>
          <w:rFonts w:ascii="Times New Roman" w:hAnsi="Times New Roman" w:cs="Times New Roman"/>
          <w:bCs/>
          <w:kern w:val="2"/>
          <w:sz w:val="24"/>
          <w:szCs w:val="20"/>
        </w:rPr>
        <w:t xml:space="preserve"> </w:t>
      </w:r>
      <w:bookmarkStart w:id="57" w:name="_Hlk70008280"/>
      <w:r>
        <w:rPr>
          <w:rFonts w:ascii="Times New Roman" w:hAnsi="Times New Roman" w:cs="Times New Roman"/>
          <w:bCs/>
          <w:kern w:val="2"/>
          <w:sz w:val="24"/>
          <w:szCs w:val="20"/>
        </w:rPr>
        <w:t>将季度报告登载在规定网站上，并将季度报告提示性公告登载在规定报刊上</w:t>
      </w:r>
      <w:bookmarkEnd w:id="57"/>
      <w:r>
        <w:rPr>
          <w:rFonts w:ascii="Times New Roman" w:hAnsi="Times New Roman" w:cs="Times New Roman"/>
          <w:bCs/>
          <w:kern w:val="2"/>
          <w:sz w:val="24"/>
          <w:szCs w:val="20"/>
        </w:rPr>
        <w:t>。</w:t>
      </w:r>
    </w:p>
    <w:p w14:paraId="691A195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《基金合同》生效不足</w:t>
      </w:r>
      <w:r>
        <w:rPr>
          <w:rFonts w:ascii="Times New Roman" w:hAnsi="Times New Roman" w:cs="Times New Roman"/>
          <w:bCs/>
          <w:kern w:val="2"/>
          <w:sz w:val="24"/>
          <w:szCs w:val="20"/>
        </w:rPr>
        <w:t xml:space="preserve"> 2 </w:t>
      </w:r>
      <w:r>
        <w:rPr>
          <w:rFonts w:ascii="Times New Roman" w:hAnsi="Times New Roman" w:cs="Times New Roman"/>
          <w:bCs/>
          <w:kern w:val="2"/>
          <w:sz w:val="24"/>
          <w:szCs w:val="20"/>
        </w:rPr>
        <w:t>个月的，基金管理人可以不编制当期季度报告、中期报告或者年度报告。</w:t>
      </w:r>
    </w:p>
    <w:p w14:paraId="294C539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基金运作期间，如报告期内出现单一投资者持有基金份额达到或超过基金总份额</w:t>
      </w:r>
      <w:r>
        <w:rPr>
          <w:rFonts w:ascii="Times New Roman" w:hAnsi="Times New Roman" w:cs="Times New Roman"/>
          <w:bCs/>
          <w:kern w:val="2"/>
          <w:sz w:val="24"/>
          <w:szCs w:val="20"/>
        </w:rPr>
        <w:t xml:space="preserve"> 20%</w:t>
      </w:r>
      <w:r>
        <w:rPr>
          <w:rFonts w:ascii="Times New Roman" w:hAnsi="Times New Roman" w:cs="Times New Roman"/>
          <w:bCs/>
          <w:kern w:val="2"/>
          <w:sz w:val="24"/>
          <w:szCs w:val="20"/>
        </w:rPr>
        <w:t>的情形，为保障其他投资者的权益，基金管理人至少应当在定期报告</w:t>
      </w:r>
      <w:r>
        <w:rPr>
          <w:rFonts w:ascii="Times New Roman" w:hAnsi="Times New Roman" w:cs="Times New Roman"/>
          <w:bCs/>
          <w:kern w:val="2"/>
          <w:sz w:val="24"/>
          <w:szCs w:val="20"/>
        </w:rPr>
        <w:t>“</w:t>
      </w:r>
      <w:r>
        <w:rPr>
          <w:rFonts w:ascii="Times New Roman" w:hAnsi="Times New Roman" w:cs="Times New Roman"/>
          <w:bCs/>
          <w:kern w:val="2"/>
          <w:sz w:val="24"/>
          <w:szCs w:val="20"/>
        </w:rPr>
        <w:t>影响投资者决策的其他重要信息</w:t>
      </w:r>
      <w:r>
        <w:rPr>
          <w:rFonts w:ascii="Times New Roman" w:hAnsi="Times New Roman" w:cs="Times New Roman"/>
          <w:bCs/>
          <w:kern w:val="2"/>
          <w:sz w:val="24"/>
          <w:szCs w:val="20"/>
        </w:rPr>
        <w:t>”</w:t>
      </w:r>
      <w:r>
        <w:rPr>
          <w:rFonts w:ascii="Times New Roman" w:hAnsi="Times New Roman" w:cs="Times New Roman"/>
          <w:bCs/>
          <w:kern w:val="2"/>
          <w:sz w:val="24"/>
          <w:szCs w:val="20"/>
        </w:rPr>
        <w:t>项下披露该投资者的类别、报告期末持有份额及占比、报告期内持有份额变化情况及本基金的特有风险，中国证监会认定的特殊情形除外。</w:t>
      </w:r>
    </w:p>
    <w:p w14:paraId="702F87E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本基金管理人应当在基金年度报告和中期报告中披露基金组合资产情况及其流</w:t>
      </w:r>
      <w:r>
        <w:rPr>
          <w:rFonts w:ascii="Times New Roman" w:hAnsi="Times New Roman" w:cs="Times New Roman"/>
          <w:bCs/>
          <w:kern w:val="2"/>
          <w:sz w:val="24"/>
          <w:szCs w:val="20"/>
        </w:rPr>
        <w:lastRenderedPageBreak/>
        <w:t>动性风险分析等。</w:t>
      </w:r>
    </w:p>
    <w:p w14:paraId="6A7E27D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法律法规或中国证监会对基金定期报告的编制要求有变更或不再要求某类定期报告的，基金管理人按照新的信息披露要求执行。</w:t>
      </w:r>
    </w:p>
    <w:p w14:paraId="04CAA16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七</w:t>
      </w:r>
      <w:r>
        <w:rPr>
          <w:rFonts w:ascii="Times New Roman" w:hAnsi="Times New Roman" w:cs="Times New Roman"/>
          <w:bCs/>
          <w:kern w:val="2"/>
          <w:sz w:val="24"/>
          <w:szCs w:val="20"/>
        </w:rPr>
        <w:t>）临时报告</w:t>
      </w:r>
    </w:p>
    <w:p w14:paraId="6C9E6E1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本基金发生重大事件，有关信息披露义务人应当按规定编制临时报告书，并登载在规定报刊和规定网站上。</w:t>
      </w:r>
    </w:p>
    <w:p w14:paraId="14F15BD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前款所称重大事件，是指可能对基金份额持有人权益或者基金份额的价格产生重大影响的下列事件：</w:t>
      </w:r>
    </w:p>
    <w:p w14:paraId="0A5E177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、基金份额持有人大会的召开及决定的事项；</w:t>
      </w:r>
    </w:p>
    <w:p w14:paraId="56B6CC1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、《基金合同》终止、基金清算；</w:t>
      </w:r>
    </w:p>
    <w:p w14:paraId="3DC0F12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、转换基金运作方式、基金合并；</w:t>
      </w:r>
    </w:p>
    <w:p w14:paraId="2DF0AB6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、更换基金管理人、基金托管人；</w:t>
      </w:r>
    </w:p>
    <w:p w14:paraId="04ED664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、基金管理人委托基金服务机构代为办理基金的份额登记、核算、估值等事项，基金托管人委托基金服务机构代为办理基金的核算、估值、复核等事项；</w:t>
      </w:r>
    </w:p>
    <w:p w14:paraId="2279073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6</w:t>
      </w:r>
      <w:r>
        <w:rPr>
          <w:rFonts w:ascii="Times New Roman" w:hAnsi="Times New Roman" w:cs="Times New Roman"/>
          <w:bCs/>
          <w:kern w:val="2"/>
          <w:sz w:val="24"/>
          <w:szCs w:val="20"/>
        </w:rPr>
        <w:t>、基金管理人、基金托管人的法定名称、住所发生变更；</w:t>
      </w:r>
    </w:p>
    <w:p w14:paraId="18175C0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7</w:t>
      </w:r>
      <w:r>
        <w:rPr>
          <w:rFonts w:ascii="Times New Roman" w:hAnsi="Times New Roman" w:cs="Times New Roman"/>
          <w:bCs/>
          <w:kern w:val="2"/>
          <w:sz w:val="24"/>
          <w:szCs w:val="20"/>
        </w:rPr>
        <w:t>、基金管理人变更持有百分之五以上股权的股东、变更基金管理人的实际控制人；</w:t>
      </w:r>
    </w:p>
    <w:p w14:paraId="5332E44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8</w:t>
      </w:r>
      <w:r>
        <w:rPr>
          <w:rFonts w:ascii="Times New Roman" w:hAnsi="Times New Roman" w:cs="Times New Roman"/>
          <w:bCs/>
          <w:kern w:val="2"/>
          <w:sz w:val="24"/>
          <w:szCs w:val="20"/>
        </w:rPr>
        <w:t>、基金募集期延长或提前结束募集；</w:t>
      </w:r>
    </w:p>
    <w:p w14:paraId="626BEF7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9</w:t>
      </w:r>
      <w:r>
        <w:rPr>
          <w:rFonts w:ascii="Times New Roman" w:hAnsi="Times New Roman" w:cs="Times New Roman"/>
          <w:bCs/>
          <w:kern w:val="2"/>
          <w:sz w:val="24"/>
          <w:szCs w:val="20"/>
        </w:rPr>
        <w:t>、基金管理人高级管理人员、基金经理和基金托管人专门基金托管部门负责人发生变动；</w:t>
      </w:r>
    </w:p>
    <w:p w14:paraId="61CEEEF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10</w:t>
      </w:r>
      <w:r>
        <w:rPr>
          <w:rFonts w:ascii="Times New Roman" w:hAnsi="Times New Roman" w:cs="Times New Roman"/>
          <w:bCs/>
          <w:kern w:val="2"/>
          <w:sz w:val="24"/>
          <w:szCs w:val="20"/>
        </w:rPr>
        <w:t>、基金管理人的董事在最近</w:t>
      </w:r>
      <w:r>
        <w:rPr>
          <w:rFonts w:ascii="Times New Roman" w:hAnsi="Times New Roman" w:cs="Times New Roman"/>
          <w:bCs/>
          <w:kern w:val="2"/>
          <w:sz w:val="24"/>
          <w:szCs w:val="20"/>
        </w:rPr>
        <w:t xml:space="preserve"> 12 </w:t>
      </w:r>
      <w:r>
        <w:rPr>
          <w:rFonts w:ascii="Times New Roman" w:hAnsi="Times New Roman" w:cs="Times New Roman"/>
          <w:bCs/>
          <w:kern w:val="2"/>
          <w:sz w:val="24"/>
          <w:szCs w:val="20"/>
        </w:rPr>
        <w:t>个月内变更超过百分之五十；</w:t>
      </w:r>
    </w:p>
    <w:p w14:paraId="5AB1624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11</w:t>
      </w:r>
      <w:r>
        <w:rPr>
          <w:rFonts w:ascii="Times New Roman" w:hAnsi="Times New Roman" w:cs="Times New Roman"/>
          <w:bCs/>
          <w:kern w:val="2"/>
          <w:sz w:val="24"/>
          <w:szCs w:val="20"/>
        </w:rPr>
        <w:t>、基金管理人、基金托管人专门基金托管部门的主要业务人员在最近</w:t>
      </w:r>
      <w:r>
        <w:rPr>
          <w:rFonts w:ascii="Times New Roman" w:hAnsi="Times New Roman" w:cs="Times New Roman"/>
          <w:bCs/>
          <w:kern w:val="2"/>
          <w:sz w:val="24"/>
          <w:szCs w:val="20"/>
        </w:rPr>
        <w:t xml:space="preserve"> 12</w:t>
      </w:r>
      <w:r>
        <w:rPr>
          <w:rFonts w:ascii="Times New Roman" w:hAnsi="Times New Roman" w:cs="Times New Roman"/>
          <w:bCs/>
          <w:kern w:val="2"/>
          <w:sz w:val="24"/>
          <w:szCs w:val="20"/>
        </w:rPr>
        <w:t>个月内变动超过百分之三十；</w:t>
      </w:r>
    </w:p>
    <w:p w14:paraId="6214FA2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12</w:t>
      </w:r>
      <w:r>
        <w:rPr>
          <w:rFonts w:ascii="Times New Roman" w:hAnsi="Times New Roman" w:cs="Times New Roman"/>
          <w:bCs/>
          <w:kern w:val="2"/>
          <w:sz w:val="24"/>
          <w:szCs w:val="20"/>
        </w:rPr>
        <w:t>、涉及基金管理业务、基金财产、基金托管业务的诉讼或仲裁；</w:t>
      </w:r>
    </w:p>
    <w:p w14:paraId="59CD0C9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13</w:t>
      </w:r>
      <w:r>
        <w:rPr>
          <w:rFonts w:ascii="Times New Roman" w:hAnsi="Times New Roman" w:cs="Times New Roman"/>
          <w:bCs/>
          <w:kern w:val="2"/>
          <w:sz w:val="24"/>
          <w:szCs w:val="20"/>
        </w:rPr>
        <w:t>、基金管理人或其高级管理人员、基金经理因基金管理业务相关行为受到重大行政处罚、刑事处罚，基金托管人或其专门基金托管部门负责人因基金托管业务相关行为受到重大行政处罚、刑事处罚；</w:t>
      </w:r>
    </w:p>
    <w:p w14:paraId="2A68208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14</w:t>
      </w:r>
      <w:r>
        <w:rPr>
          <w:rFonts w:ascii="Times New Roman" w:hAnsi="Times New Roman" w:cs="Times New Roman"/>
          <w:bCs/>
          <w:kern w:val="2"/>
          <w:sz w:val="24"/>
          <w:szCs w:val="20"/>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7B556B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lastRenderedPageBreak/>
        <w:t>15</w:t>
      </w:r>
      <w:r>
        <w:rPr>
          <w:rFonts w:ascii="Times New Roman" w:hAnsi="Times New Roman" w:cs="Times New Roman"/>
          <w:bCs/>
          <w:kern w:val="2"/>
          <w:sz w:val="24"/>
          <w:szCs w:val="20"/>
        </w:rPr>
        <w:t>、基金收益分配事项；</w:t>
      </w:r>
    </w:p>
    <w:p w14:paraId="02CCFC6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16</w:t>
      </w:r>
      <w:r>
        <w:rPr>
          <w:rFonts w:ascii="Times New Roman" w:hAnsi="Times New Roman" w:cs="Times New Roman"/>
          <w:bCs/>
          <w:kern w:val="2"/>
          <w:sz w:val="24"/>
          <w:szCs w:val="20"/>
        </w:rPr>
        <w:t>、管理费、托管费、销售服务费、申购费、赎回费等费用计提标准、计提方式和费率发生变更；</w:t>
      </w:r>
    </w:p>
    <w:p w14:paraId="0CFCE04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17</w:t>
      </w:r>
      <w:r>
        <w:rPr>
          <w:rFonts w:ascii="Times New Roman" w:hAnsi="Times New Roman" w:cs="Times New Roman"/>
          <w:bCs/>
          <w:kern w:val="2"/>
          <w:sz w:val="24"/>
          <w:szCs w:val="20"/>
        </w:rPr>
        <w:t>、任一类基金份额净值估值错误达该类基金份额净值百分之零点五；</w:t>
      </w:r>
    </w:p>
    <w:p w14:paraId="5C35C9B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18</w:t>
      </w:r>
      <w:r>
        <w:rPr>
          <w:rFonts w:ascii="Times New Roman" w:hAnsi="Times New Roman" w:cs="Times New Roman"/>
          <w:bCs/>
          <w:kern w:val="2"/>
          <w:sz w:val="24"/>
          <w:szCs w:val="20"/>
        </w:rPr>
        <w:t>、基金改聘会计师事务所；</w:t>
      </w:r>
    </w:p>
    <w:p w14:paraId="16890104"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19</w:t>
      </w:r>
      <w:r>
        <w:rPr>
          <w:rFonts w:ascii="Times New Roman" w:hAnsi="Times New Roman" w:cs="Times New Roman"/>
          <w:bCs/>
          <w:kern w:val="2"/>
          <w:sz w:val="24"/>
          <w:szCs w:val="20"/>
        </w:rPr>
        <w:t>、更换基金登记机构；</w:t>
      </w:r>
    </w:p>
    <w:p w14:paraId="20F8A4D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20</w:t>
      </w:r>
      <w:r>
        <w:rPr>
          <w:rFonts w:ascii="Times New Roman" w:hAnsi="Times New Roman" w:cs="Times New Roman"/>
          <w:bCs/>
          <w:kern w:val="2"/>
          <w:sz w:val="24"/>
          <w:szCs w:val="20"/>
        </w:rPr>
        <w:t>、本基金开始办理申购、赎回；</w:t>
      </w:r>
    </w:p>
    <w:p w14:paraId="7DD869E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21</w:t>
      </w:r>
      <w:r>
        <w:rPr>
          <w:rFonts w:ascii="Times New Roman" w:hAnsi="Times New Roman" w:cs="Times New Roman"/>
          <w:bCs/>
          <w:kern w:val="2"/>
          <w:sz w:val="24"/>
          <w:szCs w:val="20"/>
        </w:rPr>
        <w:t>、本基金发生巨额赎回并延期办理；</w:t>
      </w:r>
    </w:p>
    <w:p w14:paraId="72648E2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22</w:t>
      </w:r>
      <w:r>
        <w:rPr>
          <w:rFonts w:ascii="Times New Roman" w:hAnsi="Times New Roman" w:cs="Times New Roman"/>
          <w:bCs/>
          <w:kern w:val="2"/>
          <w:sz w:val="24"/>
          <w:szCs w:val="20"/>
        </w:rPr>
        <w:t>、本基金连续发生巨额赎回并暂停接受赎回申请或延缓支付赎回款项；</w:t>
      </w:r>
    </w:p>
    <w:p w14:paraId="16AF2F8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23</w:t>
      </w:r>
      <w:r>
        <w:rPr>
          <w:rFonts w:ascii="Times New Roman" w:hAnsi="Times New Roman" w:cs="Times New Roman"/>
          <w:bCs/>
          <w:kern w:val="2"/>
          <w:sz w:val="24"/>
          <w:szCs w:val="20"/>
        </w:rPr>
        <w:t>、本基金暂停接受申购、赎回申请或重新接受申购、赎回申请；</w:t>
      </w:r>
    </w:p>
    <w:p w14:paraId="59BF76D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24</w:t>
      </w:r>
      <w:r>
        <w:rPr>
          <w:rFonts w:ascii="Times New Roman" w:hAnsi="Times New Roman" w:cs="Times New Roman"/>
          <w:bCs/>
          <w:kern w:val="2"/>
          <w:sz w:val="24"/>
          <w:szCs w:val="20"/>
        </w:rPr>
        <w:t>、发生涉及基金申购、赎回事项调整或潜在影响投资者赎回等重大事项时；</w:t>
      </w:r>
    </w:p>
    <w:p w14:paraId="213F927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25</w:t>
      </w:r>
      <w:r>
        <w:rPr>
          <w:rFonts w:ascii="Times New Roman" w:hAnsi="Times New Roman" w:cs="Times New Roman"/>
          <w:bCs/>
          <w:kern w:val="2"/>
          <w:sz w:val="24"/>
          <w:szCs w:val="20"/>
        </w:rPr>
        <w:t>、基金管理人采用摆动定价机制进行估值；</w:t>
      </w:r>
    </w:p>
    <w:p w14:paraId="1EE2B01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26</w:t>
      </w:r>
      <w:r>
        <w:rPr>
          <w:rFonts w:ascii="Times New Roman" w:hAnsi="Times New Roman" w:cs="Times New Roman"/>
          <w:bCs/>
          <w:kern w:val="2"/>
          <w:sz w:val="24"/>
          <w:szCs w:val="20"/>
        </w:rPr>
        <w:t>、基金信息披露义务人认为可能对基金份额持有人权益或者基金份额的价格产生重大影响的其他事项或中国证监会规定和基金合同约定的其他事项。</w:t>
      </w:r>
    </w:p>
    <w:p w14:paraId="7989C8B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八</w:t>
      </w:r>
      <w:r>
        <w:rPr>
          <w:rFonts w:ascii="Times New Roman" w:hAnsi="Times New Roman" w:cs="Times New Roman"/>
          <w:bCs/>
          <w:kern w:val="2"/>
          <w:sz w:val="24"/>
          <w:szCs w:val="20"/>
        </w:rPr>
        <w:t>）澄清公告</w:t>
      </w:r>
    </w:p>
    <w:p w14:paraId="35E6832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674150B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九</w:t>
      </w:r>
      <w:r>
        <w:rPr>
          <w:rFonts w:ascii="Times New Roman" w:hAnsi="Times New Roman" w:cs="Times New Roman"/>
          <w:bCs/>
          <w:kern w:val="2"/>
          <w:sz w:val="24"/>
          <w:szCs w:val="20"/>
        </w:rPr>
        <w:t>）基金份额持有人大会决议</w:t>
      </w:r>
    </w:p>
    <w:p w14:paraId="4FC18FF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份额持有人大会决定的事项，应当依法报中国证监会备案，并予以公告。基金份额持有人依法自行召集基金份额持有人大会，基金管理人、基金托管人对基金份额持有人大会决定的事项不依法履行信息披露义务的，召集人应当履行相关信息披露义务。</w:t>
      </w:r>
    </w:p>
    <w:p w14:paraId="4FBD8FC9"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w:t>
      </w:r>
      <w:r>
        <w:rPr>
          <w:rFonts w:ascii="Times New Roman" w:hAnsi="Times New Roman" w:cs="Times New Roman" w:hint="eastAsia"/>
          <w:bCs/>
          <w:kern w:val="2"/>
          <w:sz w:val="24"/>
          <w:szCs w:val="20"/>
        </w:rPr>
        <w:t>十</w:t>
      </w:r>
      <w:r>
        <w:rPr>
          <w:rFonts w:ascii="Times New Roman" w:hAnsi="Times New Roman" w:cs="Times New Roman"/>
          <w:bCs/>
          <w:kern w:val="2"/>
          <w:sz w:val="24"/>
          <w:szCs w:val="20"/>
        </w:rPr>
        <w:t>）投资资产支持证券的信息披露</w:t>
      </w:r>
    </w:p>
    <w:p w14:paraId="3641F8A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投资资产支持证券，基金管理人应在基金年报及中期报告中披露其持有的资产支持证券总额、资产支持证券市值占基金净资产的比例和报告期末的资产支持证券明细。基金管理人应在基金季度报告中披露其持有的资产支持证券总额、资产支持证券市值占基金净资产的比例和报告期末按市值占基金净资产比例大小排序的前</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名资产支持证券明细。如将来法律法规或中国证监会有另行规定的，从其规定。</w:t>
      </w:r>
    </w:p>
    <w:p w14:paraId="1BEDB27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lastRenderedPageBreak/>
        <w:t>（十</w:t>
      </w:r>
      <w:r>
        <w:rPr>
          <w:rFonts w:ascii="Times New Roman" w:hAnsi="Times New Roman" w:cs="Times New Roman" w:hint="eastAsia"/>
          <w:bCs/>
          <w:kern w:val="2"/>
          <w:sz w:val="24"/>
          <w:szCs w:val="20"/>
        </w:rPr>
        <w:t>一</w:t>
      </w:r>
      <w:r>
        <w:rPr>
          <w:rFonts w:ascii="Times New Roman" w:hAnsi="Times New Roman" w:cs="Times New Roman"/>
          <w:bCs/>
          <w:kern w:val="2"/>
          <w:sz w:val="24"/>
          <w:szCs w:val="20"/>
        </w:rPr>
        <w:t>）投资于国债期货的信息披露</w:t>
      </w:r>
    </w:p>
    <w:p w14:paraId="08E4E3E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50084992"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（十</w:t>
      </w:r>
      <w:r>
        <w:rPr>
          <w:rFonts w:ascii="Times New Roman" w:hAnsi="Times New Roman" w:cs="Times New Roman" w:hint="eastAsia"/>
          <w:bCs/>
          <w:kern w:val="2"/>
          <w:sz w:val="24"/>
          <w:szCs w:val="20"/>
        </w:rPr>
        <w:t>二</w:t>
      </w:r>
      <w:r>
        <w:rPr>
          <w:rFonts w:ascii="Times New Roman" w:hAnsi="Times New Roman" w:cs="Times New Roman"/>
          <w:bCs/>
          <w:kern w:val="2"/>
          <w:sz w:val="24"/>
          <w:szCs w:val="20"/>
        </w:rPr>
        <w:t>）</w:t>
      </w:r>
      <w:r>
        <w:rPr>
          <w:rFonts w:ascii="Times New Roman" w:hAnsi="Times New Roman" w:cs="Times New Roman" w:hint="eastAsia"/>
          <w:bCs/>
          <w:kern w:val="2"/>
          <w:sz w:val="24"/>
          <w:szCs w:val="20"/>
        </w:rPr>
        <w:t>信用衍生品的投资情况</w:t>
      </w:r>
    </w:p>
    <w:p w14:paraId="68FB3D6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hint="eastAsia"/>
          <w:bCs/>
          <w:kern w:val="2"/>
          <w:sz w:val="24"/>
          <w:szCs w:val="20"/>
        </w:rPr>
        <w:t>基金应当在定期报告及招募说明书（更新）等文件中详细披露信用衍生品的投资情况，包括投资策略、持仓情况等，并充分揭示投资信用衍生品对本基金总体风险的影响以及是否符合既定的投资目标及策略。</w:t>
      </w:r>
    </w:p>
    <w:p w14:paraId="096F90AE"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（十</w:t>
      </w:r>
      <w:r>
        <w:rPr>
          <w:rFonts w:ascii="Times New Roman" w:hAnsi="Times New Roman" w:cs="Times New Roman" w:hint="eastAsia"/>
          <w:bCs/>
          <w:kern w:val="2"/>
          <w:sz w:val="24"/>
          <w:szCs w:val="20"/>
        </w:rPr>
        <w:t>三</w:t>
      </w:r>
      <w:r>
        <w:rPr>
          <w:rFonts w:ascii="Times New Roman" w:hAnsi="Times New Roman" w:cs="Times New Roman"/>
          <w:bCs/>
          <w:kern w:val="2"/>
          <w:sz w:val="24"/>
          <w:szCs w:val="20"/>
        </w:rPr>
        <w:t>）清算报告</w:t>
      </w:r>
    </w:p>
    <w:p w14:paraId="180E2B2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基金合同终止情形出现的，基金管理人应当依法组织基金财产清算小组对基金财产进行清算并作出清算报告。基金财产清算小组应当将清算报告登载在规定网站上，并将清算报告提示性公告登载在规定报刊上。</w:t>
      </w:r>
    </w:p>
    <w:p w14:paraId="7299EC4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（十</w:t>
      </w:r>
      <w:r>
        <w:rPr>
          <w:rFonts w:ascii="Times New Roman" w:hAnsi="Times New Roman" w:cs="Times New Roman" w:hint="eastAsia"/>
          <w:bCs/>
          <w:kern w:val="2"/>
          <w:sz w:val="24"/>
          <w:szCs w:val="20"/>
        </w:rPr>
        <w:t>四</w:t>
      </w:r>
      <w:r>
        <w:rPr>
          <w:rFonts w:ascii="Times New Roman" w:hAnsi="Times New Roman" w:cs="Times New Roman"/>
          <w:bCs/>
          <w:kern w:val="2"/>
          <w:sz w:val="24"/>
          <w:szCs w:val="20"/>
        </w:rPr>
        <w:t>）实施侧袋机制期间的信息披露</w:t>
      </w:r>
    </w:p>
    <w:p w14:paraId="160B393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本基金实施侧袋机制的，相关信息披露义务人应当根据法律法规、基金合同和招募说明书的规定进行信息披露，详见招募说明书的规定。</w:t>
      </w:r>
    </w:p>
    <w:p w14:paraId="479EB48B"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（十</w:t>
      </w:r>
      <w:r>
        <w:rPr>
          <w:rFonts w:ascii="Times New Roman" w:hAnsi="Times New Roman" w:cs="Times New Roman" w:hint="eastAsia"/>
          <w:bCs/>
          <w:kern w:val="2"/>
          <w:sz w:val="24"/>
          <w:szCs w:val="20"/>
        </w:rPr>
        <w:t>五</w:t>
      </w:r>
      <w:r>
        <w:rPr>
          <w:rFonts w:ascii="Times New Roman" w:hAnsi="Times New Roman" w:cs="Times New Roman"/>
          <w:bCs/>
          <w:kern w:val="2"/>
          <w:sz w:val="24"/>
          <w:szCs w:val="20"/>
        </w:rPr>
        <w:t>）中国证监会规定的其他信息。</w:t>
      </w:r>
    </w:p>
    <w:p w14:paraId="2E810FDD"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六、暂停或延迟信息披露的情形</w:t>
      </w:r>
    </w:p>
    <w:p w14:paraId="284A632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当出现下述情况时，基金管理人和基金托管人可暂停或延迟披露相关基金信息披露：</w:t>
      </w:r>
    </w:p>
    <w:p w14:paraId="48CBCA01"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58" w:name="_Hlk70008502"/>
      <w:r>
        <w:rPr>
          <w:rFonts w:ascii="Times New Roman" w:hAnsi="Times New Roman" w:cs="Times New Roman"/>
          <w:bCs/>
          <w:kern w:val="2"/>
          <w:sz w:val="24"/>
          <w:szCs w:val="20"/>
        </w:rPr>
        <w:t>1</w:t>
      </w:r>
      <w:r>
        <w:rPr>
          <w:rFonts w:ascii="Times New Roman" w:hAnsi="Times New Roman" w:cs="Times New Roman"/>
          <w:bCs/>
          <w:kern w:val="2"/>
          <w:sz w:val="24"/>
          <w:szCs w:val="20"/>
        </w:rPr>
        <w:t>、</w:t>
      </w:r>
      <w:r>
        <w:rPr>
          <w:rFonts w:ascii="Times New Roman" w:hAnsi="Times New Roman" w:cs="Times New Roman" w:hint="eastAsia"/>
          <w:bCs/>
          <w:kern w:val="2"/>
          <w:sz w:val="24"/>
          <w:szCs w:val="20"/>
        </w:rPr>
        <w:t>不可抗力</w:t>
      </w:r>
      <w:r>
        <w:rPr>
          <w:rFonts w:ascii="Times New Roman" w:hAnsi="Times New Roman" w:cs="Times New Roman"/>
          <w:bCs/>
          <w:kern w:val="2"/>
          <w:sz w:val="24"/>
          <w:szCs w:val="20"/>
        </w:rPr>
        <w:t>；</w:t>
      </w:r>
    </w:p>
    <w:p w14:paraId="4D117097"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w:t>
      </w:r>
      <w:r>
        <w:rPr>
          <w:rFonts w:ascii="Times New Roman" w:hAnsi="Times New Roman" w:cs="Times New Roman" w:hint="eastAsia"/>
          <w:bCs/>
          <w:kern w:val="2"/>
          <w:sz w:val="24"/>
          <w:szCs w:val="20"/>
        </w:rPr>
        <w:t>发生暂停估值的情形</w:t>
      </w:r>
      <w:r>
        <w:rPr>
          <w:rFonts w:ascii="Times New Roman" w:hAnsi="Times New Roman" w:cs="Times New Roman"/>
          <w:bCs/>
          <w:kern w:val="2"/>
          <w:sz w:val="24"/>
          <w:szCs w:val="20"/>
        </w:rPr>
        <w:t>；</w:t>
      </w:r>
    </w:p>
    <w:p w14:paraId="31191DB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、法律法规规定、中国证监会或《基金合同》认定的其他情形。</w:t>
      </w:r>
      <w:bookmarkEnd w:id="58"/>
    </w:p>
    <w:p w14:paraId="2B9676B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七、信息披露事务管理</w:t>
      </w:r>
    </w:p>
    <w:p w14:paraId="4654ED8C"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基金管理人、基金托管人应当建立健全信息披露管理制度，指定专门部门及高级管理人员负责管理信息披露事务。</w:t>
      </w:r>
    </w:p>
    <w:p w14:paraId="4329EE0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基金信息披露义务人公开披露基金信息，应当符合中国证监会相关基金信息披露内容与格式准则等法规的规定。</w:t>
      </w:r>
    </w:p>
    <w:p w14:paraId="3A9C3D2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基金托管人应当按照相关法律法规、中国证监会的规定和《基金合同》的约定，对基金管理人编制的基金资产净值、各类基金份额净值、基金份额申购赎回价格、</w:t>
      </w:r>
      <w:r>
        <w:rPr>
          <w:rFonts w:ascii="Times New Roman" w:hAnsi="Times New Roman" w:cs="Times New Roman"/>
          <w:bCs/>
          <w:kern w:val="2"/>
          <w:sz w:val="24"/>
          <w:szCs w:val="20"/>
        </w:rPr>
        <w:lastRenderedPageBreak/>
        <w:t>基金定期报告、更新的招募说明书、基金产品资料概要、基金清算报告等</w:t>
      </w:r>
      <w:r>
        <w:rPr>
          <w:rFonts w:ascii="Times New Roman" w:hAnsi="Times New Roman" w:cs="Times New Roman" w:hint="eastAsia"/>
          <w:bCs/>
          <w:kern w:val="2"/>
          <w:sz w:val="24"/>
          <w:szCs w:val="20"/>
        </w:rPr>
        <w:t>公开披露的</w:t>
      </w:r>
      <w:r>
        <w:rPr>
          <w:rFonts w:ascii="Times New Roman" w:hAnsi="Times New Roman" w:cs="Times New Roman"/>
          <w:bCs/>
          <w:kern w:val="2"/>
          <w:sz w:val="24"/>
          <w:szCs w:val="20"/>
        </w:rPr>
        <w:t>相关基金信息进行复核、审查，并向基金管理人进行书面或电子确认。</w:t>
      </w:r>
    </w:p>
    <w:p w14:paraId="16E3FCFB"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基金管理人、基金托管人应当在规定报刊中选择</w:t>
      </w:r>
      <w:r>
        <w:rPr>
          <w:rFonts w:ascii="Times New Roman" w:hAnsi="Times New Roman" w:cs="Times New Roman" w:hint="eastAsia"/>
          <w:bCs/>
          <w:kern w:val="2"/>
          <w:sz w:val="24"/>
          <w:szCs w:val="20"/>
        </w:rPr>
        <w:t>一家报刊</w:t>
      </w:r>
      <w:r>
        <w:rPr>
          <w:rFonts w:ascii="Times New Roman" w:hAnsi="Times New Roman" w:cs="Times New Roman"/>
          <w:bCs/>
          <w:kern w:val="2"/>
          <w:sz w:val="24"/>
          <w:szCs w:val="20"/>
        </w:rPr>
        <w:t>披露</w:t>
      </w:r>
      <w:r>
        <w:rPr>
          <w:rFonts w:ascii="Times New Roman" w:hAnsi="Times New Roman" w:cs="Times New Roman" w:hint="eastAsia"/>
          <w:bCs/>
          <w:kern w:val="2"/>
          <w:sz w:val="24"/>
          <w:szCs w:val="20"/>
        </w:rPr>
        <w:t>本基金</w:t>
      </w:r>
      <w:r>
        <w:rPr>
          <w:rFonts w:ascii="Times New Roman" w:hAnsi="Times New Roman" w:cs="Times New Roman"/>
          <w:bCs/>
          <w:kern w:val="2"/>
          <w:sz w:val="24"/>
          <w:szCs w:val="20"/>
        </w:rPr>
        <w:t>信息。</w:t>
      </w:r>
    </w:p>
    <w:p w14:paraId="436CF8E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基金管理人、基金托管人应当向中国证监会基金电子披露网站报送拟披露的基金信息，并保证相关报送信息的真实、准确、完整、及时。</w:t>
      </w:r>
    </w:p>
    <w:p w14:paraId="4695C04F"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相关规定。前述自主披露如产生信息披露费用，该费用不得从基金财产中列支。</w:t>
      </w:r>
    </w:p>
    <w:p w14:paraId="79FF835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基金管理人、基金托管人除依法在规定媒介上披露信息外，还可以根据需要在其他公共媒介披露信息，但是其他公共媒介不得早于规定媒介披露信息，并且在不同媒介上披露同一信息的内容应当一致。</w:t>
      </w:r>
    </w:p>
    <w:p w14:paraId="5A5EAF58"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为基金信息披露义务人公开披露的基金信息出具审计报告、法律意见书的专业机构，应当制作工作底稿，并将相关档案至少保存到《基金合同》终止后</w:t>
      </w:r>
      <w:r>
        <w:rPr>
          <w:rFonts w:ascii="Times New Roman" w:hAnsi="Times New Roman" w:cs="Times New Roman"/>
          <w:bCs/>
          <w:kern w:val="2"/>
          <w:sz w:val="24"/>
          <w:szCs w:val="20"/>
        </w:rPr>
        <w:t xml:space="preserve"> 10 </w:t>
      </w:r>
      <w:r>
        <w:rPr>
          <w:rFonts w:ascii="Times New Roman" w:hAnsi="Times New Roman" w:cs="Times New Roman"/>
          <w:bCs/>
          <w:kern w:val="2"/>
          <w:sz w:val="24"/>
          <w:szCs w:val="20"/>
        </w:rPr>
        <w:t>年。</w:t>
      </w:r>
    </w:p>
    <w:p w14:paraId="7D799DD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八、信息披露文件的存放与查阅</w:t>
      </w:r>
    </w:p>
    <w:p w14:paraId="3DA9C110"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bookmarkStart w:id="59" w:name="_Hlk70008579"/>
      <w:r>
        <w:rPr>
          <w:rFonts w:ascii="Times New Roman" w:hAnsi="Times New Roman" w:cs="Times New Roman"/>
          <w:bCs/>
          <w:kern w:val="2"/>
          <w:sz w:val="24"/>
          <w:szCs w:val="20"/>
        </w:rPr>
        <w:t>依法必须披露的信息发布后，基金管理人、基金托管人应当按照相关法律法规规定将信息置备于公司</w:t>
      </w:r>
      <w:r>
        <w:rPr>
          <w:rFonts w:ascii="Times New Roman" w:hAnsi="Times New Roman" w:cs="Times New Roman" w:hint="eastAsia"/>
          <w:bCs/>
          <w:kern w:val="2"/>
          <w:sz w:val="24"/>
          <w:szCs w:val="20"/>
        </w:rPr>
        <w:t>住所</w:t>
      </w:r>
      <w:r>
        <w:rPr>
          <w:rFonts w:ascii="Times New Roman" w:hAnsi="Times New Roman" w:cs="Times New Roman"/>
          <w:bCs/>
          <w:kern w:val="2"/>
          <w:sz w:val="24"/>
          <w:szCs w:val="20"/>
        </w:rPr>
        <w:t>，以供社会公众查阅、复制。</w:t>
      </w:r>
    </w:p>
    <w:bookmarkEnd w:id="54"/>
    <w:bookmarkEnd w:id="59"/>
    <w:p w14:paraId="346048DF" w14:textId="77777777" w:rsidR="00CD61EF" w:rsidRDefault="00CD61EF">
      <w:pPr>
        <w:spacing w:line="364" w:lineRule="auto"/>
        <w:sectPr w:rsidR="00CD61EF">
          <w:headerReference w:type="default" r:id="rId26"/>
          <w:footerReference w:type="default" r:id="rId27"/>
          <w:pgSz w:w="11910" w:h="16840"/>
          <w:pgMar w:top="1440" w:right="1440" w:bottom="1180" w:left="1680" w:header="877" w:footer="998" w:gutter="0"/>
          <w:cols w:space="720"/>
        </w:sectPr>
      </w:pPr>
    </w:p>
    <w:p w14:paraId="6CD8667B"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60" w:name="_Toc3748"/>
      <w:r>
        <w:rPr>
          <w:rFonts w:ascii="Times New Roman" w:eastAsia="宋体" w:hAnsi="Times New Roman" w:cs="Times New Roman"/>
          <w:bCs w:val="0"/>
          <w:szCs w:val="20"/>
        </w:rPr>
        <w:lastRenderedPageBreak/>
        <w:t>第十九部分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基金合同的</w:t>
      </w:r>
      <w:r>
        <w:rPr>
          <w:rFonts w:ascii="Times New Roman" w:eastAsia="宋体" w:hAnsi="Times New Roman" w:cs="Times New Roman" w:hint="eastAsia"/>
          <w:bCs w:val="0"/>
          <w:szCs w:val="20"/>
        </w:rPr>
        <w:t>变更、终止与基金财产的清算</w:t>
      </w:r>
      <w:bookmarkEnd w:id="60"/>
    </w:p>
    <w:p w14:paraId="44E063DC" w14:textId="77777777" w:rsidR="00CD61EF" w:rsidRDefault="00CD61EF">
      <w:pPr>
        <w:pStyle w:val="a5"/>
        <w:spacing w:before="13"/>
        <w:ind w:left="0" w:firstLine="0"/>
        <w:rPr>
          <w:rFonts w:ascii="Microsoft JhengHei"/>
          <w:b/>
          <w:sz w:val="32"/>
        </w:rPr>
      </w:pPr>
    </w:p>
    <w:p w14:paraId="6F63CD6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一、《基金合同》的变更</w:t>
      </w:r>
    </w:p>
    <w:p w14:paraId="62CBEA7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43EFCA3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、关于《基金合同》变更的基金份额持有人大会决议自生效后方可执行，</w:t>
      </w:r>
      <w:r>
        <w:rPr>
          <w:rFonts w:ascii="Times New Roman" w:hAnsi="Times New Roman" w:cs="Times New Roman"/>
          <w:bCs/>
          <w:kern w:val="2"/>
          <w:sz w:val="24"/>
          <w:szCs w:val="24"/>
        </w:rPr>
        <w:t xml:space="preserve"> </w:t>
      </w:r>
      <w:r>
        <w:rPr>
          <w:rFonts w:ascii="Times New Roman" w:hAnsi="Times New Roman" w:cs="Times New Roman"/>
          <w:bCs/>
          <w:kern w:val="2"/>
          <w:sz w:val="24"/>
          <w:szCs w:val="24"/>
        </w:rPr>
        <w:t>自决议生效后按规定在规定媒介公告。</w:t>
      </w:r>
    </w:p>
    <w:p w14:paraId="612CEBF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二、《基金合同》的终止事由</w:t>
      </w:r>
    </w:p>
    <w:p w14:paraId="1365D3C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有下列情形之一的，经履行相关程序后，《基金合同》应当终止：</w:t>
      </w:r>
    </w:p>
    <w:p w14:paraId="447A39BB"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、基金份额持有人大会决定终止的；</w:t>
      </w:r>
    </w:p>
    <w:p w14:paraId="20059CD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、基金管理人、基金托管人职责终止，在</w:t>
      </w:r>
      <w:r>
        <w:rPr>
          <w:rFonts w:ascii="Times New Roman" w:hAnsi="Times New Roman" w:cs="Times New Roman"/>
          <w:bCs/>
          <w:kern w:val="2"/>
          <w:sz w:val="24"/>
          <w:szCs w:val="24"/>
        </w:rPr>
        <w:t xml:space="preserve"> 6 </w:t>
      </w:r>
      <w:r>
        <w:rPr>
          <w:rFonts w:ascii="Times New Roman" w:hAnsi="Times New Roman" w:cs="Times New Roman"/>
          <w:bCs/>
          <w:kern w:val="2"/>
          <w:sz w:val="24"/>
          <w:szCs w:val="24"/>
        </w:rPr>
        <w:t>个月内没有新基金管理人、新基金托管人承接的；</w:t>
      </w:r>
    </w:p>
    <w:p w14:paraId="125FB3A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、《基金合同》约定的其他情形；</w:t>
      </w:r>
    </w:p>
    <w:p w14:paraId="7C7B3686"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4</w:t>
      </w:r>
      <w:r>
        <w:rPr>
          <w:rFonts w:ascii="Times New Roman" w:hAnsi="Times New Roman" w:cs="Times New Roman"/>
          <w:bCs/>
          <w:kern w:val="2"/>
          <w:sz w:val="24"/>
          <w:szCs w:val="24"/>
        </w:rPr>
        <w:t>、相关法律法规和中国证监会规定的其他情况。</w:t>
      </w:r>
    </w:p>
    <w:p w14:paraId="1DE7A95E"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三、基金财产的清算</w:t>
      </w:r>
    </w:p>
    <w:p w14:paraId="5B594A3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1</w:t>
      </w:r>
      <w:r>
        <w:rPr>
          <w:rFonts w:ascii="Times New Roman" w:hAnsi="Times New Roman" w:cs="Times New Roman"/>
          <w:bCs/>
          <w:kern w:val="2"/>
          <w:sz w:val="24"/>
          <w:szCs w:val="24"/>
        </w:rPr>
        <w:t>、基金财产清算小组：自出现《基金合同》终止事由之日起</w:t>
      </w:r>
      <w:r>
        <w:rPr>
          <w:rFonts w:ascii="Times New Roman" w:hAnsi="Times New Roman" w:cs="Times New Roman"/>
          <w:bCs/>
          <w:kern w:val="2"/>
          <w:sz w:val="24"/>
          <w:szCs w:val="24"/>
        </w:rPr>
        <w:t xml:space="preserve"> 30 </w:t>
      </w:r>
      <w:r>
        <w:rPr>
          <w:rFonts w:ascii="Times New Roman" w:hAnsi="Times New Roman" w:cs="Times New Roman"/>
          <w:bCs/>
          <w:kern w:val="2"/>
          <w:sz w:val="24"/>
          <w:szCs w:val="24"/>
        </w:rPr>
        <w:t>个工作日内成立清算小组，基金管理人组织基金财产清算小组并在中国证监会的监督下进行基金清算。</w:t>
      </w:r>
    </w:p>
    <w:p w14:paraId="0B80523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2</w:t>
      </w:r>
      <w:r>
        <w:rPr>
          <w:rFonts w:ascii="Times New Roman" w:hAnsi="Times New Roman" w:cs="Times New Roman"/>
          <w:bCs/>
          <w:kern w:val="2"/>
          <w:sz w:val="24"/>
          <w:szCs w:val="24"/>
        </w:rPr>
        <w:t>、基金财产清算小组组成：基金财产清算小组成员由</w:t>
      </w:r>
      <w:bookmarkStart w:id="61" w:name="_Hlk70009505"/>
      <w:r>
        <w:rPr>
          <w:rFonts w:ascii="Times New Roman" w:hAnsi="Times New Roman" w:cs="Times New Roman"/>
          <w:bCs/>
          <w:kern w:val="2"/>
          <w:sz w:val="24"/>
          <w:szCs w:val="24"/>
        </w:rPr>
        <w:t>基金管理人、基金托管人、符合《证券法》规定的注册会计师、律师以及中国证监会指定的人员组成。基金财产清算小组可以聘用必要的工作人员。</w:t>
      </w:r>
      <w:bookmarkEnd w:id="61"/>
    </w:p>
    <w:p w14:paraId="54DE8043"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3</w:t>
      </w:r>
      <w:r>
        <w:rPr>
          <w:rFonts w:ascii="Times New Roman" w:hAnsi="Times New Roman" w:cs="Times New Roman"/>
          <w:bCs/>
          <w:kern w:val="2"/>
          <w:sz w:val="24"/>
          <w:szCs w:val="24"/>
        </w:rPr>
        <w:t>、基金财产清算小组职责：基金财产清算小组负责基金财产的保管、清理、估价、变现和分配。基金财产清算小组可以依法进行必要的民事活动。</w:t>
      </w:r>
    </w:p>
    <w:p w14:paraId="76EB6F5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4</w:t>
      </w:r>
      <w:r>
        <w:rPr>
          <w:rFonts w:ascii="Times New Roman" w:hAnsi="Times New Roman" w:cs="Times New Roman"/>
          <w:bCs/>
          <w:kern w:val="2"/>
          <w:sz w:val="24"/>
          <w:szCs w:val="24"/>
        </w:rPr>
        <w:t>、基金财产清算程序：</w:t>
      </w:r>
    </w:p>
    <w:p w14:paraId="411B571D" w14:textId="534335A0"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bookmarkStart w:id="62" w:name="_Hlk70009574"/>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1</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《基金合同》终止情形出现时，由基金财产清算小组统一接管基金财产；</w:t>
      </w:r>
    </w:p>
    <w:p w14:paraId="50E9CCC6" w14:textId="2B086AB1"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2</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对基金财产和债权债务进行清理和确认；</w:t>
      </w:r>
    </w:p>
    <w:p w14:paraId="3461AE95" w14:textId="77777777" w:rsidR="00CD61EF" w:rsidRDefault="00CD61EF">
      <w:pPr>
        <w:autoSpaceDE/>
        <w:autoSpaceDN/>
        <w:spacing w:line="360" w:lineRule="auto"/>
        <w:ind w:firstLineChars="200" w:firstLine="480"/>
        <w:jc w:val="both"/>
        <w:rPr>
          <w:rFonts w:ascii="Times New Roman" w:hAnsi="Times New Roman" w:cs="Times New Roman"/>
          <w:bCs/>
          <w:kern w:val="2"/>
          <w:sz w:val="24"/>
          <w:szCs w:val="24"/>
        </w:rPr>
        <w:sectPr w:rsidR="00CD61EF">
          <w:pgSz w:w="11910" w:h="16840"/>
          <w:pgMar w:top="1440" w:right="1440" w:bottom="1180" w:left="1680" w:header="877" w:footer="998" w:gutter="0"/>
          <w:cols w:space="720"/>
        </w:sectPr>
      </w:pPr>
    </w:p>
    <w:p w14:paraId="22735E20" w14:textId="3BFB4FE8"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lastRenderedPageBreak/>
        <w:t>（</w:t>
      </w:r>
      <w:r>
        <w:rPr>
          <w:rFonts w:ascii="Times New Roman" w:hAnsi="Times New Roman" w:cs="Times New Roman" w:hint="eastAsia"/>
          <w:bCs/>
          <w:kern w:val="2"/>
          <w:sz w:val="24"/>
          <w:szCs w:val="24"/>
        </w:rPr>
        <w:t>3</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对基金财产进行估值和变现；</w:t>
      </w:r>
    </w:p>
    <w:p w14:paraId="3EEEBCDA" w14:textId="6F88DF7B"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4</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制作清算报告；</w:t>
      </w:r>
    </w:p>
    <w:p w14:paraId="67CFDF1E" w14:textId="2BBC18BE"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5</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聘请会计师事务所对清算报告进行外部审计，聘请律师事务所对清算报告出具法律意见书；</w:t>
      </w:r>
    </w:p>
    <w:p w14:paraId="2CAF7FA1" w14:textId="3FEA7F5F"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6</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将清算报告报中国证监会备案并公告；</w:t>
      </w:r>
    </w:p>
    <w:p w14:paraId="63C01562" w14:textId="57623D66" w:rsidR="00CD61EF" w:rsidRDefault="003933C5">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hint="eastAsia"/>
          <w:bCs/>
          <w:kern w:val="2"/>
          <w:sz w:val="24"/>
          <w:szCs w:val="24"/>
        </w:rPr>
        <w:t>（</w:t>
      </w:r>
      <w:r>
        <w:rPr>
          <w:rFonts w:ascii="Times New Roman" w:hAnsi="Times New Roman" w:cs="Times New Roman" w:hint="eastAsia"/>
          <w:bCs/>
          <w:kern w:val="2"/>
          <w:sz w:val="24"/>
          <w:szCs w:val="24"/>
        </w:rPr>
        <w:t>7</w:t>
      </w:r>
      <w:r>
        <w:rPr>
          <w:rFonts w:ascii="Times New Roman" w:hAnsi="Times New Roman" w:cs="Times New Roman" w:hint="eastAsia"/>
          <w:bCs/>
          <w:kern w:val="2"/>
          <w:sz w:val="24"/>
          <w:szCs w:val="24"/>
        </w:rPr>
        <w:t>）</w:t>
      </w:r>
      <w:r w:rsidR="002B79C0">
        <w:rPr>
          <w:rFonts w:ascii="Times New Roman" w:hAnsi="Times New Roman" w:cs="Times New Roman"/>
          <w:bCs/>
          <w:kern w:val="2"/>
          <w:sz w:val="24"/>
          <w:szCs w:val="24"/>
        </w:rPr>
        <w:t>对基金剩余财产进行分配。</w:t>
      </w:r>
    </w:p>
    <w:bookmarkEnd w:id="62"/>
    <w:p w14:paraId="5B013EE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5</w:t>
      </w:r>
      <w:r>
        <w:rPr>
          <w:rFonts w:ascii="Times New Roman" w:hAnsi="Times New Roman" w:cs="Times New Roman"/>
          <w:bCs/>
          <w:kern w:val="2"/>
          <w:sz w:val="24"/>
          <w:szCs w:val="24"/>
        </w:rPr>
        <w:t>、基金财产清算的期限为</w:t>
      </w:r>
      <w:r>
        <w:rPr>
          <w:rFonts w:ascii="Times New Roman" w:hAnsi="Times New Roman" w:cs="Times New Roman"/>
          <w:bCs/>
          <w:kern w:val="2"/>
          <w:sz w:val="24"/>
          <w:szCs w:val="24"/>
        </w:rPr>
        <w:t xml:space="preserve"> 6 </w:t>
      </w:r>
      <w:r>
        <w:rPr>
          <w:rFonts w:ascii="Times New Roman" w:hAnsi="Times New Roman" w:cs="Times New Roman"/>
          <w:bCs/>
          <w:kern w:val="2"/>
          <w:sz w:val="24"/>
          <w:szCs w:val="24"/>
        </w:rPr>
        <w:t>个月，但因本基金所持证券的流动性受到限制而不能及时变现的，清算期限相应顺延。</w:t>
      </w:r>
    </w:p>
    <w:p w14:paraId="59D6BF6A"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四、清算费用</w:t>
      </w:r>
    </w:p>
    <w:p w14:paraId="1E7A38C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清算费用是指基金财产清算小组在进行基金</w:t>
      </w:r>
      <w:r>
        <w:rPr>
          <w:rFonts w:ascii="Times New Roman" w:hAnsi="Times New Roman" w:cs="Times New Roman" w:hint="eastAsia"/>
          <w:bCs/>
          <w:kern w:val="2"/>
          <w:sz w:val="24"/>
          <w:szCs w:val="24"/>
        </w:rPr>
        <w:t>财产</w:t>
      </w:r>
      <w:r>
        <w:rPr>
          <w:rFonts w:ascii="Times New Roman" w:hAnsi="Times New Roman" w:cs="Times New Roman"/>
          <w:bCs/>
          <w:kern w:val="2"/>
          <w:sz w:val="24"/>
          <w:szCs w:val="24"/>
        </w:rPr>
        <w:t>清算过程中发生的所有合理费用，清算费用由基金财产清算小组优先从基金</w:t>
      </w:r>
      <w:r>
        <w:rPr>
          <w:rFonts w:ascii="Times New Roman" w:hAnsi="Times New Roman" w:cs="Times New Roman" w:hint="eastAsia"/>
          <w:bCs/>
          <w:kern w:val="2"/>
          <w:sz w:val="24"/>
          <w:szCs w:val="24"/>
        </w:rPr>
        <w:t>剩余</w:t>
      </w:r>
      <w:r>
        <w:rPr>
          <w:rFonts w:ascii="Times New Roman" w:hAnsi="Times New Roman" w:cs="Times New Roman"/>
          <w:bCs/>
          <w:kern w:val="2"/>
          <w:sz w:val="24"/>
          <w:szCs w:val="24"/>
        </w:rPr>
        <w:t>财产中支付。</w:t>
      </w:r>
    </w:p>
    <w:p w14:paraId="51DFDF29"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五、基金财产清算剩余资产的分配</w:t>
      </w:r>
    </w:p>
    <w:p w14:paraId="148117B1"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依据基金财产清算的分配方案，将基金财产清算后的全部剩余资产扣除基金财产清算费用、交纳所欠税款并清偿基金债务后，按基金份额持有人持有的基金份额比例进行分配。</w:t>
      </w:r>
    </w:p>
    <w:p w14:paraId="37769514"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六、基金财产清算的公告</w:t>
      </w:r>
    </w:p>
    <w:p w14:paraId="5B41E772"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清算过程中的有关重大事项须及时公告；基金财产清算报告经过符合《证券法》规定的会计师事务所审计并由律师事务所出具法律意见书后报中国证监会备案并公告。基金财产清算公告于基金财产清算报告报中国证监会备案后</w:t>
      </w:r>
      <w:r>
        <w:rPr>
          <w:rFonts w:ascii="Times New Roman" w:hAnsi="Times New Roman" w:cs="Times New Roman"/>
          <w:bCs/>
          <w:kern w:val="2"/>
          <w:sz w:val="24"/>
          <w:szCs w:val="24"/>
        </w:rPr>
        <w:t xml:space="preserve"> 5 </w:t>
      </w:r>
      <w:r>
        <w:rPr>
          <w:rFonts w:ascii="Times New Roman" w:hAnsi="Times New Roman" w:cs="Times New Roman"/>
          <w:bCs/>
          <w:kern w:val="2"/>
          <w:sz w:val="24"/>
          <w:szCs w:val="24"/>
        </w:rPr>
        <w:t>个工作日内由基金财产清算小组进行公告</w:t>
      </w:r>
      <w:r>
        <w:rPr>
          <w:rFonts w:ascii="Times New Roman" w:hAnsi="Times New Roman" w:cs="Times New Roman" w:hint="eastAsia"/>
          <w:bCs/>
          <w:kern w:val="2"/>
          <w:sz w:val="24"/>
          <w:szCs w:val="24"/>
        </w:rPr>
        <w:t>，基金财产清算小组应当将清算报告登载在规定网站上，并将清算报告提示性公告登载在规定报刊上</w:t>
      </w:r>
      <w:r>
        <w:rPr>
          <w:rFonts w:ascii="Times New Roman" w:hAnsi="Times New Roman" w:cs="Times New Roman"/>
          <w:bCs/>
          <w:kern w:val="2"/>
          <w:sz w:val="24"/>
          <w:szCs w:val="24"/>
        </w:rPr>
        <w:t>。</w:t>
      </w:r>
    </w:p>
    <w:p w14:paraId="0A58EFB0"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七、基金财产清算账册及文件的保存</w:t>
      </w:r>
    </w:p>
    <w:p w14:paraId="10EFDC4D"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基金财产清算账册及有关文件由基金托管人保存</w:t>
      </w:r>
      <w:r>
        <w:rPr>
          <w:rFonts w:ascii="Times New Roman" w:hAnsi="Times New Roman" w:cs="Times New Roman" w:hint="eastAsia"/>
          <w:bCs/>
          <w:kern w:val="2"/>
          <w:sz w:val="24"/>
          <w:szCs w:val="24"/>
        </w:rPr>
        <w:t>，保存期限不低于法律法规规定的最低期限</w:t>
      </w:r>
      <w:r>
        <w:rPr>
          <w:rFonts w:ascii="Times New Roman" w:hAnsi="Times New Roman" w:cs="Times New Roman"/>
          <w:bCs/>
          <w:kern w:val="2"/>
          <w:sz w:val="24"/>
          <w:szCs w:val="24"/>
        </w:rPr>
        <w:t>。</w:t>
      </w:r>
    </w:p>
    <w:p w14:paraId="5CE333A3" w14:textId="77777777" w:rsidR="00CD61EF" w:rsidRDefault="00CD61EF">
      <w:pPr>
        <w:sectPr w:rsidR="00CD61EF">
          <w:pgSz w:w="11910" w:h="16840"/>
          <w:pgMar w:top="1440" w:right="1440" w:bottom="1180" w:left="1680" w:header="877" w:footer="998" w:gutter="0"/>
          <w:cols w:space="720"/>
        </w:sectPr>
      </w:pPr>
    </w:p>
    <w:p w14:paraId="1340E0DD"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63" w:name="_Toc2311"/>
      <w:r>
        <w:rPr>
          <w:rFonts w:ascii="Times New Roman" w:eastAsia="宋体" w:hAnsi="Times New Roman" w:cs="Times New Roman"/>
          <w:bCs w:val="0"/>
          <w:szCs w:val="20"/>
        </w:rPr>
        <w:lastRenderedPageBreak/>
        <w:t>第二十部分</w:t>
      </w:r>
      <w:r>
        <w:rPr>
          <w:rFonts w:ascii="Times New Roman" w:eastAsia="宋体" w:hAnsi="Times New Roman" w:cs="Times New Roman"/>
          <w:bCs w:val="0"/>
          <w:szCs w:val="20"/>
        </w:rPr>
        <w:t xml:space="preserve"> </w:t>
      </w:r>
      <w:r>
        <w:rPr>
          <w:rFonts w:ascii="Times New Roman" w:eastAsia="宋体" w:hAnsi="Times New Roman" w:cs="Times New Roman" w:hint="eastAsia"/>
          <w:bCs w:val="0"/>
          <w:szCs w:val="20"/>
        </w:rPr>
        <w:t>违约责任</w:t>
      </w:r>
      <w:bookmarkEnd w:id="63"/>
    </w:p>
    <w:p w14:paraId="3AFF404C" w14:textId="77777777" w:rsidR="00CD61EF" w:rsidRDefault="00CD61EF">
      <w:pPr>
        <w:pStyle w:val="a5"/>
        <w:spacing w:before="0" w:line="360" w:lineRule="auto"/>
        <w:ind w:left="0" w:firstLine="0"/>
        <w:rPr>
          <w:spacing w:val="-3"/>
        </w:rPr>
      </w:pPr>
    </w:p>
    <w:p w14:paraId="6D527E6C"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ascii="Times New Roman" w:hAnsi="Times New Roman" w:cs="Times New Roman" w:hint="eastAsia"/>
          <w:bCs/>
          <w:kern w:val="2"/>
          <w:sz w:val="24"/>
          <w:szCs w:val="24"/>
        </w:rPr>
        <w:t>但是发生下列情况的，当事人免责：</w:t>
      </w:r>
    </w:p>
    <w:p w14:paraId="10C8D4C5"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1</w:t>
      </w:r>
      <w:r>
        <w:rPr>
          <w:rFonts w:ascii="Times New Roman" w:hAnsi="Times New Roman" w:cs="Times New Roman"/>
          <w:bCs/>
          <w:kern w:val="2"/>
          <w:sz w:val="24"/>
          <w:szCs w:val="24"/>
        </w:rPr>
        <w:t>、不可抗力；</w:t>
      </w:r>
    </w:p>
    <w:p w14:paraId="039753D3"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2</w:t>
      </w:r>
      <w:r>
        <w:rPr>
          <w:rFonts w:ascii="Times New Roman" w:hAnsi="Times New Roman" w:cs="Times New Roman"/>
          <w:bCs/>
          <w:kern w:val="2"/>
          <w:sz w:val="24"/>
          <w:szCs w:val="24"/>
        </w:rPr>
        <w:t>、基金管理人和</w:t>
      </w:r>
      <w:r>
        <w:rPr>
          <w:rFonts w:ascii="Times New Roman" w:hAnsi="Times New Roman" w:cs="Times New Roman"/>
          <w:bCs/>
          <w:kern w:val="2"/>
          <w:sz w:val="24"/>
          <w:szCs w:val="24"/>
        </w:rPr>
        <w:t>/</w:t>
      </w:r>
      <w:r>
        <w:rPr>
          <w:rFonts w:ascii="Times New Roman" w:hAnsi="Times New Roman" w:cs="Times New Roman"/>
          <w:bCs/>
          <w:kern w:val="2"/>
          <w:sz w:val="24"/>
          <w:szCs w:val="24"/>
        </w:rPr>
        <w:t>或基金托管人按照当时有效的法律法规或中国证监会的规定作为或不作为而造成的损失等；</w:t>
      </w:r>
    </w:p>
    <w:p w14:paraId="5F77795A"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4"/>
        </w:rPr>
      </w:pPr>
      <w:r>
        <w:rPr>
          <w:rFonts w:ascii="Times New Roman" w:hAnsi="Times New Roman" w:cs="Times New Roman"/>
          <w:bCs/>
          <w:kern w:val="2"/>
          <w:sz w:val="24"/>
          <w:szCs w:val="24"/>
        </w:rPr>
        <w:t>3</w:t>
      </w:r>
      <w:r>
        <w:rPr>
          <w:rFonts w:ascii="Times New Roman" w:hAnsi="Times New Roman" w:cs="Times New Roman"/>
          <w:bCs/>
          <w:kern w:val="2"/>
          <w:sz w:val="24"/>
          <w:szCs w:val="24"/>
        </w:rPr>
        <w:t>、基金管理人由于按照基金合同规定的投资原则行使或不行使其投资权而造成的损失等。</w:t>
      </w:r>
    </w:p>
    <w:p w14:paraId="05775847"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二、在发生一方或多方违约的情况下，在最大限度地保护基金份额持有人利益的前提下，《基金合同》能够继续履行的应当继续履行。非违约方当事人在职责范围内有义务及时采取必要的措施，</w:t>
      </w:r>
      <w:r>
        <w:rPr>
          <w:rFonts w:ascii="Times New Roman" w:hAnsi="Times New Roman" w:cs="Times New Roman" w:hint="eastAsia"/>
          <w:bCs/>
          <w:kern w:val="2"/>
          <w:sz w:val="24"/>
          <w:szCs w:val="24"/>
        </w:rPr>
        <w:t>尽力</w:t>
      </w:r>
      <w:r>
        <w:rPr>
          <w:rFonts w:ascii="Times New Roman" w:hAnsi="Times New Roman" w:cs="Times New Roman"/>
          <w:bCs/>
          <w:kern w:val="2"/>
          <w:sz w:val="24"/>
          <w:szCs w:val="24"/>
        </w:rPr>
        <w:t>防止损失的扩大。没有采取适当措施致使损失进一步扩大的，不得就扩大的损失要求赔偿。非违约方因防止损失扩大而支出的合理费用由违约方承担。</w:t>
      </w:r>
    </w:p>
    <w:p w14:paraId="4E824275" w14:textId="77777777" w:rsidR="00CD61EF" w:rsidRDefault="002B79C0">
      <w:pPr>
        <w:autoSpaceDE/>
        <w:autoSpaceDN/>
        <w:spacing w:line="360" w:lineRule="auto"/>
        <w:ind w:firstLineChars="200" w:firstLine="480"/>
        <w:jc w:val="both"/>
        <w:rPr>
          <w:rFonts w:ascii="Times New Roman" w:hAnsi="Times New Roman" w:cs="Times New Roman"/>
          <w:bCs/>
          <w:kern w:val="2"/>
        </w:rPr>
      </w:pPr>
      <w:r>
        <w:rPr>
          <w:rFonts w:ascii="Times New Roman" w:hAnsi="Times New Roman" w:cs="Times New Roman"/>
          <w:bCs/>
          <w:kern w:val="2"/>
          <w:sz w:val="24"/>
          <w:szCs w:val="24"/>
        </w:rPr>
        <w:t>三、由于基金管理人、基金托管人不可控制的因素导致业务出现差错，基金管理人和基金托管人虽然已经采取必要、适当、合理的措施进行检查，但是未能发现错误或虽发现错误但因前述原因无法及时更正的，由此造成基金财产或投资人损失，基金管理人和基金托管人免除赔偿责任。但是基金管理人和基金托管人应积极采取必要的措施消除或减轻由此造成的影响。</w:t>
      </w:r>
    </w:p>
    <w:p w14:paraId="763C51DA" w14:textId="77777777" w:rsidR="00CD61EF" w:rsidRDefault="00CD61EF">
      <w:pPr>
        <w:spacing w:line="364" w:lineRule="auto"/>
        <w:jc w:val="both"/>
        <w:sectPr w:rsidR="00CD61EF">
          <w:pgSz w:w="11910" w:h="16840"/>
          <w:pgMar w:top="1440" w:right="1440" w:bottom="1180" w:left="1680" w:header="877" w:footer="998" w:gutter="0"/>
          <w:cols w:space="720"/>
        </w:sectPr>
      </w:pPr>
    </w:p>
    <w:p w14:paraId="031CFFC0"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64" w:name="_Toc10822"/>
      <w:r>
        <w:rPr>
          <w:rFonts w:ascii="Times New Roman" w:eastAsia="宋体" w:hAnsi="Times New Roman" w:cs="Times New Roman"/>
          <w:bCs w:val="0"/>
          <w:szCs w:val="20"/>
        </w:rPr>
        <w:lastRenderedPageBreak/>
        <w:t>第二十一部分</w:t>
      </w:r>
      <w:r>
        <w:rPr>
          <w:rFonts w:ascii="Times New Roman" w:eastAsia="宋体" w:hAnsi="Times New Roman" w:cs="Times New Roman"/>
          <w:bCs w:val="0"/>
          <w:szCs w:val="20"/>
        </w:rPr>
        <w:t xml:space="preserve"> </w:t>
      </w:r>
      <w:r>
        <w:rPr>
          <w:rFonts w:ascii="Times New Roman" w:eastAsia="宋体" w:hAnsi="Times New Roman" w:cs="Times New Roman" w:hint="eastAsia"/>
          <w:bCs w:val="0"/>
          <w:szCs w:val="20"/>
        </w:rPr>
        <w:t>争议的处理和适用的法律</w:t>
      </w:r>
      <w:bookmarkEnd w:id="64"/>
    </w:p>
    <w:p w14:paraId="0A8C1D6E" w14:textId="77777777" w:rsidR="00CD61EF" w:rsidRDefault="00CD61EF">
      <w:pPr>
        <w:pStyle w:val="a5"/>
        <w:spacing w:before="7"/>
        <w:ind w:left="0" w:firstLine="0"/>
        <w:rPr>
          <w:spacing w:val="-3"/>
        </w:rPr>
      </w:pPr>
    </w:p>
    <w:p w14:paraId="3C51ACAD" w14:textId="77777777" w:rsidR="00CD61EF" w:rsidRDefault="002B79C0">
      <w:pPr>
        <w:autoSpaceDE/>
        <w:autoSpaceDN/>
        <w:spacing w:line="360" w:lineRule="auto"/>
        <w:ind w:firstLineChars="200" w:firstLine="480"/>
        <w:jc w:val="both"/>
        <w:rPr>
          <w:rFonts w:ascii="Times New Roman" w:hAnsi="Times New Roman" w:cs="Times New Roman"/>
          <w:bCs/>
          <w:kern w:val="2"/>
          <w:sz w:val="24"/>
          <w:szCs w:val="20"/>
        </w:rPr>
      </w:pPr>
      <w:r>
        <w:rPr>
          <w:rFonts w:ascii="Times New Roman" w:hAnsi="Times New Roman" w:cs="Times New Roman"/>
          <w:bCs/>
          <w:kern w:val="2"/>
          <w:sz w:val="24"/>
          <w:szCs w:val="20"/>
        </w:rPr>
        <w:t>各方当事人同意，因《基金合同》而产生的或与《基金合同》有关的一切争议，如经友好协商未能解决的，</w:t>
      </w:r>
      <w:bookmarkStart w:id="65" w:name="_Hlk70009633"/>
      <w:r>
        <w:rPr>
          <w:rFonts w:ascii="Times New Roman" w:hAnsi="Times New Roman" w:cs="Times New Roman" w:hint="eastAsia"/>
          <w:bCs/>
          <w:kern w:val="2"/>
          <w:sz w:val="24"/>
          <w:szCs w:val="20"/>
        </w:rPr>
        <w:t>任何一方均有权将争议提交深圳国际仲裁院，按照深圳国际仲裁院届时有效的仲裁规则进行仲裁。仲裁地点为深圳市。仲裁裁决是终局的，对各方当事人均有约束力，除非仲裁裁决另有规定，仲裁费用由败诉方承担。</w:t>
      </w:r>
    </w:p>
    <w:bookmarkEnd w:id="65"/>
    <w:p w14:paraId="245A3DA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争议处理期间，</w:t>
      </w:r>
      <w:r>
        <w:rPr>
          <w:rFonts w:ascii="Times New Roman" w:hAnsi="Times New Roman" w:cs="Times New Roman" w:hint="eastAsia"/>
          <w:bCs/>
          <w:kern w:val="2"/>
          <w:sz w:val="24"/>
          <w:szCs w:val="20"/>
        </w:rPr>
        <w:t>基金管理人、基金托管人</w:t>
      </w:r>
      <w:r>
        <w:rPr>
          <w:rFonts w:ascii="Times New Roman" w:hAnsi="Times New Roman" w:cs="Times New Roman"/>
          <w:bCs/>
          <w:kern w:val="2"/>
          <w:sz w:val="24"/>
          <w:szCs w:val="20"/>
        </w:rPr>
        <w:t>应恪守各自的职责，继续忠实、勤勉、尽责地履行《基金合同》规定的义务，维护基金份额持有人的合法权益。</w:t>
      </w:r>
    </w:p>
    <w:p w14:paraId="34FC384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《基金合同》受中国法律</w:t>
      </w:r>
      <w:bookmarkStart w:id="66" w:name="_Hlk70009653"/>
      <w:r>
        <w:rPr>
          <w:rFonts w:ascii="Times New Roman" w:hAnsi="Times New Roman" w:cs="Times New Roman"/>
          <w:bCs/>
          <w:kern w:val="2"/>
          <w:sz w:val="24"/>
          <w:szCs w:val="20"/>
        </w:rPr>
        <w:t>（为本</w:t>
      </w:r>
      <w:r>
        <w:rPr>
          <w:rFonts w:ascii="Times New Roman" w:hAnsi="Times New Roman" w:cs="Times New Roman" w:hint="eastAsia"/>
          <w:bCs/>
          <w:kern w:val="2"/>
          <w:sz w:val="24"/>
          <w:szCs w:val="20"/>
        </w:rPr>
        <w:t>基金</w:t>
      </w:r>
      <w:r>
        <w:rPr>
          <w:rFonts w:ascii="Times New Roman" w:hAnsi="Times New Roman" w:cs="Times New Roman"/>
          <w:bCs/>
          <w:kern w:val="2"/>
          <w:sz w:val="24"/>
          <w:szCs w:val="20"/>
        </w:rPr>
        <w:t>合同之目的，不包括香港特别行政区、澳门特别行政区和台湾地区法律）</w:t>
      </w:r>
      <w:bookmarkEnd w:id="66"/>
      <w:r>
        <w:rPr>
          <w:rFonts w:ascii="Times New Roman" w:hAnsi="Times New Roman" w:cs="Times New Roman"/>
          <w:bCs/>
          <w:kern w:val="2"/>
          <w:sz w:val="24"/>
          <w:szCs w:val="20"/>
        </w:rPr>
        <w:t>管辖。</w:t>
      </w:r>
    </w:p>
    <w:p w14:paraId="4B074133" w14:textId="77777777" w:rsidR="00CD61EF" w:rsidRDefault="00CD61EF">
      <w:pPr>
        <w:spacing w:line="364" w:lineRule="auto"/>
        <w:sectPr w:rsidR="00CD61EF">
          <w:pgSz w:w="11910" w:h="16840"/>
          <w:pgMar w:top="1440" w:right="1440" w:bottom="1180" w:left="1680" w:header="877" w:footer="998" w:gutter="0"/>
          <w:cols w:space="720"/>
        </w:sectPr>
      </w:pPr>
    </w:p>
    <w:p w14:paraId="705D19B7"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67" w:name="_Toc10948"/>
      <w:r>
        <w:rPr>
          <w:rFonts w:ascii="Times New Roman" w:eastAsia="宋体" w:hAnsi="Times New Roman" w:cs="Times New Roman"/>
          <w:bCs w:val="0"/>
          <w:szCs w:val="20"/>
        </w:rPr>
        <w:lastRenderedPageBreak/>
        <w:t>第二十二部分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基金合同的效力</w:t>
      </w:r>
      <w:bookmarkEnd w:id="67"/>
    </w:p>
    <w:p w14:paraId="3EB079AA" w14:textId="77777777" w:rsidR="00CD61EF" w:rsidRDefault="00CD61EF">
      <w:pPr>
        <w:pStyle w:val="a5"/>
        <w:spacing w:before="13"/>
        <w:ind w:left="0" w:firstLine="0"/>
        <w:rPr>
          <w:rFonts w:ascii="Microsoft JhengHei"/>
          <w:b/>
          <w:sz w:val="32"/>
        </w:rPr>
      </w:pPr>
    </w:p>
    <w:p w14:paraId="1338561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《基金合同》是约定基金合同当事人之间权利义务关系的法律文件。</w:t>
      </w:r>
    </w:p>
    <w:p w14:paraId="734B4FF9"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1</w:t>
      </w:r>
      <w:r>
        <w:rPr>
          <w:rFonts w:ascii="Times New Roman" w:hAnsi="Times New Roman" w:cs="Times New Roman"/>
          <w:bCs/>
          <w:kern w:val="2"/>
          <w:sz w:val="24"/>
          <w:szCs w:val="20"/>
        </w:rPr>
        <w:t>、《基金合同》经基金管理人、基金托管人双方盖章以及双方法定代表人或授权代表签章并在募集结束后经基金管理人向中国证监会办理基金备案手续，并经中国证监会书面确认后生效。</w:t>
      </w:r>
    </w:p>
    <w:p w14:paraId="2B47F653"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2</w:t>
      </w:r>
      <w:r>
        <w:rPr>
          <w:rFonts w:ascii="Times New Roman" w:hAnsi="Times New Roman" w:cs="Times New Roman"/>
          <w:bCs/>
          <w:kern w:val="2"/>
          <w:sz w:val="24"/>
          <w:szCs w:val="20"/>
        </w:rPr>
        <w:t>、《基金合同》的有效期自其生效之日起至基金财产清算结果报中国证监会备案并公告之日止。</w:t>
      </w:r>
    </w:p>
    <w:p w14:paraId="02C1932A"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3</w:t>
      </w:r>
      <w:r>
        <w:rPr>
          <w:rFonts w:ascii="Times New Roman" w:hAnsi="Times New Roman" w:cs="Times New Roman"/>
          <w:bCs/>
          <w:kern w:val="2"/>
          <w:sz w:val="24"/>
          <w:szCs w:val="20"/>
        </w:rPr>
        <w:t>、《基金合同》自生效之日起对包括基金管理人、基金托管人和基金份额持有人在内的《基金合同》各方当事人具有同等的法律约束力。</w:t>
      </w:r>
    </w:p>
    <w:p w14:paraId="573770E6"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4</w:t>
      </w:r>
      <w:r>
        <w:rPr>
          <w:rFonts w:ascii="Times New Roman" w:hAnsi="Times New Roman" w:cs="Times New Roman"/>
          <w:bCs/>
          <w:kern w:val="2"/>
          <w:sz w:val="24"/>
          <w:szCs w:val="20"/>
        </w:rPr>
        <w:t>、《基金合同》正本一式六份，除上报有关监管机构一式二份外，基金管理人、基金托管人各持有二份，每份具有同等的法律效力。</w:t>
      </w:r>
    </w:p>
    <w:p w14:paraId="04F2FBB5" w14:textId="77777777" w:rsidR="00CD61EF" w:rsidRDefault="002B79C0">
      <w:pPr>
        <w:autoSpaceDE/>
        <w:autoSpaceDN/>
        <w:spacing w:line="360" w:lineRule="auto"/>
        <w:ind w:firstLineChars="200" w:firstLine="480"/>
        <w:jc w:val="both"/>
        <w:rPr>
          <w:rFonts w:ascii="Times New Roman" w:hAnsi="Times New Roman" w:cs="Times New Roman"/>
          <w:bCs/>
          <w:kern w:val="2"/>
          <w:szCs w:val="20"/>
        </w:rPr>
      </w:pPr>
      <w:r>
        <w:rPr>
          <w:rFonts w:ascii="Times New Roman" w:hAnsi="Times New Roman" w:cs="Times New Roman"/>
          <w:bCs/>
          <w:kern w:val="2"/>
          <w:sz w:val="24"/>
          <w:szCs w:val="20"/>
        </w:rPr>
        <w:t>5</w:t>
      </w:r>
      <w:r>
        <w:rPr>
          <w:rFonts w:ascii="Times New Roman" w:hAnsi="Times New Roman" w:cs="Times New Roman"/>
          <w:bCs/>
          <w:kern w:val="2"/>
          <w:sz w:val="24"/>
          <w:szCs w:val="20"/>
        </w:rPr>
        <w:t>、《基金合同》可印制成册，供投资者在基金管理人、基金托管人、销售机构的办公场所和营业场所查阅。</w:t>
      </w:r>
    </w:p>
    <w:p w14:paraId="78AEF231" w14:textId="77777777" w:rsidR="00CD61EF" w:rsidRDefault="00CD61EF">
      <w:pPr>
        <w:spacing w:line="364" w:lineRule="auto"/>
        <w:sectPr w:rsidR="00CD61EF">
          <w:pgSz w:w="11910" w:h="16840"/>
          <w:pgMar w:top="1440" w:right="1440" w:bottom="1180" w:left="1680" w:header="877" w:footer="998" w:gutter="0"/>
          <w:cols w:space="720"/>
        </w:sectPr>
      </w:pPr>
    </w:p>
    <w:p w14:paraId="6A8E3EC7" w14:textId="77777777" w:rsidR="00CD61EF" w:rsidRDefault="002B79C0">
      <w:pPr>
        <w:pStyle w:val="1"/>
        <w:keepNext/>
        <w:keepLines/>
        <w:autoSpaceDE/>
        <w:autoSpaceDN/>
        <w:spacing w:before="0" w:line="360" w:lineRule="auto"/>
        <w:ind w:left="0" w:right="0"/>
        <w:rPr>
          <w:rFonts w:ascii="Times New Roman" w:eastAsia="宋体" w:hAnsi="Times New Roman" w:cs="Times New Roman"/>
          <w:bCs w:val="0"/>
          <w:szCs w:val="20"/>
        </w:rPr>
      </w:pPr>
      <w:bookmarkStart w:id="68" w:name="_Toc31816"/>
      <w:r>
        <w:rPr>
          <w:rFonts w:ascii="Times New Roman" w:eastAsia="宋体" w:hAnsi="Times New Roman" w:cs="Times New Roman"/>
          <w:bCs w:val="0"/>
          <w:szCs w:val="20"/>
        </w:rPr>
        <w:lastRenderedPageBreak/>
        <w:t>第二十三部分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其他事</w:t>
      </w:r>
      <w:r>
        <w:rPr>
          <w:rFonts w:ascii="Times New Roman" w:eastAsia="宋体" w:hAnsi="Times New Roman" w:cs="Times New Roman" w:hint="eastAsia"/>
          <w:bCs w:val="0"/>
          <w:szCs w:val="20"/>
        </w:rPr>
        <w:t>项</w:t>
      </w:r>
      <w:bookmarkEnd w:id="68"/>
    </w:p>
    <w:p w14:paraId="6E0B5798" w14:textId="77777777" w:rsidR="00CD61EF" w:rsidRDefault="00CD61EF">
      <w:pPr>
        <w:autoSpaceDE/>
        <w:autoSpaceDN/>
        <w:spacing w:line="360" w:lineRule="auto"/>
        <w:ind w:firstLineChars="200" w:firstLine="480"/>
        <w:jc w:val="both"/>
        <w:rPr>
          <w:rFonts w:cs="Times New Roman"/>
          <w:kern w:val="2"/>
          <w:sz w:val="24"/>
          <w:szCs w:val="20"/>
        </w:rPr>
      </w:pPr>
    </w:p>
    <w:p w14:paraId="442C535C" w14:textId="77777777" w:rsidR="00CD61EF" w:rsidRDefault="002B79C0">
      <w:pPr>
        <w:autoSpaceDE/>
        <w:autoSpaceDN/>
        <w:spacing w:line="360" w:lineRule="auto"/>
        <w:ind w:firstLineChars="200" w:firstLine="480"/>
        <w:jc w:val="both"/>
        <w:rPr>
          <w:rFonts w:cs="Times New Roman"/>
          <w:kern w:val="2"/>
          <w:szCs w:val="20"/>
        </w:rPr>
      </w:pPr>
      <w:r>
        <w:rPr>
          <w:rFonts w:cs="Times New Roman"/>
          <w:kern w:val="2"/>
          <w:sz w:val="24"/>
          <w:szCs w:val="20"/>
        </w:rPr>
        <w:t>《基金合同》如有未尽事宜，由《基金合同》当事人各方按有关法律法规协商解决。</w:t>
      </w:r>
    </w:p>
    <w:p w14:paraId="7386D50C" w14:textId="77777777" w:rsidR="00CD61EF" w:rsidRDefault="00CD61EF">
      <w:pPr>
        <w:spacing w:line="364" w:lineRule="auto"/>
        <w:sectPr w:rsidR="00CD61EF">
          <w:pgSz w:w="11910" w:h="16840"/>
          <w:pgMar w:top="1440" w:right="1440" w:bottom="1180" w:left="1680" w:header="877" w:footer="998" w:gutter="0"/>
          <w:cols w:space="720"/>
        </w:sectPr>
      </w:pPr>
    </w:p>
    <w:p w14:paraId="16A82B64" w14:textId="77777777" w:rsidR="00CD61EF" w:rsidRDefault="002B79C0">
      <w:pPr>
        <w:pStyle w:val="1"/>
        <w:keepNext/>
        <w:keepLines/>
        <w:autoSpaceDE/>
        <w:autoSpaceDN/>
        <w:spacing w:before="0" w:line="360" w:lineRule="auto"/>
        <w:ind w:left="0" w:right="0"/>
      </w:pPr>
      <w:bookmarkStart w:id="69" w:name="_Toc20409"/>
      <w:r>
        <w:rPr>
          <w:rFonts w:ascii="Times New Roman" w:eastAsia="宋体" w:hAnsi="Times New Roman" w:cs="Times New Roman"/>
          <w:bCs w:val="0"/>
          <w:szCs w:val="20"/>
        </w:rPr>
        <w:lastRenderedPageBreak/>
        <w:t>第二十四部分</w:t>
      </w:r>
      <w:r>
        <w:rPr>
          <w:rFonts w:ascii="Times New Roman" w:eastAsia="宋体" w:hAnsi="Times New Roman" w:cs="Times New Roman"/>
          <w:bCs w:val="0"/>
          <w:szCs w:val="20"/>
        </w:rPr>
        <w:t xml:space="preserve"> </w:t>
      </w:r>
      <w:r>
        <w:rPr>
          <w:rFonts w:ascii="Times New Roman" w:eastAsia="宋体" w:hAnsi="Times New Roman" w:cs="Times New Roman"/>
          <w:bCs w:val="0"/>
          <w:szCs w:val="20"/>
        </w:rPr>
        <w:t>基金合同</w:t>
      </w:r>
      <w:r>
        <w:rPr>
          <w:rFonts w:ascii="Times New Roman" w:eastAsia="宋体" w:hAnsi="Times New Roman" w:cs="Times New Roman" w:hint="eastAsia"/>
          <w:bCs w:val="0"/>
          <w:szCs w:val="20"/>
        </w:rPr>
        <w:t>内容</w:t>
      </w:r>
      <w:r>
        <w:rPr>
          <w:rFonts w:ascii="Times New Roman" w:eastAsia="宋体" w:hAnsi="Times New Roman" w:cs="Times New Roman"/>
          <w:bCs w:val="0"/>
          <w:szCs w:val="20"/>
        </w:rPr>
        <w:t>摘要</w:t>
      </w:r>
      <w:bookmarkEnd w:id="69"/>
    </w:p>
    <w:p w14:paraId="4C9562E2" w14:textId="77777777" w:rsidR="00CD61EF" w:rsidRDefault="00CD61EF">
      <w:pPr>
        <w:pStyle w:val="a5"/>
        <w:spacing w:before="4"/>
        <w:ind w:left="0" w:firstLine="0"/>
        <w:rPr>
          <w:rFonts w:ascii="Microsoft JhengHei"/>
          <w:b/>
        </w:rPr>
      </w:pPr>
    </w:p>
    <w:p w14:paraId="19FF63DA" w14:textId="77777777" w:rsidR="00CD61EF" w:rsidRDefault="002B79C0">
      <w:pPr>
        <w:pStyle w:val="a5"/>
        <w:spacing w:before="0"/>
        <w:ind w:left="600" w:firstLine="0"/>
      </w:pPr>
      <w:r>
        <w:t>一、</w:t>
      </w:r>
      <w:bookmarkStart w:id="70" w:name="_Hlk71719253"/>
      <w:r>
        <w:t>基金管理人、基金托管人和基金份额持有人的权利、义务</w:t>
      </w:r>
    </w:p>
    <w:p w14:paraId="75A65D50" w14:textId="77777777" w:rsidR="00CD61EF" w:rsidRDefault="002B79C0">
      <w:pPr>
        <w:pStyle w:val="a5"/>
        <w:spacing w:before="160"/>
        <w:ind w:left="600" w:firstLine="0"/>
      </w:pPr>
      <w:r>
        <w:t>（一）</w:t>
      </w:r>
      <w:r>
        <w:rPr>
          <w:spacing w:val="-8"/>
        </w:rPr>
        <w:t xml:space="preserve"> 基金管理人的权利</w:t>
      </w:r>
      <w:r>
        <w:rPr>
          <w:rFonts w:hint="eastAsia"/>
          <w:spacing w:val="-8"/>
        </w:rPr>
        <w:t>与义务</w:t>
      </w:r>
    </w:p>
    <w:p w14:paraId="0A56ABF8" w14:textId="77777777" w:rsidR="00CD61EF" w:rsidRDefault="002B79C0">
      <w:pPr>
        <w:pStyle w:val="a5"/>
        <w:spacing w:before="161" w:line="364" w:lineRule="auto"/>
        <w:ind w:right="362"/>
      </w:pPr>
      <w:r>
        <w:rPr>
          <w:rFonts w:ascii="Times New Roman" w:eastAsia="Times New Roman"/>
        </w:rPr>
        <w:t>1</w:t>
      </w:r>
      <w:r>
        <w:rPr>
          <w:spacing w:val="-17"/>
        </w:rPr>
        <w:t>、根据《基金法》、《运作办法》及其他有关规定，基金管理人的权利包括</w:t>
      </w:r>
      <w:r>
        <w:t>但不限于：</w:t>
      </w:r>
    </w:p>
    <w:p w14:paraId="3A0FFDC5" w14:textId="77777777" w:rsidR="00CD61EF" w:rsidRDefault="002B79C0">
      <w:pPr>
        <w:pStyle w:val="af2"/>
        <w:numPr>
          <w:ilvl w:val="0"/>
          <w:numId w:val="7"/>
        </w:numPr>
        <w:tabs>
          <w:tab w:val="left" w:pos="1202"/>
        </w:tabs>
        <w:rPr>
          <w:sz w:val="24"/>
        </w:rPr>
      </w:pPr>
      <w:r>
        <w:rPr>
          <w:sz w:val="24"/>
        </w:rPr>
        <w:t>依法募集资金；</w:t>
      </w:r>
    </w:p>
    <w:p w14:paraId="12873CA5" w14:textId="77777777" w:rsidR="00CD61EF" w:rsidRDefault="002B79C0">
      <w:pPr>
        <w:pStyle w:val="af2"/>
        <w:numPr>
          <w:ilvl w:val="0"/>
          <w:numId w:val="7"/>
        </w:numPr>
        <w:tabs>
          <w:tab w:val="left" w:pos="1202"/>
        </w:tabs>
        <w:spacing w:before="161" w:line="364" w:lineRule="auto"/>
        <w:ind w:left="120" w:right="364" w:firstLine="479"/>
        <w:rPr>
          <w:sz w:val="24"/>
        </w:rPr>
      </w:pPr>
      <w:r>
        <w:rPr>
          <w:sz w:val="24"/>
        </w:rPr>
        <w:t>自《基金合同》生效之日起，根据法律法规和《基金合同》独立运用并管理基金财产；</w:t>
      </w:r>
    </w:p>
    <w:p w14:paraId="692E43C1" w14:textId="77777777" w:rsidR="00CD61EF" w:rsidRDefault="002B79C0">
      <w:pPr>
        <w:pStyle w:val="af2"/>
        <w:numPr>
          <w:ilvl w:val="0"/>
          <w:numId w:val="7"/>
        </w:numPr>
        <w:tabs>
          <w:tab w:val="left" w:pos="1202"/>
        </w:tabs>
        <w:spacing w:line="364" w:lineRule="auto"/>
        <w:ind w:left="120" w:right="364" w:firstLine="479"/>
        <w:rPr>
          <w:sz w:val="24"/>
        </w:rPr>
      </w:pPr>
      <w:r>
        <w:rPr>
          <w:sz w:val="24"/>
        </w:rPr>
        <w:t>依照《基金合同》收取基金管理费以及法律法规规定或中国证监会批准的其他费用；</w:t>
      </w:r>
    </w:p>
    <w:p w14:paraId="2EEA3DB3" w14:textId="77777777" w:rsidR="00CD61EF" w:rsidRDefault="002B79C0">
      <w:pPr>
        <w:pStyle w:val="af2"/>
        <w:numPr>
          <w:ilvl w:val="0"/>
          <w:numId w:val="7"/>
        </w:numPr>
        <w:tabs>
          <w:tab w:val="left" w:pos="1202"/>
        </w:tabs>
        <w:ind w:hanging="602"/>
        <w:rPr>
          <w:sz w:val="24"/>
        </w:rPr>
      </w:pPr>
      <w:r>
        <w:rPr>
          <w:sz w:val="24"/>
        </w:rPr>
        <w:t>销售基金份额；</w:t>
      </w:r>
    </w:p>
    <w:p w14:paraId="6B4DB5CB" w14:textId="77777777" w:rsidR="00CD61EF" w:rsidRDefault="002B79C0">
      <w:pPr>
        <w:pStyle w:val="af2"/>
        <w:numPr>
          <w:ilvl w:val="0"/>
          <w:numId w:val="7"/>
        </w:numPr>
        <w:tabs>
          <w:tab w:val="left" w:pos="1202"/>
        </w:tabs>
        <w:spacing w:before="161"/>
        <w:ind w:hanging="602"/>
        <w:rPr>
          <w:sz w:val="24"/>
        </w:rPr>
      </w:pPr>
      <w:r>
        <w:rPr>
          <w:sz w:val="24"/>
        </w:rPr>
        <w:t>按照规定召集基金份额持有人大会；</w:t>
      </w:r>
    </w:p>
    <w:p w14:paraId="1F442EAD" w14:textId="77777777" w:rsidR="00CD61EF" w:rsidRDefault="002B79C0">
      <w:pPr>
        <w:pStyle w:val="af2"/>
        <w:numPr>
          <w:ilvl w:val="0"/>
          <w:numId w:val="7"/>
        </w:numPr>
        <w:tabs>
          <w:tab w:val="left" w:pos="1202"/>
        </w:tabs>
        <w:spacing w:before="161" w:line="364" w:lineRule="auto"/>
        <w:ind w:left="120" w:right="357" w:firstLine="479"/>
        <w:jc w:val="both"/>
        <w:rPr>
          <w:sz w:val="24"/>
        </w:rPr>
      </w:pPr>
      <w:r>
        <w:rPr>
          <w:sz w:val="24"/>
        </w:rPr>
        <w:t>依据《基金合同》及有关法律规定监督基金托管人，如认为基金托管</w:t>
      </w:r>
      <w:r>
        <w:rPr>
          <w:spacing w:val="-21"/>
          <w:sz w:val="24"/>
        </w:rPr>
        <w:t>人违反了《基金合同》及国家有关法律规定，应呈报中国证监会和其他监管部门，</w:t>
      </w:r>
      <w:r>
        <w:rPr>
          <w:spacing w:val="-118"/>
          <w:sz w:val="24"/>
        </w:rPr>
        <w:t xml:space="preserve"> </w:t>
      </w:r>
      <w:r>
        <w:rPr>
          <w:sz w:val="24"/>
        </w:rPr>
        <w:t>并采取必要措施保护基金投资者的利益；</w:t>
      </w:r>
    </w:p>
    <w:p w14:paraId="15BF5521" w14:textId="77777777" w:rsidR="00CD61EF" w:rsidRDefault="002B79C0">
      <w:pPr>
        <w:pStyle w:val="af2"/>
        <w:numPr>
          <w:ilvl w:val="0"/>
          <w:numId w:val="7"/>
        </w:numPr>
        <w:tabs>
          <w:tab w:val="left" w:pos="1202"/>
        </w:tabs>
        <w:ind w:hanging="602"/>
        <w:rPr>
          <w:sz w:val="24"/>
        </w:rPr>
      </w:pPr>
      <w:r>
        <w:rPr>
          <w:sz w:val="24"/>
        </w:rPr>
        <w:t>在基金托管人更换时，提名新的基金托管人；</w:t>
      </w:r>
    </w:p>
    <w:p w14:paraId="683181E4" w14:textId="77777777" w:rsidR="00CD61EF" w:rsidRDefault="002B79C0">
      <w:pPr>
        <w:pStyle w:val="af2"/>
        <w:numPr>
          <w:ilvl w:val="0"/>
          <w:numId w:val="7"/>
        </w:numPr>
        <w:tabs>
          <w:tab w:val="left" w:pos="1202"/>
        </w:tabs>
        <w:spacing w:before="211"/>
        <w:ind w:hanging="602"/>
        <w:rPr>
          <w:sz w:val="24"/>
        </w:rPr>
      </w:pPr>
      <w:r>
        <w:rPr>
          <w:sz w:val="24"/>
        </w:rPr>
        <w:t>选择、更换基金销售机构，对基金销售机构的相关行为进行监督和处</w:t>
      </w:r>
    </w:p>
    <w:p w14:paraId="4E50FCCA" w14:textId="77777777" w:rsidR="00CD61EF" w:rsidRDefault="002B79C0">
      <w:pPr>
        <w:pStyle w:val="a5"/>
        <w:spacing w:before="114"/>
        <w:ind w:firstLine="0"/>
      </w:pPr>
      <w:r>
        <w:t>理；</w:t>
      </w:r>
    </w:p>
    <w:p w14:paraId="13FEBFFB" w14:textId="77777777" w:rsidR="00CD61EF" w:rsidRDefault="002B79C0">
      <w:pPr>
        <w:pStyle w:val="af2"/>
        <w:numPr>
          <w:ilvl w:val="0"/>
          <w:numId w:val="7"/>
        </w:numPr>
        <w:tabs>
          <w:tab w:val="left" w:pos="1202"/>
        </w:tabs>
        <w:spacing w:before="132" w:line="345" w:lineRule="auto"/>
        <w:ind w:left="120" w:right="364" w:firstLine="479"/>
        <w:rPr>
          <w:sz w:val="24"/>
        </w:rPr>
      </w:pPr>
      <w:r>
        <w:rPr>
          <w:sz w:val="24"/>
        </w:rPr>
        <w:t>担任或委托其他符合条件的机构担任基金登记机构办理基金登记业务并获得《基金合同》规定的费用；</w:t>
      </w:r>
    </w:p>
    <w:p w14:paraId="2F17B78F" w14:textId="77777777" w:rsidR="00CD61EF" w:rsidRDefault="002B79C0">
      <w:pPr>
        <w:pStyle w:val="af2"/>
        <w:numPr>
          <w:ilvl w:val="0"/>
          <w:numId w:val="7"/>
        </w:numPr>
        <w:tabs>
          <w:tab w:val="left" w:pos="1322"/>
        </w:tabs>
        <w:spacing w:before="0" w:line="303" w:lineRule="exact"/>
        <w:ind w:left="1321" w:hanging="722"/>
        <w:rPr>
          <w:sz w:val="24"/>
        </w:rPr>
      </w:pPr>
      <w:r>
        <w:rPr>
          <w:sz w:val="24"/>
        </w:rPr>
        <w:t>依据《基金合同》及有关法律规定决定基金收益的分配方案；</w:t>
      </w:r>
    </w:p>
    <w:p w14:paraId="3BE9A558" w14:textId="77777777" w:rsidR="00CD61EF" w:rsidRDefault="002B79C0">
      <w:pPr>
        <w:pStyle w:val="af2"/>
        <w:numPr>
          <w:ilvl w:val="0"/>
          <w:numId w:val="7"/>
        </w:numPr>
        <w:tabs>
          <w:tab w:val="left" w:pos="1312"/>
        </w:tabs>
        <w:spacing w:before="132" w:line="345" w:lineRule="auto"/>
        <w:ind w:left="120" w:right="357" w:firstLine="479"/>
        <w:rPr>
          <w:sz w:val="24"/>
        </w:rPr>
      </w:pPr>
      <w:r>
        <w:rPr>
          <w:spacing w:val="-3"/>
          <w:sz w:val="24"/>
        </w:rPr>
        <w:t>在《基金合同》约定的范围内，拒绝或暂停受理申购、赎回或转换申</w:t>
      </w:r>
      <w:r>
        <w:rPr>
          <w:sz w:val="24"/>
        </w:rPr>
        <w:t>请；</w:t>
      </w:r>
    </w:p>
    <w:p w14:paraId="0D78E3E2" w14:textId="77777777" w:rsidR="00CD61EF" w:rsidRDefault="002B79C0">
      <w:pPr>
        <w:pStyle w:val="af2"/>
        <w:numPr>
          <w:ilvl w:val="0"/>
          <w:numId w:val="7"/>
        </w:numPr>
        <w:tabs>
          <w:tab w:val="left" w:pos="1322"/>
        </w:tabs>
        <w:spacing w:before="0" w:line="343" w:lineRule="auto"/>
        <w:ind w:left="120" w:right="359" w:firstLine="479"/>
        <w:rPr>
          <w:sz w:val="24"/>
        </w:rPr>
      </w:pPr>
      <w:r>
        <w:rPr>
          <w:sz w:val="24"/>
        </w:rPr>
        <w:t>依照法律法规为基金的利益对被投资公司行使相关权利，为基金的利益行使因基金财产投资于证券所产生的权利；</w:t>
      </w:r>
    </w:p>
    <w:p w14:paraId="71CB1071" w14:textId="77777777" w:rsidR="00CD61EF" w:rsidRDefault="002B79C0">
      <w:pPr>
        <w:pStyle w:val="af2"/>
        <w:numPr>
          <w:ilvl w:val="0"/>
          <w:numId w:val="7"/>
        </w:numPr>
        <w:tabs>
          <w:tab w:val="left" w:pos="1322"/>
        </w:tabs>
        <w:spacing w:before="0"/>
        <w:ind w:left="1321" w:hanging="722"/>
        <w:rPr>
          <w:sz w:val="24"/>
        </w:rPr>
      </w:pPr>
      <w:r>
        <w:rPr>
          <w:sz w:val="24"/>
        </w:rPr>
        <w:t>在法律法规允许的前提下，为基金的利益依法为基金进行融资；</w:t>
      </w:r>
    </w:p>
    <w:p w14:paraId="1642B9DC" w14:textId="77777777" w:rsidR="00CD61EF" w:rsidRDefault="002B79C0">
      <w:pPr>
        <w:pStyle w:val="af2"/>
        <w:numPr>
          <w:ilvl w:val="0"/>
          <w:numId w:val="7"/>
        </w:numPr>
        <w:tabs>
          <w:tab w:val="left" w:pos="1322"/>
        </w:tabs>
        <w:spacing w:before="129" w:line="343" w:lineRule="auto"/>
        <w:ind w:left="120" w:right="361" w:firstLine="479"/>
        <w:rPr>
          <w:sz w:val="24"/>
        </w:rPr>
      </w:pPr>
      <w:r>
        <w:rPr>
          <w:sz w:val="24"/>
        </w:rPr>
        <w:t>以基金管理人的名义，代表基金份额持有人的利益行使诉讼或仲裁权利，或者实施其他法律行为；</w:t>
      </w:r>
    </w:p>
    <w:p w14:paraId="18E0FBAD" w14:textId="77777777" w:rsidR="00CD61EF" w:rsidRDefault="002B79C0">
      <w:pPr>
        <w:pStyle w:val="af2"/>
        <w:numPr>
          <w:ilvl w:val="0"/>
          <w:numId w:val="7"/>
        </w:numPr>
        <w:tabs>
          <w:tab w:val="left" w:pos="1322"/>
        </w:tabs>
        <w:spacing w:line="343" w:lineRule="auto"/>
        <w:ind w:left="120" w:right="359" w:firstLine="479"/>
        <w:jc w:val="both"/>
        <w:rPr>
          <w:sz w:val="24"/>
        </w:rPr>
      </w:pPr>
      <w:r>
        <w:rPr>
          <w:spacing w:val="-4"/>
          <w:sz w:val="24"/>
        </w:rPr>
        <w:t>选择、更换律师事务所、会计师事务所、证券经纪商、期货经纪机构</w:t>
      </w:r>
      <w:r>
        <w:rPr>
          <w:spacing w:val="-3"/>
          <w:sz w:val="24"/>
        </w:rPr>
        <w:t>或其他为基金提供服务的外部机构</w:t>
      </w:r>
      <w:r>
        <w:rPr>
          <w:sz w:val="24"/>
        </w:rPr>
        <w:t>；</w:t>
      </w:r>
    </w:p>
    <w:p w14:paraId="0A23CBA8" w14:textId="77777777" w:rsidR="00CD61EF" w:rsidRDefault="002B79C0">
      <w:pPr>
        <w:pStyle w:val="af2"/>
        <w:numPr>
          <w:ilvl w:val="0"/>
          <w:numId w:val="7"/>
        </w:numPr>
        <w:tabs>
          <w:tab w:val="left" w:pos="1322"/>
        </w:tabs>
        <w:spacing w:line="343" w:lineRule="auto"/>
        <w:ind w:left="120" w:right="244" w:firstLine="479"/>
        <w:rPr>
          <w:sz w:val="24"/>
        </w:rPr>
      </w:pPr>
      <w:r>
        <w:rPr>
          <w:sz w:val="24"/>
        </w:rPr>
        <w:lastRenderedPageBreak/>
        <w:t>在符合有关法律、法规的前提下，制订和调整有关基金认购、申购、赎回、转换和非交易过户等的业务规则；</w:t>
      </w:r>
    </w:p>
    <w:p w14:paraId="1A489B2A" w14:textId="77777777" w:rsidR="00CD61EF" w:rsidRDefault="002B79C0">
      <w:pPr>
        <w:pStyle w:val="af2"/>
        <w:numPr>
          <w:ilvl w:val="0"/>
          <w:numId w:val="7"/>
        </w:numPr>
        <w:tabs>
          <w:tab w:val="left" w:pos="1322"/>
        </w:tabs>
        <w:spacing w:before="0" w:line="306" w:lineRule="exact"/>
        <w:ind w:left="1321" w:hanging="722"/>
        <w:rPr>
          <w:sz w:val="24"/>
        </w:rPr>
      </w:pPr>
      <w:r>
        <w:rPr>
          <w:sz w:val="24"/>
        </w:rPr>
        <w:t>法律法规及中国证监会规定的和《基金合同》约定的其他权利。</w:t>
      </w:r>
    </w:p>
    <w:p w14:paraId="6E755766" w14:textId="77777777" w:rsidR="00CD61EF" w:rsidRDefault="002B79C0">
      <w:pPr>
        <w:pStyle w:val="a5"/>
        <w:spacing w:before="134" w:line="343" w:lineRule="auto"/>
        <w:ind w:right="362"/>
      </w:pPr>
      <w:r>
        <w:rPr>
          <w:rFonts w:ascii="Times New Roman" w:eastAsia="Times New Roman"/>
        </w:rPr>
        <w:t>2</w:t>
      </w:r>
      <w:r>
        <w:rPr>
          <w:spacing w:val="-17"/>
        </w:rPr>
        <w:t>、根据《基金法》、《运作办法》及其他有关规定，基金管理人的义务包括</w:t>
      </w:r>
      <w:r>
        <w:t>但不限于：</w:t>
      </w:r>
    </w:p>
    <w:p w14:paraId="26A6C64A" w14:textId="77777777" w:rsidR="00CD61EF" w:rsidRDefault="002B79C0">
      <w:pPr>
        <w:pStyle w:val="af2"/>
        <w:numPr>
          <w:ilvl w:val="0"/>
          <w:numId w:val="8"/>
        </w:numPr>
        <w:tabs>
          <w:tab w:val="left" w:pos="1202"/>
        </w:tabs>
        <w:spacing w:before="131" w:line="345" w:lineRule="auto"/>
        <w:ind w:right="364" w:firstLine="479"/>
        <w:rPr>
          <w:sz w:val="24"/>
        </w:rPr>
      </w:pPr>
      <w:r>
        <w:rPr>
          <w:sz w:val="24"/>
        </w:rPr>
        <w:t>依法募集资金，办理或者委托经中国证监会认定的其他机构代为办理基金份额的发售、申购、赎回和登记事宜；</w:t>
      </w:r>
    </w:p>
    <w:p w14:paraId="6711BD74" w14:textId="77777777" w:rsidR="00CD61EF" w:rsidRDefault="002B79C0">
      <w:pPr>
        <w:pStyle w:val="af2"/>
        <w:numPr>
          <w:ilvl w:val="0"/>
          <w:numId w:val="8"/>
        </w:numPr>
        <w:tabs>
          <w:tab w:val="left" w:pos="1202"/>
        </w:tabs>
        <w:spacing w:before="0" w:line="303" w:lineRule="exact"/>
        <w:ind w:left="1201" w:hanging="602"/>
        <w:rPr>
          <w:sz w:val="24"/>
        </w:rPr>
      </w:pPr>
      <w:r>
        <w:rPr>
          <w:sz w:val="24"/>
        </w:rPr>
        <w:t>办理基金备案手续；</w:t>
      </w:r>
    </w:p>
    <w:p w14:paraId="2E9DEA4D" w14:textId="77777777" w:rsidR="00CD61EF" w:rsidRDefault="002B79C0">
      <w:pPr>
        <w:pStyle w:val="af2"/>
        <w:numPr>
          <w:ilvl w:val="0"/>
          <w:numId w:val="8"/>
        </w:numPr>
        <w:tabs>
          <w:tab w:val="left" w:pos="1202"/>
        </w:tabs>
        <w:spacing w:before="131" w:line="345" w:lineRule="auto"/>
        <w:ind w:right="364" w:firstLine="479"/>
        <w:rPr>
          <w:sz w:val="24"/>
        </w:rPr>
      </w:pPr>
      <w:r>
        <w:rPr>
          <w:sz w:val="24"/>
        </w:rPr>
        <w:t>自《基金合同》生效之日起，以诚实信用、谨慎勤勉的原则管理和运用基金财产；</w:t>
      </w:r>
    </w:p>
    <w:p w14:paraId="7B3259AC" w14:textId="77777777" w:rsidR="00CD61EF" w:rsidRDefault="002B79C0">
      <w:pPr>
        <w:pStyle w:val="af2"/>
        <w:numPr>
          <w:ilvl w:val="0"/>
          <w:numId w:val="8"/>
        </w:numPr>
        <w:tabs>
          <w:tab w:val="left" w:pos="1202"/>
        </w:tabs>
        <w:spacing w:before="0" w:line="343" w:lineRule="auto"/>
        <w:ind w:right="364" w:firstLine="479"/>
        <w:rPr>
          <w:sz w:val="24"/>
        </w:rPr>
      </w:pPr>
      <w:r>
        <w:rPr>
          <w:sz w:val="24"/>
        </w:rPr>
        <w:t>配备足够的具有专业资格的人员进行基金投资分析、决策，以专业化的经营方式管理和运作基金财产；</w:t>
      </w:r>
    </w:p>
    <w:p w14:paraId="55A7032F" w14:textId="77777777" w:rsidR="00CD61EF" w:rsidRDefault="002B79C0">
      <w:pPr>
        <w:pStyle w:val="af2"/>
        <w:numPr>
          <w:ilvl w:val="0"/>
          <w:numId w:val="8"/>
        </w:numPr>
        <w:tabs>
          <w:tab w:val="left" w:pos="1202"/>
        </w:tabs>
        <w:spacing w:before="0" w:line="343" w:lineRule="auto"/>
        <w:ind w:right="359" w:firstLine="479"/>
        <w:jc w:val="both"/>
        <w:rPr>
          <w:sz w:val="24"/>
        </w:rPr>
      </w:pPr>
      <w:r>
        <w:rPr>
          <w:sz w:val="24"/>
        </w:rPr>
        <w:t>建立健全内部风险控制、流动性风险管理、监察与稽核、财务管理及</w:t>
      </w:r>
      <w:r>
        <w:rPr>
          <w:spacing w:val="-3"/>
          <w:sz w:val="24"/>
        </w:rPr>
        <w:t>人事管理等制度，保证所管理的基金财产和基金管理人的财产相互独立，对所管</w:t>
      </w:r>
      <w:r>
        <w:rPr>
          <w:sz w:val="24"/>
        </w:rPr>
        <w:t>理的不同基金分别管理，分别记账，进行证券投资；</w:t>
      </w:r>
    </w:p>
    <w:p w14:paraId="03320AE7" w14:textId="77777777" w:rsidR="00CD61EF" w:rsidRDefault="002B79C0">
      <w:pPr>
        <w:pStyle w:val="af2"/>
        <w:numPr>
          <w:ilvl w:val="0"/>
          <w:numId w:val="8"/>
        </w:numPr>
        <w:tabs>
          <w:tab w:val="left" w:pos="1202"/>
        </w:tabs>
        <w:spacing w:before="0" w:line="258" w:lineRule="exact"/>
        <w:ind w:left="1201" w:hanging="602"/>
        <w:rPr>
          <w:sz w:val="24"/>
        </w:rPr>
      </w:pPr>
      <w:r>
        <w:rPr>
          <w:spacing w:val="-17"/>
          <w:sz w:val="24"/>
        </w:rPr>
        <w:t>除依据《基金法》、《基金合同》及其他有关规定外，不得利用基金财</w:t>
      </w:r>
    </w:p>
    <w:p w14:paraId="31D8F7D1" w14:textId="77777777" w:rsidR="00CD61EF" w:rsidRDefault="002B79C0">
      <w:pPr>
        <w:pStyle w:val="a5"/>
        <w:spacing w:before="158"/>
        <w:ind w:firstLine="0"/>
      </w:pPr>
      <w:r>
        <w:t>产为自己及任何第三人谋取利益，不得委托第三人运作基金财产；</w:t>
      </w:r>
    </w:p>
    <w:p w14:paraId="6BA7D3BC" w14:textId="77777777" w:rsidR="00CD61EF" w:rsidRDefault="002B79C0">
      <w:pPr>
        <w:pStyle w:val="af2"/>
        <w:numPr>
          <w:ilvl w:val="0"/>
          <w:numId w:val="8"/>
        </w:numPr>
        <w:tabs>
          <w:tab w:val="left" w:pos="1202"/>
        </w:tabs>
        <w:spacing w:before="64"/>
        <w:ind w:left="1201" w:hanging="602"/>
        <w:rPr>
          <w:sz w:val="24"/>
        </w:rPr>
      </w:pPr>
      <w:r>
        <w:rPr>
          <w:sz w:val="24"/>
        </w:rPr>
        <w:t>依法接受基金托管人的监督；</w:t>
      </w:r>
    </w:p>
    <w:p w14:paraId="2072B6BB" w14:textId="77777777" w:rsidR="00CD61EF" w:rsidRDefault="002B79C0">
      <w:pPr>
        <w:pStyle w:val="af2"/>
        <w:numPr>
          <w:ilvl w:val="0"/>
          <w:numId w:val="8"/>
        </w:numPr>
        <w:tabs>
          <w:tab w:val="left" w:pos="1202"/>
        </w:tabs>
        <w:spacing w:before="160" w:line="364" w:lineRule="auto"/>
        <w:ind w:right="359" w:firstLine="479"/>
        <w:jc w:val="both"/>
        <w:rPr>
          <w:sz w:val="24"/>
        </w:rPr>
      </w:pPr>
      <w:r>
        <w:rPr>
          <w:sz w:val="24"/>
        </w:rPr>
        <w:t>采取适当合理的措施使计算基金份额认购、申购、赎回和注销价格的</w:t>
      </w:r>
      <w:r>
        <w:rPr>
          <w:spacing w:val="-3"/>
          <w:sz w:val="24"/>
        </w:rPr>
        <w:t>方法符合《基金合同》等法律文件的规定，按有关规定计算并公告基金净值，确</w:t>
      </w:r>
      <w:r>
        <w:rPr>
          <w:sz w:val="24"/>
        </w:rPr>
        <w:t>定基金份额申购、赎回的价格；</w:t>
      </w:r>
    </w:p>
    <w:p w14:paraId="6BD8D8E8" w14:textId="77777777" w:rsidR="00CD61EF" w:rsidRDefault="002B79C0">
      <w:pPr>
        <w:pStyle w:val="af2"/>
        <w:numPr>
          <w:ilvl w:val="0"/>
          <w:numId w:val="8"/>
        </w:numPr>
        <w:tabs>
          <w:tab w:val="left" w:pos="1202"/>
        </w:tabs>
        <w:spacing w:before="2"/>
        <w:ind w:left="1201" w:hanging="602"/>
        <w:rPr>
          <w:sz w:val="24"/>
        </w:rPr>
      </w:pPr>
      <w:r>
        <w:rPr>
          <w:sz w:val="24"/>
        </w:rPr>
        <w:t>进行基金会计核算并编制基金财务会计报告；</w:t>
      </w:r>
    </w:p>
    <w:p w14:paraId="7906263A" w14:textId="77777777" w:rsidR="00CD61EF" w:rsidRDefault="002B79C0">
      <w:pPr>
        <w:pStyle w:val="af2"/>
        <w:numPr>
          <w:ilvl w:val="0"/>
          <w:numId w:val="8"/>
        </w:numPr>
        <w:tabs>
          <w:tab w:val="left" w:pos="1322"/>
        </w:tabs>
        <w:spacing w:before="161"/>
        <w:ind w:left="1321" w:hanging="722"/>
        <w:rPr>
          <w:sz w:val="24"/>
        </w:rPr>
      </w:pPr>
      <w:r>
        <w:rPr>
          <w:sz w:val="24"/>
        </w:rPr>
        <w:t>编制季度、中期和年度基金定期报告；</w:t>
      </w:r>
    </w:p>
    <w:p w14:paraId="7BF57946" w14:textId="77777777" w:rsidR="00CD61EF" w:rsidRDefault="002B79C0">
      <w:pPr>
        <w:pStyle w:val="af2"/>
        <w:numPr>
          <w:ilvl w:val="0"/>
          <w:numId w:val="8"/>
        </w:numPr>
        <w:tabs>
          <w:tab w:val="left" w:pos="1312"/>
        </w:tabs>
        <w:spacing w:before="160" w:line="364" w:lineRule="auto"/>
        <w:ind w:right="357" w:firstLine="479"/>
        <w:rPr>
          <w:sz w:val="24"/>
        </w:rPr>
      </w:pPr>
      <w:r>
        <w:rPr>
          <w:spacing w:val="-19"/>
          <w:sz w:val="24"/>
        </w:rPr>
        <w:t>严格按照《基金法》、《基金合同》及其他有关规定，履行信息披露及</w:t>
      </w:r>
      <w:r>
        <w:rPr>
          <w:sz w:val="24"/>
        </w:rPr>
        <w:t>报告义务；</w:t>
      </w:r>
    </w:p>
    <w:p w14:paraId="133A7C87" w14:textId="77777777" w:rsidR="00CD61EF" w:rsidRDefault="002B79C0">
      <w:pPr>
        <w:pStyle w:val="af2"/>
        <w:numPr>
          <w:ilvl w:val="0"/>
          <w:numId w:val="8"/>
        </w:numPr>
        <w:tabs>
          <w:tab w:val="left" w:pos="1322"/>
        </w:tabs>
        <w:ind w:left="1321" w:hanging="722"/>
        <w:rPr>
          <w:sz w:val="24"/>
        </w:rPr>
      </w:pPr>
      <w:r>
        <w:rPr>
          <w:spacing w:val="-26"/>
          <w:sz w:val="24"/>
        </w:rPr>
        <w:t>保守基金商业秘密，不泄露基金投资计划、投资意向等。除《基金法》、</w:t>
      </w:r>
    </w:p>
    <w:p w14:paraId="45C7F187" w14:textId="77777777" w:rsidR="00CD61EF" w:rsidRDefault="002B79C0">
      <w:pPr>
        <w:pStyle w:val="a5"/>
        <w:spacing w:before="162" w:line="364" w:lineRule="auto"/>
        <w:ind w:right="357" w:firstLine="0"/>
      </w:pPr>
      <w:r>
        <w:rPr>
          <w:spacing w:val="-3"/>
        </w:rPr>
        <w:t>《基金合同》及其他有关规定另有规定外，在基金信息公开披露前应予保密，不</w:t>
      </w:r>
      <w:r>
        <w:t>向他人泄露；</w:t>
      </w:r>
    </w:p>
    <w:p w14:paraId="2289A182" w14:textId="77777777" w:rsidR="00CD61EF" w:rsidRDefault="002B79C0">
      <w:pPr>
        <w:pStyle w:val="af2"/>
        <w:numPr>
          <w:ilvl w:val="0"/>
          <w:numId w:val="8"/>
        </w:numPr>
        <w:tabs>
          <w:tab w:val="left" w:pos="1322"/>
        </w:tabs>
        <w:spacing w:line="364" w:lineRule="auto"/>
        <w:ind w:right="357" w:firstLine="479"/>
        <w:rPr>
          <w:sz w:val="24"/>
        </w:rPr>
      </w:pPr>
      <w:r>
        <w:rPr>
          <w:sz w:val="24"/>
        </w:rPr>
        <w:t>按《基金合同》的约定确定基金收益分配方案，及时向基金份额持有人分配基金收益；</w:t>
      </w:r>
    </w:p>
    <w:p w14:paraId="1505CD6C" w14:textId="77777777" w:rsidR="00CD61EF" w:rsidRDefault="002B79C0">
      <w:pPr>
        <w:pStyle w:val="af2"/>
        <w:numPr>
          <w:ilvl w:val="0"/>
          <w:numId w:val="8"/>
        </w:numPr>
        <w:tabs>
          <w:tab w:val="left" w:pos="1322"/>
        </w:tabs>
        <w:ind w:left="1321" w:hanging="722"/>
        <w:rPr>
          <w:sz w:val="24"/>
        </w:rPr>
      </w:pPr>
      <w:r>
        <w:rPr>
          <w:sz w:val="24"/>
        </w:rPr>
        <w:t>按规定受理申购与赎回申请，及时、足额支付赎回款项；</w:t>
      </w:r>
    </w:p>
    <w:p w14:paraId="1AA66FDE" w14:textId="77777777" w:rsidR="00CD61EF" w:rsidRDefault="002B79C0">
      <w:pPr>
        <w:pStyle w:val="af2"/>
        <w:numPr>
          <w:ilvl w:val="0"/>
          <w:numId w:val="8"/>
        </w:numPr>
        <w:tabs>
          <w:tab w:val="left" w:pos="1322"/>
        </w:tabs>
        <w:spacing w:before="160" w:line="364" w:lineRule="auto"/>
        <w:ind w:right="361" w:firstLine="479"/>
        <w:rPr>
          <w:sz w:val="24"/>
        </w:rPr>
      </w:pPr>
      <w:r>
        <w:rPr>
          <w:spacing w:val="-18"/>
          <w:sz w:val="24"/>
        </w:rPr>
        <w:lastRenderedPageBreak/>
        <w:t>依据《基金法》、《基金合同》及其他有关规定召集基金份额持有人</w:t>
      </w:r>
      <w:r>
        <w:rPr>
          <w:sz w:val="24"/>
        </w:rPr>
        <w:t>大会或配合基金托管人、基金份额持有人依法召集基金份额持有人大会；</w:t>
      </w:r>
    </w:p>
    <w:p w14:paraId="7E1E63FF" w14:textId="77777777" w:rsidR="00CD61EF" w:rsidRDefault="002B79C0">
      <w:pPr>
        <w:pStyle w:val="af2"/>
        <w:numPr>
          <w:ilvl w:val="0"/>
          <w:numId w:val="8"/>
        </w:numPr>
        <w:tabs>
          <w:tab w:val="left" w:pos="1322"/>
        </w:tabs>
        <w:spacing w:before="2" w:line="364" w:lineRule="auto"/>
        <w:ind w:right="357" w:firstLine="479"/>
        <w:rPr>
          <w:sz w:val="24"/>
        </w:rPr>
      </w:pPr>
      <w:r>
        <w:rPr>
          <w:sz w:val="24"/>
        </w:rPr>
        <w:t>按规定保存基金财产管理业务活动的会计账册、报表、记录和其他</w:t>
      </w:r>
      <w:r>
        <w:rPr>
          <w:spacing w:val="-13"/>
          <w:sz w:val="24"/>
        </w:rPr>
        <w:t xml:space="preserve">相关资料 </w:t>
      </w:r>
      <w:r>
        <w:rPr>
          <w:rFonts w:ascii="Times New Roman" w:eastAsia="Times New Roman"/>
          <w:sz w:val="24"/>
        </w:rPr>
        <w:t xml:space="preserve">15 </w:t>
      </w:r>
      <w:r>
        <w:rPr>
          <w:sz w:val="24"/>
        </w:rPr>
        <w:t>年以上；</w:t>
      </w:r>
    </w:p>
    <w:p w14:paraId="6EEF315C" w14:textId="77777777" w:rsidR="00CD61EF" w:rsidRDefault="002B79C0">
      <w:pPr>
        <w:pStyle w:val="af2"/>
        <w:numPr>
          <w:ilvl w:val="0"/>
          <w:numId w:val="8"/>
        </w:numPr>
        <w:tabs>
          <w:tab w:val="left" w:pos="1322"/>
        </w:tabs>
        <w:spacing w:line="364" w:lineRule="auto"/>
        <w:ind w:right="357" w:firstLine="479"/>
        <w:jc w:val="both"/>
        <w:rPr>
          <w:sz w:val="24"/>
        </w:rPr>
      </w:pPr>
      <w:r>
        <w:rPr>
          <w:sz w:val="24"/>
        </w:rPr>
        <w:t>确保需要向基金投资者提供的各项文件或资料在规定时间发出，并</w:t>
      </w:r>
      <w:r>
        <w:rPr>
          <w:spacing w:val="-3"/>
          <w:sz w:val="24"/>
        </w:rPr>
        <w:t>且保证投资者能够按照《基金合同》规定的时间和方式，随时查阅到与基金有关</w:t>
      </w:r>
      <w:r>
        <w:rPr>
          <w:sz w:val="24"/>
        </w:rPr>
        <w:t>的公开资料，并在支付合理成本的条件下得到有关资料的复印件；</w:t>
      </w:r>
    </w:p>
    <w:p w14:paraId="69457CD9" w14:textId="77777777" w:rsidR="00CD61EF" w:rsidRDefault="002B79C0">
      <w:pPr>
        <w:pStyle w:val="af2"/>
        <w:numPr>
          <w:ilvl w:val="0"/>
          <w:numId w:val="8"/>
        </w:numPr>
        <w:tabs>
          <w:tab w:val="left" w:pos="1322"/>
        </w:tabs>
        <w:spacing w:before="2" w:line="364" w:lineRule="auto"/>
        <w:ind w:right="244" w:firstLine="479"/>
        <w:rPr>
          <w:sz w:val="24"/>
        </w:rPr>
      </w:pPr>
      <w:r>
        <w:rPr>
          <w:sz w:val="24"/>
        </w:rPr>
        <w:t>组织并参加基金财产清算小组，参与基金财产的保管、清理、估价、变现和分配；</w:t>
      </w:r>
    </w:p>
    <w:p w14:paraId="29D3765D" w14:textId="77777777" w:rsidR="00CD61EF" w:rsidRDefault="002B79C0">
      <w:pPr>
        <w:pStyle w:val="af2"/>
        <w:numPr>
          <w:ilvl w:val="0"/>
          <w:numId w:val="8"/>
        </w:numPr>
        <w:tabs>
          <w:tab w:val="left" w:pos="1322"/>
        </w:tabs>
        <w:spacing w:line="364" w:lineRule="auto"/>
        <w:ind w:right="357" w:firstLine="479"/>
        <w:rPr>
          <w:sz w:val="24"/>
        </w:rPr>
      </w:pPr>
      <w:r>
        <w:rPr>
          <w:sz w:val="24"/>
        </w:rPr>
        <w:t>面临解散、依法被撤销或者被依法宣告破产时，及时报告中国证监会并通知基金托管人；</w:t>
      </w:r>
    </w:p>
    <w:p w14:paraId="307085FC" w14:textId="77777777" w:rsidR="00CD61EF" w:rsidRDefault="002B79C0">
      <w:pPr>
        <w:pStyle w:val="af2"/>
        <w:numPr>
          <w:ilvl w:val="0"/>
          <w:numId w:val="8"/>
        </w:numPr>
        <w:tabs>
          <w:tab w:val="left" w:pos="1322"/>
        </w:tabs>
        <w:spacing w:before="2" w:line="364" w:lineRule="auto"/>
        <w:ind w:right="357" w:firstLine="479"/>
        <w:rPr>
          <w:sz w:val="24"/>
        </w:rPr>
      </w:pPr>
      <w:r>
        <w:rPr>
          <w:sz w:val="24"/>
        </w:rPr>
        <w:t>因违反《基金合同》导致基金财产的损失或损害基金份额持有人合法权益时，应当承担赔偿责任，其赔偿责任不因其退任而免除；</w:t>
      </w:r>
    </w:p>
    <w:p w14:paraId="67D0D0DD" w14:textId="77777777" w:rsidR="00CD61EF" w:rsidRDefault="002B79C0">
      <w:pPr>
        <w:pStyle w:val="af2"/>
        <w:numPr>
          <w:ilvl w:val="0"/>
          <w:numId w:val="8"/>
        </w:numPr>
        <w:tabs>
          <w:tab w:val="left" w:pos="1322"/>
        </w:tabs>
        <w:spacing w:before="2" w:line="364" w:lineRule="auto"/>
        <w:ind w:right="357" w:firstLine="479"/>
      </w:pPr>
      <w:r>
        <w:rPr>
          <w:sz w:val="24"/>
        </w:rPr>
        <w:t>监督基金托管人按法律法规和《基金合同》规定履行自己的义务， 基金托管人违反《基金合同》造成基金财产损失时，基金管理人应为基金份额持有人利益向基金托管人追偿；</w:t>
      </w:r>
    </w:p>
    <w:p w14:paraId="50E99097" w14:textId="77777777" w:rsidR="00CD61EF" w:rsidRDefault="002B79C0">
      <w:pPr>
        <w:pStyle w:val="af2"/>
        <w:numPr>
          <w:ilvl w:val="0"/>
          <w:numId w:val="8"/>
        </w:numPr>
        <w:tabs>
          <w:tab w:val="left" w:pos="1322"/>
        </w:tabs>
        <w:spacing w:before="2" w:line="364" w:lineRule="auto"/>
        <w:ind w:right="357" w:firstLine="479"/>
        <w:rPr>
          <w:sz w:val="24"/>
        </w:rPr>
      </w:pPr>
      <w:r>
        <w:rPr>
          <w:sz w:val="24"/>
        </w:rPr>
        <w:t>当基金管理人将其义务委托第三方处理时，应当对第三方处理有关基金事务的行为承担责任，但因第三方责任导致基金财产或基金份额持有人利益受到损失，而基金管理人首先承担了责任的情况下，基金管理人有权向第三方追偿；</w:t>
      </w:r>
    </w:p>
    <w:p w14:paraId="2B5CD6AF" w14:textId="77777777" w:rsidR="00CD61EF" w:rsidRDefault="002B79C0">
      <w:pPr>
        <w:pStyle w:val="af2"/>
        <w:numPr>
          <w:ilvl w:val="0"/>
          <w:numId w:val="8"/>
        </w:numPr>
        <w:tabs>
          <w:tab w:val="left" w:pos="1322"/>
        </w:tabs>
        <w:spacing w:before="2" w:line="364" w:lineRule="auto"/>
        <w:ind w:right="357" w:firstLine="479"/>
        <w:rPr>
          <w:sz w:val="24"/>
        </w:rPr>
      </w:pPr>
      <w:r>
        <w:rPr>
          <w:sz w:val="24"/>
        </w:rPr>
        <w:t>以基金管理人名义，代表基金份额持有人利益行使诉讼权利或实施其他法律行为；</w:t>
      </w:r>
    </w:p>
    <w:p w14:paraId="23A4CBA5" w14:textId="77777777" w:rsidR="00CD61EF" w:rsidRDefault="002B79C0">
      <w:pPr>
        <w:pStyle w:val="af2"/>
        <w:numPr>
          <w:ilvl w:val="0"/>
          <w:numId w:val="8"/>
        </w:numPr>
        <w:tabs>
          <w:tab w:val="left" w:pos="1322"/>
        </w:tabs>
        <w:spacing w:line="364" w:lineRule="auto"/>
        <w:ind w:right="359" w:firstLine="479"/>
        <w:jc w:val="both"/>
        <w:rPr>
          <w:sz w:val="24"/>
        </w:rPr>
      </w:pPr>
      <w:r>
        <w:rPr>
          <w:spacing w:val="-6"/>
          <w:sz w:val="24"/>
        </w:rPr>
        <w:t>基金在募集期间未能达到基金的备案条件，《基金合同》不能</w:t>
      </w:r>
      <w:r>
        <w:rPr>
          <w:spacing w:val="-3"/>
          <w:sz w:val="24"/>
        </w:rPr>
        <w:t>生效，基金管理人承担因募集行为而产生的债务和费用，将已募集资金并加计银</w:t>
      </w:r>
      <w:r>
        <w:rPr>
          <w:spacing w:val="-4"/>
          <w:sz w:val="24"/>
        </w:rPr>
        <w:t xml:space="preserve">行同期活期存款利息在基金募集期结束后 </w:t>
      </w:r>
      <w:r>
        <w:rPr>
          <w:rFonts w:ascii="Times New Roman" w:eastAsia="Times New Roman"/>
          <w:sz w:val="24"/>
        </w:rPr>
        <w:t xml:space="preserve">30 </w:t>
      </w:r>
      <w:r>
        <w:rPr>
          <w:sz w:val="24"/>
        </w:rPr>
        <w:t>日内退还基金认购人；</w:t>
      </w:r>
    </w:p>
    <w:p w14:paraId="04254B24" w14:textId="77777777" w:rsidR="00CD61EF" w:rsidRDefault="002B79C0">
      <w:pPr>
        <w:pStyle w:val="af2"/>
        <w:numPr>
          <w:ilvl w:val="0"/>
          <w:numId w:val="8"/>
        </w:numPr>
        <w:tabs>
          <w:tab w:val="left" w:pos="1322"/>
        </w:tabs>
        <w:spacing w:before="3"/>
        <w:ind w:left="1321" w:hanging="722"/>
        <w:rPr>
          <w:sz w:val="24"/>
        </w:rPr>
      </w:pPr>
      <w:r>
        <w:rPr>
          <w:sz w:val="24"/>
        </w:rPr>
        <w:t>执行生效的基金份额持有人大会的决议；</w:t>
      </w:r>
    </w:p>
    <w:p w14:paraId="25C06185" w14:textId="77777777" w:rsidR="00CD61EF" w:rsidRDefault="002B79C0">
      <w:pPr>
        <w:pStyle w:val="af2"/>
        <w:numPr>
          <w:ilvl w:val="0"/>
          <w:numId w:val="8"/>
        </w:numPr>
        <w:tabs>
          <w:tab w:val="left" w:pos="1322"/>
        </w:tabs>
        <w:spacing w:before="160"/>
        <w:ind w:left="1321" w:hanging="722"/>
        <w:rPr>
          <w:sz w:val="24"/>
        </w:rPr>
      </w:pPr>
      <w:r>
        <w:rPr>
          <w:sz w:val="24"/>
        </w:rPr>
        <w:t>建立并保存基金份额持有人名册；</w:t>
      </w:r>
    </w:p>
    <w:p w14:paraId="606A030E" w14:textId="77777777" w:rsidR="00CD61EF" w:rsidRDefault="002B79C0">
      <w:pPr>
        <w:pStyle w:val="af2"/>
        <w:numPr>
          <w:ilvl w:val="0"/>
          <w:numId w:val="8"/>
        </w:numPr>
        <w:tabs>
          <w:tab w:val="left" w:pos="1322"/>
        </w:tabs>
        <w:spacing w:before="160"/>
        <w:ind w:left="1321" w:hanging="722"/>
        <w:rPr>
          <w:sz w:val="24"/>
        </w:rPr>
      </w:pPr>
      <w:r>
        <w:rPr>
          <w:sz w:val="24"/>
        </w:rPr>
        <w:t>法律法规及中国证监会规定的和《基金合同》约定的其他义务。</w:t>
      </w:r>
    </w:p>
    <w:p w14:paraId="5E0424D3" w14:textId="77777777" w:rsidR="00CD61EF" w:rsidRDefault="002B79C0">
      <w:pPr>
        <w:pStyle w:val="a5"/>
        <w:spacing w:before="161"/>
        <w:ind w:left="600" w:firstLine="0"/>
      </w:pPr>
      <w:r>
        <w:t>（</w:t>
      </w:r>
      <w:r>
        <w:rPr>
          <w:rFonts w:hint="eastAsia"/>
        </w:rPr>
        <w:t>二</w:t>
      </w:r>
      <w:r>
        <w:t>）</w:t>
      </w:r>
      <w:r>
        <w:rPr>
          <w:spacing w:val="-8"/>
        </w:rPr>
        <w:t xml:space="preserve"> 基金托管人的权利</w:t>
      </w:r>
      <w:r>
        <w:rPr>
          <w:rFonts w:hint="eastAsia"/>
          <w:spacing w:val="-8"/>
        </w:rPr>
        <w:t>与义务</w:t>
      </w:r>
    </w:p>
    <w:p w14:paraId="60058C57" w14:textId="77777777" w:rsidR="00CD61EF" w:rsidRDefault="002B79C0">
      <w:pPr>
        <w:pStyle w:val="a5"/>
        <w:spacing w:before="160" w:line="364" w:lineRule="auto"/>
        <w:ind w:right="362"/>
      </w:pPr>
      <w:r>
        <w:rPr>
          <w:rFonts w:ascii="Times New Roman" w:eastAsia="Times New Roman"/>
        </w:rPr>
        <w:t>1</w:t>
      </w:r>
      <w:r>
        <w:rPr>
          <w:spacing w:val="-17"/>
        </w:rPr>
        <w:t>、根据《基金法》、《运作办法》及其他有关规定，基金托管人的权利包括</w:t>
      </w:r>
      <w:r>
        <w:t>但</w:t>
      </w:r>
      <w:r>
        <w:lastRenderedPageBreak/>
        <w:t>不限于：</w:t>
      </w:r>
    </w:p>
    <w:p w14:paraId="4FE5CFB4" w14:textId="77777777" w:rsidR="00CD61EF" w:rsidRDefault="002B79C0">
      <w:pPr>
        <w:pStyle w:val="af2"/>
        <w:numPr>
          <w:ilvl w:val="0"/>
          <w:numId w:val="9"/>
        </w:numPr>
        <w:tabs>
          <w:tab w:val="left" w:pos="1202"/>
        </w:tabs>
        <w:spacing w:line="364" w:lineRule="auto"/>
        <w:ind w:right="364" w:firstLine="479"/>
        <w:rPr>
          <w:sz w:val="24"/>
        </w:rPr>
      </w:pPr>
      <w:r>
        <w:rPr>
          <w:sz w:val="24"/>
        </w:rPr>
        <w:t>自《基金合同》生效之日起，依法律法规和《基金合同》、《托管协议》的规定安全保管基金财产；</w:t>
      </w:r>
    </w:p>
    <w:p w14:paraId="3E5E0E06" w14:textId="77777777" w:rsidR="00CD61EF" w:rsidRDefault="002B79C0">
      <w:pPr>
        <w:pStyle w:val="af2"/>
        <w:numPr>
          <w:ilvl w:val="0"/>
          <w:numId w:val="9"/>
        </w:numPr>
        <w:tabs>
          <w:tab w:val="left" w:pos="1202"/>
        </w:tabs>
        <w:spacing w:line="364" w:lineRule="auto"/>
        <w:ind w:right="364" w:firstLine="479"/>
        <w:rPr>
          <w:sz w:val="24"/>
        </w:rPr>
      </w:pPr>
      <w:r>
        <w:rPr>
          <w:sz w:val="24"/>
        </w:rPr>
        <w:t>依《基金合同》约定获得基金托管费以及法律法规规定或监管部门批准的其他费用；</w:t>
      </w:r>
    </w:p>
    <w:p w14:paraId="394CC9A8" w14:textId="77777777" w:rsidR="00CD61EF" w:rsidRDefault="002B79C0">
      <w:pPr>
        <w:pStyle w:val="af2"/>
        <w:numPr>
          <w:ilvl w:val="0"/>
          <w:numId w:val="9"/>
        </w:numPr>
        <w:tabs>
          <w:tab w:val="left" w:pos="1202"/>
        </w:tabs>
        <w:spacing w:line="364" w:lineRule="auto"/>
        <w:ind w:right="364" w:firstLine="479"/>
        <w:rPr>
          <w:sz w:val="24"/>
        </w:rPr>
      </w:pPr>
      <w:r>
        <w:rPr>
          <w:sz w:val="24"/>
        </w:rPr>
        <w:t>监督基金管理人对本基金的投资运作，如发现基金管理人有违反《基</w:t>
      </w:r>
      <w:r>
        <w:rPr>
          <w:spacing w:val="-3"/>
          <w:sz w:val="24"/>
        </w:rPr>
        <w:t>金合同》及国家法律法规行为，对基金财产、其他当事人的利益造成重大损失的</w:t>
      </w:r>
      <w:r>
        <w:rPr>
          <w:sz w:val="24"/>
        </w:rPr>
        <w:t>情形，应呈报中国证监会，并采取必要措施保护基金投资者的利益；</w:t>
      </w:r>
    </w:p>
    <w:p w14:paraId="51E104D4" w14:textId="77777777" w:rsidR="00CD61EF" w:rsidRDefault="002B79C0">
      <w:pPr>
        <w:pStyle w:val="af2"/>
        <w:numPr>
          <w:ilvl w:val="0"/>
          <w:numId w:val="9"/>
        </w:numPr>
        <w:tabs>
          <w:tab w:val="left" w:pos="1202"/>
        </w:tabs>
        <w:spacing w:before="2" w:line="364" w:lineRule="auto"/>
        <w:ind w:right="357" w:firstLine="479"/>
        <w:jc w:val="both"/>
        <w:rPr>
          <w:spacing w:val="-12"/>
          <w:sz w:val="24"/>
        </w:rPr>
      </w:pPr>
      <w:r>
        <w:rPr>
          <w:spacing w:val="-12"/>
          <w:sz w:val="24"/>
        </w:rPr>
        <w:t>根据相关市场规则，为基金开设资金账户、证券账户等投资所需账户</w:t>
      </w:r>
      <w:r>
        <w:rPr>
          <w:spacing w:val="-4"/>
          <w:sz w:val="24"/>
        </w:rPr>
        <w:t>、协助提供</w:t>
      </w:r>
      <w:r>
        <w:rPr>
          <w:spacing w:val="-12"/>
          <w:sz w:val="24"/>
        </w:rPr>
        <w:t>开立期货业务相关账户及交易编码的基金托管人相关信息、为基金办理证券、期货交易资金清算；</w:t>
      </w:r>
    </w:p>
    <w:p w14:paraId="408307D7" w14:textId="77777777" w:rsidR="00CD61EF" w:rsidRDefault="002B79C0">
      <w:pPr>
        <w:pStyle w:val="af2"/>
        <w:numPr>
          <w:ilvl w:val="0"/>
          <w:numId w:val="9"/>
        </w:numPr>
        <w:tabs>
          <w:tab w:val="left" w:pos="1202"/>
        </w:tabs>
        <w:spacing w:before="2" w:line="364" w:lineRule="auto"/>
        <w:ind w:right="357" w:firstLine="479"/>
        <w:jc w:val="both"/>
        <w:rPr>
          <w:spacing w:val="-12"/>
          <w:sz w:val="24"/>
        </w:rPr>
      </w:pPr>
      <w:r>
        <w:rPr>
          <w:spacing w:val="-12"/>
          <w:sz w:val="24"/>
        </w:rPr>
        <w:t>提议召开或召集基金份额持有人大会；</w:t>
      </w:r>
    </w:p>
    <w:p w14:paraId="7DD0A03D" w14:textId="77777777" w:rsidR="00CD61EF" w:rsidRDefault="002B79C0">
      <w:pPr>
        <w:pStyle w:val="af2"/>
        <w:numPr>
          <w:ilvl w:val="0"/>
          <w:numId w:val="9"/>
        </w:numPr>
        <w:tabs>
          <w:tab w:val="left" w:pos="1202"/>
        </w:tabs>
        <w:spacing w:before="2" w:line="364" w:lineRule="auto"/>
        <w:ind w:right="357" w:firstLine="479"/>
        <w:jc w:val="both"/>
        <w:rPr>
          <w:spacing w:val="-12"/>
          <w:sz w:val="24"/>
        </w:rPr>
      </w:pPr>
      <w:r>
        <w:rPr>
          <w:spacing w:val="-12"/>
          <w:sz w:val="24"/>
        </w:rPr>
        <w:t>在基金管理人更换时，提名新的基金管理人；</w:t>
      </w:r>
    </w:p>
    <w:p w14:paraId="47A03BE5" w14:textId="77777777" w:rsidR="00CD61EF" w:rsidRDefault="002B79C0">
      <w:pPr>
        <w:pStyle w:val="af2"/>
        <w:numPr>
          <w:ilvl w:val="0"/>
          <w:numId w:val="9"/>
        </w:numPr>
        <w:tabs>
          <w:tab w:val="left" w:pos="1202"/>
        </w:tabs>
        <w:spacing w:before="2" w:line="364" w:lineRule="auto"/>
        <w:ind w:right="357" w:firstLine="479"/>
        <w:jc w:val="both"/>
        <w:rPr>
          <w:spacing w:val="-12"/>
          <w:sz w:val="24"/>
        </w:rPr>
      </w:pPr>
      <w:r>
        <w:rPr>
          <w:spacing w:val="-12"/>
          <w:sz w:val="24"/>
        </w:rPr>
        <w:t>法律法规及中国证监会规定的和《基金合同》约定的其他权利。</w:t>
      </w:r>
    </w:p>
    <w:p w14:paraId="6926A438" w14:textId="77777777" w:rsidR="00CD61EF" w:rsidRDefault="002B79C0">
      <w:pPr>
        <w:pStyle w:val="a5"/>
        <w:spacing w:before="160" w:line="364" w:lineRule="auto"/>
        <w:ind w:right="362"/>
      </w:pPr>
      <w:r>
        <w:rPr>
          <w:rFonts w:ascii="Times New Roman" w:eastAsia="Times New Roman"/>
        </w:rPr>
        <w:t>2</w:t>
      </w:r>
      <w:r>
        <w:rPr>
          <w:spacing w:val="-17"/>
        </w:rPr>
        <w:t>、根据《基金法》、《运作办法》及其他有关规定，基金托管人的义务包括</w:t>
      </w:r>
      <w:r>
        <w:t>但不限于：</w:t>
      </w:r>
    </w:p>
    <w:p w14:paraId="0A76E4FE" w14:textId="77777777" w:rsidR="00CD61EF" w:rsidRDefault="002B79C0">
      <w:pPr>
        <w:pStyle w:val="af2"/>
        <w:numPr>
          <w:ilvl w:val="0"/>
          <w:numId w:val="10"/>
        </w:numPr>
        <w:tabs>
          <w:tab w:val="left" w:pos="1202"/>
        </w:tabs>
        <w:rPr>
          <w:sz w:val="24"/>
        </w:rPr>
      </w:pPr>
      <w:r>
        <w:rPr>
          <w:sz w:val="24"/>
        </w:rPr>
        <w:t>以诚实信用、勤勉尽责的原则持有并安全保管基金财产；</w:t>
      </w:r>
    </w:p>
    <w:p w14:paraId="0E3BA64A" w14:textId="77777777" w:rsidR="00CD61EF" w:rsidRDefault="002B79C0">
      <w:pPr>
        <w:pStyle w:val="af2"/>
        <w:numPr>
          <w:ilvl w:val="0"/>
          <w:numId w:val="10"/>
        </w:numPr>
        <w:tabs>
          <w:tab w:val="left" w:pos="1202"/>
        </w:tabs>
        <w:spacing w:before="161" w:line="364" w:lineRule="auto"/>
        <w:ind w:left="120" w:right="364" w:firstLine="479"/>
        <w:rPr>
          <w:sz w:val="24"/>
        </w:rPr>
      </w:pPr>
      <w:r>
        <w:rPr>
          <w:sz w:val="24"/>
        </w:rPr>
        <w:t>设立专门的基金托管部门，具有符合要求的营业场所，配备足够的、合格的熟悉基金托管业务的专职人员，负责基金财产托管事宜；</w:t>
      </w:r>
    </w:p>
    <w:p w14:paraId="21671956" w14:textId="77777777" w:rsidR="00CD61EF" w:rsidRDefault="002B79C0">
      <w:pPr>
        <w:pStyle w:val="af2"/>
        <w:numPr>
          <w:ilvl w:val="0"/>
          <w:numId w:val="10"/>
        </w:numPr>
        <w:tabs>
          <w:tab w:val="left" w:pos="1202"/>
        </w:tabs>
        <w:spacing w:before="161" w:line="364" w:lineRule="auto"/>
        <w:ind w:left="120" w:right="244" w:firstLine="479"/>
        <w:rPr>
          <w:sz w:val="24"/>
        </w:rPr>
      </w:pPr>
      <w:r>
        <w:rPr>
          <w:sz w:val="24"/>
        </w:rPr>
        <w:t>建立健全内部风险控制、监察与稽核、财务管理及人事管理等制度，</w:t>
      </w:r>
      <w:r>
        <w:rPr>
          <w:spacing w:val="-118"/>
          <w:sz w:val="24"/>
        </w:rPr>
        <w:t xml:space="preserve"> </w:t>
      </w:r>
      <w:r>
        <w:rPr>
          <w:spacing w:val="-10"/>
          <w:sz w:val="24"/>
        </w:rPr>
        <w:t>确保基金财产的安全，保证其托管的基金财产与基金托管人自有财产以及不同的</w:t>
      </w:r>
      <w:r>
        <w:rPr>
          <w:spacing w:val="-19"/>
          <w:sz w:val="24"/>
        </w:rPr>
        <w:t>基金财产相互独立；对所托管的不同的基金分别设置账户，独立核算，分账管理，</w:t>
      </w:r>
      <w:r>
        <w:rPr>
          <w:spacing w:val="-118"/>
          <w:sz w:val="24"/>
        </w:rPr>
        <w:t xml:space="preserve"> </w:t>
      </w:r>
      <w:r>
        <w:rPr>
          <w:sz w:val="24"/>
        </w:rPr>
        <w:t>保证不同基金之间在账户设置、资金划拨、账册记录等方面相互独立；</w:t>
      </w:r>
    </w:p>
    <w:p w14:paraId="0B43B16B" w14:textId="77777777" w:rsidR="00CD61EF" w:rsidRDefault="002B79C0">
      <w:pPr>
        <w:pStyle w:val="af2"/>
        <w:numPr>
          <w:ilvl w:val="0"/>
          <w:numId w:val="10"/>
        </w:numPr>
        <w:tabs>
          <w:tab w:val="left" w:pos="1202"/>
        </w:tabs>
        <w:spacing w:before="161" w:line="364" w:lineRule="auto"/>
        <w:ind w:left="120" w:right="244" w:firstLine="479"/>
        <w:rPr>
          <w:sz w:val="24"/>
        </w:rPr>
      </w:pPr>
      <w:r>
        <w:rPr>
          <w:sz w:val="24"/>
        </w:rPr>
        <w:t>除依据《基金法》、《基金合同》及其他有关规定外，不得利用基金财产为自己及任何第三人谋取利益，不得委托第三人托管基金财产；</w:t>
      </w:r>
    </w:p>
    <w:p w14:paraId="3EF9F9B0" w14:textId="77777777" w:rsidR="00CD61EF" w:rsidRDefault="002B79C0">
      <w:pPr>
        <w:pStyle w:val="af2"/>
        <w:numPr>
          <w:ilvl w:val="0"/>
          <w:numId w:val="10"/>
        </w:numPr>
        <w:tabs>
          <w:tab w:val="left" w:pos="1202"/>
        </w:tabs>
        <w:spacing w:before="161" w:line="364" w:lineRule="auto"/>
        <w:ind w:left="120" w:right="244" w:firstLine="479"/>
        <w:rPr>
          <w:sz w:val="24"/>
        </w:rPr>
      </w:pPr>
      <w:r>
        <w:rPr>
          <w:sz w:val="24"/>
        </w:rPr>
        <w:t>保管由基金管理人代表基金签订的与基金有关的重大合同及有关凭证；</w:t>
      </w:r>
    </w:p>
    <w:p w14:paraId="16ECA809" w14:textId="77777777" w:rsidR="00CD61EF" w:rsidRDefault="002B79C0">
      <w:pPr>
        <w:pStyle w:val="af2"/>
        <w:numPr>
          <w:ilvl w:val="0"/>
          <w:numId w:val="10"/>
        </w:numPr>
        <w:tabs>
          <w:tab w:val="left" w:pos="1202"/>
        </w:tabs>
        <w:spacing w:before="161" w:line="364" w:lineRule="auto"/>
        <w:ind w:left="120" w:right="244" w:firstLine="479"/>
        <w:rPr>
          <w:sz w:val="24"/>
        </w:rPr>
      </w:pPr>
      <w:r>
        <w:rPr>
          <w:sz w:val="24"/>
        </w:rPr>
        <w:t>按规定开设基金财产的资金账户和证券账户等投资所需账户，协助提供开立期货业务相关账户及交易编码的基金托管人相关信息，按照《基金合同》</w:t>
      </w:r>
      <w:r>
        <w:rPr>
          <w:sz w:val="24"/>
        </w:rPr>
        <w:lastRenderedPageBreak/>
        <w:t>的约定，根据基金管理人的投资指令，及时办理清算、交割事宜；</w:t>
      </w:r>
    </w:p>
    <w:p w14:paraId="0FF7259B" w14:textId="77777777" w:rsidR="00CD61EF" w:rsidRDefault="002B79C0">
      <w:pPr>
        <w:pStyle w:val="af2"/>
        <w:numPr>
          <w:ilvl w:val="0"/>
          <w:numId w:val="10"/>
        </w:numPr>
        <w:tabs>
          <w:tab w:val="left" w:pos="1202"/>
        </w:tabs>
        <w:spacing w:before="2"/>
        <w:ind w:hanging="602"/>
        <w:rPr>
          <w:sz w:val="24"/>
        </w:rPr>
      </w:pPr>
      <w:r>
        <w:rPr>
          <w:spacing w:val="-15"/>
          <w:sz w:val="24"/>
        </w:rPr>
        <w:t>保守基金商业秘密，除《基金法》、《基金合同》及其他有关规定另有</w:t>
      </w:r>
    </w:p>
    <w:p w14:paraId="176A77F7" w14:textId="77777777" w:rsidR="00CD61EF" w:rsidRDefault="002B79C0">
      <w:pPr>
        <w:pStyle w:val="a5"/>
        <w:spacing w:before="64"/>
        <w:ind w:firstLine="0"/>
      </w:pPr>
      <w:r>
        <w:t>规定外，在基金信息公开披露前予以保密，不得向他人泄露；</w:t>
      </w:r>
    </w:p>
    <w:p w14:paraId="6A88EB3C" w14:textId="77777777" w:rsidR="00CD61EF" w:rsidRDefault="002B79C0">
      <w:pPr>
        <w:pStyle w:val="af2"/>
        <w:numPr>
          <w:ilvl w:val="0"/>
          <w:numId w:val="10"/>
        </w:numPr>
        <w:tabs>
          <w:tab w:val="left" w:pos="1202"/>
        </w:tabs>
        <w:spacing w:before="160" w:line="364" w:lineRule="auto"/>
        <w:ind w:left="120" w:right="360" w:firstLine="479"/>
        <w:rPr>
          <w:sz w:val="24"/>
        </w:rPr>
      </w:pPr>
      <w:r>
        <w:rPr>
          <w:sz w:val="24"/>
        </w:rPr>
        <w:t>复核、审查基金管理人计算的基金资产净值、基金份额净值、基金份额申购、赎回价格；</w:t>
      </w:r>
    </w:p>
    <w:p w14:paraId="21B558F5" w14:textId="77777777" w:rsidR="00CD61EF" w:rsidRDefault="002B79C0">
      <w:pPr>
        <w:pStyle w:val="af2"/>
        <w:numPr>
          <w:ilvl w:val="0"/>
          <w:numId w:val="10"/>
        </w:numPr>
        <w:tabs>
          <w:tab w:val="left" w:pos="1202"/>
        </w:tabs>
        <w:spacing w:before="2"/>
        <w:ind w:hanging="602"/>
        <w:rPr>
          <w:sz w:val="24"/>
        </w:rPr>
      </w:pPr>
      <w:r>
        <w:rPr>
          <w:sz w:val="24"/>
        </w:rPr>
        <w:t>办理与基金托管业务活动有关的信息披露事项；</w:t>
      </w:r>
    </w:p>
    <w:p w14:paraId="452261A8" w14:textId="77777777" w:rsidR="00CD61EF" w:rsidRDefault="002B79C0">
      <w:pPr>
        <w:pStyle w:val="af2"/>
        <w:numPr>
          <w:ilvl w:val="0"/>
          <w:numId w:val="10"/>
        </w:numPr>
        <w:tabs>
          <w:tab w:val="left" w:pos="1322"/>
        </w:tabs>
        <w:spacing w:before="160" w:line="364" w:lineRule="auto"/>
        <w:ind w:left="120" w:right="357" w:firstLine="479"/>
        <w:jc w:val="both"/>
        <w:rPr>
          <w:sz w:val="24"/>
        </w:rPr>
      </w:pPr>
      <w:r>
        <w:rPr>
          <w:sz w:val="24"/>
        </w:rPr>
        <w:t>对基金财务会计报告、季度、中期和年度基金报告出具意见，说明</w:t>
      </w:r>
      <w:r>
        <w:rPr>
          <w:spacing w:val="-3"/>
          <w:sz w:val="24"/>
        </w:rPr>
        <w:t>基金管理人在各重要方面的运作是否严格按照《基金合同》的规定进行；如果基金管理人有未执行《基金合同》规定的行为，还应当说明基金托管人是否采取了</w:t>
      </w:r>
      <w:r>
        <w:rPr>
          <w:sz w:val="24"/>
        </w:rPr>
        <w:t>适当的措施；</w:t>
      </w:r>
    </w:p>
    <w:p w14:paraId="53093BC7" w14:textId="77777777" w:rsidR="00CD61EF" w:rsidRDefault="002B79C0">
      <w:pPr>
        <w:pStyle w:val="af2"/>
        <w:numPr>
          <w:ilvl w:val="0"/>
          <w:numId w:val="10"/>
        </w:numPr>
        <w:tabs>
          <w:tab w:val="left" w:pos="1312"/>
        </w:tabs>
        <w:spacing w:before="3" w:line="364" w:lineRule="auto"/>
        <w:ind w:left="120" w:right="356" w:firstLine="479"/>
        <w:jc w:val="both"/>
        <w:rPr>
          <w:sz w:val="24"/>
        </w:rPr>
      </w:pPr>
      <w:r>
        <w:rPr>
          <w:spacing w:val="-2"/>
          <w:sz w:val="24"/>
        </w:rPr>
        <w:t>保存基金托管业务活动的记录、账册、报表和其他相关资料</w:t>
      </w:r>
      <w:r>
        <w:rPr>
          <w:rFonts w:hint="eastAsia"/>
          <w:spacing w:val="-2"/>
          <w:sz w:val="24"/>
        </w:rPr>
        <w:t>不低于法律法规规定的最低期限</w:t>
      </w:r>
      <w:r>
        <w:rPr>
          <w:sz w:val="24"/>
        </w:rPr>
        <w:t>；</w:t>
      </w:r>
    </w:p>
    <w:p w14:paraId="244721A7" w14:textId="77777777" w:rsidR="00CD61EF" w:rsidRDefault="002B79C0">
      <w:pPr>
        <w:pStyle w:val="af2"/>
        <w:numPr>
          <w:ilvl w:val="0"/>
          <w:numId w:val="10"/>
        </w:numPr>
        <w:tabs>
          <w:tab w:val="left" w:pos="1322"/>
        </w:tabs>
        <w:ind w:left="1321" w:hanging="722"/>
        <w:rPr>
          <w:sz w:val="24"/>
        </w:rPr>
      </w:pPr>
      <w:r>
        <w:rPr>
          <w:sz w:val="24"/>
        </w:rPr>
        <w:t>从基金管理人或其委托的登记机构处接收并保存基金份额持有人名册；</w:t>
      </w:r>
    </w:p>
    <w:p w14:paraId="57E2CDC5" w14:textId="77777777" w:rsidR="00CD61EF" w:rsidRDefault="002B79C0">
      <w:pPr>
        <w:pStyle w:val="af2"/>
        <w:numPr>
          <w:ilvl w:val="0"/>
          <w:numId w:val="10"/>
        </w:numPr>
        <w:tabs>
          <w:tab w:val="left" w:pos="1322"/>
        </w:tabs>
        <w:spacing w:before="161"/>
        <w:ind w:left="1321" w:hanging="722"/>
        <w:rPr>
          <w:sz w:val="24"/>
        </w:rPr>
      </w:pPr>
      <w:r>
        <w:rPr>
          <w:sz w:val="24"/>
        </w:rPr>
        <w:t>按规定制作相关账册并与基金管理人核对；</w:t>
      </w:r>
    </w:p>
    <w:p w14:paraId="32FCF10F" w14:textId="77777777" w:rsidR="00CD61EF" w:rsidRDefault="002B79C0">
      <w:pPr>
        <w:pStyle w:val="af2"/>
        <w:numPr>
          <w:ilvl w:val="0"/>
          <w:numId w:val="10"/>
        </w:numPr>
        <w:tabs>
          <w:tab w:val="left" w:pos="1322"/>
        </w:tabs>
        <w:spacing w:before="160" w:line="364" w:lineRule="auto"/>
        <w:ind w:left="120" w:right="357" w:firstLine="479"/>
        <w:rPr>
          <w:sz w:val="24"/>
        </w:rPr>
      </w:pPr>
      <w:r>
        <w:rPr>
          <w:sz w:val="24"/>
        </w:rPr>
        <w:t>依据基金管理人的指令或有关规定向基金份额持有人支付基金收益和赎回款项；</w:t>
      </w:r>
    </w:p>
    <w:p w14:paraId="2CB894E8" w14:textId="77777777" w:rsidR="00CD61EF" w:rsidRDefault="002B79C0">
      <w:pPr>
        <w:pStyle w:val="af2"/>
        <w:numPr>
          <w:ilvl w:val="0"/>
          <w:numId w:val="10"/>
        </w:numPr>
        <w:tabs>
          <w:tab w:val="left" w:pos="1322"/>
        </w:tabs>
        <w:spacing w:before="2" w:line="364" w:lineRule="auto"/>
        <w:ind w:left="120" w:right="361" w:firstLine="479"/>
        <w:rPr>
          <w:sz w:val="24"/>
        </w:rPr>
      </w:pPr>
      <w:r>
        <w:rPr>
          <w:spacing w:val="-20"/>
          <w:sz w:val="24"/>
        </w:rPr>
        <w:t>依据《基金法》、《基金合同》及其他有关规定，召集基金份额持有人</w:t>
      </w:r>
      <w:r>
        <w:rPr>
          <w:sz w:val="24"/>
        </w:rPr>
        <w:t>大会或配合基金管理人、基金份额持有人依法召集基金份额持有人大会；</w:t>
      </w:r>
    </w:p>
    <w:p w14:paraId="4035548F" w14:textId="77777777" w:rsidR="00CD61EF" w:rsidRDefault="002B79C0">
      <w:pPr>
        <w:pStyle w:val="af2"/>
        <w:numPr>
          <w:ilvl w:val="0"/>
          <w:numId w:val="10"/>
        </w:numPr>
        <w:tabs>
          <w:tab w:val="left" w:pos="1322"/>
        </w:tabs>
        <w:ind w:left="1321" w:hanging="722"/>
        <w:rPr>
          <w:sz w:val="24"/>
        </w:rPr>
      </w:pPr>
      <w:r>
        <w:rPr>
          <w:sz w:val="24"/>
        </w:rPr>
        <w:t>按照法律法规和《基金合同》的规定监督基金管理人的投资运作；</w:t>
      </w:r>
    </w:p>
    <w:p w14:paraId="58F9C857" w14:textId="77777777" w:rsidR="00CD61EF" w:rsidRDefault="002B79C0">
      <w:pPr>
        <w:pStyle w:val="af2"/>
        <w:numPr>
          <w:ilvl w:val="0"/>
          <w:numId w:val="10"/>
        </w:numPr>
        <w:tabs>
          <w:tab w:val="left" w:pos="1322"/>
        </w:tabs>
        <w:spacing w:before="161" w:line="364" w:lineRule="auto"/>
        <w:ind w:left="120" w:right="357" w:firstLine="479"/>
        <w:rPr>
          <w:sz w:val="24"/>
        </w:rPr>
      </w:pPr>
      <w:r>
        <w:rPr>
          <w:spacing w:val="-3"/>
          <w:sz w:val="24"/>
        </w:rPr>
        <w:t>参加基金财产清算小组，参与基金财产的保管、清理、估价、变现和</w:t>
      </w:r>
      <w:r>
        <w:rPr>
          <w:sz w:val="24"/>
        </w:rPr>
        <w:t>分配；</w:t>
      </w:r>
    </w:p>
    <w:p w14:paraId="01879C02" w14:textId="77777777" w:rsidR="00CD61EF" w:rsidRDefault="002B79C0">
      <w:pPr>
        <w:pStyle w:val="af2"/>
        <w:numPr>
          <w:ilvl w:val="0"/>
          <w:numId w:val="10"/>
        </w:numPr>
        <w:tabs>
          <w:tab w:val="left" w:pos="1322"/>
        </w:tabs>
        <w:spacing w:line="364" w:lineRule="auto"/>
        <w:ind w:left="120" w:right="358" w:firstLine="479"/>
        <w:rPr>
          <w:sz w:val="24"/>
        </w:rPr>
      </w:pPr>
      <w:r>
        <w:rPr>
          <w:sz w:val="24"/>
        </w:rPr>
        <w:t>面临解散、依法被撤销或者被依法宣告破产时，及时报告中国证监会和银行业监督管理机构，并通知基金管理人；</w:t>
      </w:r>
    </w:p>
    <w:p w14:paraId="4A78A981" w14:textId="77777777" w:rsidR="00CD61EF" w:rsidRDefault="002B79C0">
      <w:pPr>
        <w:pStyle w:val="af2"/>
        <w:numPr>
          <w:ilvl w:val="0"/>
          <w:numId w:val="10"/>
        </w:numPr>
        <w:tabs>
          <w:tab w:val="left" w:pos="1322"/>
        </w:tabs>
        <w:spacing w:line="364" w:lineRule="auto"/>
        <w:ind w:left="120" w:right="361" w:firstLine="479"/>
        <w:rPr>
          <w:sz w:val="24"/>
        </w:rPr>
      </w:pPr>
      <w:r>
        <w:rPr>
          <w:spacing w:val="-4"/>
          <w:sz w:val="24"/>
        </w:rPr>
        <w:t>因违反《基金合同》导致基金财产损失时，应承担赔偿责任，其赔偿</w:t>
      </w:r>
      <w:r>
        <w:rPr>
          <w:sz w:val="24"/>
        </w:rPr>
        <w:t>责任不因其退任而免除；</w:t>
      </w:r>
    </w:p>
    <w:p w14:paraId="120B9D39" w14:textId="77777777" w:rsidR="00CD61EF" w:rsidRDefault="002B79C0">
      <w:pPr>
        <w:pStyle w:val="af2"/>
        <w:numPr>
          <w:ilvl w:val="0"/>
          <w:numId w:val="10"/>
        </w:numPr>
        <w:tabs>
          <w:tab w:val="left" w:pos="1322"/>
        </w:tabs>
        <w:spacing w:line="364" w:lineRule="auto"/>
        <w:ind w:left="120" w:right="357" w:firstLine="479"/>
        <w:jc w:val="both"/>
        <w:rPr>
          <w:sz w:val="24"/>
        </w:rPr>
      </w:pPr>
      <w:r>
        <w:rPr>
          <w:sz w:val="24"/>
        </w:rPr>
        <w:t>按规定监督基金管理人按法律法规和《基金合同》规定履行自己的</w:t>
      </w:r>
      <w:r>
        <w:rPr>
          <w:spacing w:val="-3"/>
          <w:sz w:val="24"/>
        </w:rPr>
        <w:t>义务，基金管理人因违反《基金合同》造成基金财产损失时，应为基金份额持有</w:t>
      </w:r>
      <w:r>
        <w:rPr>
          <w:sz w:val="24"/>
        </w:rPr>
        <w:t>人利益向基金管理人追偿；</w:t>
      </w:r>
    </w:p>
    <w:p w14:paraId="629B4D1A" w14:textId="77777777" w:rsidR="00CD61EF" w:rsidRDefault="002B79C0">
      <w:pPr>
        <w:pStyle w:val="af2"/>
        <w:numPr>
          <w:ilvl w:val="0"/>
          <w:numId w:val="10"/>
        </w:numPr>
        <w:tabs>
          <w:tab w:val="left" w:pos="1322"/>
        </w:tabs>
        <w:spacing w:before="0" w:line="360" w:lineRule="auto"/>
        <w:ind w:left="1321" w:hanging="722"/>
        <w:rPr>
          <w:sz w:val="24"/>
        </w:rPr>
      </w:pPr>
      <w:r>
        <w:rPr>
          <w:sz w:val="24"/>
        </w:rPr>
        <w:t>执行生效的基金份额持有人大会的决议；</w:t>
      </w:r>
    </w:p>
    <w:p w14:paraId="7AE9BD87" w14:textId="77777777" w:rsidR="00CD61EF" w:rsidRDefault="002B79C0">
      <w:pPr>
        <w:pStyle w:val="af2"/>
        <w:numPr>
          <w:ilvl w:val="0"/>
          <w:numId w:val="10"/>
        </w:numPr>
        <w:tabs>
          <w:tab w:val="left" w:pos="1322"/>
        </w:tabs>
        <w:spacing w:before="0" w:line="360" w:lineRule="auto"/>
        <w:ind w:left="1321" w:hanging="722"/>
        <w:rPr>
          <w:sz w:val="24"/>
        </w:rPr>
      </w:pPr>
      <w:r>
        <w:rPr>
          <w:sz w:val="24"/>
        </w:rPr>
        <w:t>法律法规及中国证监会规定的和《基金合同》约定的其他义务</w:t>
      </w:r>
      <w:r>
        <w:rPr>
          <w:rFonts w:hint="eastAsia"/>
          <w:sz w:val="24"/>
        </w:rPr>
        <w:t>。</w:t>
      </w:r>
    </w:p>
    <w:p w14:paraId="7418D123" w14:textId="77777777" w:rsidR="00CD61EF" w:rsidRDefault="002B79C0">
      <w:pPr>
        <w:pStyle w:val="a5"/>
        <w:spacing w:before="0" w:line="360" w:lineRule="auto"/>
        <w:ind w:left="600" w:firstLine="0"/>
      </w:pPr>
      <w:r>
        <w:lastRenderedPageBreak/>
        <w:t>（</w:t>
      </w:r>
      <w:r>
        <w:rPr>
          <w:rFonts w:hint="eastAsia"/>
        </w:rPr>
        <w:t>三</w:t>
      </w:r>
      <w:r>
        <w:t>）基金份额持有人的权利</w:t>
      </w:r>
      <w:r>
        <w:rPr>
          <w:rFonts w:hint="eastAsia"/>
        </w:rPr>
        <w:t>与义务</w:t>
      </w:r>
    </w:p>
    <w:p w14:paraId="771C1789" w14:textId="77777777" w:rsidR="00CD61EF" w:rsidRDefault="002B79C0">
      <w:pPr>
        <w:pStyle w:val="a5"/>
        <w:spacing w:before="0" w:line="360" w:lineRule="auto"/>
        <w:ind w:right="362"/>
      </w:pPr>
      <w:r>
        <w:rPr>
          <w:rFonts w:ascii="Times New Roman" w:eastAsia="Times New Roman"/>
        </w:rPr>
        <w:t>1</w:t>
      </w:r>
      <w:r>
        <w:rPr>
          <w:spacing w:val="-17"/>
        </w:rPr>
        <w:t>、根据《基金法》、《运作办法》及其他有关规定，基金份额持有人的权利</w:t>
      </w:r>
      <w:r>
        <w:t>包括但不限于：</w:t>
      </w:r>
    </w:p>
    <w:p w14:paraId="0BBFCB4C" w14:textId="77777777" w:rsidR="00CD61EF" w:rsidRDefault="002B79C0">
      <w:pPr>
        <w:pStyle w:val="af2"/>
        <w:numPr>
          <w:ilvl w:val="0"/>
          <w:numId w:val="11"/>
        </w:numPr>
        <w:tabs>
          <w:tab w:val="left" w:pos="1202"/>
        </w:tabs>
        <w:spacing w:before="0" w:line="360" w:lineRule="auto"/>
        <w:ind w:left="120" w:right="364" w:firstLine="479"/>
        <w:rPr>
          <w:sz w:val="24"/>
        </w:rPr>
      </w:pPr>
      <w:r>
        <w:rPr>
          <w:sz w:val="24"/>
        </w:rPr>
        <w:t>分享基金财产收益；</w:t>
      </w:r>
    </w:p>
    <w:p w14:paraId="57E6E512" w14:textId="77777777" w:rsidR="00CD61EF" w:rsidRDefault="002B79C0">
      <w:pPr>
        <w:pStyle w:val="af2"/>
        <w:numPr>
          <w:ilvl w:val="0"/>
          <w:numId w:val="11"/>
        </w:numPr>
        <w:tabs>
          <w:tab w:val="left" w:pos="1202"/>
        </w:tabs>
        <w:spacing w:before="160" w:line="364" w:lineRule="auto"/>
        <w:ind w:left="120" w:right="364" w:firstLine="479"/>
        <w:rPr>
          <w:sz w:val="24"/>
        </w:rPr>
      </w:pPr>
      <w:r>
        <w:rPr>
          <w:sz w:val="24"/>
        </w:rPr>
        <w:t>参与分配清算后的剩余基金财产；</w:t>
      </w:r>
    </w:p>
    <w:p w14:paraId="4FEEC1CC" w14:textId="77777777" w:rsidR="00CD61EF" w:rsidRDefault="002B79C0">
      <w:pPr>
        <w:pStyle w:val="af2"/>
        <w:numPr>
          <w:ilvl w:val="0"/>
          <w:numId w:val="11"/>
        </w:numPr>
        <w:tabs>
          <w:tab w:val="left" w:pos="1202"/>
        </w:tabs>
        <w:spacing w:before="160" w:line="364" w:lineRule="auto"/>
        <w:ind w:left="120" w:right="364" w:firstLine="479"/>
        <w:rPr>
          <w:sz w:val="24"/>
        </w:rPr>
      </w:pPr>
      <w:r>
        <w:rPr>
          <w:sz w:val="24"/>
        </w:rPr>
        <w:t>依法转让或者申请赎回其持有的基金份额；</w:t>
      </w:r>
    </w:p>
    <w:p w14:paraId="158D9C48" w14:textId="77777777" w:rsidR="00CD61EF" w:rsidRDefault="002B79C0">
      <w:pPr>
        <w:pStyle w:val="af2"/>
        <w:numPr>
          <w:ilvl w:val="0"/>
          <w:numId w:val="11"/>
        </w:numPr>
        <w:tabs>
          <w:tab w:val="left" w:pos="1202"/>
        </w:tabs>
        <w:spacing w:before="160" w:line="364" w:lineRule="auto"/>
        <w:ind w:left="120" w:right="364" w:firstLine="479"/>
        <w:rPr>
          <w:sz w:val="24"/>
        </w:rPr>
      </w:pPr>
      <w:r>
        <w:rPr>
          <w:sz w:val="24"/>
        </w:rPr>
        <w:t>按照规定要求召开基金份额持有人大会或者召集基金份额持有人大会；</w:t>
      </w:r>
    </w:p>
    <w:p w14:paraId="74B14295" w14:textId="77777777" w:rsidR="00CD61EF" w:rsidRDefault="002B79C0">
      <w:pPr>
        <w:pStyle w:val="af2"/>
        <w:numPr>
          <w:ilvl w:val="0"/>
          <w:numId w:val="11"/>
        </w:numPr>
        <w:tabs>
          <w:tab w:val="left" w:pos="1202"/>
        </w:tabs>
        <w:spacing w:before="160" w:line="364" w:lineRule="auto"/>
        <w:ind w:left="120" w:right="364" w:firstLine="479"/>
        <w:rPr>
          <w:sz w:val="24"/>
        </w:rPr>
      </w:pPr>
      <w:r>
        <w:rPr>
          <w:sz w:val="24"/>
        </w:rPr>
        <w:t>出席或者委派代表出席基金份额持有人大会，对基金份额持有人大会审议事项行使表决权；</w:t>
      </w:r>
    </w:p>
    <w:p w14:paraId="4F543275" w14:textId="77777777" w:rsidR="00CD61EF" w:rsidRDefault="002B79C0">
      <w:pPr>
        <w:pStyle w:val="af2"/>
        <w:numPr>
          <w:ilvl w:val="0"/>
          <w:numId w:val="11"/>
        </w:numPr>
        <w:tabs>
          <w:tab w:val="left" w:pos="1202"/>
        </w:tabs>
        <w:spacing w:before="2"/>
        <w:ind w:hanging="602"/>
        <w:rPr>
          <w:sz w:val="24"/>
        </w:rPr>
      </w:pPr>
      <w:r>
        <w:rPr>
          <w:sz w:val="24"/>
        </w:rPr>
        <w:t>查阅或者复制公开披露的基金信息资料；</w:t>
      </w:r>
    </w:p>
    <w:p w14:paraId="6C2094BC" w14:textId="77777777" w:rsidR="00CD61EF" w:rsidRDefault="002B79C0">
      <w:pPr>
        <w:pStyle w:val="af2"/>
        <w:numPr>
          <w:ilvl w:val="0"/>
          <w:numId w:val="11"/>
        </w:numPr>
        <w:tabs>
          <w:tab w:val="left" w:pos="1202"/>
        </w:tabs>
        <w:spacing w:before="160"/>
        <w:ind w:hanging="602"/>
        <w:rPr>
          <w:sz w:val="24"/>
        </w:rPr>
      </w:pPr>
      <w:r>
        <w:rPr>
          <w:sz w:val="24"/>
        </w:rPr>
        <w:t>监督基金管理人的投资运作；</w:t>
      </w:r>
    </w:p>
    <w:p w14:paraId="38F6CF28" w14:textId="77777777" w:rsidR="00CD61EF" w:rsidRDefault="002B79C0">
      <w:pPr>
        <w:pStyle w:val="af2"/>
        <w:numPr>
          <w:ilvl w:val="0"/>
          <w:numId w:val="11"/>
        </w:numPr>
        <w:tabs>
          <w:tab w:val="left" w:pos="1202"/>
        </w:tabs>
        <w:spacing w:before="161" w:line="364" w:lineRule="auto"/>
        <w:ind w:left="120" w:right="364" w:firstLine="479"/>
        <w:rPr>
          <w:sz w:val="24"/>
        </w:rPr>
      </w:pPr>
      <w:r>
        <w:rPr>
          <w:sz w:val="24"/>
        </w:rPr>
        <w:t>对基金管理人、基金托管人、基金服务机构损害其合法权益的行为依法提起诉讼或仲裁；</w:t>
      </w:r>
    </w:p>
    <w:p w14:paraId="6F7609DE" w14:textId="77777777" w:rsidR="00CD61EF" w:rsidRDefault="002B79C0">
      <w:pPr>
        <w:pStyle w:val="af2"/>
        <w:numPr>
          <w:ilvl w:val="0"/>
          <w:numId w:val="11"/>
        </w:numPr>
        <w:tabs>
          <w:tab w:val="left" w:pos="1202"/>
        </w:tabs>
        <w:ind w:hanging="602"/>
        <w:rPr>
          <w:sz w:val="24"/>
        </w:rPr>
      </w:pPr>
      <w:r>
        <w:rPr>
          <w:sz w:val="24"/>
        </w:rPr>
        <w:t>法律法规及中国证监会规定的和《基金合同》约定的其他权利。</w:t>
      </w:r>
    </w:p>
    <w:p w14:paraId="1E658FC6" w14:textId="77777777" w:rsidR="00CD61EF" w:rsidRDefault="002B79C0">
      <w:pPr>
        <w:pStyle w:val="a5"/>
        <w:spacing w:before="161" w:line="364" w:lineRule="auto"/>
        <w:ind w:right="362"/>
      </w:pPr>
      <w:r>
        <w:rPr>
          <w:rFonts w:ascii="Times New Roman" w:eastAsia="Times New Roman"/>
        </w:rPr>
        <w:t>2</w:t>
      </w:r>
      <w:r>
        <w:rPr>
          <w:spacing w:val="-17"/>
        </w:rPr>
        <w:t>、根据《基金法》、《运作办法》及其他有关规定，基金份额持有人的义务</w:t>
      </w:r>
      <w:r>
        <w:t>包括但不限于：</w:t>
      </w:r>
    </w:p>
    <w:p w14:paraId="394957CD" w14:textId="77777777" w:rsidR="00CD61EF" w:rsidRDefault="002B79C0">
      <w:pPr>
        <w:pStyle w:val="af2"/>
        <w:numPr>
          <w:ilvl w:val="0"/>
          <w:numId w:val="12"/>
        </w:numPr>
        <w:tabs>
          <w:tab w:val="left" w:pos="1202"/>
        </w:tabs>
        <w:spacing w:before="2" w:line="364" w:lineRule="auto"/>
        <w:ind w:right="364" w:firstLine="479"/>
        <w:rPr>
          <w:sz w:val="24"/>
        </w:rPr>
      </w:pPr>
      <w:r>
        <w:rPr>
          <w:sz w:val="24"/>
        </w:rPr>
        <w:t>认真阅读并遵守《基金合同》、《招募说明书》等信息披露文件，缴纳认购、申购款项表示对《基金合同》、招募说明书等信息披露文件的理解、认可、接受；</w:t>
      </w:r>
    </w:p>
    <w:p w14:paraId="4DBA2824" w14:textId="77777777" w:rsidR="00CD61EF" w:rsidRDefault="002B79C0">
      <w:pPr>
        <w:pStyle w:val="af2"/>
        <w:numPr>
          <w:ilvl w:val="0"/>
          <w:numId w:val="12"/>
        </w:numPr>
        <w:tabs>
          <w:tab w:val="left" w:pos="1202"/>
        </w:tabs>
        <w:spacing w:before="2" w:line="364" w:lineRule="auto"/>
        <w:ind w:right="364" w:firstLine="479"/>
        <w:rPr>
          <w:sz w:val="24"/>
        </w:rPr>
      </w:pPr>
      <w:r>
        <w:rPr>
          <w:sz w:val="24"/>
        </w:rPr>
        <w:t>了解所投资基金产品，了解自身风险承受能力，自主判断基金的投资价值，自主做出投资决策，自行承担投资风险；</w:t>
      </w:r>
    </w:p>
    <w:p w14:paraId="79A2D0A8" w14:textId="77777777" w:rsidR="00CD61EF" w:rsidRDefault="002B79C0">
      <w:pPr>
        <w:pStyle w:val="af2"/>
        <w:numPr>
          <w:ilvl w:val="0"/>
          <w:numId w:val="12"/>
        </w:numPr>
        <w:tabs>
          <w:tab w:val="left" w:pos="1202"/>
        </w:tabs>
        <w:spacing w:before="2" w:line="364" w:lineRule="auto"/>
        <w:ind w:right="364" w:firstLine="479"/>
        <w:rPr>
          <w:sz w:val="24"/>
        </w:rPr>
      </w:pPr>
      <w:r>
        <w:rPr>
          <w:sz w:val="24"/>
        </w:rPr>
        <w:t>接受基金管理人或销售机构要求的风险承受能力调查和评价，如实提供身份信息、投资经验、财产状况、风险认知等相关信息，并保证所提供资料、信息的真实性、准确性、完整性；</w:t>
      </w:r>
    </w:p>
    <w:p w14:paraId="762BA63A" w14:textId="77777777" w:rsidR="00CD61EF" w:rsidRDefault="002B79C0">
      <w:pPr>
        <w:pStyle w:val="af2"/>
        <w:numPr>
          <w:ilvl w:val="0"/>
          <w:numId w:val="12"/>
        </w:numPr>
        <w:tabs>
          <w:tab w:val="left" w:pos="1202"/>
        </w:tabs>
        <w:spacing w:before="64"/>
        <w:ind w:left="1201" w:hanging="602"/>
        <w:rPr>
          <w:sz w:val="24"/>
        </w:rPr>
      </w:pPr>
      <w:r>
        <w:rPr>
          <w:sz w:val="24"/>
        </w:rPr>
        <w:t>关注基金信息披露，及时行使权利和履行义务；</w:t>
      </w:r>
    </w:p>
    <w:p w14:paraId="0395002D" w14:textId="77777777" w:rsidR="00CD61EF" w:rsidRDefault="002B79C0">
      <w:pPr>
        <w:pStyle w:val="af2"/>
        <w:numPr>
          <w:ilvl w:val="0"/>
          <w:numId w:val="12"/>
        </w:numPr>
        <w:tabs>
          <w:tab w:val="left" w:pos="1202"/>
        </w:tabs>
        <w:spacing w:before="160"/>
        <w:ind w:left="1201" w:hanging="602"/>
        <w:rPr>
          <w:sz w:val="24"/>
        </w:rPr>
      </w:pPr>
      <w:r>
        <w:rPr>
          <w:sz w:val="24"/>
        </w:rPr>
        <w:t>交纳基金认购、申购款项及法律法规和《基金合同》所规定的费用；</w:t>
      </w:r>
    </w:p>
    <w:p w14:paraId="063470A1" w14:textId="77777777" w:rsidR="00CD61EF" w:rsidRDefault="002B79C0">
      <w:pPr>
        <w:pStyle w:val="af2"/>
        <w:numPr>
          <w:ilvl w:val="0"/>
          <w:numId w:val="12"/>
        </w:numPr>
        <w:tabs>
          <w:tab w:val="left" w:pos="1202"/>
        </w:tabs>
        <w:spacing w:before="161" w:line="364" w:lineRule="auto"/>
        <w:ind w:right="364" w:firstLine="479"/>
        <w:rPr>
          <w:sz w:val="24"/>
        </w:rPr>
      </w:pPr>
      <w:r>
        <w:rPr>
          <w:sz w:val="24"/>
        </w:rPr>
        <w:t>在其持有的基金份额范围内，承担基金亏损或者《基金合同》终止的有限责任；</w:t>
      </w:r>
    </w:p>
    <w:p w14:paraId="24D17F65" w14:textId="77777777" w:rsidR="00CD61EF" w:rsidRDefault="002B79C0">
      <w:pPr>
        <w:pStyle w:val="af2"/>
        <w:numPr>
          <w:ilvl w:val="0"/>
          <w:numId w:val="12"/>
        </w:numPr>
        <w:tabs>
          <w:tab w:val="left" w:pos="1202"/>
        </w:tabs>
        <w:ind w:left="1201" w:hanging="602"/>
        <w:rPr>
          <w:sz w:val="24"/>
        </w:rPr>
      </w:pPr>
      <w:r>
        <w:rPr>
          <w:sz w:val="24"/>
        </w:rPr>
        <w:lastRenderedPageBreak/>
        <w:t>不从事任何有损基金及其他《基金合同》当事人合法权益的活动；</w:t>
      </w:r>
    </w:p>
    <w:p w14:paraId="1411144B" w14:textId="77777777" w:rsidR="00CD61EF" w:rsidRDefault="002B79C0">
      <w:pPr>
        <w:pStyle w:val="af2"/>
        <w:numPr>
          <w:ilvl w:val="0"/>
          <w:numId w:val="12"/>
        </w:numPr>
        <w:tabs>
          <w:tab w:val="left" w:pos="1202"/>
        </w:tabs>
        <w:spacing w:before="161"/>
        <w:ind w:left="1201" w:hanging="602"/>
        <w:rPr>
          <w:sz w:val="24"/>
        </w:rPr>
      </w:pPr>
      <w:r>
        <w:rPr>
          <w:sz w:val="24"/>
        </w:rPr>
        <w:t>执行生效的基金份额持有人大会的决议；</w:t>
      </w:r>
    </w:p>
    <w:p w14:paraId="6E444979" w14:textId="77777777" w:rsidR="00CD61EF" w:rsidRDefault="002B79C0">
      <w:pPr>
        <w:pStyle w:val="af2"/>
        <w:numPr>
          <w:ilvl w:val="0"/>
          <w:numId w:val="12"/>
        </w:numPr>
        <w:tabs>
          <w:tab w:val="left" w:pos="1202"/>
        </w:tabs>
        <w:spacing w:before="160"/>
        <w:ind w:left="1201" w:hanging="602"/>
        <w:rPr>
          <w:sz w:val="24"/>
        </w:rPr>
      </w:pPr>
      <w:r>
        <w:rPr>
          <w:sz w:val="24"/>
        </w:rPr>
        <w:t>返还在基金交易过程中因任何原因获得的不当得利；</w:t>
      </w:r>
    </w:p>
    <w:p w14:paraId="4CC3AB0E" w14:textId="77777777" w:rsidR="00CD61EF" w:rsidRDefault="002B79C0">
      <w:pPr>
        <w:pStyle w:val="af2"/>
        <w:numPr>
          <w:ilvl w:val="0"/>
          <w:numId w:val="12"/>
        </w:numPr>
        <w:tabs>
          <w:tab w:val="left" w:pos="1322"/>
        </w:tabs>
        <w:spacing w:before="161" w:line="364" w:lineRule="auto"/>
        <w:ind w:right="357" w:firstLine="479"/>
        <w:rPr>
          <w:sz w:val="24"/>
        </w:rPr>
      </w:pPr>
      <w:r>
        <w:rPr>
          <w:sz w:val="24"/>
        </w:rPr>
        <w:t>遵守基金管理人、基金托管人、销售机构和登记机构的相关交易及业务规则；</w:t>
      </w:r>
    </w:p>
    <w:p w14:paraId="09861AEC" w14:textId="77777777" w:rsidR="00CD61EF" w:rsidRDefault="002B79C0">
      <w:pPr>
        <w:pStyle w:val="af2"/>
        <w:numPr>
          <w:ilvl w:val="0"/>
          <w:numId w:val="12"/>
        </w:numPr>
        <w:tabs>
          <w:tab w:val="left" w:pos="1312"/>
        </w:tabs>
        <w:spacing w:line="364" w:lineRule="auto"/>
        <w:ind w:right="357" w:firstLine="479"/>
        <w:rPr>
          <w:sz w:val="24"/>
        </w:rPr>
      </w:pPr>
      <w:r>
        <w:rPr>
          <w:sz w:val="24"/>
        </w:rPr>
        <w:t>提供基金管理人和监管机构依法要求提供的信息，以及不时的更新和补充，并保证其真实性；</w:t>
      </w:r>
    </w:p>
    <w:p w14:paraId="78C3733F" w14:textId="77777777" w:rsidR="00CD61EF" w:rsidRDefault="002B79C0">
      <w:pPr>
        <w:pStyle w:val="af2"/>
        <w:numPr>
          <w:ilvl w:val="0"/>
          <w:numId w:val="12"/>
        </w:numPr>
        <w:tabs>
          <w:tab w:val="left" w:pos="1312"/>
        </w:tabs>
        <w:spacing w:line="364" w:lineRule="auto"/>
        <w:ind w:right="357" w:firstLine="479"/>
        <w:rPr>
          <w:sz w:val="24"/>
        </w:rPr>
      </w:pPr>
      <w:r>
        <w:rPr>
          <w:sz w:val="24"/>
        </w:rPr>
        <w:t>法律法规及中国证监会规定的和《基金合同》约定的其他义务。</w:t>
      </w:r>
    </w:p>
    <w:bookmarkEnd w:id="70"/>
    <w:p w14:paraId="7D293BD5" w14:textId="77777777" w:rsidR="00CD61EF" w:rsidRDefault="002B79C0">
      <w:pPr>
        <w:pStyle w:val="af2"/>
        <w:tabs>
          <w:tab w:val="left" w:pos="1322"/>
        </w:tabs>
        <w:spacing w:line="364" w:lineRule="auto"/>
        <w:ind w:left="600" w:right="745" w:firstLine="0"/>
        <w:rPr>
          <w:sz w:val="24"/>
        </w:rPr>
      </w:pPr>
      <w:r>
        <w:rPr>
          <w:sz w:val="24"/>
        </w:rPr>
        <w:t>二、基金份额持有人大会召集、议事及表决的程序和规则</w:t>
      </w:r>
    </w:p>
    <w:p w14:paraId="31E955A3" w14:textId="77777777" w:rsidR="00CD61EF" w:rsidRDefault="002B79C0">
      <w:pPr>
        <w:pStyle w:val="a5"/>
        <w:spacing w:before="0" w:line="364" w:lineRule="auto"/>
        <w:ind w:right="117" w:firstLine="599"/>
      </w:pPr>
      <w:bookmarkStart w:id="71" w:name="_Hlk71719600"/>
      <w:r>
        <w:t>基金份额持有人大会由基金份额持有人组成，基金份额持有人的合法授权</w:t>
      </w:r>
      <w:r>
        <w:rPr>
          <w:spacing w:val="-5"/>
        </w:rPr>
        <w:t>代表有权代表基金份额持有人出席会议并表决。除法律法规另有规定或本基金合</w:t>
      </w:r>
      <w:r>
        <w:rPr>
          <w:spacing w:val="-11"/>
        </w:rPr>
        <w:t>同另有约定外，基金份额持有人持有的每一基金份额拥有平等的投票权。</w:t>
      </w:r>
    </w:p>
    <w:p w14:paraId="5F872069" w14:textId="77777777" w:rsidR="00CD61EF" w:rsidRDefault="002B79C0">
      <w:pPr>
        <w:pStyle w:val="a5"/>
        <w:spacing w:before="2" w:line="364" w:lineRule="auto"/>
        <w:ind w:left="600" w:right="4105" w:firstLine="0"/>
      </w:pPr>
      <w:r>
        <w:rPr>
          <w:spacing w:val="-1"/>
        </w:rPr>
        <w:t>本基金份额持有人大会不设日常机构。</w:t>
      </w:r>
      <w:r>
        <w:rPr>
          <w:rFonts w:hint="eastAsia"/>
        </w:rPr>
        <w:t>（一）</w:t>
      </w:r>
      <w:r>
        <w:t>召开事由</w:t>
      </w:r>
    </w:p>
    <w:p w14:paraId="5DF33FF3" w14:textId="77777777" w:rsidR="00CD61EF" w:rsidRDefault="002B79C0">
      <w:pPr>
        <w:pStyle w:val="a5"/>
        <w:spacing w:line="364" w:lineRule="auto"/>
        <w:ind w:right="364"/>
      </w:pPr>
      <w:r>
        <w:rPr>
          <w:rFonts w:ascii="Times New Roman" w:eastAsia="Times New Roman"/>
        </w:rPr>
        <w:t>1</w:t>
      </w:r>
      <w:r>
        <w:t>、当出现或需要决定下列事由之一的，应当召开基金份额持有人大会，法律法规</w:t>
      </w:r>
      <w:r>
        <w:rPr>
          <w:rFonts w:hint="eastAsia"/>
        </w:rPr>
        <w:t>或</w:t>
      </w:r>
      <w:r>
        <w:t>中国证监会另有规定</w:t>
      </w:r>
      <w:r>
        <w:rPr>
          <w:rFonts w:hint="eastAsia"/>
        </w:rPr>
        <w:t>或</w:t>
      </w:r>
      <w:r>
        <w:t>基金合同另有约定的除外：</w:t>
      </w:r>
    </w:p>
    <w:p w14:paraId="57E92504" w14:textId="77777777" w:rsidR="00CD61EF" w:rsidRDefault="002B79C0">
      <w:pPr>
        <w:pStyle w:val="af2"/>
        <w:numPr>
          <w:ilvl w:val="0"/>
          <w:numId w:val="13"/>
        </w:numPr>
        <w:tabs>
          <w:tab w:val="left" w:pos="1202"/>
        </w:tabs>
        <w:spacing w:before="52"/>
        <w:rPr>
          <w:sz w:val="24"/>
        </w:rPr>
      </w:pPr>
      <w:r>
        <w:rPr>
          <w:spacing w:val="-14"/>
          <w:sz w:val="24"/>
        </w:rPr>
        <w:t>终止《基金合同》；</w:t>
      </w:r>
    </w:p>
    <w:p w14:paraId="263DFF31" w14:textId="77777777" w:rsidR="00CD61EF" w:rsidRDefault="002B79C0">
      <w:pPr>
        <w:pStyle w:val="af2"/>
        <w:numPr>
          <w:ilvl w:val="0"/>
          <w:numId w:val="13"/>
        </w:numPr>
        <w:tabs>
          <w:tab w:val="left" w:pos="1202"/>
        </w:tabs>
        <w:spacing w:before="132"/>
        <w:ind w:hanging="602"/>
        <w:rPr>
          <w:sz w:val="24"/>
        </w:rPr>
      </w:pPr>
      <w:r>
        <w:rPr>
          <w:sz w:val="24"/>
        </w:rPr>
        <w:t>更换基金管理人；</w:t>
      </w:r>
    </w:p>
    <w:p w14:paraId="3373D47E" w14:textId="77777777" w:rsidR="00CD61EF" w:rsidRDefault="002B79C0">
      <w:pPr>
        <w:pStyle w:val="af2"/>
        <w:numPr>
          <w:ilvl w:val="0"/>
          <w:numId w:val="13"/>
        </w:numPr>
        <w:tabs>
          <w:tab w:val="left" w:pos="1202"/>
        </w:tabs>
        <w:spacing w:before="134"/>
        <w:ind w:hanging="602"/>
        <w:rPr>
          <w:sz w:val="24"/>
        </w:rPr>
      </w:pPr>
      <w:r>
        <w:rPr>
          <w:sz w:val="24"/>
        </w:rPr>
        <w:t>更换基金托管人；</w:t>
      </w:r>
    </w:p>
    <w:p w14:paraId="7DABA981" w14:textId="77777777" w:rsidR="00CD61EF" w:rsidRDefault="002B79C0">
      <w:pPr>
        <w:pStyle w:val="af2"/>
        <w:numPr>
          <w:ilvl w:val="0"/>
          <w:numId w:val="13"/>
        </w:numPr>
        <w:tabs>
          <w:tab w:val="left" w:pos="1202"/>
        </w:tabs>
        <w:spacing w:before="132"/>
        <w:ind w:hanging="602"/>
        <w:rPr>
          <w:sz w:val="24"/>
        </w:rPr>
      </w:pPr>
      <w:r>
        <w:rPr>
          <w:sz w:val="24"/>
        </w:rPr>
        <w:t>转换基金运作方式；</w:t>
      </w:r>
    </w:p>
    <w:p w14:paraId="3D92C1DC" w14:textId="77777777" w:rsidR="00CD61EF" w:rsidRDefault="002B79C0">
      <w:pPr>
        <w:pStyle w:val="af2"/>
        <w:numPr>
          <w:ilvl w:val="0"/>
          <w:numId w:val="13"/>
        </w:numPr>
        <w:tabs>
          <w:tab w:val="left" w:pos="1202"/>
        </w:tabs>
        <w:spacing w:before="131"/>
        <w:ind w:hanging="602"/>
        <w:rPr>
          <w:sz w:val="24"/>
        </w:rPr>
      </w:pPr>
      <w:r>
        <w:rPr>
          <w:sz w:val="24"/>
        </w:rPr>
        <w:t>调整基金管理人、基金托管人的报酬标准或提高销售服务费；</w:t>
      </w:r>
    </w:p>
    <w:p w14:paraId="4223E279" w14:textId="77777777" w:rsidR="00CD61EF" w:rsidRDefault="002B79C0">
      <w:pPr>
        <w:pStyle w:val="af2"/>
        <w:numPr>
          <w:ilvl w:val="0"/>
          <w:numId w:val="13"/>
        </w:numPr>
        <w:tabs>
          <w:tab w:val="left" w:pos="1202"/>
        </w:tabs>
        <w:spacing w:before="134"/>
        <w:ind w:hanging="602"/>
        <w:rPr>
          <w:sz w:val="24"/>
        </w:rPr>
      </w:pPr>
      <w:r>
        <w:rPr>
          <w:sz w:val="24"/>
        </w:rPr>
        <w:t>变更基金类别；</w:t>
      </w:r>
    </w:p>
    <w:p w14:paraId="75B415B8" w14:textId="77777777" w:rsidR="00CD61EF" w:rsidRDefault="002B79C0">
      <w:pPr>
        <w:pStyle w:val="af2"/>
        <w:numPr>
          <w:ilvl w:val="0"/>
          <w:numId w:val="13"/>
        </w:numPr>
        <w:tabs>
          <w:tab w:val="left" w:pos="1202"/>
        </w:tabs>
        <w:spacing w:before="132"/>
        <w:ind w:hanging="602"/>
        <w:rPr>
          <w:sz w:val="24"/>
        </w:rPr>
      </w:pPr>
      <w:r>
        <w:rPr>
          <w:sz w:val="24"/>
        </w:rPr>
        <w:t>本基金与其他基金的合并；</w:t>
      </w:r>
    </w:p>
    <w:p w14:paraId="18B224EA" w14:textId="77777777" w:rsidR="00CD61EF" w:rsidRDefault="002B79C0">
      <w:pPr>
        <w:pStyle w:val="af2"/>
        <w:numPr>
          <w:ilvl w:val="0"/>
          <w:numId w:val="13"/>
        </w:numPr>
        <w:tabs>
          <w:tab w:val="left" w:pos="1202"/>
        </w:tabs>
        <w:spacing w:before="132"/>
        <w:ind w:hanging="602"/>
        <w:rPr>
          <w:sz w:val="24"/>
        </w:rPr>
      </w:pPr>
      <w:r>
        <w:rPr>
          <w:sz w:val="24"/>
        </w:rPr>
        <w:t>变更基金投资目标、范围或策略；</w:t>
      </w:r>
    </w:p>
    <w:p w14:paraId="053EDC3C" w14:textId="77777777" w:rsidR="00CD61EF" w:rsidRDefault="002B79C0">
      <w:pPr>
        <w:pStyle w:val="af2"/>
        <w:numPr>
          <w:ilvl w:val="0"/>
          <w:numId w:val="13"/>
        </w:numPr>
        <w:tabs>
          <w:tab w:val="left" w:pos="1202"/>
        </w:tabs>
        <w:spacing w:before="134"/>
        <w:ind w:hanging="602"/>
        <w:rPr>
          <w:sz w:val="24"/>
        </w:rPr>
      </w:pPr>
      <w:r>
        <w:rPr>
          <w:sz w:val="24"/>
        </w:rPr>
        <w:t>变更基金份额持有人大会程序；</w:t>
      </w:r>
    </w:p>
    <w:p w14:paraId="57939840" w14:textId="77777777" w:rsidR="00CD61EF" w:rsidRDefault="002B79C0">
      <w:pPr>
        <w:pStyle w:val="af2"/>
        <w:numPr>
          <w:ilvl w:val="0"/>
          <w:numId w:val="13"/>
        </w:numPr>
        <w:tabs>
          <w:tab w:val="left" w:pos="1322"/>
        </w:tabs>
        <w:spacing w:before="132"/>
        <w:ind w:left="1321" w:hanging="722"/>
        <w:rPr>
          <w:sz w:val="24"/>
        </w:rPr>
      </w:pPr>
      <w:r>
        <w:rPr>
          <w:sz w:val="24"/>
        </w:rPr>
        <w:t>基金管理人或基金托管人要求召开基金份额持有人大会；</w:t>
      </w:r>
    </w:p>
    <w:p w14:paraId="5444C0C4" w14:textId="77777777" w:rsidR="00CD61EF" w:rsidRDefault="002B79C0">
      <w:pPr>
        <w:pStyle w:val="af2"/>
        <w:numPr>
          <w:ilvl w:val="0"/>
          <w:numId w:val="13"/>
        </w:numPr>
        <w:tabs>
          <w:tab w:val="left" w:pos="1312"/>
        </w:tabs>
        <w:spacing w:before="132" w:line="343" w:lineRule="auto"/>
        <w:ind w:left="120" w:right="356" w:firstLine="479"/>
        <w:jc w:val="both"/>
        <w:rPr>
          <w:sz w:val="24"/>
        </w:rPr>
      </w:pPr>
      <w:r>
        <w:rPr>
          <w:spacing w:val="-8"/>
          <w:sz w:val="24"/>
        </w:rPr>
        <w:t xml:space="preserve">单独或合计持有本基金总份额 </w:t>
      </w:r>
      <w:r>
        <w:rPr>
          <w:rFonts w:ascii="Times New Roman" w:eastAsia="Times New Roman"/>
          <w:spacing w:val="-3"/>
          <w:sz w:val="24"/>
        </w:rPr>
        <w:t>10%</w:t>
      </w:r>
      <w:r>
        <w:rPr>
          <w:spacing w:val="-3"/>
          <w:sz w:val="24"/>
        </w:rPr>
        <w:t>以上（</w:t>
      </w:r>
      <w:r>
        <w:rPr>
          <w:spacing w:val="-32"/>
          <w:sz w:val="24"/>
        </w:rPr>
        <w:t xml:space="preserve">含 </w:t>
      </w:r>
      <w:r>
        <w:rPr>
          <w:rFonts w:ascii="Times New Roman" w:eastAsia="Times New Roman"/>
          <w:spacing w:val="-3"/>
          <w:sz w:val="24"/>
        </w:rPr>
        <w:t>10%</w:t>
      </w:r>
      <w:r>
        <w:rPr>
          <w:spacing w:val="-3"/>
          <w:sz w:val="24"/>
        </w:rPr>
        <w:t>）</w:t>
      </w:r>
      <w:r>
        <w:rPr>
          <w:spacing w:val="-2"/>
          <w:sz w:val="24"/>
        </w:rPr>
        <w:t>基金份额的基金</w:t>
      </w:r>
      <w:r>
        <w:rPr>
          <w:spacing w:val="-3"/>
          <w:sz w:val="24"/>
        </w:rPr>
        <w:t>份额持有人（以基金管理人收到提议当日的基金份额计算，下同</w:t>
      </w:r>
      <w:r>
        <w:rPr>
          <w:spacing w:val="-2"/>
          <w:sz w:val="24"/>
        </w:rPr>
        <w:t>）就同一事项书</w:t>
      </w:r>
      <w:r>
        <w:rPr>
          <w:sz w:val="24"/>
        </w:rPr>
        <w:t>面要求召开基金份额持有人大会；</w:t>
      </w:r>
    </w:p>
    <w:p w14:paraId="6CA40028" w14:textId="77777777" w:rsidR="00CD61EF" w:rsidRDefault="002B79C0">
      <w:pPr>
        <w:pStyle w:val="af2"/>
        <w:numPr>
          <w:ilvl w:val="0"/>
          <w:numId w:val="13"/>
        </w:numPr>
        <w:tabs>
          <w:tab w:val="left" w:pos="1322"/>
        </w:tabs>
        <w:spacing w:before="0"/>
        <w:ind w:left="1321" w:hanging="722"/>
        <w:rPr>
          <w:sz w:val="24"/>
        </w:rPr>
      </w:pPr>
      <w:r>
        <w:rPr>
          <w:sz w:val="24"/>
        </w:rPr>
        <w:t>对基金合同当事人权利和义务产生重大影响的其他事项；</w:t>
      </w:r>
    </w:p>
    <w:p w14:paraId="6AA70061" w14:textId="77777777" w:rsidR="00CD61EF" w:rsidRDefault="002B79C0">
      <w:pPr>
        <w:pStyle w:val="af2"/>
        <w:numPr>
          <w:ilvl w:val="0"/>
          <w:numId w:val="13"/>
        </w:numPr>
        <w:tabs>
          <w:tab w:val="left" w:pos="1322"/>
        </w:tabs>
        <w:spacing w:before="135" w:line="343" w:lineRule="auto"/>
        <w:ind w:left="120" w:right="364" w:firstLine="479"/>
        <w:rPr>
          <w:sz w:val="24"/>
        </w:rPr>
      </w:pPr>
      <w:r>
        <w:rPr>
          <w:spacing w:val="-12"/>
          <w:sz w:val="24"/>
        </w:rPr>
        <w:t>法律法规、《基金合同》或中国证监会规定的其他应当召开基金份额</w:t>
      </w:r>
      <w:r>
        <w:rPr>
          <w:sz w:val="24"/>
        </w:rPr>
        <w:t>持</w:t>
      </w:r>
      <w:r>
        <w:rPr>
          <w:sz w:val="24"/>
        </w:rPr>
        <w:lastRenderedPageBreak/>
        <w:t>有人大会的事项。</w:t>
      </w:r>
    </w:p>
    <w:p w14:paraId="23C68133" w14:textId="77777777" w:rsidR="00CD61EF" w:rsidRDefault="002B79C0">
      <w:pPr>
        <w:pStyle w:val="a5"/>
        <w:spacing w:before="0" w:line="257" w:lineRule="exact"/>
        <w:ind w:left="600" w:firstLine="0"/>
      </w:pPr>
      <w:r>
        <w:rPr>
          <w:rFonts w:ascii="Times New Roman" w:eastAsia="Times New Roman"/>
        </w:rPr>
        <w:t>2</w:t>
      </w:r>
      <w:r>
        <w:t>、在法律法规规定和《基金合同》约定的范围内、且对基金份额持有人利</w:t>
      </w:r>
    </w:p>
    <w:p w14:paraId="115753F4" w14:textId="77777777" w:rsidR="00CD61EF" w:rsidRDefault="002B79C0">
      <w:pPr>
        <w:pStyle w:val="a5"/>
        <w:spacing w:before="160" w:line="364" w:lineRule="auto"/>
        <w:ind w:right="357" w:firstLine="0"/>
      </w:pPr>
      <w:r>
        <w:rPr>
          <w:spacing w:val="-8"/>
        </w:rPr>
        <w:t>益无实质性不利影响的前提下，以下情况可由基金管理人和基金托管人协商后修</w:t>
      </w:r>
      <w:r>
        <w:t>改，不需召开基金份额持有人大会：</w:t>
      </w:r>
    </w:p>
    <w:p w14:paraId="5E3C639F" w14:textId="77777777" w:rsidR="00CD61EF" w:rsidRDefault="002B79C0">
      <w:pPr>
        <w:pStyle w:val="af2"/>
        <w:numPr>
          <w:ilvl w:val="0"/>
          <w:numId w:val="14"/>
        </w:numPr>
        <w:tabs>
          <w:tab w:val="left" w:pos="1202"/>
        </w:tabs>
        <w:rPr>
          <w:sz w:val="24"/>
        </w:rPr>
      </w:pPr>
      <w:r>
        <w:rPr>
          <w:sz w:val="24"/>
        </w:rPr>
        <w:t>调低其他应由本基金或基金份额持有人承担的费用；</w:t>
      </w:r>
    </w:p>
    <w:p w14:paraId="4DC6BC81" w14:textId="77777777" w:rsidR="00CD61EF" w:rsidRDefault="002B79C0">
      <w:pPr>
        <w:pStyle w:val="af2"/>
        <w:numPr>
          <w:ilvl w:val="0"/>
          <w:numId w:val="14"/>
        </w:numPr>
        <w:tabs>
          <w:tab w:val="left" w:pos="1202"/>
        </w:tabs>
        <w:spacing w:before="161"/>
        <w:ind w:hanging="602"/>
        <w:rPr>
          <w:sz w:val="24"/>
        </w:rPr>
      </w:pPr>
      <w:r>
        <w:rPr>
          <w:sz w:val="24"/>
        </w:rPr>
        <w:t>法律法规要求增加的基金费用的收取；</w:t>
      </w:r>
    </w:p>
    <w:p w14:paraId="5C3A705C" w14:textId="77777777" w:rsidR="00CD61EF" w:rsidRDefault="002B79C0">
      <w:pPr>
        <w:pStyle w:val="af2"/>
        <w:numPr>
          <w:ilvl w:val="0"/>
          <w:numId w:val="14"/>
        </w:numPr>
        <w:tabs>
          <w:tab w:val="left" w:pos="1202"/>
        </w:tabs>
        <w:spacing w:before="64" w:line="364" w:lineRule="auto"/>
        <w:ind w:left="120" w:right="357" w:firstLine="479"/>
        <w:jc w:val="both"/>
        <w:rPr>
          <w:sz w:val="24"/>
        </w:rPr>
      </w:pPr>
      <w:r>
        <w:rPr>
          <w:sz w:val="24"/>
        </w:rPr>
        <w:t>调整本基金的申购费率、调</w:t>
      </w:r>
      <w:r>
        <w:rPr>
          <w:spacing w:val="-11"/>
          <w:sz w:val="24"/>
        </w:rPr>
        <w:t>低赎回费率、调低销售服务费或在对现有基金份额持有人利益无实质性不利影响</w:t>
      </w:r>
      <w:r>
        <w:rPr>
          <w:sz w:val="24"/>
        </w:rPr>
        <w:t>的前提下变更或增加收费方式；</w:t>
      </w:r>
    </w:p>
    <w:p w14:paraId="48F56EE9" w14:textId="77777777" w:rsidR="00CD61EF" w:rsidRDefault="002B79C0">
      <w:pPr>
        <w:pStyle w:val="af2"/>
        <w:numPr>
          <w:ilvl w:val="0"/>
          <w:numId w:val="14"/>
        </w:numPr>
        <w:tabs>
          <w:tab w:val="left" w:pos="1202"/>
        </w:tabs>
        <w:spacing w:before="2" w:line="364" w:lineRule="auto"/>
        <w:ind w:left="120" w:right="364" w:firstLine="479"/>
        <w:rPr>
          <w:sz w:val="24"/>
        </w:rPr>
      </w:pPr>
      <w:r>
        <w:rPr>
          <w:sz w:val="24"/>
        </w:rPr>
        <w:t>因相应的法律法规、登记机构的相关业务规则发生变动而应当对《基金合同》进行修改；</w:t>
      </w:r>
    </w:p>
    <w:p w14:paraId="0AACB34B" w14:textId="77777777" w:rsidR="00CD61EF" w:rsidRDefault="002B79C0">
      <w:pPr>
        <w:pStyle w:val="af2"/>
        <w:numPr>
          <w:ilvl w:val="0"/>
          <w:numId w:val="14"/>
        </w:numPr>
        <w:tabs>
          <w:tab w:val="left" w:pos="1202"/>
        </w:tabs>
        <w:spacing w:before="161" w:line="364" w:lineRule="auto"/>
        <w:ind w:left="120" w:right="364" w:firstLine="479"/>
        <w:rPr>
          <w:sz w:val="24"/>
        </w:rPr>
      </w:pPr>
      <w:r>
        <w:rPr>
          <w:sz w:val="24"/>
        </w:rPr>
        <w:t>对《基金合同》的修改对基金份额持有人利益无实质性不利影响或修改不涉及《基金合同》当事人权利义务关系发生重大变化；</w:t>
      </w:r>
    </w:p>
    <w:p w14:paraId="1E670523" w14:textId="77777777" w:rsidR="00CD61EF" w:rsidRDefault="002B79C0">
      <w:pPr>
        <w:pStyle w:val="af2"/>
        <w:numPr>
          <w:ilvl w:val="0"/>
          <w:numId w:val="14"/>
        </w:numPr>
        <w:tabs>
          <w:tab w:val="left" w:pos="1202"/>
        </w:tabs>
        <w:spacing w:before="161" w:line="364" w:lineRule="auto"/>
        <w:ind w:left="120" w:right="364" w:firstLine="479"/>
        <w:rPr>
          <w:sz w:val="24"/>
        </w:rPr>
      </w:pPr>
      <w:r>
        <w:rPr>
          <w:sz w:val="24"/>
        </w:rPr>
        <w:t>基金推出新业务或服务；</w:t>
      </w:r>
    </w:p>
    <w:p w14:paraId="713CCEBA" w14:textId="77777777" w:rsidR="00CD61EF" w:rsidRDefault="002B79C0">
      <w:pPr>
        <w:pStyle w:val="af2"/>
        <w:numPr>
          <w:ilvl w:val="0"/>
          <w:numId w:val="14"/>
        </w:numPr>
        <w:tabs>
          <w:tab w:val="left" w:pos="1202"/>
        </w:tabs>
        <w:spacing w:before="161" w:line="364" w:lineRule="auto"/>
        <w:ind w:left="120" w:right="364" w:firstLine="479"/>
        <w:rPr>
          <w:sz w:val="24"/>
        </w:rPr>
      </w:pPr>
      <w:r>
        <w:rPr>
          <w:sz w:val="24"/>
        </w:rPr>
        <w:t>调整本基金份额类别的设置，</w:t>
      </w:r>
      <w:r>
        <w:rPr>
          <w:rFonts w:hint="eastAsia"/>
          <w:sz w:val="24"/>
        </w:rPr>
        <w:t>或停止某类基金份额类别的销售，或取消某基金份额类别，</w:t>
      </w:r>
      <w:r>
        <w:rPr>
          <w:sz w:val="24"/>
        </w:rPr>
        <w:t>对基金份额分类办法及规则进行调整；</w:t>
      </w:r>
    </w:p>
    <w:p w14:paraId="44D3AC8E" w14:textId="77777777" w:rsidR="00CD61EF" w:rsidRDefault="002B79C0">
      <w:pPr>
        <w:pStyle w:val="af2"/>
        <w:numPr>
          <w:ilvl w:val="0"/>
          <w:numId w:val="14"/>
        </w:numPr>
        <w:tabs>
          <w:tab w:val="left" w:pos="1202"/>
        </w:tabs>
        <w:spacing w:before="161" w:line="364" w:lineRule="auto"/>
        <w:ind w:left="120" w:right="364" w:firstLine="479"/>
        <w:rPr>
          <w:sz w:val="24"/>
        </w:rPr>
      </w:pPr>
      <w:r>
        <w:rPr>
          <w:sz w:val="24"/>
        </w:rPr>
        <w:t>基金管理人、登记机构、销售机构调整有关基金认购、申购、赎回、转换、非交易过户、转托管等业务的规则；</w:t>
      </w:r>
    </w:p>
    <w:p w14:paraId="078FAE83" w14:textId="77777777" w:rsidR="00CD61EF" w:rsidRDefault="002B79C0">
      <w:pPr>
        <w:pStyle w:val="af2"/>
        <w:numPr>
          <w:ilvl w:val="0"/>
          <w:numId w:val="14"/>
        </w:numPr>
        <w:tabs>
          <w:tab w:val="left" w:pos="1202"/>
        </w:tabs>
        <w:spacing w:line="364" w:lineRule="auto"/>
        <w:ind w:left="120" w:right="364" w:firstLine="479"/>
        <w:rPr>
          <w:sz w:val="24"/>
        </w:rPr>
      </w:pPr>
      <w:r>
        <w:rPr>
          <w:sz w:val="24"/>
        </w:rPr>
        <w:t>按照法律法规和《基金合同》规定不需召开基金份额持有人大会的其他情形。</w:t>
      </w:r>
    </w:p>
    <w:p w14:paraId="2E2692C9" w14:textId="77777777" w:rsidR="00CD61EF" w:rsidRDefault="002B79C0">
      <w:pPr>
        <w:pStyle w:val="a5"/>
        <w:ind w:left="600" w:firstLine="0"/>
      </w:pPr>
      <w:r>
        <w:rPr>
          <w:rFonts w:hint="eastAsia"/>
        </w:rPr>
        <w:t>（二）</w:t>
      </w:r>
      <w:r>
        <w:t>会议召集人及召集方式</w:t>
      </w:r>
    </w:p>
    <w:p w14:paraId="18D9EF88" w14:textId="77777777" w:rsidR="00CD61EF" w:rsidRDefault="002B79C0">
      <w:pPr>
        <w:pStyle w:val="a5"/>
        <w:spacing w:before="161" w:line="364" w:lineRule="auto"/>
        <w:ind w:right="364"/>
      </w:pPr>
      <w:r>
        <w:rPr>
          <w:rFonts w:ascii="Times New Roman" w:eastAsia="Times New Roman"/>
        </w:rPr>
        <w:t>1</w:t>
      </w:r>
      <w:r>
        <w:t>、除法律法规规定或《基金合同》另有约定外，基金份额持有人大会由基金管理人召集。</w:t>
      </w:r>
    </w:p>
    <w:p w14:paraId="7BC6E4F5" w14:textId="77777777" w:rsidR="00CD61EF" w:rsidRDefault="002B79C0">
      <w:pPr>
        <w:pStyle w:val="a5"/>
        <w:ind w:left="600" w:firstLine="0"/>
      </w:pPr>
      <w:r>
        <w:rPr>
          <w:rFonts w:ascii="Times New Roman" w:eastAsia="Times New Roman"/>
        </w:rPr>
        <w:t>2</w:t>
      </w:r>
      <w:r>
        <w:t>、基金管理人未按规定召集或不能召集时，由基金托管人召集。</w:t>
      </w:r>
    </w:p>
    <w:p w14:paraId="184A7FD2" w14:textId="77777777" w:rsidR="00CD61EF" w:rsidRDefault="002B79C0">
      <w:pPr>
        <w:pStyle w:val="a5"/>
        <w:spacing w:before="161" w:line="364" w:lineRule="auto"/>
        <w:ind w:right="356"/>
        <w:jc w:val="both"/>
      </w:pPr>
      <w:r>
        <w:rPr>
          <w:rFonts w:ascii="Times New Roman" w:eastAsia="Times New Roman"/>
        </w:rPr>
        <w:t>3</w:t>
      </w:r>
      <w:r>
        <w:t>、基金托管人认为有必要召开基金份额持有人大会的，应当向基金管理人</w:t>
      </w:r>
      <w:r>
        <w:rPr>
          <w:spacing w:val="-3"/>
        </w:rPr>
        <w:t xml:space="preserve">提出书面提议。基金管理人应当自收到书面提议之日起 </w:t>
      </w:r>
      <w:r>
        <w:rPr>
          <w:rFonts w:ascii="Times New Roman" w:eastAsia="Times New Roman"/>
        </w:rPr>
        <w:t>10</w:t>
      </w:r>
      <w:r>
        <w:rPr>
          <w:rFonts w:ascii="Times New Roman" w:eastAsia="Times New Roman"/>
          <w:spacing w:val="12"/>
        </w:rPr>
        <w:t xml:space="preserve"> </w:t>
      </w:r>
      <w:r>
        <w:t>日内决定是否召集，</w:t>
      </w:r>
    </w:p>
    <w:p w14:paraId="7D1655A8" w14:textId="77777777" w:rsidR="00CD61EF" w:rsidRDefault="002B79C0">
      <w:pPr>
        <w:pStyle w:val="a5"/>
        <w:spacing w:line="364" w:lineRule="auto"/>
        <w:ind w:right="356" w:firstLine="0"/>
        <w:jc w:val="both"/>
      </w:pPr>
      <w:r>
        <w:rPr>
          <w:spacing w:val="-14"/>
        </w:rPr>
        <w:t xml:space="preserve">并书面告知基金托管人。基金管理人决定召集的，应当自出具书面决定之日起 </w:t>
      </w:r>
      <w:r>
        <w:rPr>
          <w:rFonts w:ascii="Times New Roman" w:eastAsia="Times New Roman"/>
        </w:rPr>
        <w:t>60</w:t>
      </w:r>
      <w:r>
        <w:rPr>
          <w:rFonts w:ascii="Times New Roman" w:eastAsia="Times New Roman"/>
          <w:spacing w:val="-58"/>
        </w:rPr>
        <w:t xml:space="preserve"> </w:t>
      </w:r>
      <w:r>
        <w:rPr>
          <w:spacing w:val="-3"/>
        </w:rPr>
        <w:t>日内召开；基金管理人决定不召集，基金托管人仍认为有必要召开的，应当由基</w:t>
      </w:r>
      <w:r>
        <w:rPr>
          <w:spacing w:val="-4"/>
        </w:rPr>
        <w:t xml:space="preserve">金托管人自行召集，并自出具书面决定之日起 </w:t>
      </w:r>
      <w:r>
        <w:rPr>
          <w:rFonts w:ascii="Times New Roman" w:eastAsia="Times New Roman"/>
        </w:rPr>
        <w:t>60</w:t>
      </w:r>
      <w:r>
        <w:rPr>
          <w:rFonts w:ascii="Times New Roman" w:eastAsia="Times New Roman"/>
          <w:spacing w:val="12"/>
        </w:rPr>
        <w:t xml:space="preserve"> </w:t>
      </w:r>
      <w:r>
        <w:t>日内召开并告知基金管理人，</w:t>
      </w:r>
      <w:r>
        <w:rPr>
          <w:spacing w:val="-118"/>
        </w:rPr>
        <w:t xml:space="preserve"> </w:t>
      </w:r>
      <w:r>
        <w:t>基金管理人应当配合。</w:t>
      </w:r>
    </w:p>
    <w:p w14:paraId="5CE0FAFA" w14:textId="77777777" w:rsidR="00CD61EF" w:rsidRDefault="002B79C0">
      <w:pPr>
        <w:pStyle w:val="a5"/>
        <w:spacing w:before="2" w:line="364" w:lineRule="auto"/>
        <w:ind w:right="357"/>
        <w:jc w:val="both"/>
      </w:pPr>
      <w:r>
        <w:rPr>
          <w:rFonts w:ascii="Times New Roman" w:eastAsia="Times New Roman"/>
          <w:spacing w:val="-1"/>
        </w:rPr>
        <w:lastRenderedPageBreak/>
        <w:t>4</w:t>
      </w:r>
      <w:r>
        <w:rPr>
          <w:spacing w:val="-9"/>
        </w:rPr>
        <w:t xml:space="preserve">、代表基金份额 </w:t>
      </w:r>
      <w:r>
        <w:rPr>
          <w:rFonts w:ascii="Times New Roman" w:eastAsia="Times New Roman"/>
          <w:spacing w:val="-1"/>
        </w:rPr>
        <w:t>10%</w:t>
      </w:r>
      <w:r>
        <w:rPr>
          <w:spacing w:val="-1"/>
        </w:rPr>
        <w:t>以上（</w:t>
      </w:r>
      <w:r>
        <w:rPr>
          <w:spacing w:val="-31"/>
        </w:rPr>
        <w:t xml:space="preserve">含 </w:t>
      </w:r>
      <w:r>
        <w:rPr>
          <w:rFonts w:ascii="Times New Roman" w:eastAsia="Times New Roman"/>
          <w:spacing w:val="-1"/>
        </w:rPr>
        <w:t>10%</w:t>
      </w:r>
      <w:r>
        <w:rPr>
          <w:spacing w:val="-1"/>
        </w:rPr>
        <w:t>）的基金份额持有人就同一事项书面要</w:t>
      </w:r>
      <w:r>
        <w:rPr>
          <w:spacing w:val="-3"/>
        </w:rPr>
        <w:t>求召开基金份额持有人大会，应当向基金管理人提出书面提议。基金管理人应当</w:t>
      </w:r>
      <w:r>
        <w:rPr>
          <w:spacing w:val="-6"/>
        </w:rPr>
        <w:t xml:space="preserve">自收到书面提议之日起 </w:t>
      </w:r>
      <w:r>
        <w:rPr>
          <w:rFonts w:ascii="Times New Roman" w:eastAsia="Times New Roman"/>
          <w:spacing w:val="-1"/>
        </w:rPr>
        <w:t>10</w:t>
      </w:r>
      <w:r>
        <w:rPr>
          <w:rFonts w:ascii="Times New Roman" w:eastAsia="Times New Roman"/>
          <w:spacing w:val="12"/>
        </w:rPr>
        <w:t xml:space="preserve"> </w:t>
      </w:r>
      <w:r>
        <w:rPr>
          <w:spacing w:val="-1"/>
        </w:rPr>
        <w:t>日内决定是否召集，并书面告知提出提议的基金份额</w:t>
      </w:r>
      <w:r>
        <w:rPr>
          <w:spacing w:val="-3"/>
        </w:rPr>
        <w:t>持有人代表和基金托管人。基金管理人决定召集的，应当自出具书面决定之日起</w:t>
      </w:r>
      <w:r>
        <w:rPr>
          <w:rFonts w:ascii="Times New Roman" w:eastAsia="Times New Roman"/>
          <w:spacing w:val="-1"/>
        </w:rPr>
        <w:t>60</w:t>
      </w:r>
      <w:r>
        <w:rPr>
          <w:rFonts w:ascii="Times New Roman" w:eastAsia="Times New Roman"/>
          <w:spacing w:val="14"/>
        </w:rPr>
        <w:t xml:space="preserve"> </w:t>
      </w:r>
      <w:r>
        <w:rPr>
          <w:spacing w:val="-3"/>
        </w:rPr>
        <w:t xml:space="preserve">日内召开；基金管理人决定不召集，代表基金份额 </w:t>
      </w:r>
      <w:r>
        <w:rPr>
          <w:rFonts w:ascii="Times New Roman" w:eastAsia="Times New Roman"/>
        </w:rPr>
        <w:t>10%</w:t>
      </w:r>
      <w:r>
        <w:t>以上（</w:t>
      </w:r>
      <w:r>
        <w:rPr>
          <w:spacing w:val="-23"/>
        </w:rPr>
        <w:t xml:space="preserve">含 </w:t>
      </w:r>
      <w:r>
        <w:rPr>
          <w:rFonts w:ascii="Times New Roman" w:eastAsia="Times New Roman"/>
        </w:rPr>
        <w:t>10%</w:t>
      </w:r>
      <w:r>
        <w:t>）的基</w:t>
      </w:r>
      <w:r>
        <w:rPr>
          <w:spacing w:val="-3"/>
        </w:rPr>
        <w:t>金份额持有人仍认为有必要召开的，应当向基金托管人提出书面提议。基金托管</w:t>
      </w:r>
    </w:p>
    <w:p w14:paraId="3E0926DB" w14:textId="77777777" w:rsidR="00CD61EF" w:rsidRDefault="002B79C0">
      <w:pPr>
        <w:pStyle w:val="a5"/>
        <w:spacing w:before="64" w:line="364" w:lineRule="auto"/>
        <w:ind w:right="357" w:firstLine="0"/>
        <w:jc w:val="both"/>
      </w:pPr>
      <w:r>
        <w:rPr>
          <w:spacing w:val="-5"/>
        </w:rPr>
        <w:t xml:space="preserve">人应当自收到书面提议之日起 </w:t>
      </w:r>
      <w:r>
        <w:rPr>
          <w:rFonts w:ascii="Times New Roman" w:eastAsia="Times New Roman"/>
          <w:spacing w:val="-1"/>
        </w:rPr>
        <w:t>10</w:t>
      </w:r>
      <w:r>
        <w:rPr>
          <w:rFonts w:ascii="Times New Roman" w:eastAsia="Times New Roman"/>
          <w:spacing w:val="12"/>
        </w:rPr>
        <w:t xml:space="preserve"> </w:t>
      </w:r>
      <w:r>
        <w:t>日内决定是否召集，并书面告知提出提议的基</w:t>
      </w:r>
      <w:r>
        <w:rPr>
          <w:spacing w:val="-3"/>
        </w:rPr>
        <w:t>金份额持有人代表和基金管理人；基金托管人决定召集的，应当自出具书面决定</w:t>
      </w:r>
      <w:r>
        <w:rPr>
          <w:spacing w:val="-12"/>
          <w:w w:val="95"/>
        </w:rPr>
        <w:t xml:space="preserve">之日起 </w:t>
      </w:r>
      <w:r>
        <w:rPr>
          <w:rFonts w:ascii="Times New Roman" w:eastAsia="Times New Roman"/>
          <w:w w:val="95"/>
        </w:rPr>
        <w:t>60</w:t>
      </w:r>
      <w:r>
        <w:rPr>
          <w:rFonts w:ascii="Times New Roman" w:eastAsia="Times New Roman"/>
          <w:spacing w:val="14"/>
          <w:w w:val="95"/>
        </w:rPr>
        <w:t xml:space="preserve"> </w:t>
      </w:r>
      <w:r>
        <w:rPr>
          <w:w w:val="95"/>
        </w:rPr>
        <w:t>日内召开并告知基金管理人，基金管理人应当配合。</w:t>
      </w:r>
    </w:p>
    <w:p w14:paraId="002477D4" w14:textId="77777777" w:rsidR="00CD61EF" w:rsidRDefault="002B79C0">
      <w:pPr>
        <w:pStyle w:val="a5"/>
        <w:spacing w:before="2" w:line="364" w:lineRule="auto"/>
        <w:ind w:right="357"/>
        <w:jc w:val="both"/>
      </w:pPr>
      <w:r>
        <w:rPr>
          <w:rFonts w:ascii="Times New Roman" w:eastAsia="Times New Roman"/>
          <w:spacing w:val="-1"/>
        </w:rPr>
        <w:t>5</w:t>
      </w:r>
      <w:r>
        <w:rPr>
          <w:spacing w:val="-9"/>
        </w:rPr>
        <w:t xml:space="preserve">、代表基金份额 </w:t>
      </w:r>
      <w:r>
        <w:rPr>
          <w:rFonts w:ascii="Times New Roman" w:eastAsia="Times New Roman"/>
          <w:spacing w:val="-1"/>
        </w:rPr>
        <w:t>10%</w:t>
      </w:r>
      <w:r>
        <w:rPr>
          <w:spacing w:val="-1"/>
        </w:rPr>
        <w:t>以上（</w:t>
      </w:r>
      <w:r>
        <w:rPr>
          <w:spacing w:val="-31"/>
        </w:rPr>
        <w:t xml:space="preserve">含 </w:t>
      </w:r>
      <w:r>
        <w:rPr>
          <w:rFonts w:ascii="Times New Roman" w:eastAsia="Times New Roman"/>
          <w:spacing w:val="-1"/>
        </w:rPr>
        <w:t>10%</w:t>
      </w:r>
      <w:r>
        <w:rPr>
          <w:spacing w:val="-1"/>
        </w:rPr>
        <w:t>）的基金份额持有人就同一事项要求召</w:t>
      </w:r>
      <w:r>
        <w:rPr>
          <w:spacing w:val="-3"/>
        </w:rPr>
        <w:t>开基金份额持有人大会，而基金管理人、基金托管人都不召集的，单独或合计代</w:t>
      </w:r>
      <w:r>
        <w:rPr>
          <w:spacing w:val="-13"/>
        </w:rPr>
        <w:t xml:space="preserve">表基金份额 </w:t>
      </w:r>
      <w:r>
        <w:rPr>
          <w:rFonts w:ascii="Times New Roman" w:eastAsia="Times New Roman"/>
          <w:spacing w:val="-3"/>
        </w:rPr>
        <w:t>10%</w:t>
      </w:r>
      <w:r>
        <w:rPr>
          <w:spacing w:val="-34"/>
        </w:rPr>
        <w:t>以上</w:t>
      </w:r>
      <w:r>
        <w:rPr>
          <w:spacing w:val="-2"/>
        </w:rPr>
        <w:t>（</w:t>
      </w:r>
      <w:r>
        <w:rPr>
          <w:spacing w:val="-31"/>
        </w:rPr>
        <w:t xml:space="preserve">含 </w:t>
      </w:r>
      <w:r>
        <w:rPr>
          <w:rFonts w:ascii="Times New Roman" w:eastAsia="Times New Roman"/>
          <w:spacing w:val="-2"/>
        </w:rPr>
        <w:t>10%</w:t>
      </w:r>
      <w:r>
        <w:rPr>
          <w:spacing w:val="-2"/>
        </w:rPr>
        <w:t>）</w:t>
      </w:r>
      <w:r>
        <w:rPr>
          <w:spacing w:val="-10"/>
        </w:rPr>
        <w:t xml:space="preserve">的基金份额持有人有权自行召集，并至少提前 </w:t>
      </w:r>
      <w:r>
        <w:rPr>
          <w:rFonts w:ascii="Times New Roman" w:eastAsia="Times New Roman"/>
          <w:spacing w:val="-2"/>
        </w:rPr>
        <w:t>30</w:t>
      </w:r>
      <w:r>
        <w:rPr>
          <w:rFonts w:ascii="Times New Roman" w:eastAsia="Times New Roman"/>
          <w:spacing w:val="-58"/>
        </w:rPr>
        <w:t xml:space="preserve"> </w:t>
      </w:r>
      <w:r>
        <w:rPr>
          <w:spacing w:val="-3"/>
        </w:rPr>
        <w:t>日报中国证监会备案。基金份额持有人依法自行召集基金份额持有人大会的，基</w:t>
      </w:r>
      <w:r>
        <w:t>金管理人、基金托管人应当配合，不得阻碍、干扰。</w:t>
      </w:r>
    </w:p>
    <w:p w14:paraId="1215B272" w14:textId="77777777" w:rsidR="00CD61EF" w:rsidRDefault="002B79C0">
      <w:pPr>
        <w:pStyle w:val="a5"/>
        <w:spacing w:before="3" w:line="364" w:lineRule="auto"/>
        <w:ind w:right="364"/>
      </w:pPr>
      <w:r>
        <w:rPr>
          <w:rFonts w:ascii="Times New Roman" w:eastAsia="Times New Roman"/>
        </w:rPr>
        <w:t>6</w:t>
      </w:r>
      <w:r>
        <w:t>、基金份额持有人会议的召集人负责选择确定开会时间、地点、方式和权益登记日。</w:t>
      </w:r>
    </w:p>
    <w:p w14:paraId="656B7C41" w14:textId="77777777" w:rsidR="00CD61EF" w:rsidRDefault="002B79C0">
      <w:pPr>
        <w:pStyle w:val="a5"/>
        <w:spacing w:before="2"/>
        <w:ind w:left="600" w:firstLine="0"/>
      </w:pPr>
      <w:r>
        <w:rPr>
          <w:rFonts w:hint="eastAsia"/>
        </w:rPr>
        <w:t>（三）</w:t>
      </w:r>
      <w:r>
        <w:t>召开基金份额持有人大会的通知时间、通知内容、通知方式</w:t>
      </w:r>
    </w:p>
    <w:p w14:paraId="678AC4B3" w14:textId="77777777" w:rsidR="00CD61EF" w:rsidRDefault="002B79C0">
      <w:pPr>
        <w:pStyle w:val="a5"/>
        <w:spacing w:before="160" w:line="364" w:lineRule="auto"/>
        <w:ind w:right="356"/>
      </w:pPr>
      <w:r>
        <w:rPr>
          <w:rFonts w:ascii="Times New Roman" w:eastAsia="Times New Roman"/>
        </w:rPr>
        <w:t>1</w:t>
      </w:r>
      <w:r>
        <w:rPr>
          <w:spacing w:val="-11"/>
        </w:rPr>
        <w:t xml:space="preserve">、召开基金份额持有人大会，召集人应于会议召开前 </w:t>
      </w:r>
      <w:r>
        <w:rPr>
          <w:rFonts w:ascii="Times New Roman" w:eastAsia="Times New Roman"/>
        </w:rPr>
        <w:t xml:space="preserve">30 </w:t>
      </w:r>
      <w:r>
        <w:rPr>
          <w:spacing w:val="-7"/>
        </w:rPr>
        <w:t>日，在规定媒介公</w:t>
      </w:r>
      <w:r>
        <w:t>告。基金份额持有人大会通知应至少载明以下内容：</w:t>
      </w:r>
    </w:p>
    <w:p w14:paraId="51A8F971" w14:textId="77777777" w:rsidR="00CD61EF" w:rsidRDefault="002B79C0">
      <w:pPr>
        <w:pStyle w:val="af2"/>
        <w:numPr>
          <w:ilvl w:val="0"/>
          <w:numId w:val="15"/>
        </w:numPr>
        <w:tabs>
          <w:tab w:val="left" w:pos="1202"/>
        </w:tabs>
        <w:rPr>
          <w:sz w:val="24"/>
        </w:rPr>
      </w:pPr>
      <w:r>
        <w:rPr>
          <w:sz w:val="24"/>
        </w:rPr>
        <w:t>会议召开的时间、地点和会议形式；</w:t>
      </w:r>
    </w:p>
    <w:p w14:paraId="5A764BE6" w14:textId="77777777" w:rsidR="00CD61EF" w:rsidRDefault="002B79C0">
      <w:pPr>
        <w:pStyle w:val="af2"/>
        <w:numPr>
          <w:ilvl w:val="0"/>
          <w:numId w:val="15"/>
        </w:numPr>
        <w:tabs>
          <w:tab w:val="left" w:pos="1202"/>
        </w:tabs>
        <w:spacing w:before="161"/>
        <w:ind w:hanging="602"/>
        <w:rPr>
          <w:sz w:val="24"/>
        </w:rPr>
      </w:pPr>
      <w:r>
        <w:rPr>
          <w:sz w:val="24"/>
        </w:rPr>
        <w:t>会议拟审议的事项、议事程序和表决方式；</w:t>
      </w:r>
    </w:p>
    <w:p w14:paraId="074AAD52" w14:textId="77777777" w:rsidR="00CD61EF" w:rsidRDefault="002B79C0">
      <w:pPr>
        <w:pStyle w:val="af2"/>
        <w:numPr>
          <w:ilvl w:val="0"/>
          <w:numId w:val="15"/>
        </w:numPr>
        <w:tabs>
          <w:tab w:val="left" w:pos="1202"/>
        </w:tabs>
        <w:spacing w:before="160"/>
        <w:ind w:hanging="602"/>
        <w:rPr>
          <w:sz w:val="24"/>
        </w:rPr>
      </w:pPr>
      <w:r>
        <w:rPr>
          <w:sz w:val="24"/>
        </w:rPr>
        <w:t>有权出席基金份额持有人大会的基金份额持有人的权益登记日；</w:t>
      </w:r>
    </w:p>
    <w:p w14:paraId="56E7D271" w14:textId="77777777" w:rsidR="00CD61EF" w:rsidRDefault="002B79C0">
      <w:pPr>
        <w:pStyle w:val="af2"/>
        <w:numPr>
          <w:ilvl w:val="0"/>
          <w:numId w:val="15"/>
        </w:numPr>
        <w:tabs>
          <w:tab w:val="left" w:pos="1202"/>
        </w:tabs>
        <w:spacing w:before="161" w:line="364" w:lineRule="auto"/>
        <w:ind w:left="120" w:right="364" w:firstLine="479"/>
        <w:rPr>
          <w:sz w:val="24"/>
        </w:rPr>
      </w:pPr>
      <w:r>
        <w:rPr>
          <w:sz w:val="24"/>
        </w:rPr>
        <w:t>授权委托证明的内容要求（包括但不限于代理人身份，代理权限和代理有效期限等</w:t>
      </w:r>
      <w:r>
        <w:rPr>
          <w:spacing w:val="-120"/>
          <w:sz w:val="24"/>
        </w:rPr>
        <w:t>）</w:t>
      </w:r>
      <w:r>
        <w:rPr>
          <w:sz w:val="24"/>
        </w:rPr>
        <w:t>、送达时间和地点；</w:t>
      </w:r>
    </w:p>
    <w:p w14:paraId="168126F9" w14:textId="77777777" w:rsidR="00CD61EF" w:rsidRDefault="002B79C0">
      <w:pPr>
        <w:pStyle w:val="af2"/>
        <w:numPr>
          <w:ilvl w:val="0"/>
          <w:numId w:val="15"/>
        </w:numPr>
        <w:tabs>
          <w:tab w:val="left" w:pos="1202"/>
        </w:tabs>
        <w:ind w:hanging="602"/>
        <w:rPr>
          <w:sz w:val="24"/>
        </w:rPr>
      </w:pPr>
      <w:r>
        <w:rPr>
          <w:sz w:val="24"/>
        </w:rPr>
        <w:t>会务常设联系人姓名及联系电话；</w:t>
      </w:r>
    </w:p>
    <w:p w14:paraId="73C0E3D6" w14:textId="77777777" w:rsidR="00CD61EF" w:rsidRDefault="002B79C0">
      <w:pPr>
        <w:pStyle w:val="af2"/>
        <w:numPr>
          <w:ilvl w:val="0"/>
          <w:numId w:val="15"/>
        </w:numPr>
        <w:tabs>
          <w:tab w:val="left" w:pos="1202"/>
        </w:tabs>
        <w:spacing w:before="161"/>
        <w:ind w:hanging="602"/>
        <w:rPr>
          <w:sz w:val="24"/>
        </w:rPr>
      </w:pPr>
      <w:r>
        <w:rPr>
          <w:sz w:val="24"/>
        </w:rPr>
        <w:t>出席会议者必须准备的文件和必须履行的手续；</w:t>
      </w:r>
    </w:p>
    <w:p w14:paraId="49F19096" w14:textId="77777777" w:rsidR="00CD61EF" w:rsidRDefault="002B79C0">
      <w:pPr>
        <w:pStyle w:val="af2"/>
        <w:numPr>
          <w:ilvl w:val="0"/>
          <w:numId w:val="15"/>
        </w:numPr>
        <w:tabs>
          <w:tab w:val="left" w:pos="1202"/>
        </w:tabs>
        <w:spacing w:before="160"/>
        <w:ind w:hanging="602"/>
        <w:rPr>
          <w:sz w:val="24"/>
        </w:rPr>
      </w:pPr>
      <w:r>
        <w:rPr>
          <w:sz w:val="24"/>
        </w:rPr>
        <w:t>召集人需要通知的其他事项。</w:t>
      </w:r>
    </w:p>
    <w:p w14:paraId="5344B078" w14:textId="77777777" w:rsidR="00CD61EF" w:rsidRDefault="002B79C0">
      <w:pPr>
        <w:pStyle w:val="a5"/>
        <w:spacing w:before="161" w:line="364" w:lineRule="auto"/>
        <w:ind w:right="357"/>
        <w:jc w:val="both"/>
      </w:pPr>
      <w:r>
        <w:rPr>
          <w:rFonts w:ascii="Times New Roman" w:eastAsia="Times New Roman"/>
        </w:rPr>
        <w:t>2</w:t>
      </w:r>
      <w:r>
        <w:t>、采取通讯开会方式并进行表决的情况下，由会议召集人决定在会议通知</w:t>
      </w:r>
      <w:r>
        <w:rPr>
          <w:spacing w:val="-5"/>
        </w:rPr>
        <w:t>中说明本次基金份额持有人大会所采取的具体通讯方式、委托的公证机关及其联</w:t>
      </w:r>
      <w:r>
        <w:t>系方式和联系人、表决意见寄交的截止时间和收取方式。</w:t>
      </w:r>
    </w:p>
    <w:p w14:paraId="0D32CD9A" w14:textId="77777777" w:rsidR="00CD61EF" w:rsidRDefault="002B79C0">
      <w:pPr>
        <w:pStyle w:val="a5"/>
        <w:spacing w:before="2" w:line="364" w:lineRule="auto"/>
        <w:ind w:right="357"/>
        <w:jc w:val="both"/>
      </w:pPr>
      <w:r>
        <w:rPr>
          <w:rFonts w:ascii="Times New Roman" w:eastAsia="Times New Roman"/>
        </w:rPr>
        <w:lastRenderedPageBreak/>
        <w:t>3</w:t>
      </w:r>
      <w:r>
        <w:t>、如召集人为基金管理人，还应另行书面通知基金托管人到指定地点对表</w:t>
      </w:r>
      <w:r>
        <w:rPr>
          <w:spacing w:val="-3"/>
        </w:rPr>
        <w:t>决意见的计票进行监督；如召集人为基金托管人，则应另行书面通知基金管理人到指定地点对表决意见的计票进行监督；如召集人为基金份额持有人，则应另行</w:t>
      </w:r>
      <w:r>
        <w:rPr>
          <w:spacing w:val="-4"/>
        </w:rPr>
        <w:t>书面通知基金管理人和基金托管人到指定地点对表决意见的计票进行监督。基金</w:t>
      </w:r>
      <w:r>
        <w:rPr>
          <w:spacing w:val="-5"/>
        </w:rPr>
        <w:t>管理人或基金托管人拒不派代表对表决意见的计票进行监督的，不影响表决意见</w:t>
      </w:r>
    </w:p>
    <w:p w14:paraId="710656E6" w14:textId="77777777" w:rsidR="00CD61EF" w:rsidRDefault="002B79C0">
      <w:pPr>
        <w:pStyle w:val="a5"/>
        <w:spacing w:before="64"/>
        <w:ind w:firstLine="0"/>
      </w:pPr>
      <w:r>
        <w:t>的计票效力。</w:t>
      </w:r>
    </w:p>
    <w:p w14:paraId="1B409A1C" w14:textId="77777777" w:rsidR="00CD61EF" w:rsidRDefault="002B79C0">
      <w:pPr>
        <w:pStyle w:val="a5"/>
        <w:spacing w:before="160"/>
        <w:ind w:left="600" w:firstLine="0"/>
      </w:pPr>
      <w:r>
        <w:rPr>
          <w:rFonts w:hint="eastAsia"/>
        </w:rPr>
        <w:t>（四）</w:t>
      </w:r>
      <w:r>
        <w:t>基金份额持有人出席会议的方式</w:t>
      </w:r>
    </w:p>
    <w:p w14:paraId="1864F506" w14:textId="77777777" w:rsidR="00CD61EF" w:rsidRDefault="002B79C0">
      <w:pPr>
        <w:pStyle w:val="a5"/>
        <w:spacing w:before="161" w:line="364" w:lineRule="auto"/>
        <w:ind w:right="357"/>
      </w:pPr>
      <w:r>
        <w:rPr>
          <w:spacing w:val="-5"/>
        </w:rPr>
        <w:t>基金份额持有人大会可通过现场开会方式、通讯开会方式或法律法规及监管</w:t>
      </w:r>
      <w:r>
        <w:t>机关允许的其他方式召开，会议的召开方式由会议召集人确定。</w:t>
      </w:r>
    </w:p>
    <w:p w14:paraId="74189A47" w14:textId="77777777" w:rsidR="00CD61EF" w:rsidRDefault="002B79C0">
      <w:pPr>
        <w:pStyle w:val="a5"/>
        <w:spacing w:line="364" w:lineRule="auto"/>
        <w:ind w:right="357"/>
        <w:jc w:val="both"/>
      </w:pPr>
      <w:r>
        <w:rPr>
          <w:rFonts w:ascii="Times New Roman" w:eastAsia="Times New Roman"/>
        </w:rPr>
        <w:t>1</w:t>
      </w:r>
      <w:r>
        <w:t>、现场开会。由基金份额持有人本人出席或以代理投票授权委托证明委派</w:t>
      </w:r>
      <w:r>
        <w:rPr>
          <w:spacing w:val="-11"/>
        </w:rPr>
        <w:t>代表出席，现场开会时基金管理人和基金托管人的授权代表应当列席基金份额持</w:t>
      </w:r>
      <w:r>
        <w:rPr>
          <w:spacing w:val="-3"/>
        </w:rPr>
        <w:t>有人大会，基金管理人或基金托管人不派代表列席的，不影响表决效力。现场开</w:t>
      </w:r>
      <w:r>
        <w:t>会同时符合以下条件时，可以进行基金份额持有人大会议程：</w:t>
      </w:r>
    </w:p>
    <w:p w14:paraId="6EE39159" w14:textId="77777777" w:rsidR="00CD61EF" w:rsidRDefault="002B79C0">
      <w:pPr>
        <w:pStyle w:val="af2"/>
        <w:numPr>
          <w:ilvl w:val="0"/>
          <w:numId w:val="16"/>
        </w:numPr>
        <w:tabs>
          <w:tab w:val="left" w:pos="1202"/>
        </w:tabs>
        <w:spacing w:before="3" w:line="364" w:lineRule="auto"/>
        <w:ind w:right="355" w:firstLine="479"/>
        <w:jc w:val="both"/>
        <w:rPr>
          <w:sz w:val="24"/>
        </w:rPr>
      </w:pPr>
      <w:r>
        <w:rPr>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B4BF167" w14:textId="77777777" w:rsidR="00CD61EF" w:rsidRDefault="002B79C0">
      <w:pPr>
        <w:pStyle w:val="af2"/>
        <w:numPr>
          <w:ilvl w:val="0"/>
          <w:numId w:val="16"/>
        </w:numPr>
        <w:tabs>
          <w:tab w:val="left" w:pos="1202"/>
        </w:tabs>
        <w:spacing w:before="3" w:line="364" w:lineRule="auto"/>
        <w:ind w:right="355" w:firstLine="479"/>
        <w:jc w:val="both"/>
        <w:rPr>
          <w:sz w:val="24"/>
        </w:rPr>
      </w:pPr>
      <w:r>
        <w:rPr>
          <w:sz w:val="24"/>
        </w:rPr>
        <w:t>经核对，汇总到会者出示的在权益登记日持有基金份额的凭证显示，</w:t>
      </w:r>
      <w:r>
        <w:rPr>
          <w:spacing w:val="-118"/>
          <w:sz w:val="24"/>
        </w:rPr>
        <w:t xml:space="preserve"> </w:t>
      </w:r>
      <w:r>
        <w:rPr>
          <w:sz w:val="24"/>
        </w:rPr>
        <w:t>有效的基金份额不少于本基金在权益登记日基金总份额的二分之一（含二分之一</w:t>
      </w:r>
      <w:r>
        <w:rPr>
          <w:spacing w:val="-120"/>
          <w:sz w:val="24"/>
        </w:rPr>
        <w:t>）</w:t>
      </w:r>
      <w:r>
        <w:rPr>
          <w:sz w:val="24"/>
        </w:rPr>
        <w:t>。若到会者在权益登记日代表的有效的基金份额少于本基金在权益登记日基</w:t>
      </w:r>
      <w:r>
        <w:rPr>
          <w:spacing w:val="-4"/>
          <w:sz w:val="24"/>
        </w:rPr>
        <w:t xml:space="preserve">金总份额的二分之一，召集人可以在原公告的基金份额持有人大会召开时间的 </w:t>
      </w:r>
      <w:r>
        <w:rPr>
          <w:rFonts w:ascii="Times New Roman" w:eastAsia="Times New Roman"/>
          <w:spacing w:val="-1"/>
          <w:sz w:val="24"/>
        </w:rPr>
        <w:t>3</w:t>
      </w:r>
      <w:r>
        <w:rPr>
          <w:rFonts w:ascii="Times New Roman" w:eastAsia="Times New Roman"/>
          <w:spacing w:val="-58"/>
          <w:sz w:val="24"/>
        </w:rPr>
        <w:t xml:space="preserve"> </w:t>
      </w:r>
      <w:r>
        <w:rPr>
          <w:spacing w:val="-1"/>
          <w:sz w:val="24"/>
        </w:rPr>
        <w:t>个月以后、</w:t>
      </w:r>
      <w:r>
        <w:rPr>
          <w:rFonts w:ascii="Times New Roman" w:eastAsia="Times New Roman"/>
          <w:spacing w:val="-1"/>
          <w:sz w:val="24"/>
        </w:rPr>
        <w:t>6</w:t>
      </w:r>
      <w:r>
        <w:rPr>
          <w:rFonts w:ascii="Times New Roman" w:eastAsia="Times New Roman"/>
          <w:spacing w:val="-14"/>
          <w:sz w:val="24"/>
        </w:rPr>
        <w:t xml:space="preserve"> </w:t>
      </w:r>
      <w:r>
        <w:rPr>
          <w:spacing w:val="-1"/>
          <w:sz w:val="24"/>
        </w:rPr>
        <w:t>个月以内，就原定审议事项重新召集基金份额持有人大会。重新召</w:t>
      </w:r>
      <w:r>
        <w:rPr>
          <w:sz w:val="24"/>
        </w:rPr>
        <w:t>集的基金份额持有人大会到会者在权益登记日代表的有效的基金份额应不少于本基金在权益登记日基金总份额的三分之一（含三分之一</w:t>
      </w:r>
      <w:r>
        <w:rPr>
          <w:spacing w:val="-120"/>
          <w:sz w:val="24"/>
        </w:rPr>
        <w:t>）</w:t>
      </w:r>
      <w:r>
        <w:rPr>
          <w:sz w:val="24"/>
        </w:rPr>
        <w:t>。</w:t>
      </w:r>
    </w:p>
    <w:p w14:paraId="1B78CFD1" w14:textId="77777777" w:rsidR="00CD61EF" w:rsidRDefault="002B79C0">
      <w:pPr>
        <w:pStyle w:val="a5"/>
        <w:spacing w:before="4" w:line="364" w:lineRule="auto"/>
        <w:ind w:right="244"/>
      </w:pPr>
      <w:r>
        <w:rPr>
          <w:rFonts w:ascii="Times New Roman" w:eastAsia="Times New Roman"/>
        </w:rPr>
        <w:t>2</w:t>
      </w:r>
      <w:r>
        <w:t>、通讯开会。通讯开会系指基金份额持有人将其对表决事项的投票以书面形式或会议通知载明的形式在表决截止日以前送达至召集人指定的地址或系统。</w:t>
      </w:r>
    </w:p>
    <w:p w14:paraId="04C93EC6" w14:textId="77777777" w:rsidR="00CD61EF" w:rsidRDefault="002B79C0">
      <w:pPr>
        <w:pStyle w:val="a5"/>
        <w:spacing w:line="364" w:lineRule="auto"/>
        <w:ind w:left="600" w:right="1705" w:firstLine="0"/>
      </w:pPr>
      <w:r>
        <w:rPr>
          <w:spacing w:val="-1"/>
        </w:rPr>
        <w:t>通讯开会应以书面方式或会议通知载明的其他方式进行表决。</w:t>
      </w:r>
      <w:r>
        <w:t>在同时符合以下条件时，通讯开会的方式视为有效：</w:t>
      </w:r>
    </w:p>
    <w:p w14:paraId="3779EE19" w14:textId="77777777" w:rsidR="00CD61EF" w:rsidRDefault="002B79C0">
      <w:pPr>
        <w:pStyle w:val="af2"/>
        <w:numPr>
          <w:ilvl w:val="0"/>
          <w:numId w:val="17"/>
        </w:numPr>
        <w:tabs>
          <w:tab w:val="left" w:pos="1262"/>
        </w:tabs>
        <w:spacing w:before="160" w:line="364" w:lineRule="auto"/>
        <w:ind w:right="355" w:firstLine="539"/>
        <w:jc w:val="both"/>
        <w:rPr>
          <w:spacing w:val="-1"/>
          <w:sz w:val="24"/>
        </w:rPr>
      </w:pPr>
      <w:r>
        <w:rPr>
          <w:spacing w:val="-1"/>
          <w:sz w:val="24"/>
        </w:rPr>
        <w:t>会议召集人按《基金合同》约定公布会议通知后，在 2 个工作日内</w:t>
      </w:r>
      <w:r>
        <w:rPr>
          <w:spacing w:val="-1"/>
          <w:sz w:val="24"/>
        </w:rPr>
        <w:lastRenderedPageBreak/>
        <w:t>连续公布相关提示性公告；</w:t>
      </w:r>
    </w:p>
    <w:p w14:paraId="5BB00973" w14:textId="77777777" w:rsidR="00CD61EF" w:rsidRDefault="002B79C0">
      <w:pPr>
        <w:pStyle w:val="af2"/>
        <w:numPr>
          <w:ilvl w:val="0"/>
          <w:numId w:val="17"/>
        </w:numPr>
        <w:tabs>
          <w:tab w:val="left" w:pos="1262"/>
        </w:tabs>
        <w:spacing w:before="160" w:line="364" w:lineRule="auto"/>
        <w:ind w:right="355" w:firstLine="539"/>
        <w:jc w:val="both"/>
        <w:rPr>
          <w:sz w:val="24"/>
        </w:rPr>
      </w:pPr>
      <w:r>
        <w:rPr>
          <w:spacing w:val="-1"/>
          <w:sz w:val="24"/>
        </w:rPr>
        <w:t>召集人按</w:t>
      </w:r>
      <w:r>
        <w:rPr>
          <w:sz w:val="24"/>
        </w:rPr>
        <w:t>基金合同约定通知基金托管人（如果基金托管人为召集人，</w:t>
      </w:r>
      <w:r>
        <w:rPr>
          <w:spacing w:val="-118"/>
          <w:sz w:val="24"/>
        </w:rPr>
        <w:t xml:space="preserve"> </w:t>
      </w:r>
      <w:r>
        <w:rPr>
          <w:spacing w:val="-3"/>
          <w:sz w:val="24"/>
        </w:rPr>
        <w:t>则为基金管理人）到指定地点对表决意见的计票进行监督。会议召集人在基金托管人（如果基金托管人为召集人，则为基金管理人）和公证机关的监督下按照会</w:t>
      </w:r>
      <w:r>
        <w:rPr>
          <w:spacing w:val="-6"/>
          <w:sz w:val="24"/>
        </w:rPr>
        <w:t>议通知规定的方式收取基金份额持有人的表决意见；基金托管人或基金管理人经</w:t>
      </w:r>
    </w:p>
    <w:p w14:paraId="0B676EDA" w14:textId="77777777" w:rsidR="00CD61EF" w:rsidRDefault="002B79C0">
      <w:pPr>
        <w:pStyle w:val="a5"/>
        <w:spacing w:before="64"/>
        <w:ind w:firstLine="0"/>
      </w:pPr>
      <w:r>
        <w:t>通知不参加收取表决意见的，不影响表决效力；</w:t>
      </w:r>
    </w:p>
    <w:p w14:paraId="1A144E28" w14:textId="77777777" w:rsidR="00CD61EF" w:rsidRDefault="002B79C0">
      <w:pPr>
        <w:pStyle w:val="af2"/>
        <w:numPr>
          <w:ilvl w:val="0"/>
          <w:numId w:val="17"/>
        </w:numPr>
        <w:tabs>
          <w:tab w:val="left" w:pos="1262"/>
        </w:tabs>
        <w:spacing w:before="160" w:line="364" w:lineRule="auto"/>
        <w:ind w:right="355" w:firstLine="539"/>
        <w:jc w:val="both"/>
        <w:rPr>
          <w:sz w:val="24"/>
        </w:rPr>
      </w:pPr>
      <w:r>
        <w:rPr>
          <w:spacing w:val="-1"/>
          <w:sz w:val="24"/>
        </w:rPr>
        <w:t>本人直接出具表决意见或授权他人代表出具表决意见的，基金份额持</w:t>
      </w:r>
      <w:r>
        <w:rPr>
          <w:sz w:val="24"/>
        </w:rPr>
        <w:t>有人所持有的基金份额不小于在权益登记日基金总份额的二分之一（含二分之一</w:t>
      </w:r>
      <w:r>
        <w:rPr>
          <w:spacing w:val="-120"/>
          <w:sz w:val="24"/>
        </w:rPr>
        <w:t>）</w:t>
      </w:r>
      <w:r>
        <w:rPr>
          <w:sz w:val="24"/>
        </w:rPr>
        <w:t>；若本人直接出具表决意见或授权他人代表出具表决意见的基金份额持有人</w:t>
      </w:r>
      <w:r>
        <w:rPr>
          <w:spacing w:val="-4"/>
          <w:sz w:val="24"/>
        </w:rPr>
        <w:t>所持有的基金份额少于本基金在权益登记日基金总份额的二分之一，召集人可以</w:t>
      </w:r>
      <w:r>
        <w:rPr>
          <w:spacing w:val="-5"/>
          <w:sz w:val="24"/>
        </w:rPr>
        <w:t xml:space="preserve">在原公告的基金份额持有人大会召开时间的 </w:t>
      </w:r>
      <w:r>
        <w:rPr>
          <w:rFonts w:ascii="Times New Roman" w:eastAsia="Times New Roman"/>
          <w:spacing w:val="-1"/>
          <w:sz w:val="24"/>
        </w:rPr>
        <w:t>3</w:t>
      </w:r>
      <w:r>
        <w:rPr>
          <w:rFonts w:ascii="Times New Roman" w:eastAsia="Times New Roman"/>
          <w:sz w:val="24"/>
        </w:rPr>
        <w:t xml:space="preserve"> </w:t>
      </w:r>
      <w:r>
        <w:rPr>
          <w:spacing w:val="-1"/>
          <w:sz w:val="24"/>
        </w:rPr>
        <w:t>个月以后、</w:t>
      </w:r>
      <w:r>
        <w:rPr>
          <w:rFonts w:ascii="Times New Roman" w:eastAsia="Times New Roman"/>
          <w:spacing w:val="-1"/>
          <w:sz w:val="24"/>
        </w:rPr>
        <w:t>6</w:t>
      </w:r>
      <w:r>
        <w:rPr>
          <w:rFonts w:ascii="Times New Roman" w:eastAsia="Times New Roman"/>
          <w:sz w:val="24"/>
        </w:rPr>
        <w:t xml:space="preserve"> </w:t>
      </w:r>
      <w:r>
        <w:rPr>
          <w:spacing w:val="-1"/>
          <w:sz w:val="24"/>
        </w:rPr>
        <w:t>个月以内，就原定审</w:t>
      </w:r>
      <w:r>
        <w:rPr>
          <w:spacing w:val="-6"/>
          <w:sz w:val="24"/>
        </w:rPr>
        <w:t>议事项重新召集基金份额持有人大会。重新召集的基金份额持有人大会应当有代</w:t>
      </w:r>
      <w:r>
        <w:rPr>
          <w:spacing w:val="-3"/>
          <w:sz w:val="24"/>
        </w:rPr>
        <w:t>表基金总份额三分之一以上（含三分之一）基金份额的持有人直接出具表决意见</w:t>
      </w:r>
      <w:r>
        <w:rPr>
          <w:sz w:val="24"/>
        </w:rPr>
        <w:t>或授权他人代表出具表决意见；</w:t>
      </w:r>
    </w:p>
    <w:p w14:paraId="18070769" w14:textId="77777777" w:rsidR="00CD61EF" w:rsidRDefault="002B79C0">
      <w:pPr>
        <w:pStyle w:val="af2"/>
        <w:numPr>
          <w:ilvl w:val="0"/>
          <w:numId w:val="17"/>
        </w:numPr>
        <w:tabs>
          <w:tab w:val="left" w:pos="1202"/>
        </w:tabs>
        <w:spacing w:before="6" w:line="364" w:lineRule="auto"/>
        <w:ind w:right="355" w:firstLine="479"/>
        <w:jc w:val="both"/>
        <w:rPr>
          <w:sz w:val="24"/>
        </w:rPr>
      </w:pPr>
      <w:r>
        <w:rPr>
          <w:sz w:val="24"/>
        </w:rPr>
        <w:t>上述第（</w:t>
      </w:r>
      <w:r>
        <w:rPr>
          <w:rFonts w:ascii="Times New Roman" w:eastAsia="Times New Roman"/>
          <w:sz w:val="24"/>
        </w:rPr>
        <w:t>3</w:t>
      </w:r>
      <w:r>
        <w:rPr>
          <w:sz w:val="24"/>
        </w:rPr>
        <w:t>）项中直接出具表决意见的基金份额持有人或受托代表他</w:t>
      </w:r>
      <w:r>
        <w:rPr>
          <w:spacing w:val="-3"/>
          <w:sz w:val="24"/>
        </w:rPr>
        <w:t>人出具表决意见的代理人，同时提交的持有基金份额的凭证、受托出具表决意见</w:t>
      </w:r>
      <w:r>
        <w:rPr>
          <w:sz w:val="24"/>
        </w:rPr>
        <w:t>的代理人出具的委托人持有基金份额的凭证及委托人的代理投票授权委托证明</w:t>
      </w:r>
      <w:r>
        <w:rPr>
          <w:spacing w:val="-12"/>
          <w:sz w:val="24"/>
        </w:rPr>
        <w:t>符合法律法规、《基金合同》和会议通知的规定，并与基金登记机构记录相符。</w:t>
      </w:r>
    </w:p>
    <w:p w14:paraId="60B4076E" w14:textId="77777777" w:rsidR="00CD61EF" w:rsidRDefault="002B79C0">
      <w:pPr>
        <w:pStyle w:val="a5"/>
        <w:spacing w:before="2" w:line="364" w:lineRule="auto"/>
        <w:ind w:right="357"/>
        <w:jc w:val="both"/>
      </w:pPr>
      <w:r>
        <w:rPr>
          <w:rFonts w:ascii="Times New Roman" w:eastAsia="Times New Roman"/>
        </w:rPr>
        <w:t>3</w:t>
      </w:r>
      <w:r>
        <w:t>、在法律法规和监管机关允许的情况下，经会议通知载明，本基金亦可采</w:t>
      </w:r>
      <w:r>
        <w:rPr>
          <w:spacing w:val="-3"/>
        </w:rPr>
        <w:t>用网络、电话、短信等其他非现场方式或者以非现场方式与现场方式结合的方式召开基金份额持有人大会，或者采用网络、电话、短信或其他非书面方式授权他人代为出席会议并表决，具体方式由会议召集人确定并在会议通知中列明，会议</w:t>
      </w:r>
      <w:r>
        <w:t>程序比照现场开会和通讯方式开会的程序进行。</w:t>
      </w:r>
    </w:p>
    <w:p w14:paraId="758E0151" w14:textId="77777777" w:rsidR="00CD61EF" w:rsidRDefault="002B79C0">
      <w:pPr>
        <w:pStyle w:val="a5"/>
        <w:spacing w:before="4"/>
        <w:ind w:left="600" w:firstLine="0"/>
      </w:pPr>
      <w:r>
        <w:rPr>
          <w:rFonts w:hint="eastAsia"/>
        </w:rPr>
        <w:t>（五）</w:t>
      </w:r>
      <w:r>
        <w:t>议事内容与程序</w:t>
      </w:r>
    </w:p>
    <w:p w14:paraId="63D57204" w14:textId="77777777" w:rsidR="00CD61EF" w:rsidRDefault="002B79C0">
      <w:pPr>
        <w:pStyle w:val="a5"/>
        <w:spacing w:before="160"/>
        <w:ind w:left="600" w:firstLine="0"/>
      </w:pPr>
      <w:r>
        <w:rPr>
          <w:rFonts w:ascii="Times New Roman" w:eastAsia="Times New Roman"/>
        </w:rPr>
        <w:t>1</w:t>
      </w:r>
      <w:r>
        <w:t>、议事内容及提案权</w:t>
      </w:r>
    </w:p>
    <w:p w14:paraId="0E83EB62" w14:textId="77777777" w:rsidR="00CD61EF" w:rsidRDefault="002B79C0">
      <w:pPr>
        <w:pStyle w:val="a5"/>
        <w:spacing w:before="161" w:line="364" w:lineRule="auto"/>
        <w:ind w:right="357"/>
        <w:jc w:val="both"/>
      </w:pPr>
      <w:r>
        <w:rPr>
          <w:spacing w:val="-3"/>
        </w:rPr>
        <w:t>议事内容为关系基金份额持有人利益的重大事项，如《基金合同》的重大修</w:t>
      </w:r>
      <w:r>
        <w:rPr>
          <w:spacing w:val="-10"/>
        </w:rPr>
        <w:t>改、决定终止《基金合同》、更换基金管理人、更换基金托管人、与其他基金合</w:t>
      </w:r>
      <w:r>
        <w:t>并（法律法规、基金合同和中国证监会另有规定的除外</w:t>
      </w:r>
      <w:r>
        <w:rPr>
          <w:spacing w:val="-120"/>
        </w:rPr>
        <w:t>）</w:t>
      </w:r>
      <w:r>
        <w:t>、法律法规及《基金合</w:t>
      </w:r>
      <w:r>
        <w:rPr>
          <w:spacing w:val="-11"/>
        </w:rPr>
        <w:t>同》规定的其他事项以及会议召集人认为需提交基金份额持有人大会讨论的其他</w:t>
      </w:r>
      <w:r>
        <w:t>事项。</w:t>
      </w:r>
    </w:p>
    <w:p w14:paraId="75E9BF9A" w14:textId="77777777" w:rsidR="00CD61EF" w:rsidRDefault="002B79C0">
      <w:pPr>
        <w:pStyle w:val="a5"/>
        <w:spacing w:before="3" w:line="364" w:lineRule="auto"/>
        <w:ind w:right="357"/>
      </w:pPr>
      <w:r>
        <w:rPr>
          <w:spacing w:val="-4"/>
        </w:rPr>
        <w:lastRenderedPageBreak/>
        <w:t>基金份额持有人大会的召集人发出召集会议的通知后，对原有提案的修改应</w:t>
      </w:r>
      <w:r>
        <w:t>当在基金份额持有人大会召开前及时公告。</w:t>
      </w:r>
    </w:p>
    <w:p w14:paraId="23686F35" w14:textId="77777777" w:rsidR="00CD61EF" w:rsidRDefault="002B79C0">
      <w:pPr>
        <w:pStyle w:val="a5"/>
        <w:ind w:left="600" w:firstLine="0"/>
      </w:pPr>
      <w:r>
        <w:t>基金份额持有人大会不得对未事先公告的议事内容进行表决。</w:t>
      </w:r>
    </w:p>
    <w:p w14:paraId="787F0C42" w14:textId="77777777" w:rsidR="00CD61EF" w:rsidRDefault="002B79C0">
      <w:pPr>
        <w:pStyle w:val="a5"/>
        <w:spacing w:before="161"/>
        <w:ind w:left="600" w:firstLine="0"/>
      </w:pPr>
      <w:r>
        <w:rPr>
          <w:rFonts w:ascii="Times New Roman" w:eastAsia="Times New Roman"/>
        </w:rPr>
        <w:t>2</w:t>
      </w:r>
      <w:r>
        <w:t>、议事程序</w:t>
      </w:r>
    </w:p>
    <w:p w14:paraId="3D062F2C" w14:textId="77777777" w:rsidR="00CD61EF" w:rsidRDefault="002B79C0">
      <w:pPr>
        <w:pStyle w:val="af2"/>
        <w:numPr>
          <w:ilvl w:val="0"/>
          <w:numId w:val="18"/>
        </w:numPr>
        <w:tabs>
          <w:tab w:val="left" w:pos="1202"/>
        </w:tabs>
        <w:spacing w:before="64"/>
        <w:rPr>
          <w:sz w:val="24"/>
        </w:rPr>
      </w:pPr>
      <w:r>
        <w:rPr>
          <w:sz w:val="24"/>
        </w:rPr>
        <w:t>现场开会</w:t>
      </w:r>
    </w:p>
    <w:p w14:paraId="314C73BE" w14:textId="77777777" w:rsidR="00CD61EF" w:rsidRDefault="002B79C0">
      <w:pPr>
        <w:pStyle w:val="a5"/>
        <w:spacing w:before="160" w:line="364" w:lineRule="auto"/>
        <w:ind w:right="117"/>
      </w:pPr>
      <w:r>
        <w:rPr>
          <w:spacing w:val="-10"/>
        </w:rPr>
        <w:t>在现场开会的方式下，首先由大会主持人按照下列第</w:t>
      </w:r>
      <w:r>
        <w:rPr>
          <w:rFonts w:hint="eastAsia"/>
          <w:spacing w:val="-10"/>
        </w:rPr>
        <w:t>（</w:t>
      </w:r>
      <w:r>
        <w:rPr>
          <w:spacing w:val="-10"/>
        </w:rPr>
        <w:t>七</w:t>
      </w:r>
      <w:r>
        <w:rPr>
          <w:rFonts w:hint="eastAsia"/>
          <w:spacing w:val="-10"/>
        </w:rPr>
        <w:t>）</w:t>
      </w:r>
      <w:r>
        <w:rPr>
          <w:spacing w:val="-10"/>
        </w:rPr>
        <w:t>条规定程序确定和公</w:t>
      </w:r>
      <w:r>
        <w:t>布监票人，然后由大会主持人宣读提案，经讨论后进行表决，并形成大会决议。</w:t>
      </w:r>
      <w:r>
        <w:rPr>
          <w:spacing w:val="-5"/>
        </w:rPr>
        <w:t>大会主持人为基金管理人授权出席会议的代表，在基金管理人授权代表未能主持</w:t>
      </w:r>
      <w:r>
        <w:rPr>
          <w:spacing w:val="1"/>
        </w:rPr>
        <w:t xml:space="preserve"> </w:t>
      </w:r>
      <w:r>
        <w:t>大会的情况下，由基金托管人授权其出席会议的代表主持；如果基金管理人授权</w:t>
      </w:r>
      <w:r>
        <w:rPr>
          <w:spacing w:val="-5"/>
        </w:rPr>
        <w:t>代表和基金托管人授权代表均未能主持大会，则由出席大会的基金份额持有人和</w:t>
      </w:r>
      <w:r>
        <w:rPr>
          <w:spacing w:val="1"/>
        </w:rPr>
        <w:t xml:space="preserve"> </w:t>
      </w:r>
      <w:r>
        <w:t>代理人所持表决权的二分之一以上（含二分之一）选举产生一名基金份额持有人</w:t>
      </w:r>
      <w:r>
        <w:rPr>
          <w:spacing w:val="-5"/>
        </w:rPr>
        <w:t>或代理人作为该次基金份额持有人大会的主持人。基金管理人和基金托管人拒不</w:t>
      </w:r>
      <w:r>
        <w:rPr>
          <w:spacing w:val="1"/>
        </w:rPr>
        <w:t xml:space="preserve"> </w:t>
      </w:r>
      <w:r>
        <w:rPr>
          <w:spacing w:val="-8"/>
        </w:rPr>
        <w:t>出席或主持基金份额持有人大会，不影响基金份额持有人大会作出的决议的效力。</w:t>
      </w:r>
    </w:p>
    <w:p w14:paraId="5D0101CF" w14:textId="77777777" w:rsidR="00CD61EF" w:rsidRDefault="002B79C0">
      <w:pPr>
        <w:pStyle w:val="a5"/>
        <w:spacing w:before="6"/>
        <w:ind w:left="600" w:firstLine="0"/>
      </w:pPr>
      <w:r>
        <w:rPr>
          <w:spacing w:val="-5"/>
        </w:rPr>
        <w:t>会议召集人应当制作出席会议人员的签名册。签名册载明参加会议人员姓名</w:t>
      </w:r>
    </w:p>
    <w:p w14:paraId="0AAF4E79" w14:textId="77777777" w:rsidR="00CD61EF" w:rsidRDefault="002B79C0">
      <w:pPr>
        <w:pStyle w:val="a5"/>
        <w:spacing w:before="160" w:line="364" w:lineRule="auto"/>
        <w:ind w:right="364" w:firstLine="0"/>
        <w:rPr>
          <w:spacing w:val="-8"/>
        </w:rPr>
      </w:pPr>
      <w:r>
        <w:rPr>
          <w:spacing w:val="-8"/>
        </w:rPr>
        <w:t>（或单位名称）、身份证明文件号码、持有或代表有表决权的基金份额、委托人姓名（或单位名称）和联系方式等事项。</w:t>
      </w:r>
    </w:p>
    <w:p w14:paraId="02623D7F" w14:textId="77777777" w:rsidR="00CD61EF" w:rsidRDefault="002B79C0">
      <w:pPr>
        <w:pStyle w:val="af2"/>
        <w:numPr>
          <w:ilvl w:val="0"/>
          <w:numId w:val="18"/>
        </w:numPr>
        <w:tabs>
          <w:tab w:val="left" w:pos="1202"/>
        </w:tabs>
        <w:spacing w:before="2"/>
        <w:ind w:hanging="602"/>
        <w:rPr>
          <w:sz w:val="24"/>
        </w:rPr>
      </w:pPr>
      <w:r>
        <w:rPr>
          <w:sz w:val="24"/>
        </w:rPr>
        <w:t>通讯开会</w:t>
      </w:r>
    </w:p>
    <w:p w14:paraId="0DDDD3D5" w14:textId="77777777" w:rsidR="00CD61EF" w:rsidRDefault="002B79C0">
      <w:pPr>
        <w:pStyle w:val="a5"/>
        <w:spacing w:before="160"/>
        <w:ind w:left="600" w:firstLine="0"/>
      </w:pPr>
      <w:r>
        <w:rPr>
          <w:spacing w:val="-3"/>
        </w:rPr>
        <w:t xml:space="preserve">在通讯开会的情况下，首先由召集人提前 </w:t>
      </w:r>
      <w:r>
        <w:rPr>
          <w:rFonts w:ascii="Times New Roman" w:eastAsia="Times New Roman"/>
        </w:rPr>
        <w:t>30</w:t>
      </w:r>
      <w:r>
        <w:rPr>
          <w:rFonts w:ascii="Times New Roman" w:eastAsia="Times New Roman"/>
          <w:spacing w:val="14"/>
        </w:rPr>
        <w:t xml:space="preserve"> </w:t>
      </w:r>
      <w:r>
        <w:t>日公布提案，在所通知的表决</w:t>
      </w:r>
    </w:p>
    <w:p w14:paraId="121449AE" w14:textId="77777777" w:rsidR="00CD61EF" w:rsidRDefault="002B79C0">
      <w:pPr>
        <w:pStyle w:val="a5"/>
        <w:spacing w:before="161" w:line="364" w:lineRule="auto"/>
        <w:ind w:right="357" w:firstLine="0"/>
      </w:pPr>
      <w:r>
        <w:rPr>
          <w:spacing w:val="-11"/>
        </w:rPr>
        <w:t xml:space="preserve">截止日期后 </w:t>
      </w:r>
      <w:r>
        <w:rPr>
          <w:rFonts w:ascii="Times New Roman" w:eastAsia="Times New Roman"/>
          <w:spacing w:val="-1"/>
        </w:rPr>
        <w:t>2</w:t>
      </w:r>
      <w:r>
        <w:rPr>
          <w:rFonts w:ascii="Times New Roman" w:eastAsia="Times New Roman"/>
        </w:rPr>
        <w:t xml:space="preserve"> </w:t>
      </w:r>
      <w:r>
        <w:rPr>
          <w:spacing w:val="-5"/>
        </w:rPr>
        <w:t>个工作日内在公证机关监督下由召集人统计全部有效表决，在公证</w:t>
      </w:r>
      <w:r>
        <w:t>机关监督下形成决议。</w:t>
      </w:r>
    </w:p>
    <w:p w14:paraId="2F5B64A4" w14:textId="77777777" w:rsidR="00CD61EF" w:rsidRDefault="002B79C0">
      <w:pPr>
        <w:pStyle w:val="a5"/>
        <w:ind w:left="600" w:firstLine="0"/>
      </w:pPr>
      <w:r>
        <w:rPr>
          <w:rFonts w:hint="eastAsia"/>
        </w:rPr>
        <w:t>（六）</w:t>
      </w:r>
      <w:r>
        <w:t>表决</w:t>
      </w:r>
    </w:p>
    <w:p w14:paraId="6030A58B" w14:textId="77777777" w:rsidR="00CD61EF" w:rsidRDefault="002B79C0">
      <w:pPr>
        <w:pStyle w:val="a5"/>
        <w:spacing w:before="161" w:line="364" w:lineRule="auto"/>
        <w:ind w:left="600" w:right="2665" w:firstLine="0"/>
      </w:pPr>
      <w:r>
        <w:t>基金份额持有人所持每份基金份额有一票表决权。</w:t>
      </w:r>
      <w:r>
        <w:rPr>
          <w:spacing w:val="1"/>
        </w:rPr>
        <w:t xml:space="preserve"> </w:t>
      </w:r>
      <w:r>
        <w:rPr>
          <w:spacing w:val="-1"/>
        </w:rPr>
        <w:t>基金份额持有人大会决议分为一般决议和特别决议：</w:t>
      </w:r>
    </w:p>
    <w:p w14:paraId="454BA7A7" w14:textId="77777777" w:rsidR="00CD61EF" w:rsidRDefault="002B79C0">
      <w:pPr>
        <w:pStyle w:val="a5"/>
        <w:spacing w:line="364" w:lineRule="auto"/>
        <w:ind w:right="356"/>
        <w:jc w:val="both"/>
      </w:pPr>
      <w:r>
        <w:rPr>
          <w:rFonts w:ascii="Times New Roman" w:eastAsia="Times New Roman"/>
        </w:rPr>
        <w:t>1</w:t>
      </w:r>
      <w:r>
        <w:t>、一般决议，一般决议须经参加大会的基金份额持有人或其代理人所持表</w:t>
      </w:r>
      <w:r>
        <w:rPr>
          <w:spacing w:val="-4"/>
        </w:rPr>
        <w:t>决权的二分之一以上</w:t>
      </w:r>
      <w:r>
        <w:t>（含二分之一</w:t>
      </w:r>
      <w:r>
        <w:rPr>
          <w:spacing w:val="-32"/>
        </w:rPr>
        <w:t>）</w:t>
      </w:r>
      <w:r>
        <w:rPr>
          <w:spacing w:val="-10"/>
        </w:rPr>
        <w:t xml:space="preserve">通过方为有效；除下列第 </w:t>
      </w:r>
      <w:r>
        <w:rPr>
          <w:rFonts w:ascii="Times New Roman" w:eastAsia="Times New Roman"/>
        </w:rPr>
        <w:t xml:space="preserve">2 </w:t>
      </w:r>
      <w:r>
        <w:rPr>
          <w:spacing w:val="-2"/>
        </w:rPr>
        <w:t>项所规定的须以</w:t>
      </w:r>
      <w:r>
        <w:t>特别决议通过事项以外的其他事项均以一般决议的方式通过。</w:t>
      </w:r>
    </w:p>
    <w:p w14:paraId="026B8990" w14:textId="77777777" w:rsidR="00CD61EF" w:rsidRDefault="002B79C0">
      <w:pPr>
        <w:pStyle w:val="a5"/>
        <w:spacing w:before="2" w:line="364" w:lineRule="auto"/>
        <w:ind w:right="359"/>
        <w:jc w:val="both"/>
      </w:pPr>
      <w:r>
        <w:rPr>
          <w:rFonts w:ascii="Times New Roman" w:eastAsia="Times New Roman"/>
        </w:rPr>
        <w:t>2</w:t>
      </w:r>
      <w:r>
        <w:t>、特别决议，特别决议应当经参加大会的基金份额持有人或其代理人所持</w:t>
      </w:r>
      <w:r>
        <w:rPr>
          <w:spacing w:val="-3"/>
        </w:rPr>
        <w:t>表决权的三分之二以上（含三分之二）通过方可做出。转换基金运作方式、更换</w:t>
      </w:r>
      <w:r>
        <w:rPr>
          <w:spacing w:val="-6"/>
        </w:rPr>
        <w:t>基金管理人或者基金托管人、终止《基金合同》、本基金与其他基金合并</w:t>
      </w:r>
      <w:r>
        <w:t>（就上</w:t>
      </w:r>
      <w:r>
        <w:rPr>
          <w:spacing w:val="-11"/>
        </w:rPr>
        <w:t>述情形，法律法规、《基金合同》和中国证监会另有规定的除外</w:t>
      </w:r>
      <w:r>
        <w:t>）以特别决议通</w:t>
      </w:r>
      <w:r>
        <w:lastRenderedPageBreak/>
        <w:t>过方为有效。</w:t>
      </w:r>
    </w:p>
    <w:p w14:paraId="72890F42" w14:textId="77777777" w:rsidR="00CD61EF" w:rsidRDefault="002B79C0">
      <w:pPr>
        <w:pStyle w:val="a5"/>
        <w:spacing w:before="3"/>
        <w:ind w:left="600" w:firstLine="0"/>
      </w:pPr>
      <w:r>
        <w:t>基金份额持有人大会采取记名方式进行投票表决。</w:t>
      </w:r>
    </w:p>
    <w:p w14:paraId="0F1B4ECB" w14:textId="77777777" w:rsidR="00CD61EF" w:rsidRDefault="002B79C0">
      <w:pPr>
        <w:pStyle w:val="a5"/>
        <w:spacing w:before="161"/>
        <w:ind w:left="600" w:firstLine="0"/>
      </w:pPr>
      <w:r>
        <w:rPr>
          <w:spacing w:val="-3"/>
        </w:rPr>
        <w:t>采取通讯方式进行表决时，除非在计票时有充分的相反证据证明，否则提交</w:t>
      </w:r>
    </w:p>
    <w:p w14:paraId="25AA76DF" w14:textId="77777777" w:rsidR="00CD61EF" w:rsidRDefault="002B79C0">
      <w:pPr>
        <w:pStyle w:val="a5"/>
        <w:spacing w:before="64" w:line="364" w:lineRule="auto"/>
        <w:ind w:right="117" w:firstLine="0"/>
      </w:pPr>
      <w:r>
        <w:rPr>
          <w:spacing w:val="-3"/>
        </w:rPr>
        <w:t>符合会议通知中规定的确认投资者身份文件的表决视为有效出席的投资者，表面</w:t>
      </w:r>
      <w:r>
        <w:rPr>
          <w:spacing w:val="1"/>
        </w:rPr>
        <w:t xml:space="preserve"> </w:t>
      </w:r>
      <w:r>
        <w:rPr>
          <w:spacing w:val="-5"/>
        </w:rPr>
        <w:t>符合会议通知规定的表决意见视为有效表决，表决意见模糊不清或相互矛盾的视</w:t>
      </w:r>
      <w:r>
        <w:rPr>
          <w:spacing w:val="1"/>
        </w:rPr>
        <w:t xml:space="preserve"> </w:t>
      </w:r>
      <w:r>
        <w:rPr>
          <w:spacing w:val="-11"/>
        </w:rPr>
        <w:t>为弃权表决，但应当计入出具表决意见的基金份额持有人所代表的基金份额总数。</w:t>
      </w:r>
    </w:p>
    <w:p w14:paraId="179F1A89" w14:textId="77777777" w:rsidR="00CD61EF" w:rsidRDefault="002B79C0">
      <w:pPr>
        <w:pStyle w:val="a5"/>
        <w:spacing w:before="2" w:line="364" w:lineRule="auto"/>
        <w:ind w:right="350"/>
      </w:pPr>
      <w:r>
        <w:t>基金份额持有人大会的各项提案或同一项提案内并列的各项议题应当分开审议、逐项表决。</w:t>
      </w:r>
    </w:p>
    <w:p w14:paraId="4DC9C539" w14:textId="77777777" w:rsidR="00CD61EF" w:rsidRDefault="002B79C0">
      <w:pPr>
        <w:pStyle w:val="a5"/>
        <w:ind w:left="600" w:firstLine="0"/>
      </w:pPr>
      <w:r>
        <w:rPr>
          <w:rFonts w:hint="eastAsia"/>
        </w:rPr>
        <w:t>（七）</w:t>
      </w:r>
      <w:r>
        <w:t>计票</w:t>
      </w:r>
    </w:p>
    <w:p w14:paraId="509FF22C" w14:textId="77777777" w:rsidR="00CD61EF" w:rsidRDefault="002B79C0">
      <w:pPr>
        <w:pStyle w:val="a5"/>
        <w:spacing w:before="160"/>
        <w:ind w:left="600" w:firstLine="0"/>
      </w:pPr>
      <w:r>
        <w:rPr>
          <w:rFonts w:ascii="Times New Roman" w:eastAsia="Times New Roman"/>
        </w:rPr>
        <w:t>1</w:t>
      </w:r>
      <w:r>
        <w:t>、现场开会</w:t>
      </w:r>
    </w:p>
    <w:p w14:paraId="231A735A" w14:textId="77777777" w:rsidR="00CD61EF" w:rsidRDefault="002B79C0">
      <w:pPr>
        <w:pStyle w:val="af2"/>
        <w:numPr>
          <w:ilvl w:val="0"/>
          <w:numId w:val="19"/>
        </w:numPr>
        <w:tabs>
          <w:tab w:val="left" w:pos="1202"/>
        </w:tabs>
        <w:spacing w:before="5" w:line="364" w:lineRule="auto"/>
        <w:ind w:right="362" w:firstLine="479"/>
        <w:rPr>
          <w:sz w:val="24"/>
        </w:rPr>
      </w:pPr>
      <w:r>
        <w:rPr>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和代理人中选举三名基金份额持有人代表担任监票人。基金管理人或基金托管人不出席大会的，不影响计票的效力。</w:t>
      </w:r>
    </w:p>
    <w:p w14:paraId="48C816B7" w14:textId="77777777" w:rsidR="00CD61EF" w:rsidRDefault="002B79C0">
      <w:pPr>
        <w:pStyle w:val="af2"/>
        <w:numPr>
          <w:ilvl w:val="0"/>
          <w:numId w:val="19"/>
        </w:numPr>
        <w:tabs>
          <w:tab w:val="left" w:pos="1202"/>
        </w:tabs>
        <w:spacing w:before="5" w:line="364" w:lineRule="auto"/>
        <w:ind w:right="362" w:firstLine="479"/>
        <w:rPr>
          <w:sz w:val="24"/>
        </w:rPr>
      </w:pPr>
      <w:r>
        <w:rPr>
          <w:sz w:val="24"/>
        </w:rPr>
        <w:t>监票人应当在基金份额持有人表决后立即进行清点并由大会主持人当场公布计票结果。</w:t>
      </w:r>
    </w:p>
    <w:p w14:paraId="3F1C4E36" w14:textId="77777777" w:rsidR="00CD61EF" w:rsidRDefault="002B79C0">
      <w:pPr>
        <w:pStyle w:val="af2"/>
        <w:numPr>
          <w:ilvl w:val="0"/>
          <w:numId w:val="19"/>
        </w:numPr>
        <w:tabs>
          <w:tab w:val="left" w:pos="1202"/>
        </w:tabs>
        <w:spacing w:line="364" w:lineRule="auto"/>
        <w:ind w:right="357" w:firstLine="479"/>
        <w:jc w:val="both"/>
        <w:rPr>
          <w:sz w:val="24"/>
        </w:rPr>
      </w:pPr>
      <w:r>
        <w:rPr>
          <w:sz w:val="24"/>
        </w:rPr>
        <w:t>如果会议主持人或基金份额持有人或代理人对于提交的表决结果有异</w:t>
      </w:r>
      <w:r>
        <w:rPr>
          <w:spacing w:val="-3"/>
          <w:sz w:val="24"/>
        </w:rPr>
        <w:t>议，可以在宣布表决结果后立即对所投票数要求进行重新清点。监票人应当进行重新清点，重新清点以一次为限。重新清点后，大会主持人应当当场公布重新清</w:t>
      </w:r>
      <w:r>
        <w:rPr>
          <w:sz w:val="24"/>
        </w:rPr>
        <w:t>点结果。</w:t>
      </w:r>
    </w:p>
    <w:p w14:paraId="3BF13E64" w14:textId="77777777" w:rsidR="00CD61EF" w:rsidRDefault="002B79C0">
      <w:pPr>
        <w:pStyle w:val="af2"/>
        <w:numPr>
          <w:ilvl w:val="0"/>
          <w:numId w:val="19"/>
        </w:numPr>
        <w:tabs>
          <w:tab w:val="left" w:pos="1202"/>
        </w:tabs>
        <w:spacing w:before="3" w:line="364" w:lineRule="auto"/>
        <w:ind w:right="364" w:firstLine="479"/>
        <w:rPr>
          <w:sz w:val="24"/>
        </w:rPr>
      </w:pPr>
      <w:r>
        <w:rPr>
          <w:sz w:val="24"/>
        </w:rPr>
        <w:t>计票过程应由公证机关予以公证，基金管理人或基金托管人拒不出席大会的，不影响计票的效力。</w:t>
      </w:r>
    </w:p>
    <w:p w14:paraId="30F354D3" w14:textId="77777777" w:rsidR="00CD61EF" w:rsidRDefault="002B79C0">
      <w:pPr>
        <w:pStyle w:val="a5"/>
        <w:ind w:left="600" w:firstLine="0"/>
      </w:pPr>
      <w:r>
        <w:rPr>
          <w:rFonts w:ascii="Times New Roman" w:eastAsia="Times New Roman"/>
        </w:rPr>
        <w:t>2</w:t>
      </w:r>
      <w:r>
        <w:t>、通讯开会</w:t>
      </w:r>
    </w:p>
    <w:p w14:paraId="0209FBF9" w14:textId="77777777" w:rsidR="00CD61EF" w:rsidRDefault="002B79C0">
      <w:pPr>
        <w:pStyle w:val="a5"/>
        <w:spacing w:before="160" w:line="364" w:lineRule="auto"/>
        <w:ind w:right="357"/>
        <w:jc w:val="both"/>
      </w:pPr>
      <w:r>
        <w:rPr>
          <w:spacing w:val="-3"/>
        </w:rPr>
        <w:t>在通讯开会的情况下，计票方式为：由大会召集人授权的两名监督员在基金托管人授权代表（若由基金托管人召集，则为基金管理人授权代表</w:t>
      </w:r>
      <w:r>
        <w:rPr>
          <w:spacing w:val="-2"/>
        </w:rPr>
        <w:t>）的监督下进</w:t>
      </w:r>
      <w:r>
        <w:rPr>
          <w:spacing w:val="-3"/>
        </w:rPr>
        <w:t>行计票，并由公证机关对其计票过程予以公证。基金管理人或基金托管人拒派代</w:t>
      </w:r>
      <w:r>
        <w:lastRenderedPageBreak/>
        <w:t>表对表决意见的计票进行监督的，不影响计票和表决结果。</w:t>
      </w:r>
    </w:p>
    <w:p w14:paraId="5414205A" w14:textId="77777777" w:rsidR="00CD61EF" w:rsidRDefault="002B79C0">
      <w:pPr>
        <w:pStyle w:val="a5"/>
        <w:spacing w:before="3"/>
        <w:ind w:left="600" w:firstLine="0"/>
      </w:pPr>
      <w:r>
        <w:rPr>
          <w:rFonts w:hint="eastAsia"/>
        </w:rPr>
        <w:t>（八）</w:t>
      </w:r>
      <w:r>
        <w:t>生效与公告</w:t>
      </w:r>
    </w:p>
    <w:p w14:paraId="2329EC93" w14:textId="77777777" w:rsidR="00CD61EF" w:rsidRDefault="002B79C0">
      <w:pPr>
        <w:pStyle w:val="a5"/>
        <w:spacing w:before="161"/>
        <w:ind w:left="600" w:firstLine="0"/>
      </w:pPr>
      <w:r>
        <w:rPr>
          <w:spacing w:val="-8"/>
          <w:w w:val="95"/>
        </w:rPr>
        <w:t>基金份额持有人大会的决议，召集人应当自通过之日起</w:t>
      </w:r>
      <w:r>
        <w:rPr>
          <w:spacing w:val="137"/>
        </w:rPr>
        <w:t xml:space="preserve"> </w:t>
      </w:r>
      <w:r>
        <w:rPr>
          <w:rFonts w:ascii="Times New Roman" w:eastAsia="Times New Roman"/>
          <w:w w:val="95"/>
        </w:rPr>
        <w:t>5</w:t>
      </w:r>
      <w:r>
        <w:rPr>
          <w:rFonts w:ascii="Times New Roman" w:eastAsia="Times New Roman"/>
          <w:spacing w:val="66"/>
        </w:rPr>
        <w:t xml:space="preserve">  </w:t>
      </w:r>
      <w:r>
        <w:rPr>
          <w:w w:val="95"/>
        </w:rPr>
        <w:t>日内报中国证监会</w:t>
      </w:r>
    </w:p>
    <w:p w14:paraId="1A657FA6" w14:textId="77777777" w:rsidR="00CD61EF" w:rsidRDefault="002B79C0">
      <w:pPr>
        <w:pStyle w:val="a5"/>
        <w:spacing w:before="64"/>
        <w:ind w:firstLine="0"/>
      </w:pPr>
      <w:r>
        <w:t>备案。</w:t>
      </w:r>
    </w:p>
    <w:p w14:paraId="42DEB847" w14:textId="77777777" w:rsidR="00CD61EF" w:rsidRDefault="002B79C0">
      <w:pPr>
        <w:pStyle w:val="a5"/>
        <w:spacing w:before="160"/>
        <w:ind w:left="600" w:firstLine="0"/>
      </w:pPr>
      <w:r>
        <w:t>基金份额持有人大会的决议自表决通过之日起生效。</w:t>
      </w:r>
    </w:p>
    <w:p w14:paraId="755065BD" w14:textId="77777777" w:rsidR="00CD61EF" w:rsidRDefault="002B79C0">
      <w:pPr>
        <w:pStyle w:val="a5"/>
        <w:spacing w:before="161" w:line="364" w:lineRule="auto"/>
        <w:ind w:right="356"/>
        <w:jc w:val="both"/>
      </w:pPr>
      <w:r>
        <w:rPr>
          <w:spacing w:val="-4"/>
        </w:rPr>
        <w:t>基金份额持有人大会决议自生效之日起按规定在规定媒介上公告。如果采用</w:t>
      </w:r>
      <w:r>
        <w:rPr>
          <w:spacing w:val="-3"/>
        </w:rPr>
        <w:t>通讯方式进行表决，在公告基金份额持有人大会决议时，必须将公证书全文、公</w:t>
      </w:r>
      <w:r>
        <w:t>证机构、公证员姓名等一同公告。</w:t>
      </w:r>
    </w:p>
    <w:p w14:paraId="285BFDB8" w14:textId="77777777" w:rsidR="00CD61EF" w:rsidRDefault="002B79C0">
      <w:pPr>
        <w:pStyle w:val="a5"/>
        <w:spacing w:before="2" w:line="364" w:lineRule="auto"/>
        <w:ind w:right="357"/>
        <w:jc w:val="both"/>
      </w:pPr>
      <w:r>
        <w:rPr>
          <w:spacing w:val="-10"/>
        </w:rPr>
        <w:t>基金管理人、基金托管人和基金份额持有人应当执行生效的基金份额持有人</w:t>
      </w:r>
      <w:r>
        <w:rPr>
          <w:spacing w:val="-3"/>
        </w:rPr>
        <w:t>大会的决议。生效的基金份额持有人大会决议对全体基金份额持有人、基金管理</w:t>
      </w:r>
      <w:r>
        <w:t>人、基金托管人均有约束力。</w:t>
      </w:r>
    </w:p>
    <w:p w14:paraId="6C2151A2" w14:textId="77777777" w:rsidR="00CD61EF" w:rsidRDefault="002B79C0">
      <w:pPr>
        <w:pStyle w:val="a5"/>
        <w:spacing w:before="2"/>
        <w:ind w:left="600" w:firstLine="0"/>
      </w:pPr>
      <w:r>
        <w:rPr>
          <w:rFonts w:hint="eastAsia"/>
        </w:rPr>
        <w:t>（九）</w:t>
      </w:r>
      <w:r>
        <w:t>实施侧袋机制期间基金份额持有人大会的特殊约定</w:t>
      </w:r>
    </w:p>
    <w:p w14:paraId="5545B33B" w14:textId="77777777" w:rsidR="00CD61EF" w:rsidRDefault="002B79C0">
      <w:pPr>
        <w:pStyle w:val="a5"/>
        <w:spacing w:before="161" w:line="364" w:lineRule="auto"/>
        <w:ind w:right="357"/>
        <w:jc w:val="both"/>
      </w:pPr>
      <w:r>
        <w:rPr>
          <w:spacing w:val="-9"/>
        </w:rPr>
        <w:t>若本基金实施侧袋机制，则相关基金份额或表决权的比例指主袋份额持有人</w:t>
      </w:r>
      <w:r>
        <w:rPr>
          <w:spacing w:val="-4"/>
        </w:rPr>
        <w:t>和侧袋份额持有人分别持有或代表的基金份额或表决权符合该等比例，但若相关</w:t>
      </w:r>
      <w:r>
        <w:rPr>
          <w:spacing w:val="-5"/>
        </w:rPr>
        <w:t>基金份额持有人大会召集和审议事项不涉及侧袋账户的，则仅指主袋份额持有人</w:t>
      </w:r>
      <w:r>
        <w:t>持有或代表的基金份额或表决权符合该等比例：</w:t>
      </w:r>
    </w:p>
    <w:p w14:paraId="6DF9B02E" w14:textId="77777777" w:rsidR="00CD61EF" w:rsidRDefault="002B79C0">
      <w:pPr>
        <w:pStyle w:val="a5"/>
        <w:spacing w:before="2" w:line="364" w:lineRule="auto"/>
        <w:ind w:right="364"/>
        <w:jc w:val="both"/>
      </w:pPr>
      <w:r>
        <w:rPr>
          <w:rFonts w:ascii="Times New Roman" w:eastAsia="Times New Roman"/>
        </w:rPr>
        <w:t>1</w:t>
      </w:r>
      <w:r>
        <w:t>、基金份额持有人行使提议权、召集权、提名权所需单独或合计代表相关</w:t>
      </w:r>
      <w:r>
        <w:rPr>
          <w:spacing w:val="-13"/>
        </w:rPr>
        <w:t xml:space="preserve">基金份额 </w:t>
      </w:r>
      <w:r>
        <w:rPr>
          <w:rFonts w:ascii="Times New Roman" w:eastAsia="Times New Roman"/>
        </w:rPr>
        <w:t>10</w:t>
      </w:r>
      <w:r>
        <w:rPr>
          <w:rFonts w:ascii="Times New Roman" w:eastAsia="Times New Roman"/>
          <w:spacing w:val="-1"/>
        </w:rPr>
        <w:t>%</w:t>
      </w:r>
      <w:r>
        <w:t>以上（</w:t>
      </w:r>
      <w:r>
        <w:rPr>
          <w:spacing w:val="-30"/>
        </w:rPr>
        <w:t xml:space="preserve">含 </w:t>
      </w:r>
      <w:r>
        <w:rPr>
          <w:rFonts w:ascii="Times New Roman" w:eastAsia="Times New Roman"/>
        </w:rPr>
        <w:t>10</w:t>
      </w:r>
      <w:r>
        <w:rPr>
          <w:rFonts w:ascii="Times New Roman" w:eastAsia="Times New Roman"/>
          <w:spacing w:val="-1"/>
        </w:rPr>
        <w:t>%</w:t>
      </w:r>
      <w:r>
        <w:rPr>
          <w:spacing w:val="-120"/>
        </w:rPr>
        <w:t>）；</w:t>
      </w:r>
    </w:p>
    <w:p w14:paraId="1EE8B512" w14:textId="77777777" w:rsidR="00CD61EF" w:rsidRDefault="002B79C0">
      <w:pPr>
        <w:pStyle w:val="a5"/>
        <w:spacing w:line="364" w:lineRule="auto"/>
        <w:ind w:right="364"/>
      </w:pPr>
      <w:r>
        <w:rPr>
          <w:rFonts w:ascii="Times New Roman" w:eastAsia="Times New Roman"/>
        </w:rPr>
        <w:t>2</w:t>
      </w:r>
      <w:r>
        <w:t>、现场开会的到会者在权益登记日代表的基金份额不少于本基金在权益登记日相关基金份额的二分之一（含二分之一</w:t>
      </w:r>
      <w:r>
        <w:rPr>
          <w:spacing w:val="-120"/>
        </w:rPr>
        <w:t>）</w:t>
      </w:r>
      <w:r>
        <w:t>；</w:t>
      </w:r>
    </w:p>
    <w:p w14:paraId="60773DCB" w14:textId="77777777" w:rsidR="00CD61EF" w:rsidRDefault="002B79C0">
      <w:pPr>
        <w:pStyle w:val="a5"/>
        <w:spacing w:before="2" w:line="364" w:lineRule="auto"/>
        <w:ind w:right="357"/>
        <w:jc w:val="both"/>
      </w:pPr>
      <w:r>
        <w:rPr>
          <w:rFonts w:ascii="Times New Roman" w:eastAsia="Times New Roman"/>
        </w:rPr>
        <w:t>3</w:t>
      </w:r>
      <w:r>
        <w:t>、通讯开会的直接出具表决意见或授权他人代表出具表决意见的基金份额</w:t>
      </w:r>
      <w:r>
        <w:rPr>
          <w:spacing w:val="-4"/>
        </w:rPr>
        <w:t>持有人所持有的基金份额不小于在权益登记日相关基金份额的二分之一</w:t>
      </w:r>
      <w:r>
        <w:t>（含二分之一</w:t>
      </w:r>
      <w:r>
        <w:rPr>
          <w:spacing w:val="-120"/>
        </w:rPr>
        <w:t>）</w:t>
      </w:r>
      <w:r>
        <w:t>；</w:t>
      </w:r>
    </w:p>
    <w:p w14:paraId="598A6ECF" w14:textId="77777777" w:rsidR="00CD61EF" w:rsidRDefault="002B79C0">
      <w:pPr>
        <w:pStyle w:val="a5"/>
        <w:spacing w:before="2" w:line="364" w:lineRule="auto"/>
        <w:ind w:right="358"/>
        <w:jc w:val="both"/>
      </w:pPr>
      <w:r>
        <w:rPr>
          <w:rFonts w:ascii="Times New Roman" w:eastAsia="Times New Roman"/>
        </w:rPr>
        <w:t>4</w:t>
      </w:r>
      <w:r>
        <w:t>、当参与基金份额持有人大会投票的基金份额持有人所持有的基金份额小</w:t>
      </w:r>
      <w:r>
        <w:rPr>
          <w:spacing w:val="-6"/>
        </w:rPr>
        <w:t>于在权益登记日相关基金份额的二分之一，召集人在原公告的基金份额持有人大</w:t>
      </w:r>
      <w:r>
        <w:rPr>
          <w:spacing w:val="-11"/>
        </w:rPr>
        <w:t xml:space="preserve">会召开时间的 </w:t>
      </w:r>
      <w:r>
        <w:rPr>
          <w:rFonts w:ascii="Times New Roman" w:eastAsia="Times New Roman"/>
          <w:spacing w:val="-2"/>
        </w:rPr>
        <w:t>3</w:t>
      </w:r>
      <w:r>
        <w:rPr>
          <w:rFonts w:ascii="Times New Roman" w:eastAsia="Times New Roman"/>
        </w:rPr>
        <w:t xml:space="preserve"> </w:t>
      </w:r>
      <w:r>
        <w:rPr>
          <w:spacing w:val="-2"/>
        </w:rPr>
        <w:t>个月以后、</w:t>
      </w:r>
      <w:r>
        <w:rPr>
          <w:rFonts w:ascii="Times New Roman" w:eastAsia="Times New Roman"/>
          <w:spacing w:val="-2"/>
        </w:rPr>
        <w:t>6</w:t>
      </w:r>
      <w:r>
        <w:rPr>
          <w:rFonts w:ascii="Times New Roman" w:eastAsia="Times New Roman"/>
        </w:rPr>
        <w:t xml:space="preserve"> </w:t>
      </w:r>
      <w:r>
        <w:rPr>
          <w:spacing w:val="-2"/>
        </w:rPr>
        <w:t>个月以内就原定审议事项重新召集的基金份额持有</w:t>
      </w:r>
      <w:r>
        <w:rPr>
          <w:spacing w:val="-3"/>
        </w:rPr>
        <w:t>人大会应当有代表三分之一以上（含三分之一）相关基金份额的持有人参与或授</w:t>
      </w:r>
      <w:r>
        <w:t>权他人参与基金份额持有人大会投票；</w:t>
      </w:r>
    </w:p>
    <w:p w14:paraId="2EC9E1C7" w14:textId="77777777" w:rsidR="00CD61EF" w:rsidRDefault="002B79C0">
      <w:pPr>
        <w:pStyle w:val="a5"/>
        <w:spacing w:before="3"/>
        <w:ind w:left="600" w:firstLine="0"/>
        <w:jc w:val="both"/>
      </w:pPr>
      <w:r>
        <w:rPr>
          <w:rFonts w:ascii="Times New Roman" w:eastAsia="Times New Roman"/>
          <w:spacing w:val="-1"/>
        </w:rPr>
        <w:t>5</w:t>
      </w:r>
      <w:r>
        <w:rPr>
          <w:spacing w:val="-2"/>
        </w:rPr>
        <w:t xml:space="preserve">、现场开会由出席大会的基金份额持有人和代理人所持表决权的 </w:t>
      </w:r>
      <w:r>
        <w:rPr>
          <w:rFonts w:ascii="Times New Roman" w:eastAsia="Times New Roman"/>
        </w:rPr>
        <w:t>50%</w:t>
      </w:r>
      <w:r>
        <w:t>以上</w:t>
      </w:r>
    </w:p>
    <w:p w14:paraId="11E75C53" w14:textId="77777777" w:rsidR="00CD61EF" w:rsidRDefault="002B79C0">
      <w:pPr>
        <w:pStyle w:val="a5"/>
        <w:spacing w:before="161" w:line="364" w:lineRule="auto"/>
        <w:ind w:right="352" w:firstLine="0"/>
        <w:jc w:val="both"/>
      </w:pPr>
      <w:r>
        <w:t>（</w:t>
      </w:r>
      <w:r>
        <w:rPr>
          <w:spacing w:val="24"/>
        </w:rPr>
        <w:t xml:space="preserve">含 </w:t>
      </w:r>
      <w:r>
        <w:rPr>
          <w:rFonts w:ascii="Times New Roman" w:eastAsia="Times New Roman"/>
        </w:rPr>
        <w:t>50%</w:t>
      </w:r>
      <w:r>
        <w:t>）选举产生一名基金份额持有人作为该次基金份额持有人大会的主持</w:t>
      </w:r>
      <w:r>
        <w:lastRenderedPageBreak/>
        <w:t>人；</w:t>
      </w:r>
    </w:p>
    <w:p w14:paraId="73CD8523" w14:textId="77777777" w:rsidR="00CD61EF" w:rsidRDefault="002B79C0">
      <w:pPr>
        <w:pStyle w:val="a5"/>
        <w:ind w:left="600" w:firstLine="0"/>
      </w:pPr>
      <w:r>
        <w:rPr>
          <w:rFonts w:ascii="Times New Roman" w:eastAsia="Times New Roman"/>
        </w:rPr>
        <w:t>6</w:t>
      </w:r>
      <w:r>
        <w:t>、一般决议须经参加大会的基金份额持有人或其代理人所持表决权的二分</w:t>
      </w:r>
    </w:p>
    <w:p w14:paraId="2E797744" w14:textId="77777777" w:rsidR="00CD61EF" w:rsidRDefault="002B79C0">
      <w:pPr>
        <w:pStyle w:val="a5"/>
        <w:spacing w:before="64"/>
        <w:ind w:firstLine="0"/>
      </w:pPr>
      <w:r>
        <w:t>之一以上（含二分之一）通过；</w:t>
      </w:r>
    </w:p>
    <w:p w14:paraId="04E146BF" w14:textId="77777777" w:rsidR="00CD61EF" w:rsidRDefault="002B79C0">
      <w:pPr>
        <w:pStyle w:val="a5"/>
        <w:spacing w:before="160" w:line="364" w:lineRule="auto"/>
        <w:ind w:right="364"/>
      </w:pPr>
      <w:r>
        <w:rPr>
          <w:rFonts w:ascii="Times New Roman" w:eastAsia="Times New Roman"/>
        </w:rPr>
        <w:t>7</w:t>
      </w:r>
      <w:r>
        <w:t>、特别决议应当经参加大会的基金份额持有人或其代理人所持表决权的三分之二以上（含三分之二）通过。</w:t>
      </w:r>
    </w:p>
    <w:p w14:paraId="5163B519" w14:textId="77777777" w:rsidR="00CD61EF" w:rsidRDefault="002B79C0">
      <w:pPr>
        <w:pStyle w:val="a5"/>
        <w:spacing w:before="2" w:line="364" w:lineRule="auto"/>
        <w:ind w:right="357"/>
        <w:jc w:val="both"/>
      </w:pPr>
      <w:r>
        <w:rPr>
          <w:spacing w:val="-10"/>
        </w:rPr>
        <w:t>侧袋机制实施期间，基金份额持有人大会审议事项涉及主袋账户和侧袋账户</w:t>
      </w:r>
      <w:r>
        <w:rPr>
          <w:spacing w:val="-3"/>
        </w:rPr>
        <w:t>的，应分别由主袋账户、侧袋账户的基金份额持有人进行表决，同一主侧袋账户内的每份基金份额具有平等的表决权。表决事项未涉及侧袋账户的，侧</w:t>
      </w:r>
      <w:r>
        <w:t>袋账户份额无表决权。</w:t>
      </w:r>
    </w:p>
    <w:p w14:paraId="79276442" w14:textId="77777777" w:rsidR="00CD61EF" w:rsidRDefault="002B79C0">
      <w:pPr>
        <w:pStyle w:val="a5"/>
        <w:spacing w:before="2" w:line="364" w:lineRule="auto"/>
        <w:ind w:right="357"/>
        <w:rPr>
          <w:spacing w:val="-10"/>
        </w:rPr>
      </w:pPr>
      <w:r>
        <w:rPr>
          <w:spacing w:val="-10"/>
        </w:rPr>
        <w:t>侧袋机制实施期间，关于基金份额持有人大会的相关规定以本节特殊约定内</w:t>
      </w:r>
      <w:r>
        <w:t>容</w:t>
      </w:r>
      <w:r>
        <w:rPr>
          <w:spacing w:val="-10"/>
        </w:rPr>
        <w:t>为准，本节没有规定的适用上文相关约定。</w:t>
      </w:r>
    </w:p>
    <w:p w14:paraId="773E328E" w14:textId="77777777" w:rsidR="00CD61EF" w:rsidRDefault="002B79C0">
      <w:pPr>
        <w:tabs>
          <w:tab w:val="left" w:pos="400"/>
        </w:tabs>
        <w:spacing w:line="360" w:lineRule="auto"/>
        <w:ind w:right="745"/>
        <w:rPr>
          <w:spacing w:val="-10"/>
        </w:rPr>
      </w:pPr>
      <w:r>
        <w:rPr>
          <w:spacing w:val="-10"/>
          <w:sz w:val="24"/>
          <w:szCs w:val="24"/>
        </w:rPr>
        <w:tab/>
      </w:r>
      <w:r>
        <w:rPr>
          <w:rFonts w:hint="eastAsia"/>
          <w:spacing w:val="-10"/>
          <w:sz w:val="24"/>
          <w:szCs w:val="24"/>
        </w:rPr>
        <w:t>（十）</w:t>
      </w:r>
      <w:r>
        <w:rPr>
          <w:spacing w:val="-10"/>
          <w:sz w:val="24"/>
          <w:szCs w:val="24"/>
        </w:rPr>
        <w:t>本部分关于基金份额持有人大会召开事由、召开条件、议事程序、表决条件等规定，凡是直接引用法律法规的部分，如将来法律法规修改导致相关内容被取消或变更的，经与基金托管人协商一致，基金管理人提前公告后，可直接对本部分内容进行修改和调整，无需召开基金份额持有人大会审议</w:t>
      </w:r>
      <w:bookmarkEnd w:id="71"/>
      <w:r>
        <w:rPr>
          <w:rFonts w:hint="eastAsia"/>
          <w:spacing w:val="-10"/>
          <w:sz w:val="24"/>
          <w:szCs w:val="24"/>
        </w:rPr>
        <w:t>。</w:t>
      </w:r>
    </w:p>
    <w:p w14:paraId="28267816" w14:textId="77777777" w:rsidR="00CD61EF" w:rsidRDefault="002B79C0">
      <w:pPr>
        <w:pStyle w:val="a5"/>
        <w:spacing w:before="0" w:line="360" w:lineRule="auto"/>
        <w:ind w:left="600" w:firstLine="0"/>
        <w:rPr>
          <w:spacing w:val="-10"/>
        </w:rPr>
      </w:pPr>
      <w:r>
        <w:rPr>
          <w:spacing w:val="-10"/>
        </w:rPr>
        <w:t>三、基金收益分配原则、执行方式</w:t>
      </w:r>
    </w:p>
    <w:p w14:paraId="66D99944" w14:textId="77777777" w:rsidR="00CD61EF" w:rsidRDefault="002B79C0">
      <w:pPr>
        <w:pStyle w:val="a5"/>
        <w:spacing w:before="0" w:line="360" w:lineRule="auto"/>
        <w:ind w:left="660" w:firstLine="0"/>
        <w:rPr>
          <w:spacing w:val="-10"/>
        </w:rPr>
      </w:pPr>
      <w:r>
        <w:rPr>
          <w:rFonts w:hint="eastAsia"/>
          <w:spacing w:val="-10"/>
        </w:rPr>
        <w:t>（一）</w:t>
      </w:r>
      <w:r>
        <w:rPr>
          <w:spacing w:val="-10"/>
        </w:rPr>
        <w:t>基金利润的构成</w:t>
      </w:r>
    </w:p>
    <w:p w14:paraId="44D9A529" w14:textId="77777777" w:rsidR="00CD61EF" w:rsidRDefault="002B79C0">
      <w:pPr>
        <w:pStyle w:val="a5"/>
        <w:spacing w:before="0" w:line="360" w:lineRule="auto"/>
        <w:ind w:right="241" w:firstLine="539"/>
        <w:rPr>
          <w:spacing w:val="-10"/>
        </w:rPr>
      </w:pPr>
      <w:r>
        <w:rPr>
          <w:spacing w:val="-10"/>
        </w:rPr>
        <w:t>基金利润指基金利息收入、投资收益、公允价值变动收益和其他收入扣除相关费用后的余额，基金已实现收益指基金利润减去公允价值变动收益后的余额。</w:t>
      </w:r>
    </w:p>
    <w:p w14:paraId="6CA1FF77" w14:textId="77777777" w:rsidR="00CD61EF" w:rsidRDefault="002B79C0">
      <w:pPr>
        <w:pStyle w:val="a5"/>
        <w:spacing w:before="0" w:line="360" w:lineRule="auto"/>
        <w:ind w:left="660" w:firstLine="0"/>
        <w:rPr>
          <w:spacing w:val="-10"/>
        </w:rPr>
      </w:pPr>
      <w:r>
        <w:rPr>
          <w:rFonts w:hint="eastAsia"/>
          <w:spacing w:val="-10"/>
        </w:rPr>
        <w:t>（二）</w:t>
      </w:r>
      <w:r>
        <w:rPr>
          <w:spacing w:val="-10"/>
        </w:rPr>
        <w:t>基金可供分配利润</w:t>
      </w:r>
    </w:p>
    <w:p w14:paraId="1DD275D0" w14:textId="77777777" w:rsidR="00CD61EF" w:rsidRDefault="002B79C0">
      <w:pPr>
        <w:pStyle w:val="a5"/>
        <w:spacing w:before="0" w:line="360" w:lineRule="auto"/>
        <w:ind w:right="354" w:firstLine="539"/>
        <w:rPr>
          <w:spacing w:val="-10"/>
        </w:rPr>
      </w:pPr>
      <w:r>
        <w:rPr>
          <w:spacing w:val="-10"/>
        </w:rPr>
        <w:t>基金可供分配利润指截至收益分配基准日基金未分配利润与未分配利润中已实现收益的孰低数。</w:t>
      </w:r>
    </w:p>
    <w:p w14:paraId="2DFE7086" w14:textId="77777777" w:rsidR="00CD61EF" w:rsidRDefault="002B79C0">
      <w:pPr>
        <w:pStyle w:val="a5"/>
        <w:spacing w:before="0" w:line="360" w:lineRule="auto"/>
        <w:ind w:left="660" w:firstLine="0"/>
        <w:rPr>
          <w:spacing w:val="-10"/>
        </w:rPr>
      </w:pPr>
      <w:r>
        <w:rPr>
          <w:rFonts w:hint="eastAsia"/>
          <w:spacing w:val="-10"/>
        </w:rPr>
        <w:t>（三）</w:t>
      </w:r>
      <w:r>
        <w:rPr>
          <w:spacing w:val="-10"/>
        </w:rPr>
        <w:t>基金收益分配原则</w:t>
      </w:r>
    </w:p>
    <w:p w14:paraId="152F94DB" w14:textId="77777777" w:rsidR="00CD61EF" w:rsidRDefault="002B79C0">
      <w:pPr>
        <w:pStyle w:val="a5"/>
        <w:spacing w:before="161"/>
        <w:ind w:left="660" w:firstLine="0"/>
      </w:pPr>
      <w:r>
        <w:rPr>
          <w:rFonts w:ascii="Times New Roman" w:eastAsia="Times New Roman"/>
        </w:rPr>
        <w:t>1</w:t>
      </w:r>
      <w:r>
        <w:rPr>
          <w:spacing w:val="-6"/>
        </w:rPr>
        <w:t xml:space="preserve">、若基金合同生效不满 </w:t>
      </w:r>
      <w:r>
        <w:rPr>
          <w:rFonts w:ascii="Times New Roman" w:eastAsia="Times New Roman"/>
        </w:rPr>
        <w:t xml:space="preserve">3 </w:t>
      </w:r>
      <w:r>
        <w:t>个月可不进行收益分配；</w:t>
      </w:r>
    </w:p>
    <w:p w14:paraId="5D6E56AB" w14:textId="77777777" w:rsidR="00CD61EF" w:rsidRDefault="002B79C0">
      <w:pPr>
        <w:pStyle w:val="a5"/>
        <w:spacing w:before="161" w:line="364" w:lineRule="auto"/>
        <w:ind w:right="117" w:firstLine="539"/>
      </w:pPr>
      <w:r>
        <w:rPr>
          <w:rFonts w:ascii="Times New Roman" w:eastAsia="Times New Roman"/>
        </w:rPr>
        <w:t>2</w:t>
      </w:r>
      <w:r>
        <w:t>、本基金收益分配方式分两种：现金分红与红利再投资，投资者可选择现</w:t>
      </w:r>
      <w:r>
        <w:rPr>
          <w:spacing w:val="-5"/>
        </w:rPr>
        <w:t>金红利或将现金红利自动转为对应类别的基金份额进行再投资；若投资者不选择，</w:t>
      </w:r>
      <w:r>
        <w:rPr>
          <w:spacing w:val="-117"/>
        </w:rPr>
        <w:t xml:space="preserve"> </w:t>
      </w:r>
      <w:r>
        <w:t>本基金默认的收益分配方式是现金分红；</w:t>
      </w:r>
    </w:p>
    <w:p w14:paraId="6CFFD867" w14:textId="77777777" w:rsidR="00CD61EF" w:rsidRDefault="002B79C0">
      <w:pPr>
        <w:pStyle w:val="a5"/>
        <w:spacing w:before="2" w:line="364" w:lineRule="auto"/>
        <w:ind w:right="244" w:firstLine="539"/>
      </w:pPr>
      <w:r>
        <w:rPr>
          <w:rFonts w:ascii="Times New Roman" w:eastAsia="Times New Roman"/>
        </w:rPr>
        <w:t>3</w:t>
      </w:r>
      <w:r>
        <w:t>、基金收益分配后各类基金份额净值不能低于面值，即基金收益分配基准日的各类基金份额净值减去每单位该类基金份额收益分配金额后不能低于面值；</w:t>
      </w:r>
    </w:p>
    <w:p w14:paraId="2E1DD20B" w14:textId="77777777" w:rsidR="00CD61EF" w:rsidRDefault="002B79C0">
      <w:pPr>
        <w:pStyle w:val="a5"/>
        <w:ind w:left="660" w:firstLine="0"/>
      </w:pPr>
      <w:r>
        <w:rPr>
          <w:rFonts w:ascii="Times New Roman" w:eastAsia="Times New Roman"/>
        </w:rPr>
        <w:t>4</w:t>
      </w:r>
      <w:r>
        <w:t>、本基金的同一类别的每一基金份额享有同等分配权；</w:t>
      </w:r>
    </w:p>
    <w:p w14:paraId="490FB5C1" w14:textId="77777777" w:rsidR="00CD61EF" w:rsidRDefault="002B79C0">
      <w:pPr>
        <w:pStyle w:val="a5"/>
        <w:spacing w:before="160"/>
        <w:ind w:left="660" w:firstLine="0"/>
      </w:pPr>
      <w:r>
        <w:rPr>
          <w:rFonts w:ascii="Times New Roman" w:eastAsia="Times New Roman"/>
        </w:rPr>
        <w:lastRenderedPageBreak/>
        <w:t>5</w:t>
      </w:r>
      <w:r>
        <w:t>、法律法规或监管机构另有规定的，从其规定。</w:t>
      </w:r>
    </w:p>
    <w:p w14:paraId="7ABC8B12" w14:textId="77777777" w:rsidR="00CD61EF" w:rsidRDefault="002B79C0">
      <w:pPr>
        <w:pStyle w:val="a5"/>
        <w:spacing w:before="161" w:line="364" w:lineRule="auto"/>
        <w:ind w:right="356"/>
        <w:jc w:val="both"/>
      </w:pPr>
      <w:r>
        <w:rPr>
          <w:spacing w:val="-3"/>
        </w:rPr>
        <w:t>在不违反法律法规且对基金份额持有人利益无实质性不利影响的前提下，基</w:t>
      </w:r>
      <w:r>
        <w:rPr>
          <w:spacing w:val="-4"/>
        </w:rPr>
        <w:t>金管理人经与基金托管人协商一致后可对基金收益分配原则进行调整，无需召开</w:t>
      </w:r>
      <w:r>
        <w:t>基金份额持有人大会。</w:t>
      </w:r>
    </w:p>
    <w:p w14:paraId="2E302933" w14:textId="77777777" w:rsidR="00CD61EF" w:rsidRDefault="002B79C0">
      <w:pPr>
        <w:pStyle w:val="a5"/>
        <w:spacing w:before="2"/>
        <w:ind w:left="660" w:firstLine="0"/>
      </w:pPr>
      <w:r>
        <w:rPr>
          <w:rFonts w:hint="eastAsia"/>
        </w:rPr>
        <w:t>（四）</w:t>
      </w:r>
      <w:r>
        <w:t>收益分配方案</w:t>
      </w:r>
    </w:p>
    <w:p w14:paraId="08A96684" w14:textId="77777777" w:rsidR="00CD61EF" w:rsidRDefault="002B79C0">
      <w:pPr>
        <w:pStyle w:val="a5"/>
        <w:spacing w:before="0" w:line="360" w:lineRule="auto"/>
        <w:ind w:right="357"/>
      </w:pPr>
      <w:r>
        <w:rPr>
          <w:spacing w:val="-4"/>
        </w:rPr>
        <w:t>基金收益分配方案中应载明截止收益分配基准日的可供分配利润、基金收益</w:t>
      </w:r>
      <w:r>
        <w:t>分配对象、分配时间、分配数额及比例、分配方式等内容。</w:t>
      </w:r>
    </w:p>
    <w:p w14:paraId="65CE9963" w14:textId="77777777" w:rsidR="00CD61EF" w:rsidRDefault="002B79C0">
      <w:pPr>
        <w:pStyle w:val="a5"/>
        <w:spacing w:before="0" w:line="360" w:lineRule="auto"/>
        <w:ind w:left="660" w:firstLine="0"/>
      </w:pPr>
      <w:r>
        <w:rPr>
          <w:rFonts w:hint="eastAsia"/>
        </w:rPr>
        <w:t>（五）</w:t>
      </w:r>
      <w:r>
        <w:t>收益分配方案的确定、公告与实施</w:t>
      </w:r>
    </w:p>
    <w:p w14:paraId="41DF5716" w14:textId="77777777" w:rsidR="00CD61EF" w:rsidRDefault="002B79C0">
      <w:pPr>
        <w:pStyle w:val="a5"/>
        <w:spacing w:before="0" w:line="360" w:lineRule="auto"/>
        <w:ind w:right="357"/>
      </w:pPr>
      <w:r>
        <w:rPr>
          <w:spacing w:val="-3"/>
        </w:rPr>
        <w:t>本基金收益分配方案由基金管理人拟定，并由基金托管人复核，按照《信息</w:t>
      </w:r>
      <w:r>
        <w:t>披露办法》的规定在规定媒介公告。</w:t>
      </w:r>
    </w:p>
    <w:p w14:paraId="301CC4F4" w14:textId="77777777" w:rsidR="00CD61EF" w:rsidRDefault="002B79C0">
      <w:pPr>
        <w:pStyle w:val="a5"/>
        <w:spacing w:before="0" w:line="360" w:lineRule="auto"/>
        <w:ind w:left="660" w:right="3325" w:firstLine="0"/>
      </w:pPr>
      <w:r>
        <w:rPr>
          <w:spacing w:val="-1"/>
        </w:rPr>
        <w:t>法律法规或监管机关另有规定的，从其规定。</w:t>
      </w:r>
      <w:r>
        <w:rPr>
          <w:rFonts w:hint="eastAsia"/>
        </w:rPr>
        <w:t>（六）</w:t>
      </w:r>
      <w:r>
        <w:t>基金收益分配中发生的费用</w:t>
      </w:r>
    </w:p>
    <w:p w14:paraId="5ABC95F0" w14:textId="77777777" w:rsidR="00CD61EF" w:rsidRDefault="002B79C0">
      <w:pPr>
        <w:pStyle w:val="a5"/>
        <w:spacing w:before="0" w:line="360" w:lineRule="auto"/>
      </w:pPr>
      <w:r>
        <w:t>基金收益分配时所发生的银行转账或其他手续费用由投资者自行承担。</w:t>
      </w:r>
      <w:r>
        <w:rPr>
          <w:rFonts w:hint="eastAsia"/>
        </w:rPr>
        <w:t>当</w:t>
      </w:r>
      <w:r>
        <w:rPr>
          <w:spacing w:val="-3"/>
        </w:rPr>
        <w:t>投资者的现金红利小于一定金额，不足以支付银行转账或其他手续费用时，基金</w:t>
      </w:r>
      <w:r>
        <w:rPr>
          <w:spacing w:val="-4"/>
        </w:rPr>
        <w:t>登记机构可将基金份额持有人的现金红利自动转为对应类别的基金份额。红利再</w:t>
      </w:r>
      <w:r>
        <w:t>投资的计算方法，依照《业务规则》执行。</w:t>
      </w:r>
    </w:p>
    <w:p w14:paraId="0FD0F51A" w14:textId="77777777" w:rsidR="00CD61EF" w:rsidRDefault="002B79C0">
      <w:pPr>
        <w:pStyle w:val="a5"/>
        <w:spacing w:before="0" w:line="360" w:lineRule="auto"/>
        <w:ind w:left="600" w:firstLine="0"/>
      </w:pPr>
      <w:r>
        <w:rPr>
          <w:rFonts w:hint="eastAsia"/>
        </w:rPr>
        <w:t>（七）</w:t>
      </w:r>
      <w:r>
        <w:t>实施侧袋机制期间的收益分配</w:t>
      </w:r>
    </w:p>
    <w:p w14:paraId="5E57A2E9" w14:textId="77777777" w:rsidR="00CD61EF" w:rsidRDefault="002B79C0">
      <w:pPr>
        <w:pStyle w:val="a5"/>
        <w:spacing w:before="0" w:line="360" w:lineRule="auto"/>
      </w:pPr>
      <w:r>
        <w:t>本基金实施侧袋机制的，侧袋账户不进行收益分配，详见招募说明书的规定。</w:t>
      </w:r>
    </w:p>
    <w:p w14:paraId="6311B4E3" w14:textId="77777777" w:rsidR="00CD61EF" w:rsidRDefault="002B79C0">
      <w:pPr>
        <w:pStyle w:val="a5"/>
        <w:spacing w:before="64"/>
      </w:pPr>
      <w:r>
        <w:t>四、与基金财产管理、运用有关费用的提取、支付方式与比例</w:t>
      </w:r>
    </w:p>
    <w:p w14:paraId="3955460D" w14:textId="77777777" w:rsidR="00CD61EF" w:rsidRDefault="002B79C0">
      <w:pPr>
        <w:pStyle w:val="a5"/>
        <w:spacing w:before="0"/>
        <w:ind w:left="600" w:firstLine="0"/>
      </w:pPr>
      <w:r>
        <w:rPr>
          <w:rFonts w:hint="eastAsia"/>
        </w:rPr>
        <w:t>（一）</w:t>
      </w:r>
      <w:r>
        <w:t>基金费用的种类</w:t>
      </w:r>
    </w:p>
    <w:p w14:paraId="176D358B" w14:textId="77777777" w:rsidR="00CD61EF" w:rsidRDefault="002B79C0">
      <w:pPr>
        <w:pStyle w:val="a5"/>
        <w:spacing w:before="160"/>
        <w:ind w:left="600" w:firstLine="0"/>
      </w:pPr>
      <w:r>
        <w:t>1、基金管理人的管理费；</w:t>
      </w:r>
    </w:p>
    <w:p w14:paraId="53ABE0A6" w14:textId="77777777" w:rsidR="00CD61EF" w:rsidRDefault="002B79C0">
      <w:pPr>
        <w:pStyle w:val="a5"/>
        <w:spacing w:before="161"/>
        <w:ind w:left="600" w:firstLine="0"/>
      </w:pPr>
      <w:r>
        <w:t>2、基金托管人的托管费；</w:t>
      </w:r>
    </w:p>
    <w:p w14:paraId="03D62144" w14:textId="77777777" w:rsidR="00CD61EF" w:rsidRDefault="002B79C0">
      <w:pPr>
        <w:pStyle w:val="a5"/>
        <w:spacing w:before="160"/>
        <w:ind w:left="600" w:firstLine="0"/>
      </w:pPr>
      <w:r>
        <w:rPr>
          <w:rFonts w:ascii="Times New Roman" w:eastAsia="Times New Roman"/>
        </w:rPr>
        <w:t>3</w:t>
      </w:r>
      <w:r>
        <w:t>、销售服务费；</w:t>
      </w:r>
    </w:p>
    <w:p w14:paraId="48C6E2D4" w14:textId="77777777" w:rsidR="00CD61EF" w:rsidRDefault="002B79C0">
      <w:pPr>
        <w:pStyle w:val="a5"/>
        <w:spacing w:before="161" w:line="364" w:lineRule="auto"/>
        <w:ind w:right="359"/>
      </w:pPr>
      <w:r>
        <w:rPr>
          <w:rFonts w:ascii="Times New Roman" w:eastAsia="Times New Roman"/>
          <w:spacing w:val="-3"/>
        </w:rPr>
        <w:t>4</w:t>
      </w:r>
      <w:r>
        <w:rPr>
          <w:spacing w:val="-16"/>
        </w:rPr>
        <w:t>、《基金合同》生效后与基金相关的信息披露费用，法律法规、中国证监会</w:t>
      </w:r>
      <w:r>
        <w:t>另有规定的除外；</w:t>
      </w:r>
    </w:p>
    <w:p w14:paraId="10F8B08A" w14:textId="77777777" w:rsidR="00CD61EF" w:rsidRDefault="002B79C0">
      <w:pPr>
        <w:pStyle w:val="a5"/>
        <w:spacing w:before="2"/>
        <w:ind w:left="600" w:firstLine="0"/>
      </w:pPr>
      <w:r>
        <w:rPr>
          <w:rFonts w:ascii="Times New Roman" w:eastAsia="Times New Roman"/>
        </w:rPr>
        <w:t>5</w:t>
      </w:r>
      <w:r>
        <w:rPr>
          <w:spacing w:val="-12"/>
        </w:rPr>
        <w:t>、《基金合同》生效后与基金相关的会计师费、律师费、诉讼费和仲裁费；</w:t>
      </w:r>
    </w:p>
    <w:p w14:paraId="2F996996" w14:textId="77777777" w:rsidR="00CD61EF" w:rsidRDefault="002B79C0">
      <w:pPr>
        <w:pStyle w:val="a5"/>
        <w:spacing w:before="160"/>
        <w:ind w:left="600" w:firstLine="0"/>
      </w:pPr>
      <w:r>
        <w:rPr>
          <w:rFonts w:ascii="Times New Roman" w:eastAsia="Times New Roman"/>
        </w:rPr>
        <w:t>6</w:t>
      </w:r>
      <w:r>
        <w:t>、基金份额持有人大会费用；</w:t>
      </w:r>
    </w:p>
    <w:p w14:paraId="2B7475F6" w14:textId="77777777" w:rsidR="00CD61EF" w:rsidRDefault="002B79C0">
      <w:pPr>
        <w:pStyle w:val="a5"/>
        <w:spacing w:before="161"/>
        <w:ind w:left="600" w:firstLine="0"/>
      </w:pPr>
      <w:r>
        <w:rPr>
          <w:rFonts w:ascii="Times New Roman" w:eastAsia="Times New Roman"/>
        </w:rPr>
        <w:t>7</w:t>
      </w:r>
      <w:r>
        <w:t>、基金的证券</w:t>
      </w:r>
      <w:r>
        <w:rPr>
          <w:rFonts w:ascii="Times New Roman" w:eastAsia="Times New Roman"/>
        </w:rPr>
        <w:t>/</w:t>
      </w:r>
      <w:r>
        <w:t>期货交易费用；</w:t>
      </w:r>
    </w:p>
    <w:p w14:paraId="2DDE295F" w14:textId="77777777" w:rsidR="00CD61EF" w:rsidRDefault="002B79C0">
      <w:pPr>
        <w:pStyle w:val="a5"/>
        <w:spacing w:before="160"/>
        <w:ind w:left="600" w:firstLine="0"/>
      </w:pPr>
      <w:r>
        <w:rPr>
          <w:rFonts w:ascii="Times New Roman" w:eastAsia="Times New Roman"/>
        </w:rPr>
        <w:t>8</w:t>
      </w:r>
      <w:r>
        <w:t>、基金的银行汇划费用；</w:t>
      </w:r>
    </w:p>
    <w:p w14:paraId="3EE5F488" w14:textId="77777777" w:rsidR="00CD61EF" w:rsidRDefault="002B79C0">
      <w:pPr>
        <w:pStyle w:val="a5"/>
        <w:spacing w:before="161"/>
        <w:ind w:left="600" w:firstLine="0"/>
      </w:pPr>
      <w:r>
        <w:rPr>
          <w:rFonts w:ascii="Times New Roman" w:eastAsia="Times New Roman"/>
        </w:rPr>
        <w:t>9</w:t>
      </w:r>
      <w:r>
        <w:t>、基金的开户费用、账户维护费用；</w:t>
      </w:r>
    </w:p>
    <w:p w14:paraId="16E2E923" w14:textId="77777777" w:rsidR="00CD61EF" w:rsidRDefault="002B79C0">
      <w:pPr>
        <w:pStyle w:val="a5"/>
        <w:spacing w:before="160" w:line="364" w:lineRule="auto"/>
        <w:ind w:right="357"/>
      </w:pPr>
      <w:r>
        <w:rPr>
          <w:rFonts w:ascii="Times New Roman" w:eastAsia="Times New Roman"/>
          <w:spacing w:val="-3"/>
        </w:rPr>
        <w:t>10</w:t>
      </w:r>
      <w:r>
        <w:rPr>
          <w:spacing w:val="-3"/>
        </w:rPr>
        <w:t>、按照国家有关规定和《基金合同》约定，可以在基金财产中列支的其他</w:t>
      </w:r>
      <w:r>
        <w:lastRenderedPageBreak/>
        <w:t>费用。</w:t>
      </w:r>
    </w:p>
    <w:p w14:paraId="1A16B47D" w14:textId="77777777" w:rsidR="00CD61EF" w:rsidRDefault="002B79C0">
      <w:pPr>
        <w:pStyle w:val="a5"/>
        <w:ind w:left="600" w:firstLine="0"/>
      </w:pPr>
      <w:r>
        <w:rPr>
          <w:rFonts w:hint="eastAsia"/>
        </w:rPr>
        <w:t>（二）</w:t>
      </w:r>
      <w:r>
        <w:t>基金费用计提方法、计提标准和支付方式</w:t>
      </w:r>
    </w:p>
    <w:p w14:paraId="7416F1E7" w14:textId="77777777" w:rsidR="00CD61EF" w:rsidRDefault="002B79C0">
      <w:pPr>
        <w:pStyle w:val="a5"/>
        <w:spacing w:before="161"/>
        <w:ind w:left="600" w:firstLine="0"/>
      </w:pPr>
      <w:r>
        <w:rPr>
          <w:rFonts w:ascii="Times New Roman" w:eastAsia="Times New Roman"/>
        </w:rPr>
        <w:t>1</w:t>
      </w:r>
      <w:r>
        <w:t>、基金管理人的管理费</w:t>
      </w:r>
    </w:p>
    <w:p w14:paraId="2F4B2A99" w14:textId="77777777" w:rsidR="00CD61EF" w:rsidRDefault="002B79C0">
      <w:pPr>
        <w:pStyle w:val="a5"/>
        <w:spacing w:before="161" w:line="364" w:lineRule="auto"/>
        <w:ind w:right="356"/>
      </w:pPr>
      <w:r>
        <w:t>本基金的管理费按前一日基金资产净值的</w:t>
      </w:r>
      <w:r>
        <w:rPr>
          <w:rFonts w:ascii="Times New Roman" w:eastAsia="Times New Roman"/>
        </w:rPr>
        <w:t>0</w:t>
      </w:r>
      <w:r>
        <w:rPr>
          <w:rFonts w:asciiTheme="minorEastAsia" w:eastAsiaTheme="minorEastAsia" w:hAnsiTheme="minorEastAsia" w:hint="eastAsia"/>
        </w:rPr>
        <w:t>.</w:t>
      </w:r>
      <w:r>
        <w:rPr>
          <w:rFonts w:ascii="Times New Roman" w:eastAsia="Times New Roman"/>
        </w:rPr>
        <w:t>3%</w:t>
      </w:r>
      <w:r>
        <w:t>年费率计提。管理费的计算方法如下：</w:t>
      </w:r>
    </w:p>
    <w:p w14:paraId="147D47F3" w14:textId="77777777" w:rsidR="00DB4D65" w:rsidRDefault="002B79C0">
      <w:pPr>
        <w:pStyle w:val="a5"/>
        <w:spacing w:line="364" w:lineRule="auto"/>
        <w:ind w:left="600" w:right="5071" w:firstLine="0"/>
        <w:rPr>
          <w:spacing w:val="1"/>
        </w:rPr>
      </w:pPr>
      <w:r>
        <w:rPr>
          <w:rFonts w:ascii="Times New Roman" w:eastAsia="Times New Roman" w:hAnsi="Times New Roman"/>
        </w:rPr>
        <w:t>H</w:t>
      </w:r>
      <w:r>
        <w:t>＝</w:t>
      </w:r>
      <w:r>
        <w:rPr>
          <w:rFonts w:ascii="Times New Roman" w:eastAsia="Times New Roman" w:hAnsi="Times New Roman"/>
        </w:rPr>
        <w:t>E×0</w:t>
      </w:r>
      <w:r>
        <w:rPr>
          <w:rFonts w:asciiTheme="minorEastAsia" w:eastAsiaTheme="minorEastAsia" w:hAnsiTheme="minorEastAsia" w:hint="eastAsia"/>
        </w:rPr>
        <w:t>.</w:t>
      </w:r>
      <w:r>
        <w:rPr>
          <w:rFonts w:ascii="Times New Roman" w:eastAsia="Times New Roman" w:hAnsi="Times New Roman"/>
        </w:rPr>
        <w:t>3%÷</w:t>
      </w:r>
      <w:r>
        <w:t>当年天数</w:t>
      </w:r>
      <w:r>
        <w:rPr>
          <w:spacing w:val="1"/>
        </w:rPr>
        <w:t xml:space="preserve"> </w:t>
      </w:r>
    </w:p>
    <w:p w14:paraId="71ADF6D6" w14:textId="14B590B6" w:rsidR="00CD61EF" w:rsidRDefault="002B79C0">
      <w:pPr>
        <w:pStyle w:val="a5"/>
        <w:spacing w:line="364" w:lineRule="auto"/>
        <w:ind w:left="600" w:right="5071" w:firstLine="0"/>
      </w:pPr>
      <w:r>
        <w:rPr>
          <w:rFonts w:ascii="Times New Roman" w:eastAsia="Times New Roman" w:hAnsi="Times New Roman"/>
        </w:rPr>
        <w:t>H</w:t>
      </w:r>
      <w:r>
        <w:rPr>
          <w:rFonts w:ascii="Times New Roman" w:eastAsia="Times New Roman" w:hAnsi="Times New Roman"/>
          <w:spacing w:val="-14"/>
        </w:rPr>
        <w:t xml:space="preserve"> </w:t>
      </w:r>
      <w:r>
        <w:t>为每日应计提的基金管理费</w:t>
      </w:r>
      <w:r>
        <w:rPr>
          <w:rFonts w:ascii="Times New Roman" w:eastAsia="Times New Roman" w:hAnsi="Times New Roman"/>
        </w:rPr>
        <w:t>E</w:t>
      </w:r>
      <w:r>
        <w:rPr>
          <w:rFonts w:ascii="Times New Roman" w:eastAsia="Times New Roman" w:hAnsi="Times New Roman"/>
          <w:spacing w:val="-1"/>
        </w:rPr>
        <w:t xml:space="preserve"> </w:t>
      </w:r>
      <w:r>
        <w:t>为前一日的基金资产净值</w:t>
      </w:r>
    </w:p>
    <w:p w14:paraId="39E365FB" w14:textId="77777777" w:rsidR="00CD61EF" w:rsidRDefault="002B79C0">
      <w:pPr>
        <w:pStyle w:val="a5"/>
        <w:spacing w:before="2" w:line="364" w:lineRule="auto"/>
        <w:ind w:right="244"/>
      </w:pPr>
      <w:r>
        <w:t>基金管理费在基金合同生效后每日计提，逐日累计至每月月末，按月支付，</w:t>
      </w:r>
      <w:r>
        <w:rPr>
          <w:spacing w:val="-117"/>
        </w:rPr>
        <w:t xml:space="preserve"> </w:t>
      </w:r>
      <w:r>
        <w:rPr>
          <w:spacing w:val="-4"/>
        </w:rPr>
        <w:t>由基金管理人向基金托管人发送基金管理费划款指令，基金托管人复核后于次月</w:t>
      </w:r>
      <w:r>
        <w:rPr>
          <w:spacing w:val="22"/>
          <w:w w:val="95"/>
        </w:rPr>
        <w:t xml:space="preserve">前 </w:t>
      </w:r>
      <w:r>
        <w:rPr>
          <w:rFonts w:ascii="Times New Roman" w:eastAsia="Times New Roman"/>
          <w:w w:val="95"/>
        </w:rPr>
        <w:t>5</w:t>
      </w:r>
      <w:r>
        <w:rPr>
          <w:rFonts w:ascii="Times New Roman" w:eastAsia="Times New Roman"/>
          <w:spacing w:val="102"/>
        </w:rPr>
        <w:t xml:space="preserve"> </w:t>
      </w:r>
      <w:r>
        <w:rPr>
          <w:w w:val="95"/>
        </w:rPr>
        <w:t>个工作日内从基金财产中一次性支付给基金管理人。若遇法定节假日、休息</w:t>
      </w:r>
      <w:r>
        <w:t>日或不可抗力等致使无法按时支付的，顺延至最近可支付日支付。</w:t>
      </w:r>
    </w:p>
    <w:p w14:paraId="63CC19EF" w14:textId="77777777" w:rsidR="00CD61EF" w:rsidRDefault="002B79C0">
      <w:pPr>
        <w:pStyle w:val="a5"/>
        <w:spacing w:before="3"/>
        <w:ind w:left="600" w:firstLine="0"/>
      </w:pPr>
      <w:r>
        <w:rPr>
          <w:rFonts w:ascii="Times New Roman" w:eastAsia="Times New Roman"/>
        </w:rPr>
        <w:t>2</w:t>
      </w:r>
      <w:r>
        <w:t>、基金托管人的托管费</w:t>
      </w:r>
    </w:p>
    <w:p w14:paraId="280BD82B" w14:textId="77777777" w:rsidR="00CD61EF" w:rsidRDefault="002B79C0">
      <w:pPr>
        <w:pStyle w:val="a5"/>
        <w:spacing w:before="160" w:line="364" w:lineRule="auto"/>
        <w:ind w:right="356"/>
      </w:pPr>
      <w:r>
        <w:t>本基金的托管费按前一日基金资产净值的</w:t>
      </w:r>
      <w:r>
        <w:rPr>
          <w:rFonts w:ascii="Times New Roman" w:eastAsia="Times New Roman"/>
        </w:rPr>
        <w:t>0</w:t>
      </w:r>
      <w:r>
        <w:rPr>
          <w:rFonts w:asciiTheme="minorEastAsia" w:eastAsiaTheme="minorEastAsia" w:hAnsiTheme="minorEastAsia" w:hint="eastAsia"/>
        </w:rPr>
        <w:t>.</w:t>
      </w:r>
      <w:r>
        <w:rPr>
          <w:rFonts w:ascii="Times New Roman" w:eastAsia="Times New Roman"/>
        </w:rPr>
        <w:t>05%</w:t>
      </w:r>
      <w:r>
        <w:t>的年费率计提。托管费的计算方法如下：</w:t>
      </w:r>
    </w:p>
    <w:p w14:paraId="3AB389AD" w14:textId="77777777" w:rsidR="00DB4D65" w:rsidRDefault="002B79C0">
      <w:pPr>
        <w:pStyle w:val="a5"/>
        <w:spacing w:before="64" w:line="364" w:lineRule="auto"/>
        <w:ind w:left="600" w:right="5071" w:firstLine="0"/>
        <w:rPr>
          <w:spacing w:val="1"/>
        </w:rPr>
      </w:pPr>
      <w:r>
        <w:rPr>
          <w:rFonts w:ascii="Times New Roman" w:eastAsia="Times New Roman" w:hAnsi="Times New Roman"/>
        </w:rPr>
        <w:t>H</w:t>
      </w:r>
      <w:r>
        <w:t>＝</w:t>
      </w:r>
      <w:r>
        <w:rPr>
          <w:rFonts w:ascii="Times New Roman" w:eastAsia="Times New Roman" w:hAnsi="Times New Roman"/>
        </w:rPr>
        <w:t>E×</w:t>
      </w:r>
      <w:r>
        <w:rPr>
          <w:rFonts w:ascii="Times New Roman" w:eastAsia="Times New Roman"/>
        </w:rPr>
        <w:t>0</w:t>
      </w:r>
      <w:r>
        <w:rPr>
          <w:rFonts w:asciiTheme="minorEastAsia" w:eastAsiaTheme="minorEastAsia" w:hAnsiTheme="minorEastAsia" w:hint="eastAsia"/>
        </w:rPr>
        <w:t>.</w:t>
      </w:r>
      <w:r>
        <w:rPr>
          <w:rFonts w:ascii="Times New Roman" w:eastAsia="Times New Roman"/>
        </w:rPr>
        <w:t>05</w:t>
      </w:r>
      <w:r>
        <w:rPr>
          <w:rFonts w:ascii="Times New Roman" w:eastAsia="Times New Roman" w:hAnsi="Times New Roman"/>
        </w:rPr>
        <w:t>%÷</w:t>
      </w:r>
      <w:r>
        <w:t>当年天数</w:t>
      </w:r>
      <w:r>
        <w:rPr>
          <w:spacing w:val="1"/>
        </w:rPr>
        <w:t xml:space="preserve"> </w:t>
      </w:r>
    </w:p>
    <w:p w14:paraId="6970A423" w14:textId="4A3DAA1A" w:rsidR="00CD61EF" w:rsidRDefault="002B79C0">
      <w:pPr>
        <w:pStyle w:val="a5"/>
        <w:spacing w:before="64" w:line="364" w:lineRule="auto"/>
        <w:ind w:left="600" w:right="5071" w:firstLine="0"/>
      </w:pPr>
      <w:r>
        <w:rPr>
          <w:rFonts w:ascii="Times New Roman" w:eastAsia="Times New Roman" w:hAnsi="Times New Roman"/>
        </w:rPr>
        <w:t>H</w:t>
      </w:r>
      <w:r>
        <w:rPr>
          <w:rFonts w:ascii="Times New Roman" w:eastAsia="Times New Roman" w:hAnsi="Times New Roman"/>
          <w:spacing w:val="-14"/>
        </w:rPr>
        <w:t xml:space="preserve"> </w:t>
      </w:r>
      <w:r>
        <w:t>为每日应计提的基金托管费</w:t>
      </w:r>
      <w:r>
        <w:rPr>
          <w:rFonts w:ascii="Times New Roman" w:eastAsia="Times New Roman" w:hAnsi="Times New Roman"/>
        </w:rPr>
        <w:t>E</w:t>
      </w:r>
      <w:r>
        <w:rPr>
          <w:rFonts w:ascii="Times New Roman" w:eastAsia="Times New Roman" w:hAnsi="Times New Roman"/>
          <w:spacing w:val="-1"/>
        </w:rPr>
        <w:t xml:space="preserve"> </w:t>
      </w:r>
      <w:r>
        <w:t>为前一日的基金资产净值</w:t>
      </w:r>
    </w:p>
    <w:p w14:paraId="2155CD99" w14:textId="77777777" w:rsidR="00CD61EF" w:rsidRDefault="002B79C0">
      <w:pPr>
        <w:pStyle w:val="a5"/>
        <w:spacing w:before="2" w:line="364" w:lineRule="auto"/>
        <w:ind w:right="244"/>
      </w:pPr>
      <w:r>
        <w:t>基金托管费在基金合同生效后每日计提，逐日累计至每月月末，按月支付，</w:t>
      </w:r>
      <w:r>
        <w:rPr>
          <w:spacing w:val="-117"/>
        </w:rPr>
        <w:t xml:space="preserve"> </w:t>
      </w:r>
      <w:r>
        <w:rPr>
          <w:spacing w:val="-4"/>
        </w:rPr>
        <w:t>由基金管理人向基金托管人发送基金托管费划款指令，基金托管人复核后于次月</w:t>
      </w:r>
      <w:r>
        <w:rPr>
          <w:spacing w:val="22"/>
          <w:w w:val="95"/>
        </w:rPr>
        <w:t xml:space="preserve">前 </w:t>
      </w:r>
      <w:r>
        <w:rPr>
          <w:rFonts w:ascii="Times New Roman" w:eastAsia="Times New Roman"/>
          <w:w w:val="95"/>
        </w:rPr>
        <w:t>5</w:t>
      </w:r>
      <w:r>
        <w:rPr>
          <w:rFonts w:ascii="Times New Roman" w:eastAsia="Times New Roman"/>
          <w:spacing w:val="102"/>
        </w:rPr>
        <w:t xml:space="preserve"> </w:t>
      </w:r>
      <w:r>
        <w:rPr>
          <w:w w:val="95"/>
        </w:rPr>
        <w:t>个工作日内从基金财产中一次性支取。若遇法定节假日、休息日或不可抗力</w:t>
      </w:r>
      <w:r>
        <w:t>等致使无法按时支付的，顺延至最近可支付日支付。</w:t>
      </w:r>
    </w:p>
    <w:p w14:paraId="73BD3C39" w14:textId="77777777" w:rsidR="00CD61EF" w:rsidRDefault="002B79C0">
      <w:pPr>
        <w:pStyle w:val="a5"/>
        <w:spacing w:before="2"/>
        <w:ind w:left="600" w:firstLine="0"/>
      </w:pPr>
      <w:r>
        <w:rPr>
          <w:rFonts w:ascii="Times New Roman" w:eastAsia="Times New Roman"/>
        </w:rPr>
        <w:t>3</w:t>
      </w:r>
      <w:r>
        <w:t>、销售服务费</w:t>
      </w:r>
    </w:p>
    <w:p w14:paraId="3DBC4826" w14:textId="1AA81D5A" w:rsidR="00CD61EF" w:rsidRDefault="002B79C0">
      <w:pPr>
        <w:pStyle w:val="a5"/>
        <w:spacing w:before="161" w:line="364" w:lineRule="auto"/>
        <w:ind w:right="356"/>
        <w:rPr>
          <w:spacing w:val="-7"/>
        </w:rPr>
      </w:pPr>
      <w:r>
        <w:rPr>
          <w:spacing w:val="-7"/>
        </w:rPr>
        <w:t xml:space="preserve">本基金 </w:t>
      </w:r>
      <w:r>
        <w:rPr>
          <w:rFonts w:ascii="Times New Roman" w:eastAsia="Times New Roman"/>
        </w:rPr>
        <w:t>A</w:t>
      </w:r>
      <w:r>
        <w:rPr>
          <w:rFonts w:ascii="Times New Roman" w:eastAsia="Times New Roman"/>
          <w:spacing w:val="33"/>
        </w:rPr>
        <w:t xml:space="preserve"> </w:t>
      </w:r>
      <w:r>
        <w:t>类基金份额不收取销售服务费，</w:t>
      </w:r>
      <w:r>
        <w:rPr>
          <w:rFonts w:ascii="Times New Roman" w:eastAsia="Times New Roman"/>
        </w:rPr>
        <w:t>C</w:t>
      </w:r>
      <w:r>
        <w:rPr>
          <w:rFonts w:ascii="Times New Roman" w:eastAsia="Times New Roman"/>
          <w:spacing w:val="32"/>
        </w:rPr>
        <w:t xml:space="preserve"> </w:t>
      </w:r>
      <w:r>
        <w:t>类基金份额</w:t>
      </w:r>
      <w:r>
        <w:rPr>
          <w:rFonts w:hint="eastAsia"/>
        </w:rPr>
        <w:t>收取</w:t>
      </w:r>
      <w:r>
        <w:t>销售服</w:t>
      </w:r>
      <w:r>
        <w:rPr>
          <w:spacing w:val="-7"/>
        </w:rPr>
        <w:t>务费。</w:t>
      </w:r>
    </w:p>
    <w:p w14:paraId="7B28B3F1" w14:textId="09A22AAC" w:rsidR="00CD61EF" w:rsidRDefault="002B79C0">
      <w:pPr>
        <w:pStyle w:val="a5"/>
        <w:spacing w:before="161" w:line="364" w:lineRule="auto"/>
        <w:ind w:right="356"/>
        <w:rPr>
          <w:spacing w:val="-7"/>
        </w:rPr>
      </w:pPr>
      <w:r>
        <w:rPr>
          <w:spacing w:val="-7"/>
        </w:rPr>
        <w:t>C 类基金份额的销售服务费年费率为0.</w:t>
      </w:r>
      <w:r w:rsidR="00DB4D65">
        <w:rPr>
          <w:spacing w:val="-7"/>
        </w:rPr>
        <w:t>2</w:t>
      </w:r>
      <w:r>
        <w:rPr>
          <w:spacing w:val="-7"/>
        </w:rPr>
        <w:t>%，按前一日 C 类基金资产净值的0.</w:t>
      </w:r>
      <w:r w:rsidR="00DB4D65">
        <w:rPr>
          <w:spacing w:val="-7"/>
        </w:rPr>
        <w:t>2</w:t>
      </w:r>
      <w:r>
        <w:rPr>
          <w:spacing w:val="-7"/>
        </w:rPr>
        <w:t>%年费率计提。C类基金份额的销售服务费的计算方法如下：</w:t>
      </w:r>
    </w:p>
    <w:p w14:paraId="638C1218" w14:textId="2D4BB478" w:rsidR="00CD61EF" w:rsidRDefault="002B79C0">
      <w:pPr>
        <w:pStyle w:val="a5"/>
        <w:spacing w:before="161" w:line="364" w:lineRule="auto"/>
        <w:ind w:right="356"/>
        <w:rPr>
          <w:spacing w:val="-7"/>
        </w:rPr>
      </w:pPr>
      <w:r>
        <w:rPr>
          <w:spacing w:val="-7"/>
        </w:rPr>
        <w:t>H＝E×0.</w:t>
      </w:r>
      <w:r w:rsidR="00DB4D65">
        <w:rPr>
          <w:spacing w:val="-7"/>
        </w:rPr>
        <w:t>2</w:t>
      </w:r>
      <w:r>
        <w:rPr>
          <w:spacing w:val="-7"/>
        </w:rPr>
        <w:t>%÷当年天数</w:t>
      </w:r>
    </w:p>
    <w:p w14:paraId="0F9F1224" w14:textId="77777777" w:rsidR="00CD61EF" w:rsidRDefault="002B79C0">
      <w:pPr>
        <w:pStyle w:val="a5"/>
        <w:spacing w:before="160"/>
        <w:ind w:left="600" w:firstLine="0"/>
      </w:pPr>
      <w:r>
        <w:rPr>
          <w:rFonts w:ascii="Times New Roman" w:eastAsia="Times New Roman"/>
          <w:w w:val="95"/>
        </w:rPr>
        <w:t>H</w:t>
      </w:r>
      <w:r>
        <w:rPr>
          <w:rFonts w:ascii="Times New Roman" w:eastAsia="Times New Roman"/>
          <w:spacing w:val="141"/>
        </w:rPr>
        <w:t xml:space="preserve"> </w:t>
      </w:r>
      <w:r>
        <w:rPr>
          <w:spacing w:val="-7"/>
          <w:w w:val="95"/>
        </w:rPr>
        <w:t xml:space="preserve">为 </w:t>
      </w:r>
      <w:r>
        <w:rPr>
          <w:rFonts w:ascii="Times New Roman" w:eastAsia="Times New Roman"/>
          <w:w w:val="95"/>
        </w:rPr>
        <w:t>C</w:t>
      </w:r>
      <w:r>
        <w:rPr>
          <w:rFonts w:ascii="Times New Roman" w:eastAsia="Times New Roman"/>
          <w:spacing w:val="45"/>
          <w:w w:val="95"/>
        </w:rPr>
        <w:t xml:space="preserve"> </w:t>
      </w:r>
      <w:r>
        <w:rPr>
          <w:w w:val="95"/>
        </w:rPr>
        <w:t>类基金份额每日应计提的销售服务费</w:t>
      </w:r>
    </w:p>
    <w:p w14:paraId="6487A660" w14:textId="77777777" w:rsidR="00CD61EF" w:rsidRDefault="002B79C0">
      <w:pPr>
        <w:pStyle w:val="a5"/>
        <w:spacing w:before="161"/>
        <w:ind w:left="600" w:firstLine="0"/>
        <w:jc w:val="both"/>
        <w:rPr>
          <w:w w:val="95"/>
        </w:rPr>
      </w:pPr>
      <w:r>
        <w:rPr>
          <w:rFonts w:ascii="Times New Roman" w:eastAsia="Times New Roman"/>
          <w:w w:val="95"/>
        </w:rPr>
        <w:t>E</w:t>
      </w:r>
      <w:r>
        <w:rPr>
          <w:rFonts w:ascii="Times New Roman" w:eastAsia="Times New Roman"/>
          <w:spacing w:val="131"/>
        </w:rPr>
        <w:t xml:space="preserve"> </w:t>
      </w:r>
      <w:r>
        <w:rPr>
          <w:spacing w:val="-9"/>
          <w:w w:val="95"/>
        </w:rPr>
        <w:t xml:space="preserve">为 </w:t>
      </w:r>
      <w:r>
        <w:rPr>
          <w:rFonts w:ascii="Times New Roman" w:eastAsia="Times New Roman"/>
          <w:w w:val="95"/>
        </w:rPr>
        <w:t>C</w:t>
      </w:r>
      <w:r>
        <w:rPr>
          <w:rFonts w:ascii="Times New Roman" w:eastAsia="Times New Roman"/>
          <w:spacing w:val="40"/>
          <w:w w:val="95"/>
        </w:rPr>
        <w:t xml:space="preserve"> </w:t>
      </w:r>
      <w:r>
        <w:rPr>
          <w:w w:val="95"/>
        </w:rPr>
        <w:t>类基金份额前一日基金资产净值</w:t>
      </w:r>
    </w:p>
    <w:p w14:paraId="4053F9E2" w14:textId="77777777" w:rsidR="00CD61EF" w:rsidRDefault="002B79C0">
      <w:pPr>
        <w:pStyle w:val="a5"/>
        <w:spacing w:before="160" w:line="364" w:lineRule="auto"/>
        <w:ind w:right="356"/>
        <w:jc w:val="both"/>
      </w:pPr>
      <w:r>
        <w:rPr>
          <w:spacing w:val="-3"/>
        </w:rPr>
        <w:lastRenderedPageBreak/>
        <w:t>基金销售服务费在基金合同生效后每日计提，逐日累计至每月月末，按月支付，由基金管理人向基金托管人发送销售服务费划款指令，基金托管人复核后于</w:t>
      </w:r>
      <w:r>
        <w:rPr>
          <w:spacing w:val="-16"/>
        </w:rPr>
        <w:t xml:space="preserve">次月前 </w:t>
      </w:r>
      <w:r>
        <w:rPr>
          <w:rFonts w:ascii="Times New Roman" w:eastAsia="Times New Roman"/>
          <w:spacing w:val="-1"/>
        </w:rPr>
        <w:t>5</w:t>
      </w:r>
      <w:r>
        <w:rPr>
          <w:rFonts w:ascii="Times New Roman" w:eastAsia="Times New Roman"/>
        </w:rPr>
        <w:t xml:space="preserve"> </w:t>
      </w:r>
      <w:r>
        <w:rPr>
          <w:spacing w:val="-6"/>
        </w:rPr>
        <w:t>个工作日内从基金财产中一次性支付给基金管理人，由基金管理人代付</w:t>
      </w:r>
      <w:r>
        <w:rPr>
          <w:spacing w:val="-3"/>
        </w:rPr>
        <w:t>给销售机构。若遇法定节假日、休息日或不可抗力等致使无法按时支付的，顺延</w:t>
      </w:r>
      <w:r>
        <w:t>至最近可支付日支付。</w:t>
      </w:r>
    </w:p>
    <w:p w14:paraId="70A626B5" w14:textId="77777777" w:rsidR="00CD61EF" w:rsidRDefault="002B79C0">
      <w:pPr>
        <w:pStyle w:val="a5"/>
        <w:spacing w:before="4" w:line="364" w:lineRule="auto"/>
        <w:ind w:right="359"/>
        <w:jc w:val="both"/>
      </w:pPr>
      <w:r>
        <w:rPr>
          <w:spacing w:val="-13"/>
        </w:rPr>
        <w:t>上述“</w:t>
      </w:r>
      <w:r>
        <w:rPr>
          <w:rFonts w:hint="eastAsia"/>
          <w:spacing w:val="-13"/>
        </w:rPr>
        <w:t>（一）</w:t>
      </w:r>
      <w:r>
        <w:rPr>
          <w:spacing w:val="-13"/>
        </w:rPr>
        <w:t xml:space="preserve">基金费用的种类”中第 </w:t>
      </w:r>
      <w:r>
        <w:rPr>
          <w:rFonts w:ascii="Times New Roman" w:eastAsia="Times New Roman" w:hAnsi="Times New Roman"/>
        </w:rPr>
        <w:t>4</w:t>
      </w:r>
      <w:r>
        <w:t>－</w:t>
      </w:r>
      <w:r>
        <w:rPr>
          <w:rFonts w:ascii="Times New Roman" w:eastAsia="Times New Roman" w:hAnsi="Times New Roman"/>
        </w:rPr>
        <w:t xml:space="preserve">10 </w:t>
      </w:r>
      <w:r>
        <w:rPr>
          <w:spacing w:val="-6"/>
        </w:rPr>
        <w:t>项费用，根据有关法规及相应协议</w:t>
      </w:r>
      <w:r>
        <w:t>规定，按费用实际支出金额列入当期费用，由基金托管人从基金财产中支付。</w:t>
      </w:r>
    </w:p>
    <w:p w14:paraId="3127D77B" w14:textId="77777777" w:rsidR="00CD61EF" w:rsidRDefault="002B79C0">
      <w:pPr>
        <w:pStyle w:val="a5"/>
        <w:spacing w:line="364" w:lineRule="auto"/>
        <w:ind w:left="600" w:right="143" w:firstLine="0"/>
      </w:pPr>
      <w:r>
        <w:rPr>
          <w:rFonts w:hint="eastAsia"/>
          <w:spacing w:val="-1"/>
        </w:rPr>
        <w:t>（三）</w:t>
      </w:r>
      <w:r>
        <w:rPr>
          <w:spacing w:val="-1"/>
        </w:rPr>
        <w:t>不列入基金费用的项目下列费用不列入基金费</w:t>
      </w:r>
      <w:r>
        <w:rPr>
          <w:rFonts w:hint="eastAsia"/>
          <w:spacing w:val="-1"/>
        </w:rPr>
        <w:t>用</w:t>
      </w:r>
      <w:r>
        <w:rPr>
          <w:spacing w:val="-1"/>
        </w:rPr>
        <w:t>：</w:t>
      </w:r>
    </w:p>
    <w:p w14:paraId="6082488C" w14:textId="77777777" w:rsidR="00CD61EF" w:rsidRDefault="002B79C0">
      <w:pPr>
        <w:pStyle w:val="a5"/>
        <w:spacing w:line="364" w:lineRule="auto"/>
        <w:ind w:right="364"/>
      </w:pPr>
      <w:r>
        <w:rPr>
          <w:rFonts w:ascii="Times New Roman" w:eastAsia="Times New Roman"/>
        </w:rPr>
        <w:t>1</w:t>
      </w:r>
      <w:r>
        <w:t>、基金管理人和基金托管人因未履行或未完全履行义务导致的费用支出或基金财产的损失；</w:t>
      </w:r>
    </w:p>
    <w:p w14:paraId="01260BEA" w14:textId="77777777" w:rsidR="00CD61EF" w:rsidRDefault="002B79C0">
      <w:pPr>
        <w:pStyle w:val="a5"/>
        <w:spacing w:before="2"/>
        <w:ind w:left="600" w:firstLine="0"/>
      </w:pPr>
      <w:r>
        <w:rPr>
          <w:rFonts w:ascii="Times New Roman" w:eastAsia="Times New Roman"/>
        </w:rPr>
        <w:t>2</w:t>
      </w:r>
      <w:r>
        <w:t>、基金管理人和基金托管人处理与基金运作无关的事项发生的费用；</w:t>
      </w:r>
    </w:p>
    <w:p w14:paraId="2BA3B673" w14:textId="77777777" w:rsidR="00CD61EF" w:rsidRDefault="002B79C0">
      <w:pPr>
        <w:pStyle w:val="a5"/>
        <w:spacing w:before="161"/>
        <w:ind w:left="600" w:firstLine="0"/>
      </w:pPr>
      <w:r>
        <w:rPr>
          <w:rFonts w:ascii="Times New Roman" w:eastAsia="Times New Roman"/>
        </w:rPr>
        <w:t>3</w:t>
      </w:r>
      <w:r>
        <w:rPr>
          <w:spacing w:val="-12"/>
        </w:rPr>
        <w:t>、《基金合同》生效前的相关费用；</w:t>
      </w:r>
    </w:p>
    <w:p w14:paraId="429B1439" w14:textId="77777777" w:rsidR="00CD61EF" w:rsidRDefault="002B79C0">
      <w:pPr>
        <w:pStyle w:val="a5"/>
        <w:spacing w:before="160" w:line="364" w:lineRule="auto"/>
        <w:ind w:right="364"/>
      </w:pPr>
      <w:r>
        <w:rPr>
          <w:rFonts w:ascii="Times New Roman" w:eastAsia="Times New Roman"/>
        </w:rPr>
        <w:t>4</w:t>
      </w:r>
      <w:r>
        <w:t>、其他根据相关法律法规及中国证监会的有关规定不得列入基金费用的项目。</w:t>
      </w:r>
    </w:p>
    <w:p w14:paraId="5263A7C2" w14:textId="77777777" w:rsidR="00CD61EF" w:rsidRDefault="002B79C0">
      <w:pPr>
        <w:pStyle w:val="a5"/>
        <w:spacing w:before="64"/>
        <w:ind w:left="600" w:firstLine="0"/>
      </w:pPr>
      <w:r>
        <w:rPr>
          <w:rFonts w:hint="eastAsia"/>
        </w:rPr>
        <w:t>（四）</w:t>
      </w:r>
      <w:r>
        <w:t>实施侧袋机制期间的基金费用</w:t>
      </w:r>
    </w:p>
    <w:p w14:paraId="5427A5ED" w14:textId="77777777" w:rsidR="00CD61EF" w:rsidRDefault="002B79C0">
      <w:pPr>
        <w:pStyle w:val="a5"/>
        <w:spacing w:before="160" w:line="364" w:lineRule="auto"/>
        <w:ind w:right="359"/>
        <w:jc w:val="both"/>
      </w:pPr>
      <w:r>
        <w:rPr>
          <w:spacing w:val="-3"/>
        </w:rPr>
        <w:t>本基金实施侧袋机制的，与侧袋账户有关的费用可以从侧袋账户中列支，但应待侧袋账户资产变现后方可列支，有关费用可酌情收取或减免，但不得收取管</w:t>
      </w:r>
      <w:r>
        <w:t>理费，详见招募说明书</w:t>
      </w:r>
      <w:r>
        <w:rPr>
          <w:rFonts w:hint="eastAsia"/>
        </w:rPr>
        <w:t>“侧袋机制”部分</w:t>
      </w:r>
      <w:r>
        <w:t>的规定。</w:t>
      </w:r>
    </w:p>
    <w:p w14:paraId="101556E2" w14:textId="77777777" w:rsidR="00CD61EF" w:rsidRDefault="002B79C0">
      <w:pPr>
        <w:pStyle w:val="a5"/>
        <w:spacing w:before="2"/>
        <w:ind w:left="600" w:firstLine="0"/>
      </w:pPr>
      <w:r>
        <w:rPr>
          <w:rFonts w:hint="eastAsia"/>
        </w:rPr>
        <w:t>（五）</w:t>
      </w:r>
      <w:r>
        <w:t>基金税收</w:t>
      </w:r>
    </w:p>
    <w:p w14:paraId="1DB2D127" w14:textId="77777777" w:rsidR="00CD61EF" w:rsidRDefault="002B79C0">
      <w:pPr>
        <w:pStyle w:val="a5"/>
        <w:spacing w:before="161" w:line="364" w:lineRule="auto"/>
        <w:ind w:right="361"/>
      </w:pPr>
      <w:r>
        <w:rPr>
          <w:spacing w:val="-3"/>
        </w:rPr>
        <w:t>本基金运作过程中涉及的各纳税主体，其纳税义务按国家税收法律、法规执</w:t>
      </w:r>
      <w:r>
        <w:t>行。</w:t>
      </w:r>
    </w:p>
    <w:p w14:paraId="700E8FB8" w14:textId="77777777" w:rsidR="00CD61EF" w:rsidRDefault="002B79C0">
      <w:pPr>
        <w:pStyle w:val="a5"/>
        <w:spacing w:line="364" w:lineRule="auto"/>
        <w:ind w:right="361"/>
      </w:pPr>
      <w:r>
        <w:rPr>
          <w:spacing w:val="-3"/>
        </w:rPr>
        <w:t>基金财产投资的相关税收，由基金份额持有人承担，基金管理人或者其他扣</w:t>
      </w:r>
      <w:r>
        <w:t>缴义务人按照国家有关税收征收的规定代扣代缴。</w:t>
      </w:r>
    </w:p>
    <w:p w14:paraId="79AC7BC7" w14:textId="77777777" w:rsidR="00CD61EF" w:rsidRDefault="00CD61EF">
      <w:pPr>
        <w:pStyle w:val="a5"/>
        <w:spacing w:line="364" w:lineRule="auto"/>
        <w:ind w:left="0" w:right="361" w:firstLine="0"/>
      </w:pPr>
    </w:p>
    <w:p w14:paraId="69157DE6" w14:textId="77777777" w:rsidR="00CD61EF" w:rsidRDefault="002B79C0">
      <w:pPr>
        <w:pStyle w:val="a5"/>
        <w:spacing w:before="2"/>
        <w:ind w:left="600" w:firstLine="0"/>
      </w:pPr>
      <w:r>
        <w:t>五、基金财产的投资方向和投资限制</w:t>
      </w:r>
    </w:p>
    <w:p w14:paraId="788BBD17" w14:textId="77777777" w:rsidR="00CD61EF" w:rsidRDefault="002B79C0">
      <w:pPr>
        <w:pStyle w:val="a5"/>
        <w:spacing w:before="0"/>
        <w:ind w:left="600" w:firstLine="0"/>
      </w:pPr>
      <w:r>
        <w:rPr>
          <w:rFonts w:hint="eastAsia"/>
        </w:rPr>
        <w:t>（一）</w:t>
      </w:r>
      <w:r>
        <w:t>投资目标</w:t>
      </w:r>
    </w:p>
    <w:p w14:paraId="23E201B6" w14:textId="77777777" w:rsidR="00CD61EF" w:rsidRDefault="002B79C0">
      <w:pPr>
        <w:pStyle w:val="a5"/>
        <w:spacing w:before="160" w:line="364" w:lineRule="auto"/>
        <w:ind w:right="358"/>
      </w:pPr>
      <w:r>
        <w:rPr>
          <w:spacing w:val="-3"/>
        </w:rPr>
        <w:t>本基金在严控风险和保持资产流动性的基础上，主要投资中短期债券，力争</w:t>
      </w:r>
      <w:r>
        <w:t>实现资产的长期稳健增值。</w:t>
      </w:r>
    </w:p>
    <w:p w14:paraId="30685B64" w14:textId="77777777" w:rsidR="00CD61EF" w:rsidRDefault="002B79C0">
      <w:pPr>
        <w:pStyle w:val="a5"/>
        <w:spacing w:before="2"/>
        <w:ind w:left="600" w:firstLine="0"/>
      </w:pPr>
      <w:r>
        <w:rPr>
          <w:rFonts w:hint="eastAsia"/>
        </w:rPr>
        <w:t>（二）</w:t>
      </w:r>
      <w:r>
        <w:t>投资范围</w:t>
      </w:r>
    </w:p>
    <w:p w14:paraId="2E86CE9D" w14:textId="77777777" w:rsidR="00CD61EF" w:rsidRDefault="002B79C0">
      <w:pPr>
        <w:pStyle w:val="a5"/>
        <w:spacing w:before="160" w:line="364" w:lineRule="auto"/>
        <w:ind w:right="244"/>
      </w:pPr>
      <w:r>
        <w:rPr>
          <w:rFonts w:hint="eastAsia"/>
          <w:spacing w:val="-1"/>
        </w:rPr>
        <w:t>本基金投资于具有良好流动性的金融工具，包括债券（包括国债、地方政府</w:t>
      </w:r>
      <w:r>
        <w:rPr>
          <w:rFonts w:hint="eastAsia"/>
          <w:spacing w:val="-1"/>
        </w:rPr>
        <w:lastRenderedPageBreak/>
        <w:t>债、央行票据、金融债、企业债、公司债、证券公司短期公司债券、政府支持机构债券、政府支持债券、中期票据、短期融资券、超短期融资券、公开发行的次级债、可转换债券（含可分离交易可转换债券）、可交换债券及其他经中国证监会允许投资的债券）、资产支持证券、债券回购、国债期货、信用衍生品、银行存款</w:t>
      </w:r>
      <w:r>
        <w:rPr>
          <w:spacing w:val="-1"/>
        </w:rPr>
        <w:t xml:space="preserve"> (包括协议存款、通知存款以及定期存款等其它银行存款)、同业存单、货币市场工具等法律法规或中国证监会允许基金投资的其他金融工具，但须符合中国证监会相关规定。</w:t>
      </w:r>
    </w:p>
    <w:p w14:paraId="04B13B39" w14:textId="77777777" w:rsidR="00CD61EF" w:rsidRDefault="002B79C0">
      <w:pPr>
        <w:pStyle w:val="a5"/>
        <w:spacing w:before="4" w:line="364" w:lineRule="auto"/>
        <w:ind w:right="361"/>
      </w:pPr>
      <w:r>
        <w:rPr>
          <w:spacing w:val="-3"/>
        </w:rPr>
        <w:t>本基金不投资于股票</w:t>
      </w:r>
      <w:r>
        <w:t>。</w:t>
      </w:r>
    </w:p>
    <w:p w14:paraId="1E39B98C" w14:textId="77777777" w:rsidR="00CD61EF" w:rsidRDefault="002B79C0">
      <w:pPr>
        <w:pStyle w:val="a5"/>
        <w:spacing w:line="364" w:lineRule="auto"/>
        <w:ind w:right="357"/>
      </w:pPr>
      <w:r>
        <w:rPr>
          <w:spacing w:val="-5"/>
        </w:rPr>
        <w:t>如法律法规或监管机构以后允许基金投资其他品种，基金管理人在履行适当</w:t>
      </w:r>
      <w:r>
        <w:t>程序后，可以将其纳入投资范围。</w:t>
      </w:r>
    </w:p>
    <w:p w14:paraId="27900069" w14:textId="77777777" w:rsidR="00CD61EF" w:rsidRDefault="002B79C0">
      <w:pPr>
        <w:pStyle w:val="a5"/>
        <w:spacing w:before="2" w:line="364" w:lineRule="auto"/>
        <w:ind w:right="350"/>
        <w:jc w:val="both"/>
      </w:pPr>
      <w:r>
        <w:t>基金的投资组合比例为：</w:t>
      </w:r>
      <w:r>
        <w:rPr>
          <w:rFonts w:hint="eastAsia"/>
        </w:rPr>
        <w:t>本基金投资于债券资产的比例不低于基金资产的</w:t>
      </w:r>
      <w:r>
        <w:t>80%，投资于中短期债券的比例不低于非现金基金资产的 80%。每个交易日日终在扣除国债期货合约需缴纳的交易保证金后，本基金保持合计不低于基金资产净值 5%的现金或者到期日在一年以内的政府债券，其中现金不包括结算备付金、存出保证金、应收申购款等。本基金所投资的中短期债券是指剩余期限不超过三年的债券资产，主要包括国债、地方政府债、央行票据、金融债、企业债、公司债、证券公司短期公司债券、政府支持机构债券、政府支持债券、中期票据、短期融资券、超短期融资券、公开发行的次级债、</w:t>
      </w:r>
      <w:r>
        <w:rPr>
          <w:rFonts w:hint="eastAsia"/>
        </w:rPr>
        <w:t>可转换债券（含可分离交易可转换债券）、可交换债券等金融工具。</w:t>
      </w:r>
    </w:p>
    <w:p w14:paraId="5A6C79BC" w14:textId="77777777" w:rsidR="00CD61EF" w:rsidRDefault="002B79C0">
      <w:pPr>
        <w:pStyle w:val="a5"/>
        <w:spacing w:before="6" w:line="364" w:lineRule="auto"/>
        <w:ind w:right="357"/>
      </w:pPr>
      <w:r>
        <w:rPr>
          <w:spacing w:val="-4"/>
        </w:rPr>
        <w:t>如法律法规或中国证监会变更上述投资品种的比例限制，基金管理人在履行</w:t>
      </w:r>
      <w:r>
        <w:t>适当程序后，可以调整上述投资品种的投资比例。</w:t>
      </w:r>
    </w:p>
    <w:p w14:paraId="0E8706FA" w14:textId="77777777" w:rsidR="00CD61EF" w:rsidRDefault="002B79C0">
      <w:pPr>
        <w:pStyle w:val="a5"/>
        <w:ind w:left="600" w:firstLine="0"/>
      </w:pPr>
      <w:r>
        <w:rPr>
          <w:rFonts w:hint="eastAsia"/>
        </w:rPr>
        <w:t>（三）</w:t>
      </w:r>
      <w:r>
        <w:t>投资策略</w:t>
      </w:r>
    </w:p>
    <w:p w14:paraId="6D236AF3" w14:textId="77777777" w:rsidR="00CD61EF" w:rsidRDefault="00CD61EF">
      <w:pPr>
        <w:pStyle w:val="a5"/>
        <w:ind w:left="600" w:firstLine="0"/>
      </w:pPr>
    </w:p>
    <w:p w14:paraId="02CAED15" w14:textId="77777777" w:rsidR="00CD61EF" w:rsidRDefault="002B79C0">
      <w:pPr>
        <w:pStyle w:val="a5"/>
        <w:spacing w:before="2" w:line="364" w:lineRule="auto"/>
        <w:ind w:right="350"/>
        <w:jc w:val="both"/>
      </w:pPr>
      <w:r>
        <w:t>1、资产配置策略</w:t>
      </w:r>
    </w:p>
    <w:p w14:paraId="3DF5FB65" w14:textId="77777777" w:rsidR="00CD61EF" w:rsidRDefault="002B79C0">
      <w:pPr>
        <w:pStyle w:val="a5"/>
        <w:spacing w:before="2" w:line="364" w:lineRule="auto"/>
        <w:ind w:right="350"/>
        <w:jc w:val="both"/>
      </w:pPr>
      <w:r>
        <w:rPr>
          <w:rFonts w:hint="eastAsia"/>
        </w:rPr>
        <w:t>（</w:t>
      </w:r>
      <w:r>
        <w:t>1）整体资产配置策略</w:t>
      </w:r>
    </w:p>
    <w:p w14:paraId="20BA3773" w14:textId="77777777" w:rsidR="00CD61EF" w:rsidRDefault="002B79C0">
      <w:pPr>
        <w:pStyle w:val="a5"/>
        <w:spacing w:before="2" w:line="364" w:lineRule="auto"/>
        <w:ind w:right="350"/>
        <w:jc w:val="both"/>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22EDF485" w14:textId="77777777" w:rsidR="00CD61EF" w:rsidRDefault="002B79C0">
      <w:pPr>
        <w:pStyle w:val="a5"/>
        <w:spacing w:before="2" w:line="364" w:lineRule="auto"/>
        <w:ind w:right="350"/>
        <w:jc w:val="both"/>
      </w:pPr>
      <w:r>
        <w:rPr>
          <w:rFonts w:hint="eastAsia"/>
        </w:rPr>
        <w:t>（</w:t>
      </w:r>
      <w:r>
        <w:t>2）类属资产配置策略</w:t>
      </w:r>
    </w:p>
    <w:p w14:paraId="1DCA5F92" w14:textId="77777777" w:rsidR="00CD61EF" w:rsidRDefault="002B79C0">
      <w:pPr>
        <w:pStyle w:val="a5"/>
        <w:spacing w:before="2" w:line="364" w:lineRule="auto"/>
        <w:ind w:right="350"/>
        <w:jc w:val="both"/>
      </w:pPr>
      <w:r>
        <w:rPr>
          <w:rFonts w:hint="eastAsia"/>
        </w:rPr>
        <w:t>在整体资产配置策略的指导下，根据资产的风险来源、收益率水平、以及市场流动性等因素，采取积极投资策略，定期对投资组合类属资产进行最优化</w:t>
      </w:r>
      <w:r>
        <w:rPr>
          <w:rFonts w:hint="eastAsia"/>
        </w:rPr>
        <w:lastRenderedPageBreak/>
        <w:t>配置和调整，确定类属资产的最优权数。</w:t>
      </w:r>
    </w:p>
    <w:p w14:paraId="77C121ED" w14:textId="77777777" w:rsidR="00CD61EF" w:rsidRDefault="002B79C0">
      <w:pPr>
        <w:pStyle w:val="a5"/>
        <w:spacing w:before="2" w:line="364" w:lineRule="auto"/>
        <w:ind w:right="350"/>
        <w:jc w:val="both"/>
      </w:pPr>
      <w:r>
        <w:t>2、</w:t>
      </w:r>
      <w:r>
        <w:rPr>
          <w:rFonts w:hint="eastAsia"/>
        </w:rPr>
        <w:t>个券</w:t>
      </w:r>
      <w:r>
        <w:t>投资策略</w:t>
      </w:r>
    </w:p>
    <w:p w14:paraId="473F82A6" w14:textId="77777777" w:rsidR="00CD61EF" w:rsidRDefault="002B79C0">
      <w:pPr>
        <w:pStyle w:val="a5"/>
        <w:spacing w:before="2" w:line="364" w:lineRule="auto"/>
        <w:ind w:right="350"/>
        <w:jc w:val="both"/>
      </w:pPr>
      <w:r>
        <w:rPr>
          <w:rFonts w:hint="eastAsia"/>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6A83F664" w14:textId="77777777" w:rsidR="00CD61EF" w:rsidRDefault="002B79C0">
      <w:pPr>
        <w:pStyle w:val="a5"/>
        <w:spacing w:before="2" w:line="364" w:lineRule="auto"/>
        <w:ind w:right="350"/>
        <w:jc w:val="both"/>
      </w:pPr>
      <w:r>
        <w:rPr>
          <w:rFonts w:hint="eastAsia"/>
        </w:rPr>
        <w:t>（</w:t>
      </w:r>
      <w:r>
        <w:t>1）久期控制是根据对宏观经济发展状况、金融市场运行特点等因素的分析确定组合的整体久期，有效的控制整体资产风险；</w:t>
      </w:r>
    </w:p>
    <w:p w14:paraId="63903D3B" w14:textId="77777777" w:rsidR="00CD61EF" w:rsidRDefault="002B79C0">
      <w:pPr>
        <w:pStyle w:val="a5"/>
        <w:spacing w:before="2" w:line="364" w:lineRule="auto"/>
        <w:ind w:right="350"/>
        <w:jc w:val="both"/>
      </w:pPr>
      <w:r>
        <w:rPr>
          <w:rFonts w:hint="eastAsia"/>
        </w:rPr>
        <w:t>（</w:t>
      </w:r>
      <w:r>
        <w:t>2）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2F89F7A5" w14:textId="77777777" w:rsidR="00CD61EF" w:rsidRDefault="002B79C0">
      <w:pPr>
        <w:pStyle w:val="a5"/>
        <w:spacing w:before="2" w:line="364" w:lineRule="auto"/>
        <w:ind w:right="350"/>
        <w:jc w:val="both"/>
      </w:pPr>
      <w:r>
        <w:rPr>
          <w:rFonts w:hint="eastAsia"/>
        </w:rPr>
        <w:t>（</w:t>
      </w:r>
      <w:r>
        <w:t>3）相对价值判断是根据对同类债券的相对价值判断，选择合适的交易时机，增持相对低估、价格将上升的债券，减持相对高估、价格将下降的债券。</w:t>
      </w:r>
    </w:p>
    <w:p w14:paraId="5AEE4E68" w14:textId="77777777" w:rsidR="00CD61EF" w:rsidRDefault="002B79C0">
      <w:pPr>
        <w:pStyle w:val="a5"/>
        <w:spacing w:before="2" w:line="364" w:lineRule="auto"/>
        <w:ind w:right="350"/>
        <w:jc w:val="both"/>
      </w:pPr>
      <w:r>
        <w:t>3、信用债投资策略</w:t>
      </w:r>
    </w:p>
    <w:p w14:paraId="0342C0FB" w14:textId="77777777" w:rsidR="00CD61EF" w:rsidRDefault="002B79C0">
      <w:pPr>
        <w:pStyle w:val="a5"/>
        <w:spacing w:before="2" w:line="364" w:lineRule="auto"/>
        <w:ind w:right="350"/>
        <w:jc w:val="both"/>
      </w:pPr>
      <w:r>
        <w:rPr>
          <w:rFonts w:hint="eastAsia"/>
        </w:rPr>
        <w:t>本基金将自上而下通过对宏观经济形势、基准利率走势、资金面状况、行业以及个券信用状况的研判，对债券发行主体所在行业发展以及公司治理、财务状况等信息进行深入研究并及时跟踪。在此基础上，结合债券发行具体条款，对债券的收益性、安全性、流动性等因素进行分析。同时参考债券外部评级，对债券发行人和债券的信用风险细致甄别，做出综合评价，并着重挑选资质良好及信用评级被低估的券种进行投资。</w:t>
      </w:r>
    </w:p>
    <w:p w14:paraId="32F1FE74" w14:textId="05DEBCCA" w:rsidR="00CD61EF" w:rsidRDefault="002B79C0">
      <w:pPr>
        <w:pStyle w:val="a5"/>
        <w:spacing w:before="2" w:line="364" w:lineRule="auto"/>
        <w:ind w:right="350"/>
        <w:jc w:val="both"/>
        <w:rPr>
          <w:rFonts w:ascii="Times New Roman" w:eastAsia="Times New Roman"/>
        </w:rPr>
      </w:pPr>
      <w:r>
        <w:rPr>
          <w:rFonts w:hint="eastAsia"/>
        </w:rPr>
        <w:t>本基金可投资于评级在</w:t>
      </w:r>
      <w:r>
        <w:t>AA</w:t>
      </w:r>
      <w:r w:rsidR="00EA7679">
        <w:t>+</w:t>
      </w:r>
      <w:r>
        <w:t>级及以上级别的信用债，其中投资于AAA级的信用债占信用债投资比例为</w:t>
      </w:r>
      <w:r w:rsidR="006D37B1">
        <w:t>50</w:t>
      </w:r>
      <w:r>
        <w:t>%-100%，投资于AA+级的信用债占信用债投资比例为0-</w:t>
      </w:r>
      <w:r w:rsidR="00370027">
        <w:t>50</w:t>
      </w:r>
      <w:r>
        <w:t>%。</w:t>
      </w:r>
    </w:p>
    <w:p w14:paraId="08BB7480" w14:textId="77777777" w:rsidR="00CD61EF" w:rsidRDefault="002B79C0">
      <w:pPr>
        <w:pStyle w:val="a5"/>
        <w:spacing w:before="2" w:line="364" w:lineRule="auto"/>
        <w:ind w:right="350"/>
        <w:jc w:val="both"/>
      </w:pPr>
      <w:r>
        <w:rPr>
          <w:rFonts w:ascii="Times New Roman" w:eastAsia="Times New Roman"/>
        </w:rPr>
        <w:t>4</w:t>
      </w:r>
      <w:r>
        <w:t>、</w:t>
      </w:r>
      <w:r>
        <w:rPr>
          <w:rFonts w:hint="eastAsia"/>
        </w:rPr>
        <w:t>可转换债券、可交换债券投资</w:t>
      </w:r>
      <w:r>
        <w:t>策略</w:t>
      </w:r>
    </w:p>
    <w:p w14:paraId="1A70FA24" w14:textId="45542279" w:rsidR="00CD61EF" w:rsidRDefault="002B79C0">
      <w:pPr>
        <w:pStyle w:val="a5"/>
        <w:spacing w:before="2" w:line="364" w:lineRule="auto"/>
        <w:ind w:right="350"/>
        <w:jc w:val="both"/>
      </w:pPr>
      <w:r>
        <w:rPr>
          <w:rFonts w:hint="eastAsia"/>
        </w:rPr>
        <w:t>可转债、可交换债兼具权益类证券与固定收益类证券的特性，本基金一方面将对发债主体的信用基本面进行深入挖掘以明确该可转债、可交换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可交换债进行投资。</w:t>
      </w:r>
    </w:p>
    <w:p w14:paraId="47BB4BD5" w14:textId="6C5611A3" w:rsidR="00641BB1" w:rsidRDefault="00641BB1">
      <w:pPr>
        <w:pStyle w:val="a5"/>
        <w:spacing w:before="2" w:line="364" w:lineRule="auto"/>
        <w:ind w:right="350"/>
        <w:jc w:val="both"/>
      </w:pPr>
      <w:r w:rsidRPr="00641BB1">
        <w:rPr>
          <w:rFonts w:hint="eastAsia"/>
        </w:rPr>
        <w:lastRenderedPageBreak/>
        <w:t>本基金投资于可转换债券（含可分离交易可转换债券）、可交换债券的比例不超过基金资产总值的</w:t>
      </w:r>
      <w:r w:rsidRPr="00641BB1">
        <w:t>20%。</w:t>
      </w:r>
    </w:p>
    <w:p w14:paraId="7B38EDEC" w14:textId="77777777" w:rsidR="00CD61EF" w:rsidRDefault="002B79C0">
      <w:pPr>
        <w:pStyle w:val="a5"/>
        <w:spacing w:before="2"/>
        <w:ind w:left="600" w:firstLine="0"/>
      </w:pPr>
      <w:r>
        <w:rPr>
          <w:rFonts w:ascii="Times New Roman" w:eastAsia="Times New Roman"/>
        </w:rPr>
        <w:t>5</w:t>
      </w:r>
      <w:r>
        <w:t>、资产支持证券投资策略</w:t>
      </w:r>
    </w:p>
    <w:p w14:paraId="520C7570" w14:textId="77777777" w:rsidR="00CD61EF" w:rsidRDefault="002B79C0">
      <w:pPr>
        <w:pStyle w:val="a5"/>
        <w:spacing w:before="160" w:line="364" w:lineRule="auto"/>
        <w:ind w:right="357"/>
        <w:jc w:val="both"/>
      </w:pPr>
      <w:r>
        <w:rPr>
          <w:rFonts w:hint="eastAsia"/>
        </w:rPr>
        <w:t>本基金将在国内资产证券化产品具体政策框架下，通过宏观经济、提前偿还率、资产池结构及资产池资产所在行业景气变化等因素的研究，对个券进行风险分析和价值评估后选择风险调整后收益高的品种进行投资。本基金将严格控制资产支持证券的总体投资规模并进行分散投资，以降低流动性风险。</w:t>
      </w:r>
    </w:p>
    <w:p w14:paraId="43022985" w14:textId="77777777" w:rsidR="00CD61EF" w:rsidRDefault="002B79C0">
      <w:pPr>
        <w:pStyle w:val="a5"/>
        <w:spacing w:before="3"/>
        <w:ind w:left="600" w:firstLine="0"/>
      </w:pPr>
      <w:r>
        <w:rPr>
          <w:rFonts w:ascii="Times New Roman" w:eastAsia="Times New Roman"/>
        </w:rPr>
        <w:t>6</w:t>
      </w:r>
      <w:r>
        <w:t>、国债期货投资策略</w:t>
      </w:r>
    </w:p>
    <w:p w14:paraId="44FFB95E" w14:textId="77777777" w:rsidR="00CD61EF" w:rsidRDefault="002B79C0">
      <w:pPr>
        <w:pStyle w:val="a5"/>
        <w:spacing w:before="160" w:line="364" w:lineRule="auto"/>
        <w:ind w:right="357"/>
        <w:jc w:val="both"/>
      </w:pPr>
      <w:r>
        <w:rPr>
          <w:rFonts w:hint="eastAsia"/>
        </w:rPr>
        <w:t>为更好地实现投资目标，本基金在注重风险管理的前提下，以套期保值为目的，适度运用国债期货。本基金利用国债期货合约流动性好、交易成本低和杠杆操作等特点，提高投资组合运作效率，有效管理市场风险。</w:t>
      </w:r>
    </w:p>
    <w:p w14:paraId="21773420" w14:textId="77777777" w:rsidR="00CD61EF" w:rsidRDefault="002B79C0">
      <w:pPr>
        <w:pStyle w:val="a5"/>
        <w:spacing w:before="160" w:line="364" w:lineRule="auto"/>
        <w:ind w:right="357"/>
        <w:jc w:val="both"/>
      </w:pPr>
      <w:r>
        <w:t>7、证券公司短期公司债券投资策略</w:t>
      </w:r>
    </w:p>
    <w:p w14:paraId="75177575" w14:textId="77777777" w:rsidR="00CD61EF" w:rsidRDefault="002B79C0">
      <w:pPr>
        <w:pStyle w:val="a5"/>
        <w:spacing w:before="0" w:line="360" w:lineRule="auto"/>
        <w:ind w:right="357"/>
        <w:jc w:val="both"/>
      </w:pPr>
      <w:r>
        <w:rPr>
          <w:rFonts w:hint="eastAsia"/>
        </w:rPr>
        <w:t>本基金通过对证券公司短期公司债券发行人基本面的深入调研分析，结合发行人资产负债状况、盈利能力、现金流、经营稳定性以及债券流动性、信用利差、信用评级、违约风险等的综合评估结果，选取具有价格优势和套利机会的优质信用债券进行投资。</w:t>
      </w:r>
    </w:p>
    <w:p w14:paraId="2001EE6F" w14:textId="77777777" w:rsidR="00CD61EF" w:rsidRDefault="002B79C0">
      <w:pPr>
        <w:pStyle w:val="a5"/>
        <w:spacing w:before="0" w:line="360" w:lineRule="auto"/>
        <w:ind w:right="357"/>
        <w:jc w:val="both"/>
      </w:pPr>
      <w:r>
        <w:rPr>
          <w:rFonts w:hint="eastAsia"/>
        </w:rPr>
        <w:t>8、信用衍生品投资策略</w:t>
      </w:r>
    </w:p>
    <w:p w14:paraId="0524E594" w14:textId="77777777" w:rsidR="00CD61EF" w:rsidRDefault="002B79C0">
      <w:pPr>
        <w:pStyle w:val="a5"/>
        <w:spacing w:before="0" w:line="360" w:lineRule="auto"/>
        <w:ind w:right="357"/>
        <w:jc w:val="both"/>
      </w:pPr>
      <w:r>
        <w:rPr>
          <w:rFonts w:hint="eastAsia"/>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73881CA7" w14:textId="77777777" w:rsidR="00CD61EF" w:rsidRDefault="00CD61EF">
      <w:pPr>
        <w:pStyle w:val="a5"/>
        <w:spacing w:before="0" w:line="360" w:lineRule="auto"/>
        <w:ind w:right="357"/>
        <w:jc w:val="both"/>
      </w:pPr>
    </w:p>
    <w:p w14:paraId="47C03438" w14:textId="77777777" w:rsidR="00CD61EF" w:rsidRDefault="002B79C0">
      <w:pPr>
        <w:pStyle w:val="a5"/>
        <w:spacing w:before="0" w:line="360" w:lineRule="auto"/>
        <w:ind w:left="600" w:firstLine="0"/>
      </w:pPr>
      <w:r>
        <w:rPr>
          <w:rFonts w:hint="eastAsia"/>
        </w:rPr>
        <w:t>（四）</w:t>
      </w:r>
      <w:r>
        <w:t>投资限制</w:t>
      </w:r>
    </w:p>
    <w:p w14:paraId="33A0246F" w14:textId="77777777" w:rsidR="00CD61EF" w:rsidRDefault="002B79C0">
      <w:pPr>
        <w:pStyle w:val="a5"/>
        <w:spacing w:before="0" w:line="360" w:lineRule="auto"/>
        <w:ind w:left="600" w:firstLine="0"/>
      </w:pPr>
      <w:r>
        <w:t>1、组合限制</w:t>
      </w:r>
    </w:p>
    <w:p w14:paraId="21A272DE" w14:textId="77777777" w:rsidR="00CD61EF" w:rsidRDefault="002B79C0">
      <w:pPr>
        <w:pStyle w:val="a5"/>
        <w:spacing w:before="0" w:line="360" w:lineRule="auto"/>
        <w:ind w:left="600" w:firstLine="0"/>
      </w:pPr>
      <w:r>
        <w:t>基金的投资组合应遵循以下限制：</w:t>
      </w:r>
    </w:p>
    <w:p w14:paraId="701D7F7E" w14:textId="77777777" w:rsidR="00CD61EF" w:rsidRDefault="002B79C0">
      <w:pPr>
        <w:pStyle w:val="af2"/>
        <w:numPr>
          <w:ilvl w:val="0"/>
          <w:numId w:val="20"/>
        </w:numPr>
        <w:tabs>
          <w:tab w:val="left" w:pos="1322"/>
        </w:tabs>
        <w:spacing w:before="0" w:line="360" w:lineRule="auto"/>
        <w:ind w:left="0" w:right="244" w:firstLineChars="236" w:firstLine="566"/>
        <w:rPr>
          <w:sz w:val="24"/>
          <w:szCs w:val="24"/>
        </w:rPr>
      </w:pPr>
      <w:r>
        <w:rPr>
          <w:rFonts w:hint="eastAsia"/>
          <w:sz w:val="24"/>
          <w:szCs w:val="24"/>
        </w:rPr>
        <w:t>本基金投资于债券资产的比例不低于基金资产的</w:t>
      </w:r>
      <w:r>
        <w:rPr>
          <w:sz w:val="24"/>
          <w:szCs w:val="24"/>
        </w:rPr>
        <w:t xml:space="preserve"> 80%，投资于中短期债券的比例不低于非现金基金资产的 80%；</w:t>
      </w:r>
    </w:p>
    <w:p w14:paraId="36B1049A"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本基金每个交易日日终在扣除国债期货合约需缴纳的交易保证金后，</w:t>
      </w:r>
      <w:r>
        <w:rPr>
          <w:sz w:val="24"/>
          <w:szCs w:val="24"/>
        </w:rPr>
        <w:t xml:space="preserve"> 应当保持不低于基金资产净值 5％的现金或者到期日在一年以内的政府债券；本基金所指的现金不包括结算备付金、存出保证金、应收申购款等；</w:t>
      </w:r>
    </w:p>
    <w:p w14:paraId="400A5D4A"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本基金持有一家公司发行的证券，其市值不超过基金资产净值的</w:t>
      </w:r>
      <w:r>
        <w:rPr>
          <w:sz w:val="24"/>
          <w:szCs w:val="24"/>
        </w:rPr>
        <w:t xml:space="preserve"> 10％；</w:t>
      </w:r>
    </w:p>
    <w:p w14:paraId="68A9B573"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lastRenderedPageBreak/>
        <w:t>本基金管理人管理的全部基金持有一家公司发行的证券，不超过该证券的</w:t>
      </w:r>
      <w:r>
        <w:rPr>
          <w:sz w:val="24"/>
          <w:szCs w:val="24"/>
        </w:rPr>
        <w:t xml:space="preserve"> 10％；</w:t>
      </w:r>
    </w:p>
    <w:p w14:paraId="51A2E740"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本基金投资于同一原始权益人的各类资产支持证券的比例，不得超过基金资产净值的</w:t>
      </w:r>
      <w:r>
        <w:rPr>
          <w:sz w:val="24"/>
          <w:szCs w:val="24"/>
        </w:rPr>
        <w:t xml:space="preserve"> 10％；</w:t>
      </w:r>
    </w:p>
    <w:p w14:paraId="718E605B"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本基金持有的全部资产支持证券，其市值不得超过基金资产净值的</w:t>
      </w:r>
      <w:r>
        <w:rPr>
          <w:sz w:val="24"/>
          <w:szCs w:val="24"/>
        </w:rPr>
        <w:t>20％；</w:t>
      </w:r>
    </w:p>
    <w:p w14:paraId="7E1388A7"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本基金持有的同一（指同一信用级别）资产支持证券的比例，不得超过该资产支持证券规模的</w:t>
      </w:r>
      <w:r>
        <w:rPr>
          <w:sz w:val="24"/>
          <w:szCs w:val="24"/>
        </w:rPr>
        <w:t xml:space="preserve"> 10％；</w:t>
      </w:r>
    </w:p>
    <w:p w14:paraId="4E6E69C6"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本基金管理人管理的全部基金投资于同一原始权益人的各类资产支持证券，不得超过其各类资产支持证券合计规模的</w:t>
      </w:r>
      <w:r>
        <w:rPr>
          <w:sz w:val="24"/>
          <w:szCs w:val="24"/>
        </w:rPr>
        <w:t xml:space="preserve"> 10％；</w:t>
      </w:r>
    </w:p>
    <w:p w14:paraId="7CDCBB8D"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本基金应投资于信用级别评级为</w:t>
      </w:r>
      <w:r>
        <w:rPr>
          <w:sz w:val="24"/>
          <w:szCs w:val="24"/>
        </w:rPr>
        <w:t xml:space="preserve"> BBB 以上（含 BBB）的资产支持证券。基金持有资产支持证券期间，如果其信用等级下降、不再符合投资标准，应在评级报告发布之日起 3 个月内予以全部卖出；</w:t>
      </w:r>
    </w:p>
    <w:p w14:paraId="3B13FC45"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本基金进入全国银行间同业市场进行债券回购的资金余额不得超过基金资产净值的</w:t>
      </w:r>
      <w:r>
        <w:rPr>
          <w:sz w:val="24"/>
          <w:szCs w:val="24"/>
        </w:rPr>
        <w:t xml:space="preserve"> 40%；本基金在全国银行间同业市场中的债券回购最长期限为 1 年，债券回购到期后不得展期；</w:t>
      </w:r>
    </w:p>
    <w:p w14:paraId="08C1BA36" w14:textId="77777777" w:rsidR="00CD61EF" w:rsidRDefault="002B79C0">
      <w:pPr>
        <w:pStyle w:val="af2"/>
        <w:numPr>
          <w:ilvl w:val="0"/>
          <w:numId w:val="20"/>
        </w:numPr>
        <w:tabs>
          <w:tab w:val="left" w:pos="1322"/>
        </w:tabs>
        <w:spacing w:before="0" w:line="360" w:lineRule="auto"/>
        <w:ind w:left="600" w:right="244" w:firstLine="0"/>
        <w:rPr>
          <w:szCs w:val="24"/>
        </w:rPr>
      </w:pPr>
      <w:r>
        <w:rPr>
          <w:rFonts w:hint="eastAsia"/>
          <w:sz w:val="24"/>
          <w:szCs w:val="24"/>
        </w:rPr>
        <w:t>本基金参与国债期货交易，需遵守下列投资比例限制：</w:t>
      </w:r>
    </w:p>
    <w:p w14:paraId="0B11669D" w14:textId="77777777" w:rsidR="00CD61EF" w:rsidRDefault="002B79C0">
      <w:pPr>
        <w:pStyle w:val="a5"/>
        <w:spacing w:before="0" w:line="360" w:lineRule="auto"/>
        <w:ind w:left="0" w:firstLine="709"/>
      </w:pPr>
      <w:r>
        <w:t>1）基金在任何交易日日终，持有的买入国债期货合约价值，不得超过基金资产净值的 15%；</w:t>
      </w:r>
    </w:p>
    <w:p w14:paraId="359A42F8" w14:textId="77777777" w:rsidR="00CD61EF" w:rsidRDefault="002B79C0">
      <w:pPr>
        <w:pStyle w:val="a5"/>
        <w:spacing w:before="0" w:line="360" w:lineRule="auto"/>
        <w:ind w:left="0" w:firstLine="709"/>
      </w:pPr>
      <w:r>
        <w:t>2）基金在任何交易日日终，持有的卖出国债期货合约价值不得超过基金持有的债券总市值的 30%</w:t>
      </w:r>
      <w:r>
        <w:rPr>
          <w:rFonts w:hint="eastAsia"/>
        </w:rPr>
        <w:t>；</w:t>
      </w:r>
    </w:p>
    <w:p w14:paraId="7A07E4D4" w14:textId="77777777" w:rsidR="00CD61EF" w:rsidRDefault="002B79C0">
      <w:pPr>
        <w:pStyle w:val="a5"/>
        <w:spacing w:before="0" w:line="360" w:lineRule="auto"/>
        <w:ind w:left="0" w:firstLine="709"/>
      </w:pPr>
      <w:r>
        <w:t>3）基金在任何交易日内交易（不包括平仓）的国债期货合约的成交金额不得超过上一交易日基金资产净值的 30%；</w:t>
      </w:r>
    </w:p>
    <w:p w14:paraId="1BE296D3" w14:textId="14BA5BF3" w:rsidR="00CD61EF" w:rsidRDefault="002B79C0">
      <w:pPr>
        <w:pStyle w:val="a5"/>
        <w:spacing w:before="0" w:line="360" w:lineRule="auto"/>
        <w:ind w:left="0" w:firstLine="709"/>
      </w:pPr>
      <w:r>
        <w:t>4）基金所持有的债券（不含到期日在一年以内的政府债券）市值和买入、卖出国债期货合约价值，合计（轧差计算）应当符合基金合同关于债券投资比例的有关约定</w:t>
      </w:r>
      <w:r w:rsidR="00C431D8">
        <w:rPr>
          <w:rFonts w:hint="eastAsia"/>
        </w:rPr>
        <w:t>；</w:t>
      </w:r>
    </w:p>
    <w:p w14:paraId="5EC0CF3A"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本基金主动投资流动性受限资产的市值合计不得超过本基金基金资产净值的</w:t>
      </w:r>
      <w:r>
        <w:rPr>
          <w:sz w:val="24"/>
          <w:szCs w:val="24"/>
        </w:rPr>
        <w:t xml:space="preserve"> 15%；因证券市场波动、基金规模变动等基金管理人之外的因素致使基金投资比例不符合上述投资比例限制的，基金管理人不得主动新增流动性受限资产的投资；</w:t>
      </w:r>
    </w:p>
    <w:p w14:paraId="25DAD537"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lastRenderedPageBreak/>
        <w:t>本基金与私募类证券资管产品及中国证监会认定的其他主体为交易对手方开展逆回购交易的，可接受质押品的资质要求应当与本基金合同约定的投资范围保持一致；</w:t>
      </w:r>
    </w:p>
    <w:p w14:paraId="57325D18" w14:textId="77777777" w:rsidR="00CD61EF" w:rsidRDefault="002B79C0">
      <w:pPr>
        <w:pStyle w:val="af2"/>
        <w:numPr>
          <w:ilvl w:val="0"/>
          <w:numId w:val="20"/>
        </w:numPr>
        <w:tabs>
          <w:tab w:val="left" w:pos="1322"/>
        </w:tabs>
        <w:spacing w:before="0" w:line="360" w:lineRule="auto"/>
        <w:ind w:left="0" w:right="244" w:firstLineChars="236" w:firstLine="566"/>
        <w:rPr>
          <w:sz w:val="24"/>
          <w:szCs w:val="24"/>
        </w:rPr>
      </w:pPr>
      <w:r>
        <w:rPr>
          <w:rFonts w:hint="eastAsia"/>
          <w:sz w:val="24"/>
          <w:szCs w:val="24"/>
        </w:rPr>
        <w:t>本基金不持有具有信用保护卖方属性的信用衍生品，不持有合约类信用衍生品。投资信用衍生品名义本金不得超过本基金对应受保护债券面值的</w:t>
      </w:r>
      <w:r>
        <w:rPr>
          <w:sz w:val="24"/>
          <w:szCs w:val="24"/>
        </w:rPr>
        <w:t>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422A51D0" w14:textId="77777777" w:rsidR="00CD61EF" w:rsidRDefault="002B79C0">
      <w:pPr>
        <w:pStyle w:val="af2"/>
        <w:numPr>
          <w:ilvl w:val="0"/>
          <w:numId w:val="20"/>
        </w:numPr>
        <w:tabs>
          <w:tab w:val="left" w:pos="1322"/>
        </w:tabs>
        <w:spacing w:before="0" w:line="360" w:lineRule="auto"/>
        <w:ind w:left="0" w:right="244" w:firstLineChars="236" w:firstLine="566"/>
        <w:rPr>
          <w:szCs w:val="24"/>
        </w:rPr>
      </w:pPr>
      <w:r>
        <w:rPr>
          <w:rFonts w:hint="eastAsia"/>
          <w:sz w:val="24"/>
          <w:szCs w:val="24"/>
        </w:rPr>
        <w:t>本基金总资产不得超过基金净资产的</w:t>
      </w:r>
      <w:r>
        <w:rPr>
          <w:sz w:val="24"/>
          <w:szCs w:val="24"/>
        </w:rPr>
        <w:t xml:space="preserve"> 140%；</w:t>
      </w:r>
    </w:p>
    <w:p w14:paraId="6C916835" w14:textId="77777777" w:rsidR="00CD61EF" w:rsidRDefault="002B79C0">
      <w:pPr>
        <w:pStyle w:val="af2"/>
        <w:numPr>
          <w:ilvl w:val="0"/>
          <w:numId w:val="20"/>
        </w:numPr>
        <w:tabs>
          <w:tab w:val="left" w:pos="1322"/>
        </w:tabs>
        <w:spacing w:before="0" w:line="360" w:lineRule="auto"/>
        <w:ind w:left="600" w:right="244" w:firstLine="0"/>
        <w:rPr>
          <w:sz w:val="24"/>
          <w:szCs w:val="24"/>
        </w:rPr>
      </w:pPr>
      <w:r>
        <w:rPr>
          <w:rFonts w:hint="eastAsia"/>
          <w:sz w:val="24"/>
          <w:szCs w:val="24"/>
        </w:rPr>
        <w:t>法律法规及中国证监会规定的和《基金合同》约定的其他投资限制。</w:t>
      </w:r>
    </w:p>
    <w:p w14:paraId="2157BCAE" w14:textId="77777777" w:rsidR="00CD61EF" w:rsidRDefault="002B79C0">
      <w:pPr>
        <w:spacing w:line="360" w:lineRule="auto"/>
        <w:ind w:firstLine="720"/>
        <w:rPr>
          <w:spacing w:val="-3"/>
        </w:rPr>
      </w:pPr>
      <w:r>
        <w:rPr>
          <w:spacing w:val="-3"/>
          <w:sz w:val="24"/>
          <w:szCs w:val="24"/>
        </w:rPr>
        <w:t>除上述第（2）、（9）、（12）、（13）</w:t>
      </w:r>
      <w:r>
        <w:rPr>
          <w:rFonts w:hint="eastAsia"/>
          <w:spacing w:val="-3"/>
          <w:sz w:val="24"/>
          <w:szCs w:val="24"/>
        </w:rPr>
        <w:t>、（1</w:t>
      </w:r>
      <w:r>
        <w:rPr>
          <w:spacing w:val="-3"/>
          <w:sz w:val="24"/>
          <w:szCs w:val="24"/>
        </w:rPr>
        <w:t>4</w:t>
      </w:r>
      <w:r>
        <w:rPr>
          <w:rFonts w:hint="eastAsia"/>
          <w:spacing w:val="-3"/>
          <w:sz w:val="24"/>
          <w:szCs w:val="24"/>
        </w:rPr>
        <w:t>）</w:t>
      </w:r>
      <w:r>
        <w:rPr>
          <w:spacing w:val="-3"/>
          <w:sz w:val="24"/>
          <w:szCs w:val="24"/>
        </w:rPr>
        <w:t>项外，因证券/期货市场波动、证券发行人合并、基金规模变动等基金管理人之外的因素致使基金投资比例不符合上述规定投资比例的，基金管理人应当在 10 个交易日内进行调整，但中国证监会规定的特殊情形除外。法律法规另有规定的，从其规定。</w:t>
      </w:r>
    </w:p>
    <w:p w14:paraId="3DEE29C4" w14:textId="77777777" w:rsidR="00CD61EF" w:rsidRDefault="002B79C0">
      <w:pPr>
        <w:pStyle w:val="a5"/>
        <w:spacing w:before="0" w:line="360" w:lineRule="auto"/>
        <w:ind w:right="357"/>
        <w:jc w:val="both"/>
      </w:pPr>
      <w:r>
        <w:rPr>
          <w:spacing w:val="-3"/>
        </w:rPr>
        <w:t>基金管理人应当</w:t>
      </w:r>
      <w:r>
        <w:t xml:space="preserve">自基金合同生效之日起 </w:t>
      </w:r>
      <w:r>
        <w:rPr>
          <w:rFonts w:ascii="Times New Roman" w:eastAsia="Times New Roman"/>
        </w:rPr>
        <w:t>6</w:t>
      </w:r>
      <w:r>
        <w:rPr>
          <w:rFonts w:ascii="Times New Roman" w:eastAsia="Times New Roman"/>
          <w:spacing w:val="6"/>
        </w:rPr>
        <w:t xml:space="preserve"> </w:t>
      </w:r>
      <w:r>
        <w:t>个月内使基金的投资组合比例符</w:t>
      </w:r>
      <w:r>
        <w:rPr>
          <w:spacing w:val="-3"/>
        </w:rPr>
        <w:t>合基金合同的有关约定。在上述期间内，本基金的投资范围、投资策略应当符合</w:t>
      </w:r>
      <w:r>
        <w:rPr>
          <w:spacing w:val="-10"/>
        </w:rPr>
        <w:t>基金合同的约定。基金托管人对基金的投资的监督与检查自本基金合同生效之日</w:t>
      </w:r>
      <w:r>
        <w:t>起开始。法律法规或监管部门另有规定的，从其规定。</w:t>
      </w:r>
    </w:p>
    <w:p w14:paraId="74C513C6" w14:textId="77777777" w:rsidR="00CD61EF" w:rsidRDefault="002B79C0">
      <w:pPr>
        <w:pStyle w:val="a5"/>
        <w:spacing w:before="2" w:line="364" w:lineRule="auto"/>
        <w:ind w:right="359"/>
        <w:jc w:val="both"/>
      </w:pPr>
      <w:r>
        <w:rPr>
          <w:spacing w:val="-3"/>
        </w:rPr>
        <w:t>上述投资组合限制条款中，若属法律法规或监管部门的强制性规定，则当法律法规或监管部门取消或变更上述限制，如适用于本基金，基金管理人在履行适</w:t>
      </w:r>
      <w:r>
        <w:t>当程序后，则本基金投资不再受相关限制或以变更以后的规定为准。</w:t>
      </w:r>
    </w:p>
    <w:p w14:paraId="47948F63" w14:textId="77777777" w:rsidR="00CD61EF" w:rsidRDefault="002B79C0">
      <w:pPr>
        <w:pStyle w:val="a5"/>
        <w:spacing w:before="2"/>
        <w:ind w:left="600" w:firstLine="0"/>
      </w:pPr>
      <w:r>
        <w:rPr>
          <w:rFonts w:ascii="Times New Roman" w:eastAsia="Times New Roman"/>
        </w:rPr>
        <w:t>2</w:t>
      </w:r>
      <w:r>
        <w:t>、禁止行为</w:t>
      </w:r>
    </w:p>
    <w:p w14:paraId="294D9791" w14:textId="77777777" w:rsidR="00CD61EF" w:rsidRDefault="002B79C0">
      <w:pPr>
        <w:pStyle w:val="a5"/>
        <w:spacing w:before="161"/>
        <w:ind w:left="600" w:firstLine="0"/>
      </w:pPr>
      <w:r>
        <w:t>为维护基金份额持有人的合法权益，基金财产不得用于下列投资或者活动：</w:t>
      </w:r>
    </w:p>
    <w:p w14:paraId="20BC5DE9" w14:textId="77777777" w:rsidR="00CD61EF" w:rsidRDefault="002B79C0">
      <w:pPr>
        <w:pStyle w:val="af2"/>
        <w:numPr>
          <w:ilvl w:val="0"/>
          <w:numId w:val="21"/>
        </w:numPr>
        <w:tabs>
          <w:tab w:val="left" w:pos="1202"/>
        </w:tabs>
        <w:spacing w:before="160"/>
        <w:rPr>
          <w:sz w:val="24"/>
        </w:rPr>
      </w:pPr>
      <w:r>
        <w:rPr>
          <w:sz w:val="24"/>
        </w:rPr>
        <w:t>承销证券；</w:t>
      </w:r>
    </w:p>
    <w:p w14:paraId="756B6B03" w14:textId="77777777" w:rsidR="00CD61EF" w:rsidRDefault="002B79C0">
      <w:pPr>
        <w:pStyle w:val="af2"/>
        <w:numPr>
          <w:ilvl w:val="0"/>
          <w:numId w:val="21"/>
        </w:numPr>
        <w:tabs>
          <w:tab w:val="left" w:pos="1202"/>
        </w:tabs>
        <w:spacing w:before="161"/>
        <w:ind w:hanging="602"/>
        <w:rPr>
          <w:sz w:val="24"/>
        </w:rPr>
      </w:pPr>
      <w:r>
        <w:rPr>
          <w:sz w:val="24"/>
        </w:rPr>
        <w:t>违反规定向他人贷款或者提供担保；</w:t>
      </w:r>
    </w:p>
    <w:p w14:paraId="34F55B36" w14:textId="77777777" w:rsidR="00CD61EF" w:rsidRDefault="002B79C0">
      <w:pPr>
        <w:pStyle w:val="af2"/>
        <w:numPr>
          <w:ilvl w:val="0"/>
          <w:numId w:val="21"/>
        </w:numPr>
        <w:tabs>
          <w:tab w:val="left" w:pos="1202"/>
        </w:tabs>
        <w:spacing w:before="64"/>
        <w:ind w:hanging="602"/>
        <w:rPr>
          <w:sz w:val="24"/>
        </w:rPr>
      </w:pPr>
      <w:r>
        <w:rPr>
          <w:sz w:val="24"/>
        </w:rPr>
        <w:t>从事承担无限责任的投资；</w:t>
      </w:r>
    </w:p>
    <w:p w14:paraId="43B8E9AE" w14:textId="77777777" w:rsidR="00CD61EF" w:rsidRDefault="002B79C0">
      <w:pPr>
        <w:pStyle w:val="af2"/>
        <w:numPr>
          <w:ilvl w:val="0"/>
          <w:numId w:val="21"/>
        </w:numPr>
        <w:tabs>
          <w:tab w:val="left" w:pos="1202"/>
        </w:tabs>
        <w:spacing w:before="160"/>
        <w:ind w:hanging="602"/>
        <w:rPr>
          <w:sz w:val="24"/>
        </w:rPr>
      </w:pPr>
      <w:r>
        <w:rPr>
          <w:sz w:val="24"/>
        </w:rPr>
        <w:t>买卖其他基金份额，但是中国证监会另有规定的除外；</w:t>
      </w:r>
    </w:p>
    <w:p w14:paraId="27E9817E" w14:textId="77777777" w:rsidR="00CD61EF" w:rsidRDefault="002B79C0">
      <w:pPr>
        <w:pStyle w:val="af2"/>
        <w:numPr>
          <w:ilvl w:val="0"/>
          <w:numId w:val="21"/>
        </w:numPr>
        <w:tabs>
          <w:tab w:val="left" w:pos="1202"/>
        </w:tabs>
        <w:spacing w:before="161"/>
        <w:ind w:hanging="602"/>
        <w:rPr>
          <w:sz w:val="24"/>
        </w:rPr>
      </w:pPr>
      <w:r>
        <w:rPr>
          <w:sz w:val="24"/>
        </w:rPr>
        <w:t>向其基金管理人、基金托管人出资；</w:t>
      </w:r>
    </w:p>
    <w:p w14:paraId="44198AFA" w14:textId="77777777" w:rsidR="00CD61EF" w:rsidRDefault="002B79C0">
      <w:pPr>
        <w:pStyle w:val="af2"/>
        <w:numPr>
          <w:ilvl w:val="0"/>
          <w:numId w:val="21"/>
        </w:numPr>
        <w:tabs>
          <w:tab w:val="left" w:pos="1202"/>
        </w:tabs>
        <w:spacing w:before="160"/>
        <w:ind w:hanging="602"/>
        <w:rPr>
          <w:sz w:val="24"/>
        </w:rPr>
      </w:pPr>
      <w:r>
        <w:rPr>
          <w:sz w:val="24"/>
        </w:rPr>
        <w:t>从事内幕交易、操纵证券交易价格及其他不正当的证券交易活动；</w:t>
      </w:r>
    </w:p>
    <w:p w14:paraId="22F5683F" w14:textId="77777777" w:rsidR="00CD61EF" w:rsidRDefault="002B79C0">
      <w:pPr>
        <w:pStyle w:val="af2"/>
        <w:numPr>
          <w:ilvl w:val="0"/>
          <w:numId w:val="21"/>
        </w:numPr>
        <w:tabs>
          <w:tab w:val="left" w:pos="1202"/>
        </w:tabs>
        <w:spacing w:before="161"/>
        <w:ind w:hanging="602"/>
        <w:rPr>
          <w:sz w:val="24"/>
        </w:rPr>
      </w:pPr>
      <w:r>
        <w:rPr>
          <w:sz w:val="24"/>
        </w:rPr>
        <w:lastRenderedPageBreak/>
        <w:t>法律、行政法规和中国证监会规定禁止的其他活动。</w:t>
      </w:r>
    </w:p>
    <w:p w14:paraId="3BAD010B" w14:textId="77777777" w:rsidR="00CD61EF" w:rsidRDefault="002B79C0">
      <w:pPr>
        <w:pStyle w:val="a5"/>
        <w:spacing w:before="160" w:line="364" w:lineRule="auto"/>
        <w:ind w:right="241"/>
        <w:jc w:val="both"/>
      </w:pPr>
      <w:r>
        <w:rPr>
          <w:spacing w:val="-1"/>
        </w:rPr>
        <w:t>基金管理人运用基金财产买卖基金管理人、基金托管人及其控股股东、实际</w:t>
      </w:r>
      <w:r>
        <w:rPr>
          <w:spacing w:val="-3"/>
        </w:rPr>
        <w:t>控制人或者与其有重大利害关系的公司发行的证券或者承销期内承销的证券，或</w:t>
      </w:r>
      <w:r>
        <w:rPr>
          <w:spacing w:val="-1"/>
        </w:rPr>
        <w:t>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w:t>
      </w:r>
      <w:r>
        <w:t>上的独立董事通过。基金管理人董事会应至少每半年对关联交易事项进行审查。</w:t>
      </w:r>
    </w:p>
    <w:p w14:paraId="770DD9C3" w14:textId="77777777" w:rsidR="00CD61EF" w:rsidRDefault="002B79C0">
      <w:pPr>
        <w:pStyle w:val="a5"/>
        <w:spacing w:line="364" w:lineRule="auto"/>
        <w:ind w:left="0" w:right="357" w:firstLine="0"/>
        <w:jc w:val="both"/>
      </w:pPr>
      <w:r>
        <w:rPr>
          <w:spacing w:val="-15"/>
        </w:rPr>
        <w:t>如法律、行政法规或监管部门取消或调整上述禁止性规定，如适用于本基金，</w:t>
      </w:r>
      <w:r>
        <w:rPr>
          <w:spacing w:val="-117"/>
        </w:rPr>
        <w:t xml:space="preserve"> </w:t>
      </w:r>
      <w:r>
        <w:rPr>
          <w:spacing w:val="-7"/>
        </w:rPr>
        <w:t>基金管理人在履行适当程序后，本基金可不受上述规定的限制或按调整后的规定</w:t>
      </w:r>
      <w:r>
        <w:t>执行。</w:t>
      </w:r>
    </w:p>
    <w:p w14:paraId="6967F4B7" w14:textId="77777777" w:rsidR="00CD61EF" w:rsidRDefault="002B79C0">
      <w:pPr>
        <w:pStyle w:val="a5"/>
        <w:spacing w:before="5"/>
        <w:ind w:left="600" w:firstLine="0"/>
      </w:pPr>
      <w:r>
        <w:t>六、基金资产净值的计算方法和公告方式</w:t>
      </w:r>
    </w:p>
    <w:p w14:paraId="5423F974" w14:textId="77777777" w:rsidR="00CD61EF" w:rsidRDefault="00CD61EF">
      <w:pPr>
        <w:pStyle w:val="a5"/>
        <w:spacing w:before="5"/>
        <w:ind w:left="600" w:firstLine="0"/>
      </w:pPr>
    </w:p>
    <w:p w14:paraId="0325C357" w14:textId="77777777" w:rsidR="00CD61EF" w:rsidRDefault="002B79C0">
      <w:pPr>
        <w:pStyle w:val="a5"/>
        <w:spacing w:before="0"/>
        <w:ind w:left="600" w:firstLine="0"/>
      </w:pPr>
      <w:r>
        <w:rPr>
          <w:rFonts w:hint="eastAsia"/>
        </w:rPr>
        <w:t>（一）</w:t>
      </w:r>
      <w:r>
        <w:t>估值日</w:t>
      </w:r>
    </w:p>
    <w:p w14:paraId="5AC39F2B" w14:textId="77777777" w:rsidR="00CD61EF" w:rsidRDefault="002B79C0">
      <w:pPr>
        <w:pStyle w:val="a5"/>
        <w:spacing w:before="160" w:line="364" w:lineRule="auto"/>
        <w:ind w:right="350"/>
      </w:pPr>
      <w:r>
        <w:t>本基金的估值日为本基金相关的证券交易场所的交易日以及国家法律法规规定需要对外披露基金净值的非交易日。</w:t>
      </w:r>
    </w:p>
    <w:p w14:paraId="1DBE282A" w14:textId="77777777" w:rsidR="00CD61EF" w:rsidRDefault="002B79C0">
      <w:pPr>
        <w:pStyle w:val="a5"/>
        <w:spacing w:before="2"/>
        <w:ind w:left="600" w:firstLine="0"/>
      </w:pPr>
      <w:r>
        <w:rPr>
          <w:rFonts w:hint="eastAsia"/>
        </w:rPr>
        <w:t>（二）</w:t>
      </w:r>
      <w:r>
        <w:t>估值对象</w:t>
      </w:r>
    </w:p>
    <w:p w14:paraId="2317A12F" w14:textId="77777777" w:rsidR="00CD61EF" w:rsidRDefault="002B79C0">
      <w:pPr>
        <w:pStyle w:val="a5"/>
        <w:spacing w:before="160" w:line="364" w:lineRule="auto"/>
        <w:ind w:right="359"/>
      </w:pPr>
      <w:r>
        <w:rPr>
          <w:spacing w:val="-3"/>
        </w:rPr>
        <w:t>基金所拥有的债券、银行存款本息、应收款项、国债期货合约、</w:t>
      </w:r>
      <w:r>
        <w:rPr>
          <w:rFonts w:hint="eastAsia"/>
          <w:spacing w:val="-3"/>
        </w:rPr>
        <w:t>信用衍生品、</w:t>
      </w:r>
      <w:r>
        <w:rPr>
          <w:spacing w:val="-3"/>
        </w:rPr>
        <w:t>资产支持证</w:t>
      </w:r>
      <w:r>
        <w:t>券及其它投资等资产及负债。</w:t>
      </w:r>
    </w:p>
    <w:p w14:paraId="5C8F5E51" w14:textId="77777777" w:rsidR="00CD61EF" w:rsidRDefault="002B79C0">
      <w:pPr>
        <w:pStyle w:val="a5"/>
        <w:spacing w:before="2"/>
        <w:ind w:left="600" w:firstLine="0"/>
      </w:pPr>
      <w:r>
        <w:rPr>
          <w:rFonts w:hint="eastAsia"/>
        </w:rPr>
        <w:t>（三）</w:t>
      </w:r>
      <w:r>
        <w:t>估值原则</w:t>
      </w:r>
    </w:p>
    <w:p w14:paraId="032225E4" w14:textId="77777777" w:rsidR="00CD61EF" w:rsidRDefault="002B79C0">
      <w:pPr>
        <w:pStyle w:val="a5"/>
        <w:spacing w:before="160" w:line="364" w:lineRule="auto"/>
        <w:ind w:right="357"/>
      </w:pPr>
      <w:r>
        <w:rPr>
          <w:spacing w:val="-3"/>
        </w:rPr>
        <w:t>基金管理人在确定相关金融资产和金融负债的公允价值时，应符合《企业会</w:t>
      </w:r>
      <w:r>
        <w:rPr>
          <w:spacing w:val="-12"/>
        </w:rPr>
        <w:t>计准则》、监管部门有关规定。</w:t>
      </w:r>
    </w:p>
    <w:p w14:paraId="501454D9" w14:textId="77777777" w:rsidR="00CD61EF" w:rsidRDefault="002B79C0">
      <w:pPr>
        <w:pStyle w:val="a5"/>
        <w:spacing w:before="2" w:line="364" w:lineRule="auto"/>
        <w:ind w:right="357"/>
        <w:jc w:val="both"/>
      </w:pPr>
      <w:r>
        <w:rPr>
          <w:rFonts w:hint="eastAsia"/>
          <w:spacing w:val="-3"/>
        </w:rPr>
        <w:t>1、</w:t>
      </w:r>
      <w:r>
        <w:rPr>
          <w:spacing w:val="-3"/>
        </w:rPr>
        <w:t>对存在活跃市场且能够获取相同资产或负债报价的投资品种，在估值日有报价的，除会计准则规定的例外情况外，应将该报价不加调整地应用于该资</w:t>
      </w:r>
      <w:r>
        <w:rPr>
          <w:spacing w:val="-9"/>
        </w:rPr>
        <w:t>产或负债的公允价值计量。估值日无报价且最近交易日后未发生影响公允价值计</w:t>
      </w:r>
      <w:r>
        <w:rPr>
          <w:spacing w:val="-3"/>
        </w:rPr>
        <w:t>量的重大事件的，应采用最近交易日的报价确定公允价值。有充足证据表明估值日或最近交易日的报价不能真实反映公允价值的，应对报价进行调整，确定公允</w:t>
      </w:r>
      <w:r>
        <w:t>价值。</w:t>
      </w:r>
    </w:p>
    <w:p w14:paraId="3707EB71" w14:textId="77777777" w:rsidR="00CD61EF" w:rsidRDefault="002B79C0">
      <w:pPr>
        <w:pStyle w:val="a5"/>
        <w:spacing w:before="4" w:line="364" w:lineRule="auto"/>
        <w:ind w:right="357"/>
        <w:jc w:val="both"/>
      </w:pPr>
      <w:r>
        <w:rPr>
          <w:spacing w:val="-3"/>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w:t>
      </w:r>
      <w:r>
        <w:lastRenderedPageBreak/>
        <w:t>溢价或折价。</w:t>
      </w:r>
    </w:p>
    <w:p w14:paraId="45E01A07" w14:textId="77777777" w:rsidR="00CD61EF" w:rsidRDefault="002B79C0">
      <w:pPr>
        <w:pStyle w:val="a5"/>
        <w:spacing w:before="3" w:line="364" w:lineRule="auto"/>
        <w:ind w:right="357"/>
        <w:jc w:val="both"/>
      </w:pPr>
      <w:r>
        <w:rPr>
          <w:rFonts w:hint="eastAsia"/>
          <w:spacing w:val="-3"/>
        </w:rPr>
        <w:t>2、</w:t>
      </w:r>
      <w:r>
        <w:rPr>
          <w:spacing w:val="-3"/>
        </w:rPr>
        <w:t>对不存在活跃市场的投资品种，应采用在当前情况下适用并且有足够</w:t>
      </w:r>
      <w:r>
        <w:rPr>
          <w:spacing w:val="-5"/>
        </w:rPr>
        <w:t>可利用数据和其他信息支持的估值技术确定公允价值。采用估值技术确定公允价</w:t>
      </w:r>
      <w:r>
        <w:rPr>
          <w:spacing w:val="-3"/>
        </w:rPr>
        <w:t>值时，应优先使用可观察输入值，只有在无法取得相关资产或负债可观察输入值</w:t>
      </w:r>
      <w:r>
        <w:t>或取得不切实可行的情况下，才可以使用不可观察输入值。</w:t>
      </w:r>
    </w:p>
    <w:p w14:paraId="41535F6D" w14:textId="77777777" w:rsidR="00CD61EF" w:rsidRDefault="002B79C0">
      <w:pPr>
        <w:pStyle w:val="a5"/>
        <w:spacing w:before="3" w:line="364" w:lineRule="auto"/>
        <w:ind w:right="117"/>
      </w:pPr>
      <w:r>
        <w:rPr>
          <w:rFonts w:hint="eastAsia"/>
        </w:rPr>
        <w:t>3、</w:t>
      </w:r>
      <w:r>
        <w:t>如经济环境发生重大变化或证券发行人发生影响证券价格的重大事件，</w:t>
      </w:r>
      <w:r>
        <w:rPr>
          <w:spacing w:val="-117"/>
        </w:rPr>
        <w:t xml:space="preserve"> </w:t>
      </w:r>
      <w:r>
        <w:rPr>
          <w:spacing w:val="-4"/>
        </w:rPr>
        <w:t xml:space="preserve">使潜在估值调整对前一估值日的基金资产净值的影响在 </w:t>
      </w:r>
      <w:r>
        <w:rPr>
          <w:rFonts w:ascii="Times New Roman" w:eastAsia="Times New Roman"/>
        </w:rPr>
        <w:t>0.25%</w:t>
      </w:r>
      <w:r>
        <w:rPr>
          <w:spacing w:val="-8"/>
        </w:rPr>
        <w:t>以上的，应对估值进</w:t>
      </w:r>
      <w:r>
        <w:t>行调整并确定公允价值。</w:t>
      </w:r>
    </w:p>
    <w:p w14:paraId="3680AD1E" w14:textId="77777777" w:rsidR="00CD61EF" w:rsidRDefault="002B79C0">
      <w:pPr>
        <w:pStyle w:val="a5"/>
        <w:spacing w:before="64"/>
        <w:ind w:left="600" w:firstLine="0"/>
      </w:pPr>
      <w:r>
        <w:rPr>
          <w:rFonts w:hint="eastAsia"/>
        </w:rPr>
        <w:t>（四）</w:t>
      </w:r>
      <w:r>
        <w:t>估值方法</w:t>
      </w:r>
    </w:p>
    <w:p w14:paraId="017E2D8C" w14:textId="77777777" w:rsidR="00CD61EF" w:rsidRDefault="002B79C0">
      <w:pPr>
        <w:pStyle w:val="a5"/>
        <w:spacing w:before="160"/>
        <w:ind w:left="600" w:firstLine="0"/>
      </w:pPr>
      <w:r>
        <w:rPr>
          <w:rFonts w:ascii="Times New Roman" w:eastAsia="Times New Roman"/>
        </w:rPr>
        <w:t>1</w:t>
      </w:r>
      <w:r>
        <w:t>、证券交易所上市的有价证券的估值</w:t>
      </w:r>
    </w:p>
    <w:p w14:paraId="60A5F893" w14:textId="77777777" w:rsidR="00CD61EF" w:rsidRDefault="002B79C0">
      <w:pPr>
        <w:pStyle w:val="af2"/>
        <w:numPr>
          <w:ilvl w:val="0"/>
          <w:numId w:val="22"/>
        </w:numPr>
        <w:tabs>
          <w:tab w:val="left" w:pos="1202"/>
        </w:tabs>
        <w:spacing w:before="4" w:line="364" w:lineRule="auto"/>
        <w:ind w:right="239" w:firstLine="479"/>
        <w:jc w:val="both"/>
        <w:rPr>
          <w:sz w:val="24"/>
        </w:rPr>
      </w:pPr>
      <w:r>
        <w:rPr>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 如最近交易日后经济环境发生了重大变化或证券发行机构发生影响证券价格的重大事件的，可参考类似投资品种的现行市价及重大变化因素，调整最近交易市价，确定公允价格；</w:t>
      </w:r>
    </w:p>
    <w:p w14:paraId="5A3DF964" w14:textId="77777777" w:rsidR="00CD61EF" w:rsidRDefault="002B79C0">
      <w:pPr>
        <w:pStyle w:val="af2"/>
        <w:numPr>
          <w:ilvl w:val="0"/>
          <w:numId w:val="22"/>
        </w:numPr>
        <w:tabs>
          <w:tab w:val="left" w:pos="1202"/>
        </w:tabs>
        <w:spacing w:before="4" w:line="364" w:lineRule="auto"/>
        <w:ind w:right="239" w:firstLine="479"/>
        <w:jc w:val="both"/>
        <w:rPr>
          <w:sz w:val="24"/>
        </w:rPr>
      </w:pPr>
      <w:r>
        <w:rPr>
          <w:sz w:val="24"/>
        </w:rPr>
        <w:t>交易所上市实行净价交易的债券选取估值日第三方估值机构提供的相</w:t>
      </w:r>
      <w:r>
        <w:rPr>
          <w:spacing w:val="-1"/>
          <w:sz w:val="24"/>
        </w:rPr>
        <w:t>应品种对应的估值净价估值；如最近交易日后经济环境发生了重大变化的，可参</w:t>
      </w:r>
      <w:r>
        <w:rPr>
          <w:spacing w:val="-11"/>
          <w:sz w:val="24"/>
        </w:rPr>
        <w:t>考类似投资品种的现行市价及重大变化因素，调整最近交易市价，确定公允价格；</w:t>
      </w:r>
    </w:p>
    <w:p w14:paraId="16955C67" w14:textId="77777777" w:rsidR="00CD61EF" w:rsidRDefault="002B79C0">
      <w:pPr>
        <w:pStyle w:val="af2"/>
        <w:numPr>
          <w:ilvl w:val="0"/>
          <w:numId w:val="22"/>
        </w:numPr>
        <w:tabs>
          <w:tab w:val="left" w:pos="1202"/>
        </w:tabs>
        <w:spacing w:before="2" w:line="364" w:lineRule="auto"/>
        <w:ind w:right="357" w:firstLine="479"/>
        <w:jc w:val="both"/>
        <w:rPr>
          <w:sz w:val="24"/>
        </w:rPr>
      </w:pPr>
      <w:r>
        <w:rPr>
          <w:sz w:val="24"/>
        </w:rPr>
        <w:t>对在交易所市场上市未实行净价交易的债券（可转债除外</w:t>
      </w:r>
      <w:r>
        <w:rPr>
          <w:spacing w:val="-76"/>
          <w:sz w:val="24"/>
        </w:rPr>
        <w:t>）</w:t>
      </w:r>
      <w:r>
        <w:rPr>
          <w:spacing w:val="-20"/>
          <w:sz w:val="24"/>
        </w:rPr>
        <w:t>，按估值</w:t>
      </w:r>
      <w:r>
        <w:rPr>
          <w:spacing w:val="-3"/>
          <w:sz w:val="24"/>
        </w:rPr>
        <w:t>日第三方估值机构提供的相应品种当日的估值全价减去估值全价中所含的债券</w:t>
      </w:r>
      <w:r>
        <w:rPr>
          <w:sz w:val="24"/>
        </w:rPr>
        <w:t>（</w:t>
      </w:r>
      <w:r>
        <w:rPr>
          <w:spacing w:val="-118"/>
          <w:sz w:val="24"/>
        </w:rPr>
        <w:t xml:space="preserve"> </w:t>
      </w:r>
      <w:r>
        <w:rPr>
          <w:sz w:val="24"/>
        </w:rPr>
        <w:t>税后）应收利息得到的净价进行估值；</w:t>
      </w:r>
    </w:p>
    <w:p w14:paraId="7B06A48B" w14:textId="77777777" w:rsidR="00CD61EF" w:rsidRDefault="002B79C0">
      <w:pPr>
        <w:pStyle w:val="af2"/>
        <w:numPr>
          <w:ilvl w:val="0"/>
          <w:numId w:val="22"/>
        </w:numPr>
        <w:tabs>
          <w:tab w:val="left" w:pos="1202"/>
        </w:tabs>
        <w:spacing w:before="2" w:line="364" w:lineRule="auto"/>
        <w:ind w:right="359" w:firstLine="479"/>
        <w:jc w:val="both"/>
        <w:rPr>
          <w:sz w:val="24"/>
        </w:rPr>
      </w:pPr>
      <w:r>
        <w:rPr>
          <w:bCs/>
          <w:sz w:val="24"/>
          <w:szCs w:val="24"/>
        </w:rPr>
        <w:t>交易所上市交易的可转换债券以每日收盘价作为估值全价；</w:t>
      </w:r>
    </w:p>
    <w:p w14:paraId="48E3737D" w14:textId="77777777" w:rsidR="00CD61EF" w:rsidRDefault="002B79C0">
      <w:pPr>
        <w:pStyle w:val="af2"/>
        <w:numPr>
          <w:ilvl w:val="0"/>
          <w:numId w:val="22"/>
        </w:numPr>
        <w:tabs>
          <w:tab w:val="left" w:pos="1202"/>
        </w:tabs>
        <w:spacing w:before="2" w:line="364" w:lineRule="auto"/>
        <w:ind w:right="359" w:firstLine="479"/>
        <w:jc w:val="both"/>
        <w:rPr>
          <w:sz w:val="24"/>
        </w:rPr>
      </w:pPr>
      <w:r>
        <w:rPr>
          <w:spacing w:val="-7"/>
          <w:sz w:val="24"/>
        </w:rPr>
        <w:t>交易所上市不存在活跃市场的有价证券，采用估值技术确定公允价值</w:t>
      </w:r>
      <w:r>
        <w:rPr>
          <w:spacing w:val="-3"/>
          <w:sz w:val="24"/>
        </w:rPr>
        <w:t>。交易所挂牌转让的资产支持证券，采用估值技术确定公允价值，在估值技术难</w:t>
      </w:r>
      <w:r>
        <w:rPr>
          <w:sz w:val="24"/>
        </w:rPr>
        <w:t>以可靠计量公允价值的情况下，按成本估值。</w:t>
      </w:r>
    </w:p>
    <w:p w14:paraId="58D25A26" w14:textId="77777777" w:rsidR="00CD61EF" w:rsidRDefault="002B79C0">
      <w:pPr>
        <w:pStyle w:val="a5"/>
        <w:spacing w:before="2" w:line="364" w:lineRule="auto"/>
        <w:ind w:right="357"/>
        <w:jc w:val="both"/>
      </w:pPr>
      <w:r>
        <w:rPr>
          <w:rFonts w:ascii="Times New Roman" w:eastAsia="Times New Roman"/>
        </w:rPr>
        <w:t>2</w:t>
      </w:r>
      <w:r>
        <w:t>、首次公开发行未上市的债券，采用估值技术确定公允价值，在估值技术</w:t>
      </w:r>
      <w:r>
        <w:rPr>
          <w:spacing w:val="-3"/>
        </w:rPr>
        <w:t>难以可靠计量公允价值的情况下，按成本估值。对在交易所市场发行未上市或未挂牌转让的债券，对存在活跃市场的情况下，应以活跃市场上未经调整的报价作</w:t>
      </w:r>
      <w:r>
        <w:rPr>
          <w:spacing w:val="-8"/>
        </w:rPr>
        <w:t>为计量日的公允价值进行估值；对于活跃市场报价未能代表计量日公允价值的情</w:t>
      </w:r>
      <w:r>
        <w:rPr>
          <w:spacing w:val="-3"/>
        </w:rPr>
        <w:lastRenderedPageBreak/>
        <w:t>况下，按成本应对市场报价进行调整，确认计量日的公允价值；对于不存在市场活动或市场活动很少的情况下，则采用估值技术确定公允价值，在估值技术难以</w:t>
      </w:r>
      <w:r>
        <w:t>可靠计量公允价值的情况下，按成本估值。</w:t>
      </w:r>
    </w:p>
    <w:p w14:paraId="18D9588C" w14:textId="77777777" w:rsidR="00CD61EF" w:rsidRDefault="002B79C0">
      <w:pPr>
        <w:pStyle w:val="a5"/>
        <w:spacing w:before="4" w:line="364" w:lineRule="auto"/>
        <w:ind w:right="117"/>
      </w:pPr>
      <w:r>
        <w:rPr>
          <w:rFonts w:ascii="Times New Roman" w:eastAsia="Times New Roman"/>
        </w:rPr>
        <w:t>3</w:t>
      </w:r>
      <w:r>
        <w:t>、全国银行间债券市场交易的债券、资产支持证券等固定收益品种，选取</w:t>
      </w:r>
      <w:r>
        <w:rPr>
          <w:spacing w:val="1"/>
        </w:rPr>
        <w:t xml:space="preserve"> </w:t>
      </w:r>
      <w:r>
        <w:rPr>
          <w:spacing w:val="-5"/>
        </w:rPr>
        <w:t>第三方估值机构提供的相应品种当日的估值净价进行估值。对银行间市场未上市，</w:t>
      </w:r>
      <w:r>
        <w:rPr>
          <w:spacing w:val="-117"/>
        </w:rPr>
        <w:t xml:space="preserve"> </w:t>
      </w:r>
      <w:r>
        <w:t>且第三方估值机构未提供估值价格的固定收益品种，按成本估值。</w:t>
      </w:r>
    </w:p>
    <w:p w14:paraId="6526A62F" w14:textId="77777777" w:rsidR="00CD61EF" w:rsidRDefault="002B79C0">
      <w:pPr>
        <w:pStyle w:val="a5"/>
        <w:spacing w:before="3" w:line="364" w:lineRule="auto"/>
        <w:ind w:right="363"/>
      </w:pPr>
      <w:r>
        <w:rPr>
          <w:rFonts w:ascii="Times New Roman" w:eastAsia="Times New Roman"/>
        </w:rPr>
        <w:t>4</w:t>
      </w:r>
      <w:r>
        <w:t>、同一债券同时在两个或两个以上市场交易的，按债券所处的市场分别估值。</w:t>
      </w:r>
    </w:p>
    <w:p w14:paraId="16C2432D" w14:textId="77777777" w:rsidR="00CD61EF" w:rsidRDefault="002B79C0">
      <w:pPr>
        <w:pStyle w:val="a5"/>
        <w:spacing w:before="64" w:line="364" w:lineRule="auto"/>
        <w:ind w:right="364"/>
      </w:pPr>
      <w:r>
        <w:rPr>
          <w:rFonts w:ascii="Times New Roman" w:eastAsia="Times New Roman"/>
        </w:rPr>
        <w:t>5</w:t>
      </w:r>
      <w:r>
        <w:t>、同业存单按估值日第三方估值机构提供的估值净价估值；选定的第三方估值机构未提供估值价格的，按成本估值。</w:t>
      </w:r>
    </w:p>
    <w:p w14:paraId="3597D09E" w14:textId="77777777" w:rsidR="00CD61EF" w:rsidRDefault="002B79C0">
      <w:pPr>
        <w:pStyle w:val="a5"/>
        <w:spacing w:line="364" w:lineRule="auto"/>
        <w:ind w:right="359"/>
        <w:jc w:val="both"/>
      </w:pPr>
      <w:r>
        <w:rPr>
          <w:rFonts w:ascii="Times New Roman" w:eastAsia="Times New Roman"/>
        </w:rPr>
        <w:t>6</w:t>
      </w:r>
      <w:r>
        <w:t>、本基金投资国债期货合约，一般以估值当日结算价进行估值，估值当日</w:t>
      </w:r>
      <w:r>
        <w:rPr>
          <w:spacing w:val="-3"/>
        </w:rPr>
        <w:t>无结算价的，且最近交易日后经济环境未发生重大变化的，采用最近交易日结算</w:t>
      </w:r>
      <w:r>
        <w:t>价估值。</w:t>
      </w:r>
    </w:p>
    <w:p w14:paraId="1C2B0AE0" w14:textId="77777777" w:rsidR="00CD61EF" w:rsidRDefault="002B79C0">
      <w:pPr>
        <w:pStyle w:val="a5"/>
        <w:spacing w:before="2" w:line="364" w:lineRule="auto"/>
        <w:ind w:right="364"/>
      </w:pPr>
      <w:r>
        <w:rPr>
          <w:rFonts w:ascii="Times New Roman" w:eastAsia="Times New Roman"/>
        </w:rPr>
        <w:t>7</w:t>
      </w:r>
      <w:r>
        <w:t>、</w:t>
      </w:r>
      <w:bookmarkStart w:id="72" w:name="_Hlk70423912"/>
      <w:r>
        <w:rPr>
          <w:rFonts w:hint="eastAsia"/>
        </w:rPr>
        <w:t>对证券交易所或银行间市场上交易的凭证类信用衍生品，根据以下原则确定公允价值：</w:t>
      </w:r>
    </w:p>
    <w:p w14:paraId="3A4D062C" w14:textId="77777777" w:rsidR="00CD61EF" w:rsidRDefault="002B79C0">
      <w:pPr>
        <w:pStyle w:val="a5"/>
        <w:spacing w:before="2" w:line="364" w:lineRule="auto"/>
        <w:ind w:right="364"/>
      </w:pPr>
      <w:r>
        <w:rPr>
          <w:rFonts w:hint="eastAsia"/>
        </w:rPr>
        <w:t>（</w:t>
      </w:r>
      <w: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37F294CF" w14:textId="77777777" w:rsidR="00CD61EF" w:rsidRDefault="002B79C0">
      <w:pPr>
        <w:pStyle w:val="a5"/>
        <w:spacing w:before="2" w:line="364" w:lineRule="auto"/>
        <w:ind w:right="364"/>
      </w:pPr>
      <w:r>
        <w:rPr>
          <w:rFonts w:hint="eastAsia"/>
        </w:rPr>
        <w:t>（</w:t>
      </w:r>
      <w:r>
        <w:t>2）对证券交易所或银行间市场非上市交易的合约类信用衍生品，且估值基准服务机构未提供估值价格的，采用估值技术确定其公允价值。</w:t>
      </w:r>
    </w:p>
    <w:bookmarkEnd w:id="72"/>
    <w:p w14:paraId="7043A655" w14:textId="77777777" w:rsidR="00CD61EF" w:rsidRDefault="002B79C0">
      <w:pPr>
        <w:pStyle w:val="a5"/>
        <w:spacing w:before="2" w:line="364" w:lineRule="auto"/>
        <w:ind w:right="364"/>
      </w:pPr>
      <w:r>
        <w:rPr>
          <w:rFonts w:ascii="Times New Roman" w:eastAsia="Times New Roman"/>
        </w:rPr>
        <w:t>8</w:t>
      </w:r>
      <w:r>
        <w:t>、当本基金发生大额申购或赎回情形时，基金管理人可以采用摆动定价机制，以确保基金估值的公平性。</w:t>
      </w:r>
    </w:p>
    <w:p w14:paraId="6E51029D" w14:textId="77777777" w:rsidR="00CD61EF" w:rsidRDefault="002B79C0">
      <w:pPr>
        <w:pStyle w:val="a5"/>
        <w:spacing w:line="364" w:lineRule="auto"/>
        <w:ind w:right="117"/>
      </w:pPr>
      <w:r>
        <w:rPr>
          <w:rFonts w:ascii="Times New Roman" w:eastAsia="Times New Roman"/>
        </w:rPr>
        <w:t>9</w:t>
      </w:r>
      <w:r>
        <w:t>、如有确凿证据表明按上述方法进行估值不能客观反映其公允价值的，基</w:t>
      </w:r>
      <w:r>
        <w:rPr>
          <w:spacing w:val="1"/>
        </w:rPr>
        <w:t xml:space="preserve"> </w:t>
      </w:r>
      <w:r>
        <w:rPr>
          <w:spacing w:val="-6"/>
        </w:rPr>
        <w:t>金管理人可根据具体情况与基金托管人商定后，按最能反映公允价值的价格估值。</w:t>
      </w:r>
    </w:p>
    <w:p w14:paraId="34DE2511" w14:textId="77777777" w:rsidR="00CD61EF" w:rsidRDefault="002B79C0">
      <w:pPr>
        <w:pStyle w:val="a5"/>
        <w:spacing w:before="2" w:line="364" w:lineRule="auto"/>
        <w:ind w:right="364"/>
      </w:pPr>
      <w:r>
        <w:rPr>
          <w:rFonts w:ascii="Times New Roman" w:eastAsia="Times New Roman"/>
        </w:rPr>
        <w:t>10</w:t>
      </w:r>
      <w:r>
        <w:t>、相关法律法规以及监管部门有强制规定的，从其规定。如有新增事项，</w:t>
      </w:r>
      <w:r>
        <w:rPr>
          <w:spacing w:val="-117"/>
        </w:rPr>
        <w:t xml:space="preserve"> </w:t>
      </w:r>
      <w:r>
        <w:t>按国家最新规定估值。</w:t>
      </w:r>
    </w:p>
    <w:p w14:paraId="4940C389" w14:textId="77777777" w:rsidR="00CD61EF" w:rsidRDefault="002B79C0">
      <w:pPr>
        <w:pStyle w:val="a5"/>
        <w:spacing w:line="364" w:lineRule="auto"/>
        <w:ind w:right="357"/>
        <w:jc w:val="both"/>
      </w:pPr>
      <w:r>
        <w:rPr>
          <w:spacing w:val="-3"/>
        </w:rPr>
        <w:t>如基金管理人或基金托管人发现基金估值违反基金合同订明的估值方法、程</w:t>
      </w:r>
      <w:r>
        <w:rPr>
          <w:spacing w:val="-5"/>
        </w:rPr>
        <w:t>序及相关法律法规的规定或者未能充分维护基金份额持有人利益时，应立即通知</w:t>
      </w:r>
      <w:r>
        <w:t>对方，共同查明原因，双方协商解决。</w:t>
      </w:r>
    </w:p>
    <w:p w14:paraId="549A27C0" w14:textId="77777777" w:rsidR="00CD61EF" w:rsidRDefault="002B79C0">
      <w:pPr>
        <w:pStyle w:val="a5"/>
        <w:spacing w:before="2" w:line="364" w:lineRule="auto"/>
        <w:ind w:right="356"/>
        <w:jc w:val="both"/>
      </w:pPr>
      <w:r>
        <w:rPr>
          <w:spacing w:val="-10"/>
        </w:rPr>
        <w:lastRenderedPageBreak/>
        <w:t>根据有关法律法规，基金资产净值计算和基金会计核算的义务由基金管理人</w:t>
      </w:r>
      <w:r>
        <w:rPr>
          <w:spacing w:val="-3"/>
        </w:rPr>
        <w:t>承担。本基金的基金会计责任方由基金管理人担任，因此，就与本基金有关的会计问题，如经相关各方在平等基础上充分讨论后，仍无法达成一致的意见，按照</w:t>
      </w:r>
      <w:r>
        <w:t>基金管理人对基金净值的计算结果对外予以公布。</w:t>
      </w:r>
    </w:p>
    <w:p w14:paraId="38F3C771" w14:textId="77777777" w:rsidR="00CD61EF" w:rsidRDefault="002B79C0">
      <w:pPr>
        <w:pStyle w:val="a5"/>
        <w:spacing w:before="3"/>
        <w:ind w:left="600" w:firstLine="0"/>
      </w:pPr>
      <w:r>
        <w:rPr>
          <w:rFonts w:hint="eastAsia"/>
        </w:rPr>
        <w:t>（五）</w:t>
      </w:r>
      <w:r>
        <w:t>估值程序</w:t>
      </w:r>
    </w:p>
    <w:p w14:paraId="7B3719F5" w14:textId="77777777" w:rsidR="00CD61EF" w:rsidRDefault="002B79C0">
      <w:pPr>
        <w:pStyle w:val="a5"/>
        <w:spacing w:before="160" w:line="364" w:lineRule="auto"/>
        <w:ind w:right="356"/>
        <w:jc w:val="both"/>
      </w:pPr>
      <w:r>
        <w:rPr>
          <w:rFonts w:ascii="Times New Roman" w:eastAsia="Times New Roman"/>
        </w:rPr>
        <w:t>1</w:t>
      </w:r>
      <w:r>
        <w:t>、基金份额净值是按照每个工作日闭市后，基金资产净值除以当日该类基</w:t>
      </w:r>
      <w:r>
        <w:rPr>
          <w:spacing w:val="-4"/>
        </w:rPr>
        <w:t xml:space="preserve">金份额的余额数量计算，精确到 </w:t>
      </w:r>
      <w:r>
        <w:rPr>
          <w:rFonts w:ascii="Times New Roman" w:eastAsia="Times New Roman"/>
          <w:spacing w:val="-1"/>
        </w:rPr>
        <w:t>0.0001</w:t>
      </w:r>
      <w:r>
        <w:rPr>
          <w:rFonts w:ascii="Times New Roman" w:eastAsia="Times New Roman"/>
          <w:spacing w:val="22"/>
        </w:rPr>
        <w:t xml:space="preserve"> </w:t>
      </w:r>
      <w:r>
        <w:rPr>
          <w:spacing w:val="-5"/>
        </w:rPr>
        <w:t xml:space="preserve">元，小数点后第 </w:t>
      </w:r>
      <w:r>
        <w:rPr>
          <w:rFonts w:ascii="Times New Roman" w:eastAsia="Times New Roman"/>
        </w:rPr>
        <w:t>5</w:t>
      </w:r>
      <w:r>
        <w:rPr>
          <w:rFonts w:ascii="Times New Roman" w:eastAsia="Times New Roman"/>
          <w:spacing w:val="22"/>
        </w:rPr>
        <w:t xml:space="preserve"> </w:t>
      </w:r>
      <w:r>
        <w:t>位四舍五入。基金管</w:t>
      </w:r>
      <w:r>
        <w:rPr>
          <w:spacing w:val="-3"/>
        </w:rPr>
        <w:t>理人可以设立大额赎回情形下的净值精度应急调整机制。国家另有规定的，从其</w:t>
      </w:r>
      <w:r>
        <w:t>规定。</w:t>
      </w:r>
    </w:p>
    <w:p w14:paraId="0BEBB907" w14:textId="77777777" w:rsidR="00CD61EF" w:rsidRDefault="002B79C0">
      <w:pPr>
        <w:pStyle w:val="a5"/>
        <w:spacing w:before="3" w:line="364" w:lineRule="auto"/>
        <w:ind w:right="357"/>
      </w:pPr>
      <w:r>
        <w:rPr>
          <w:spacing w:val="-4"/>
        </w:rPr>
        <w:t>基金管理人每个工作日计算基金资产净值及各类基金份额净值，并按规定公</w:t>
      </w:r>
      <w:r>
        <w:t>告。如遇特殊情况，经中国证监会同意，可以适当延迟计算或公告。</w:t>
      </w:r>
    </w:p>
    <w:p w14:paraId="6D26001B" w14:textId="77777777" w:rsidR="00CD61EF" w:rsidRDefault="002B79C0">
      <w:pPr>
        <w:pStyle w:val="a5"/>
        <w:spacing w:line="364" w:lineRule="auto"/>
        <w:ind w:right="117"/>
      </w:pPr>
      <w:r>
        <w:rPr>
          <w:rFonts w:ascii="Times New Roman" w:eastAsia="Times New Roman"/>
        </w:rPr>
        <w:t>2</w:t>
      </w:r>
      <w:r>
        <w:t>、基金管理人应每个工作日对基金资产估值。但基金管理人根据法律法规</w:t>
      </w:r>
      <w:r>
        <w:rPr>
          <w:spacing w:val="1"/>
        </w:rPr>
        <w:t xml:space="preserve"> </w:t>
      </w:r>
      <w:r>
        <w:rPr>
          <w:spacing w:val="-7"/>
        </w:rPr>
        <w:t>或本基金合同的规定暂停估值时除外。基金管理人每个工作日对基金资产估值后，</w:t>
      </w:r>
      <w:r>
        <w:rPr>
          <w:spacing w:val="-117"/>
        </w:rPr>
        <w:t xml:space="preserve"> </w:t>
      </w:r>
      <w:r>
        <w:t>将各类基金份额净值结果发送基金托管人，经基金托管人复核无误后，由基金管理人按规定对外公布。</w:t>
      </w:r>
    </w:p>
    <w:p w14:paraId="65DEFF59" w14:textId="77777777" w:rsidR="00CD61EF" w:rsidRDefault="002B79C0">
      <w:pPr>
        <w:pStyle w:val="a5"/>
        <w:spacing w:before="64"/>
        <w:ind w:left="600" w:firstLine="0"/>
      </w:pPr>
      <w:r>
        <w:rPr>
          <w:rFonts w:hint="eastAsia"/>
        </w:rPr>
        <w:t>（六）</w:t>
      </w:r>
      <w:r>
        <w:t>估值错误的处理</w:t>
      </w:r>
    </w:p>
    <w:p w14:paraId="36F6D6C5" w14:textId="77777777" w:rsidR="00CD61EF" w:rsidRDefault="002B79C0">
      <w:pPr>
        <w:pStyle w:val="a5"/>
        <w:spacing w:before="160" w:line="364" w:lineRule="auto"/>
        <w:ind w:right="357"/>
        <w:jc w:val="both"/>
      </w:pPr>
      <w:r>
        <w:rPr>
          <w:spacing w:val="-3"/>
        </w:rPr>
        <w:t>基金管理人和基金托管人将采取必要、适当、合理的措施确保基金资产估值</w:t>
      </w:r>
      <w:r>
        <w:rPr>
          <w:spacing w:val="-11"/>
        </w:rPr>
        <w:t xml:space="preserve">的准确性、及时性。当任一类别基金份额净值小数点后 </w:t>
      </w:r>
      <w:r>
        <w:rPr>
          <w:rFonts w:ascii="Times New Roman" w:eastAsia="Times New Roman"/>
        </w:rPr>
        <w:t xml:space="preserve">4 </w:t>
      </w:r>
      <w:r>
        <w:rPr>
          <w:spacing w:val="-8"/>
        </w:rPr>
        <w:t>位以内</w:t>
      </w:r>
      <w:r>
        <w:t>（</w:t>
      </w:r>
      <w:r>
        <w:rPr>
          <w:spacing w:val="-20"/>
        </w:rPr>
        <w:t xml:space="preserve">含第 </w:t>
      </w:r>
      <w:r>
        <w:rPr>
          <w:rFonts w:ascii="Times New Roman" w:eastAsia="Times New Roman"/>
        </w:rPr>
        <w:t xml:space="preserve">4 </w:t>
      </w:r>
      <w:r>
        <w:t>位</w:t>
      </w:r>
      <w:r>
        <w:rPr>
          <w:spacing w:val="-24"/>
        </w:rPr>
        <w:t>）</w:t>
      </w:r>
      <w:r>
        <w:rPr>
          <w:spacing w:val="-15"/>
        </w:rPr>
        <w:t>发</w:t>
      </w:r>
      <w:r>
        <w:t>生估值错误时，视为该类基金份额净值错误。</w:t>
      </w:r>
    </w:p>
    <w:p w14:paraId="369A0A73" w14:textId="77777777" w:rsidR="00CD61EF" w:rsidRDefault="002B79C0">
      <w:pPr>
        <w:pStyle w:val="a5"/>
        <w:spacing w:before="3"/>
        <w:ind w:left="600" w:firstLine="0"/>
      </w:pPr>
      <w:r>
        <w:t>本基金合同的当事人应按照以下约定处理：</w:t>
      </w:r>
    </w:p>
    <w:p w14:paraId="4E8FB12C" w14:textId="77777777" w:rsidR="00CD61EF" w:rsidRDefault="002B79C0">
      <w:pPr>
        <w:pStyle w:val="a5"/>
        <w:spacing w:before="161"/>
        <w:ind w:left="600" w:firstLine="0"/>
      </w:pPr>
      <w:r>
        <w:rPr>
          <w:rFonts w:ascii="Times New Roman" w:eastAsia="Times New Roman"/>
        </w:rPr>
        <w:t>1</w:t>
      </w:r>
      <w:r>
        <w:t>、估值错误类型</w:t>
      </w:r>
    </w:p>
    <w:p w14:paraId="798CC530" w14:textId="77777777" w:rsidR="00CD61EF" w:rsidRDefault="002B79C0">
      <w:pPr>
        <w:pStyle w:val="a5"/>
        <w:spacing w:before="160" w:line="364" w:lineRule="auto"/>
        <w:ind w:right="357"/>
        <w:jc w:val="both"/>
      </w:pPr>
      <w:r>
        <w:rPr>
          <w:spacing w:val="-3"/>
        </w:rPr>
        <w:t>本基金运作过程中，如果由于基金管理人或基金托管人、或登记机构、或销售机构、或投资人自身的过错造成估值错误，导致其他当事人遭受损失的，过错的责任人应当对由于该估值错误遭受损失当事人</w:t>
      </w:r>
      <w:r>
        <w:rPr>
          <w:spacing w:val="-120"/>
        </w:rPr>
        <w:t>（</w:t>
      </w:r>
      <w:r>
        <w:rPr>
          <w:spacing w:val="-24"/>
        </w:rPr>
        <w:t>“受损方”</w:t>
      </w:r>
      <w:r>
        <w:rPr>
          <w:spacing w:val="-48"/>
        </w:rPr>
        <w:t>）</w:t>
      </w:r>
      <w:r>
        <w:rPr>
          <w:spacing w:val="-3"/>
        </w:rPr>
        <w:t>的直接损失按下述</w:t>
      </w:r>
      <w:r>
        <w:t xml:space="preserve"> “估值错误处理原则”给予赔偿，承担赔偿责任。</w:t>
      </w:r>
    </w:p>
    <w:p w14:paraId="2875CB55" w14:textId="77777777" w:rsidR="00CD61EF" w:rsidRDefault="002B79C0">
      <w:pPr>
        <w:pStyle w:val="a5"/>
        <w:spacing w:before="3" w:line="364" w:lineRule="auto"/>
        <w:ind w:right="356"/>
      </w:pPr>
      <w:r>
        <w:rPr>
          <w:spacing w:val="-3"/>
        </w:rPr>
        <w:t>上述估值错误的主要类型包括但不限于：资料申报差错、数据传输差错、数</w:t>
      </w:r>
      <w:r>
        <w:t>据计算差错、系统故障差错、下达指令差错等。</w:t>
      </w:r>
    </w:p>
    <w:p w14:paraId="4A065053" w14:textId="77777777" w:rsidR="00CD61EF" w:rsidRDefault="002B79C0">
      <w:pPr>
        <w:pStyle w:val="a5"/>
        <w:ind w:left="600" w:firstLine="0"/>
      </w:pPr>
      <w:r>
        <w:rPr>
          <w:rFonts w:ascii="Times New Roman" w:eastAsia="Times New Roman"/>
        </w:rPr>
        <w:t>2</w:t>
      </w:r>
      <w:r>
        <w:t>、估值错误处理原则</w:t>
      </w:r>
    </w:p>
    <w:p w14:paraId="6F444ED3" w14:textId="77777777" w:rsidR="00CD61EF" w:rsidRDefault="002B79C0">
      <w:pPr>
        <w:pStyle w:val="af2"/>
        <w:numPr>
          <w:ilvl w:val="0"/>
          <w:numId w:val="23"/>
        </w:numPr>
        <w:tabs>
          <w:tab w:val="left" w:pos="1202"/>
        </w:tabs>
        <w:spacing w:before="4" w:line="364" w:lineRule="auto"/>
        <w:ind w:right="361" w:firstLine="479"/>
        <w:rPr>
          <w:spacing w:val="-5"/>
          <w:sz w:val="24"/>
        </w:rPr>
      </w:pPr>
      <w:r>
        <w:rPr>
          <w:spacing w:val="-5"/>
          <w:sz w:val="24"/>
        </w:rPr>
        <w:t xml:space="preserve">估值错误已发生，但尚未给当事人造成损失时，估值错误责任方应及时协调各方，及时进行更正，因更正估值错误发生的费用由估值错误责任方承担； </w:t>
      </w:r>
      <w:r>
        <w:rPr>
          <w:spacing w:val="-5"/>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A90EA37" w14:textId="77777777" w:rsidR="00CD61EF" w:rsidRDefault="002B79C0">
      <w:pPr>
        <w:pStyle w:val="af2"/>
        <w:numPr>
          <w:ilvl w:val="0"/>
          <w:numId w:val="23"/>
        </w:numPr>
        <w:tabs>
          <w:tab w:val="left" w:pos="1202"/>
        </w:tabs>
        <w:spacing w:before="4" w:line="364" w:lineRule="auto"/>
        <w:ind w:right="361" w:firstLine="479"/>
        <w:rPr>
          <w:sz w:val="24"/>
        </w:rPr>
      </w:pPr>
      <w:r>
        <w:rPr>
          <w:spacing w:val="-5"/>
          <w:sz w:val="24"/>
        </w:rPr>
        <w:t>估值错误的责任方对有关当事人的直接损失负责，不对间接损失负责</w:t>
      </w:r>
      <w:r>
        <w:rPr>
          <w:sz w:val="24"/>
        </w:rPr>
        <w:t>，并且仅对估值错误的有关直接当事人负责，不对第三方负责。</w:t>
      </w:r>
    </w:p>
    <w:p w14:paraId="147619AC" w14:textId="77777777" w:rsidR="00CD61EF" w:rsidRDefault="002B79C0">
      <w:pPr>
        <w:pStyle w:val="af2"/>
        <w:numPr>
          <w:ilvl w:val="0"/>
          <w:numId w:val="23"/>
        </w:numPr>
        <w:tabs>
          <w:tab w:val="left" w:pos="1202"/>
        </w:tabs>
        <w:spacing w:before="2" w:line="364" w:lineRule="auto"/>
        <w:ind w:right="357" w:firstLine="479"/>
        <w:jc w:val="both"/>
        <w:rPr>
          <w:sz w:val="24"/>
        </w:rPr>
      </w:pPr>
      <w:r>
        <w:rPr>
          <w:sz w:val="24"/>
        </w:rPr>
        <w:t>因估值错误而获得不当得利的当事人负有及时返还不当得利的义务。</w:t>
      </w:r>
      <w:r>
        <w:rPr>
          <w:spacing w:val="-7"/>
          <w:sz w:val="24"/>
        </w:rPr>
        <w:t>但估值错误责任方仍应对估值错误负责。如果由于获得不当得利的当事人不返还</w:t>
      </w:r>
      <w:r>
        <w:rPr>
          <w:sz w:val="24"/>
        </w:rPr>
        <w:t>或不全部返还不当得利造成其他当事人的利益损失</w:t>
      </w:r>
      <w:r>
        <w:rPr>
          <w:spacing w:val="-120"/>
          <w:sz w:val="24"/>
        </w:rPr>
        <w:t>（</w:t>
      </w:r>
      <w:r>
        <w:rPr>
          <w:sz w:val="24"/>
        </w:rPr>
        <w:t>“受损方</w:t>
      </w:r>
      <w:r>
        <w:rPr>
          <w:spacing w:val="-120"/>
          <w:sz w:val="24"/>
        </w:rPr>
        <w:t>”）</w:t>
      </w:r>
      <w:r>
        <w:rPr>
          <w:sz w:val="24"/>
        </w:rPr>
        <w:t>，则估值错误责</w:t>
      </w:r>
    </w:p>
    <w:p w14:paraId="11C39F39" w14:textId="77777777" w:rsidR="00CD61EF" w:rsidRDefault="002B79C0">
      <w:pPr>
        <w:pStyle w:val="a5"/>
        <w:spacing w:before="64" w:line="364" w:lineRule="auto"/>
        <w:ind w:right="356" w:firstLine="0"/>
        <w:jc w:val="both"/>
      </w:pPr>
      <w:r>
        <w:rPr>
          <w:spacing w:val="-8"/>
        </w:rPr>
        <w:t>任方应赔偿受损方的损失，并在其支付的赔偿金额的范围内对获得不当得利的当</w:t>
      </w:r>
      <w:r>
        <w:rPr>
          <w:spacing w:val="-6"/>
        </w:rPr>
        <w:t>事人享有要求交付不当得利的权利；如果获得不当得利的当事人已经将此部分不</w:t>
      </w:r>
      <w:r>
        <w:rPr>
          <w:spacing w:val="-10"/>
        </w:rPr>
        <w:t>当得利返还给受损方，则受损方应当将其已经获得的赔偿额加上已经获得的不当</w:t>
      </w:r>
      <w:r>
        <w:t>得利返还的总和超过其实际损失的差额部分支付给估值错误责任方。</w:t>
      </w:r>
    </w:p>
    <w:p w14:paraId="18C008FA" w14:textId="77777777" w:rsidR="00CD61EF" w:rsidRDefault="002B79C0">
      <w:pPr>
        <w:pStyle w:val="af2"/>
        <w:numPr>
          <w:ilvl w:val="0"/>
          <w:numId w:val="23"/>
        </w:numPr>
        <w:tabs>
          <w:tab w:val="left" w:pos="1202"/>
        </w:tabs>
        <w:spacing w:before="2"/>
        <w:ind w:left="1201" w:hanging="602"/>
        <w:rPr>
          <w:sz w:val="24"/>
        </w:rPr>
      </w:pPr>
      <w:r>
        <w:rPr>
          <w:sz w:val="24"/>
        </w:rPr>
        <w:t>估值错误调整采用尽量恢复至假设未发生估值错误的正确情形的方式。</w:t>
      </w:r>
    </w:p>
    <w:p w14:paraId="1A252C4C" w14:textId="77777777" w:rsidR="00CD61EF" w:rsidRDefault="002B79C0">
      <w:pPr>
        <w:pStyle w:val="a5"/>
        <w:spacing w:before="161"/>
        <w:ind w:left="600" w:firstLine="0"/>
      </w:pPr>
      <w:r>
        <w:rPr>
          <w:rFonts w:ascii="Times New Roman" w:eastAsia="Times New Roman"/>
        </w:rPr>
        <w:t>3</w:t>
      </w:r>
      <w:r>
        <w:t>、估值错误处理程序</w:t>
      </w:r>
    </w:p>
    <w:p w14:paraId="1F213268" w14:textId="77777777" w:rsidR="00CD61EF" w:rsidRDefault="002B79C0">
      <w:pPr>
        <w:pStyle w:val="a5"/>
        <w:spacing w:before="160"/>
        <w:ind w:left="600" w:firstLine="0"/>
      </w:pPr>
      <w:r>
        <w:t>估值错误被发现后，有关的当事人应当及时进行处理，处理的程序如下：</w:t>
      </w:r>
    </w:p>
    <w:p w14:paraId="57978E9B" w14:textId="77777777" w:rsidR="00CD61EF" w:rsidRDefault="002B79C0">
      <w:pPr>
        <w:pStyle w:val="af2"/>
        <w:numPr>
          <w:ilvl w:val="0"/>
          <w:numId w:val="24"/>
        </w:numPr>
        <w:tabs>
          <w:tab w:val="left" w:pos="1202"/>
        </w:tabs>
        <w:spacing w:before="2" w:line="364" w:lineRule="auto"/>
        <w:ind w:right="364" w:firstLine="479"/>
        <w:rPr>
          <w:sz w:val="24"/>
        </w:rPr>
      </w:pPr>
      <w:r>
        <w:rPr>
          <w:sz w:val="24"/>
        </w:rPr>
        <w:t>查明估值错误发生的原因，列明所有的当事人，并根据估值错误发生的原因确定估值错误的责任方；</w:t>
      </w:r>
    </w:p>
    <w:p w14:paraId="6C46AD71" w14:textId="77777777" w:rsidR="00CD61EF" w:rsidRDefault="002B79C0">
      <w:pPr>
        <w:pStyle w:val="af2"/>
        <w:numPr>
          <w:ilvl w:val="0"/>
          <w:numId w:val="24"/>
        </w:numPr>
        <w:tabs>
          <w:tab w:val="left" w:pos="1202"/>
        </w:tabs>
        <w:spacing w:before="2" w:line="364" w:lineRule="auto"/>
        <w:ind w:right="364" w:firstLine="479"/>
        <w:rPr>
          <w:sz w:val="24"/>
        </w:rPr>
      </w:pPr>
      <w:r>
        <w:rPr>
          <w:sz w:val="24"/>
        </w:rPr>
        <w:t>根据估值错误处理原则或当事人协商的方法对因估值错误造成的损失进行评估；</w:t>
      </w:r>
    </w:p>
    <w:p w14:paraId="6E78BFC9" w14:textId="77777777" w:rsidR="00CD61EF" w:rsidRDefault="002B79C0">
      <w:pPr>
        <w:pStyle w:val="af2"/>
        <w:numPr>
          <w:ilvl w:val="0"/>
          <w:numId w:val="24"/>
        </w:numPr>
        <w:tabs>
          <w:tab w:val="left" w:pos="1202"/>
        </w:tabs>
        <w:spacing w:line="364" w:lineRule="auto"/>
        <w:ind w:right="364" w:firstLine="479"/>
        <w:rPr>
          <w:sz w:val="24"/>
        </w:rPr>
      </w:pPr>
      <w:r>
        <w:rPr>
          <w:sz w:val="24"/>
        </w:rPr>
        <w:t>根据估值错误处理原则或当事人协商的方法由估值错误的责任方进行更正和赔偿损失；</w:t>
      </w:r>
    </w:p>
    <w:p w14:paraId="2962660D" w14:textId="77777777" w:rsidR="00CD61EF" w:rsidRDefault="002B79C0">
      <w:pPr>
        <w:pStyle w:val="af2"/>
        <w:numPr>
          <w:ilvl w:val="0"/>
          <w:numId w:val="24"/>
        </w:numPr>
        <w:tabs>
          <w:tab w:val="left" w:pos="1202"/>
        </w:tabs>
        <w:spacing w:line="364" w:lineRule="auto"/>
        <w:ind w:right="364" w:firstLine="479"/>
        <w:rPr>
          <w:sz w:val="24"/>
        </w:rPr>
      </w:pPr>
      <w:r>
        <w:rPr>
          <w:sz w:val="24"/>
        </w:rPr>
        <w:t>根据估值错误处理的方法，需要修改基金登记机构交易数据的，由基金登记机构进行更正，并就估值错误的更正向有关当事人进行确认。</w:t>
      </w:r>
    </w:p>
    <w:p w14:paraId="3EF1C715" w14:textId="77777777" w:rsidR="00CD61EF" w:rsidRDefault="002B79C0">
      <w:pPr>
        <w:pStyle w:val="a5"/>
        <w:ind w:left="600" w:firstLine="0"/>
      </w:pPr>
      <w:r>
        <w:rPr>
          <w:rFonts w:ascii="Times New Roman" w:eastAsia="Times New Roman"/>
        </w:rPr>
        <w:t>4</w:t>
      </w:r>
      <w:r>
        <w:t>、基金份额净值估值错误处理的方法如下：</w:t>
      </w:r>
    </w:p>
    <w:p w14:paraId="5C6F399C" w14:textId="77777777" w:rsidR="00CD61EF" w:rsidRDefault="002B79C0">
      <w:pPr>
        <w:pStyle w:val="af2"/>
        <w:numPr>
          <w:ilvl w:val="0"/>
          <w:numId w:val="25"/>
        </w:numPr>
        <w:tabs>
          <w:tab w:val="left" w:pos="1202"/>
        </w:tabs>
        <w:spacing w:line="364" w:lineRule="auto"/>
        <w:ind w:right="356" w:firstLine="479"/>
        <w:jc w:val="both"/>
        <w:rPr>
          <w:spacing w:val="-1"/>
          <w:sz w:val="24"/>
        </w:rPr>
      </w:pPr>
      <w:r>
        <w:rPr>
          <w:spacing w:val="-1"/>
          <w:sz w:val="24"/>
        </w:rPr>
        <w:t>基金份额净值计算出现错误时，基金管理人应当立即予以纠正，通报基金托管人，并采取合理的措施防止损失进一步扩大。</w:t>
      </w:r>
    </w:p>
    <w:p w14:paraId="3201EC5D" w14:textId="77777777" w:rsidR="00CD61EF" w:rsidRDefault="002B79C0" w:rsidP="00376EA3">
      <w:pPr>
        <w:pStyle w:val="af2"/>
        <w:numPr>
          <w:ilvl w:val="0"/>
          <w:numId w:val="25"/>
        </w:numPr>
        <w:tabs>
          <w:tab w:val="left" w:pos="1202"/>
        </w:tabs>
        <w:spacing w:before="0" w:line="364" w:lineRule="auto"/>
        <w:ind w:right="356" w:firstLine="479"/>
        <w:jc w:val="both"/>
        <w:rPr>
          <w:sz w:val="24"/>
        </w:rPr>
      </w:pPr>
      <w:r>
        <w:rPr>
          <w:spacing w:val="-1"/>
          <w:sz w:val="24"/>
        </w:rPr>
        <w:t xml:space="preserve">错误偏差达到该类基金份额净值的 </w:t>
      </w:r>
      <w:r>
        <w:rPr>
          <w:rFonts w:ascii="Times New Roman" w:eastAsia="Times New Roman"/>
          <w:sz w:val="24"/>
        </w:rPr>
        <w:t>0.25%</w:t>
      </w:r>
      <w:r>
        <w:rPr>
          <w:sz w:val="24"/>
        </w:rPr>
        <w:t>时，基金管理人应当通报基</w:t>
      </w:r>
      <w:r>
        <w:rPr>
          <w:spacing w:val="-1"/>
          <w:sz w:val="24"/>
        </w:rPr>
        <w:t xml:space="preserve">金托管人并报中国证监会备案；错误偏差达到该类基金份额净值的 </w:t>
      </w:r>
      <w:r>
        <w:rPr>
          <w:rFonts w:ascii="Times New Roman" w:eastAsia="Times New Roman"/>
          <w:sz w:val="24"/>
        </w:rPr>
        <w:t>0.5%</w:t>
      </w:r>
      <w:r>
        <w:rPr>
          <w:sz w:val="24"/>
        </w:rPr>
        <w:t>时，基</w:t>
      </w:r>
      <w:r>
        <w:rPr>
          <w:sz w:val="24"/>
        </w:rPr>
        <w:lastRenderedPageBreak/>
        <w:t>金管理人应当公告并报中国证监会备案。</w:t>
      </w:r>
    </w:p>
    <w:p w14:paraId="0ED58BB2" w14:textId="77777777" w:rsidR="00CD61EF" w:rsidRDefault="002B79C0" w:rsidP="00376EA3">
      <w:pPr>
        <w:pStyle w:val="af2"/>
        <w:numPr>
          <w:ilvl w:val="0"/>
          <w:numId w:val="25"/>
        </w:numPr>
        <w:tabs>
          <w:tab w:val="left" w:pos="1202"/>
        </w:tabs>
        <w:spacing w:before="0" w:line="364" w:lineRule="auto"/>
        <w:ind w:left="600" w:right="1105" w:firstLine="0"/>
        <w:rPr>
          <w:sz w:val="24"/>
        </w:rPr>
      </w:pPr>
      <w:r>
        <w:rPr>
          <w:spacing w:val="-1"/>
          <w:sz w:val="24"/>
        </w:rPr>
        <w:t>前述内容如法律法规或监管机关另有规定的，从其规定处理。</w:t>
      </w:r>
      <w:r>
        <w:rPr>
          <w:rFonts w:hint="eastAsia"/>
          <w:sz w:val="24"/>
        </w:rPr>
        <w:t>（七）</w:t>
      </w:r>
      <w:r>
        <w:rPr>
          <w:sz w:val="24"/>
        </w:rPr>
        <w:t>暂停估值的情形</w:t>
      </w:r>
    </w:p>
    <w:p w14:paraId="315CF253" w14:textId="77777777" w:rsidR="00CD61EF" w:rsidRDefault="002B79C0" w:rsidP="00376EA3">
      <w:pPr>
        <w:pStyle w:val="a5"/>
        <w:spacing w:before="0" w:line="364" w:lineRule="auto"/>
        <w:ind w:right="358"/>
      </w:pPr>
      <w:r>
        <w:rPr>
          <w:rFonts w:ascii="Times New Roman" w:eastAsia="Times New Roman"/>
          <w:spacing w:val="-2"/>
        </w:rPr>
        <w:t>1</w:t>
      </w:r>
      <w:r>
        <w:rPr>
          <w:spacing w:val="-2"/>
        </w:rPr>
        <w:t>、基金投资所涉及的证券</w:t>
      </w:r>
      <w:r>
        <w:rPr>
          <w:rFonts w:ascii="Times New Roman" w:eastAsia="Times New Roman"/>
          <w:spacing w:val="-1"/>
        </w:rPr>
        <w:t>/</w:t>
      </w:r>
      <w:r>
        <w:rPr>
          <w:spacing w:val="-1"/>
        </w:rPr>
        <w:t>期货交易市场遇法定节假日或因其他原因暂停营</w:t>
      </w:r>
      <w:r>
        <w:t>业时；</w:t>
      </w:r>
    </w:p>
    <w:p w14:paraId="55C918A4" w14:textId="77777777" w:rsidR="00CD61EF" w:rsidRDefault="002B79C0" w:rsidP="00376EA3">
      <w:pPr>
        <w:pStyle w:val="a5"/>
        <w:spacing w:before="0"/>
        <w:ind w:left="600" w:firstLine="0"/>
      </w:pPr>
      <w:r>
        <w:rPr>
          <w:rFonts w:ascii="Times New Roman" w:eastAsia="Times New Roman"/>
        </w:rPr>
        <w:t>2</w:t>
      </w:r>
      <w:r>
        <w:rPr>
          <w:spacing w:val="-16"/>
        </w:rPr>
        <w:t>、因不可抗力致使基金管理人、基金托管人无法准确评估基金资产价值时；</w:t>
      </w:r>
    </w:p>
    <w:p w14:paraId="1EC33827" w14:textId="77777777" w:rsidR="00CD61EF" w:rsidRDefault="002B79C0" w:rsidP="00376EA3">
      <w:pPr>
        <w:pStyle w:val="a5"/>
        <w:spacing w:before="0" w:line="364" w:lineRule="auto"/>
        <w:ind w:right="356"/>
      </w:pPr>
      <w:r>
        <w:rPr>
          <w:rFonts w:ascii="Times New Roman" w:eastAsia="Times New Roman"/>
          <w:spacing w:val="-1"/>
        </w:rPr>
        <w:t>3</w:t>
      </w:r>
      <w:r>
        <w:rPr>
          <w:spacing w:val="-4"/>
        </w:rPr>
        <w:t xml:space="preserve">、当特定资产占前一估值日基金资产净值 </w:t>
      </w:r>
      <w:r>
        <w:rPr>
          <w:rFonts w:ascii="Times New Roman" w:eastAsia="Times New Roman"/>
        </w:rPr>
        <w:t>50%</w:t>
      </w:r>
      <w:r>
        <w:t>以上的，经与基金托管人协商确认后，基金管理人应当暂停估值；</w:t>
      </w:r>
    </w:p>
    <w:p w14:paraId="424DEB36" w14:textId="77777777" w:rsidR="00CD61EF" w:rsidRDefault="002B79C0" w:rsidP="00376EA3">
      <w:pPr>
        <w:pStyle w:val="a5"/>
        <w:spacing w:before="0"/>
        <w:ind w:left="600" w:firstLine="0"/>
      </w:pPr>
      <w:r>
        <w:rPr>
          <w:rFonts w:ascii="Times New Roman" w:eastAsia="Times New Roman"/>
        </w:rPr>
        <w:t>4</w:t>
      </w:r>
      <w:r>
        <w:t>、法律法规或中国证监会和基金合同认定的其它情形。</w:t>
      </w:r>
    </w:p>
    <w:p w14:paraId="4245558D" w14:textId="77777777" w:rsidR="00CD61EF" w:rsidRDefault="002B79C0" w:rsidP="00376EA3">
      <w:pPr>
        <w:pStyle w:val="a5"/>
        <w:spacing w:before="0"/>
        <w:ind w:left="600" w:firstLine="0"/>
      </w:pPr>
      <w:r>
        <w:rPr>
          <w:rFonts w:hint="eastAsia"/>
        </w:rPr>
        <w:t>（八）</w:t>
      </w:r>
      <w:r>
        <w:t>基金净值的确认</w:t>
      </w:r>
    </w:p>
    <w:p w14:paraId="78EFE161" w14:textId="77777777" w:rsidR="00CD61EF" w:rsidRDefault="002B79C0" w:rsidP="00376EA3">
      <w:pPr>
        <w:pStyle w:val="a5"/>
        <w:spacing w:before="0" w:line="364" w:lineRule="auto"/>
        <w:ind w:right="357"/>
        <w:jc w:val="both"/>
      </w:pPr>
      <w:r>
        <w:rPr>
          <w:spacing w:val="-4"/>
        </w:rPr>
        <w:t>基金资产净值和各类基金份额净值由基金管理人负责计算，基金托管人负责</w:t>
      </w:r>
      <w:r>
        <w:rPr>
          <w:spacing w:val="-11"/>
        </w:rPr>
        <w:t>进行复核。基金管理人应于每个工作日交易结束后计算当日的基金资产净值和各</w:t>
      </w:r>
      <w:r>
        <w:rPr>
          <w:spacing w:val="-7"/>
        </w:rPr>
        <w:t>类基金份额净值并发送给基金托管人。基金托管人对净值计算结果复核确认后发</w:t>
      </w:r>
      <w:r>
        <w:rPr>
          <w:spacing w:val="-10"/>
        </w:rPr>
        <w:t>送给基金管理人，由基金管理人依据基金合同和相关法律法规的规定对基金净值</w:t>
      </w:r>
      <w:r>
        <w:t>予以公布。</w:t>
      </w:r>
    </w:p>
    <w:p w14:paraId="25A63A4E" w14:textId="77777777" w:rsidR="00CD61EF" w:rsidRDefault="002B79C0" w:rsidP="00376EA3">
      <w:pPr>
        <w:pStyle w:val="a5"/>
        <w:spacing w:before="0" w:line="364" w:lineRule="auto"/>
        <w:ind w:right="357"/>
        <w:jc w:val="both"/>
      </w:pPr>
      <w:r>
        <w:rPr>
          <w:rFonts w:hint="eastAsia"/>
        </w:rPr>
        <w:t>（九）</w:t>
      </w:r>
      <w:r>
        <w:t>实施侧袋机制期间的基金资产估值</w:t>
      </w:r>
    </w:p>
    <w:p w14:paraId="751783BF" w14:textId="77777777" w:rsidR="00CD61EF" w:rsidRDefault="002B79C0" w:rsidP="00376EA3">
      <w:pPr>
        <w:pStyle w:val="a5"/>
        <w:spacing w:before="0" w:line="364" w:lineRule="auto"/>
        <w:ind w:right="244"/>
      </w:pPr>
      <w:r>
        <w:rPr>
          <w:spacing w:val="-9"/>
        </w:rPr>
        <w:t>本基金实施侧袋机制的，应根据本部分的约定对主袋账户资产进行估值并披</w:t>
      </w:r>
      <w:r>
        <w:t>露主袋账户的基金份额净值和基金份额累计净值，暂停披露侧袋账户份额净值。</w:t>
      </w:r>
    </w:p>
    <w:p w14:paraId="2226262F" w14:textId="77777777" w:rsidR="00CD61EF" w:rsidRDefault="002B79C0" w:rsidP="00376EA3">
      <w:pPr>
        <w:pStyle w:val="a5"/>
        <w:spacing w:before="0"/>
        <w:ind w:left="600" w:firstLine="0"/>
      </w:pPr>
      <w:r>
        <w:rPr>
          <w:rFonts w:hint="eastAsia"/>
        </w:rPr>
        <w:t>（十）</w:t>
      </w:r>
      <w:r>
        <w:t>特殊情形的处理</w:t>
      </w:r>
    </w:p>
    <w:p w14:paraId="2C938CDA" w14:textId="77777777" w:rsidR="00CD61EF" w:rsidRDefault="002B79C0" w:rsidP="00376EA3">
      <w:pPr>
        <w:pStyle w:val="a5"/>
        <w:spacing w:before="0" w:line="340" w:lineRule="auto"/>
        <w:ind w:right="358"/>
        <w:jc w:val="both"/>
      </w:pPr>
      <w:r>
        <w:rPr>
          <w:rFonts w:ascii="Times New Roman" w:eastAsia="Times New Roman"/>
          <w:spacing w:val="-1"/>
        </w:rPr>
        <w:t>1</w:t>
      </w:r>
      <w:r>
        <w:rPr>
          <w:spacing w:val="-3"/>
        </w:rPr>
        <w:t xml:space="preserve">、基金管理人或基金托管人按本部分第四条有关估值方法规定的第 </w:t>
      </w:r>
      <w:r>
        <w:rPr>
          <w:rFonts w:ascii="Times New Roman" w:eastAsia="Times New Roman"/>
        </w:rPr>
        <w:t>9</w:t>
      </w:r>
      <w:r>
        <w:rPr>
          <w:rFonts w:ascii="Times New Roman" w:eastAsia="Times New Roman"/>
          <w:spacing w:val="12"/>
        </w:rPr>
        <w:t xml:space="preserve"> </w:t>
      </w:r>
      <w:r>
        <w:t>项条款进行估值时，所造成的误差不作为基金资产估值错误处理。</w:t>
      </w:r>
    </w:p>
    <w:p w14:paraId="338F4E61" w14:textId="77777777" w:rsidR="00CD61EF" w:rsidRDefault="002B79C0" w:rsidP="00376EA3">
      <w:pPr>
        <w:pStyle w:val="a5"/>
        <w:spacing w:before="0" w:line="364" w:lineRule="auto"/>
        <w:ind w:left="0" w:right="357" w:firstLine="599"/>
      </w:pPr>
      <w:r>
        <w:rPr>
          <w:rFonts w:ascii="Times New Roman" w:eastAsia="Times New Roman"/>
          <w:spacing w:val="-2"/>
        </w:rPr>
        <w:t>2</w:t>
      </w:r>
      <w:r>
        <w:rPr>
          <w:spacing w:val="-2"/>
        </w:rPr>
        <w:t>、由于不可抗力原因，或由于证券</w:t>
      </w:r>
      <w:r>
        <w:rPr>
          <w:rFonts w:ascii="Times New Roman" w:eastAsia="Times New Roman"/>
          <w:spacing w:val="-1"/>
        </w:rPr>
        <w:t>/</w:t>
      </w:r>
      <w:r>
        <w:rPr>
          <w:spacing w:val="-1"/>
        </w:rPr>
        <w:t>期货交易所、登记结算公司、证券经纪</w:t>
      </w:r>
      <w:r>
        <w:rPr>
          <w:spacing w:val="-3"/>
        </w:rPr>
        <w:t>机构、期货公司、存款银行等第三方机构发送的数据错误等非基金管理人和基金托管人原因，基金管理人和基金托管人虽然已经采取必要、适当、合理的措施进行检查，但未能发现错误或即使发现错误但因前述原因无法及时更正的，由此造成的基金资产估值错误，基金管理人和基金托管人免除赔偿责任。但基金管理人</w:t>
      </w:r>
      <w:r>
        <w:t>和基金托管人应当积极采取必要的措施减轻或消除由此造成的影响。</w:t>
      </w:r>
    </w:p>
    <w:p w14:paraId="1BBEA825" w14:textId="77777777" w:rsidR="00CD61EF" w:rsidRDefault="002B79C0">
      <w:pPr>
        <w:pStyle w:val="a5"/>
        <w:ind w:left="600" w:firstLine="0"/>
      </w:pPr>
      <w:r>
        <w:t>七、基金合同变更、解除和终止的事由、程序以及基金财产清算方式</w:t>
      </w:r>
    </w:p>
    <w:p w14:paraId="7C456329" w14:textId="77777777" w:rsidR="00CD61EF" w:rsidRDefault="002B79C0">
      <w:pPr>
        <w:pStyle w:val="a5"/>
        <w:spacing w:before="0"/>
        <w:ind w:left="600" w:firstLine="0"/>
      </w:pPr>
      <w:bookmarkStart w:id="73" w:name="_Hlk71719726"/>
      <w:r>
        <w:rPr>
          <w:rFonts w:hint="eastAsia"/>
          <w:spacing w:val="-13"/>
        </w:rPr>
        <w:t>（一）《基金合同》的变更</w:t>
      </w:r>
    </w:p>
    <w:p w14:paraId="0CFA264A" w14:textId="77777777" w:rsidR="00CD61EF" w:rsidRDefault="002B79C0">
      <w:pPr>
        <w:pStyle w:val="a5"/>
        <w:spacing w:before="160" w:line="362" w:lineRule="auto"/>
        <w:ind w:right="357"/>
        <w:jc w:val="both"/>
      </w:pPr>
      <w:r>
        <w:rPr>
          <w:rFonts w:ascii="Times New Roman" w:eastAsia="Times New Roman"/>
        </w:rPr>
        <w:t>1</w:t>
      </w:r>
      <w:r>
        <w:rPr>
          <w:rFonts w:hint="eastAsia"/>
        </w:rPr>
        <w:t>、变更基金合同涉及法律法规规定或本基金合同约定应经基金份额持有人</w:t>
      </w:r>
      <w:r>
        <w:rPr>
          <w:rFonts w:hint="eastAsia"/>
          <w:spacing w:val="-3"/>
        </w:rPr>
        <w:t>大会决议通过的事项的，应召开基金份额持有人大会决议通过。对于法律法规规</w:t>
      </w:r>
      <w:r>
        <w:rPr>
          <w:rFonts w:hint="eastAsia"/>
          <w:spacing w:val="-5"/>
        </w:rPr>
        <w:t>定和基金合同约定可不经基金份额持有人大会决议通过的事项，由基金管理人和</w:t>
      </w:r>
      <w:r>
        <w:rPr>
          <w:rFonts w:hint="eastAsia"/>
        </w:rPr>
        <w:lastRenderedPageBreak/>
        <w:t>基金托管人同意后变更并公告，并报中国证监会备案。</w:t>
      </w:r>
    </w:p>
    <w:p w14:paraId="739BAB3D" w14:textId="77777777" w:rsidR="00CD61EF" w:rsidRDefault="002B79C0">
      <w:pPr>
        <w:pStyle w:val="a5"/>
        <w:spacing w:before="3" w:line="362" w:lineRule="auto"/>
        <w:ind w:right="364"/>
      </w:pPr>
      <w:r>
        <w:rPr>
          <w:rFonts w:ascii="Times New Roman" w:eastAsia="Times New Roman"/>
        </w:rPr>
        <w:t>2</w:t>
      </w:r>
      <w:r>
        <w:rPr>
          <w:rFonts w:hint="eastAsia"/>
        </w:rPr>
        <w:t>、关于《基金合同》变更的基金份额持有人大会决议自生效后方可执行，</w:t>
      </w:r>
      <w:r>
        <w:rPr>
          <w:rFonts w:hint="eastAsia"/>
          <w:spacing w:val="-117"/>
        </w:rPr>
        <w:t xml:space="preserve"> </w:t>
      </w:r>
      <w:r>
        <w:rPr>
          <w:rFonts w:hint="eastAsia"/>
        </w:rPr>
        <w:t>自决议生效后按规定在规定媒介公告。</w:t>
      </w:r>
    </w:p>
    <w:p w14:paraId="36053281" w14:textId="77777777" w:rsidR="00CD61EF" w:rsidRDefault="002B79C0">
      <w:pPr>
        <w:pStyle w:val="a5"/>
        <w:spacing w:before="2"/>
        <w:ind w:left="600" w:firstLine="0"/>
      </w:pPr>
      <w:r>
        <w:rPr>
          <w:rFonts w:hint="eastAsia"/>
          <w:spacing w:val="-12"/>
        </w:rPr>
        <w:t>（二）《基金合同》的终止事由</w:t>
      </w:r>
    </w:p>
    <w:p w14:paraId="006F55B6" w14:textId="77777777" w:rsidR="00CD61EF" w:rsidRDefault="002B79C0">
      <w:pPr>
        <w:pStyle w:val="a5"/>
        <w:spacing w:before="160"/>
        <w:ind w:left="600" w:firstLine="0"/>
      </w:pPr>
      <w:r>
        <w:rPr>
          <w:rFonts w:hint="eastAsia"/>
          <w:spacing w:val="-7"/>
        </w:rPr>
        <w:t>有下列情形之一的，经履行相关程序后，《基金合同》应当终止：</w:t>
      </w:r>
    </w:p>
    <w:p w14:paraId="4A37C83C" w14:textId="77777777" w:rsidR="00CD61EF" w:rsidRDefault="002B79C0">
      <w:pPr>
        <w:pStyle w:val="a5"/>
        <w:spacing w:before="161"/>
        <w:ind w:left="600" w:firstLine="0"/>
      </w:pPr>
      <w:r>
        <w:rPr>
          <w:rFonts w:ascii="Times New Roman" w:eastAsia="Times New Roman"/>
        </w:rPr>
        <w:t>1</w:t>
      </w:r>
      <w:r>
        <w:rPr>
          <w:rFonts w:hint="eastAsia"/>
        </w:rPr>
        <w:t>、基金份额持有人大会决定终止的；</w:t>
      </w:r>
    </w:p>
    <w:p w14:paraId="59098A93" w14:textId="77777777" w:rsidR="00CD61EF" w:rsidRDefault="002B79C0">
      <w:pPr>
        <w:pStyle w:val="a5"/>
        <w:spacing w:before="160" w:line="362" w:lineRule="auto"/>
        <w:ind w:right="356"/>
      </w:pPr>
      <w:r>
        <w:rPr>
          <w:rFonts w:ascii="Times New Roman" w:eastAsia="Times New Roman"/>
          <w:spacing w:val="-1"/>
        </w:rPr>
        <w:t>2</w:t>
      </w:r>
      <w:r>
        <w:rPr>
          <w:rFonts w:hint="eastAsia"/>
          <w:spacing w:val="-4"/>
        </w:rPr>
        <w:t xml:space="preserve">、基金管理人、基金托管人职责终止，在 </w:t>
      </w:r>
      <w:r>
        <w:rPr>
          <w:rFonts w:ascii="Times New Roman" w:eastAsia="Times New Roman"/>
        </w:rPr>
        <w:t>6</w:t>
      </w:r>
      <w:r>
        <w:rPr>
          <w:rFonts w:ascii="Times New Roman" w:eastAsia="Times New Roman"/>
          <w:spacing w:val="14"/>
        </w:rPr>
        <w:t xml:space="preserve"> </w:t>
      </w:r>
      <w:r>
        <w:rPr>
          <w:rFonts w:hint="eastAsia"/>
        </w:rPr>
        <w:t>个月内没有新基金管理人、新基金托管人承接的；</w:t>
      </w:r>
    </w:p>
    <w:p w14:paraId="5E161A78" w14:textId="77777777" w:rsidR="00CD61EF" w:rsidRDefault="002B79C0">
      <w:pPr>
        <w:pStyle w:val="a5"/>
        <w:ind w:left="600" w:firstLine="0"/>
      </w:pPr>
      <w:r>
        <w:rPr>
          <w:rFonts w:ascii="Times New Roman" w:eastAsia="Times New Roman"/>
        </w:rPr>
        <w:t>3</w:t>
      </w:r>
      <w:r>
        <w:rPr>
          <w:rFonts w:hint="eastAsia"/>
        </w:rPr>
        <w:t>、</w:t>
      </w:r>
      <w:r>
        <w:rPr>
          <w:rFonts w:hint="eastAsia"/>
          <w:spacing w:val="-12"/>
        </w:rPr>
        <w:t>《基金合同》约定的其他情形；</w:t>
      </w:r>
    </w:p>
    <w:p w14:paraId="11024B1C" w14:textId="77777777" w:rsidR="00CD61EF" w:rsidRDefault="002B79C0">
      <w:pPr>
        <w:pStyle w:val="a5"/>
        <w:spacing w:before="161" w:line="362" w:lineRule="auto"/>
        <w:ind w:left="600" w:right="3025" w:firstLine="0"/>
      </w:pPr>
      <w:r>
        <w:rPr>
          <w:rFonts w:ascii="Times New Roman" w:eastAsia="Times New Roman"/>
          <w:spacing w:val="-1"/>
        </w:rPr>
        <w:t>4</w:t>
      </w:r>
      <w:r>
        <w:rPr>
          <w:rFonts w:hint="eastAsia"/>
          <w:spacing w:val="-1"/>
        </w:rPr>
        <w:t>、相关法律法规和中国证监会规定的其他情况。</w:t>
      </w:r>
      <w:r>
        <w:rPr>
          <w:rFonts w:hint="eastAsia"/>
        </w:rPr>
        <w:t>（三）基金财产的清算</w:t>
      </w:r>
    </w:p>
    <w:p w14:paraId="200818A9" w14:textId="77777777" w:rsidR="00CD61EF" w:rsidRDefault="002B79C0">
      <w:pPr>
        <w:pStyle w:val="a5"/>
        <w:spacing w:line="362" w:lineRule="auto"/>
        <w:ind w:right="356"/>
        <w:jc w:val="both"/>
      </w:pPr>
      <w:r>
        <w:rPr>
          <w:rFonts w:ascii="Times New Roman" w:eastAsia="Times New Roman"/>
        </w:rPr>
        <w:t>1</w:t>
      </w:r>
      <w:r>
        <w:rPr>
          <w:rFonts w:hint="eastAsia"/>
          <w:spacing w:val="-12"/>
        </w:rPr>
        <w:t xml:space="preserve">、基金财产清算小组：自出现《基金合同》终止事由之日起 </w:t>
      </w:r>
      <w:r>
        <w:rPr>
          <w:rFonts w:ascii="Times New Roman" w:eastAsia="Times New Roman"/>
        </w:rPr>
        <w:t xml:space="preserve">30 </w:t>
      </w:r>
      <w:r>
        <w:rPr>
          <w:rFonts w:hint="eastAsia"/>
          <w:spacing w:val="-4"/>
        </w:rPr>
        <w:t>个工作日内</w:t>
      </w:r>
      <w:r>
        <w:rPr>
          <w:rFonts w:hint="eastAsia"/>
          <w:spacing w:val="-10"/>
        </w:rPr>
        <w:t>成立清算小组，基金管理人组织基金财产清算小组并在中国证监会的监督下进行</w:t>
      </w:r>
      <w:r>
        <w:rPr>
          <w:rFonts w:hint="eastAsia"/>
        </w:rPr>
        <w:t>基金清算。</w:t>
      </w:r>
    </w:p>
    <w:p w14:paraId="71A6DAAA" w14:textId="77777777" w:rsidR="00CD61EF" w:rsidRDefault="002B79C0">
      <w:pPr>
        <w:pStyle w:val="a5"/>
        <w:spacing w:before="2" w:line="362" w:lineRule="auto"/>
        <w:ind w:right="358"/>
        <w:jc w:val="both"/>
      </w:pPr>
      <w:r>
        <w:rPr>
          <w:rFonts w:ascii="Times New Roman" w:eastAsia="Times New Roman"/>
        </w:rPr>
        <w:t>2</w:t>
      </w:r>
      <w:r>
        <w:rPr>
          <w:rFonts w:hint="eastAsia"/>
        </w:rPr>
        <w:t>、基金财产清算小组组成：基金财产清算小组成员由基金管理人、基金托</w:t>
      </w:r>
      <w:r>
        <w:rPr>
          <w:rFonts w:hint="eastAsia"/>
          <w:spacing w:val="-20"/>
        </w:rPr>
        <w:t>管人、符合《证券法》规定的注册会计师、律师以及中国证监会指定的人员组成。</w:t>
      </w:r>
      <w:r>
        <w:rPr>
          <w:rFonts w:hint="eastAsia"/>
        </w:rPr>
        <w:t>基金财产清算小组可以聘用必要的工作人员。</w:t>
      </w:r>
    </w:p>
    <w:p w14:paraId="291FB2B5" w14:textId="77777777" w:rsidR="00CD61EF" w:rsidRDefault="002B79C0">
      <w:pPr>
        <w:pStyle w:val="a5"/>
        <w:spacing w:before="0" w:line="360" w:lineRule="auto"/>
        <w:ind w:right="361"/>
      </w:pPr>
      <w:r>
        <w:rPr>
          <w:rFonts w:ascii="Times New Roman" w:eastAsia="Times New Roman"/>
          <w:spacing w:val="-1"/>
        </w:rPr>
        <w:t>3</w:t>
      </w:r>
      <w:r>
        <w:rPr>
          <w:rFonts w:hint="eastAsia"/>
          <w:spacing w:val="-15"/>
        </w:rPr>
        <w:t>、基金财产清算小组职责：基金财产清算小组负责基金财产的保管、清理、</w:t>
      </w:r>
      <w:r>
        <w:rPr>
          <w:rFonts w:hint="eastAsia"/>
        </w:rPr>
        <w:t>估价、变现和分配。基金财产清算小组可以依法进行必要的民事活动。</w:t>
      </w:r>
    </w:p>
    <w:p w14:paraId="4017827A" w14:textId="77777777" w:rsidR="00CD61EF" w:rsidRDefault="002B79C0">
      <w:pPr>
        <w:pStyle w:val="a5"/>
        <w:spacing w:before="0" w:line="360" w:lineRule="auto"/>
        <w:ind w:left="600" w:firstLine="0"/>
      </w:pPr>
      <w:r>
        <w:rPr>
          <w:rFonts w:ascii="Times New Roman" w:eastAsia="Times New Roman"/>
        </w:rPr>
        <w:t>4</w:t>
      </w:r>
      <w:r>
        <w:rPr>
          <w:rFonts w:hint="eastAsia"/>
        </w:rPr>
        <w:t>、基金财产清算程序：</w:t>
      </w:r>
    </w:p>
    <w:p w14:paraId="60F5490D"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《基金合同》终止情形出现时，由基金财产清算小组统一接管基金财产；</w:t>
      </w:r>
    </w:p>
    <w:p w14:paraId="3D00638C"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对基金财产和债权债务进行清理和确认；</w:t>
      </w:r>
    </w:p>
    <w:p w14:paraId="52F7B3F2"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对基金财产进行估值和变现；</w:t>
      </w:r>
    </w:p>
    <w:p w14:paraId="03BF2CB3"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制作清算报告；</w:t>
      </w:r>
    </w:p>
    <w:p w14:paraId="58228413"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聘请会计师事务所对清算报告进行外部审计，聘请律师事务所对清算报告出具法律意见书；</w:t>
      </w:r>
    </w:p>
    <w:p w14:paraId="3F31BDD2"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将清算报告报中国证监会备案并公告；</w:t>
      </w:r>
    </w:p>
    <w:p w14:paraId="724BF0DC" w14:textId="77777777" w:rsidR="00CD61EF" w:rsidRDefault="002B79C0">
      <w:pPr>
        <w:pStyle w:val="af2"/>
        <w:numPr>
          <w:ilvl w:val="0"/>
          <w:numId w:val="26"/>
        </w:numPr>
        <w:spacing w:before="0" w:line="360" w:lineRule="auto"/>
        <w:ind w:left="0" w:firstLineChars="236" w:firstLine="566"/>
        <w:rPr>
          <w:sz w:val="24"/>
          <w:szCs w:val="24"/>
        </w:rPr>
      </w:pPr>
      <w:r>
        <w:rPr>
          <w:rFonts w:hint="eastAsia"/>
          <w:sz w:val="24"/>
          <w:szCs w:val="24"/>
        </w:rPr>
        <w:t>对基金剩余财产进行分配。</w:t>
      </w:r>
    </w:p>
    <w:p w14:paraId="66642460" w14:textId="77777777" w:rsidR="00CD61EF" w:rsidRDefault="002B79C0">
      <w:pPr>
        <w:pStyle w:val="a5"/>
        <w:spacing w:before="0" w:line="360" w:lineRule="auto"/>
        <w:ind w:right="357"/>
      </w:pPr>
      <w:r>
        <w:rPr>
          <w:rFonts w:ascii="Times New Roman" w:eastAsia="Times New Roman"/>
          <w:spacing w:val="-1"/>
        </w:rPr>
        <w:t>5</w:t>
      </w:r>
      <w:r>
        <w:rPr>
          <w:rFonts w:hint="eastAsia"/>
          <w:spacing w:val="-5"/>
        </w:rPr>
        <w:t xml:space="preserve">、基金财产清算的期限为 </w:t>
      </w:r>
      <w:r>
        <w:rPr>
          <w:rFonts w:ascii="Times New Roman" w:eastAsia="Times New Roman"/>
          <w:spacing w:val="-1"/>
        </w:rPr>
        <w:t>6</w:t>
      </w:r>
      <w:r>
        <w:rPr>
          <w:rFonts w:ascii="Times New Roman" w:eastAsia="Times New Roman"/>
          <w:spacing w:val="12"/>
        </w:rPr>
        <w:t xml:space="preserve"> </w:t>
      </w:r>
      <w:r>
        <w:rPr>
          <w:rFonts w:hint="eastAsia"/>
          <w:spacing w:val="-1"/>
        </w:rPr>
        <w:t>个月，但因本基金所持证券的流动性受到限制</w:t>
      </w:r>
      <w:r>
        <w:rPr>
          <w:rFonts w:hint="eastAsia"/>
        </w:rPr>
        <w:t>而不能及时变现的，清算期限相应顺延。</w:t>
      </w:r>
    </w:p>
    <w:p w14:paraId="2AD46BD7" w14:textId="77777777" w:rsidR="00CD61EF" w:rsidRDefault="002B79C0" w:rsidP="00376EA3">
      <w:pPr>
        <w:pStyle w:val="a5"/>
        <w:spacing w:before="0"/>
        <w:ind w:left="600" w:firstLine="0"/>
      </w:pPr>
      <w:r>
        <w:rPr>
          <w:rFonts w:hint="eastAsia"/>
        </w:rPr>
        <w:lastRenderedPageBreak/>
        <w:t>（四）清算费用</w:t>
      </w:r>
    </w:p>
    <w:p w14:paraId="3239DF56" w14:textId="77777777" w:rsidR="00CD61EF" w:rsidRDefault="002B79C0" w:rsidP="00376EA3">
      <w:pPr>
        <w:pStyle w:val="a5"/>
        <w:spacing w:before="0" w:line="362" w:lineRule="auto"/>
        <w:ind w:right="350"/>
      </w:pPr>
      <w:r>
        <w:rPr>
          <w:rFonts w:hint="eastAsia"/>
        </w:rPr>
        <w:t>清算费用是指基金财产清算小组在进行基金财产清算过程中发生的所有合理费用，清算费用由基金财产清算小组优先从基金剩余财产中支付。</w:t>
      </w:r>
    </w:p>
    <w:p w14:paraId="7139C3FA" w14:textId="77777777" w:rsidR="00CD61EF" w:rsidRDefault="002B79C0" w:rsidP="00376EA3">
      <w:pPr>
        <w:pStyle w:val="a5"/>
        <w:spacing w:before="0"/>
        <w:ind w:left="600" w:firstLine="0"/>
      </w:pPr>
      <w:r>
        <w:rPr>
          <w:rFonts w:hint="eastAsia"/>
        </w:rPr>
        <w:t>（五）基金财产清算剩余资产的分配</w:t>
      </w:r>
    </w:p>
    <w:p w14:paraId="50203093" w14:textId="77777777" w:rsidR="00CD61EF" w:rsidRDefault="002B79C0" w:rsidP="00376EA3">
      <w:pPr>
        <w:pStyle w:val="a5"/>
        <w:spacing w:before="0" w:line="362" w:lineRule="auto"/>
        <w:ind w:right="357"/>
        <w:jc w:val="both"/>
      </w:pPr>
      <w:r>
        <w:rPr>
          <w:rFonts w:hint="eastAsia"/>
          <w:spacing w:val="-7"/>
        </w:rPr>
        <w:t>依据基金财产清算的分配方案，将基金财产清算后的全部剩余资产扣除基金</w:t>
      </w:r>
      <w:r>
        <w:rPr>
          <w:rFonts w:hint="eastAsia"/>
          <w:spacing w:val="-3"/>
        </w:rPr>
        <w:t>财产清算费用、交纳所欠税款并清偿基金债务后，按基金份额持有人持有的基金</w:t>
      </w:r>
      <w:r>
        <w:rPr>
          <w:rFonts w:hint="eastAsia"/>
        </w:rPr>
        <w:t>份额比例进行分配。</w:t>
      </w:r>
    </w:p>
    <w:p w14:paraId="7DF460D3" w14:textId="77777777" w:rsidR="00CD61EF" w:rsidRDefault="002B79C0" w:rsidP="00376EA3">
      <w:pPr>
        <w:pStyle w:val="a5"/>
        <w:spacing w:before="0"/>
        <w:ind w:left="600" w:firstLine="0"/>
      </w:pPr>
      <w:r>
        <w:rPr>
          <w:rFonts w:hint="eastAsia"/>
        </w:rPr>
        <w:t>（六）基金财产清算的公告</w:t>
      </w:r>
    </w:p>
    <w:p w14:paraId="23336E4C" w14:textId="77777777" w:rsidR="00CD61EF" w:rsidRDefault="002B79C0" w:rsidP="00376EA3">
      <w:pPr>
        <w:pStyle w:val="a5"/>
        <w:spacing w:before="0" w:line="362" w:lineRule="auto"/>
        <w:ind w:right="356"/>
        <w:jc w:val="both"/>
      </w:pPr>
      <w:r>
        <w:rPr>
          <w:rFonts w:hint="eastAsia"/>
          <w:spacing w:val="-3"/>
        </w:rPr>
        <w:t>清算过程中的有关重大事项须及时公告；基金财产清算报告经过符合《证券</w:t>
      </w:r>
      <w:r>
        <w:rPr>
          <w:rFonts w:hint="eastAsia"/>
          <w:spacing w:val="-11"/>
        </w:rPr>
        <w:t>法》规定的会计师事务所审计并由律师事务所出具法律意见书后报中国证监会备</w:t>
      </w:r>
      <w:r>
        <w:rPr>
          <w:rFonts w:hint="eastAsia"/>
          <w:spacing w:val="-13"/>
        </w:rPr>
        <w:t xml:space="preserve">案并公告。基金财产清算公告于基金财产清算报告报中国证监会备案后 </w:t>
      </w:r>
      <w:r>
        <w:rPr>
          <w:rFonts w:ascii="Times New Roman" w:eastAsia="Times New Roman"/>
        </w:rPr>
        <w:t xml:space="preserve">5 </w:t>
      </w:r>
      <w:r>
        <w:rPr>
          <w:rFonts w:hint="eastAsia"/>
        </w:rPr>
        <w:t>个工作日内由基金财产清算小组进行公告，基金财产清算小组应当将清算报告登载在规定网站上，并将清算报告提示性公告登载在规定报刊上。</w:t>
      </w:r>
    </w:p>
    <w:p w14:paraId="071B25F7" w14:textId="77777777" w:rsidR="00CD61EF" w:rsidRDefault="002B79C0" w:rsidP="00376EA3">
      <w:pPr>
        <w:pStyle w:val="a5"/>
        <w:spacing w:before="0"/>
        <w:ind w:left="600" w:firstLine="0"/>
      </w:pPr>
      <w:r>
        <w:rPr>
          <w:rFonts w:hint="eastAsia"/>
        </w:rPr>
        <w:t>（七）基金财产清算账册及文件的保存</w:t>
      </w:r>
    </w:p>
    <w:p w14:paraId="378C2BBB" w14:textId="77777777" w:rsidR="00CD61EF" w:rsidRDefault="002B79C0" w:rsidP="00376EA3">
      <w:pPr>
        <w:pStyle w:val="a5"/>
        <w:spacing w:before="0" w:line="364" w:lineRule="auto"/>
        <w:ind w:left="0" w:right="357" w:firstLine="600"/>
      </w:pPr>
      <w:r>
        <w:rPr>
          <w:rFonts w:hint="eastAsia"/>
          <w:spacing w:val="4"/>
          <w:w w:val="95"/>
        </w:rPr>
        <w:t>基金财产清算账册及有关文件由基金托管人保存</w:t>
      </w:r>
      <w:r>
        <w:rPr>
          <w:rFonts w:hint="eastAsia"/>
          <w:w w:val="95"/>
        </w:rPr>
        <w:t>，保存期限不低于法律法规规定的最低期</w:t>
      </w:r>
      <w:bookmarkEnd w:id="73"/>
      <w:r>
        <w:rPr>
          <w:rFonts w:hint="eastAsia"/>
          <w:w w:val="95"/>
        </w:rPr>
        <w:t>限。</w:t>
      </w:r>
    </w:p>
    <w:p w14:paraId="177664DA" w14:textId="77777777" w:rsidR="00CD61EF" w:rsidRDefault="002B79C0" w:rsidP="00376EA3">
      <w:pPr>
        <w:pStyle w:val="a5"/>
        <w:spacing w:before="0"/>
        <w:ind w:left="600" w:firstLine="0"/>
      </w:pPr>
      <w:r>
        <w:t>八、争议解决方式</w:t>
      </w:r>
    </w:p>
    <w:p w14:paraId="3407B059" w14:textId="77777777" w:rsidR="00CD61EF" w:rsidRDefault="002B79C0" w:rsidP="00376EA3">
      <w:pPr>
        <w:spacing w:line="360" w:lineRule="auto"/>
        <w:ind w:firstLine="599"/>
        <w:rPr>
          <w:sz w:val="24"/>
          <w:szCs w:val="24"/>
        </w:rPr>
      </w:pPr>
      <w:r>
        <w:rPr>
          <w:rFonts w:hint="eastAsia"/>
          <w:sz w:val="24"/>
          <w:szCs w:val="24"/>
        </w:rPr>
        <w:t>各方当事人同意，因《基金合同》而产生的或与《基金合同》有关的一切争议，如经友好协商未能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2605262B" w14:textId="77777777" w:rsidR="00CD61EF" w:rsidRDefault="002B79C0" w:rsidP="00376EA3">
      <w:pPr>
        <w:pStyle w:val="a5"/>
        <w:spacing w:before="0" w:line="360" w:lineRule="auto"/>
        <w:ind w:right="361"/>
      </w:pPr>
      <w:r>
        <w:rPr>
          <w:rFonts w:hint="eastAsia"/>
          <w:spacing w:val="-3"/>
        </w:rPr>
        <w:t>争议处理期间，基金管理人、基金托管人应恪守各自的职责，继续忠实、勤勉、尽责</w:t>
      </w:r>
      <w:r>
        <w:rPr>
          <w:rFonts w:hint="eastAsia"/>
        </w:rPr>
        <w:t>地履行《基金合同》规定的义务，维护基金份额持有人的合法权益。</w:t>
      </w:r>
    </w:p>
    <w:p w14:paraId="2E95FF50" w14:textId="77777777" w:rsidR="00CD61EF" w:rsidRDefault="002B79C0" w:rsidP="00376EA3">
      <w:pPr>
        <w:pStyle w:val="a5"/>
        <w:spacing w:before="0" w:line="360" w:lineRule="auto"/>
        <w:ind w:right="361"/>
      </w:pPr>
      <w:r>
        <w:rPr>
          <w:rFonts w:hint="eastAsia"/>
          <w:spacing w:val="-3"/>
        </w:rPr>
        <w:t>《基金合同》受中国法律（为本基金合同之目的，不包括香港特别行政区、澳门</w:t>
      </w:r>
      <w:r>
        <w:rPr>
          <w:rFonts w:hint="eastAsia"/>
        </w:rPr>
        <w:t>特别行政区和台湾地区法律）管辖。</w:t>
      </w:r>
    </w:p>
    <w:p w14:paraId="4B7062AC" w14:textId="77777777" w:rsidR="00CD61EF" w:rsidRDefault="002B79C0" w:rsidP="00376EA3">
      <w:pPr>
        <w:pStyle w:val="a5"/>
        <w:spacing w:before="0" w:line="360" w:lineRule="auto"/>
        <w:ind w:right="361"/>
      </w:pPr>
      <w:r>
        <w:t>九、基金合同存放地和投资者取得基金合同的方式</w:t>
      </w:r>
    </w:p>
    <w:p w14:paraId="779321D9" w14:textId="77777777" w:rsidR="0039147A" w:rsidRDefault="002B79C0" w:rsidP="00376EA3">
      <w:pPr>
        <w:pStyle w:val="a5"/>
        <w:spacing w:before="0" w:line="364" w:lineRule="auto"/>
        <w:ind w:right="361"/>
        <w:rPr>
          <w:rFonts w:hint="eastAsia"/>
        </w:rPr>
      </w:pPr>
      <w:r>
        <w:rPr>
          <w:rFonts w:hint="eastAsia"/>
        </w:rPr>
        <w:t>《基金合同》可印制成册，供投资者在基金管理人、基金托管人、销售机构的办公场所和营业场所查阅</w:t>
      </w:r>
      <w:r w:rsidR="0039147A">
        <w:rPr>
          <w:rFonts w:hint="eastAsia"/>
        </w:rPr>
        <w:t>。</w:t>
      </w:r>
    </w:p>
    <w:p w14:paraId="31864CAF" w14:textId="55D62832" w:rsidR="00AA6CC6" w:rsidRPr="00AA6CC6" w:rsidRDefault="00AA6CC6" w:rsidP="00AA6CC6">
      <w:pPr>
        <w:sectPr w:rsidR="00AA6CC6" w:rsidRPr="00AA6CC6">
          <w:headerReference w:type="default" r:id="rId28"/>
          <w:footerReference w:type="default" r:id="rId29"/>
          <w:pgSz w:w="11910" w:h="16840"/>
          <w:pgMar w:top="1440" w:right="1440" w:bottom="1180" w:left="1680" w:header="877" w:footer="998" w:gutter="0"/>
          <w:cols w:space="720"/>
        </w:sectPr>
      </w:pPr>
    </w:p>
    <w:p w14:paraId="2D64B8C1" w14:textId="61CD6007" w:rsidR="00CD61EF" w:rsidRPr="00AA6CC6" w:rsidRDefault="00CD61EF" w:rsidP="00376EA3">
      <w:pPr>
        <w:pStyle w:val="a5"/>
        <w:spacing w:before="40"/>
        <w:ind w:left="0" w:firstLine="0"/>
        <w:rPr>
          <w:rFonts w:hint="eastAsia"/>
        </w:rPr>
      </w:pPr>
    </w:p>
    <w:sectPr w:rsidR="00CD61EF" w:rsidRPr="00AA6CC6">
      <w:headerReference w:type="default" r:id="rId30"/>
      <w:footerReference w:type="default" r:id="rId31"/>
      <w:pgSz w:w="11910" w:h="16840"/>
      <w:pgMar w:top="1460" w:right="1440" w:bottom="280" w:left="16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BCB99" w14:textId="77777777" w:rsidR="001D3E85" w:rsidRDefault="001D3E85">
      <w:r>
        <w:separator/>
      </w:r>
    </w:p>
  </w:endnote>
  <w:endnote w:type="continuationSeparator" w:id="0">
    <w:p w14:paraId="0A75C7CC" w14:textId="77777777" w:rsidR="001D3E85" w:rsidRDefault="001D3E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ACEA1"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44928" behindDoc="0" locked="0" layoutInCell="1" allowOverlap="1" wp14:anchorId="0015E8B7" wp14:editId="074009FE">
              <wp:simplePos x="0" y="0"/>
              <wp:positionH relativeFrom="margin">
                <wp:align>center</wp:align>
              </wp:positionH>
              <wp:positionV relativeFrom="paragraph">
                <wp:posOffset>0</wp:posOffset>
              </wp:positionV>
              <wp:extent cx="329565" cy="152400"/>
              <wp:effectExtent l="0" t="0" r="0" b="0"/>
              <wp:wrapNone/>
              <wp:docPr id="5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 cy="152400"/>
                      </a:xfrm>
                      <a:prstGeom prst="rect">
                        <a:avLst/>
                      </a:prstGeom>
                      <a:noFill/>
                      <a:ln>
                        <a:noFill/>
                      </a:ln>
                    </wps:spPr>
                    <wps:txbx>
                      <w:txbxContent>
                        <w:p w14:paraId="4D4290BB" w14:textId="77777777" w:rsidR="006D37B1" w:rsidRDefault="006D37B1">
                          <w:pPr>
                            <w:spacing w:before="12"/>
                            <w:ind w:left="6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0015E8B7" id="_x0000_t202" coordsize="21600,21600" o:spt="202" path="m,l,21600r21600,l21600,xe">
              <v:stroke joinstyle="miter"/>
              <v:path gradientshapeok="t" o:connecttype="rect"/>
            </v:shapetype>
            <v:shape id="Text Box 64" o:spid="_x0000_s1028" type="#_x0000_t202" style="position:absolute;margin-left:0;margin-top:0;width:25.95pt;height:12pt;z-index:25164492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" filled="f" stroked="f">
              <v:textbox inset="0,0,0,0">
                <w:txbxContent>
                  <w:p w14:paraId="4D4290BB" w14:textId="77777777" w:rsidR="006D37B1" w:rsidRDefault="006D37B1">
                    <w:pPr>
                      <w:spacing w:before="12"/>
                      <w:ind w:left="6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821B7"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73600" behindDoc="0" locked="0" layoutInCell="1" allowOverlap="1" wp14:anchorId="02F37ACE" wp14:editId="71E58FA8">
              <wp:simplePos x="0" y="0"/>
              <wp:positionH relativeFrom="margin">
                <wp:align>center</wp:align>
              </wp:positionH>
              <wp:positionV relativeFrom="paragraph">
                <wp:posOffset>0</wp:posOffset>
              </wp:positionV>
              <wp:extent cx="278765"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2787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FEFD54" w14:textId="77777777" w:rsidR="006D37B1" w:rsidRDefault="006D37B1">
                          <w:pPr>
                            <w:pStyle w:val="a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02F37ACE" id="_x0000_t202" coordsize="21600,21600" o:spt="202" path="m,l,21600r21600,l21600,xe">
              <v:stroke joinstyle="miter"/>
              <v:path gradientshapeok="t" o:connecttype="rect"/>
            </v:shapetype>
            <v:shape id="文本框 5" o:spid="_x0000_s1030" type="#_x0000_t202" style="position:absolute;margin-left:0;margin-top:0;width:21.95pt;height:2in;z-index:25167360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" filled="f" stroked="f" strokeweight=".5pt">
              <v:textbox style="mso-fit-shape-to-text:t" inset="0,0,0,0">
                <w:txbxContent>
                  <w:p w14:paraId="12FEFD54" w14:textId="77777777" w:rsidR="006D37B1" w:rsidRDefault="006D37B1">
                    <w:pPr>
                      <w:pStyle w:val="a9"/>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14CA4E"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50048" behindDoc="0" locked="0" layoutInCell="1" allowOverlap="1" wp14:anchorId="3C504703" wp14:editId="5384F6D6">
              <wp:simplePos x="0" y="0"/>
              <wp:positionH relativeFrom="margin">
                <wp:posOffset>2891155</wp:posOffset>
              </wp:positionH>
              <wp:positionV relativeFrom="paragraph">
                <wp:posOffset>0</wp:posOffset>
              </wp:positionV>
              <wp:extent cx="414020" cy="278765"/>
              <wp:effectExtent l="0" t="0" r="0" b="0"/>
              <wp:wrapNone/>
              <wp:docPr id="43"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278765"/>
                      </a:xfrm>
                      <a:prstGeom prst="rect">
                        <a:avLst/>
                      </a:prstGeom>
                      <a:noFill/>
                      <a:ln>
                        <a:noFill/>
                      </a:ln>
                    </wps:spPr>
                    <wps:txbx>
                      <w:txbxContent>
                        <w:p w14:paraId="62B354B3"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3C504703" id="_x0000_t202" coordsize="21600,21600" o:spt="202" path="m,l,21600r21600,l21600,xe">
              <v:stroke joinstyle="miter"/>
              <v:path gradientshapeok="t" o:connecttype="rect"/>
            </v:shapetype>
            <v:shape id="Text Box 55" o:spid="_x0000_s1032" type="#_x0000_t202" style="position:absolute;margin-left:227.65pt;margin-top:0;width:32.6pt;height:21.95pt;z-index:2516500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" filled="f" stroked="f">
              <v:textbox inset="0,0,0,0">
                <w:txbxContent>
                  <w:p w14:paraId="62B354B3"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BC967"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54144" behindDoc="0" locked="0" layoutInCell="1" allowOverlap="1" wp14:anchorId="56EFDDF5" wp14:editId="50BB0265">
              <wp:simplePos x="0" y="0"/>
              <wp:positionH relativeFrom="margin">
                <wp:align>center</wp:align>
              </wp:positionH>
              <wp:positionV relativeFrom="paragraph">
                <wp:posOffset>0</wp:posOffset>
              </wp:positionV>
              <wp:extent cx="167005" cy="152400"/>
              <wp:effectExtent l="0" t="0" r="0" b="0"/>
              <wp:wrapNone/>
              <wp:docPr id="3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wps:spPr>
                    <wps:txbx>
                      <w:txbxContent>
                        <w:p w14:paraId="43BD8479"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56EFDDF5" id="_x0000_t202" coordsize="21600,21600" o:spt="202" path="m,l,21600r21600,l21600,xe">
              <v:stroke joinstyle="miter"/>
              <v:path gradientshapeok="t" o:connecttype="rect"/>
            </v:shapetype>
            <v:shape id="Text Box 49" o:spid="_x0000_s1034" type="#_x0000_t202" style="position:absolute;margin-left:0;margin-top:0;width:13.15pt;height:12pt;z-index:25165414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" filled="f" stroked="f">
              <v:textbox inset="0,0,0,0">
                <w:txbxContent>
                  <w:p w14:paraId="43BD8479"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38C61"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59264" behindDoc="0" locked="0" layoutInCell="1" allowOverlap="1" wp14:anchorId="75BA55E8" wp14:editId="0754FB2A">
              <wp:simplePos x="0" y="0"/>
              <wp:positionH relativeFrom="margin">
                <wp:align>center</wp:align>
              </wp:positionH>
              <wp:positionV relativeFrom="paragraph">
                <wp:posOffset>0</wp:posOffset>
              </wp:positionV>
              <wp:extent cx="654050" cy="209550"/>
              <wp:effectExtent l="0" t="0" r="12700" b="0"/>
              <wp:wrapNone/>
              <wp:docPr id="3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050" cy="209550"/>
                      </a:xfrm>
                      <a:prstGeom prst="rect">
                        <a:avLst/>
                      </a:prstGeom>
                      <a:noFill/>
                      <a:ln>
                        <a:noFill/>
                      </a:ln>
                    </wps:spPr>
                    <wps:txbx>
                      <w:txbxContent>
                        <w:p w14:paraId="6277B57F"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75BA55E8" id="_x0000_t202" coordsize="21600,21600" o:spt="202" path="m,l,21600r21600,l21600,xe">
              <v:stroke joinstyle="miter"/>
              <v:path gradientshapeok="t" o:connecttype="rect"/>
            </v:shapetype>
            <v:shape id="Text Box 43" o:spid="_x0000_s1036" type="#_x0000_t202" style="position:absolute;margin-left:0;margin-top:0;width:51.5pt;height:16.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" filled="f" stroked="f">
              <v:textbox inset="0,0,0,0">
                <w:txbxContent>
                  <w:p w14:paraId="6277B57F"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2FC5B"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2336" behindDoc="0" locked="0" layoutInCell="1" allowOverlap="1" wp14:anchorId="1D68BE2C" wp14:editId="3464E7EE">
              <wp:simplePos x="0" y="0"/>
              <wp:positionH relativeFrom="margin">
                <wp:align>center</wp:align>
              </wp:positionH>
              <wp:positionV relativeFrom="paragraph">
                <wp:posOffset>0</wp:posOffset>
              </wp:positionV>
              <wp:extent cx="167005" cy="152400"/>
              <wp:effectExtent l="0" t="0" r="0" b="0"/>
              <wp:wrapNone/>
              <wp:docPr id="2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wps:spPr>
                    <wps:txbx>
                      <w:txbxContent>
                        <w:p w14:paraId="1C608D37"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1D68BE2C" id="_x0000_t202" coordsize="21600,21600" o:spt="202" path="m,l,21600r21600,l21600,xe">
              <v:stroke joinstyle="miter"/>
              <v:path gradientshapeok="t" o:connecttype="rect"/>
            </v:shapetype>
            <v:shape id="Text Box 37" o:spid="_x0000_s1038" type="#_x0000_t202" style="position:absolute;margin-left:0;margin-top:0;width:13.15pt;height:12pt;z-index:25166233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" filled="f" stroked="f">
              <v:textbox inset="0,0,0,0">
                <w:txbxContent>
                  <w:p w14:paraId="1C608D37"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5E31C"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5408" behindDoc="0" locked="0" layoutInCell="1" allowOverlap="1" wp14:anchorId="618691F5" wp14:editId="08557C8D">
              <wp:simplePos x="0" y="0"/>
              <wp:positionH relativeFrom="margin">
                <wp:align>center</wp:align>
              </wp:positionH>
              <wp:positionV relativeFrom="paragraph">
                <wp:posOffset>0</wp:posOffset>
              </wp:positionV>
              <wp:extent cx="167005" cy="152400"/>
              <wp:effectExtent l="0" t="0" r="0" b="0"/>
              <wp:wrapNone/>
              <wp:docPr id="1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wps:spPr>
                    <wps:txbx>
                      <w:txbxContent>
                        <w:p w14:paraId="4C8DAE35"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618691F5" id="_x0000_t202" coordsize="21600,21600" o:spt="202" path="m,l,21600r21600,l21600,xe">
              <v:stroke joinstyle="miter"/>
              <v:path gradientshapeok="t" o:connecttype="rect"/>
            </v:shapetype>
            <v:shape id="Text Box 31" o:spid="_x0000_s1040" type="#_x0000_t202" style="position:absolute;margin-left:0;margin-top:0;width:13.15pt;height:12pt;z-index:25166540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" filled="f" stroked="f">
              <v:textbox inset="0,0,0,0">
                <w:txbxContent>
                  <w:p w14:paraId="4C8DAE35"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C973B"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8480" behindDoc="0" locked="0" layoutInCell="1" allowOverlap="1" wp14:anchorId="47C26741" wp14:editId="15F24B78">
              <wp:simplePos x="0" y="0"/>
              <wp:positionH relativeFrom="margin">
                <wp:align>center</wp:align>
              </wp:positionH>
              <wp:positionV relativeFrom="paragraph">
                <wp:posOffset>0</wp:posOffset>
              </wp:positionV>
              <wp:extent cx="274320" cy="171450"/>
              <wp:effectExtent l="0" t="0" r="0" b="0"/>
              <wp:wrapNone/>
              <wp:docPr id="13"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71450"/>
                      </a:xfrm>
                      <a:prstGeom prst="rect">
                        <a:avLst/>
                      </a:prstGeom>
                      <a:noFill/>
                      <a:ln>
                        <a:noFill/>
                      </a:ln>
                    </wps:spPr>
                    <wps:txbx>
                      <w:txbxContent>
                        <w:p w14:paraId="3FF14E57"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47C26741" id="_x0000_t202" coordsize="21600,21600" o:spt="202" path="m,l,21600r21600,l21600,xe">
              <v:stroke joinstyle="miter"/>
              <v:path gradientshapeok="t" o:connecttype="rect"/>
            </v:shapetype>
            <v:shape id="Text Box 25" o:spid="_x0000_s1042" type="#_x0000_t202" style="position:absolute;margin-left:0;margin-top:0;width:21.6pt;height:13.5pt;z-index:25166848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" filled="f" stroked="f">
              <v:textbox inset="0,0,0,0">
                <w:txbxContent>
                  <w:p w14:paraId="3FF14E57"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F9242"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71552" behindDoc="0" locked="0" layoutInCell="1" allowOverlap="1" wp14:anchorId="4C552023" wp14:editId="2C6D7D32">
              <wp:simplePos x="0" y="0"/>
              <wp:positionH relativeFrom="margin">
                <wp:align>center</wp:align>
              </wp:positionH>
              <wp:positionV relativeFrom="paragraph">
                <wp:posOffset>0</wp:posOffset>
              </wp:positionV>
              <wp:extent cx="869950" cy="234950"/>
              <wp:effectExtent l="0" t="0" r="6350" b="12700"/>
              <wp:wrapNone/>
              <wp:docPr id="7"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950" cy="234950"/>
                      </a:xfrm>
                      <a:prstGeom prst="rect">
                        <a:avLst/>
                      </a:prstGeom>
                      <a:noFill/>
                      <a:ln>
                        <a:noFill/>
                      </a:ln>
                    </wps:spPr>
                    <wps:txbx>
                      <w:txbxContent>
                        <w:p w14:paraId="43982A67"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4C552023" id="_x0000_t202" coordsize="21600,21600" o:spt="202" path="m,l,21600r21600,l21600,xe">
              <v:stroke joinstyle="miter"/>
              <v:path gradientshapeok="t" o:connecttype="rect"/>
            </v:shapetype>
            <v:shape id="Text Box 19" o:spid="_x0000_s1044" type="#_x0000_t202" style="position:absolute;margin-left:0;margin-top:0;width:68.5pt;height:18.5pt;z-index:25167155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" filled="f" stroked="f">
              <v:textbox inset="0,0,0,0">
                <w:txbxContent>
                  <w:p w14:paraId="43982A67"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3A1C2"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1824" behindDoc="0" locked="0" layoutInCell="1" allowOverlap="1" wp14:anchorId="5F730AB7" wp14:editId="622D599D">
              <wp:simplePos x="0" y="0"/>
              <wp:positionH relativeFrom="margin">
                <wp:align>center</wp:align>
              </wp:positionH>
              <wp:positionV relativeFrom="paragraph">
                <wp:posOffset>0</wp:posOffset>
              </wp:positionV>
              <wp:extent cx="742950" cy="234950"/>
              <wp:effectExtent l="0" t="0" r="0" b="1270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234950"/>
                      </a:xfrm>
                      <a:prstGeom prst="rect">
                        <a:avLst/>
                      </a:prstGeom>
                      <a:noFill/>
                      <a:ln>
                        <a:noFill/>
                      </a:ln>
                    </wps:spPr>
                    <wps:txbx>
                      <w:txbxContent>
                        <w:p w14:paraId="49F536EE"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rot="0" vert="horz" wrap="square" lIns="0" tIns="0" rIns="0" bIns="0" anchor="t" anchorCtr="0" upright="1">
                      <a:noAutofit/>
                    </wps:bodyPr>
                  </wps:wsp>
                </a:graphicData>
              </a:graphic>
            </wp:anchor>
          </w:drawing>
        </mc:Choice>
        <mc:Fallback>
          <w:pict>
            <v:shapetype w14:anchorId="5F730AB7" id="_x0000_t202" coordsize="21600,21600" o:spt="202" path="m,l,21600r21600,l21600,xe">
              <v:stroke joinstyle="miter"/>
              <v:path gradientshapeok="t" o:connecttype="rect"/>
            </v:shapetype>
            <v:shape id="Text Box 1" o:spid="_x0000_s1046" type="#_x0000_t202" style="position:absolute;margin-left:0;margin-top:0;width:58.5pt;height:18.5pt;z-index:25166182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" filled="f" stroked="f">
              <v:textbox inset="0,0,0,0">
                <w:txbxContent>
                  <w:p w14:paraId="49F536EE" w14:textId="77777777" w:rsidR="006D37B1" w:rsidRDefault="006D37B1">
                    <w:pPr>
                      <w:spacing w:before="12"/>
                      <w:ind w:left="20"/>
                      <w:rPr>
                        <w:rFonts w:ascii="Times New Roman"/>
                        <w:sz w:val="18"/>
                      </w:rPr>
                    </w:pPr>
                    <w:r>
                      <w:rPr>
                        <w:rFonts w:ascii="Times New Roman"/>
                        <w:sz w:val="18"/>
                      </w:rPr>
                      <w:fldChar w:fldCharType="begin"/>
                    </w:r>
                    <w:r>
                      <w:rPr>
                        <w:rFonts w:ascii="Times New Roman"/>
                        <w:sz w:val="18"/>
                      </w:rPr>
                      <w:instrText xml:space="preserve"> PAGE  \* MERGEFORMAT </w:instrText>
                    </w:r>
                    <w:r>
                      <w:rPr>
                        <w:rFonts w:ascii="Times New Roman"/>
                        <w:sz w:val="18"/>
                      </w:rPr>
                      <w:fldChar w:fldCharType="separate"/>
                    </w:r>
                    <w:r>
                      <w:rPr>
                        <w:rFonts w:ascii="Times New Roman"/>
                        <w:sz w:val="18"/>
                      </w:rPr>
                      <w:t>1</w:t>
                    </w:r>
                    <w:r>
                      <w:rPr>
                        <w:rFonts w:ascii="Times New Roman"/>
                        <w:sz w:val="18"/>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A5802" w14:textId="77777777" w:rsidR="006D37B1" w:rsidRDefault="006D37B1">
    <w:pPr>
      <w:pStyle w:val="a5"/>
      <w:spacing w:before="0" w:line="14" w:lineRule="auto"/>
      <w:ind w:left="0" w:firstLine="0"/>
      <w:rPr>
        <w:sz w:val="2"/>
      </w:rPr>
    </w:pPr>
    <w:r>
      <w:rPr>
        <w:noProof/>
        <w:sz w:val="2"/>
      </w:rPr>
      <mc:AlternateContent>
        <mc:Choice Requires="wps">
          <w:drawing>
            <wp:anchor distT="0" distB="0" distL="114300" distR="114300" simplePos="0" relativeHeight="251674624" behindDoc="0" locked="0" layoutInCell="1" allowOverlap="1" wp14:anchorId="3279E580" wp14:editId="57340A2E">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EB19AA" w14:textId="77777777" w:rsidR="006D37B1" w:rsidRDefault="006D37B1">
                          <w:pPr>
                            <w:pStyle w:val="a9"/>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279E580" id="_x0000_t202" coordsize="21600,21600" o:spt="202" path="m,l,21600r21600,l21600,xe">
              <v:stroke joinstyle="miter"/>
              <v:path gradientshapeok="t" o:connecttype="rect"/>
            </v:shapetype>
            <v:shape id="文本框 11" o:spid="_x0000_s1048" type="#_x0000_t202" style="position:absolute;margin-left:0;margin-top:0;width:2in;height:2in;z-index:2516746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XXVMRWYCAAAUBQAADgAAAAAAAAAAAAAAAAAuAgAAZHJzL2Uyb0Rv&#10;Yy54bWxQSwECLQAUAAYACAAAACEAcarRudcAAAAFAQAADwAAAAAAAAAAAAAAAADABAAAZHJzL2Rv&#10;d25yZXYueG1sUEsFBgAAAAAEAAQA8wAAAMQFAAAAAA==&#10;" filled="f" stroked="f" strokeweight=".5pt">
              <v:textbox style="mso-fit-shape-to-text:t" inset="0,0,0,0">
                <w:txbxContent>
                  <w:p w14:paraId="66EB19AA" w14:textId="77777777" w:rsidR="006D37B1" w:rsidRDefault="006D37B1">
                    <w:pPr>
                      <w:pStyle w:val="a9"/>
                    </w:pPr>
                    <w:r>
                      <w:fldChar w:fldCharType="begin"/>
                    </w:r>
                    <w:r>
                      <w:instrText xml:space="preserve"> PAGE  \* MERGEFORMAT </w:instrText>
                    </w:r>
                    <w:r>
                      <w:fldChar w:fldCharType="separate"/>
                    </w:r>
                    <w:r>
                      <w:t>45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F3C15" w14:textId="77777777" w:rsidR="001D3E85" w:rsidRDefault="001D3E85">
      <w:r>
        <w:separator/>
      </w:r>
    </w:p>
  </w:footnote>
  <w:footnote w:type="continuationSeparator" w:id="0">
    <w:p w14:paraId="34733C6F" w14:textId="77777777" w:rsidR="001D3E85" w:rsidRDefault="001D3E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AD9B1"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40832" behindDoc="1" locked="0" layoutInCell="1" allowOverlap="1" wp14:anchorId="61A42577" wp14:editId="0F66E828">
              <wp:simplePos x="0" y="0"/>
              <wp:positionH relativeFrom="page">
                <wp:posOffset>1125220</wp:posOffset>
              </wp:positionH>
              <wp:positionV relativeFrom="page">
                <wp:posOffset>701040</wp:posOffset>
              </wp:positionV>
              <wp:extent cx="5311775" cy="8890"/>
              <wp:effectExtent l="0" t="0" r="0" b="0"/>
              <wp:wrapNone/>
              <wp:docPr id="56"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70A5B6F5" id="Rectangle 68" o:spid="_x0000_s1026" style="position:absolute;left:0;text-align:left;margin-left:88.6pt;margin-top:55.2pt;width:418.25pt;height:.7pt;z-index:-2516756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641856" behindDoc="1" locked="0" layoutInCell="1" allowOverlap="1" wp14:anchorId="79E5073D" wp14:editId="79E4F8A8">
              <wp:simplePos x="0" y="0"/>
              <wp:positionH relativeFrom="page">
                <wp:posOffset>4119245</wp:posOffset>
              </wp:positionH>
              <wp:positionV relativeFrom="page">
                <wp:posOffset>544195</wp:posOffset>
              </wp:positionV>
              <wp:extent cx="2311400" cy="139700"/>
              <wp:effectExtent l="0" t="0" r="0" b="0"/>
              <wp:wrapNone/>
              <wp:docPr id="55"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7AFA07AE" w14:textId="77777777" w:rsidR="006D37B1" w:rsidRDefault="006D37B1">
                          <w:pPr>
                            <w:spacing w:line="220" w:lineRule="exact"/>
                            <w:ind w:left="20"/>
                            <w:rPr>
                              <w:sz w:val="18"/>
                            </w:rPr>
                          </w:pPr>
                          <w:r>
                            <w:rPr>
                              <w:rFonts w:hint="eastAsia"/>
                              <w:sz w:val="18"/>
                            </w:rPr>
                            <w:t>富荣</w:t>
                          </w:r>
                          <w:r>
                            <w:rPr>
                              <w:sz w:val="18"/>
                            </w:rPr>
                            <w:t>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79E5073D" id="_x0000_t202" coordsize="21600,21600" o:spt="202" path="m,l,21600r21600,l21600,xe">
              <v:stroke joinstyle="miter"/>
              <v:path gradientshapeok="t" o:connecttype="rect"/>
            </v:shapetype>
            <v:shape id="Text Box 67" o:spid="_x0000_s1026" type="#_x0000_t202" style="position:absolute;margin-left:324.35pt;margin-top:42.85pt;width:182pt;height:11pt;z-index:-2516746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s9PZOOwBAAC/AwAADgAAAAAAAAAAAAAAAAAuAgAAZHJzL2Uyb0Rv&#10;Yy54bWxQSwECLQAUAAYACAAAACEAN2NCtd8AAAALAQAADwAAAAAAAAAAAAAAAABGBAAAZHJzL2Rv&#10;d25yZXYueG1sUEsFBgAAAAAEAAQA8wAAAFIFAAAAAA==&#10;" filled="f" stroked="f">
              <v:textbox inset="0,0,0,0">
                <w:txbxContent>
                  <w:p w14:paraId="7AFA07AE" w14:textId="77777777" w:rsidR="006D37B1" w:rsidRDefault="006D37B1">
                    <w:pPr>
                      <w:spacing w:line="220" w:lineRule="exact"/>
                      <w:ind w:left="20"/>
                      <w:rPr>
                        <w:sz w:val="18"/>
                      </w:rPr>
                    </w:pPr>
                    <w:r>
                      <w:rPr>
                        <w:rFonts w:hint="eastAsia"/>
                        <w:sz w:val="18"/>
                      </w:rPr>
                      <w:t>富荣</w:t>
                    </w:r>
                    <w:r>
                      <w:rPr>
                        <w:sz w:val="18"/>
                      </w:rPr>
                      <w:t>中短债债券型证券投资基金基金合同</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DB1CE"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42880" behindDoc="1" locked="0" layoutInCell="1" allowOverlap="1" wp14:anchorId="3F13D930" wp14:editId="602432BA">
              <wp:simplePos x="0" y="0"/>
              <wp:positionH relativeFrom="page">
                <wp:posOffset>1125220</wp:posOffset>
              </wp:positionH>
              <wp:positionV relativeFrom="page">
                <wp:posOffset>701040</wp:posOffset>
              </wp:positionV>
              <wp:extent cx="5311775" cy="8890"/>
              <wp:effectExtent l="0" t="0" r="0" b="0"/>
              <wp:wrapNone/>
              <wp:docPr id="54"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16E27CB6" id="Rectangle 66" o:spid="_x0000_s1026" style="position:absolute;left:0;text-align:left;margin-left:88.6pt;margin-top:55.2pt;width:418.25pt;height:.7pt;z-index:-2516736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643904" behindDoc="1" locked="0" layoutInCell="1" allowOverlap="1" wp14:anchorId="00027303" wp14:editId="67BAE069">
              <wp:simplePos x="0" y="0"/>
              <wp:positionH relativeFrom="page">
                <wp:posOffset>4119245</wp:posOffset>
              </wp:positionH>
              <wp:positionV relativeFrom="page">
                <wp:posOffset>544195</wp:posOffset>
              </wp:positionV>
              <wp:extent cx="2311400" cy="139700"/>
              <wp:effectExtent l="0" t="0" r="0" b="0"/>
              <wp:wrapNone/>
              <wp:docPr id="5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203CC10E" w14:textId="77777777" w:rsidR="006D37B1" w:rsidRDefault="006D37B1">
                          <w:pPr>
                            <w:spacing w:line="220" w:lineRule="exact"/>
                            <w:ind w:left="20"/>
                            <w:rPr>
                              <w:sz w:val="18"/>
                            </w:rPr>
                          </w:pPr>
                          <w:r>
                            <w:rPr>
                              <w:rFonts w:hint="eastAsia"/>
                              <w:sz w:val="18"/>
                            </w:rPr>
                            <w:t>富荣</w:t>
                          </w:r>
                          <w:r>
                            <w:rPr>
                              <w:sz w:val="18"/>
                            </w:rPr>
                            <w:t>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00027303" id="_x0000_t202" coordsize="21600,21600" o:spt="202" path="m,l,21600r21600,l21600,xe">
              <v:stroke joinstyle="miter"/>
              <v:path gradientshapeok="t" o:connecttype="rect"/>
            </v:shapetype>
            <v:shape id="Text Box 65" o:spid="_x0000_s1027" type="#_x0000_t202" style="position:absolute;margin-left:324.35pt;margin-top:42.85pt;width:182pt;height:11pt;z-index:-2516725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xeLEy+wBAAC/AwAADgAAAAAAAAAAAAAAAAAuAgAAZHJzL2Uyb0Rv&#10;Yy54bWxQSwECLQAUAAYACAAAACEAN2NCtd8AAAALAQAADwAAAAAAAAAAAAAAAABGBAAAZHJzL2Rv&#10;d25yZXYueG1sUEsFBgAAAAAEAAQA8wAAAFIFAAAAAA==&#10;" filled="f" stroked="f">
              <v:textbox inset="0,0,0,0">
                <w:txbxContent>
                  <w:p w14:paraId="203CC10E" w14:textId="77777777" w:rsidR="006D37B1" w:rsidRDefault="006D37B1">
                    <w:pPr>
                      <w:spacing w:line="220" w:lineRule="exact"/>
                      <w:ind w:left="20"/>
                      <w:rPr>
                        <w:sz w:val="18"/>
                      </w:rPr>
                    </w:pPr>
                    <w:r>
                      <w:rPr>
                        <w:rFonts w:hint="eastAsia"/>
                        <w:sz w:val="18"/>
                      </w:rPr>
                      <w:t>富荣</w:t>
                    </w:r>
                    <w:r>
                      <w:rPr>
                        <w:sz w:val="18"/>
                      </w:rPr>
                      <w:t>中短债债券型证券投资基金基金合同</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19D1B"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45952" behindDoc="1" locked="0" layoutInCell="1" allowOverlap="1" wp14:anchorId="43AEAA1B" wp14:editId="3ECC13B0">
              <wp:simplePos x="0" y="0"/>
              <wp:positionH relativeFrom="page">
                <wp:posOffset>1125220</wp:posOffset>
              </wp:positionH>
              <wp:positionV relativeFrom="page">
                <wp:posOffset>701040</wp:posOffset>
              </wp:positionV>
              <wp:extent cx="5311775" cy="8890"/>
              <wp:effectExtent l="0" t="0" r="0" b="0"/>
              <wp:wrapNone/>
              <wp:docPr id="48"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1C8C882F" id="Rectangle 60" o:spid="_x0000_s1026" style="position:absolute;left:0;text-align:left;margin-left:88.6pt;margin-top:55.2pt;width:418.25pt;height:.7pt;z-index:-2516705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" fillcolor="black" stroked="f">
              <w10:wrap anchorx="page" anchory="page"/>
            </v:rect>
          </w:pict>
        </mc:Fallback>
      </mc:AlternateContent>
    </w:r>
    <w:r>
      <w:rPr>
        <w:noProof/>
      </w:rPr>
      <mc:AlternateContent>
        <mc:Choice Requires="wps">
          <w:drawing>
            <wp:anchor distT="0" distB="0" distL="114300" distR="114300" simplePos="0" relativeHeight="251646976" behindDoc="1" locked="0" layoutInCell="1" allowOverlap="1" wp14:anchorId="623102DA" wp14:editId="361C2C8B">
              <wp:simplePos x="0" y="0"/>
              <wp:positionH relativeFrom="page">
                <wp:posOffset>4119245</wp:posOffset>
              </wp:positionH>
              <wp:positionV relativeFrom="page">
                <wp:posOffset>544195</wp:posOffset>
              </wp:positionV>
              <wp:extent cx="2311400" cy="139700"/>
              <wp:effectExtent l="0" t="0" r="0" b="0"/>
              <wp:wrapNone/>
              <wp:docPr id="47"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48BBE493"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623102DA" id="_x0000_t202" coordsize="21600,21600" o:spt="202" path="m,l,21600r21600,l21600,xe">
              <v:stroke joinstyle="miter"/>
              <v:path gradientshapeok="t" o:connecttype="rect"/>
            </v:shapetype>
            <v:shape id="Text Box 59" o:spid="_x0000_s1029" type="#_x0000_t202" style="position:absolute;margin-left:324.35pt;margin-top:42.85pt;width:182pt;height:11pt;z-index:-2516695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hrtcb+wBAAC/AwAADgAAAAAAAAAAAAAAAAAuAgAAZHJzL2Uyb0Rv&#10;Yy54bWxQSwECLQAUAAYACAAAACEAN2NCtd8AAAALAQAADwAAAAAAAAAAAAAAAABGBAAAZHJzL2Rv&#10;d25yZXYueG1sUEsFBgAAAAAEAAQA8wAAAFIFAAAAAA==&#10;" filled="f" stroked="f">
              <v:textbox inset="0,0,0,0">
                <w:txbxContent>
                  <w:p w14:paraId="48BBE493"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473C7F"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48000" behindDoc="1" locked="0" layoutInCell="1" allowOverlap="1" wp14:anchorId="0A59DCCB" wp14:editId="0EC524F5">
              <wp:simplePos x="0" y="0"/>
              <wp:positionH relativeFrom="page">
                <wp:posOffset>1125220</wp:posOffset>
              </wp:positionH>
              <wp:positionV relativeFrom="page">
                <wp:posOffset>701040</wp:posOffset>
              </wp:positionV>
              <wp:extent cx="5311775" cy="8890"/>
              <wp:effectExtent l="0" t="0" r="0" b="0"/>
              <wp:wrapNone/>
              <wp:docPr id="45"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7490199A" id="Rectangle 57" o:spid="_x0000_s1026" style="position:absolute;left:0;text-align:left;margin-left:88.6pt;margin-top:55.2pt;width:418.25pt;height:.7pt;z-index:-25166848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649024" behindDoc="1" locked="0" layoutInCell="1" allowOverlap="1" wp14:anchorId="7A4B12C9" wp14:editId="3C278779">
              <wp:simplePos x="0" y="0"/>
              <wp:positionH relativeFrom="page">
                <wp:posOffset>4119245</wp:posOffset>
              </wp:positionH>
              <wp:positionV relativeFrom="page">
                <wp:posOffset>544195</wp:posOffset>
              </wp:positionV>
              <wp:extent cx="2311400" cy="139700"/>
              <wp:effectExtent l="0" t="0" r="0" b="0"/>
              <wp:wrapNone/>
              <wp:docPr id="44"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22C5C57B"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7A4B12C9" id="_x0000_t202" coordsize="21600,21600" o:spt="202" path="m,l,21600r21600,l21600,xe">
              <v:stroke joinstyle="miter"/>
              <v:path gradientshapeok="t" o:connecttype="rect"/>
            </v:shapetype>
            <v:shape id="Text Box 56" o:spid="_x0000_s1031" type="#_x0000_t202" style="position:absolute;margin-left:324.35pt;margin-top:42.85pt;width:182pt;height:11pt;z-index:-25166745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" filled="f" stroked="f">
              <v:textbox inset="0,0,0,0">
                <w:txbxContent>
                  <w:p w14:paraId="22C5C57B"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06F31"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51072" behindDoc="1" locked="0" layoutInCell="1" allowOverlap="1" wp14:anchorId="022CE6B6" wp14:editId="2EFE4D54">
              <wp:simplePos x="0" y="0"/>
              <wp:positionH relativeFrom="page">
                <wp:posOffset>1125220</wp:posOffset>
              </wp:positionH>
              <wp:positionV relativeFrom="page">
                <wp:posOffset>701040</wp:posOffset>
              </wp:positionV>
              <wp:extent cx="5311775" cy="8890"/>
              <wp:effectExtent l="0" t="0" r="0" b="0"/>
              <wp:wrapNone/>
              <wp:docPr id="39"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00A55A6E" id="Rectangle 51" o:spid="_x0000_s1026" style="position:absolute;left:0;text-align:left;margin-left:88.6pt;margin-top:55.2pt;width:418.25pt;height:.7pt;z-index:-25166540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" fillcolor="black" stroked="f">
              <w10:wrap anchorx="page" anchory="page"/>
            </v:rect>
          </w:pict>
        </mc:Fallback>
      </mc:AlternateContent>
    </w:r>
    <w:r>
      <w:rPr>
        <w:noProof/>
      </w:rPr>
      <mc:AlternateContent>
        <mc:Choice Requires="wps">
          <w:drawing>
            <wp:anchor distT="0" distB="0" distL="114300" distR="114300" simplePos="0" relativeHeight="251652096" behindDoc="1" locked="0" layoutInCell="1" allowOverlap="1" wp14:anchorId="5EAD4CDF" wp14:editId="6CE96455">
              <wp:simplePos x="0" y="0"/>
              <wp:positionH relativeFrom="page">
                <wp:posOffset>4119245</wp:posOffset>
              </wp:positionH>
              <wp:positionV relativeFrom="page">
                <wp:posOffset>544195</wp:posOffset>
              </wp:positionV>
              <wp:extent cx="2311400" cy="139700"/>
              <wp:effectExtent l="0" t="0" r="0" b="0"/>
              <wp:wrapNone/>
              <wp:docPr id="38"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6C2FC379"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5EAD4CDF" id="_x0000_t202" coordsize="21600,21600" o:spt="202" path="m,l,21600r21600,l21600,xe">
              <v:stroke joinstyle="miter"/>
              <v:path gradientshapeok="t" o:connecttype="rect"/>
            </v:shapetype>
            <v:shape id="Text Box 50" o:spid="_x0000_s1033" type="#_x0000_t202" style="position:absolute;margin-left:324.35pt;margin-top:42.85pt;width:182pt;height:11pt;z-index:-25166438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c7D9GOwBAAC/AwAADgAAAAAAAAAAAAAAAAAuAgAAZHJzL2Uyb0Rv&#10;Yy54bWxQSwECLQAUAAYACAAAACEAN2NCtd8AAAALAQAADwAAAAAAAAAAAAAAAABGBAAAZHJzL2Rv&#10;d25yZXYueG1sUEsFBgAAAAAEAAQA8wAAAFIFAAAAAA==&#10;" filled="f" stroked="f">
              <v:textbox inset="0,0,0,0">
                <w:txbxContent>
                  <w:p w14:paraId="6C2FC379"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9FA01"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56192" behindDoc="1" locked="0" layoutInCell="1" allowOverlap="1" wp14:anchorId="14DAD052" wp14:editId="3157BDBA">
              <wp:simplePos x="0" y="0"/>
              <wp:positionH relativeFrom="page">
                <wp:posOffset>1125220</wp:posOffset>
              </wp:positionH>
              <wp:positionV relativeFrom="page">
                <wp:posOffset>701040</wp:posOffset>
              </wp:positionV>
              <wp:extent cx="5311775" cy="8890"/>
              <wp:effectExtent l="0" t="0" r="0" b="0"/>
              <wp:wrapNone/>
              <wp:docPr id="33"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4E31732C" id="Rectangle 45" o:spid="_x0000_s1026" style="position:absolute;left:0;text-align:left;margin-left:88.6pt;margin-top:55.2pt;width:418.25pt;height:.7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657216" behindDoc="1" locked="0" layoutInCell="1" allowOverlap="1" wp14:anchorId="4812AD77" wp14:editId="0E1644AB">
              <wp:simplePos x="0" y="0"/>
              <wp:positionH relativeFrom="page">
                <wp:posOffset>4119245</wp:posOffset>
              </wp:positionH>
              <wp:positionV relativeFrom="page">
                <wp:posOffset>544195</wp:posOffset>
              </wp:positionV>
              <wp:extent cx="2311400" cy="139700"/>
              <wp:effectExtent l="0" t="0" r="0" b="0"/>
              <wp:wrapNone/>
              <wp:docPr id="3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23C4443C"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4812AD77" id="_x0000_t202" coordsize="21600,21600" o:spt="202" path="m,l,21600r21600,l21600,xe">
              <v:stroke joinstyle="miter"/>
              <v:path gradientshapeok="t" o:connecttype="rect"/>
            </v:shapetype>
            <v:shape id="Text Box 44" o:spid="_x0000_s1035" type="#_x0000_t202" style="position:absolute;margin-left:324.35pt;margin-top:42.85pt;width:182pt;height:11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eeZ0Y+wBAADAAwAADgAAAAAAAAAAAAAAAAAuAgAAZHJzL2Uyb0Rv&#10;Yy54bWxQSwECLQAUAAYACAAAACEAN2NCtd8AAAALAQAADwAAAAAAAAAAAAAAAABGBAAAZHJzL2Rv&#10;d25yZXYueG1sUEsFBgAAAAAEAAQA8wAAAFIFAAAAAA==&#10;" filled="f" stroked="f">
              <v:textbox inset="0,0,0,0">
                <w:txbxContent>
                  <w:p w14:paraId="23C4443C"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3DD7E"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0288" behindDoc="1" locked="0" layoutInCell="1" allowOverlap="1" wp14:anchorId="7DE174E4" wp14:editId="62341FB8">
              <wp:simplePos x="0" y="0"/>
              <wp:positionH relativeFrom="page">
                <wp:posOffset>1125220</wp:posOffset>
              </wp:positionH>
              <wp:positionV relativeFrom="page">
                <wp:posOffset>701040</wp:posOffset>
              </wp:positionV>
              <wp:extent cx="5311775" cy="8890"/>
              <wp:effectExtent l="0" t="0" r="0" b="0"/>
              <wp:wrapNone/>
              <wp:docPr id="2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2207DBE9" id="Rectangle 39" o:spid="_x0000_s1026" style="position:absolute;left:0;text-align:left;margin-left:88.6pt;margin-top:55.2pt;width:418.25pt;height:.7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661312" behindDoc="1" locked="0" layoutInCell="1" allowOverlap="1" wp14:anchorId="4F8B5F9E" wp14:editId="04B1CF28">
              <wp:simplePos x="0" y="0"/>
              <wp:positionH relativeFrom="page">
                <wp:posOffset>4119245</wp:posOffset>
              </wp:positionH>
              <wp:positionV relativeFrom="page">
                <wp:posOffset>544195</wp:posOffset>
              </wp:positionV>
              <wp:extent cx="2311400" cy="139700"/>
              <wp:effectExtent l="0" t="0" r="0" b="0"/>
              <wp:wrapNone/>
              <wp:docPr id="26"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6DD39697"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4F8B5F9E" id="_x0000_t202" coordsize="21600,21600" o:spt="202" path="m,l,21600r21600,l21600,xe">
              <v:stroke joinstyle="miter"/>
              <v:path gradientshapeok="t" o:connecttype="rect"/>
            </v:shapetype>
            <v:shape id="Text Box 38" o:spid="_x0000_s1037" type="#_x0000_t202" style="position:absolute;margin-left:324.35pt;margin-top:42.85pt;width:182pt;height:1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" filled="f" stroked="f">
              <v:textbox inset="0,0,0,0">
                <w:txbxContent>
                  <w:p w14:paraId="6DD39697"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62922"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3360" behindDoc="1" locked="0" layoutInCell="1" allowOverlap="1" wp14:anchorId="7D38BCDA" wp14:editId="1E226A5B">
              <wp:simplePos x="0" y="0"/>
              <wp:positionH relativeFrom="page">
                <wp:posOffset>1125220</wp:posOffset>
              </wp:positionH>
              <wp:positionV relativeFrom="page">
                <wp:posOffset>701040</wp:posOffset>
              </wp:positionV>
              <wp:extent cx="5311775" cy="8890"/>
              <wp:effectExtent l="0" t="0" r="0" b="0"/>
              <wp:wrapNone/>
              <wp:docPr id="21"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447A0741" id="Rectangle 33" o:spid="_x0000_s1026" style="position:absolute;left:0;text-align:left;margin-left:88.6pt;margin-top:55.2pt;width:418.25pt;height:.7pt;z-index:-25165312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" fillcolor="black" stroked="f">
              <w10:wrap anchorx="page" anchory="page"/>
            </v:rect>
          </w:pict>
        </mc:Fallback>
      </mc:AlternateContent>
    </w:r>
    <w:r>
      <w:rPr>
        <w:noProof/>
      </w:rPr>
      <mc:AlternateContent>
        <mc:Choice Requires="wps">
          <w:drawing>
            <wp:anchor distT="0" distB="0" distL="114300" distR="114300" simplePos="0" relativeHeight="251664384" behindDoc="1" locked="0" layoutInCell="1" allowOverlap="1" wp14:anchorId="3B2D6D36" wp14:editId="2956F72F">
              <wp:simplePos x="0" y="0"/>
              <wp:positionH relativeFrom="page">
                <wp:posOffset>4119245</wp:posOffset>
              </wp:positionH>
              <wp:positionV relativeFrom="page">
                <wp:posOffset>544195</wp:posOffset>
              </wp:positionV>
              <wp:extent cx="2311400" cy="139700"/>
              <wp:effectExtent l="0" t="0" r="0" b="0"/>
              <wp:wrapNone/>
              <wp:docPr id="20"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5286E3BB"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3B2D6D36" id="_x0000_t202" coordsize="21600,21600" o:spt="202" path="m,l,21600r21600,l21600,xe">
              <v:stroke joinstyle="miter"/>
              <v:path gradientshapeok="t" o:connecttype="rect"/>
            </v:shapetype>
            <v:shape id="Text Box 32" o:spid="_x0000_s1039" type="#_x0000_t202" style="position:absolute;margin-left:324.35pt;margin-top:42.85pt;width:182pt;height:11pt;z-index:-25165209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ALag4OwBAADAAwAADgAAAAAAAAAAAAAAAAAuAgAAZHJzL2Uyb0Rv&#10;Yy54bWxQSwECLQAUAAYACAAAACEAN2NCtd8AAAALAQAADwAAAAAAAAAAAAAAAABGBAAAZHJzL2Rv&#10;d25yZXYueG1sUEsFBgAAAAAEAAQA8wAAAFIFAAAAAA==&#10;" filled="f" stroked="f">
              <v:textbox inset="0,0,0,0">
                <w:txbxContent>
                  <w:p w14:paraId="5286E3BB"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F8BE0"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6432" behindDoc="1" locked="0" layoutInCell="1" allowOverlap="1" wp14:anchorId="752617E7" wp14:editId="5297E2B8">
              <wp:simplePos x="0" y="0"/>
              <wp:positionH relativeFrom="page">
                <wp:posOffset>1125220</wp:posOffset>
              </wp:positionH>
              <wp:positionV relativeFrom="page">
                <wp:posOffset>701040</wp:posOffset>
              </wp:positionV>
              <wp:extent cx="5311775" cy="8890"/>
              <wp:effectExtent l="0" t="0" r="0" b="0"/>
              <wp:wrapNone/>
              <wp:docPr id="1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4B389D0A" id="Rectangle 27" o:spid="_x0000_s1026" style="position:absolute;left:0;text-align:left;margin-left:88.6pt;margin-top:55.2pt;width:418.25pt;height:.7pt;z-index:-2516500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" fillcolor="black" stroked="f">
              <w10:wrap anchorx="page" anchory="page"/>
            </v:rect>
          </w:pict>
        </mc:Fallback>
      </mc:AlternateContent>
    </w:r>
    <w:r>
      <w:rPr>
        <w:noProof/>
      </w:rPr>
      <mc:AlternateContent>
        <mc:Choice Requires="wps">
          <w:drawing>
            <wp:anchor distT="0" distB="0" distL="114300" distR="114300" simplePos="0" relativeHeight="251667456" behindDoc="1" locked="0" layoutInCell="1" allowOverlap="1" wp14:anchorId="4C25CC02" wp14:editId="27E1A136">
              <wp:simplePos x="0" y="0"/>
              <wp:positionH relativeFrom="page">
                <wp:posOffset>4119245</wp:posOffset>
              </wp:positionH>
              <wp:positionV relativeFrom="page">
                <wp:posOffset>544195</wp:posOffset>
              </wp:positionV>
              <wp:extent cx="2311400" cy="139700"/>
              <wp:effectExtent l="0" t="0" r="0" b="0"/>
              <wp:wrapNone/>
              <wp:docPr id="1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101494A4"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4C25CC02" id="_x0000_t202" coordsize="21600,21600" o:spt="202" path="m,l,21600r21600,l21600,xe">
              <v:stroke joinstyle="miter"/>
              <v:path gradientshapeok="t" o:connecttype="rect"/>
            </v:shapetype>
            <v:shape id="Text Box 26" o:spid="_x0000_s1041" type="#_x0000_t202" style="position:absolute;margin-left:324.35pt;margin-top:42.85pt;width:182pt;height:11pt;z-index:-25164902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" filled="f" stroked="f">
              <v:textbox inset="0,0,0,0">
                <w:txbxContent>
                  <w:p w14:paraId="101494A4"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A3996"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69504" behindDoc="1" locked="0" layoutInCell="1" allowOverlap="1" wp14:anchorId="01EC9F04" wp14:editId="0B45EC93">
              <wp:simplePos x="0" y="0"/>
              <wp:positionH relativeFrom="page">
                <wp:posOffset>1125220</wp:posOffset>
              </wp:positionH>
              <wp:positionV relativeFrom="page">
                <wp:posOffset>701040</wp:posOffset>
              </wp:positionV>
              <wp:extent cx="5311775" cy="8890"/>
              <wp:effectExtent l="0" t="0" r="0" b="0"/>
              <wp:wrapNone/>
              <wp:docPr id="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1D2AAE02" id="Rectangle 21" o:spid="_x0000_s1026" style="position:absolute;left:0;text-align:left;margin-left:88.6pt;margin-top:55.2pt;width:418.25pt;height:.7pt;z-index:-2516469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" fillcolor="black" stroked="f">
              <w10:wrap anchorx="page" anchory="page"/>
            </v:rect>
          </w:pict>
        </mc:Fallback>
      </mc:AlternateContent>
    </w:r>
    <w:r>
      <w:rPr>
        <w:noProof/>
      </w:rPr>
      <mc:AlternateContent>
        <mc:Choice Requires="wps">
          <w:drawing>
            <wp:anchor distT="0" distB="0" distL="114300" distR="114300" simplePos="0" relativeHeight="251670528" behindDoc="1" locked="0" layoutInCell="1" allowOverlap="1" wp14:anchorId="3F0E3CE7" wp14:editId="14917CCD">
              <wp:simplePos x="0" y="0"/>
              <wp:positionH relativeFrom="page">
                <wp:posOffset>4119245</wp:posOffset>
              </wp:positionH>
              <wp:positionV relativeFrom="page">
                <wp:posOffset>544195</wp:posOffset>
              </wp:positionV>
              <wp:extent cx="2311400" cy="139700"/>
              <wp:effectExtent l="0" t="0" r="0" b="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597FD953"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3F0E3CE7" id="_x0000_t202" coordsize="21600,21600" o:spt="202" path="m,l,21600r21600,l21600,xe">
              <v:stroke joinstyle="miter"/>
              <v:path gradientshapeok="t" o:connecttype="rect"/>
            </v:shapetype>
            <v:shape id="Text Box 20" o:spid="_x0000_s1043" type="#_x0000_t202" style="position:absolute;margin-left:324.35pt;margin-top:42.85pt;width:182pt;height:11pt;z-index:-2516459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" filled="f" stroked="f">
              <v:textbox inset="0,0,0,0">
                <w:txbxContent>
                  <w:p w14:paraId="597FD953"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1F44A" w14:textId="77777777" w:rsidR="006D37B1" w:rsidRDefault="006D37B1">
    <w:pPr>
      <w:pStyle w:val="a5"/>
      <w:spacing w:before="0" w:line="14" w:lineRule="auto"/>
      <w:ind w:left="0" w:firstLine="0"/>
      <w:rPr>
        <w:sz w:val="20"/>
      </w:rPr>
    </w:pPr>
    <w:r>
      <w:rPr>
        <w:noProof/>
      </w:rPr>
      <mc:AlternateContent>
        <mc:Choice Requires="wps">
          <w:drawing>
            <wp:anchor distT="0" distB="0" distL="114300" distR="114300" simplePos="0" relativeHeight="251655680" behindDoc="1" locked="0" layoutInCell="1" allowOverlap="1" wp14:anchorId="46118466" wp14:editId="7F68ADE5">
              <wp:simplePos x="0" y="0"/>
              <wp:positionH relativeFrom="page">
                <wp:posOffset>1125220</wp:posOffset>
              </wp:positionH>
              <wp:positionV relativeFrom="page">
                <wp:posOffset>701040</wp:posOffset>
              </wp:positionV>
              <wp:extent cx="5311775" cy="889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11775" cy="8890"/>
                      </a:xfrm>
                      <a:prstGeom prst="rect">
                        <a:avLst/>
                      </a:prstGeom>
                      <a:solidFill>
                        <a:srgbClr val="000000"/>
                      </a:solidFill>
                      <a:ln>
                        <a:noFill/>
                      </a:ln>
                    </wps:spPr>
                    <wps:bodyPr rot="0" vert="horz" wrap="square" lIns="91440" tIns="45720" rIns="91440" bIns="45720" anchor="t" anchorCtr="0" upright="1">
                      <a:noAutofit/>
                    </wps:bodyPr>
                  </wps:wsp>
                </a:graphicData>
              </a:graphic>
            </wp:anchor>
          </w:drawing>
        </mc:Choice>
        <mc:Fallback>
          <w:pict>
            <v:rect w14:anchorId="6AE8617D" id="Rectangle 3" o:spid="_x0000_s1026" style="position:absolute;left:0;text-align:left;margin-left:88.6pt;margin-top:55.2pt;width:418.25pt;height:.7pt;z-index:-25166080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" fillcolor="black" stroked="f">
              <w10:wrap anchorx="page" anchory="page"/>
            </v:rect>
          </w:pict>
        </mc:Fallback>
      </mc:AlternateContent>
    </w:r>
    <w:r>
      <w:rPr>
        <w:noProof/>
      </w:rPr>
      <mc:AlternateContent>
        <mc:Choice Requires="wps">
          <w:drawing>
            <wp:anchor distT="0" distB="0" distL="114300" distR="114300" simplePos="0" relativeHeight="251658752" behindDoc="1" locked="0" layoutInCell="1" allowOverlap="1" wp14:anchorId="0F07281C" wp14:editId="6DE41603">
              <wp:simplePos x="0" y="0"/>
              <wp:positionH relativeFrom="page">
                <wp:posOffset>4119245</wp:posOffset>
              </wp:positionH>
              <wp:positionV relativeFrom="page">
                <wp:posOffset>544195</wp:posOffset>
              </wp:positionV>
              <wp:extent cx="2311400" cy="139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139700"/>
                      </a:xfrm>
                      <a:prstGeom prst="rect">
                        <a:avLst/>
                      </a:prstGeom>
                      <a:noFill/>
                      <a:ln>
                        <a:noFill/>
                      </a:ln>
                    </wps:spPr>
                    <wps:txbx>
                      <w:txbxContent>
                        <w:p w14:paraId="66D952B5" w14:textId="77777777"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0F07281C" id="_x0000_t202" coordsize="21600,21600" o:spt="202" path="m,l,21600r21600,l21600,xe">
              <v:stroke joinstyle="miter"/>
              <v:path gradientshapeok="t" o:connecttype="rect"/>
            </v:shapetype>
            <v:shape id="Text Box 2" o:spid="_x0000_s1045" type="#_x0000_t202" style="position:absolute;margin-left:324.35pt;margin-top:42.85pt;width:182pt;height:11pt;z-index:-2516577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" filled="f" stroked="f">
              <v:textbox inset="0,0,0,0">
                <w:txbxContent>
                  <w:p w14:paraId="66D952B5" w14:textId="77777777"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EED9B" w14:textId="77777777" w:rsidR="006D37B1" w:rsidRDefault="006D37B1">
    <w:pPr>
      <w:pStyle w:val="a5"/>
      <w:spacing w:before="0" w:line="14" w:lineRule="auto"/>
      <w:ind w:left="0" w:firstLine="0"/>
      <w:rPr>
        <w:sz w:val="2"/>
      </w:rPr>
    </w:pPr>
    <w:r>
      <w:rPr>
        <w:noProof/>
      </w:rPr>
      <mc:AlternateContent>
        <mc:Choice Requires="wps">
          <w:drawing>
            <wp:anchor distT="0" distB="0" distL="114300" distR="114300" simplePos="0" relativeHeight="251672576" behindDoc="1" locked="0" layoutInCell="1" allowOverlap="1" wp14:anchorId="4D45B03F" wp14:editId="00D3C4DD">
              <wp:simplePos x="0" y="0"/>
              <wp:positionH relativeFrom="page">
                <wp:posOffset>3790950</wp:posOffset>
              </wp:positionH>
              <wp:positionV relativeFrom="page">
                <wp:posOffset>742950</wp:posOffset>
              </wp:positionV>
              <wp:extent cx="2863850" cy="139700"/>
              <wp:effectExtent l="0" t="0" r="12700" b="1270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0" cy="139700"/>
                      </a:xfrm>
                      <a:prstGeom prst="rect">
                        <a:avLst/>
                      </a:prstGeom>
                      <a:noFill/>
                      <a:ln>
                        <a:noFill/>
                      </a:ln>
                    </wps:spPr>
                    <wps:txbx>
                      <w:txbxContent>
                        <w:p w14:paraId="152E44B5" w14:textId="5A9DF744" w:rsidR="006D37B1" w:rsidRDefault="006D37B1">
                          <w:pPr>
                            <w:spacing w:line="220" w:lineRule="exact"/>
                            <w:ind w:left="20"/>
                            <w:rPr>
                              <w:sz w:val="18"/>
                            </w:rPr>
                          </w:pPr>
                          <w:r>
                            <w:rPr>
                              <w:sz w:val="18"/>
                            </w:rPr>
                            <w:t>富荣中短债债券型证券投资基金基金合同</w:t>
                          </w:r>
                        </w:p>
                      </w:txbxContent>
                    </wps:txbx>
                    <wps:bodyPr rot="0" vert="horz" wrap="square" lIns="0" tIns="0" rIns="0" bIns="0" anchor="t" anchorCtr="0" upright="1">
                      <a:noAutofit/>
                    </wps:bodyPr>
                  </wps:wsp>
                </a:graphicData>
              </a:graphic>
            </wp:anchor>
          </w:drawing>
        </mc:Choice>
        <mc:Fallback>
          <w:pict>
            <v:shapetype w14:anchorId="4D45B03F" id="_x0000_t202" coordsize="21600,21600" o:spt="202" path="m,l,21600r21600,l21600,xe">
              <v:stroke joinstyle="miter"/>
              <v:path gradientshapeok="t" o:connecttype="rect"/>
            </v:shapetype>
            <v:shape id="_x0000_s1047" type="#_x0000_t202" style="position:absolute;margin-left:298.5pt;margin-top:58.5pt;width:225.5pt;height:11pt;z-index:-25164390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" filled="f" stroked="f">
              <v:textbox inset="0,0,0,0">
                <w:txbxContent>
                  <w:p w14:paraId="152E44B5" w14:textId="5A9DF744" w:rsidR="006D37B1" w:rsidRDefault="006D37B1">
                    <w:pPr>
                      <w:spacing w:line="220" w:lineRule="exact"/>
                      <w:ind w:left="20"/>
                      <w:rPr>
                        <w:sz w:val="18"/>
                      </w:rPr>
                    </w:pPr>
                    <w:r>
                      <w:rPr>
                        <w:sz w:val="18"/>
                      </w:rPr>
                      <w:t>富荣中短债债券型证券投资基金基金合同</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275F2"/>
    <w:multiLevelType w:val="multilevel"/>
    <w:tmpl w:val="00A275F2"/>
    <w:lvl w:ilvl="0">
      <w:start w:val="1"/>
      <w:numFmt w:val="decimal"/>
      <w:lvlText w:val="（%1）"/>
      <w:lvlJc w:val="left"/>
      <w:pPr>
        <w:ind w:left="120" w:hanging="601"/>
      </w:pPr>
      <w:rPr>
        <w:rFonts w:ascii="宋体" w:eastAsia="宋体" w:hAnsi="宋体" w:cs="宋体" w:hint="default"/>
        <w:spacing w:val="-36"/>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 w15:restartNumberingAfterBreak="0">
    <w:nsid w:val="01461B94"/>
    <w:multiLevelType w:val="multilevel"/>
    <w:tmpl w:val="01461B94"/>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2" w15:restartNumberingAfterBreak="0">
    <w:nsid w:val="02216145"/>
    <w:multiLevelType w:val="multilevel"/>
    <w:tmpl w:val="02216145"/>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3" w15:restartNumberingAfterBreak="0">
    <w:nsid w:val="054605B6"/>
    <w:multiLevelType w:val="multilevel"/>
    <w:tmpl w:val="054605B6"/>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4" w15:restartNumberingAfterBreak="0">
    <w:nsid w:val="0CEB4C2A"/>
    <w:multiLevelType w:val="multilevel"/>
    <w:tmpl w:val="0CEB4C2A"/>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5" w15:restartNumberingAfterBreak="0">
    <w:nsid w:val="0E156686"/>
    <w:multiLevelType w:val="multilevel"/>
    <w:tmpl w:val="0E156686"/>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6" w15:restartNumberingAfterBreak="0">
    <w:nsid w:val="0F572525"/>
    <w:multiLevelType w:val="multilevel"/>
    <w:tmpl w:val="0F572525"/>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7" w15:restartNumberingAfterBreak="0">
    <w:nsid w:val="1CA9252F"/>
    <w:multiLevelType w:val="multilevel"/>
    <w:tmpl w:val="1CA9252F"/>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8" w15:restartNumberingAfterBreak="0">
    <w:nsid w:val="1F3B5C0A"/>
    <w:multiLevelType w:val="multilevel"/>
    <w:tmpl w:val="1F3B5C0A"/>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9" w15:restartNumberingAfterBreak="0">
    <w:nsid w:val="30FE4787"/>
    <w:multiLevelType w:val="multilevel"/>
    <w:tmpl w:val="30FE4787"/>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0" w15:restartNumberingAfterBreak="0">
    <w:nsid w:val="315700BF"/>
    <w:multiLevelType w:val="multilevel"/>
    <w:tmpl w:val="315700BF"/>
    <w:lvl w:ilvl="0">
      <w:start w:val="1"/>
      <w:numFmt w:val="decimal"/>
      <w:lvlText w:val="（%1）"/>
      <w:lvlJc w:val="left"/>
      <w:pPr>
        <w:ind w:left="120" w:hanging="601"/>
      </w:pPr>
      <w:rPr>
        <w:rFonts w:ascii="宋体" w:eastAsia="宋体" w:hAnsi="宋体" w:cs="宋体" w:hint="default"/>
        <w:spacing w:val="-36"/>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1" w15:restartNumberingAfterBreak="0">
    <w:nsid w:val="344A4668"/>
    <w:multiLevelType w:val="multilevel"/>
    <w:tmpl w:val="344A4668"/>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2" w15:restartNumberingAfterBreak="0">
    <w:nsid w:val="348C269B"/>
    <w:multiLevelType w:val="multilevel"/>
    <w:tmpl w:val="348C269B"/>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3" w15:restartNumberingAfterBreak="0">
    <w:nsid w:val="37267BF1"/>
    <w:multiLevelType w:val="multilevel"/>
    <w:tmpl w:val="37267BF1"/>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14" w15:restartNumberingAfterBreak="0">
    <w:nsid w:val="37835168"/>
    <w:multiLevelType w:val="multilevel"/>
    <w:tmpl w:val="37835168"/>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5" w15:restartNumberingAfterBreak="0">
    <w:nsid w:val="3BC35A6A"/>
    <w:multiLevelType w:val="multilevel"/>
    <w:tmpl w:val="3BC35A6A"/>
    <w:lvl w:ilvl="0">
      <w:start w:val="1"/>
      <w:numFmt w:val="decimal"/>
      <w:suff w:val="nothing"/>
      <w:lvlText w:val="（%1）"/>
      <w:lvlJc w:val="left"/>
      <w:pPr>
        <w:ind w:left="1026"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6" w15:restartNumberingAfterBreak="0">
    <w:nsid w:val="3C3B50F3"/>
    <w:multiLevelType w:val="multilevel"/>
    <w:tmpl w:val="3C3B50F3"/>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7" w15:restartNumberingAfterBreak="0">
    <w:nsid w:val="3D022E1F"/>
    <w:multiLevelType w:val="multilevel"/>
    <w:tmpl w:val="3D022E1F"/>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18" w15:restartNumberingAfterBreak="0">
    <w:nsid w:val="3D4E12F9"/>
    <w:multiLevelType w:val="multilevel"/>
    <w:tmpl w:val="3D4E12F9"/>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19" w15:restartNumberingAfterBreak="0">
    <w:nsid w:val="3DF354F5"/>
    <w:multiLevelType w:val="multilevel"/>
    <w:tmpl w:val="3DF354F5"/>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20" w15:restartNumberingAfterBreak="0">
    <w:nsid w:val="4FC50255"/>
    <w:multiLevelType w:val="multilevel"/>
    <w:tmpl w:val="4FC50255"/>
    <w:lvl w:ilvl="0">
      <w:start w:val="1"/>
      <w:numFmt w:val="decimal"/>
      <w:lvlText w:val="（%1）"/>
      <w:lvlJc w:val="left"/>
      <w:pPr>
        <w:ind w:left="120" w:hanging="601"/>
      </w:pPr>
      <w:rPr>
        <w:rFonts w:ascii="宋体" w:eastAsia="宋体" w:hAnsi="宋体" w:cs="宋体" w:hint="default"/>
        <w:w w:val="100"/>
        <w:sz w:val="22"/>
        <w:szCs w:val="22"/>
        <w:lang w:val="en-US" w:eastAsia="zh-CN" w:bidi="ar-SA"/>
      </w:rPr>
    </w:lvl>
    <w:lvl w:ilvl="1">
      <w:numFmt w:val="bullet"/>
      <w:lvlText w:val="•"/>
      <w:lvlJc w:val="left"/>
      <w:pPr>
        <w:ind w:left="986" w:hanging="601"/>
      </w:pPr>
      <w:rPr>
        <w:rFonts w:hint="default"/>
        <w:lang w:val="en-US" w:eastAsia="zh-CN" w:bidi="ar-SA"/>
      </w:rPr>
    </w:lvl>
    <w:lvl w:ilvl="2">
      <w:numFmt w:val="bullet"/>
      <w:lvlText w:val="•"/>
      <w:lvlJc w:val="left"/>
      <w:pPr>
        <w:ind w:left="1853" w:hanging="601"/>
      </w:pPr>
      <w:rPr>
        <w:rFonts w:hint="default"/>
        <w:lang w:val="en-US" w:eastAsia="zh-CN" w:bidi="ar-SA"/>
      </w:rPr>
    </w:lvl>
    <w:lvl w:ilvl="3">
      <w:numFmt w:val="bullet"/>
      <w:lvlText w:val="•"/>
      <w:lvlJc w:val="left"/>
      <w:pPr>
        <w:ind w:left="2719" w:hanging="601"/>
      </w:pPr>
      <w:rPr>
        <w:rFonts w:hint="default"/>
        <w:lang w:val="en-US" w:eastAsia="zh-CN" w:bidi="ar-SA"/>
      </w:rPr>
    </w:lvl>
    <w:lvl w:ilvl="4">
      <w:numFmt w:val="bullet"/>
      <w:lvlText w:val="•"/>
      <w:lvlJc w:val="left"/>
      <w:pPr>
        <w:ind w:left="3586" w:hanging="601"/>
      </w:pPr>
      <w:rPr>
        <w:rFonts w:hint="default"/>
        <w:lang w:val="en-US" w:eastAsia="zh-CN" w:bidi="ar-SA"/>
      </w:rPr>
    </w:lvl>
    <w:lvl w:ilvl="5">
      <w:numFmt w:val="bullet"/>
      <w:lvlText w:val="•"/>
      <w:lvlJc w:val="left"/>
      <w:pPr>
        <w:ind w:left="4453" w:hanging="601"/>
      </w:pPr>
      <w:rPr>
        <w:rFonts w:hint="default"/>
        <w:lang w:val="en-US" w:eastAsia="zh-CN" w:bidi="ar-SA"/>
      </w:rPr>
    </w:lvl>
    <w:lvl w:ilvl="6">
      <w:numFmt w:val="bullet"/>
      <w:lvlText w:val="•"/>
      <w:lvlJc w:val="left"/>
      <w:pPr>
        <w:ind w:left="5319" w:hanging="601"/>
      </w:pPr>
      <w:rPr>
        <w:rFonts w:hint="default"/>
        <w:lang w:val="en-US" w:eastAsia="zh-CN" w:bidi="ar-SA"/>
      </w:rPr>
    </w:lvl>
    <w:lvl w:ilvl="7">
      <w:numFmt w:val="bullet"/>
      <w:lvlText w:val="•"/>
      <w:lvlJc w:val="left"/>
      <w:pPr>
        <w:ind w:left="6186" w:hanging="601"/>
      </w:pPr>
      <w:rPr>
        <w:rFonts w:hint="default"/>
        <w:lang w:val="en-US" w:eastAsia="zh-CN" w:bidi="ar-SA"/>
      </w:rPr>
    </w:lvl>
    <w:lvl w:ilvl="8">
      <w:numFmt w:val="bullet"/>
      <w:lvlText w:val="•"/>
      <w:lvlJc w:val="left"/>
      <w:pPr>
        <w:ind w:left="7053" w:hanging="601"/>
      </w:pPr>
      <w:rPr>
        <w:rFonts w:hint="default"/>
        <w:lang w:val="en-US" w:eastAsia="zh-CN" w:bidi="ar-SA"/>
      </w:rPr>
    </w:lvl>
  </w:abstractNum>
  <w:abstractNum w:abstractNumId="21" w15:restartNumberingAfterBreak="0">
    <w:nsid w:val="5827135B"/>
    <w:multiLevelType w:val="multilevel"/>
    <w:tmpl w:val="5827135B"/>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22" w15:restartNumberingAfterBreak="0">
    <w:nsid w:val="612B66DA"/>
    <w:multiLevelType w:val="multilevel"/>
    <w:tmpl w:val="612B66DA"/>
    <w:lvl w:ilvl="0">
      <w:start w:val="1"/>
      <w:numFmt w:val="decimal"/>
      <w:suff w:val="nothing"/>
      <w:lvlText w:val="（%1）"/>
      <w:lvlJc w:val="left"/>
      <w:pPr>
        <w:ind w:left="-61" w:hanging="420"/>
      </w:pPr>
      <w:rPr>
        <w:rFonts w:ascii="宋体" w:eastAsia="宋体" w:hAnsi="宋体" w:cs="宋体" w:hint="default"/>
        <w:w w:val="100"/>
        <w:sz w:val="22"/>
        <w:szCs w:val="2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647F331E"/>
    <w:multiLevelType w:val="multilevel"/>
    <w:tmpl w:val="647F331E"/>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24" w15:restartNumberingAfterBreak="0">
    <w:nsid w:val="74B6324B"/>
    <w:multiLevelType w:val="multilevel"/>
    <w:tmpl w:val="74B6324B"/>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abstractNum w:abstractNumId="25" w15:restartNumberingAfterBreak="0">
    <w:nsid w:val="7FAC2E41"/>
    <w:multiLevelType w:val="multilevel"/>
    <w:tmpl w:val="7FAC2E41"/>
    <w:lvl w:ilvl="0">
      <w:start w:val="1"/>
      <w:numFmt w:val="decimal"/>
      <w:lvlText w:val="（%1）"/>
      <w:lvlJc w:val="left"/>
      <w:pPr>
        <w:ind w:left="1201" w:hanging="601"/>
      </w:pPr>
      <w:rPr>
        <w:rFonts w:ascii="宋体" w:eastAsia="宋体" w:hAnsi="宋体" w:cs="宋体" w:hint="default"/>
        <w:w w:val="100"/>
        <w:sz w:val="22"/>
        <w:szCs w:val="22"/>
        <w:lang w:val="en-US" w:eastAsia="zh-CN" w:bidi="ar-SA"/>
      </w:rPr>
    </w:lvl>
    <w:lvl w:ilvl="1">
      <w:numFmt w:val="bullet"/>
      <w:lvlText w:val="•"/>
      <w:lvlJc w:val="left"/>
      <w:pPr>
        <w:ind w:left="1958" w:hanging="601"/>
      </w:pPr>
      <w:rPr>
        <w:rFonts w:hint="default"/>
        <w:lang w:val="en-US" w:eastAsia="zh-CN" w:bidi="ar-SA"/>
      </w:rPr>
    </w:lvl>
    <w:lvl w:ilvl="2">
      <w:numFmt w:val="bullet"/>
      <w:lvlText w:val="•"/>
      <w:lvlJc w:val="left"/>
      <w:pPr>
        <w:ind w:left="2717" w:hanging="601"/>
      </w:pPr>
      <w:rPr>
        <w:rFonts w:hint="default"/>
        <w:lang w:val="en-US" w:eastAsia="zh-CN" w:bidi="ar-SA"/>
      </w:rPr>
    </w:lvl>
    <w:lvl w:ilvl="3">
      <w:numFmt w:val="bullet"/>
      <w:lvlText w:val="•"/>
      <w:lvlJc w:val="left"/>
      <w:pPr>
        <w:ind w:left="3475" w:hanging="601"/>
      </w:pPr>
      <w:rPr>
        <w:rFonts w:hint="default"/>
        <w:lang w:val="en-US" w:eastAsia="zh-CN" w:bidi="ar-SA"/>
      </w:rPr>
    </w:lvl>
    <w:lvl w:ilvl="4">
      <w:numFmt w:val="bullet"/>
      <w:lvlText w:val="•"/>
      <w:lvlJc w:val="left"/>
      <w:pPr>
        <w:ind w:left="4234" w:hanging="601"/>
      </w:pPr>
      <w:rPr>
        <w:rFonts w:hint="default"/>
        <w:lang w:val="en-US" w:eastAsia="zh-CN" w:bidi="ar-SA"/>
      </w:rPr>
    </w:lvl>
    <w:lvl w:ilvl="5">
      <w:numFmt w:val="bullet"/>
      <w:lvlText w:val="•"/>
      <w:lvlJc w:val="left"/>
      <w:pPr>
        <w:ind w:left="4993" w:hanging="601"/>
      </w:pPr>
      <w:rPr>
        <w:rFonts w:hint="default"/>
        <w:lang w:val="en-US" w:eastAsia="zh-CN" w:bidi="ar-SA"/>
      </w:rPr>
    </w:lvl>
    <w:lvl w:ilvl="6">
      <w:numFmt w:val="bullet"/>
      <w:lvlText w:val="•"/>
      <w:lvlJc w:val="left"/>
      <w:pPr>
        <w:ind w:left="5751" w:hanging="601"/>
      </w:pPr>
      <w:rPr>
        <w:rFonts w:hint="default"/>
        <w:lang w:val="en-US" w:eastAsia="zh-CN" w:bidi="ar-SA"/>
      </w:rPr>
    </w:lvl>
    <w:lvl w:ilvl="7">
      <w:numFmt w:val="bullet"/>
      <w:lvlText w:val="•"/>
      <w:lvlJc w:val="left"/>
      <w:pPr>
        <w:ind w:left="6510" w:hanging="601"/>
      </w:pPr>
      <w:rPr>
        <w:rFonts w:hint="default"/>
        <w:lang w:val="en-US" w:eastAsia="zh-CN" w:bidi="ar-SA"/>
      </w:rPr>
    </w:lvl>
    <w:lvl w:ilvl="8">
      <w:numFmt w:val="bullet"/>
      <w:lvlText w:val="•"/>
      <w:lvlJc w:val="left"/>
      <w:pPr>
        <w:ind w:left="7269" w:hanging="601"/>
      </w:pPr>
      <w:rPr>
        <w:rFonts w:hint="default"/>
        <w:lang w:val="en-US" w:eastAsia="zh-CN" w:bidi="ar-SA"/>
      </w:rPr>
    </w:lvl>
  </w:abstractNum>
  <w:num w:numId="1">
    <w:abstractNumId w:val="24"/>
  </w:num>
  <w:num w:numId="2">
    <w:abstractNumId w:val="9"/>
  </w:num>
  <w:num w:numId="3">
    <w:abstractNumId w:val="0"/>
  </w:num>
  <w:num w:numId="4">
    <w:abstractNumId w:val="25"/>
  </w:num>
  <w:num w:numId="5">
    <w:abstractNumId w:val="3"/>
  </w:num>
  <w:num w:numId="6">
    <w:abstractNumId w:val="20"/>
  </w:num>
  <w:num w:numId="7">
    <w:abstractNumId w:val="4"/>
  </w:num>
  <w:num w:numId="8">
    <w:abstractNumId w:val="14"/>
  </w:num>
  <w:num w:numId="9">
    <w:abstractNumId w:val="10"/>
  </w:num>
  <w:num w:numId="10">
    <w:abstractNumId w:val="13"/>
  </w:num>
  <w:num w:numId="11">
    <w:abstractNumId w:val="2"/>
  </w:num>
  <w:num w:numId="12">
    <w:abstractNumId w:val="7"/>
  </w:num>
  <w:num w:numId="13">
    <w:abstractNumId w:val="21"/>
  </w:num>
  <w:num w:numId="14">
    <w:abstractNumId w:val="18"/>
  </w:num>
  <w:num w:numId="15">
    <w:abstractNumId w:val="5"/>
  </w:num>
  <w:num w:numId="16">
    <w:abstractNumId w:val="12"/>
  </w:num>
  <w:num w:numId="17">
    <w:abstractNumId w:val="16"/>
  </w:num>
  <w:num w:numId="18">
    <w:abstractNumId w:val="23"/>
  </w:num>
  <w:num w:numId="19">
    <w:abstractNumId w:val="6"/>
  </w:num>
  <w:num w:numId="20">
    <w:abstractNumId w:val="15"/>
  </w:num>
  <w:num w:numId="21">
    <w:abstractNumId w:val="1"/>
  </w:num>
  <w:num w:numId="22">
    <w:abstractNumId w:val="8"/>
  </w:num>
  <w:num w:numId="23">
    <w:abstractNumId w:val="11"/>
  </w:num>
  <w:num w:numId="24">
    <w:abstractNumId w:val="19"/>
  </w:num>
  <w:num w:numId="25">
    <w:abstractNumId w:val="17"/>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720"/>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33D2"/>
    <w:rsid w:val="0000023E"/>
    <w:rsid w:val="00050FA6"/>
    <w:rsid w:val="000935F3"/>
    <w:rsid w:val="0009514D"/>
    <w:rsid w:val="00096EA5"/>
    <w:rsid w:val="000A3353"/>
    <w:rsid w:val="000A35FF"/>
    <w:rsid w:val="000A4CC3"/>
    <w:rsid w:val="000B1267"/>
    <w:rsid w:val="000E730B"/>
    <w:rsid w:val="000F19B0"/>
    <w:rsid w:val="00112AAA"/>
    <w:rsid w:val="001477CD"/>
    <w:rsid w:val="00152372"/>
    <w:rsid w:val="00156CE0"/>
    <w:rsid w:val="00175564"/>
    <w:rsid w:val="001836D9"/>
    <w:rsid w:val="001A46EC"/>
    <w:rsid w:val="001B630C"/>
    <w:rsid w:val="001D3E85"/>
    <w:rsid w:val="001D68ED"/>
    <w:rsid w:val="001E39D9"/>
    <w:rsid w:val="001F69D3"/>
    <w:rsid w:val="002035DE"/>
    <w:rsid w:val="00204547"/>
    <w:rsid w:val="00205EDE"/>
    <w:rsid w:val="0021430A"/>
    <w:rsid w:val="00214E88"/>
    <w:rsid w:val="002178A4"/>
    <w:rsid w:val="0022308A"/>
    <w:rsid w:val="002414FF"/>
    <w:rsid w:val="00247921"/>
    <w:rsid w:val="00247C72"/>
    <w:rsid w:val="00251B5E"/>
    <w:rsid w:val="002835A0"/>
    <w:rsid w:val="002B3A48"/>
    <w:rsid w:val="002B79C0"/>
    <w:rsid w:val="002D08E8"/>
    <w:rsid w:val="002D5E5A"/>
    <w:rsid w:val="002D67D4"/>
    <w:rsid w:val="002E6B64"/>
    <w:rsid w:val="002F426A"/>
    <w:rsid w:val="002F7B73"/>
    <w:rsid w:val="00304F34"/>
    <w:rsid w:val="00320BBF"/>
    <w:rsid w:val="0032134D"/>
    <w:rsid w:val="00326AF6"/>
    <w:rsid w:val="00332A2A"/>
    <w:rsid w:val="0034744D"/>
    <w:rsid w:val="003574C6"/>
    <w:rsid w:val="00370027"/>
    <w:rsid w:val="00376EA3"/>
    <w:rsid w:val="00377C92"/>
    <w:rsid w:val="0039147A"/>
    <w:rsid w:val="003933C5"/>
    <w:rsid w:val="003962BC"/>
    <w:rsid w:val="003A7167"/>
    <w:rsid w:val="003B5C55"/>
    <w:rsid w:val="003B7463"/>
    <w:rsid w:val="003D6283"/>
    <w:rsid w:val="00400037"/>
    <w:rsid w:val="004037E8"/>
    <w:rsid w:val="00403BE8"/>
    <w:rsid w:val="0041080B"/>
    <w:rsid w:val="004110DF"/>
    <w:rsid w:val="004118A6"/>
    <w:rsid w:val="004400C3"/>
    <w:rsid w:val="0049085F"/>
    <w:rsid w:val="00490D24"/>
    <w:rsid w:val="00495B7C"/>
    <w:rsid w:val="0049776B"/>
    <w:rsid w:val="00497EA1"/>
    <w:rsid w:val="004A779E"/>
    <w:rsid w:val="004C5A0A"/>
    <w:rsid w:val="004C6F9B"/>
    <w:rsid w:val="004F1A4D"/>
    <w:rsid w:val="00502D13"/>
    <w:rsid w:val="005059F6"/>
    <w:rsid w:val="00512338"/>
    <w:rsid w:val="00520060"/>
    <w:rsid w:val="00525A85"/>
    <w:rsid w:val="00543CB7"/>
    <w:rsid w:val="005555E9"/>
    <w:rsid w:val="00574CB9"/>
    <w:rsid w:val="00582565"/>
    <w:rsid w:val="00596B46"/>
    <w:rsid w:val="005B6D3D"/>
    <w:rsid w:val="005C7AED"/>
    <w:rsid w:val="005D38B0"/>
    <w:rsid w:val="00600E16"/>
    <w:rsid w:val="00610920"/>
    <w:rsid w:val="006132EC"/>
    <w:rsid w:val="006148EB"/>
    <w:rsid w:val="00614D9D"/>
    <w:rsid w:val="00625082"/>
    <w:rsid w:val="00641BB1"/>
    <w:rsid w:val="00672E18"/>
    <w:rsid w:val="006810C9"/>
    <w:rsid w:val="006A2D01"/>
    <w:rsid w:val="006B6428"/>
    <w:rsid w:val="006D37B1"/>
    <w:rsid w:val="00704B91"/>
    <w:rsid w:val="0071200E"/>
    <w:rsid w:val="007256A0"/>
    <w:rsid w:val="00736633"/>
    <w:rsid w:val="0074628B"/>
    <w:rsid w:val="007A3A7D"/>
    <w:rsid w:val="007A3D83"/>
    <w:rsid w:val="007B0BA2"/>
    <w:rsid w:val="007B20CE"/>
    <w:rsid w:val="007B6F38"/>
    <w:rsid w:val="007C0B0F"/>
    <w:rsid w:val="007C6DD1"/>
    <w:rsid w:val="007E41C3"/>
    <w:rsid w:val="007E5BF6"/>
    <w:rsid w:val="008000D1"/>
    <w:rsid w:val="0081696F"/>
    <w:rsid w:val="00826AD7"/>
    <w:rsid w:val="00830F13"/>
    <w:rsid w:val="00835A7F"/>
    <w:rsid w:val="00850EDD"/>
    <w:rsid w:val="00852C3E"/>
    <w:rsid w:val="00867D89"/>
    <w:rsid w:val="00885138"/>
    <w:rsid w:val="0089587A"/>
    <w:rsid w:val="008B1199"/>
    <w:rsid w:val="008E145C"/>
    <w:rsid w:val="009015D1"/>
    <w:rsid w:val="00913DAF"/>
    <w:rsid w:val="00922F0C"/>
    <w:rsid w:val="00927109"/>
    <w:rsid w:val="00935477"/>
    <w:rsid w:val="00954273"/>
    <w:rsid w:val="0095452F"/>
    <w:rsid w:val="00973DDE"/>
    <w:rsid w:val="00986F79"/>
    <w:rsid w:val="009A369C"/>
    <w:rsid w:val="009C0BD5"/>
    <w:rsid w:val="009C217A"/>
    <w:rsid w:val="009C5904"/>
    <w:rsid w:val="00A173ED"/>
    <w:rsid w:val="00A219DF"/>
    <w:rsid w:val="00A33BA5"/>
    <w:rsid w:val="00A36854"/>
    <w:rsid w:val="00A4769E"/>
    <w:rsid w:val="00A50A68"/>
    <w:rsid w:val="00A5745F"/>
    <w:rsid w:val="00A73122"/>
    <w:rsid w:val="00A9537B"/>
    <w:rsid w:val="00A9561E"/>
    <w:rsid w:val="00AA6CC6"/>
    <w:rsid w:val="00AB25AC"/>
    <w:rsid w:val="00AD0916"/>
    <w:rsid w:val="00AD6B06"/>
    <w:rsid w:val="00AE0BD0"/>
    <w:rsid w:val="00B04D2A"/>
    <w:rsid w:val="00B14412"/>
    <w:rsid w:val="00B321E6"/>
    <w:rsid w:val="00B37FF6"/>
    <w:rsid w:val="00B4077E"/>
    <w:rsid w:val="00B40AAF"/>
    <w:rsid w:val="00B63D99"/>
    <w:rsid w:val="00B65D65"/>
    <w:rsid w:val="00B865B7"/>
    <w:rsid w:val="00B92519"/>
    <w:rsid w:val="00BC5297"/>
    <w:rsid w:val="00BC5FBF"/>
    <w:rsid w:val="00BE4873"/>
    <w:rsid w:val="00BE6015"/>
    <w:rsid w:val="00C05584"/>
    <w:rsid w:val="00C10D1E"/>
    <w:rsid w:val="00C1308F"/>
    <w:rsid w:val="00C23F16"/>
    <w:rsid w:val="00C36C10"/>
    <w:rsid w:val="00C431D8"/>
    <w:rsid w:val="00C502F0"/>
    <w:rsid w:val="00C60467"/>
    <w:rsid w:val="00C65949"/>
    <w:rsid w:val="00C66B8C"/>
    <w:rsid w:val="00C8380F"/>
    <w:rsid w:val="00C84CDE"/>
    <w:rsid w:val="00C93C0F"/>
    <w:rsid w:val="00C960C5"/>
    <w:rsid w:val="00CB0722"/>
    <w:rsid w:val="00CB0D75"/>
    <w:rsid w:val="00CB2E17"/>
    <w:rsid w:val="00CD497A"/>
    <w:rsid w:val="00CD61EF"/>
    <w:rsid w:val="00D71830"/>
    <w:rsid w:val="00DA3EA0"/>
    <w:rsid w:val="00DB4D65"/>
    <w:rsid w:val="00DB56B9"/>
    <w:rsid w:val="00E072A2"/>
    <w:rsid w:val="00E254FB"/>
    <w:rsid w:val="00E25B33"/>
    <w:rsid w:val="00E342A7"/>
    <w:rsid w:val="00E634F1"/>
    <w:rsid w:val="00E822C9"/>
    <w:rsid w:val="00EA7679"/>
    <w:rsid w:val="00EB183D"/>
    <w:rsid w:val="00EB7248"/>
    <w:rsid w:val="00ED52C6"/>
    <w:rsid w:val="00ED547F"/>
    <w:rsid w:val="00EE1C25"/>
    <w:rsid w:val="00EE42C7"/>
    <w:rsid w:val="00F260EF"/>
    <w:rsid w:val="00F410BB"/>
    <w:rsid w:val="00F46674"/>
    <w:rsid w:val="00F528C1"/>
    <w:rsid w:val="00F70B97"/>
    <w:rsid w:val="00FA35C9"/>
    <w:rsid w:val="00FB04C2"/>
    <w:rsid w:val="00FE33D2"/>
    <w:rsid w:val="00FE7E7F"/>
    <w:rsid w:val="00FF192A"/>
    <w:rsid w:val="3FFB657A"/>
    <w:rsid w:val="50774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210B3DA7"/>
  <w15:docId w15:val="{0AE14DF6-EB6D-49C0-838B-77BF50A42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1" w:qFormat="1"/>
    <w:lsdException w:name="heading 1" w:uiPriority="0" w:qFormat="1"/>
    <w:lsdException w:name="heading 2" w:uiPriority="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autoSpaceDE w:val="0"/>
      <w:autoSpaceDN w:val="0"/>
    </w:pPr>
    <w:rPr>
      <w:rFonts w:ascii="宋体" w:eastAsia="宋体" w:hAnsi="宋体" w:cs="宋体"/>
      <w:sz w:val="22"/>
      <w:szCs w:val="22"/>
    </w:rPr>
  </w:style>
  <w:style w:type="paragraph" w:styleId="1">
    <w:name w:val="heading 1"/>
    <w:basedOn w:val="a"/>
    <w:next w:val="a"/>
    <w:link w:val="10"/>
    <w:qFormat/>
    <w:pPr>
      <w:spacing w:before="3"/>
      <w:ind w:left="417" w:right="653"/>
      <w:jc w:val="center"/>
      <w:outlineLvl w:val="0"/>
    </w:pPr>
    <w:rPr>
      <w:rFonts w:ascii="Microsoft JhengHei" w:eastAsia="Microsoft JhengHei" w:hAnsi="Microsoft JhengHei" w:cs="Microsoft JhengHei"/>
      <w:b/>
      <w:bCs/>
      <w:sz w:val="30"/>
      <w:szCs w:val="30"/>
    </w:rPr>
  </w:style>
  <w:style w:type="paragraph" w:styleId="2">
    <w:name w:val="heading 2"/>
    <w:basedOn w:val="a"/>
    <w:next w:val="a"/>
    <w:uiPriority w:val="1"/>
    <w:qFormat/>
    <w:pPr>
      <w:spacing w:before="118"/>
      <w:ind w:left="417" w:right="650"/>
      <w:jc w:val="center"/>
      <w:outlineLvl w:val="1"/>
    </w:pPr>
    <w:rPr>
      <w:sz w:val="28"/>
      <w:szCs w:val="28"/>
    </w:rPr>
  </w:style>
  <w:style w:type="paragraph" w:styleId="3">
    <w:name w:val="heading 3"/>
    <w:basedOn w:val="a"/>
    <w:next w:val="a"/>
    <w:uiPriority w:val="1"/>
    <w:qFormat/>
    <w:pPr>
      <w:ind w:left="120" w:firstLine="482"/>
      <w:outlineLvl w:val="2"/>
    </w:pPr>
    <w:rPr>
      <w:rFonts w:ascii="Microsoft JhengHei" w:eastAsia="Microsoft JhengHei" w:hAnsi="Microsoft JhengHei" w:cs="Microsoft JhengHe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style>
  <w:style w:type="paragraph" w:styleId="a5">
    <w:name w:val="Body Text"/>
    <w:basedOn w:val="a"/>
    <w:link w:val="a6"/>
    <w:uiPriority w:val="1"/>
    <w:qFormat/>
    <w:pPr>
      <w:spacing w:before="1"/>
      <w:ind w:left="120" w:firstLine="479"/>
    </w:pPr>
    <w:rPr>
      <w:sz w:val="24"/>
      <w:szCs w:val="24"/>
    </w:r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before="199"/>
      <w:ind w:left="120"/>
    </w:pPr>
    <w:rPr>
      <w:sz w:val="21"/>
      <w:szCs w:val="21"/>
    </w:rPr>
  </w:style>
  <w:style w:type="paragraph" w:styleId="ad">
    <w:name w:val="Title"/>
    <w:basedOn w:val="a"/>
    <w:uiPriority w:val="1"/>
    <w:qFormat/>
    <w:pPr>
      <w:spacing w:line="813" w:lineRule="exact"/>
      <w:ind w:left="417" w:right="655"/>
      <w:jc w:val="center"/>
    </w:pPr>
    <w:rPr>
      <w:rFonts w:ascii="Microsoft JhengHei" w:eastAsia="Microsoft JhengHei" w:hAnsi="Microsoft JhengHei" w:cs="Microsoft JhengHei"/>
      <w:b/>
      <w:bCs/>
      <w:sz w:val="52"/>
      <w:szCs w:val="52"/>
    </w:rPr>
  </w:style>
  <w:style w:type="paragraph" w:styleId="ae">
    <w:name w:val="annotation subject"/>
    <w:basedOn w:val="a3"/>
    <w:next w:val="a3"/>
    <w:link w:val="af"/>
    <w:uiPriority w:val="99"/>
    <w:semiHidden/>
    <w:unhideWhenUsed/>
    <w:rPr>
      <w:b/>
      <w:bCs/>
    </w:rPr>
  </w:style>
  <w:style w:type="character" w:styleId="af0">
    <w:name w:val="Hyperlink"/>
    <w:basedOn w:val="a0"/>
    <w:uiPriority w:val="99"/>
    <w:unhideWhenUsed/>
    <w:qFormat/>
    <w:rPr>
      <w:color w:val="0000FF" w:themeColor="hyperlink"/>
      <w:u w:val="single"/>
    </w:rPr>
  </w:style>
  <w:style w:type="character" w:styleId="af1">
    <w:name w:val="annotation reference"/>
    <w:basedOn w:val="a0"/>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2">
    <w:name w:val="List Paragraph"/>
    <w:basedOn w:val="a"/>
    <w:uiPriority w:val="1"/>
    <w:qFormat/>
    <w:pPr>
      <w:spacing w:before="1"/>
      <w:ind w:left="120" w:firstLine="479"/>
    </w:pPr>
  </w:style>
  <w:style w:type="paragraph" w:customStyle="1" w:styleId="TableParagraph">
    <w:name w:val="Table Paragraph"/>
    <w:basedOn w:val="a"/>
    <w:uiPriority w:val="1"/>
    <w:qFormat/>
  </w:style>
  <w:style w:type="character" w:customStyle="1" w:styleId="a4">
    <w:name w:val="批注文字 字符"/>
    <w:basedOn w:val="a0"/>
    <w:link w:val="a3"/>
    <w:qFormat/>
    <w:rPr>
      <w:rFonts w:ascii="宋体" w:eastAsia="宋体" w:hAnsi="宋体" w:cs="宋体"/>
      <w:lang w:eastAsia="zh-CN"/>
    </w:rPr>
  </w:style>
  <w:style w:type="character" w:customStyle="1" w:styleId="af">
    <w:name w:val="批注主题 字符"/>
    <w:basedOn w:val="a4"/>
    <w:link w:val="ae"/>
    <w:uiPriority w:val="99"/>
    <w:semiHidden/>
    <w:qFormat/>
    <w:rPr>
      <w:rFonts w:ascii="宋体" w:eastAsia="宋体" w:hAnsi="宋体" w:cs="宋体"/>
      <w:b/>
      <w:bCs/>
      <w:lang w:eastAsia="zh-CN"/>
    </w:rPr>
  </w:style>
  <w:style w:type="character" w:customStyle="1" w:styleId="a8">
    <w:name w:val="批注框文本 字符"/>
    <w:basedOn w:val="a0"/>
    <w:link w:val="a7"/>
    <w:uiPriority w:val="99"/>
    <w:semiHidden/>
    <w:rPr>
      <w:rFonts w:ascii="宋体" w:eastAsia="宋体" w:hAnsi="宋体" w:cs="宋体"/>
      <w:sz w:val="18"/>
      <w:szCs w:val="18"/>
      <w:lang w:eastAsia="zh-CN"/>
    </w:rPr>
  </w:style>
  <w:style w:type="character" w:customStyle="1" w:styleId="ac">
    <w:name w:val="页眉 字符"/>
    <w:basedOn w:val="a0"/>
    <w:link w:val="ab"/>
    <w:uiPriority w:val="99"/>
    <w:qFormat/>
    <w:rPr>
      <w:rFonts w:ascii="宋体" w:eastAsia="宋体" w:hAnsi="宋体" w:cs="宋体"/>
      <w:sz w:val="18"/>
      <w:szCs w:val="18"/>
      <w:lang w:eastAsia="zh-CN"/>
    </w:rPr>
  </w:style>
  <w:style w:type="character" w:customStyle="1" w:styleId="aa">
    <w:name w:val="页脚 字符"/>
    <w:basedOn w:val="a0"/>
    <w:link w:val="a9"/>
    <w:uiPriority w:val="99"/>
    <w:qFormat/>
    <w:rPr>
      <w:rFonts w:ascii="宋体" w:eastAsia="宋体" w:hAnsi="宋体" w:cs="宋体"/>
      <w:sz w:val="18"/>
      <w:szCs w:val="18"/>
      <w:lang w:eastAsia="zh-CN"/>
    </w:rPr>
  </w:style>
  <w:style w:type="character" w:customStyle="1" w:styleId="a6">
    <w:name w:val="正文文本 字符"/>
    <w:basedOn w:val="a0"/>
    <w:link w:val="a5"/>
    <w:uiPriority w:val="1"/>
    <w:qFormat/>
    <w:rPr>
      <w:rFonts w:ascii="宋体" w:eastAsia="宋体" w:hAnsi="宋体" w:cs="宋体"/>
      <w:sz w:val="24"/>
      <w:szCs w:val="24"/>
      <w:lang w:eastAsia="zh-CN"/>
    </w:rPr>
  </w:style>
  <w:style w:type="paragraph" w:customStyle="1" w:styleId="11">
    <w:name w:val="修订1"/>
    <w:hidden/>
    <w:uiPriority w:val="99"/>
    <w:semiHidden/>
    <w:qFormat/>
    <w:rPr>
      <w:rFonts w:ascii="宋体" w:eastAsia="宋体" w:hAnsi="宋体" w:cs="宋体"/>
      <w:sz w:val="22"/>
      <w:szCs w:val="22"/>
    </w:rPr>
  </w:style>
  <w:style w:type="character" w:customStyle="1" w:styleId="10">
    <w:name w:val="标题 1 字符"/>
    <w:link w:val="1"/>
    <w:qFormat/>
    <w:rPr>
      <w:rFonts w:ascii="Microsoft JhengHei" w:eastAsia="Microsoft JhengHei" w:hAnsi="Microsoft JhengHei" w:cs="Microsoft JhengHei"/>
      <w:b/>
      <w:bCs/>
      <w:sz w:val="30"/>
      <w:szCs w:val="30"/>
      <w:lang w:eastAsia="zh-CN"/>
    </w:rPr>
  </w:style>
  <w:style w:type="character" w:customStyle="1" w:styleId="Char">
    <w:name w:val="批注文字 Char"/>
    <w:uiPriority w:val="99"/>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eader" Target="header10.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9.xm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11.xml"/><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footer" Target="footer1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footer" Target="footer9.xml"/><Relationship Id="rId30"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8D14C593-D8C0-42FF-AEBF-800146FF8AA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110</Pages>
  <Words>11443</Words>
  <Characters>65228</Characters>
  <Application>Microsoft Office Word</Application>
  <DocSecurity>0</DocSecurity>
  <Lines>543</Lines>
  <Paragraphs>153</Paragraphs>
  <ScaleCrop>false</ScaleCrop>
  <Company/>
  <LinksUpToDate>false</LinksUpToDate>
  <CharactersWithSpaces>76518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liuwd</cp:lastModifiedBy>
  <cp:lastPrinted>2021-08-04T08:53:00Z</cp:lastPrinted>
  <dcterms:created xsi:type="dcterms:W3CDTF">2021-04-30T01:22:00Z</dcterms:created>
  <dcterms:modified xsi:type="dcterms:W3CDTF">2021-11-19T08:36:00Z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2020-11-26T00:00:00Z</vt:filetime>
  </property>
  <property fmtid="{D5CDD505-2E9C-101B-9397-08002B2CF9AE}" pid="3" name="Creator">
    <vt:lpwstr>Microsoft® Word 2016</vt:lpwstr>
  </property>
  <property fmtid="{D5CDD505-2E9C-101B-9397-08002B2CF9AE}" pid="4" name="LastSaved">
    <vt:filetime>2021-04-16T00:00:00Z</vt:filetime>
  </property>
  <property fmtid="{D5CDD505-2E9C-101B-9397-08002B2CF9AE}" pid="5" name="KSOProductBuildVer">
    <vt:lpwstr>2052-11.1.0.10359</vt:lpwstr>
  </property>
  <property fmtid="{D5CDD505-2E9C-101B-9397-08002B2CF9AE}" pid="6" name="ICV">
    <vt:lpwstr>6871D434769F406E85084BC2430B52FC</vt:lpwstr>
  </property>
</Properties>
</file>