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89A" w:rsidRDefault="0030489A" w:rsidP="0030489A">
      <w:pPr>
        <w:jc w:val="center"/>
        <w:rPr>
          <w:rFonts w:ascii="Verdana" w:eastAsia="宋体" w:hAnsi="Verdana" w:cs="宋体"/>
          <w:b/>
          <w:bCs/>
          <w:kern w:val="36"/>
          <w:sz w:val="39"/>
          <w:szCs w:val="39"/>
        </w:rPr>
      </w:pPr>
      <w:bookmarkStart w:id="0" w:name="_GoBack"/>
      <w:bookmarkEnd w:id="0"/>
      <w:r>
        <w:rPr>
          <w:rFonts w:ascii="Verdana" w:eastAsia="宋体" w:hAnsi="Verdana" w:cs="宋体"/>
          <w:b/>
          <w:bCs/>
          <w:kern w:val="36"/>
          <w:sz w:val="39"/>
          <w:szCs w:val="39"/>
        </w:rPr>
        <w:t>富荣</w:t>
      </w:r>
      <w:r w:rsidRPr="0030489A">
        <w:rPr>
          <w:rFonts w:ascii="Verdana" w:eastAsia="宋体" w:hAnsi="Verdana" w:cs="宋体"/>
          <w:b/>
          <w:bCs/>
          <w:kern w:val="36"/>
          <w:sz w:val="39"/>
          <w:szCs w:val="39"/>
        </w:rPr>
        <w:t>基金管理有限公司关于</w:t>
      </w:r>
      <w:r w:rsidR="00A11B81" w:rsidRPr="00A11B81">
        <w:rPr>
          <w:rFonts w:ascii="Verdana" w:eastAsia="宋体" w:hAnsi="Verdana" w:cs="宋体" w:hint="eastAsia"/>
          <w:b/>
          <w:bCs/>
          <w:kern w:val="36"/>
          <w:sz w:val="39"/>
          <w:szCs w:val="39"/>
        </w:rPr>
        <w:t>通过泰诚财富基金销售（大连）有限公司购买并持有本公司旗下基金的投资者及时办理转托管的提示性公告</w:t>
      </w:r>
    </w:p>
    <w:p w:rsidR="0030489A" w:rsidRDefault="0030489A" w:rsidP="0030489A">
      <w:pPr>
        <w:jc w:val="center"/>
        <w:rPr>
          <w:rFonts w:ascii="Verdana" w:eastAsia="宋体" w:hAnsi="Verdana" w:cs="宋体"/>
          <w:b/>
          <w:bCs/>
          <w:kern w:val="36"/>
          <w:sz w:val="39"/>
          <w:szCs w:val="39"/>
        </w:rPr>
      </w:pPr>
    </w:p>
    <w:p w:rsidR="00A11B81" w:rsidRDefault="00A11B81" w:rsidP="00A11B81">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bCs/>
          <w:color w:val="000000"/>
          <w:kern w:val="0"/>
          <w:szCs w:val="21"/>
        </w:rPr>
        <w:t>富荣</w:t>
      </w:r>
      <w:r w:rsidRPr="00A11B81">
        <w:rPr>
          <w:rFonts w:ascii="宋体" w:eastAsia="宋体" w:hAnsi="宋体" w:cs="Calibri" w:hint="eastAsia"/>
          <w:bCs/>
          <w:color w:val="000000"/>
          <w:kern w:val="0"/>
          <w:szCs w:val="21"/>
        </w:rPr>
        <w:t>基金管理有限公司（以下简称“本公司”）</w:t>
      </w:r>
      <w:r>
        <w:rPr>
          <w:rFonts w:ascii="宋体" w:eastAsia="宋体" w:hAnsi="宋体" w:cs="Calibri" w:hint="eastAsia"/>
          <w:bCs/>
          <w:color w:val="000000"/>
          <w:kern w:val="0"/>
          <w:szCs w:val="21"/>
        </w:rPr>
        <w:t>于</w:t>
      </w:r>
      <w:r w:rsidRPr="00A11B81">
        <w:rPr>
          <w:rFonts w:ascii="宋体" w:eastAsia="宋体" w:hAnsi="宋体" w:cs="Calibri" w:hint="eastAsia"/>
          <w:bCs/>
          <w:color w:val="000000"/>
          <w:kern w:val="0"/>
          <w:szCs w:val="21"/>
        </w:rPr>
        <w:t>20</w:t>
      </w:r>
      <w:r>
        <w:rPr>
          <w:rFonts w:ascii="宋体" w:eastAsia="宋体" w:hAnsi="宋体" w:cs="Calibri" w:hint="eastAsia"/>
          <w:bCs/>
          <w:color w:val="000000"/>
          <w:kern w:val="0"/>
          <w:szCs w:val="21"/>
        </w:rPr>
        <w:t>20</w:t>
      </w:r>
      <w:r w:rsidRPr="00A11B81">
        <w:rPr>
          <w:rFonts w:ascii="宋体" w:eastAsia="宋体" w:hAnsi="宋体" w:cs="Calibri" w:hint="eastAsia"/>
          <w:bCs/>
          <w:color w:val="000000"/>
          <w:kern w:val="0"/>
          <w:szCs w:val="21"/>
        </w:rPr>
        <w:t>年</w:t>
      </w:r>
      <w:r>
        <w:rPr>
          <w:rFonts w:ascii="宋体" w:eastAsia="宋体" w:hAnsi="宋体" w:cs="Calibri" w:hint="eastAsia"/>
          <w:bCs/>
          <w:color w:val="000000"/>
          <w:kern w:val="0"/>
          <w:szCs w:val="21"/>
        </w:rPr>
        <w:t>10</w:t>
      </w:r>
      <w:r w:rsidRPr="00A11B81">
        <w:rPr>
          <w:rFonts w:ascii="宋体" w:eastAsia="宋体" w:hAnsi="宋体" w:cs="Calibri" w:hint="eastAsia"/>
          <w:bCs/>
          <w:color w:val="000000"/>
          <w:kern w:val="0"/>
          <w:szCs w:val="21"/>
        </w:rPr>
        <w:t>月</w:t>
      </w:r>
      <w:r>
        <w:rPr>
          <w:rFonts w:ascii="宋体" w:eastAsia="宋体" w:hAnsi="宋体" w:cs="Calibri" w:hint="eastAsia"/>
          <w:bCs/>
          <w:color w:val="000000"/>
          <w:kern w:val="0"/>
          <w:szCs w:val="21"/>
        </w:rPr>
        <w:t>14日公告了终止</w:t>
      </w:r>
      <w:r w:rsidR="006A37F9" w:rsidRPr="006A37F9">
        <w:rPr>
          <w:rFonts w:ascii="宋体" w:eastAsia="宋体" w:hAnsi="宋体" w:cs="Calibri" w:hint="eastAsia"/>
          <w:bCs/>
          <w:color w:val="000000"/>
          <w:kern w:val="0"/>
          <w:szCs w:val="21"/>
        </w:rPr>
        <w:t>泰诚财富基金销售（大连）有限公司</w:t>
      </w:r>
      <w:r>
        <w:rPr>
          <w:rFonts w:ascii="宋体" w:eastAsia="宋体" w:hAnsi="宋体" w:cs="Calibri" w:hint="eastAsia"/>
          <w:bCs/>
          <w:color w:val="000000"/>
          <w:kern w:val="0"/>
          <w:szCs w:val="21"/>
        </w:rPr>
        <w:t>（以下简称“</w:t>
      </w:r>
      <w:r w:rsidR="006A37F9">
        <w:rPr>
          <w:rFonts w:ascii="宋体" w:eastAsia="宋体" w:hAnsi="宋体" w:cs="Calibri" w:hint="eastAsia"/>
          <w:bCs/>
          <w:color w:val="000000"/>
          <w:kern w:val="0"/>
          <w:szCs w:val="21"/>
        </w:rPr>
        <w:t>泰诚财富</w:t>
      </w:r>
      <w:r>
        <w:rPr>
          <w:rFonts w:ascii="宋体" w:eastAsia="宋体" w:hAnsi="宋体" w:cs="Calibri" w:hint="eastAsia"/>
          <w:bCs/>
          <w:color w:val="000000"/>
          <w:kern w:val="0"/>
          <w:szCs w:val="21"/>
        </w:rPr>
        <w:t>”）办理本公司旗下基金的相关销售</w:t>
      </w:r>
      <w:r w:rsidRPr="00A11B81">
        <w:rPr>
          <w:rFonts w:ascii="宋体" w:eastAsia="宋体" w:hAnsi="宋体" w:cs="Calibri" w:hint="eastAsia"/>
          <w:bCs/>
          <w:color w:val="000000"/>
          <w:kern w:val="0"/>
          <w:szCs w:val="21"/>
        </w:rPr>
        <w:t>业务。</w:t>
      </w:r>
      <w:r w:rsidRPr="00A11B81">
        <w:rPr>
          <w:rFonts w:ascii="宋体" w:eastAsia="宋体" w:hAnsi="宋体" w:cs="Calibri" w:hint="eastAsia"/>
          <w:color w:val="000000"/>
          <w:kern w:val="0"/>
          <w:szCs w:val="21"/>
        </w:rPr>
        <w:t>对于已通过</w:t>
      </w:r>
      <w:r w:rsidR="006A37F9">
        <w:rPr>
          <w:rFonts w:ascii="宋体" w:eastAsia="宋体" w:hAnsi="宋体" w:cs="Calibri" w:hint="eastAsia"/>
          <w:bCs/>
          <w:color w:val="000000"/>
          <w:kern w:val="0"/>
          <w:szCs w:val="21"/>
        </w:rPr>
        <w:t>泰诚财富</w:t>
      </w:r>
      <w:r w:rsidRPr="00A11B81">
        <w:rPr>
          <w:rFonts w:ascii="宋体" w:eastAsia="宋体" w:hAnsi="宋体" w:cs="Calibri" w:hint="eastAsia"/>
          <w:color w:val="000000"/>
          <w:kern w:val="0"/>
          <w:szCs w:val="21"/>
        </w:rPr>
        <w:t>购买并持有本公司旗下基金的投资者，为维护投资者利益，现特别提示如下：</w:t>
      </w:r>
    </w:p>
    <w:p w:rsidR="005032FD" w:rsidRPr="005032FD" w:rsidRDefault="005032FD" w:rsidP="005032FD">
      <w:pPr>
        <w:widowControl/>
        <w:shd w:val="clear" w:color="auto" w:fill="FFFFFF"/>
        <w:spacing w:line="360" w:lineRule="auto"/>
        <w:ind w:firstLineChars="200" w:firstLine="420"/>
        <w:jc w:val="left"/>
        <w:rPr>
          <w:rFonts w:ascii="宋体" w:eastAsia="宋体" w:hAnsi="宋体" w:cs="Calibri"/>
          <w:color w:val="000000"/>
          <w:kern w:val="0"/>
          <w:szCs w:val="21"/>
        </w:rPr>
      </w:pPr>
      <w:r w:rsidRPr="005032FD">
        <w:rPr>
          <w:rFonts w:ascii="宋体" w:eastAsia="宋体" w:hAnsi="宋体" w:cs="Calibri" w:hint="eastAsia"/>
          <w:color w:val="000000"/>
          <w:kern w:val="0"/>
          <w:szCs w:val="21"/>
        </w:rPr>
        <w:t>2020年12月</w:t>
      </w:r>
      <w:r w:rsidR="00FB4AA7">
        <w:rPr>
          <w:rFonts w:ascii="宋体" w:eastAsia="宋体" w:hAnsi="宋体" w:cs="Calibri"/>
          <w:color w:val="000000"/>
          <w:kern w:val="0"/>
          <w:szCs w:val="21"/>
        </w:rPr>
        <w:t>2</w:t>
      </w:r>
      <w:r w:rsidR="00F56C38">
        <w:rPr>
          <w:rFonts w:ascii="宋体" w:eastAsia="宋体" w:hAnsi="宋体" w:cs="Calibri" w:hint="eastAsia"/>
          <w:color w:val="000000"/>
          <w:kern w:val="0"/>
          <w:szCs w:val="21"/>
        </w:rPr>
        <w:t>8</w:t>
      </w:r>
      <w:r w:rsidRPr="005032FD">
        <w:rPr>
          <w:rFonts w:ascii="宋体" w:eastAsia="宋体" w:hAnsi="宋体" w:cs="Calibri" w:hint="eastAsia"/>
          <w:color w:val="000000"/>
          <w:kern w:val="0"/>
          <w:szCs w:val="21"/>
        </w:rPr>
        <w:t>日前，对于已自行在本公司直销平台开立直销账户的持有人，由本公司统一完成基金份额的转托管工作，持有人可通过本公司直销平台进行后续业务操作。</w:t>
      </w:r>
    </w:p>
    <w:p w:rsidR="005032FD" w:rsidRPr="005032FD" w:rsidRDefault="005032FD" w:rsidP="005032FD">
      <w:pPr>
        <w:widowControl/>
        <w:shd w:val="clear" w:color="auto" w:fill="FFFFFF"/>
        <w:spacing w:line="360" w:lineRule="auto"/>
        <w:ind w:firstLineChars="200" w:firstLine="420"/>
        <w:jc w:val="left"/>
        <w:rPr>
          <w:rFonts w:ascii="宋体" w:eastAsia="宋体" w:hAnsi="宋体" w:cs="Calibri"/>
          <w:color w:val="000000"/>
          <w:kern w:val="0"/>
          <w:szCs w:val="21"/>
        </w:rPr>
      </w:pPr>
      <w:r w:rsidRPr="005032FD">
        <w:rPr>
          <w:rFonts w:ascii="宋体" w:eastAsia="宋体" w:hAnsi="宋体" w:cs="Calibri" w:hint="eastAsia"/>
          <w:color w:val="000000"/>
          <w:kern w:val="0"/>
          <w:szCs w:val="21"/>
        </w:rPr>
        <w:t>截至2020年12月</w:t>
      </w:r>
      <w:r w:rsidR="00FB4AA7">
        <w:rPr>
          <w:rFonts w:ascii="宋体" w:eastAsia="宋体" w:hAnsi="宋体" w:cs="Calibri"/>
          <w:color w:val="000000"/>
          <w:kern w:val="0"/>
          <w:szCs w:val="21"/>
        </w:rPr>
        <w:t>2</w:t>
      </w:r>
      <w:r w:rsidR="00F56C38">
        <w:rPr>
          <w:rFonts w:ascii="宋体" w:eastAsia="宋体" w:hAnsi="宋体" w:cs="Calibri" w:hint="eastAsia"/>
          <w:color w:val="000000"/>
          <w:kern w:val="0"/>
          <w:szCs w:val="21"/>
        </w:rPr>
        <w:t>8</w:t>
      </w:r>
      <w:r w:rsidRPr="005032FD">
        <w:rPr>
          <w:rFonts w:ascii="宋体" w:eastAsia="宋体" w:hAnsi="宋体" w:cs="Calibri" w:hint="eastAsia"/>
          <w:color w:val="000000"/>
          <w:kern w:val="0"/>
          <w:szCs w:val="21"/>
        </w:rPr>
        <w:t>日，对于未完成转托管的持有人，本公司将统一为持有人开立直销账户，将持有的</w:t>
      </w:r>
      <w:r>
        <w:rPr>
          <w:rFonts w:ascii="宋体" w:eastAsia="宋体" w:hAnsi="宋体" w:cs="Calibri" w:hint="eastAsia"/>
          <w:color w:val="000000"/>
          <w:kern w:val="0"/>
          <w:szCs w:val="21"/>
        </w:rPr>
        <w:t>富荣</w:t>
      </w:r>
      <w:r w:rsidRPr="005032FD">
        <w:rPr>
          <w:rFonts w:ascii="宋体" w:eastAsia="宋体" w:hAnsi="宋体" w:cs="Calibri" w:hint="eastAsia"/>
          <w:color w:val="000000"/>
          <w:kern w:val="0"/>
          <w:szCs w:val="21"/>
        </w:rPr>
        <w:t>基金旗下基金份额转托管至本公司直销平台。对于此类由本公司代基金份额持有人开立的直销账户，本公司将限制该账户的后续业务操作，持有人按照直销平台的要求提供相关材料后方可对转入直销平台的基金份额进行后续业务操作。</w:t>
      </w:r>
    </w:p>
    <w:p w:rsidR="0030489A" w:rsidRDefault="005032FD" w:rsidP="00FE62EE">
      <w:pPr>
        <w:widowControl/>
        <w:shd w:val="clear" w:color="auto" w:fill="FFFFFF"/>
        <w:spacing w:line="360" w:lineRule="auto"/>
        <w:ind w:firstLineChars="200" w:firstLine="420"/>
        <w:jc w:val="left"/>
        <w:rPr>
          <w:rFonts w:ascii="宋体" w:eastAsia="宋体" w:hAnsi="宋体" w:cs="Calibri"/>
          <w:color w:val="000000"/>
          <w:kern w:val="0"/>
          <w:szCs w:val="21"/>
        </w:rPr>
      </w:pPr>
      <w:r w:rsidRPr="005032FD">
        <w:rPr>
          <w:rFonts w:ascii="宋体" w:eastAsia="宋体" w:hAnsi="宋体" w:cs="Calibri" w:hint="eastAsia"/>
          <w:color w:val="000000"/>
          <w:kern w:val="0"/>
          <w:szCs w:val="21"/>
        </w:rPr>
        <w:t>本次转托管将不会影响持有人持有的本公司旗下基金的份额。相关业务变化信息，本公司将通过包括但不限于电话、短信、邮件等方式及时、妥善地进行告知。</w:t>
      </w:r>
    </w:p>
    <w:p w:rsidR="00A11B81" w:rsidRDefault="00A11B81" w:rsidP="00A11B81">
      <w:pPr>
        <w:widowControl/>
        <w:shd w:val="clear" w:color="auto" w:fill="FFFFFF"/>
        <w:spacing w:line="360" w:lineRule="auto"/>
        <w:ind w:firstLineChars="200" w:firstLine="420"/>
        <w:jc w:val="left"/>
        <w:rPr>
          <w:rFonts w:ascii="宋体" w:eastAsia="宋体" w:hAnsi="宋体" w:cs="Calibri"/>
          <w:color w:val="000000"/>
          <w:kern w:val="0"/>
          <w:szCs w:val="21"/>
        </w:rPr>
      </w:pPr>
    </w:p>
    <w:p w:rsidR="00303B66" w:rsidRDefault="00303B66"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投资者可通过本公司咨询有关详情：</w:t>
      </w:r>
    </w:p>
    <w:p w:rsidR="0030489A"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30489A">
        <w:rPr>
          <w:rFonts w:ascii="宋体" w:eastAsia="宋体" w:hAnsi="宋体" w:cs="Calibri"/>
          <w:color w:val="000000"/>
          <w:kern w:val="0"/>
          <w:szCs w:val="21"/>
        </w:rPr>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r w:rsidRPr="0030489A">
        <w:rPr>
          <w:rFonts w:ascii="宋体" w:eastAsia="宋体" w:hAnsi="宋体" w:cs="Calibri"/>
          <w:color w:val="000000"/>
          <w:kern w:val="0"/>
          <w:szCs w:val="21"/>
        </w:rPr>
        <w:t xml:space="preserve"> </w:t>
      </w:r>
    </w:p>
    <w:p w:rsidR="006053FA" w:rsidRDefault="0030489A" w:rsidP="006053FA">
      <w:pPr>
        <w:widowControl/>
        <w:shd w:val="clear" w:color="auto" w:fill="FFFFFF"/>
        <w:spacing w:line="360" w:lineRule="auto"/>
        <w:ind w:firstLineChars="200" w:firstLine="420"/>
        <w:jc w:val="left"/>
        <w:rPr>
          <w:rFonts w:ascii="宋体" w:eastAsia="宋体" w:hAnsi="宋体" w:cs="Calibri"/>
          <w:color w:val="000000"/>
          <w:kern w:val="0"/>
          <w:szCs w:val="21"/>
        </w:rPr>
      </w:pPr>
      <w:r w:rsidRPr="0030489A">
        <w:rPr>
          <w:rFonts w:ascii="宋体" w:eastAsia="宋体" w:hAnsi="宋体" w:cs="Calibri"/>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r w:rsidRPr="0030489A">
        <w:rPr>
          <w:rFonts w:ascii="宋体" w:eastAsia="宋体" w:hAnsi="宋体" w:cs="Calibri"/>
          <w:color w:val="000000"/>
          <w:kern w:val="0"/>
          <w:szCs w:val="21"/>
        </w:rPr>
        <w:t xml:space="preserve"> </w:t>
      </w:r>
    </w:p>
    <w:p w:rsidR="00303B66" w:rsidRDefault="00303B66" w:rsidP="0030489A">
      <w:pPr>
        <w:widowControl/>
        <w:shd w:val="clear" w:color="auto" w:fill="FFFFFF"/>
        <w:spacing w:line="360" w:lineRule="auto"/>
        <w:ind w:firstLineChars="200" w:firstLine="420"/>
        <w:jc w:val="left"/>
        <w:rPr>
          <w:rFonts w:ascii="宋体" w:eastAsia="宋体" w:hAnsi="宋体" w:cs="Calibri"/>
          <w:color w:val="000000"/>
          <w:kern w:val="0"/>
          <w:szCs w:val="21"/>
        </w:rPr>
      </w:pPr>
    </w:p>
    <w:p w:rsidR="00EE2440"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30489A">
        <w:rPr>
          <w:rFonts w:ascii="宋体" w:eastAsia="宋体" w:hAnsi="宋体" w:cs="Calibri"/>
          <w:color w:val="000000"/>
          <w:kern w:val="0"/>
          <w:szCs w:val="21"/>
        </w:rPr>
        <w:t>风险提示：</w:t>
      </w:r>
    </w:p>
    <w:p w:rsidR="0030489A" w:rsidRDefault="00945539"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sidR="005249B4">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sidR="005249B4">
        <w:rPr>
          <w:rFonts w:ascii="宋体" w:eastAsia="宋体" w:hAnsi="宋体" w:cs="Calibri" w:hint="eastAsia"/>
          <w:color w:val="000000"/>
          <w:kern w:val="0"/>
          <w:szCs w:val="21"/>
        </w:rPr>
        <w:t>、</w:t>
      </w:r>
      <w:r w:rsidR="005249B4"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w:t>
      </w:r>
      <w:r w:rsidRPr="00EE2440">
        <w:rPr>
          <w:rFonts w:ascii="宋体" w:eastAsia="宋体" w:hAnsi="宋体" w:cs="Calibri" w:hint="eastAsia"/>
          <w:color w:val="000000"/>
          <w:kern w:val="0"/>
          <w:szCs w:val="21"/>
        </w:rPr>
        <w:lastRenderedPageBreak/>
        <w:t>期限和投资目标，对基金投资作出独立决策，选择合适的基金产品。敬请投资者留意投资风险。</w:t>
      </w:r>
    </w:p>
    <w:p w:rsidR="0030489A" w:rsidRDefault="0030489A" w:rsidP="0030489A">
      <w:pPr>
        <w:widowControl/>
        <w:shd w:val="clear" w:color="auto" w:fill="FFFFFF"/>
        <w:spacing w:line="360" w:lineRule="auto"/>
        <w:ind w:firstLineChars="200" w:firstLine="420"/>
        <w:jc w:val="left"/>
        <w:rPr>
          <w:rFonts w:ascii="宋体" w:eastAsia="宋体" w:hAnsi="宋体" w:cs="Calibri"/>
          <w:color w:val="000000"/>
          <w:kern w:val="0"/>
          <w:szCs w:val="21"/>
        </w:rPr>
      </w:pPr>
      <w:r w:rsidRPr="0030489A">
        <w:rPr>
          <w:rFonts w:ascii="宋体" w:eastAsia="宋体" w:hAnsi="宋体" w:cs="Calibri"/>
          <w:color w:val="000000"/>
          <w:kern w:val="0"/>
          <w:szCs w:val="21"/>
        </w:rPr>
        <w:t xml:space="preserve">特此公告。 </w:t>
      </w:r>
    </w:p>
    <w:p w:rsidR="0030489A" w:rsidRDefault="0030489A" w:rsidP="0030489A">
      <w:pPr>
        <w:widowControl/>
        <w:shd w:val="clear" w:color="auto" w:fill="FFFFFF"/>
        <w:spacing w:line="360" w:lineRule="auto"/>
        <w:ind w:firstLineChars="200" w:firstLine="420"/>
        <w:jc w:val="right"/>
        <w:rPr>
          <w:rFonts w:ascii="宋体" w:eastAsia="宋体" w:hAnsi="宋体" w:cs="Calibri"/>
          <w:color w:val="000000"/>
          <w:kern w:val="0"/>
          <w:szCs w:val="21"/>
        </w:rPr>
      </w:pPr>
      <w:r w:rsidRPr="0030489A">
        <w:rPr>
          <w:rFonts w:ascii="宋体" w:eastAsia="宋体" w:hAnsi="宋体" w:cs="Calibri"/>
          <w:color w:val="000000"/>
          <w:kern w:val="0"/>
          <w:szCs w:val="21"/>
        </w:rPr>
        <w:t xml:space="preserve">富荣基金管理有限公司 </w:t>
      </w:r>
    </w:p>
    <w:p w:rsidR="00520902" w:rsidRPr="0030489A" w:rsidRDefault="0030489A" w:rsidP="0030489A">
      <w:pPr>
        <w:widowControl/>
        <w:shd w:val="clear" w:color="auto" w:fill="FFFFFF"/>
        <w:wordWrap w:val="0"/>
        <w:spacing w:line="360" w:lineRule="auto"/>
        <w:ind w:firstLineChars="200"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二○二○年</w:t>
      </w:r>
      <w:r w:rsidR="00794785">
        <w:rPr>
          <w:rFonts w:ascii="宋体" w:eastAsia="宋体" w:hAnsi="宋体" w:cs="Calibri" w:hint="eastAsia"/>
          <w:color w:val="000000"/>
          <w:kern w:val="0"/>
          <w:szCs w:val="21"/>
        </w:rPr>
        <w:t>十</w:t>
      </w:r>
      <w:r w:rsidR="005D5B0B">
        <w:rPr>
          <w:rFonts w:ascii="宋体" w:eastAsia="宋体" w:hAnsi="宋体" w:cs="Calibri" w:hint="eastAsia"/>
          <w:color w:val="000000"/>
          <w:kern w:val="0"/>
          <w:szCs w:val="21"/>
        </w:rPr>
        <w:t>二</w:t>
      </w:r>
      <w:r w:rsidR="00D4387D">
        <w:rPr>
          <w:rFonts w:ascii="宋体" w:eastAsia="宋体" w:hAnsi="宋体" w:cs="Calibri" w:hint="eastAsia"/>
          <w:color w:val="000000"/>
          <w:kern w:val="0"/>
          <w:szCs w:val="21"/>
        </w:rPr>
        <w:t>月</w:t>
      </w:r>
      <w:r w:rsidR="00F56C38">
        <w:rPr>
          <w:rFonts w:ascii="宋体" w:eastAsia="宋体" w:hAnsi="宋体" w:cs="Calibri" w:hint="eastAsia"/>
          <w:color w:val="000000"/>
          <w:kern w:val="0"/>
          <w:szCs w:val="21"/>
        </w:rPr>
        <w:t>二十二</w:t>
      </w:r>
      <w:r w:rsidR="00D4387D">
        <w:rPr>
          <w:rFonts w:ascii="宋体" w:eastAsia="宋体" w:hAnsi="宋体" w:cs="Calibri" w:hint="eastAsia"/>
          <w:color w:val="000000"/>
          <w:kern w:val="0"/>
          <w:szCs w:val="21"/>
        </w:rPr>
        <w:t>日</w:t>
      </w:r>
    </w:p>
    <w:sectPr w:rsidR="00520902" w:rsidRPr="0030489A" w:rsidSect="005209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80A" w:rsidRDefault="0030580A" w:rsidP="00EF033C">
      <w:r>
        <w:separator/>
      </w:r>
    </w:p>
  </w:endnote>
  <w:endnote w:type="continuationSeparator" w:id="0">
    <w:p w:rsidR="0030580A" w:rsidRDefault="0030580A" w:rsidP="00EF0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80A" w:rsidRDefault="0030580A" w:rsidP="00EF033C">
      <w:r>
        <w:separator/>
      </w:r>
    </w:p>
  </w:footnote>
  <w:footnote w:type="continuationSeparator" w:id="0">
    <w:p w:rsidR="0030580A" w:rsidRDefault="0030580A" w:rsidP="00EF033C">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谢燕萍">
    <w15:presenceInfo w15:providerId="AD" w15:userId="S-1-5-21-41962111-1129793746-2031791992-11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89A"/>
    <w:rsid w:val="000C7674"/>
    <w:rsid w:val="00103C00"/>
    <w:rsid w:val="001833C6"/>
    <w:rsid w:val="00206B89"/>
    <w:rsid w:val="00272D82"/>
    <w:rsid w:val="002D24E4"/>
    <w:rsid w:val="00303B66"/>
    <w:rsid w:val="0030489A"/>
    <w:rsid w:val="0030580A"/>
    <w:rsid w:val="0033771F"/>
    <w:rsid w:val="00354BA0"/>
    <w:rsid w:val="00452CFF"/>
    <w:rsid w:val="00487C45"/>
    <w:rsid w:val="004901E9"/>
    <w:rsid w:val="004E0B1E"/>
    <w:rsid w:val="005032FD"/>
    <w:rsid w:val="005100BB"/>
    <w:rsid w:val="00520902"/>
    <w:rsid w:val="005249B4"/>
    <w:rsid w:val="005353E8"/>
    <w:rsid w:val="00544859"/>
    <w:rsid w:val="00583E95"/>
    <w:rsid w:val="005958F5"/>
    <w:rsid w:val="005D5B0B"/>
    <w:rsid w:val="005F75ED"/>
    <w:rsid w:val="006053FA"/>
    <w:rsid w:val="006968A5"/>
    <w:rsid w:val="006A37F9"/>
    <w:rsid w:val="00706A57"/>
    <w:rsid w:val="0074393D"/>
    <w:rsid w:val="00794785"/>
    <w:rsid w:val="007C4C96"/>
    <w:rsid w:val="008057F7"/>
    <w:rsid w:val="00854D4C"/>
    <w:rsid w:val="008707ED"/>
    <w:rsid w:val="00945013"/>
    <w:rsid w:val="00945539"/>
    <w:rsid w:val="00953796"/>
    <w:rsid w:val="009F4A00"/>
    <w:rsid w:val="00A11B81"/>
    <w:rsid w:val="00A45915"/>
    <w:rsid w:val="00A7239F"/>
    <w:rsid w:val="00AC2A1A"/>
    <w:rsid w:val="00B4033F"/>
    <w:rsid w:val="00B45CDF"/>
    <w:rsid w:val="00B53EA6"/>
    <w:rsid w:val="00B553BC"/>
    <w:rsid w:val="00B66DE2"/>
    <w:rsid w:val="00C35B37"/>
    <w:rsid w:val="00CC6CA1"/>
    <w:rsid w:val="00D20642"/>
    <w:rsid w:val="00D4387D"/>
    <w:rsid w:val="00D55607"/>
    <w:rsid w:val="00E03451"/>
    <w:rsid w:val="00E0560A"/>
    <w:rsid w:val="00E22E10"/>
    <w:rsid w:val="00E54BC8"/>
    <w:rsid w:val="00E84894"/>
    <w:rsid w:val="00EB61FF"/>
    <w:rsid w:val="00EE2440"/>
    <w:rsid w:val="00EF033C"/>
    <w:rsid w:val="00F56C38"/>
    <w:rsid w:val="00F8700C"/>
    <w:rsid w:val="00FB2D40"/>
    <w:rsid w:val="00FB4AA7"/>
    <w:rsid w:val="00FE6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489A"/>
    <w:rPr>
      <w:color w:val="0000FF" w:themeColor="hyperlink"/>
      <w:u w:val="single"/>
    </w:rPr>
  </w:style>
  <w:style w:type="paragraph" w:styleId="a4">
    <w:name w:val="header"/>
    <w:basedOn w:val="a"/>
    <w:link w:val="Char"/>
    <w:uiPriority w:val="99"/>
    <w:unhideWhenUsed/>
    <w:rsid w:val="00EF03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F033C"/>
    <w:rPr>
      <w:sz w:val="18"/>
      <w:szCs w:val="18"/>
    </w:rPr>
  </w:style>
  <w:style w:type="paragraph" w:styleId="a5">
    <w:name w:val="footer"/>
    <w:basedOn w:val="a"/>
    <w:link w:val="Char0"/>
    <w:uiPriority w:val="99"/>
    <w:unhideWhenUsed/>
    <w:rsid w:val="00EF033C"/>
    <w:pPr>
      <w:tabs>
        <w:tab w:val="center" w:pos="4153"/>
        <w:tab w:val="right" w:pos="8306"/>
      </w:tabs>
      <w:snapToGrid w:val="0"/>
      <w:jc w:val="left"/>
    </w:pPr>
    <w:rPr>
      <w:sz w:val="18"/>
      <w:szCs w:val="18"/>
    </w:rPr>
  </w:style>
  <w:style w:type="character" w:customStyle="1" w:styleId="Char0">
    <w:name w:val="页脚 Char"/>
    <w:basedOn w:val="a0"/>
    <w:link w:val="a5"/>
    <w:uiPriority w:val="99"/>
    <w:rsid w:val="00EF033C"/>
    <w:rPr>
      <w:sz w:val="18"/>
      <w:szCs w:val="18"/>
    </w:rPr>
  </w:style>
  <w:style w:type="paragraph" w:styleId="a6">
    <w:name w:val="Balloon Text"/>
    <w:basedOn w:val="a"/>
    <w:link w:val="Char1"/>
    <w:uiPriority w:val="99"/>
    <w:semiHidden/>
    <w:unhideWhenUsed/>
    <w:rsid w:val="0033771F"/>
    <w:rPr>
      <w:sz w:val="18"/>
      <w:szCs w:val="18"/>
    </w:rPr>
  </w:style>
  <w:style w:type="character" w:customStyle="1" w:styleId="Char1">
    <w:name w:val="批注框文本 Char"/>
    <w:basedOn w:val="a0"/>
    <w:link w:val="a6"/>
    <w:uiPriority w:val="99"/>
    <w:semiHidden/>
    <w:rsid w:val="0033771F"/>
    <w:rPr>
      <w:sz w:val="18"/>
      <w:szCs w:val="18"/>
    </w:rPr>
  </w:style>
  <w:style w:type="paragraph" w:styleId="a7">
    <w:name w:val="Date"/>
    <w:basedOn w:val="a"/>
    <w:next w:val="a"/>
    <w:link w:val="Char2"/>
    <w:uiPriority w:val="99"/>
    <w:semiHidden/>
    <w:unhideWhenUsed/>
    <w:rsid w:val="00A11B81"/>
    <w:pPr>
      <w:ind w:leftChars="2500" w:left="100"/>
    </w:pPr>
  </w:style>
  <w:style w:type="character" w:customStyle="1" w:styleId="Char2">
    <w:name w:val="日期 Char"/>
    <w:basedOn w:val="a0"/>
    <w:link w:val="a7"/>
    <w:uiPriority w:val="99"/>
    <w:semiHidden/>
    <w:rsid w:val="00A11B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489A"/>
    <w:rPr>
      <w:color w:val="0000FF" w:themeColor="hyperlink"/>
      <w:u w:val="single"/>
    </w:rPr>
  </w:style>
  <w:style w:type="paragraph" w:styleId="a4">
    <w:name w:val="header"/>
    <w:basedOn w:val="a"/>
    <w:link w:val="Char"/>
    <w:uiPriority w:val="99"/>
    <w:unhideWhenUsed/>
    <w:rsid w:val="00EF03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F033C"/>
    <w:rPr>
      <w:sz w:val="18"/>
      <w:szCs w:val="18"/>
    </w:rPr>
  </w:style>
  <w:style w:type="paragraph" w:styleId="a5">
    <w:name w:val="footer"/>
    <w:basedOn w:val="a"/>
    <w:link w:val="Char0"/>
    <w:uiPriority w:val="99"/>
    <w:unhideWhenUsed/>
    <w:rsid w:val="00EF033C"/>
    <w:pPr>
      <w:tabs>
        <w:tab w:val="center" w:pos="4153"/>
        <w:tab w:val="right" w:pos="8306"/>
      </w:tabs>
      <w:snapToGrid w:val="0"/>
      <w:jc w:val="left"/>
    </w:pPr>
    <w:rPr>
      <w:sz w:val="18"/>
      <w:szCs w:val="18"/>
    </w:rPr>
  </w:style>
  <w:style w:type="character" w:customStyle="1" w:styleId="Char0">
    <w:name w:val="页脚 Char"/>
    <w:basedOn w:val="a0"/>
    <w:link w:val="a5"/>
    <w:uiPriority w:val="99"/>
    <w:rsid w:val="00EF033C"/>
    <w:rPr>
      <w:sz w:val="18"/>
      <w:szCs w:val="18"/>
    </w:rPr>
  </w:style>
  <w:style w:type="paragraph" w:styleId="a6">
    <w:name w:val="Balloon Text"/>
    <w:basedOn w:val="a"/>
    <w:link w:val="Char1"/>
    <w:uiPriority w:val="99"/>
    <w:semiHidden/>
    <w:unhideWhenUsed/>
    <w:rsid w:val="0033771F"/>
    <w:rPr>
      <w:sz w:val="18"/>
      <w:szCs w:val="18"/>
    </w:rPr>
  </w:style>
  <w:style w:type="character" w:customStyle="1" w:styleId="Char1">
    <w:name w:val="批注框文本 Char"/>
    <w:basedOn w:val="a0"/>
    <w:link w:val="a6"/>
    <w:uiPriority w:val="99"/>
    <w:semiHidden/>
    <w:rsid w:val="0033771F"/>
    <w:rPr>
      <w:sz w:val="18"/>
      <w:szCs w:val="18"/>
    </w:rPr>
  </w:style>
  <w:style w:type="paragraph" w:styleId="a7">
    <w:name w:val="Date"/>
    <w:basedOn w:val="a"/>
    <w:next w:val="a"/>
    <w:link w:val="Char2"/>
    <w:uiPriority w:val="99"/>
    <w:semiHidden/>
    <w:unhideWhenUsed/>
    <w:rsid w:val="00A11B81"/>
    <w:pPr>
      <w:ind w:leftChars="2500" w:left="100"/>
    </w:pPr>
  </w:style>
  <w:style w:type="character" w:customStyle="1" w:styleId="Char2">
    <w:name w:val="日期 Char"/>
    <w:basedOn w:val="a0"/>
    <w:link w:val="a7"/>
    <w:uiPriority w:val="99"/>
    <w:semiHidden/>
    <w:rsid w:val="00A11B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7677298">
      <w:bodyDiv w:val="1"/>
      <w:marLeft w:val="0"/>
      <w:marRight w:val="0"/>
      <w:marTop w:val="0"/>
      <w:marBottom w:val="0"/>
      <w:divBdr>
        <w:top w:val="none" w:sz="0" w:space="0" w:color="auto"/>
        <w:left w:val="none" w:sz="0" w:space="0" w:color="auto"/>
        <w:bottom w:val="none" w:sz="0" w:space="0" w:color="auto"/>
        <w:right w:val="none" w:sz="0" w:space="0" w:color="auto"/>
      </w:divBdr>
    </w:div>
    <w:div w:id="186790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124</Words>
  <Characters>709</Characters>
  <Application>Microsoft Office Word</Application>
  <DocSecurity>4</DocSecurity>
  <Lines>5</Lines>
  <Paragraphs>1</Paragraphs>
  <ScaleCrop>false</ScaleCrop>
  <Company>Microsoft</Company>
  <LinksUpToDate>false</LinksUpToDate>
  <CharactersWithSpaces>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赵艺璇</cp:lastModifiedBy>
  <cp:revision>2</cp:revision>
  <dcterms:created xsi:type="dcterms:W3CDTF">2020-12-22T00:47:00Z</dcterms:created>
  <dcterms:modified xsi:type="dcterms:W3CDTF">2020-12-22T00:47:00Z</dcterms:modified>
</cp:coreProperties>
</file>