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4.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header5.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C06C5" w:rsidRDefault="00ED474B">
      <w:pPr>
        <w:rPr>
          <w:rFonts w:ascii="Arial Unicode MS" w:hAnsi="Arial Unicode MS" w:cs="Arial"/>
          <w:sz w:val="32"/>
        </w:rPr>
      </w:pPr>
      <w:r>
        <w:rPr>
          <w:rFonts w:ascii="Arial Unicode MS" w:hAnsi="Arial Unicode MS" w:cs="Arial" w:hint="eastAsia"/>
          <w:sz w:val="32"/>
        </w:rPr>
        <w:softHyphen/>
      </w:r>
      <w:r>
        <w:rPr>
          <w:rFonts w:ascii="Arial Unicode MS" w:hAnsi="Arial Unicode MS" w:cs="Arial"/>
          <w:sz w:val="32"/>
        </w:rPr>
        <w:softHyphen/>
      </w:r>
      <w:r>
        <w:rPr>
          <w:rFonts w:ascii="Arial Unicode MS" w:hAnsi="Arial Unicode MS" w:cs="Arial" w:hint="eastAsia"/>
          <w:sz w:val="32"/>
        </w:rPr>
        <w:softHyphen/>
      </w:r>
      <w:r>
        <w:rPr>
          <w:rFonts w:ascii="Arial Unicode MS" w:hAnsi="Arial Unicode MS" w:cs="Arial"/>
          <w:sz w:val="32"/>
        </w:rPr>
        <w:softHyphen/>
      </w:r>
    </w:p>
    <w:p w:rsidR="004C06C5" w:rsidRDefault="004C06C5">
      <w:pPr>
        <w:rPr>
          <w:rFonts w:ascii="Arial Unicode MS" w:hAnsi="Arial Unicode MS" w:cs="Arial"/>
          <w:sz w:val="32"/>
        </w:rPr>
      </w:pPr>
    </w:p>
    <w:p w:rsidR="004C06C5" w:rsidRDefault="004C06C5">
      <w:pPr>
        <w:rPr>
          <w:rFonts w:ascii="Arial Unicode MS" w:hAnsi="Arial Unicode MS" w:cs="Arial"/>
          <w:sz w:val="32"/>
        </w:rPr>
      </w:pPr>
    </w:p>
    <w:p w:rsidR="004C06C5" w:rsidRDefault="004C06C5">
      <w:pPr>
        <w:rPr>
          <w:rFonts w:ascii="Arial Unicode MS" w:hAnsi="Arial Unicode MS" w:cs="Arial"/>
          <w:sz w:val="32"/>
        </w:rPr>
      </w:pPr>
    </w:p>
    <w:p w:rsidR="004C06C5" w:rsidRDefault="00ED474B">
      <w:pPr>
        <w:rPr>
          <w:rFonts w:ascii="Arial Unicode MS" w:hAnsi="Arial Unicode MS" w:cs="Arial"/>
          <w:sz w:val="32"/>
        </w:rPr>
      </w:pPr>
      <w:r>
        <w:rPr>
          <w:rFonts w:ascii="Arial Unicode MS" w:hAnsi="Arial Unicode MS" w:cs="Arial" w:hint="eastAsia"/>
          <w:sz w:val="32"/>
        </w:rPr>
        <w:t xml:space="preserve"> </w:t>
      </w:r>
    </w:p>
    <w:p w:rsidR="004C06C5" w:rsidRDefault="00ED474B">
      <w:pPr>
        <w:spacing w:line="360" w:lineRule="auto"/>
        <w:jc w:val="center"/>
        <w:rPr>
          <w:rFonts w:ascii="Arial Unicode MS" w:hAnsi="Arial Unicode MS" w:cs="Arial"/>
          <w:b/>
          <w:sz w:val="48"/>
          <w:szCs w:val="48"/>
        </w:rPr>
      </w:pPr>
      <w:proofErr w:type="gramStart"/>
      <w:r>
        <w:rPr>
          <w:rFonts w:ascii="Arial Unicode MS" w:hAnsi="Arial Unicode MS" w:cs="Arial"/>
          <w:b/>
          <w:sz w:val="48"/>
          <w:szCs w:val="48"/>
        </w:rPr>
        <w:t>富荣富乾债券</w:t>
      </w:r>
      <w:proofErr w:type="gramEnd"/>
      <w:r>
        <w:rPr>
          <w:rFonts w:ascii="Arial Unicode MS" w:hAnsi="Arial Unicode MS" w:cs="Arial"/>
          <w:b/>
          <w:sz w:val="48"/>
          <w:szCs w:val="48"/>
        </w:rPr>
        <w:t>型证券投资基金</w:t>
      </w:r>
    </w:p>
    <w:p w:rsidR="004C06C5" w:rsidRDefault="00ED474B">
      <w:pPr>
        <w:spacing w:line="360" w:lineRule="auto"/>
        <w:jc w:val="center"/>
        <w:rPr>
          <w:rFonts w:ascii="Arial Unicode MS" w:hAnsi="Arial Unicode MS" w:cs="Arial"/>
          <w:b/>
          <w:sz w:val="48"/>
          <w:szCs w:val="48"/>
        </w:rPr>
      </w:pPr>
      <w:r>
        <w:rPr>
          <w:rFonts w:ascii="Arial Unicode MS" w:hAnsi="Arial Unicode MS" w:cs="Arial" w:hint="eastAsia"/>
          <w:b/>
          <w:sz w:val="48"/>
          <w:szCs w:val="48"/>
        </w:rPr>
        <w:t>更新的</w:t>
      </w:r>
      <w:r>
        <w:rPr>
          <w:rFonts w:ascii="Arial Unicode MS" w:hAnsi="Arial Unicode MS" w:cs="Arial"/>
          <w:b/>
          <w:sz w:val="48"/>
          <w:szCs w:val="48"/>
        </w:rPr>
        <w:t>招募说明书</w:t>
      </w:r>
    </w:p>
    <w:p w:rsidR="004C06C5" w:rsidRDefault="00ED474B">
      <w:pPr>
        <w:spacing w:line="360" w:lineRule="auto"/>
        <w:jc w:val="center"/>
        <w:rPr>
          <w:rFonts w:ascii="宋体" w:hAnsi="宋体" w:cs="Arial"/>
          <w:b/>
          <w:sz w:val="48"/>
          <w:szCs w:val="48"/>
        </w:rPr>
      </w:pPr>
      <w:r>
        <w:rPr>
          <w:rFonts w:ascii="宋体" w:hAnsi="宋体" w:cs="Arial" w:hint="eastAsia"/>
          <w:b/>
          <w:sz w:val="48"/>
          <w:szCs w:val="48"/>
        </w:rPr>
        <w:t>（20</w:t>
      </w:r>
      <w:r>
        <w:rPr>
          <w:rFonts w:ascii="宋体" w:hAnsi="宋体" w:cs="Arial"/>
          <w:b/>
          <w:sz w:val="48"/>
          <w:szCs w:val="48"/>
        </w:rPr>
        <w:t>20</w:t>
      </w:r>
      <w:r>
        <w:rPr>
          <w:rFonts w:ascii="宋体" w:hAnsi="宋体" w:cs="Arial" w:hint="eastAsia"/>
          <w:b/>
          <w:sz w:val="48"/>
          <w:szCs w:val="48"/>
        </w:rPr>
        <w:t>年第</w:t>
      </w:r>
      <w:r>
        <w:rPr>
          <w:rFonts w:ascii="宋体" w:hAnsi="宋体" w:cs="Arial"/>
          <w:b/>
          <w:sz w:val="48"/>
          <w:szCs w:val="48"/>
        </w:rPr>
        <w:t>1</w:t>
      </w:r>
      <w:r>
        <w:rPr>
          <w:rFonts w:ascii="宋体" w:hAnsi="宋体" w:cs="Arial" w:hint="eastAsia"/>
          <w:b/>
          <w:sz w:val="48"/>
          <w:szCs w:val="48"/>
        </w:rPr>
        <w:t>号）</w:t>
      </w:r>
    </w:p>
    <w:p w:rsidR="004C06C5" w:rsidRDefault="004C06C5">
      <w:pPr>
        <w:spacing w:line="360" w:lineRule="auto"/>
        <w:jc w:val="center"/>
        <w:rPr>
          <w:rFonts w:ascii="Arial Unicode MS" w:hAnsi="Arial Unicode MS" w:cs="Arial"/>
          <w:b/>
          <w:sz w:val="48"/>
          <w:szCs w:val="48"/>
        </w:rPr>
      </w:pPr>
    </w:p>
    <w:p w:rsidR="004C06C5" w:rsidRDefault="004C06C5">
      <w:pPr>
        <w:jc w:val="center"/>
        <w:rPr>
          <w:rFonts w:ascii="Arial Unicode MS" w:hAnsi="Arial Unicode MS" w:cs="Arial"/>
          <w:b/>
          <w:sz w:val="36"/>
          <w:szCs w:val="36"/>
        </w:rPr>
      </w:pPr>
    </w:p>
    <w:p w:rsidR="004C06C5" w:rsidRDefault="004C06C5">
      <w:pPr>
        <w:jc w:val="center"/>
        <w:rPr>
          <w:rFonts w:ascii="Arial Unicode MS" w:hAnsi="Arial Unicode MS" w:cs="Arial"/>
          <w:b/>
          <w:sz w:val="36"/>
          <w:szCs w:val="36"/>
        </w:rPr>
      </w:pPr>
    </w:p>
    <w:p w:rsidR="004C06C5" w:rsidRDefault="004C06C5">
      <w:pPr>
        <w:jc w:val="center"/>
        <w:rPr>
          <w:rFonts w:ascii="Arial Unicode MS" w:hAnsi="Arial Unicode MS" w:cs="Arial"/>
          <w:b/>
          <w:sz w:val="36"/>
          <w:szCs w:val="36"/>
        </w:rPr>
      </w:pPr>
    </w:p>
    <w:p w:rsidR="004C06C5" w:rsidRDefault="004C06C5">
      <w:pPr>
        <w:jc w:val="center"/>
        <w:rPr>
          <w:rFonts w:ascii="Arial Unicode MS" w:hAnsi="Arial Unicode MS" w:cs="Arial"/>
          <w:sz w:val="36"/>
          <w:szCs w:val="36"/>
        </w:rPr>
      </w:pPr>
    </w:p>
    <w:p w:rsidR="004C06C5" w:rsidRDefault="004C06C5">
      <w:pPr>
        <w:jc w:val="center"/>
        <w:rPr>
          <w:rFonts w:ascii="Arial Unicode MS" w:hAnsi="Arial Unicode MS" w:cs="Arial"/>
          <w:sz w:val="36"/>
          <w:szCs w:val="36"/>
        </w:rPr>
      </w:pPr>
    </w:p>
    <w:p w:rsidR="004C06C5" w:rsidRDefault="004C06C5">
      <w:pPr>
        <w:rPr>
          <w:rFonts w:ascii="Arial Unicode MS" w:hAnsi="Arial Unicode MS" w:cs="Arial"/>
          <w:sz w:val="36"/>
          <w:szCs w:val="36"/>
        </w:rPr>
      </w:pPr>
    </w:p>
    <w:p w:rsidR="004C06C5" w:rsidRDefault="00ED474B">
      <w:pPr>
        <w:spacing w:line="360" w:lineRule="auto"/>
        <w:jc w:val="center"/>
        <w:rPr>
          <w:rFonts w:ascii="Arial Unicode MS" w:hAnsi="Arial Unicode MS" w:cs="Arial"/>
          <w:b/>
          <w:sz w:val="36"/>
          <w:szCs w:val="36"/>
        </w:rPr>
      </w:pPr>
      <w:r>
        <w:rPr>
          <w:rFonts w:ascii="Arial Unicode MS" w:hAnsi="Arial Unicode MS" w:cs="Arial"/>
          <w:b/>
          <w:sz w:val="36"/>
          <w:szCs w:val="36"/>
        </w:rPr>
        <w:t>基金管理人：富荣基金管理有限公司</w:t>
      </w:r>
    </w:p>
    <w:p w:rsidR="004C06C5" w:rsidRDefault="00ED474B">
      <w:pPr>
        <w:spacing w:line="360" w:lineRule="auto"/>
        <w:jc w:val="center"/>
        <w:rPr>
          <w:rFonts w:ascii="Arial Unicode MS" w:hAnsi="Arial Unicode MS" w:cs="Arial"/>
          <w:b/>
          <w:bCs/>
          <w:sz w:val="36"/>
          <w:szCs w:val="36"/>
        </w:rPr>
      </w:pPr>
      <w:r>
        <w:rPr>
          <w:rFonts w:ascii="Arial Unicode MS" w:hAnsi="Arial Unicode MS" w:cs="Arial"/>
          <w:b/>
          <w:sz w:val="36"/>
          <w:szCs w:val="36"/>
        </w:rPr>
        <w:t>基金托管人：</w:t>
      </w:r>
      <w:r>
        <w:rPr>
          <w:rFonts w:ascii="Arial Unicode MS" w:hAnsi="Arial Unicode MS" w:cs="Arial" w:hint="eastAsia"/>
          <w:b/>
          <w:sz w:val="36"/>
          <w:szCs w:val="36"/>
        </w:rPr>
        <w:t>上海浦东发展银行股份有限公司</w:t>
      </w:r>
    </w:p>
    <w:p w:rsidR="004C06C5" w:rsidRDefault="00ED474B">
      <w:pPr>
        <w:tabs>
          <w:tab w:val="left" w:pos="7140"/>
        </w:tabs>
        <w:rPr>
          <w:rFonts w:ascii="Arial Unicode MS" w:hAnsi="Arial Unicode MS" w:cs="Arial"/>
          <w:sz w:val="36"/>
          <w:szCs w:val="36"/>
        </w:rPr>
      </w:pPr>
      <w:r>
        <w:rPr>
          <w:rFonts w:ascii="Arial Unicode MS" w:hAnsi="Arial Unicode MS" w:cs="Arial"/>
          <w:sz w:val="36"/>
          <w:szCs w:val="36"/>
        </w:rPr>
        <w:tab/>
      </w:r>
    </w:p>
    <w:p w:rsidR="004C06C5" w:rsidRDefault="004C06C5">
      <w:pPr>
        <w:rPr>
          <w:rFonts w:ascii="Arial Unicode MS" w:hAnsi="Arial Unicode MS" w:cs="Arial"/>
          <w:sz w:val="36"/>
          <w:szCs w:val="36"/>
        </w:rPr>
      </w:pPr>
    </w:p>
    <w:p w:rsidR="004C06C5" w:rsidRDefault="004C06C5">
      <w:pPr>
        <w:rPr>
          <w:rFonts w:ascii="Arial Unicode MS" w:hAnsi="Arial Unicode MS" w:cs="Arial"/>
          <w:sz w:val="36"/>
          <w:szCs w:val="36"/>
        </w:rPr>
        <w:sectPr w:rsidR="004C06C5">
          <w:headerReference w:type="default" r:id="rId11"/>
          <w:headerReference w:type="first" r:id="rId12"/>
          <w:footerReference w:type="first" r:id="rId13"/>
          <w:pgSz w:w="11906" w:h="16838"/>
          <w:pgMar w:top="1440" w:right="1800" w:bottom="1440" w:left="1800" w:header="851" w:footer="992" w:gutter="0"/>
          <w:cols w:space="720"/>
          <w:titlePg/>
          <w:docGrid w:linePitch="312"/>
        </w:sectPr>
      </w:pPr>
    </w:p>
    <w:p w:rsidR="004C06C5" w:rsidRDefault="00ED474B">
      <w:pPr>
        <w:jc w:val="center"/>
        <w:rPr>
          <w:rFonts w:ascii="Arial Unicode MS" w:hAnsi="Arial Unicode MS" w:cs="Arial"/>
          <w:b/>
          <w:bCs/>
          <w:sz w:val="28"/>
          <w:szCs w:val="28"/>
        </w:rPr>
      </w:pPr>
      <w:bookmarkStart w:id="0" w:name="_Toc520207185"/>
      <w:bookmarkStart w:id="1" w:name="_Toc1464054"/>
      <w:r>
        <w:rPr>
          <w:rFonts w:ascii="Arial Unicode MS" w:hAnsi="Arial Unicode MS" w:cs="Arial"/>
          <w:b/>
          <w:bCs/>
          <w:sz w:val="28"/>
          <w:szCs w:val="28"/>
        </w:rPr>
        <w:lastRenderedPageBreak/>
        <w:t>【重要提示】</w:t>
      </w:r>
      <w:bookmarkEnd w:id="0"/>
      <w:bookmarkEnd w:id="1"/>
    </w:p>
    <w:p w:rsidR="004C06C5" w:rsidRDefault="004C06C5">
      <w:pPr>
        <w:pStyle w:val="11"/>
        <w:snapToGrid w:val="0"/>
        <w:spacing w:before="0" w:after="0" w:line="360" w:lineRule="auto"/>
        <w:ind w:firstLineChars="50" w:firstLine="120"/>
      </w:pPr>
    </w:p>
    <w:p w:rsidR="004C06C5" w:rsidRDefault="00ED474B">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szCs w:val="21"/>
        </w:rPr>
        <w:t>1</w:t>
      </w:r>
      <w:r>
        <w:rPr>
          <w:rFonts w:ascii="Arial Unicode MS" w:hAnsi="Arial Unicode MS" w:cs="Arial"/>
          <w:szCs w:val="21"/>
        </w:rPr>
        <w:t>、本基金根据</w:t>
      </w:r>
      <w:r>
        <w:rPr>
          <w:rFonts w:ascii="Arial Unicode MS" w:hAnsi="Arial Unicode MS" w:cs="Arial" w:hint="eastAsia"/>
          <w:szCs w:val="21"/>
        </w:rPr>
        <w:t>2017</w:t>
      </w:r>
      <w:r>
        <w:rPr>
          <w:rFonts w:ascii="Arial Unicode MS" w:hAnsi="Arial Unicode MS" w:cs="Arial"/>
          <w:szCs w:val="21"/>
        </w:rPr>
        <w:t>年</w:t>
      </w:r>
      <w:r>
        <w:rPr>
          <w:rFonts w:ascii="Arial Unicode MS" w:hAnsi="Arial Unicode MS" w:cs="Arial" w:hint="eastAsia"/>
          <w:szCs w:val="21"/>
        </w:rPr>
        <w:t>5</w:t>
      </w:r>
      <w:r>
        <w:rPr>
          <w:rFonts w:ascii="Arial Unicode MS" w:hAnsi="Arial Unicode MS" w:cs="Arial"/>
          <w:szCs w:val="21"/>
        </w:rPr>
        <w:t>月</w:t>
      </w:r>
      <w:r>
        <w:rPr>
          <w:rFonts w:ascii="Arial Unicode MS" w:hAnsi="Arial Unicode MS" w:cs="Arial" w:hint="eastAsia"/>
          <w:szCs w:val="21"/>
        </w:rPr>
        <w:t>15</w:t>
      </w:r>
      <w:r>
        <w:rPr>
          <w:rFonts w:ascii="Arial Unicode MS" w:hAnsi="Arial Unicode MS" w:cs="Arial"/>
          <w:szCs w:val="21"/>
        </w:rPr>
        <w:t>日中国证券监督管理委员会（以下简称</w:t>
      </w:r>
      <w:r>
        <w:rPr>
          <w:rFonts w:ascii="Arial Unicode MS" w:hAnsi="Arial Unicode MS" w:cs="Arial" w:hint="eastAsia"/>
          <w:szCs w:val="21"/>
        </w:rPr>
        <w:t>“</w:t>
      </w:r>
      <w:r>
        <w:rPr>
          <w:rFonts w:ascii="Arial Unicode MS" w:hAnsi="Arial Unicode MS" w:cs="Arial"/>
          <w:szCs w:val="21"/>
        </w:rPr>
        <w:t>中国证监会</w:t>
      </w:r>
      <w:r>
        <w:rPr>
          <w:rFonts w:ascii="Arial Unicode MS" w:hAnsi="Arial Unicode MS" w:cs="Arial" w:hint="eastAsia"/>
          <w:szCs w:val="21"/>
        </w:rPr>
        <w:t>”</w:t>
      </w:r>
      <w:r>
        <w:rPr>
          <w:rFonts w:ascii="Arial Unicode MS" w:hAnsi="Arial Unicode MS" w:cs="Arial"/>
          <w:szCs w:val="21"/>
        </w:rPr>
        <w:t>）《关于</w:t>
      </w:r>
      <w:r>
        <w:rPr>
          <w:rFonts w:ascii="Arial Unicode MS" w:hAnsi="Arial Unicode MS" w:cs="Arial" w:hint="eastAsia"/>
          <w:szCs w:val="21"/>
        </w:rPr>
        <w:t>准予</w:t>
      </w:r>
      <w:r>
        <w:rPr>
          <w:rFonts w:ascii="Arial Unicode MS" w:hAnsi="Arial Unicode MS" w:cs="Arial"/>
          <w:szCs w:val="21"/>
        </w:rPr>
        <w:t>富荣富乾债券型证券投资基金</w:t>
      </w:r>
      <w:r>
        <w:rPr>
          <w:rFonts w:ascii="Arial Unicode MS" w:hAnsi="Arial Unicode MS" w:cs="Arial" w:hint="eastAsia"/>
          <w:szCs w:val="21"/>
        </w:rPr>
        <w:t>注册</w:t>
      </w:r>
      <w:r>
        <w:rPr>
          <w:rFonts w:ascii="Arial Unicode MS" w:hAnsi="Arial Unicode MS" w:cs="Arial"/>
          <w:szCs w:val="21"/>
        </w:rPr>
        <w:t>的批复》（证监许可</w:t>
      </w:r>
      <w:r>
        <w:rPr>
          <w:rFonts w:ascii="Arial Unicode MS" w:hAnsi="Arial Unicode MS" w:cs="Arial" w:hint="eastAsia"/>
          <w:szCs w:val="21"/>
        </w:rPr>
        <w:t>[2017]717</w:t>
      </w:r>
      <w:r>
        <w:rPr>
          <w:rFonts w:ascii="Arial Unicode MS" w:hAnsi="Arial Unicode MS" w:cs="Arial" w:hint="eastAsia"/>
          <w:szCs w:val="21"/>
        </w:rPr>
        <w:t>号</w:t>
      </w:r>
      <w:r>
        <w:rPr>
          <w:rFonts w:ascii="Arial Unicode MS" w:hAnsi="Arial Unicode MS" w:cs="Arial"/>
          <w:szCs w:val="21"/>
        </w:rPr>
        <w:t>）进行募集。</w:t>
      </w:r>
      <w:r>
        <w:rPr>
          <w:rFonts w:ascii="Arial Unicode MS" w:hAnsi="Arial Unicode MS" w:cs="Arial" w:hint="eastAsia"/>
          <w:szCs w:val="21"/>
        </w:rPr>
        <w:t>本基金于</w:t>
      </w:r>
      <w:r>
        <w:rPr>
          <w:rFonts w:ascii="Arial Unicode MS" w:hAnsi="Arial Unicode MS" w:cs="Arial" w:hint="eastAsia"/>
          <w:szCs w:val="21"/>
        </w:rPr>
        <w:t>2018</w:t>
      </w:r>
      <w:r>
        <w:rPr>
          <w:rFonts w:ascii="Arial Unicode MS" w:hAnsi="Arial Unicode MS" w:cs="Arial" w:hint="eastAsia"/>
          <w:szCs w:val="21"/>
        </w:rPr>
        <w:t>年</w:t>
      </w:r>
      <w:r>
        <w:rPr>
          <w:rFonts w:ascii="Arial Unicode MS" w:hAnsi="Arial Unicode MS" w:cs="Arial" w:hint="eastAsia"/>
          <w:szCs w:val="21"/>
        </w:rPr>
        <w:t>2</w:t>
      </w:r>
      <w:r>
        <w:rPr>
          <w:rFonts w:ascii="Arial Unicode MS" w:hAnsi="Arial Unicode MS" w:cs="Arial" w:hint="eastAsia"/>
          <w:szCs w:val="21"/>
        </w:rPr>
        <w:t>月</w:t>
      </w:r>
      <w:r>
        <w:rPr>
          <w:rFonts w:ascii="Arial Unicode MS" w:hAnsi="Arial Unicode MS" w:cs="Arial" w:hint="eastAsia"/>
          <w:szCs w:val="21"/>
        </w:rPr>
        <w:t>7</w:t>
      </w:r>
      <w:r>
        <w:rPr>
          <w:rFonts w:ascii="Arial Unicode MS" w:hAnsi="Arial Unicode MS" w:cs="Arial" w:hint="eastAsia"/>
          <w:szCs w:val="21"/>
        </w:rPr>
        <w:t>日正式生效。</w:t>
      </w:r>
    </w:p>
    <w:p w:rsidR="004C06C5" w:rsidRDefault="00ED474B">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szCs w:val="21"/>
        </w:rPr>
        <w:t>2</w:t>
      </w:r>
      <w:r>
        <w:rPr>
          <w:rFonts w:ascii="Arial Unicode MS" w:hAnsi="Arial Unicode MS" w:cs="Arial"/>
          <w:szCs w:val="21"/>
        </w:rPr>
        <w:t>、基金管理人保证招募说明书的内容真实、准确、完整。本招募说明书经中国证监会注册，但中国证监会对本基金募集的注册，并不表明其对本基金的</w:t>
      </w:r>
      <w:r>
        <w:rPr>
          <w:rFonts w:ascii="Arial Unicode MS" w:hAnsi="Arial Unicode MS" w:cs="Arial" w:hint="eastAsia"/>
          <w:szCs w:val="21"/>
        </w:rPr>
        <w:t>收益、</w:t>
      </w:r>
      <w:r>
        <w:rPr>
          <w:rFonts w:ascii="Arial Unicode MS" w:hAnsi="Arial Unicode MS" w:cs="Arial"/>
          <w:szCs w:val="21"/>
        </w:rPr>
        <w:t>投资价值和市场前景</w:t>
      </w:r>
      <w:proofErr w:type="gramStart"/>
      <w:r>
        <w:rPr>
          <w:rFonts w:ascii="Arial Unicode MS" w:hAnsi="Arial Unicode MS" w:cs="Arial"/>
          <w:szCs w:val="21"/>
        </w:rPr>
        <w:t>作出</w:t>
      </w:r>
      <w:proofErr w:type="gramEnd"/>
      <w:r>
        <w:rPr>
          <w:rFonts w:ascii="Arial Unicode MS" w:hAnsi="Arial Unicode MS" w:cs="Arial"/>
          <w:szCs w:val="21"/>
        </w:rPr>
        <w:t>实质性判断或保证，也不表明投资于本基金没有风险。</w:t>
      </w:r>
    </w:p>
    <w:p w:rsidR="004C06C5" w:rsidRDefault="00ED474B">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szCs w:val="21"/>
        </w:rPr>
        <w:t>3</w:t>
      </w:r>
      <w:r>
        <w:rPr>
          <w:rFonts w:ascii="Arial Unicode MS" w:hAnsi="Arial Unicode MS" w:cs="Arial"/>
          <w:szCs w:val="21"/>
        </w:rPr>
        <w:t>、投资有风险，投资者认购（或申购）基金份额时应认真阅读基金合同、本招募说明书等信息披露文件，自主判断基金的投资价值，全面认识本基金产品的风险收益特征，应充分考虑投资者自身的风险承受能力，并对认购（或申购）基金的意愿、时机、数量等投资行为</w:t>
      </w:r>
      <w:proofErr w:type="gramStart"/>
      <w:r>
        <w:rPr>
          <w:rFonts w:ascii="Arial Unicode MS" w:hAnsi="Arial Unicode MS" w:cs="Arial"/>
          <w:szCs w:val="21"/>
        </w:rPr>
        <w:t>作出</w:t>
      </w:r>
      <w:proofErr w:type="gramEnd"/>
      <w:r>
        <w:rPr>
          <w:rFonts w:ascii="Arial Unicode MS" w:hAnsi="Arial Unicode MS" w:cs="Arial"/>
          <w:szCs w:val="21"/>
        </w:rPr>
        <w:t>独立决策。基金管理人提醒投资者基金投资的</w:t>
      </w:r>
      <w:r>
        <w:rPr>
          <w:rFonts w:ascii="Arial Unicode MS" w:hAnsi="Arial Unicode MS" w:cs="Arial" w:hint="eastAsia"/>
          <w:szCs w:val="21"/>
        </w:rPr>
        <w:t>“</w:t>
      </w:r>
      <w:r>
        <w:rPr>
          <w:rFonts w:ascii="Arial Unicode MS" w:hAnsi="Arial Unicode MS" w:cs="Arial"/>
          <w:szCs w:val="21"/>
        </w:rPr>
        <w:t>买者自负</w:t>
      </w:r>
      <w:r>
        <w:rPr>
          <w:rFonts w:ascii="Arial Unicode MS" w:hAnsi="Arial Unicode MS" w:cs="Arial" w:hint="eastAsia"/>
          <w:szCs w:val="21"/>
        </w:rPr>
        <w:t>”</w:t>
      </w:r>
      <w:r>
        <w:rPr>
          <w:rFonts w:ascii="Arial Unicode MS" w:hAnsi="Arial Unicode MS" w:cs="Arial"/>
          <w:szCs w:val="21"/>
        </w:rPr>
        <w:t>原则，在投资者</w:t>
      </w:r>
      <w:proofErr w:type="gramStart"/>
      <w:r>
        <w:rPr>
          <w:rFonts w:ascii="Arial Unicode MS" w:hAnsi="Arial Unicode MS" w:cs="Arial"/>
          <w:szCs w:val="21"/>
        </w:rPr>
        <w:t>作出</w:t>
      </w:r>
      <w:proofErr w:type="gramEnd"/>
      <w:r>
        <w:rPr>
          <w:rFonts w:ascii="Arial Unicode MS" w:hAnsi="Arial Unicode MS" w:cs="Arial"/>
          <w:szCs w:val="21"/>
        </w:rPr>
        <w:t>投资决策后，基金运营状况与基金净值变化导致的投资风险，由投资者自行负担。</w:t>
      </w:r>
    </w:p>
    <w:p w:rsidR="004C06C5" w:rsidRDefault="00ED474B">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szCs w:val="21"/>
        </w:rPr>
        <w:t>4</w:t>
      </w:r>
      <w:r>
        <w:rPr>
          <w:rFonts w:ascii="Arial Unicode MS" w:hAnsi="Arial Unicode MS" w:cs="Arial"/>
          <w:szCs w:val="21"/>
        </w:rPr>
        <w:t>、本基金投资于证券市场，基金净值会因为证券市场波动等因素产生波动，投资者在投资本基金前，应全面了解本基金的产品特性，理性判断市场，并承担基金投资中出现的各类风险，包括：因政治、经济、社会等环境因素对证券价格产生影响而形成的系统性风险、个别证券特有的非系统性风险、基金管理人在基金管理实施过程中产生的基金管理风险、本基金的特定风险等等。</w:t>
      </w:r>
    </w:p>
    <w:p w:rsidR="004C06C5" w:rsidRDefault="00ED474B">
      <w:pPr>
        <w:autoSpaceDE w:val="0"/>
        <w:autoSpaceDN w:val="0"/>
        <w:adjustRightInd w:val="0"/>
        <w:snapToGrid w:val="0"/>
        <w:spacing w:line="360" w:lineRule="auto"/>
        <w:ind w:firstLineChars="250" w:firstLine="525"/>
        <w:rPr>
          <w:rFonts w:ascii="Arial Unicode MS" w:hAnsi="Arial Unicode MS" w:cs="Arial"/>
          <w:szCs w:val="21"/>
        </w:rPr>
      </w:pPr>
      <w:r>
        <w:rPr>
          <w:rFonts w:ascii="Arial Unicode MS" w:hAnsi="Arial Unicode MS" w:cs="Arial"/>
          <w:szCs w:val="21"/>
        </w:rPr>
        <w:t>本基金投资中小企业私募债</w:t>
      </w:r>
      <w:r>
        <w:rPr>
          <w:rFonts w:ascii="Arial Unicode MS" w:hAnsi="Arial Unicode MS" w:cs="Arial" w:hint="eastAsia"/>
          <w:szCs w:val="21"/>
        </w:rPr>
        <w:t>券</w:t>
      </w:r>
      <w:r>
        <w:rPr>
          <w:rFonts w:ascii="Arial Unicode MS" w:hAnsi="Arial Unicode MS" w:cs="Arial"/>
          <w:szCs w:val="21"/>
        </w:rPr>
        <w:t>，中小企业私募债</w:t>
      </w:r>
      <w:r>
        <w:rPr>
          <w:rFonts w:ascii="Arial Unicode MS" w:hAnsi="Arial Unicode MS" w:cs="Arial" w:hint="eastAsia"/>
          <w:szCs w:val="21"/>
        </w:rPr>
        <w:t>券</w:t>
      </w:r>
      <w:r>
        <w:rPr>
          <w:rFonts w:ascii="Arial Unicode MS" w:hAnsi="Arial Unicode MS" w:cs="Arial"/>
          <w:szCs w:val="21"/>
        </w:rPr>
        <w:t>是根据相关法律法规由非上市中小企业采用非公开方式发行的债券。由于不能公开交易，一般情况下，交易不活跃，潜在较大流动性风险。当发债主体信用质量恶化时，受市场流动性所限，本基金可能无法卖出所持有的中小企业私募债</w:t>
      </w:r>
      <w:r>
        <w:rPr>
          <w:rFonts w:ascii="Arial Unicode MS" w:hAnsi="Arial Unicode MS" w:cs="Arial" w:hint="eastAsia"/>
          <w:szCs w:val="21"/>
        </w:rPr>
        <w:t>券</w:t>
      </w:r>
      <w:r>
        <w:rPr>
          <w:rFonts w:ascii="Arial Unicode MS" w:hAnsi="Arial Unicode MS" w:cs="Arial"/>
          <w:szCs w:val="21"/>
        </w:rPr>
        <w:t>，由此可能给基金净值带来更大的负面影响和损失。</w:t>
      </w:r>
    </w:p>
    <w:p w:rsidR="004C06C5" w:rsidRDefault="00ED474B">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szCs w:val="21"/>
        </w:rPr>
        <w:t>5</w:t>
      </w:r>
      <w:r>
        <w:rPr>
          <w:rFonts w:ascii="Arial Unicode MS" w:hAnsi="Arial Unicode MS" w:cs="Arial"/>
          <w:szCs w:val="21"/>
        </w:rPr>
        <w:t>、</w:t>
      </w:r>
      <w:r>
        <w:rPr>
          <w:rFonts w:ascii="Arial Unicode MS" w:hAnsi="Arial Unicode MS" w:cs="Arial" w:hint="eastAsia"/>
          <w:bCs/>
          <w:szCs w:val="21"/>
        </w:rPr>
        <w:t>本基金为债券型基金，预期收益和预期风险高于货币市场基金，但低于混合型基金、股票型基金，属于中低风险</w:t>
      </w:r>
      <w:r>
        <w:rPr>
          <w:rFonts w:ascii="Arial Unicode MS" w:hAnsi="Arial Unicode MS" w:cs="Arial" w:hint="eastAsia"/>
          <w:bCs/>
          <w:szCs w:val="21"/>
        </w:rPr>
        <w:t>/</w:t>
      </w:r>
      <w:r>
        <w:rPr>
          <w:rFonts w:ascii="Arial Unicode MS" w:hAnsi="Arial Unicode MS" w:cs="Arial" w:hint="eastAsia"/>
          <w:bCs/>
          <w:szCs w:val="21"/>
        </w:rPr>
        <w:t>收益的产品。</w:t>
      </w:r>
    </w:p>
    <w:p w:rsidR="004C06C5" w:rsidRDefault="00ED474B">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szCs w:val="21"/>
        </w:rPr>
        <w:t>6</w:t>
      </w:r>
      <w:r>
        <w:rPr>
          <w:rFonts w:ascii="Arial Unicode MS" w:hAnsi="Arial Unicode MS" w:cs="Arial"/>
          <w:szCs w:val="21"/>
        </w:rPr>
        <w:t>、</w:t>
      </w:r>
      <w:r>
        <w:rPr>
          <w:rFonts w:ascii="Arial Unicode MS" w:hAnsi="Arial Unicode MS" w:cs="Arial" w:hint="eastAsia"/>
          <w:szCs w:val="21"/>
        </w:rPr>
        <w:t>本基金的投资范围主要为具有良好流动性的金融工具，包括国债、国债期货、地方政府债</w:t>
      </w:r>
      <w:r>
        <w:rPr>
          <w:rFonts w:ascii="Arial Unicode MS" w:hAnsi="Arial Unicode MS" w:cs="Arial"/>
          <w:szCs w:val="21"/>
        </w:rPr>
        <w:t>、</w:t>
      </w:r>
      <w:r>
        <w:rPr>
          <w:rFonts w:ascii="Arial Unicode MS" w:hAnsi="Arial Unicode MS" w:cs="Arial" w:hint="eastAsia"/>
          <w:szCs w:val="21"/>
        </w:rPr>
        <w:t>金融债、企业债、公司债、央行票据、中期票据、短期融资</w:t>
      </w:r>
      <w:proofErr w:type="gramStart"/>
      <w:r>
        <w:rPr>
          <w:rFonts w:ascii="Arial Unicode MS" w:hAnsi="Arial Unicode MS" w:cs="Arial" w:hint="eastAsia"/>
          <w:szCs w:val="21"/>
        </w:rPr>
        <w:t>券</w:t>
      </w:r>
      <w:proofErr w:type="gramEnd"/>
      <w:r>
        <w:rPr>
          <w:rFonts w:ascii="Arial Unicode MS" w:hAnsi="Arial Unicode MS" w:cs="Arial" w:hint="eastAsia"/>
          <w:szCs w:val="21"/>
        </w:rPr>
        <w:t>、中小企业私募债、资产支持证券、次级债、可分离交易可转债</w:t>
      </w:r>
      <w:proofErr w:type="gramStart"/>
      <w:r>
        <w:rPr>
          <w:rFonts w:ascii="Arial Unicode MS" w:hAnsi="Arial Unicode MS" w:cs="Arial" w:hint="eastAsia"/>
          <w:szCs w:val="21"/>
        </w:rPr>
        <w:t>的纯债部分</w:t>
      </w:r>
      <w:proofErr w:type="gramEnd"/>
      <w:r>
        <w:rPr>
          <w:rFonts w:ascii="Arial Unicode MS" w:hAnsi="Arial Unicode MS" w:cs="Arial" w:hint="eastAsia"/>
          <w:szCs w:val="21"/>
        </w:rPr>
        <w:t>、债券回购、银行存款等法律法规或中国证监会允许基金投资的其他金融工具（但须符合中国证监会的相关规定）。</w:t>
      </w:r>
    </w:p>
    <w:p w:rsidR="004C06C5" w:rsidRDefault="00ED474B">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本基金可以投资于股票（包括中小板、创业板及其他中国证监会核准上市的股票）、权证，不投资于可转换债券（可分离交易可转债的</w:t>
      </w:r>
      <w:proofErr w:type="gramStart"/>
      <w:r>
        <w:rPr>
          <w:rFonts w:ascii="Arial Unicode MS" w:hAnsi="Arial Unicode MS" w:cs="Arial" w:hint="eastAsia"/>
          <w:szCs w:val="21"/>
        </w:rPr>
        <w:t>纯债部分</w:t>
      </w:r>
      <w:proofErr w:type="gramEnd"/>
      <w:r>
        <w:rPr>
          <w:rFonts w:ascii="Arial Unicode MS" w:hAnsi="Arial Unicode MS" w:cs="Arial" w:hint="eastAsia"/>
          <w:szCs w:val="21"/>
        </w:rPr>
        <w:t>除外）、可交换债券。</w:t>
      </w:r>
    </w:p>
    <w:p w:rsidR="004C06C5" w:rsidRDefault="00ED474B">
      <w:pPr>
        <w:adjustRightInd w:val="0"/>
        <w:snapToGrid w:val="0"/>
        <w:spacing w:line="360" w:lineRule="auto"/>
        <w:ind w:firstLineChars="200" w:firstLine="420"/>
        <w:rPr>
          <w:rFonts w:ascii="Arial Unicode MS" w:hAnsi="Arial Unicode MS" w:cs="Arial"/>
          <w:szCs w:val="21"/>
        </w:rPr>
      </w:pPr>
      <w:r>
        <w:rPr>
          <w:rFonts w:ascii="Arial Unicode MS" w:hAnsi="Arial Unicode MS" w:cs="Arial"/>
          <w:szCs w:val="21"/>
        </w:rPr>
        <w:t>7</w:t>
      </w:r>
      <w:r>
        <w:rPr>
          <w:rFonts w:ascii="Arial Unicode MS" w:hAnsi="Arial Unicode MS" w:cs="Arial"/>
          <w:szCs w:val="21"/>
        </w:rPr>
        <w:t>、</w:t>
      </w:r>
      <w:r>
        <w:rPr>
          <w:rFonts w:ascii="Arial Unicode MS" w:hAnsi="Arial Unicode MS" w:cs="Arial" w:hint="eastAsia"/>
          <w:szCs w:val="21"/>
        </w:rPr>
        <w:t>基金的投资组合比例为：本基金对债券的投资比例不低于基金资产的</w:t>
      </w:r>
      <w:r>
        <w:rPr>
          <w:rFonts w:ascii="Arial Unicode MS" w:hAnsi="Arial Unicode MS" w:cs="Arial" w:hint="eastAsia"/>
          <w:szCs w:val="21"/>
        </w:rPr>
        <w:t>80%</w:t>
      </w:r>
      <w:r>
        <w:rPr>
          <w:rFonts w:ascii="Arial Unicode MS" w:hAnsi="Arial Unicode MS" w:cs="Arial" w:hint="eastAsia"/>
          <w:szCs w:val="21"/>
        </w:rPr>
        <w:t>；对权益</w:t>
      </w:r>
      <w:r>
        <w:rPr>
          <w:rFonts w:ascii="Arial Unicode MS" w:hAnsi="Arial Unicode MS" w:cs="Arial" w:hint="eastAsia"/>
          <w:szCs w:val="21"/>
        </w:rPr>
        <w:lastRenderedPageBreak/>
        <w:t>类资产的投资比例不超过基金资产的</w:t>
      </w:r>
      <w:r>
        <w:rPr>
          <w:rFonts w:ascii="Arial Unicode MS" w:hAnsi="Arial Unicode MS" w:cs="Arial" w:hint="eastAsia"/>
          <w:szCs w:val="21"/>
        </w:rPr>
        <w:t>20%</w:t>
      </w:r>
      <w:r>
        <w:rPr>
          <w:rFonts w:ascii="Arial Unicode MS" w:hAnsi="Arial Unicode MS" w:cs="Arial" w:hint="eastAsia"/>
          <w:szCs w:val="21"/>
        </w:rPr>
        <w:t>；本基金每个交易日日终在扣除国债期货合约需缴纳的交易保证金后，持有现金或者到期日在一年以内的政府债券投资比例不低于基金资产净值的</w:t>
      </w:r>
      <w:r>
        <w:rPr>
          <w:rFonts w:ascii="Arial Unicode MS" w:hAnsi="Arial Unicode MS" w:cs="Arial" w:hint="eastAsia"/>
          <w:szCs w:val="21"/>
        </w:rPr>
        <w:t>5%</w:t>
      </w:r>
      <w:r>
        <w:rPr>
          <w:rFonts w:hint="eastAsia"/>
          <w:bCs/>
          <w:szCs w:val="21"/>
        </w:rPr>
        <w:t>，其中现金不包括结算备付金、存出保证金、应收申购款等。</w:t>
      </w:r>
    </w:p>
    <w:p w:rsidR="004C06C5" w:rsidRDefault="00ED474B">
      <w:pPr>
        <w:adjustRightInd w:val="0"/>
        <w:snapToGrid w:val="0"/>
        <w:spacing w:line="360" w:lineRule="auto"/>
        <w:ind w:firstLineChars="200" w:firstLine="420"/>
        <w:rPr>
          <w:rFonts w:ascii="Arial Unicode MS" w:hAnsi="Arial Unicode MS" w:cs="Arial"/>
          <w:szCs w:val="21"/>
        </w:rPr>
      </w:pPr>
      <w:r>
        <w:rPr>
          <w:rFonts w:ascii="Arial Unicode MS" w:hAnsi="Arial Unicode MS" w:cs="Arial"/>
          <w:szCs w:val="21"/>
        </w:rPr>
        <w:t>8</w:t>
      </w:r>
      <w:r>
        <w:rPr>
          <w:rFonts w:ascii="Arial Unicode MS" w:hAnsi="Arial Unicode MS" w:cs="Arial"/>
          <w:szCs w:val="21"/>
        </w:rPr>
        <w:t>、本基金初始募集面值为人民币</w:t>
      </w:r>
      <w:r>
        <w:rPr>
          <w:rFonts w:ascii="Arial Unicode MS" w:hAnsi="Arial Unicode MS" w:cs="Arial"/>
          <w:szCs w:val="21"/>
        </w:rPr>
        <w:t>1.00</w:t>
      </w:r>
      <w:r>
        <w:rPr>
          <w:rFonts w:ascii="Arial Unicode MS" w:hAnsi="Arial Unicode MS" w:cs="Arial"/>
          <w:szCs w:val="21"/>
        </w:rPr>
        <w:t>元。在市场波动因素影响下，本基金净值可能低于初始面值，本基金投资者有可能出现亏损。</w:t>
      </w:r>
    </w:p>
    <w:p w:rsidR="004C06C5" w:rsidRDefault="00ED474B">
      <w:pPr>
        <w:adjustRightInd w:val="0"/>
        <w:snapToGrid w:val="0"/>
        <w:spacing w:line="360" w:lineRule="auto"/>
        <w:ind w:firstLineChars="200" w:firstLine="420"/>
        <w:rPr>
          <w:rFonts w:ascii="Arial Unicode MS" w:hAnsi="Arial Unicode MS" w:cs="Arial"/>
          <w:szCs w:val="21"/>
        </w:rPr>
      </w:pPr>
      <w:r>
        <w:rPr>
          <w:rFonts w:ascii="Arial Unicode MS" w:hAnsi="Arial Unicode MS" w:cs="Arial"/>
          <w:szCs w:val="21"/>
        </w:rPr>
        <w:t>9</w:t>
      </w:r>
      <w:r>
        <w:rPr>
          <w:rFonts w:ascii="Arial Unicode MS" w:hAnsi="Arial Unicode MS" w:cs="Arial"/>
          <w:szCs w:val="21"/>
        </w:rPr>
        <w:t>、基金的过往业绩并不预示其未来表现，基金管理人管理的其他基金的业绩也不构成对本基金业绩表现的保证。</w:t>
      </w:r>
    </w:p>
    <w:p w:rsidR="004C06C5" w:rsidRDefault="00ED474B">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szCs w:val="21"/>
        </w:rPr>
        <w:t>10</w:t>
      </w:r>
      <w:r>
        <w:rPr>
          <w:rFonts w:ascii="Arial Unicode MS" w:hAnsi="Arial Unicode MS" w:cs="Arial"/>
          <w:szCs w:val="21"/>
        </w:rPr>
        <w:t>、基金管理人依照恪尽职守、诚实信用、谨慎勤勉的原则管理和运用基金财产，但不保证基金一定盈利，也不保证最低收益。</w:t>
      </w:r>
    </w:p>
    <w:p w:rsidR="004C06C5" w:rsidRDefault="00ED474B">
      <w:pPr>
        <w:autoSpaceDE w:val="0"/>
        <w:autoSpaceDN w:val="0"/>
        <w:adjustRightInd w:val="0"/>
        <w:snapToGrid w:val="0"/>
        <w:spacing w:line="360" w:lineRule="auto"/>
        <w:ind w:firstLineChars="200" w:firstLine="420"/>
        <w:rPr>
          <w:szCs w:val="21"/>
        </w:rPr>
      </w:pPr>
      <w:r>
        <w:rPr>
          <w:rFonts w:ascii="Arial Unicode MS" w:hAnsi="Arial Unicode MS" w:cs="Arial" w:hint="eastAsia"/>
          <w:szCs w:val="21"/>
        </w:rPr>
        <w:t>11</w:t>
      </w:r>
      <w:r>
        <w:rPr>
          <w:rFonts w:ascii="Arial Unicode MS" w:hAnsi="Arial Unicode MS" w:cs="Arial" w:hint="eastAsia"/>
          <w:szCs w:val="21"/>
        </w:rPr>
        <w:t>、</w:t>
      </w:r>
      <w:r>
        <w:rPr>
          <w:rFonts w:hint="eastAsia"/>
          <w:szCs w:val="21"/>
        </w:rPr>
        <w:t>本招募说明书所载内容截止日为</w:t>
      </w:r>
      <w:r>
        <w:rPr>
          <w:rFonts w:hint="eastAsia"/>
          <w:szCs w:val="21"/>
        </w:rPr>
        <w:t>2020</w:t>
      </w:r>
      <w:r>
        <w:rPr>
          <w:rFonts w:hint="eastAsia"/>
          <w:szCs w:val="21"/>
        </w:rPr>
        <w:t>年</w:t>
      </w:r>
      <w:r>
        <w:rPr>
          <w:rFonts w:hint="eastAsia"/>
          <w:szCs w:val="21"/>
        </w:rPr>
        <w:t>3</w:t>
      </w:r>
      <w:r>
        <w:rPr>
          <w:rFonts w:hint="eastAsia"/>
          <w:szCs w:val="21"/>
        </w:rPr>
        <w:t>月</w:t>
      </w:r>
      <w:r>
        <w:rPr>
          <w:rFonts w:hint="eastAsia"/>
          <w:szCs w:val="21"/>
        </w:rPr>
        <w:t>9</w:t>
      </w:r>
      <w:r>
        <w:rPr>
          <w:rFonts w:hint="eastAsia"/>
          <w:szCs w:val="21"/>
        </w:rPr>
        <w:t>日，有关财务数据截止日为</w:t>
      </w:r>
      <w:r>
        <w:rPr>
          <w:rFonts w:hint="eastAsia"/>
          <w:szCs w:val="21"/>
        </w:rPr>
        <w:t>2019</w:t>
      </w:r>
      <w:r>
        <w:rPr>
          <w:rFonts w:hint="eastAsia"/>
          <w:szCs w:val="21"/>
        </w:rPr>
        <w:t>年</w:t>
      </w:r>
      <w:r>
        <w:rPr>
          <w:rFonts w:hint="eastAsia"/>
          <w:szCs w:val="21"/>
        </w:rPr>
        <w:t>12</w:t>
      </w:r>
      <w:r>
        <w:rPr>
          <w:rFonts w:hint="eastAsia"/>
          <w:szCs w:val="21"/>
        </w:rPr>
        <w:t>月</w:t>
      </w:r>
      <w:r>
        <w:rPr>
          <w:rFonts w:hint="eastAsia"/>
          <w:szCs w:val="21"/>
        </w:rPr>
        <w:t>31</w:t>
      </w:r>
      <w:r>
        <w:rPr>
          <w:rFonts w:hint="eastAsia"/>
          <w:szCs w:val="21"/>
        </w:rPr>
        <w:t>日，净值表现截止日为</w:t>
      </w:r>
      <w:r>
        <w:rPr>
          <w:rFonts w:hint="eastAsia"/>
          <w:szCs w:val="21"/>
        </w:rPr>
        <w:t>2019</w:t>
      </w:r>
      <w:r>
        <w:rPr>
          <w:rFonts w:hint="eastAsia"/>
          <w:szCs w:val="21"/>
        </w:rPr>
        <w:t>年</w:t>
      </w:r>
      <w:r>
        <w:rPr>
          <w:rFonts w:hint="eastAsia"/>
          <w:szCs w:val="21"/>
        </w:rPr>
        <w:t>12</w:t>
      </w:r>
      <w:r>
        <w:rPr>
          <w:rFonts w:hint="eastAsia"/>
          <w:szCs w:val="21"/>
        </w:rPr>
        <w:t>月</w:t>
      </w:r>
      <w:r>
        <w:rPr>
          <w:rFonts w:hint="eastAsia"/>
          <w:szCs w:val="21"/>
        </w:rPr>
        <w:t>31</w:t>
      </w:r>
      <w:r>
        <w:rPr>
          <w:rFonts w:hint="eastAsia"/>
          <w:szCs w:val="21"/>
        </w:rPr>
        <w:t>日，本报告中所列财务数据未经审计。</w:t>
      </w:r>
    </w:p>
    <w:p w:rsidR="004C06C5" w:rsidRDefault="00ED474B">
      <w:pPr>
        <w:autoSpaceDE w:val="0"/>
        <w:autoSpaceDN w:val="0"/>
        <w:adjustRightInd w:val="0"/>
        <w:snapToGrid w:val="0"/>
        <w:spacing w:line="360" w:lineRule="auto"/>
        <w:ind w:firstLineChars="200" w:firstLine="420"/>
        <w:rPr>
          <w:szCs w:val="21"/>
        </w:rPr>
      </w:pPr>
      <w:r>
        <w:rPr>
          <w:szCs w:val="21"/>
        </w:rPr>
        <w:t>本基金托管人</w:t>
      </w:r>
      <w:r>
        <w:rPr>
          <w:rFonts w:ascii="Arial Unicode MS" w:hAnsi="Arial Unicode MS" w:cs="Arial" w:hint="eastAsia"/>
          <w:szCs w:val="21"/>
        </w:rPr>
        <w:t>上海浦东发展银行股份有限公司</w:t>
      </w:r>
      <w:r>
        <w:rPr>
          <w:szCs w:val="21"/>
        </w:rPr>
        <w:t>已于</w:t>
      </w:r>
      <w:r w:rsidR="009D6590">
        <w:rPr>
          <w:rFonts w:hint="eastAsia"/>
          <w:szCs w:val="21"/>
        </w:rPr>
        <w:t>2020</w:t>
      </w:r>
      <w:r>
        <w:rPr>
          <w:szCs w:val="21"/>
        </w:rPr>
        <w:t>年</w:t>
      </w:r>
      <w:r w:rsidR="009D6590">
        <w:rPr>
          <w:rFonts w:hint="eastAsia"/>
          <w:szCs w:val="21"/>
        </w:rPr>
        <w:t>5</w:t>
      </w:r>
      <w:r>
        <w:rPr>
          <w:szCs w:val="21"/>
        </w:rPr>
        <w:t>月</w:t>
      </w:r>
      <w:r w:rsidR="009D6590">
        <w:rPr>
          <w:rFonts w:hint="eastAsia"/>
          <w:szCs w:val="21"/>
        </w:rPr>
        <w:t>7</w:t>
      </w:r>
      <w:r>
        <w:rPr>
          <w:szCs w:val="21"/>
        </w:rPr>
        <w:t>日复核了本次更新的招募说明书。</w:t>
      </w:r>
    </w:p>
    <w:p w:rsidR="004C06C5" w:rsidRDefault="004C06C5">
      <w:pPr>
        <w:autoSpaceDE w:val="0"/>
        <w:autoSpaceDN w:val="0"/>
        <w:adjustRightInd w:val="0"/>
        <w:snapToGrid w:val="0"/>
        <w:spacing w:line="360" w:lineRule="auto"/>
        <w:ind w:firstLineChars="200" w:firstLine="420"/>
        <w:rPr>
          <w:szCs w:val="21"/>
        </w:rPr>
      </w:pPr>
    </w:p>
    <w:p w:rsidR="004C06C5" w:rsidRDefault="004C06C5">
      <w:pPr>
        <w:autoSpaceDE w:val="0"/>
        <w:autoSpaceDN w:val="0"/>
        <w:adjustRightInd w:val="0"/>
        <w:snapToGrid w:val="0"/>
        <w:spacing w:line="360" w:lineRule="auto"/>
        <w:ind w:firstLineChars="200" w:firstLine="420"/>
        <w:rPr>
          <w:szCs w:val="21"/>
        </w:rPr>
      </w:pPr>
    </w:p>
    <w:p w:rsidR="004C06C5" w:rsidRDefault="004C06C5">
      <w:pPr>
        <w:autoSpaceDE w:val="0"/>
        <w:autoSpaceDN w:val="0"/>
        <w:adjustRightInd w:val="0"/>
        <w:snapToGrid w:val="0"/>
        <w:spacing w:line="360" w:lineRule="auto"/>
        <w:ind w:firstLineChars="200" w:firstLine="420"/>
        <w:rPr>
          <w:szCs w:val="21"/>
        </w:rPr>
      </w:pPr>
    </w:p>
    <w:p w:rsidR="004C06C5" w:rsidRDefault="004C06C5">
      <w:pPr>
        <w:autoSpaceDE w:val="0"/>
        <w:autoSpaceDN w:val="0"/>
        <w:adjustRightInd w:val="0"/>
        <w:snapToGrid w:val="0"/>
        <w:spacing w:line="360" w:lineRule="auto"/>
        <w:ind w:firstLineChars="200" w:firstLine="420"/>
        <w:rPr>
          <w:szCs w:val="21"/>
        </w:rPr>
      </w:pPr>
    </w:p>
    <w:p w:rsidR="004C06C5" w:rsidRDefault="004C06C5">
      <w:pPr>
        <w:autoSpaceDE w:val="0"/>
        <w:autoSpaceDN w:val="0"/>
        <w:adjustRightInd w:val="0"/>
        <w:snapToGrid w:val="0"/>
        <w:spacing w:line="360" w:lineRule="auto"/>
        <w:ind w:firstLineChars="200" w:firstLine="420"/>
        <w:rPr>
          <w:szCs w:val="21"/>
        </w:rPr>
      </w:pPr>
    </w:p>
    <w:p w:rsidR="004C06C5" w:rsidRDefault="004C06C5">
      <w:pPr>
        <w:autoSpaceDE w:val="0"/>
        <w:autoSpaceDN w:val="0"/>
        <w:adjustRightInd w:val="0"/>
        <w:snapToGrid w:val="0"/>
        <w:spacing w:line="360" w:lineRule="auto"/>
        <w:ind w:firstLineChars="200" w:firstLine="420"/>
        <w:rPr>
          <w:szCs w:val="21"/>
        </w:rPr>
      </w:pPr>
    </w:p>
    <w:p w:rsidR="004C06C5" w:rsidRDefault="004C06C5">
      <w:pPr>
        <w:autoSpaceDE w:val="0"/>
        <w:autoSpaceDN w:val="0"/>
        <w:adjustRightInd w:val="0"/>
        <w:snapToGrid w:val="0"/>
        <w:spacing w:line="360" w:lineRule="auto"/>
        <w:ind w:firstLineChars="200" w:firstLine="420"/>
        <w:rPr>
          <w:szCs w:val="21"/>
        </w:rPr>
      </w:pPr>
    </w:p>
    <w:p w:rsidR="004C06C5" w:rsidRDefault="004C06C5">
      <w:pPr>
        <w:autoSpaceDE w:val="0"/>
        <w:autoSpaceDN w:val="0"/>
        <w:adjustRightInd w:val="0"/>
        <w:snapToGrid w:val="0"/>
        <w:spacing w:line="360" w:lineRule="auto"/>
        <w:ind w:firstLineChars="200" w:firstLine="420"/>
        <w:rPr>
          <w:szCs w:val="21"/>
        </w:rPr>
      </w:pPr>
    </w:p>
    <w:p w:rsidR="004C06C5" w:rsidRDefault="004C06C5">
      <w:pPr>
        <w:autoSpaceDE w:val="0"/>
        <w:autoSpaceDN w:val="0"/>
        <w:adjustRightInd w:val="0"/>
        <w:snapToGrid w:val="0"/>
        <w:spacing w:line="360" w:lineRule="auto"/>
        <w:ind w:firstLineChars="200" w:firstLine="420"/>
        <w:rPr>
          <w:szCs w:val="21"/>
        </w:rPr>
      </w:pPr>
    </w:p>
    <w:p w:rsidR="004C06C5" w:rsidRDefault="004C06C5">
      <w:pPr>
        <w:autoSpaceDE w:val="0"/>
        <w:autoSpaceDN w:val="0"/>
        <w:adjustRightInd w:val="0"/>
        <w:snapToGrid w:val="0"/>
        <w:spacing w:line="360" w:lineRule="auto"/>
        <w:ind w:firstLineChars="200" w:firstLine="420"/>
        <w:rPr>
          <w:szCs w:val="21"/>
        </w:rPr>
      </w:pPr>
    </w:p>
    <w:p w:rsidR="004C06C5" w:rsidRDefault="004C06C5">
      <w:pPr>
        <w:autoSpaceDE w:val="0"/>
        <w:autoSpaceDN w:val="0"/>
        <w:adjustRightInd w:val="0"/>
        <w:snapToGrid w:val="0"/>
        <w:spacing w:line="360" w:lineRule="auto"/>
        <w:ind w:firstLineChars="200" w:firstLine="420"/>
        <w:rPr>
          <w:szCs w:val="21"/>
        </w:rPr>
      </w:pPr>
    </w:p>
    <w:p w:rsidR="004C06C5" w:rsidRDefault="004C06C5">
      <w:pPr>
        <w:autoSpaceDE w:val="0"/>
        <w:autoSpaceDN w:val="0"/>
        <w:adjustRightInd w:val="0"/>
        <w:snapToGrid w:val="0"/>
        <w:spacing w:line="360" w:lineRule="auto"/>
        <w:ind w:firstLineChars="200" w:firstLine="420"/>
        <w:rPr>
          <w:szCs w:val="21"/>
        </w:rPr>
      </w:pPr>
    </w:p>
    <w:p w:rsidR="004C06C5" w:rsidRDefault="004C06C5">
      <w:pPr>
        <w:autoSpaceDE w:val="0"/>
        <w:autoSpaceDN w:val="0"/>
        <w:adjustRightInd w:val="0"/>
        <w:snapToGrid w:val="0"/>
        <w:spacing w:line="360" w:lineRule="auto"/>
        <w:ind w:firstLineChars="200" w:firstLine="420"/>
        <w:rPr>
          <w:szCs w:val="21"/>
        </w:rPr>
      </w:pPr>
    </w:p>
    <w:p w:rsidR="004C06C5" w:rsidRDefault="004C06C5">
      <w:pPr>
        <w:autoSpaceDE w:val="0"/>
        <w:autoSpaceDN w:val="0"/>
        <w:adjustRightInd w:val="0"/>
        <w:snapToGrid w:val="0"/>
        <w:spacing w:line="360" w:lineRule="auto"/>
        <w:ind w:firstLineChars="200" w:firstLine="420"/>
        <w:rPr>
          <w:szCs w:val="21"/>
        </w:rPr>
      </w:pPr>
    </w:p>
    <w:p w:rsidR="004C06C5" w:rsidRDefault="004C06C5">
      <w:pPr>
        <w:autoSpaceDE w:val="0"/>
        <w:autoSpaceDN w:val="0"/>
        <w:adjustRightInd w:val="0"/>
        <w:snapToGrid w:val="0"/>
        <w:spacing w:line="360" w:lineRule="auto"/>
        <w:ind w:firstLineChars="200" w:firstLine="420"/>
        <w:rPr>
          <w:szCs w:val="21"/>
        </w:rPr>
      </w:pPr>
    </w:p>
    <w:p w:rsidR="004C06C5" w:rsidRDefault="004C06C5">
      <w:pPr>
        <w:autoSpaceDE w:val="0"/>
        <w:autoSpaceDN w:val="0"/>
        <w:adjustRightInd w:val="0"/>
        <w:snapToGrid w:val="0"/>
        <w:spacing w:line="360" w:lineRule="auto"/>
        <w:ind w:firstLineChars="200" w:firstLine="420"/>
        <w:rPr>
          <w:szCs w:val="21"/>
        </w:rPr>
      </w:pPr>
    </w:p>
    <w:p w:rsidR="004C06C5" w:rsidRDefault="00ED474B">
      <w:pPr>
        <w:pStyle w:val="11"/>
        <w:snapToGrid w:val="0"/>
        <w:spacing w:before="0" w:after="0" w:line="360" w:lineRule="auto"/>
        <w:jc w:val="both"/>
        <w:rPr>
          <w:rFonts w:ascii="Arial Unicode MS" w:eastAsia="宋体" w:hAnsi="Arial Unicode MS" w:cs="Arial"/>
          <w:b/>
          <w:bCs/>
          <w:spacing w:val="120"/>
          <w:sz w:val="28"/>
          <w:szCs w:val="21"/>
        </w:rPr>
      </w:pPr>
      <w:bookmarkStart w:id="2" w:name="_Toc1464055"/>
      <w:bookmarkStart w:id="3" w:name="_Toc520207186"/>
      <w:r>
        <w:rPr>
          <w:rFonts w:ascii="Arial Unicode MS" w:eastAsia="宋体" w:hAnsi="Arial Unicode MS" w:cs="Arial"/>
          <w:b/>
          <w:bCs/>
          <w:spacing w:val="120"/>
          <w:sz w:val="28"/>
          <w:szCs w:val="21"/>
        </w:rPr>
        <w:br w:type="page"/>
      </w:r>
    </w:p>
    <w:p w:rsidR="004C06C5" w:rsidRDefault="00ED474B">
      <w:pPr>
        <w:pStyle w:val="11"/>
        <w:snapToGrid w:val="0"/>
        <w:spacing w:before="0" w:after="0" w:line="360" w:lineRule="auto"/>
        <w:ind w:firstLine="261"/>
        <w:rPr>
          <w:rFonts w:asciiTheme="minorHAnsi" w:eastAsiaTheme="minorEastAsia" w:hAnsiTheme="minorHAnsi" w:cstheme="minorBidi"/>
          <w:sz w:val="21"/>
          <w:szCs w:val="22"/>
        </w:rPr>
      </w:pPr>
      <w:r>
        <w:rPr>
          <w:rFonts w:ascii="Arial Unicode MS" w:eastAsia="宋体" w:hAnsi="Arial Unicode MS" w:cs="Arial"/>
          <w:b/>
          <w:bCs/>
          <w:spacing w:val="120"/>
          <w:sz w:val="28"/>
          <w:szCs w:val="21"/>
        </w:rPr>
        <w:lastRenderedPageBreak/>
        <w:t>目录</w:t>
      </w:r>
      <w:bookmarkEnd w:id="2"/>
      <w:bookmarkEnd w:id="3"/>
      <w:r>
        <w:rPr>
          <w:rFonts w:ascii="Arial Unicode MS" w:hAnsi="Arial Unicode MS" w:cs="Arial"/>
          <w:bCs/>
          <w:spacing w:val="120"/>
          <w:sz w:val="21"/>
          <w:szCs w:val="21"/>
        </w:rPr>
        <w:fldChar w:fldCharType="begin"/>
      </w:r>
      <w:r>
        <w:rPr>
          <w:rFonts w:ascii="Arial Unicode MS" w:hAnsi="Arial Unicode MS" w:cs="Arial"/>
          <w:bCs/>
          <w:spacing w:val="120"/>
          <w:sz w:val="21"/>
          <w:szCs w:val="21"/>
        </w:rPr>
        <w:instrText xml:space="preserve"> TOC \o "1-1" \h \z </w:instrText>
      </w:r>
      <w:r>
        <w:rPr>
          <w:rFonts w:ascii="Arial Unicode MS" w:hAnsi="Arial Unicode MS" w:cs="Arial"/>
          <w:bCs/>
          <w:spacing w:val="120"/>
          <w:sz w:val="21"/>
          <w:szCs w:val="21"/>
        </w:rPr>
        <w:fldChar w:fldCharType="separate"/>
      </w:r>
    </w:p>
    <w:p w:rsidR="004C06C5" w:rsidRDefault="00CE024C">
      <w:pPr>
        <w:pStyle w:val="12"/>
        <w:rPr>
          <w:rFonts w:asciiTheme="minorHAnsi" w:eastAsiaTheme="minorEastAsia" w:hAnsiTheme="minorHAnsi" w:cstheme="minorBidi"/>
          <w:caps w:val="0"/>
          <w:sz w:val="21"/>
          <w:szCs w:val="22"/>
        </w:rPr>
      </w:pPr>
      <w:hyperlink w:anchor="_Toc1464056" w:history="1">
        <w:r w:rsidR="00ED474B">
          <w:rPr>
            <w:rStyle w:val="afb"/>
            <w:rFonts w:ascii="Arial Unicode MS" w:hAnsi="Arial Unicode MS" w:cs="Arial" w:hint="eastAsia"/>
            <w:b/>
            <w:bCs/>
          </w:rPr>
          <w:t>第一部分</w:t>
        </w:r>
        <w:r w:rsidR="00ED474B">
          <w:rPr>
            <w:rStyle w:val="afb"/>
            <w:rFonts w:ascii="Arial Unicode MS" w:hAnsi="Arial Unicode MS" w:cs="Arial"/>
            <w:b/>
            <w:bCs/>
          </w:rPr>
          <w:t xml:space="preserve">  </w:t>
        </w:r>
        <w:r w:rsidR="00ED474B">
          <w:rPr>
            <w:rStyle w:val="afb"/>
            <w:rFonts w:ascii="Arial Unicode MS" w:hAnsi="Arial Unicode MS" w:cs="Arial" w:hint="eastAsia"/>
            <w:b/>
            <w:bCs/>
          </w:rPr>
          <w:t>绪言</w:t>
        </w:r>
        <w:r w:rsidR="00ED474B">
          <w:tab/>
        </w:r>
        <w:r w:rsidR="00ED474B">
          <w:fldChar w:fldCharType="begin"/>
        </w:r>
        <w:r w:rsidR="00ED474B">
          <w:instrText xml:space="preserve"> PAGEREF _Toc1464056 \h </w:instrText>
        </w:r>
        <w:r w:rsidR="00ED474B">
          <w:fldChar w:fldCharType="separate"/>
        </w:r>
        <w:r w:rsidR="00ED474B">
          <w:t>4</w:t>
        </w:r>
        <w:r w:rsidR="00ED474B">
          <w:fldChar w:fldCharType="end"/>
        </w:r>
      </w:hyperlink>
    </w:p>
    <w:p w:rsidR="004C06C5" w:rsidRDefault="00CE024C">
      <w:pPr>
        <w:pStyle w:val="12"/>
        <w:rPr>
          <w:rFonts w:asciiTheme="minorHAnsi" w:eastAsiaTheme="minorEastAsia" w:hAnsiTheme="minorHAnsi" w:cstheme="minorBidi"/>
          <w:caps w:val="0"/>
          <w:sz w:val="21"/>
          <w:szCs w:val="22"/>
        </w:rPr>
      </w:pPr>
      <w:hyperlink w:anchor="_Toc1464057" w:history="1">
        <w:r w:rsidR="00ED474B">
          <w:rPr>
            <w:rStyle w:val="afb"/>
            <w:rFonts w:ascii="Arial Unicode MS" w:hAnsi="Arial Unicode MS" w:cs="Arial" w:hint="eastAsia"/>
            <w:b/>
            <w:bCs/>
          </w:rPr>
          <w:t>第二部分</w:t>
        </w:r>
        <w:r w:rsidR="00ED474B">
          <w:rPr>
            <w:rStyle w:val="afb"/>
            <w:rFonts w:ascii="Arial Unicode MS" w:hAnsi="Arial Unicode MS" w:cs="Arial"/>
            <w:b/>
            <w:bCs/>
          </w:rPr>
          <w:t xml:space="preserve">  </w:t>
        </w:r>
        <w:r w:rsidR="00ED474B">
          <w:rPr>
            <w:rStyle w:val="afb"/>
            <w:rFonts w:ascii="Arial Unicode MS" w:hAnsi="Arial Unicode MS" w:cs="Arial" w:hint="eastAsia"/>
            <w:b/>
            <w:bCs/>
          </w:rPr>
          <w:t>释义</w:t>
        </w:r>
        <w:r w:rsidR="00ED474B">
          <w:tab/>
        </w:r>
        <w:r w:rsidR="00ED474B">
          <w:fldChar w:fldCharType="begin"/>
        </w:r>
        <w:r w:rsidR="00ED474B">
          <w:instrText xml:space="preserve"> PAGEREF _Toc1464057 \h </w:instrText>
        </w:r>
        <w:r w:rsidR="00ED474B">
          <w:fldChar w:fldCharType="separate"/>
        </w:r>
        <w:r w:rsidR="00ED474B">
          <w:t>5</w:t>
        </w:r>
        <w:r w:rsidR="00ED474B">
          <w:fldChar w:fldCharType="end"/>
        </w:r>
      </w:hyperlink>
    </w:p>
    <w:p w:rsidR="004C06C5" w:rsidRDefault="00CE024C">
      <w:pPr>
        <w:pStyle w:val="12"/>
        <w:rPr>
          <w:rFonts w:asciiTheme="minorHAnsi" w:eastAsiaTheme="minorEastAsia" w:hAnsiTheme="minorHAnsi" w:cstheme="minorBidi"/>
          <w:caps w:val="0"/>
          <w:sz w:val="21"/>
          <w:szCs w:val="22"/>
        </w:rPr>
      </w:pPr>
      <w:hyperlink w:anchor="_Toc1464058" w:history="1">
        <w:r w:rsidR="00ED474B">
          <w:rPr>
            <w:rStyle w:val="afb"/>
            <w:rFonts w:ascii="Arial Unicode MS" w:hAnsi="Arial Unicode MS" w:cs="Arial" w:hint="eastAsia"/>
            <w:b/>
            <w:bCs/>
          </w:rPr>
          <w:t>第三部分</w:t>
        </w:r>
        <w:r w:rsidR="00ED474B">
          <w:rPr>
            <w:rStyle w:val="afb"/>
            <w:rFonts w:ascii="Arial Unicode MS" w:hAnsi="Arial Unicode MS" w:cs="Arial"/>
            <w:b/>
            <w:bCs/>
          </w:rPr>
          <w:t xml:space="preserve">  </w:t>
        </w:r>
        <w:r w:rsidR="00ED474B">
          <w:rPr>
            <w:rStyle w:val="afb"/>
            <w:rFonts w:ascii="Arial Unicode MS" w:hAnsi="Arial Unicode MS" w:cs="Arial" w:hint="eastAsia"/>
            <w:b/>
            <w:bCs/>
          </w:rPr>
          <w:t>基金管理人</w:t>
        </w:r>
        <w:r w:rsidR="00ED474B">
          <w:tab/>
        </w:r>
        <w:r w:rsidR="00ED474B">
          <w:fldChar w:fldCharType="begin"/>
        </w:r>
        <w:r w:rsidR="00ED474B">
          <w:instrText xml:space="preserve"> PAGEREF _Toc1464058 \h </w:instrText>
        </w:r>
        <w:r w:rsidR="00ED474B">
          <w:fldChar w:fldCharType="separate"/>
        </w:r>
        <w:r w:rsidR="00ED474B">
          <w:t>9</w:t>
        </w:r>
        <w:r w:rsidR="00ED474B">
          <w:fldChar w:fldCharType="end"/>
        </w:r>
      </w:hyperlink>
    </w:p>
    <w:p w:rsidR="004C06C5" w:rsidRDefault="00CE024C">
      <w:pPr>
        <w:pStyle w:val="12"/>
        <w:rPr>
          <w:rFonts w:asciiTheme="minorHAnsi" w:eastAsiaTheme="minorEastAsia" w:hAnsiTheme="minorHAnsi" w:cstheme="minorBidi"/>
          <w:caps w:val="0"/>
          <w:sz w:val="21"/>
          <w:szCs w:val="22"/>
        </w:rPr>
      </w:pPr>
      <w:hyperlink w:anchor="_Toc1464059" w:history="1">
        <w:r w:rsidR="00ED474B">
          <w:rPr>
            <w:rStyle w:val="afb"/>
            <w:rFonts w:ascii="Arial Unicode MS" w:hAnsi="Arial Unicode MS" w:cs="Arial" w:hint="eastAsia"/>
            <w:b/>
            <w:bCs/>
          </w:rPr>
          <w:t>第四部分</w:t>
        </w:r>
        <w:r w:rsidR="00ED474B">
          <w:rPr>
            <w:rStyle w:val="afb"/>
            <w:rFonts w:ascii="Arial Unicode MS" w:hAnsi="Arial Unicode MS" w:cs="Arial"/>
            <w:b/>
            <w:bCs/>
          </w:rPr>
          <w:t xml:space="preserve">  </w:t>
        </w:r>
        <w:r w:rsidR="00ED474B">
          <w:rPr>
            <w:rStyle w:val="afb"/>
            <w:rFonts w:ascii="Arial Unicode MS" w:hAnsi="Arial Unicode MS" w:cs="Arial" w:hint="eastAsia"/>
            <w:b/>
            <w:bCs/>
          </w:rPr>
          <w:t>基金托管人</w:t>
        </w:r>
        <w:r w:rsidR="00ED474B">
          <w:tab/>
        </w:r>
        <w:r w:rsidR="00ED474B">
          <w:fldChar w:fldCharType="begin"/>
        </w:r>
        <w:r w:rsidR="00ED474B">
          <w:instrText xml:space="preserve"> PAGEREF _Toc1464059 \h </w:instrText>
        </w:r>
        <w:r w:rsidR="00ED474B">
          <w:fldChar w:fldCharType="separate"/>
        </w:r>
        <w:r w:rsidR="00ED474B">
          <w:t>19</w:t>
        </w:r>
        <w:r w:rsidR="00ED474B">
          <w:fldChar w:fldCharType="end"/>
        </w:r>
      </w:hyperlink>
    </w:p>
    <w:p w:rsidR="004C06C5" w:rsidRDefault="00CE024C">
      <w:pPr>
        <w:pStyle w:val="12"/>
        <w:rPr>
          <w:rFonts w:asciiTheme="minorHAnsi" w:eastAsiaTheme="minorEastAsia" w:hAnsiTheme="minorHAnsi" w:cstheme="minorBidi"/>
          <w:caps w:val="0"/>
          <w:sz w:val="21"/>
          <w:szCs w:val="22"/>
        </w:rPr>
      </w:pPr>
      <w:hyperlink w:anchor="_Toc1464060" w:history="1">
        <w:r w:rsidR="00ED474B">
          <w:rPr>
            <w:rStyle w:val="afb"/>
            <w:rFonts w:ascii="Arial Unicode MS" w:hAnsi="Arial Unicode MS" w:cs="Arial" w:hint="eastAsia"/>
            <w:b/>
            <w:bCs/>
          </w:rPr>
          <w:t>第五部分</w:t>
        </w:r>
        <w:r w:rsidR="00ED474B">
          <w:rPr>
            <w:rStyle w:val="afb"/>
            <w:rFonts w:ascii="Arial Unicode MS" w:hAnsi="Arial Unicode MS" w:cs="Arial"/>
            <w:b/>
            <w:bCs/>
          </w:rPr>
          <w:t xml:space="preserve">  </w:t>
        </w:r>
        <w:r w:rsidR="00ED474B">
          <w:rPr>
            <w:rStyle w:val="afb"/>
            <w:rFonts w:ascii="Arial Unicode MS" w:hAnsi="Arial Unicode MS" w:cs="Arial" w:hint="eastAsia"/>
            <w:b/>
            <w:bCs/>
          </w:rPr>
          <w:t>相关服务机构</w:t>
        </w:r>
        <w:r w:rsidR="00ED474B">
          <w:tab/>
        </w:r>
        <w:r w:rsidR="00ED474B">
          <w:fldChar w:fldCharType="begin"/>
        </w:r>
        <w:r w:rsidR="00ED474B">
          <w:instrText xml:space="preserve"> PAGEREF _Toc1464060 \h </w:instrText>
        </w:r>
        <w:r w:rsidR="00ED474B">
          <w:fldChar w:fldCharType="separate"/>
        </w:r>
        <w:r w:rsidR="00ED474B">
          <w:t>24</w:t>
        </w:r>
        <w:r w:rsidR="00ED474B">
          <w:fldChar w:fldCharType="end"/>
        </w:r>
      </w:hyperlink>
    </w:p>
    <w:p w:rsidR="004C06C5" w:rsidRDefault="00CE024C">
      <w:pPr>
        <w:pStyle w:val="12"/>
        <w:rPr>
          <w:rFonts w:asciiTheme="minorHAnsi" w:eastAsiaTheme="minorEastAsia" w:hAnsiTheme="minorHAnsi" w:cstheme="minorBidi"/>
          <w:caps w:val="0"/>
          <w:sz w:val="21"/>
          <w:szCs w:val="22"/>
        </w:rPr>
      </w:pPr>
      <w:hyperlink w:anchor="_Toc1464061" w:history="1">
        <w:r w:rsidR="00ED474B">
          <w:rPr>
            <w:rStyle w:val="afb"/>
            <w:rFonts w:ascii="Arial Unicode MS" w:hAnsi="Arial Unicode MS" w:cs="Arial" w:hint="eastAsia"/>
            <w:b/>
            <w:bCs/>
          </w:rPr>
          <w:t>第六部分</w:t>
        </w:r>
        <w:r w:rsidR="00ED474B">
          <w:rPr>
            <w:rStyle w:val="afb"/>
            <w:rFonts w:ascii="Arial Unicode MS" w:hAnsi="Arial Unicode MS" w:cs="Arial"/>
            <w:b/>
            <w:bCs/>
          </w:rPr>
          <w:t xml:space="preserve">  </w:t>
        </w:r>
        <w:r w:rsidR="00ED474B">
          <w:rPr>
            <w:rStyle w:val="afb"/>
            <w:rFonts w:ascii="Arial Unicode MS" w:hAnsi="Arial Unicode MS" w:cs="Arial" w:hint="eastAsia"/>
            <w:b/>
            <w:bCs/>
          </w:rPr>
          <w:t>基金份额的发售</w:t>
        </w:r>
        <w:r w:rsidR="00ED474B">
          <w:tab/>
        </w:r>
        <w:r w:rsidR="00ED474B">
          <w:fldChar w:fldCharType="begin"/>
        </w:r>
        <w:r w:rsidR="00ED474B">
          <w:instrText xml:space="preserve"> PAGEREF _Toc1464061 \h </w:instrText>
        </w:r>
        <w:r w:rsidR="00ED474B">
          <w:fldChar w:fldCharType="separate"/>
        </w:r>
        <w:r w:rsidR="00ED474B">
          <w:t>28</w:t>
        </w:r>
        <w:r w:rsidR="00ED474B">
          <w:fldChar w:fldCharType="end"/>
        </w:r>
      </w:hyperlink>
    </w:p>
    <w:p w:rsidR="004C06C5" w:rsidRDefault="00CE024C">
      <w:pPr>
        <w:pStyle w:val="12"/>
        <w:rPr>
          <w:rFonts w:asciiTheme="minorHAnsi" w:eastAsiaTheme="minorEastAsia" w:hAnsiTheme="minorHAnsi" w:cstheme="minorBidi"/>
          <w:caps w:val="0"/>
          <w:sz w:val="21"/>
          <w:szCs w:val="22"/>
        </w:rPr>
      </w:pPr>
      <w:hyperlink w:anchor="_Toc1464062" w:history="1">
        <w:r w:rsidR="00ED474B">
          <w:rPr>
            <w:rStyle w:val="afb"/>
            <w:rFonts w:ascii="Arial Unicode MS" w:hAnsi="Arial Unicode MS" w:cs="Arial" w:hint="eastAsia"/>
            <w:b/>
            <w:bCs/>
          </w:rPr>
          <w:t>第七部分</w:t>
        </w:r>
        <w:r w:rsidR="00ED474B">
          <w:rPr>
            <w:rStyle w:val="afb"/>
            <w:rFonts w:ascii="Arial Unicode MS" w:hAnsi="Arial Unicode MS" w:cs="Arial"/>
            <w:b/>
            <w:bCs/>
          </w:rPr>
          <w:t xml:space="preserve">  </w:t>
        </w:r>
        <w:r w:rsidR="00ED474B">
          <w:rPr>
            <w:rStyle w:val="afb"/>
            <w:rFonts w:ascii="Arial Unicode MS" w:hAnsi="Arial Unicode MS" w:cs="Arial" w:hint="eastAsia"/>
            <w:b/>
            <w:bCs/>
          </w:rPr>
          <w:t>基金合同的生效</w:t>
        </w:r>
        <w:r w:rsidR="00ED474B">
          <w:tab/>
        </w:r>
        <w:r w:rsidR="00ED474B">
          <w:fldChar w:fldCharType="begin"/>
        </w:r>
        <w:r w:rsidR="00ED474B">
          <w:instrText xml:space="preserve"> PAGEREF _Toc1464062 \h </w:instrText>
        </w:r>
        <w:r w:rsidR="00ED474B">
          <w:fldChar w:fldCharType="separate"/>
        </w:r>
        <w:r w:rsidR="00ED474B">
          <w:t>29</w:t>
        </w:r>
        <w:r w:rsidR="00ED474B">
          <w:fldChar w:fldCharType="end"/>
        </w:r>
      </w:hyperlink>
    </w:p>
    <w:p w:rsidR="004C06C5" w:rsidRDefault="00CE024C">
      <w:pPr>
        <w:pStyle w:val="12"/>
        <w:rPr>
          <w:rFonts w:asciiTheme="minorHAnsi" w:eastAsiaTheme="minorEastAsia" w:hAnsiTheme="minorHAnsi" w:cstheme="minorBidi"/>
          <w:caps w:val="0"/>
          <w:sz w:val="21"/>
          <w:szCs w:val="22"/>
        </w:rPr>
      </w:pPr>
      <w:hyperlink w:anchor="_Toc1464063" w:history="1">
        <w:r w:rsidR="00ED474B">
          <w:rPr>
            <w:rStyle w:val="afb"/>
            <w:rFonts w:ascii="Arial Unicode MS" w:hAnsi="Arial Unicode MS" w:cs="Arial" w:hint="eastAsia"/>
            <w:b/>
            <w:bCs/>
          </w:rPr>
          <w:t>第八部分</w:t>
        </w:r>
        <w:r w:rsidR="00ED474B">
          <w:rPr>
            <w:rStyle w:val="afb"/>
            <w:rFonts w:ascii="Arial Unicode MS" w:hAnsi="Arial Unicode MS" w:cs="Arial"/>
            <w:b/>
            <w:bCs/>
          </w:rPr>
          <w:t xml:space="preserve">  </w:t>
        </w:r>
        <w:r w:rsidR="00ED474B">
          <w:rPr>
            <w:rStyle w:val="afb"/>
            <w:rFonts w:ascii="Arial Unicode MS" w:hAnsi="Arial Unicode MS" w:cs="Arial" w:hint="eastAsia"/>
            <w:b/>
            <w:bCs/>
          </w:rPr>
          <w:t>基金份额的申购与赎回</w:t>
        </w:r>
        <w:r w:rsidR="00ED474B">
          <w:tab/>
        </w:r>
        <w:r w:rsidR="00ED474B">
          <w:fldChar w:fldCharType="begin"/>
        </w:r>
        <w:r w:rsidR="00ED474B">
          <w:instrText xml:space="preserve"> PAGEREF _Toc1464063 \h </w:instrText>
        </w:r>
        <w:r w:rsidR="00ED474B">
          <w:fldChar w:fldCharType="separate"/>
        </w:r>
        <w:r w:rsidR="00ED474B">
          <w:t>30</w:t>
        </w:r>
        <w:r w:rsidR="00ED474B">
          <w:fldChar w:fldCharType="end"/>
        </w:r>
      </w:hyperlink>
    </w:p>
    <w:p w:rsidR="004C06C5" w:rsidRDefault="00CE024C">
      <w:pPr>
        <w:pStyle w:val="12"/>
        <w:rPr>
          <w:rFonts w:asciiTheme="minorHAnsi" w:eastAsiaTheme="minorEastAsia" w:hAnsiTheme="minorHAnsi" w:cstheme="minorBidi"/>
          <w:caps w:val="0"/>
          <w:sz w:val="21"/>
          <w:szCs w:val="22"/>
        </w:rPr>
      </w:pPr>
      <w:hyperlink w:anchor="_Toc1464064" w:history="1">
        <w:r w:rsidR="00ED474B">
          <w:rPr>
            <w:rStyle w:val="afb"/>
            <w:rFonts w:ascii="Arial Unicode MS" w:hAnsi="Arial Unicode MS" w:cs="Arial" w:hint="eastAsia"/>
            <w:b/>
            <w:bCs/>
          </w:rPr>
          <w:t>第九部分</w:t>
        </w:r>
        <w:r w:rsidR="00ED474B">
          <w:rPr>
            <w:rStyle w:val="afb"/>
            <w:rFonts w:ascii="Arial Unicode MS" w:hAnsi="Arial Unicode MS" w:cs="Arial"/>
            <w:b/>
            <w:bCs/>
          </w:rPr>
          <w:t xml:space="preserve">  </w:t>
        </w:r>
        <w:r w:rsidR="00ED474B">
          <w:rPr>
            <w:rStyle w:val="afb"/>
            <w:rFonts w:ascii="Arial Unicode MS" w:hAnsi="Arial Unicode MS" w:cs="Arial" w:hint="eastAsia"/>
            <w:b/>
            <w:bCs/>
          </w:rPr>
          <w:t>基金的投资</w:t>
        </w:r>
        <w:r w:rsidR="00ED474B">
          <w:tab/>
        </w:r>
        <w:r w:rsidR="00ED474B">
          <w:fldChar w:fldCharType="begin"/>
        </w:r>
        <w:r w:rsidR="00ED474B">
          <w:instrText xml:space="preserve"> PAGEREF _Toc1464064 \h </w:instrText>
        </w:r>
        <w:r w:rsidR="00ED474B">
          <w:fldChar w:fldCharType="separate"/>
        </w:r>
        <w:r w:rsidR="00ED474B">
          <w:t>40</w:t>
        </w:r>
        <w:r w:rsidR="00ED474B">
          <w:fldChar w:fldCharType="end"/>
        </w:r>
      </w:hyperlink>
    </w:p>
    <w:p w:rsidR="004C06C5" w:rsidRDefault="00CE024C">
      <w:pPr>
        <w:pStyle w:val="12"/>
        <w:rPr>
          <w:rFonts w:asciiTheme="minorHAnsi" w:eastAsiaTheme="minorEastAsia" w:hAnsiTheme="minorHAnsi" w:cstheme="minorBidi"/>
          <w:caps w:val="0"/>
          <w:sz w:val="21"/>
          <w:szCs w:val="22"/>
        </w:rPr>
      </w:pPr>
      <w:hyperlink w:anchor="_Toc1464065" w:history="1">
        <w:r w:rsidR="00ED474B">
          <w:rPr>
            <w:rStyle w:val="afb"/>
            <w:rFonts w:ascii="Arial Unicode MS" w:hAnsi="Arial Unicode MS" w:cs="Arial" w:hint="eastAsia"/>
            <w:b/>
            <w:bCs/>
          </w:rPr>
          <w:t>第十部分</w:t>
        </w:r>
        <w:r w:rsidR="00ED474B">
          <w:rPr>
            <w:rStyle w:val="afb"/>
            <w:rFonts w:ascii="Arial Unicode MS" w:hAnsi="Arial Unicode MS" w:cs="Arial"/>
            <w:b/>
            <w:bCs/>
          </w:rPr>
          <w:t xml:space="preserve">  </w:t>
        </w:r>
        <w:r w:rsidR="00ED474B">
          <w:rPr>
            <w:rStyle w:val="afb"/>
            <w:rFonts w:ascii="Arial Unicode MS" w:hAnsi="Arial Unicode MS" w:cs="Arial" w:hint="eastAsia"/>
            <w:b/>
            <w:bCs/>
          </w:rPr>
          <w:t>基金的财产</w:t>
        </w:r>
        <w:r w:rsidR="00ED474B">
          <w:tab/>
        </w:r>
        <w:r w:rsidR="00ED474B">
          <w:fldChar w:fldCharType="begin"/>
        </w:r>
        <w:r w:rsidR="00ED474B">
          <w:instrText xml:space="preserve"> PAGEREF _Toc1464065 \h </w:instrText>
        </w:r>
        <w:r w:rsidR="00ED474B">
          <w:fldChar w:fldCharType="separate"/>
        </w:r>
        <w:r w:rsidR="00ED474B">
          <w:t>51</w:t>
        </w:r>
        <w:r w:rsidR="00ED474B">
          <w:fldChar w:fldCharType="end"/>
        </w:r>
      </w:hyperlink>
    </w:p>
    <w:p w:rsidR="004C06C5" w:rsidRDefault="00CE024C">
      <w:pPr>
        <w:pStyle w:val="12"/>
        <w:rPr>
          <w:rFonts w:asciiTheme="minorHAnsi" w:eastAsiaTheme="minorEastAsia" w:hAnsiTheme="minorHAnsi" w:cstheme="minorBidi"/>
          <w:caps w:val="0"/>
          <w:sz w:val="21"/>
          <w:szCs w:val="22"/>
        </w:rPr>
      </w:pPr>
      <w:hyperlink w:anchor="_Toc1464066" w:history="1">
        <w:r w:rsidR="00ED474B">
          <w:rPr>
            <w:rStyle w:val="afb"/>
            <w:rFonts w:ascii="Arial Unicode MS" w:hAnsi="Arial Unicode MS" w:cs="Arial" w:hint="eastAsia"/>
            <w:b/>
            <w:bCs/>
          </w:rPr>
          <w:t>第十一部分</w:t>
        </w:r>
        <w:r w:rsidR="00ED474B">
          <w:rPr>
            <w:rStyle w:val="afb"/>
            <w:rFonts w:ascii="Arial Unicode MS" w:hAnsi="Arial Unicode MS" w:cs="Arial"/>
            <w:b/>
            <w:bCs/>
          </w:rPr>
          <w:t xml:space="preserve">  </w:t>
        </w:r>
        <w:r w:rsidR="00ED474B">
          <w:rPr>
            <w:rStyle w:val="afb"/>
            <w:rFonts w:ascii="Arial Unicode MS" w:hAnsi="Arial Unicode MS" w:cs="Arial" w:hint="eastAsia"/>
            <w:b/>
            <w:bCs/>
          </w:rPr>
          <w:t>基金资产的估值</w:t>
        </w:r>
        <w:r w:rsidR="00ED474B">
          <w:tab/>
        </w:r>
        <w:r w:rsidR="00ED474B">
          <w:fldChar w:fldCharType="begin"/>
        </w:r>
        <w:r w:rsidR="00ED474B">
          <w:instrText xml:space="preserve"> PAGEREF _Toc1464066 \h </w:instrText>
        </w:r>
        <w:r w:rsidR="00ED474B">
          <w:fldChar w:fldCharType="separate"/>
        </w:r>
        <w:r w:rsidR="00ED474B">
          <w:t>52</w:t>
        </w:r>
        <w:r w:rsidR="00ED474B">
          <w:fldChar w:fldCharType="end"/>
        </w:r>
      </w:hyperlink>
    </w:p>
    <w:p w:rsidR="004C06C5" w:rsidRDefault="00CE024C">
      <w:pPr>
        <w:pStyle w:val="12"/>
        <w:rPr>
          <w:rFonts w:asciiTheme="minorHAnsi" w:eastAsiaTheme="minorEastAsia" w:hAnsiTheme="minorHAnsi" w:cstheme="minorBidi"/>
          <w:caps w:val="0"/>
          <w:sz w:val="21"/>
          <w:szCs w:val="22"/>
        </w:rPr>
      </w:pPr>
      <w:hyperlink w:anchor="_Toc1464067" w:history="1">
        <w:r w:rsidR="00ED474B">
          <w:rPr>
            <w:rStyle w:val="afb"/>
            <w:rFonts w:ascii="Arial Unicode MS" w:hAnsi="Arial Unicode MS" w:cs="Arial" w:hint="eastAsia"/>
            <w:b/>
            <w:bCs/>
          </w:rPr>
          <w:t>第十二部分</w:t>
        </w:r>
        <w:r w:rsidR="00ED474B">
          <w:rPr>
            <w:rStyle w:val="afb"/>
            <w:rFonts w:ascii="Arial Unicode MS" w:hAnsi="Arial Unicode MS" w:cs="Arial"/>
            <w:b/>
            <w:bCs/>
          </w:rPr>
          <w:t xml:space="preserve">  </w:t>
        </w:r>
        <w:r w:rsidR="00ED474B">
          <w:rPr>
            <w:rStyle w:val="afb"/>
            <w:rFonts w:ascii="Arial Unicode MS" w:hAnsi="Arial Unicode MS" w:cs="Arial" w:hint="eastAsia"/>
            <w:b/>
            <w:bCs/>
          </w:rPr>
          <w:t>基金的收益与分配</w:t>
        </w:r>
        <w:r w:rsidR="00ED474B">
          <w:tab/>
        </w:r>
        <w:r w:rsidR="00ED474B">
          <w:fldChar w:fldCharType="begin"/>
        </w:r>
        <w:r w:rsidR="00ED474B">
          <w:instrText xml:space="preserve"> PAGEREF _Toc1464067 \h </w:instrText>
        </w:r>
        <w:r w:rsidR="00ED474B">
          <w:fldChar w:fldCharType="separate"/>
        </w:r>
        <w:r w:rsidR="00ED474B">
          <w:t>56</w:t>
        </w:r>
        <w:r w:rsidR="00ED474B">
          <w:fldChar w:fldCharType="end"/>
        </w:r>
      </w:hyperlink>
    </w:p>
    <w:p w:rsidR="004C06C5" w:rsidRDefault="00CE024C">
      <w:pPr>
        <w:pStyle w:val="12"/>
        <w:rPr>
          <w:rFonts w:asciiTheme="minorHAnsi" w:eastAsiaTheme="minorEastAsia" w:hAnsiTheme="minorHAnsi" w:cstheme="minorBidi"/>
          <w:caps w:val="0"/>
          <w:sz w:val="21"/>
          <w:szCs w:val="22"/>
        </w:rPr>
      </w:pPr>
      <w:hyperlink w:anchor="_Toc1464068" w:history="1">
        <w:r w:rsidR="00ED474B">
          <w:rPr>
            <w:rStyle w:val="afb"/>
            <w:rFonts w:ascii="Arial Unicode MS" w:hAnsi="Arial Unicode MS" w:cs="Arial" w:hint="eastAsia"/>
            <w:b/>
            <w:bCs/>
          </w:rPr>
          <w:t>第十三部分</w:t>
        </w:r>
        <w:r w:rsidR="00ED474B">
          <w:rPr>
            <w:rStyle w:val="afb"/>
            <w:rFonts w:ascii="Arial Unicode MS" w:hAnsi="Arial Unicode MS" w:cs="Arial"/>
            <w:b/>
            <w:bCs/>
          </w:rPr>
          <w:t xml:space="preserve">  </w:t>
        </w:r>
        <w:r w:rsidR="00ED474B">
          <w:rPr>
            <w:rStyle w:val="afb"/>
            <w:rFonts w:ascii="Arial Unicode MS" w:hAnsi="Arial Unicode MS" w:cs="Arial" w:hint="eastAsia"/>
            <w:b/>
            <w:bCs/>
          </w:rPr>
          <w:t>基金费用与税收</w:t>
        </w:r>
        <w:r w:rsidR="00ED474B">
          <w:tab/>
        </w:r>
        <w:r w:rsidR="00ED474B">
          <w:fldChar w:fldCharType="begin"/>
        </w:r>
        <w:r w:rsidR="00ED474B">
          <w:instrText xml:space="preserve"> PAGEREF _Toc1464068 \h </w:instrText>
        </w:r>
        <w:r w:rsidR="00ED474B">
          <w:fldChar w:fldCharType="separate"/>
        </w:r>
        <w:r w:rsidR="00ED474B">
          <w:t>58</w:t>
        </w:r>
        <w:r w:rsidR="00ED474B">
          <w:fldChar w:fldCharType="end"/>
        </w:r>
      </w:hyperlink>
    </w:p>
    <w:p w:rsidR="004C06C5" w:rsidRDefault="00CE024C">
      <w:pPr>
        <w:pStyle w:val="12"/>
        <w:rPr>
          <w:rFonts w:asciiTheme="minorHAnsi" w:eastAsiaTheme="minorEastAsia" w:hAnsiTheme="minorHAnsi" w:cstheme="minorBidi"/>
          <w:caps w:val="0"/>
          <w:sz w:val="21"/>
          <w:szCs w:val="22"/>
        </w:rPr>
      </w:pPr>
      <w:hyperlink w:anchor="_Toc1464069" w:history="1">
        <w:r w:rsidR="00ED474B">
          <w:rPr>
            <w:rStyle w:val="afb"/>
            <w:rFonts w:ascii="Arial Unicode MS" w:hAnsi="Arial Unicode MS" w:cs="Arial" w:hint="eastAsia"/>
            <w:b/>
            <w:bCs/>
          </w:rPr>
          <w:t>第十四部分</w:t>
        </w:r>
        <w:r w:rsidR="00ED474B">
          <w:rPr>
            <w:rStyle w:val="afb"/>
            <w:rFonts w:ascii="Arial Unicode MS" w:hAnsi="Arial Unicode MS" w:cs="Arial"/>
            <w:b/>
            <w:bCs/>
          </w:rPr>
          <w:t xml:space="preserve">  </w:t>
        </w:r>
        <w:r w:rsidR="00ED474B">
          <w:rPr>
            <w:rStyle w:val="afb"/>
            <w:rFonts w:ascii="Arial Unicode MS" w:hAnsi="Arial Unicode MS" w:cs="Arial" w:hint="eastAsia"/>
            <w:b/>
            <w:bCs/>
          </w:rPr>
          <w:t>基金的会计与审计</w:t>
        </w:r>
        <w:r w:rsidR="00ED474B">
          <w:tab/>
        </w:r>
        <w:r w:rsidR="00ED474B">
          <w:fldChar w:fldCharType="begin"/>
        </w:r>
        <w:r w:rsidR="00ED474B">
          <w:instrText xml:space="preserve"> PAGEREF _Toc1464069 \h </w:instrText>
        </w:r>
        <w:r w:rsidR="00ED474B">
          <w:fldChar w:fldCharType="separate"/>
        </w:r>
        <w:r w:rsidR="00ED474B">
          <w:t>60</w:t>
        </w:r>
        <w:r w:rsidR="00ED474B">
          <w:fldChar w:fldCharType="end"/>
        </w:r>
      </w:hyperlink>
    </w:p>
    <w:p w:rsidR="004C06C5" w:rsidRDefault="00CE024C">
      <w:pPr>
        <w:pStyle w:val="12"/>
        <w:rPr>
          <w:rFonts w:asciiTheme="minorHAnsi" w:eastAsiaTheme="minorEastAsia" w:hAnsiTheme="minorHAnsi" w:cstheme="minorBidi"/>
          <w:caps w:val="0"/>
          <w:sz w:val="21"/>
          <w:szCs w:val="22"/>
        </w:rPr>
      </w:pPr>
      <w:hyperlink w:anchor="_Toc1464070" w:history="1">
        <w:r w:rsidR="00ED474B">
          <w:rPr>
            <w:rStyle w:val="afb"/>
            <w:rFonts w:ascii="Arial Unicode MS" w:hAnsi="Arial Unicode MS" w:hint="eastAsia"/>
            <w:b/>
          </w:rPr>
          <w:t>第十五部分</w:t>
        </w:r>
        <w:r w:rsidR="00ED474B">
          <w:rPr>
            <w:rStyle w:val="afb"/>
            <w:rFonts w:ascii="Arial Unicode MS" w:hAnsi="Arial Unicode MS"/>
            <w:b/>
          </w:rPr>
          <w:t xml:space="preserve">  </w:t>
        </w:r>
        <w:r w:rsidR="00ED474B">
          <w:rPr>
            <w:rStyle w:val="afb"/>
            <w:rFonts w:ascii="Arial Unicode MS" w:hAnsi="Arial Unicode MS" w:hint="eastAsia"/>
            <w:b/>
          </w:rPr>
          <w:t>基金的信息披露</w:t>
        </w:r>
        <w:r w:rsidR="00ED474B">
          <w:tab/>
        </w:r>
        <w:r w:rsidR="00ED474B">
          <w:fldChar w:fldCharType="begin"/>
        </w:r>
        <w:r w:rsidR="00ED474B">
          <w:instrText xml:space="preserve"> PAGEREF _Toc1464070 \h </w:instrText>
        </w:r>
        <w:r w:rsidR="00ED474B">
          <w:fldChar w:fldCharType="separate"/>
        </w:r>
        <w:r w:rsidR="00ED474B">
          <w:t>61</w:t>
        </w:r>
        <w:r w:rsidR="00ED474B">
          <w:fldChar w:fldCharType="end"/>
        </w:r>
      </w:hyperlink>
    </w:p>
    <w:p w:rsidR="004C06C5" w:rsidRDefault="00CE024C">
      <w:pPr>
        <w:pStyle w:val="12"/>
        <w:rPr>
          <w:rFonts w:asciiTheme="minorHAnsi" w:eastAsiaTheme="minorEastAsia" w:hAnsiTheme="minorHAnsi" w:cstheme="minorBidi"/>
          <w:caps w:val="0"/>
          <w:sz w:val="21"/>
          <w:szCs w:val="22"/>
        </w:rPr>
      </w:pPr>
      <w:hyperlink w:anchor="_Toc1464071" w:history="1">
        <w:r w:rsidR="00ED474B">
          <w:rPr>
            <w:rStyle w:val="afb"/>
            <w:rFonts w:ascii="Arial Unicode MS" w:hAnsi="Arial Unicode MS" w:cs="Arial" w:hint="eastAsia"/>
            <w:b/>
            <w:bCs/>
          </w:rPr>
          <w:t>第十六部分</w:t>
        </w:r>
        <w:r w:rsidR="00ED474B">
          <w:rPr>
            <w:rStyle w:val="afb"/>
            <w:rFonts w:ascii="Arial Unicode MS" w:hAnsi="Arial Unicode MS" w:cs="Arial"/>
            <w:b/>
            <w:bCs/>
          </w:rPr>
          <w:t xml:space="preserve">  </w:t>
        </w:r>
        <w:r w:rsidR="00ED474B">
          <w:rPr>
            <w:rStyle w:val="afb"/>
            <w:rFonts w:ascii="Arial Unicode MS" w:hAnsi="Arial Unicode MS" w:cs="Arial" w:hint="eastAsia"/>
            <w:b/>
            <w:bCs/>
          </w:rPr>
          <w:t>风险揭示</w:t>
        </w:r>
        <w:r w:rsidR="00ED474B">
          <w:tab/>
        </w:r>
        <w:r w:rsidR="00ED474B">
          <w:fldChar w:fldCharType="begin"/>
        </w:r>
        <w:r w:rsidR="00ED474B">
          <w:instrText xml:space="preserve"> PAGEREF _Toc1464071 \h </w:instrText>
        </w:r>
        <w:r w:rsidR="00ED474B">
          <w:fldChar w:fldCharType="separate"/>
        </w:r>
        <w:r w:rsidR="00ED474B">
          <w:t>67</w:t>
        </w:r>
        <w:r w:rsidR="00ED474B">
          <w:fldChar w:fldCharType="end"/>
        </w:r>
      </w:hyperlink>
    </w:p>
    <w:p w:rsidR="004C06C5" w:rsidRDefault="00CE024C">
      <w:pPr>
        <w:pStyle w:val="12"/>
        <w:rPr>
          <w:rFonts w:asciiTheme="minorHAnsi" w:eastAsiaTheme="minorEastAsia" w:hAnsiTheme="minorHAnsi" w:cstheme="minorBidi"/>
          <w:caps w:val="0"/>
          <w:sz w:val="21"/>
          <w:szCs w:val="22"/>
        </w:rPr>
      </w:pPr>
      <w:hyperlink w:anchor="_Toc1464072" w:history="1">
        <w:r w:rsidR="00ED474B">
          <w:rPr>
            <w:rStyle w:val="afb"/>
            <w:rFonts w:ascii="Arial Unicode MS" w:hAnsi="Arial Unicode MS" w:cs="Arial" w:hint="eastAsia"/>
            <w:b/>
            <w:bCs/>
          </w:rPr>
          <w:t>第十七部分</w:t>
        </w:r>
        <w:r w:rsidR="00ED474B">
          <w:rPr>
            <w:rStyle w:val="afb"/>
            <w:rFonts w:ascii="Arial Unicode MS" w:hAnsi="Arial Unicode MS" w:cs="Arial"/>
            <w:b/>
            <w:bCs/>
          </w:rPr>
          <w:t xml:space="preserve">  </w:t>
        </w:r>
        <w:r w:rsidR="00ED474B">
          <w:rPr>
            <w:rStyle w:val="afb"/>
            <w:rFonts w:ascii="Arial Unicode MS" w:hAnsi="Arial Unicode MS" w:cs="Arial" w:hint="eastAsia"/>
            <w:b/>
            <w:bCs/>
          </w:rPr>
          <w:t>基金合同的变更、终止与基金财产的清算</w:t>
        </w:r>
        <w:r w:rsidR="00ED474B">
          <w:tab/>
        </w:r>
        <w:r w:rsidR="00ED474B">
          <w:fldChar w:fldCharType="begin"/>
        </w:r>
        <w:r w:rsidR="00ED474B">
          <w:instrText xml:space="preserve"> PAGEREF _Toc1464072 \h </w:instrText>
        </w:r>
        <w:r w:rsidR="00ED474B">
          <w:fldChar w:fldCharType="separate"/>
        </w:r>
        <w:r w:rsidR="00ED474B">
          <w:t>70</w:t>
        </w:r>
        <w:r w:rsidR="00ED474B">
          <w:fldChar w:fldCharType="end"/>
        </w:r>
      </w:hyperlink>
    </w:p>
    <w:p w:rsidR="004C06C5" w:rsidRDefault="00CE024C">
      <w:pPr>
        <w:pStyle w:val="12"/>
        <w:rPr>
          <w:rFonts w:asciiTheme="minorHAnsi" w:eastAsiaTheme="minorEastAsia" w:hAnsiTheme="minorHAnsi" w:cstheme="minorBidi"/>
          <w:caps w:val="0"/>
          <w:sz w:val="21"/>
          <w:szCs w:val="22"/>
        </w:rPr>
      </w:pPr>
      <w:hyperlink w:anchor="_Toc1464073" w:history="1">
        <w:r w:rsidR="00ED474B">
          <w:rPr>
            <w:rStyle w:val="afb"/>
            <w:rFonts w:ascii="Arial Unicode MS" w:hAnsi="Arial Unicode MS" w:cs="Arial" w:hint="eastAsia"/>
            <w:b/>
            <w:bCs/>
          </w:rPr>
          <w:t>第十八部分</w:t>
        </w:r>
        <w:r w:rsidR="00ED474B">
          <w:rPr>
            <w:rStyle w:val="afb"/>
            <w:rFonts w:ascii="Arial Unicode MS" w:hAnsi="Arial Unicode MS" w:cs="Arial"/>
            <w:b/>
            <w:bCs/>
          </w:rPr>
          <w:t xml:space="preserve">  </w:t>
        </w:r>
        <w:r w:rsidR="00ED474B">
          <w:rPr>
            <w:rStyle w:val="afb"/>
            <w:rFonts w:ascii="Arial Unicode MS" w:hAnsi="Arial Unicode MS" w:cs="Arial" w:hint="eastAsia"/>
            <w:b/>
            <w:bCs/>
          </w:rPr>
          <w:t>基金合同的内容摘要</w:t>
        </w:r>
        <w:r w:rsidR="00ED474B">
          <w:tab/>
        </w:r>
        <w:r w:rsidR="00ED474B">
          <w:fldChar w:fldCharType="begin"/>
        </w:r>
        <w:r w:rsidR="00ED474B">
          <w:instrText xml:space="preserve"> PAGEREF _Toc1464073 \h </w:instrText>
        </w:r>
        <w:r w:rsidR="00ED474B">
          <w:fldChar w:fldCharType="separate"/>
        </w:r>
        <w:r w:rsidR="00ED474B">
          <w:t>72</w:t>
        </w:r>
        <w:r w:rsidR="00ED474B">
          <w:fldChar w:fldCharType="end"/>
        </w:r>
      </w:hyperlink>
    </w:p>
    <w:p w:rsidR="004C06C5" w:rsidRDefault="00CE024C">
      <w:pPr>
        <w:pStyle w:val="12"/>
        <w:rPr>
          <w:rFonts w:asciiTheme="minorHAnsi" w:eastAsiaTheme="minorEastAsia" w:hAnsiTheme="minorHAnsi" w:cstheme="minorBidi"/>
          <w:caps w:val="0"/>
          <w:sz w:val="21"/>
          <w:szCs w:val="22"/>
        </w:rPr>
      </w:pPr>
      <w:hyperlink w:anchor="_Toc1464074" w:history="1">
        <w:r w:rsidR="00ED474B">
          <w:rPr>
            <w:rStyle w:val="afb"/>
            <w:rFonts w:ascii="Arial Unicode MS" w:hAnsi="Arial Unicode MS" w:cs="Arial" w:hint="eastAsia"/>
            <w:b/>
            <w:bCs/>
          </w:rPr>
          <w:t>第十九部分</w:t>
        </w:r>
        <w:r w:rsidR="00ED474B">
          <w:rPr>
            <w:rStyle w:val="afb"/>
            <w:rFonts w:ascii="Arial Unicode MS" w:hAnsi="Arial Unicode MS" w:cs="Arial"/>
            <w:b/>
            <w:bCs/>
          </w:rPr>
          <w:t xml:space="preserve">  </w:t>
        </w:r>
        <w:r w:rsidR="00ED474B">
          <w:rPr>
            <w:rStyle w:val="afb"/>
            <w:rFonts w:ascii="Arial Unicode MS" w:hAnsi="Arial Unicode MS" w:cs="Arial" w:hint="eastAsia"/>
            <w:b/>
            <w:bCs/>
          </w:rPr>
          <w:t>基金托管协议的内容摘要</w:t>
        </w:r>
        <w:r w:rsidR="00ED474B">
          <w:tab/>
        </w:r>
        <w:r w:rsidR="00ED474B">
          <w:fldChar w:fldCharType="begin"/>
        </w:r>
        <w:r w:rsidR="00ED474B">
          <w:instrText xml:space="preserve"> PAGEREF _Toc1464074 \h </w:instrText>
        </w:r>
        <w:r w:rsidR="00ED474B">
          <w:fldChar w:fldCharType="separate"/>
        </w:r>
        <w:r w:rsidR="00ED474B">
          <w:t>87</w:t>
        </w:r>
        <w:r w:rsidR="00ED474B">
          <w:fldChar w:fldCharType="end"/>
        </w:r>
      </w:hyperlink>
    </w:p>
    <w:p w:rsidR="004C06C5" w:rsidRDefault="00CE024C">
      <w:pPr>
        <w:pStyle w:val="12"/>
        <w:rPr>
          <w:rFonts w:asciiTheme="minorHAnsi" w:eastAsiaTheme="minorEastAsia" w:hAnsiTheme="minorHAnsi" w:cstheme="minorBidi"/>
          <w:caps w:val="0"/>
          <w:sz w:val="21"/>
          <w:szCs w:val="22"/>
        </w:rPr>
      </w:pPr>
      <w:hyperlink w:anchor="_Toc1464075" w:history="1">
        <w:r w:rsidR="00ED474B">
          <w:rPr>
            <w:rStyle w:val="afb"/>
            <w:rFonts w:ascii="Arial Unicode MS" w:hAnsi="Arial Unicode MS" w:cs="Arial" w:hint="eastAsia"/>
            <w:b/>
            <w:bCs/>
          </w:rPr>
          <w:t>第二十部分</w:t>
        </w:r>
        <w:r w:rsidR="00ED474B">
          <w:rPr>
            <w:rStyle w:val="afb"/>
            <w:rFonts w:ascii="Arial Unicode MS" w:hAnsi="Arial Unicode MS" w:cs="Arial"/>
            <w:b/>
            <w:bCs/>
          </w:rPr>
          <w:t xml:space="preserve">  </w:t>
        </w:r>
        <w:r w:rsidR="00ED474B">
          <w:rPr>
            <w:rStyle w:val="afb"/>
            <w:rFonts w:ascii="Arial Unicode MS" w:hAnsi="Arial Unicode MS" w:cs="Arial" w:hint="eastAsia"/>
            <w:b/>
            <w:bCs/>
          </w:rPr>
          <w:t>对基金份额持有人的服务</w:t>
        </w:r>
        <w:r w:rsidR="00ED474B">
          <w:tab/>
        </w:r>
        <w:r w:rsidR="00ED474B">
          <w:fldChar w:fldCharType="begin"/>
        </w:r>
        <w:r w:rsidR="00ED474B">
          <w:instrText xml:space="preserve"> PAGEREF _Toc1464075 \h </w:instrText>
        </w:r>
        <w:r w:rsidR="00ED474B">
          <w:fldChar w:fldCharType="separate"/>
        </w:r>
        <w:r w:rsidR="00ED474B">
          <w:t>104</w:t>
        </w:r>
        <w:r w:rsidR="00ED474B">
          <w:fldChar w:fldCharType="end"/>
        </w:r>
      </w:hyperlink>
    </w:p>
    <w:p w:rsidR="004C06C5" w:rsidRDefault="00CE024C">
      <w:pPr>
        <w:pStyle w:val="12"/>
        <w:rPr>
          <w:rFonts w:asciiTheme="minorHAnsi" w:eastAsiaTheme="minorEastAsia" w:hAnsiTheme="minorHAnsi" w:cstheme="minorBidi"/>
          <w:caps w:val="0"/>
          <w:sz w:val="21"/>
          <w:szCs w:val="22"/>
        </w:rPr>
      </w:pPr>
      <w:hyperlink w:anchor="_Toc1464076" w:history="1">
        <w:r w:rsidR="00ED474B">
          <w:rPr>
            <w:rStyle w:val="afb"/>
            <w:rFonts w:ascii="Arial Unicode MS" w:hAnsi="Arial Unicode MS" w:cs="Arial" w:hint="eastAsia"/>
            <w:b/>
            <w:bCs/>
          </w:rPr>
          <w:t>第二十一部分</w:t>
        </w:r>
        <w:r w:rsidR="00ED474B">
          <w:rPr>
            <w:rStyle w:val="afb"/>
            <w:rFonts w:ascii="Arial Unicode MS" w:hAnsi="Arial Unicode MS" w:cs="Arial"/>
            <w:b/>
            <w:bCs/>
          </w:rPr>
          <w:t xml:space="preserve">  </w:t>
        </w:r>
        <w:r w:rsidR="00ED474B">
          <w:rPr>
            <w:rStyle w:val="afb"/>
            <w:rFonts w:ascii="Arial Unicode MS" w:hAnsi="Arial Unicode MS" w:cs="Arial" w:hint="eastAsia"/>
            <w:b/>
            <w:bCs/>
          </w:rPr>
          <w:t>其他应披露事项</w:t>
        </w:r>
        <w:r w:rsidR="00ED474B">
          <w:tab/>
        </w:r>
        <w:r w:rsidR="00ED474B">
          <w:fldChar w:fldCharType="begin"/>
        </w:r>
        <w:r w:rsidR="00ED474B">
          <w:instrText xml:space="preserve"> PAGEREF _Toc1464076 \h </w:instrText>
        </w:r>
        <w:r w:rsidR="00ED474B">
          <w:fldChar w:fldCharType="separate"/>
        </w:r>
        <w:r w:rsidR="00ED474B">
          <w:t>106</w:t>
        </w:r>
        <w:r w:rsidR="00ED474B">
          <w:fldChar w:fldCharType="end"/>
        </w:r>
      </w:hyperlink>
    </w:p>
    <w:p w:rsidR="004C06C5" w:rsidRDefault="00CE024C">
      <w:pPr>
        <w:pStyle w:val="12"/>
        <w:rPr>
          <w:rFonts w:asciiTheme="minorHAnsi" w:eastAsiaTheme="minorEastAsia" w:hAnsiTheme="minorHAnsi" w:cstheme="minorBidi"/>
          <w:caps w:val="0"/>
          <w:sz w:val="21"/>
          <w:szCs w:val="22"/>
        </w:rPr>
      </w:pPr>
      <w:hyperlink w:anchor="_Toc1464077" w:history="1">
        <w:r w:rsidR="00ED474B">
          <w:rPr>
            <w:rStyle w:val="afb"/>
            <w:rFonts w:ascii="Arial Unicode MS" w:hAnsi="Arial Unicode MS" w:cs="Arial" w:hint="eastAsia"/>
            <w:b/>
            <w:bCs/>
          </w:rPr>
          <w:t>第二十二部分</w:t>
        </w:r>
        <w:r w:rsidR="00ED474B">
          <w:rPr>
            <w:rStyle w:val="afb"/>
            <w:rFonts w:ascii="Arial Unicode MS" w:hAnsi="Arial Unicode MS" w:cs="Arial"/>
            <w:b/>
            <w:bCs/>
          </w:rPr>
          <w:t xml:space="preserve">  </w:t>
        </w:r>
        <w:r w:rsidR="00ED474B">
          <w:rPr>
            <w:rStyle w:val="afb"/>
            <w:rFonts w:ascii="Arial Unicode MS" w:hAnsi="Arial Unicode MS" w:cs="Arial" w:hint="eastAsia"/>
            <w:b/>
            <w:bCs/>
          </w:rPr>
          <w:t>招募说明书的存放及查阅方式</w:t>
        </w:r>
        <w:r w:rsidR="00ED474B">
          <w:tab/>
        </w:r>
        <w:r w:rsidR="00ED474B">
          <w:fldChar w:fldCharType="begin"/>
        </w:r>
        <w:r w:rsidR="00ED474B">
          <w:instrText xml:space="preserve"> PAGEREF _Toc1464077 \h </w:instrText>
        </w:r>
        <w:r w:rsidR="00ED474B">
          <w:fldChar w:fldCharType="separate"/>
        </w:r>
        <w:r w:rsidR="00ED474B">
          <w:t>108</w:t>
        </w:r>
        <w:r w:rsidR="00ED474B">
          <w:fldChar w:fldCharType="end"/>
        </w:r>
      </w:hyperlink>
    </w:p>
    <w:p w:rsidR="004C06C5" w:rsidRDefault="00CE024C">
      <w:pPr>
        <w:pStyle w:val="12"/>
        <w:rPr>
          <w:rFonts w:asciiTheme="minorHAnsi" w:eastAsiaTheme="minorEastAsia" w:hAnsiTheme="minorHAnsi" w:cstheme="minorBidi"/>
          <w:caps w:val="0"/>
          <w:sz w:val="21"/>
          <w:szCs w:val="22"/>
        </w:rPr>
      </w:pPr>
      <w:hyperlink w:anchor="_Toc1464078" w:history="1">
        <w:r w:rsidR="00ED474B">
          <w:rPr>
            <w:rStyle w:val="afb"/>
            <w:rFonts w:ascii="Arial Unicode MS" w:hAnsi="Arial Unicode MS" w:cs="Arial" w:hint="eastAsia"/>
            <w:b/>
            <w:bCs/>
          </w:rPr>
          <w:t>第二十三部分</w:t>
        </w:r>
        <w:r w:rsidR="00ED474B">
          <w:rPr>
            <w:rStyle w:val="afb"/>
            <w:rFonts w:ascii="Arial Unicode MS" w:hAnsi="Arial Unicode MS" w:cs="Arial"/>
            <w:b/>
            <w:bCs/>
          </w:rPr>
          <w:t xml:space="preserve">  </w:t>
        </w:r>
        <w:r w:rsidR="00ED474B">
          <w:rPr>
            <w:rStyle w:val="afb"/>
            <w:rFonts w:ascii="Arial Unicode MS" w:hAnsi="Arial Unicode MS" w:cs="Arial" w:hint="eastAsia"/>
            <w:b/>
            <w:bCs/>
          </w:rPr>
          <w:t>备查文件</w:t>
        </w:r>
        <w:r w:rsidR="00ED474B">
          <w:tab/>
        </w:r>
        <w:r w:rsidR="00ED474B">
          <w:fldChar w:fldCharType="begin"/>
        </w:r>
        <w:r w:rsidR="00ED474B">
          <w:instrText xml:space="preserve"> PAGEREF _Toc1464078 \h </w:instrText>
        </w:r>
        <w:r w:rsidR="00ED474B">
          <w:fldChar w:fldCharType="separate"/>
        </w:r>
        <w:r w:rsidR="00ED474B">
          <w:t>109</w:t>
        </w:r>
        <w:r w:rsidR="00ED474B">
          <w:fldChar w:fldCharType="end"/>
        </w:r>
      </w:hyperlink>
    </w:p>
    <w:p w:rsidR="004C06C5" w:rsidRDefault="00ED474B">
      <w:pPr>
        <w:adjustRightInd w:val="0"/>
        <w:snapToGrid w:val="0"/>
        <w:spacing w:line="360" w:lineRule="auto"/>
        <w:rPr>
          <w:rFonts w:ascii="Arial Unicode MS" w:hAnsi="Arial Unicode MS" w:cs="Arial"/>
          <w:bCs/>
          <w:spacing w:val="120"/>
          <w:szCs w:val="21"/>
        </w:rPr>
        <w:sectPr w:rsidR="004C06C5">
          <w:footerReference w:type="default" r:id="rId14"/>
          <w:headerReference w:type="first" r:id="rId15"/>
          <w:footerReference w:type="first" r:id="rId16"/>
          <w:pgSz w:w="11906" w:h="16838"/>
          <w:pgMar w:top="1440" w:right="1800" w:bottom="1440" w:left="1800" w:header="851" w:footer="992" w:gutter="0"/>
          <w:pgNumType w:start="1"/>
          <w:cols w:space="720"/>
          <w:titlePg/>
          <w:docGrid w:linePitch="312"/>
        </w:sectPr>
      </w:pPr>
      <w:r>
        <w:rPr>
          <w:rFonts w:ascii="Arial Unicode MS" w:hAnsi="Arial Unicode MS" w:cs="Arial"/>
          <w:bCs/>
          <w:spacing w:val="120"/>
          <w:szCs w:val="21"/>
        </w:rPr>
        <w:fldChar w:fldCharType="end"/>
      </w:r>
    </w:p>
    <w:p w:rsidR="004C06C5" w:rsidRDefault="004C06C5">
      <w:pPr>
        <w:rPr>
          <w:rFonts w:ascii="Arial Unicode MS" w:hAnsi="Arial Unicode MS"/>
          <w:lang w:val="zh-CN"/>
        </w:rPr>
        <w:sectPr w:rsidR="004C06C5">
          <w:footerReference w:type="default" r:id="rId17"/>
          <w:footerReference w:type="first" r:id="rId18"/>
          <w:type w:val="continuous"/>
          <w:pgSz w:w="11906" w:h="16838"/>
          <w:pgMar w:top="1440" w:right="1800" w:bottom="1440" w:left="1800" w:header="851" w:footer="992" w:gutter="0"/>
          <w:cols w:space="720"/>
          <w:titlePg/>
          <w:docGrid w:linePitch="312"/>
        </w:sectPr>
      </w:pPr>
    </w:p>
    <w:p w:rsidR="004C06C5" w:rsidRDefault="00ED474B">
      <w:pPr>
        <w:pStyle w:val="11"/>
        <w:snapToGrid w:val="0"/>
        <w:spacing w:before="0" w:after="0" w:line="360" w:lineRule="auto"/>
        <w:ind w:firstLineChars="50" w:firstLine="141"/>
        <w:rPr>
          <w:rFonts w:ascii="Arial Unicode MS" w:eastAsia="宋体" w:hAnsi="Arial Unicode MS" w:cs="Arial"/>
          <w:b/>
          <w:bCs/>
          <w:sz w:val="28"/>
          <w:szCs w:val="28"/>
        </w:rPr>
      </w:pPr>
      <w:bookmarkStart w:id="4" w:name="_Toc1464056"/>
      <w:bookmarkStart w:id="5" w:name="_Toc335232691"/>
      <w:r>
        <w:rPr>
          <w:rFonts w:ascii="Arial Unicode MS" w:eastAsia="宋体" w:hAnsi="Arial Unicode MS" w:cs="Arial"/>
          <w:b/>
          <w:bCs/>
          <w:sz w:val="28"/>
          <w:szCs w:val="28"/>
        </w:rPr>
        <w:lastRenderedPageBreak/>
        <w:t>第一部分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绪言</w:t>
      </w:r>
      <w:bookmarkEnd w:id="4"/>
      <w:bookmarkEnd w:id="5"/>
    </w:p>
    <w:p w:rsidR="004C06C5" w:rsidRDefault="004C06C5">
      <w:pPr>
        <w:autoSpaceDE w:val="0"/>
        <w:autoSpaceDN w:val="0"/>
        <w:adjustRightInd w:val="0"/>
        <w:snapToGrid w:val="0"/>
        <w:spacing w:line="360" w:lineRule="auto"/>
        <w:ind w:firstLineChars="200" w:firstLine="420"/>
        <w:rPr>
          <w:rFonts w:ascii="Arial Unicode MS" w:hAnsi="Arial Unicode MS" w:cs="Arial"/>
          <w:szCs w:val="21"/>
        </w:rPr>
      </w:pPr>
    </w:p>
    <w:p w:rsidR="004C06C5" w:rsidRDefault="00ED474B">
      <w:pPr>
        <w:adjustRightInd w:val="0"/>
        <w:snapToGrid w:val="0"/>
        <w:spacing w:line="360" w:lineRule="auto"/>
        <w:ind w:firstLineChars="200" w:firstLine="420"/>
        <w:rPr>
          <w:rFonts w:ascii="Arial Unicode MS" w:hAnsi="Arial Unicode MS" w:cs="Arial"/>
        </w:rPr>
      </w:pPr>
      <w:r>
        <w:rPr>
          <w:rFonts w:ascii="Arial Unicode MS" w:hAnsi="Arial Unicode MS" w:cs="Arial"/>
        </w:rPr>
        <w:t>《富荣富乾债券型证券投资基金招募说明书》（以下简称</w:t>
      </w:r>
      <w:r>
        <w:rPr>
          <w:rFonts w:ascii="Arial Unicode MS" w:hAnsi="Arial Unicode MS" w:cs="Arial" w:hint="eastAsia"/>
        </w:rPr>
        <w:t>“</w:t>
      </w:r>
      <w:r>
        <w:rPr>
          <w:rFonts w:ascii="Arial Unicode MS" w:hAnsi="Arial Unicode MS" w:cs="Arial"/>
        </w:rPr>
        <w:t>招募说明书</w:t>
      </w:r>
      <w:r>
        <w:rPr>
          <w:rFonts w:ascii="Arial Unicode MS" w:hAnsi="Arial Unicode MS" w:cs="Arial" w:hint="eastAsia"/>
        </w:rPr>
        <w:t>”</w:t>
      </w:r>
      <w:r>
        <w:rPr>
          <w:rFonts w:ascii="Arial Unicode MS" w:hAnsi="Arial Unicode MS" w:cs="Arial"/>
        </w:rPr>
        <w:t>或</w:t>
      </w:r>
      <w:r>
        <w:rPr>
          <w:rFonts w:ascii="Arial Unicode MS" w:hAnsi="Arial Unicode MS" w:cs="Arial" w:hint="eastAsia"/>
        </w:rPr>
        <w:t>“</w:t>
      </w:r>
      <w:r>
        <w:rPr>
          <w:rFonts w:ascii="Arial Unicode MS" w:hAnsi="Arial Unicode MS" w:cs="Arial"/>
        </w:rPr>
        <w:t>本招募说明书</w:t>
      </w:r>
      <w:r>
        <w:rPr>
          <w:rFonts w:ascii="Arial Unicode MS" w:hAnsi="Arial Unicode MS" w:cs="Arial" w:hint="eastAsia"/>
        </w:rPr>
        <w:t>”</w:t>
      </w:r>
      <w:r>
        <w:rPr>
          <w:rFonts w:ascii="Arial Unicode MS" w:hAnsi="Arial Unicode MS" w:cs="Arial"/>
        </w:rPr>
        <w:t>）依照《中华人民共和国证券投资基金法》（以下简称</w:t>
      </w:r>
      <w:r>
        <w:rPr>
          <w:rFonts w:ascii="Arial Unicode MS" w:hAnsi="Arial Unicode MS" w:cs="Arial" w:hint="eastAsia"/>
        </w:rPr>
        <w:t>“</w:t>
      </w:r>
      <w:r>
        <w:rPr>
          <w:rFonts w:ascii="Arial Unicode MS" w:hAnsi="Arial Unicode MS" w:cs="Arial"/>
        </w:rPr>
        <w:t>《基金法》</w:t>
      </w:r>
      <w:r>
        <w:rPr>
          <w:rFonts w:ascii="Arial Unicode MS" w:hAnsi="Arial Unicode MS" w:cs="Arial" w:hint="eastAsia"/>
        </w:rPr>
        <w:t>”</w:t>
      </w:r>
      <w:r>
        <w:rPr>
          <w:rFonts w:ascii="Arial Unicode MS" w:hAnsi="Arial Unicode MS" w:cs="Arial"/>
        </w:rPr>
        <w:t>）、《公开募集证券投资基金运作管理办法》（以下简称</w:t>
      </w:r>
      <w:r>
        <w:rPr>
          <w:rFonts w:ascii="Arial Unicode MS" w:hAnsi="Arial Unicode MS" w:cs="Arial" w:hint="eastAsia"/>
        </w:rPr>
        <w:t>“</w:t>
      </w:r>
      <w:r>
        <w:rPr>
          <w:rFonts w:ascii="Arial Unicode MS" w:hAnsi="Arial Unicode MS" w:cs="Arial"/>
        </w:rPr>
        <w:t>《运作办法》</w:t>
      </w:r>
      <w:r>
        <w:rPr>
          <w:rFonts w:ascii="Arial Unicode MS" w:hAnsi="Arial Unicode MS" w:cs="Arial" w:hint="eastAsia"/>
        </w:rPr>
        <w:t>”</w:t>
      </w:r>
      <w:r>
        <w:rPr>
          <w:rFonts w:ascii="Arial Unicode MS" w:hAnsi="Arial Unicode MS" w:cs="Arial"/>
        </w:rPr>
        <w:t>）、《证券投资基金销售管理办法》（以下简称</w:t>
      </w:r>
      <w:r>
        <w:rPr>
          <w:rFonts w:ascii="Arial Unicode MS" w:hAnsi="Arial Unicode MS" w:cs="Arial" w:hint="eastAsia"/>
        </w:rPr>
        <w:t>“</w:t>
      </w:r>
      <w:r>
        <w:rPr>
          <w:rFonts w:ascii="Arial Unicode MS" w:hAnsi="Arial Unicode MS" w:cs="Arial"/>
        </w:rPr>
        <w:t>《销售办法》</w:t>
      </w:r>
      <w:r>
        <w:rPr>
          <w:rFonts w:ascii="Arial Unicode MS" w:hAnsi="Arial Unicode MS" w:cs="Arial" w:hint="eastAsia"/>
        </w:rPr>
        <w:t>”</w:t>
      </w:r>
      <w:r>
        <w:rPr>
          <w:rFonts w:ascii="Arial Unicode MS" w:hAnsi="Arial Unicode MS" w:cs="Arial"/>
        </w:rPr>
        <w:t>）、《</w:t>
      </w:r>
      <w:r>
        <w:rPr>
          <w:rFonts w:ascii="Arial Unicode MS" w:hAnsi="Arial Unicode MS" w:cs="Arial" w:hint="eastAsia"/>
        </w:rPr>
        <w:t>公开募集证券投资基金信息披露管理办法</w:t>
      </w:r>
      <w:r>
        <w:rPr>
          <w:rFonts w:ascii="Arial Unicode MS" w:hAnsi="Arial Unicode MS" w:cs="Arial"/>
        </w:rPr>
        <w:t>》（以下简称</w:t>
      </w:r>
      <w:r>
        <w:rPr>
          <w:rFonts w:ascii="Arial Unicode MS" w:hAnsi="Arial Unicode MS" w:cs="Arial" w:hint="eastAsia"/>
        </w:rPr>
        <w:t>“</w:t>
      </w:r>
      <w:r>
        <w:rPr>
          <w:rFonts w:ascii="Arial Unicode MS" w:hAnsi="Arial Unicode MS" w:cs="Arial"/>
        </w:rPr>
        <w:t>《信息披露办法》</w:t>
      </w:r>
      <w:r>
        <w:rPr>
          <w:rFonts w:ascii="Arial Unicode MS" w:hAnsi="Arial Unicode MS" w:cs="Arial" w:hint="eastAsia"/>
        </w:rPr>
        <w:t>”</w:t>
      </w:r>
      <w:r>
        <w:rPr>
          <w:rFonts w:ascii="Arial Unicode MS" w:hAnsi="Arial Unicode MS" w:cs="Arial"/>
        </w:rPr>
        <w:t>）</w:t>
      </w:r>
      <w:r>
        <w:rPr>
          <w:rFonts w:ascii="Arial Unicode MS" w:hAnsi="Arial Unicode MS" w:cs="Arial" w:hint="eastAsia"/>
        </w:rPr>
        <w:t>、《公开募集开放式证券投资基金流动性风险管理规定》（以下简称“《管理规定》”）</w:t>
      </w:r>
      <w:r>
        <w:rPr>
          <w:rFonts w:ascii="Arial Unicode MS" w:hAnsi="Arial Unicode MS" w:cs="Arial"/>
          <w:bCs/>
        </w:rPr>
        <w:t>和其他有关法律法规</w:t>
      </w:r>
      <w:r>
        <w:rPr>
          <w:rFonts w:ascii="Arial Unicode MS" w:hAnsi="Arial Unicode MS" w:cs="Arial"/>
        </w:rPr>
        <w:t>以及《富荣富乾债券型证券投资基金基金合同》（以下简称</w:t>
      </w:r>
      <w:r>
        <w:rPr>
          <w:rFonts w:ascii="Arial Unicode MS" w:hAnsi="Arial Unicode MS" w:cs="Arial" w:hint="eastAsia"/>
        </w:rPr>
        <w:t>“</w:t>
      </w:r>
      <w:r>
        <w:rPr>
          <w:rFonts w:ascii="Arial Unicode MS" w:hAnsi="Arial Unicode MS" w:cs="Arial"/>
        </w:rPr>
        <w:t>基金合同</w:t>
      </w:r>
      <w:r>
        <w:rPr>
          <w:rFonts w:ascii="Arial Unicode MS" w:hAnsi="Arial Unicode MS" w:cs="Arial" w:hint="eastAsia"/>
        </w:rPr>
        <w:t>”</w:t>
      </w:r>
      <w:r>
        <w:rPr>
          <w:rFonts w:ascii="Arial Unicode MS" w:hAnsi="Arial Unicode MS" w:cs="Arial"/>
        </w:rPr>
        <w:t>）编写。</w:t>
      </w:r>
    </w:p>
    <w:p w:rsidR="004C06C5" w:rsidRDefault="00ED474B">
      <w:pPr>
        <w:adjustRightInd w:val="0"/>
        <w:snapToGrid w:val="0"/>
        <w:spacing w:line="360" w:lineRule="auto"/>
        <w:ind w:firstLineChars="200" w:firstLine="420"/>
        <w:rPr>
          <w:rFonts w:ascii="Arial Unicode MS" w:hAnsi="Arial Unicode MS" w:cs="Arial"/>
        </w:rPr>
      </w:pPr>
      <w:r>
        <w:rPr>
          <w:rFonts w:ascii="Arial Unicode MS" w:hAnsi="Arial Unicode MS" w:cs="Arial"/>
        </w:rPr>
        <w:t>本招募说明书阐述了</w:t>
      </w:r>
      <w:proofErr w:type="gramStart"/>
      <w:r>
        <w:rPr>
          <w:rFonts w:ascii="Arial Unicode MS" w:hAnsi="Arial Unicode MS" w:cs="Arial"/>
        </w:rPr>
        <w:t>富荣富乾债券</w:t>
      </w:r>
      <w:proofErr w:type="gramEnd"/>
      <w:r>
        <w:rPr>
          <w:rFonts w:ascii="Arial Unicode MS" w:hAnsi="Arial Unicode MS" w:cs="Arial"/>
        </w:rPr>
        <w:t>型证券投资基金的投资目标、策略、风险、费率等与投资人投资决策有关的必要事项，投资人在</w:t>
      </w:r>
      <w:proofErr w:type="gramStart"/>
      <w:r>
        <w:rPr>
          <w:rFonts w:ascii="Arial Unicode MS" w:hAnsi="Arial Unicode MS" w:cs="Arial"/>
        </w:rPr>
        <w:t>作出</w:t>
      </w:r>
      <w:proofErr w:type="gramEnd"/>
      <w:r>
        <w:rPr>
          <w:rFonts w:ascii="Arial Unicode MS" w:hAnsi="Arial Unicode MS" w:cs="Arial"/>
        </w:rPr>
        <w:t>投资决策前应仔细阅读本招募说明书。</w:t>
      </w:r>
    </w:p>
    <w:p w:rsidR="004C06C5" w:rsidRDefault="00ED474B">
      <w:pPr>
        <w:adjustRightInd w:val="0"/>
        <w:snapToGrid w:val="0"/>
        <w:spacing w:line="360" w:lineRule="auto"/>
        <w:ind w:firstLineChars="200" w:firstLine="420"/>
        <w:rPr>
          <w:rFonts w:ascii="Arial Unicode MS" w:hAnsi="Arial Unicode MS" w:cs="Arial"/>
        </w:rPr>
      </w:pPr>
      <w:r>
        <w:rPr>
          <w:rFonts w:ascii="Arial Unicode MS" w:hAnsi="Arial Unicode MS" w:cs="Arial"/>
        </w:rPr>
        <w:t>基金管理人承诺本招募说明书不存在任何虚假记载、误导性陈述或重大遗漏，并对其真实性、准确性、完整性承担法律责任。</w:t>
      </w:r>
    </w:p>
    <w:p w:rsidR="004C06C5" w:rsidRDefault="00ED474B">
      <w:pPr>
        <w:adjustRightInd w:val="0"/>
        <w:snapToGrid w:val="0"/>
        <w:spacing w:line="360" w:lineRule="auto"/>
        <w:ind w:firstLineChars="200" w:firstLine="420"/>
        <w:rPr>
          <w:rFonts w:ascii="Arial Unicode MS" w:hAnsi="Arial Unicode MS" w:cs="Arial"/>
        </w:rPr>
      </w:pPr>
      <w:proofErr w:type="gramStart"/>
      <w:r>
        <w:rPr>
          <w:rFonts w:ascii="Arial Unicode MS" w:hAnsi="Arial Unicode MS" w:cs="Arial"/>
        </w:rPr>
        <w:t>富荣富乾债券</w:t>
      </w:r>
      <w:proofErr w:type="gramEnd"/>
      <w:r>
        <w:rPr>
          <w:rFonts w:ascii="Arial Unicode MS" w:hAnsi="Arial Unicode MS" w:cs="Arial"/>
        </w:rPr>
        <w:t>型证券投资基金（以下简称</w:t>
      </w:r>
      <w:r>
        <w:rPr>
          <w:rFonts w:ascii="Arial Unicode MS" w:hAnsi="Arial Unicode MS" w:cs="Arial" w:hint="eastAsia"/>
        </w:rPr>
        <w:t>“</w:t>
      </w:r>
      <w:r>
        <w:rPr>
          <w:rFonts w:ascii="Arial Unicode MS" w:hAnsi="Arial Unicode MS" w:cs="Arial"/>
        </w:rPr>
        <w:t>基金</w:t>
      </w:r>
      <w:r>
        <w:rPr>
          <w:rFonts w:ascii="Arial Unicode MS" w:hAnsi="Arial Unicode MS" w:cs="Arial" w:hint="eastAsia"/>
        </w:rPr>
        <w:t>”</w:t>
      </w:r>
      <w:r>
        <w:rPr>
          <w:rFonts w:ascii="Arial Unicode MS" w:hAnsi="Arial Unicode MS" w:cs="Arial"/>
        </w:rPr>
        <w:t>或</w:t>
      </w:r>
      <w:r>
        <w:rPr>
          <w:rFonts w:ascii="Arial Unicode MS" w:hAnsi="Arial Unicode MS" w:cs="Arial" w:hint="eastAsia"/>
        </w:rPr>
        <w:t>“</w:t>
      </w:r>
      <w:r>
        <w:rPr>
          <w:rFonts w:ascii="Arial Unicode MS" w:hAnsi="Arial Unicode MS" w:cs="Arial"/>
        </w:rPr>
        <w:t>本基金</w:t>
      </w:r>
      <w:r>
        <w:rPr>
          <w:rFonts w:ascii="Arial Unicode MS" w:hAnsi="Arial Unicode MS" w:cs="Arial" w:hint="eastAsia"/>
        </w:rPr>
        <w:t>”</w:t>
      </w:r>
      <w:r>
        <w:rPr>
          <w:rFonts w:ascii="Arial Unicode MS" w:hAnsi="Arial Unicode MS" w:cs="Arial"/>
        </w:rPr>
        <w:t>）是根据本招募说明书所载明的资料申请募集的。本基金管理人没有委托或授权任何其他人提供未在本招募说明书中载明的信息，或对本招募说明书作任何解释或者说明。</w:t>
      </w:r>
    </w:p>
    <w:p w:rsidR="004C06C5" w:rsidRDefault="00ED474B">
      <w:pPr>
        <w:adjustRightInd w:val="0"/>
        <w:snapToGrid w:val="0"/>
        <w:spacing w:line="360" w:lineRule="auto"/>
        <w:ind w:firstLineChars="200" w:firstLine="420"/>
        <w:rPr>
          <w:rFonts w:ascii="Arial Unicode MS" w:hAnsi="Arial Unicode MS" w:cs="Arial"/>
        </w:rPr>
      </w:pPr>
      <w:r>
        <w:rPr>
          <w:rFonts w:ascii="Arial Unicode MS" w:hAnsi="Arial Unicode MS" w:cs="Arial"/>
        </w:rPr>
        <w:t>本招募说明书根据本基金的基金合同编写，并经中国证监会注册。基金合同是约定基金合同当事人之间权利、义务的法律文件。基金</w:t>
      </w:r>
      <w:proofErr w:type="gramStart"/>
      <w:r>
        <w:rPr>
          <w:rFonts w:ascii="Arial Unicode MS" w:hAnsi="Arial Unicode MS" w:cs="Arial"/>
        </w:rPr>
        <w:t>投资者自依基金</w:t>
      </w:r>
      <w:proofErr w:type="gramEnd"/>
      <w:r>
        <w:rPr>
          <w:rFonts w:ascii="Arial Unicode MS" w:hAnsi="Arial Unicode MS" w:cs="Arial"/>
        </w:rPr>
        <w:t>合同取得基金份额，即成为基金份额持有人和基金合同的当事人，其持有基金份额的行为本身即表明其对基金合同的承认和接受，并按照《基金法》、基金合同及其他有关规定享有权利、承担义务。基金投资者欲了解基金份额持有人的权利和义务，应详细查阅基金合同。</w:t>
      </w:r>
    </w:p>
    <w:p w:rsidR="004C06C5" w:rsidRDefault="004C06C5">
      <w:pPr>
        <w:adjustRightInd w:val="0"/>
        <w:snapToGrid w:val="0"/>
        <w:spacing w:line="360" w:lineRule="auto"/>
        <w:ind w:firstLineChars="200" w:firstLine="420"/>
        <w:rPr>
          <w:rFonts w:ascii="Arial Unicode MS" w:hAnsi="Arial Unicode MS" w:cs="Arial"/>
        </w:rPr>
      </w:pPr>
    </w:p>
    <w:p w:rsidR="004C06C5" w:rsidRDefault="004C06C5">
      <w:pPr>
        <w:adjustRightInd w:val="0"/>
        <w:snapToGrid w:val="0"/>
        <w:spacing w:line="360" w:lineRule="auto"/>
        <w:ind w:firstLineChars="200" w:firstLine="420"/>
        <w:rPr>
          <w:rFonts w:ascii="Arial Unicode MS" w:hAnsi="Arial Unicode MS" w:cs="Arial"/>
        </w:rPr>
      </w:pPr>
    </w:p>
    <w:p w:rsidR="004C06C5" w:rsidRDefault="004C06C5">
      <w:pPr>
        <w:adjustRightInd w:val="0"/>
        <w:snapToGrid w:val="0"/>
        <w:spacing w:line="360" w:lineRule="auto"/>
        <w:ind w:firstLineChars="200" w:firstLine="420"/>
        <w:rPr>
          <w:rFonts w:ascii="Arial Unicode MS" w:hAnsi="Arial Unicode MS" w:cs="Arial"/>
        </w:rPr>
      </w:pPr>
    </w:p>
    <w:p w:rsidR="004C06C5" w:rsidRDefault="004C06C5">
      <w:pPr>
        <w:adjustRightInd w:val="0"/>
        <w:snapToGrid w:val="0"/>
        <w:spacing w:line="360" w:lineRule="auto"/>
        <w:ind w:firstLineChars="200" w:firstLine="420"/>
        <w:rPr>
          <w:rFonts w:ascii="Arial Unicode MS" w:hAnsi="Arial Unicode MS" w:cs="Arial"/>
        </w:rPr>
      </w:pPr>
    </w:p>
    <w:p w:rsidR="004C06C5" w:rsidRDefault="004C06C5">
      <w:pPr>
        <w:adjustRightInd w:val="0"/>
        <w:snapToGrid w:val="0"/>
        <w:spacing w:line="360" w:lineRule="auto"/>
        <w:ind w:firstLineChars="200" w:firstLine="420"/>
        <w:rPr>
          <w:rFonts w:ascii="Arial Unicode MS" w:hAnsi="Arial Unicode MS" w:cs="Arial"/>
        </w:rPr>
      </w:pPr>
    </w:p>
    <w:p w:rsidR="004C06C5" w:rsidRDefault="004C06C5">
      <w:pPr>
        <w:adjustRightInd w:val="0"/>
        <w:snapToGrid w:val="0"/>
        <w:spacing w:line="360" w:lineRule="auto"/>
        <w:ind w:firstLineChars="200" w:firstLine="420"/>
        <w:rPr>
          <w:rFonts w:ascii="Arial Unicode MS" w:hAnsi="Arial Unicode MS" w:cs="Arial"/>
        </w:rPr>
      </w:pPr>
    </w:p>
    <w:p w:rsidR="004C06C5" w:rsidRDefault="004C06C5">
      <w:pPr>
        <w:adjustRightInd w:val="0"/>
        <w:snapToGrid w:val="0"/>
        <w:spacing w:line="360" w:lineRule="auto"/>
        <w:ind w:firstLineChars="200" w:firstLine="420"/>
        <w:rPr>
          <w:rFonts w:ascii="Arial Unicode MS" w:hAnsi="Arial Unicode MS" w:cs="Arial"/>
        </w:rPr>
      </w:pPr>
    </w:p>
    <w:p w:rsidR="004C06C5" w:rsidRDefault="004C06C5">
      <w:pPr>
        <w:adjustRightInd w:val="0"/>
        <w:snapToGrid w:val="0"/>
        <w:spacing w:line="360" w:lineRule="auto"/>
        <w:ind w:firstLineChars="200" w:firstLine="420"/>
        <w:rPr>
          <w:rFonts w:ascii="Arial Unicode MS" w:hAnsi="Arial Unicode MS" w:cs="Arial"/>
        </w:rPr>
      </w:pPr>
    </w:p>
    <w:p w:rsidR="004C06C5" w:rsidRDefault="004C06C5">
      <w:pPr>
        <w:adjustRightInd w:val="0"/>
        <w:snapToGrid w:val="0"/>
        <w:spacing w:line="360" w:lineRule="auto"/>
        <w:ind w:firstLineChars="200" w:firstLine="420"/>
        <w:rPr>
          <w:rFonts w:ascii="Arial Unicode MS" w:hAnsi="Arial Unicode MS" w:cs="Arial"/>
        </w:rPr>
      </w:pPr>
    </w:p>
    <w:p w:rsidR="004C06C5" w:rsidRDefault="00ED474B">
      <w:pPr>
        <w:pStyle w:val="11"/>
        <w:snapToGrid w:val="0"/>
        <w:spacing w:before="0" w:after="0" w:line="360" w:lineRule="auto"/>
        <w:ind w:firstLine="141"/>
        <w:rPr>
          <w:rFonts w:ascii="Arial Unicode MS" w:eastAsia="宋体" w:hAnsi="Arial Unicode MS" w:cs="Arial"/>
          <w:b/>
          <w:bCs/>
          <w:sz w:val="28"/>
          <w:szCs w:val="28"/>
        </w:rPr>
      </w:pPr>
      <w:bookmarkStart w:id="6" w:name="_Toc214873591"/>
      <w:bookmarkStart w:id="7" w:name="_Toc1464057"/>
      <w:bookmarkStart w:id="8" w:name="_Toc335232692"/>
      <w:r>
        <w:rPr>
          <w:rFonts w:ascii="Arial Unicode MS" w:eastAsia="宋体" w:hAnsi="Arial Unicode MS" w:cs="Arial"/>
          <w:b/>
          <w:bCs/>
          <w:sz w:val="28"/>
          <w:szCs w:val="28"/>
        </w:rPr>
        <w:lastRenderedPageBreak/>
        <w:t>第二部分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释义</w:t>
      </w:r>
      <w:bookmarkEnd w:id="6"/>
      <w:bookmarkEnd w:id="7"/>
      <w:bookmarkEnd w:id="8"/>
    </w:p>
    <w:p w:rsidR="004C06C5" w:rsidRDefault="004C06C5">
      <w:pPr>
        <w:rPr>
          <w:rFonts w:ascii="Arial Unicode MS" w:hAnsi="Arial Unicode MS"/>
          <w:lang w:val="zh-CN"/>
        </w:rPr>
      </w:pPr>
    </w:p>
    <w:p w:rsidR="004C06C5" w:rsidRDefault="00ED474B">
      <w:pPr>
        <w:snapToGrid w:val="0"/>
        <w:spacing w:line="360" w:lineRule="auto"/>
        <w:ind w:firstLineChars="200" w:firstLine="420"/>
        <w:rPr>
          <w:rFonts w:ascii="Arial Unicode MS" w:hAnsi="Arial Unicode MS" w:cs="Arial"/>
          <w:szCs w:val="21"/>
        </w:rPr>
      </w:pPr>
      <w:r>
        <w:rPr>
          <w:rFonts w:ascii="Arial Unicode MS" w:hAnsi="Arial Unicode MS" w:cs="Arial"/>
          <w:szCs w:val="21"/>
        </w:rPr>
        <w:t>在本招募说明书中，除非文义另有所指，下列词语具有以下含义：</w:t>
      </w:r>
    </w:p>
    <w:p w:rsidR="004C06C5" w:rsidRDefault="00ED474B">
      <w:pPr>
        <w:spacing w:line="360" w:lineRule="auto"/>
        <w:ind w:firstLineChars="200" w:firstLine="420"/>
        <w:rPr>
          <w:rFonts w:ascii="Arial Unicode MS" w:hAnsi="Arial Unicode MS" w:cs="Arial"/>
          <w:szCs w:val="21"/>
        </w:rPr>
      </w:pPr>
      <w:r>
        <w:rPr>
          <w:rFonts w:ascii="Arial Unicode MS" w:hAnsi="Arial Unicode MS" w:cs="Arial"/>
          <w:szCs w:val="21"/>
        </w:rPr>
        <w:t>1</w:t>
      </w:r>
      <w:r>
        <w:rPr>
          <w:rFonts w:ascii="Arial Unicode MS" w:hAnsi="Arial Unicode MS" w:cs="Arial"/>
          <w:szCs w:val="21"/>
        </w:rPr>
        <w:t>、基金或本基金：指</w:t>
      </w:r>
      <w:proofErr w:type="gramStart"/>
      <w:r>
        <w:rPr>
          <w:rFonts w:ascii="Arial Unicode MS" w:hAnsi="Arial Unicode MS" w:cs="Arial"/>
          <w:szCs w:val="21"/>
        </w:rPr>
        <w:t>富荣富乾债券</w:t>
      </w:r>
      <w:proofErr w:type="gramEnd"/>
      <w:r>
        <w:rPr>
          <w:rFonts w:ascii="Arial Unicode MS" w:hAnsi="Arial Unicode MS" w:cs="Arial"/>
          <w:szCs w:val="21"/>
        </w:rPr>
        <w:t>型证券投资基金</w:t>
      </w:r>
    </w:p>
    <w:p w:rsidR="004C06C5" w:rsidRDefault="00ED474B">
      <w:pPr>
        <w:snapToGrid w:val="0"/>
        <w:spacing w:line="360" w:lineRule="auto"/>
        <w:ind w:firstLineChars="200" w:firstLine="420"/>
        <w:rPr>
          <w:rFonts w:ascii="Arial Unicode MS" w:hAnsi="Arial Unicode MS" w:cs="Arial"/>
          <w:szCs w:val="21"/>
        </w:rPr>
      </w:pPr>
      <w:r>
        <w:rPr>
          <w:rFonts w:ascii="Arial Unicode MS" w:hAnsi="Arial Unicode MS" w:cs="Arial"/>
          <w:szCs w:val="21"/>
        </w:rPr>
        <w:t>2</w:t>
      </w:r>
      <w:r>
        <w:rPr>
          <w:rFonts w:ascii="Arial Unicode MS" w:hAnsi="Arial Unicode MS" w:cs="Arial"/>
          <w:szCs w:val="21"/>
        </w:rPr>
        <w:t>、基金管理人：指富荣基金管理有限公司</w:t>
      </w:r>
      <w:r>
        <w:rPr>
          <w:rFonts w:ascii="Arial Unicode MS" w:hAnsi="Arial Unicode MS" w:cs="Arial"/>
          <w:szCs w:val="21"/>
        </w:rPr>
        <w:t xml:space="preserve">      </w:t>
      </w:r>
    </w:p>
    <w:p w:rsidR="004C06C5" w:rsidRDefault="00ED474B">
      <w:pPr>
        <w:snapToGrid w:val="0"/>
        <w:spacing w:line="360" w:lineRule="auto"/>
        <w:ind w:firstLineChars="200" w:firstLine="420"/>
        <w:rPr>
          <w:rFonts w:ascii="Arial Unicode MS" w:hAnsi="Arial Unicode MS" w:cs="Arial"/>
          <w:szCs w:val="21"/>
        </w:rPr>
      </w:pPr>
      <w:r>
        <w:rPr>
          <w:rFonts w:ascii="Arial Unicode MS" w:hAnsi="Arial Unicode MS" w:cs="Arial"/>
          <w:szCs w:val="21"/>
        </w:rPr>
        <w:t>3</w:t>
      </w:r>
      <w:r>
        <w:rPr>
          <w:rFonts w:ascii="Arial Unicode MS" w:hAnsi="Arial Unicode MS" w:cs="Arial"/>
          <w:szCs w:val="21"/>
        </w:rPr>
        <w:t>、基金托管人：指上海浦东发展银行股份有限公司</w:t>
      </w:r>
      <w:r>
        <w:rPr>
          <w:rFonts w:ascii="Arial Unicode MS" w:hAnsi="Arial Unicode MS" w:cs="Arial"/>
          <w:szCs w:val="21"/>
        </w:rPr>
        <w:t xml:space="preserve">    </w:t>
      </w:r>
    </w:p>
    <w:p w:rsidR="004C06C5" w:rsidRDefault="00ED474B">
      <w:pPr>
        <w:snapToGrid w:val="0"/>
        <w:spacing w:line="360" w:lineRule="auto"/>
        <w:ind w:firstLineChars="200" w:firstLine="420"/>
        <w:rPr>
          <w:rFonts w:ascii="Arial Unicode MS" w:hAnsi="Arial Unicode MS" w:cs="Arial"/>
          <w:szCs w:val="21"/>
        </w:rPr>
      </w:pPr>
      <w:r>
        <w:rPr>
          <w:rFonts w:ascii="Arial Unicode MS" w:hAnsi="Arial Unicode MS" w:cs="Arial"/>
          <w:szCs w:val="21"/>
        </w:rPr>
        <w:t>4</w:t>
      </w:r>
      <w:r>
        <w:rPr>
          <w:rFonts w:ascii="Arial Unicode MS" w:hAnsi="Arial Unicode MS" w:cs="Arial"/>
          <w:szCs w:val="21"/>
        </w:rPr>
        <w:t>、基金合同：指《富荣富乾债券型证券投资基金基金合同》及对基金合同的任何有效修订和补充</w:t>
      </w:r>
    </w:p>
    <w:p w:rsidR="004C06C5" w:rsidRDefault="00ED474B">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5</w:t>
      </w:r>
      <w:r>
        <w:rPr>
          <w:rFonts w:ascii="Arial Unicode MS" w:hAnsi="Arial Unicode MS" w:cs="Arial" w:hint="eastAsia"/>
          <w:szCs w:val="21"/>
        </w:rPr>
        <w:t>、托管协议：指基金管理人与基金托管人就本基金签订之《富荣富乾债券型证券投资基金托管协议》及对该托管协议的任何有效修订和补充</w:t>
      </w:r>
    </w:p>
    <w:p w:rsidR="004C06C5" w:rsidRDefault="00ED474B">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6</w:t>
      </w:r>
      <w:r>
        <w:rPr>
          <w:rFonts w:ascii="Arial Unicode MS" w:hAnsi="Arial Unicode MS" w:cs="Arial" w:hint="eastAsia"/>
          <w:szCs w:val="21"/>
        </w:rPr>
        <w:t>、招募说明书：指《富荣富乾债券型证券投资基金招募说明书》及其更新</w:t>
      </w:r>
    </w:p>
    <w:p w:rsidR="004C06C5" w:rsidRDefault="00ED474B">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7</w:t>
      </w:r>
      <w:r>
        <w:rPr>
          <w:rFonts w:ascii="Arial Unicode MS" w:hAnsi="Arial Unicode MS" w:cs="Arial" w:hint="eastAsia"/>
          <w:szCs w:val="21"/>
        </w:rPr>
        <w:t>、基金产品资料概要：指《富荣富乾债券型证券投资基金基金产品资料概要》及其更新</w:t>
      </w:r>
    </w:p>
    <w:p w:rsidR="004C06C5" w:rsidRDefault="00ED474B">
      <w:pPr>
        <w:snapToGrid w:val="0"/>
        <w:spacing w:line="360" w:lineRule="auto"/>
        <w:ind w:firstLineChars="200" w:firstLine="420"/>
        <w:rPr>
          <w:rFonts w:ascii="Arial Unicode MS" w:hAnsi="Arial Unicode MS" w:cs="Arial"/>
          <w:szCs w:val="21"/>
        </w:rPr>
      </w:pPr>
      <w:r>
        <w:rPr>
          <w:rFonts w:ascii="Arial Unicode MS" w:hAnsi="Arial Unicode MS" w:cs="Arial"/>
          <w:szCs w:val="21"/>
        </w:rPr>
        <w:t>8</w:t>
      </w:r>
      <w:r>
        <w:rPr>
          <w:rFonts w:ascii="Arial Unicode MS" w:hAnsi="Arial Unicode MS" w:cs="Arial" w:hint="eastAsia"/>
          <w:szCs w:val="21"/>
        </w:rPr>
        <w:t>、基金份额发售公告：指《富荣富乾债券型证券投资基金基金份额发售公告》</w:t>
      </w:r>
    </w:p>
    <w:p w:rsidR="004C06C5" w:rsidRDefault="00ED474B">
      <w:pPr>
        <w:snapToGrid w:val="0"/>
        <w:spacing w:line="360" w:lineRule="auto"/>
        <w:ind w:firstLineChars="200" w:firstLine="420"/>
        <w:rPr>
          <w:rFonts w:ascii="Arial Unicode MS" w:hAnsi="Arial Unicode MS" w:cs="Arial"/>
          <w:szCs w:val="21"/>
        </w:rPr>
      </w:pPr>
      <w:r>
        <w:rPr>
          <w:rFonts w:ascii="Arial Unicode MS" w:hAnsi="Arial Unicode MS" w:cs="Arial"/>
          <w:szCs w:val="21"/>
        </w:rPr>
        <w:t>9</w:t>
      </w:r>
      <w:r>
        <w:rPr>
          <w:rFonts w:ascii="Arial Unicode MS" w:hAnsi="Arial Unicode MS" w:cs="Arial" w:hint="eastAsia"/>
          <w:szCs w:val="21"/>
        </w:rPr>
        <w:t>、法律法规：指中国现行有效并公布实施的法律、行政法规、规范性文件、司法解释、行政规章以及其他对基金合同当事人有约束力的决定、决议、通知等</w:t>
      </w:r>
    </w:p>
    <w:p w:rsidR="004C06C5" w:rsidRDefault="00ED474B">
      <w:pPr>
        <w:snapToGrid w:val="0"/>
        <w:spacing w:line="360" w:lineRule="auto"/>
        <w:ind w:firstLineChars="200" w:firstLine="420"/>
        <w:rPr>
          <w:rFonts w:ascii="Arial Unicode MS" w:hAnsi="Arial Unicode MS" w:cs="Arial"/>
          <w:szCs w:val="21"/>
        </w:rPr>
      </w:pPr>
      <w:r>
        <w:rPr>
          <w:rFonts w:ascii="Arial Unicode MS" w:hAnsi="Arial Unicode MS" w:cs="Arial"/>
          <w:szCs w:val="21"/>
        </w:rPr>
        <w:t>10</w:t>
      </w:r>
      <w:r>
        <w:rPr>
          <w:rFonts w:ascii="Arial Unicode MS" w:hAnsi="Arial Unicode MS" w:cs="Arial" w:hint="eastAsia"/>
          <w:szCs w:val="21"/>
        </w:rPr>
        <w:t>、《基金法》：指</w:t>
      </w:r>
      <w:r>
        <w:rPr>
          <w:rFonts w:ascii="Arial Unicode MS" w:hAnsi="Arial Unicode MS" w:cs="Arial" w:hint="eastAsia"/>
          <w:szCs w:val="21"/>
        </w:rPr>
        <w:t>2003</w:t>
      </w:r>
      <w:r>
        <w:rPr>
          <w:rFonts w:ascii="Arial Unicode MS" w:hAnsi="Arial Unicode MS" w:cs="Arial" w:hint="eastAsia"/>
          <w:szCs w:val="21"/>
        </w:rPr>
        <w:t>年</w:t>
      </w:r>
      <w:r>
        <w:rPr>
          <w:rFonts w:ascii="Arial Unicode MS" w:hAnsi="Arial Unicode MS" w:cs="Arial" w:hint="eastAsia"/>
          <w:szCs w:val="21"/>
        </w:rPr>
        <w:t>10</w:t>
      </w:r>
      <w:r>
        <w:rPr>
          <w:rFonts w:ascii="Arial Unicode MS" w:hAnsi="Arial Unicode MS" w:cs="Arial" w:hint="eastAsia"/>
          <w:szCs w:val="21"/>
        </w:rPr>
        <w:t>月</w:t>
      </w:r>
      <w:r>
        <w:rPr>
          <w:rFonts w:ascii="Arial Unicode MS" w:hAnsi="Arial Unicode MS" w:cs="Arial" w:hint="eastAsia"/>
          <w:szCs w:val="21"/>
        </w:rPr>
        <w:t>28</w:t>
      </w:r>
      <w:r>
        <w:rPr>
          <w:rFonts w:ascii="Arial Unicode MS" w:hAnsi="Arial Unicode MS" w:cs="Arial" w:hint="eastAsia"/>
          <w:szCs w:val="21"/>
        </w:rPr>
        <w:t>日经第十届全国人民代表大会常务委员会第五次会议通过，经</w:t>
      </w:r>
      <w:r>
        <w:rPr>
          <w:rFonts w:ascii="Arial Unicode MS" w:hAnsi="Arial Unicode MS" w:cs="Arial" w:hint="eastAsia"/>
          <w:szCs w:val="21"/>
        </w:rPr>
        <w:t>2012</w:t>
      </w:r>
      <w:r>
        <w:rPr>
          <w:rFonts w:ascii="Arial Unicode MS" w:hAnsi="Arial Unicode MS" w:cs="Arial" w:hint="eastAsia"/>
          <w:szCs w:val="21"/>
        </w:rPr>
        <w:t>年</w:t>
      </w:r>
      <w:r>
        <w:rPr>
          <w:rFonts w:ascii="Arial Unicode MS" w:hAnsi="Arial Unicode MS" w:cs="Arial" w:hint="eastAsia"/>
          <w:szCs w:val="21"/>
        </w:rPr>
        <w:t>12</w:t>
      </w:r>
      <w:r>
        <w:rPr>
          <w:rFonts w:ascii="Arial Unicode MS" w:hAnsi="Arial Unicode MS" w:cs="Arial" w:hint="eastAsia"/>
          <w:szCs w:val="21"/>
        </w:rPr>
        <w:t>月</w:t>
      </w:r>
      <w:r>
        <w:rPr>
          <w:rFonts w:ascii="Arial Unicode MS" w:hAnsi="Arial Unicode MS" w:cs="Arial" w:hint="eastAsia"/>
          <w:szCs w:val="21"/>
        </w:rPr>
        <w:t>28</w:t>
      </w:r>
      <w:r>
        <w:rPr>
          <w:rFonts w:ascii="Arial Unicode MS" w:hAnsi="Arial Unicode MS" w:cs="Arial" w:hint="eastAsia"/>
          <w:szCs w:val="21"/>
        </w:rPr>
        <w:t>日第十一届全国人民代表大会常务委员会第三十次会议修订，自</w:t>
      </w:r>
      <w:r>
        <w:rPr>
          <w:rFonts w:ascii="Arial Unicode MS" w:hAnsi="Arial Unicode MS" w:cs="Arial" w:hint="eastAsia"/>
          <w:szCs w:val="21"/>
        </w:rPr>
        <w:t>2013</w:t>
      </w:r>
      <w:r>
        <w:rPr>
          <w:rFonts w:ascii="Arial Unicode MS" w:hAnsi="Arial Unicode MS" w:cs="Arial" w:hint="eastAsia"/>
          <w:szCs w:val="21"/>
        </w:rPr>
        <w:t>年</w:t>
      </w:r>
      <w:r>
        <w:rPr>
          <w:rFonts w:ascii="Arial Unicode MS" w:hAnsi="Arial Unicode MS" w:cs="Arial" w:hint="eastAsia"/>
          <w:szCs w:val="21"/>
        </w:rPr>
        <w:t>6</w:t>
      </w:r>
      <w:r>
        <w:rPr>
          <w:rFonts w:ascii="Arial Unicode MS" w:hAnsi="Arial Unicode MS" w:cs="Arial" w:hint="eastAsia"/>
          <w:szCs w:val="21"/>
        </w:rPr>
        <w:t>月</w:t>
      </w:r>
      <w:r>
        <w:rPr>
          <w:rFonts w:ascii="Arial Unicode MS" w:hAnsi="Arial Unicode MS" w:cs="Arial" w:hint="eastAsia"/>
          <w:szCs w:val="21"/>
        </w:rPr>
        <w:t>1</w:t>
      </w:r>
      <w:r>
        <w:rPr>
          <w:rFonts w:ascii="Arial Unicode MS" w:hAnsi="Arial Unicode MS" w:cs="Arial" w:hint="eastAsia"/>
          <w:szCs w:val="21"/>
        </w:rPr>
        <w:t>日起实施，并经</w:t>
      </w:r>
      <w:r>
        <w:rPr>
          <w:rFonts w:ascii="Arial Unicode MS" w:hAnsi="Arial Unicode MS" w:cs="Arial" w:hint="eastAsia"/>
          <w:szCs w:val="21"/>
        </w:rPr>
        <w:t>2015</w:t>
      </w:r>
      <w:r>
        <w:rPr>
          <w:rFonts w:ascii="Arial Unicode MS" w:hAnsi="Arial Unicode MS" w:cs="Arial" w:hint="eastAsia"/>
          <w:szCs w:val="21"/>
        </w:rPr>
        <w:t>年</w:t>
      </w:r>
      <w:r>
        <w:rPr>
          <w:rFonts w:ascii="Arial Unicode MS" w:hAnsi="Arial Unicode MS" w:cs="Arial" w:hint="eastAsia"/>
          <w:szCs w:val="21"/>
        </w:rPr>
        <w:t>4</w:t>
      </w:r>
      <w:r>
        <w:rPr>
          <w:rFonts w:ascii="Arial Unicode MS" w:hAnsi="Arial Unicode MS" w:cs="Arial" w:hint="eastAsia"/>
          <w:szCs w:val="21"/>
        </w:rPr>
        <w:t>月</w:t>
      </w:r>
      <w:r>
        <w:rPr>
          <w:rFonts w:ascii="Arial Unicode MS" w:hAnsi="Arial Unicode MS" w:cs="Arial" w:hint="eastAsia"/>
          <w:szCs w:val="21"/>
        </w:rPr>
        <w:t>24</w:t>
      </w:r>
      <w:r>
        <w:rPr>
          <w:rFonts w:ascii="Arial Unicode MS" w:hAnsi="Arial Unicode MS" w:cs="Arial" w:hint="eastAsia"/>
          <w:szCs w:val="21"/>
        </w:rPr>
        <w:t>日第十二届全国人民代表大会常务委员会第十四次会议《全国人民代表大会常务委员会关于修改</w:t>
      </w:r>
      <w:r>
        <w:rPr>
          <w:rFonts w:ascii="Arial Unicode MS" w:hAnsi="Arial Unicode MS" w:cs="Arial" w:hint="eastAsia"/>
          <w:szCs w:val="21"/>
        </w:rPr>
        <w:t>&lt;</w:t>
      </w:r>
      <w:r>
        <w:rPr>
          <w:rFonts w:ascii="Arial Unicode MS" w:hAnsi="Arial Unicode MS" w:cs="Arial" w:hint="eastAsia"/>
          <w:szCs w:val="21"/>
        </w:rPr>
        <w:t>中华人民共和国港口法</w:t>
      </w:r>
      <w:r>
        <w:rPr>
          <w:rFonts w:ascii="Arial Unicode MS" w:hAnsi="Arial Unicode MS" w:cs="Arial" w:hint="eastAsia"/>
          <w:szCs w:val="21"/>
        </w:rPr>
        <w:t>&gt;</w:t>
      </w:r>
      <w:r>
        <w:rPr>
          <w:rFonts w:ascii="Arial Unicode MS" w:hAnsi="Arial Unicode MS" w:cs="Arial" w:hint="eastAsia"/>
          <w:szCs w:val="21"/>
        </w:rPr>
        <w:t>等七部法律的决定》修改的《中华人民共和国证券投资基金法》及颁布机关对其不时做出的修订</w:t>
      </w:r>
    </w:p>
    <w:p w:rsidR="004C06C5" w:rsidRDefault="00ED474B">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1</w:t>
      </w:r>
      <w:r>
        <w:rPr>
          <w:rFonts w:ascii="Arial Unicode MS" w:hAnsi="Arial Unicode MS" w:cs="Arial"/>
          <w:szCs w:val="21"/>
        </w:rPr>
        <w:t>1</w:t>
      </w:r>
      <w:r>
        <w:rPr>
          <w:rFonts w:ascii="Arial Unicode MS" w:hAnsi="Arial Unicode MS" w:cs="Arial" w:hint="eastAsia"/>
          <w:szCs w:val="21"/>
        </w:rPr>
        <w:t>、《销售办法》：指中国证监会</w:t>
      </w:r>
      <w:r>
        <w:rPr>
          <w:rFonts w:ascii="Arial Unicode MS" w:hAnsi="Arial Unicode MS" w:cs="Arial" w:hint="eastAsia"/>
          <w:szCs w:val="21"/>
        </w:rPr>
        <w:t>2013</w:t>
      </w:r>
      <w:r>
        <w:rPr>
          <w:rFonts w:ascii="Arial Unicode MS" w:hAnsi="Arial Unicode MS" w:cs="Arial" w:hint="eastAsia"/>
          <w:szCs w:val="21"/>
        </w:rPr>
        <w:t>年</w:t>
      </w:r>
      <w:r>
        <w:rPr>
          <w:rFonts w:ascii="Arial Unicode MS" w:hAnsi="Arial Unicode MS" w:cs="Arial" w:hint="eastAsia"/>
          <w:szCs w:val="21"/>
        </w:rPr>
        <w:t>3</w:t>
      </w:r>
      <w:r>
        <w:rPr>
          <w:rFonts w:ascii="Arial Unicode MS" w:hAnsi="Arial Unicode MS" w:cs="Arial" w:hint="eastAsia"/>
          <w:szCs w:val="21"/>
        </w:rPr>
        <w:t>月</w:t>
      </w:r>
      <w:r>
        <w:rPr>
          <w:rFonts w:ascii="Arial Unicode MS" w:hAnsi="Arial Unicode MS" w:cs="Arial" w:hint="eastAsia"/>
          <w:szCs w:val="21"/>
        </w:rPr>
        <w:t>15</w:t>
      </w:r>
      <w:r>
        <w:rPr>
          <w:rFonts w:ascii="Arial Unicode MS" w:hAnsi="Arial Unicode MS" w:cs="Arial" w:hint="eastAsia"/>
          <w:szCs w:val="21"/>
        </w:rPr>
        <w:t>日颁布、同年</w:t>
      </w:r>
      <w:r>
        <w:rPr>
          <w:rFonts w:ascii="Arial Unicode MS" w:hAnsi="Arial Unicode MS" w:cs="Arial" w:hint="eastAsia"/>
          <w:szCs w:val="21"/>
        </w:rPr>
        <w:t>6</w:t>
      </w:r>
      <w:r>
        <w:rPr>
          <w:rFonts w:ascii="Arial Unicode MS" w:hAnsi="Arial Unicode MS" w:cs="Arial" w:hint="eastAsia"/>
          <w:szCs w:val="21"/>
        </w:rPr>
        <w:t>月</w:t>
      </w:r>
      <w:r>
        <w:rPr>
          <w:rFonts w:ascii="Arial Unicode MS" w:hAnsi="Arial Unicode MS" w:cs="Arial" w:hint="eastAsia"/>
          <w:szCs w:val="21"/>
        </w:rPr>
        <w:t>1</w:t>
      </w:r>
      <w:r>
        <w:rPr>
          <w:rFonts w:ascii="Arial Unicode MS" w:hAnsi="Arial Unicode MS" w:cs="Arial" w:hint="eastAsia"/>
          <w:szCs w:val="21"/>
        </w:rPr>
        <w:t>日实施的《证券投资基金销售管理办法》及颁布机关对其不时做出的修订</w:t>
      </w:r>
    </w:p>
    <w:p w:rsidR="004C06C5" w:rsidRDefault="00ED474B">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1</w:t>
      </w:r>
      <w:r>
        <w:rPr>
          <w:rFonts w:ascii="Arial Unicode MS" w:hAnsi="Arial Unicode MS" w:cs="Arial"/>
          <w:szCs w:val="21"/>
        </w:rPr>
        <w:t>2</w:t>
      </w:r>
      <w:r>
        <w:rPr>
          <w:rFonts w:ascii="Arial Unicode MS" w:hAnsi="Arial Unicode MS" w:cs="Arial" w:hint="eastAsia"/>
          <w:szCs w:val="21"/>
        </w:rPr>
        <w:t>、《信息披露办法》：指中国证监会</w:t>
      </w:r>
      <w:r>
        <w:rPr>
          <w:rFonts w:ascii="Arial Unicode MS" w:hAnsi="Arial Unicode MS" w:cs="Arial" w:hint="eastAsia"/>
          <w:szCs w:val="21"/>
        </w:rPr>
        <w:t>2019</w:t>
      </w:r>
      <w:r>
        <w:rPr>
          <w:rFonts w:ascii="Arial Unicode MS" w:hAnsi="Arial Unicode MS" w:cs="Arial" w:hint="eastAsia"/>
          <w:szCs w:val="21"/>
        </w:rPr>
        <w:t>年</w:t>
      </w:r>
      <w:r>
        <w:rPr>
          <w:rFonts w:ascii="Arial Unicode MS" w:hAnsi="Arial Unicode MS" w:cs="Arial" w:hint="eastAsia"/>
          <w:szCs w:val="21"/>
        </w:rPr>
        <w:t>7</w:t>
      </w:r>
      <w:r>
        <w:rPr>
          <w:rFonts w:ascii="Arial Unicode MS" w:hAnsi="Arial Unicode MS" w:cs="Arial" w:hint="eastAsia"/>
          <w:szCs w:val="21"/>
        </w:rPr>
        <w:t>月</w:t>
      </w:r>
      <w:r>
        <w:rPr>
          <w:rFonts w:ascii="Arial Unicode MS" w:hAnsi="Arial Unicode MS" w:cs="Arial" w:hint="eastAsia"/>
          <w:szCs w:val="21"/>
        </w:rPr>
        <w:t>26</w:t>
      </w:r>
      <w:r>
        <w:rPr>
          <w:rFonts w:ascii="Arial Unicode MS" w:hAnsi="Arial Unicode MS" w:cs="Arial" w:hint="eastAsia"/>
          <w:szCs w:val="21"/>
        </w:rPr>
        <w:t>日颁布、同年</w:t>
      </w:r>
      <w:r>
        <w:rPr>
          <w:rFonts w:ascii="Arial Unicode MS" w:hAnsi="Arial Unicode MS" w:cs="Arial" w:hint="eastAsia"/>
          <w:szCs w:val="21"/>
        </w:rPr>
        <w:t>9</w:t>
      </w:r>
      <w:r>
        <w:rPr>
          <w:rFonts w:ascii="Arial Unicode MS" w:hAnsi="Arial Unicode MS" w:cs="Arial" w:hint="eastAsia"/>
          <w:szCs w:val="21"/>
        </w:rPr>
        <w:t>月</w:t>
      </w:r>
      <w:r>
        <w:rPr>
          <w:rFonts w:ascii="Arial Unicode MS" w:hAnsi="Arial Unicode MS" w:cs="Arial" w:hint="eastAsia"/>
          <w:szCs w:val="21"/>
        </w:rPr>
        <w:t>1</w:t>
      </w:r>
      <w:r>
        <w:rPr>
          <w:rFonts w:ascii="Arial Unicode MS" w:hAnsi="Arial Unicode MS" w:cs="Arial" w:hint="eastAsia"/>
          <w:szCs w:val="21"/>
        </w:rPr>
        <w:t>日实施的《公开募集证券投资基金信息披露管理办法》</w:t>
      </w:r>
      <w:r>
        <w:rPr>
          <w:rFonts w:ascii="Arial Unicode MS" w:hAnsi="Arial Unicode MS" w:cs="Arial" w:hint="eastAsia"/>
          <w:szCs w:val="21"/>
        </w:rPr>
        <w:t xml:space="preserve"> </w:t>
      </w:r>
      <w:r>
        <w:rPr>
          <w:rFonts w:ascii="Arial Unicode MS" w:hAnsi="Arial Unicode MS" w:cs="Arial" w:hint="eastAsia"/>
          <w:szCs w:val="21"/>
        </w:rPr>
        <w:t>及颁布机关对其不时做出的修订</w:t>
      </w:r>
    </w:p>
    <w:p w:rsidR="004C06C5" w:rsidRDefault="00ED474B">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1</w:t>
      </w:r>
      <w:r>
        <w:rPr>
          <w:rFonts w:ascii="Arial Unicode MS" w:hAnsi="Arial Unicode MS" w:cs="Arial"/>
          <w:szCs w:val="21"/>
        </w:rPr>
        <w:t>3</w:t>
      </w:r>
      <w:r>
        <w:rPr>
          <w:rFonts w:ascii="Arial Unicode MS" w:hAnsi="Arial Unicode MS" w:cs="Arial" w:hint="eastAsia"/>
          <w:szCs w:val="21"/>
        </w:rPr>
        <w:t>、《运作办法》：指中国证监会</w:t>
      </w:r>
      <w:r>
        <w:rPr>
          <w:rFonts w:ascii="Arial Unicode MS" w:hAnsi="Arial Unicode MS" w:cs="Arial" w:hint="eastAsia"/>
          <w:szCs w:val="21"/>
        </w:rPr>
        <w:t>2014</w:t>
      </w:r>
      <w:r>
        <w:rPr>
          <w:rFonts w:ascii="Arial Unicode MS" w:hAnsi="Arial Unicode MS" w:cs="Arial" w:hint="eastAsia"/>
          <w:szCs w:val="21"/>
        </w:rPr>
        <w:t>年</w:t>
      </w:r>
      <w:r>
        <w:rPr>
          <w:rFonts w:ascii="Arial Unicode MS" w:hAnsi="Arial Unicode MS" w:cs="Arial" w:hint="eastAsia"/>
          <w:szCs w:val="21"/>
        </w:rPr>
        <w:t>7</w:t>
      </w:r>
      <w:r>
        <w:rPr>
          <w:rFonts w:ascii="Arial Unicode MS" w:hAnsi="Arial Unicode MS" w:cs="Arial" w:hint="eastAsia"/>
          <w:szCs w:val="21"/>
        </w:rPr>
        <w:t>月</w:t>
      </w:r>
      <w:r>
        <w:rPr>
          <w:rFonts w:ascii="Arial Unicode MS" w:hAnsi="Arial Unicode MS" w:cs="Arial" w:hint="eastAsia"/>
          <w:szCs w:val="21"/>
        </w:rPr>
        <w:t>7</w:t>
      </w:r>
      <w:r>
        <w:rPr>
          <w:rFonts w:ascii="Arial Unicode MS" w:hAnsi="Arial Unicode MS" w:cs="Arial" w:hint="eastAsia"/>
          <w:szCs w:val="21"/>
        </w:rPr>
        <w:t>日颁布、同年</w:t>
      </w:r>
      <w:r>
        <w:rPr>
          <w:rFonts w:ascii="Arial Unicode MS" w:hAnsi="Arial Unicode MS" w:cs="Arial" w:hint="eastAsia"/>
          <w:szCs w:val="21"/>
        </w:rPr>
        <w:t>8</w:t>
      </w:r>
      <w:r>
        <w:rPr>
          <w:rFonts w:ascii="Arial Unicode MS" w:hAnsi="Arial Unicode MS" w:cs="Arial" w:hint="eastAsia"/>
          <w:szCs w:val="21"/>
        </w:rPr>
        <w:t>月</w:t>
      </w:r>
      <w:r>
        <w:rPr>
          <w:rFonts w:ascii="Arial Unicode MS" w:hAnsi="Arial Unicode MS" w:cs="Arial" w:hint="eastAsia"/>
          <w:szCs w:val="21"/>
        </w:rPr>
        <w:t>8</w:t>
      </w:r>
      <w:r>
        <w:rPr>
          <w:rFonts w:ascii="Arial Unicode MS" w:hAnsi="Arial Unicode MS" w:cs="Arial" w:hint="eastAsia"/>
          <w:szCs w:val="21"/>
        </w:rPr>
        <w:t>日实施的《公开募集证券投资基金运作管理办法》及颁布机关对其不时做出的修订</w:t>
      </w:r>
    </w:p>
    <w:p w:rsidR="004C06C5" w:rsidRDefault="00ED474B">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1</w:t>
      </w:r>
      <w:r>
        <w:rPr>
          <w:rFonts w:ascii="Arial Unicode MS" w:hAnsi="Arial Unicode MS" w:cs="Arial"/>
          <w:szCs w:val="21"/>
        </w:rPr>
        <w:t>4</w:t>
      </w:r>
      <w:r>
        <w:rPr>
          <w:rFonts w:ascii="Arial Unicode MS" w:hAnsi="Arial Unicode MS" w:cs="Arial" w:hint="eastAsia"/>
          <w:szCs w:val="21"/>
        </w:rPr>
        <w:t>、《管理规定》：指中国证监会</w:t>
      </w:r>
      <w:r>
        <w:rPr>
          <w:rFonts w:ascii="Arial Unicode MS" w:hAnsi="Arial Unicode MS" w:cs="Arial" w:hint="eastAsia"/>
          <w:szCs w:val="21"/>
        </w:rPr>
        <w:t>2017</w:t>
      </w:r>
      <w:r>
        <w:rPr>
          <w:rFonts w:ascii="Arial Unicode MS" w:hAnsi="Arial Unicode MS" w:cs="Arial" w:hint="eastAsia"/>
          <w:szCs w:val="21"/>
        </w:rPr>
        <w:t>年</w:t>
      </w:r>
      <w:r>
        <w:rPr>
          <w:rFonts w:ascii="Arial Unicode MS" w:hAnsi="Arial Unicode MS" w:cs="Arial" w:hint="eastAsia"/>
          <w:szCs w:val="21"/>
        </w:rPr>
        <w:t>8</w:t>
      </w:r>
      <w:r>
        <w:rPr>
          <w:rFonts w:ascii="Arial Unicode MS" w:hAnsi="Arial Unicode MS" w:cs="Arial" w:hint="eastAsia"/>
          <w:szCs w:val="21"/>
        </w:rPr>
        <w:t>月</w:t>
      </w:r>
      <w:r>
        <w:rPr>
          <w:rFonts w:ascii="Arial Unicode MS" w:hAnsi="Arial Unicode MS" w:cs="Arial" w:hint="eastAsia"/>
          <w:szCs w:val="21"/>
        </w:rPr>
        <w:t>31</w:t>
      </w:r>
      <w:r>
        <w:rPr>
          <w:rFonts w:ascii="Arial Unicode MS" w:hAnsi="Arial Unicode MS" w:cs="Arial" w:hint="eastAsia"/>
          <w:szCs w:val="21"/>
        </w:rPr>
        <w:t>日颁布、同年</w:t>
      </w:r>
      <w:r>
        <w:rPr>
          <w:rFonts w:ascii="Arial Unicode MS" w:hAnsi="Arial Unicode MS" w:cs="Arial" w:hint="eastAsia"/>
          <w:szCs w:val="21"/>
        </w:rPr>
        <w:t>10</w:t>
      </w:r>
      <w:r>
        <w:rPr>
          <w:rFonts w:ascii="Arial Unicode MS" w:hAnsi="Arial Unicode MS" w:cs="Arial" w:hint="eastAsia"/>
          <w:szCs w:val="21"/>
        </w:rPr>
        <w:t>月</w:t>
      </w:r>
      <w:r>
        <w:rPr>
          <w:rFonts w:ascii="Arial Unicode MS" w:hAnsi="Arial Unicode MS" w:cs="Arial" w:hint="eastAsia"/>
          <w:szCs w:val="21"/>
        </w:rPr>
        <w:t>1</w:t>
      </w:r>
      <w:r>
        <w:rPr>
          <w:rFonts w:ascii="Arial Unicode MS" w:hAnsi="Arial Unicode MS" w:cs="Arial" w:hint="eastAsia"/>
          <w:szCs w:val="21"/>
        </w:rPr>
        <w:t>日实施的《公</w:t>
      </w:r>
      <w:r>
        <w:rPr>
          <w:rFonts w:ascii="Arial Unicode MS" w:hAnsi="Arial Unicode MS" w:cs="Arial" w:hint="eastAsia"/>
          <w:szCs w:val="21"/>
        </w:rPr>
        <w:lastRenderedPageBreak/>
        <w:t>开募集开放式证券投资基金流动性风险管理规定》及颁布机关对其不时做出的修订</w:t>
      </w:r>
    </w:p>
    <w:p w:rsidR="004C06C5" w:rsidRDefault="00ED474B">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1</w:t>
      </w:r>
      <w:r>
        <w:rPr>
          <w:rFonts w:ascii="Arial Unicode MS" w:hAnsi="Arial Unicode MS" w:cs="Arial"/>
          <w:szCs w:val="21"/>
        </w:rPr>
        <w:t>5</w:t>
      </w:r>
      <w:r>
        <w:rPr>
          <w:rFonts w:ascii="Arial Unicode MS" w:hAnsi="Arial Unicode MS" w:cs="Arial" w:hint="eastAsia"/>
          <w:szCs w:val="21"/>
        </w:rPr>
        <w:t>、中国证监会：指中国证券监督管理委员会</w:t>
      </w:r>
    </w:p>
    <w:p w:rsidR="004C06C5" w:rsidRDefault="00ED474B">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1</w:t>
      </w:r>
      <w:r>
        <w:rPr>
          <w:rFonts w:ascii="Arial Unicode MS" w:hAnsi="Arial Unicode MS" w:cs="Arial"/>
          <w:szCs w:val="21"/>
        </w:rPr>
        <w:t>6</w:t>
      </w:r>
      <w:r>
        <w:rPr>
          <w:rFonts w:ascii="Arial Unicode MS" w:hAnsi="Arial Unicode MS" w:cs="Arial" w:hint="eastAsia"/>
          <w:szCs w:val="21"/>
        </w:rPr>
        <w:t>、银行业监督管理机构：指中国人民银行和</w:t>
      </w:r>
      <w:r>
        <w:rPr>
          <w:rFonts w:ascii="Arial Unicode MS" w:hAnsi="Arial Unicode MS" w:cs="Arial" w:hint="eastAsia"/>
          <w:szCs w:val="21"/>
        </w:rPr>
        <w:t>/</w:t>
      </w:r>
      <w:r>
        <w:rPr>
          <w:rFonts w:ascii="Arial Unicode MS" w:hAnsi="Arial Unicode MS" w:cs="Arial" w:hint="eastAsia"/>
          <w:szCs w:val="21"/>
        </w:rPr>
        <w:t>或中国银行业监督管理委员会</w:t>
      </w:r>
    </w:p>
    <w:p w:rsidR="004C06C5" w:rsidRDefault="00ED474B">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1</w:t>
      </w:r>
      <w:r>
        <w:rPr>
          <w:rFonts w:ascii="Arial Unicode MS" w:hAnsi="Arial Unicode MS" w:cs="Arial"/>
          <w:szCs w:val="21"/>
        </w:rPr>
        <w:t>7</w:t>
      </w:r>
      <w:r>
        <w:rPr>
          <w:rFonts w:ascii="Arial Unicode MS" w:hAnsi="Arial Unicode MS" w:cs="Arial" w:hint="eastAsia"/>
          <w:szCs w:val="21"/>
        </w:rPr>
        <w:t>、基金合同当事人：指受基金合同约束，根据基金合同享有权利并承担义务的法律主体，包括基金管理人、基金托管人和基金份额持有人</w:t>
      </w:r>
    </w:p>
    <w:p w:rsidR="004C06C5" w:rsidRDefault="00ED474B">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1</w:t>
      </w:r>
      <w:r>
        <w:rPr>
          <w:rFonts w:ascii="Arial Unicode MS" w:hAnsi="Arial Unicode MS" w:cs="Arial"/>
          <w:szCs w:val="21"/>
        </w:rPr>
        <w:t>8</w:t>
      </w:r>
      <w:r>
        <w:rPr>
          <w:rFonts w:ascii="Arial Unicode MS" w:hAnsi="Arial Unicode MS" w:cs="Arial" w:hint="eastAsia"/>
          <w:szCs w:val="21"/>
        </w:rPr>
        <w:t>、个人投资者：指依据有关法律法规规定可投资于证券投资基金的自然人</w:t>
      </w:r>
    </w:p>
    <w:p w:rsidR="004C06C5" w:rsidRDefault="00ED474B">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1</w:t>
      </w:r>
      <w:r>
        <w:rPr>
          <w:rFonts w:ascii="Arial Unicode MS" w:hAnsi="Arial Unicode MS" w:cs="Arial"/>
          <w:szCs w:val="21"/>
        </w:rPr>
        <w:t>9</w:t>
      </w:r>
      <w:r>
        <w:rPr>
          <w:rFonts w:ascii="Arial Unicode MS" w:hAnsi="Arial Unicode MS" w:cs="Arial" w:hint="eastAsia"/>
          <w:szCs w:val="21"/>
        </w:rPr>
        <w:t>、机构投资者：指依法可以投资证券投资基金的、在中华人民共和国境内合法登记并存续或经有关政府部门批准设立并存续的企业法人、事业法人、社会团体或其他组织</w:t>
      </w:r>
    </w:p>
    <w:p w:rsidR="004C06C5" w:rsidRDefault="00ED474B">
      <w:pPr>
        <w:snapToGrid w:val="0"/>
        <w:spacing w:line="360" w:lineRule="auto"/>
        <w:ind w:firstLineChars="200" w:firstLine="420"/>
        <w:rPr>
          <w:rFonts w:ascii="Arial Unicode MS" w:hAnsi="Arial Unicode MS" w:cs="Arial"/>
          <w:szCs w:val="21"/>
        </w:rPr>
      </w:pPr>
      <w:r>
        <w:rPr>
          <w:rFonts w:ascii="Arial Unicode MS" w:hAnsi="Arial Unicode MS" w:cs="Arial"/>
          <w:szCs w:val="21"/>
        </w:rPr>
        <w:t>20</w:t>
      </w:r>
      <w:r>
        <w:rPr>
          <w:rFonts w:ascii="Arial Unicode MS" w:hAnsi="Arial Unicode MS" w:cs="Arial" w:hint="eastAsia"/>
          <w:szCs w:val="21"/>
        </w:rPr>
        <w:t>、合格境外机构投资者：指符合相关法律法规规定可以投资于在中国境内依法募集的证券投资基金的中国境外的机构投资者</w:t>
      </w:r>
    </w:p>
    <w:p w:rsidR="004C06C5" w:rsidRDefault="00ED474B">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w:t>
      </w:r>
      <w:r>
        <w:rPr>
          <w:rFonts w:ascii="Arial Unicode MS" w:hAnsi="Arial Unicode MS" w:cs="Arial"/>
          <w:szCs w:val="21"/>
        </w:rPr>
        <w:t>1</w:t>
      </w:r>
      <w:r>
        <w:rPr>
          <w:rFonts w:ascii="Arial Unicode MS" w:hAnsi="Arial Unicode MS" w:cs="Arial" w:hint="eastAsia"/>
          <w:szCs w:val="21"/>
        </w:rPr>
        <w:t>、投资人：指个人投资者、机构投资者和合格境外机构投资者以及法律法规或中国证监会允许购买证券投资基金的其他投资人的合称</w:t>
      </w:r>
    </w:p>
    <w:p w:rsidR="004C06C5" w:rsidRDefault="00ED474B">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w:t>
      </w:r>
      <w:r>
        <w:rPr>
          <w:rFonts w:ascii="Arial Unicode MS" w:hAnsi="Arial Unicode MS" w:cs="Arial"/>
          <w:szCs w:val="21"/>
        </w:rPr>
        <w:t>2</w:t>
      </w:r>
      <w:r>
        <w:rPr>
          <w:rFonts w:ascii="Arial Unicode MS" w:hAnsi="Arial Unicode MS" w:cs="Arial" w:hint="eastAsia"/>
          <w:szCs w:val="21"/>
        </w:rPr>
        <w:t>、基金份额持有人：指依基金合同和招募说明书合法取得基金份额的投资人</w:t>
      </w:r>
    </w:p>
    <w:p w:rsidR="004C06C5" w:rsidRDefault="00ED474B">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w:t>
      </w:r>
      <w:r>
        <w:rPr>
          <w:rFonts w:ascii="Arial Unicode MS" w:hAnsi="Arial Unicode MS" w:cs="Arial"/>
          <w:szCs w:val="21"/>
        </w:rPr>
        <w:t>3</w:t>
      </w:r>
      <w:r>
        <w:rPr>
          <w:rFonts w:ascii="Arial Unicode MS" w:hAnsi="Arial Unicode MS" w:cs="Arial" w:hint="eastAsia"/>
          <w:szCs w:val="21"/>
        </w:rPr>
        <w:t>、基金销售业务：指基金管理人或销售机构宣传推介基金，发售基金份额，办理基金份额的申购、赎回、转换、转托管及定期定额投资等业务</w:t>
      </w:r>
    </w:p>
    <w:p w:rsidR="004C06C5" w:rsidRDefault="00ED474B">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w:t>
      </w:r>
      <w:r>
        <w:rPr>
          <w:rFonts w:ascii="Arial Unicode MS" w:hAnsi="Arial Unicode MS" w:cs="Arial"/>
          <w:szCs w:val="21"/>
        </w:rPr>
        <w:t>4</w:t>
      </w:r>
      <w:r>
        <w:rPr>
          <w:rFonts w:ascii="Arial Unicode MS" w:hAnsi="Arial Unicode MS" w:cs="Arial" w:hint="eastAsia"/>
          <w:szCs w:val="21"/>
        </w:rPr>
        <w:t>、销售机构：指富荣基金管理有限公司以及符合《销售办法》和中国证监会规定的其他条件，取得基金销售业务资格并与基金管理人签订了基金销售服务协议，办理基金销售业务的机构</w:t>
      </w:r>
    </w:p>
    <w:p w:rsidR="004C06C5" w:rsidRDefault="00ED474B">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w:t>
      </w:r>
      <w:r>
        <w:rPr>
          <w:rFonts w:ascii="Arial Unicode MS" w:hAnsi="Arial Unicode MS" w:cs="Arial"/>
          <w:szCs w:val="21"/>
        </w:rPr>
        <w:t>5</w:t>
      </w:r>
      <w:r>
        <w:rPr>
          <w:rFonts w:ascii="Arial Unicode MS" w:hAnsi="Arial Unicode MS" w:cs="Arial" w:hint="eastAsia"/>
          <w:szCs w:val="21"/>
        </w:rPr>
        <w:t>、登记业务：指基金登记、存管、过户、清算和结算业务，具体内容包括投资人基金账户的建立和管理、基金份额登记、基金销售业务的确认、清算和结算、代理发放红利、建立并保管基金份额持有人名册和办理</w:t>
      </w:r>
      <w:proofErr w:type="gramStart"/>
      <w:r>
        <w:rPr>
          <w:rFonts w:ascii="Arial Unicode MS" w:hAnsi="Arial Unicode MS" w:cs="Arial" w:hint="eastAsia"/>
          <w:szCs w:val="21"/>
        </w:rPr>
        <w:t>非交易</w:t>
      </w:r>
      <w:proofErr w:type="gramEnd"/>
      <w:r>
        <w:rPr>
          <w:rFonts w:ascii="Arial Unicode MS" w:hAnsi="Arial Unicode MS" w:cs="Arial" w:hint="eastAsia"/>
          <w:szCs w:val="21"/>
        </w:rPr>
        <w:t>过户等</w:t>
      </w:r>
    </w:p>
    <w:p w:rsidR="004C06C5" w:rsidRDefault="00ED474B">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w:t>
      </w:r>
      <w:r>
        <w:rPr>
          <w:rFonts w:ascii="Arial Unicode MS" w:hAnsi="Arial Unicode MS" w:cs="Arial"/>
          <w:szCs w:val="21"/>
        </w:rPr>
        <w:t>6</w:t>
      </w:r>
      <w:r>
        <w:rPr>
          <w:rFonts w:ascii="Arial Unicode MS" w:hAnsi="Arial Unicode MS" w:cs="Arial" w:hint="eastAsia"/>
          <w:szCs w:val="21"/>
        </w:rPr>
        <w:t>、登记机构：</w:t>
      </w:r>
      <w:proofErr w:type="gramStart"/>
      <w:r>
        <w:rPr>
          <w:rFonts w:ascii="Arial Unicode MS" w:hAnsi="Arial Unicode MS" w:cs="Arial" w:hint="eastAsia"/>
          <w:szCs w:val="21"/>
        </w:rPr>
        <w:t>指办理</w:t>
      </w:r>
      <w:proofErr w:type="gramEnd"/>
      <w:r>
        <w:rPr>
          <w:rFonts w:ascii="Arial Unicode MS" w:hAnsi="Arial Unicode MS" w:cs="Arial" w:hint="eastAsia"/>
          <w:szCs w:val="21"/>
        </w:rPr>
        <w:t>登记业务的机构。基金的登记机构为富荣基金管理有限公司或接受富荣基金管理有限公司委托代为办理登记业务的机构，本基金的登记机构为富荣基金管理有限公司</w:t>
      </w:r>
    </w:p>
    <w:p w:rsidR="004C06C5" w:rsidRDefault="00ED474B">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w:t>
      </w:r>
      <w:r>
        <w:rPr>
          <w:rFonts w:ascii="Arial Unicode MS" w:hAnsi="Arial Unicode MS" w:cs="Arial"/>
          <w:szCs w:val="21"/>
        </w:rPr>
        <w:t>7</w:t>
      </w:r>
      <w:r>
        <w:rPr>
          <w:rFonts w:ascii="Arial Unicode MS" w:hAnsi="Arial Unicode MS" w:cs="Arial" w:hint="eastAsia"/>
          <w:szCs w:val="21"/>
        </w:rPr>
        <w:t>、基金账户：指登记机构为投资人开立的、记录其持有的、基金管理人所管理的基金份额余额及其变动情况的账户</w:t>
      </w:r>
    </w:p>
    <w:p w:rsidR="004C06C5" w:rsidRDefault="00ED474B">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w:t>
      </w:r>
      <w:r>
        <w:rPr>
          <w:rFonts w:ascii="Arial Unicode MS" w:hAnsi="Arial Unicode MS" w:cs="Arial"/>
          <w:szCs w:val="21"/>
        </w:rPr>
        <w:t>8</w:t>
      </w:r>
      <w:r>
        <w:rPr>
          <w:rFonts w:ascii="Arial Unicode MS" w:hAnsi="Arial Unicode MS" w:cs="Arial" w:hint="eastAsia"/>
          <w:szCs w:val="21"/>
        </w:rPr>
        <w:t>、基金交易账户：指销售机构为投资人开立的、记录投资人通过该销售机构办理认购、申购、赎回、转换及转托管等业务而引起的基金份额变动及结余情况的账户</w:t>
      </w:r>
    </w:p>
    <w:p w:rsidR="004C06C5" w:rsidRDefault="00ED474B">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w:t>
      </w:r>
      <w:r>
        <w:rPr>
          <w:rFonts w:ascii="Arial Unicode MS" w:hAnsi="Arial Unicode MS" w:cs="Arial"/>
          <w:szCs w:val="21"/>
        </w:rPr>
        <w:t>9</w:t>
      </w:r>
      <w:r>
        <w:rPr>
          <w:rFonts w:ascii="Arial Unicode MS" w:hAnsi="Arial Unicode MS" w:cs="Arial" w:hint="eastAsia"/>
          <w:szCs w:val="21"/>
        </w:rPr>
        <w:t>、基金合同生效日：指基金募集达到法律法规规定及基金合同规定的条件，基金管</w:t>
      </w:r>
      <w:r>
        <w:rPr>
          <w:rFonts w:ascii="Arial Unicode MS" w:hAnsi="Arial Unicode MS" w:cs="Arial" w:hint="eastAsia"/>
          <w:szCs w:val="21"/>
        </w:rPr>
        <w:lastRenderedPageBreak/>
        <w:t>理人向中国证监会办理基金备案手续完毕，并获得中国证监会书面确认的日期</w:t>
      </w:r>
    </w:p>
    <w:p w:rsidR="004C06C5" w:rsidRDefault="00ED474B">
      <w:pPr>
        <w:snapToGrid w:val="0"/>
        <w:spacing w:line="360" w:lineRule="auto"/>
        <w:ind w:firstLineChars="200" w:firstLine="420"/>
        <w:rPr>
          <w:rFonts w:ascii="Arial Unicode MS" w:hAnsi="Arial Unicode MS" w:cs="Arial"/>
          <w:szCs w:val="21"/>
        </w:rPr>
      </w:pPr>
      <w:r>
        <w:rPr>
          <w:rFonts w:ascii="Arial Unicode MS" w:hAnsi="Arial Unicode MS" w:cs="Arial"/>
          <w:szCs w:val="21"/>
        </w:rPr>
        <w:t>30</w:t>
      </w:r>
      <w:r>
        <w:rPr>
          <w:rFonts w:ascii="Arial Unicode MS" w:hAnsi="Arial Unicode MS" w:cs="Arial" w:hint="eastAsia"/>
          <w:szCs w:val="21"/>
        </w:rPr>
        <w:t>、基金合同终止日：指基金合同规定的基金合同终止事由出现后，基金财产清算完毕，清算结果报中国证监会备案并予以公告的日期</w:t>
      </w:r>
    </w:p>
    <w:p w:rsidR="004C06C5" w:rsidRDefault="00ED474B">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3</w:t>
      </w:r>
      <w:r>
        <w:rPr>
          <w:rFonts w:ascii="Arial Unicode MS" w:hAnsi="Arial Unicode MS" w:cs="Arial"/>
          <w:szCs w:val="21"/>
        </w:rPr>
        <w:t>1</w:t>
      </w:r>
      <w:r>
        <w:rPr>
          <w:rFonts w:ascii="Arial Unicode MS" w:hAnsi="Arial Unicode MS" w:cs="Arial" w:hint="eastAsia"/>
          <w:szCs w:val="21"/>
        </w:rPr>
        <w:t>、基金募集期：指自基金份额发售之日起至发售结束之日止的期间，最长不得超过</w:t>
      </w:r>
      <w:r>
        <w:rPr>
          <w:rFonts w:ascii="Arial Unicode MS" w:hAnsi="Arial Unicode MS" w:cs="Arial" w:hint="eastAsia"/>
          <w:szCs w:val="21"/>
        </w:rPr>
        <w:t>3</w:t>
      </w:r>
      <w:r>
        <w:rPr>
          <w:rFonts w:ascii="Arial Unicode MS" w:hAnsi="Arial Unicode MS" w:cs="Arial" w:hint="eastAsia"/>
          <w:szCs w:val="21"/>
        </w:rPr>
        <w:t>个月</w:t>
      </w:r>
    </w:p>
    <w:p w:rsidR="004C06C5" w:rsidRDefault="00ED474B">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3</w:t>
      </w:r>
      <w:r>
        <w:rPr>
          <w:rFonts w:ascii="Arial Unicode MS" w:hAnsi="Arial Unicode MS" w:cs="Arial"/>
          <w:szCs w:val="21"/>
        </w:rPr>
        <w:t>2</w:t>
      </w:r>
      <w:r>
        <w:rPr>
          <w:rFonts w:ascii="Arial Unicode MS" w:hAnsi="Arial Unicode MS" w:cs="Arial" w:hint="eastAsia"/>
          <w:szCs w:val="21"/>
        </w:rPr>
        <w:t>、存续期：指基金合同生效至终止之间的不定期期限</w:t>
      </w:r>
    </w:p>
    <w:p w:rsidR="004C06C5" w:rsidRDefault="00ED474B">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3</w:t>
      </w:r>
      <w:r>
        <w:rPr>
          <w:rFonts w:ascii="Arial Unicode MS" w:hAnsi="Arial Unicode MS" w:cs="Arial"/>
          <w:szCs w:val="21"/>
        </w:rPr>
        <w:t>3</w:t>
      </w:r>
      <w:r>
        <w:rPr>
          <w:rFonts w:ascii="Arial Unicode MS" w:hAnsi="Arial Unicode MS" w:cs="Arial" w:hint="eastAsia"/>
          <w:szCs w:val="21"/>
        </w:rPr>
        <w:t>、工作日：指上海证券交易所、深圳证券交易所的正常交易日</w:t>
      </w:r>
    </w:p>
    <w:p w:rsidR="004C06C5" w:rsidRDefault="00ED474B">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3</w:t>
      </w:r>
      <w:r>
        <w:rPr>
          <w:rFonts w:ascii="Arial Unicode MS" w:hAnsi="Arial Unicode MS" w:cs="Arial"/>
          <w:szCs w:val="21"/>
        </w:rPr>
        <w:t>4</w:t>
      </w:r>
      <w:r>
        <w:rPr>
          <w:rFonts w:ascii="Arial Unicode MS" w:hAnsi="Arial Unicode MS" w:cs="Arial" w:hint="eastAsia"/>
          <w:szCs w:val="21"/>
        </w:rPr>
        <w:t>、</w:t>
      </w:r>
      <w:r>
        <w:rPr>
          <w:rFonts w:ascii="Arial Unicode MS" w:hAnsi="Arial Unicode MS" w:cs="Arial" w:hint="eastAsia"/>
          <w:szCs w:val="21"/>
        </w:rPr>
        <w:t>T</w:t>
      </w:r>
      <w:r>
        <w:rPr>
          <w:rFonts w:ascii="Arial Unicode MS" w:hAnsi="Arial Unicode MS" w:cs="Arial" w:hint="eastAsia"/>
          <w:szCs w:val="21"/>
        </w:rPr>
        <w:t>日：指销售机构在规定时间受理投资人申购、赎回或其他业务申请的开放日</w:t>
      </w:r>
    </w:p>
    <w:p w:rsidR="004C06C5" w:rsidRDefault="00ED474B">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3</w:t>
      </w:r>
      <w:r>
        <w:rPr>
          <w:rFonts w:ascii="Arial Unicode MS" w:hAnsi="Arial Unicode MS" w:cs="Arial"/>
          <w:szCs w:val="21"/>
        </w:rPr>
        <w:t>5</w:t>
      </w:r>
      <w:r>
        <w:rPr>
          <w:rFonts w:ascii="Arial Unicode MS" w:hAnsi="Arial Unicode MS" w:cs="Arial" w:hint="eastAsia"/>
          <w:szCs w:val="21"/>
        </w:rPr>
        <w:t>、</w:t>
      </w:r>
      <w:r>
        <w:rPr>
          <w:rFonts w:ascii="Arial Unicode MS" w:hAnsi="Arial Unicode MS" w:cs="Arial" w:hint="eastAsia"/>
          <w:szCs w:val="21"/>
        </w:rPr>
        <w:t>T+n</w:t>
      </w:r>
      <w:r>
        <w:rPr>
          <w:rFonts w:ascii="Arial Unicode MS" w:hAnsi="Arial Unicode MS" w:cs="Arial" w:hint="eastAsia"/>
          <w:szCs w:val="21"/>
        </w:rPr>
        <w:t>日：指自</w:t>
      </w:r>
      <w:r>
        <w:rPr>
          <w:rFonts w:ascii="Arial Unicode MS" w:hAnsi="Arial Unicode MS" w:cs="Arial" w:hint="eastAsia"/>
          <w:szCs w:val="21"/>
        </w:rPr>
        <w:t>T</w:t>
      </w:r>
      <w:r>
        <w:rPr>
          <w:rFonts w:ascii="Arial Unicode MS" w:hAnsi="Arial Unicode MS" w:cs="Arial" w:hint="eastAsia"/>
          <w:szCs w:val="21"/>
        </w:rPr>
        <w:t>日起第</w:t>
      </w:r>
      <w:r>
        <w:rPr>
          <w:rFonts w:ascii="Arial Unicode MS" w:hAnsi="Arial Unicode MS" w:cs="Arial" w:hint="eastAsia"/>
          <w:szCs w:val="21"/>
        </w:rPr>
        <w:t>n</w:t>
      </w:r>
      <w:proofErr w:type="gramStart"/>
      <w:r>
        <w:rPr>
          <w:rFonts w:ascii="Arial Unicode MS" w:hAnsi="Arial Unicode MS" w:cs="Arial" w:hint="eastAsia"/>
          <w:szCs w:val="21"/>
        </w:rPr>
        <w:t>个</w:t>
      </w:r>
      <w:proofErr w:type="gramEnd"/>
      <w:r>
        <w:rPr>
          <w:rFonts w:ascii="Arial Unicode MS" w:hAnsi="Arial Unicode MS" w:cs="Arial" w:hint="eastAsia"/>
          <w:szCs w:val="21"/>
        </w:rPr>
        <w:t>工作日</w:t>
      </w:r>
      <w:r>
        <w:rPr>
          <w:rFonts w:ascii="Arial Unicode MS" w:hAnsi="Arial Unicode MS" w:cs="Arial" w:hint="eastAsia"/>
          <w:szCs w:val="21"/>
        </w:rPr>
        <w:t>(</w:t>
      </w:r>
      <w:r>
        <w:rPr>
          <w:rFonts w:ascii="Arial Unicode MS" w:hAnsi="Arial Unicode MS" w:cs="Arial" w:hint="eastAsia"/>
          <w:szCs w:val="21"/>
        </w:rPr>
        <w:t>不包含</w:t>
      </w:r>
      <w:r>
        <w:rPr>
          <w:rFonts w:ascii="Arial Unicode MS" w:hAnsi="Arial Unicode MS" w:cs="Arial" w:hint="eastAsia"/>
          <w:szCs w:val="21"/>
        </w:rPr>
        <w:t>T</w:t>
      </w:r>
      <w:r>
        <w:rPr>
          <w:rFonts w:ascii="Arial Unicode MS" w:hAnsi="Arial Unicode MS" w:cs="Arial" w:hint="eastAsia"/>
          <w:szCs w:val="21"/>
        </w:rPr>
        <w:t>日</w:t>
      </w:r>
      <w:r>
        <w:rPr>
          <w:rFonts w:ascii="Arial Unicode MS" w:hAnsi="Arial Unicode MS" w:cs="Arial" w:hint="eastAsia"/>
          <w:szCs w:val="21"/>
        </w:rPr>
        <w:t>)</w:t>
      </w:r>
    </w:p>
    <w:p w:rsidR="004C06C5" w:rsidRDefault="00ED474B">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3</w:t>
      </w:r>
      <w:r>
        <w:rPr>
          <w:rFonts w:ascii="Arial Unicode MS" w:hAnsi="Arial Unicode MS" w:cs="Arial"/>
          <w:szCs w:val="21"/>
        </w:rPr>
        <w:t>6</w:t>
      </w:r>
      <w:r>
        <w:rPr>
          <w:rFonts w:ascii="Arial Unicode MS" w:hAnsi="Arial Unicode MS" w:cs="Arial" w:hint="eastAsia"/>
          <w:szCs w:val="21"/>
        </w:rPr>
        <w:t>、开放日：指为投资人办理基金份额申购、赎回或其他业务的工作日</w:t>
      </w:r>
    </w:p>
    <w:p w:rsidR="004C06C5" w:rsidRDefault="00ED474B">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3</w:t>
      </w:r>
      <w:r>
        <w:rPr>
          <w:rFonts w:ascii="Arial Unicode MS" w:hAnsi="Arial Unicode MS" w:cs="Arial"/>
          <w:szCs w:val="21"/>
        </w:rPr>
        <w:t>7</w:t>
      </w:r>
      <w:r>
        <w:rPr>
          <w:rFonts w:ascii="Arial Unicode MS" w:hAnsi="Arial Unicode MS" w:cs="Arial" w:hint="eastAsia"/>
          <w:szCs w:val="21"/>
        </w:rPr>
        <w:t>、开放时间：指开放日基金接受申购、赎回或其他交易的时间段</w:t>
      </w:r>
    </w:p>
    <w:p w:rsidR="004C06C5" w:rsidRDefault="00ED474B">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3</w:t>
      </w:r>
      <w:r>
        <w:rPr>
          <w:rFonts w:ascii="Arial Unicode MS" w:hAnsi="Arial Unicode MS" w:cs="Arial"/>
          <w:szCs w:val="21"/>
        </w:rPr>
        <w:t>8</w:t>
      </w:r>
      <w:r>
        <w:rPr>
          <w:rFonts w:ascii="Arial Unicode MS" w:hAnsi="Arial Unicode MS" w:cs="Arial" w:hint="eastAsia"/>
          <w:szCs w:val="21"/>
        </w:rPr>
        <w:t>、《业务规则》：指《富荣基金管理有限公司开放式基金业务规则》，是规范基金管理人所管理的开放式证券投资基金登记方面的业务规则，由基金管理人和投资人共同遵守</w:t>
      </w:r>
    </w:p>
    <w:p w:rsidR="004C06C5" w:rsidRDefault="00ED474B">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3</w:t>
      </w:r>
      <w:r>
        <w:rPr>
          <w:rFonts w:ascii="Arial Unicode MS" w:hAnsi="Arial Unicode MS" w:cs="Arial"/>
          <w:szCs w:val="21"/>
        </w:rPr>
        <w:t>9</w:t>
      </w:r>
      <w:r>
        <w:rPr>
          <w:rFonts w:ascii="Arial Unicode MS" w:hAnsi="Arial Unicode MS" w:cs="Arial" w:hint="eastAsia"/>
          <w:szCs w:val="21"/>
        </w:rPr>
        <w:t>、认购：指在基金募集期内，投资人根据基金合同和招募说明书的规定申请购买基金份额的行为</w:t>
      </w:r>
    </w:p>
    <w:p w:rsidR="004C06C5" w:rsidRDefault="00ED474B">
      <w:pPr>
        <w:snapToGrid w:val="0"/>
        <w:spacing w:line="360" w:lineRule="auto"/>
        <w:ind w:firstLineChars="200" w:firstLine="420"/>
        <w:rPr>
          <w:rFonts w:ascii="Arial Unicode MS" w:hAnsi="Arial Unicode MS" w:cs="Arial"/>
          <w:szCs w:val="21"/>
        </w:rPr>
      </w:pPr>
      <w:r>
        <w:rPr>
          <w:rFonts w:ascii="Arial Unicode MS" w:hAnsi="Arial Unicode MS" w:cs="Arial"/>
          <w:szCs w:val="21"/>
        </w:rPr>
        <w:t>40</w:t>
      </w:r>
      <w:r>
        <w:rPr>
          <w:rFonts w:ascii="Arial Unicode MS" w:hAnsi="Arial Unicode MS" w:cs="Arial" w:hint="eastAsia"/>
          <w:szCs w:val="21"/>
        </w:rPr>
        <w:t>、申购：指基金合同生效后，投资人根据基金合同和招募说明书的规定申请购买基金份额的行为</w:t>
      </w:r>
    </w:p>
    <w:p w:rsidR="004C06C5" w:rsidRDefault="00ED474B">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4</w:t>
      </w:r>
      <w:r>
        <w:rPr>
          <w:rFonts w:ascii="Arial Unicode MS" w:hAnsi="Arial Unicode MS" w:cs="Arial"/>
          <w:szCs w:val="21"/>
        </w:rPr>
        <w:t>1</w:t>
      </w:r>
      <w:r>
        <w:rPr>
          <w:rFonts w:ascii="Arial Unicode MS" w:hAnsi="Arial Unicode MS" w:cs="Arial" w:hint="eastAsia"/>
          <w:szCs w:val="21"/>
        </w:rPr>
        <w:t>、赎回：指基金合同生效后，基金份额持有人按基金合同和招募说明书规定的条件要求将基金份额兑换为现金的行为</w:t>
      </w:r>
    </w:p>
    <w:p w:rsidR="004C06C5" w:rsidRDefault="00ED474B">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4</w:t>
      </w:r>
      <w:r>
        <w:rPr>
          <w:rFonts w:ascii="Arial Unicode MS" w:hAnsi="Arial Unicode MS" w:cs="Arial"/>
          <w:szCs w:val="21"/>
        </w:rPr>
        <w:t>2</w:t>
      </w:r>
      <w:r>
        <w:rPr>
          <w:rFonts w:ascii="Arial Unicode MS" w:hAnsi="Arial Unicode MS" w:cs="Arial" w:hint="eastAsia"/>
          <w:szCs w:val="21"/>
        </w:rPr>
        <w:t>、基金转换：指基金份额持有人按照基金合同和基金管理人届时有效公告规定的条件，申请将其持有基金管理人管理的、某一基金的基金份额转换为基金管理人管理的其他</w:t>
      </w:r>
      <w:proofErr w:type="gramStart"/>
      <w:r>
        <w:rPr>
          <w:rFonts w:ascii="Arial Unicode MS" w:hAnsi="Arial Unicode MS" w:cs="Arial" w:hint="eastAsia"/>
          <w:szCs w:val="21"/>
        </w:rPr>
        <w:t>基金基金</w:t>
      </w:r>
      <w:proofErr w:type="gramEnd"/>
      <w:r>
        <w:rPr>
          <w:rFonts w:ascii="Arial Unicode MS" w:hAnsi="Arial Unicode MS" w:cs="Arial" w:hint="eastAsia"/>
          <w:szCs w:val="21"/>
        </w:rPr>
        <w:t>份额的行为</w:t>
      </w:r>
    </w:p>
    <w:p w:rsidR="004C06C5" w:rsidRDefault="00ED474B">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4</w:t>
      </w:r>
      <w:r>
        <w:rPr>
          <w:rFonts w:ascii="Arial Unicode MS" w:hAnsi="Arial Unicode MS" w:cs="Arial"/>
          <w:szCs w:val="21"/>
        </w:rPr>
        <w:t>3</w:t>
      </w:r>
      <w:r>
        <w:rPr>
          <w:rFonts w:ascii="Arial Unicode MS" w:hAnsi="Arial Unicode MS" w:cs="Arial" w:hint="eastAsia"/>
          <w:szCs w:val="21"/>
        </w:rPr>
        <w:t>、转托管：指基金份额持有人在本基金的不同销售机构之间实施的变更所持基金份额销售机构的操作</w:t>
      </w:r>
    </w:p>
    <w:p w:rsidR="004C06C5" w:rsidRDefault="00ED474B">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4</w:t>
      </w:r>
      <w:r>
        <w:rPr>
          <w:rFonts w:ascii="Arial Unicode MS" w:hAnsi="Arial Unicode MS" w:cs="Arial"/>
          <w:szCs w:val="21"/>
        </w:rPr>
        <w:t>4</w:t>
      </w:r>
      <w:r>
        <w:rPr>
          <w:rFonts w:ascii="Arial Unicode MS" w:hAnsi="Arial Unicode MS" w:cs="Arial" w:hint="eastAsia"/>
          <w:szCs w:val="21"/>
        </w:rPr>
        <w:t>、定期定额投资计划：指投资人通过有关销售机构提出申请，约定每期申购日、扣款金额及扣款方式，由销售机构于每期约定扣款日在投资人指定银行账户内自动完成扣款及受理基金申购申请的一种投资方式</w:t>
      </w:r>
    </w:p>
    <w:p w:rsidR="004C06C5" w:rsidRDefault="00ED474B">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4</w:t>
      </w:r>
      <w:r>
        <w:rPr>
          <w:rFonts w:ascii="Arial Unicode MS" w:hAnsi="Arial Unicode MS" w:cs="Arial"/>
          <w:szCs w:val="21"/>
        </w:rPr>
        <w:t>5</w:t>
      </w:r>
      <w:r>
        <w:rPr>
          <w:rFonts w:ascii="Arial Unicode MS" w:hAnsi="Arial Unicode MS" w:cs="Arial" w:hint="eastAsia"/>
          <w:szCs w:val="21"/>
        </w:rPr>
        <w:t>、巨额赎回：指本基金单个开放日，基金净赎回申请</w:t>
      </w:r>
      <w:r>
        <w:rPr>
          <w:rFonts w:ascii="Arial Unicode MS" w:hAnsi="Arial Unicode MS" w:cs="Arial" w:hint="eastAsia"/>
          <w:szCs w:val="21"/>
        </w:rPr>
        <w:t>(</w:t>
      </w:r>
      <w:r>
        <w:rPr>
          <w:rFonts w:ascii="Arial Unicode MS" w:hAnsi="Arial Unicode MS" w:cs="Arial" w:hint="eastAsia"/>
          <w:szCs w:val="21"/>
        </w:rPr>
        <w:t>赎回申请份额总数加上基金转</w:t>
      </w:r>
      <w:r>
        <w:rPr>
          <w:rFonts w:ascii="Arial Unicode MS" w:hAnsi="Arial Unicode MS" w:cs="Arial" w:hint="eastAsia"/>
          <w:szCs w:val="21"/>
        </w:rPr>
        <w:lastRenderedPageBreak/>
        <w:t>换中转出申请份额总数后扣除申购申请份额总数及基金转换中转入申请份额总数后的余额</w:t>
      </w:r>
      <w:r>
        <w:rPr>
          <w:rFonts w:ascii="Arial Unicode MS" w:hAnsi="Arial Unicode MS" w:cs="Arial" w:hint="eastAsia"/>
          <w:szCs w:val="21"/>
        </w:rPr>
        <w:t>)</w:t>
      </w:r>
      <w:r>
        <w:rPr>
          <w:rFonts w:ascii="Arial Unicode MS" w:hAnsi="Arial Unicode MS" w:cs="Arial" w:hint="eastAsia"/>
          <w:szCs w:val="21"/>
        </w:rPr>
        <w:t>超过上一开放日基金总份额的</w:t>
      </w:r>
      <w:r>
        <w:rPr>
          <w:rFonts w:ascii="Arial Unicode MS" w:hAnsi="Arial Unicode MS" w:cs="Arial" w:hint="eastAsia"/>
          <w:szCs w:val="21"/>
        </w:rPr>
        <w:t>10%</w:t>
      </w:r>
    </w:p>
    <w:p w:rsidR="004C06C5" w:rsidRDefault="00ED474B">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4</w:t>
      </w:r>
      <w:r>
        <w:rPr>
          <w:rFonts w:ascii="Arial Unicode MS" w:hAnsi="Arial Unicode MS" w:cs="Arial"/>
          <w:szCs w:val="21"/>
        </w:rPr>
        <w:t>6</w:t>
      </w:r>
      <w:r>
        <w:rPr>
          <w:rFonts w:ascii="Arial Unicode MS" w:hAnsi="Arial Unicode MS" w:cs="Arial" w:hint="eastAsia"/>
          <w:szCs w:val="21"/>
        </w:rPr>
        <w:t>、元：指人民币元</w:t>
      </w:r>
    </w:p>
    <w:p w:rsidR="004C06C5" w:rsidRDefault="00ED474B">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4</w:t>
      </w:r>
      <w:r>
        <w:rPr>
          <w:rFonts w:ascii="Arial Unicode MS" w:hAnsi="Arial Unicode MS" w:cs="Arial"/>
          <w:szCs w:val="21"/>
        </w:rPr>
        <w:t>7</w:t>
      </w:r>
      <w:r>
        <w:rPr>
          <w:rFonts w:ascii="Arial Unicode MS" w:hAnsi="Arial Unicode MS" w:cs="Arial" w:hint="eastAsia"/>
          <w:szCs w:val="21"/>
        </w:rPr>
        <w:t>、基金收益：指基金投资所得红利、股息、债券利息、买卖证券价差、银行存款利息、已实现的其他合法收入及因运用基金财产带来的成本和费用的节约</w:t>
      </w:r>
    </w:p>
    <w:p w:rsidR="004C06C5" w:rsidRDefault="00ED474B">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4</w:t>
      </w:r>
      <w:r>
        <w:rPr>
          <w:rFonts w:ascii="Arial Unicode MS" w:hAnsi="Arial Unicode MS" w:cs="Arial"/>
          <w:szCs w:val="21"/>
        </w:rPr>
        <w:t>8</w:t>
      </w:r>
      <w:r>
        <w:rPr>
          <w:rFonts w:ascii="Arial Unicode MS" w:hAnsi="Arial Unicode MS" w:cs="Arial" w:hint="eastAsia"/>
          <w:szCs w:val="21"/>
        </w:rPr>
        <w:t>、基金资产总值：指基金拥有的各类有价证券、银行存款本息、基金应收款项及其他资产的价值总和</w:t>
      </w:r>
    </w:p>
    <w:p w:rsidR="004C06C5" w:rsidRDefault="00ED474B">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4</w:t>
      </w:r>
      <w:r>
        <w:rPr>
          <w:rFonts w:ascii="Arial Unicode MS" w:hAnsi="Arial Unicode MS" w:cs="Arial"/>
          <w:szCs w:val="21"/>
        </w:rPr>
        <w:t>9</w:t>
      </w:r>
      <w:r>
        <w:rPr>
          <w:rFonts w:ascii="Arial Unicode MS" w:hAnsi="Arial Unicode MS" w:cs="Arial" w:hint="eastAsia"/>
          <w:szCs w:val="21"/>
        </w:rPr>
        <w:t>、基金资产净值：指基金资产总值减去基金负债后的价值</w:t>
      </w:r>
    </w:p>
    <w:p w:rsidR="004C06C5" w:rsidRDefault="00ED474B">
      <w:pPr>
        <w:snapToGrid w:val="0"/>
        <w:spacing w:line="360" w:lineRule="auto"/>
        <w:ind w:firstLineChars="200" w:firstLine="420"/>
        <w:rPr>
          <w:rFonts w:ascii="Arial Unicode MS" w:hAnsi="Arial Unicode MS" w:cs="Arial"/>
          <w:szCs w:val="21"/>
        </w:rPr>
      </w:pPr>
      <w:r>
        <w:rPr>
          <w:rFonts w:ascii="Arial Unicode MS" w:hAnsi="Arial Unicode MS" w:cs="Arial"/>
          <w:szCs w:val="21"/>
        </w:rPr>
        <w:t>50</w:t>
      </w:r>
      <w:r>
        <w:rPr>
          <w:rFonts w:ascii="Arial Unicode MS" w:hAnsi="Arial Unicode MS" w:cs="Arial" w:hint="eastAsia"/>
          <w:szCs w:val="21"/>
        </w:rPr>
        <w:t>、基金份额净值：指计算日基金资产净值除以计算日基金份额总数</w:t>
      </w:r>
    </w:p>
    <w:p w:rsidR="004C06C5" w:rsidRDefault="00ED474B">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5</w:t>
      </w:r>
      <w:r>
        <w:rPr>
          <w:rFonts w:ascii="Arial Unicode MS" w:hAnsi="Arial Unicode MS" w:cs="Arial"/>
          <w:szCs w:val="21"/>
        </w:rPr>
        <w:t>1</w:t>
      </w:r>
      <w:r>
        <w:rPr>
          <w:rFonts w:ascii="Arial Unicode MS" w:hAnsi="Arial Unicode MS" w:cs="Arial" w:hint="eastAsia"/>
          <w:szCs w:val="21"/>
        </w:rPr>
        <w:t>、基金资产估值：指计算评估基金资产和负债的价值，以确定基金资产净值和基金份额净值的过程</w:t>
      </w:r>
    </w:p>
    <w:p w:rsidR="004C06C5" w:rsidRDefault="00ED474B">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5</w:t>
      </w:r>
      <w:r>
        <w:rPr>
          <w:rFonts w:ascii="Arial Unicode MS" w:hAnsi="Arial Unicode MS" w:cs="Arial"/>
          <w:szCs w:val="21"/>
        </w:rPr>
        <w:t>2</w:t>
      </w:r>
      <w:r>
        <w:rPr>
          <w:rFonts w:ascii="Arial Unicode MS" w:hAnsi="Arial Unicode MS" w:cs="Arial" w:hint="eastAsia"/>
          <w:szCs w:val="21"/>
        </w:rPr>
        <w:t>、指定媒介：指中国证监会指定的用以进行信息披露的全国性报刊及指定互联网网站（包括基金管理人网站、基金托管人网站、中国证监会基金电子披露网站）等媒介</w:t>
      </w:r>
    </w:p>
    <w:p w:rsidR="004C06C5" w:rsidRDefault="00ED474B">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5</w:t>
      </w:r>
      <w:r>
        <w:rPr>
          <w:rFonts w:ascii="Arial Unicode MS" w:hAnsi="Arial Unicode MS" w:cs="Arial"/>
          <w:szCs w:val="21"/>
        </w:rPr>
        <w:t>3</w:t>
      </w:r>
      <w:r>
        <w:rPr>
          <w:rFonts w:ascii="Arial Unicode MS" w:hAnsi="Arial Unicode MS" w:cs="Arial" w:hint="eastAsia"/>
          <w:szCs w:val="21"/>
        </w:rPr>
        <w:t>、基金份额的类别：本基金根据是否收取销售服务费以及认购、申购费用的差异，将基金份额分为不同的类别</w:t>
      </w:r>
    </w:p>
    <w:p w:rsidR="004C06C5" w:rsidRDefault="00ED474B">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5</w:t>
      </w:r>
      <w:r>
        <w:rPr>
          <w:rFonts w:ascii="Arial Unicode MS" w:hAnsi="Arial Unicode MS" w:cs="Arial"/>
          <w:szCs w:val="21"/>
        </w:rPr>
        <w:t>4</w:t>
      </w:r>
      <w:r>
        <w:rPr>
          <w:rFonts w:ascii="Arial Unicode MS" w:hAnsi="Arial Unicode MS" w:cs="Arial" w:hint="eastAsia"/>
          <w:szCs w:val="21"/>
        </w:rPr>
        <w:t>、</w:t>
      </w:r>
      <w:r>
        <w:rPr>
          <w:rFonts w:ascii="Arial Unicode MS" w:hAnsi="Arial Unicode MS" w:cs="Arial" w:hint="eastAsia"/>
          <w:szCs w:val="21"/>
        </w:rPr>
        <w:t>A</w:t>
      </w:r>
      <w:r>
        <w:rPr>
          <w:rFonts w:ascii="Arial Unicode MS" w:hAnsi="Arial Unicode MS" w:cs="Arial" w:hint="eastAsia"/>
          <w:szCs w:val="21"/>
        </w:rPr>
        <w:t>类基金份额：在投资者认购、申购时收取认购、申购费用，不从本类别基金资产中计</w:t>
      </w:r>
      <w:proofErr w:type="gramStart"/>
      <w:r>
        <w:rPr>
          <w:rFonts w:ascii="Arial Unicode MS" w:hAnsi="Arial Unicode MS" w:cs="Arial" w:hint="eastAsia"/>
          <w:szCs w:val="21"/>
        </w:rPr>
        <w:t>提销售</w:t>
      </w:r>
      <w:proofErr w:type="gramEnd"/>
      <w:r>
        <w:rPr>
          <w:rFonts w:ascii="Arial Unicode MS" w:hAnsi="Arial Unicode MS" w:cs="Arial" w:hint="eastAsia"/>
          <w:szCs w:val="21"/>
        </w:rPr>
        <w:t>服务费的基金份额，称为</w:t>
      </w:r>
      <w:r>
        <w:rPr>
          <w:rFonts w:ascii="Arial Unicode MS" w:hAnsi="Arial Unicode MS" w:cs="Arial" w:hint="eastAsia"/>
          <w:szCs w:val="21"/>
        </w:rPr>
        <w:t>A</w:t>
      </w:r>
      <w:r>
        <w:rPr>
          <w:rFonts w:ascii="Arial Unicode MS" w:hAnsi="Arial Unicode MS" w:cs="Arial" w:hint="eastAsia"/>
          <w:szCs w:val="21"/>
        </w:rPr>
        <w:t>类基金份额</w:t>
      </w:r>
    </w:p>
    <w:p w:rsidR="004C06C5" w:rsidRDefault="00ED474B">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5</w:t>
      </w:r>
      <w:r>
        <w:rPr>
          <w:rFonts w:ascii="Arial Unicode MS" w:hAnsi="Arial Unicode MS" w:cs="Arial"/>
          <w:szCs w:val="21"/>
        </w:rPr>
        <w:t>5</w:t>
      </w:r>
      <w:r>
        <w:rPr>
          <w:rFonts w:ascii="Arial Unicode MS" w:hAnsi="Arial Unicode MS" w:cs="Arial" w:hint="eastAsia"/>
          <w:szCs w:val="21"/>
        </w:rPr>
        <w:t>、</w:t>
      </w:r>
      <w:r>
        <w:rPr>
          <w:rFonts w:ascii="Arial Unicode MS" w:hAnsi="Arial Unicode MS" w:cs="Arial" w:hint="eastAsia"/>
          <w:szCs w:val="21"/>
        </w:rPr>
        <w:t>C</w:t>
      </w:r>
      <w:r>
        <w:rPr>
          <w:rFonts w:ascii="Arial Unicode MS" w:hAnsi="Arial Unicode MS" w:cs="Arial" w:hint="eastAsia"/>
          <w:szCs w:val="21"/>
        </w:rPr>
        <w:t>类基金份额：在投资者认购、申购时不收取认购、申购费用，但从本类别基金资产中计</w:t>
      </w:r>
      <w:proofErr w:type="gramStart"/>
      <w:r>
        <w:rPr>
          <w:rFonts w:ascii="Arial Unicode MS" w:hAnsi="Arial Unicode MS" w:cs="Arial" w:hint="eastAsia"/>
          <w:szCs w:val="21"/>
        </w:rPr>
        <w:t>提销售</w:t>
      </w:r>
      <w:proofErr w:type="gramEnd"/>
      <w:r>
        <w:rPr>
          <w:rFonts w:ascii="Arial Unicode MS" w:hAnsi="Arial Unicode MS" w:cs="Arial" w:hint="eastAsia"/>
          <w:szCs w:val="21"/>
        </w:rPr>
        <w:t>服务费的基金份额，称为</w:t>
      </w:r>
      <w:r>
        <w:rPr>
          <w:rFonts w:ascii="Arial Unicode MS" w:hAnsi="Arial Unicode MS" w:cs="Arial" w:hint="eastAsia"/>
          <w:szCs w:val="21"/>
        </w:rPr>
        <w:t>C</w:t>
      </w:r>
      <w:r>
        <w:rPr>
          <w:rFonts w:ascii="Arial Unicode MS" w:hAnsi="Arial Unicode MS" w:cs="Arial" w:hint="eastAsia"/>
          <w:szCs w:val="21"/>
        </w:rPr>
        <w:t>类基金份额</w:t>
      </w:r>
    </w:p>
    <w:p w:rsidR="004C06C5" w:rsidRDefault="00ED474B">
      <w:pPr>
        <w:spacing w:line="480" w:lineRule="auto"/>
        <w:ind w:firstLineChars="200" w:firstLine="420"/>
        <w:rPr>
          <w:rFonts w:asciiTheme="minorEastAsia" w:eastAsiaTheme="minorEastAsia" w:hAnsiTheme="minorEastAsia"/>
          <w:bCs/>
          <w:szCs w:val="21"/>
        </w:rPr>
      </w:pPr>
      <w:r>
        <w:rPr>
          <w:rFonts w:ascii="Arial Unicode MS" w:hAnsi="Arial Unicode MS" w:cs="Arial"/>
          <w:szCs w:val="21"/>
        </w:rPr>
        <w:t>56</w:t>
      </w:r>
      <w:r>
        <w:rPr>
          <w:rFonts w:asciiTheme="minorEastAsia" w:eastAsiaTheme="minorEastAsia" w:hAnsiTheme="minorEastAsia" w:hint="eastAsia"/>
          <w:bCs/>
          <w:szCs w:val="21"/>
        </w:rPr>
        <w:t>、流动性受限资产：是指由于法律法规、监管、合同或操作障碍等原因无法以合理价格予以变现的资产，包括但不限于到期日在</w:t>
      </w:r>
      <w:r>
        <w:rPr>
          <w:rFonts w:asciiTheme="minorEastAsia" w:eastAsiaTheme="minorEastAsia" w:hAnsiTheme="minorEastAsia"/>
          <w:bCs/>
          <w:szCs w:val="21"/>
        </w:rPr>
        <w:t xml:space="preserve">10 </w:t>
      </w:r>
      <w:proofErr w:type="gramStart"/>
      <w:r>
        <w:rPr>
          <w:rFonts w:asciiTheme="minorEastAsia" w:eastAsiaTheme="minorEastAsia" w:hAnsiTheme="minorEastAsia" w:hint="eastAsia"/>
          <w:bCs/>
          <w:szCs w:val="21"/>
        </w:rPr>
        <w:t>个</w:t>
      </w:r>
      <w:proofErr w:type="gramEnd"/>
      <w:r>
        <w:rPr>
          <w:rFonts w:asciiTheme="minorEastAsia" w:eastAsiaTheme="minorEastAsia" w:hAnsiTheme="minorEastAsia" w:hint="eastAsia"/>
          <w:bCs/>
          <w:szCs w:val="21"/>
        </w:rPr>
        <w:t>交易日以上的逆回购与银行定期存款（</w:t>
      </w:r>
      <w:proofErr w:type="gramStart"/>
      <w:r>
        <w:rPr>
          <w:rFonts w:asciiTheme="minorEastAsia" w:eastAsiaTheme="minorEastAsia" w:hAnsiTheme="minorEastAsia" w:hint="eastAsia"/>
          <w:bCs/>
          <w:szCs w:val="21"/>
        </w:rPr>
        <w:t>含协议</w:t>
      </w:r>
      <w:proofErr w:type="gramEnd"/>
      <w:r>
        <w:rPr>
          <w:rFonts w:asciiTheme="minorEastAsia" w:eastAsiaTheme="minorEastAsia" w:hAnsiTheme="minorEastAsia" w:hint="eastAsia"/>
          <w:bCs/>
          <w:szCs w:val="21"/>
        </w:rPr>
        <w:t>约定有条件提前支取的银行存款）、停牌股票、流通受限的新股及非公开发行股票、资产支持证券、因发行人债务违约无法进行转让或交易的债券等</w:t>
      </w:r>
    </w:p>
    <w:p w:rsidR="004C06C5" w:rsidRDefault="00ED474B">
      <w:pPr>
        <w:spacing w:line="480" w:lineRule="auto"/>
        <w:ind w:firstLineChars="200" w:firstLine="420"/>
        <w:rPr>
          <w:rFonts w:asciiTheme="minorEastAsia" w:eastAsiaTheme="minorEastAsia" w:hAnsiTheme="minorEastAsia"/>
          <w:bCs/>
          <w:szCs w:val="21"/>
        </w:rPr>
      </w:pPr>
      <w:r>
        <w:rPr>
          <w:rFonts w:ascii="Arial Unicode MS" w:hAnsi="Arial Unicode MS" w:cs="Arial"/>
          <w:szCs w:val="21"/>
        </w:rPr>
        <w:t>57</w:t>
      </w:r>
      <w:r>
        <w:rPr>
          <w:rFonts w:ascii="Arial Unicode MS" w:hAnsi="Arial Unicode MS" w:cs="Arial" w:hint="eastAsia"/>
          <w:szCs w:val="21"/>
        </w:rPr>
        <w:t>、</w:t>
      </w:r>
      <w:r>
        <w:rPr>
          <w:rFonts w:asciiTheme="minorEastAsia" w:eastAsiaTheme="minorEastAsia" w:hAnsiTheme="minorEastAsia" w:hint="eastAsia"/>
          <w:bCs/>
          <w:szCs w:val="21"/>
        </w:rPr>
        <w:t>摆动定价机制：是指当开放式基金遭遇大额申购赎回时，通过调整基金份额净值的方式，将基金调整投资组合的市场冲击成本分配给实际申购、赎回的投资者，从而减少对存量基金份额持有人利益的不利影响，确保投资者的合法权益不受损害并得到公平对待</w:t>
      </w:r>
    </w:p>
    <w:p w:rsidR="004C06C5" w:rsidRDefault="00ED474B">
      <w:pPr>
        <w:spacing w:line="480" w:lineRule="auto"/>
        <w:ind w:firstLineChars="200" w:firstLine="420"/>
        <w:rPr>
          <w:rFonts w:asciiTheme="minorEastAsia" w:eastAsiaTheme="minorEastAsia" w:hAnsiTheme="minorEastAsia"/>
          <w:bCs/>
          <w:szCs w:val="21"/>
        </w:rPr>
      </w:pPr>
      <w:r>
        <w:rPr>
          <w:rFonts w:ascii="Arial Unicode MS" w:hAnsi="Arial Unicode MS" w:cs="Arial"/>
          <w:szCs w:val="21"/>
        </w:rPr>
        <w:lastRenderedPageBreak/>
        <w:t>58</w:t>
      </w:r>
      <w:r>
        <w:rPr>
          <w:rFonts w:ascii="Arial Unicode MS" w:hAnsi="Arial Unicode MS" w:cs="Arial" w:hint="eastAsia"/>
          <w:szCs w:val="21"/>
        </w:rPr>
        <w:t>、</w:t>
      </w:r>
      <w:r>
        <w:rPr>
          <w:rFonts w:asciiTheme="minorEastAsia" w:eastAsiaTheme="minorEastAsia" w:hAnsiTheme="minorEastAsia" w:hint="eastAsia"/>
          <w:bCs/>
          <w:szCs w:val="21"/>
        </w:rPr>
        <w:t>不可抗力：指本基金合同当事人不能预见、不能避免且不能克服的客观事件</w:t>
      </w:r>
    </w:p>
    <w:p w:rsidR="004C06C5" w:rsidRDefault="00ED474B">
      <w:pPr>
        <w:widowControl/>
        <w:jc w:val="left"/>
        <w:rPr>
          <w:rFonts w:asciiTheme="minorEastAsia" w:eastAsiaTheme="minorEastAsia" w:hAnsiTheme="minorEastAsia"/>
          <w:bCs/>
          <w:szCs w:val="21"/>
        </w:rPr>
      </w:pPr>
      <w:r>
        <w:rPr>
          <w:rFonts w:asciiTheme="minorEastAsia" w:eastAsiaTheme="minorEastAsia" w:hAnsiTheme="minorEastAsia"/>
          <w:bCs/>
          <w:szCs w:val="21"/>
        </w:rPr>
        <w:br w:type="page"/>
      </w:r>
    </w:p>
    <w:p w:rsidR="004C06C5" w:rsidRDefault="00ED474B">
      <w:pPr>
        <w:pStyle w:val="11"/>
        <w:snapToGrid w:val="0"/>
        <w:spacing w:before="0" w:after="0" w:line="360" w:lineRule="auto"/>
        <w:ind w:firstLineChars="150" w:firstLine="422"/>
        <w:rPr>
          <w:rFonts w:ascii="Arial Unicode MS" w:eastAsia="宋体" w:hAnsi="Arial Unicode MS" w:cs="Arial"/>
          <w:b/>
          <w:bCs/>
          <w:sz w:val="28"/>
          <w:szCs w:val="28"/>
        </w:rPr>
      </w:pPr>
      <w:bookmarkStart w:id="9" w:name="_Toc214873592"/>
      <w:bookmarkStart w:id="10" w:name="_Toc12357173"/>
      <w:bookmarkStart w:id="11" w:name="_Toc1464058"/>
      <w:bookmarkStart w:id="12" w:name="_Toc21073393"/>
      <w:bookmarkStart w:id="13" w:name="_Toc147463120"/>
      <w:r>
        <w:rPr>
          <w:rFonts w:ascii="Arial Unicode MS" w:eastAsia="宋体" w:hAnsi="Arial Unicode MS" w:cs="Arial"/>
          <w:b/>
          <w:bCs/>
          <w:sz w:val="28"/>
          <w:szCs w:val="28"/>
        </w:rPr>
        <w:lastRenderedPageBreak/>
        <w:t>第三部分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基金管理人</w:t>
      </w:r>
      <w:bookmarkEnd w:id="9"/>
      <w:bookmarkEnd w:id="10"/>
      <w:bookmarkEnd w:id="11"/>
      <w:bookmarkEnd w:id="12"/>
      <w:bookmarkEnd w:id="13"/>
    </w:p>
    <w:p w:rsidR="004C06C5" w:rsidRDefault="004C06C5">
      <w:pPr>
        <w:rPr>
          <w:rFonts w:ascii="Arial Unicode MS" w:hAnsi="Arial Unicode MS"/>
          <w:lang w:val="zh-CN"/>
        </w:rPr>
      </w:pPr>
    </w:p>
    <w:p w:rsidR="004C06C5" w:rsidRDefault="00ED474B">
      <w:pPr>
        <w:tabs>
          <w:tab w:val="left" w:pos="1110"/>
        </w:tabs>
        <w:adjustRightInd w:val="0"/>
        <w:snapToGrid w:val="0"/>
        <w:spacing w:line="360" w:lineRule="auto"/>
        <w:ind w:firstLineChars="200" w:firstLine="422"/>
        <w:rPr>
          <w:rFonts w:ascii="Arial Unicode MS" w:hAnsi="Arial Unicode MS" w:cs="Arial"/>
          <w:b/>
          <w:bCs/>
          <w:szCs w:val="21"/>
        </w:rPr>
      </w:pPr>
      <w:bookmarkStart w:id="14" w:name="_Hlt88897298"/>
      <w:bookmarkStart w:id="15" w:name="_Toc238013747"/>
      <w:bookmarkEnd w:id="14"/>
      <w:bookmarkEnd w:id="15"/>
      <w:r>
        <w:rPr>
          <w:rFonts w:ascii="Arial Unicode MS" w:hAnsi="Arial Unicode MS" w:cs="Arial" w:hint="eastAsia"/>
          <w:b/>
          <w:bCs/>
          <w:szCs w:val="21"/>
        </w:rPr>
        <w:t>一、基金管理人概况</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名称：富荣基金管理有限公司</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注册地址：广州市南沙区海滨路</w:t>
      </w:r>
      <w:r>
        <w:rPr>
          <w:rFonts w:ascii="Arial Unicode MS" w:hAnsi="Arial Unicode MS" w:cs="Arial" w:hint="eastAsia"/>
          <w:kern w:val="0"/>
          <w:szCs w:val="21"/>
        </w:rPr>
        <w:t>171</w:t>
      </w:r>
      <w:r>
        <w:rPr>
          <w:rFonts w:ascii="Arial Unicode MS" w:hAnsi="Arial Unicode MS" w:cs="Arial" w:hint="eastAsia"/>
          <w:kern w:val="0"/>
          <w:szCs w:val="21"/>
        </w:rPr>
        <w:t>号南沙金融大厦</w:t>
      </w:r>
      <w:r>
        <w:rPr>
          <w:rFonts w:ascii="Arial Unicode MS" w:hAnsi="Arial Unicode MS" w:cs="Arial" w:hint="eastAsia"/>
          <w:kern w:val="0"/>
          <w:szCs w:val="21"/>
        </w:rPr>
        <w:t>11</w:t>
      </w:r>
      <w:r>
        <w:rPr>
          <w:rFonts w:ascii="Arial Unicode MS" w:hAnsi="Arial Unicode MS" w:cs="Arial" w:hint="eastAsia"/>
          <w:kern w:val="0"/>
          <w:szCs w:val="21"/>
        </w:rPr>
        <w:t>楼</w:t>
      </w:r>
      <w:r>
        <w:rPr>
          <w:rFonts w:ascii="Arial Unicode MS" w:hAnsi="Arial Unicode MS" w:cs="Arial" w:hint="eastAsia"/>
          <w:kern w:val="0"/>
          <w:szCs w:val="21"/>
        </w:rPr>
        <w:t>1101</w:t>
      </w:r>
      <w:r>
        <w:rPr>
          <w:rFonts w:ascii="Arial Unicode MS" w:hAnsi="Arial Unicode MS" w:cs="Arial" w:hint="eastAsia"/>
          <w:kern w:val="0"/>
          <w:szCs w:val="21"/>
        </w:rPr>
        <w:t>之一</w:t>
      </w:r>
      <w:r>
        <w:rPr>
          <w:rFonts w:ascii="Arial Unicode MS" w:hAnsi="Arial Unicode MS" w:cs="Arial" w:hint="eastAsia"/>
          <w:kern w:val="0"/>
          <w:szCs w:val="21"/>
        </w:rPr>
        <w:t>J20</w:t>
      </w:r>
      <w:r>
        <w:rPr>
          <w:rFonts w:ascii="Arial Unicode MS" w:hAnsi="Arial Unicode MS" w:cs="Arial" w:hint="eastAsia"/>
          <w:kern w:val="0"/>
          <w:szCs w:val="21"/>
        </w:rPr>
        <w:t>室</w:t>
      </w:r>
      <w:r>
        <w:rPr>
          <w:rFonts w:ascii="Arial Unicode MS" w:hAnsi="Arial Unicode MS" w:cs="Arial" w:hint="eastAsia"/>
          <w:kern w:val="0"/>
          <w:szCs w:val="21"/>
        </w:rPr>
        <w:t xml:space="preserve"> </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办公地址：深圳市福田区八卦四路</w:t>
      </w:r>
      <w:r>
        <w:rPr>
          <w:rFonts w:ascii="Arial Unicode MS" w:hAnsi="Arial Unicode MS" w:cs="Arial" w:hint="eastAsia"/>
          <w:kern w:val="0"/>
          <w:szCs w:val="21"/>
        </w:rPr>
        <w:t>52</w:t>
      </w:r>
      <w:r>
        <w:rPr>
          <w:rFonts w:ascii="Arial Unicode MS" w:hAnsi="Arial Unicode MS" w:cs="Arial" w:hint="eastAsia"/>
          <w:kern w:val="0"/>
          <w:szCs w:val="21"/>
        </w:rPr>
        <w:t>号安吉</w:t>
      </w:r>
      <w:proofErr w:type="gramStart"/>
      <w:r>
        <w:rPr>
          <w:rFonts w:ascii="Arial Unicode MS" w:hAnsi="Arial Unicode MS" w:cs="Arial" w:hint="eastAsia"/>
          <w:kern w:val="0"/>
          <w:szCs w:val="21"/>
        </w:rPr>
        <w:t>尔大厦</w:t>
      </w:r>
      <w:proofErr w:type="gramEnd"/>
      <w:r>
        <w:rPr>
          <w:rFonts w:ascii="Arial Unicode MS" w:hAnsi="Arial Unicode MS" w:cs="Arial" w:hint="eastAsia"/>
          <w:kern w:val="0"/>
          <w:szCs w:val="21"/>
        </w:rPr>
        <w:t>24</w:t>
      </w:r>
      <w:r>
        <w:rPr>
          <w:rFonts w:ascii="Arial Unicode MS" w:hAnsi="Arial Unicode MS" w:cs="Arial" w:hint="eastAsia"/>
          <w:kern w:val="0"/>
          <w:szCs w:val="21"/>
        </w:rPr>
        <w:t>层</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法定代表人：杨小舟</w:t>
      </w:r>
      <w:r>
        <w:rPr>
          <w:rFonts w:ascii="Arial Unicode MS" w:hAnsi="Arial Unicode MS" w:cs="Arial" w:hint="eastAsia"/>
          <w:kern w:val="0"/>
          <w:szCs w:val="21"/>
        </w:rPr>
        <w:t xml:space="preserve"> </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设立日期：</w:t>
      </w:r>
      <w:r>
        <w:rPr>
          <w:rFonts w:ascii="Arial Unicode MS" w:hAnsi="Arial Unicode MS" w:cs="Arial" w:hint="eastAsia"/>
          <w:kern w:val="0"/>
          <w:szCs w:val="21"/>
        </w:rPr>
        <w:t>2016</w:t>
      </w:r>
      <w:r>
        <w:rPr>
          <w:rFonts w:ascii="Arial Unicode MS" w:hAnsi="Arial Unicode MS" w:cs="Arial" w:hint="eastAsia"/>
          <w:kern w:val="0"/>
          <w:szCs w:val="21"/>
        </w:rPr>
        <w:t>年</w:t>
      </w:r>
      <w:r>
        <w:rPr>
          <w:rFonts w:ascii="Arial Unicode MS" w:hAnsi="Arial Unicode MS" w:cs="Arial" w:hint="eastAsia"/>
          <w:kern w:val="0"/>
          <w:szCs w:val="21"/>
        </w:rPr>
        <w:t>1</w:t>
      </w:r>
      <w:r>
        <w:rPr>
          <w:rFonts w:ascii="Arial Unicode MS" w:hAnsi="Arial Unicode MS" w:cs="Arial" w:hint="eastAsia"/>
          <w:kern w:val="0"/>
          <w:szCs w:val="21"/>
        </w:rPr>
        <w:t>月</w:t>
      </w:r>
      <w:r>
        <w:rPr>
          <w:rFonts w:ascii="Arial Unicode MS" w:hAnsi="Arial Unicode MS" w:cs="Arial" w:hint="eastAsia"/>
          <w:kern w:val="0"/>
          <w:szCs w:val="21"/>
        </w:rPr>
        <w:t>25</w:t>
      </w:r>
      <w:r>
        <w:rPr>
          <w:rFonts w:ascii="Arial Unicode MS" w:hAnsi="Arial Unicode MS" w:cs="Arial" w:hint="eastAsia"/>
          <w:kern w:val="0"/>
          <w:szCs w:val="21"/>
        </w:rPr>
        <w:t>日</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批准设立机关：中国证监会</w:t>
      </w:r>
      <w:r>
        <w:rPr>
          <w:rFonts w:ascii="Arial Unicode MS" w:hAnsi="Arial Unicode MS" w:cs="Arial" w:hint="eastAsia"/>
          <w:kern w:val="0"/>
          <w:szCs w:val="21"/>
        </w:rPr>
        <w:t xml:space="preserve"> </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批准设立文号：证监许可【</w:t>
      </w:r>
      <w:r>
        <w:rPr>
          <w:rFonts w:ascii="Arial Unicode MS" w:hAnsi="Arial Unicode MS" w:cs="Arial" w:hint="eastAsia"/>
          <w:kern w:val="0"/>
          <w:szCs w:val="21"/>
        </w:rPr>
        <w:t>2015</w:t>
      </w:r>
      <w:r>
        <w:rPr>
          <w:rFonts w:ascii="Arial Unicode MS" w:hAnsi="Arial Unicode MS" w:cs="Arial" w:hint="eastAsia"/>
          <w:kern w:val="0"/>
          <w:szCs w:val="21"/>
        </w:rPr>
        <w:t>】</w:t>
      </w:r>
      <w:r>
        <w:rPr>
          <w:rFonts w:ascii="Arial Unicode MS" w:hAnsi="Arial Unicode MS" w:cs="Arial" w:hint="eastAsia"/>
          <w:kern w:val="0"/>
          <w:szCs w:val="21"/>
        </w:rPr>
        <w:t>3118</w:t>
      </w:r>
      <w:r>
        <w:rPr>
          <w:rFonts w:ascii="Arial Unicode MS" w:hAnsi="Arial Unicode MS" w:cs="Arial" w:hint="eastAsia"/>
          <w:kern w:val="0"/>
          <w:szCs w:val="21"/>
        </w:rPr>
        <w:t>号</w:t>
      </w:r>
      <w:r>
        <w:rPr>
          <w:rFonts w:ascii="Arial Unicode MS" w:hAnsi="Arial Unicode MS" w:cs="Arial" w:hint="eastAsia"/>
          <w:kern w:val="0"/>
          <w:szCs w:val="21"/>
        </w:rPr>
        <w:t xml:space="preserve"> </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组织形式：有限责任公司</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注册资本：</w:t>
      </w:r>
      <w:r>
        <w:rPr>
          <w:rFonts w:ascii="Arial Unicode MS" w:hAnsi="Arial Unicode MS" w:cs="Arial" w:hint="eastAsia"/>
          <w:kern w:val="0"/>
          <w:szCs w:val="21"/>
        </w:rPr>
        <w:t>2</w:t>
      </w:r>
      <w:r>
        <w:rPr>
          <w:rFonts w:ascii="Arial Unicode MS" w:hAnsi="Arial Unicode MS" w:cs="Arial" w:hint="eastAsia"/>
          <w:kern w:val="0"/>
          <w:szCs w:val="21"/>
        </w:rPr>
        <w:t>亿元人民币</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存续期限：永续经营</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联系人：蔡晓忠</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联系电话：</w:t>
      </w:r>
      <w:r>
        <w:rPr>
          <w:rFonts w:ascii="Arial Unicode MS" w:hAnsi="Arial Unicode MS" w:cs="Arial"/>
          <w:kern w:val="0"/>
          <w:szCs w:val="21"/>
        </w:rPr>
        <w:t>0755-84356636</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传</w:t>
      </w:r>
      <w:r>
        <w:rPr>
          <w:rFonts w:ascii="Arial Unicode MS" w:hAnsi="Arial Unicode MS" w:cs="Arial" w:hint="eastAsia"/>
          <w:kern w:val="0"/>
          <w:szCs w:val="21"/>
        </w:rPr>
        <w:t xml:space="preserve">    </w:t>
      </w:r>
      <w:r>
        <w:rPr>
          <w:rFonts w:ascii="Arial Unicode MS" w:hAnsi="Arial Unicode MS" w:cs="Arial" w:hint="eastAsia"/>
          <w:kern w:val="0"/>
          <w:szCs w:val="21"/>
        </w:rPr>
        <w:t>真：</w:t>
      </w:r>
      <w:r>
        <w:rPr>
          <w:rFonts w:ascii="Arial Unicode MS" w:hAnsi="Arial Unicode MS" w:cs="Arial" w:hint="eastAsia"/>
          <w:kern w:val="0"/>
          <w:szCs w:val="21"/>
        </w:rPr>
        <w:t>0755-83230787</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股权结构：</w:t>
      </w:r>
    </w:p>
    <w:tbl>
      <w:tblPr>
        <w:tblW w:w="55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4C06C5">
        <w:trPr>
          <w:jc w:val="center"/>
        </w:trPr>
        <w:tc>
          <w:tcPr>
            <w:tcW w:w="4250" w:type="dxa"/>
            <w:vAlign w:val="center"/>
          </w:tcPr>
          <w:p w:rsidR="004C06C5" w:rsidRDefault="00ED474B">
            <w:pPr>
              <w:spacing w:line="360" w:lineRule="auto"/>
              <w:jc w:val="center"/>
              <w:rPr>
                <w:rFonts w:ascii="宋体" w:hAnsi="宋体"/>
                <w:b/>
                <w:color w:val="000000"/>
                <w:kern w:val="0"/>
                <w:sz w:val="24"/>
              </w:rPr>
            </w:pPr>
            <w:r>
              <w:rPr>
                <w:rFonts w:ascii="宋体" w:hAnsi="宋体" w:hint="eastAsia"/>
                <w:b/>
                <w:color w:val="000000"/>
                <w:kern w:val="0"/>
                <w:sz w:val="24"/>
              </w:rPr>
              <w:t>股东名称</w:t>
            </w:r>
          </w:p>
        </w:tc>
        <w:tc>
          <w:tcPr>
            <w:tcW w:w="1275" w:type="dxa"/>
            <w:vAlign w:val="center"/>
          </w:tcPr>
          <w:p w:rsidR="004C06C5" w:rsidRDefault="00ED474B">
            <w:pPr>
              <w:spacing w:line="360" w:lineRule="auto"/>
              <w:jc w:val="center"/>
              <w:rPr>
                <w:rFonts w:ascii="宋体" w:hAnsi="宋体"/>
                <w:b/>
                <w:color w:val="000000"/>
                <w:kern w:val="0"/>
                <w:sz w:val="24"/>
              </w:rPr>
            </w:pPr>
            <w:r>
              <w:rPr>
                <w:rFonts w:ascii="宋体" w:hAnsi="宋体" w:hint="eastAsia"/>
                <w:b/>
                <w:color w:val="000000"/>
                <w:kern w:val="0"/>
                <w:sz w:val="24"/>
              </w:rPr>
              <w:t>出资比例</w:t>
            </w:r>
          </w:p>
        </w:tc>
      </w:tr>
      <w:tr w:rsidR="004C06C5">
        <w:trPr>
          <w:jc w:val="center"/>
        </w:trPr>
        <w:tc>
          <w:tcPr>
            <w:tcW w:w="4250" w:type="dxa"/>
            <w:vAlign w:val="center"/>
          </w:tcPr>
          <w:p w:rsidR="004C06C5" w:rsidRDefault="00ED474B">
            <w:pPr>
              <w:spacing w:line="360" w:lineRule="auto"/>
              <w:jc w:val="center"/>
              <w:rPr>
                <w:rFonts w:ascii="宋体" w:hAnsi="宋体"/>
                <w:color w:val="000000"/>
                <w:kern w:val="0"/>
                <w:sz w:val="24"/>
              </w:rPr>
            </w:pPr>
            <w:r>
              <w:rPr>
                <w:rFonts w:ascii="宋体" w:hAnsi="宋体" w:hint="eastAsia"/>
                <w:color w:val="000000"/>
                <w:kern w:val="0"/>
                <w:sz w:val="24"/>
              </w:rPr>
              <w:t>广州科技金融创新投资控股有限公司</w:t>
            </w:r>
          </w:p>
        </w:tc>
        <w:tc>
          <w:tcPr>
            <w:tcW w:w="1275" w:type="dxa"/>
            <w:vAlign w:val="center"/>
          </w:tcPr>
          <w:p w:rsidR="004C06C5" w:rsidRDefault="00ED474B">
            <w:pPr>
              <w:spacing w:line="360" w:lineRule="auto"/>
              <w:jc w:val="center"/>
              <w:rPr>
                <w:rFonts w:ascii="宋体" w:hAnsi="宋体"/>
                <w:color w:val="000000"/>
                <w:kern w:val="0"/>
                <w:sz w:val="24"/>
              </w:rPr>
            </w:pPr>
            <w:r>
              <w:rPr>
                <w:rFonts w:ascii="宋体" w:hAnsi="宋体" w:hint="eastAsia"/>
                <w:color w:val="000000"/>
                <w:kern w:val="0"/>
                <w:sz w:val="24"/>
              </w:rPr>
              <w:t>50%</w:t>
            </w:r>
          </w:p>
        </w:tc>
      </w:tr>
      <w:tr w:rsidR="004C06C5">
        <w:trPr>
          <w:jc w:val="center"/>
        </w:trPr>
        <w:tc>
          <w:tcPr>
            <w:tcW w:w="4250" w:type="dxa"/>
            <w:vAlign w:val="center"/>
          </w:tcPr>
          <w:p w:rsidR="004C06C5" w:rsidRDefault="00ED474B">
            <w:pPr>
              <w:spacing w:line="360" w:lineRule="auto"/>
              <w:jc w:val="center"/>
              <w:rPr>
                <w:rFonts w:ascii="宋体" w:hAnsi="宋体"/>
                <w:color w:val="000000"/>
                <w:kern w:val="0"/>
                <w:sz w:val="24"/>
              </w:rPr>
            </w:pPr>
            <w:r>
              <w:rPr>
                <w:rFonts w:ascii="宋体" w:hAnsi="宋体" w:hint="eastAsia"/>
                <w:color w:val="000000"/>
                <w:kern w:val="0"/>
                <w:sz w:val="24"/>
              </w:rPr>
              <w:t>深圳嘉年实业股份有限公司</w:t>
            </w:r>
          </w:p>
        </w:tc>
        <w:tc>
          <w:tcPr>
            <w:tcW w:w="1275" w:type="dxa"/>
            <w:vAlign w:val="center"/>
          </w:tcPr>
          <w:p w:rsidR="004C06C5" w:rsidRDefault="00ED474B">
            <w:pPr>
              <w:spacing w:line="360" w:lineRule="auto"/>
              <w:jc w:val="center"/>
              <w:rPr>
                <w:rFonts w:ascii="宋体" w:hAnsi="宋体"/>
                <w:color w:val="000000"/>
                <w:kern w:val="0"/>
                <w:sz w:val="24"/>
              </w:rPr>
            </w:pPr>
            <w:r>
              <w:rPr>
                <w:rFonts w:ascii="宋体" w:hAnsi="宋体" w:hint="eastAsia"/>
                <w:color w:val="000000"/>
                <w:kern w:val="0"/>
                <w:sz w:val="24"/>
              </w:rPr>
              <w:t>45.1%</w:t>
            </w:r>
          </w:p>
        </w:tc>
      </w:tr>
      <w:tr w:rsidR="004C06C5">
        <w:trPr>
          <w:jc w:val="center"/>
        </w:trPr>
        <w:tc>
          <w:tcPr>
            <w:tcW w:w="4250" w:type="dxa"/>
            <w:vAlign w:val="center"/>
          </w:tcPr>
          <w:p w:rsidR="004C06C5" w:rsidRDefault="00ED474B">
            <w:pPr>
              <w:spacing w:line="360" w:lineRule="auto"/>
              <w:jc w:val="center"/>
              <w:rPr>
                <w:rFonts w:ascii="宋体" w:hAnsi="宋体"/>
                <w:color w:val="000000"/>
                <w:kern w:val="0"/>
                <w:sz w:val="24"/>
              </w:rPr>
            </w:pPr>
            <w:r>
              <w:rPr>
                <w:rFonts w:ascii="宋体" w:hAnsi="宋体" w:hint="eastAsia"/>
                <w:color w:val="000000"/>
                <w:kern w:val="0"/>
                <w:sz w:val="24"/>
              </w:rPr>
              <w:t>湖南典勤投资开发有限公司</w:t>
            </w:r>
          </w:p>
        </w:tc>
        <w:tc>
          <w:tcPr>
            <w:tcW w:w="1275" w:type="dxa"/>
            <w:vAlign w:val="center"/>
          </w:tcPr>
          <w:p w:rsidR="004C06C5" w:rsidRDefault="00ED474B">
            <w:pPr>
              <w:spacing w:line="360" w:lineRule="auto"/>
              <w:jc w:val="center"/>
              <w:rPr>
                <w:rFonts w:ascii="宋体" w:hAnsi="宋体"/>
                <w:color w:val="000000"/>
                <w:kern w:val="0"/>
                <w:sz w:val="24"/>
              </w:rPr>
            </w:pPr>
            <w:r>
              <w:rPr>
                <w:rFonts w:ascii="宋体" w:hAnsi="宋体" w:hint="eastAsia"/>
                <w:color w:val="000000"/>
                <w:kern w:val="0"/>
                <w:sz w:val="24"/>
              </w:rPr>
              <w:t>4.9%</w:t>
            </w:r>
          </w:p>
        </w:tc>
      </w:tr>
    </w:tbl>
    <w:p w:rsidR="004C06C5" w:rsidRDefault="004C06C5">
      <w:pPr>
        <w:adjustRightInd w:val="0"/>
        <w:snapToGrid w:val="0"/>
        <w:spacing w:line="360" w:lineRule="auto"/>
        <w:ind w:firstLineChars="200" w:firstLine="420"/>
        <w:rPr>
          <w:rFonts w:ascii="Arial Unicode MS" w:hAnsi="Arial Unicode MS" w:cs="Arial"/>
          <w:kern w:val="0"/>
          <w:szCs w:val="21"/>
        </w:rPr>
      </w:pPr>
    </w:p>
    <w:p w:rsidR="004C06C5" w:rsidRDefault="00ED474B">
      <w:pPr>
        <w:spacing w:line="360" w:lineRule="auto"/>
        <w:ind w:firstLine="422"/>
        <w:rPr>
          <w:rFonts w:ascii="宋体" w:hAnsi="宋体"/>
          <w:b/>
          <w:kern w:val="0"/>
          <w:szCs w:val="21"/>
        </w:rPr>
      </w:pPr>
      <w:r>
        <w:rPr>
          <w:rFonts w:ascii="宋体" w:hAnsi="宋体" w:hint="eastAsia"/>
          <w:b/>
          <w:kern w:val="0"/>
          <w:szCs w:val="21"/>
        </w:rPr>
        <w:t>二、主要成员情况</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、董事会成员</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Pr>
          <w:rFonts w:ascii="Arial Unicode MS" w:hAnsi="Arial Unicode MS" w:cs="Arial" w:hint="eastAsia"/>
          <w:kern w:val="0"/>
          <w:szCs w:val="21"/>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Pr>
          <w:rFonts w:ascii="Arial Unicode MS" w:hAnsi="Arial Unicode MS" w:cs="Arial" w:hint="eastAsia"/>
          <w:kern w:val="0"/>
          <w:szCs w:val="21"/>
        </w:rPr>
        <w:t>郭容辰女士，董事，北京大学法学硕士，历任交通银行深圳福田支行行长、深圳分行零售信贷部总经理、个人金融部总经理、华夏银行深圳分行个人金融部总经理、金鹰基金管理</w:t>
      </w:r>
      <w:r>
        <w:rPr>
          <w:rFonts w:ascii="Arial Unicode MS" w:hAnsi="Arial Unicode MS" w:cs="Arial" w:hint="eastAsia"/>
          <w:kern w:val="0"/>
          <w:szCs w:val="21"/>
        </w:rPr>
        <w:lastRenderedPageBreak/>
        <w:t>有限公司副总经理，</w:t>
      </w:r>
      <w:r w:rsidR="006C5FB1">
        <w:rPr>
          <w:rFonts w:ascii="Arial Unicode MS" w:hAnsi="Arial Unicode MS" w:cs="Arial" w:hint="eastAsia"/>
          <w:kern w:val="0"/>
          <w:szCs w:val="21"/>
        </w:rPr>
        <w:t>历任</w:t>
      </w:r>
      <w:r>
        <w:rPr>
          <w:rFonts w:ascii="Arial Unicode MS" w:hAnsi="Arial Unicode MS" w:cs="Arial" w:hint="eastAsia"/>
          <w:kern w:val="0"/>
          <w:szCs w:val="21"/>
        </w:rPr>
        <w:t>富</w:t>
      </w:r>
      <w:proofErr w:type="gramStart"/>
      <w:r>
        <w:rPr>
          <w:rFonts w:ascii="Arial Unicode MS" w:hAnsi="Arial Unicode MS" w:cs="Arial" w:hint="eastAsia"/>
          <w:kern w:val="0"/>
          <w:szCs w:val="21"/>
        </w:rPr>
        <w:t>荣基金</w:t>
      </w:r>
      <w:proofErr w:type="gramEnd"/>
      <w:r>
        <w:rPr>
          <w:rFonts w:ascii="Arial Unicode MS" w:hAnsi="Arial Unicode MS" w:cs="Arial" w:hint="eastAsia"/>
          <w:kern w:val="0"/>
          <w:szCs w:val="21"/>
        </w:rPr>
        <w:t>管理有限公司总经理。</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Pr>
          <w:rFonts w:ascii="Arial Unicode MS" w:hAnsi="Arial Unicode MS" w:cs="Arial" w:hint="eastAsia"/>
          <w:kern w:val="0"/>
          <w:szCs w:val="21"/>
        </w:rPr>
        <w:t>罗劲先生，董事，湖南大学工商管理硕士。曾任广州农村商业银行股份有限公司华夏支行集团客户事业部副总经理。</w:t>
      </w:r>
      <w:r>
        <w:rPr>
          <w:rFonts w:ascii="宋体" w:hAnsi="宋体" w:hint="eastAsia"/>
          <w:color w:val="000000"/>
          <w:kern w:val="0"/>
          <w:szCs w:val="21"/>
        </w:rPr>
        <w:t>现任广州汇</w:t>
      </w:r>
      <w:proofErr w:type="gramStart"/>
      <w:r>
        <w:rPr>
          <w:rFonts w:ascii="宋体" w:hAnsi="宋体" w:hint="eastAsia"/>
          <w:color w:val="000000"/>
          <w:kern w:val="0"/>
          <w:szCs w:val="21"/>
        </w:rPr>
        <w:t>垠澳丰</w:t>
      </w:r>
      <w:proofErr w:type="gramEnd"/>
      <w:r>
        <w:rPr>
          <w:rFonts w:ascii="宋体" w:hAnsi="宋体" w:hint="eastAsia"/>
          <w:color w:val="000000"/>
          <w:kern w:val="0"/>
          <w:szCs w:val="21"/>
        </w:rPr>
        <w:t>股权投资基金管理有限公司常务副总经理、四川汇源光通信股份有限公司董事长、</w:t>
      </w:r>
      <w:r>
        <w:rPr>
          <w:rFonts w:ascii="Arial Unicode MS" w:hAnsi="Arial Unicode MS" w:cs="Arial" w:hint="eastAsia"/>
          <w:kern w:val="0"/>
          <w:szCs w:val="21"/>
        </w:rPr>
        <w:t>富荣基金管理有限公司董事。</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Pr>
          <w:rFonts w:ascii="Arial Unicode MS" w:hAnsi="Arial Unicode MS" w:cs="Arial" w:hint="eastAsia"/>
          <w:kern w:val="0"/>
          <w:szCs w:val="21"/>
        </w:rPr>
        <w:t>郭涛先生，董事，上海高级金融学院研究生（在读）。</w:t>
      </w:r>
      <w:r>
        <w:rPr>
          <w:rFonts w:ascii="宋体" w:hAnsi="宋体" w:hint="eastAsia"/>
          <w:color w:val="000000"/>
          <w:kern w:val="0"/>
          <w:szCs w:val="21"/>
        </w:rPr>
        <w:t>现任深圳市益德置业有限公司总经理、深圳福元德租赁有限公司董事长兼总经理、</w:t>
      </w:r>
      <w:proofErr w:type="gramStart"/>
      <w:r>
        <w:rPr>
          <w:rFonts w:ascii="宋体" w:hAnsi="宋体" w:hint="eastAsia"/>
          <w:color w:val="000000"/>
          <w:kern w:val="0"/>
          <w:szCs w:val="21"/>
        </w:rPr>
        <w:t>深圳融博融资租赁</w:t>
      </w:r>
      <w:proofErr w:type="gramEnd"/>
      <w:r>
        <w:rPr>
          <w:rFonts w:ascii="宋体" w:hAnsi="宋体" w:hint="eastAsia"/>
          <w:color w:val="000000"/>
          <w:kern w:val="0"/>
          <w:szCs w:val="21"/>
        </w:rPr>
        <w:t>有限公司董事长兼总经理、深圳市天汇</w:t>
      </w:r>
      <w:proofErr w:type="gramStart"/>
      <w:r>
        <w:rPr>
          <w:rFonts w:ascii="宋体" w:hAnsi="宋体" w:hint="eastAsia"/>
          <w:color w:val="000000"/>
          <w:kern w:val="0"/>
          <w:szCs w:val="21"/>
        </w:rPr>
        <w:t>鑫</w:t>
      </w:r>
      <w:proofErr w:type="gramEnd"/>
      <w:r>
        <w:rPr>
          <w:rFonts w:ascii="宋体" w:hAnsi="宋体" w:hint="eastAsia"/>
          <w:color w:val="000000"/>
          <w:kern w:val="0"/>
          <w:szCs w:val="21"/>
        </w:rPr>
        <w:t>达担保有限公司总经理、</w:t>
      </w:r>
      <w:proofErr w:type="gramStart"/>
      <w:r>
        <w:rPr>
          <w:rFonts w:ascii="宋体" w:hAnsi="宋体" w:hint="eastAsia"/>
          <w:color w:val="000000"/>
          <w:kern w:val="0"/>
          <w:szCs w:val="21"/>
        </w:rPr>
        <w:t>深圳市亿尔德</w:t>
      </w:r>
      <w:proofErr w:type="gramEnd"/>
      <w:r>
        <w:rPr>
          <w:rFonts w:ascii="宋体" w:hAnsi="宋体" w:hint="eastAsia"/>
          <w:color w:val="000000"/>
          <w:kern w:val="0"/>
          <w:szCs w:val="21"/>
        </w:rPr>
        <w:t>投资有限公司法人、嘉年实业股份有限公司董事、</w:t>
      </w:r>
      <w:r>
        <w:rPr>
          <w:rFonts w:ascii="Arial Unicode MS" w:hAnsi="Arial Unicode MS" w:cs="Arial" w:hint="eastAsia"/>
          <w:kern w:val="0"/>
          <w:szCs w:val="21"/>
        </w:rPr>
        <w:t>富荣基金管理有限公司董事。</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宋体" w:hAnsi="宋体"/>
          <w:color w:val="000000"/>
          <w:kern w:val="0"/>
          <w:szCs w:val="21"/>
        </w:rPr>
      </w:pPr>
      <w:r>
        <w:rPr>
          <w:rFonts w:ascii="宋体" w:hAnsi="宋体" w:hint="eastAsia"/>
          <w:color w:val="000000"/>
          <w:kern w:val="0"/>
          <w:szCs w:val="21"/>
        </w:rPr>
        <w:t>李金声先生</w:t>
      </w:r>
      <w:r w:rsidR="00403C10">
        <w:rPr>
          <w:rFonts w:ascii="宋体" w:hAnsi="宋体" w:hint="eastAsia"/>
          <w:color w:val="000000"/>
          <w:kern w:val="0"/>
          <w:szCs w:val="21"/>
        </w:rPr>
        <w:t>，董事</w:t>
      </w:r>
      <w:r w:rsidR="005A383E">
        <w:rPr>
          <w:rFonts w:ascii="宋体" w:hAnsi="宋体" w:hint="eastAsia"/>
          <w:color w:val="000000"/>
          <w:kern w:val="0"/>
          <w:szCs w:val="21"/>
        </w:rPr>
        <w:t>，</w:t>
      </w:r>
      <w:r>
        <w:rPr>
          <w:rFonts w:ascii="宋体" w:hAnsi="宋体"/>
          <w:color w:val="000000"/>
          <w:kern w:val="0"/>
          <w:szCs w:val="21"/>
        </w:rPr>
        <w:t>1956年2月生，研究生博士。于2016年2月起退休。历任黑龙江阿城糖厂电站汽轮发电工人、黑龙江财政厅商业处商业会计财务干部、黑龙江省府财办、办公厅三办、省长办干部。中国银行哈尔滨分行办公室副主任、广发银行总行办公室主任、广发银行总行稽核部总经理、广发银行总行资金部总经理、筹建广发银行广州分行筹备组副组长、广发银行广州分行副行长、党委书记、行长；广发银行总稽核、党委委员、监事会负责人、监事长职务。</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Pr>
          <w:rFonts w:ascii="宋体" w:hAnsi="宋体" w:hint="eastAsia"/>
          <w:color w:val="000000"/>
          <w:kern w:val="0"/>
          <w:szCs w:val="21"/>
        </w:rPr>
        <w:t>李晓英女士</w:t>
      </w:r>
      <w:r w:rsidR="00403C10">
        <w:rPr>
          <w:rFonts w:ascii="宋体" w:hAnsi="宋体" w:hint="eastAsia"/>
          <w:color w:val="000000"/>
          <w:kern w:val="0"/>
          <w:szCs w:val="21"/>
        </w:rPr>
        <w:t>，董事</w:t>
      </w:r>
      <w:r w:rsidR="005A383E">
        <w:rPr>
          <w:rFonts w:ascii="宋体" w:hAnsi="宋体" w:hint="eastAsia"/>
          <w:color w:val="000000"/>
          <w:kern w:val="0"/>
          <w:szCs w:val="21"/>
        </w:rPr>
        <w:t>，</w:t>
      </w:r>
      <w:r>
        <w:rPr>
          <w:rFonts w:ascii="宋体" w:hAnsi="宋体"/>
          <w:color w:val="000000"/>
          <w:kern w:val="0"/>
          <w:szCs w:val="21"/>
        </w:rPr>
        <w:t>1983年2月生，大学本科学士。现任广东一粤律师事务所专职律师。曾任广东同益律师事务所专职律师。主要从事法律顾问、商事诉讼、仲裁等。</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Pr>
          <w:rFonts w:ascii="Arial Unicode MS" w:hAnsi="Arial Unicode MS" w:cs="Arial" w:hint="eastAsia"/>
          <w:kern w:val="0"/>
          <w:szCs w:val="21"/>
        </w:rPr>
        <w:t>余</w:t>
      </w:r>
      <w:proofErr w:type="gramStart"/>
      <w:r>
        <w:rPr>
          <w:rFonts w:ascii="Arial Unicode MS" w:hAnsi="Arial Unicode MS" w:cs="Arial" w:hint="eastAsia"/>
          <w:kern w:val="0"/>
          <w:szCs w:val="21"/>
        </w:rPr>
        <w:t>关健</w:t>
      </w:r>
      <w:proofErr w:type="gramEnd"/>
      <w:r>
        <w:rPr>
          <w:rFonts w:ascii="Arial Unicode MS" w:hAnsi="Arial Unicode MS" w:cs="Arial" w:hint="eastAsia"/>
          <w:kern w:val="0"/>
          <w:szCs w:val="21"/>
        </w:rPr>
        <w:t>先生，独立董事，西南财经大学工业经济硕士研究生。曾任中国银行深圳分行信贷处处长、中国银行深圳分行风险管理处处长、深圳赛格、深圳特发集团董事、</w:t>
      </w:r>
      <w:proofErr w:type="gramStart"/>
      <w:r>
        <w:rPr>
          <w:rFonts w:ascii="Arial Unicode MS" w:hAnsi="Arial Unicode MS" w:cs="Arial" w:hint="eastAsia"/>
          <w:kern w:val="0"/>
          <w:szCs w:val="21"/>
        </w:rPr>
        <w:t>邦</w:t>
      </w:r>
      <w:proofErr w:type="gramEnd"/>
      <w:r>
        <w:rPr>
          <w:rFonts w:ascii="Arial Unicode MS" w:hAnsi="Arial Unicode MS" w:cs="Arial" w:hint="eastAsia"/>
          <w:kern w:val="0"/>
          <w:szCs w:val="21"/>
        </w:rPr>
        <w:t>信资产管理公司董事总经理、对外贸易集团股份有限公司董事长、东方资产管理公司办事处总经理，现任东银实业（深圳）有限公司董事、深圳金田股份有限公司独立董事、富荣基金管理有限公司独立董事。</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、监事会成员</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Pr>
          <w:rFonts w:ascii="Arial Unicode MS" w:hAnsi="Arial Unicode MS" w:cs="Arial" w:hint="eastAsia"/>
          <w:kern w:val="0"/>
          <w:szCs w:val="21"/>
        </w:rPr>
        <w:t>基金管理人不设监事会，设监事两名，其中一名为职工监事。</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卢伟女士，监事，大专。</w:t>
      </w:r>
      <w:proofErr w:type="gramStart"/>
      <w:r>
        <w:rPr>
          <w:rFonts w:ascii="Arial Unicode MS" w:hAnsi="Arial Unicode MS" w:cs="Arial" w:hint="eastAsia"/>
          <w:kern w:val="0"/>
          <w:szCs w:val="21"/>
        </w:rPr>
        <w:t>在盈投控股</w:t>
      </w:r>
      <w:proofErr w:type="gramEnd"/>
      <w:r>
        <w:rPr>
          <w:rFonts w:ascii="Arial Unicode MS" w:hAnsi="Arial Unicode MS" w:cs="Arial" w:hint="eastAsia"/>
          <w:kern w:val="0"/>
          <w:szCs w:val="21"/>
        </w:rPr>
        <w:t>有限公司任职，现任富荣基金管理有限公司监事。</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Pr>
          <w:rFonts w:ascii="Arial Unicode MS" w:hAnsi="Arial Unicode MS" w:cs="Arial" w:hint="eastAsia"/>
          <w:kern w:val="0"/>
          <w:szCs w:val="21"/>
        </w:rPr>
        <w:t>魏丽红女士，职工监事，本科。现任富荣基金管理有限公司监事。</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Pr>
          <w:rFonts w:ascii="Arial Unicode MS" w:hAnsi="Arial Unicode MS" w:cs="Arial" w:hint="eastAsia"/>
          <w:kern w:val="0"/>
          <w:szCs w:val="21"/>
        </w:rPr>
        <w:t>3</w:t>
      </w:r>
      <w:r>
        <w:rPr>
          <w:rFonts w:ascii="Arial Unicode MS" w:hAnsi="Arial Unicode MS" w:cs="Arial" w:hint="eastAsia"/>
          <w:kern w:val="0"/>
          <w:szCs w:val="21"/>
        </w:rPr>
        <w:t>、高级管理人员</w:t>
      </w:r>
    </w:p>
    <w:p w:rsidR="005A383E" w:rsidRDefault="00ED474B" w:rsidP="00CC73AB">
      <w:pPr>
        <w:tabs>
          <w:tab w:val="left" w:pos="3780"/>
        </w:tabs>
        <w:autoSpaceDE w:val="0"/>
        <w:autoSpaceDN w:val="0"/>
        <w:adjustRightInd w:val="0"/>
        <w:snapToGrid w:val="0"/>
        <w:spacing w:line="360" w:lineRule="auto"/>
        <w:ind w:firstLineChars="200" w:firstLine="420"/>
        <w:textAlignment w:val="bottom"/>
        <w:rPr>
          <w:rFonts w:ascii="宋体" w:hAnsi="宋体"/>
          <w:color w:val="000000"/>
          <w:kern w:val="0"/>
          <w:szCs w:val="21"/>
        </w:rPr>
      </w:pPr>
      <w:r>
        <w:rPr>
          <w:rFonts w:ascii="Arial Unicode MS" w:hAnsi="Arial Unicode MS" w:cs="Arial" w:hint="eastAsia"/>
          <w:kern w:val="0"/>
          <w:szCs w:val="21"/>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Pr>
          <w:rFonts w:ascii="Arial Unicode MS" w:hAnsi="Arial Unicode MS" w:cs="Arial" w:hint="eastAsia"/>
          <w:kern w:val="0"/>
          <w:szCs w:val="21"/>
        </w:rPr>
        <w:t>苏春华先生</w:t>
      </w:r>
      <w:r>
        <w:rPr>
          <w:rFonts w:ascii="Arial Unicode MS" w:hAnsi="Arial Unicode MS" w:cs="Arial" w:hint="eastAsia"/>
          <w:kern w:val="0"/>
          <w:szCs w:val="21"/>
        </w:rPr>
        <w:t>,</w:t>
      </w:r>
      <w:r>
        <w:rPr>
          <w:rFonts w:ascii="Arial Unicode MS" w:hAnsi="Arial Unicode MS" w:cs="Arial" w:hint="eastAsia"/>
          <w:kern w:val="0"/>
          <w:szCs w:val="21"/>
        </w:rPr>
        <w:t>副总经理、首席投资官，中山大学硕士研究生，曾任广州期货贸易有限公司期货研究员、君安证券广州营业部高级分析员、光大银行广州证券部副经理兼研究室主任、广州银行资金营运中心总经理兼首席交易员，历任广东华兴银行金融市场部总经理、金融市</w:t>
      </w:r>
      <w:r>
        <w:rPr>
          <w:rFonts w:ascii="Arial Unicode MS" w:hAnsi="Arial Unicode MS" w:cs="Arial" w:hint="eastAsia"/>
          <w:kern w:val="0"/>
          <w:szCs w:val="21"/>
        </w:rPr>
        <w:lastRenderedPageBreak/>
        <w:t>场条</w:t>
      </w:r>
      <w:proofErr w:type="gramStart"/>
      <w:r>
        <w:rPr>
          <w:rFonts w:ascii="Arial Unicode MS" w:hAnsi="Arial Unicode MS" w:cs="Arial" w:hint="eastAsia"/>
          <w:kern w:val="0"/>
          <w:szCs w:val="21"/>
        </w:rPr>
        <w:t>线业务</w:t>
      </w:r>
      <w:proofErr w:type="gramEnd"/>
      <w:r>
        <w:rPr>
          <w:rFonts w:ascii="Arial Unicode MS" w:hAnsi="Arial Unicode MS" w:cs="Arial" w:hint="eastAsia"/>
          <w:kern w:val="0"/>
          <w:szCs w:val="21"/>
        </w:rPr>
        <w:t>总监、总行副行长，现任富荣基金管理有限公司副总经理、首席投资官。</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Pr>
          <w:rFonts w:ascii="Arial Unicode MS" w:hAnsi="Arial Unicode MS" w:cs="Arial" w:hint="eastAsia"/>
          <w:kern w:val="0"/>
          <w:szCs w:val="21"/>
        </w:rPr>
        <w:t>李东育先生，副总经理，中山大学岭南学院</w:t>
      </w:r>
      <w:r>
        <w:rPr>
          <w:rFonts w:ascii="Arial Unicode MS" w:hAnsi="Arial Unicode MS" w:cs="Arial" w:hint="eastAsia"/>
          <w:kern w:val="0"/>
          <w:szCs w:val="21"/>
        </w:rPr>
        <w:t>EMBA</w:t>
      </w:r>
      <w:r>
        <w:rPr>
          <w:rFonts w:ascii="Arial Unicode MS" w:hAnsi="Arial Unicode MS" w:cs="Arial" w:hint="eastAsia"/>
          <w:kern w:val="0"/>
          <w:szCs w:val="21"/>
        </w:rPr>
        <w:t>硕士，曾任银河基金管理有限公司华南地区渠道</w:t>
      </w:r>
      <w:proofErr w:type="gramStart"/>
      <w:r>
        <w:rPr>
          <w:rFonts w:ascii="Arial Unicode MS" w:hAnsi="Arial Unicode MS" w:cs="Arial" w:hint="eastAsia"/>
          <w:kern w:val="0"/>
          <w:szCs w:val="21"/>
        </w:rPr>
        <w:t>销售销售</w:t>
      </w:r>
      <w:proofErr w:type="gramEnd"/>
      <w:r>
        <w:rPr>
          <w:rFonts w:ascii="Arial Unicode MS" w:hAnsi="Arial Unicode MS" w:cs="Arial" w:hint="eastAsia"/>
          <w:kern w:val="0"/>
          <w:szCs w:val="21"/>
        </w:rPr>
        <w:t>总监，泰达宏利基金管理有限公司华南区总经理，金信基金管理有限公司总经理助理，</w:t>
      </w:r>
      <w:proofErr w:type="gramStart"/>
      <w:r>
        <w:rPr>
          <w:rFonts w:ascii="Arial Unicode MS" w:hAnsi="Arial Unicode MS" w:cs="Arial" w:hint="eastAsia"/>
          <w:kern w:val="0"/>
          <w:szCs w:val="21"/>
        </w:rPr>
        <w:t>华润元大</w:t>
      </w:r>
      <w:proofErr w:type="gramEnd"/>
      <w:r>
        <w:rPr>
          <w:rFonts w:ascii="Arial Unicode MS" w:hAnsi="Arial Unicode MS" w:cs="Arial" w:hint="eastAsia"/>
          <w:kern w:val="0"/>
          <w:szCs w:val="21"/>
        </w:rPr>
        <w:t>基金管理有限公司总经理助理。现任富荣基金管理有限公司副总经理，分管市场、信息技术、基金事务管理等板块工作。</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Pr>
          <w:rFonts w:ascii="Arial Unicode MS" w:hAnsi="Arial Unicode MS" w:cs="Arial" w:hint="eastAsia"/>
          <w:kern w:val="0"/>
          <w:szCs w:val="21"/>
        </w:rPr>
        <w:t>4</w:t>
      </w:r>
      <w:r>
        <w:rPr>
          <w:rFonts w:ascii="Arial Unicode MS" w:hAnsi="Arial Unicode MS" w:cs="Arial" w:hint="eastAsia"/>
          <w:kern w:val="0"/>
          <w:szCs w:val="21"/>
        </w:rPr>
        <w:t>、本</w:t>
      </w:r>
      <w:proofErr w:type="gramStart"/>
      <w:r>
        <w:rPr>
          <w:rFonts w:ascii="Arial Unicode MS" w:hAnsi="Arial Unicode MS" w:cs="Arial" w:hint="eastAsia"/>
          <w:kern w:val="0"/>
          <w:szCs w:val="21"/>
        </w:rPr>
        <w:t>基金基金</w:t>
      </w:r>
      <w:proofErr w:type="gramEnd"/>
      <w:r>
        <w:rPr>
          <w:rFonts w:ascii="Arial Unicode MS" w:hAnsi="Arial Unicode MS" w:cs="Arial" w:hint="eastAsia"/>
          <w:kern w:val="0"/>
          <w:szCs w:val="21"/>
        </w:rPr>
        <w:t>经理</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Pr>
          <w:rFonts w:ascii="Arial Unicode MS" w:hAnsi="Arial Unicode MS" w:cs="Arial" w:hint="eastAsia"/>
          <w:kern w:val="0"/>
          <w:szCs w:val="21"/>
        </w:rPr>
        <w:t>吕晓蓉女士，清华大学工商管理硕士，曾任普华永道中天会计师事务所审计师、嘉</w:t>
      </w:r>
      <w:proofErr w:type="gramStart"/>
      <w:r>
        <w:rPr>
          <w:rFonts w:ascii="Arial Unicode MS" w:hAnsi="Arial Unicode MS" w:cs="Arial" w:hint="eastAsia"/>
          <w:kern w:val="0"/>
          <w:szCs w:val="21"/>
        </w:rPr>
        <w:t>实基金</w:t>
      </w:r>
      <w:proofErr w:type="gramEnd"/>
      <w:r>
        <w:rPr>
          <w:rFonts w:ascii="Arial Unicode MS" w:hAnsi="Arial Unicode MS" w:cs="Arial" w:hint="eastAsia"/>
          <w:kern w:val="0"/>
          <w:szCs w:val="21"/>
        </w:rPr>
        <w:t>管理有限公司组合头寸管理、新股、信用债、转债研究员，现任富荣基金管理有限公司基金经理。</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Pr>
          <w:rFonts w:ascii="Arial Unicode MS" w:hAnsi="Arial Unicode MS" w:cs="Arial" w:hint="eastAsia"/>
          <w:kern w:val="0"/>
          <w:szCs w:val="21"/>
        </w:rPr>
        <w:t>王丹女士，北京大学管理学硕士、理学学士，</w:t>
      </w:r>
      <w:r>
        <w:rPr>
          <w:rFonts w:ascii="Arial Unicode MS" w:hAnsi="Arial Unicode MS" w:cs="Arial" w:hint="eastAsia"/>
          <w:kern w:val="0"/>
          <w:szCs w:val="21"/>
        </w:rPr>
        <w:t>8</w:t>
      </w:r>
      <w:r>
        <w:rPr>
          <w:rFonts w:ascii="Arial Unicode MS" w:hAnsi="Arial Unicode MS" w:cs="Arial" w:hint="eastAsia"/>
          <w:kern w:val="0"/>
          <w:szCs w:val="21"/>
        </w:rPr>
        <w:t>年金融行业从业经验。历任</w:t>
      </w:r>
      <w:proofErr w:type="gramStart"/>
      <w:r>
        <w:rPr>
          <w:rFonts w:ascii="Arial Unicode MS" w:hAnsi="Arial Unicode MS" w:cs="Arial" w:hint="eastAsia"/>
          <w:kern w:val="0"/>
          <w:szCs w:val="21"/>
        </w:rPr>
        <w:t>华融证券股份有限公司固收</w:t>
      </w:r>
      <w:proofErr w:type="gramEnd"/>
      <w:r>
        <w:rPr>
          <w:rFonts w:ascii="Arial Unicode MS" w:hAnsi="Arial Unicode MS" w:cs="Arial" w:hint="eastAsia"/>
          <w:kern w:val="0"/>
          <w:szCs w:val="21"/>
        </w:rPr>
        <w:t>研究、交易主管；嘉</w:t>
      </w:r>
      <w:proofErr w:type="gramStart"/>
      <w:r>
        <w:rPr>
          <w:rFonts w:ascii="Arial Unicode MS" w:hAnsi="Arial Unicode MS" w:cs="Arial" w:hint="eastAsia"/>
          <w:kern w:val="0"/>
          <w:szCs w:val="21"/>
        </w:rPr>
        <w:t>实基金</w:t>
      </w:r>
      <w:proofErr w:type="gramEnd"/>
      <w:r>
        <w:rPr>
          <w:rFonts w:ascii="Arial Unicode MS" w:hAnsi="Arial Unicode MS" w:cs="Arial" w:hint="eastAsia"/>
          <w:kern w:val="0"/>
          <w:szCs w:val="21"/>
        </w:rPr>
        <w:t>管理有限公司投资经理；长盛基金管理有限公司债券交易员；</w:t>
      </w:r>
      <w:proofErr w:type="gramStart"/>
      <w:r>
        <w:rPr>
          <w:rFonts w:ascii="Arial Unicode MS" w:hAnsi="Arial Unicode MS" w:cs="Arial" w:hint="eastAsia"/>
          <w:kern w:val="0"/>
          <w:szCs w:val="21"/>
        </w:rPr>
        <w:t>寰</w:t>
      </w:r>
      <w:proofErr w:type="gramEnd"/>
      <w:r>
        <w:rPr>
          <w:rFonts w:ascii="Arial Unicode MS" w:hAnsi="Arial Unicode MS" w:cs="Arial" w:hint="eastAsia"/>
          <w:kern w:val="0"/>
          <w:szCs w:val="21"/>
        </w:rPr>
        <w:t>富投资咨询上海有限公司金融衍生品交易员。现任富荣基金管理有限公司基金经理。</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Pr>
          <w:rFonts w:ascii="Arial Unicode MS" w:hAnsi="Arial Unicode MS" w:cs="Arial"/>
          <w:kern w:val="0"/>
          <w:szCs w:val="21"/>
        </w:rPr>
        <w:t>5</w:t>
      </w:r>
      <w:r>
        <w:rPr>
          <w:rFonts w:ascii="Arial Unicode MS" w:hAnsi="Arial Unicode MS" w:cs="Arial" w:hint="eastAsia"/>
          <w:kern w:val="0"/>
          <w:szCs w:val="21"/>
        </w:rPr>
        <w:t>、投资决策委员会成员的姓名、职务</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Pr>
          <w:rFonts w:ascii="Arial Unicode MS" w:hAnsi="Arial Unicode MS" w:cs="Arial" w:hint="eastAsia"/>
          <w:kern w:val="0"/>
          <w:szCs w:val="21"/>
        </w:rPr>
        <w:t>苏春华先生，投资决策委员会主任委员、副总经理、首席投资官。</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Pr>
          <w:rFonts w:ascii="Arial Unicode MS" w:hAnsi="Arial Unicode MS" w:cs="Arial" w:hint="eastAsia"/>
          <w:kern w:val="0"/>
          <w:szCs w:val="21"/>
        </w:rPr>
        <w:t>吕晓蓉女士，投资决策委员会委员、固定收益部副总监、基金经理。</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Pr>
          <w:rFonts w:ascii="Arial Unicode MS" w:hAnsi="Arial Unicode MS" w:cs="Arial" w:hint="eastAsia"/>
          <w:kern w:val="0"/>
          <w:szCs w:val="21"/>
        </w:rPr>
        <w:t>邓宇翔先生，投资决策委员会委员、权益投资部总监、研究部总监、基金经理。</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Pr>
          <w:rFonts w:ascii="Arial Unicode MS" w:hAnsi="Arial Unicode MS" w:cs="Arial" w:hint="eastAsia"/>
          <w:kern w:val="0"/>
          <w:szCs w:val="21"/>
        </w:rPr>
        <w:t>王丹女士，投资决策委员会委员、基金经理。</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kern w:val="0"/>
          <w:szCs w:val="21"/>
        </w:rPr>
        <w:t>6</w:t>
      </w:r>
      <w:r>
        <w:rPr>
          <w:rFonts w:ascii="Arial Unicode MS" w:hAnsi="Arial Unicode MS" w:cs="Arial" w:hint="eastAsia"/>
          <w:kern w:val="0"/>
          <w:szCs w:val="21"/>
        </w:rPr>
        <w:t>、上述人员之间不存在近亲属关系。</w:t>
      </w:r>
    </w:p>
    <w:p w:rsidR="004C06C5" w:rsidRDefault="00ED474B">
      <w:pPr>
        <w:tabs>
          <w:tab w:val="left" w:pos="3780"/>
        </w:tabs>
        <w:autoSpaceDE w:val="0"/>
        <w:autoSpaceDN w:val="0"/>
        <w:adjustRightInd w:val="0"/>
        <w:snapToGrid w:val="0"/>
        <w:spacing w:line="360" w:lineRule="auto"/>
        <w:ind w:firstLineChars="200" w:firstLine="422"/>
        <w:textAlignment w:val="bottom"/>
        <w:rPr>
          <w:rFonts w:ascii="Arial Unicode MS" w:hAnsi="Arial Unicode MS" w:cs="Arial"/>
          <w:b/>
          <w:bCs/>
          <w:szCs w:val="21"/>
        </w:rPr>
      </w:pPr>
      <w:r>
        <w:rPr>
          <w:rFonts w:ascii="Arial Unicode MS" w:hAnsi="Arial Unicode MS" w:cs="Arial" w:hint="eastAsia"/>
          <w:b/>
          <w:bCs/>
          <w:szCs w:val="21"/>
        </w:rPr>
        <w:t>三、</w:t>
      </w:r>
      <w:r>
        <w:rPr>
          <w:rFonts w:ascii="Arial Unicode MS" w:hAnsi="Arial Unicode MS" w:cs="Arial"/>
          <w:b/>
          <w:bCs/>
          <w:szCs w:val="21"/>
        </w:rPr>
        <w:t>基金管理人的职责</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Pr>
          <w:rFonts w:ascii="Arial Unicode MS" w:hAnsi="Arial Unicode MS" w:cs="Arial"/>
          <w:kern w:val="0"/>
          <w:szCs w:val="21"/>
        </w:rPr>
        <w:t>1</w:t>
      </w:r>
      <w:r>
        <w:rPr>
          <w:rFonts w:ascii="Arial Unicode MS" w:hAnsi="Arial Unicode MS" w:cs="Arial" w:hint="eastAsia"/>
          <w:kern w:val="0"/>
          <w:szCs w:val="21"/>
        </w:rPr>
        <w:t>、依法募集资金，办理或者委托经中国证监会认定的其他机构代为办理基金份额的发售、申购、赎回和登记事宜；</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Pr>
          <w:rFonts w:ascii="Arial Unicode MS" w:hAnsi="Arial Unicode MS" w:cs="Arial"/>
          <w:kern w:val="0"/>
          <w:szCs w:val="21"/>
        </w:rPr>
        <w:t>2</w:t>
      </w:r>
      <w:r>
        <w:rPr>
          <w:rFonts w:ascii="Arial Unicode MS" w:hAnsi="Arial Unicode MS" w:cs="Arial" w:hint="eastAsia"/>
          <w:kern w:val="0"/>
          <w:szCs w:val="21"/>
        </w:rPr>
        <w:t>、办理基金备案手续；</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Pr>
          <w:rFonts w:ascii="Arial Unicode MS" w:hAnsi="Arial Unicode MS" w:cs="Arial"/>
          <w:kern w:val="0"/>
          <w:szCs w:val="21"/>
        </w:rPr>
        <w:t>3</w:t>
      </w:r>
      <w:r>
        <w:rPr>
          <w:rFonts w:ascii="Arial Unicode MS" w:hAnsi="Arial Unicode MS" w:cs="Arial" w:hint="eastAsia"/>
          <w:kern w:val="0"/>
          <w:szCs w:val="21"/>
        </w:rPr>
        <w:t>、自《基金合同》生效之日起，以诚实信用、谨慎勤勉的原则管理和运用基金财产；</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4</w:t>
      </w:r>
      <w:r>
        <w:rPr>
          <w:rFonts w:ascii="Arial Unicode MS" w:hAnsi="Arial Unicode MS" w:cs="Arial" w:hint="eastAsia"/>
          <w:bCs/>
          <w:szCs w:val="21"/>
        </w:rPr>
        <w:t>、配备足够的具有专业资格的人员进行基金投资分析、决策，以专业化的经营方式管理和运作基金财产；</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5</w:t>
      </w:r>
      <w:r>
        <w:rPr>
          <w:rFonts w:ascii="Arial Unicode MS" w:hAnsi="Arial Unicode MS" w:cs="Arial" w:hint="eastAsia"/>
          <w:bCs/>
          <w:szCs w:val="21"/>
        </w:rPr>
        <w:t>、建立健全内部风险控制、监察与稽核、财务管理及人事管理等制度，保证所管理的基金财产和基金管理人的财产相互独立，对所管理的不同基金分别管理，分别记账，进行证券投资；</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6</w:t>
      </w:r>
      <w:r>
        <w:rPr>
          <w:rFonts w:ascii="Arial Unicode MS" w:hAnsi="Arial Unicode MS" w:cs="Arial" w:hint="eastAsia"/>
          <w:bCs/>
          <w:szCs w:val="21"/>
        </w:rPr>
        <w:t>、除依据《基金法》、《基金合同》及其他有关规定外，不得利用基金财产为自己及任</w:t>
      </w:r>
      <w:r>
        <w:rPr>
          <w:rFonts w:ascii="Arial Unicode MS" w:hAnsi="Arial Unicode MS" w:cs="Arial" w:hint="eastAsia"/>
          <w:bCs/>
          <w:szCs w:val="21"/>
        </w:rPr>
        <w:lastRenderedPageBreak/>
        <w:t>何第三人谋取利益，不得委托第三人运作基金财产；</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7</w:t>
      </w:r>
      <w:r>
        <w:rPr>
          <w:rFonts w:ascii="Arial Unicode MS" w:hAnsi="Arial Unicode MS" w:cs="Arial" w:hint="eastAsia"/>
          <w:bCs/>
          <w:szCs w:val="21"/>
        </w:rPr>
        <w:t>、依法接受基金托管人的监督；</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8</w:t>
      </w:r>
      <w:r>
        <w:rPr>
          <w:rFonts w:ascii="Arial Unicode MS" w:hAnsi="Arial Unicode MS" w:cs="Arial" w:hint="eastAsia"/>
          <w:bCs/>
          <w:szCs w:val="21"/>
        </w:rPr>
        <w:t>、采取适当合理的措施使计算基金份额认购、申购、赎回和注销价格的方法符合《基金合同》等法律文件的规定，按有关规定计算并公告基金净值信息，确定基金份额申购、赎回对价，编制申购赎回清单；</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9</w:t>
      </w:r>
      <w:r>
        <w:rPr>
          <w:rFonts w:ascii="Arial Unicode MS" w:hAnsi="Arial Unicode MS" w:cs="Arial" w:hint="eastAsia"/>
          <w:bCs/>
          <w:szCs w:val="21"/>
        </w:rPr>
        <w:t>、进行基金会计核算并编制基金财务会计报告；</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10</w:t>
      </w:r>
      <w:r>
        <w:rPr>
          <w:rFonts w:ascii="Arial Unicode MS" w:hAnsi="Arial Unicode MS" w:cs="Arial" w:hint="eastAsia"/>
          <w:bCs/>
          <w:szCs w:val="21"/>
        </w:rPr>
        <w:t>、编制季度报告、中期</w:t>
      </w:r>
      <w:r>
        <w:rPr>
          <w:rFonts w:ascii="Arial Unicode MS" w:hAnsi="Arial Unicode MS" w:cs="Arial"/>
          <w:bCs/>
          <w:szCs w:val="21"/>
        </w:rPr>
        <w:t>报告</w:t>
      </w:r>
      <w:r>
        <w:rPr>
          <w:rFonts w:ascii="Arial Unicode MS" w:hAnsi="Arial Unicode MS" w:cs="Arial" w:hint="eastAsia"/>
          <w:bCs/>
          <w:szCs w:val="21"/>
        </w:rPr>
        <w:t>和年度报告；</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11</w:t>
      </w:r>
      <w:r>
        <w:rPr>
          <w:rFonts w:ascii="Arial Unicode MS" w:hAnsi="Arial Unicode MS" w:cs="Arial" w:hint="eastAsia"/>
          <w:bCs/>
          <w:szCs w:val="21"/>
        </w:rPr>
        <w:t>、严格按照《基金法》、《基金合同》及其他有关规定，履行信息披露及报告义务；</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12</w:t>
      </w:r>
      <w:r>
        <w:rPr>
          <w:rFonts w:ascii="Arial Unicode MS" w:hAnsi="Arial Unicode MS" w:cs="Arial" w:hint="eastAsia"/>
          <w:bCs/>
          <w:szCs w:val="21"/>
        </w:rPr>
        <w:t>、保守基金商业秘密，不泄露基金投资计划、投资意向等。除《基金法》、《基金合同》及其他有关规定另有规定外，在基金信息公开披露前应予保密，不向他人泄露；</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13</w:t>
      </w:r>
      <w:r>
        <w:rPr>
          <w:rFonts w:ascii="Arial Unicode MS" w:hAnsi="Arial Unicode MS" w:cs="Arial" w:hint="eastAsia"/>
          <w:bCs/>
          <w:szCs w:val="21"/>
        </w:rPr>
        <w:t>、按《基金合同》的约定确定基金收益分配方案，及时向基金份额持有人分配基金收益；</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14</w:t>
      </w:r>
      <w:r>
        <w:rPr>
          <w:rFonts w:ascii="Arial Unicode MS" w:hAnsi="Arial Unicode MS" w:cs="Arial" w:hint="eastAsia"/>
          <w:bCs/>
          <w:szCs w:val="21"/>
        </w:rPr>
        <w:t>、按规定受理申购与赎回申请，及时、足额支付赎回款项；</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15</w:t>
      </w:r>
      <w:r>
        <w:rPr>
          <w:rFonts w:ascii="Arial Unicode MS" w:hAnsi="Arial Unicode MS" w:cs="Arial" w:hint="eastAsia"/>
          <w:bCs/>
          <w:szCs w:val="21"/>
        </w:rPr>
        <w:t>、依据《基金法》、《基金合同》及其他有关规定召集基金份额持有人大会或配合基金托管人、基金份额持有人依法召集基金份额持有人大会；</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16</w:t>
      </w:r>
      <w:r>
        <w:rPr>
          <w:rFonts w:ascii="Arial Unicode MS" w:hAnsi="Arial Unicode MS" w:cs="Arial" w:hint="eastAsia"/>
          <w:bCs/>
          <w:szCs w:val="21"/>
        </w:rPr>
        <w:t>、按规定保存基金财产管理业务活动的会计账册、报表、记录和其他相关资料</w:t>
      </w:r>
      <w:r>
        <w:rPr>
          <w:rFonts w:ascii="Arial Unicode MS" w:hAnsi="Arial Unicode MS" w:cs="Arial" w:hint="eastAsia"/>
          <w:bCs/>
          <w:szCs w:val="21"/>
        </w:rPr>
        <w:t>15</w:t>
      </w:r>
      <w:r>
        <w:rPr>
          <w:rFonts w:ascii="Arial Unicode MS" w:hAnsi="Arial Unicode MS" w:cs="Arial" w:hint="eastAsia"/>
          <w:bCs/>
          <w:szCs w:val="21"/>
        </w:rPr>
        <w:t>年以上；</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17</w:t>
      </w:r>
      <w:r>
        <w:rPr>
          <w:rFonts w:ascii="Arial Unicode MS" w:hAnsi="Arial Unicode MS" w:cs="Arial" w:hint="eastAsia"/>
          <w:bCs/>
          <w:szCs w:val="21"/>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18</w:t>
      </w:r>
      <w:r>
        <w:rPr>
          <w:rFonts w:ascii="Arial Unicode MS" w:hAnsi="Arial Unicode MS" w:cs="Arial" w:hint="eastAsia"/>
          <w:bCs/>
          <w:szCs w:val="21"/>
        </w:rPr>
        <w:t>、组织并参加基金财产清算小组，参与基金财产的保管、清理、估价、变现和分配；</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19</w:t>
      </w:r>
      <w:r>
        <w:rPr>
          <w:rFonts w:ascii="Arial Unicode MS" w:hAnsi="Arial Unicode MS" w:cs="Arial" w:hint="eastAsia"/>
          <w:bCs/>
          <w:szCs w:val="21"/>
        </w:rPr>
        <w:t>、面临解散、依法被撤销或者被依法宣告破产时，及时报告中国证监会并通知基金托管人；</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20</w:t>
      </w:r>
      <w:r>
        <w:rPr>
          <w:rFonts w:ascii="Arial Unicode MS" w:hAnsi="Arial Unicode MS" w:cs="Arial" w:hint="eastAsia"/>
          <w:bCs/>
          <w:szCs w:val="21"/>
        </w:rPr>
        <w:t>、因违反《基金合同》导致基金财产的损失或损害基金份额持有人合法权益时，应当承担赔偿责任，其赔偿责任不因其退任而免除；</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21</w:t>
      </w:r>
      <w:r>
        <w:rPr>
          <w:rFonts w:ascii="Arial Unicode MS" w:hAnsi="Arial Unicode MS" w:cs="Arial" w:hint="eastAsia"/>
          <w:bCs/>
          <w:szCs w:val="21"/>
        </w:rPr>
        <w:t>、监督基金托管人按法律法规和《基金合同》规定履行自己的义务，基金托管人违反《基金合同》造成基金财产损失时，基金管理人应为基金份额持有人利益向基金托管人追偿；</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22</w:t>
      </w:r>
      <w:r>
        <w:rPr>
          <w:rFonts w:ascii="Arial Unicode MS" w:hAnsi="Arial Unicode MS" w:cs="Arial" w:hint="eastAsia"/>
          <w:bCs/>
          <w:szCs w:val="21"/>
        </w:rPr>
        <w:t>、当基金管理人将其义务委托第三方处理时，应当对第三方处理有关基金事务的行</w:t>
      </w:r>
      <w:r>
        <w:rPr>
          <w:rFonts w:ascii="Arial Unicode MS" w:hAnsi="Arial Unicode MS" w:cs="Arial" w:hint="eastAsia"/>
          <w:bCs/>
          <w:szCs w:val="21"/>
        </w:rPr>
        <w:lastRenderedPageBreak/>
        <w:t>为承担责任；</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23</w:t>
      </w:r>
      <w:r>
        <w:rPr>
          <w:rFonts w:ascii="Arial Unicode MS" w:hAnsi="Arial Unicode MS" w:cs="Arial" w:hint="eastAsia"/>
          <w:bCs/>
          <w:szCs w:val="21"/>
        </w:rPr>
        <w:t>、以基金管理人名义，代表基金份额持有人利益行使诉讼权利或实施其他法律行为；</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24</w:t>
      </w:r>
      <w:r>
        <w:rPr>
          <w:rFonts w:ascii="Arial Unicode MS" w:hAnsi="Arial Unicode MS" w:cs="Arial" w:hint="eastAsia"/>
          <w:bCs/>
          <w:szCs w:val="21"/>
        </w:rPr>
        <w:t>、基金管理人在募集期间未能达到基金的备案条件，《基金合同》不能生效，基金管理人承担全部募集费用，将已募集资金加计银行同期活期存款利息在基金募集期结束后</w:t>
      </w:r>
      <w:r>
        <w:rPr>
          <w:rFonts w:ascii="Arial Unicode MS" w:hAnsi="Arial Unicode MS" w:cs="Arial" w:hint="eastAsia"/>
          <w:bCs/>
          <w:szCs w:val="21"/>
        </w:rPr>
        <w:t>30</w:t>
      </w:r>
      <w:r>
        <w:rPr>
          <w:rFonts w:ascii="Arial Unicode MS" w:hAnsi="Arial Unicode MS" w:cs="Arial" w:hint="eastAsia"/>
          <w:bCs/>
          <w:szCs w:val="21"/>
        </w:rPr>
        <w:t>日内退还基金认购人；</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25</w:t>
      </w:r>
      <w:r>
        <w:rPr>
          <w:rFonts w:ascii="Arial Unicode MS" w:hAnsi="Arial Unicode MS" w:cs="Arial" w:hint="eastAsia"/>
          <w:bCs/>
          <w:szCs w:val="21"/>
        </w:rPr>
        <w:t>、执行生效的基金份额持有人大会的决议；</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26</w:t>
      </w:r>
      <w:r>
        <w:rPr>
          <w:rFonts w:ascii="Arial Unicode MS" w:hAnsi="Arial Unicode MS" w:cs="Arial" w:hint="eastAsia"/>
          <w:bCs/>
          <w:szCs w:val="21"/>
        </w:rPr>
        <w:t>、建立并保存基金份额持有人名册；</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27</w:t>
      </w:r>
      <w:r>
        <w:rPr>
          <w:rFonts w:ascii="Arial Unicode MS" w:hAnsi="Arial Unicode MS" w:cs="Arial" w:hint="eastAsia"/>
          <w:bCs/>
          <w:szCs w:val="21"/>
        </w:rPr>
        <w:t>、法律法规及中国证监会规定的和《基金合同》约定的其他义务。</w:t>
      </w:r>
    </w:p>
    <w:p w:rsidR="004C06C5" w:rsidRDefault="00ED474B">
      <w:pPr>
        <w:tabs>
          <w:tab w:val="left" w:pos="3780"/>
        </w:tabs>
        <w:autoSpaceDE w:val="0"/>
        <w:autoSpaceDN w:val="0"/>
        <w:adjustRightInd w:val="0"/>
        <w:snapToGrid w:val="0"/>
        <w:spacing w:line="360" w:lineRule="auto"/>
        <w:ind w:firstLineChars="200" w:firstLine="422"/>
        <w:textAlignment w:val="bottom"/>
        <w:rPr>
          <w:rFonts w:ascii="Arial Unicode MS" w:hAnsi="Arial Unicode MS" w:cs="Arial"/>
          <w:b/>
          <w:bCs/>
          <w:szCs w:val="21"/>
        </w:rPr>
      </w:pPr>
      <w:r>
        <w:rPr>
          <w:rFonts w:ascii="Arial Unicode MS" w:hAnsi="Arial Unicode MS" w:cs="Arial" w:hint="eastAsia"/>
          <w:b/>
          <w:bCs/>
          <w:szCs w:val="21"/>
        </w:rPr>
        <w:t>四、</w:t>
      </w:r>
      <w:r>
        <w:rPr>
          <w:rFonts w:ascii="Arial Unicode MS" w:hAnsi="Arial Unicode MS" w:cs="Arial"/>
          <w:b/>
          <w:bCs/>
          <w:szCs w:val="21"/>
        </w:rPr>
        <w:t>基金管理人的承诺</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1</w:t>
      </w:r>
      <w:r>
        <w:rPr>
          <w:rFonts w:ascii="Arial Unicode MS" w:hAnsi="Arial Unicode MS" w:cs="Arial" w:hint="eastAsia"/>
          <w:szCs w:val="21"/>
        </w:rPr>
        <w:t>、基金管理人承诺不从事违反《中华人民共和国证券法》的行为，并承诺建立健全内部控制制度，采取有效措施，防止违反《中华人民共和国证券法》行为的发生；</w:t>
      </w:r>
      <w:r>
        <w:rPr>
          <w:rFonts w:ascii="Arial Unicode MS" w:hAnsi="Arial Unicode MS" w:cs="Arial" w:hint="eastAsia"/>
          <w:szCs w:val="21"/>
        </w:rPr>
        <w:t xml:space="preserve"> </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2</w:t>
      </w:r>
      <w:r>
        <w:rPr>
          <w:rFonts w:ascii="Arial Unicode MS" w:hAnsi="Arial Unicode MS" w:cs="Arial" w:hint="eastAsia"/>
          <w:szCs w:val="21"/>
        </w:rPr>
        <w:t>、基金管理人承诺不从事违反《基金法》的行为，并承诺建立健全内部风险控制制度，采取有效措施，防止下列行为的发生：</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）将基金管理人固有财产或者他人财产混同于基金财产从事证券投资；</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2</w:t>
      </w:r>
      <w:r>
        <w:rPr>
          <w:rFonts w:ascii="Arial Unicode MS" w:hAnsi="Arial Unicode MS" w:cs="Arial" w:hint="eastAsia"/>
          <w:szCs w:val="21"/>
        </w:rPr>
        <w:t>）不公平地对待管理的不同基金财产；</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3</w:t>
      </w:r>
      <w:r>
        <w:rPr>
          <w:rFonts w:ascii="Arial Unicode MS" w:hAnsi="Arial Unicode MS" w:cs="Arial" w:hint="eastAsia"/>
          <w:szCs w:val="21"/>
        </w:rPr>
        <w:t>）利用基金财产或者职务之便为基金份额持有人以外的第三人牟取利益；</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4</w:t>
      </w:r>
      <w:r>
        <w:rPr>
          <w:rFonts w:ascii="Arial Unicode MS" w:hAnsi="Arial Unicode MS" w:cs="Arial" w:hint="eastAsia"/>
          <w:szCs w:val="21"/>
        </w:rPr>
        <w:t>）向基金份额持有人违规承诺收益或者承担损失；</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5</w:t>
      </w:r>
      <w:r>
        <w:rPr>
          <w:rFonts w:ascii="Arial Unicode MS" w:hAnsi="Arial Unicode MS" w:cs="Arial" w:hint="eastAsia"/>
          <w:szCs w:val="21"/>
        </w:rPr>
        <w:t>）侵占、挪用基金财产；</w:t>
      </w:r>
      <w:r>
        <w:rPr>
          <w:rFonts w:ascii="Arial Unicode MS" w:hAnsi="Arial Unicode MS" w:cs="Arial" w:hint="eastAsia"/>
          <w:szCs w:val="21"/>
        </w:rPr>
        <w:tab/>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6</w:t>
      </w:r>
      <w:r>
        <w:rPr>
          <w:rFonts w:ascii="Arial Unicode MS" w:hAnsi="Arial Unicode MS" w:cs="Arial" w:hint="eastAsia"/>
          <w:szCs w:val="21"/>
        </w:rPr>
        <w:t>）泄露因职务便利获取的未公开信息、利用该信息从事或者明示、暗示他人从事相关的交易活动；</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7</w:t>
      </w:r>
      <w:r>
        <w:rPr>
          <w:rFonts w:ascii="Arial Unicode MS" w:hAnsi="Arial Unicode MS" w:cs="Arial" w:hint="eastAsia"/>
          <w:szCs w:val="21"/>
        </w:rPr>
        <w:t>）玩忽职守，不按照规定履行职责；</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8</w:t>
      </w:r>
      <w:r>
        <w:rPr>
          <w:rFonts w:ascii="Arial Unicode MS" w:hAnsi="Arial Unicode MS" w:cs="Arial" w:hint="eastAsia"/>
          <w:szCs w:val="21"/>
        </w:rPr>
        <w:t>）法律、行政法规和中国证监会规定禁止的其他行为。</w:t>
      </w:r>
      <w:r>
        <w:rPr>
          <w:rFonts w:ascii="Arial Unicode MS" w:hAnsi="Arial Unicode MS" w:cs="Arial" w:hint="eastAsia"/>
          <w:szCs w:val="21"/>
        </w:rPr>
        <w:t xml:space="preserve"> </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3</w:t>
      </w:r>
      <w:r>
        <w:rPr>
          <w:rFonts w:ascii="Arial Unicode MS" w:hAnsi="Arial Unicode MS" w:cs="Arial" w:hint="eastAsia"/>
          <w:szCs w:val="21"/>
        </w:rPr>
        <w:t>、基金管理人承诺严格遵守基金合同，并承诺建立健全内部控制制度，采取有效措施，防止违反基金合同行为的发生；</w:t>
      </w:r>
      <w:r>
        <w:rPr>
          <w:rFonts w:ascii="Arial Unicode MS" w:hAnsi="Arial Unicode MS" w:cs="Arial" w:hint="eastAsia"/>
          <w:szCs w:val="21"/>
        </w:rPr>
        <w:t xml:space="preserve"> </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4</w:t>
      </w:r>
      <w:r>
        <w:rPr>
          <w:rFonts w:ascii="Arial Unicode MS" w:hAnsi="Arial Unicode MS" w:cs="Arial" w:hint="eastAsia"/>
          <w:szCs w:val="21"/>
        </w:rPr>
        <w:t>、基金管理人承诺加强人员管理，强化职业操守，督促和约束员工遵守国家有关法律法规及行业规范，诚实信用、勤勉尽责；</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5</w:t>
      </w:r>
      <w:r>
        <w:rPr>
          <w:rFonts w:ascii="Arial Unicode MS" w:hAnsi="Arial Unicode MS" w:cs="Arial" w:hint="eastAsia"/>
          <w:szCs w:val="21"/>
        </w:rPr>
        <w:t>、基金管理人承诺不从事其他法规规定禁止从事的行为。</w:t>
      </w:r>
      <w:r>
        <w:rPr>
          <w:rFonts w:ascii="Arial Unicode MS" w:hAnsi="Arial Unicode MS" w:cs="Arial" w:hint="eastAsia"/>
          <w:szCs w:val="21"/>
        </w:rPr>
        <w:t xml:space="preserve"> </w:t>
      </w:r>
      <w:r>
        <w:rPr>
          <w:rFonts w:ascii="Arial Unicode MS" w:hAnsi="Arial Unicode MS" w:cs="Arial"/>
          <w:szCs w:val="21"/>
        </w:rPr>
        <w:t xml:space="preserve"> </w:t>
      </w:r>
    </w:p>
    <w:p w:rsidR="004C06C5" w:rsidRDefault="00ED474B">
      <w:pPr>
        <w:tabs>
          <w:tab w:val="left" w:pos="3780"/>
        </w:tabs>
        <w:autoSpaceDE w:val="0"/>
        <w:autoSpaceDN w:val="0"/>
        <w:adjustRightInd w:val="0"/>
        <w:snapToGrid w:val="0"/>
        <w:spacing w:line="360" w:lineRule="auto"/>
        <w:ind w:firstLineChars="200" w:firstLine="422"/>
        <w:textAlignment w:val="bottom"/>
        <w:rPr>
          <w:rFonts w:ascii="Arial Unicode MS" w:hAnsi="Arial Unicode MS" w:cs="Arial"/>
          <w:b/>
          <w:szCs w:val="21"/>
        </w:rPr>
      </w:pPr>
      <w:r>
        <w:rPr>
          <w:rFonts w:ascii="Arial Unicode MS" w:hAnsi="Arial Unicode MS" w:cs="Arial" w:hint="eastAsia"/>
          <w:b/>
          <w:szCs w:val="21"/>
        </w:rPr>
        <w:lastRenderedPageBreak/>
        <w:t>五、基金经理承诺</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1</w:t>
      </w:r>
      <w:r>
        <w:rPr>
          <w:rFonts w:ascii="Arial Unicode MS" w:hAnsi="Arial Unicode MS" w:cs="Arial" w:hint="eastAsia"/>
          <w:szCs w:val="21"/>
        </w:rPr>
        <w:t>、依照有关法律法规和基金合同的规定，本着谨慎的原则为基金份额持有人谋取最大利益；</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2</w:t>
      </w:r>
      <w:r>
        <w:rPr>
          <w:rFonts w:ascii="Arial Unicode MS" w:hAnsi="Arial Unicode MS" w:cs="Arial" w:hint="eastAsia"/>
          <w:szCs w:val="21"/>
        </w:rPr>
        <w:t>、不利用职务之便为自己、受雇人或任何第三者牟取利益；</w:t>
      </w:r>
      <w:r>
        <w:rPr>
          <w:rFonts w:ascii="Arial Unicode MS" w:hAnsi="Arial Unicode MS" w:cs="Arial" w:hint="eastAsia"/>
          <w:szCs w:val="21"/>
        </w:rPr>
        <w:t xml:space="preserve"> </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3</w:t>
      </w:r>
      <w:r>
        <w:rPr>
          <w:rFonts w:ascii="Arial Unicode MS" w:hAnsi="Arial Unicode MS" w:cs="Arial" w:hint="eastAsia"/>
          <w:szCs w:val="21"/>
        </w:rPr>
        <w:t>、不泄露在任职期间知悉的有关证券、基金的商业秘密，尚未依法公开的基金投资内容、基金投资计划等信息，或利用该信息从事或者明示、暗示他人从事相关的交易活动；</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4</w:t>
      </w:r>
      <w:r>
        <w:rPr>
          <w:rFonts w:ascii="Arial Unicode MS" w:hAnsi="Arial Unicode MS" w:cs="Arial" w:hint="eastAsia"/>
          <w:szCs w:val="21"/>
        </w:rPr>
        <w:t>、不以任何形式为其他组织或个人进行证券交易。</w:t>
      </w:r>
    </w:p>
    <w:p w:rsidR="004C06C5" w:rsidRDefault="00ED474B">
      <w:pPr>
        <w:tabs>
          <w:tab w:val="left" w:pos="3780"/>
        </w:tabs>
        <w:autoSpaceDE w:val="0"/>
        <w:autoSpaceDN w:val="0"/>
        <w:adjustRightInd w:val="0"/>
        <w:snapToGrid w:val="0"/>
        <w:spacing w:line="360" w:lineRule="auto"/>
        <w:ind w:firstLineChars="200" w:firstLine="422"/>
        <w:textAlignment w:val="bottom"/>
        <w:rPr>
          <w:rFonts w:ascii="Arial Unicode MS" w:hAnsi="Arial Unicode MS" w:cs="Arial"/>
          <w:b/>
          <w:bCs/>
          <w:szCs w:val="21"/>
        </w:rPr>
      </w:pPr>
      <w:r>
        <w:rPr>
          <w:rFonts w:ascii="Arial Unicode MS" w:hAnsi="Arial Unicode MS" w:cs="Arial" w:hint="eastAsia"/>
          <w:b/>
          <w:bCs/>
          <w:szCs w:val="21"/>
        </w:rPr>
        <w:t>六、</w:t>
      </w:r>
      <w:r>
        <w:rPr>
          <w:rFonts w:ascii="Arial Unicode MS" w:hAnsi="Arial Unicode MS" w:cs="Arial"/>
          <w:b/>
          <w:bCs/>
          <w:szCs w:val="21"/>
        </w:rPr>
        <w:t>基金管理人的内部控制制度</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1</w:t>
      </w:r>
      <w:r>
        <w:rPr>
          <w:rFonts w:ascii="Arial Unicode MS" w:hAnsi="Arial Unicode MS" w:cs="Arial" w:hint="eastAsia"/>
          <w:szCs w:val="21"/>
        </w:rPr>
        <w:t>、风险控制目标</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）在有效控制风险的前提下，实现基金份额持有人利益最大化；</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2</w:t>
      </w:r>
      <w:r>
        <w:rPr>
          <w:rFonts w:ascii="Arial Unicode MS" w:hAnsi="Arial Unicode MS" w:cs="Arial" w:hint="eastAsia"/>
          <w:szCs w:val="21"/>
        </w:rPr>
        <w:t>）确保国家有关法律法规、行业规章和公司各项规章制度的贯彻执行；</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3</w:t>
      </w:r>
      <w:r>
        <w:rPr>
          <w:rFonts w:ascii="Arial Unicode MS" w:hAnsi="Arial Unicode MS" w:cs="Arial" w:hint="eastAsia"/>
          <w:szCs w:val="21"/>
        </w:rPr>
        <w:t>）建立符合现代企业制度要求的法人治理结构，形成科学合理的决策机制、执行机制和监督机制；</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4</w:t>
      </w:r>
      <w:r>
        <w:rPr>
          <w:rFonts w:ascii="Arial Unicode MS" w:hAnsi="Arial Unicode MS" w:cs="Arial" w:hint="eastAsia"/>
          <w:szCs w:val="21"/>
        </w:rPr>
        <w:t>）将各种风险控制在合理的范围内，保障公司发展战略和经营目标的全面实施，维护基金份额持有人、公司及公司股东的合法权益；</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5</w:t>
      </w:r>
      <w:r>
        <w:rPr>
          <w:rFonts w:ascii="Arial Unicode MS" w:hAnsi="Arial Unicode MS" w:cs="Arial" w:hint="eastAsia"/>
          <w:szCs w:val="21"/>
        </w:rPr>
        <w:t>）建立行之有效的风险控制系统，保障业务稳健运行，减轻或规避各种风险对公司发展战略和经营目标的干扰。</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2</w:t>
      </w:r>
      <w:r>
        <w:rPr>
          <w:rFonts w:ascii="Arial Unicode MS" w:hAnsi="Arial Unicode MS" w:cs="Arial" w:hint="eastAsia"/>
          <w:szCs w:val="21"/>
        </w:rPr>
        <w:t>、建立风险控制制度应遵循的原则</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）全面性原则：风险控制制度应覆盖公司的各项业务、各个部门和各级人员，并渗透到决策、执行、监督、反馈等各个经营环节；</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 xml:space="preserve"> </w:t>
      </w:r>
      <w:r>
        <w:rPr>
          <w:rFonts w:ascii="Arial Unicode MS" w:hAnsi="Arial Unicode MS" w:cs="Arial" w:hint="eastAsia"/>
          <w:szCs w:val="21"/>
        </w:rPr>
        <w:t>（</w:t>
      </w:r>
      <w:r>
        <w:rPr>
          <w:rFonts w:ascii="Arial Unicode MS" w:hAnsi="Arial Unicode MS" w:cs="Arial" w:hint="eastAsia"/>
          <w:szCs w:val="21"/>
        </w:rPr>
        <w:t>2</w:t>
      </w:r>
      <w:r>
        <w:rPr>
          <w:rFonts w:ascii="Arial Unicode MS" w:hAnsi="Arial Unicode MS" w:cs="Arial" w:hint="eastAsia"/>
          <w:szCs w:val="21"/>
        </w:rPr>
        <w:t>）审慎性原则：内部风险控制的核心是有效防范各种风险，公司组织体系的构成、内部管理制度的建立都要以防范风险、审慎经营为出发点；</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 xml:space="preserve"> </w:t>
      </w:r>
      <w:r>
        <w:rPr>
          <w:rFonts w:ascii="Arial Unicode MS" w:hAnsi="Arial Unicode MS" w:cs="Arial" w:hint="eastAsia"/>
          <w:szCs w:val="21"/>
        </w:rPr>
        <w:t>（</w:t>
      </w:r>
      <w:r>
        <w:rPr>
          <w:rFonts w:ascii="Arial Unicode MS" w:hAnsi="Arial Unicode MS" w:cs="Arial" w:hint="eastAsia"/>
          <w:szCs w:val="21"/>
        </w:rPr>
        <w:t>3</w:t>
      </w:r>
      <w:r>
        <w:rPr>
          <w:rFonts w:ascii="Arial Unicode MS" w:hAnsi="Arial Unicode MS" w:cs="Arial" w:hint="eastAsia"/>
          <w:szCs w:val="21"/>
        </w:rPr>
        <w:t>）独立性原则：公司风险控制的检查、评价部门应当独立于风险控制的建立和执行部门；风险控制委员会、督察长和监察稽核部应保持高度的独立性和权威性，负责对公司各部门风险控制工作进行评价和检查；</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 xml:space="preserve"> </w:t>
      </w:r>
      <w:r>
        <w:rPr>
          <w:rFonts w:ascii="Arial Unicode MS" w:hAnsi="Arial Unicode MS" w:cs="Arial" w:hint="eastAsia"/>
          <w:szCs w:val="21"/>
        </w:rPr>
        <w:t>（</w:t>
      </w:r>
      <w:r>
        <w:rPr>
          <w:rFonts w:ascii="Arial Unicode MS" w:hAnsi="Arial Unicode MS" w:cs="Arial" w:hint="eastAsia"/>
          <w:szCs w:val="21"/>
        </w:rPr>
        <w:t>4</w:t>
      </w:r>
      <w:r>
        <w:rPr>
          <w:rFonts w:ascii="Arial Unicode MS" w:hAnsi="Arial Unicode MS" w:cs="Arial" w:hint="eastAsia"/>
          <w:szCs w:val="21"/>
        </w:rPr>
        <w:t>）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 xml:space="preserve"> </w:t>
      </w:r>
      <w:r>
        <w:rPr>
          <w:rFonts w:ascii="Arial Unicode MS" w:hAnsi="Arial Unicode MS" w:cs="Arial" w:hint="eastAsia"/>
          <w:szCs w:val="21"/>
        </w:rPr>
        <w:t>（</w:t>
      </w:r>
      <w:r>
        <w:rPr>
          <w:rFonts w:ascii="Arial Unicode MS" w:hAnsi="Arial Unicode MS" w:cs="Arial" w:hint="eastAsia"/>
          <w:szCs w:val="21"/>
        </w:rPr>
        <w:t>5</w:t>
      </w:r>
      <w:r>
        <w:rPr>
          <w:rFonts w:ascii="Arial Unicode MS" w:hAnsi="Arial Unicode MS" w:cs="Arial" w:hint="eastAsia"/>
          <w:szCs w:val="21"/>
        </w:rPr>
        <w:t>）适时性原则：内部风险控制应随着公司经营战略、经营方针、经营理念等内部</w:t>
      </w:r>
      <w:r>
        <w:rPr>
          <w:rFonts w:ascii="Arial Unicode MS" w:hAnsi="Arial Unicode MS" w:cs="Arial" w:hint="eastAsia"/>
          <w:szCs w:val="21"/>
        </w:rPr>
        <w:lastRenderedPageBreak/>
        <w:t>环境的变化和国家法律、法规、政策制度等外部环境的改变及时进行相应的修改和完善。</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3</w:t>
      </w:r>
      <w:r>
        <w:rPr>
          <w:rFonts w:ascii="Arial Unicode MS" w:hAnsi="Arial Unicode MS" w:cs="Arial" w:hint="eastAsia"/>
          <w:szCs w:val="21"/>
        </w:rPr>
        <w:t>、风险控制体系</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）风险控制制度体系</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公司风险控制制度体系由三个不同层次的制度构成：第一个层次是公司章程、内部控制大纲；第二个层次是基本管理制度；第三个层次是部门管理制度及各项业务规则。</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2</w:t>
      </w:r>
      <w:r>
        <w:rPr>
          <w:rFonts w:ascii="Arial Unicode MS" w:hAnsi="Arial Unicode MS" w:cs="Arial" w:hint="eastAsia"/>
          <w:szCs w:val="21"/>
        </w:rPr>
        <w:t>）风险控制组织体系</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风险控制组织体系包括两个层次：</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第一层次：公司董事会层面对公司经营管理过程中的各类风险进行预防和控制的组织，主要是通过董事会下设的风险控制委员会和督察长来实现的。</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②督察</w:t>
      </w:r>
      <w:proofErr w:type="gramStart"/>
      <w:r>
        <w:rPr>
          <w:rFonts w:ascii="Arial Unicode MS" w:hAnsi="Arial Unicode MS" w:cs="Arial" w:hint="eastAsia"/>
          <w:szCs w:val="21"/>
        </w:rPr>
        <w:t>长履行</w:t>
      </w:r>
      <w:proofErr w:type="gramEnd"/>
      <w:r>
        <w:rPr>
          <w:rFonts w:ascii="Arial Unicode MS" w:hAnsi="Arial Unicode MS" w:cs="Arial" w:hint="eastAsia"/>
          <w:szCs w:val="21"/>
        </w:rPr>
        <w:t>的职责包括对基金运作、内部管理、制度执行及遵规守法情况进行内部监察、稽核；就以上监察、稽核中发现的问题向公司经营管理层通报并提出整改和处理意见；定期向风险管理委员会提交工作报告；发现公司的违规行为，应立即向董事长和中国证监会报告。</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第二层次：公司经营管理层包括风险控制委员会、监察稽核部及各职能部门对经营风险的预防和控制。</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①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w:t>
      </w:r>
      <w:proofErr w:type="gramStart"/>
      <w:r>
        <w:rPr>
          <w:rFonts w:ascii="Arial Unicode MS" w:hAnsi="Arial Unicode MS" w:cs="Arial" w:hint="eastAsia"/>
          <w:szCs w:val="21"/>
        </w:rPr>
        <w:t>规</w:t>
      </w:r>
      <w:proofErr w:type="gramEnd"/>
      <w:r>
        <w:rPr>
          <w:rFonts w:ascii="Arial Unicode MS" w:hAnsi="Arial Unicode MS" w:cs="Arial" w:hint="eastAsia"/>
          <w:szCs w:val="21"/>
        </w:rPr>
        <w:t>风险、市场风险和操作风险等重大风险，确保公司各项业务符合法律法规、监管要求、公司制度及受托资产合同的规定；审批基金投资的关联方证券名单和关联交易；风险管理委员会认为其他需关注的事项。</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②监察稽核部的主要职责是在督察长的领导下，组织和协调公司内部控制制度的编写、修订工作，确保公司内部控制制度合</w:t>
      </w:r>
      <w:proofErr w:type="gramStart"/>
      <w:r>
        <w:rPr>
          <w:rFonts w:ascii="Arial Unicode MS" w:hAnsi="Arial Unicode MS" w:cs="Arial" w:hint="eastAsia"/>
          <w:szCs w:val="21"/>
        </w:rPr>
        <w:t>规</w:t>
      </w:r>
      <w:proofErr w:type="gramEnd"/>
      <w:r>
        <w:rPr>
          <w:rFonts w:ascii="Arial Unicode MS" w:hAnsi="Arial Unicode MS" w:cs="Arial" w:hint="eastAsia"/>
          <w:szCs w:val="21"/>
        </w:rPr>
        <w:t>、完善；检查公司内部控制制度和业务流程的执行情况，出具监察稽核报告；负责信息披露事务的管理；调查基金及其他类型产品的异常投资和交易以及对违规行为的调查；负责公司的法律事务、合</w:t>
      </w:r>
      <w:proofErr w:type="gramStart"/>
      <w:r>
        <w:rPr>
          <w:rFonts w:ascii="Arial Unicode MS" w:hAnsi="Arial Unicode MS" w:cs="Arial" w:hint="eastAsia"/>
          <w:szCs w:val="21"/>
        </w:rPr>
        <w:t>规</w:t>
      </w:r>
      <w:proofErr w:type="gramEnd"/>
      <w:r>
        <w:rPr>
          <w:rFonts w:ascii="Arial Unicode MS" w:hAnsi="Arial Unicode MS" w:cs="Arial" w:hint="eastAsia"/>
          <w:szCs w:val="21"/>
        </w:rPr>
        <w:t>咨询、合</w:t>
      </w:r>
      <w:proofErr w:type="gramStart"/>
      <w:r>
        <w:rPr>
          <w:rFonts w:ascii="Arial Unicode MS" w:hAnsi="Arial Unicode MS" w:cs="Arial" w:hint="eastAsia"/>
          <w:szCs w:val="21"/>
        </w:rPr>
        <w:t>规</w:t>
      </w:r>
      <w:proofErr w:type="gramEnd"/>
      <w:r>
        <w:rPr>
          <w:rFonts w:ascii="Arial Unicode MS" w:hAnsi="Arial Unicode MS" w:cs="Arial" w:hint="eastAsia"/>
          <w:szCs w:val="21"/>
        </w:rPr>
        <w:t>培训、离任审查等工作。</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lastRenderedPageBreak/>
        <w:t>4</w:t>
      </w:r>
      <w:r>
        <w:rPr>
          <w:rFonts w:ascii="Arial Unicode MS" w:hAnsi="Arial Unicode MS" w:cs="Arial" w:hint="eastAsia"/>
          <w:szCs w:val="21"/>
        </w:rPr>
        <w:t>、关于授权、研究、投资、交易等方面的控制点</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）授权制度</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2</w:t>
      </w:r>
      <w:r>
        <w:rPr>
          <w:rFonts w:ascii="Arial Unicode MS" w:hAnsi="Arial Unicode MS" w:cs="Arial" w:hint="eastAsia"/>
          <w:szCs w:val="21"/>
        </w:rPr>
        <w:t>）研究业务</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3</w:t>
      </w:r>
      <w:r>
        <w:rPr>
          <w:rFonts w:ascii="Arial Unicode MS" w:hAnsi="Arial Unicode MS" w:cs="Arial" w:hint="eastAsia"/>
          <w:szCs w:val="21"/>
        </w:rPr>
        <w:t>）基金投资业务</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基金投资应确立科学的投资理念，根据决策的风险防范原则和效率性原则制定合理的决策程序；在进行投资时应有明确的投资授权制度，并应建立与所授权</w:t>
      </w:r>
      <w:proofErr w:type="gramStart"/>
      <w:r>
        <w:rPr>
          <w:rFonts w:ascii="Arial Unicode MS" w:hAnsi="Arial Unicode MS" w:cs="Arial" w:hint="eastAsia"/>
          <w:szCs w:val="21"/>
        </w:rPr>
        <w:t>限相应</w:t>
      </w:r>
      <w:proofErr w:type="gramEnd"/>
      <w:r>
        <w:rPr>
          <w:rFonts w:ascii="Arial Unicode MS" w:hAnsi="Arial Unicode MS" w:cs="Arial" w:hint="eastAsia"/>
          <w:szCs w:val="21"/>
        </w:rPr>
        <w:t>的约束制度和考核制度；建立严格的投资禁止和投资限制制度，保证基金投资的合法合</w:t>
      </w:r>
      <w:proofErr w:type="gramStart"/>
      <w:r>
        <w:rPr>
          <w:rFonts w:ascii="Arial Unicode MS" w:hAnsi="Arial Unicode MS" w:cs="Arial" w:hint="eastAsia"/>
          <w:szCs w:val="21"/>
        </w:rPr>
        <w:t>规</w:t>
      </w:r>
      <w:proofErr w:type="gramEnd"/>
      <w:r>
        <w:rPr>
          <w:rFonts w:ascii="Arial Unicode MS" w:hAnsi="Arial Unicode MS" w:cs="Arial" w:hint="eastAsia"/>
          <w:szCs w:val="21"/>
        </w:rPr>
        <w:t>性；建立投资风险评估与管理制度，将重点投资限制在一定的风险权限额度内；对于投资结果建立科学的投资管理业绩评价体系。</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4</w:t>
      </w:r>
      <w:r>
        <w:rPr>
          <w:rFonts w:ascii="Arial Unicode MS" w:hAnsi="Arial Unicode MS" w:cs="Arial" w:hint="eastAsia"/>
          <w:szCs w:val="21"/>
        </w:rPr>
        <w:t>）交易业务</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5</w:t>
      </w:r>
      <w:r>
        <w:rPr>
          <w:rFonts w:ascii="Arial Unicode MS" w:hAnsi="Arial Unicode MS" w:cs="Arial" w:hint="eastAsia"/>
          <w:szCs w:val="21"/>
        </w:rPr>
        <w:t>）基金会计核算</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6</w:t>
      </w:r>
      <w:r>
        <w:rPr>
          <w:rFonts w:ascii="Arial Unicode MS" w:hAnsi="Arial Unicode MS" w:cs="Arial" w:hint="eastAsia"/>
          <w:szCs w:val="21"/>
        </w:rPr>
        <w:t>）信息披露</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建立了完善的信息披露制度，保证公开披露的信息真实、准确、完整；设立了信息披露负责人，并建立了相应的程序进行信息的收集、组织、审核和发布，加强对信息的审查核对，</w:t>
      </w:r>
      <w:r>
        <w:rPr>
          <w:rFonts w:ascii="Arial Unicode MS" w:hAnsi="Arial Unicode MS" w:cs="Arial" w:hint="eastAsia"/>
          <w:szCs w:val="21"/>
        </w:rPr>
        <w:lastRenderedPageBreak/>
        <w:t>使所公布的信息符合法律法规的规定；加强对信息披露的检查和评价，对存在的问题及时提出改进方法。</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7</w:t>
      </w:r>
      <w:r>
        <w:rPr>
          <w:rFonts w:ascii="Arial Unicode MS" w:hAnsi="Arial Unicode MS" w:cs="Arial" w:hint="eastAsia"/>
          <w:szCs w:val="21"/>
        </w:rPr>
        <w:t>）监察稽核</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公司设立督察长。督察长由董事会聘任或解聘，报中国证监会或其指定的机构备案，并向董事会负责。督察</w:t>
      </w:r>
      <w:proofErr w:type="gramStart"/>
      <w:r>
        <w:rPr>
          <w:rFonts w:ascii="Arial Unicode MS" w:hAnsi="Arial Unicode MS" w:cs="Arial" w:hint="eastAsia"/>
          <w:szCs w:val="21"/>
        </w:rPr>
        <w:t>长依据</w:t>
      </w:r>
      <w:proofErr w:type="gramEnd"/>
      <w:r>
        <w:rPr>
          <w:rFonts w:ascii="Arial Unicode MS" w:hAnsi="Arial Unicode MS" w:cs="Arial" w:hint="eastAsia"/>
          <w:szCs w:val="21"/>
        </w:rPr>
        <w:t>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5</w:t>
      </w:r>
      <w:r>
        <w:rPr>
          <w:rFonts w:ascii="Arial Unicode MS" w:hAnsi="Arial Unicode MS" w:cs="Arial" w:hint="eastAsia"/>
          <w:szCs w:val="21"/>
        </w:rPr>
        <w:t>、风险管理和内部控制的措施</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）建立内控结构，完善内控制度：公司建立、健全了内控结构，高管人员具有明确的内控分工，确保各项业务活动有恰当的组织和授权，确保监察活动的独立进行，并得到高管人员的支持。</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2</w:t>
      </w:r>
      <w:r>
        <w:rPr>
          <w:rFonts w:ascii="Arial Unicode MS" w:hAnsi="Arial Unicode MS" w:cs="Arial" w:hint="eastAsia"/>
          <w:szCs w:val="21"/>
        </w:rPr>
        <w:t>）建立相互分离、相互制衡的内控机制：建立、健全了各项制度，做到基金经理、投资经理分开，研究、决策分开，基金交易集中，形成不同部门、不同岗位之间的制衡机制，从制度上减少和防范风险。</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3</w:t>
      </w:r>
      <w:r>
        <w:rPr>
          <w:rFonts w:ascii="Arial Unicode MS" w:hAnsi="Arial Unicode MS" w:cs="Arial" w:hint="eastAsia"/>
          <w:szCs w:val="21"/>
        </w:rPr>
        <w:t>）建立、健全岗位责任制：建立、健全了岗位责任制，使每个员工都明确自己的任务、职责，并及时将各自工作领域中的风险隐患上报，以防范和减少风险。</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4</w:t>
      </w:r>
      <w:r>
        <w:rPr>
          <w:rFonts w:ascii="Arial Unicode MS" w:hAnsi="Arial Unicode MS" w:cs="Arial" w:hint="eastAsia"/>
          <w:szCs w:val="21"/>
        </w:rPr>
        <w:t>）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5</w:t>
      </w:r>
      <w:r>
        <w:rPr>
          <w:rFonts w:ascii="Arial Unicode MS" w:hAnsi="Arial Unicode MS" w:cs="Arial" w:hint="eastAsia"/>
          <w:szCs w:val="21"/>
        </w:rPr>
        <w:t>）建立有效的内部监控系统：建立了足够、有效的内部监控系统，如计算机预警系统、投资监控系统，能对可能出现的各种风险进行全面和实时的监控。</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6</w:t>
      </w:r>
      <w:r>
        <w:rPr>
          <w:rFonts w:ascii="Arial Unicode MS" w:hAnsi="Arial Unicode MS" w:cs="Arial" w:hint="eastAsia"/>
          <w:szCs w:val="21"/>
        </w:rPr>
        <w:t>）使用数量化的风险管理手段：采取数量化、技术化的风险控制手段，建立数量化的风险管理模型，用以提示市场风险，以便公司及时采取有效的措施，对风险进行分散、控制和规避，尽可能地减少损失。</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7</w:t>
      </w:r>
      <w:r>
        <w:rPr>
          <w:rFonts w:ascii="Arial Unicode MS" w:hAnsi="Arial Unicode MS" w:cs="Arial" w:hint="eastAsia"/>
          <w:szCs w:val="21"/>
        </w:rPr>
        <w:t>）提供足够的培训：制定了完整的培训计划，为所有员工提供足够和适当的培训，</w:t>
      </w:r>
      <w:r>
        <w:rPr>
          <w:rFonts w:ascii="Arial Unicode MS" w:hAnsi="Arial Unicode MS" w:cs="Arial" w:hint="eastAsia"/>
          <w:szCs w:val="21"/>
        </w:rPr>
        <w:lastRenderedPageBreak/>
        <w:t>使员工明确其职责所在，控制风险。</w:t>
      </w:r>
    </w:p>
    <w:p w:rsidR="004C06C5" w:rsidRDefault="00ED474B">
      <w:pPr>
        <w:widowControl/>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6</w:t>
      </w:r>
      <w:r>
        <w:rPr>
          <w:rFonts w:ascii="Arial Unicode MS" w:hAnsi="Arial Unicode MS" w:cs="Arial" w:hint="eastAsia"/>
          <w:szCs w:val="21"/>
        </w:rPr>
        <w:t>、基金管理人承诺上述关于内部控制的披露真实、准确，并承诺将根据市场环境的变化及公司的发展不断完善合</w:t>
      </w:r>
      <w:proofErr w:type="gramStart"/>
      <w:r>
        <w:rPr>
          <w:rFonts w:ascii="Arial Unicode MS" w:hAnsi="Arial Unicode MS" w:cs="Arial" w:hint="eastAsia"/>
          <w:szCs w:val="21"/>
        </w:rPr>
        <w:t>规</w:t>
      </w:r>
      <w:proofErr w:type="gramEnd"/>
      <w:r>
        <w:rPr>
          <w:rFonts w:ascii="Arial Unicode MS" w:hAnsi="Arial Unicode MS" w:cs="Arial" w:hint="eastAsia"/>
          <w:szCs w:val="21"/>
        </w:rPr>
        <w:t>控制。</w:t>
      </w:r>
    </w:p>
    <w:p w:rsidR="004C06C5" w:rsidRDefault="00ED474B">
      <w:pPr>
        <w:widowControl/>
        <w:jc w:val="left"/>
        <w:rPr>
          <w:rFonts w:ascii="Arial Unicode MS" w:hAnsi="Arial Unicode MS" w:cs="Arial"/>
          <w:szCs w:val="21"/>
        </w:rPr>
      </w:pPr>
      <w:r>
        <w:rPr>
          <w:rFonts w:ascii="Arial Unicode MS" w:hAnsi="Arial Unicode MS" w:cs="Arial"/>
          <w:szCs w:val="21"/>
        </w:rPr>
        <w:br w:type="page"/>
      </w:r>
    </w:p>
    <w:p w:rsidR="004C06C5" w:rsidRDefault="00ED474B">
      <w:pPr>
        <w:pStyle w:val="11"/>
        <w:snapToGrid w:val="0"/>
        <w:spacing w:before="0" w:after="0" w:line="360" w:lineRule="auto"/>
        <w:rPr>
          <w:rFonts w:ascii="Arial Unicode MS" w:hAnsi="Arial Unicode MS" w:cs="Arial"/>
          <w:b/>
          <w:bCs/>
          <w:sz w:val="28"/>
          <w:szCs w:val="28"/>
        </w:rPr>
      </w:pPr>
      <w:bookmarkStart w:id="16" w:name="_Toc238013745"/>
      <w:bookmarkStart w:id="17" w:name="_Toc238027832"/>
      <w:bookmarkStart w:id="18" w:name="_Toc524923215"/>
      <w:bookmarkStart w:id="19" w:name="_Toc214873593"/>
      <w:bookmarkStart w:id="20" w:name="_Toc1464059"/>
      <w:bookmarkEnd w:id="16"/>
      <w:bookmarkEnd w:id="17"/>
      <w:r>
        <w:rPr>
          <w:rFonts w:ascii="Arial Unicode MS" w:eastAsia="宋体" w:hAnsi="Arial Unicode MS" w:cs="Arial"/>
          <w:b/>
          <w:bCs/>
          <w:sz w:val="28"/>
          <w:szCs w:val="28"/>
        </w:rPr>
        <w:lastRenderedPageBreak/>
        <w:t>第四部分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基金托管人</w:t>
      </w:r>
      <w:bookmarkEnd w:id="18"/>
      <w:bookmarkEnd w:id="19"/>
      <w:bookmarkEnd w:id="20"/>
    </w:p>
    <w:p w:rsidR="004C06C5" w:rsidRDefault="004C06C5">
      <w:pPr>
        <w:spacing w:line="360" w:lineRule="auto"/>
        <w:jc w:val="center"/>
        <w:rPr>
          <w:rFonts w:ascii="Arial Unicode MS" w:hAnsi="Arial Unicode MS" w:cs="Arial"/>
          <w:sz w:val="24"/>
        </w:rPr>
      </w:pPr>
    </w:p>
    <w:p w:rsidR="004C06C5" w:rsidRDefault="00ED474B">
      <w:pPr>
        <w:snapToGrid w:val="0"/>
        <w:spacing w:line="360" w:lineRule="auto"/>
        <w:ind w:firstLineChars="200" w:firstLine="422"/>
        <w:rPr>
          <w:rFonts w:ascii="Arial Unicode MS" w:hAnsi="Arial Unicode MS" w:cs="Arial"/>
          <w:b/>
          <w:szCs w:val="21"/>
        </w:rPr>
      </w:pPr>
      <w:r>
        <w:rPr>
          <w:rFonts w:ascii="Arial Unicode MS" w:hAnsi="Arial Unicode MS" w:cs="Arial" w:hint="eastAsia"/>
          <w:b/>
          <w:szCs w:val="21"/>
        </w:rPr>
        <w:t>一、基金托管人概况</w:t>
      </w:r>
    </w:p>
    <w:p w:rsidR="004C06C5" w:rsidRDefault="00ED474B">
      <w:pPr>
        <w:tabs>
          <w:tab w:val="left" w:pos="1110"/>
        </w:tabs>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本基金托管人为上海浦东发展银行股份有限公司，基本信息如下：</w:t>
      </w:r>
    </w:p>
    <w:p w:rsidR="004C06C5" w:rsidRDefault="00ED474B">
      <w:pPr>
        <w:tabs>
          <w:tab w:val="left" w:pos="1110"/>
        </w:tabs>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名称：</w:t>
      </w:r>
      <w:r>
        <w:rPr>
          <w:rFonts w:ascii="Arial Unicode MS" w:hAnsi="Arial Unicode MS" w:cs="Arial"/>
          <w:szCs w:val="21"/>
        </w:rPr>
        <w:t xml:space="preserve"> </w:t>
      </w:r>
      <w:r>
        <w:rPr>
          <w:rFonts w:ascii="Arial Unicode MS" w:hAnsi="Arial Unicode MS" w:cs="Arial" w:hint="eastAsia"/>
          <w:szCs w:val="21"/>
        </w:rPr>
        <w:t>上海浦东发展银行股份有限公司</w:t>
      </w:r>
    </w:p>
    <w:p w:rsidR="004C06C5" w:rsidRDefault="00ED474B">
      <w:pPr>
        <w:tabs>
          <w:tab w:val="left" w:pos="1110"/>
        </w:tabs>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注册地址：上海市中山东一路</w:t>
      </w:r>
      <w:r>
        <w:rPr>
          <w:rFonts w:ascii="Arial Unicode MS" w:hAnsi="Arial Unicode MS" w:cs="Arial"/>
          <w:szCs w:val="21"/>
        </w:rPr>
        <w:t>12</w:t>
      </w:r>
      <w:r>
        <w:rPr>
          <w:rFonts w:ascii="Arial Unicode MS" w:hAnsi="Arial Unicode MS" w:cs="Arial" w:hint="eastAsia"/>
          <w:szCs w:val="21"/>
        </w:rPr>
        <w:t>号</w:t>
      </w:r>
    </w:p>
    <w:p w:rsidR="004C06C5" w:rsidRDefault="00ED474B">
      <w:pPr>
        <w:tabs>
          <w:tab w:val="left" w:pos="1110"/>
        </w:tabs>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办公地址：上海市中山东一路</w:t>
      </w:r>
      <w:r>
        <w:rPr>
          <w:rFonts w:ascii="Arial Unicode MS" w:hAnsi="Arial Unicode MS" w:cs="Arial"/>
          <w:szCs w:val="21"/>
        </w:rPr>
        <w:t>12</w:t>
      </w:r>
      <w:r>
        <w:rPr>
          <w:rFonts w:ascii="Arial Unicode MS" w:hAnsi="Arial Unicode MS" w:cs="Arial" w:hint="eastAsia"/>
          <w:szCs w:val="21"/>
        </w:rPr>
        <w:t>号</w:t>
      </w:r>
    </w:p>
    <w:p w:rsidR="004C06C5" w:rsidRDefault="00ED474B">
      <w:pPr>
        <w:tabs>
          <w:tab w:val="left" w:pos="1110"/>
        </w:tabs>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法定代表人：郑杨</w:t>
      </w:r>
    </w:p>
    <w:p w:rsidR="004C06C5" w:rsidRDefault="00ED474B">
      <w:pPr>
        <w:tabs>
          <w:tab w:val="left" w:pos="1110"/>
        </w:tabs>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成立时间：</w:t>
      </w:r>
      <w:r>
        <w:rPr>
          <w:rFonts w:ascii="Arial Unicode MS" w:hAnsi="Arial Unicode MS" w:cs="Arial"/>
          <w:szCs w:val="21"/>
        </w:rPr>
        <w:t xml:space="preserve"> 1992</w:t>
      </w:r>
      <w:r>
        <w:rPr>
          <w:rFonts w:ascii="Arial Unicode MS" w:hAnsi="Arial Unicode MS" w:cs="Arial" w:hint="eastAsia"/>
          <w:szCs w:val="21"/>
        </w:rPr>
        <w:t>年</w:t>
      </w:r>
      <w:r>
        <w:rPr>
          <w:rFonts w:ascii="Arial Unicode MS" w:hAnsi="Arial Unicode MS" w:cs="Arial"/>
          <w:szCs w:val="21"/>
        </w:rPr>
        <w:t>10</w:t>
      </w:r>
      <w:r>
        <w:rPr>
          <w:rFonts w:ascii="Arial Unicode MS" w:hAnsi="Arial Unicode MS" w:cs="Arial" w:hint="eastAsia"/>
          <w:szCs w:val="21"/>
        </w:rPr>
        <w:t>月</w:t>
      </w:r>
      <w:r>
        <w:rPr>
          <w:rFonts w:ascii="Arial Unicode MS" w:hAnsi="Arial Unicode MS" w:cs="Arial"/>
          <w:szCs w:val="21"/>
        </w:rPr>
        <w:t>19</w:t>
      </w:r>
      <w:r>
        <w:rPr>
          <w:rFonts w:ascii="Arial Unicode MS" w:hAnsi="Arial Unicode MS" w:cs="Arial" w:hint="eastAsia"/>
          <w:szCs w:val="21"/>
        </w:rPr>
        <w:t>日</w:t>
      </w:r>
    </w:p>
    <w:p w:rsidR="004C06C5" w:rsidRDefault="00ED474B">
      <w:pPr>
        <w:tabs>
          <w:tab w:val="left" w:pos="1110"/>
        </w:tabs>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经营范围：经中国人民银行和中国银行业监督管理委员会批准，公司主营业务主要包括：吸收公众存款；发放短期、中期和长期贷款；办理结算；办理票据贴现；发行金融债券；代理发行、代理兑付、承销政府债券；买卖政府债券；同业拆借；提供信用证服务及担保；代理收付款项及代理保险业务；提供保险箱业务；外汇存款；外汇贷款；外汇汇款；外币兑换；国际结算；同业外汇拆借；外汇票据的承兑和贴现；外汇借款；外汇担保；结汇、售汇；买卖和代理买卖股票以外的外币有价证券；自营外汇买卖；代客外汇买卖；资信调查、咨询、见证业务；离岸银行业务；证券投资基金托管业务；全国社会保障基金托管业务；经中国人民银行和中国银行业监督管理委员会批准经营的其他业务。</w:t>
      </w:r>
    </w:p>
    <w:p w:rsidR="004C06C5" w:rsidRDefault="00ED474B">
      <w:pPr>
        <w:tabs>
          <w:tab w:val="left" w:pos="1110"/>
        </w:tabs>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组织形式：</w:t>
      </w:r>
      <w:r>
        <w:rPr>
          <w:rFonts w:ascii="Arial Unicode MS" w:hAnsi="Arial Unicode MS" w:cs="Arial"/>
          <w:szCs w:val="21"/>
        </w:rPr>
        <w:t xml:space="preserve"> </w:t>
      </w:r>
      <w:r>
        <w:rPr>
          <w:rFonts w:ascii="Arial Unicode MS" w:hAnsi="Arial Unicode MS" w:cs="Arial" w:hint="eastAsia"/>
          <w:szCs w:val="21"/>
        </w:rPr>
        <w:t>股份有限公司</w:t>
      </w:r>
    </w:p>
    <w:p w:rsidR="004C06C5" w:rsidRDefault="00ED474B">
      <w:pPr>
        <w:tabs>
          <w:tab w:val="left" w:pos="1110"/>
        </w:tabs>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注册资本：</w:t>
      </w:r>
      <w:r>
        <w:rPr>
          <w:rFonts w:ascii="Arial Unicode MS" w:hAnsi="Arial Unicode MS" w:cs="Arial"/>
          <w:szCs w:val="21"/>
        </w:rPr>
        <w:t xml:space="preserve"> 293.52</w:t>
      </w:r>
      <w:r>
        <w:rPr>
          <w:rFonts w:ascii="Arial Unicode MS" w:hAnsi="Arial Unicode MS" w:cs="Arial" w:hint="eastAsia"/>
          <w:szCs w:val="21"/>
        </w:rPr>
        <w:t>亿元人民币</w:t>
      </w:r>
    </w:p>
    <w:p w:rsidR="004C06C5" w:rsidRDefault="00ED474B">
      <w:pPr>
        <w:tabs>
          <w:tab w:val="left" w:pos="1110"/>
        </w:tabs>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存续期间：</w:t>
      </w:r>
      <w:r>
        <w:rPr>
          <w:rFonts w:ascii="Arial Unicode MS" w:hAnsi="Arial Unicode MS" w:cs="Arial"/>
          <w:szCs w:val="21"/>
        </w:rPr>
        <w:t xml:space="preserve"> </w:t>
      </w:r>
      <w:r>
        <w:rPr>
          <w:rFonts w:ascii="Arial Unicode MS" w:hAnsi="Arial Unicode MS" w:cs="Arial" w:hint="eastAsia"/>
          <w:szCs w:val="21"/>
        </w:rPr>
        <w:t>持续经营</w:t>
      </w:r>
    </w:p>
    <w:p w:rsidR="004C06C5" w:rsidRDefault="00ED474B">
      <w:pPr>
        <w:tabs>
          <w:tab w:val="left" w:pos="1110"/>
        </w:tabs>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基金托管资格批文及文号：中国证监会证</w:t>
      </w:r>
      <w:proofErr w:type="gramStart"/>
      <w:r>
        <w:rPr>
          <w:rFonts w:ascii="Arial Unicode MS" w:hAnsi="Arial Unicode MS" w:cs="Arial" w:hint="eastAsia"/>
          <w:szCs w:val="21"/>
        </w:rPr>
        <w:t>监基金字</w:t>
      </w:r>
      <w:proofErr w:type="gramEnd"/>
      <w:r>
        <w:rPr>
          <w:rFonts w:ascii="Arial Unicode MS" w:hAnsi="Arial Unicode MS" w:cs="Arial"/>
          <w:szCs w:val="21"/>
        </w:rPr>
        <w:t>[2003]105</w:t>
      </w:r>
      <w:r>
        <w:rPr>
          <w:rFonts w:ascii="Arial Unicode MS" w:hAnsi="Arial Unicode MS" w:cs="Arial" w:hint="eastAsia"/>
          <w:szCs w:val="21"/>
        </w:rPr>
        <w:t>号</w:t>
      </w:r>
    </w:p>
    <w:p w:rsidR="004C06C5" w:rsidRDefault="00ED474B">
      <w:pPr>
        <w:tabs>
          <w:tab w:val="left" w:pos="1110"/>
        </w:tabs>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联系人：胡波</w:t>
      </w:r>
    </w:p>
    <w:p w:rsidR="004C06C5" w:rsidRDefault="00ED474B">
      <w:pPr>
        <w:tabs>
          <w:tab w:val="left" w:pos="1110"/>
        </w:tabs>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联系电话：（</w:t>
      </w:r>
      <w:r>
        <w:rPr>
          <w:rFonts w:ascii="Arial Unicode MS" w:hAnsi="Arial Unicode MS" w:cs="Arial"/>
          <w:szCs w:val="21"/>
        </w:rPr>
        <w:t>021</w:t>
      </w:r>
      <w:r>
        <w:rPr>
          <w:rFonts w:ascii="Arial Unicode MS" w:hAnsi="Arial Unicode MS" w:cs="Arial" w:hint="eastAsia"/>
          <w:szCs w:val="21"/>
        </w:rPr>
        <w:t>）</w:t>
      </w:r>
      <w:r>
        <w:rPr>
          <w:rFonts w:ascii="Arial Unicode MS" w:hAnsi="Arial Unicode MS" w:cs="Arial"/>
          <w:szCs w:val="21"/>
        </w:rPr>
        <w:t>61618888</w:t>
      </w:r>
    </w:p>
    <w:p w:rsidR="004C06C5" w:rsidRDefault="00ED474B">
      <w:pPr>
        <w:tabs>
          <w:tab w:val="left" w:pos="1110"/>
        </w:tabs>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上海浦东发展银行自</w:t>
      </w:r>
      <w:r>
        <w:rPr>
          <w:rFonts w:ascii="Arial Unicode MS" w:hAnsi="Arial Unicode MS" w:cs="Arial"/>
          <w:szCs w:val="21"/>
        </w:rPr>
        <w:t>2003</w:t>
      </w:r>
      <w:r>
        <w:rPr>
          <w:rFonts w:ascii="Arial Unicode MS" w:hAnsi="Arial Unicode MS" w:cs="Arial" w:hint="eastAsia"/>
          <w:szCs w:val="21"/>
        </w:rPr>
        <w:t>年开展资产托管业务，是较早开展银行资产托管服务的股份制商业银行之一。经过二十年来的稳健经营和业务开拓，各项业务发展一直保持较快增长，各项经营指标在股份制商业银行中处于较好水平。</w:t>
      </w:r>
    </w:p>
    <w:p w:rsidR="004C06C5" w:rsidRDefault="00ED474B">
      <w:pPr>
        <w:tabs>
          <w:tab w:val="left" w:pos="1110"/>
        </w:tabs>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上海浦东发展银行总行于</w:t>
      </w:r>
      <w:r>
        <w:rPr>
          <w:rFonts w:ascii="Arial Unicode MS" w:hAnsi="Arial Unicode MS" w:cs="Arial"/>
          <w:szCs w:val="21"/>
        </w:rPr>
        <w:t>2003</w:t>
      </w:r>
      <w:r>
        <w:rPr>
          <w:rFonts w:ascii="Arial Unicode MS" w:hAnsi="Arial Unicode MS" w:cs="Arial" w:hint="eastAsia"/>
          <w:szCs w:val="21"/>
        </w:rPr>
        <w:t>年设立基金托管部，</w:t>
      </w:r>
      <w:r>
        <w:rPr>
          <w:rFonts w:ascii="Arial Unicode MS" w:hAnsi="Arial Unicode MS" w:cs="Arial"/>
          <w:szCs w:val="21"/>
        </w:rPr>
        <w:t>2005</w:t>
      </w:r>
      <w:r>
        <w:rPr>
          <w:rFonts w:ascii="Arial Unicode MS" w:hAnsi="Arial Unicode MS" w:cs="Arial" w:hint="eastAsia"/>
          <w:szCs w:val="21"/>
        </w:rPr>
        <w:t>年更名为资产托管部，</w:t>
      </w:r>
      <w:r>
        <w:rPr>
          <w:rFonts w:ascii="Arial Unicode MS" w:hAnsi="Arial Unicode MS" w:cs="Arial"/>
          <w:szCs w:val="21"/>
        </w:rPr>
        <w:t>2013</w:t>
      </w:r>
      <w:r>
        <w:rPr>
          <w:rFonts w:ascii="Arial Unicode MS" w:hAnsi="Arial Unicode MS" w:cs="Arial" w:hint="eastAsia"/>
          <w:szCs w:val="21"/>
        </w:rPr>
        <w:t>年更名为资产托管与养老金业务部，</w:t>
      </w:r>
      <w:r>
        <w:rPr>
          <w:rFonts w:ascii="Arial Unicode MS" w:hAnsi="Arial Unicode MS" w:cs="Arial"/>
          <w:szCs w:val="21"/>
        </w:rPr>
        <w:t>2016</w:t>
      </w:r>
      <w:r>
        <w:rPr>
          <w:rFonts w:ascii="Arial Unicode MS" w:hAnsi="Arial Unicode MS" w:cs="Arial" w:hint="eastAsia"/>
          <w:szCs w:val="21"/>
        </w:rPr>
        <w:t>年进行组织架构优化调整，并更名为资产托管部，目前下设证券托管处、客户资产托管处、内控管理处、业务保障处、总行资产托管运营中心（含合肥分中心）五个职能处室。</w:t>
      </w:r>
    </w:p>
    <w:p w:rsidR="004C06C5" w:rsidRDefault="00ED474B">
      <w:pPr>
        <w:tabs>
          <w:tab w:val="left" w:pos="1110"/>
        </w:tabs>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lastRenderedPageBreak/>
        <w:t>目前，上海浦东发展银行已拥有客户资金托管、资金信托保管、证券投资基金托管、全球资产托管、保险资金托管、基金专户理财托管、证券公司客户资产托管、期货公司客户资产托管、私募证券投资基金托管、私</w:t>
      </w:r>
      <w:proofErr w:type="gramStart"/>
      <w:r>
        <w:rPr>
          <w:rFonts w:ascii="Arial Unicode MS" w:hAnsi="Arial Unicode MS" w:cs="Arial" w:hint="eastAsia"/>
          <w:szCs w:val="21"/>
        </w:rPr>
        <w:t>募股权</w:t>
      </w:r>
      <w:proofErr w:type="gramEnd"/>
      <w:r>
        <w:rPr>
          <w:rFonts w:ascii="Arial Unicode MS" w:hAnsi="Arial Unicode MS" w:cs="Arial" w:hint="eastAsia"/>
          <w:szCs w:val="21"/>
        </w:rPr>
        <w:t>托管、银行理财产品托管、企业年金托管等多项托管产品，形成完备的产品体系，可满足多领域客户、境内外市场的资产托管需求。</w:t>
      </w:r>
    </w:p>
    <w:p w:rsidR="004C06C5" w:rsidRDefault="004C06C5">
      <w:pPr>
        <w:tabs>
          <w:tab w:val="left" w:pos="1110"/>
        </w:tabs>
        <w:adjustRightInd w:val="0"/>
        <w:snapToGrid w:val="0"/>
        <w:spacing w:line="360" w:lineRule="auto"/>
        <w:ind w:firstLineChars="200" w:firstLine="420"/>
        <w:rPr>
          <w:rFonts w:ascii="Arial Unicode MS" w:hAnsi="Arial Unicode MS" w:cs="Arial"/>
          <w:szCs w:val="21"/>
        </w:rPr>
      </w:pPr>
    </w:p>
    <w:p w:rsidR="004C06C5" w:rsidRDefault="00ED474B">
      <w:pPr>
        <w:snapToGrid w:val="0"/>
        <w:spacing w:line="360" w:lineRule="auto"/>
        <w:ind w:firstLineChars="200" w:firstLine="422"/>
        <w:rPr>
          <w:rFonts w:ascii="Arial Unicode MS" w:hAnsi="Arial Unicode MS" w:cs="Arial"/>
          <w:b/>
          <w:szCs w:val="21"/>
        </w:rPr>
      </w:pPr>
      <w:r>
        <w:rPr>
          <w:rFonts w:ascii="Arial Unicode MS" w:hAnsi="Arial Unicode MS" w:cs="Arial" w:hint="eastAsia"/>
          <w:b/>
          <w:szCs w:val="21"/>
        </w:rPr>
        <w:t>二、主要人员情况</w:t>
      </w:r>
    </w:p>
    <w:p w:rsidR="004C06C5" w:rsidRDefault="00ED474B">
      <w:pPr>
        <w:tabs>
          <w:tab w:val="left" w:pos="1110"/>
        </w:tabs>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郑杨，男，</w:t>
      </w:r>
      <w:r>
        <w:rPr>
          <w:rFonts w:ascii="Arial Unicode MS" w:hAnsi="Arial Unicode MS" w:cs="Arial"/>
          <w:szCs w:val="21"/>
        </w:rPr>
        <w:t>1966</w:t>
      </w:r>
      <w:r>
        <w:rPr>
          <w:rFonts w:ascii="Arial Unicode MS" w:hAnsi="Arial Unicode MS" w:cs="Arial" w:hint="eastAsia"/>
          <w:szCs w:val="21"/>
        </w:rPr>
        <w:t>年出生，研究生学历，博士学位，高级经济师。曾任国家经贸委经济法规司调研处副处长；中国机电设备招标中心开发处处长、第七招标业务处处长；国家外汇管理局资本项目司副司长；中国人民银行上海分行党委委员、副行长、国家外汇管理局上海市分局副局长；中国人民银行上海总部党委委员、副主任兼外汇管理部主任；上海市金融工作党委副书记、市金融办主任；上海市金融工作党委书记、市金融办主任；上海市金融工作党委书记、市地方金融监管局（市金融工作局）局长。现任上海浦东发展银行党委书记、董事长。</w:t>
      </w:r>
    </w:p>
    <w:p w:rsidR="004C06C5" w:rsidRDefault="00ED474B">
      <w:pPr>
        <w:tabs>
          <w:tab w:val="left" w:pos="1110"/>
        </w:tabs>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潘卫东，男，</w:t>
      </w:r>
      <w:r>
        <w:rPr>
          <w:rFonts w:ascii="Arial Unicode MS" w:hAnsi="Arial Unicode MS" w:cs="Arial"/>
          <w:szCs w:val="21"/>
        </w:rPr>
        <w:t>1966</w:t>
      </w:r>
      <w:r>
        <w:rPr>
          <w:rFonts w:ascii="Arial Unicode MS" w:hAnsi="Arial Unicode MS" w:cs="Arial" w:hint="eastAsia"/>
          <w:szCs w:val="21"/>
        </w:rPr>
        <w:t>年出生，硕士研究生，高级经济师。曾任宁波证券公司业务一部副经理；上海浦东发展银行宁波分行资财部总经理兼任北仑办事处主任、宁波分行副行长；上海浦东发展银行产品开发部总经理；上海浦东发展银行昆明分行行长、党组书记；上海市金融服务办公室挂职并</w:t>
      </w:r>
      <w:proofErr w:type="gramStart"/>
      <w:r>
        <w:rPr>
          <w:rFonts w:ascii="Arial Unicode MS" w:hAnsi="Arial Unicode MS" w:cs="Arial" w:hint="eastAsia"/>
          <w:szCs w:val="21"/>
        </w:rPr>
        <w:t>任金融</w:t>
      </w:r>
      <w:proofErr w:type="gramEnd"/>
      <w:r>
        <w:rPr>
          <w:rFonts w:ascii="Arial Unicode MS" w:hAnsi="Arial Unicode MS" w:cs="Arial" w:hint="eastAsia"/>
          <w:szCs w:val="21"/>
        </w:rPr>
        <w:t>机构处处长；上海国际集团党委委员、总经理助理，上海国际集团党委委员、副总经理，上海国际信托有限公司党委书记、董事长；上海浦东发展银行党委委员、执行董事、副行长、财务总监。现任上海浦东发展银行党委副书记、副董事长、行长，上海国际信托有限公司董事长。</w:t>
      </w:r>
    </w:p>
    <w:p w:rsidR="004C06C5" w:rsidRDefault="00ED474B">
      <w:pPr>
        <w:tabs>
          <w:tab w:val="left" w:pos="1110"/>
        </w:tabs>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孔建，男，</w:t>
      </w:r>
      <w:r>
        <w:rPr>
          <w:rFonts w:ascii="Arial Unicode MS" w:hAnsi="Arial Unicode MS" w:cs="Arial"/>
          <w:szCs w:val="21"/>
        </w:rPr>
        <w:t>1968</w:t>
      </w:r>
      <w:r>
        <w:rPr>
          <w:rFonts w:ascii="Arial Unicode MS" w:hAnsi="Arial Unicode MS" w:cs="Arial" w:hint="eastAsia"/>
          <w:szCs w:val="21"/>
        </w:rPr>
        <w:t>年出生，博士研究生。历任工商银行山东省分行资金营运处副处长，上海浦东发展银行济南分行信管处总经理，上海浦东发展银行济南分行行长助理、副行长、党委书记、行长。现任上海浦东发展银行总行金融市场业务工作党委委员，资产托管部总经理。</w:t>
      </w:r>
    </w:p>
    <w:p w:rsidR="004C06C5" w:rsidRDefault="004C06C5">
      <w:pPr>
        <w:tabs>
          <w:tab w:val="left" w:pos="1110"/>
        </w:tabs>
        <w:adjustRightInd w:val="0"/>
        <w:snapToGrid w:val="0"/>
        <w:spacing w:line="360" w:lineRule="auto"/>
        <w:ind w:firstLineChars="200" w:firstLine="420"/>
        <w:rPr>
          <w:rFonts w:ascii="Arial Unicode MS" w:hAnsi="Arial Unicode MS" w:cs="Arial"/>
          <w:szCs w:val="21"/>
        </w:rPr>
      </w:pPr>
    </w:p>
    <w:p w:rsidR="004C06C5" w:rsidRDefault="00ED474B">
      <w:pPr>
        <w:snapToGrid w:val="0"/>
        <w:spacing w:line="360" w:lineRule="auto"/>
        <w:ind w:firstLineChars="200" w:firstLine="422"/>
        <w:rPr>
          <w:rFonts w:ascii="Arial Unicode MS" w:hAnsi="Arial Unicode MS" w:cs="Arial"/>
          <w:szCs w:val="21"/>
        </w:rPr>
      </w:pPr>
      <w:r>
        <w:rPr>
          <w:rFonts w:ascii="Arial Unicode MS" w:hAnsi="Arial Unicode MS" w:cs="Arial" w:hint="eastAsia"/>
          <w:b/>
          <w:szCs w:val="21"/>
        </w:rPr>
        <w:t>三、基金托管业务经营情况</w:t>
      </w:r>
    </w:p>
    <w:p w:rsidR="004C06C5" w:rsidRDefault="00ED474B">
      <w:pPr>
        <w:tabs>
          <w:tab w:val="left" w:pos="1110"/>
        </w:tabs>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截止</w:t>
      </w:r>
      <w:r>
        <w:rPr>
          <w:rFonts w:ascii="Arial Unicode MS" w:hAnsi="Arial Unicode MS" w:cs="Arial"/>
          <w:szCs w:val="21"/>
        </w:rPr>
        <w:t>2020</w:t>
      </w:r>
      <w:r>
        <w:rPr>
          <w:rFonts w:ascii="Arial Unicode MS" w:hAnsi="Arial Unicode MS" w:cs="Arial" w:hint="eastAsia"/>
          <w:szCs w:val="21"/>
        </w:rPr>
        <w:t>年</w:t>
      </w:r>
      <w:r>
        <w:rPr>
          <w:rFonts w:ascii="Arial Unicode MS" w:hAnsi="Arial Unicode MS" w:cs="Arial"/>
          <w:szCs w:val="21"/>
        </w:rPr>
        <w:t>3</w:t>
      </w:r>
      <w:r>
        <w:rPr>
          <w:rFonts w:ascii="Arial Unicode MS" w:hAnsi="Arial Unicode MS" w:cs="Arial" w:hint="eastAsia"/>
          <w:szCs w:val="21"/>
        </w:rPr>
        <w:t>月</w:t>
      </w:r>
      <w:r>
        <w:rPr>
          <w:rFonts w:ascii="Arial Unicode MS" w:hAnsi="Arial Unicode MS" w:cs="Arial"/>
          <w:szCs w:val="21"/>
        </w:rPr>
        <w:t>31</w:t>
      </w:r>
      <w:r>
        <w:rPr>
          <w:rFonts w:ascii="Arial Unicode MS" w:hAnsi="Arial Unicode MS" w:cs="Arial" w:hint="eastAsia"/>
          <w:szCs w:val="21"/>
        </w:rPr>
        <w:t>日，上海浦东发展银行证券投资基金托管规模为</w:t>
      </w:r>
      <w:r>
        <w:rPr>
          <w:rFonts w:ascii="Arial Unicode MS" w:hAnsi="Arial Unicode MS" w:cs="Arial"/>
          <w:szCs w:val="21"/>
        </w:rPr>
        <w:t>7671.15</w:t>
      </w:r>
      <w:r>
        <w:rPr>
          <w:rFonts w:ascii="Arial Unicode MS" w:hAnsi="Arial Unicode MS" w:cs="Arial" w:hint="eastAsia"/>
          <w:szCs w:val="21"/>
        </w:rPr>
        <w:t>亿元，比去年末增加</w:t>
      </w:r>
      <w:r>
        <w:rPr>
          <w:rFonts w:ascii="Arial Unicode MS" w:hAnsi="Arial Unicode MS" w:cs="Arial"/>
          <w:szCs w:val="21"/>
        </w:rPr>
        <w:t>27.36%</w:t>
      </w:r>
      <w:r>
        <w:rPr>
          <w:rFonts w:ascii="Arial Unicode MS" w:hAnsi="Arial Unicode MS" w:cs="Arial" w:hint="eastAsia"/>
          <w:szCs w:val="21"/>
        </w:rPr>
        <w:t>。托管证券投资基金共一百九十八只，</w:t>
      </w:r>
      <w:r>
        <w:rPr>
          <w:rFonts w:ascii="Arial Unicode MS" w:hAnsi="Arial Unicode MS" w:cs="Arial"/>
          <w:szCs w:val="21"/>
        </w:rPr>
        <w:t xml:space="preserve"> </w:t>
      </w:r>
      <w:r>
        <w:rPr>
          <w:rFonts w:ascii="Arial Unicode MS" w:hAnsi="Arial Unicode MS" w:cs="Arial" w:hint="eastAsia"/>
          <w:szCs w:val="21"/>
        </w:rPr>
        <w:t>分别为</w:t>
      </w:r>
      <w:r>
        <w:rPr>
          <w:rFonts w:ascii="Arial Unicode MS" w:hAnsi="Arial Unicode MS" w:cs="Arial"/>
          <w:szCs w:val="21"/>
        </w:rPr>
        <w:t xml:space="preserve"> </w:t>
      </w:r>
      <w:r>
        <w:rPr>
          <w:rFonts w:ascii="Arial Unicode MS" w:hAnsi="Arial Unicode MS" w:cs="Arial" w:hint="eastAsia"/>
          <w:szCs w:val="21"/>
        </w:rPr>
        <w:t>国泰金</w:t>
      </w:r>
      <w:proofErr w:type="gramStart"/>
      <w:r>
        <w:rPr>
          <w:rFonts w:ascii="Arial Unicode MS" w:hAnsi="Arial Unicode MS" w:cs="Arial" w:hint="eastAsia"/>
          <w:szCs w:val="21"/>
        </w:rPr>
        <w:t>龙行业</w:t>
      </w:r>
      <w:proofErr w:type="gramEnd"/>
      <w:r>
        <w:rPr>
          <w:rFonts w:ascii="Arial Unicode MS" w:hAnsi="Arial Unicode MS" w:cs="Arial" w:hint="eastAsia"/>
          <w:szCs w:val="21"/>
        </w:rPr>
        <w:t>精选基金、国泰金龙债券基金、天治财富增长基金、广发小盘成长基金、</w:t>
      </w:r>
      <w:proofErr w:type="gramStart"/>
      <w:r>
        <w:rPr>
          <w:rFonts w:ascii="Arial Unicode MS" w:hAnsi="Arial Unicode MS" w:cs="Arial" w:hint="eastAsia"/>
          <w:szCs w:val="21"/>
        </w:rPr>
        <w:t>汇添富货币</w:t>
      </w:r>
      <w:proofErr w:type="gramEnd"/>
      <w:r>
        <w:rPr>
          <w:rFonts w:ascii="Arial Unicode MS" w:hAnsi="Arial Unicode MS" w:cs="Arial" w:hint="eastAsia"/>
          <w:szCs w:val="21"/>
        </w:rPr>
        <w:t>基金、长信金</w:t>
      </w:r>
      <w:proofErr w:type="gramStart"/>
      <w:r>
        <w:rPr>
          <w:rFonts w:ascii="Arial Unicode MS" w:hAnsi="Arial Unicode MS" w:cs="Arial" w:hint="eastAsia"/>
          <w:szCs w:val="21"/>
        </w:rPr>
        <w:t>利趋势</w:t>
      </w:r>
      <w:proofErr w:type="gramEnd"/>
      <w:r>
        <w:rPr>
          <w:rFonts w:ascii="Arial Unicode MS" w:hAnsi="Arial Unicode MS" w:cs="Arial" w:hint="eastAsia"/>
          <w:szCs w:val="21"/>
        </w:rPr>
        <w:t>基金、嘉实优质企业基金、国联</w:t>
      </w:r>
      <w:proofErr w:type="gramStart"/>
      <w:r>
        <w:rPr>
          <w:rFonts w:ascii="Arial Unicode MS" w:hAnsi="Arial Unicode MS" w:cs="Arial" w:hint="eastAsia"/>
          <w:szCs w:val="21"/>
        </w:rPr>
        <w:t>安货币</w:t>
      </w:r>
      <w:proofErr w:type="gramEnd"/>
      <w:r>
        <w:rPr>
          <w:rFonts w:ascii="Arial Unicode MS" w:hAnsi="Arial Unicode MS" w:cs="Arial" w:hint="eastAsia"/>
          <w:szCs w:val="21"/>
        </w:rPr>
        <w:t>基金、长信利众债券基金（</w:t>
      </w:r>
      <w:r>
        <w:rPr>
          <w:rFonts w:ascii="Arial Unicode MS" w:hAnsi="Arial Unicode MS" w:cs="Arial"/>
          <w:szCs w:val="21"/>
        </w:rPr>
        <w:t>LOF</w:t>
      </w:r>
      <w:r>
        <w:rPr>
          <w:rFonts w:ascii="Arial Unicode MS" w:hAnsi="Arial Unicode MS" w:cs="Arial" w:hint="eastAsia"/>
          <w:szCs w:val="21"/>
        </w:rPr>
        <w:t>）、博时安丰</w:t>
      </w:r>
      <w:r>
        <w:rPr>
          <w:rFonts w:ascii="Arial Unicode MS" w:hAnsi="Arial Unicode MS" w:cs="Arial"/>
          <w:szCs w:val="21"/>
        </w:rPr>
        <w:t>18</w:t>
      </w:r>
      <w:r>
        <w:rPr>
          <w:rFonts w:ascii="Arial Unicode MS" w:hAnsi="Arial Unicode MS" w:cs="Arial" w:hint="eastAsia"/>
          <w:szCs w:val="21"/>
        </w:rPr>
        <w:t>个月基金（</w:t>
      </w:r>
      <w:r>
        <w:rPr>
          <w:rFonts w:ascii="Arial Unicode MS" w:hAnsi="Arial Unicode MS" w:cs="Arial"/>
          <w:szCs w:val="21"/>
        </w:rPr>
        <w:t>LOF</w:t>
      </w:r>
      <w:r>
        <w:rPr>
          <w:rFonts w:ascii="Arial Unicode MS" w:hAnsi="Arial Unicode MS" w:cs="Arial" w:hint="eastAsia"/>
          <w:szCs w:val="21"/>
        </w:rPr>
        <w:t>）、</w:t>
      </w:r>
      <w:proofErr w:type="gramStart"/>
      <w:r>
        <w:rPr>
          <w:rFonts w:ascii="Arial Unicode MS" w:hAnsi="Arial Unicode MS" w:cs="Arial" w:hint="eastAsia"/>
          <w:szCs w:val="21"/>
        </w:rPr>
        <w:t>易方达裕丰回报</w:t>
      </w:r>
      <w:proofErr w:type="gramEnd"/>
      <w:r>
        <w:rPr>
          <w:rFonts w:ascii="Arial Unicode MS" w:hAnsi="Arial Unicode MS" w:cs="Arial" w:hint="eastAsia"/>
          <w:szCs w:val="21"/>
        </w:rPr>
        <w:t>基金、鹏华丰泰定期开放基金、</w:t>
      </w:r>
      <w:proofErr w:type="gramStart"/>
      <w:r>
        <w:rPr>
          <w:rFonts w:ascii="Arial Unicode MS" w:hAnsi="Arial Unicode MS" w:cs="Arial" w:hint="eastAsia"/>
          <w:szCs w:val="21"/>
        </w:rPr>
        <w:t>汇添富双利增强</w:t>
      </w:r>
      <w:proofErr w:type="gramEnd"/>
      <w:r>
        <w:rPr>
          <w:rFonts w:ascii="Arial Unicode MS" w:hAnsi="Arial Unicode MS" w:cs="Arial" w:hint="eastAsia"/>
          <w:szCs w:val="21"/>
        </w:rPr>
        <w:t>债券</w:t>
      </w:r>
      <w:r>
        <w:rPr>
          <w:rFonts w:ascii="Arial Unicode MS" w:hAnsi="Arial Unicode MS" w:cs="Arial" w:hint="eastAsia"/>
          <w:szCs w:val="21"/>
        </w:rPr>
        <w:lastRenderedPageBreak/>
        <w:t>基金、</w:t>
      </w:r>
      <w:proofErr w:type="gramStart"/>
      <w:r>
        <w:rPr>
          <w:rFonts w:ascii="Arial Unicode MS" w:hAnsi="Arial Unicode MS" w:cs="Arial" w:hint="eastAsia"/>
          <w:szCs w:val="21"/>
        </w:rPr>
        <w:t>华富恒财定开</w:t>
      </w:r>
      <w:proofErr w:type="gramEnd"/>
      <w:r>
        <w:rPr>
          <w:rFonts w:ascii="Arial Unicode MS" w:hAnsi="Arial Unicode MS" w:cs="Arial" w:hint="eastAsia"/>
          <w:szCs w:val="21"/>
        </w:rPr>
        <w:t>债券基金、</w:t>
      </w:r>
      <w:proofErr w:type="gramStart"/>
      <w:r>
        <w:rPr>
          <w:rFonts w:ascii="Arial Unicode MS" w:hAnsi="Arial Unicode MS" w:cs="Arial" w:hint="eastAsia"/>
          <w:szCs w:val="21"/>
        </w:rPr>
        <w:t>汇添富</w:t>
      </w:r>
      <w:proofErr w:type="gramEnd"/>
      <w:r>
        <w:rPr>
          <w:rFonts w:ascii="Arial Unicode MS" w:hAnsi="Arial Unicode MS" w:cs="Arial" w:hint="eastAsia"/>
          <w:szCs w:val="21"/>
        </w:rPr>
        <w:t>和聚宝货币基金、工</w:t>
      </w:r>
      <w:proofErr w:type="gramStart"/>
      <w:r>
        <w:rPr>
          <w:rFonts w:ascii="Arial Unicode MS" w:hAnsi="Arial Unicode MS" w:cs="Arial" w:hint="eastAsia"/>
          <w:szCs w:val="21"/>
        </w:rPr>
        <w:t>银目标</w:t>
      </w:r>
      <w:proofErr w:type="gramEnd"/>
      <w:r>
        <w:rPr>
          <w:rFonts w:ascii="Arial Unicode MS" w:hAnsi="Arial Unicode MS" w:cs="Arial" w:hint="eastAsia"/>
          <w:szCs w:val="21"/>
        </w:rPr>
        <w:t>收益一年定开债券基金、北信瑞</w:t>
      </w:r>
      <w:proofErr w:type="gramStart"/>
      <w:r>
        <w:rPr>
          <w:rFonts w:ascii="Arial Unicode MS" w:hAnsi="Arial Unicode MS" w:cs="Arial" w:hint="eastAsia"/>
          <w:szCs w:val="21"/>
        </w:rPr>
        <w:t>丰宜投宝货币</w:t>
      </w:r>
      <w:proofErr w:type="gramEnd"/>
      <w:r>
        <w:rPr>
          <w:rFonts w:ascii="Arial Unicode MS" w:hAnsi="Arial Unicode MS" w:cs="Arial" w:hint="eastAsia"/>
          <w:szCs w:val="21"/>
        </w:rPr>
        <w:t>基金、中海医药健康产业基金、华富国泰民安灵活配置混合基金、安信动态策略灵活配置基金、东方红稳健精选基金、国联安鑫享混合基金、长安</w:t>
      </w:r>
      <w:proofErr w:type="gramStart"/>
      <w:r>
        <w:rPr>
          <w:rFonts w:ascii="Arial Unicode MS" w:hAnsi="Arial Unicode MS" w:cs="Arial" w:hint="eastAsia"/>
          <w:szCs w:val="21"/>
        </w:rPr>
        <w:t>鑫</w:t>
      </w:r>
      <w:proofErr w:type="gramEnd"/>
      <w:r>
        <w:rPr>
          <w:rFonts w:ascii="Arial Unicode MS" w:hAnsi="Arial Unicode MS" w:cs="Arial" w:hint="eastAsia"/>
          <w:szCs w:val="21"/>
        </w:rPr>
        <w:t>利优选混合基金、</w:t>
      </w:r>
      <w:proofErr w:type="gramStart"/>
      <w:r>
        <w:rPr>
          <w:rFonts w:ascii="Arial Unicode MS" w:hAnsi="Arial Unicode MS" w:cs="Arial" w:hint="eastAsia"/>
          <w:szCs w:val="21"/>
        </w:rPr>
        <w:t>工银瑞信</w:t>
      </w:r>
      <w:proofErr w:type="gramEnd"/>
      <w:r>
        <w:rPr>
          <w:rFonts w:ascii="Arial Unicode MS" w:hAnsi="Arial Unicode MS" w:cs="Arial" w:hint="eastAsia"/>
          <w:szCs w:val="21"/>
        </w:rPr>
        <w:t>生态环境基金、</w:t>
      </w:r>
      <w:proofErr w:type="gramStart"/>
      <w:r>
        <w:rPr>
          <w:rFonts w:ascii="Arial Unicode MS" w:hAnsi="Arial Unicode MS" w:cs="Arial" w:hint="eastAsia"/>
          <w:szCs w:val="21"/>
        </w:rPr>
        <w:t>天弘新</w:t>
      </w:r>
      <w:proofErr w:type="gramEnd"/>
      <w:r>
        <w:rPr>
          <w:rFonts w:ascii="Arial Unicode MS" w:hAnsi="Arial Unicode MS" w:cs="Arial" w:hint="eastAsia"/>
          <w:szCs w:val="21"/>
        </w:rPr>
        <w:t>价值混合基金、嘉</w:t>
      </w:r>
      <w:proofErr w:type="gramStart"/>
      <w:r>
        <w:rPr>
          <w:rFonts w:ascii="Arial Unicode MS" w:hAnsi="Arial Unicode MS" w:cs="Arial" w:hint="eastAsia"/>
          <w:szCs w:val="21"/>
        </w:rPr>
        <w:t>实机构</w:t>
      </w:r>
      <w:proofErr w:type="gramEnd"/>
      <w:r>
        <w:rPr>
          <w:rFonts w:ascii="Arial Unicode MS" w:hAnsi="Arial Unicode MS" w:cs="Arial" w:hint="eastAsia"/>
          <w:szCs w:val="21"/>
        </w:rPr>
        <w:t>快线货币基金、鹏华</w:t>
      </w:r>
      <w:r>
        <w:rPr>
          <w:rFonts w:ascii="Arial Unicode MS" w:hAnsi="Arial Unicode MS" w:cs="Arial"/>
          <w:szCs w:val="21"/>
        </w:rPr>
        <w:t>REITs</w:t>
      </w:r>
      <w:r>
        <w:rPr>
          <w:rFonts w:ascii="Arial Unicode MS" w:hAnsi="Arial Unicode MS" w:cs="Arial" w:hint="eastAsia"/>
          <w:szCs w:val="21"/>
        </w:rPr>
        <w:t>封闭式基金、华富健康文娱基金、金鹰改革红利基金、易方达裕</w:t>
      </w:r>
      <w:proofErr w:type="gramStart"/>
      <w:r>
        <w:rPr>
          <w:rFonts w:ascii="Arial Unicode MS" w:hAnsi="Arial Unicode MS" w:cs="Arial" w:hint="eastAsia"/>
          <w:szCs w:val="21"/>
        </w:rPr>
        <w:t>祥</w:t>
      </w:r>
      <w:proofErr w:type="gramEnd"/>
      <w:r>
        <w:rPr>
          <w:rFonts w:ascii="Arial Unicode MS" w:hAnsi="Arial Unicode MS" w:cs="Arial" w:hint="eastAsia"/>
          <w:szCs w:val="21"/>
        </w:rPr>
        <w:t>回报债券基金、</w:t>
      </w:r>
      <w:proofErr w:type="gramStart"/>
      <w:r>
        <w:rPr>
          <w:rFonts w:ascii="Arial Unicode MS" w:hAnsi="Arial Unicode MS" w:cs="Arial" w:hint="eastAsia"/>
          <w:szCs w:val="21"/>
        </w:rPr>
        <w:t>中银瑞利</w:t>
      </w:r>
      <w:proofErr w:type="gramEnd"/>
      <w:r>
        <w:rPr>
          <w:rFonts w:ascii="Arial Unicode MS" w:hAnsi="Arial Unicode MS" w:cs="Arial" w:hint="eastAsia"/>
          <w:szCs w:val="21"/>
        </w:rPr>
        <w:t>灵活配置混合基金、华夏新活力混合基金、</w:t>
      </w:r>
      <w:proofErr w:type="gramStart"/>
      <w:r>
        <w:rPr>
          <w:rFonts w:ascii="Arial Unicode MS" w:hAnsi="Arial Unicode MS" w:cs="Arial" w:hint="eastAsia"/>
          <w:szCs w:val="21"/>
        </w:rPr>
        <w:t>鑫</w:t>
      </w:r>
      <w:proofErr w:type="gramEnd"/>
      <w:r>
        <w:rPr>
          <w:rFonts w:ascii="Arial Unicode MS" w:hAnsi="Arial Unicode MS" w:cs="Arial" w:hint="eastAsia"/>
          <w:szCs w:val="21"/>
        </w:rPr>
        <w:t>元汇利债券型基金、南方转型驱动灵活配置基金、银华远景债券基金、富安达长盈灵活配置混合型基金、中信建投</w:t>
      </w:r>
      <w:proofErr w:type="gramStart"/>
      <w:r>
        <w:rPr>
          <w:rFonts w:ascii="Arial Unicode MS" w:hAnsi="Arial Unicode MS" w:cs="Arial" w:hint="eastAsia"/>
          <w:szCs w:val="21"/>
        </w:rPr>
        <w:t>睿</w:t>
      </w:r>
      <w:proofErr w:type="gramEnd"/>
      <w:r>
        <w:rPr>
          <w:rFonts w:ascii="Arial Unicode MS" w:hAnsi="Arial Unicode MS" w:cs="Arial" w:hint="eastAsia"/>
          <w:szCs w:val="21"/>
        </w:rPr>
        <w:t>溢混合型证券投资基金、工</w:t>
      </w:r>
      <w:proofErr w:type="gramStart"/>
      <w:r>
        <w:rPr>
          <w:rFonts w:ascii="Arial Unicode MS" w:hAnsi="Arial Unicode MS" w:cs="Arial" w:hint="eastAsia"/>
          <w:szCs w:val="21"/>
        </w:rPr>
        <w:t>银瑞信恒享纯债</w:t>
      </w:r>
      <w:proofErr w:type="gramEnd"/>
      <w:r>
        <w:rPr>
          <w:rFonts w:ascii="Arial Unicode MS" w:hAnsi="Arial Unicode MS" w:cs="Arial" w:hint="eastAsia"/>
          <w:szCs w:val="21"/>
        </w:rPr>
        <w:t>基金、长信利发债券基金、博</w:t>
      </w:r>
      <w:proofErr w:type="gramStart"/>
      <w:r>
        <w:rPr>
          <w:rFonts w:ascii="Arial Unicode MS" w:hAnsi="Arial Unicode MS" w:cs="Arial" w:hint="eastAsia"/>
          <w:szCs w:val="21"/>
        </w:rPr>
        <w:t>时景发纯债</w:t>
      </w:r>
      <w:proofErr w:type="gramEnd"/>
      <w:r>
        <w:rPr>
          <w:rFonts w:ascii="Arial Unicode MS" w:hAnsi="Arial Unicode MS" w:cs="Arial" w:hint="eastAsia"/>
          <w:szCs w:val="21"/>
        </w:rPr>
        <w:t>基金、</w:t>
      </w:r>
      <w:proofErr w:type="gramStart"/>
      <w:r>
        <w:rPr>
          <w:rFonts w:ascii="Arial Unicode MS" w:hAnsi="Arial Unicode MS" w:cs="Arial" w:hint="eastAsia"/>
          <w:szCs w:val="21"/>
        </w:rPr>
        <w:t>鑫</w:t>
      </w:r>
      <w:proofErr w:type="gramEnd"/>
      <w:r>
        <w:rPr>
          <w:rFonts w:ascii="Arial Unicode MS" w:hAnsi="Arial Unicode MS" w:cs="Arial" w:hint="eastAsia"/>
          <w:szCs w:val="21"/>
        </w:rPr>
        <w:t>元得利债券型基金、东方红战略沪港深混合基金、博时富</w:t>
      </w:r>
      <w:proofErr w:type="gramStart"/>
      <w:r>
        <w:rPr>
          <w:rFonts w:ascii="Arial Unicode MS" w:hAnsi="Arial Unicode MS" w:cs="Arial" w:hint="eastAsia"/>
          <w:szCs w:val="21"/>
        </w:rPr>
        <w:t>发纯债</w:t>
      </w:r>
      <w:proofErr w:type="gramEnd"/>
      <w:r>
        <w:rPr>
          <w:rFonts w:ascii="Arial Unicode MS" w:hAnsi="Arial Unicode MS" w:cs="Arial" w:hint="eastAsia"/>
          <w:szCs w:val="21"/>
        </w:rPr>
        <w:t>基金、博时利</w:t>
      </w:r>
      <w:proofErr w:type="gramStart"/>
      <w:r>
        <w:rPr>
          <w:rFonts w:ascii="Arial Unicode MS" w:hAnsi="Arial Unicode MS" w:cs="Arial" w:hint="eastAsia"/>
          <w:szCs w:val="21"/>
        </w:rPr>
        <w:t>发纯债</w:t>
      </w:r>
      <w:proofErr w:type="gramEnd"/>
      <w:r>
        <w:rPr>
          <w:rFonts w:ascii="Arial Unicode MS" w:hAnsi="Arial Unicode MS" w:cs="Arial" w:hint="eastAsia"/>
          <w:szCs w:val="21"/>
        </w:rPr>
        <w:t>基金、银河君信混合基金、兴业启元一年定开债券基金、工</w:t>
      </w:r>
      <w:proofErr w:type="gramStart"/>
      <w:r>
        <w:rPr>
          <w:rFonts w:ascii="Arial Unicode MS" w:hAnsi="Arial Unicode MS" w:cs="Arial" w:hint="eastAsia"/>
          <w:szCs w:val="21"/>
        </w:rPr>
        <w:t>银瑞信瑞盈</w:t>
      </w:r>
      <w:proofErr w:type="gramEnd"/>
      <w:r>
        <w:rPr>
          <w:rFonts w:ascii="Arial Unicode MS" w:hAnsi="Arial Unicode MS" w:cs="Arial"/>
          <w:szCs w:val="21"/>
        </w:rPr>
        <w:t>18</w:t>
      </w:r>
      <w:r>
        <w:rPr>
          <w:rFonts w:ascii="Arial Unicode MS" w:hAnsi="Arial Unicode MS" w:cs="Arial" w:hint="eastAsia"/>
          <w:szCs w:val="21"/>
        </w:rPr>
        <w:t>个月定开债券基金、中信</w:t>
      </w:r>
      <w:proofErr w:type="gramStart"/>
      <w:r>
        <w:rPr>
          <w:rFonts w:ascii="Arial Unicode MS" w:hAnsi="Arial Unicode MS" w:cs="Arial" w:hint="eastAsia"/>
          <w:szCs w:val="21"/>
        </w:rPr>
        <w:t>建投稳裕</w:t>
      </w:r>
      <w:proofErr w:type="gramEnd"/>
      <w:r>
        <w:rPr>
          <w:rFonts w:ascii="Arial Unicode MS" w:hAnsi="Arial Unicode MS" w:cs="Arial" w:hint="eastAsia"/>
          <w:szCs w:val="21"/>
        </w:rPr>
        <w:t>定开债券基金、招商招</w:t>
      </w:r>
      <w:proofErr w:type="gramStart"/>
      <w:r>
        <w:rPr>
          <w:rFonts w:ascii="Arial Unicode MS" w:hAnsi="Arial Unicode MS" w:cs="Arial" w:hint="eastAsia"/>
          <w:szCs w:val="21"/>
        </w:rPr>
        <w:t>怡纯债</w:t>
      </w:r>
      <w:proofErr w:type="gramEnd"/>
      <w:r>
        <w:rPr>
          <w:rFonts w:ascii="Arial Unicode MS" w:hAnsi="Arial Unicode MS" w:cs="Arial" w:hint="eastAsia"/>
          <w:szCs w:val="21"/>
        </w:rPr>
        <w:t>债券基金、中加</w:t>
      </w:r>
      <w:proofErr w:type="gramStart"/>
      <w:r>
        <w:rPr>
          <w:rFonts w:ascii="Arial Unicode MS" w:hAnsi="Arial Unicode MS" w:cs="Arial" w:hint="eastAsia"/>
          <w:szCs w:val="21"/>
        </w:rPr>
        <w:t>丰享纯债</w:t>
      </w:r>
      <w:proofErr w:type="gramEnd"/>
      <w:r>
        <w:rPr>
          <w:rFonts w:ascii="Arial Unicode MS" w:hAnsi="Arial Unicode MS" w:cs="Arial" w:hint="eastAsia"/>
          <w:szCs w:val="21"/>
        </w:rPr>
        <w:t>债券基金、长安</w:t>
      </w:r>
      <w:proofErr w:type="gramStart"/>
      <w:r>
        <w:rPr>
          <w:rFonts w:ascii="Arial Unicode MS" w:hAnsi="Arial Unicode MS" w:cs="Arial" w:hint="eastAsia"/>
          <w:szCs w:val="21"/>
        </w:rPr>
        <w:t>泓泽纯债</w:t>
      </w:r>
      <w:proofErr w:type="gramEnd"/>
      <w:r>
        <w:rPr>
          <w:rFonts w:ascii="Arial Unicode MS" w:hAnsi="Arial Unicode MS" w:cs="Arial" w:hint="eastAsia"/>
          <w:szCs w:val="21"/>
        </w:rPr>
        <w:t>债券基金、</w:t>
      </w:r>
      <w:proofErr w:type="gramStart"/>
      <w:r>
        <w:rPr>
          <w:rFonts w:ascii="Arial Unicode MS" w:hAnsi="Arial Unicode MS" w:cs="Arial" w:hint="eastAsia"/>
          <w:szCs w:val="21"/>
        </w:rPr>
        <w:t>银河君耀灵活</w:t>
      </w:r>
      <w:proofErr w:type="gramEnd"/>
      <w:r>
        <w:rPr>
          <w:rFonts w:ascii="Arial Unicode MS" w:hAnsi="Arial Unicode MS" w:cs="Arial" w:hint="eastAsia"/>
          <w:szCs w:val="21"/>
        </w:rPr>
        <w:t>配置混合基金、广</w:t>
      </w:r>
      <w:proofErr w:type="gramStart"/>
      <w:r>
        <w:rPr>
          <w:rFonts w:ascii="Arial Unicode MS" w:hAnsi="Arial Unicode MS" w:cs="Arial" w:hint="eastAsia"/>
          <w:szCs w:val="21"/>
        </w:rPr>
        <w:t>发汇瑞</w:t>
      </w:r>
      <w:r>
        <w:rPr>
          <w:rFonts w:ascii="Arial Unicode MS" w:hAnsi="Arial Unicode MS" w:cs="Arial"/>
          <w:szCs w:val="21"/>
        </w:rPr>
        <w:t>3</w:t>
      </w:r>
      <w:r>
        <w:rPr>
          <w:rFonts w:ascii="Arial Unicode MS" w:hAnsi="Arial Unicode MS" w:cs="Arial" w:hint="eastAsia"/>
          <w:szCs w:val="21"/>
        </w:rPr>
        <w:t>个月</w:t>
      </w:r>
      <w:proofErr w:type="gramEnd"/>
      <w:r>
        <w:rPr>
          <w:rFonts w:ascii="Arial Unicode MS" w:hAnsi="Arial Unicode MS" w:cs="Arial" w:hint="eastAsia"/>
          <w:szCs w:val="21"/>
        </w:rPr>
        <w:t>定期开放债券发起式证券投资基金、</w:t>
      </w:r>
      <w:proofErr w:type="gramStart"/>
      <w:r>
        <w:rPr>
          <w:rFonts w:ascii="Arial Unicode MS" w:hAnsi="Arial Unicode MS" w:cs="Arial" w:hint="eastAsia"/>
          <w:szCs w:val="21"/>
        </w:rPr>
        <w:t>汇安嘉汇纯债</w:t>
      </w:r>
      <w:proofErr w:type="gramEnd"/>
      <w:r>
        <w:rPr>
          <w:rFonts w:ascii="Arial Unicode MS" w:hAnsi="Arial Unicode MS" w:cs="Arial" w:hint="eastAsia"/>
          <w:szCs w:val="21"/>
        </w:rPr>
        <w:t>债券基金、</w:t>
      </w:r>
      <w:proofErr w:type="gramStart"/>
      <w:r>
        <w:rPr>
          <w:rFonts w:ascii="Arial Unicode MS" w:hAnsi="Arial Unicode MS" w:cs="Arial" w:hint="eastAsia"/>
          <w:szCs w:val="21"/>
        </w:rPr>
        <w:t>南方宣利定</w:t>
      </w:r>
      <w:proofErr w:type="gramEnd"/>
      <w:r>
        <w:rPr>
          <w:rFonts w:ascii="Arial Unicode MS" w:hAnsi="Arial Unicode MS" w:cs="Arial" w:hint="eastAsia"/>
          <w:szCs w:val="21"/>
        </w:rPr>
        <w:t>开债券基金、招商兴福灵活配置混合基金、博时鑫润灵活配置混合基金、兴业裕华债券基金、易方达瑞通灵活配置混合基金、招商招祥纯债债券基金、易方达瑞程混合基金、中欧骏泰货币基金、招商招华纯债债券基金、汇安丰融灵活配置混合基金、汇安嘉源纯债债券基金、国泰普益混合基金、汇添富鑫瑞债券基金、鑫元合丰纯债债券基金、博时鑫惠混合基金、国泰润利纯债基金、华富天益货币基金、汇安丰华混合基金、汇安沪深</w:t>
      </w:r>
      <w:r>
        <w:rPr>
          <w:rFonts w:ascii="Arial Unicode MS" w:hAnsi="Arial Unicode MS" w:cs="Arial"/>
          <w:szCs w:val="21"/>
        </w:rPr>
        <w:t>300</w:t>
      </w:r>
      <w:r>
        <w:rPr>
          <w:rFonts w:ascii="Arial Unicode MS" w:hAnsi="Arial Unicode MS" w:cs="Arial" w:hint="eastAsia"/>
          <w:szCs w:val="21"/>
        </w:rPr>
        <w:t>指数增强型证券投资基金、汇安丰恒混合基金、景顺长城中证</w:t>
      </w:r>
      <w:r>
        <w:rPr>
          <w:rFonts w:ascii="Arial Unicode MS" w:hAnsi="Arial Unicode MS" w:cs="Arial"/>
          <w:szCs w:val="21"/>
        </w:rPr>
        <w:t>500</w:t>
      </w:r>
      <w:r>
        <w:rPr>
          <w:rFonts w:ascii="Arial Unicode MS" w:hAnsi="Arial Unicode MS" w:cs="Arial" w:hint="eastAsia"/>
          <w:szCs w:val="21"/>
        </w:rPr>
        <w:t>指数基金、鹏华丰康债券基金、兴业安润货币基金、兴业瑞丰</w:t>
      </w:r>
      <w:r>
        <w:rPr>
          <w:rFonts w:ascii="Arial Unicode MS" w:hAnsi="Arial Unicode MS" w:cs="Arial"/>
          <w:szCs w:val="21"/>
        </w:rPr>
        <w:t>6</w:t>
      </w:r>
      <w:r>
        <w:rPr>
          <w:rFonts w:ascii="Arial Unicode MS" w:hAnsi="Arial Unicode MS" w:cs="Arial" w:hint="eastAsia"/>
          <w:szCs w:val="21"/>
        </w:rPr>
        <w:t>个月定开债券基金、兴业裕丰债券基金、易方达瑞弘混合基金、长安鑫富领先混合基金、万家现金增利货币基金、上银慧增利货币市场基金、易方达瑞富灵活配置证券投资基金、博时富腾纯债债券型证券投资基金、安信工业</w:t>
      </w:r>
      <w:r>
        <w:rPr>
          <w:rFonts w:ascii="Arial Unicode MS" w:hAnsi="Arial Unicode MS" w:cs="Arial"/>
          <w:szCs w:val="21"/>
        </w:rPr>
        <w:t>4.0</w:t>
      </w:r>
      <w:r>
        <w:rPr>
          <w:rFonts w:ascii="Arial Unicode MS" w:hAnsi="Arial Unicode MS" w:cs="Arial" w:hint="eastAsia"/>
          <w:szCs w:val="21"/>
        </w:rPr>
        <w:t>主题沪港深精选混合基金、万家天添宝货币基金、中欧瑾泰债券型证券投资基金、中银证券安弘债券基金、鑫元鑫趋势灵活配置混合基金、泰康年年红纯债一年定期开放债券基金、广发高端制造股票型发起式基金、永赢永益债券基金、南方安福混合基金、中银证券聚瑞混合基金、太平改革红利精选灵活配置混合基金、富荣富乾债券型证券投资基金、国联安安稳灵活配置混合型证券投资基金、前海开源景鑫灵活配置混合型证券投资基金、前海开源润鑫灵活配置混合型证券投资基金、中海沪港深多策略灵活配置混合型基金基金、中银证券祥瑞混合型证券投资基金、前海开源盛鑫灵活配置混合型证券投资基金、鑫元行业轮动灵活配置混合型证券投资基金、兴业</w:t>
      </w:r>
      <w:r>
        <w:rPr>
          <w:rFonts w:ascii="Arial Unicode MS" w:hAnsi="Arial Unicode MS" w:cs="Arial"/>
          <w:szCs w:val="21"/>
        </w:rPr>
        <w:t>3</w:t>
      </w:r>
      <w:r>
        <w:rPr>
          <w:rFonts w:ascii="Arial Unicode MS" w:hAnsi="Arial Unicode MS" w:cs="Arial" w:hint="eastAsia"/>
          <w:szCs w:val="21"/>
        </w:rPr>
        <w:t>个月定期开放债券型发起式证券投资基金、富国颐利纯债债券型证券投资基金、华安安浦债券型证券投资基金、南方泽元债券型证券投资基金、鹏扬淳利定期开放债券型证券投资基金、万家鑫悦纯债债券型基金、新疆前海联合泳祺纯债债券型证券投资</w:t>
      </w:r>
      <w:r>
        <w:rPr>
          <w:rFonts w:ascii="Arial Unicode MS" w:hAnsi="Arial Unicode MS" w:cs="Arial" w:hint="eastAsia"/>
          <w:szCs w:val="21"/>
        </w:rPr>
        <w:lastRenderedPageBreak/>
        <w:t>基金、永赢盈益债券型证券投资基金、中加颐合纯债债券型证券投资基金、中信保诚稳达债券型证券投资基金、中银中债</w:t>
      </w:r>
      <w:r>
        <w:rPr>
          <w:rFonts w:ascii="Arial Unicode MS" w:hAnsi="Arial Unicode MS" w:cs="Arial"/>
          <w:szCs w:val="21"/>
        </w:rPr>
        <w:t>3-5</w:t>
      </w:r>
      <w:r>
        <w:rPr>
          <w:rFonts w:ascii="Arial Unicode MS" w:hAnsi="Arial Unicode MS" w:cs="Arial" w:hint="eastAsia"/>
          <w:szCs w:val="21"/>
        </w:rPr>
        <w:t>年期农发行债券指数证券投资基金、东方红核心优选一年定期开放混合型证券投资基金、平安惠锦纯债债券型证券投资基金、华夏鼎通债券型证券投资基金、鑫元全利债券型发起式证券投资基金、中融恒裕纯债债券型证券投资基金、嘉实致盈债券型证券投资基金、永赢消费主题灵活配置混合型证券投资基金、工银瑞信瑞福纯债债券型证券投资基金、广发景智纯债债券型证券投资基金、东兴品牌精选灵活配置混合型证券投资基金、广发中债</w:t>
      </w:r>
      <w:r>
        <w:rPr>
          <w:rFonts w:ascii="Arial Unicode MS" w:hAnsi="Arial Unicode MS" w:cs="Arial"/>
          <w:szCs w:val="21"/>
        </w:rPr>
        <w:t>1-3</w:t>
      </w:r>
      <w:r>
        <w:rPr>
          <w:rFonts w:ascii="Arial Unicode MS" w:hAnsi="Arial Unicode MS" w:cs="Arial" w:hint="eastAsia"/>
          <w:szCs w:val="21"/>
        </w:rPr>
        <w:t>年国开行债券指数证券投资基金、融通通捷债券型证券投资基金、华富恒盛纯债债券型证券投资基金、建信中证</w:t>
      </w:r>
      <w:r>
        <w:rPr>
          <w:rFonts w:ascii="Arial Unicode MS" w:hAnsi="Arial Unicode MS" w:cs="Arial"/>
          <w:szCs w:val="21"/>
        </w:rPr>
        <w:t>1000</w:t>
      </w:r>
      <w:r>
        <w:rPr>
          <w:rFonts w:ascii="Arial Unicode MS" w:hAnsi="Arial Unicode MS" w:cs="Arial" w:hint="eastAsia"/>
          <w:szCs w:val="21"/>
        </w:rPr>
        <w:t>指数增强型发起式证券投资基金、汇安嘉鑫纯债债券型证券投资基金、国寿安保安丰纯债债券型证券投资基金、博时中债</w:t>
      </w:r>
      <w:r>
        <w:rPr>
          <w:rFonts w:ascii="Arial Unicode MS" w:hAnsi="Arial Unicode MS" w:cs="Arial"/>
          <w:szCs w:val="21"/>
        </w:rPr>
        <w:t>1-3</w:t>
      </w:r>
      <w:r>
        <w:rPr>
          <w:rFonts w:ascii="Arial Unicode MS" w:hAnsi="Arial Unicode MS" w:cs="Arial" w:hint="eastAsia"/>
          <w:szCs w:val="21"/>
        </w:rPr>
        <w:t>年政策性金融债指数证券投资基金、银河家盈纯债债券型证券投资基金、博时富永纯债</w:t>
      </w:r>
      <w:r>
        <w:rPr>
          <w:rFonts w:ascii="Arial Unicode MS" w:hAnsi="Arial Unicode MS" w:cs="Arial"/>
          <w:szCs w:val="21"/>
        </w:rPr>
        <w:t>3</w:t>
      </w:r>
      <w:r>
        <w:rPr>
          <w:rFonts w:ascii="Arial Unicode MS" w:hAnsi="Arial Unicode MS" w:cs="Arial" w:hint="eastAsia"/>
          <w:szCs w:val="21"/>
        </w:rPr>
        <w:t>个月定期开放债券型发起式证券投资基金、南方畅利定期开放债券型发起式证券投资基金、中加瑞利纯债债券型证券投资基金、华富中证</w:t>
      </w:r>
      <w:r>
        <w:rPr>
          <w:rFonts w:ascii="Arial Unicode MS" w:hAnsi="Arial Unicode MS" w:cs="Arial"/>
          <w:szCs w:val="21"/>
        </w:rPr>
        <w:t>5</w:t>
      </w:r>
      <w:r>
        <w:rPr>
          <w:rFonts w:ascii="Arial Unicode MS" w:hAnsi="Arial Unicode MS" w:cs="Arial" w:hint="eastAsia"/>
          <w:szCs w:val="21"/>
        </w:rPr>
        <w:t>年恒定久期国开债指数型证券投资基金、永赢合益债券型证券投资基金、嘉实中债</w:t>
      </w:r>
      <w:r>
        <w:rPr>
          <w:rFonts w:ascii="Arial Unicode MS" w:hAnsi="Arial Unicode MS" w:cs="Arial"/>
          <w:szCs w:val="21"/>
        </w:rPr>
        <w:t>1-3</w:t>
      </w:r>
      <w:r>
        <w:rPr>
          <w:rFonts w:ascii="Arial Unicode MS" w:hAnsi="Arial Unicode MS" w:cs="Arial" w:hint="eastAsia"/>
          <w:szCs w:val="21"/>
        </w:rPr>
        <w:t>年政策性金融债指数证券投资基金、广发港股通优质增长混合型证券投资基金、长安泓沣中短债债券型证券投资基金、中海信息产业精选混合型证券投资基金、民生加银恒裕债券型证券投资基金、国寿安保尊益信用纯债债券型证券投资基金、平安惠泰纯债债券型证券投资基金、中信建投景和中短债债券型证券投资基金、工银瑞信添慧债券型证券投资基金、华富安鑫债券型证券投资基金、汇添富中债</w:t>
      </w:r>
      <w:r>
        <w:rPr>
          <w:rFonts w:ascii="Arial Unicode MS" w:hAnsi="Arial Unicode MS" w:cs="Arial"/>
          <w:szCs w:val="21"/>
        </w:rPr>
        <w:t>1-3</w:t>
      </w:r>
      <w:r>
        <w:rPr>
          <w:rFonts w:ascii="Arial Unicode MS" w:hAnsi="Arial Unicode MS" w:cs="Arial" w:hint="eastAsia"/>
          <w:szCs w:val="21"/>
        </w:rPr>
        <w:t>年农发行债券指数证券投资基金、南方旭元债券型发起式证券投资基金、大成中债</w:t>
      </w:r>
      <w:r>
        <w:rPr>
          <w:rFonts w:ascii="Arial Unicode MS" w:hAnsi="Arial Unicode MS" w:cs="Arial"/>
          <w:szCs w:val="21"/>
        </w:rPr>
        <w:t>3-5</w:t>
      </w:r>
      <w:r>
        <w:rPr>
          <w:rFonts w:ascii="Arial Unicode MS" w:hAnsi="Arial Unicode MS" w:cs="Arial" w:hint="eastAsia"/>
          <w:szCs w:val="21"/>
        </w:rPr>
        <w:t>年国开行债券指数基金、永赢众利债券型证券投资基金、华夏中债</w:t>
      </w:r>
      <w:r>
        <w:rPr>
          <w:rFonts w:ascii="Arial Unicode MS" w:hAnsi="Arial Unicode MS" w:cs="Arial"/>
          <w:szCs w:val="21"/>
        </w:rPr>
        <w:t>3-5</w:t>
      </w:r>
      <w:r>
        <w:rPr>
          <w:rFonts w:ascii="Arial Unicode MS" w:hAnsi="Arial Unicode MS" w:cs="Arial" w:hint="eastAsia"/>
          <w:szCs w:val="21"/>
        </w:rPr>
        <w:t>年政策性金融债指数证券投资基金、中证长三角一体化发展主题交易型开放式指数证券投资基金、新疆前海联合科技先锋混合型证券投资基金、银华尊尚稳健养老目标一年持有期混合型发起式基金中基金（</w:t>
      </w:r>
      <w:r>
        <w:rPr>
          <w:rFonts w:ascii="Arial Unicode MS" w:hAnsi="Arial Unicode MS" w:cs="Arial"/>
          <w:szCs w:val="21"/>
        </w:rPr>
        <w:t>FOF</w:t>
      </w:r>
      <w:r>
        <w:rPr>
          <w:rFonts w:ascii="Arial Unicode MS" w:hAnsi="Arial Unicode MS" w:cs="Arial" w:hint="eastAsia"/>
          <w:szCs w:val="21"/>
        </w:rPr>
        <w:t>）、博时颐泽平衡养老目标三年持有期混合型发起式基金中基金（</w:t>
      </w:r>
      <w:r>
        <w:rPr>
          <w:rFonts w:ascii="Arial Unicode MS" w:hAnsi="Arial Unicode MS" w:cs="Arial"/>
          <w:szCs w:val="21"/>
        </w:rPr>
        <w:t>FOF</w:t>
      </w:r>
      <w:r>
        <w:rPr>
          <w:rFonts w:ascii="Arial Unicode MS" w:hAnsi="Arial Unicode MS" w:cs="Arial" w:hint="eastAsia"/>
          <w:szCs w:val="21"/>
        </w:rPr>
        <w:t>）、农银养老目标日期</w:t>
      </w:r>
      <w:r>
        <w:rPr>
          <w:rFonts w:ascii="Arial Unicode MS" w:hAnsi="Arial Unicode MS" w:cs="Arial"/>
          <w:szCs w:val="21"/>
        </w:rPr>
        <w:t>2035</w:t>
      </w:r>
      <w:r>
        <w:rPr>
          <w:rFonts w:ascii="Arial Unicode MS" w:hAnsi="Arial Unicode MS" w:cs="Arial" w:hint="eastAsia"/>
          <w:szCs w:val="21"/>
        </w:rPr>
        <w:t>三年持有期混合型发起式基金中基金</w:t>
      </w:r>
      <w:r>
        <w:rPr>
          <w:rFonts w:ascii="Arial Unicode MS" w:hAnsi="Arial Unicode MS" w:cs="Arial"/>
          <w:szCs w:val="21"/>
        </w:rPr>
        <w:t>(FOF)</w:t>
      </w:r>
      <w:r>
        <w:rPr>
          <w:rFonts w:ascii="Arial Unicode MS" w:hAnsi="Arial Unicode MS" w:cs="Arial" w:hint="eastAsia"/>
          <w:szCs w:val="21"/>
        </w:rPr>
        <w:t>、汇添富汇鑫浮动净值货币市场基金、泰康安欣纯债债券型证券投资基金、恒生前海港股通精选混合型证券投资基金、鹏华丰鑫债券型证券投资基金、中证长三角一体化发展主题交易型开放式指数证券投资基金联接基金、汇添富保鑫灵活配置混合型证券投资基金、华富安兴</w:t>
      </w:r>
      <w:r>
        <w:rPr>
          <w:rFonts w:ascii="Arial Unicode MS" w:hAnsi="Arial Unicode MS" w:cs="Arial"/>
          <w:szCs w:val="21"/>
        </w:rPr>
        <w:t>39</w:t>
      </w:r>
      <w:r>
        <w:rPr>
          <w:rFonts w:ascii="Arial Unicode MS" w:hAnsi="Arial Unicode MS" w:cs="Arial" w:hint="eastAsia"/>
          <w:szCs w:val="21"/>
        </w:rPr>
        <w:t>个月定期开放债券型证券投资基金、中融睿享</w:t>
      </w:r>
      <w:r>
        <w:rPr>
          <w:rFonts w:ascii="Arial Unicode MS" w:hAnsi="Arial Unicode MS" w:cs="Arial"/>
          <w:szCs w:val="21"/>
        </w:rPr>
        <w:t>86</w:t>
      </w:r>
      <w:r>
        <w:rPr>
          <w:rFonts w:ascii="Arial Unicode MS" w:hAnsi="Arial Unicode MS" w:cs="Arial" w:hint="eastAsia"/>
          <w:szCs w:val="21"/>
        </w:rPr>
        <w:t>个月定期开放债券型基金、南方梦元短债债券型证券投资基金、鹏扬淳开债券型证券投资基金、华宝宝惠纯债</w:t>
      </w:r>
      <w:r>
        <w:rPr>
          <w:rFonts w:ascii="Arial Unicode MS" w:hAnsi="Arial Unicode MS" w:cs="Arial"/>
          <w:szCs w:val="21"/>
        </w:rPr>
        <w:t>39</w:t>
      </w:r>
      <w:r>
        <w:rPr>
          <w:rFonts w:ascii="Arial Unicode MS" w:hAnsi="Arial Unicode MS" w:cs="Arial" w:hint="eastAsia"/>
          <w:szCs w:val="21"/>
        </w:rPr>
        <w:t>个月定期开放债券型证券投资基金、建信</w:t>
      </w:r>
      <w:r>
        <w:rPr>
          <w:rFonts w:ascii="Arial Unicode MS" w:hAnsi="Arial Unicode MS" w:cs="Arial"/>
          <w:szCs w:val="21"/>
        </w:rPr>
        <w:t>MSCI</w:t>
      </w:r>
      <w:r>
        <w:rPr>
          <w:rFonts w:ascii="Arial Unicode MS" w:hAnsi="Arial Unicode MS" w:cs="Arial" w:hint="eastAsia"/>
          <w:szCs w:val="21"/>
        </w:rPr>
        <w:t>中国</w:t>
      </w:r>
      <w:r>
        <w:rPr>
          <w:rFonts w:ascii="Arial Unicode MS" w:hAnsi="Arial Unicode MS" w:cs="Arial"/>
          <w:szCs w:val="21"/>
        </w:rPr>
        <w:t>A</w:t>
      </w:r>
      <w:r>
        <w:rPr>
          <w:rFonts w:ascii="Arial Unicode MS" w:hAnsi="Arial Unicode MS" w:cs="Arial" w:hint="eastAsia"/>
          <w:szCs w:val="21"/>
        </w:rPr>
        <w:t>股指数</w:t>
      </w:r>
      <w:r>
        <w:rPr>
          <w:rFonts w:ascii="Arial Unicode MS" w:hAnsi="Arial Unicode MS" w:cs="Arial" w:hint="eastAsia"/>
          <w:szCs w:val="21"/>
        </w:rPr>
        <w:lastRenderedPageBreak/>
        <w:t>增强型证券投资基金、农银汇理金益债券型证券投资基金、博时稳欣</w:t>
      </w:r>
      <w:r>
        <w:rPr>
          <w:rFonts w:ascii="Arial Unicode MS" w:hAnsi="Arial Unicode MS" w:cs="Arial"/>
          <w:szCs w:val="21"/>
        </w:rPr>
        <w:t>39</w:t>
      </w:r>
      <w:r>
        <w:rPr>
          <w:rFonts w:ascii="Arial Unicode MS" w:hAnsi="Arial Unicode MS" w:cs="Arial" w:hint="eastAsia"/>
          <w:szCs w:val="21"/>
        </w:rPr>
        <w:t>个月定期开放债券型证券投资基金、同泰慧择混合型证券投资基金、招商中证红利交易型开放式指数证券投资基金、嘉实致禄</w:t>
      </w:r>
      <w:r>
        <w:rPr>
          <w:rFonts w:ascii="Arial Unicode MS" w:hAnsi="Arial Unicode MS" w:cs="Arial"/>
          <w:szCs w:val="21"/>
        </w:rPr>
        <w:t>3</w:t>
      </w:r>
      <w:r>
        <w:rPr>
          <w:rFonts w:ascii="Arial Unicode MS" w:hAnsi="Arial Unicode MS" w:cs="Arial" w:hint="eastAsia"/>
          <w:szCs w:val="21"/>
        </w:rPr>
        <w:t>个月定期开放纯债债券型发起式证券投资基金、永赢久利债券型证券投资基金、嘉实安元</w:t>
      </w:r>
      <w:r>
        <w:rPr>
          <w:rFonts w:ascii="Arial Unicode MS" w:hAnsi="Arial Unicode MS" w:cs="Arial"/>
          <w:szCs w:val="21"/>
        </w:rPr>
        <w:t>39</w:t>
      </w:r>
      <w:r>
        <w:rPr>
          <w:rFonts w:ascii="Arial Unicode MS" w:hAnsi="Arial Unicode MS" w:cs="Arial" w:hint="eastAsia"/>
          <w:szCs w:val="21"/>
        </w:rPr>
        <w:t>个月定期开放纯债债券型证券投资基金、交银施罗德裕泰两年定期开放债券型证券投资基金、长城嘉鑫两年定期开放债券型证券投资基金、建信荣禧一年定期开放债券型证券投资基金、鹏扬浦利中短债债券型证券投资基金、平安惠合纯债债券型证券投资基金、工银瑞信深证</w:t>
      </w:r>
      <w:r>
        <w:rPr>
          <w:rFonts w:ascii="Arial Unicode MS" w:hAnsi="Arial Unicode MS" w:cs="Arial"/>
          <w:szCs w:val="21"/>
        </w:rPr>
        <w:t>100</w:t>
      </w:r>
      <w:r>
        <w:rPr>
          <w:rFonts w:ascii="Arial Unicode MS" w:hAnsi="Arial Unicode MS" w:cs="Arial" w:hint="eastAsia"/>
          <w:szCs w:val="21"/>
        </w:rPr>
        <w:t>交易型开放式指数证券投资基金、鹏华</w:t>
      </w:r>
      <w:r>
        <w:rPr>
          <w:rFonts w:ascii="Arial Unicode MS" w:hAnsi="Arial Unicode MS" w:cs="Arial"/>
          <w:szCs w:val="21"/>
        </w:rPr>
        <w:t>0-5</w:t>
      </w:r>
      <w:r>
        <w:rPr>
          <w:rFonts w:ascii="Arial Unicode MS" w:hAnsi="Arial Unicode MS" w:cs="Arial" w:hint="eastAsia"/>
          <w:szCs w:val="21"/>
        </w:rPr>
        <w:t>年利率债债券型发起式证券投资基金、景顺长城弘利</w:t>
      </w:r>
      <w:r>
        <w:rPr>
          <w:rFonts w:ascii="Arial Unicode MS" w:hAnsi="Arial Unicode MS" w:cs="Arial"/>
          <w:szCs w:val="21"/>
        </w:rPr>
        <w:t>39</w:t>
      </w:r>
      <w:r>
        <w:rPr>
          <w:rFonts w:ascii="Arial Unicode MS" w:hAnsi="Arial Unicode MS" w:cs="Arial" w:hint="eastAsia"/>
          <w:szCs w:val="21"/>
        </w:rPr>
        <w:t>个月定期开放债券型证券投资基金、工银瑞信泰颐三年定期开放债券型证券投资基金、华安鑫浦</w:t>
      </w:r>
      <w:r>
        <w:rPr>
          <w:rFonts w:ascii="Arial Unicode MS" w:hAnsi="Arial Unicode MS" w:cs="Arial"/>
          <w:szCs w:val="21"/>
        </w:rPr>
        <w:t>87</w:t>
      </w:r>
      <w:r>
        <w:rPr>
          <w:rFonts w:ascii="Arial Unicode MS" w:hAnsi="Arial Unicode MS" w:cs="Arial" w:hint="eastAsia"/>
          <w:szCs w:val="21"/>
        </w:rPr>
        <w:t>个月定期开放债券型证券投资基金、汇安嘉盛纯债债券型证券投资基金、东方红安鑫甄选一年持有期混合型证券投资基金、西藏东财中证通信技术主题指数型发起式证券投资基金、财通裕惠</w:t>
      </w:r>
      <w:r>
        <w:rPr>
          <w:rFonts w:ascii="Arial Unicode MS" w:hAnsi="Arial Unicode MS" w:cs="Arial"/>
          <w:szCs w:val="21"/>
        </w:rPr>
        <w:t>63</w:t>
      </w:r>
      <w:r>
        <w:rPr>
          <w:rFonts w:ascii="Arial Unicode MS" w:hAnsi="Arial Unicode MS" w:cs="Arial" w:hint="eastAsia"/>
          <w:szCs w:val="21"/>
        </w:rPr>
        <w:t>个月定期开放债券型证券投资基金、南方尊利一年定期开放债券型发起式证券投资基金、国泰中证全指家用电器交易型开放式指数证券投资基金、鹏华尊裕一年定期开放债券型发起式证券投资基金、鹏扬淳悦一年定期开放债券型发起式证券投资基金、兴业鼎泰一年定期开放债券型发起式证券投资基金、安信丰泽</w:t>
      </w:r>
      <w:r>
        <w:rPr>
          <w:rFonts w:ascii="Arial Unicode MS" w:hAnsi="Arial Unicode MS" w:cs="Arial"/>
          <w:szCs w:val="21"/>
        </w:rPr>
        <w:t>39</w:t>
      </w:r>
      <w:r>
        <w:rPr>
          <w:rFonts w:ascii="Arial Unicode MS" w:hAnsi="Arial Unicode MS" w:cs="Arial" w:hint="eastAsia"/>
          <w:szCs w:val="21"/>
        </w:rPr>
        <w:t>个月定期开放债券型证券投资基金基金、国泰中证新能源汽车交易型开放式指数证券投资基金、广发恒隆一年持有期混合型证券投资基金等。</w:t>
      </w:r>
    </w:p>
    <w:p w:rsidR="004C06C5" w:rsidRDefault="004C06C5">
      <w:pPr>
        <w:tabs>
          <w:tab w:val="left" w:pos="1110"/>
        </w:tabs>
        <w:adjustRightInd w:val="0"/>
        <w:snapToGrid w:val="0"/>
        <w:spacing w:line="360" w:lineRule="auto"/>
        <w:ind w:firstLineChars="200" w:firstLine="420"/>
        <w:rPr>
          <w:rFonts w:ascii="Arial Unicode MS" w:hAnsi="Arial Unicode MS" w:cs="Arial"/>
          <w:szCs w:val="21"/>
        </w:rPr>
      </w:pPr>
    </w:p>
    <w:p w:rsidR="004C06C5" w:rsidRDefault="00ED474B">
      <w:pPr>
        <w:snapToGrid w:val="0"/>
        <w:spacing w:line="360" w:lineRule="auto"/>
        <w:ind w:firstLineChars="200" w:firstLine="422"/>
        <w:rPr>
          <w:rFonts w:ascii="Arial Unicode MS" w:hAnsi="Arial Unicode MS" w:cs="Arial"/>
          <w:szCs w:val="21"/>
        </w:rPr>
      </w:pPr>
      <w:r>
        <w:rPr>
          <w:rFonts w:ascii="Arial Unicode MS" w:hAnsi="Arial Unicode MS" w:cs="Arial" w:hint="eastAsia"/>
          <w:b/>
          <w:szCs w:val="21"/>
        </w:rPr>
        <w:t>四、基金托管人的内部控制制度</w:t>
      </w:r>
    </w:p>
    <w:p w:rsidR="004C06C5" w:rsidRDefault="00ED474B">
      <w:pPr>
        <w:tabs>
          <w:tab w:val="left" w:pos="1110"/>
        </w:tabs>
        <w:adjustRightInd w:val="0"/>
        <w:snapToGrid w:val="0"/>
        <w:spacing w:line="360" w:lineRule="auto"/>
        <w:ind w:firstLineChars="200" w:firstLine="420"/>
        <w:rPr>
          <w:rFonts w:ascii="Arial Unicode MS" w:hAnsi="Arial Unicode MS" w:cs="Arial"/>
          <w:szCs w:val="21"/>
        </w:rPr>
      </w:pPr>
      <w:r>
        <w:rPr>
          <w:rFonts w:ascii="Arial Unicode MS" w:hAnsi="Arial Unicode MS" w:cs="Arial"/>
          <w:szCs w:val="21"/>
        </w:rPr>
        <w:t>1</w:t>
      </w:r>
      <w:r>
        <w:rPr>
          <w:rFonts w:ascii="Arial Unicode MS" w:hAnsi="Arial Unicode MS" w:cs="Arial" w:hint="eastAsia"/>
          <w:szCs w:val="21"/>
        </w:rPr>
        <w:t>、本行内部控制目标为：确保经营活动中严格遵守国家有关法律法规、监管部门监管规则和本行规章制度，形成守法经营、规范运作的经营思想。确保经营业务的稳健运行，保证基金资产的安全和完整，确保业务活动信息的真实、准确、完整，保护基金份额持有人的合法权益。</w:t>
      </w:r>
    </w:p>
    <w:p w:rsidR="004C06C5" w:rsidRDefault="00ED474B">
      <w:pPr>
        <w:tabs>
          <w:tab w:val="left" w:pos="1110"/>
        </w:tabs>
        <w:adjustRightInd w:val="0"/>
        <w:snapToGrid w:val="0"/>
        <w:spacing w:line="360" w:lineRule="auto"/>
        <w:ind w:firstLineChars="200" w:firstLine="420"/>
        <w:rPr>
          <w:rFonts w:ascii="Arial Unicode MS" w:hAnsi="Arial Unicode MS" w:cs="Arial"/>
          <w:szCs w:val="21"/>
        </w:rPr>
      </w:pPr>
      <w:r>
        <w:rPr>
          <w:rFonts w:ascii="Arial Unicode MS" w:hAnsi="Arial Unicode MS" w:cs="Arial"/>
          <w:szCs w:val="21"/>
        </w:rPr>
        <w:t>2</w:t>
      </w:r>
      <w:r>
        <w:rPr>
          <w:rFonts w:ascii="Arial Unicode MS" w:hAnsi="Arial Unicode MS" w:cs="Arial" w:hint="eastAsia"/>
          <w:szCs w:val="21"/>
        </w:rPr>
        <w:t>、本行内部控制组织架构为：总行法律合</w:t>
      </w:r>
      <w:proofErr w:type="gramStart"/>
      <w:r>
        <w:rPr>
          <w:rFonts w:ascii="Arial Unicode MS" w:hAnsi="Arial Unicode MS" w:cs="Arial" w:hint="eastAsia"/>
          <w:szCs w:val="21"/>
        </w:rPr>
        <w:t>规</w:t>
      </w:r>
      <w:proofErr w:type="gramEnd"/>
      <w:r>
        <w:rPr>
          <w:rFonts w:ascii="Arial Unicode MS" w:hAnsi="Arial Unicode MS" w:cs="Arial" w:hint="eastAsia"/>
          <w:szCs w:val="21"/>
        </w:rPr>
        <w:t>部是全行内部控制的牵头管理部门，指导业务部门建立并维护资产托管业务的内部控制体系。总行风险监控部是全行操作风险的牵头管理部门。指导业务部门开展资产托管业务的操作风险管控工作。总行资产托管部下设内控管理处。内控管理处是全行托管业务条线的内部控制具体管理实施机构，并配备专职内控监督人员负责托管业务的内控监督工作，独立行使监督稽核职责。</w:t>
      </w:r>
    </w:p>
    <w:p w:rsidR="004C06C5" w:rsidRDefault="00ED474B">
      <w:pPr>
        <w:tabs>
          <w:tab w:val="left" w:pos="1110"/>
        </w:tabs>
        <w:adjustRightInd w:val="0"/>
        <w:snapToGrid w:val="0"/>
        <w:spacing w:line="360" w:lineRule="auto"/>
        <w:ind w:firstLineChars="200" w:firstLine="420"/>
        <w:rPr>
          <w:rFonts w:ascii="Arial Unicode MS" w:hAnsi="Arial Unicode MS" w:cs="Arial"/>
          <w:szCs w:val="21"/>
        </w:rPr>
      </w:pPr>
      <w:r>
        <w:rPr>
          <w:rFonts w:ascii="Arial Unicode MS" w:hAnsi="Arial Unicode MS" w:cs="Arial"/>
          <w:szCs w:val="21"/>
        </w:rPr>
        <w:t>3</w:t>
      </w:r>
      <w:r>
        <w:rPr>
          <w:rFonts w:ascii="Arial Unicode MS" w:hAnsi="Arial Unicode MS" w:cs="Arial" w:hint="eastAsia"/>
          <w:szCs w:val="21"/>
        </w:rPr>
        <w:t>、内部控制制度及措施</w:t>
      </w:r>
      <w:r>
        <w:rPr>
          <w:rFonts w:ascii="Arial Unicode MS" w:hAnsi="Arial Unicode MS" w:cs="Arial"/>
          <w:szCs w:val="21"/>
        </w:rPr>
        <w:t xml:space="preserve">: </w:t>
      </w:r>
      <w:r>
        <w:rPr>
          <w:rFonts w:ascii="Arial Unicode MS" w:hAnsi="Arial Unicode MS" w:cs="Arial" w:hint="eastAsia"/>
          <w:szCs w:val="21"/>
        </w:rPr>
        <w:t>本行已建立完善的内部控制制度。内控制度贯穿资产托管业务的决策、执行、监督全过程，渗透到各业务流程和各操作环节，覆盖</w:t>
      </w:r>
      <w:proofErr w:type="gramStart"/>
      <w:r>
        <w:rPr>
          <w:rFonts w:ascii="Arial Unicode MS" w:hAnsi="Arial Unicode MS" w:cs="Arial" w:hint="eastAsia"/>
          <w:szCs w:val="21"/>
        </w:rPr>
        <w:t>到从事</w:t>
      </w:r>
      <w:proofErr w:type="gramEnd"/>
      <w:r>
        <w:rPr>
          <w:rFonts w:ascii="Arial Unicode MS" w:hAnsi="Arial Unicode MS" w:cs="Arial" w:hint="eastAsia"/>
          <w:szCs w:val="21"/>
        </w:rPr>
        <w:t>资产托管各级组织结构、岗位及人员。内部控制以防范风险、合</w:t>
      </w:r>
      <w:proofErr w:type="gramStart"/>
      <w:r>
        <w:rPr>
          <w:rFonts w:ascii="Arial Unicode MS" w:hAnsi="Arial Unicode MS" w:cs="Arial" w:hint="eastAsia"/>
          <w:szCs w:val="21"/>
        </w:rPr>
        <w:t>规</w:t>
      </w:r>
      <w:proofErr w:type="gramEnd"/>
      <w:r>
        <w:rPr>
          <w:rFonts w:ascii="Arial Unicode MS" w:hAnsi="Arial Unicode MS" w:cs="Arial" w:hint="eastAsia"/>
          <w:szCs w:val="21"/>
        </w:rPr>
        <w:t>经营为出发点，各项业务流程体现“内</w:t>
      </w:r>
      <w:r>
        <w:rPr>
          <w:rFonts w:ascii="Arial Unicode MS" w:hAnsi="Arial Unicode MS" w:cs="Arial" w:hint="eastAsia"/>
          <w:szCs w:val="21"/>
        </w:rPr>
        <w:lastRenderedPageBreak/>
        <w:t>控优先”要求。</w:t>
      </w:r>
    </w:p>
    <w:p w:rsidR="004C06C5" w:rsidRDefault="00ED474B">
      <w:pPr>
        <w:tabs>
          <w:tab w:val="left" w:pos="1110"/>
        </w:tabs>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具体内控措施包括：培育员工树立内控优先、制度先行、全员化风险控制的风险管理理念，营造浓厚的内控文化氛围，使风险意识贯穿到组织架构、业务岗位、人员的各个环节。制定权责清晰的业务授权管理制度、明确岗位职责和各项操作规程、员工职业道德规范、业务数据备份和保密等在内的各项业务管理制度；建立严格完善的资产隔离和资产保管制度，托管资产与托管人资产及不同托管资产之间实行独立运作、分别核算；对各类突发事件或故障，建立完备有效的应急方案，定期</w:t>
      </w:r>
      <w:proofErr w:type="gramStart"/>
      <w:r>
        <w:rPr>
          <w:rFonts w:ascii="Arial Unicode MS" w:hAnsi="Arial Unicode MS" w:cs="Arial" w:hint="eastAsia"/>
          <w:szCs w:val="21"/>
        </w:rPr>
        <w:t>组织灾备演练</w:t>
      </w:r>
      <w:proofErr w:type="gramEnd"/>
      <w:r>
        <w:rPr>
          <w:rFonts w:ascii="Arial Unicode MS" w:hAnsi="Arial Unicode MS" w:cs="Arial" w:hint="eastAsia"/>
          <w:szCs w:val="21"/>
        </w:rPr>
        <w:t>，建立重大事项报告制度；在基金运作办公区域建立健全安全监控系统，利用录音、录像等技术手段实现风险控制；定期对业务情况进行自查、内部稽核等措施进行监控，通过专项</w:t>
      </w:r>
      <w:r>
        <w:rPr>
          <w:rFonts w:ascii="Arial Unicode MS" w:hAnsi="Arial Unicode MS" w:cs="Arial"/>
          <w:szCs w:val="21"/>
        </w:rPr>
        <w:t>/</w:t>
      </w:r>
      <w:r>
        <w:rPr>
          <w:rFonts w:ascii="Arial Unicode MS" w:hAnsi="Arial Unicode MS" w:cs="Arial" w:hint="eastAsia"/>
          <w:szCs w:val="21"/>
        </w:rPr>
        <w:t>全面审计等措施实施业务监控，排查风险隐患。</w:t>
      </w:r>
    </w:p>
    <w:p w:rsidR="004C06C5" w:rsidRDefault="004C06C5">
      <w:pPr>
        <w:tabs>
          <w:tab w:val="left" w:pos="1110"/>
        </w:tabs>
        <w:adjustRightInd w:val="0"/>
        <w:snapToGrid w:val="0"/>
        <w:spacing w:line="360" w:lineRule="auto"/>
        <w:ind w:firstLineChars="200" w:firstLine="420"/>
        <w:rPr>
          <w:rFonts w:ascii="Arial Unicode MS" w:hAnsi="Arial Unicode MS" w:cs="Arial"/>
          <w:szCs w:val="21"/>
        </w:rPr>
      </w:pPr>
    </w:p>
    <w:p w:rsidR="004C06C5" w:rsidRDefault="00ED474B">
      <w:pPr>
        <w:snapToGrid w:val="0"/>
        <w:spacing w:line="360" w:lineRule="auto"/>
        <w:ind w:firstLineChars="200" w:firstLine="422"/>
        <w:rPr>
          <w:rFonts w:ascii="Arial Unicode MS" w:hAnsi="Arial Unicode MS" w:cs="Arial"/>
          <w:szCs w:val="21"/>
        </w:rPr>
      </w:pPr>
      <w:r>
        <w:rPr>
          <w:rFonts w:ascii="Arial Unicode MS" w:hAnsi="Arial Unicode MS" w:cs="Arial" w:hint="eastAsia"/>
          <w:b/>
          <w:szCs w:val="21"/>
        </w:rPr>
        <w:t>五、托管人对管理人运作基金进行监督的方法和程序</w:t>
      </w:r>
    </w:p>
    <w:p w:rsidR="004C06C5" w:rsidRDefault="00ED474B">
      <w:pPr>
        <w:tabs>
          <w:tab w:val="left" w:pos="1110"/>
        </w:tabs>
        <w:adjustRightInd w:val="0"/>
        <w:snapToGrid w:val="0"/>
        <w:spacing w:line="360" w:lineRule="auto"/>
        <w:ind w:firstLineChars="200" w:firstLine="420"/>
        <w:rPr>
          <w:rFonts w:ascii="Arial Unicode MS" w:hAnsi="Arial Unicode MS" w:cs="Arial"/>
          <w:szCs w:val="21"/>
        </w:rPr>
      </w:pPr>
      <w:r>
        <w:rPr>
          <w:rFonts w:ascii="Arial Unicode MS" w:hAnsi="Arial Unicode MS" w:cs="Arial"/>
          <w:szCs w:val="21"/>
        </w:rPr>
        <w:t>1</w:t>
      </w:r>
      <w:r>
        <w:rPr>
          <w:rFonts w:ascii="Arial Unicode MS" w:hAnsi="Arial Unicode MS" w:cs="Arial" w:hint="eastAsia"/>
          <w:szCs w:val="21"/>
        </w:rPr>
        <w:t>、监督依据</w:t>
      </w:r>
    </w:p>
    <w:p w:rsidR="004C06C5" w:rsidRDefault="00ED474B">
      <w:pPr>
        <w:tabs>
          <w:tab w:val="left" w:pos="1110"/>
        </w:tabs>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托管人严格按照有关政策法规、以及基金合同、托管协议等进行监督。监督依据具体包括：</w:t>
      </w:r>
    </w:p>
    <w:p w:rsidR="004C06C5" w:rsidRDefault="00ED474B">
      <w:pPr>
        <w:tabs>
          <w:tab w:val="left" w:pos="1110"/>
        </w:tabs>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szCs w:val="21"/>
        </w:rPr>
        <w:t>1</w:t>
      </w:r>
      <w:r>
        <w:rPr>
          <w:rFonts w:ascii="Arial Unicode MS" w:hAnsi="Arial Unicode MS" w:cs="Arial" w:hint="eastAsia"/>
          <w:szCs w:val="21"/>
        </w:rPr>
        <w:t>）《中华人民共和国证券法》；</w:t>
      </w:r>
    </w:p>
    <w:p w:rsidR="004C06C5" w:rsidRDefault="00ED474B">
      <w:pPr>
        <w:tabs>
          <w:tab w:val="left" w:pos="1110"/>
        </w:tabs>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szCs w:val="21"/>
        </w:rPr>
        <w:t>2</w:t>
      </w:r>
      <w:r>
        <w:rPr>
          <w:rFonts w:ascii="Arial Unicode MS" w:hAnsi="Arial Unicode MS" w:cs="Arial" w:hint="eastAsia"/>
          <w:szCs w:val="21"/>
        </w:rPr>
        <w:t>）《中华人民共和国证券投资基金法》；</w:t>
      </w:r>
    </w:p>
    <w:p w:rsidR="004C06C5" w:rsidRDefault="00ED474B">
      <w:pPr>
        <w:tabs>
          <w:tab w:val="left" w:pos="1110"/>
        </w:tabs>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szCs w:val="21"/>
        </w:rPr>
        <w:t>3</w:t>
      </w:r>
      <w:r>
        <w:rPr>
          <w:rFonts w:ascii="Arial Unicode MS" w:hAnsi="Arial Unicode MS" w:cs="Arial" w:hint="eastAsia"/>
          <w:szCs w:val="21"/>
        </w:rPr>
        <w:t>）《公开募集证券投资基金运作管理办法》；</w:t>
      </w:r>
    </w:p>
    <w:p w:rsidR="004C06C5" w:rsidRDefault="00ED474B">
      <w:pPr>
        <w:tabs>
          <w:tab w:val="left" w:pos="1110"/>
        </w:tabs>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szCs w:val="21"/>
        </w:rPr>
        <w:t>4</w:t>
      </w:r>
      <w:r>
        <w:rPr>
          <w:rFonts w:ascii="Arial Unicode MS" w:hAnsi="Arial Unicode MS" w:cs="Arial" w:hint="eastAsia"/>
          <w:szCs w:val="21"/>
        </w:rPr>
        <w:t>）《证券投资基金销售管理办法》；</w:t>
      </w:r>
    </w:p>
    <w:p w:rsidR="004C06C5" w:rsidRDefault="00ED474B">
      <w:pPr>
        <w:tabs>
          <w:tab w:val="left" w:pos="1110"/>
        </w:tabs>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szCs w:val="21"/>
        </w:rPr>
        <w:t>5</w:t>
      </w:r>
      <w:r>
        <w:rPr>
          <w:rFonts w:ascii="Arial Unicode MS" w:hAnsi="Arial Unicode MS" w:cs="Arial" w:hint="eastAsia"/>
          <w:szCs w:val="21"/>
        </w:rPr>
        <w:t>）《基金合同》、《基金托管协议》；</w:t>
      </w:r>
    </w:p>
    <w:p w:rsidR="004C06C5" w:rsidRDefault="00ED474B">
      <w:pPr>
        <w:tabs>
          <w:tab w:val="left" w:pos="1110"/>
        </w:tabs>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szCs w:val="21"/>
        </w:rPr>
        <w:t>6</w:t>
      </w:r>
      <w:r>
        <w:rPr>
          <w:rFonts w:ascii="Arial Unicode MS" w:hAnsi="Arial Unicode MS" w:cs="Arial" w:hint="eastAsia"/>
          <w:szCs w:val="21"/>
        </w:rPr>
        <w:t>）法律、法规、政策的其他规定。</w:t>
      </w:r>
    </w:p>
    <w:p w:rsidR="004C06C5" w:rsidRDefault="00ED474B">
      <w:pPr>
        <w:tabs>
          <w:tab w:val="left" w:pos="1110"/>
        </w:tabs>
        <w:adjustRightInd w:val="0"/>
        <w:snapToGrid w:val="0"/>
        <w:spacing w:line="360" w:lineRule="auto"/>
        <w:ind w:firstLineChars="200" w:firstLine="420"/>
        <w:rPr>
          <w:rFonts w:ascii="Arial Unicode MS" w:hAnsi="Arial Unicode MS" w:cs="Arial"/>
          <w:szCs w:val="21"/>
        </w:rPr>
      </w:pPr>
      <w:r>
        <w:rPr>
          <w:rFonts w:ascii="Arial Unicode MS" w:hAnsi="Arial Unicode MS" w:cs="Arial"/>
          <w:szCs w:val="21"/>
        </w:rPr>
        <w:t>2</w:t>
      </w:r>
      <w:r>
        <w:rPr>
          <w:rFonts w:ascii="Arial Unicode MS" w:hAnsi="Arial Unicode MS" w:cs="Arial" w:hint="eastAsia"/>
          <w:szCs w:val="21"/>
        </w:rPr>
        <w:t>、监督内容</w:t>
      </w:r>
    </w:p>
    <w:p w:rsidR="004C06C5" w:rsidRDefault="00ED474B">
      <w:pPr>
        <w:tabs>
          <w:tab w:val="left" w:pos="1110"/>
        </w:tabs>
        <w:adjustRightInd w:val="0"/>
        <w:snapToGrid w:val="0"/>
        <w:spacing w:line="360" w:lineRule="auto"/>
        <w:ind w:firstLineChars="200" w:firstLine="420"/>
        <w:rPr>
          <w:rFonts w:ascii="Arial Unicode MS" w:hAnsi="Arial Unicode MS" w:cs="Arial"/>
          <w:szCs w:val="21"/>
        </w:rPr>
      </w:pPr>
      <w:r>
        <w:rPr>
          <w:rFonts w:ascii="Arial Unicode MS" w:hAnsi="Arial Unicode MS" w:cs="Arial"/>
          <w:szCs w:val="21"/>
        </w:rPr>
        <w:t xml:space="preserve">    </w:t>
      </w:r>
      <w:r>
        <w:rPr>
          <w:rFonts w:ascii="Arial Unicode MS" w:hAnsi="Arial Unicode MS" w:cs="Arial" w:hint="eastAsia"/>
          <w:szCs w:val="21"/>
        </w:rPr>
        <w:t>我行根据基金合同及托管协议约定，对基金合同生效之后所托管基金的投资范围、投资比例、投资限制等进行严格监督，及时提示基金管理人违规风险。</w:t>
      </w:r>
    </w:p>
    <w:p w:rsidR="004C06C5" w:rsidRDefault="00ED474B">
      <w:pPr>
        <w:tabs>
          <w:tab w:val="left" w:pos="1110"/>
        </w:tabs>
        <w:adjustRightInd w:val="0"/>
        <w:snapToGrid w:val="0"/>
        <w:spacing w:line="360" w:lineRule="auto"/>
        <w:ind w:firstLineChars="200" w:firstLine="420"/>
        <w:rPr>
          <w:rFonts w:ascii="Arial Unicode MS" w:hAnsi="Arial Unicode MS" w:cs="Arial"/>
          <w:szCs w:val="21"/>
        </w:rPr>
      </w:pPr>
      <w:r>
        <w:rPr>
          <w:rFonts w:ascii="Arial Unicode MS" w:hAnsi="Arial Unicode MS" w:cs="Arial"/>
          <w:szCs w:val="21"/>
        </w:rPr>
        <w:t>3</w:t>
      </w:r>
      <w:r>
        <w:rPr>
          <w:rFonts w:ascii="Arial Unicode MS" w:hAnsi="Arial Unicode MS" w:cs="Arial" w:hint="eastAsia"/>
          <w:szCs w:val="21"/>
        </w:rPr>
        <w:t>、监督方法</w:t>
      </w:r>
    </w:p>
    <w:p w:rsidR="004C06C5" w:rsidRDefault="00ED474B">
      <w:pPr>
        <w:tabs>
          <w:tab w:val="left" w:pos="1110"/>
        </w:tabs>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szCs w:val="21"/>
        </w:rPr>
        <w:t>1</w:t>
      </w:r>
      <w:r>
        <w:rPr>
          <w:rFonts w:ascii="Arial Unicode MS" w:hAnsi="Arial Unicode MS" w:cs="Arial" w:hint="eastAsia"/>
          <w:szCs w:val="21"/>
        </w:rPr>
        <w:t>）资产托管部设置核算监督岗位，配备相应的业务人员，在授权范围内独立行使对基金管理人投资交易行为的监督职责，规范基金运作，维护基金投资人的合法权益，不受任何外界力量的干预；</w:t>
      </w:r>
    </w:p>
    <w:p w:rsidR="004C06C5" w:rsidRDefault="00ED474B">
      <w:pPr>
        <w:tabs>
          <w:tab w:val="left" w:pos="1110"/>
        </w:tabs>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szCs w:val="21"/>
        </w:rPr>
        <w:t>2</w:t>
      </w:r>
      <w:r>
        <w:rPr>
          <w:rFonts w:ascii="Arial Unicode MS" w:hAnsi="Arial Unicode MS" w:cs="Arial" w:hint="eastAsia"/>
          <w:szCs w:val="21"/>
        </w:rPr>
        <w:t>）在日常运作中，凡可量化的监督指标，由核算监督岗通过托管业务的自动处理程序进行监督，实现系统的自动跟踪和预警；</w:t>
      </w:r>
    </w:p>
    <w:p w:rsidR="004C06C5" w:rsidRDefault="00ED474B">
      <w:pPr>
        <w:tabs>
          <w:tab w:val="left" w:pos="1110"/>
        </w:tabs>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lastRenderedPageBreak/>
        <w:t>（</w:t>
      </w:r>
      <w:r>
        <w:rPr>
          <w:rFonts w:ascii="Arial Unicode MS" w:hAnsi="Arial Unicode MS" w:cs="Arial"/>
          <w:szCs w:val="21"/>
        </w:rPr>
        <w:t>3</w:t>
      </w:r>
      <w:r>
        <w:rPr>
          <w:rFonts w:ascii="Arial Unicode MS" w:hAnsi="Arial Unicode MS" w:cs="Arial" w:hint="eastAsia"/>
          <w:szCs w:val="21"/>
        </w:rPr>
        <w:t>）对非量化指标、投资指令、管理人提供的各种报表和报告等，采取人工监督的方法。</w:t>
      </w:r>
    </w:p>
    <w:p w:rsidR="004C06C5" w:rsidRDefault="00ED474B">
      <w:pPr>
        <w:tabs>
          <w:tab w:val="left" w:pos="1110"/>
        </w:tabs>
        <w:adjustRightInd w:val="0"/>
        <w:snapToGrid w:val="0"/>
        <w:spacing w:line="360" w:lineRule="auto"/>
        <w:ind w:firstLineChars="200" w:firstLine="420"/>
        <w:rPr>
          <w:rFonts w:ascii="Arial Unicode MS" w:hAnsi="Arial Unicode MS" w:cs="Arial"/>
          <w:szCs w:val="21"/>
        </w:rPr>
      </w:pPr>
      <w:r>
        <w:rPr>
          <w:rFonts w:ascii="Arial Unicode MS" w:hAnsi="Arial Unicode MS" w:cs="Arial"/>
          <w:szCs w:val="21"/>
        </w:rPr>
        <w:t>4</w:t>
      </w:r>
      <w:r>
        <w:rPr>
          <w:rFonts w:ascii="Arial Unicode MS" w:hAnsi="Arial Unicode MS" w:cs="Arial" w:hint="eastAsia"/>
          <w:szCs w:val="21"/>
        </w:rPr>
        <w:t>、监督结果的处理方式</w:t>
      </w:r>
    </w:p>
    <w:p w:rsidR="004C06C5" w:rsidRDefault="00ED474B">
      <w:pPr>
        <w:tabs>
          <w:tab w:val="left" w:pos="1110"/>
        </w:tabs>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szCs w:val="21"/>
        </w:rPr>
        <w:t>1</w:t>
      </w:r>
      <w:r>
        <w:rPr>
          <w:rFonts w:ascii="Arial Unicode MS" w:hAnsi="Arial Unicode MS" w:cs="Arial" w:hint="eastAsia"/>
          <w:szCs w:val="21"/>
        </w:rPr>
        <w:t>）基金托管人对基金管理人的投资运作监督结果，采取定期和不定期报告形式向基金管理人和中国证监会报告。定期报告包括基金监控周报等。不定期报告包括提示函、临时日报、其他临时报告等；</w:t>
      </w:r>
    </w:p>
    <w:p w:rsidR="004C06C5" w:rsidRDefault="00ED474B">
      <w:pPr>
        <w:tabs>
          <w:tab w:val="left" w:pos="1110"/>
        </w:tabs>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szCs w:val="21"/>
        </w:rPr>
        <w:t>2</w:t>
      </w:r>
      <w:r>
        <w:rPr>
          <w:rFonts w:ascii="Arial Unicode MS" w:hAnsi="Arial Unicode MS" w:cs="Arial" w:hint="eastAsia"/>
          <w:szCs w:val="21"/>
        </w:rPr>
        <w:t>）</w:t>
      </w:r>
      <w:proofErr w:type="gramStart"/>
      <w:r>
        <w:rPr>
          <w:rFonts w:ascii="Arial Unicode MS" w:hAnsi="Arial Unicode MS" w:cs="Arial" w:hint="eastAsia"/>
          <w:szCs w:val="21"/>
        </w:rPr>
        <w:t>若基金</w:t>
      </w:r>
      <w:proofErr w:type="gramEnd"/>
      <w:r>
        <w:rPr>
          <w:rFonts w:ascii="Arial Unicode MS" w:hAnsi="Arial Unicode MS" w:cs="Arial" w:hint="eastAsia"/>
          <w:szCs w:val="21"/>
        </w:rPr>
        <w:t>托管人发现基金管理人违规违法操作，以电话、邮件、书面提示函的方式通知基金管理人，指明违规事项，明确纠正期限。在规定期限内基金托管人再对基金管理人违规事项进行复查，如果基金管理人对违规事项未予纠正，基金托管人将报告中国证监会。如果发现基金管理人投资运作有重大违规行为时，基金托管人应立即报告中国证监会，同时通知基金管理人限期纠正；</w:t>
      </w:r>
    </w:p>
    <w:p w:rsidR="004C06C5" w:rsidRDefault="00ED474B">
      <w:pPr>
        <w:tabs>
          <w:tab w:val="left" w:pos="1110"/>
        </w:tabs>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szCs w:val="21"/>
        </w:rPr>
        <w:t>3</w:t>
      </w:r>
      <w:r>
        <w:rPr>
          <w:rFonts w:ascii="Arial Unicode MS" w:hAnsi="Arial Unicode MS" w:cs="Arial" w:hint="eastAsia"/>
          <w:szCs w:val="21"/>
        </w:rPr>
        <w:t>）针对中国证监会、中国人民银行对基金投资运作监督情况的检查，应及时提供有关情况和资料。</w:t>
      </w:r>
    </w:p>
    <w:p w:rsidR="004C06C5" w:rsidRDefault="004C06C5">
      <w:pPr>
        <w:spacing w:line="360" w:lineRule="auto"/>
        <w:ind w:firstLineChars="200" w:firstLine="420"/>
        <w:rPr>
          <w:rFonts w:ascii="宋体" w:hAnsi="宋体" w:cs="Arial"/>
          <w:szCs w:val="21"/>
        </w:rPr>
      </w:pPr>
    </w:p>
    <w:p w:rsidR="004C06C5" w:rsidRDefault="004C06C5">
      <w:pPr>
        <w:spacing w:line="360" w:lineRule="auto"/>
        <w:ind w:firstLineChars="200" w:firstLine="420"/>
        <w:rPr>
          <w:rFonts w:ascii="宋体" w:hAnsi="宋体" w:cs="Arial"/>
          <w:szCs w:val="21"/>
        </w:rPr>
      </w:pPr>
    </w:p>
    <w:p w:rsidR="004C06C5" w:rsidRDefault="004C06C5">
      <w:pPr>
        <w:spacing w:line="360" w:lineRule="auto"/>
        <w:ind w:firstLineChars="200" w:firstLine="420"/>
        <w:rPr>
          <w:rFonts w:ascii="宋体" w:hAnsi="宋体" w:cs="Arial"/>
          <w:szCs w:val="21"/>
        </w:rPr>
      </w:pPr>
    </w:p>
    <w:p w:rsidR="004C06C5" w:rsidRDefault="00ED474B">
      <w:pPr>
        <w:widowControl/>
        <w:jc w:val="left"/>
        <w:rPr>
          <w:rFonts w:ascii="宋体" w:hAnsi="宋体" w:cs="Arial"/>
          <w:szCs w:val="21"/>
        </w:rPr>
      </w:pPr>
      <w:r>
        <w:rPr>
          <w:rFonts w:ascii="宋体" w:hAnsi="宋体" w:cs="Arial"/>
          <w:szCs w:val="21"/>
        </w:rPr>
        <w:br w:type="page"/>
      </w:r>
    </w:p>
    <w:p w:rsidR="004C06C5" w:rsidRDefault="00ED474B">
      <w:pPr>
        <w:pStyle w:val="11"/>
        <w:snapToGrid w:val="0"/>
        <w:spacing w:before="0" w:after="0" w:line="360" w:lineRule="auto"/>
        <w:ind w:firstLine="422"/>
        <w:rPr>
          <w:rFonts w:ascii="Arial Unicode MS" w:eastAsia="宋体" w:hAnsi="Arial Unicode MS" w:cs="Arial"/>
          <w:b/>
          <w:bCs/>
          <w:sz w:val="28"/>
          <w:szCs w:val="28"/>
        </w:rPr>
      </w:pPr>
      <w:bookmarkStart w:id="21" w:name="_Toc214873594"/>
      <w:bookmarkStart w:id="22" w:name="_Toc317088142"/>
      <w:bookmarkStart w:id="23" w:name="_Toc317088539"/>
      <w:bookmarkStart w:id="24" w:name="_Toc320887644"/>
      <w:bookmarkStart w:id="25" w:name="_Toc335232693"/>
      <w:bookmarkStart w:id="26" w:name="_Toc1464060"/>
      <w:r>
        <w:rPr>
          <w:rFonts w:ascii="Arial Unicode MS" w:eastAsia="宋体" w:hAnsi="Arial Unicode MS" w:cs="Arial"/>
          <w:b/>
          <w:bCs/>
          <w:sz w:val="28"/>
          <w:szCs w:val="28"/>
        </w:rPr>
        <w:lastRenderedPageBreak/>
        <w:t>第五部分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相关服务机构</w:t>
      </w:r>
      <w:bookmarkEnd w:id="21"/>
      <w:bookmarkEnd w:id="22"/>
      <w:bookmarkEnd w:id="23"/>
      <w:bookmarkEnd w:id="24"/>
      <w:bookmarkEnd w:id="25"/>
      <w:bookmarkEnd w:id="26"/>
    </w:p>
    <w:p w:rsidR="004C06C5" w:rsidRDefault="004C06C5">
      <w:pPr>
        <w:rPr>
          <w:rFonts w:ascii="Arial Unicode MS" w:hAnsi="Arial Unicode MS"/>
          <w:lang w:val="zh-CN"/>
        </w:rPr>
      </w:pPr>
    </w:p>
    <w:p w:rsidR="004C06C5" w:rsidRDefault="00ED474B">
      <w:pPr>
        <w:snapToGrid w:val="0"/>
        <w:spacing w:line="360" w:lineRule="auto"/>
        <w:ind w:firstLineChars="200" w:firstLine="422"/>
        <w:rPr>
          <w:rFonts w:ascii="Arial Unicode MS" w:hAnsi="Arial Unicode MS" w:cs="Arial"/>
          <w:b/>
          <w:szCs w:val="21"/>
        </w:rPr>
      </w:pPr>
      <w:r>
        <w:rPr>
          <w:rFonts w:ascii="Arial Unicode MS" w:hAnsi="Arial Unicode MS" w:cs="Arial"/>
          <w:b/>
          <w:szCs w:val="21"/>
        </w:rPr>
        <w:t>一、基金份额</w:t>
      </w:r>
      <w:r>
        <w:rPr>
          <w:rFonts w:ascii="Arial Unicode MS" w:hAnsi="Arial Unicode MS" w:cs="Arial" w:hint="eastAsia"/>
          <w:b/>
          <w:szCs w:val="21"/>
        </w:rPr>
        <w:t>发售</w:t>
      </w:r>
      <w:r>
        <w:rPr>
          <w:rFonts w:ascii="Arial Unicode MS" w:hAnsi="Arial Unicode MS" w:cs="Arial"/>
          <w:b/>
          <w:szCs w:val="21"/>
        </w:rPr>
        <w:t>机构</w:t>
      </w:r>
    </w:p>
    <w:p w:rsidR="004C06C5" w:rsidRDefault="00ED474B">
      <w:pPr>
        <w:spacing w:line="360" w:lineRule="auto"/>
        <w:ind w:firstLineChars="200" w:firstLine="420"/>
        <w:rPr>
          <w:rFonts w:ascii="宋体" w:hAnsi="宋体"/>
          <w:color w:val="000000"/>
          <w:kern w:val="0"/>
          <w:szCs w:val="21"/>
        </w:rPr>
      </w:pPr>
      <w:r>
        <w:rPr>
          <w:rFonts w:ascii="宋体" w:hAnsi="宋体"/>
          <w:color w:val="000000"/>
          <w:kern w:val="0"/>
          <w:szCs w:val="21"/>
        </w:rPr>
        <w:t>1、直销机构：富荣基金管理有限公司直销中心</w:t>
      </w:r>
    </w:p>
    <w:p w:rsidR="004C06C5" w:rsidRDefault="00ED474B">
      <w:pPr>
        <w:spacing w:line="360" w:lineRule="auto"/>
        <w:ind w:firstLineChars="200" w:firstLine="420"/>
        <w:rPr>
          <w:rFonts w:ascii="宋体" w:hAnsi="宋体"/>
          <w:color w:val="000000"/>
          <w:kern w:val="0"/>
          <w:szCs w:val="21"/>
        </w:rPr>
      </w:pPr>
      <w:r>
        <w:rPr>
          <w:rFonts w:ascii="宋体" w:hAnsi="宋体" w:hint="eastAsia"/>
          <w:szCs w:val="21"/>
        </w:rPr>
        <w:t>注册地址</w:t>
      </w:r>
      <w:r>
        <w:rPr>
          <w:rFonts w:ascii="宋体" w:hAnsi="宋体" w:hint="eastAsia"/>
          <w:color w:val="000000"/>
          <w:kern w:val="0"/>
          <w:szCs w:val="21"/>
        </w:rPr>
        <w:t>：广州市南沙区海滨路</w:t>
      </w:r>
      <w:r>
        <w:rPr>
          <w:rFonts w:ascii="宋体" w:hAnsi="宋体"/>
          <w:color w:val="000000"/>
          <w:kern w:val="0"/>
          <w:szCs w:val="21"/>
        </w:rPr>
        <w:t xml:space="preserve">171号南沙金融大厦11楼1101之一J20室 </w:t>
      </w:r>
    </w:p>
    <w:p w:rsidR="004C06C5" w:rsidRDefault="00ED474B">
      <w:pPr>
        <w:spacing w:line="360" w:lineRule="auto"/>
        <w:ind w:firstLineChars="200" w:firstLine="420"/>
        <w:rPr>
          <w:rFonts w:ascii="宋体" w:hAnsi="宋体"/>
          <w:color w:val="000000"/>
          <w:kern w:val="0"/>
          <w:szCs w:val="21"/>
        </w:rPr>
      </w:pPr>
      <w:r>
        <w:rPr>
          <w:rFonts w:ascii="宋体" w:hAnsi="宋体" w:hint="eastAsia"/>
          <w:color w:val="000000"/>
          <w:kern w:val="0"/>
          <w:szCs w:val="21"/>
        </w:rPr>
        <w:t>办公地址：</w:t>
      </w:r>
      <w:r>
        <w:rPr>
          <w:rFonts w:ascii="Arial Unicode MS" w:hAnsi="Arial Unicode MS" w:cs="Arial" w:hint="eastAsia"/>
          <w:kern w:val="0"/>
          <w:szCs w:val="21"/>
        </w:rPr>
        <w:t>深圳市福田区八卦四路</w:t>
      </w:r>
      <w:r>
        <w:rPr>
          <w:rFonts w:ascii="Arial Unicode MS" w:hAnsi="Arial Unicode MS" w:cs="Arial" w:hint="eastAsia"/>
          <w:kern w:val="0"/>
          <w:szCs w:val="21"/>
        </w:rPr>
        <w:t>52</w:t>
      </w:r>
      <w:r>
        <w:rPr>
          <w:rFonts w:ascii="Arial Unicode MS" w:hAnsi="Arial Unicode MS" w:cs="Arial" w:hint="eastAsia"/>
          <w:kern w:val="0"/>
          <w:szCs w:val="21"/>
        </w:rPr>
        <w:t>号安吉</w:t>
      </w:r>
      <w:proofErr w:type="gramStart"/>
      <w:r>
        <w:rPr>
          <w:rFonts w:ascii="Arial Unicode MS" w:hAnsi="Arial Unicode MS" w:cs="Arial" w:hint="eastAsia"/>
          <w:kern w:val="0"/>
          <w:szCs w:val="21"/>
        </w:rPr>
        <w:t>尔大厦</w:t>
      </w:r>
      <w:proofErr w:type="gramEnd"/>
      <w:r>
        <w:rPr>
          <w:rFonts w:ascii="Arial Unicode MS" w:hAnsi="Arial Unicode MS" w:cs="Arial" w:hint="eastAsia"/>
          <w:kern w:val="0"/>
          <w:szCs w:val="21"/>
        </w:rPr>
        <w:t>24</w:t>
      </w:r>
      <w:r>
        <w:rPr>
          <w:rFonts w:ascii="Arial Unicode MS" w:hAnsi="Arial Unicode MS" w:cs="Arial" w:hint="eastAsia"/>
          <w:kern w:val="0"/>
          <w:szCs w:val="21"/>
        </w:rPr>
        <w:t>层</w:t>
      </w:r>
    </w:p>
    <w:p w:rsidR="004C06C5" w:rsidRDefault="00ED474B">
      <w:pPr>
        <w:spacing w:line="360" w:lineRule="auto"/>
        <w:ind w:firstLineChars="200" w:firstLine="420"/>
        <w:rPr>
          <w:rFonts w:ascii="宋体" w:hAnsi="宋体"/>
          <w:color w:val="000000"/>
          <w:kern w:val="0"/>
          <w:szCs w:val="21"/>
        </w:rPr>
      </w:pPr>
      <w:r>
        <w:rPr>
          <w:rFonts w:ascii="宋体" w:hAnsi="宋体" w:hint="eastAsia"/>
          <w:color w:val="000000"/>
          <w:kern w:val="0"/>
          <w:szCs w:val="21"/>
        </w:rPr>
        <w:t>法定代表人：</w:t>
      </w:r>
      <w:r>
        <w:rPr>
          <w:rFonts w:ascii="宋体" w:hAnsi="宋体"/>
          <w:color w:val="000000"/>
          <w:kern w:val="0"/>
          <w:szCs w:val="21"/>
        </w:rPr>
        <w:t xml:space="preserve"> </w:t>
      </w:r>
      <w:r>
        <w:rPr>
          <w:rFonts w:ascii="宋体" w:hAnsi="宋体" w:hint="eastAsia"/>
          <w:color w:val="000000"/>
          <w:kern w:val="0"/>
          <w:szCs w:val="21"/>
        </w:rPr>
        <w:t>杨小舟</w:t>
      </w:r>
    </w:p>
    <w:p w:rsidR="004C06C5" w:rsidRDefault="00ED474B">
      <w:pPr>
        <w:spacing w:line="360" w:lineRule="auto"/>
        <w:ind w:firstLineChars="200" w:firstLine="420"/>
        <w:rPr>
          <w:rFonts w:ascii="宋体" w:hAnsi="宋体"/>
          <w:color w:val="000000"/>
          <w:kern w:val="0"/>
          <w:szCs w:val="21"/>
        </w:rPr>
      </w:pPr>
      <w:r>
        <w:rPr>
          <w:rFonts w:ascii="宋体" w:hAnsi="宋体" w:hint="eastAsia"/>
          <w:color w:val="000000"/>
          <w:kern w:val="0"/>
          <w:szCs w:val="21"/>
        </w:rPr>
        <w:t>电话：</w:t>
      </w:r>
      <w:r>
        <w:rPr>
          <w:rFonts w:ascii="宋体" w:hAnsi="宋体" w:cs="Arial"/>
          <w:color w:val="000000"/>
        </w:rPr>
        <w:t>0755-84356629</w:t>
      </w:r>
    </w:p>
    <w:p w:rsidR="004C06C5" w:rsidRDefault="00ED474B">
      <w:pPr>
        <w:spacing w:line="360" w:lineRule="auto"/>
        <w:ind w:firstLineChars="200" w:firstLine="420"/>
        <w:rPr>
          <w:rFonts w:ascii="宋体" w:hAnsi="宋体"/>
          <w:color w:val="000000"/>
          <w:kern w:val="0"/>
          <w:szCs w:val="21"/>
        </w:rPr>
      </w:pPr>
      <w:r>
        <w:rPr>
          <w:rFonts w:ascii="宋体" w:hAnsi="宋体" w:hint="eastAsia"/>
          <w:color w:val="000000"/>
          <w:kern w:val="0"/>
          <w:szCs w:val="21"/>
        </w:rPr>
        <w:t>传真：</w:t>
      </w:r>
      <w:r>
        <w:rPr>
          <w:rFonts w:ascii="宋体" w:hAnsi="宋体" w:cs="Arial"/>
          <w:color w:val="000000"/>
        </w:rPr>
        <w:t>0755-83230902</w:t>
      </w:r>
    </w:p>
    <w:p w:rsidR="004C06C5" w:rsidRDefault="00ED474B">
      <w:pPr>
        <w:spacing w:line="360" w:lineRule="auto"/>
        <w:ind w:firstLineChars="200" w:firstLine="420"/>
        <w:rPr>
          <w:rFonts w:ascii="宋体" w:hAnsi="宋体"/>
          <w:color w:val="000000"/>
          <w:kern w:val="0"/>
          <w:szCs w:val="21"/>
        </w:rPr>
      </w:pPr>
      <w:r>
        <w:rPr>
          <w:rFonts w:ascii="宋体" w:hAnsi="宋体" w:hint="eastAsia"/>
          <w:color w:val="000000"/>
          <w:kern w:val="0"/>
          <w:szCs w:val="21"/>
        </w:rPr>
        <w:t>客服电话：</w:t>
      </w:r>
      <w:r>
        <w:rPr>
          <w:rFonts w:ascii="宋体" w:hAnsi="宋体"/>
          <w:color w:val="000000"/>
          <w:kern w:val="0"/>
          <w:szCs w:val="21"/>
        </w:rPr>
        <w:t>4006855600</w:t>
      </w:r>
    </w:p>
    <w:p w:rsidR="004C06C5" w:rsidRDefault="00ED474B">
      <w:pPr>
        <w:spacing w:line="360" w:lineRule="auto"/>
        <w:ind w:firstLineChars="200" w:firstLine="420"/>
        <w:rPr>
          <w:rFonts w:ascii="宋体" w:hAnsi="宋体"/>
          <w:color w:val="000000"/>
          <w:kern w:val="0"/>
          <w:szCs w:val="21"/>
        </w:rPr>
      </w:pPr>
      <w:r>
        <w:rPr>
          <w:rFonts w:ascii="宋体" w:hAnsi="宋体" w:hint="eastAsia"/>
          <w:color w:val="000000"/>
          <w:kern w:val="0"/>
          <w:szCs w:val="21"/>
        </w:rPr>
        <w:t>网址：</w:t>
      </w:r>
      <w:r>
        <w:rPr>
          <w:rFonts w:ascii="宋体" w:hAnsi="宋体"/>
          <w:color w:val="000000"/>
          <w:kern w:val="0"/>
          <w:szCs w:val="21"/>
        </w:rPr>
        <w:t>www.furamc.com.cn</w:t>
      </w:r>
    </w:p>
    <w:p w:rsidR="004C06C5" w:rsidRDefault="00ED474B">
      <w:pPr>
        <w:snapToGrid w:val="0"/>
        <w:spacing w:line="360" w:lineRule="auto"/>
        <w:ind w:firstLineChars="200" w:firstLine="420"/>
        <w:rPr>
          <w:rFonts w:ascii="Arial Unicode MS" w:hAnsi="Arial Unicode MS" w:cs="Arial"/>
          <w:color w:val="000000"/>
          <w:kern w:val="0"/>
          <w:szCs w:val="21"/>
        </w:rPr>
      </w:pPr>
      <w:r>
        <w:rPr>
          <w:rFonts w:ascii="Arial Unicode MS" w:hAnsi="Arial Unicode MS" w:cs="Arial" w:hint="eastAsia"/>
          <w:color w:val="000000"/>
          <w:kern w:val="0"/>
          <w:szCs w:val="21"/>
        </w:rPr>
        <w:t>2</w:t>
      </w:r>
      <w:r>
        <w:rPr>
          <w:rFonts w:ascii="Arial Unicode MS" w:hAnsi="Arial Unicode MS" w:cs="Arial" w:hint="eastAsia"/>
          <w:color w:val="000000"/>
          <w:kern w:val="0"/>
          <w:szCs w:val="21"/>
        </w:rPr>
        <w:t>、其他销售机构：</w:t>
      </w:r>
    </w:p>
    <w:tbl>
      <w:tblPr>
        <w:tblStyle w:val="afe"/>
        <w:tblW w:w="8522" w:type="dxa"/>
        <w:tblLayout w:type="fixed"/>
        <w:tblLook w:val="04A0" w:firstRow="1" w:lastRow="0" w:firstColumn="1" w:lastColumn="0" w:noHBand="0" w:noVBand="1"/>
      </w:tblPr>
      <w:tblGrid>
        <w:gridCol w:w="817"/>
        <w:gridCol w:w="2977"/>
        <w:gridCol w:w="4728"/>
      </w:tblGrid>
      <w:tr w:rsidR="004C06C5">
        <w:tc>
          <w:tcPr>
            <w:tcW w:w="817" w:type="dxa"/>
            <w:vAlign w:val="center"/>
          </w:tcPr>
          <w:p w:rsidR="004C06C5" w:rsidRDefault="00ED474B">
            <w:pPr>
              <w:snapToGrid w:val="0"/>
              <w:spacing w:line="360" w:lineRule="auto"/>
              <w:rPr>
                <w:rFonts w:ascii="宋体" w:hAnsi="宋体" w:cs="Arial"/>
                <w:b/>
                <w:color w:val="000000"/>
                <w:kern w:val="0"/>
                <w:szCs w:val="21"/>
              </w:rPr>
            </w:pPr>
            <w:r>
              <w:rPr>
                <w:rFonts w:ascii="宋体" w:hAnsi="宋体" w:cs="Calibri" w:hint="eastAsia"/>
                <w:b/>
                <w:color w:val="000000"/>
                <w:szCs w:val="21"/>
              </w:rPr>
              <w:t>序号</w:t>
            </w:r>
          </w:p>
        </w:tc>
        <w:tc>
          <w:tcPr>
            <w:tcW w:w="2977" w:type="dxa"/>
            <w:vAlign w:val="center"/>
          </w:tcPr>
          <w:p w:rsidR="004C06C5" w:rsidRDefault="00ED474B">
            <w:pPr>
              <w:snapToGrid w:val="0"/>
              <w:spacing w:line="360" w:lineRule="auto"/>
              <w:rPr>
                <w:rFonts w:ascii="宋体" w:hAnsi="宋体" w:cs="Arial"/>
                <w:b/>
                <w:color w:val="000000" w:themeColor="text1"/>
                <w:kern w:val="0"/>
                <w:szCs w:val="21"/>
              </w:rPr>
            </w:pPr>
            <w:r>
              <w:rPr>
                <w:rFonts w:ascii="宋体" w:hAnsi="宋体" w:cs="Calibri" w:hint="eastAsia"/>
                <w:b/>
                <w:color w:val="000000"/>
                <w:szCs w:val="21"/>
              </w:rPr>
              <w:t>代销机构名称</w:t>
            </w:r>
          </w:p>
        </w:tc>
        <w:tc>
          <w:tcPr>
            <w:tcW w:w="4728" w:type="dxa"/>
          </w:tcPr>
          <w:p w:rsidR="004C06C5" w:rsidRDefault="00ED474B">
            <w:pPr>
              <w:snapToGrid w:val="0"/>
              <w:spacing w:line="360" w:lineRule="auto"/>
              <w:rPr>
                <w:rFonts w:ascii="宋体" w:hAnsi="宋体" w:cs="Arial"/>
                <w:b/>
                <w:color w:val="000000"/>
                <w:kern w:val="0"/>
                <w:szCs w:val="21"/>
              </w:rPr>
            </w:pPr>
            <w:r>
              <w:rPr>
                <w:rFonts w:ascii="宋体" w:hAnsi="宋体" w:cs="Calibri" w:hint="eastAsia"/>
                <w:b/>
                <w:color w:val="000000"/>
                <w:szCs w:val="21"/>
              </w:rPr>
              <w:t>代销机构信息</w:t>
            </w:r>
          </w:p>
        </w:tc>
      </w:tr>
      <w:tr w:rsidR="004C06C5">
        <w:trPr>
          <w:trHeight w:val="510"/>
        </w:trPr>
        <w:tc>
          <w:tcPr>
            <w:tcW w:w="817" w:type="dxa"/>
          </w:tcPr>
          <w:p w:rsidR="004C06C5" w:rsidRDefault="00ED474B">
            <w:pPr>
              <w:spacing w:line="360" w:lineRule="auto"/>
              <w:jc w:val="center"/>
              <w:rPr>
                <w:rFonts w:asciiTheme="minorEastAsia" w:eastAsiaTheme="minorEastAsia" w:hAnsiTheme="minorEastAsia"/>
                <w:color w:val="000000"/>
                <w:kern w:val="0"/>
                <w:sz w:val="24"/>
              </w:rPr>
            </w:pPr>
            <w:r>
              <w:rPr>
                <w:rFonts w:ascii="宋体" w:hAnsi="宋体" w:cs="Calibri"/>
                <w:color w:val="000000"/>
                <w:szCs w:val="21"/>
              </w:rPr>
              <w:t>1</w:t>
            </w:r>
          </w:p>
        </w:tc>
        <w:tc>
          <w:tcPr>
            <w:tcW w:w="2977" w:type="dxa"/>
          </w:tcPr>
          <w:p w:rsidR="004C06C5" w:rsidRDefault="00ED474B">
            <w:pPr>
              <w:spacing w:line="360" w:lineRule="auto"/>
              <w:jc w:val="center"/>
              <w:rPr>
                <w:rFonts w:asciiTheme="minorEastAsia" w:eastAsiaTheme="minorEastAsia" w:hAnsiTheme="minorEastAsia"/>
                <w:color w:val="000000"/>
                <w:kern w:val="0"/>
                <w:sz w:val="24"/>
              </w:rPr>
            </w:pPr>
            <w:r>
              <w:rPr>
                <w:rFonts w:ascii="宋体" w:hAnsi="宋体" w:cs="Calibri" w:hint="eastAsia"/>
                <w:color w:val="000000"/>
                <w:szCs w:val="21"/>
              </w:rPr>
              <w:t>包商银行股份有限公司</w:t>
            </w:r>
          </w:p>
        </w:tc>
        <w:tc>
          <w:tcPr>
            <w:tcW w:w="4728" w:type="dxa"/>
          </w:tcPr>
          <w:p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注册（办公）地址：内蒙古包头市钢铁大街</w:t>
            </w:r>
            <w:r>
              <w:rPr>
                <w:rFonts w:ascii="宋体" w:hAnsi="宋体" w:cs="Calibri"/>
                <w:color w:val="000000"/>
                <w:szCs w:val="21"/>
              </w:rPr>
              <w:t>6</w:t>
            </w:r>
            <w:r>
              <w:rPr>
                <w:rFonts w:ascii="宋体" w:hAnsi="宋体" w:cs="Calibri" w:hint="eastAsia"/>
                <w:color w:val="000000"/>
                <w:szCs w:val="21"/>
              </w:rPr>
              <w:t>号</w:t>
            </w:r>
          </w:p>
          <w:p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客服电话：</w:t>
            </w:r>
            <w:r>
              <w:rPr>
                <w:rFonts w:ascii="宋体" w:hAnsi="宋体" w:cs="Calibri"/>
                <w:color w:val="000000"/>
                <w:szCs w:val="21"/>
              </w:rPr>
              <w:t xml:space="preserve"> 95352</w:t>
            </w:r>
          </w:p>
          <w:p w:rsidR="004C06C5" w:rsidRDefault="00ED474B">
            <w:pPr>
              <w:spacing w:line="360" w:lineRule="auto"/>
              <w:rPr>
                <w:rFonts w:asciiTheme="minorEastAsia" w:eastAsiaTheme="minorEastAsia" w:hAnsiTheme="minorEastAsia"/>
                <w:color w:val="000000"/>
                <w:kern w:val="0"/>
                <w:sz w:val="24"/>
              </w:rPr>
            </w:pPr>
            <w:r>
              <w:rPr>
                <w:rFonts w:ascii="宋体" w:hAnsi="宋体" w:cs="Calibri" w:hint="eastAsia"/>
                <w:color w:val="000000"/>
                <w:szCs w:val="21"/>
              </w:rPr>
              <w:t>网站：</w:t>
            </w:r>
            <w:hyperlink r:id="rId19" w:history="1">
              <w:r>
                <w:rPr>
                  <w:rFonts w:ascii="宋体" w:hAnsi="宋体" w:cs="Calibri"/>
                  <w:color w:val="000000"/>
                  <w:szCs w:val="21"/>
                </w:rPr>
                <w:t>www.bsb.com.cn</w:t>
              </w:r>
            </w:hyperlink>
          </w:p>
        </w:tc>
      </w:tr>
      <w:tr w:rsidR="004C06C5">
        <w:trPr>
          <w:trHeight w:val="510"/>
        </w:trPr>
        <w:tc>
          <w:tcPr>
            <w:tcW w:w="817" w:type="dxa"/>
          </w:tcPr>
          <w:p w:rsidR="004C06C5" w:rsidRDefault="00ED474B">
            <w:pPr>
              <w:spacing w:line="360" w:lineRule="auto"/>
              <w:jc w:val="center"/>
              <w:rPr>
                <w:rFonts w:asciiTheme="minorEastAsia" w:eastAsiaTheme="minorEastAsia" w:hAnsiTheme="minorEastAsia"/>
                <w:color w:val="000000"/>
                <w:kern w:val="0"/>
                <w:sz w:val="24"/>
              </w:rPr>
            </w:pPr>
            <w:r>
              <w:rPr>
                <w:rFonts w:ascii="宋体" w:hAnsi="宋体" w:cs="Calibri"/>
                <w:color w:val="000000"/>
                <w:szCs w:val="21"/>
              </w:rPr>
              <w:t>2</w:t>
            </w:r>
          </w:p>
        </w:tc>
        <w:tc>
          <w:tcPr>
            <w:tcW w:w="2977" w:type="dxa"/>
          </w:tcPr>
          <w:p w:rsidR="004C06C5" w:rsidRDefault="00ED474B">
            <w:pPr>
              <w:spacing w:line="360" w:lineRule="auto"/>
              <w:jc w:val="center"/>
              <w:rPr>
                <w:rFonts w:asciiTheme="minorEastAsia" w:eastAsiaTheme="minorEastAsia" w:hAnsiTheme="minorEastAsia"/>
                <w:color w:val="000000"/>
                <w:kern w:val="0"/>
                <w:sz w:val="24"/>
              </w:rPr>
            </w:pPr>
            <w:r>
              <w:rPr>
                <w:rFonts w:ascii="宋体" w:hAnsi="宋体" w:cs="Calibri" w:hint="eastAsia"/>
                <w:color w:val="000000"/>
                <w:szCs w:val="21"/>
              </w:rPr>
              <w:t>平安证券股份有限公司</w:t>
            </w:r>
          </w:p>
        </w:tc>
        <w:tc>
          <w:tcPr>
            <w:tcW w:w="4728" w:type="dxa"/>
          </w:tcPr>
          <w:p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注册（办公）地址：深圳市福田中心区金田路</w:t>
            </w:r>
            <w:r>
              <w:rPr>
                <w:rFonts w:ascii="宋体" w:hAnsi="宋体" w:cs="Calibri"/>
                <w:color w:val="000000"/>
                <w:szCs w:val="21"/>
              </w:rPr>
              <w:t>4036</w:t>
            </w:r>
            <w:r>
              <w:rPr>
                <w:rFonts w:ascii="宋体" w:hAnsi="宋体" w:cs="Calibri" w:hint="eastAsia"/>
                <w:color w:val="000000"/>
                <w:szCs w:val="21"/>
              </w:rPr>
              <w:t>号荣</w:t>
            </w:r>
            <w:proofErr w:type="gramStart"/>
            <w:r>
              <w:rPr>
                <w:rFonts w:ascii="宋体" w:hAnsi="宋体" w:cs="Calibri" w:hint="eastAsia"/>
                <w:color w:val="000000"/>
                <w:szCs w:val="21"/>
              </w:rPr>
              <w:t>超大厦</w:t>
            </w:r>
            <w:proofErr w:type="gramEnd"/>
            <w:r>
              <w:rPr>
                <w:rFonts w:ascii="宋体" w:hAnsi="宋体" w:cs="Calibri"/>
                <w:color w:val="000000"/>
                <w:szCs w:val="21"/>
              </w:rPr>
              <w:t>16-20</w:t>
            </w:r>
            <w:r>
              <w:rPr>
                <w:rFonts w:ascii="宋体" w:hAnsi="宋体" w:cs="Calibri" w:hint="eastAsia"/>
                <w:color w:val="000000"/>
                <w:szCs w:val="21"/>
              </w:rPr>
              <w:t>层</w:t>
            </w:r>
            <w:r>
              <w:rPr>
                <w:rFonts w:ascii="宋体" w:hAnsi="宋体" w:cs="Calibri"/>
                <w:color w:val="000000"/>
                <w:szCs w:val="21"/>
              </w:rPr>
              <w:t xml:space="preserve"> </w:t>
            </w:r>
          </w:p>
          <w:p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 xml:space="preserve">95511-8 </w:t>
            </w:r>
          </w:p>
          <w:p w:rsidR="004C06C5" w:rsidRDefault="00ED474B">
            <w:pPr>
              <w:spacing w:line="360" w:lineRule="auto"/>
              <w:jc w:val="left"/>
              <w:rPr>
                <w:rFonts w:asciiTheme="minorEastAsia" w:eastAsiaTheme="minorEastAsia" w:hAnsiTheme="minorEastAsia"/>
                <w:color w:val="000000"/>
                <w:kern w:val="0"/>
                <w:sz w:val="24"/>
              </w:rPr>
            </w:pPr>
            <w:r>
              <w:rPr>
                <w:rFonts w:ascii="宋体" w:hAnsi="宋体" w:cs="Calibri" w:hint="eastAsia"/>
                <w:color w:val="000000"/>
                <w:szCs w:val="21"/>
              </w:rPr>
              <w:t>网址：</w:t>
            </w:r>
            <w:r>
              <w:rPr>
                <w:rFonts w:ascii="宋体" w:hAnsi="宋体" w:cs="Calibri"/>
                <w:color w:val="000000"/>
                <w:szCs w:val="21"/>
              </w:rPr>
              <w:t>stock.pingan.com</w:t>
            </w:r>
          </w:p>
        </w:tc>
      </w:tr>
      <w:tr w:rsidR="004C06C5">
        <w:trPr>
          <w:trHeight w:val="510"/>
        </w:trPr>
        <w:tc>
          <w:tcPr>
            <w:tcW w:w="817" w:type="dxa"/>
          </w:tcPr>
          <w:p w:rsidR="004C06C5" w:rsidRDefault="00ED474B">
            <w:pPr>
              <w:spacing w:line="360" w:lineRule="auto"/>
              <w:jc w:val="center"/>
              <w:rPr>
                <w:rFonts w:asciiTheme="minorEastAsia" w:eastAsiaTheme="minorEastAsia" w:hAnsiTheme="minorEastAsia"/>
                <w:color w:val="000000"/>
                <w:kern w:val="0"/>
                <w:sz w:val="24"/>
              </w:rPr>
            </w:pPr>
            <w:r>
              <w:rPr>
                <w:rFonts w:ascii="宋体" w:hAnsi="宋体" w:cs="Calibri"/>
                <w:color w:val="000000"/>
                <w:szCs w:val="21"/>
              </w:rPr>
              <w:t>3</w:t>
            </w:r>
          </w:p>
        </w:tc>
        <w:tc>
          <w:tcPr>
            <w:tcW w:w="2977" w:type="dxa"/>
          </w:tcPr>
          <w:p w:rsidR="004C06C5" w:rsidRDefault="00ED474B">
            <w:pPr>
              <w:spacing w:line="360" w:lineRule="auto"/>
              <w:jc w:val="center"/>
              <w:rPr>
                <w:rFonts w:asciiTheme="minorEastAsia" w:eastAsiaTheme="minorEastAsia" w:hAnsiTheme="minorEastAsia"/>
                <w:color w:val="000000"/>
                <w:kern w:val="0"/>
                <w:sz w:val="24"/>
              </w:rPr>
            </w:pPr>
            <w:r>
              <w:rPr>
                <w:rFonts w:ascii="宋体" w:hAnsi="宋体" w:cs="Calibri" w:hint="eastAsia"/>
                <w:color w:val="000000"/>
                <w:szCs w:val="21"/>
              </w:rPr>
              <w:t>世纪证券有限责任公司</w:t>
            </w:r>
          </w:p>
        </w:tc>
        <w:tc>
          <w:tcPr>
            <w:tcW w:w="4728" w:type="dxa"/>
          </w:tcPr>
          <w:p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注册（办公）地址：深圳市福田区深南大道招商银行大厦</w:t>
            </w:r>
            <w:r>
              <w:rPr>
                <w:rFonts w:ascii="宋体" w:hAnsi="宋体" w:cs="Calibri"/>
                <w:color w:val="000000"/>
                <w:szCs w:val="21"/>
              </w:rPr>
              <w:t>40-42</w:t>
            </w:r>
            <w:r>
              <w:rPr>
                <w:rFonts w:ascii="宋体" w:hAnsi="宋体" w:cs="Calibri" w:hint="eastAsia"/>
                <w:color w:val="000000"/>
                <w:szCs w:val="21"/>
              </w:rPr>
              <w:t>层</w:t>
            </w:r>
          </w:p>
          <w:p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客服电话：</w:t>
            </w:r>
            <w:r>
              <w:rPr>
                <w:rFonts w:ascii="宋体" w:hAnsi="宋体" w:cs="Calibri"/>
                <w:color w:val="000000"/>
                <w:szCs w:val="21"/>
              </w:rPr>
              <w:t>4008323000</w:t>
            </w:r>
          </w:p>
          <w:p w:rsidR="004C06C5" w:rsidRDefault="00ED474B">
            <w:pPr>
              <w:spacing w:line="360" w:lineRule="auto"/>
              <w:jc w:val="left"/>
              <w:rPr>
                <w:rFonts w:asciiTheme="minorEastAsia" w:eastAsiaTheme="minorEastAsia" w:hAnsiTheme="minorEastAsia"/>
                <w:color w:val="000000"/>
                <w:kern w:val="0"/>
                <w:sz w:val="24"/>
              </w:rPr>
            </w:pPr>
            <w:r>
              <w:rPr>
                <w:rFonts w:ascii="宋体" w:hAnsi="宋体" w:cs="Calibri" w:hint="eastAsia"/>
                <w:color w:val="000000"/>
                <w:szCs w:val="21"/>
              </w:rPr>
              <w:t>网站：</w:t>
            </w:r>
            <w:r>
              <w:rPr>
                <w:rFonts w:ascii="宋体" w:hAnsi="宋体" w:cs="Calibri"/>
                <w:color w:val="000000"/>
                <w:szCs w:val="21"/>
              </w:rPr>
              <w:t xml:space="preserve"> http://www.csco.com.cn</w:t>
            </w:r>
          </w:p>
        </w:tc>
      </w:tr>
      <w:tr w:rsidR="004C06C5">
        <w:trPr>
          <w:trHeight w:val="510"/>
        </w:trPr>
        <w:tc>
          <w:tcPr>
            <w:tcW w:w="817" w:type="dxa"/>
          </w:tcPr>
          <w:p w:rsidR="004C06C5" w:rsidRDefault="00ED474B">
            <w:pPr>
              <w:spacing w:line="360" w:lineRule="auto"/>
              <w:jc w:val="center"/>
              <w:rPr>
                <w:rFonts w:asciiTheme="minorEastAsia" w:eastAsiaTheme="minorEastAsia" w:hAnsiTheme="minorEastAsia"/>
                <w:color w:val="000000"/>
                <w:kern w:val="0"/>
                <w:sz w:val="24"/>
              </w:rPr>
            </w:pPr>
            <w:r>
              <w:rPr>
                <w:rFonts w:ascii="宋体" w:hAnsi="宋体" w:cs="Calibri"/>
                <w:color w:val="000000"/>
                <w:szCs w:val="21"/>
              </w:rPr>
              <w:t>4</w:t>
            </w:r>
          </w:p>
        </w:tc>
        <w:tc>
          <w:tcPr>
            <w:tcW w:w="2977" w:type="dxa"/>
          </w:tcPr>
          <w:p w:rsidR="004C06C5" w:rsidRDefault="00ED474B">
            <w:pPr>
              <w:spacing w:line="360" w:lineRule="auto"/>
              <w:jc w:val="center"/>
              <w:rPr>
                <w:rFonts w:asciiTheme="minorEastAsia" w:eastAsiaTheme="minorEastAsia" w:hAnsiTheme="minorEastAsia"/>
                <w:color w:val="000000"/>
                <w:kern w:val="0"/>
                <w:sz w:val="24"/>
              </w:rPr>
            </w:pPr>
            <w:r>
              <w:rPr>
                <w:rFonts w:ascii="宋体" w:hAnsi="宋体" w:cs="Calibri" w:hint="eastAsia"/>
                <w:color w:val="000000"/>
                <w:szCs w:val="21"/>
              </w:rPr>
              <w:t>华鑫证券有限责任公司</w:t>
            </w:r>
          </w:p>
        </w:tc>
        <w:tc>
          <w:tcPr>
            <w:tcW w:w="4728" w:type="dxa"/>
          </w:tcPr>
          <w:p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(办公)地址：深圳市福田区金田路4018号安联大厦28层A01、B01（b）单元</w:t>
            </w:r>
          </w:p>
          <w:p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95323</w:t>
            </w:r>
          </w:p>
          <w:p w:rsidR="004C06C5" w:rsidRDefault="00ED474B">
            <w:pPr>
              <w:spacing w:line="360" w:lineRule="auto"/>
              <w:jc w:val="left"/>
              <w:rPr>
                <w:rFonts w:asciiTheme="minorEastAsia" w:eastAsiaTheme="minorEastAsia" w:hAnsiTheme="minorEastAsia"/>
                <w:color w:val="000000"/>
                <w:kern w:val="0"/>
                <w:sz w:val="24"/>
              </w:rPr>
            </w:pPr>
            <w:r>
              <w:rPr>
                <w:rFonts w:ascii="宋体" w:hAnsi="宋体" w:cs="Calibri" w:hint="eastAsia"/>
                <w:color w:val="000000"/>
                <w:szCs w:val="21"/>
              </w:rPr>
              <w:t>网址：</w:t>
            </w:r>
            <w:r>
              <w:rPr>
                <w:rFonts w:ascii="宋体" w:hAnsi="宋体" w:cs="Calibri"/>
                <w:color w:val="000000"/>
                <w:szCs w:val="21"/>
              </w:rPr>
              <w:t>www.cfsc.com.cn</w:t>
            </w:r>
          </w:p>
        </w:tc>
      </w:tr>
      <w:tr w:rsidR="004C06C5">
        <w:trPr>
          <w:trHeight w:val="510"/>
        </w:trPr>
        <w:tc>
          <w:tcPr>
            <w:tcW w:w="817" w:type="dxa"/>
          </w:tcPr>
          <w:p w:rsidR="004C06C5" w:rsidRDefault="00ED474B">
            <w:pPr>
              <w:spacing w:line="360" w:lineRule="auto"/>
              <w:jc w:val="center"/>
              <w:rPr>
                <w:rFonts w:asciiTheme="minorEastAsia" w:eastAsiaTheme="minorEastAsia" w:hAnsiTheme="minorEastAsia"/>
                <w:color w:val="000000"/>
                <w:kern w:val="0"/>
                <w:sz w:val="24"/>
              </w:rPr>
            </w:pPr>
            <w:r>
              <w:rPr>
                <w:rFonts w:ascii="宋体" w:hAnsi="宋体" w:cs="Calibri"/>
                <w:color w:val="000000"/>
                <w:szCs w:val="21"/>
              </w:rPr>
              <w:t>5</w:t>
            </w:r>
          </w:p>
        </w:tc>
        <w:tc>
          <w:tcPr>
            <w:tcW w:w="2977" w:type="dxa"/>
          </w:tcPr>
          <w:p w:rsidR="004C06C5" w:rsidRDefault="00ED474B">
            <w:pPr>
              <w:spacing w:line="360" w:lineRule="auto"/>
              <w:jc w:val="center"/>
              <w:rPr>
                <w:rFonts w:asciiTheme="minorEastAsia" w:eastAsiaTheme="minorEastAsia" w:hAnsiTheme="minorEastAsia"/>
                <w:color w:val="000000"/>
                <w:kern w:val="0"/>
                <w:sz w:val="24"/>
              </w:rPr>
            </w:pPr>
            <w:r>
              <w:rPr>
                <w:rFonts w:ascii="宋体" w:hAnsi="宋体" w:cs="Calibri" w:hint="eastAsia"/>
                <w:color w:val="000000"/>
                <w:szCs w:val="21"/>
              </w:rPr>
              <w:t>长城证券股份有限公司</w:t>
            </w:r>
          </w:p>
        </w:tc>
        <w:tc>
          <w:tcPr>
            <w:tcW w:w="4728" w:type="dxa"/>
          </w:tcPr>
          <w:p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 xml:space="preserve">(办公)地址：深圳市福田区深南大道6008号特区报业16-17楼 </w:t>
            </w:r>
          </w:p>
          <w:p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95514/400 6666 888</w:t>
            </w:r>
          </w:p>
          <w:p w:rsidR="004C06C5" w:rsidRDefault="00ED474B">
            <w:pPr>
              <w:spacing w:line="360" w:lineRule="auto"/>
              <w:jc w:val="left"/>
              <w:rPr>
                <w:rFonts w:asciiTheme="minorEastAsia" w:eastAsiaTheme="minorEastAsia" w:hAnsiTheme="minorEastAsia"/>
                <w:color w:val="000000"/>
                <w:kern w:val="0"/>
                <w:sz w:val="24"/>
              </w:rPr>
            </w:pPr>
            <w:r>
              <w:rPr>
                <w:rFonts w:ascii="宋体" w:hAnsi="宋体" w:cs="Calibri" w:hint="eastAsia"/>
                <w:color w:val="000000"/>
                <w:szCs w:val="21"/>
              </w:rPr>
              <w:t>网址：</w:t>
            </w:r>
            <w:r>
              <w:rPr>
                <w:rFonts w:ascii="宋体" w:hAnsi="宋体" w:cs="Calibri"/>
                <w:color w:val="000000"/>
                <w:szCs w:val="21"/>
              </w:rPr>
              <w:t>www.cgws.com</w:t>
            </w:r>
          </w:p>
        </w:tc>
      </w:tr>
      <w:tr w:rsidR="004C06C5">
        <w:trPr>
          <w:trHeight w:val="510"/>
        </w:trPr>
        <w:tc>
          <w:tcPr>
            <w:tcW w:w="817" w:type="dxa"/>
          </w:tcPr>
          <w:p w:rsidR="004C06C5" w:rsidRDefault="00ED474B">
            <w:pPr>
              <w:spacing w:line="360" w:lineRule="auto"/>
              <w:jc w:val="center"/>
              <w:rPr>
                <w:rFonts w:asciiTheme="minorEastAsia" w:eastAsiaTheme="minorEastAsia" w:hAnsiTheme="minorEastAsia"/>
                <w:color w:val="000000"/>
                <w:kern w:val="0"/>
                <w:sz w:val="24"/>
              </w:rPr>
            </w:pPr>
            <w:r>
              <w:rPr>
                <w:rFonts w:ascii="宋体" w:hAnsi="宋体" w:cs="Calibri"/>
                <w:color w:val="000000"/>
                <w:szCs w:val="21"/>
              </w:rPr>
              <w:lastRenderedPageBreak/>
              <w:t>6</w:t>
            </w:r>
          </w:p>
        </w:tc>
        <w:tc>
          <w:tcPr>
            <w:tcW w:w="2977" w:type="dxa"/>
          </w:tcPr>
          <w:p w:rsidR="004C06C5" w:rsidRDefault="00ED474B">
            <w:pPr>
              <w:spacing w:line="360" w:lineRule="auto"/>
              <w:jc w:val="center"/>
              <w:rPr>
                <w:rFonts w:asciiTheme="minorEastAsia" w:eastAsiaTheme="minorEastAsia" w:hAnsiTheme="minorEastAsia"/>
                <w:color w:val="000000"/>
                <w:kern w:val="0"/>
                <w:sz w:val="24"/>
              </w:rPr>
            </w:pPr>
            <w:r>
              <w:rPr>
                <w:rFonts w:ascii="宋体" w:hAnsi="宋体" w:cs="Calibri" w:hint="eastAsia"/>
                <w:color w:val="000000"/>
                <w:szCs w:val="21"/>
              </w:rPr>
              <w:t>五</w:t>
            </w:r>
            <w:proofErr w:type="gramStart"/>
            <w:r>
              <w:rPr>
                <w:rFonts w:ascii="宋体" w:hAnsi="宋体" w:cs="Calibri" w:hint="eastAsia"/>
                <w:color w:val="000000"/>
                <w:szCs w:val="21"/>
              </w:rPr>
              <w:t>矿证券</w:t>
            </w:r>
            <w:proofErr w:type="gramEnd"/>
            <w:r>
              <w:rPr>
                <w:rFonts w:ascii="宋体" w:hAnsi="宋体" w:cs="Calibri" w:hint="eastAsia"/>
                <w:color w:val="000000"/>
                <w:szCs w:val="21"/>
              </w:rPr>
              <w:t>有限公司</w:t>
            </w:r>
          </w:p>
        </w:tc>
        <w:tc>
          <w:tcPr>
            <w:tcW w:w="4728" w:type="dxa"/>
          </w:tcPr>
          <w:p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(办公)地址：</w:t>
            </w:r>
            <w:r>
              <w:rPr>
                <w:rFonts w:ascii="宋体" w:hAnsi="宋体" w:cs="Calibri" w:hint="eastAsia"/>
                <w:color w:val="000000"/>
                <w:szCs w:val="21"/>
              </w:rPr>
              <w:t>深圳市福田区金田路</w:t>
            </w:r>
            <w:r>
              <w:rPr>
                <w:rFonts w:ascii="宋体" w:hAnsi="宋体" w:cs="Calibri"/>
                <w:color w:val="000000"/>
                <w:szCs w:val="21"/>
              </w:rPr>
              <w:t>4028号荣</w:t>
            </w:r>
            <w:proofErr w:type="gramStart"/>
            <w:r>
              <w:rPr>
                <w:rFonts w:ascii="宋体" w:hAnsi="宋体" w:cs="Calibri"/>
                <w:color w:val="000000"/>
                <w:szCs w:val="21"/>
              </w:rPr>
              <w:t>超经贸</w:t>
            </w:r>
            <w:proofErr w:type="gramEnd"/>
            <w:r>
              <w:rPr>
                <w:rFonts w:ascii="宋体" w:hAnsi="宋体" w:cs="Calibri"/>
                <w:color w:val="000000"/>
                <w:szCs w:val="21"/>
              </w:rPr>
              <w:t>中心47层01单元</w:t>
            </w:r>
          </w:p>
          <w:p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4001840028</w:t>
            </w:r>
          </w:p>
          <w:p w:rsidR="004C06C5" w:rsidRDefault="00ED474B">
            <w:pPr>
              <w:spacing w:line="360" w:lineRule="auto"/>
              <w:jc w:val="left"/>
              <w:rPr>
                <w:rFonts w:asciiTheme="minorEastAsia" w:eastAsiaTheme="minorEastAsia" w:hAnsiTheme="minorEastAsia"/>
                <w:color w:val="000000"/>
                <w:kern w:val="0"/>
                <w:sz w:val="24"/>
              </w:rPr>
            </w:pPr>
            <w:r>
              <w:rPr>
                <w:rFonts w:ascii="宋体" w:hAnsi="宋体" w:cs="Calibri" w:hint="eastAsia"/>
                <w:color w:val="000000"/>
                <w:szCs w:val="21"/>
              </w:rPr>
              <w:t>网址：</w:t>
            </w:r>
            <w:r>
              <w:rPr>
                <w:rFonts w:ascii="宋体" w:hAnsi="宋体" w:cs="Calibri"/>
                <w:color w:val="000000"/>
                <w:szCs w:val="21"/>
              </w:rPr>
              <w:t>www.wkzq.com.cn</w:t>
            </w:r>
          </w:p>
        </w:tc>
      </w:tr>
      <w:tr w:rsidR="004C06C5">
        <w:tc>
          <w:tcPr>
            <w:tcW w:w="817" w:type="dxa"/>
          </w:tcPr>
          <w:p w:rsidR="004C06C5" w:rsidRDefault="00ED474B">
            <w:pPr>
              <w:spacing w:line="360" w:lineRule="auto"/>
              <w:jc w:val="center"/>
              <w:rPr>
                <w:rFonts w:asciiTheme="minorEastAsia" w:eastAsiaTheme="minorEastAsia" w:hAnsiTheme="minorEastAsia"/>
                <w:color w:val="000000"/>
                <w:kern w:val="0"/>
                <w:sz w:val="24"/>
              </w:rPr>
            </w:pPr>
            <w:r>
              <w:rPr>
                <w:rFonts w:ascii="宋体" w:hAnsi="宋体" w:cs="Calibri" w:hint="eastAsia"/>
                <w:color w:val="000000"/>
                <w:szCs w:val="21"/>
              </w:rPr>
              <w:t>7</w:t>
            </w:r>
          </w:p>
        </w:tc>
        <w:tc>
          <w:tcPr>
            <w:tcW w:w="2977" w:type="dxa"/>
          </w:tcPr>
          <w:p w:rsidR="004C06C5" w:rsidRDefault="00ED474B">
            <w:pPr>
              <w:spacing w:line="360" w:lineRule="auto"/>
              <w:jc w:val="center"/>
              <w:rPr>
                <w:rFonts w:asciiTheme="minorEastAsia" w:eastAsiaTheme="minorEastAsia" w:hAnsiTheme="minorEastAsia"/>
                <w:color w:val="000000" w:themeColor="text1"/>
                <w:szCs w:val="21"/>
              </w:rPr>
            </w:pPr>
            <w:r>
              <w:rPr>
                <w:rFonts w:ascii="宋体" w:hAnsi="宋体" w:cs="Calibri" w:hint="eastAsia"/>
                <w:color w:val="000000"/>
                <w:szCs w:val="21"/>
              </w:rPr>
              <w:t>西藏东方财富证券股份有限公司</w:t>
            </w:r>
          </w:p>
        </w:tc>
        <w:tc>
          <w:tcPr>
            <w:tcW w:w="4728" w:type="dxa"/>
          </w:tcPr>
          <w:p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 xml:space="preserve">注册(办公)地址：西藏自治区拉萨市柳梧新区国际总部城10栋楼 </w:t>
            </w:r>
          </w:p>
          <w:p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客户服务电话：95357</w:t>
            </w:r>
          </w:p>
          <w:p w:rsidR="004C06C5" w:rsidRDefault="00ED474B">
            <w:pPr>
              <w:jc w:val="left"/>
              <w:rPr>
                <w:rFonts w:asciiTheme="minorEastAsia" w:eastAsiaTheme="minorEastAsia" w:hAnsiTheme="minorEastAsia"/>
                <w:bCs/>
                <w:iCs/>
              </w:rPr>
            </w:pPr>
            <w:r>
              <w:rPr>
                <w:rFonts w:ascii="宋体" w:hAnsi="宋体" w:cs="Calibri" w:hint="eastAsia"/>
                <w:color w:val="000000"/>
                <w:szCs w:val="21"/>
              </w:rPr>
              <w:t>网址：</w:t>
            </w:r>
            <w:r>
              <w:rPr>
                <w:rFonts w:ascii="宋体" w:hAnsi="宋体" w:cs="Calibri"/>
                <w:color w:val="000000"/>
                <w:szCs w:val="21"/>
              </w:rPr>
              <w:t xml:space="preserve"> www.</w:t>
            </w:r>
            <w:r>
              <w:rPr>
                <w:rFonts w:ascii="宋体" w:hAnsi="宋体" w:cs="Calibri" w:hint="eastAsia"/>
                <w:color w:val="000000"/>
                <w:szCs w:val="21"/>
              </w:rPr>
              <w:t>18.cn</w:t>
            </w:r>
          </w:p>
        </w:tc>
      </w:tr>
      <w:tr w:rsidR="004C06C5">
        <w:tc>
          <w:tcPr>
            <w:tcW w:w="817" w:type="dxa"/>
          </w:tcPr>
          <w:p w:rsidR="004C06C5" w:rsidRDefault="00ED474B">
            <w:pPr>
              <w:spacing w:line="360" w:lineRule="auto"/>
              <w:jc w:val="center"/>
              <w:rPr>
                <w:rFonts w:asciiTheme="minorEastAsia" w:eastAsiaTheme="minorEastAsia" w:hAnsiTheme="minorEastAsia"/>
                <w:color w:val="000000"/>
                <w:kern w:val="0"/>
                <w:sz w:val="24"/>
              </w:rPr>
            </w:pPr>
            <w:r>
              <w:rPr>
                <w:rFonts w:ascii="宋体" w:hAnsi="宋体" w:cs="Calibri" w:hint="eastAsia"/>
                <w:color w:val="000000"/>
                <w:szCs w:val="21"/>
              </w:rPr>
              <w:t>8</w:t>
            </w:r>
          </w:p>
        </w:tc>
        <w:tc>
          <w:tcPr>
            <w:tcW w:w="2977" w:type="dxa"/>
          </w:tcPr>
          <w:p w:rsidR="004C06C5" w:rsidRDefault="00ED474B">
            <w:pPr>
              <w:spacing w:line="360" w:lineRule="auto"/>
              <w:jc w:val="center"/>
              <w:rPr>
                <w:rFonts w:asciiTheme="minorEastAsia" w:eastAsiaTheme="minorEastAsia" w:hAnsiTheme="minorEastAsia"/>
                <w:color w:val="000000"/>
                <w:kern w:val="0"/>
                <w:sz w:val="24"/>
              </w:rPr>
            </w:pPr>
            <w:r>
              <w:rPr>
                <w:rFonts w:ascii="宋体" w:hAnsi="宋体" w:cs="Calibri" w:hint="eastAsia"/>
                <w:color w:val="000000"/>
                <w:szCs w:val="21"/>
              </w:rPr>
              <w:t>光大证券股份有限公司</w:t>
            </w:r>
          </w:p>
        </w:tc>
        <w:tc>
          <w:tcPr>
            <w:tcW w:w="4728" w:type="dxa"/>
          </w:tcPr>
          <w:p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注册(办公)地址 : 上海市静安区新闸路1508号</w:t>
            </w:r>
          </w:p>
          <w:p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客户服务电话：95525</w:t>
            </w:r>
          </w:p>
          <w:p w:rsidR="004C06C5" w:rsidRDefault="00ED474B">
            <w:pPr>
              <w:spacing w:line="360" w:lineRule="auto"/>
              <w:jc w:val="left"/>
              <w:rPr>
                <w:rFonts w:asciiTheme="minorEastAsia" w:eastAsiaTheme="minorEastAsia" w:hAnsiTheme="minorEastAsia"/>
                <w:color w:val="000000"/>
                <w:kern w:val="0"/>
                <w:sz w:val="24"/>
              </w:rPr>
            </w:pPr>
            <w:r>
              <w:rPr>
                <w:rFonts w:ascii="宋体" w:hAnsi="宋体" w:cs="Calibri" w:hint="eastAsia"/>
                <w:color w:val="000000"/>
                <w:szCs w:val="21"/>
              </w:rPr>
              <w:t>网址：www.ebscn.com</w:t>
            </w:r>
          </w:p>
        </w:tc>
      </w:tr>
      <w:tr w:rsidR="004C06C5">
        <w:tc>
          <w:tcPr>
            <w:tcW w:w="817" w:type="dxa"/>
          </w:tcPr>
          <w:p w:rsidR="004C06C5" w:rsidRDefault="00ED474B">
            <w:pPr>
              <w:spacing w:line="360" w:lineRule="auto"/>
              <w:jc w:val="center"/>
              <w:rPr>
                <w:rFonts w:asciiTheme="minorEastAsia" w:eastAsiaTheme="minorEastAsia" w:hAnsiTheme="minorEastAsia"/>
                <w:color w:val="000000"/>
                <w:kern w:val="0"/>
                <w:sz w:val="24"/>
              </w:rPr>
            </w:pPr>
            <w:r>
              <w:rPr>
                <w:rFonts w:ascii="宋体" w:hAnsi="宋体" w:cs="Calibri"/>
                <w:color w:val="000000"/>
                <w:szCs w:val="21"/>
              </w:rPr>
              <w:t>9</w:t>
            </w:r>
          </w:p>
        </w:tc>
        <w:tc>
          <w:tcPr>
            <w:tcW w:w="2977" w:type="dxa"/>
          </w:tcPr>
          <w:p w:rsidR="004C06C5" w:rsidRDefault="00ED474B">
            <w:pPr>
              <w:spacing w:line="360" w:lineRule="auto"/>
              <w:jc w:val="center"/>
              <w:rPr>
                <w:rFonts w:asciiTheme="minorEastAsia" w:eastAsiaTheme="minorEastAsia" w:hAnsiTheme="minorEastAsia"/>
                <w:color w:val="000000" w:themeColor="text1"/>
                <w:szCs w:val="21"/>
              </w:rPr>
            </w:pPr>
            <w:r>
              <w:rPr>
                <w:rFonts w:ascii="宋体" w:hAnsi="宋体" w:cs="Calibri" w:hint="eastAsia"/>
                <w:color w:val="000000"/>
                <w:szCs w:val="21"/>
              </w:rPr>
              <w:t>上海基</w:t>
            </w:r>
            <w:proofErr w:type="gramStart"/>
            <w:r>
              <w:rPr>
                <w:rFonts w:ascii="宋体" w:hAnsi="宋体" w:cs="Calibri" w:hint="eastAsia"/>
                <w:color w:val="000000"/>
                <w:szCs w:val="21"/>
              </w:rPr>
              <w:t>煜</w:t>
            </w:r>
            <w:proofErr w:type="gramEnd"/>
            <w:r>
              <w:rPr>
                <w:rFonts w:ascii="宋体" w:hAnsi="宋体" w:cs="Calibri" w:hint="eastAsia"/>
                <w:color w:val="000000"/>
                <w:szCs w:val="21"/>
              </w:rPr>
              <w:t>基金销售有限公司</w:t>
            </w:r>
          </w:p>
        </w:tc>
        <w:tc>
          <w:tcPr>
            <w:tcW w:w="4728" w:type="dxa"/>
          </w:tcPr>
          <w:p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办公地址：上海市崇明县长兴镇潘园公路</w:t>
            </w:r>
            <w:r>
              <w:rPr>
                <w:rFonts w:ascii="宋体" w:hAnsi="宋体" w:cs="Calibri"/>
                <w:color w:val="000000"/>
                <w:szCs w:val="21"/>
              </w:rPr>
              <w:t>1800号2号楼6153室</w:t>
            </w:r>
          </w:p>
          <w:p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客服电话：</w:t>
            </w:r>
            <w:r>
              <w:rPr>
                <w:rFonts w:ascii="宋体" w:hAnsi="宋体" w:cs="Calibri"/>
                <w:color w:val="000000"/>
                <w:szCs w:val="21"/>
              </w:rPr>
              <w:t>400-820-5369</w:t>
            </w:r>
          </w:p>
          <w:p w:rsidR="004C06C5" w:rsidRDefault="00ED474B">
            <w:pPr>
              <w:spacing w:line="400" w:lineRule="exact"/>
              <w:jc w:val="left"/>
              <w:rPr>
                <w:rFonts w:asciiTheme="minorEastAsia" w:eastAsiaTheme="minorEastAsia" w:hAnsiTheme="minorEastAsia"/>
                <w:color w:val="000000"/>
              </w:rPr>
            </w:pPr>
            <w:r>
              <w:rPr>
                <w:rFonts w:ascii="宋体" w:hAnsi="宋体" w:cs="Calibri" w:hint="eastAsia"/>
                <w:color w:val="000000"/>
                <w:szCs w:val="21"/>
              </w:rPr>
              <w:t>公司网址：</w:t>
            </w:r>
            <w:hyperlink r:id="rId20" w:tgtFrame="_blank" w:history="1">
              <w:r>
                <w:rPr>
                  <w:rFonts w:ascii="宋体" w:hAnsi="宋体" w:cs="Calibri"/>
                  <w:szCs w:val="21"/>
                </w:rPr>
                <w:t>www.jiyufund.com.cn</w:t>
              </w:r>
            </w:hyperlink>
          </w:p>
        </w:tc>
      </w:tr>
      <w:tr w:rsidR="004C06C5">
        <w:tc>
          <w:tcPr>
            <w:tcW w:w="817" w:type="dxa"/>
          </w:tcPr>
          <w:p w:rsidR="004C06C5" w:rsidRDefault="00ED474B">
            <w:pPr>
              <w:spacing w:line="360" w:lineRule="auto"/>
              <w:jc w:val="center"/>
              <w:rPr>
                <w:rFonts w:asciiTheme="minorEastAsia" w:eastAsiaTheme="minorEastAsia" w:hAnsiTheme="minorEastAsia"/>
                <w:color w:val="000000"/>
                <w:kern w:val="0"/>
                <w:sz w:val="24"/>
              </w:rPr>
            </w:pPr>
            <w:r>
              <w:rPr>
                <w:rFonts w:ascii="宋体" w:hAnsi="宋体" w:cs="Calibri" w:hint="eastAsia"/>
                <w:color w:val="000000"/>
                <w:szCs w:val="21"/>
              </w:rPr>
              <w:t>10</w:t>
            </w:r>
          </w:p>
        </w:tc>
        <w:tc>
          <w:tcPr>
            <w:tcW w:w="2977" w:type="dxa"/>
          </w:tcPr>
          <w:p w:rsidR="004C06C5" w:rsidRDefault="00ED474B">
            <w:pPr>
              <w:spacing w:line="360" w:lineRule="auto"/>
              <w:jc w:val="center"/>
              <w:rPr>
                <w:rFonts w:asciiTheme="minorEastAsia" w:eastAsiaTheme="minorEastAsia" w:hAnsiTheme="minorEastAsia"/>
                <w:color w:val="000000" w:themeColor="text1"/>
                <w:szCs w:val="21"/>
              </w:rPr>
            </w:pPr>
            <w:r>
              <w:rPr>
                <w:rFonts w:asciiTheme="minorEastAsia" w:hAnsiTheme="minorEastAsia" w:cs="Arial" w:hint="eastAsia"/>
              </w:rPr>
              <w:t>奕丰金融销售有限公司</w:t>
            </w:r>
          </w:p>
        </w:tc>
        <w:tc>
          <w:tcPr>
            <w:tcW w:w="4728" w:type="dxa"/>
          </w:tcPr>
          <w:p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 xml:space="preserve">地址: </w:t>
            </w:r>
            <w:r>
              <w:rPr>
                <w:rFonts w:ascii="宋体" w:hAnsi="宋体" w:cs="Calibri" w:hint="eastAsia"/>
                <w:color w:val="000000"/>
                <w:szCs w:val="21"/>
              </w:rPr>
              <w:t>深圳市前海深港合作区前湾一路</w:t>
            </w:r>
            <w:r>
              <w:rPr>
                <w:rFonts w:ascii="宋体" w:hAnsi="宋体" w:cs="Calibri"/>
                <w:color w:val="000000"/>
                <w:szCs w:val="21"/>
              </w:rPr>
              <w:t>1</w:t>
            </w:r>
            <w:r>
              <w:rPr>
                <w:rFonts w:ascii="宋体" w:hAnsi="宋体" w:cs="Calibri" w:hint="eastAsia"/>
                <w:color w:val="000000"/>
                <w:szCs w:val="21"/>
              </w:rPr>
              <w:t>号</w:t>
            </w:r>
            <w:r>
              <w:rPr>
                <w:rFonts w:ascii="宋体" w:hAnsi="宋体" w:cs="Calibri"/>
                <w:color w:val="000000"/>
                <w:szCs w:val="21"/>
              </w:rPr>
              <w:t>A</w:t>
            </w:r>
            <w:r>
              <w:rPr>
                <w:rFonts w:ascii="宋体" w:hAnsi="宋体" w:cs="Calibri" w:hint="eastAsia"/>
                <w:color w:val="000000"/>
                <w:szCs w:val="21"/>
              </w:rPr>
              <w:t>栋</w:t>
            </w:r>
            <w:r>
              <w:rPr>
                <w:rFonts w:ascii="宋体" w:hAnsi="宋体" w:cs="Calibri"/>
                <w:color w:val="000000"/>
                <w:szCs w:val="21"/>
              </w:rPr>
              <w:t>201</w:t>
            </w:r>
            <w:r>
              <w:rPr>
                <w:rFonts w:ascii="宋体" w:hAnsi="宋体" w:cs="Calibri" w:hint="eastAsia"/>
                <w:color w:val="000000"/>
                <w:szCs w:val="21"/>
              </w:rPr>
              <w:t>室（入驻深圳市前海商务秘书有限公司）</w:t>
            </w:r>
          </w:p>
          <w:p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400-684-0500</w:t>
            </w:r>
          </w:p>
          <w:p w:rsidR="004C06C5" w:rsidRDefault="00ED474B">
            <w:pPr>
              <w:widowControl/>
              <w:spacing w:line="360" w:lineRule="auto"/>
              <w:jc w:val="left"/>
              <w:rPr>
                <w:rFonts w:asciiTheme="minorEastAsia" w:eastAsiaTheme="minorEastAsia" w:hAnsiTheme="minorEastAsia" w:cs="Arial"/>
                <w:color w:val="000000"/>
                <w:kern w:val="0"/>
                <w:szCs w:val="21"/>
              </w:rPr>
            </w:pPr>
            <w:r>
              <w:rPr>
                <w:rFonts w:ascii="宋体" w:hAnsi="宋体" w:cs="Calibri" w:hint="eastAsia"/>
                <w:color w:val="000000"/>
                <w:szCs w:val="21"/>
              </w:rPr>
              <w:t>网址：</w:t>
            </w:r>
            <w:r>
              <w:rPr>
                <w:rFonts w:ascii="宋体" w:hAnsi="宋体" w:cs="Calibri"/>
                <w:color w:val="000000"/>
                <w:szCs w:val="21"/>
              </w:rPr>
              <w:t>www.ifastps.com.cn</w:t>
            </w:r>
          </w:p>
        </w:tc>
      </w:tr>
      <w:tr w:rsidR="004C06C5">
        <w:tc>
          <w:tcPr>
            <w:tcW w:w="817" w:type="dxa"/>
          </w:tcPr>
          <w:p w:rsidR="004C06C5" w:rsidRDefault="00ED474B">
            <w:pPr>
              <w:spacing w:line="360" w:lineRule="auto"/>
              <w:jc w:val="center"/>
              <w:rPr>
                <w:rFonts w:asciiTheme="minorEastAsia" w:eastAsiaTheme="minorEastAsia" w:hAnsiTheme="minorEastAsia"/>
                <w:color w:val="000000"/>
                <w:kern w:val="0"/>
                <w:sz w:val="24"/>
              </w:rPr>
            </w:pPr>
            <w:r>
              <w:rPr>
                <w:rFonts w:ascii="宋体" w:hAnsi="宋体" w:cs="Calibri"/>
                <w:color w:val="000000"/>
                <w:szCs w:val="21"/>
              </w:rPr>
              <w:t>1</w:t>
            </w:r>
            <w:r>
              <w:rPr>
                <w:rFonts w:ascii="宋体" w:hAnsi="宋体" w:cs="Calibri" w:hint="eastAsia"/>
                <w:color w:val="000000"/>
                <w:szCs w:val="21"/>
              </w:rPr>
              <w:t>1</w:t>
            </w:r>
          </w:p>
        </w:tc>
        <w:tc>
          <w:tcPr>
            <w:tcW w:w="2977" w:type="dxa"/>
          </w:tcPr>
          <w:p w:rsidR="004C06C5" w:rsidRDefault="00ED474B">
            <w:pPr>
              <w:spacing w:line="360" w:lineRule="auto"/>
              <w:jc w:val="center"/>
              <w:rPr>
                <w:rFonts w:asciiTheme="minorEastAsia" w:eastAsiaTheme="minorEastAsia" w:hAnsiTheme="minorEastAsia"/>
                <w:color w:val="000000" w:themeColor="text1"/>
                <w:szCs w:val="21"/>
              </w:rPr>
            </w:pPr>
            <w:r>
              <w:rPr>
                <w:rFonts w:ascii="宋体" w:hAnsi="宋体" w:cs="Calibri" w:hint="eastAsia"/>
                <w:color w:val="000000"/>
                <w:szCs w:val="21"/>
              </w:rPr>
              <w:t>上海好买基金销售有限公司</w:t>
            </w:r>
          </w:p>
        </w:tc>
        <w:tc>
          <w:tcPr>
            <w:tcW w:w="4728" w:type="dxa"/>
          </w:tcPr>
          <w:p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办公地址：上海市浦东新区浦东南路</w:t>
            </w:r>
            <w:r>
              <w:rPr>
                <w:rFonts w:ascii="宋体" w:hAnsi="宋体" w:cs="Calibri"/>
                <w:color w:val="000000"/>
                <w:szCs w:val="21"/>
              </w:rPr>
              <w:t>1118号鄂尔多斯大厦9楼</w:t>
            </w:r>
          </w:p>
          <w:p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客服电话：</w:t>
            </w:r>
            <w:r>
              <w:rPr>
                <w:rFonts w:ascii="宋体" w:hAnsi="宋体" w:cs="Calibri"/>
                <w:color w:val="000000"/>
                <w:szCs w:val="21"/>
              </w:rPr>
              <w:t>400-700-9665</w:t>
            </w:r>
          </w:p>
          <w:p w:rsidR="004C06C5" w:rsidRDefault="00ED474B">
            <w:pPr>
              <w:widowControl/>
              <w:spacing w:line="360" w:lineRule="auto"/>
              <w:jc w:val="left"/>
              <w:rPr>
                <w:rFonts w:asciiTheme="minorEastAsia" w:eastAsiaTheme="minorEastAsia" w:hAnsiTheme="minorEastAsia" w:cs="Arial"/>
                <w:color w:val="000000"/>
                <w:kern w:val="0"/>
                <w:szCs w:val="21"/>
              </w:rPr>
            </w:pPr>
            <w:r>
              <w:rPr>
                <w:rFonts w:ascii="宋体" w:hAnsi="宋体" w:cs="Calibri" w:hint="eastAsia"/>
                <w:color w:val="000000"/>
                <w:szCs w:val="21"/>
              </w:rPr>
              <w:t>公司网址：</w:t>
            </w:r>
            <w:r>
              <w:rPr>
                <w:rFonts w:ascii="宋体" w:hAnsi="宋体" w:cs="Calibri"/>
                <w:color w:val="000000"/>
                <w:szCs w:val="21"/>
              </w:rPr>
              <w:t>www.ehowbuy.com</w:t>
            </w:r>
          </w:p>
        </w:tc>
      </w:tr>
      <w:tr w:rsidR="004C06C5">
        <w:tc>
          <w:tcPr>
            <w:tcW w:w="817" w:type="dxa"/>
          </w:tcPr>
          <w:p w:rsidR="004C06C5" w:rsidRDefault="00ED474B">
            <w:pPr>
              <w:spacing w:line="360" w:lineRule="auto"/>
              <w:jc w:val="center"/>
              <w:rPr>
                <w:rFonts w:asciiTheme="minorEastAsia" w:eastAsiaTheme="minorEastAsia" w:hAnsiTheme="minorEastAsia"/>
                <w:color w:val="000000"/>
                <w:kern w:val="0"/>
                <w:sz w:val="24"/>
              </w:rPr>
            </w:pPr>
            <w:r>
              <w:rPr>
                <w:rFonts w:ascii="宋体" w:hAnsi="宋体" w:cs="Calibri"/>
                <w:color w:val="000000"/>
                <w:szCs w:val="21"/>
              </w:rPr>
              <w:t>1</w:t>
            </w:r>
            <w:r>
              <w:rPr>
                <w:rFonts w:ascii="宋体" w:hAnsi="宋体" w:cs="Calibri" w:hint="eastAsia"/>
                <w:color w:val="000000"/>
                <w:szCs w:val="21"/>
              </w:rPr>
              <w:t>2</w:t>
            </w:r>
          </w:p>
        </w:tc>
        <w:tc>
          <w:tcPr>
            <w:tcW w:w="2977" w:type="dxa"/>
          </w:tcPr>
          <w:p w:rsidR="004C06C5" w:rsidRDefault="00ED474B">
            <w:pPr>
              <w:spacing w:line="360" w:lineRule="auto"/>
              <w:jc w:val="center"/>
              <w:rPr>
                <w:rFonts w:asciiTheme="minorEastAsia" w:eastAsiaTheme="minorEastAsia" w:hAnsiTheme="minorEastAsia"/>
                <w:color w:val="000000" w:themeColor="text1"/>
                <w:szCs w:val="21"/>
              </w:rPr>
            </w:pPr>
            <w:r>
              <w:rPr>
                <w:rFonts w:ascii="宋体" w:hAnsi="宋体" w:cs="Calibri" w:hint="eastAsia"/>
                <w:color w:val="000000"/>
                <w:szCs w:val="21"/>
              </w:rPr>
              <w:t>北京肯特瑞财富投资管理有限公司</w:t>
            </w:r>
          </w:p>
        </w:tc>
        <w:tc>
          <w:tcPr>
            <w:tcW w:w="4728" w:type="dxa"/>
          </w:tcPr>
          <w:p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办公地址：北京市亦</w:t>
            </w:r>
            <w:proofErr w:type="gramStart"/>
            <w:r>
              <w:rPr>
                <w:rFonts w:ascii="宋体" w:hAnsi="宋体" w:cs="Calibri" w:hint="eastAsia"/>
                <w:color w:val="000000"/>
                <w:szCs w:val="21"/>
              </w:rPr>
              <w:t>庄经济开发区科创</w:t>
            </w:r>
            <w:proofErr w:type="gramEnd"/>
            <w:r>
              <w:rPr>
                <w:rFonts w:ascii="宋体" w:hAnsi="宋体" w:cs="Calibri" w:hint="eastAsia"/>
                <w:color w:val="000000"/>
                <w:szCs w:val="21"/>
              </w:rPr>
              <w:t>十一街</w:t>
            </w:r>
            <w:r>
              <w:rPr>
                <w:rFonts w:ascii="宋体" w:hAnsi="宋体" w:cs="Calibri"/>
                <w:color w:val="000000"/>
                <w:szCs w:val="21"/>
              </w:rPr>
              <w:t>18号A座</w:t>
            </w:r>
          </w:p>
          <w:p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客服电话：</w:t>
            </w:r>
            <w:r>
              <w:rPr>
                <w:rFonts w:ascii="宋体" w:hAnsi="宋体" w:cs="Calibri"/>
                <w:color w:val="000000"/>
                <w:szCs w:val="21"/>
              </w:rPr>
              <w:t>95118</w:t>
            </w:r>
          </w:p>
          <w:p w:rsidR="004C06C5" w:rsidRDefault="00ED474B">
            <w:pPr>
              <w:widowControl/>
              <w:spacing w:line="360" w:lineRule="auto"/>
              <w:jc w:val="left"/>
              <w:rPr>
                <w:rFonts w:asciiTheme="minorEastAsia" w:eastAsiaTheme="minorEastAsia" w:hAnsiTheme="minorEastAsia" w:cs="Arial"/>
                <w:color w:val="000000"/>
                <w:kern w:val="0"/>
                <w:szCs w:val="21"/>
              </w:rPr>
            </w:pPr>
            <w:r>
              <w:rPr>
                <w:rFonts w:ascii="宋体" w:hAnsi="宋体" w:cs="Calibri" w:hint="eastAsia"/>
                <w:color w:val="000000"/>
                <w:szCs w:val="21"/>
              </w:rPr>
              <w:t>公司网址：</w:t>
            </w:r>
            <w:r>
              <w:rPr>
                <w:rFonts w:ascii="宋体" w:hAnsi="宋体" w:cs="Calibri"/>
                <w:color w:val="000000"/>
                <w:szCs w:val="21"/>
              </w:rPr>
              <w:t>www.fund.jd.com</w:t>
            </w:r>
          </w:p>
        </w:tc>
      </w:tr>
      <w:tr w:rsidR="004C06C5">
        <w:tc>
          <w:tcPr>
            <w:tcW w:w="817" w:type="dxa"/>
          </w:tcPr>
          <w:p w:rsidR="004C06C5" w:rsidRDefault="00ED474B">
            <w:pPr>
              <w:spacing w:line="360" w:lineRule="auto"/>
              <w:jc w:val="center"/>
              <w:rPr>
                <w:rFonts w:asciiTheme="minorEastAsia" w:eastAsiaTheme="minorEastAsia" w:hAnsiTheme="minorEastAsia"/>
                <w:color w:val="000000"/>
                <w:kern w:val="0"/>
                <w:sz w:val="24"/>
              </w:rPr>
            </w:pPr>
            <w:r>
              <w:rPr>
                <w:rFonts w:ascii="宋体" w:hAnsi="宋体" w:cs="Calibri"/>
                <w:color w:val="000000"/>
                <w:szCs w:val="21"/>
              </w:rPr>
              <w:t>1</w:t>
            </w:r>
            <w:r>
              <w:rPr>
                <w:rFonts w:ascii="宋体" w:hAnsi="宋体" w:cs="Calibri" w:hint="eastAsia"/>
                <w:color w:val="000000"/>
                <w:szCs w:val="21"/>
              </w:rPr>
              <w:t>3</w:t>
            </w:r>
          </w:p>
        </w:tc>
        <w:tc>
          <w:tcPr>
            <w:tcW w:w="2977" w:type="dxa"/>
          </w:tcPr>
          <w:p w:rsidR="004C06C5" w:rsidRDefault="00ED474B">
            <w:pPr>
              <w:spacing w:line="360" w:lineRule="auto"/>
              <w:jc w:val="center"/>
              <w:rPr>
                <w:rFonts w:asciiTheme="minorEastAsia" w:eastAsiaTheme="minorEastAsia" w:hAnsiTheme="minorEastAsia"/>
                <w:color w:val="000000" w:themeColor="text1"/>
                <w:szCs w:val="21"/>
              </w:rPr>
            </w:pPr>
            <w:r>
              <w:rPr>
                <w:rFonts w:ascii="宋体" w:hAnsi="宋体" w:cs="Calibri" w:hint="eastAsia"/>
                <w:color w:val="000000"/>
                <w:szCs w:val="21"/>
              </w:rPr>
              <w:t>蚂蚁（杭州）基金销售有限公司</w:t>
            </w:r>
          </w:p>
        </w:tc>
        <w:tc>
          <w:tcPr>
            <w:tcW w:w="4728" w:type="dxa"/>
          </w:tcPr>
          <w:p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办公地址：浙江省杭州市西湖</w:t>
            </w:r>
            <w:proofErr w:type="gramStart"/>
            <w:r>
              <w:rPr>
                <w:rFonts w:ascii="宋体" w:hAnsi="宋体" w:cs="Calibri" w:hint="eastAsia"/>
                <w:color w:val="000000"/>
                <w:szCs w:val="21"/>
              </w:rPr>
              <w:t>区万塘路</w:t>
            </w:r>
            <w:proofErr w:type="gramEnd"/>
            <w:r>
              <w:rPr>
                <w:rFonts w:ascii="宋体" w:hAnsi="宋体" w:cs="Calibri"/>
                <w:color w:val="000000"/>
                <w:szCs w:val="21"/>
              </w:rPr>
              <w:t xml:space="preserve">18号黄龙时代广场B座6F </w:t>
            </w:r>
          </w:p>
          <w:p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4000-766-123</w:t>
            </w:r>
          </w:p>
          <w:p w:rsidR="004C06C5" w:rsidRDefault="00ED474B">
            <w:pPr>
              <w:widowControl/>
              <w:spacing w:line="360" w:lineRule="auto"/>
              <w:jc w:val="left"/>
              <w:rPr>
                <w:rFonts w:asciiTheme="minorEastAsia" w:eastAsiaTheme="minorEastAsia" w:hAnsiTheme="minorEastAsia" w:cs="Arial"/>
                <w:color w:val="000000"/>
                <w:kern w:val="0"/>
                <w:szCs w:val="21"/>
              </w:rPr>
            </w:pPr>
            <w:r>
              <w:rPr>
                <w:rFonts w:ascii="宋体" w:hAnsi="宋体" w:cs="Calibri" w:hint="eastAsia"/>
                <w:color w:val="000000"/>
                <w:szCs w:val="21"/>
              </w:rPr>
              <w:t>网址：</w:t>
            </w:r>
            <w:r>
              <w:rPr>
                <w:rFonts w:ascii="宋体" w:hAnsi="宋体" w:cs="Calibri"/>
                <w:color w:val="000000"/>
                <w:szCs w:val="21"/>
              </w:rPr>
              <w:t>www.fund123.cn</w:t>
            </w:r>
          </w:p>
        </w:tc>
      </w:tr>
      <w:tr w:rsidR="004C06C5">
        <w:tc>
          <w:tcPr>
            <w:tcW w:w="817" w:type="dxa"/>
          </w:tcPr>
          <w:p w:rsidR="004C06C5" w:rsidRDefault="00ED474B">
            <w:pPr>
              <w:spacing w:line="360" w:lineRule="auto"/>
              <w:jc w:val="center"/>
              <w:rPr>
                <w:rFonts w:asciiTheme="minorEastAsia" w:eastAsiaTheme="minorEastAsia" w:hAnsiTheme="minorEastAsia"/>
                <w:color w:val="000000"/>
                <w:kern w:val="0"/>
                <w:sz w:val="24"/>
              </w:rPr>
            </w:pPr>
            <w:r>
              <w:rPr>
                <w:rFonts w:ascii="宋体" w:hAnsi="宋体" w:cs="Calibri"/>
                <w:color w:val="000000"/>
                <w:szCs w:val="21"/>
              </w:rPr>
              <w:t>1</w:t>
            </w:r>
            <w:r>
              <w:rPr>
                <w:rFonts w:ascii="宋体" w:hAnsi="宋体" w:cs="Calibri" w:hint="eastAsia"/>
                <w:color w:val="000000"/>
                <w:szCs w:val="21"/>
              </w:rPr>
              <w:t>4</w:t>
            </w:r>
          </w:p>
        </w:tc>
        <w:tc>
          <w:tcPr>
            <w:tcW w:w="2977" w:type="dxa"/>
          </w:tcPr>
          <w:p w:rsidR="004C06C5" w:rsidRDefault="00ED474B">
            <w:pPr>
              <w:spacing w:line="360" w:lineRule="auto"/>
              <w:jc w:val="center"/>
              <w:rPr>
                <w:rFonts w:asciiTheme="minorEastAsia" w:eastAsiaTheme="minorEastAsia" w:hAnsiTheme="minorEastAsia"/>
                <w:color w:val="000000" w:themeColor="text1"/>
                <w:szCs w:val="21"/>
              </w:rPr>
            </w:pPr>
            <w:r>
              <w:rPr>
                <w:rFonts w:ascii="宋体" w:hAnsi="宋体" w:cs="Calibri" w:hint="eastAsia"/>
                <w:color w:val="000000"/>
                <w:szCs w:val="21"/>
              </w:rPr>
              <w:t>浙江同花</w:t>
            </w:r>
            <w:proofErr w:type="gramStart"/>
            <w:r>
              <w:rPr>
                <w:rFonts w:ascii="宋体" w:hAnsi="宋体" w:cs="Calibri" w:hint="eastAsia"/>
                <w:color w:val="000000"/>
                <w:szCs w:val="21"/>
              </w:rPr>
              <w:t>顺基金</w:t>
            </w:r>
            <w:proofErr w:type="gramEnd"/>
            <w:r>
              <w:rPr>
                <w:rFonts w:ascii="宋体" w:hAnsi="宋体" w:cs="Calibri" w:hint="eastAsia"/>
                <w:color w:val="000000"/>
                <w:szCs w:val="21"/>
              </w:rPr>
              <w:t>销售有限公司</w:t>
            </w:r>
          </w:p>
        </w:tc>
        <w:tc>
          <w:tcPr>
            <w:tcW w:w="4728" w:type="dxa"/>
          </w:tcPr>
          <w:p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办公地址：浙江省杭州市</w:t>
            </w:r>
            <w:proofErr w:type="gramStart"/>
            <w:r>
              <w:rPr>
                <w:rFonts w:ascii="宋体" w:hAnsi="宋体" w:cs="Calibri" w:hint="eastAsia"/>
                <w:color w:val="000000"/>
                <w:szCs w:val="21"/>
              </w:rPr>
              <w:t>翠柏路</w:t>
            </w:r>
            <w:proofErr w:type="gramEnd"/>
            <w:r>
              <w:rPr>
                <w:rFonts w:ascii="宋体" w:hAnsi="宋体" w:cs="Calibri"/>
                <w:color w:val="000000"/>
                <w:szCs w:val="21"/>
              </w:rPr>
              <w:t>7号杭州电子商务产业园2楼</w:t>
            </w:r>
          </w:p>
          <w:p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客服电话：</w:t>
            </w:r>
            <w:r>
              <w:rPr>
                <w:rFonts w:ascii="宋体" w:hAnsi="宋体" w:cs="Calibri"/>
                <w:color w:val="000000"/>
                <w:szCs w:val="21"/>
              </w:rPr>
              <w:t>4008-773-772  0571-88920897</w:t>
            </w:r>
          </w:p>
          <w:p w:rsidR="004C06C5" w:rsidRDefault="00ED474B">
            <w:pPr>
              <w:widowControl/>
              <w:spacing w:line="360" w:lineRule="auto"/>
              <w:jc w:val="left"/>
              <w:rPr>
                <w:rFonts w:asciiTheme="minorEastAsia" w:eastAsiaTheme="minorEastAsia" w:hAnsiTheme="minorEastAsia" w:cs="Arial"/>
                <w:color w:val="000000"/>
                <w:kern w:val="0"/>
                <w:szCs w:val="21"/>
              </w:rPr>
            </w:pPr>
            <w:r>
              <w:rPr>
                <w:rFonts w:ascii="宋体" w:hAnsi="宋体" w:cs="Calibri" w:hint="eastAsia"/>
                <w:color w:val="000000"/>
                <w:szCs w:val="21"/>
              </w:rPr>
              <w:lastRenderedPageBreak/>
              <w:t>网址：</w:t>
            </w:r>
            <w:r>
              <w:rPr>
                <w:rFonts w:ascii="宋体" w:hAnsi="宋体" w:cs="Calibri"/>
                <w:color w:val="000000"/>
                <w:szCs w:val="21"/>
              </w:rPr>
              <w:t>www.5ifund.com</w:t>
            </w:r>
          </w:p>
        </w:tc>
      </w:tr>
      <w:tr w:rsidR="004C06C5">
        <w:tc>
          <w:tcPr>
            <w:tcW w:w="817" w:type="dxa"/>
          </w:tcPr>
          <w:p w:rsidR="004C06C5" w:rsidRDefault="00ED474B">
            <w:pPr>
              <w:spacing w:line="360" w:lineRule="auto"/>
              <w:jc w:val="center"/>
              <w:rPr>
                <w:rFonts w:asciiTheme="minorEastAsia" w:eastAsiaTheme="minorEastAsia" w:hAnsiTheme="minorEastAsia"/>
                <w:color w:val="000000"/>
                <w:kern w:val="0"/>
                <w:sz w:val="24"/>
              </w:rPr>
            </w:pPr>
            <w:r>
              <w:rPr>
                <w:rFonts w:ascii="宋体" w:hAnsi="宋体" w:cs="Calibri" w:hint="eastAsia"/>
                <w:color w:val="000000"/>
                <w:szCs w:val="21"/>
              </w:rPr>
              <w:lastRenderedPageBreak/>
              <w:t>15</w:t>
            </w:r>
          </w:p>
        </w:tc>
        <w:tc>
          <w:tcPr>
            <w:tcW w:w="2977" w:type="dxa"/>
          </w:tcPr>
          <w:p w:rsidR="004C06C5" w:rsidRDefault="00ED474B">
            <w:pPr>
              <w:spacing w:line="360" w:lineRule="auto"/>
              <w:jc w:val="center"/>
              <w:rPr>
                <w:rFonts w:asciiTheme="minorEastAsia" w:eastAsiaTheme="minorEastAsia" w:hAnsiTheme="minorEastAsia"/>
                <w:color w:val="000000" w:themeColor="text1"/>
                <w:szCs w:val="21"/>
              </w:rPr>
            </w:pPr>
            <w:r>
              <w:rPr>
                <w:rFonts w:ascii="宋体" w:hAnsi="宋体" w:cs="Calibri" w:hint="eastAsia"/>
                <w:color w:val="000000"/>
                <w:szCs w:val="21"/>
              </w:rPr>
              <w:t>上海陆金</w:t>
            </w:r>
            <w:proofErr w:type="gramStart"/>
            <w:r>
              <w:rPr>
                <w:rFonts w:ascii="宋体" w:hAnsi="宋体" w:cs="Calibri" w:hint="eastAsia"/>
                <w:color w:val="000000"/>
                <w:szCs w:val="21"/>
              </w:rPr>
              <w:t>所资产</w:t>
            </w:r>
            <w:proofErr w:type="gramEnd"/>
            <w:r>
              <w:rPr>
                <w:rFonts w:ascii="宋体" w:hAnsi="宋体" w:cs="Calibri" w:hint="eastAsia"/>
                <w:color w:val="000000"/>
                <w:szCs w:val="21"/>
              </w:rPr>
              <w:t>管理有限公司</w:t>
            </w:r>
          </w:p>
        </w:tc>
        <w:tc>
          <w:tcPr>
            <w:tcW w:w="4728" w:type="dxa"/>
          </w:tcPr>
          <w:p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办公地址：中国（上海）自由贸易试验区陆家嘴环路</w:t>
            </w:r>
            <w:r>
              <w:rPr>
                <w:rFonts w:ascii="宋体" w:hAnsi="宋体" w:cs="Calibri"/>
                <w:color w:val="000000"/>
                <w:szCs w:val="21"/>
              </w:rPr>
              <w:t>1333号14楼09单元</w:t>
            </w:r>
          </w:p>
          <w:p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客服电话：</w:t>
            </w:r>
            <w:r>
              <w:rPr>
                <w:rFonts w:ascii="宋体" w:hAnsi="宋体" w:cs="Calibri"/>
                <w:color w:val="000000"/>
                <w:szCs w:val="21"/>
              </w:rPr>
              <w:t>4008219031</w:t>
            </w:r>
          </w:p>
          <w:p w:rsidR="004C06C5" w:rsidRDefault="00ED474B">
            <w:pPr>
              <w:spacing w:line="400" w:lineRule="exact"/>
              <w:jc w:val="left"/>
              <w:rPr>
                <w:rFonts w:asciiTheme="minorEastAsia" w:eastAsiaTheme="minorEastAsia" w:hAnsiTheme="minorEastAsia" w:cs="Arial"/>
                <w:color w:val="000000"/>
                <w:kern w:val="0"/>
                <w:szCs w:val="21"/>
              </w:rPr>
            </w:pPr>
            <w:r>
              <w:rPr>
                <w:rFonts w:ascii="宋体" w:hAnsi="宋体" w:cs="Calibri" w:hint="eastAsia"/>
                <w:color w:val="000000"/>
                <w:szCs w:val="21"/>
              </w:rPr>
              <w:t>公司网址：</w:t>
            </w:r>
            <w:r>
              <w:rPr>
                <w:rFonts w:ascii="宋体" w:hAnsi="宋体" w:cs="Calibri"/>
                <w:color w:val="000000"/>
                <w:szCs w:val="21"/>
              </w:rPr>
              <w:t>www.lufunds.com</w:t>
            </w:r>
          </w:p>
        </w:tc>
      </w:tr>
      <w:tr w:rsidR="004C06C5">
        <w:tc>
          <w:tcPr>
            <w:tcW w:w="817" w:type="dxa"/>
          </w:tcPr>
          <w:p w:rsidR="004C06C5" w:rsidRDefault="00ED474B">
            <w:pPr>
              <w:spacing w:line="360" w:lineRule="auto"/>
              <w:jc w:val="center"/>
              <w:rPr>
                <w:rFonts w:asciiTheme="minorEastAsia" w:eastAsiaTheme="minorEastAsia" w:hAnsiTheme="minorEastAsia"/>
                <w:color w:val="000000"/>
                <w:kern w:val="0"/>
                <w:sz w:val="24"/>
              </w:rPr>
            </w:pPr>
            <w:r>
              <w:rPr>
                <w:rFonts w:ascii="宋体" w:hAnsi="宋体" w:cs="Calibri" w:hint="eastAsia"/>
                <w:color w:val="000000"/>
                <w:szCs w:val="21"/>
              </w:rPr>
              <w:t>16</w:t>
            </w:r>
          </w:p>
        </w:tc>
        <w:tc>
          <w:tcPr>
            <w:tcW w:w="2977" w:type="dxa"/>
          </w:tcPr>
          <w:p w:rsidR="004C06C5" w:rsidRDefault="00ED474B">
            <w:pPr>
              <w:spacing w:line="360" w:lineRule="auto"/>
              <w:jc w:val="center"/>
              <w:rPr>
                <w:rFonts w:asciiTheme="minorEastAsia" w:eastAsiaTheme="minorEastAsia" w:hAnsiTheme="minorEastAsia"/>
                <w:color w:val="000000" w:themeColor="text1"/>
                <w:szCs w:val="21"/>
              </w:rPr>
            </w:pPr>
            <w:r>
              <w:rPr>
                <w:rFonts w:ascii="宋体" w:hAnsi="宋体" w:cs="Calibri" w:hint="eastAsia"/>
                <w:color w:val="000000"/>
                <w:szCs w:val="21"/>
              </w:rPr>
              <w:t>上海联泰资产管理有限公司</w:t>
            </w:r>
          </w:p>
        </w:tc>
        <w:tc>
          <w:tcPr>
            <w:tcW w:w="4728" w:type="dxa"/>
          </w:tcPr>
          <w:p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办公地址：中国（上海）自由贸易试验区富特北路</w:t>
            </w:r>
            <w:r>
              <w:rPr>
                <w:rFonts w:ascii="宋体" w:hAnsi="宋体" w:cs="Calibri"/>
                <w:color w:val="000000"/>
                <w:szCs w:val="21"/>
              </w:rPr>
              <w:t>277号3层310室</w:t>
            </w:r>
          </w:p>
          <w:p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客服电话：</w:t>
            </w:r>
            <w:r>
              <w:rPr>
                <w:rFonts w:ascii="宋体" w:hAnsi="宋体" w:cs="Calibri"/>
                <w:color w:val="000000"/>
                <w:szCs w:val="21"/>
              </w:rPr>
              <w:t>4000466788</w:t>
            </w:r>
          </w:p>
          <w:p w:rsidR="004C06C5" w:rsidRDefault="00ED474B">
            <w:pPr>
              <w:spacing w:line="400" w:lineRule="exact"/>
              <w:jc w:val="left"/>
              <w:rPr>
                <w:rFonts w:asciiTheme="minorEastAsia" w:eastAsiaTheme="minorEastAsia" w:hAnsiTheme="minorEastAsia"/>
              </w:rPr>
            </w:pPr>
            <w:r>
              <w:rPr>
                <w:rFonts w:ascii="宋体" w:hAnsi="宋体" w:cs="Calibri" w:hint="eastAsia"/>
                <w:color w:val="000000"/>
                <w:szCs w:val="21"/>
              </w:rPr>
              <w:t>公司网址：</w:t>
            </w:r>
            <w:r>
              <w:rPr>
                <w:rFonts w:ascii="宋体" w:hAnsi="宋体" w:cs="Calibri"/>
                <w:color w:val="000000"/>
                <w:szCs w:val="21"/>
              </w:rPr>
              <w:t xml:space="preserve"> www.66zichan.com</w:t>
            </w:r>
          </w:p>
        </w:tc>
      </w:tr>
      <w:tr w:rsidR="004C06C5">
        <w:tc>
          <w:tcPr>
            <w:tcW w:w="817" w:type="dxa"/>
          </w:tcPr>
          <w:p w:rsidR="004C06C5" w:rsidRDefault="00ED474B">
            <w:pPr>
              <w:spacing w:line="360" w:lineRule="auto"/>
              <w:jc w:val="center"/>
              <w:rPr>
                <w:rFonts w:asciiTheme="minorEastAsia" w:eastAsiaTheme="minorEastAsia" w:hAnsiTheme="minorEastAsia"/>
                <w:color w:val="000000"/>
                <w:kern w:val="0"/>
                <w:sz w:val="24"/>
              </w:rPr>
            </w:pPr>
            <w:r>
              <w:rPr>
                <w:rFonts w:ascii="宋体" w:hAnsi="宋体" w:cs="Calibri" w:hint="eastAsia"/>
                <w:color w:val="000000"/>
                <w:szCs w:val="21"/>
              </w:rPr>
              <w:t>17</w:t>
            </w:r>
          </w:p>
        </w:tc>
        <w:tc>
          <w:tcPr>
            <w:tcW w:w="2977" w:type="dxa"/>
          </w:tcPr>
          <w:p w:rsidR="004C06C5" w:rsidRDefault="00ED474B">
            <w:pPr>
              <w:spacing w:line="360" w:lineRule="auto"/>
              <w:jc w:val="center"/>
              <w:rPr>
                <w:rFonts w:asciiTheme="minorEastAsia" w:eastAsiaTheme="minorEastAsia" w:hAnsiTheme="minorEastAsia"/>
                <w:color w:val="000000" w:themeColor="text1"/>
                <w:szCs w:val="21"/>
              </w:rPr>
            </w:pPr>
            <w:r>
              <w:rPr>
                <w:rFonts w:ascii="宋体" w:hAnsi="宋体" w:cs="Calibri" w:hint="eastAsia"/>
                <w:color w:val="000000"/>
                <w:szCs w:val="21"/>
              </w:rPr>
              <w:t>上海天天基金销售有限公司</w:t>
            </w:r>
          </w:p>
        </w:tc>
        <w:tc>
          <w:tcPr>
            <w:tcW w:w="4728" w:type="dxa"/>
          </w:tcPr>
          <w:p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办公地址：上海市徐汇区龙田路</w:t>
            </w:r>
            <w:r>
              <w:rPr>
                <w:rFonts w:ascii="宋体" w:hAnsi="宋体" w:cs="Calibri"/>
                <w:color w:val="000000"/>
                <w:szCs w:val="21"/>
              </w:rPr>
              <w:t>190号2号楼二层</w:t>
            </w:r>
          </w:p>
          <w:p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客服电话：</w:t>
            </w:r>
            <w:r>
              <w:rPr>
                <w:rFonts w:ascii="宋体" w:hAnsi="宋体" w:cs="Calibri"/>
                <w:color w:val="000000"/>
                <w:szCs w:val="21"/>
              </w:rPr>
              <w:t>4001818188</w:t>
            </w:r>
          </w:p>
          <w:p w:rsidR="004C06C5" w:rsidRDefault="00ED474B">
            <w:pPr>
              <w:spacing w:line="400" w:lineRule="exact"/>
              <w:jc w:val="left"/>
              <w:rPr>
                <w:rFonts w:asciiTheme="minorEastAsia" w:eastAsiaTheme="minorEastAsia" w:hAnsiTheme="minorEastAsia"/>
              </w:rPr>
            </w:pPr>
            <w:r>
              <w:rPr>
                <w:rFonts w:ascii="宋体" w:hAnsi="宋体" w:cs="Calibri" w:hint="eastAsia"/>
                <w:color w:val="000000"/>
                <w:szCs w:val="21"/>
              </w:rPr>
              <w:t>公司网址：</w:t>
            </w:r>
            <w:r>
              <w:rPr>
                <w:rFonts w:ascii="宋体" w:hAnsi="宋体" w:cs="Calibri"/>
                <w:color w:val="000000"/>
                <w:szCs w:val="21"/>
              </w:rPr>
              <w:t xml:space="preserve"> fund.eastmoney.com</w:t>
            </w:r>
          </w:p>
        </w:tc>
      </w:tr>
      <w:tr w:rsidR="004C06C5">
        <w:tc>
          <w:tcPr>
            <w:tcW w:w="817" w:type="dxa"/>
          </w:tcPr>
          <w:p w:rsidR="004C06C5" w:rsidRDefault="00ED474B">
            <w:pPr>
              <w:spacing w:line="360" w:lineRule="auto"/>
              <w:jc w:val="center"/>
              <w:rPr>
                <w:rFonts w:asciiTheme="minorEastAsia" w:eastAsiaTheme="minorEastAsia" w:hAnsiTheme="minorEastAsia"/>
                <w:color w:val="000000"/>
                <w:kern w:val="0"/>
                <w:sz w:val="24"/>
              </w:rPr>
            </w:pPr>
            <w:r>
              <w:rPr>
                <w:rFonts w:ascii="宋体" w:hAnsi="宋体" w:cs="Calibri"/>
                <w:color w:val="000000"/>
                <w:szCs w:val="21"/>
              </w:rPr>
              <w:t>18</w:t>
            </w:r>
          </w:p>
        </w:tc>
        <w:tc>
          <w:tcPr>
            <w:tcW w:w="2977" w:type="dxa"/>
          </w:tcPr>
          <w:p w:rsidR="004C06C5" w:rsidRDefault="00ED474B">
            <w:pPr>
              <w:spacing w:line="360" w:lineRule="auto"/>
              <w:jc w:val="center"/>
              <w:rPr>
                <w:rFonts w:asciiTheme="minorEastAsia" w:eastAsiaTheme="minorEastAsia" w:hAnsiTheme="minorEastAsia"/>
                <w:color w:val="000000" w:themeColor="text1"/>
                <w:szCs w:val="21"/>
              </w:rPr>
            </w:pPr>
            <w:r>
              <w:rPr>
                <w:rFonts w:ascii="宋体" w:hAnsi="宋体" w:cs="Calibri" w:hint="eastAsia"/>
                <w:color w:val="000000"/>
                <w:szCs w:val="21"/>
              </w:rPr>
              <w:t>珠海盈米财富管理有限公司</w:t>
            </w:r>
          </w:p>
        </w:tc>
        <w:tc>
          <w:tcPr>
            <w:tcW w:w="4728" w:type="dxa"/>
          </w:tcPr>
          <w:p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办公地址：珠海市横琴新区宝华路</w:t>
            </w:r>
            <w:r>
              <w:rPr>
                <w:rFonts w:ascii="宋体" w:hAnsi="宋体" w:cs="Calibri"/>
                <w:color w:val="000000"/>
                <w:szCs w:val="21"/>
              </w:rPr>
              <w:t xml:space="preserve">6号105室-3491 </w:t>
            </w:r>
          </w:p>
          <w:p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客服电话：</w:t>
            </w:r>
            <w:r>
              <w:rPr>
                <w:rFonts w:ascii="宋体" w:hAnsi="宋体" w:cs="Calibri"/>
                <w:color w:val="000000"/>
                <w:szCs w:val="21"/>
              </w:rPr>
              <w:t>020-89629066</w:t>
            </w:r>
          </w:p>
          <w:p w:rsidR="004C06C5" w:rsidRDefault="00ED474B">
            <w:pPr>
              <w:spacing w:line="400" w:lineRule="exact"/>
              <w:jc w:val="left"/>
              <w:rPr>
                <w:rFonts w:asciiTheme="minorEastAsia" w:eastAsiaTheme="minorEastAsia" w:hAnsiTheme="minorEastAsia"/>
              </w:rPr>
            </w:pPr>
            <w:r>
              <w:rPr>
                <w:rFonts w:ascii="宋体" w:hAnsi="宋体" w:cs="Calibri" w:hint="eastAsia"/>
                <w:color w:val="000000"/>
                <w:szCs w:val="21"/>
              </w:rPr>
              <w:t>公司网址：</w:t>
            </w:r>
            <w:r>
              <w:rPr>
                <w:rFonts w:ascii="宋体" w:hAnsi="宋体" w:cs="Calibri"/>
                <w:color w:val="000000"/>
                <w:szCs w:val="21"/>
              </w:rPr>
              <w:t>www.yingmi.cn</w:t>
            </w:r>
          </w:p>
        </w:tc>
      </w:tr>
      <w:tr w:rsidR="004C06C5">
        <w:tc>
          <w:tcPr>
            <w:tcW w:w="817" w:type="dxa"/>
          </w:tcPr>
          <w:p w:rsidR="004C06C5" w:rsidRDefault="00ED474B">
            <w:pPr>
              <w:spacing w:line="360" w:lineRule="auto"/>
              <w:jc w:val="center"/>
              <w:rPr>
                <w:rFonts w:asciiTheme="minorEastAsia" w:eastAsiaTheme="minorEastAsia" w:hAnsiTheme="minorEastAsia"/>
                <w:color w:val="000000"/>
                <w:kern w:val="0"/>
                <w:sz w:val="24"/>
              </w:rPr>
            </w:pPr>
            <w:r>
              <w:rPr>
                <w:rFonts w:ascii="宋体" w:hAnsi="宋体" w:cs="Calibri"/>
                <w:color w:val="000000"/>
                <w:szCs w:val="21"/>
              </w:rPr>
              <w:t>19</w:t>
            </w:r>
          </w:p>
        </w:tc>
        <w:tc>
          <w:tcPr>
            <w:tcW w:w="2977" w:type="dxa"/>
          </w:tcPr>
          <w:p w:rsidR="004C06C5" w:rsidRDefault="00ED474B">
            <w:pPr>
              <w:spacing w:line="360" w:lineRule="auto"/>
              <w:jc w:val="center"/>
              <w:rPr>
                <w:rFonts w:asciiTheme="minorEastAsia" w:eastAsiaTheme="minorEastAsia" w:hAnsiTheme="minorEastAsia"/>
                <w:color w:val="000000" w:themeColor="text1"/>
                <w:szCs w:val="21"/>
              </w:rPr>
            </w:pPr>
            <w:r>
              <w:rPr>
                <w:rFonts w:ascii="宋体" w:hAnsi="宋体" w:cs="Calibri" w:hint="eastAsia"/>
                <w:color w:val="000000"/>
                <w:szCs w:val="21"/>
              </w:rPr>
              <w:t>上海长</w:t>
            </w:r>
            <w:proofErr w:type="gramStart"/>
            <w:r>
              <w:rPr>
                <w:rFonts w:ascii="宋体" w:hAnsi="宋体" w:cs="Calibri" w:hint="eastAsia"/>
                <w:color w:val="000000"/>
                <w:szCs w:val="21"/>
              </w:rPr>
              <w:t>量基金</w:t>
            </w:r>
            <w:proofErr w:type="gramEnd"/>
            <w:r>
              <w:rPr>
                <w:rFonts w:ascii="宋体" w:hAnsi="宋体" w:cs="Calibri" w:hint="eastAsia"/>
                <w:color w:val="000000"/>
                <w:szCs w:val="21"/>
              </w:rPr>
              <w:t>销售投资顾问有限公司</w:t>
            </w:r>
          </w:p>
        </w:tc>
        <w:tc>
          <w:tcPr>
            <w:tcW w:w="4728" w:type="dxa"/>
          </w:tcPr>
          <w:p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办公地址：上海市浦东新区东方路</w:t>
            </w:r>
            <w:r>
              <w:rPr>
                <w:rFonts w:ascii="宋体" w:hAnsi="宋体" w:cs="Calibri"/>
                <w:color w:val="000000"/>
                <w:szCs w:val="21"/>
              </w:rPr>
              <w:t>1267</w:t>
            </w:r>
            <w:r>
              <w:rPr>
                <w:rFonts w:ascii="宋体" w:hAnsi="宋体" w:cs="Calibri" w:hint="eastAsia"/>
                <w:color w:val="000000"/>
                <w:szCs w:val="21"/>
              </w:rPr>
              <w:t>号</w:t>
            </w:r>
            <w:r>
              <w:rPr>
                <w:rFonts w:ascii="宋体" w:hAnsi="宋体" w:cs="Calibri"/>
                <w:color w:val="000000"/>
                <w:szCs w:val="21"/>
              </w:rPr>
              <w:t>11</w:t>
            </w:r>
            <w:r>
              <w:rPr>
                <w:rFonts w:ascii="宋体" w:hAnsi="宋体" w:cs="Calibri" w:hint="eastAsia"/>
                <w:color w:val="000000"/>
                <w:szCs w:val="21"/>
              </w:rPr>
              <w:t>层</w:t>
            </w:r>
          </w:p>
          <w:p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客服电话：</w:t>
            </w:r>
            <w:r>
              <w:rPr>
                <w:rFonts w:ascii="宋体" w:hAnsi="宋体" w:cs="Calibri"/>
                <w:color w:val="000000"/>
                <w:szCs w:val="21"/>
              </w:rPr>
              <w:t>400-820-2899</w:t>
            </w:r>
          </w:p>
          <w:p w:rsidR="004C06C5" w:rsidRDefault="00ED474B">
            <w:pPr>
              <w:spacing w:line="400" w:lineRule="exact"/>
              <w:jc w:val="left"/>
              <w:rPr>
                <w:rFonts w:asciiTheme="minorEastAsia" w:eastAsiaTheme="minorEastAsia" w:hAnsiTheme="minorEastAsia"/>
              </w:rPr>
            </w:pPr>
            <w:r>
              <w:rPr>
                <w:rFonts w:ascii="宋体" w:hAnsi="宋体" w:cs="Calibri" w:hint="eastAsia"/>
                <w:color w:val="000000"/>
                <w:szCs w:val="21"/>
              </w:rPr>
              <w:t>公司网站：</w:t>
            </w:r>
            <w:r>
              <w:rPr>
                <w:rFonts w:ascii="宋体" w:hAnsi="宋体" w:cs="Calibri"/>
                <w:color w:val="000000"/>
                <w:szCs w:val="21"/>
              </w:rPr>
              <w:t xml:space="preserve"> www.erichfund.com</w:t>
            </w:r>
          </w:p>
        </w:tc>
      </w:tr>
      <w:tr w:rsidR="004C06C5">
        <w:tc>
          <w:tcPr>
            <w:tcW w:w="817" w:type="dxa"/>
          </w:tcPr>
          <w:p w:rsidR="004C06C5" w:rsidRDefault="00ED474B">
            <w:pPr>
              <w:spacing w:line="360" w:lineRule="auto"/>
              <w:jc w:val="center"/>
              <w:rPr>
                <w:rFonts w:asciiTheme="minorEastAsia" w:eastAsiaTheme="minorEastAsia" w:hAnsiTheme="minorEastAsia"/>
                <w:color w:val="000000"/>
                <w:kern w:val="0"/>
                <w:sz w:val="24"/>
              </w:rPr>
            </w:pPr>
            <w:r>
              <w:rPr>
                <w:rFonts w:ascii="宋体" w:hAnsi="宋体" w:cs="Calibri" w:hint="eastAsia"/>
                <w:color w:val="000000"/>
                <w:szCs w:val="21"/>
              </w:rPr>
              <w:t>20</w:t>
            </w:r>
          </w:p>
        </w:tc>
        <w:tc>
          <w:tcPr>
            <w:tcW w:w="2977" w:type="dxa"/>
          </w:tcPr>
          <w:p w:rsidR="004C06C5" w:rsidRDefault="00ED474B">
            <w:pPr>
              <w:spacing w:line="360" w:lineRule="auto"/>
              <w:jc w:val="center"/>
              <w:rPr>
                <w:rFonts w:asciiTheme="minorEastAsia" w:eastAsiaTheme="minorEastAsia" w:hAnsiTheme="minorEastAsia"/>
                <w:color w:val="000000" w:themeColor="text1"/>
                <w:szCs w:val="21"/>
              </w:rPr>
            </w:pPr>
            <w:proofErr w:type="gramStart"/>
            <w:r>
              <w:rPr>
                <w:rFonts w:ascii="宋体" w:hAnsi="宋体" w:cs="Calibri" w:hint="eastAsia"/>
                <w:color w:val="000000"/>
                <w:szCs w:val="21"/>
              </w:rPr>
              <w:t>北京植信基金</w:t>
            </w:r>
            <w:proofErr w:type="gramEnd"/>
            <w:r>
              <w:rPr>
                <w:rFonts w:ascii="宋体" w:hAnsi="宋体" w:cs="Calibri" w:hint="eastAsia"/>
                <w:color w:val="000000"/>
                <w:szCs w:val="21"/>
              </w:rPr>
              <w:t>销售有限公司</w:t>
            </w:r>
          </w:p>
        </w:tc>
        <w:tc>
          <w:tcPr>
            <w:tcW w:w="4728" w:type="dxa"/>
          </w:tcPr>
          <w:p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注册(办公)地址：北京市密云区兴盛南路8号院2号楼106室-67</w:t>
            </w:r>
          </w:p>
          <w:p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4006-802-123</w:t>
            </w:r>
          </w:p>
          <w:p w:rsidR="004C06C5" w:rsidRDefault="00ED474B">
            <w:pPr>
              <w:spacing w:line="400" w:lineRule="exact"/>
              <w:jc w:val="left"/>
              <w:rPr>
                <w:rFonts w:asciiTheme="minorEastAsia" w:eastAsiaTheme="minorEastAsia" w:hAnsiTheme="minorEastAsia"/>
              </w:rPr>
            </w:pPr>
            <w:r>
              <w:rPr>
                <w:rFonts w:ascii="宋体" w:hAnsi="宋体" w:cs="Calibri" w:hint="eastAsia"/>
                <w:color w:val="000000"/>
                <w:szCs w:val="21"/>
              </w:rPr>
              <w:t>网址：</w:t>
            </w:r>
            <w:hyperlink r:id="rId21" w:history="1">
              <w:r>
                <w:rPr>
                  <w:rStyle w:val="afb"/>
                  <w:rFonts w:ascii="宋体" w:hAnsi="宋体" w:cs="Calibri" w:hint="eastAsia"/>
                  <w:szCs w:val="21"/>
                </w:rPr>
                <w:t>www.zhixin-inv.com</w:t>
              </w:r>
            </w:hyperlink>
          </w:p>
        </w:tc>
      </w:tr>
      <w:tr w:rsidR="004C06C5">
        <w:tc>
          <w:tcPr>
            <w:tcW w:w="817" w:type="dxa"/>
          </w:tcPr>
          <w:p w:rsidR="004C06C5" w:rsidRDefault="00ED474B">
            <w:pPr>
              <w:spacing w:line="360" w:lineRule="auto"/>
              <w:jc w:val="center"/>
              <w:rPr>
                <w:rFonts w:asciiTheme="minorEastAsia" w:eastAsiaTheme="minorEastAsia" w:hAnsiTheme="minorEastAsia"/>
                <w:color w:val="000000"/>
                <w:kern w:val="0"/>
                <w:sz w:val="24"/>
              </w:rPr>
            </w:pPr>
            <w:r>
              <w:rPr>
                <w:rFonts w:ascii="宋体" w:hAnsi="宋体" w:cs="Calibri"/>
                <w:color w:val="000000"/>
                <w:szCs w:val="21"/>
              </w:rPr>
              <w:t>2</w:t>
            </w:r>
            <w:r>
              <w:rPr>
                <w:rFonts w:ascii="宋体" w:hAnsi="宋体" w:cs="Calibri" w:hint="eastAsia"/>
                <w:color w:val="000000"/>
                <w:szCs w:val="21"/>
              </w:rPr>
              <w:t>1</w:t>
            </w:r>
          </w:p>
        </w:tc>
        <w:tc>
          <w:tcPr>
            <w:tcW w:w="2977" w:type="dxa"/>
          </w:tcPr>
          <w:p w:rsidR="004C06C5" w:rsidRDefault="00ED474B">
            <w:pPr>
              <w:spacing w:line="360" w:lineRule="auto"/>
              <w:jc w:val="center"/>
              <w:rPr>
                <w:rFonts w:asciiTheme="minorEastAsia" w:eastAsiaTheme="minorEastAsia" w:hAnsiTheme="minorEastAsia"/>
                <w:color w:val="000000" w:themeColor="text1"/>
                <w:szCs w:val="21"/>
              </w:rPr>
            </w:pPr>
            <w:r>
              <w:rPr>
                <w:rFonts w:ascii="宋体" w:hAnsi="宋体" w:cs="Calibri" w:hint="eastAsia"/>
                <w:color w:val="000000"/>
                <w:szCs w:val="21"/>
              </w:rPr>
              <w:t>北京汇成基金销售有限公司</w:t>
            </w:r>
          </w:p>
        </w:tc>
        <w:tc>
          <w:tcPr>
            <w:tcW w:w="4728" w:type="dxa"/>
          </w:tcPr>
          <w:p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办公地址：北京市海淀区中关村大街</w:t>
            </w:r>
            <w:r>
              <w:rPr>
                <w:rFonts w:ascii="宋体" w:hAnsi="宋体" w:cs="Calibri"/>
                <w:color w:val="000000"/>
                <w:szCs w:val="21"/>
              </w:rPr>
              <w:t xml:space="preserve">11号11层1108号 </w:t>
            </w:r>
          </w:p>
          <w:p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客服电话：</w:t>
            </w:r>
            <w:r>
              <w:rPr>
                <w:rFonts w:ascii="宋体" w:hAnsi="宋体" w:cs="Calibri"/>
                <w:color w:val="000000"/>
                <w:szCs w:val="21"/>
              </w:rPr>
              <w:t xml:space="preserve"> 4006199059</w:t>
            </w:r>
          </w:p>
          <w:p w:rsidR="004C06C5" w:rsidRDefault="00ED474B">
            <w:pPr>
              <w:spacing w:line="400" w:lineRule="exact"/>
              <w:jc w:val="left"/>
              <w:rPr>
                <w:rFonts w:asciiTheme="minorEastAsia" w:eastAsiaTheme="minorEastAsia" w:hAnsiTheme="minorEastAsia"/>
              </w:rPr>
            </w:pPr>
            <w:r>
              <w:rPr>
                <w:rFonts w:ascii="宋体" w:hAnsi="宋体" w:cs="Calibri" w:hint="eastAsia"/>
                <w:color w:val="000000"/>
                <w:szCs w:val="21"/>
              </w:rPr>
              <w:t>公司网址：</w:t>
            </w:r>
            <w:r>
              <w:rPr>
                <w:rFonts w:ascii="宋体" w:hAnsi="宋体" w:cs="Calibri"/>
                <w:color w:val="000000"/>
                <w:szCs w:val="21"/>
              </w:rPr>
              <w:t xml:space="preserve"> www.hcjijin.com</w:t>
            </w:r>
          </w:p>
        </w:tc>
      </w:tr>
      <w:tr w:rsidR="004C06C5">
        <w:tc>
          <w:tcPr>
            <w:tcW w:w="817" w:type="dxa"/>
          </w:tcPr>
          <w:p w:rsidR="004C06C5" w:rsidRDefault="00ED474B">
            <w:pPr>
              <w:spacing w:line="360" w:lineRule="auto"/>
              <w:jc w:val="center"/>
              <w:rPr>
                <w:rFonts w:asciiTheme="minorEastAsia" w:eastAsiaTheme="minorEastAsia" w:hAnsiTheme="minorEastAsia"/>
                <w:color w:val="000000"/>
                <w:kern w:val="0"/>
                <w:sz w:val="24"/>
              </w:rPr>
            </w:pPr>
            <w:r>
              <w:rPr>
                <w:rFonts w:ascii="宋体" w:hAnsi="宋体" w:cs="Calibri"/>
                <w:color w:val="000000"/>
                <w:szCs w:val="21"/>
              </w:rPr>
              <w:t>2</w:t>
            </w:r>
            <w:r>
              <w:rPr>
                <w:rFonts w:ascii="宋体" w:hAnsi="宋体" w:cs="Calibri" w:hint="eastAsia"/>
                <w:color w:val="000000"/>
                <w:szCs w:val="21"/>
              </w:rPr>
              <w:t>2</w:t>
            </w:r>
          </w:p>
        </w:tc>
        <w:tc>
          <w:tcPr>
            <w:tcW w:w="2977" w:type="dxa"/>
          </w:tcPr>
          <w:p w:rsidR="004C06C5" w:rsidRDefault="00ED474B">
            <w:pPr>
              <w:spacing w:line="360" w:lineRule="auto"/>
              <w:jc w:val="center"/>
              <w:rPr>
                <w:rFonts w:asciiTheme="minorEastAsia" w:eastAsiaTheme="minorEastAsia" w:hAnsiTheme="minorEastAsia"/>
                <w:color w:val="000000" w:themeColor="text1"/>
                <w:szCs w:val="21"/>
              </w:rPr>
            </w:pPr>
            <w:r>
              <w:rPr>
                <w:rFonts w:ascii="宋体" w:hAnsi="宋体" w:cs="Calibri" w:hint="eastAsia"/>
                <w:color w:val="000000"/>
                <w:szCs w:val="21"/>
              </w:rPr>
              <w:t>深圳市新兰德证券投资咨询有限公司</w:t>
            </w:r>
          </w:p>
        </w:tc>
        <w:tc>
          <w:tcPr>
            <w:tcW w:w="4728" w:type="dxa"/>
          </w:tcPr>
          <w:p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办公地址：北京市西城区宣武门外大街</w:t>
            </w:r>
            <w:r>
              <w:rPr>
                <w:rFonts w:ascii="宋体" w:hAnsi="宋体" w:cs="Calibri"/>
                <w:color w:val="000000"/>
                <w:szCs w:val="21"/>
              </w:rPr>
              <w:t>28号富</w:t>
            </w:r>
            <w:proofErr w:type="gramStart"/>
            <w:r>
              <w:rPr>
                <w:rFonts w:ascii="宋体" w:hAnsi="宋体" w:cs="Calibri" w:hint="eastAsia"/>
                <w:color w:val="000000"/>
                <w:szCs w:val="21"/>
              </w:rPr>
              <w:t>卓大厦</w:t>
            </w:r>
            <w:proofErr w:type="gramEnd"/>
            <w:r>
              <w:rPr>
                <w:rFonts w:ascii="宋体" w:hAnsi="宋体" w:cs="Calibri"/>
                <w:color w:val="000000"/>
                <w:szCs w:val="21"/>
              </w:rPr>
              <w:t xml:space="preserve">16层  </w:t>
            </w:r>
          </w:p>
          <w:p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客服电话：</w:t>
            </w:r>
            <w:r>
              <w:rPr>
                <w:rFonts w:ascii="宋体" w:hAnsi="宋体" w:cs="Calibri"/>
                <w:color w:val="000000"/>
                <w:szCs w:val="21"/>
              </w:rPr>
              <w:t>40081661188</w:t>
            </w:r>
          </w:p>
          <w:p w:rsidR="004C06C5" w:rsidRDefault="00ED474B">
            <w:pPr>
              <w:spacing w:line="400" w:lineRule="exact"/>
              <w:jc w:val="left"/>
              <w:rPr>
                <w:rFonts w:asciiTheme="minorEastAsia" w:eastAsiaTheme="minorEastAsia" w:hAnsiTheme="minorEastAsia"/>
              </w:rPr>
            </w:pPr>
            <w:r>
              <w:rPr>
                <w:rFonts w:ascii="宋体" w:hAnsi="宋体" w:cs="Calibri" w:hint="eastAsia"/>
                <w:color w:val="000000"/>
                <w:szCs w:val="21"/>
              </w:rPr>
              <w:t>公司网址：</w:t>
            </w:r>
            <w:r>
              <w:rPr>
                <w:rFonts w:ascii="宋体" w:hAnsi="宋体" w:cs="Calibri"/>
                <w:color w:val="000000"/>
                <w:szCs w:val="21"/>
              </w:rPr>
              <w:t xml:space="preserve"> http://www.new-rand.cn/</w:t>
            </w:r>
          </w:p>
        </w:tc>
      </w:tr>
      <w:tr w:rsidR="004C06C5">
        <w:tc>
          <w:tcPr>
            <w:tcW w:w="817" w:type="dxa"/>
          </w:tcPr>
          <w:p w:rsidR="004C06C5" w:rsidRDefault="00ED474B">
            <w:pPr>
              <w:spacing w:line="360" w:lineRule="auto"/>
              <w:jc w:val="center"/>
              <w:rPr>
                <w:rFonts w:asciiTheme="minorEastAsia" w:eastAsiaTheme="minorEastAsia" w:hAnsiTheme="minorEastAsia"/>
                <w:color w:val="000000"/>
                <w:kern w:val="0"/>
                <w:sz w:val="24"/>
              </w:rPr>
            </w:pPr>
            <w:r>
              <w:rPr>
                <w:rFonts w:ascii="宋体" w:hAnsi="宋体" w:cs="Calibri"/>
                <w:color w:val="000000"/>
                <w:szCs w:val="21"/>
              </w:rPr>
              <w:t>2</w:t>
            </w:r>
            <w:r>
              <w:rPr>
                <w:rFonts w:ascii="宋体" w:hAnsi="宋体" w:cs="Calibri" w:hint="eastAsia"/>
                <w:color w:val="000000"/>
                <w:szCs w:val="21"/>
              </w:rPr>
              <w:t>3</w:t>
            </w:r>
          </w:p>
        </w:tc>
        <w:tc>
          <w:tcPr>
            <w:tcW w:w="2977" w:type="dxa"/>
          </w:tcPr>
          <w:p w:rsidR="004C06C5" w:rsidRDefault="00ED474B">
            <w:pPr>
              <w:spacing w:line="360" w:lineRule="auto"/>
              <w:jc w:val="center"/>
              <w:rPr>
                <w:rFonts w:asciiTheme="minorEastAsia" w:eastAsiaTheme="minorEastAsia" w:hAnsiTheme="minorEastAsia"/>
                <w:color w:val="000000" w:themeColor="text1"/>
                <w:szCs w:val="21"/>
              </w:rPr>
            </w:pPr>
            <w:proofErr w:type="gramStart"/>
            <w:r>
              <w:rPr>
                <w:rFonts w:ascii="宋体" w:hAnsi="宋体" w:cs="Calibri" w:hint="eastAsia"/>
                <w:color w:val="000000"/>
                <w:szCs w:val="21"/>
              </w:rPr>
              <w:t>泰诚财富</w:t>
            </w:r>
            <w:proofErr w:type="gramEnd"/>
            <w:r>
              <w:rPr>
                <w:rFonts w:ascii="宋体" w:hAnsi="宋体" w:cs="Calibri" w:hint="eastAsia"/>
                <w:color w:val="000000"/>
                <w:szCs w:val="21"/>
              </w:rPr>
              <w:t>基金销售（大连）有限公司</w:t>
            </w:r>
          </w:p>
        </w:tc>
        <w:tc>
          <w:tcPr>
            <w:tcW w:w="4728" w:type="dxa"/>
          </w:tcPr>
          <w:p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注册（办公）地址：辽宁省大连市沙河口区星海中龙园</w:t>
            </w:r>
            <w:r>
              <w:rPr>
                <w:rFonts w:ascii="宋体" w:hAnsi="宋体" w:cs="Calibri"/>
                <w:color w:val="000000"/>
                <w:szCs w:val="21"/>
              </w:rPr>
              <w:t>3</w:t>
            </w:r>
            <w:r>
              <w:rPr>
                <w:rFonts w:ascii="宋体" w:hAnsi="宋体" w:cs="Calibri" w:hint="eastAsia"/>
                <w:color w:val="000000"/>
                <w:szCs w:val="21"/>
              </w:rPr>
              <w:t>号</w:t>
            </w:r>
          </w:p>
          <w:p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lastRenderedPageBreak/>
              <w:t>客户服务电话：</w:t>
            </w:r>
            <w:r>
              <w:rPr>
                <w:rFonts w:ascii="宋体" w:hAnsi="宋体" w:cs="Calibri"/>
                <w:color w:val="000000"/>
                <w:szCs w:val="21"/>
              </w:rPr>
              <w:t>4006411999</w:t>
            </w:r>
          </w:p>
          <w:p w:rsidR="004C06C5" w:rsidRDefault="00ED474B">
            <w:pPr>
              <w:spacing w:line="400" w:lineRule="exact"/>
              <w:jc w:val="left"/>
              <w:rPr>
                <w:rFonts w:asciiTheme="minorEastAsia" w:eastAsiaTheme="minorEastAsia" w:hAnsiTheme="minorEastAsia"/>
              </w:rPr>
            </w:pPr>
            <w:r>
              <w:rPr>
                <w:rFonts w:ascii="宋体" w:hAnsi="宋体" w:cs="Calibri" w:hint="eastAsia"/>
                <w:color w:val="000000"/>
                <w:szCs w:val="21"/>
              </w:rPr>
              <w:t>网址：</w:t>
            </w:r>
            <w:r>
              <w:rPr>
                <w:rFonts w:ascii="宋体" w:hAnsi="宋体" w:cs="Calibri"/>
                <w:color w:val="000000"/>
                <w:szCs w:val="21"/>
              </w:rPr>
              <w:t>www.taichengcaifu.com</w:t>
            </w:r>
          </w:p>
        </w:tc>
      </w:tr>
      <w:tr w:rsidR="004C06C5">
        <w:tc>
          <w:tcPr>
            <w:tcW w:w="817" w:type="dxa"/>
          </w:tcPr>
          <w:p w:rsidR="004C06C5" w:rsidRDefault="00ED474B">
            <w:pPr>
              <w:spacing w:line="360" w:lineRule="auto"/>
              <w:jc w:val="center"/>
              <w:rPr>
                <w:rFonts w:asciiTheme="minorEastAsia" w:eastAsiaTheme="minorEastAsia" w:hAnsiTheme="minorEastAsia"/>
                <w:color w:val="000000"/>
                <w:kern w:val="0"/>
                <w:sz w:val="24"/>
              </w:rPr>
            </w:pPr>
            <w:r>
              <w:rPr>
                <w:rFonts w:ascii="宋体" w:hAnsi="宋体" w:cs="Calibri" w:hint="eastAsia"/>
                <w:color w:val="000000"/>
                <w:szCs w:val="21"/>
              </w:rPr>
              <w:lastRenderedPageBreak/>
              <w:t>24</w:t>
            </w:r>
          </w:p>
        </w:tc>
        <w:tc>
          <w:tcPr>
            <w:tcW w:w="2977" w:type="dxa"/>
          </w:tcPr>
          <w:p w:rsidR="004C06C5" w:rsidRDefault="00ED474B">
            <w:pPr>
              <w:spacing w:line="360" w:lineRule="auto"/>
              <w:jc w:val="center"/>
              <w:rPr>
                <w:rFonts w:asciiTheme="minorEastAsia" w:eastAsiaTheme="minorEastAsia" w:hAnsiTheme="minorEastAsia"/>
                <w:color w:val="000000" w:themeColor="text1"/>
                <w:szCs w:val="21"/>
              </w:rPr>
            </w:pPr>
            <w:r>
              <w:rPr>
                <w:rFonts w:ascii="宋体" w:hAnsi="宋体" w:cs="Calibri" w:hint="eastAsia"/>
                <w:color w:val="000000"/>
                <w:szCs w:val="21"/>
              </w:rPr>
              <w:t>济安财富（北京）基金销售有限公司</w:t>
            </w:r>
          </w:p>
        </w:tc>
        <w:tc>
          <w:tcPr>
            <w:tcW w:w="4728" w:type="dxa"/>
          </w:tcPr>
          <w:p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办公地址：北京市朝阳区东三环中路</w:t>
            </w:r>
            <w:r>
              <w:rPr>
                <w:rFonts w:ascii="宋体" w:hAnsi="宋体" w:cs="Calibri"/>
                <w:color w:val="000000"/>
                <w:szCs w:val="21"/>
              </w:rPr>
              <w:t>7</w:t>
            </w:r>
            <w:r>
              <w:rPr>
                <w:rFonts w:ascii="宋体" w:hAnsi="宋体" w:cs="Calibri" w:hint="eastAsia"/>
                <w:color w:val="000000"/>
                <w:szCs w:val="21"/>
              </w:rPr>
              <w:t>号北京财富中心</w:t>
            </w:r>
            <w:r>
              <w:rPr>
                <w:rFonts w:ascii="宋体" w:hAnsi="宋体" w:cs="Calibri"/>
                <w:color w:val="000000"/>
                <w:szCs w:val="21"/>
              </w:rPr>
              <w:t>A</w:t>
            </w:r>
            <w:r>
              <w:rPr>
                <w:rFonts w:ascii="宋体" w:hAnsi="宋体" w:cs="Calibri" w:hint="eastAsia"/>
                <w:color w:val="000000"/>
                <w:szCs w:val="21"/>
              </w:rPr>
              <w:t>座</w:t>
            </w:r>
            <w:r>
              <w:rPr>
                <w:rFonts w:ascii="宋体" w:hAnsi="宋体" w:cs="Calibri"/>
                <w:color w:val="000000"/>
                <w:szCs w:val="21"/>
              </w:rPr>
              <w:t>46</w:t>
            </w:r>
            <w:r>
              <w:rPr>
                <w:rFonts w:ascii="宋体" w:hAnsi="宋体" w:cs="Calibri" w:hint="eastAsia"/>
                <w:color w:val="000000"/>
                <w:szCs w:val="21"/>
              </w:rPr>
              <w:t>层</w:t>
            </w:r>
            <w:r>
              <w:rPr>
                <w:rFonts w:ascii="宋体" w:hAnsi="宋体" w:cs="Calibri"/>
                <w:color w:val="000000"/>
                <w:szCs w:val="21"/>
              </w:rPr>
              <w:t xml:space="preserve"> </w:t>
            </w:r>
          </w:p>
          <w:p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400-673-7010</w:t>
            </w:r>
          </w:p>
          <w:p w:rsidR="004C06C5" w:rsidRDefault="00ED474B">
            <w:pPr>
              <w:spacing w:line="400" w:lineRule="exact"/>
              <w:jc w:val="left"/>
              <w:rPr>
                <w:rFonts w:asciiTheme="minorEastAsia" w:eastAsiaTheme="minorEastAsia" w:hAnsiTheme="minorEastAsia"/>
              </w:rPr>
            </w:pPr>
            <w:r>
              <w:rPr>
                <w:rFonts w:ascii="宋体" w:hAnsi="宋体" w:cs="Calibri" w:hint="eastAsia"/>
                <w:color w:val="000000"/>
                <w:szCs w:val="21"/>
              </w:rPr>
              <w:t>网址：</w:t>
            </w:r>
            <w:r>
              <w:rPr>
                <w:rFonts w:ascii="宋体" w:hAnsi="宋体" w:cs="Calibri"/>
                <w:color w:val="000000"/>
                <w:szCs w:val="21"/>
              </w:rPr>
              <w:t>www.jianfortune.com</w:t>
            </w:r>
          </w:p>
        </w:tc>
      </w:tr>
      <w:tr w:rsidR="004C06C5">
        <w:tc>
          <w:tcPr>
            <w:tcW w:w="817" w:type="dxa"/>
          </w:tcPr>
          <w:p w:rsidR="004C06C5" w:rsidRDefault="00ED474B">
            <w:pPr>
              <w:spacing w:line="360" w:lineRule="auto"/>
              <w:jc w:val="center"/>
              <w:rPr>
                <w:rFonts w:asciiTheme="minorEastAsia" w:eastAsiaTheme="minorEastAsia" w:hAnsiTheme="minorEastAsia"/>
                <w:color w:val="000000"/>
                <w:kern w:val="0"/>
                <w:sz w:val="24"/>
              </w:rPr>
            </w:pPr>
            <w:r>
              <w:rPr>
                <w:rFonts w:ascii="宋体" w:hAnsi="宋体" w:cs="Calibri"/>
                <w:color w:val="000000"/>
                <w:szCs w:val="21"/>
              </w:rPr>
              <w:t>25</w:t>
            </w:r>
          </w:p>
        </w:tc>
        <w:tc>
          <w:tcPr>
            <w:tcW w:w="2977" w:type="dxa"/>
          </w:tcPr>
          <w:p w:rsidR="004C06C5" w:rsidRDefault="00ED474B">
            <w:pPr>
              <w:spacing w:line="360" w:lineRule="auto"/>
              <w:jc w:val="center"/>
              <w:rPr>
                <w:rFonts w:asciiTheme="minorEastAsia" w:eastAsiaTheme="minorEastAsia" w:hAnsiTheme="minorEastAsia"/>
                <w:color w:val="000000" w:themeColor="text1"/>
                <w:szCs w:val="21"/>
              </w:rPr>
            </w:pPr>
            <w:r>
              <w:rPr>
                <w:rFonts w:ascii="宋体" w:hAnsi="宋体" w:cs="Calibri" w:hint="eastAsia"/>
                <w:color w:val="000000"/>
                <w:szCs w:val="21"/>
              </w:rPr>
              <w:t>方德保险代理有限公司</w:t>
            </w:r>
          </w:p>
        </w:tc>
        <w:tc>
          <w:tcPr>
            <w:tcW w:w="4728" w:type="dxa"/>
          </w:tcPr>
          <w:p w:rsidR="004C06C5" w:rsidRDefault="00ED474B">
            <w:pPr>
              <w:widowControl/>
              <w:snapToGrid w:val="0"/>
              <w:spacing w:line="360" w:lineRule="auto"/>
              <w:rPr>
                <w:rFonts w:ascii="宋体" w:hAnsi="宋体" w:cs="Calibri"/>
                <w:color w:val="000000"/>
                <w:szCs w:val="21"/>
              </w:rPr>
            </w:pPr>
            <w:r>
              <w:rPr>
                <w:rFonts w:ascii="宋体" w:hAnsi="宋体" w:cs="Calibri" w:hint="eastAsia"/>
                <w:color w:val="000000"/>
                <w:szCs w:val="21"/>
              </w:rPr>
              <w:t>注册(办公)地址：</w:t>
            </w:r>
            <w:r>
              <w:rPr>
                <w:rFonts w:ascii="宋体" w:hAnsi="宋体" w:cs="Calibri" w:hint="eastAsia"/>
                <w:bCs/>
                <w:color w:val="000000"/>
                <w:szCs w:val="21"/>
              </w:rPr>
              <w:t>北京市东城区东直门外大街46号12层02室</w:t>
            </w:r>
          </w:p>
          <w:p w:rsidR="004C06C5" w:rsidRDefault="00ED474B">
            <w:pPr>
              <w:widowControl/>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010-64068617</w:t>
            </w:r>
          </w:p>
          <w:p w:rsidR="004C06C5" w:rsidRDefault="00ED474B">
            <w:pPr>
              <w:spacing w:line="400" w:lineRule="exact"/>
              <w:jc w:val="left"/>
              <w:rPr>
                <w:rFonts w:asciiTheme="minorEastAsia" w:eastAsiaTheme="minorEastAsia" w:hAnsiTheme="minorEastAsia"/>
              </w:rPr>
            </w:pPr>
            <w:r>
              <w:rPr>
                <w:rFonts w:ascii="宋体" w:hAnsi="宋体" w:cs="Calibri" w:hint="eastAsia"/>
                <w:color w:val="000000"/>
                <w:szCs w:val="21"/>
              </w:rPr>
              <w:t>网址：</w:t>
            </w:r>
            <w:r>
              <w:rPr>
                <w:rFonts w:ascii="宋体" w:hAnsi="宋体" w:cs="Calibri"/>
                <w:color w:val="000000"/>
                <w:szCs w:val="21"/>
              </w:rPr>
              <w:t>http://www.fundsure.cn/</w:t>
            </w:r>
          </w:p>
        </w:tc>
      </w:tr>
      <w:tr w:rsidR="004C06C5">
        <w:tc>
          <w:tcPr>
            <w:tcW w:w="817" w:type="dxa"/>
          </w:tcPr>
          <w:p w:rsidR="004C06C5" w:rsidRDefault="00ED474B">
            <w:pPr>
              <w:spacing w:line="360" w:lineRule="auto"/>
              <w:jc w:val="center"/>
              <w:rPr>
                <w:rFonts w:asciiTheme="minorEastAsia" w:eastAsiaTheme="minorEastAsia" w:hAnsiTheme="minorEastAsia"/>
                <w:color w:val="000000"/>
                <w:kern w:val="0"/>
                <w:sz w:val="24"/>
              </w:rPr>
            </w:pPr>
            <w:r>
              <w:rPr>
                <w:rFonts w:ascii="宋体" w:hAnsi="宋体" w:cs="Calibri" w:hint="eastAsia"/>
                <w:color w:val="000000"/>
                <w:szCs w:val="21"/>
              </w:rPr>
              <w:t>26</w:t>
            </w:r>
          </w:p>
        </w:tc>
        <w:tc>
          <w:tcPr>
            <w:tcW w:w="2977" w:type="dxa"/>
          </w:tcPr>
          <w:p w:rsidR="004C06C5" w:rsidRDefault="00ED474B">
            <w:pPr>
              <w:spacing w:line="360" w:lineRule="auto"/>
              <w:jc w:val="center"/>
              <w:rPr>
                <w:rFonts w:asciiTheme="minorEastAsia" w:eastAsiaTheme="minorEastAsia" w:hAnsiTheme="minorEastAsia"/>
                <w:color w:val="000000" w:themeColor="text1"/>
                <w:szCs w:val="21"/>
              </w:rPr>
            </w:pPr>
            <w:r>
              <w:rPr>
                <w:rFonts w:ascii="宋体" w:hAnsi="宋体" w:cs="Calibri" w:hint="eastAsia"/>
                <w:color w:val="000000"/>
                <w:szCs w:val="21"/>
              </w:rPr>
              <w:t>民</w:t>
            </w:r>
            <w:proofErr w:type="gramStart"/>
            <w:r>
              <w:rPr>
                <w:rFonts w:ascii="宋体" w:hAnsi="宋体" w:cs="Calibri" w:hint="eastAsia"/>
                <w:color w:val="000000"/>
                <w:szCs w:val="21"/>
              </w:rPr>
              <w:t>商基金</w:t>
            </w:r>
            <w:proofErr w:type="gramEnd"/>
            <w:r>
              <w:rPr>
                <w:rFonts w:ascii="宋体" w:hAnsi="宋体" w:cs="Calibri" w:hint="eastAsia"/>
                <w:color w:val="000000"/>
                <w:szCs w:val="21"/>
              </w:rPr>
              <w:t>销售（上海）有限公司</w:t>
            </w:r>
          </w:p>
        </w:tc>
        <w:tc>
          <w:tcPr>
            <w:tcW w:w="4728" w:type="dxa"/>
          </w:tcPr>
          <w:p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w:t>
            </w:r>
            <w:r>
              <w:rPr>
                <w:rFonts w:ascii="宋体" w:hAnsi="宋体" w:cs="Calibri" w:hint="eastAsia"/>
                <w:color w:val="000000"/>
                <w:szCs w:val="21"/>
              </w:rPr>
              <w:t>办公</w:t>
            </w:r>
            <w:r>
              <w:rPr>
                <w:rFonts w:ascii="宋体" w:hAnsi="宋体" w:cs="Calibri"/>
                <w:color w:val="000000"/>
                <w:szCs w:val="21"/>
              </w:rPr>
              <w:t>)</w:t>
            </w:r>
            <w:r>
              <w:rPr>
                <w:rFonts w:ascii="宋体" w:hAnsi="宋体" w:cs="Calibri" w:hint="eastAsia"/>
                <w:color w:val="000000"/>
                <w:szCs w:val="21"/>
              </w:rPr>
              <w:t>地址：上海黄浦区北京东路</w:t>
            </w:r>
            <w:r>
              <w:rPr>
                <w:rFonts w:ascii="宋体" w:hAnsi="宋体" w:cs="Calibri"/>
                <w:color w:val="000000"/>
                <w:szCs w:val="21"/>
              </w:rPr>
              <w:t>666</w:t>
            </w:r>
            <w:r>
              <w:rPr>
                <w:rFonts w:ascii="宋体" w:hAnsi="宋体" w:cs="Calibri" w:hint="eastAsia"/>
                <w:color w:val="000000"/>
                <w:szCs w:val="21"/>
              </w:rPr>
              <w:t>号</w:t>
            </w:r>
            <w:r>
              <w:rPr>
                <w:rFonts w:ascii="宋体" w:hAnsi="宋体" w:cs="Calibri"/>
                <w:color w:val="000000"/>
                <w:szCs w:val="21"/>
              </w:rPr>
              <w:t>H</w:t>
            </w:r>
            <w:r>
              <w:rPr>
                <w:rFonts w:ascii="宋体" w:hAnsi="宋体" w:cs="Calibri" w:hint="eastAsia"/>
                <w:color w:val="000000"/>
                <w:szCs w:val="21"/>
              </w:rPr>
              <w:t>区（东座）</w:t>
            </w:r>
            <w:r>
              <w:rPr>
                <w:rFonts w:ascii="宋体" w:hAnsi="宋体" w:cs="Calibri"/>
                <w:color w:val="000000"/>
                <w:szCs w:val="21"/>
              </w:rPr>
              <w:t>6</w:t>
            </w:r>
            <w:r>
              <w:rPr>
                <w:rFonts w:ascii="宋体" w:hAnsi="宋体" w:cs="Calibri" w:hint="eastAsia"/>
                <w:color w:val="000000"/>
                <w:szCs w:val="21"/>
              </w:rPr>
              <w:t>楼</w:t>
            </w:r>
            <w:r>
              <w:rPr>
                <w:rFonts w:ascii="宋体" w:hAnsi="宋体" w:cs="Calibri"/>
                <w:color w:val="000000"/>
                <w:szCs w:val="21"/>
              </w:rPr>
              <w:t>A31</w:t>
            </w:r>
            <w:r>
              <w:rPr>
                <w:rFonts w:ascii="宋体" w:hAnsi="宋体" w:cs="Calibri" w:hint="eastAsia"/>
                <w:color w:val="000000"/>
                <w:szCs w:val="21"/>
              </w:rPr>
              <w:t>室</w:t>
            </w:r>
            <w:r>
              <w:rPr>
                <w:rFonts w:ascii="宋体" w:hAnsi="宋体" w:cs="Calibri"/>
                <w:color w:val="000000"/>
                <w:szCs w:val="21"/>
              </w:rPr>
              <w:t xml:space="preserve"> </w:t>
            </w:r>
          </w:p>
          <w:p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021-50206003</w:t>
            </w:r>
          </w:p>
          <w:p w:rsidR="004C06C5" w:rsidRDefault="00ED474B">
            <w:pPr>
              <w:spacing w:line="400" w:lineRule="exact"/>
              <w:jc w:val="left"/>
              <w:rPr>
                <w:rFonts w:asciiTheme="minorEastAsia" w:eastAsiaTheme="minorEastAsia" w:hAnsiTheme="minorEastAsia"/>
              </w:rPr>
            </w:pPr>
            <w:r>
              <w:rPr>
                <w:rFonts w:ascii="宋体" w:hAnsi="宋体" w:cs="Calibri" w:hint="eastAsia"/>
                <w:color w:val="000000"/>
                <w:szCs w:val="21"/>
              </w:rPr>
              <w:t>网址：</w:t>
            </w:r>
            <w:r>
              <w:rPr>
                <w:rFonts w:ascii="宋体" w:hAnsi="宋体" w:cs="Calibri"/>
                <w:color w:val="000000"/>
                <w:szCs w:val="21"/>
              </w:rPr>
              <w:t xml:space="preserve">http://www.msftec.com </w:t>
            </w:r>
          </w:p>
        </w:tc>
      </w:tr>
      <w:tr w:rsidR="004C06C5">
        <w:tc>
          <w:tcPr>
            <w:tcW w:w="817" w:type="dxa"/>
          </w:tcPr>
          <w:p w:rsidR="004C06C5" w:rsidRDefault="00ED474B">
            <w:pPr>
              <w:spacing w:line="360" w:lineRule="auto"/>
              <w:jc w:val="center"/>
              <w:rPr>
                <w:rFonts w:asciiTheme="minorEastAsia" w:eastAsiaTheme="minorEastAsia" w:hAnsiTheme="minorEastAsia"/>
                <w:color w:val="000000"/>
                <w:kern w:val="0"/>
                <w:sz w:val="24"/>
              </w:rPr>
            </w:pPr>
            <w:r>
              <w:rPr>
                <w:rFonts w:ascii="宋体" w:hAnsi="宋体" w:cs="Calibri" w:hint="eastAsia"/>
                <w:color w:val="000000"/>
                <w:szCs w:val="21"/>
              </w:rPr>
              <w:t>27</w:t>
            </w:r>
          </w:p>
        </w:tc>
        <w:tc>
          <w:tcPr>
            <w:tcW w:w="2977" w:type="dxa"/>
          </w:tcPr>
          <w:p w:rsidR="004C06C5" w:rsidRDefault="00ED474B">
            <w:pPr>
              <w:spacing w:line="360" w:lineRule="auto"/>
              <w:jc w:val="center"/>
              <w:rPr>
                <w:rFonts w:asciiTheme="minorEastAsia" w:eastAsiaTheme="minorEastAsia" w:hAnsiTheme="minorEastAsia"/>
                <w:color w:val="000000" w:themeColor="text1"/>
                <w:szCs w:val="21"/>
              </w:rPr>
            </w:pPr>
            <w:r>
              <w:rPr>
                <w:rFonts w:ascii="宋体" w:hAnsi="宋体" w:cs="Calibri" w:hint="eastAsia"/>
                <w:color w:val="000000"/>
                <w:szCs w:val="21"/>
              </w:rPr>
              <w:t>大连</w:t>
            </w:r>
            <w:proofErr w:type="gramStart"/>
            <w:r>
              <w:rPr>
                <w:rFonts w:ascii="宋体" w:hAnsi="宋体" w:cs="Calibri" w:hint="eastAsia"/>
                <w:color w:val="000000"/>
                <w:szCs w:val="21"/>
              </w:rPr>
              <w:t>网金基金</w:t>
            </w:r>
            <w:proofErr w:type="gramEnd"/>
            <w:r>
              <w:rPr>
                <w:rFonts w:ascii="宋体" w:hAnsi="宋体" w:cs="Calibri" w:hint="eastAsia"/>
                <w:color w:val="000000"/>
                <w:szCs w:val="21"/>
              </w:rPr>
              <w:t>销售有限公司</w:t>
            </w:r>
          </w:p>
        </w:tc>
        <w:tc>
          <w:tcPr>
            <w:tcW w:w="4728" w:type="dxa"/>
          </w:tcPr>
          <w:p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w:t>
            </w:r>
            <w:r>
              <w:rPr>
                <w:rFonts w:ascii="宋体" w:hAnsi="宋体" w:cs="Calibri" w:hint="eastAsia"/>
                <w:color w:val="000000"/>
                <w:szCs w:val="21"/>
              </w:rPr>
              <w:t>办公</w:t>
            </w:r>
            <w:r>
              <w:rPr>
                <w:rFonts w:ascii="宋体" w:hAnsi="宋体" w:cs="Calibri"/>
                <w:color w:val="000000"/>
                <w:szCs w:val="21"/>
              </w:rPr>
              <w:t>)</w:t>
            </w:r>
            <w:r>
              <w:rPr>
                <w:rFonts w:ascii="宋体" w:hAnsi="宋体" w:cs="Calibri" w:hint="eastAsia"/>
                <w:color w:val="000000"/>
                <w:szCs w:val="21"/>
              </w:rPr>
              <w:t>地址：大连市沙河口区体坛路</w:t>
            </w:r>
            <w:r>
              <w:rPr>
                <w:rFonts w:ascii="宋体" w:hAnsi="宋体" w:cs="Calibri"/>
                <w:color w:val="000000"/>
                <w:szCs w:val="21"/>
              </w:rPr>
              <w:t>22</w:t>
            </w:r>
            <w:r>
              <w:rPr>
                <w:rFonts w:ascii="宋体" w:hAnsi="宋体" w:cs="Calibri" w:hint="eastAsia"/>
                <w:color w:val="000000"/>
                <w:szCs w:val="21"/>
              </w:rPr>
              <w:t>号诺德大厦</w:t>
            </w:r>
            <w:r>
              <w:rPr>
                <w:rFonts w:ascii="宋体" w:hAnsi="宋体" w:cs="Calibri"/>
                <w:color w:val="000000"/>
                <w:szCs w:val="21"/>
              </w:rPr>
              <w:t>2</w:t>
            </w:r>
            <w:r>
              <w:rPr>
                <w:rFonts w:ascii="宋体" w:hAnsi="宋体" w:cs="Calibri" w:hint="eastAsia"/>
                <w:color w:val="000000"/>
                <w:szCs w:val="21"/>
              </w:rPr>
              <w:t>层</w:t>
            </w:r>
          </w:p>
          <w:p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4000-899-100</w:t>
            </w:r>
          </w:p>
          <w:p w:rsidR="004C06C5" w:rsidRDefault="00ED474B">
            <w:pPr>
              <w:spacing w:line="400" w:lineRule="exact"/>
              <w:jc w:val="left"/>
              <w:rPr>
                <w:rFonts w:asciiTheme="minorEastAsia" w:eastAsiaTheme="minorEastAsia" w:hAnsiTheme="minorEastAsia"/>
              </w:rPr>
            </w:pPr>
            <w:r>
              <w:rPr>
                <w:rFonts w:ascii="宋体" w:hAnsi="宋体" w:cs="Calibri" w:hint="eastAsia"/>
                <w:color w:val="000000"/>
                <w:szCs w:val="21"/>
              </w:rPr>
              <w:t>网址：</w:t>
            </w:r>
            <w:r>
              <w:rPr>
                <w:rFonts w:ascii="宋体" w:hAnsi="宋体" w:cs="Calibri"/>
                <w:color w:val="000000"/>
                <w:szCs w:val="21"/>
              </w:rPr>
              <w:t xml:space="preserve"> http://www.yibaijin.com/</w:t>
            </w:r>
          </w:p>
        </w:tc>
      </w:tr>
      <w:tr w:rsidR="004C06C5">
        <w:tc>
          <w:tcPr>
            <w:tcW w:w="817" w:type="dxa"/>
          </w:tcPr>
          <w:p w:rsidR="004C06C5" w:rsidRDefault="00ED474B">
            <w:pPr>
              <w:spacing w:line="360" w:lineRule="auto"/>
              <w:jc w:val="center"/>
              <w:rPr>
                <w:rFonts w:asciiTheme="minorEastAsia" w:eastAsiaTheme="minorEastAsia" w:hAnsiTheme="minorEastAsia"/>
                <w:color w:val="000000"/>
                <w:kern w:val="0"/>
                <w:sz w:val="24"/>
              </w:rPr>
            </w:pPr>
            <w:r>
              <w:rPr>
                <w:rFonts w:ascii="宋体" w:hAnsi="宋体" w:cs="Calibri" w:hint="eastAsia"/>
                <w:color w:val="000000"/>
                <w:szCs w:val="21"/>
              </w:rPr>
              <w:t>28</w:t>
            </w:r>
          </w:p>
        </w:tc>
        <w:tc>
          <w:tcPr>
            <w:tcW w:w="2977" w:type="dxa"/>
          </w:tcPr>
          <w:p w:rsidR="004C06C5" w:rsidRDefault="00ED474B">
            <w:pPr>
              <w:spacing w:line="360" w:lineRule="auto"/>
              <w:jc w:val="center"/>
              <w:rPr>
                <w:rFonts w:asciiTheme="minorEastAsia" w:eastAsiaTheme="minorEastAsia" w:hAnsiTheme="minorEastAsia"/>
                <w:color w:val="000000" w:themeColor="text1"/>
                <w:szCs w:val="21"/>
              </w:rPr>
            </w:pPr>
            <w:proofErr w:type="gramStart"/>
            <w:r>
              <w:rPr>
                <w:rFonts w:ascii="宋体" w:hAnsi="宋体" w:cs="Calibri" w:hint="eastAsia"/>
                <w:color w:val="000000"/>
                <w:szCs w:val="21"/>
              </w:rPr>
              <w:t>扬州国</w:t>
            </w:r>
            <w:proofErr w:type="gramEnd"/>
            <w:r>
              <w:rPr>
                <w:rFonts w:ascii="宋体" w:hAnsi="宋体" w:cs="Calibri" w:hint="eastAsia"/>
                <w:color w:val="000000"/>
                <w:szCs w:val="21"/>
              </w:rPr>
              <w:t>信嘉利基金销售有限公司</w:t>
            </w:r>
          </w:p>
        </w:tc>
        <w:tc>
          <w:tcPr>
            <w:tcW w:w="4728" w:type="dxa"/>
          </w:tcPr>
          <w:p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w:t>
            </w:r>
            <w:r>
              <w:rPr>
                <w:rFonts w:ascii="宋体" w:hAnsi="宋体" w:cs="Calibri" w:hint="eastAsia"/>
                <w:color w:val="000000"/>
                <w:szCs w:val="21"/>
              </w:rPr>
              <w:t>办公</w:t>
            </w:r>
            <w:r>
              <w:rPr>
                <w:rFonts w:ascii="宋体" w:hAnsi="宋体" w:cs="Calibri"/>
                <w:color w:val="000000"/>
                <w:szCs w:val="21"/>
              </w:rPr>
              <w:t>)</w:t>
            </w:r>
            <w:r>
              <w:rPr>
                <w:rFonts w:ascii="宋体" w:hAnsi="宋体" w:cs="Calibri" w:hint="eastAsia"/>
                <w:color w:val="000000"/>
                <w:szCs w:val="21"/>
              </w:rPr>
              <w:t>地址：扬州市广陵新城信息产业基地</w:t>
            </w:r>
            <w:r>
              <w:rPr>
                <w:rFonts w:ascii="宋体" w:hAnsi="宋体" w:cs="Calibri"/>
                <w:color w:val="000000"/>
                <w:szCs w:val="21"/>
              </w:rPr>
              <w:t>3</w:t>
            </w:r>
            <w:r>
              <w:rPr>
                <w:rFonts w:ascii="宋体" w:hAnsi="宋体" w:cs="Calibri" w:hint="eastAsia"/>
                <w:color w:val="000000"/>
                <w:szCs w:val="21"/>
              </w:rPr>
              <w:t>期</w:t>
            </w:r>
            <w:r>
              <w:rPr>
                <w:rFonts w:ascii="宋体" w:hAnsi="宋体" w:cs="Calibri"/>
                <w:color w:val="000000"/>
                <w:szCs w:val="21"/>
              </w:rPr>
              <w:t>20B</w:t>
            </w:r>
            <w:r>
              <w:rPr>
                <w:rFonts w:ascii="宋体" w:hAnsi="宋体" w:cs="Calibri" w:hint="eastAsia"/>
                <w:color w:val="000000"/>
                <w:szCs w:val="21"/>
              </w:rPr>
              <w:t>栋</w:t>
            </w:r>
            <w:r>
              <w:rPr>
                <w:rFonts w:ascii="宋体" w:hAnsi="宋体" w:cs="Calibri"/>
                <w:color w:val="000000"/>
                <w:szCs w:val="21"/>
              </w:rPr>
              <w:t xml:space="preserve"> </w:t>
            </w:r>
          </w:p>
          <w:p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400 021 6088</w:t>
            </w:r>
          </w:p>
          <w:p w:rsidR="004C06C5" w:rsidRDefault="00ED474B">
            <w:pPr>
              <w:spacing w:line="400" w:lineRule="exact"/>
              <w:jc w:val="left"/>
              <w:rPr>
                <w:rFonts w:asciiTheme="minorEastAsia" w:eastAsiaTheme="minorEastAsia" w:hAnsiTheme="minorEastAsia"/>
              </w:rPr>
            </w:pPr>
            <w:r>
              <w:rPr>
                <w:rFonts w:ascii="宋体" w:hAnsi="宋体" w:cs="Calibri" w:hint="eastAsia"/>
                <w:color w:val="000000"/>
                <w:szCs w:val="21"/>
              </w:rPr>
              <w:t>网址：</w:t>
            </w:r>
            <w:r>
              <w:rPr>
                <w:rFonts w:ascii="宋体" w:hAnsi="宋体" w:cs="Calibri"/>
                <w:color w:val="000000"/>
                <w:szCs w:val="21"/>
              </w:rPr>
              <w:t xml:space="preserve">www.gxjlcn.com </w:t>
            </w:r>
          </w:p>
        </w:tc>
      </w:tr>
      <w:tr w:rsidR="004C06C5">
        <w:tc>
          <w:tcPr>
            <w:tcW w:w="817" w:type="dxa"/>
          </w:tcPr>
          <w:p w:rsidR="004C06C5" w:rsidRDefault="00ED474B">
            <w:pPr>
              <w:spacing w:line="360" w:lineRule="auto"/>
              <w:jc w:val="center"/>
              <w:rPr>
                <w:rFonts w:asciiTheme="minorEastAsia" w:eastAsiaTheme="minorEastAsia" w:hAnsiTheme="minorEastAsia"/>
                <w:color w:val="000000"/>
                <w:kern w:val="0"/>
                <w:sz w:val="24"/>
              </w:rPr>
            </w:pPr>
            <w:r>
              <w:rPr>
                <w:rFonts w:ascii="宋体" w:hAnsi="宋体" w:cs="Calibri"/>
                <w:color w:val="000000"/>
                <w:szCs w:val="21"/>
              </w:rPr>
              <w:t>29</w:t>
            </w:r>
          </w:p>
        </w:tc>
        <w:tc>
          <w:tcPr>
            <w:tcW w:w="2977" w:type="dxa"/>
          </w:tcPr>
          <w:p w:rsidR="004C06C5" w:rsidRDefault="00ED474B">
            <w:pPr>
              <w:spacing w:line="360" w:lineRule="auto"/>
              <w:jc w:val="center"/>
              <w:rPr>
                <w:rFonts w:asciiTheme="minorEastAsia" w:eastAsiaTheme="minorEastAsia" w:hAnsiTheme="minorEastAsia"/>
                <w:color w:val="000000" w:themeColor="text1"/>
                <w:szCs w:val="21"/>
              </w:rPr>
            </w:pPr>
            <w:r>
              <w:rPr>
                <w:rFonts w:ascii="宋体" w:hAnsi="宋体" w:cs="Calibri" w:hint="eastAsia"/>
                <w:color w:val="000000"/>
                <w:szCs w:val="21"/>
              </w:rPr>
              <w:t>深圳</w:t>
            </w:r>
            <w:proofErr w:type="gramStart"/>
            <w:r>
              <w:rPr>
                <w:rFonts w:ascii="宋体" w:hAnsi="宋体" w:cs="Calibri" w:hint="eastAsia"/>
                <w:color w:val="000000"/>
                <w:szCs w:val="21"/>
              </w:rPr>
              <w:t>众禄基金</w:t>
            </w:r>
            <w:proofErr w:type="gramEnd"/>
            <w:r>
              <w:rPr>
                <w:rFonts w:ascii="宋体" w:hAnsi="宋体" w:cs="Calibri" w:hint="eastAsia"/>
                <w:color w:val="000000"/>
                <w:szCs w:val="21"/>
              </w:rPr>
              <w:t>销售股份有限公司</w:t>
            </w:r>
          </w:p>
        </w:tc>
        <w:tc>
          <w:tcPr>
            <w:tcW w:w="4728" w:type="dxa"/>
          </w:tcPr>
          <w:p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注册（办公）地址：深圳市罗湖区梨园路物资控股置地大厦</w:t>
            </w:r>
            <w:r>
              <w:rPr>
                <w:rFonts w:ascii="宋体" w:hAnsi="宋体" w:cs="Calibri"/>
                <w:color w:val="000000"/>
                <w:szCs w:val="21"/>
              </w:rPr>
              <w:t>8楼</w:t>
            </w:r>
          </w:p>
          <w:p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4006-788-887</w:t>
            </w:r>
          </w:p>
          <w:p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网址：</w:t>
            </w:r>
            <w:proofErr w:type="gramStart"/>
            <w:r>
              <w:rPr>
                <w:rFonts w:ascii="宋体" w:hAnsi="宋体" w:cs="Calibri" w:hint="eastAsia"/>
                <w:color w:val="000000"/>
                <w:szCs w:val="21"/>
              </w:rPr>
              <w:t>众禄基金</w:t>
            </w:r>
            <w:proofErr w:type="gramEnd"/>
            <w:r>
              <w:rPr>
                <w:rFonts w:ascii="宋体" w:hAnsi="宋体" w:cs="Calibri" w:hint="eastAsia"/>
                <w:color w:val="000000"/>
                <w:szCs w:val="21"/>
              </w:rPr>
              <w:t>网</w:t>
            </w:r>
            <w:r>
              <w:rPr>
                <w:rFonts w:ascii="宋体" w:hAnsi="宋体" w:cs="Calibri"/>
                <w:color w:val="000000"/>
                <w:szCs w:val="21"/>
              </w:rPr>
              <w:t xml:space="preserve"> </w:t>
            </w:r>
            <w:hyperlink r:id="rId22" w:history="1">
              <w:r>
                <w:rPr>
                  <w:rFonts w:ascii="宋体" w:hAnsi="宋体" w:cs="Calibri"/>
                  <w:color w:val="000000"/>
                  <w:szCs w:val="21"/>
                </w:rPr>
                <w:t>www.zlfund.cn</w:t>
              </w:r>
            </w:hyperlink>
          </w:p>
          <w:p w:rsidR="004C06C5" w:rsidRDefault="00ED474B">
            <w:pPr>
              <w:spacing w:line="400" w:lineRule="exact"/>
              <w:jc w:val="left"/>
              <w:rPr>
                <w:rFonts w:asciiTheme="minorEastAsia" w:eastAsiaTheme="minorEastAsia" w:hAnsiTheme="minorEastAsia"/>
              </w:rPr>
            </w:pPr>
            <w:r>
              <w:rPr>
                <w:rFonts w:ascii="宋体" w:hAnsi="宋体" w:cs="Calibri" w:hint="eastAsia"/>
                <w:color w:val="000000"/>
                <w:szCs w:val="21"/>
              </w:rPr>
              <w:t>基金</w:t>
            </w:r>
            <w:proofErr w:type="gramStart"/>
            <w:r>
              <w:rPr>
                <w:rFonts w:ascii="宋体" w:hAnsi="宋体" w:cs="Calibri" w:hint="eastAsia"/>
                <w:color w:val="000000"/>
                <w:szCs w:val="21"/>
              </w:rPr>
              <w:t>买卖网</w:t>
            </w:r>
            <w:proofErr w:type="gramEnd"/>
            <w:r>
              <w:rPr>
                <w:rFonts w:ascii="宋体" w:hAnsi="宋体" w:cs="Calibri"/>
                <w:color w:val="000000"/>
                <w:szCs w:val="21"/>
              </w:rPr>
              <w:t xml:space="preserve"> </w:t>
            </w:r>
            <w:hyperlink r:id="rId23" w:history="1">
              <w:r>
                <w:rPr>
                  <w:rFonts w:ascii="宋体" w:hAnsi="宋体" w:cs="Calibri"/>
                  <w:color w:val="000000"/>
                  <w:szCs w:val="21"/>
                </w:rPr>
                <w:t>www.jjmmw.com</w:t>
              </w:r>
            </w:hyperlink>
          </w:p>
        </w:tc>
      </w:tr>
      <w:tr w:rsidR="004C06C5">
        <w:tc>
          <w:tcPr>
            <w:tcW w:w="817" w:type="dxa"/>
          </w:tcPr>
          <w:p w:rsidR="004C06C5" w:rsidRDefault="00ED474B">
            <w:pPr>
              <w:spacing w:line="360" w:lineRule="auto"/>
              <w:jc w:val="center"/>
              <w:rPr>
                <w:rFonts w:asciiTheme="minorEastAsia" w:eastAsiaTheme="minorEastAsia" w:hAnsiTheme="minorEastAsia"/>
                <w:color w:val="000000"/>
                <w:kern w:val="0"/>
                <w:sz w:val="24"/>
              </w:rPr>
            </w:pPr>
            <w:r>
              <w:rPr>
                <w:rFonts w:ascii="宋体" w:hAnsi="宋体" w:cs="Calibri"/>
                <w:color w:val="000000"/>
                <w:szCs w:val="21"/>
              </w:rPr>
              <w:t>30</w:t>
            </w:r>
          </w:p>
        </w:tc>
        <w:tc>
          <w:tcPr>
            <w:tcW w:w="2977" w:type="dxa"/>
          </w:tcPr>
          <w:p w:rsidR="004C06C5" w:rsidRDefault="00ED474B">
            <w:pPr>
              <w:spacing w:line="360" w:lineRule="auto"/>
              <w:jc w:val="center"/>
              <w:rPr>
                <w:rFonts w:asciiTheme="minorEastAsia" w:eastAsiaTheme="minorEastAsia" w:hAnsiTheme="minorEastAsia"/>
                <w:color w:val="000000" w:themeColor="text1"/>
                <w:szCs w:val="21"/>
              </w:rPr>
            </w:pPr>
            <w:r>
              <w:rPr>
                <w:rFonts w:ascii="宋体" w:hAnsi="宋体" w:cs="Calibri" w:hint="eastAsia"/>
                <w:color w:val="000000"/>
                <w:szCs w:val="21"/>
              </w:rPr>
              <w:t>北京蛋卷基金销售有限公司</w:t>
            </w:r>
          </w:p>
        </w:tc>
        <w:tc>
          <w:tcPr>
            <w:tcW w:w="4728" w:type="dxa"/>
          </w:tcPr>
          <w:p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w:t>
            </w:r>
            <w:r>
              <w:rPr>
                <w:rFonts w:ascii="宋体" w:hAnsi="宋体" w:cs="Calibri" w:hint="eastAsia"/>
                <w:color w:val="000000"/>
                <w:szCs w:val="21"/>
              </w:rPr>
              <w:t>办公</w:t>
            </w:r>
            <w:r>
              <w:rPr>
                <w:rFonts w:ascii="宋体" w:hAnsi="宋体" w:cs="Calibri"/>
                <w:color w:val="000000"/>
                <w:szCs w:val="21"/>
              </w:rPr>
              <w:t>)</w:t>
            </w:r>
            <w:r>
              <w:rPr>
                <w:rFonts w:ascii="宋体" w:hAnsi="宋体" w:cs="Calibri" w:hint="eastAsia"/>
                <w:color w:val="000000"/>
                <w:szCs w:val="21"/>
              </w:rPr>
              <w:t>地址：北京市朝阳区阜通东大街</w:t>
            </w:r>
            <w:r>
              <w:rPr>
                <w:rFonts w:ascii="宋体" w:hAnsi="宋体" w:cs="Calibri"/>
                <w:color w:val="000000"/>
                <w:szCs w:val="21"/>
              </w:rPr>
              <w:t>1</w:t>
            </w:r>
            <w:r>
              <w:rPr>
                <w:rFonts w:ascii="宋体" w:hAnsi="宋体" w:cs="Calibri" w:hint="eastAsia"/>
                <w:color w:val="000000"/>
                <w:szCs w:val="21"/>
              </w:rPr>
              <w:t>号院</w:t>
            </w:r>
            <w:r>
              <w:rPr>
                <w:rFonts w:ascii="宋体" w:hAnsi="宋体" w:cs="Calibri"/>
                <w:color w:val="000000"/>
                <w:szCs w:val="21"/>
              </w:rPr>
              <w:t>6</w:t>
            </w:r>
            <w:r>
              <w:rPr>
                <w:rFonts w:ascii="宋体" w:hAnsi="宋体" w:cs="Calibri" w:hint="eastAsia"/>
                <w:color w:val="000000"/>
                <w:szCs w:val="21"/>
              </w:rPr>
              <w:t>号楼</w:t>
            </w:r>
            <w:r>
              <w:rPr>
                <w:rFonts w:ascii="宋体" w:hAnsi="宋体" w:cs="Calibri"/>
                <w:color w:val="000000"/>
                <w:szCs w:val="21"/>
              </w:rPr>
              <w:t>2</w:t>
            </w:r>
            <w:r>
              <w:rPr>
                <w:rFonts w:ascii="宋体" w:hAnsi="宋体" w:cs="Calibri" w:hint="eastAsia"/>
                <w:color w:val="000000"/>
                <w:szCs w:val="21"/>
              </w:rPr>
              <w:t>单元</w:t>
            </w:r>
            <w:r>
              <w:rPr>
                <w:rFonts w:ascii="宋体" w:hAnsi="宋体" w:cs="Calibri"/>
                <w:color w:val="000000"/>
                <w:szCs w:val="21"/>
              </w:rPr>
              <w:t>21</w:t>
            </w:r>
            <w:r>
              <w:rPr>
                <w:rFonts w:ascii="宋体" w:hAnsi="宋体" w:cs="Calibri" w:hint="eastAsia"/>
                <w:color w:val="000000"/>
                <w:szCs w:val="21"/>
              </w:rPr>
              <w:t>层</w:t>
            </w:r>
            <w:r>
              <w:rPr>
                <w:rFonts w:ascii="宋体" w:hAnsi="宋体" w:cs="Calibri"/>
                <w:color w:val="000000"/>
                <w:szCs w:val="21"/>
              </w:rPr>
              <w:t>222507</w:t>
            </w:r>
          </w:p>
          <w:p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400-159-9288</w:t>
            </w:r>
          </w:p>
          <w:p w:rsidR="004C06C5" w:rsidRDefault="00ED474B">
            <w:pPr>
              <w:spacing w:line="400" w:lineRule="exact"/>
              <w:jc w:val="left"/>
              <w:rPr>
                <w:rFonts w:asciiTheme="minorEastAsia" w:eastAsiaTheme="minorEastAsia" w:hAnsiTheme="minorEastAsia"/>
              </w:rPr>
            </w:pPr>
            <w:r>
              <w:rPr>
                <w:rFonts w:ascii="宋体" w:hAnsi="宋体" w:cs="Calibri" w:hint="eastAsia"/>
                <w:color w:val="000000"/>
                <w:szCs w:val="21"/>
              </w:rPr>
              <w:t>网址：</w:t>
            </w:r>
            <w:r>
              <w:rPr>
                <w:rFonts w:ascii="宋体" w:hAnsi="宋体" w:cs="Calibri"/>
                <w:color w:val="000000"/>
                <w:szCs w:val="21"/>
              </w:rPr>
              <w:t>https://danjuanapp.com/</w:t>
            </w:r>
          </w:p>
        </w:tc>
      </w:tr>
      <w:tr w:rsidR="004C06C5">
        <w:tc>
          <w:tcPr>
            <w:tcW w:w="817" w:type="dxa"/>
          </w:tcPr>
          <w:p w:rsidR="004C06C5" w:rsidRDefault="00ED474B">
            <w:pPr>
              <w:spacing w:line="360" w:lineRule="auto"/>
              <w:jc w:val="center"/>
              <w:rPr>
                <w:rFonts w:asciiTheme="minorEastAsia" w:eastAsiaTheme="minorEastAsia" w:hAnsiTheme="minorEastAsia"/>
                <w:color w:val="000000"/>
                <w:kern w:val="0"/>
                <w:sz w:val="24"/>
              </w:rPr>
            </w:pPr>
            <w:r>
              <w:rPr>
                <w:rFonts w:ascii="宋体" w:hAnsi="宋体" w:cs="Calibri"/>
                <w:color w:val="000000"/>
                <w:szCs w:val="21"/>
              </w:rPr>
              <w:t>3</w:t>
            </w:r>
            <w:r>
              <w:rPr>
                <w:rFonts w:ascii="宋体" w:hAnsi="宋体" w:cs="Calibri" w:hint="eastAsia"/>
                <w:color w:val="000000"/>
                <w:szCs w:val="21"/>
              </w:rPr>
              <w:t>1</w:t>
            </w:r>
          </w:p>
        </w:tc>
        <w:tc>
          <w:tcPr>
            <w:tcW w:w="2977" w:type="dxa"/>
          </w:tcPr>
          <w:p w:rsidR="004C06C5" w:rsidRDefault="00ED474B">
            <w:pPr>
              <w:spacing w:line="360" w:lineRule="auto"/>
              <w:jc w:val="center"/>
              <w:rPr>
                <w:rFonts w:asciiTheme="minorEastAsia" w:eastAsiaTheme="minorEastAsia" w:hAnsiTheme="minorEastAsia"/>
                <w:color w:val="000000" w:themeColor="text1"/>
                <w:szCs w:val="21"/>
              </w:rPr>
            </w:pPr>
            <w:r>
              <w:rPr>
                <w:rFonts w:ascii="宋体" w:hAnsi="宋体" w:cs="Calibri" w:hint="eastAsia"/>
                <w:color w:val="000000"/>
                <w:szCs w:val="21"/>
              </w:rPr>
              <w:t>北京</w:t>
            </w:r>
            <w:proofErr w:type="gramStart"/>
            <w:r>
              <w:rPr>
                <w:rFonts w:ascii="宋体" w:hAnsi="宋体" w:cs="Calibri" w:hint="eastAsia"/>
                <w:color w:val="000000"/>
                <w:szCs w:val="21"/>
              </w:rPr>
              <w:t>恒</w:t>
            </w:r>
            <w:proofErr w:type="gramEnd"/>
            <w:r>
              <w:rPr>
                <w:rFonts w:ascii="宋体" w:hAnsi="宋体" w:cs="Calibri" w:hint="eastAsia"/>
                <w:color w:val="000000"/>
                <w:szCs w:val="21"/>
              </w:rPr>
              <w:t>天明</w:t>
            </w:r>
            <w:proofErr w:type="gramStart"/>
            <w:r>
              <w:rPr>
                <w:rFonts w:ascii="宋体" w:hAnsi="宋体" w:cs="Calibri" w:hint="eastAsia"/>
                <w:color w:val="000000"/>
                <w:szCs w:val="21"/>
              </w:rPr>
              <w:t>泽基金</w:t>
            </w:r>
            <w:proofErr w:type="gramEnd"/>
            <w:r>
              <w:rPr>
                <w:rFonts w:ascii="宋体" w:hAnsi="宋体" w:cs="Calibri" w:hint="eastAsia"/>
                <w:color w:val="000000"/>
                <w:szCs w:val="21"/>
              </w:rPr>
              <w:t>销售有限公司</w:t>
            </w:r>
          </w:p>
        </w:tc>
        <w:tc>
          <w:tcPr>
            <w:tcW w:w="4728" w:type="dxa"/>
          </w:tcPr>
          <w:p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办公</w:t>
            </w:r>
            <w:proofErr w:type="gramStart"/>
            <w:r>
              <w:rPr>
                <w:rFonts w:ascii="宋体" w:hAnsi="宋体" w:cs="Calibri" w:hint="eastAsia"/>
                <w:color w:val="000000"/>
                <w:szCs w:val="21"/>
              </w:rPr>
              <w:t>地址地址</w:t>
            </w:r>
            <w:proofErr w:type="gramEnd"/>
            <w:r>
              <w:rPr>
                <w:rFonts w:ascii="宋体" w:hAnsi="宋体" w:cs="Calibri" w:hint="eastAsia"/>
                <w:color w:val="000000"/>
                <w:szCs w:val="21"/>
              </w:rPr>
              <w:t>：北京市朝阳区东三环北路甲</w:t>
            </w:r>
            <w:r>
              <w:rPr>
                <w:rFonts w:ascii="宋体" w:hAnsi="宋体" w:cs="Calibri"/>
                <w:color w:val="000000"/>
                <w:szCs w:val="21"/>
              </w:rPr>
              <w:t>19</w:t>
            </w:r>
            <w:r>
              <w:rPr>
                <w:rFonts w:ascii="宋体" w:hAnsi="宋体" w:cs="Calibri" w:hint="eastAsia"/>
                <w:color w:val="000000"/>
                <w:szCs w:val="21"/>
              </w:rPr>
              <w:t>号</w:t>
            </w:r>
            <w:r>
              <w:rPr>
                <w:rFonts w:ascii="宋体" w:hAnsi="宋体" w:cs="Calibri"/>
                <w:color w:val="000000"/>
                <w:szCs w:val="21"/>
              </w:rPr>
              <w:t>SOHO</w:t>
            </w:r>
            <w:proofErr w:type="gramStart"/>
            <w:r>
              <w:rPr>
                <w:rFonts w:ascii="宋体" w:hAnsi="宋体" w:cs="Calibri" w:hint="eastAsia"/>
                <w:color w:val="000000"/>
                <w:szCs w:val="21"/>
              </w:rPr>
              <w:t>嘉盛中心</w:t>
            </w:r>
            <w:proofErr w:type="gramEnd"/>
            <w:r>
              <w:rPr>
                <w:rFonts w:ascii="宋体" w:hAnsi="宋体" w:cs="Calibri"/>
                <w:color w:val="000000"/>
                <w:szCs w:val="21"/>
              </w:rPr>
              <w:t>30</w:t>
            </w:r>
            <w:r>
              <w:rPr>
                <w:rFonts w:ascii="宋体" w:hAnsi="宋体" w:cs="Calibri" w:hint="eastAsia"/>
                <w:color w:val="000000"/>
                <w:szCs w:val="21"/>
              </w:rPr>
              <w:t>层</w:t>
            </w:r>
            <w:r>
              <w:rPr>
                <w:rFonts w:ascii="宋体" w:hAnsi="宋体" w:cs="Calibri"/>
                <w:color w:val="000000"/>
                <w:szCs w:val="21"/>
              </w:rPr>
              <w:t>3006-3015</w:t>
            </w:r>
            <w:r>
              <w:rPr>
                <w:rFonts w:ascii="宋体" w:hAnsi="宋体" w:cs="Calibri" w:hint="eastAsia"/>
                <w:color w:val="000000"/>
                <w:szCs w:val="21"/>
              </w:rPr>
              <w:t>室</w:t>
            </w:r>
          </w:p>
          <w:p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4008980618</w:t>
            </w:r>
          </w:p>
          <w:p w:rsidR="004C06C5" w:rsidRDefault="00ED474B">
            <w:pPr>
              <w:spacing w:line="400" w:lineRule="exact"/>
              <w:jc w:val="left"/>
              <w:rPr>
                <w:rFonts w:asciiTheme="minorEastAsia" w:eastAsiaTheme="minorEastAsia" w:hAnsiTheme="minorEastAsia"/>
              </w:rPr>
            </w:pPr>
            <w:r>
              <w:rPr>
                <w:rFonts w:ascii="宋体" w:hAnsi="宋体" w:cs="Calibri" w:hint="eastAsia"/>
                <w:color w:val="000000"/>
                <w:szCs w:val="21"/>
              </w:rPr>
              <w:lastRenderedPageBreak/>
              <w:t>网址：</w:t>
            </w:r>
            <w:r>
              <w:rPr>
                <w:rFonts w:ascii="宋体" w:hAnsi="宋体" w:cs="Calibri"/>
                <w:color w:val="000000"/>
                <w:szCs w:val="21"/>
              </w:rPr>
              <w:t>www.chtwm.com</w:t>
            </w:r>
          </w:p>
        </w:tc>
      </w:tr>
      <w:tr w:rsidR="004C06C5">
        <w:tc>
          <w:tcPr>
            <w:tcW w:w="817" w:type="dxa"/>
          </w:tcPr>
          <w:p w:rsidR="004C06C5" w:rsidRDefault="00ED474B">
            <w:pPr>
              <w:spacing w:line="360" w:lineRule="auto"/>
              <w:jc w:val="center"/>
              <w:rPr>
                <w:rFonts w:asciiTheme="minorEastAsia" w:eastAsiaTheme="minorEastAsia" w:hAnsiTheme="minorEastAsia"/>
                <w:color w:val="000000"/>
                <w:kern w:val="0"/>
                <w:sz w:val="24"/>
              </w:rPr>
            </w:pPr>
            <w:r>
              <w:rPr>
                <w:rFonts w:ascii="宋体" w:hAnsi="宋体" w:cs="Calibri"/>
                <w:color w:val="000000"/>
                <w:szCs w:val="21"/>
              </w:rPr>
              <w:lastRenderedPageBreak/>
              <w:t>3</w:t>
            </w:r>
            <w:r>
              <w:rPr>
                <w:rFonts w:ascii="宋体" w:hAnsi="宋体" w:cs="Calibri" w:hint="eastAsia"/>
                <w:color w:val="000000"/>
                <w:szCs w:val="21"/>
              </w:rPr>
              <w:t>2</w:t>
            </w:r>
          </w:p>
        </w:tc>
        <w:tc>
          <w:tcPr>
            <w:tcW w:w="2977" w:type="dxa"/>
          </w:tcPr>
          <w:p w:rsidR="004C06C5" w:rsidRDefault="00ED474B">
            <w:pPr>
              <w:spacing w:line="360" w:lineRule="auto"/>
              <w:jc w:val="center"/>
              <w:rPr>
                <w:rFonts w:asciiTheme="minorEastAsia" w:eastAsiaTheme="minorEastAsia" w:hAnsiTheme="minorEastAsia"/>
                <w:color w:val="000000" w:themeColor="text1"/>
                <w:szCs w:val="21"/>
              </w:rPr>
            </w:pPr>
            <w:r>
              <w:rPr>
                <w:rFonts w:ascii="宋体" w:hAnsi="宋体" w:cs="Calibri" w:hint="eastAsia"/>
                <w:color w:val="000000"/>
                <w:szCs w:val="21"/>
              </w:rPr>
              <w:t>深圳前海</w:t>
            </w:r>
            <w:proofErr w:type="gramStart"/>
            <w:r>
              <w:rPr>
                <w:rFonts w:ascii="宋体" w:hAnsi="宋体" w:cs="Calibri" w:hint="eastAsia"/>
                <w:color w:val="000000"/>
                <w:szCs w:val="21"/>
              </w:rPr>
              <w:t>财厚基金</w:t>
            </w:r>
            <w:proofErr w:type="gramEnd"/>
            <w:r>
              <w:rPr>
                <w:rFonts w:ascii="宋体" w:hAnsi="宋体" w:cs="Calibri" w:hint="eastAsia"/>
                <w:color w:val="000000"/>
                <w:szCs w:val="21"/>
              </w:rPr>
              <w:t>销售有限公司</w:t>
            </w:r>
          </w:p>
        </w:tc>
        <w:tc>
          <w:tcPr>
            <w:tcW w:w="4728" w:type="dxa"/>
          </w:tcPr>
          <w:p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办公地址：广东省深圳市南山区高新南十道</w:t>
            </w:r>
            <w:r>
              <w:rPr>
                <w:rFonts w:ascii="宋体" w:hAnsi="宋体" w:cs="Calibri"/>
                <w:color w:val="000000"/>
                <w:szCs w:val="21"/>
              </w:rPr>
              <w:t xml:space="preserve"> </w:t>
            </w:r>
            <w:r>
              <w:rPr>
                <w:rFonts w:ascii="宋体" w:hAnsi="宋体" w:cs="Calibri" w:hint="eastAsia"/>
                <w:color w:val="000000"/>
                <w:szCs w:val="21"/>
              </w:rPr>
              <w:t>深圳湾科技</w:t>
            </w:r>
            <w:proofErr w:type="gramStart"/>
            <w:r>
              <w:rPr>
                <w:rFonts w:ascii="宋体" w:hAnsi="宋体" w:cs="Calibri" w:hint="eastAsia"/>
                <w:color w:val="000000"/>
                <w:szCs w:val="21"/>
              </w:rPr>
              <w:t>生态园三区</w:t>
            </w:r>
            <w:proofErr w:type="gramEnd"/>
            <w:r>
              <w:rPr>
                <w:rFonts w:ascii="宋体" w:hAnsi="宋体" w:cs="Calibri"/>
                <w:color w:val="000000"/>
                <w:szCs w:val="21"/>
              </w:rPr>
              <w:t>11栋A座3608室</w:t>
            </w:r>
          </w:p>
          <w:p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400-128-6800</w:t>
            </w:r>
          </w:p>
          <w:p w:rsidR="004C06C5" w:rsidRDefault="00ED474B">
            <w:pPr>
              <w:spacing w:line="400" w:lineRule="exact"/>
              <w:jc w:val="left"/>
              <w:rPr>
                <w:rFonts w:asciiTheme="minorEastAsia" w:eastAsiaTheme="minorEastAsia" w:hAnsiTheme="minorEastAsia"/>
              </w:rPr>
            </w:pPr>
            <w:r>
              <w:rPr>
                <w:rFonts w:ascii="宋体" w:hAnsi="宋体" w:cs="Calibri" w:hint="eastAsia"/>
                <w:color w:val="000000"/>
                <w:szCs w:val="21"/>
              </w:rPr>
              <w:t>网址：</w:t>
            </w:r>
            <w:r>
              <w:rPr>
                <w:rFonts w:ascii="宋体" w:hAnsi="宋体" w:cs="Calibri"/>
                <w:color w:val="000000"/>
                <w:szCs w:val="21"/>
              </w:rPr>
              <w:t>caiho.cn</w:t>
            </w:r>
          </w:p>
        </w:tc>
      </w:tr>
      <w:tr w:rsidR="004C06C5">
        <w:tc>
          <w:tcPr>
            <w:tcW w:w="817" w:type="dxa"/>
          </w:tcPr>
          <w:p w:rsidR="004C06C5" w:rsidRDefault="00ED474B">
            <w:pPr>
              <w:spacing w:line="360" w:lineRule="auto"/>
              <w:jc w:val="center"/>
              <w:rPr>
                <w:rFonts w:asciiTheme="minorEastAsia" w:eastAsiaTheme="minorEastAsia" w:hAnsiTheme="minorEastAsia"/>
                <w:color w:val="000000"/>
                <w:kern w:val="0"/>
                <w:sz w:val="24"/>
              </w:rPr>
            </w:pPr>
            <w:r>
              <w:rPr>
                <w:rFonts w:ascii="宋体" w:hAnsi="宋体" w:cs="Calibri"/>
                <w:color w:val="000000"/>
                <w:szCs w:val="21"/>
              </w:rPr>
              <w:t>3</w:t>
            </w:r>
            <w:r>
              <w:rPr>
                <w:rFonts w:ascii="宋体" w:hAnsi="宋体" w:cs="Calibri" w:hint="eastAsia"/>
                <w:color w:val="000000"/>
                <w:szCs w:val="21"/>
              </w:rPr>
              <w:t>3</w:t>
            </w:r>
          </w:p>
        </w:tc>
        <w:tc>
          <w:tcPr>
            <w:tcW w:w="2977" w:type="dxa"/>
          </w:tcPr>
          <w:p w:rsidR="004C06C5" w:rsidRDefault="00ED474B">
            <w:pPr>
              <w:spacing w:line="360" w:lineRule="auto"/>
              <w:jc w:val="center"/>
              <w:rPr>
                <w:rFonts w:asciiTheme="minorEastAsia" w:eastAsiaTheme="minorEastAsia" w:hAnsiTheme="minorEastAsia"/>
                <w:color w:val="000000" w:themeColor="text1"/>
                <w:szCs w:val="21"/>
              </w:rPr>
            </w:pPr>
            <w:r>
              <w:rPr>
                <w:rFonts w:ascii="宋体" w:hAnsi="宋体" w:cs="Calibri" w:hint="eastAsia"/>
                <w:color w:val="000000"/>
                <w:szCs w:val="21"/>
              </w:rPr>
              <w:t>深圳盈信基金销售有限公司</w:t>
            </w:r>
          </w:p>
        </w:tc>
        <w:tc>
          <w:tcPr>
            <w:tcW w:w="4728" w:type="dxa"/>
          </w:tcPr>
          <w:p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(办公)地址：深圳市福田区莲花街道商报</w:t>
            </w:r>
            <w:proofErr w:type="gramStart"/>
            <w:r>
              <w:rPr>
                <w:rFonts w:ascii="宋体" w:hAnsi="宋体" w:cs="Calibri"/>
                <w:color w:val="000000"/>
                <w:szCs w:val="21"/>
              </w:rPr>
              <w:t>东路英</w:t>
            </w:r>
            <w:proofErr w:type="gramEnd"/>
            <w:r>
              <w:rPr>
                <w:rFonts w:ascii="宋体" w:hAnsi="宋体" w:cs="Calibri"/>
                <w:color w:val="000000"/>
                <w:szCs w:val="21"/>
              </w:rPr>
              <w:t>龙商务大厦8楼A-1（811-812）</w:t>
            </w:r>
          </w:p>
          <w:p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4007-903-688</w:t>
            </w:r>
          </w:p>
          <w:p w:rsidR="004C06C5" w:rsidRDefault="00ED474B">
            <w:pPr>
              <w:spacing w:line="400" w:lineRule="exact"/>
              <w:jc w:val="left"/>
              <w:rPr>
                <w:rFonts w:asciiTheme="minorEastAsia" w:eastAsiaTheme="minorEastAsia" w:hAnsiTheme="minorEastAsia"/>
              </w:rPr>
            </w:pPr>
            <w:r>
              <w:rPr>
                <w:rFonts w:ascii="宋体" w:hAnsi="宋体" w:cs="Calibri" w:hint="eastAsia"/>
                <w:color w:val="000000"/>
                <w:szCs w:val="21"/>
              </w:rPr>
              <w:t>网址：</w:t>
            </w:r>
            <w:r>
              <w:rPr>
                <w:rFonts w:ascii="宋体" w:hAnsi="宋体" w:cs="Calibri"/>
                <w:color w:val="000000"/>
                <w:szCs w:val="21"/>
              </w:rPr>
              <w:t xml:space="preserve"> http://www.fundying.com/</w:t>
            </w:r>
          </w:p>
        </w:tc>
      </w:tr>
      <w:tr w:rsidR="004C06C5">
        <w:tc>
          <w:tcPr>
            <w:tcW w:w="817" w:type="dxa"/>
          </w:tcPr>
          <w:p w:rsidR="004C06C5" w:rsidRDefault="00ED474B">
            <w:pPr>
              <w:spacing w:line="360" w:lineRule="auto"/>
              <w:jc w:val="center"/>
              <w:rPr>
                <w:rFonts w:asciiTheme="minorEastAsia" w:eastAsiaTheme="minorEastAsia" w:hAnsiTheme="minorEastAsia"/>
                <w:color w:val="000000"/>
                <w:kern w:val="0"/>
                <w:sz w:val="24"/>
              </w:rPr>
            </w:pPr>
            <w:r>
              <w:rPr>
                <w:rFonts w:ascii="宋体" w:hAnsi="宋体" w:cs="Calibri" w:hint="eastAsia"/>
                <w:color w:val="000000"/>
                <w:szCs w:val="21"/>
              </w:rPr>
              <w:t>34</w:t>
            </w:r>
          </w:p>
        </w:tc>
        <w:tc>
          <w:tcPr>
            <w:tcW w:w="2977" w:type="dxa"/>
          </w:tcPr>
          <w:p w:rsidR="004C06C5" w:rsidRDefault="00ED474B">
            <w:pPr>
              <w:spacing w:line="360" w:lineRule="auto"/>
              <w:jc w:val="center"/>
              <w:rPr>
                <w:rFonts w:asciiTheme="minorEastAsia" w:eastAsiaTheme="minorEastAsia" w:hAnsiTheme="minorEastAsia"/>
                <w:color w:val="000000" w:themeColor="text1"/>
                <w:szCs w:val="21"/>
              </w:rPr>
            </w:pPr>
            <w:r>
              <w:rPr>
                <w:rFonts w:ascii="宋体" w:hAnsi="宋体" w:cs="Calibri" w:hint="eastAsia"/>
                <w:color w:val="000000"/>
                <w:szCs w:val="21"/>
              </w:rPr>
              <w:t>上海挖财基金销售有限公司</w:t>
            </w:r>
          </w:p>
        </w:tc>
        <w:tc>
          <w:tcPr>
            <w:tcW w:w="4728" w:type="dxa"/>
          </w:tcPr>
          <w:p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(办公)地址：</w:t>
            </w:r>
            <w:r>
              <w:rPr>
                <w:rFonts w:ascii="宋体" w:hAnsi="宋体" w:cs="Calibri" w:hint="eastAsia"/>
                <w:color w:val="000000"/>
                <w:szCs w:val="21"/>
              </w:rPr>
              <w:t>中国（上海）自由贸易试验区扬高南路</w:t>
            </w:r>
            <w:r>
              <w:rPr>
                <w:rFonts w:ascii="宋体" w:hAnsi="宋体" w:cs="Calibri"/>
                <w:color w:val="000000"/>
                <w:szCs w:val="21"/>
              </w:rPr>
              <w:t>799</w:t>
            </w:r>
            <w:r>
              <w:rPr>
                <w:rFonts w:ascii="宋体" w:hAnsi="宋体" w:cs="Calibri" w:hint="eastAsia"/>
                <w:color w:val="000000"/>
                <w:szCs w:val="21"/>
              </w:rPr>
              <w:t>号</w:t>
            </w:r>
            <w:r>
              <w:rPr>
                <w:rFonts w:ascii="宋体" w:hAnsi="宋体" w:cs="Calibri"/>
                <w:color w:val="000000"/>
                <w:szCs w:val="21"/>
              </w:rPr>
              <w:t>5</w:t>
            </w:r>
            <w:r>
              <w:rPr>
                <w:rFonts w:ascii="宋体" w:hAnsi="宋体" w:cs="Calibri" w:hint="eastAsia"/>
                <w:color w:val="000000"/>
                <w:szCs w:val="21"/>
              </w:rPr>
              <w:t>楼</w:t>
            </w:r>
            <w:r>
              <w:rPr>
                <w:rFonts w:ascii="宋体" w:hAnsi="宋体" w:cs="Calibri"/>
                <w:color w:val="000000"/>
                <w:szCs w:val="21"/>
              </w:rPr>
              <w:t>01</w:t>
            </w:r>
            <w:r>
              <w:rPr>
                <w:rFonts w:ascii="宋体" w:hAnsi="宋体" w:cs="Calibri" w:hint="eastAsia"/>
                <w:color w:val="000000"/>
                <w:szCs w:val="21"/>
              </w:rPr>
              <w:t>、</w:t>
            </w:r>
            <w:r>
              <w:rPr>
                <w:rFonts w:ascii="宋体" w:hAnsi="宋体" w:cs="Calibri"/>
                <w:color w:val="000000"/>
                <w:szCs w:val="21"/>
              </w:rPr>
              <w:t>02</w:t>
            </w:r>
            <w:r>
              <w:rPr>
                <w:rFonts w:ascii="宋体" w:hAnsi="宋体" w:cs="Calibri" w:hint="eastAsia"/>
                <w:color w:val="000000"/>
                <w:szCs w:val="21"/>
              </w:rPr>
              <w:t>、</w:t>
            </w:r>
            <w:r>
              <w:rPr>
                <w:rFonts w:ascii="宋体" w:hAnsi="宋体" w:cs="Calibri"/>
                <w:color w:val="000000"/>
                <w:szCs w:val="21"/>
              </w:rPr>
              <w:t>03</w:t>
            </w:r>
            <w:r>
              <w:rPr>
                <w:rFonts w:ascii="宋体" w:hAnsi="宋体" w:cs="Calibri" w:hint="eastAsia"/>
                <w:color w:val="000000"/>
                <w:szCs w:val="21"/>
              </w:rPr>
              <w:t>室</w:t>
            </w:r>
          </w:p>
          <w:p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400-711-8718</w:t>
            </w:r>
          </w:p>
          <w:p w:rsidR="004C06C5" w:rsidRDefault="00ED474B">
            <w:pPr>
              <w:spacing w:line="400" w:lineRule="exact"/>
              <w:jc w:val="left"/>
              <w:rPr>
                <w:rFonts w:asciiTheme="minorEastAsia" w:eastAsiaTheme="minorEastAsia" w:hAnsiTheme="minorEastAsia"/>
              </w:rPr>
            </w:pPr>
            <w:r>
              <w:rPr>
                <w:rFonts w:ascii="宋体" w:hAnsi="宋体" w:cs="Calibri" w:hint="eastAsia"/>
                <w:color w:val="000000"/>
                <w:szCs w:val="21"/>
              </w:rPr>
              <w:t>网址：</w:t>
            </w:r>
            <w:r>
              <w:rPr>
                <w:rFonts w:ascii="宋体" w:hAnsi="宋体" w:cs="Calibri"/>
                <w:color w:val="000000"/>
                <w:szCs w:val="21"/>
              </w:rPr>
              <w:t> </w:t>
            </w:r>
            <w:hyperlink r:id="rId24" w:history="1">
              <w:r>
                <w:rPr>
                  <w:rFonts w:ascii="宋体" w:hAnsi="宋体" w:cs="Calibri"/>
                  <w:color w:val="000000"/>
                  <w:szCs w:val="21"/>
                </w:rPr>
                <w:t>www.wacaijijin.com</w:t>
              </w:r>
            </w:hyperlink>
          </w:p>
        </w:tc>
      </w:tr>
      <w:tr w:rsidR="004C06C5">
        <w:tc>
          <w:tcPr>
            <w:tcW w:w="817" w:type="dxa"/>
          </w:tcPr>
          <w:p w:rsidR="004C06C5" w:rsidRDefault="00ED474B">
            <w:pPr>
              <w:spacing w:line="360" w:lineRule="auto"/>
              <w:jc w:val="center"/>
              <w:rPr>
                <w:rFonts w:asciiTheme="minorEastAsia" w:eastAsiaTheme="minorEastAsia" w:hAnsiTheme="minorEastAsia"/>
                <w:color w:val="000000"/>
                <w:kern w:val="0"/>
                <w:sz w:val="24"/>
              </w:rPr>
            </w:pPr>
            <w:r>
              <w:rPr>
                <w:rFonts w:ascii="宋体" w:hAnsi="宋体" w:cs="Calibri" w:hint="eastAsia"/>
                <w:color w:val="000000"/>
                <w:szCs w:val="21"/>
              </w:rPr>
              <w:t>35</w:t>
            </w:r>
          </w:p>
        </w:tc>
        <w:tc>
          <w:tcPr>
            <w:tcW w:w="2977" w:type="dxa"/>
          </w:tcPr>
          <w:p w:rsidR="004C06C5" w:rsidRDefault="00ED474B">
            <w:pPr>
              <w:spacing w:line="360" w:lineRule="auto"/>
              <w:jc w:val="center"/>
              <w:rPr>
                <w:rFonts w:asciiTheme="minorEastAsia" w:eastAsiaTheme="minorEastAsia" w:hAnsiTheme="minorEastAsia"/>
                <w:color w:val="000000" w:themeColor="text1"/>
                <w:szCs w:val="21"/>
              </w:rPr>
            </w:pPr>
            <w:r>
              <w:rPr>
                <w:rFonts w:ascii="宋体" w:hAnsi="宋体" w:cs="Calibri" w:hint="eastAsia"/>
                <w:color w:val="000000"/>
                <w:szCs w:val="21"/>
              </w:rPr>
              <w:t>诺亚正</w:t>
            </w:r>
            <w:proofErr w:type="gramStart"/>
            <w:r>
              <w:rPr>
                <w:rFonts w:ascii="宋体" w:hAnsi="宋体" w:cs="Calibri" w:hint="eastAsia"/>
                <w:color w:val="000000"/>
                <w:szCs w:val="21"/>
              </w:rPr>
              <w:t>行基金</w:t>
            </w:r>
            <w:proofErr w:type="gramEnd"/>
            <w:r>
              <w:rPr>
                <w:rFonts w:ascii="宋体" w:hAnsi="宋体" w:cs="Calibri" w:hint="eastAsia"/>
                <w:color w:val="000000"/>
                <w:szCs w:val="21"/>
              </w:rPr>
              <w:t>销售有限公司</w:t>
            </w:r>
          </w:p>
        </w:tc>
        <w:tc>
          <w:tcPr>
            <w:tcW w:w="4728" w:type="dxa"/>
          </w:tcPr>
          <w:p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(办公)地址：上海市杨浦区长阳路1687号2号楼</w:t>
            </w:r>
          </w:p>
          <w:p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4008-215-399</w:t>
            </w:r>
          </w:p>
          <w:p w:rsidR="004C06C5" w:rsidRDefault="00ED474B">
            <w:pPr>
              <w:spacing w:line="400" w:lineRule="exact"/>
              <w:jc w:val="left"/>
              <w:rPr>
                <w:rFonts w:asciiTheme="minorEastAsia" w:eastAsiaTheme="minorEastAsia" w:hAnsiTheme="minorEastAsia"/>
              </w:rPr>
            </w:pPr>
            <w:r>
              <w:rPr>
                <w:rFonts w:ascii="宋体" w:hAnsi="宋体" w:cs="Calibri" w:hint="eastAsia"/>
                <w:color w:val="000000"/>
                <w:szCs w:val="21"/>
              </w:rPr>
              <w:t>网址：</w:t>
            </w:r>
            <w:r>
              <w:rPr>
                <w:rFonts w:ascii="宋体" w:hAnsi="宋体" w:cs="Calibri"/>
                <w:color w:val="000000"/>
                <w:szCs w:val="21"/>
              </w:rPr>
              <w:t>www.noah-fund.com</w:t>
            </w:r>
          </w:p>
        </w:tc>
      </w:tr>
      <w:tr w:rsidR="004C06C5">
        <w:tc>
          <w:tcPr>
            <w:tcW w:w="817" w:type="dxa"/>
          </w:tcPr>
          <w:p w:rsidR="004C06C5" w:rsidRDefault="00ED474B">
            <w:pPr>
              <w:spacing w:line="360" w:lineRule="auto"/>
              <w:jc w:val="center"/>
              <w:rPr>
                <w:rFonts w:asciiTheme="minorEastAsia" w:eastAsiaTheme="minorEastAsia" w:hAnsiTheme="minorEastAsia"/>
                <w:color w:val="000000"/>
                <w:kern w:val="0"/>
                <w:sz w:val="24"/>
              </w:rPr>
            </w:pPr>
            <w:r>
              <w:rPr>
                <w:rFonts w:ascii="宋体" w:hAnsi="宋体" w:cs="Calibri" w:hint="eastAsia"/>
                <w:color w:val="000000"/>
                <w:szCs w:val="21"/>
              </w:rPr>
              <w:t>36</w:t>
            </w:r>
          </w:p>
        </w:tc>
        <w:tc>
          <w:tcPr>
            <w:tcW w:w="2977" w:type="dxa"/>
          </w:tcPr>
          <w:p w:rsidR="004C06C5" w:rsidRDefault="00ED474B">
            <w:pPr>
              <w:spacing w:line="360" w:lineRule="auto"/>
              <w:jc w:val="center"/>
              <w:rPr>
                <w:rFonts w:asciiTheme="minorEastAsia" w:eastAsiaTheme="minorEastAsia" w:hAnsiTheme="minorEastAsia"/>
                <w:color w:val="000000" w:themeColor="text1"/>
                <w:szCs w:val="21"/>
              </w:rPr>
            </w:pPr>
            <w:r>
              <w:rPr>
                <w:rFonts w:ascii="宋体" w:hAnsi="宋体" w:cs="Calibri" w:hint="eastAsia"/>
                <w:color w:val="000000"/>
                <w:szCs w:val="21"/>
              </w:rPr>
              <w:t>上海</w:t>
            </w:r>
            <w:proofErr w:type="gramStart"/>
            <w:r>
              <w:rPr>
                <w:rFonts w:ascii="宋体" w:hAnsi="宋体" w:cs="Calibri" w:hint="eastAsia"/>
                <w:color w:val="000000"/>
                <w:szCs w:val="21"/>
              </w:rPr>
              <w:t>凯</w:t>
            </w:r>
            <w:proofErr w:type="gramEnd"/>
            <w:r>
              <w:rPr>
                <w:rFonts w:ascii="宋体" w:hAnsi="宋体" w:cs="Calibri" w:hint="eastAsia"/>
                <w:color w:val="000000"/>
                <w:szCs w:val="21"/>
              </w:rPr>
              <w:t>石财富基金销售有限公司</w:t>
            </w:r>
          </w:p>
        </w:tc>
        <w:tc>
          <w:tcPr>
            <w:tcW w:w="4728" w:type="dxa"/>
          </w:tcPr>
          <w:p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 xml:space="preserve">(办公)地址：上海市黄浦区西藏南路765号602-115室 </w:t>
            </w:r>
          </w:p>
          <w:p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400-643-3389</w:t>
            </w:r>
          </w:p>
          <w:p w:rsidR="004C06C5" w:rsidRDefault="00ED474B">
            <w:pPr>
              <w:spacing w:line="400" w:lineRule="exact"/>
              <w:jc w:val="left"/>
              <w:rPr>
                <w:rFonts w:asciiTheme="minorEastAsia" w:eastAsiaTheme="minorEastAsia" w:hAnsiTheme="minorEastAsia"/>
              </w:rPr>
            </w:pPr>
            <w:r>
              <w:rPr>
                <w:rFonts w:ascii="宋体" w:hAnsi="宋体" w:cs="Calibri" w:hint="eastAsia"/>
                <w:color w:val="000000"/>
                <w:szCs w:val="21"/>
              </w:rPr>
              <w:t>网址：</w:t>
            </w:r>
            <w:r>
              <w:rPr>
                <w:rFonts w:ascii="宋体" w:hAnsi="宋体" w:cs="Calibri"/>
                <w:color w:val="000000"/>
                <w:szCs w:val="21"/>
              </w:rPr>
              <w:t>www.vstonewealth.com</w:t>
            </w:r>
          </w:p>
        </w:tc>
      </w:tr>
      <w:tr w:rsidR="004C06C5">
        <w:tc>
          <w:tcPr>
            <w:tcW w:w="817" w:type="dxa"/>
          </w:tcPr>
          <w:p w:rsidR="004C06C5" w:rsidRDefault="00ED474B">
            <w:pPr>
              <w:spacing w:line="360" w:lineRule="auto"/>
              <w:jc w:val="center"/>
              <w:rPr>
                <w:rFonts w:asciiTheme="minorEastAsia" w:eastAsiaTheme="minorEastAsia" w:hAnsiTheme="minorEastAsia"/>
                <w:color w:val="000000"/>
                <w:kern w:val="0"/>
                <w:sz w:val="24"/>
              </w:rPr>
            </w:pPr>
            <w:r>
              <w:rPr>
                <w:rFonts w:ascii="宋体" w:hAnsi="宋体" w:cs="Calibri" w:hint="eastAsia"/>
                <w:color w:val="000000"/>
                <w:szCs w:val="21"/>
              </w:rPr>
              <w:t>37</w:t>
            </w:r>
          </w:p>
        </w:tc>
        <w:tc>
          <w:tcPr>
            <w:tcW w:w="2977" w:type="dxa"/>
          </w:tcPr>
          <w:p w:rsidR="004C06C5" w:rsidRDefault="00ED474B">
            <w:pPr>
              <w:spacing w:line="360" w:lineRule="auto"/>
              <w:jc w:val="center"/>
              <w:rPr>
                <w:rFonts w:asciiTheme="minorEastAsia" w:eastAsiaTheme="minorEastAsia" w:hAnsiTheme="minorEastAsia"/>
                <w:color w:val="000000" w:themeColor="text1"/>
                <w:szCs w:val="21"/>
              </w:rPr>
            </w:pPr>
            <w:proofErr w:type="gramStart"/>
            <w:r>
              <w:rPr>
                <w:rFonts w:ascii="宋体" w:hAnsi="宋体" w:cs="Calibri" w:hint="eastAsia"/>
                <w:color w:val="000000"/>
                <w:szCs w:val="21"/>
              </w:rPr>
              <w:t>泰信财富</w:t>
            </w:r>
            <w:proofErr w:type="gramEnd"/>
            <w:r>
              <w:rPr>
                <w:rFonts w:ascii="宋体" w:hAnsi="宋体" w:cs="Calibri" w:hint="eastAsia"/>
                <w:color w:val="000000"/>
                <w:szCs w:val="21"/>
              </w:rPr>
              <w:t>基金销售有限公司</w:t>
            </w:r>
          </w:p>
        </w:tc>
        <w:tc>
          <w:tcPr>
            <w:tcW w:w="4728" w:type="dxa"/>
          </w:tcPr>
          <w:p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 xml:space="preserve">(办公)地址： </w:t>
            </w:r>
            <w:r>
              <w:rPr>
                <w:rFonts w:ascii="宋体" w:hAnsi="宋体" w:cs="Calibri" w:hint="eastAsia"/>
                <w:color w:val="000000"/>
                <w:szCs w:val="21"/>
              </w:rPr>
              <w:t>北京市朝阳区建国路甲</w:t>
            </w:r>
            <w:r>
              <w:rPr>
                <w:rFonts w:ascii="宋体" w:hAnsi="宋体" w:cs="Calibri"/>
                <w:color w:val="000000"/>
                <w:szCs w:val="21"/>
              </w:rPr>
              <w:t>92号世贸大厦C座18层</w:t>
            </w:r>
          </w:p>
          <w:p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400-004-8821</w:t>
            </w:r>
          </w:p>
          <w:p w:rsidR="004C06C5" w:rsidRDefault="00ED474B">
            <w:pPr>
              <w:spacing w:line="400" w:lineRule="exact"/>
              <w:jc w:val="left"/>
              <w:rPr>
                <w:rFonts w:asciiTheme="minorEastAsia" w:eastAsiaTheme="minorEastAsia" w:hAnsiTheme="minorEastAsia"/>
              </w:rPr>
            </w:pPr>
            <w:r>
              <w:rPr>
                <w:rFonts w:ascii="宋体" w:hAnsi="宋体" w:cs="Calibri" w:hint="eastAsia"/>
                <w:color w:val="000000"/>
                <w:szCs w:val="21"/>
              </w:rPr>
              <w:t>网址：</w:t>
            </w:r>
            <w:r>
              <w:rPr>
                <w:rFonts w:ascii="宋体" w:hAnsi="宋体" w:cs="Calibri"/>
                <w:color w:val="000000"/>
                <w:szCs w:val="21"/>
              </w:rPr>
              <w:t xml:space="preserve"> www.hxlc.com</w:t>
            </w:r>
          </w:p>
        </w:tc>
      </w:tr>
      <w:tr w:rsidR="004C06C5">
        <w:tc>
          <w:tcPr>
            <w:tcW w:w="817" w:type="dxa"/>
          </w:tcPr>
          <w:p w:rsidR="004C06C5" w:rsidRDefault="00ED474B">
            <w:pPr>
              <w:spacing w:line="360" w:lineRule="auto"/>
              <w:jc w:val="center"/>
              <w:rPr>
                <w:rFonts w:asciiTheme="minorEastAsia" w:eastAsiaTheme="minorEastAsia" w:hAnsiTheme="minorEastAsia"/>
                <w:color w:val="000000"/>
                <w:kern w:val="0"/>
                <w:sz w:val="24"/>
              </w:rPr>
            </w:pPr>
            <w:r>
              <w:rPr>
                <w:rFonts w:ascii="宋体" w:hAnsi="宋体" w:cs="Calibri" w:hint="eastAsia"/>
                <w:color w:val="000000"/>
                <w:szCs w:val="21"/>
              </w:rPr>
              <w:t>38</w:t>
            </w:r>
          </w:p>
        </w:tc>
        <w:tc>
          <w:tcPr>
            <w:tcW w:w="2977" w:type="dxa"/>
          </w:tcPr>
          <w:p w:rsidR="004C06C5" w:rsidRDefault="00ED474B">
            <w:pPr>
              <w:spacing w:line="360" w:lineRule="auto"/>
              <w:jc w:val="center"/>
              <w:rPr>
                <w:rFonts w:asciiTheme="minorEastAsia" w:eastAsiaTheme="minorEastAsia" w:hAnsiTheme="minorEastAsia"/>
                <w:color w:val="000000" w:themeColor="text1"/>
                <w:szCs w:val="21"/>
              </w:rPr>
            </w:pPr>
            <w:r>
              <w:rPr>
                <w:rFonts w:ascii="宋体" w:hAnsi="宋体" w:cs="Calibri" w:hint="eastAsia"/>
                <w:color w:val="000000"/>
                <w:szCs w:val="21"/>
              </w:rPr>
              <w:t>北京</w:t>
            </w:r>
            <w:proofErr w:type="gramStart"/>
            <w:r>
              <w:rPr>
                <w:rFonts w:ascii="宋体" w:hAnsi="宋体" w:cs="Calibri" w:hint="eastAsia"/>
                <w:color w:val="000000"/>
                <w:szCs w:val="21"/>
              </w:rPr>
              <w:t>唐鼎耀</w:t>
            </w:r>
            <w:proofErr w:type="gramEnd"/>
            <w:r>
              <w:rPr>
                <w:rFonts w:ascii="宋体" w:hAnsi="宋体" w:cs="Calibri" w:hint="eastAsia"/>
                <w:color w:val="000000"/>
                <w:szCs w:val="21"/>
              </w:rPr>
              <w:t>华基金销售有限公司</w:t>
            </w:r>
          </w:p>
        </w:tc>
        <w:tc>
          <w:tcPr>
            <w:tcW w:w="4728" w:type="dxa"/>
          </w:tcPr>
          <w:p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注册(办公)地址： 北京市延庆县延庆经济开发区</w:t>
            </w:r>
            <w:proofErr w:type="gramStart"/>
            <w:r>
              <w:rPr>
                <w:rFonts w:ascii="宋体" w:hAnsi="宋体" w:cs="Calibri" w:hint="eastAsia"/>
                <w:color w:val="000000"/>
                <w:szCs w:val="21"/>
              </w:rPr>
              <w:t>百泉街10号</w:t>
            </w:r>
            <w:proofErr w:type="gramEnd"/>
            <w:r>
              <w:rPr>
                <w:rFonts w:ascii="宋体" w:hAnsi="宋体" w:cs="Calibri" w:hint="eastAsia"/>
                <w:color w:val="000000"/>
                <w:szCs w:val="21"/>
              </w:rPr>
              <w:t>2栋236室</w:t>
            </w:r>
          </w:p>
          <w:p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400-819-9868</w:t>
            </w:r>
          </w:p>
          <w:p w:rsidR="004C06C5" w:rsidRDefault="00ED474B">
            <w:pPr>
              <w:spacing w:line="400" w:lineRule="exact"/>
              <w:jc w:val="left"/>
              <w:rPr>
                <w:rFonts w:asciiTheme="minorEastAsia" w:eastAsiaTheme="minorEastAsia" w:hAnsiTheme="minorEastAsia"/>
              </w:rPr>
            </w:pPr>
            <w:r>
              <w:rPr>
                <w:rFonts w:ascii="宋体" w:hAnsi="宋体" w:cs="Calibri" w:hint="eastAsia"/>
                <w:color w:val="000000"/>
                <w:szCs w:val="21"/>
              </w:rPr>
              <w:t>网址：</w:t>
            </w:r>
            <w:r>
              <w:rPr>
                <w:rFonts w:ascii="宋体" w:hAnsi="宋体" w:cs="Calibri"/>
                <w:color w:val="000000"/>
                <w:szCs w:val="21"/>
              </w:rPr>
              <w:t xml:space="preserve"> http://www.tdyhfund.com/Index</w:t>
            </w:r>
          </w:p>
        </w:tc>
      </w:tr>
      <w:tr w:rsidR="004C06C5">
        <w:tc>
          <w:tcPr>
            <w:tcW w:w="817" w:type="dxa"/>
          </w:tcPr>
          <w:p w:rsidR="004C06C5" w:rsidRDefault="00ED474B">
            <w:pPr>
              <w:spacing w:line="360" w:lineRule="auto"/>
              <w:jc w:val="center"/>
              <w:rPr>
                <w:rFonts w:asciiTheme="minorEastAsia" w:eastAsiaTheme="minorEastAsia" w:hAnsiTheme="minorEastAsia"/>
                <w:color w:val="000000"/>
                <w:kern w:val="0"/>
                <w:sz w:val="24"/>
              </w:rPr>
            </w:pPr>
            <w:r>
              <w:rPr>
                <w:rFonts w:ascii="宋体" w:hAnsi="宋体" w:cs="Calibri" w:hint="eastAsia"/>
                <w:color w:val="000000"/>
                <w:szCs w:val="21"/>
              </w:rPr>
              <w:t>39</w:t>
            </w:r>
          </w:p>
        </w:tc>
        <w:tc>
          <w:tcPr>
            <w:tcW w:w="2977" w:type="dxa"/>
          </w:tcPr>
          <w:p w:rsidR="004C06C5" w:rsidRDefault="00ED474B">
            <w:pPr>
              <w:spacing w:line="360" w:lineRule="auto"/>
              <w:jc w:val="center"/>
              <w:rPr>
                <w:rFonts w:asciiTheme="minorEastAsia" w:eastAsiaTheme="minorEastAsia" w:hAnsiTheme="minorEastAsia"/>
                <w:color w:val="000000" w:themeColor="text1"/>
                <w:szCs w:val="21"/>
              </w:rPr>
            </w:pPr>
            <w:r>
              <w:rPr>
                <w:rFonts w:ascii="宋体" w:hAnsi="宋体" w:cs="Calibri" w:hint="eastAsia"/>
                <w:color w:val="000000"/>
                <w:szCs w:val="21"/>
              </w:rPr>
              <w:t>上海利得基金销售有限公司</w:t>
            </w:r>
          </w:p>
        </w:tc>
        <w:tc>
          <w:tcPr>
            <w:tcW w:w="4728" w:type="dxa"/>
          </w:tcPr>
          <w:p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注册地址：上海市宝山区蕴川路5475号1033室</w:t>
            </w:r>
          </w:p>
          <w:p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95733</w:t>
            </w:r>
          </w:p>
          <w:p w:rsidR="004C06C5" w:rsidRDefault="00ED474B">
            <w:pPr>
              <w:spacing w:line="400" w:lineRule="exact"/>
              <w:jc w:val="left"/>
              <w:rPr>
                <w:rFonts w:asciiTheme="minorEastAsia" w:eastAsiaTheme="minorEastAsia" w:hAnsiTheme="minorEastAsia"/>
              </w:rPr>
            </w:pPr>
            <w:r>
              <w:rPr>
                <w:rFonts w:ascii="宋体" w:hAnsi="宋体" w:cs="Calibri" w:hint="eastAsia"/>
                <w:color w:val="000000"/>
                <w:szCs w:val="21"/>
              </w:rPr>
              <w:t>网址：</w:t>
            </w:r>
            <w:r>
              <w:rPr>
                <w:rFonts w:ascii="宋体" w:hAnsi="宋体" w:cs="Calibri"/>
                <w:color w:val="000000"/>
                <w:szCs w:val="21"/>
              </w:rPr>
              <w:t>www.leadfund.com.cn</w:t>
            </w:r>
          </w:p>
        </w:tc>
      </w:tr>
      <w:tr w:rsidR="004C06C5">
        <w:tc>
          <w:tcPr>
            <w:tcW w:w="817" w:type="dxa"/>
          </w:tcPr>
          <w:p w:rsidR="004C06C5" w:rsidRDefault="00ED474B">
            <w:pPr>
              <w:spacing w:line="360" w:lineRule="auto"/>
              <w:jc w:val="center"/>
              <w:rPr>
                <w:rFonts w:asciiTheme="minorEastAsia" w:eastAsiaTheme="minorEastAsia" w:hAnsiTheme="minorEastAsia"/>
                <w:color w:val="000000"/>
                <w:kern w:val="0"/>
                <w:sz w:val="24"/>
              </w:rPr>
            </w:pPr>
            <w:r>
              <w:rPr>
                <w:rFonts w:ascii="宋体" w:hAnsi="宋体" w:cs="Calibri" w:hint="eastAsia"/>
                <w:color w:val="000000"/>
                <w:szCs w:val="21"/>
              </w:rPr>
              <w:t>40</w:t>
            </w:r>
          </w:p>
        </w:tc>
        <w:tc>
          <w:tcPr>
            <w:tcW w:w="2977" w:type="dxa"/>
          </w:tcPr>
          <w:p w:rsidR="004C06C5" w:rsidRDefault="00ED474B">
            <w:pPr>
              <w:spacing w:line="360" w:lineRule="auto"/>
              <w:jc w:val="center"/>
              <w:rPr>
                <w:rFonts w:asciiTheme="minorEastAsia" w:eastAsiaTheme="minorEastAsia" w:hAnsiTheme="minorEastAsia"/>
                <w:color w:val="000000" w:themeColor="text1"/>
                <w:szCs w:val="21"/>
              </w:rPr>
            </w:pPr>
            <w:r>
              <w:rPr>
                <w:rFonts w:ascii="宋体" w:hAnsi="宋体" w:cs="Calibri" w:hint="eastAsia"/>
                <w:color w:val="000000"/>
                <w:szCs w:val="21"/>
              </w:rPr>
              <w:t>南京苏宁基金销售有限公司</w:t>
            </w:r>
          </w:p>
        </w:tc>
        <w:tc>
          <w:tcPr>
            <w:tcW w:w="4728" w:type="dxa"/>
          </w:tcPr>
          <w:p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注册(办公)地址 :南京市玄武区苏宁大道1-6号</w:t>
            </w:r>
          </w:p>
          <w:p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客户服务电话：025-66996699</w:t>
            </w:r>
          </w:p>
          <w:p w:rsidR="004C06C5" w:rsidRDefault="00ED474B">
            <w:pPr>
              <w:spacing w:line="400" w:lineRule="exact"/>
              <w:jc w:val="left"/>
              <w:rPr>
                <w:rFonts w:asciiTheme="minorEastAsia" w:eastAsiaTheme="minorEastAsia" w:hAnsiTheme="minorEastAsia"/>
              </w:rPr>
            </w:pPr>
            <w:r>
              <w:rPr>
                <w:rFonts w:ascii="宋体" w:hAnsi="宋体" w:cs="Calibri" w:hint="eastAsia"/>
                <w:color w:val="000000"/>
                <w:szCs w:val="21"/>
              </w:rPr>
              <w:lastRenderedPageBreak/>
              <w:t>网址：</w:t>
            </w:r>
            <w:hyperlink r:id="rId25" w:history="1">
              <w:r>
                <w:rPr>
                  <w:rStyle w:val="afb"/>
                  <w:rFonts w:ascii="宋体" w:hAnsi="宋体" w:cs="Calibri"/>
                  <w:szCs w:val="21"/>
                </w:rPr>
                <w:t>www.snjijin</w:t>
              </w:r>
            </w:hyperlink>
            <w:r>
              <w:rPr>
                <w:rFonts w:ascii="宋体" w:hAnsi="宋体" w:cs="Calibri" w:hint="eastAsia"/>
                <w:color w:val="000000"/>
                <w:szCs w:val="21"/>
              </w:rPr>
              <w:t>.com</w:t>
            </w:r>
          </w:p>
        </w:tc>
      </w:tr>
      <w:tr w:rsidR="004C06C5">
        <w:tc>
          <w:tcPr>
            <w:tcW w:w="817" w:type="dxa"/>
          </w:tcPr>
          <w:p w:rsidR="004C06C5" w:rsidRDefault="00ED474B">
            <w:pPr>
              <w:spacing w:line="360" w:lineRule="auto"/>
              <w:jc w:val="center"/>
              <w:rPr>
                <w:rFonts w:asciiTheme="minorEastAsia" w:eastAsiaTheme="minorEastAsia" w:hAnsiTheme="minorEastAsia"/>
                <w:color w:val="000000"/>
                <w:kern w:val="0"/>
                <w:sz w:val="24"/>
              </w:rPr>
            </w:pPr>
            <w:r>
              <w:rPr>
                <w:rFonts w:ascii="宋体" w:hAnsi="宋体" w:cs="Calibri" w:hint="eastAsia"/>
                <w:color w:val="000000"/>
                <w:szCs w:val="21"/>
              </w:rPr>
              <w:lastRenderedPageBreak/>
              <w:t>41</w:t>
            </w:r>
          </w:p>
        </w:tc>
        <w:tc>
          <w:tcPr>
            <w:tcW w:w="2977" w:type="dxa"/>
          </w:tcPr>
          <w:p w:rsidR="004C06C5" w:rsidRDefault="00ED474B">
            <w:pPr>
              <w:spacing w:line="360" w:lineRule="auto"/>
              <w:jc w:val="center"/>
              <w:rPr>
                <w:rFonts w:asciiTheme="minorEastAsia" w:eastAsiaTheme="minorEastAsia" w:hAnsiTheme="minorEastAsia"/>
                <w:color w:val="000000" w:themeColor="text1"/>
                <w:szCs w:val="21"/>
              </w:rPr>
            </w:pPr>
            <w:r>
              <w:rPr>
                <w:rFonts w:ascii="宋体" w:hAnsi="宋体" w:cs="Calibri" w:hint="eastAsia"/>
                <w:color w:val="000000"/>
                <w:szCs w:val="21"/>
              </w:rPr>
              <w:t>中证金牛（北京）投资咨询有限公司</w:t>
            </w:r>
          </w:p>
        </w:tc>
        <w:tc>
          <w:tcPr>
            <w:tcW w:w="4728" w:type="dxa"/>
          </w:tcPr>
          <w:p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注册地址:北京市丰台区东管头</w:t>
            </w:r>
            <w:r>
              <w:rPr>
                <w:rFonts w:ascii="宋体" w:hAnsi="宋体" w:cs="Calibri"/>
                <w:color w:val="000000"/>
                <w:szCs w:val="21"/>
              </w:rPr>
              <w:t>1号2号楼2-45室</w:t>
            </w:r>
          </w:p>
          <w:p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客户服务电话：4008-909-998</w:t>
            </w:r>
          </w:p>
          <w:p w:rsidR="004C06C5" w:rsidRDefault="00ED474B">
            <w:pPr>
              <w:spacing w:line="400" w:lineRule="exact"/>
              <w:jc w:val="left"/>
              <w:rPr>
                <w:rFonts w:asciiTheme="minorEastAsia" w:eastAsiaTheme="minorEastAsia" w:hAnsiTheme="minorEastAsia"/>
              </w:rPr>
            </w:pPr>
            <w:r>
              <w:rPr>
                <w:rFonts w:ascii="宋体" w:hAnsi="宋体" w:cs="Calibri" w:hint="eastAsia"/>
                <w:color w:val="000000"/>
                <w:szCs w:val="21"/>
              </w:rPr>
              <w:t>网址：www.jnlc.com</w:t>
            </w:r>
          </w:p>
        </w:tc>
      </w:tr>
      <w:tr w:rsidR="004C06C5">
        <w:tc>
          <w:tcPr>
            <w:tcW w:w="817" w:type="dxa"/>
          </w:tcPr>
          <w:p w:rsidR="004C06C5" w:rsidRDefault="00ED474B">
            <w:pPr>
              <w:spacing w:line="360" w:lineRule="auto"/>
              <w:jc w:val="center"/>
              <w:rPr>
                <w:rFonts w:asciiTheme="minorEastAsia" w:eastAsiaTheme="minorEastAsia" w:hAnsiTheme="minorEastAsia"/>
                <w:color w:val="000000"/>
                <w:kern w:val="0"/>
                <w:sz w:val="24"/>
              </w:rPr>
            </w:pPr>
            <w:r>
              <w:rPr>
                <w:rFonts w:ascii="宋体" w:hAnsi="宋体" w:cs="Calibri" w:hint="eastAsia"/>
                <w:color w:val="000000"/>
                <w:szCs w:val="21"/>
              </w:rPr>
              <w:t>42</w:t>
            </w:r>
          </w:p>
        </w:tc>
        <w:tc>
          <w:tcPr>
            <w:tcW w:w="2977" w:type="dxa"/>
          </w:tcPr>
          <w:p w:rsidR="004C06C5" w:rsidRDefault="00ED474B">
            <w:pPr>
              <w:spacing w:line="360" w:lineRule="auto"/>
              <w:jc w:val="center"/>
              <w:rPr>
                <w:rFonts w:asciiTheme="minorEastAsia" w:eastAsiaTheme="minorEastAsia" w:hAnsiTheme="minorEastAsia"/>
                <w:color w:val="000000" w:themeColor="text1"/>
                <w:szCs w:val="21"/>
              </w:rPr>
            </w:pPr>
            <w:r>
              <w:rPr>
                <w:rFonts w:ascii="宋体" w:hAnsi="宋体" w:cs="Calibri" w:hint="eastAsia"/>
                <w:color w:val="000000"/>
                <w:szCs w:val="21"/>
              </w:rPr>
              <w:t>江苏汇林保大基金销售有限公司</w:t>
            </w:r>
          </w:p>
        </w:tc>
        <w:tc>
          <w:tcPr>
            <w:tcW w:w="4728" w:type="dxa"/>
          </w:tcPr>
          <w:p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地址:</w:t>
            </w:r>
            <w:r>
              <w:rPr>
                <w:rFonts w:ascii="宋体" w:hAnsi="宋体" w:cs="Calibri" w:hint="eastAsia"/>
                <w:color w:val="000000"/>
                <w:szCs w:val="21"/>
              </w:rPr>
              <w:t>南京市高淳区经济开发区古檀大道47号</w:t>
            </w:r>
          </w:p>
          <w:p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025-66046166</w:t>
            </w:r>
          </w:p>
          <w:p w:rsidR="004C06C5" w:rsidRDefault="00ED474B">
            <w:pPr>
              <w:spacing w:line="400" w:lineRule="exact"/>
              <w:jc w:val="left"/>
              <w:rPr>
                <w:rFonts w:asciiTheme="minorEastAsia" w:eastAsiaTheme="minorEastAsia" w:hAnsiTheme="minorEastAsia"/>
              </w:rPr>
            </w:pPr>
            <w:r>
              <w:rPr>
                <w:rFonts w:ascii="宋体" w:hAnsi="宋体" w:cs="Calibri" w:hint="eastAsia"/>
                <w:color w:val="000000"/>
                <w:szCs w:val="21"/>
              </w:rPr>
              <w:t>网址：www.huilinbd.com</w:t>
            </w:r>
          </w:p>
        </w:tc>
      </w:tr>
      <w:tr w:rsidR="004C06C5">
        <w:tc>
          <w:tcPr>
            <w:tcW w:w="817" w:type="dxa"/>
          </w:tcPr>
          <w:p w:rsidR="004C06C5" w:rsidRDefault="00ED474B">
            <w:pPr>
              <w:spacing w:line="360" w:lineRule="auto"/>
              <w:jc w:val="center"/>
              <w:rPr>
                <w:rFonts w:asciiTheme="minorEastAsia" w:eastAsiaTheme="minorEastAsia" w:hAnsiTheme="minorEastAsia"/>
                <w:color w:val="000000"/>
                <w:kern w:val="0"/>
                <w:sz w:val="24"/>
              </w:rPr>
            </w:pPr>
            <w:r>
              <w:rPr>
                <w:rFonts w:ascii="宋体" w:hAnsi="宋体" w:cs="Calibri" w:hint="eastAsia"/>
                <w:color w:val="000000"/>
                <w:szCs w:val="21"/>
              </w:rPr>
              <w:t>43</w:t>
            </w:r>
          </w:p>
        </w:tc>
        <w:tc>
          <w:tcPr>
            <w:tcW w:w="2977" w:type="dxa"/>
          </w:tcPr>
          <w:p w:rsidR="004C06C5" w:rsidRDefault="00ED474B">
            <w:pPr>
              <w:spacing w:line="360" w:lineRule="auto"/>
              <w:jc w:val="center"/>
              <w:rPr>
                <w:rFonts w:asciiTheme="minorEastAsia" w:eastAsiaTheme="minorEastAsia" w:hAnsiTheme="minorEastAsia"/>
                <w:color w:val="000000" w:themeColor="text1"/>
                <w:szCs w:val="21"/>
              </w:rPr>
            </w:pPr>
            <w:proofErr w:type="gramStart"/>
            <w:r>
              <w:rPr>
                <w:rFonts w:ascii="宋体" w:hAnsi="宋体" w:cs="Calibri" w:hint="eastAsia"/>
                <w:color w:val="000000"/>
                <w:szCs w:val="21"/>
              </w:rPr>
              <w:t>玄元保险</w:t>
            </w:r>
            <w:proofErr w:type="gramEnd"/>
            <w:r>
              <w:rPr>
                <w:rFonts w:ascii="宋体" w:hAnsi="宋体" w:cs="Calibri" w:hint="eastAsia"/>
                <w:color w:val="000000"/>
                <w:szCs w:val="21"/>
              </w:rPr>
              <w:t>代理有限公司</w:t>
            </w:r>
          </w:p>
        </w:tc>
        <w:tc>
          <w:tcPr>
            <w:tcW w:w="4728" w:type="dxa"/>
          </w:tcPr>
          <w:p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 xml:space="preserve">地址: </w:t>
            </w:r>
            <w:r>
              <w:rPr>
                <w:rFonts w:ascii="宋体" w:hAnsi="宋体" w:cs="Calibri" w:hint="eastAsia"/>
                <w:color w:val="000000"/>
                <w:szCs w:val="21"/>
              </w:rPr>
              <w:t>中国（上海）自由贸易试验区张杨路7</w:t>
            </w:r>
            <w:r>
              <w:rPr>
                <w:rFonts w:ascii="宋体" w:hAnsi="宋体" w:cs="Calibri"/>
                <w:color w:val="000000"/>
                <w:szCs w:val="21"/>
              </w:rPr>
              <w:t>07</w:t>
            </w:r>
            <w:r>
              <w:rPr>
                <w:rFonts w:ascii="宋体" w:hAnsi="宋体" w:cs="Calibri" w:hint="eastAsia"/>
                <w:color w:val="000000"/>
                <w:szCs w:val="21"/>
              </w:rPr>
              <w:t>号1</w:t>
            </w:r>
            <w:r>
              <w:rPr>
                <w:rFonts w:ascii="宋体" w:hAnsi="宋体" w:cs="Calibri"/>
                <w:color w:val="000000"/>
                <w:szCs w:val="21"/>
              </w:rPr>
              <w:t>105</w:t>
            </w:r>
            <w:r>
              <w:rPr>
                <w:rFonts w:ascii="宋体" w:hAnsi="宋体" w:cs="Calibri" w:hint="eastAsia"/>
                <w:color w:val="000000"/>
                <w:szCs w:val="21"/>
              </w:rPr>
              <w:t>室</w:t>
            </w:r>
          </w:p>
          <w:p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客户服务电话：0</w:t>
            </w:r>
            <w:r>
              <w:rPr>
                <w:rFonts w:ascii="宋体" w:hAnsi="宋体" w:cs="Calibri"/>
                <w:color w:val="000000"/>
                <w:szCs w:val="21"/>
              </w:rPr>
              <w:t>21-50701003</w:t>
            </w:r>
          </w:p>
          <w:p w:rsidR="004C06C5" w:rsidRDefault="00ED474B">
            <w:pPr>
              <w:spacing w:line="400" w:lineRule="exact"/>
              <w:jc w:val="left"/>
              <w:rPr>
                <w:rFonts w:asciiTheme="minorEastAsia" w:eastAsiaTheme="minorEastAsia" w:hAnsiTheme="minorEastAsia"/>
              </w:rPr>
            </w:pPr>
            <w:r>
              <w:rPr>
                <w:rFonts w:ascii="宋体" w:hAnsi="宋体" w:cs="Calibri" w:hint="eastAsia"/>
                <w:color w:val="000000"/>
                <w:szCs w:val="21"/>
              </w:rPr>
              <w:t>网址：</w:t>
            </w:r>
            <w:r>
              <w:rPr>
                <w:rFonts w:ascii="宋体" w:hAnsi="宋体" w:cs="Calibri"/>
                <w:color w:val="000000"/>
                <w:szCs w:val="21"/>
              </w:rPr>
              <w:t>www.licaimofang.cn</w:t>
            </w:r>
          </w:p>
        </w:tc>
      </w:tr>
      <w:tr w:rsidR="004C06C5">
        <w:tc>
          <w:tcPr>
            <w:tcW w:w="817" w:type="dxa"/>
          </w:tcPr>
          <w:p w:rsidR="004C06C5" w:rsidRDefault="00ED474B">
            <w:pPr>
              <w:spacing w:line="360" w:lineRule="auto"/>
              <w:jc w:val="center"/>
              <w:rPr>
                <w:rFonts w:asciiTheme="minorEastAsia" w:eastAsiaTheme="minorEastAsia" w:hAnsiTheme="minorEastAsia"/>
                <w:color w:val="000000"/>
                <w:kern w:val="0"/>
                <w:sz w:val="24"/>
              </w:rPr>
            </w:pPr>
            <w:r>
              <w:rPr>
                <w:rFonts w:ascii="宋体" w:hAnsi="宋体" w:cs="Calibri" w:hint="eastAsia"/>
                <w:color w:val="000000"/>
                <w:szCs w:val="21"/>
              </w:rPr>
              <w:t>44</w:t>
            </w:r>
          </w:p>
        </w:tc>
        <w:tc>
          <w:tcPr>
            <w:tcW w:w="2977" w:type="dxa"/>
          </w:tcPr>
          <w:p w:rsidR="004C06C5" w:rsidRDefault="00ED474B">
            <w:pPr>
              <w:spacing w:line="360" w:lineRule="auto"/>
              <w:jc w:val="center"/>
              <w:rPr>
                <w:rFonts w:asciiTheme="minorEastAsia" w:eastAsiaTheme="minorEastAsia" w:hAnsiTheme="minorEastAsia"/>
                <w:color w:val="000000" w:themeColor="text1"/>
                <w:szCs w:val="21"/>
              </w:rPr>
            </w:pPr>
            <w:proofErr w:type="gramStart"/>
            <w:r>
              <w:rPr>
                <w:rFonts w:ascii="宋体" w:hAnsi="宋体" w:cs="Calibri" w:hint="eastAsia"/>
                <w:color w:val="000000"/>
                <w:szCs w:val="21"/>
              </w:rPr>
              <w:t>宜信普</w:t>
            </w:r>
            <w:proofErr w:type="gramEnd"/>
            <w:r>
              <w:rPr>
                <w:rFonts w:ascii="宋体" w:hAnsi="宋体" w:cs="Calibri" w:hint="eastAsia"/>
                <w:color w:val="000000"/>
                <w:szCs w:val="21"/>
              </w:rPr>
              <w:t>泽（北京）基金销售有限公司</w:t>
            </w:r>
          </w:p>
        </w:tc>
        <w:tc>
          <w:tcPr>
            <w:tcW w:w="4728" w:type="dxa"/>
          </w:tcPr>
          <w:p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 xml:space="preserve">地址: </w:t>
            </w:r>
            <w:r>
              <w:rPr>
                <w:rFonts w:ascii="宋体" w:hAnsi="宋体" w:cs="Calibri" w:hint="eastAsia"/>
                <w:color w:val="000000"/>
                <w:szCs w:val="21"/>
              </w:rPr>
              <w:t>北京市</w:t>
            </w:r>
            <w:r>
              <w:rPr>
                <w:rFonts w:ascii="宋体" w:hAnsi="宋体" w:cs="Calibri"/>
                <w:color w:val="000000"/>
                <w:szCs w:val="21"/>
              </w:rPr>
              <w:t>朝阳区建国路</w:t>
            </w:r>
            <w:r>
              <w:rPr>
                <w:rFonts w:ascii="宋体" w:hAnsi="宋体" w:cs="Calibri" w:hint="eastAsia"/>
                <w:color w:val="000000"/>
                <w:szCs w:val="21"/>
              </w:rPr>
              <w:t>88号9号</w:t>
            </w:r>
            <w:r>
              <w:rPr>
                <w:rFonts w:ascii="宋体" w:hAnsi="宋体" w:cs="Calibri"/>
                <w:color w:val="000000"/>
                <w:szCs w:val="21"/>
              </w:rPr>
              <w:t>楼</w:t>
            </w:r>
            <w:r>
              <w:rPr>
                <w:rFonts w:ascii="宋体" w:hAnsi="宋体" w:cs="Calibri" w:hint="eastAsia"/>
                <w:color w:val="000000"/>
                <w:szCs w:val="21"/>
              </w:rPr>
              <w:t>15层1809</w:t>
            </w:r>
          </w:p>
          <w:p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客户服务电话：400</w:t>
            </w:r>
            <w:r>
              <w:rPr>
                <w:rFonts w:ascii="宋体" w:hAnsi="宋体" w:cs="Calibri"/>
                <w:color w:val="000000"/>
                <w:szCs w:val="21"/>
              </w:rPr>
              <w:t>6099200</w:t>
            </w:r>
          </w:p>
          <w:p w:rsidR="004C06C5" w:rsidRDefault="00ED474B">
            <w:pPr>
              <w:spacing w:line="400" w:lineRule="exact"/>
              <w:jc w:val="left"/>
              <w:rPr>
                <w:rFonts w:asciiTheme="minorEastAsia" w:eastAsiaTheme="minorEastAsia" w:hAnsiTheme="minorEastAsia"/>
              </w:rPr>
            </w:pPr>
            <w:r>
              <w:rPr>
                <w:rFonts w:ascii="宋体" w:hAnsi="宋体" w:cs="Calibri" w:hint="eastAsia"/>
                <w:color w:val="000000"/>
                <w:szCs w:val="21"/>
              </w:rPr>
              <w:t>网址：</w:t>
            </w:r>
            <w:r>
              <w:rPr>
                <w:rFonts w:ascii="宋体" w:hAnsi="宋体" w:cs="Calibri"/>
                <w:color w:val="000000"/>
                <w:szCs w:val="21"/>
              </w:rPr>
              <w:t>http://www.yixinfund.com/</w:t>
            </w:r>
          </w:p>
        </w:tc>
      </w:tr>
      <w:tr w:rsidR="004C06C5">
        <w:tc>
          <w:tcPr>
            <w:tcW w:w="817" w:type="dxa"/>
          </w:tcPr>
          <w:p w:rsidR="004C06C5" w:rsidRDefault="00ED474B">
            <w:pPr>
              <w:spacing w:line="360" w:lineRule="auto"/>
              <w:jc w:val="center"/>
              <w:rPr>
                <w:rFonts w:asciiTheme="minorEastAsia" w:eastAsiaTheme="minorEastAsia" w:hAnsiTheme="minorEastAsia"/>
                <w:color w:val="000000"/>
                <w:kern w:val="0"/>
                <w:sz w:val="24"/>
              </w:rPr>
            </w:pPr>
            <w:r>
              <w:rPr>
                <w:rFonts w:ascii="宋体" w:hAnsi="宋体" w:cs="Calibri" w:hint="eastAsia"/>
                <w:color w:val="000000"/>
                <w:szCs w:val="21"/>
              </w:rPr>
              <w:t>45</w:t>
            </w:r>
          </w:p>
        </w:tc>
        <w:tc>
          <w:tcPr>
            <w:tcW w:w="2977" w:type="dxa"/>
          </w:tcPr>
          <w:p w:rsidR="004C06C5" w:rsidRDefault="00ED474B">
            <w:pPr>
              <w:spacing w:line="360" w:lineRule="auto"/>
              <w:jc w:val="center"/>
              <w:rPr>
                <w:rFonts w:asciiTheme="minorEastAsia" w:eastAsiaTheme="minorEastAsia" w:hAnsiTheme="minorEastAsia"/>
                <w:color w:val="000000" w:themeColor="text1"/>
                <w:szCs w:val="21"/>
              </w:rPr>
            </w:pPr>
            <w:r>
              <w:rPr>
                <w:rFonts w:ascii="宋体" w:hAnsi="宋体" w:cs="Calibri" w:hint="eastAsia"/>
                <w:color w:val="000000"/>
                <w:szCs w:val="21"/>
              </w:rPr>
              <w:t>喜鹊财富基金销售有限公司</w:t>
            </w:r>
          </w:p>
        </w:tc>
        <w:tc>
          <w:tcPr>
            <w:tcW w:w="4728" w:type="dxa"/>
          </w:tcPr>
          <w:p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 xml:space="preserve">地址: </w:t>
            </w:r>
            <w:r>
              <w:rPr>
                <w:rFonts w:ascii="宋体" w:hAnsi="宋体" w:cs="Calibri" w:hint="eastAsia"/>
                <w:color w:val="000000"/>
                <w:szCs w:val="21"/>
              </w:rPr>
              <w:t>西藏拉萨市柳梧新区柳梧大厦1513室</w:t>
            </w:r>
          </w:p>
          <w:p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客户服务电话：400-699-7719</w:t>
            </w:r>
          </w:p>
          <w:p w:rsidR="004C06C5" w:rsidRDefault="00ED474B">
            <w:pPr>
              <w:spacing w:line="400" w:lineRule="exact"/>
              <w:jc w:val="left"/>
              <w:rPr>
                <w:rFonts w:asciiTheme="minorEastAsia" w:eastAsiaTheme="minorEastAsia" w:hAnsiTheme="minorEastAsia"/>
              </w:rPr>
            </w:pPr>
            <w:r>
              <w:rPr>
                <w:rFonts w:ascii="宋体" w:hAnsi="宋体" w:cs="Calibri" w:hint="eastAsia"/>
                <w:color w:val="000000"/>
                <w:szCs w:val="21"/>
              </w:rPr>
              <w:t>网址：www.xiquefund.com</w:t>
            </w:r>
          </w:p>
        </w:tc>
      </w:tr>
      <w:tr w:rsidR="004C06C5">
        <w:tc>
          <w:tcPr>
            <w:tcW w:w="817" w:type="dxa"/>
          </w:tcPr>
          <w:p w:rsidR="004C06C5" w:rsidRDefault="00ED474B">
            <w:pPr>
              <w:spacing w:line="360" w:lineRule="auto"/>
              <w:jc w:val="center"/>
              <w:rPr>
                <w:rFonts w:asciiTheme="minorEastAsia" w:eastAsiaTheme="minorEastAsia" w:hAnsiTheme="minorEastAsia"/>
                <w:color w:val="000000"/>
                <w:kern w:val="0"/>
                <w:sz w:val="24"/>
              </w:rPr>
            </w:pPr>
            <w:r>
              <w:rPr>
                <w:rFonts w:ascii="宋体" w:hAnsi="宋体" w:cs="Calibri" w:hint="eastAsia"/>
                <w:color w:val="000000"/>
                <w:szCs w:val="21"/>
              </w:rPr>
              <w:t>46</w:t>
            </w:r>
          </w:p>
        </w:tc>
        <w:tc>
          <w:tcPr>
            <w:tcW w:w="2977" w:type="dxa"/>
          </w:tcPr>
          <w:p w:rsidR="004C06C5" w:rsidRDefault="00ED474B">
            <w:pPr>
              <w:spacing w:line="360" w:lineRule="auto"/>
              <w:jc w:val="center"/>
              <w:rPr>
                <w:rFonts w:asciiTheme="minorEastAsia" w:eastAsiaTheme="minorEastAsia" w:hAnsiTheme="minorEastAsia"/>
                <w:color w:val="000000" w:themeColor="text1"/>
                <w:szCs w:val="21"/>
              </w:rPr>
            </w:pPr>
            <w:r>
              <w:rPr>
                <w:rFonts w:ascii="宋体" w:hAnsi="宋体" w:cs="Calibri" w:hint="eastAsia"/>
                <w:bCs/>
                <w:color w:val="000000"/>
                <w:szCs w:val="21"/>
              </w:rPr>
              <w:t>安信证券股份有限公司</w:t>
            </w:r>
          </w:p>
        </w:tc>
        <w:tc>
          <w:tcPr>
            <w:tcW w:w="4728" w:type="dxa"/>
          </w:tcPr>
          <w:p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 xml:space="preserve">地址: </w:t>
            </w:r>
            <w:r>
              <w:rPr>
                <w:rFonts w:ascii="宋体" w:hAnsi="宋体" w:cs="Calibri" w:hint="eastAsia"/>
                <w:color w:val="000000"/>
                <w:szCs w:val="21"/>
              </w:rPr>
              <w:t>深圳市福田区金田路4018号安联大厦35层、28层A02单元</w:t>
            </w:r>
          </w:p>
          <w:p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客户服务电话：95517</w:t>
            </w:r>
          </w:p>
          <w:p w:rsidR="004C06C5" w:rsidRDefault="00ED474B">
            <w:pPr>
              <w:spacing w:line="400" w:lineRule="exact"/>
              <w:jc w:val="left"/>
              <w:rPr>
                <w:rFonts w:asciiTheme="minorEastAsia" w:eastAsiaTheme="minorEastAsia" w:hAnsiTheme="minorEastAsia"/>
              </w:rPr>
            </w:pPr>
            <w:r>
              <w:rPr>
                <w:rFonts w:ascii="宋体" w:hAnsi="宋体" w:cs="Calibri" w:hint="eastAsia"/>
                <w:color w:val="000000"/>
                <w:szCs w:val="21"/>
              </w:rPr>
              <w:t>网址：http://www.essence.com.cn/</w:t>
            </w:r>
          </w:p>
        </w:tc>
      </w:tr>
    </w:tbl>
    <w:p w:rsidR="004C06C5" w:rsidRDefault="004C06C5">
      <w:pPr>
        <w:snapToGrid w:val="0"/>
        <w:spacing w:line="360" w:lineRule="auto"/>
        <w:ind w:firstLineChars="200" w:firstLine="420"/>
        <w:rPr>
          <w:rFonts w:ascii="Arial Unicode MS" w:hAnsi="Arial Unicode MS" w:cs="Arial"/>
          <w:color w:val="000000"/>
          <w:kern w:val="0"/>
          <w:szCs w:val="21"/>
        </w:rPr>
      </w:pPr>
    </w:p>
    <w:p w:rsidR="004C06C5" w:rsidRDefault="00ED474B">
      <w:pPr>
        <w:snapToGrid w:val="0"/>
        <w:spacing w:line="360" w:lineRule="auto"/>
        <w:ind w:firstLineChars="200" w:firstLine="422"/>
        <w:rPr>
          <w:rFonts w:ascii="Arial Unicode MS" w:hAnsi="Arial Unicode MS" w:cs="Arial"/>
          <w:b/>
          <w:color w:val="000000"/>
          <w:szCs w:val="21"/>
        </w:rPr>
      </w:pPr>
      <w:r>
        <w:rPr>
          <w:rFonts w:ascii="Arial Unicode MS" w:hAnsi="Arial Unicode MS" w:cs="Arial"/>
          <w:b/>
          <w:color w:val="000000"/>
          <w:szCs w:val="21"/>
        </w:rPr>
        <w:t>二、登记机构</w:t>
      </w:r>
    </w:p>
    <w:p w:rsidR="004C06C5" w:rsidRDefault="00ED474B">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名称：富</w:t>
      </w:r>
      <w:proofErr w:type="gramStart"/>
      <w:r>
        <w:rPr>
          <w:rFonts w:ascii="Arial Unicode MS" w:hAnsi="Arial Unicode MS" w:cs="Arial" w:hint="eastAsia"/>
          <w:kern w:val="0"/>
          <w:szCs w:val="21"/>
        </w:rPr>
        <w:t>荣基金</w:t>
      </w:r>
      <w:proofErr w:type="gramEnd"/>
      <w:r>
        <w:rPr>
          <w:rFonts w:ascii="Arial Unicode MS" w:hAnsi="Arial Unicode MS" w:cs="Arial" w:hint="eastAsia"/>
          <w:kern w:val="0"/>
          <w:szCs w:val="21"/>
        </w:rPr>
        <w:t>管理有限公司</w:t>
      </w:r>
      <w:r>
        <w:rPr>
          <w:rFonts w:ascii="Arial Unicode MS" w:hAnsi="Arial Unicode MS" w:cs="Arial" w:hint="eastAsia"/>
          <w:kern w:val="0"/>
          <w:szCs w:val="21"/>
        </w:rPr>
        <w:t xml:space="preserve"> </w:t>
      </w:r>
    </w:p>
    <w:p w:rsidR="004C06C5" w:rsidRDefault="00ED474B">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住所：广东省广州市南沙区海滨路</w:t>
      </w:r>
      <w:r>
        <w:rPr>
          <w:rFonts w:ascii="Arial Unicode MS" w:hAnsi="Arial Unicode MS" w:cs="Arial" w:hint="eastAsia"/>
          <w:kern w:val="0"/>
          <w:szCs w:val="21"/>
        </w:rPr>
        <w:t>171</w:t>
      </w:r>
      <w:r>
        <w:rPr>
          <w:rFonts w:ascii="Arial Unicode MS" w:hAnsi="Arial Unicode MS" w:cs="Arial" w:hint="eastAsia"/>
          <w:kern w:val="0"/>
          <w:szCs w:val="21"/>
        </w:rPr>
        <w:t>号南沙金融大厦</w:t>
      </w:r>
      <w:r>
        <w:rPr>
          <w:rFonts w:ascii="Arial Unicode MS" w:hAnsi="Arial Unicode MS" w:cs="Arial" w:hint="eastAsia"/>
          <w:kern w:val="0"/>
          <w:szCs w:val="21"/>
        </w:rPr>
        <w:t>11</w:t>
      </w:r>
      <w:r>
        <w:rPr>
          <w:rFonts w:ascii="Arial Unicode MS" w:hAnsi="Arial Unicode MS" w:cs="Arial" w:hint="eastAsia"/>
          <w:kern w:val="0"/>
          <w:szCs w:val="21"/>
        </w:rPr>
        <w:t>楼</w:t>
      </w:r>
      <w:r>
        <w:rPr>
          <w:rFonts w:ascii="Arial Unicode MS" w:hAnsi="Arial Unicode MS" w:cs="Arial" w:hint="eastAsia"/>
          <w:kern w:val="0"/>
          <w:szCs w:val="21"/>
        </w:rPr>
        <w:t>1101</w:t>
      </w:r>
      <w:r>
        <w:rPr>
          <w:rFonts w:ascii="Arial Unicode MS" w:hAnsi="Arial Unicode MS" w:cs="Arial" w:hint="eastAsia"/>
          <w:kern w:val="0"/>
          <w:szCs w:val="21"/>
        </w:rPr>
        <w:t>之一</w:t>
      </w:r>
      <w:r>
        <w:rPr>
          <w:rFonts w:ascii="Arial Unicode MS" w:hAnsi="Arial Unicode MS" w:cs="Arial" w:hint="eastAsia"/>
          <w:kern w:val="0"/>
          <w:szCs w:val="21"/>
        </w:rPr>
        <w:t xml:space="preserve">J20 </w:t>
      </w:r>
    </w:p>
    <w:p w:rsidR="004C06C5" w:rsidRDefault="00ED474B">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办公地址：深圳市福田区八卦四路</w:t>
      </w:r>
      <w:r>
        <w:rPr>
          <w:rFonts w:ascii="Arial Unicode MS" w:hAnsi="Arial Unicode MS" w:cs="Arial" w:hint="eastAsia"/>
          <w:kern w:val="0"/>
          <w:szCs w:val="21"/>
        </w:rPr>
        <w:t>52</w:t>
      </w:r>
      <w:r>
        <w:rPr>
          <w:rFonts w:ascii="Arial Unicode MS" w:hAnsi="Arial Unicode MS" w:cs="Arial" w:hint="eastAsia"/>
          <w:kern w:val="0"/>
          <w:szCs w:val="21"/>
        </w:rPr>
        <w:t>号安吉</w:t>
      </w:r>
      <w:proofErr w:type="gramStart"/>
      <w:r>
        <w:rPr>
          <w:rFonts w:ascii="Arial Unicode MS" w:hAnsi="Arial Unicode MS" w:cs="Arial" w:hint="eastAsia"/>
          <w:kern w:val="0"/>
          <w:szCs w:val="21"/>
        </w:rPr>
        <w:t>尔大厦</w:t>
      </w:r>
      <w:proofErr w:type="gramEnd"/>
      <w:r>
        <w:rPr>
          <w:rFonts w:ascii="Arial Unicode MS" w:hAnsi="Arial Unicode MS" w:cs="Arial" w:hint="eastAsia"/>
          <w:kern w:val="0"/>
          <w:szCs w:val="21"/>
        </w:rPr>
        <w:t>24</w:t>
      </w:r>
      <w:r>
        <w:rPr>
          <w:rFonts w:ascii="Arial Unicode MS" w:hAnsi="Arial Unicode MS" w:cs="Arial" w:hint="eastAsia"/>
          <w:kern w:val="0"/>
          <w:szCs w:val="21"/>
        </w:rPr>
        <w:t>层</w:t>
      </w:r>
    </w:p>
    <w:p w:rsidR="004C06C5" w:rsidRDefault="00ED474B">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法定代表人：杨小舟</w:t>
      </w:r>
      <w:r>
        <w:rPr>
          <w:rFonts w:ascii="Arial Unicode MS" w:hAnsi="Arial Unicode MS" w:cs="Arial" w:hint="eastAsia"/>
          <w:kern w:val="0"/>
          <w:szCs w:val="21"/>
        </w:rPr>
        <w:t xml:space="preserve"> </w:t>
      </w:r>
    </w:p>
    <w:p w:rsidR="004C06C5" w:rsidRDefault="00ED474B">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联系人：黄文飞</w:t>
      </w:r>
    </w:p>
    <w:p w:rsidR="004C06C5" w:rsidRDefault="00ED474B">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电话：</w:t>
      </w:r>
      <w:r>
        <w:rPr>
          <w:rFonts w:ascii="Arial Unicode MS" w:hAnsi="Arial Unicode MS" w:cs="Arial" w:hint="eastAsia"/>
          <w:kern w:val="0"/>
          <w:szCs w:val="21"/>
        </w:rPr>
        <w:t xml:space="preserve"> 0755-84356604</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lastRenderedPageBreak/>
        <w:t>传真：</w:t>
      </w:r>
      <w:r>
        <w:rPr>
          <w:rFonts w:ascii="Arial Unicode MS" w:hAnsi="Arial Unicode MS" w:cs="Arial" w:hint="eastAsia"/>
          <w:kern w:val="0"/>
          <w:szCs w:val="21"/>
        </w:rPr>
        <w:t xml:space="preserve"> 0755-83230787</w:t>
      </w:r>
    </w:p>
    <w:p w:rsidR="004C06C5" w:rsidRDefault="00ED474B">
      <w:pPr>
        <w:snapToGrid w:val="0"/>
        <w:spacing w:line="360" w:lineRule="auto"/>
        <w:ind w:firstLineChars="200" w:firstLine="422"/>
        <w:rPr>
          <w:rFonts w:ascii="Arial Unicode MS" w:hAnsi="Arial Unicode MS" w:cs="Arial"/>
          <w:b/>
          <w:szCs w:val="21"/>
        </w:rPr>
      </w:pPr>
      <w:r>
        <w:rPr>
          <w:rFonts w:ascii="Arial Unicode MS" w:hAnsi="Arial Unicode MS" w:cs="Arial" w:hint="eastAsia"/>
          <w:b/>
          <w:szCs w:val="21"/>
        </w:rPr>
        <w:t>三</w:t>
      </w:r>
      <w:r>
        <w:rPr>
          <w:rFonts w:ascii="Arial Unicode MS" w:hAnsi="Arial Unicode MS" w:cs="Arial"/>
          <w:b/>
          <w:szCs w:val="21"/>
        </w:rPr>
        <w:t>、</w:t>
      </w:r>
      <w:r>
        <w:rPr>
          <w:rFonts w:ascii="Arial Unicode MS" w:hAnsi="Arial Unicode MS" w:hint="eastAsia"/>
          <w:b/>
          <w:bCs/>
        </w:rPr>
        <w:t>出具法律意见书的律师事务所</w:t>
      </w:r>
    </w:p>
    <w:p w:rsidR="004C06C5" w:rsidRDefault="00ED474B">
      <w:pPr>
        <w:snapToGrid w:val="0"/>
        <w:spacing w:line="360" w:lineRule="auto"/>
        <w:ind w:firstLineChars="200" w:firstLine="420"/>
        <w:rPr>
          <w:rFonts w:ascii="Arial Unicode MS" w:hAnsi="Arial Unicode MS" w:cs="Arial"/>
          <w:color w:val="000000"/>
          <w:kern w:val="0"/>
          <w:szCs w:val="21"/>
        </w:rPr>
      </w:pPr>
      <w:r>
        <w:rPr>
          <w:rFonts w:ascii="Arial Unicode MS" w:hAnsi="Arial Unicode MS" w:cs="Arial" w:hint="eastAsia"/>
          <w:color w:val="000000"/>
          <w:kern w:val="0"/>
          <w:szCs w:val="21"/>
        </w:rPr>
        <w:t>名称：上海市通力律师事务所</w:t>
      </w:r>
    </w:p>
    <w:p w:rsidR="004C06C5" w:rsidRDefault="00ED474B">
      <w:pPr>
        <w:snapToGrid w:val="0"/>
        <w:spacing w:line="360" w:lineRule="auto"/>
        <w:ind w:firstLineChars="200" w:firstLine="420"/>
        <w:rPr>
          <w:rFonts w:ascii="Arial Unicode MS" w:hAnsi="Arial Unicode MS" w:cs="Arial"/>
          <w:color w:val="000000"/>
          <w:kern w:val="0"/>
          <w:szCs w:val="21"/>
        </w:rPr>
      </w:pPr>
      <w:r>
        <w:rPr>
          <w:rFonts w:ascii="Arial Unicode MS" w:hAnsi="Arial Unicode MS" w:cs="Arial" w:hint="eastAsia"/>
          <w:color w:val="000000"/>
          <w:kern w:val="0"/>
          <w:szCs w:val="21"/>
        </w:rPr>
        <w:t>住所：上海市银城中路</w:t>
      </w:r>
      <w:r>
        <w:rPr>
          <w:rFonts w:ascii="Arial Unicode MS" w:hAnsi="Arial Unicode MS" w:cs="Arial" w:hint="eastAsia"/>
          <w:color w:val="000000"/>
          <w:kern w:val="0"/>
          <w:szCs w:val="21"/>
        </w:rPr>
        <w:t>68</w:t>
      </w:r>
      <w:r>
        <w:rPr>
          <w:rFonts w:ascii="Arial Unicode MS" w:hAnsi="Arial Unicode MS" w:cs="Arial" w:hint="eastAsia"/>
          <w:color w:val="000000"/>
          <w:kern w:val="0"/>
          <w:szCs w:val="21"/>
        </w:rPr>
        <w:t>号时代金融中心</w:t>
      </w:r>
      <w:r>
        <w:rPr>
          <w:rFonts w:ascii="Arial Unicode MS" w:hAnsi="Arial Unicode MS" w:cs="Arial" w:hint="eastAsia"/>
          <w:color w:val="000000"/>
          <w:kern w:val="0"/>
          <w:szCs w:val="21"/>
        </w:rPr>
        <w:t>19</w:t>
      </w:r>
      <w:r>
        <w:rPr>
          <w:rFonts w:ascii="Arial Unicode MS" w:hAnsi="Arial Unicode MS" w:cs="Arial" w:hint="eastAsia"/>
          <w:color w:val="000000"/>
          <w:kern w:val="0"/>
          <w:szCs w:val="21"/>
        </w:rPr>
        <w:t>楼</w:t>
      </w:r>
    </w:p>
    <w:p w:rsidR="004C06C5" w:rsidRDefault="00ED474B">
      <w:pPr>
        <w:snapToGrid w:val="0"/>
        <w:spacing w:line="360" w:lineRule="auto"/>
        <w:ind w:firstLineChars="200" w:firstLine="420"/>
        <w:rPr>
          <w:rFonts w:ascii="Arial Unicode MS" w:hAnsi="Arial Unicode MS" w:cs="Arial"/>
          <w:color w:val="000000"/>
          <w:kern w:val="0"/>
          <w:szCs w:val="21"/>
        </w:rPr>
      </w:pPr>
      <w:r>
        <w:rPr>
          <w:rFonts w:ascii="Arial Unicode MS" w:hAnsi="Arial Unicode MS" w:cs="Arial" w:hint="eastAsia"/>
          <w:color w:val="000000"/>
          <w:kern w:val="0"/>
          <w:szCs w:val="21"/>
        </w:rPr>
        <w:t>办公地址：上海市银城中路</w:t>
      </w:r>
      <w:r>
        <w:rPr>
          <w:rFonts w:ascii="Arial Unicode MS" w:hAnsi="Arial Unicode MS" w:cs="Arial" w:hint="eastAsia"/>
          <w:color w:val="000000"/>
          <w:kern w:val="0"/>
          <w:szCs w:val="21"/>
        </w:rPr>
        <w:t>68</w:t>
      </w:r>
      <w:r>
        <w:rPr>
          <w:rFonts w:ascii="Arial Unicode MS" w:hAnsi="Arial Unicode MS" w:cs="Arial" w:hint="eastAsia"/>
          <w:color w:val="000000"/>
          <w:kern w:val="0"/>
          <w:szCs w:val="21"/>
        </w:rPr>
        <w:t>号时代金融中心</w:t>
      </w:r>
      <w:r>
        <w:rPr>
          <w:rFonts w:ascii="Arial Unicode MS" w:hAnsi="Arial Unicode MS" w:cs="Arial" w:hint="eastAsia"/>
          <w:color w:val="000000"/>
          <w:kern w:val="0"/>
          <w:szCs w:val="21"/>
        </w:rPr>
        <w:t>19</w:t>
      </w:r>
      <w:r>
        <w:rPr>
          <w:rFonts w:ascii="Arial Unicode MS" w:hAnsi="Arial Unicode MS" w:cs="Arial" w:hint="eastAsia"/>
          <w:color w:val="000000"/>
          <w:kern w:val="0"/>
          <w:szCs w:val="21"/>
        </w:rPr>
        <w:t>楼</w:t>
      </w:r>
    </w:p>
    <w:p w:rsidR="004C06C5" w:rsidRDefault="00ED474B">
      <w:pPr>
        <w:snapToGrid w:val="0"/>
        <w:spacing w:line="360" w:lineRule="auto"/>
        <w:ind w:firstLineChars="200" w:firstLine="420"/>
        <w:rPr>
          <w:rFonts w:ascii="Arial Unicode MS" w:hAnsi="Arial Unicode MS" w:cs="Arial"/>
          <w:color w:val="000000"/>
          <w:kern w:val="0"/>
          <w:szCs w:val="21"/>
        </w:rPr>
      </w:pPr>
      <w:r>
        <w:rPr>
          <w:rFonts w:ascii="Arial Unicode MS" w:hAnsi="Arial Unicode MS" w:cs="Arial" w:hint="eastAsia"/>
          <w:color w:val="000000"/>
          <w:kern w:val="0"/>
          <w:szCs w:val="21"/>
        </w:rPr>
        <w:t>负责人：俞卫锋</w:t>
      </w:r>
    </w:p>
    <w:p w:rsidR="004C06C5" w:rsidRDefault="00ED474B">
      <w:pPr>
        <w:snapToGrid w:val="0"/>
        <w:spacing w:line="360" w:lineRule="auto"/>
        <w:ind w:firstLineChars="200" w:firstLine="420"/>
        <w:rPr>
          <w:rFonts w:ascii="Arial Unicode MS" w:hAnsi="Arial Unicode MS" w:cs="Arial"/>
          <w:color w:val="000000"/>
          <w:kern w:val="0"/>
          <w:szCs w:val="21"/>
        </w:rPr>
      </w:pPr>
      <w:r>
        <w:rPr>
          <w:rFonts w:ascii="Arial Unicode MS" w:hAnsi="Arial Unicode MS" w:cs="Arial" w:hint="eastAsia"/>
          <w:color w:val="000000"/>
          <w:kern w:val="0"/>
          <w:szCs w:val="21"/>
        </w:rPr>
        <w:t>电话：</w:t>
      </w:r>
      <w:r>
        <w:rPr>
          <w:rFonts w:ascii="Arial Unicode MS" w:hAnsi="Arial Unicode MS" w:cs="Arial" w:hint="eastAsia"/>
          <w:color w:val="000000"/>
          <w:kern w:val="0"/>
          <w:szCs w:val="21"/>
        </w:rPr>
        <w:t>021-31358666</w:t>
      </w:r>
    </w:p>
    <w:p w:rsidR="004C06C5" w:rsidRDefault="00ED474B">
      <w:pPr>
        <w:snapToGrid w:val="0"/>
        <w:spacing w:line="360" w:lineRule="auto"/>
        <w:ind w:firstLineChars="200" w:firstLine="420"/>
        <w:rPr>
          <w:rFonts w:ascii="Arial Unicode MS" w:hAnsi="Arial Unicode MS" w:cs="Arial"/>
          <w:color w:val="000000"/>
          <w:kern w:val="0"/>
          <w:szCs w:val="21"/>
        </w:rPr>
      </w:pPr>
      <w:r>
        <w:rPr>
          <w:rFonts w:ascii="Arial Unicode MS" w:hAnsi="Arial Unicode MS" w:cs="Arial" w:hint="eastAsia"/>
          <w:color w:val="000000"/>
          <w:kern w:val="0"/>
          <w:szCs w:val="21"/>
        </w:rPr>
        <w:t>传真：</w:t>
      </w:r>
      <w:r>
        <w:rPr>
          <w:rFonts w:ascii="Arial Unicode MS" w:hAnsi="Arial Unicode MS" w:cs="Arial" w:hint="eastAsia"/>
          <w:color w:val="000000"/>
          <w:kern w:val="0"/>
          <w:szCs w:val="21"/>
        </w:rPr>
        <w:t>021-31358600</w:t>
      </w:r>
    </w:p>
    <w:p w:rsidR="004C06C5" w:rsidRDefault="00ED474B">
      <w:pPr>
        <w:snapToGrid w:val="0"/>
        <w:spacing w:line="360" w:lineRule="auto"/>
        <w:ind w:firstLineChars="200" w:firstLine="420"/>
        <w:rPr>
          <w:rFonts w:ascii="Arial Unicode MS" w:hAnsi="Arial Unicode MS" w:cs="Arial"/>
          <w:color w:val="000000"/>
          <w:kern w:val="0"/>
          <w:szCs w:val="21"/>
        </w:rPr>
      </w:pPr>
      <w:r>
        <w:rPr>
          <w:rFonts w:ascii="Arial Unicode MS" w:hAnsi="Arial Unicode MS" w:cs="Arial" w:hint="eastAsia"/>
          <w:color w:val="000000"/>
          <w:kern w:val="0"/>
          <w:szCs w:val="21"/>
        </w:rPr>
        <w:t>经办律师：安冬</w:t>
      </w:r>
      <w:r>
        <w:rPr>
          <w:rFonts w:ascii="Arial Unicode MS" w:hAnsi="Arial Unicode MS" w:cs="Arial" w:hint="eastAsia"/>
          <w:color w:val="000000"/>
          <w:kern w:val="0"/>
          <w:szCs w:val="21"/>
        </w:rPr>
        <w:t xml:space="preserve"> </w:t>
      </w:r>
      <w:r>
        <w:rPr>
          <w:rFonts w:ascii="Arial Unicode MS" w:hAnsi="Arial Unicode MS" w:cs="Arial" w:hint="eastAsia"/>
          <w:color w:val="000000"/>
          <w:kern w:val="0"/>
          <w:szCs w:val="21"/>
        </w:rPr>
        <w:t>陆奇</w:t>
      </w:r>
    </w:p>
    <w:p w:rsidR="004C06C5" w:rsidRDefault="00ED474B">
      <w:pPr>
        <w:adjustRightInd w:val="0"/>
        <w:snapToGrid w:val="0"/>
        <w:spacing w:line="360" w:lineRule="auto"/>
        <w:ind w:firstLineChars="200" w:firstLine="420"/>
        <w:rPr>
          <w:rFonts w:ascii="Arial Unicode MS" w:hAnsi="Arial Unicode MS" w:cs="Arial"/>
          <w:color w:val="000000"/>
          <w:kern w:val="0"/>
          <w:szCs w:val="21"/>
        </w:rPr>
      </w:pPr>
      <w:r>
        <w:rPr>
          <w:rFonts w:ascii="Arial Unicode MS" w:hAnsi="Arial Unicode MS" w:cs="Arial" w:hint="eastAsia"/>
          <w:color w:val="000000"/>
          <w:kern w:val="0"/>
          <w:szCs w:val="21"/>
        </w:rPr>
        <w:t>联系人：</w:t>
      </w:r>
      <w:r>
        <w:rPr>
          <w:rFonts w:ascii="Arial Unicode MS" w:hAnsi="Arial Unicode MS" w:cs="Arial" w:hint="eastAsia"/>
          <w:color w:val="000000"/>
          <w:kern w:val="0"/>
          <w:szCs w:val="21"/>
        </w:rPr>
        <w:t xml:space="preserve"> </w:t>
      </w:r>
      <w:r>
        <w:rPr>
          <w:rFonts w:ascii="Arial Unicode MS" w:hAnsi="Arial Unicode MS" w:cs="Arial" w:hint="eastAsia"/>
          <w:color w:val="000000"/>
          <w:kern w:val="0"/>
          <w:szCs w:val="21"/>
        </w:rPr>
        <w:t>安冬</w:t>
      </w:r>
    </w:p>
    <w:p w:rsidR="004C06C5" w:rsidRDefault="00ED474B">
      <w:pPr>
        <w:snapToGrid w:val="0"/>
        <w:spacing w:line="360" w:lineRule="auto"/>
        <w:ind w:firstLineChars="200" w:firstLine="422"/>
        <w:rPr>
          <w:rFonts w:ascii="Arial Unicode MS" w:hAnsi="Arial Unicode MS" w:cs="Arial"/>
          <w:b/>
          <w:szCs w:val="21"/>
        </w:rPr>
      </w:pPr>
      <w:r>
        <w:rPr>
          <w:rFonts w:ascii="Arial Unicode MS" w:hAnsi="Arial Unicode MS" w:cs="Arial"/>
          <w:b/>
          <w:szCs w:val="21"/>
        </w:rPr>
        <w:t>四、</w:t>
      </w:r>
      <w:r>
        <w:rPr>
          <w:rFonts w:ascii="Arial Unicode MS" w:hAnsi="Arial Unicode MS" w:hint="eastAsia"/>
          <w:b/>
          <w:bCs/>
        </w:rPr>
        <w:t>审计基金财产的会计师事务所</w:t>
      </w:r>
    </w:p>
    <w:p w:rsidR="004C06C5" w:rsidRDefault="00ED474B">
      <w:pPr>
        <w:snapToGrid w:val="0"/>
        <w:spacing w:line="360" w:lineRule="auto"/>
        <w:ind w:firstLineChars="200" w:firstLine="420"/>
        <w:rPr>
          <w:rFonts w:ascii="Arial" w:hAnsi="Arial" w:cs="Arial"/>
          <w:color w:val="000000"/>
          <w:kern w:val="0"/>
          <w:szCs w:val="21"/>
        </w:rPr>
      </w:pPr>
      <w:r>
        <w:rPr>
          <w:rFonts w:ascii="Arial" w:hAnsi="Arial" w:cs="Arial" w:hint="eastAsia"/>
          <w:color w:val="000000"/>
          <w:kern w:val="0"/>
          <w:szCs w:val="21"/>
        </w:rPr>
        <w:t>名称：安永华明会计师事务所（特殊普通合伙）</w:t>
      </w:r>
    </w:p>
    <w:p w:rsidR="004C06C5" w:rsidRDefault="00ED474B">
      <w:pPr>
        <w:snapToGrid w:val="0"/>
        <w:spacing w:line="360" w:lineRule="auto"/>
        <w:ind w:firstLineChars="200" w:firstLine="420"/>
        <w:rPr>
          <w:rFonts w:ascii="Arial" w:hAnsi="Arial" w:cs="Arial"/>
          <w:color w:val="000000"/>
          <w:kern w:val="0"/>
          <w:szCs w:val="21"/>
        </w:rPr>
      </w:pPr>
      <w:r>
        <w:rPr>
          <w:rFonts w:ascii="Arial" w:hAnsi="Arial" w:cs="Arial" w:hint="eastAsia"/>
          <w:color w:val="000000"/>
          <w:kern w:val="0"/>
          <w:szCs w:val="21"/>
        </w:rPr>
        <w:t>住所：中国北京市东城区东长安街</w:t>
      </w:r>
      <w:r>
        <w:rPr>
          <w:rFonts w:ascii="Arial" w:hAnsi="Arial" w:cs="Arial" w:hint="eastAsia"/>
          <w:color w:val="000000"/>
          <w:kern w:val="0"/>
          <w:szCs w:val="21"/>
        </w:rPr>
        <w:t>1</w:t>
      </w:r>
      <w:r>
        <w:rPr>
          <w:rFonts w:ascii="Arial" w:hAnsi="Arial" w:cs="Arial" w:hint="eastAsia"/>
          <w:color w:val="000000"/>
          <w:kern w:val="0"/>
          <w:szCs w:val="21"/>
        </w:rPr>
        <w:t>号东方广场安永大楼</w:t>
      </w:r>
      <w:r>
        <w:rPr>
          <w:rFonts w:ascii="Arial" w:hAnsi="Arial" w:cs="Arial" w:hint="eastAsia"/>
          <w:color w:val="000000"/>
          <w:kern w:val="0"/>
          <w:szCs w:val="21"/>
        </w:rPr>
        <w:t>16</w:t>
      </w:r>
      <w:r>
        <w:rPr>
          <w:rFonts w:ascii="Arial" w:hAnsi="Arial" w:cs="Arial" w:hint="eastAsia"/>
          <w:color w:val="000000"/>
          <w:kern w:val="0"/>
          <w:szCs w:val="21"/>
        </w:rPr>
        <w:t>层</w:t>
      </w:r>
    </w:p>
    <w:p w:rsidR="004C06C5" w:rsidRDefault="00ED474B">
      <w:pPr>
        <w:snapToGrid w:val="0"/>
        <w:spacing w:line="360" w:lineRule="auto"/>
        <w:ind w:firstLineChars="200" w:firstLine="420"/>
        <w:rPr>
          <w:rFonts w:ascii="Arial" w:hAnsi="Arial" w:cs="Arial"/>
          <w:color w:val="000000"/>
          <w:kern w:val="0"/>
          <w:szCs w:val="21"/>
        </w:rPr>
      </w:pPr>
      <w:r>
        <w:rPr>
          <w:rFonts w:ascii="Arial" w:hAnsi="Arial" w:cs="Arial" w:hint="eastAsia"/>
          <w:color w:val="000000"/>
          <w:kern w:val="0"/>
          <w:szCs w:val="21"/>
        </w:rPr>
        <w:t>办公地址：中国北京市东城区东长安街</w:t>
      </w:r>
      <w:r>
        <w:rPr>
          <w:rFonts w:ascii="Arial" w:hAnsi="Arial" w:cs="Arial" w:hint="eastAsia"/>
          <w:color w:val="000000"/>
          <w:kern w:val="0"/>
          <w:szCs w:val="21"/>
        </w:rPr>
        <w:t>1</w:t>
      </w:r>
      <w:r>
        <w:rPr>
          <w:rFonts w:ascii="Arial" w:hAnsi="Arial" w:cs="Arial" w:hint="eastAsia"/>
          <w:color w:val="000000"/>
          <w:kern w:val="0"/>
          <w:szCs w:val="21"/>
        </w:rPr>
        <w:t>号东方广场安永大楼</w:t>
      </w:r>
      <w:r>
        <w:rPr>
          <w:rFonts w:ascii="Arial" w:hAnsi="Arial" w:cs="Arial" w:hint="eastAsia"/>
          <w:color w:val="000000"/>
          <w:kern w:val="0"/>
          <w:szCs w:val="21"/>
        </w:rPr>
        <w:t>16</w:t>
      </w:r>
      <w:r>
        <w:rPr>
          <w:rFonts w:ascii="Arial" w:hAnsi="Arial" w:cs="Arial" w:hint="eastAsia"/>
          <w:color w:val="000000"/>
          <w:kern w:val="0"/>
          <w:szCs w:val="21"/>
        </w:rPr>
        <w:t>层</w:t>
      </w:r>
    </w:p>
    <w:p w:rsidR="004C06C5" w:rsidRDefault="00ED474B">
      <w:pPr>
        <w:snapToGrid w:val="0"/>
        <w:spacing w:line="360" w:lineRule="auto"/>
        <w:ind w:firstLineChars="200" w:firstLine="420"/>
        <w:rPr>
          <w:rFonts w:ascii="Arial" w:hAnsi="Arial" w:cs="Arial"/>
          <w:color w:val="000000"/>
          <w:kern w:val="0"/>
          <w:szCs w:val="21"/>
        </w:rPr>
      </w:pPr>
      <w:r>
        <w:rPr>
          <w:rFonts w:ascii="Arial" w:hAnsi="Arial" w:cs="Arial" w:hint="eastAsia"/>
          <w:color w:val="000000"/>
          <w:kern w:val="0"/>
          <w:szCs w:val="21"/>
        </w:rPr>
        <w:t>法定代表人：</w:t>
      </w:r>
      <w:proofErr w:type="gramStart"/>
      <w:r>
        <w:rPr>
          <w:rFonts w:ascii="Arial" w:hAnsi="Arial" w:cs="Arial" w:hint="eastAsia"/>
          <w:color w:val="000000"/>
          <w:kern w:val="0"/>
          <w:szCs w:val="21"/>
        </w:rPr>
        <w:t>毛鞍宁</w:t>
      </w:r>
      <w:proofErr w:type="gramEnd"/>
    </w:p>
    <w:p w:rsidR="004C06C5" w:rsidRDefault="00ED474B">
      <w:pPr>
        <w:snapToGrid w:val="0"/>
        <w:spacing w:line="360" w:lineRule="auto"/>
        <w:ind w:firstLineChars="200" w:firstLine="420"/>
        <w:rPr>
          <w:rFonts w:ascii="Arial" w:hAnsi="Arial" w:cs="Arial"/>
          <w:color w:val="000000"/>
          <w:kern w:val="0"/>
          <w:szCs w:val="21"/>
        </w:rPr>
      </w:pPr>
      <w:r>
        <w:rPr>
          <w:rFonts w:ascii="Arial" w:hAnsi="Arial" w:cs="Arial" w:hint="eastAsia"/>
          <w:color w:val="000000"/>
          <w:kern w:val="0"/>
          <w:szCs w:val="21"/>
        </w:rPr>
        <w:t>电话：</w:t>
      </w:r>
      <w:r>
        <w:rPr>
          <w:rFonts w:ascii="Arial" w:hAnsi="Arial" w:cs="Arial" w:hint="eastAsia"/>
          <w:color w:val="000000"/>
          <w:kern w:val="0"/>
          <w:szCs w:val="21"/>
        </w:rPr>
        <w:t>+86 10 58153000</w:t>
      </w:r>
    </w:p>
    <w:p w:rsidR="004C06C5" w:rsidRDefault="00ED474B">
      <w:pPr>
        <w:snapToGrid w:val="0"/>
        <w:spacing w:line="360" w:lineRule="auto"/>
        <w:ind w:firstLineChars="200" w:firstLine="420"/>
        <w:rPr>
          <w:rFonts w:ascii="Arial" w:hAnsi="Arial" w:cs="Arial"/>
          <w:color w:val="000000"/>
          <w:kern w:val="0"/>
          <w:szCs w:val="21"/>
        </w:rPr>
      </w:pPr>
      <w:r>
        <w:rPr>
          <w:rFonts w:ascii="Arial" w:hAnsi="Arial" w:cs="Arial" w:hint="eastAsia"/>
          <w:color w:val="000000"/>
          <w:kern w:val="0"/>
          <w:szCs w:val="21"/>
        </w:rPr>
        <w:t>传真：</w:t>
      </w:r>
      <w:r>
        <w:rPr>
          <w:rFonts w:ascii="Arial" w:hAnsi="Arial" w:cs="Arial" w:hint="eastAsia"/>
          <w:color w:val="000000"/>
          <w:kern w:val="0"/>
          <w:szCs w:val="21"/>
        </w:rPr>
        <w:t>+86 10 85188298</w:t>
      </w:r>
    </w:p>
    <w:p w:rsidR="004C06C5" w:rsidRDefault="00ED474B">
      <w:pPr>
        <w:snapToGrid w:val="0"/>
        <w:spacing w:line="360" w:lineRule="auto"/>
        <w:ind w:firstLineChars="200" w:firstLine="420"/>
        <w:rPr>
          <w:rFonts w:ascii="Arial" w:hAnsi="Arial" w:cs="Arial"/>
          <w:color w:val="000000"/>
          <w:kern w:val="0"/>
          <w:szCs w:val="21"/>
        </w:rPr>
      </w:pPr>
      <w:r>
        <w:rPr>
          <w:rFonts w:ascii="Arial" w:hAnsi="Arial" w:cs="Arial" w:hint="eastAsia"/>
          <w:color w:val="000000"/>
          <w:kern w:val="0"/>
          <w:szCs w:val="21"/>
        </w:rPr>
        <w:t>签字注册会计师：吴翠蓉</w:t>
      </w:r>
      <w:r>
        <w:rPr>
          <w:rFonts w:ascii="Arial" w:hAnsi="Arial" w:cs="Arial" w:hint="eastAsia"/>
          <w:color w:val="000000"/>
          <w:kern w:val="0"/>
          <w:szCs w:val="21"/>
        </w:rPr>
        <w:t xml:space="preserve">  </w:t>
      </w:r>
      <w:r>
        <w:rPr>
          <w:rFonts w:ascii="Arial" w:hAnsi="Arial" w:cs="Arial" w:hint="eastAsia"/>
          <w:color w:val="000000"/>
          <w:kern w:val="0"/>
          <w:szCs w:val="21"/>
        </w:rPr>
        <w:t>高鹤</w:t>
      </w:r>
    </w:p>
    <w:p w:rsidR="004C06C5" w:rsidRDefault="00ED474B">
      <w:pPr>
        <w:adjustRightInd w:val="0"/>
        <w:snapToGrid w:val="0"/>
        <w:spacing w:line="360" w:lineRule="auto"/>
        <w:ind w:firstLineChars="200" w:firstLine="420"/>
        <w:rPr>
          <w:rFonts w:ascii="Arial Unicode MS" w:hAnsi="Arial Unicode MS" w:cs="Arial"/>
          <w:kern w:val="0"/>
          <w:szCs w:val="21"/>
        </w:rPr>
        <w:sectPr w:rsidR="004C06C5">
          <w:headerReference w:type="first" r:id="rId26"/>
          <w:footerReference w:type="first" r:id="rId27"/>
          <w:pgSz w:w="11906" w:h="16838"/>
          <w:pgMar w:top="1440" w:right="1800" w:bottom="1440" w:left="1800" w:header="851" w:footer="992" w:gutter="0"/>
          <w:cols w:space="720"/>
          <w:titlePg/>
          <w:docGrid w:linePitch="312"/>
        </w:sectPr>
      </w:pPr>
      <w:r>
        <w:rPr>
          <w:rFonts w:ascii="Arial" w:hAnsi="Arial" w:cs="Arial" w:hint="eastAsia"/>
          <w:color w:val="000000"/>
          <w:kern w:val="0"/>
          <w:szCs w:val="21"/>
        </w:rPr>
        <w:t>联系人：吴翠蓉</w:t>
      </w:r>
    </w:p>
    <w:p w:rsidR="004C06C5" w:rsidRDefault="00ED474B">
      <w:pPr>
        <w:pStyle w:val="11"/>
        <w:snapToGrid w:val="0"/>
        <w:spacing w:before="0" w:after="0" w:line="360" w:lineRule="auto"/>
        <w:ind w:firstLineChars="150" w:firstLine="422"/>
        <w:rPr>
          <w:rFonts w:ascii="Arial Unicode MS" w:eastAsia="宋体" w:hAnsi="Arial Unicode MS" w:cs="Arial"/>
          <w:b/>
          <w:bCs/>
          <w:sz w:val="28"/>
          <w:szCs w:val="28"/>
        </w:rPr>
      </w:pPr>
      <w:bookmarkStart w:id="27" w:name="_Toc12357169"/>
      <w:bookmarkStart w:id="28" w:name="_Toc21073389"/>
      <w:bookmarkStart w:id="29" w:name="_Toc147463116"/>
      <w:bookmarkStart w:id="30" w:name="_Toc317088540"/>
      <w:bookmarkStart w:id="31" w:name="_Toc317088143"/>
      <w:bookmarkStart w:id="32" w:name="_Toc335232694"/>
      <w:bookmarkStart w:id="33" w:name="_Toc214873595"/>
      <w:bookmarkStart w:id="34" w:name="_Toc1464061"/>
      <w:bookmarkStart w:id="35" w:name="_Toc320887645"/>
      <w:r>
        <w:rPr>
          <w:rFonts w:ascii="Arial Unicode MS" w:eastAsia="宋体" w:hAnsi="Arial Unicode MS" w:cs="Arial"/>
          <w:b/>
          <w:bCs/>
          <w:sz w:val="28"/>
          <w:szCs w:val="28"/>
        </w:rPr>
        <w:lastRenderedPageBreak/>
        <w:t>第六部分</w:t>
      </w:r>
      <w:r>
        <w:rPr>
          <w:rFonts w:ascii="Arial Unicode MS" w:eastAsia="宋体" w:hAnsi="Arial Unicode MS" w:cs="Arial"/>
          <w:b/>
          <w:bCs/>
          <w:sz w:val="28"/>
          <w:szCs w:val="28"/>
        </w:rPr>
        <w:t xml:space="preserve">  </w:t>
      </w:r>
      <w:bookmarkEnd w:id="27"/>
      <w:bookmarkEnd w:id="28"/>
      <w:bookmarkEnd w:id="29"/>
      <w:r>
        <w:rPr>
          <w:rFonts w:ascii="Arial Unicode MS" w:eastAsia="宋体" w:hAnsi="Arial Unicode MS" w:cs="Arial"/>
          <w:b/>
          <w:bCs/>
          <w:sz w:val="28"/>
          <w:szCs w:val="28"/>
        </w:rPr>
        <w:t>基金份额的发售</w:t>
      </w:r>
      <w:bookmarkEnd w:id="30"/>
      <w:bookmarkEnd w:id="31"/>
      <w:bookmarkEnd w:id="32"/>
      <w:bookmarkEnd w:id="33"/>
      <w:bookmarkEnd w:id="34"/>
      <w:bookmarkEnd w:id="35"/>
    </w:p>
    <w:p w:rsidR="004C06C5" w:rsidRDefault="004C06C5">
      <w:pPr>
        <w:rPr>
          <w:rFonts w:ascii="Arial Unicode MS" w:hAnsi="Arial Unicode MS"/>
          <w:lang w:val="zh-CN"/>
        </w:rPr>
      </w:pPr>
    </w:p>
    <w:p w:rsidR="004C06C5" w:rsidRDefault="00ED474B">
      <w:pPr>
        <w:autoSpaceDE w:val="0"/>
        <w:autoSpaceDN w:val="0"/>
        <w:adjustRightInd w:val="0"/>
        <w:snapToGrid w:val="0"/>
        <w:spacing w:line="360" w:lineRule="auto"/>
        <w:ind w:firstLineChars="200" w:firstLine="420"/>
        <w:rPr>
          <w:rFonts w:ascii="Arial Unicode MS" w:hAnsi="Arial Unicode MS" w:cs="Arial"/>
          <w:szCs w:val="21"/>
        </w:rPr>
      </w:pPr>
      <w:bookmarkStart w:id="36" w:name="_Toc21073390"/>
      <w:bookmarkStart w:id="37" w:name="_Toc12357170"/>
      <w:bookmarkStart w:id="38" w:name="_Toc147463117"/>
      <w:r>
        <w:rPr>
          <w:rFonts w:ascii="Arial Unicode MS" w:hAnsi="Arial Unicode MS" w:cs="Arial"/>
          <w:szCs w:val="21"/>
        </w:rPr>
        <w:t>基金管理人按照《基金法》、《运作办法》、《销售办法》、基金合同及其他有关规定募集本基金，并于</w:t>
      </w:r>
      <w:r>
        <w:rPr>
          <w:rFonts w:ascii="Arial Unicode MS" w:hAnsi="Arial Unicode MS" w:cs="Arial" w:hint="eastAsia"/>
          <w:szCs w:val="21"/>
        </w:rPr>
        <w:t>2017</w:t>
      </w:r>
      <w:r>
        <w:rPr>
          <w:rFonts w:ascii="Arial Unicode MS" w:hAnsi="Arial Unicode MS" w:cs="Arial" w:hint="eastAsia"/>
          <w:szCs w:val="21"/>
        </w:rPr>
        <w:t>年</w:t>
      </w:r>
      <w:r>
        <w:rPr>
          <w:rFonts w:ascii="Arial Unicode MS" w:hAnsi="Arial Unicode MS" w:cs="Arial" w:hint="eastAsia"/>
          <w:szCs w:val="21"/>
        </w:rPr>
        <w:t>5</w:t>
      </w:r>
      <w:r>
        <w:rPr>
          <w:rFonts w:ascii="Arial Unicode MS" w:hAnsi="Arial Unicode MS" w:cs="Arial" w:hint="eastAsia"/>
          <w:szCs w:val="21"/>
        </w:rPr>
        <w:t>月</w:t>
      </w:r>
      <w:r>
        <w:rPr>
          <w:rFonts w:ascii="Arial Unicode MS" w:hAnsi="Arial Unicode MS" w:cs="Arial" w:hint="eastAsia"/>
          <w:szCs w:val="21"/>
        </w:rPr>
        <w:t>15</w:t>
      </w:r>
      <w:r>
        <w:rPr>
          <w:rFonts w:ascii="Arial Unicode MS" w:hAnsi="Arial Unicode MS" w:cs="Arial" w:hint="eastAsia"/>
          <w:szCs w:val="21"/>
        </w:rPr>
        <w:t>日</w:t>
      </w:r>
      <w:r>
        <w:rPr>
          <w:rFonts w:ascii="Arial Unicode MS" w:hAnsi="Arial Unicode MS" w:cs="Arial"/>
          <w:szCs w:val="21"/>
        </w:rPr>
        <w:t>经</w:t>
      </w:r>
      <w:r>
        <w:rPr>
          <w:rFonts w:ascii="Arial Unicode MS" w:hAnsi="Arial Unicode MS" w:cs="Arial"/>
          <w:kern w:val="0"/>
          <w:szCs w:val="21"/>
        </w:rPr>
        <w:t>中国证监会证监许可</w:t>
      </w:r>
      <w:r>
        <w:rPr>
          <w:rFonts w:ascii="Arial Unicode MS" w:hAnsi="Arial Unicode MS" w:cs="Arial" w:hint="eastAsia"/>
          <w:kern w:val="0"/>
          <w:szCs w:val="21"/>
        </w:rPr>
        <w:t>[2017]717</w:t>
      </w:r>
      <w:r>
        <w:rPr>
          <w:rFonts w:ascii="Arial Unicode MS" w:hAnsi="Arial Unicode MS" w:cs="Arial" w:hint="eastAsia"/>
          <w:kern w:val="0"/>
          <w:szCs w:val="21"/>
        </w:rPr>
        <w:t>号</w:t>
      </w:r>
      <w:r>
        <w:rPr>
          <w:rFonts w:ascii="Arial Unicode MS" w:hAnsi="Arial Unicode MS" w:cs="Arial"/>
          <w:kern w:val="0"/>
          <w:szCs w:val="21"/>
        </w:rPr>
        <w:t>文</w:t>
      </w:r>
      <w:r>
        <w:rPr>
          <w:rFonts w:ascii="Arial Unicode MS" w:hAnsi="Arial Unicode MS" w:cs="Arial" w:hint="eastAsia"/>
          <w:szCs w:val="21"/>
        </w:rPr>
        <w:t>准予</w:t>
      </w:r>
      <w:r>
        <w:rPr>
          <w:rFonts w:ascii="Arial Unicode MS" w:hAnsi="Arial Unicode MS" w:cs="Arial"/>
          <w:szCs w:val="21"/>
        </w:rPr>
        <w:t>募集</w:t>
      </w:r>
      <w:r>
        <w:rPr>
          <w:rFonts w:ascii="Arial Unicode MS" w:hAnsi="Arial Unicode MS" w:cs="Arial" w:hint="eastAsia"/>
          <w:szCs w:val="21"/>
        </w:rPr>
        <w:t>注册</w:t>
      </w:r>
      <w:r>
        <w:rPr>
          <w:rFonts w:ascii="Arial Unicode MS" w:hAnsi="Arial Unicode MS" w:cs="Arial"/>
          <w:szCs w:val="21"/>
        </w:rPr>
        <w:t>。</w:t>
      </w:r>
      <w:r>
        <w:rPr>
          <w:rFonts w:ascii="Arial Unicode MS" w:hAnsi="Arial Unicode MS" w:cs="Arial" w:hint="eastAsia"/>
          <w:szCs w:val="21"/>
        </w:rPr>
        <w:t>本基金于</w:t>
      </w:r>
      <w:r>
        <w:rPr>
          <w:rFonts w:ascii="Arial Unicode MS" w:hAnsi="Arial Unicode MS" w:cs="Arial" w:hint="eastAsia"/>
          <w:szCs w:val="21"/>
        </w:rPr>
        <w:t>2017</w:t>
      </w:r>
      <w:r>
        <w:rPr>
          <w:rFonts w:ascii="Arial Unicode MS" w:hAnsi="Arial Unicode MS" w:cs="Arial" w:hint="eastAsia"/>
          <w:szCs w:val="21"/>
        </w:rPr>
        <w:t>年</w:t>
      </w:r>
      <w:r>
        <w:rPr>
          <w:rFonts w:ascii="Arial Unicode MS" w:hAnsi="Arial Unicode MS" w:cs="Arial" w:hint="eastAsia"/>
          <w:szCs w:val="21"/>
        </w:rPr>
        <w:t>11</w:t>
      </w:r>
      <w:r>
        <w:rPr>
          <w:rFonts w:ascii="Arial Unicode MS" w:hAnsi="Arial Unicode MS" w:cs="Arial" w:hint="eastAsia"/>
          <w:szCs w:val="21"/>
        </w:rPr>
        <w:t>月</w:t>
      </w:r>
      <w:r>
        <w:rPr>
          <w:rFonts w:ascii="Arial Unicode MS" w:hAnsi="Arial Unicode MS" w:cs="Arial" w:hint="eastAsia"/>
          <w:szCs w:val="21"/>
        </w:rPr>
        <w:t>14</w:t>
      </w:r>
      <w:r>
        <w:rPr>
          <w:rFonts w:ascii="Arial Unicode MS" w:hAnsi="Arial Unicode MS" w:cs="Arial" w:hint="eastAsia"/>
          <w:szCs w:val="21"/>
        </w:rPr>
        <w:t>日起通过各销售机构向社会公开募集，截至</w:t>
      </w:r>
      <w:r>
        <w:rPr>
          <w:rFonts w:ascii="Arial Unicode MS" w:hAnsi="Arial Unicode MS" w:cs="Arial" w:hint="eastAsia"/>
          <w:szCs w:val="21"/>
        </w:rPr>
        <w:t>2018</w:t>
      </w:r>
      <w:r>
        <w:rPr>
          <w:rFonts w:ascii="Arial Unicode MS" w:hAnsi="Arial Unicode MS" w:cs="Arial" w:hint="eastAsia"/>
          <w:szCs w:val="21"/>
        </w:rPr>
        <w:t>年</w:t>
      </w:r>
      <w:r>
        <w:rPr>
          <w:rFonts w:ascii="Arial Unicode MS" w:hAnsi="Arial Unicode MS" w:cs="Arial" w:hint="eastAsia"/>
          <w:szCs w:val="21"/>
        </w:rPr>
        <w:t>2</w:t>
      </w:r>
      <w:r>
        <w:rPr>
          <w:rFonts w:ascii="Arial Unicode MS" w:hAnsi="Arial Unicode MS" w:cs="Arial" w:hint="eastAsia"/>
          <w:szCs w:val="21"/>
        </w:rPr>
        <w:t>月</w:t>
      </w:r>
      <w:r>
        <w:rPr>
          <w:rFonts w:ascii="Arial Unicode MS" w:hAnsi="Arial Unicode MS" w:cs="Arial" w:hint="eastAsia"/>
          <w:szCs w:val="21"/>
        </w:rPr>
        <w:t>1</w:t>
      </w:r>
      <w:r>
        <w:rPr>
          <w:rFonts w:ascii="Arial Unicode MS" w:hAnsi="Arial Unicode MS" w:cs="Arial" w:hint="eastAsia"/>
          <w:szCs w:val="21"/>
        </w:rPr>
        <w:t>日，基金募集工作已顺利结束。</w:t>
      </w:r>
    </w:p>
    <w:p w:rsidR="004C06C5" w:rsidRDefault="004C06C5">
      <w:pPr>
        <w:autoSpaceDE w:val="0"/>
        <w:autoSpaceDN w:val="0"/>
        <w:adjustRightInd w:val="0"/>
        <w:snapToGrid w:val="0"/>
        <w:spacing w:line="360" w:lineRule="auto"/>
        <w:ind w:firstLine="454"/>
        <w:rPr>
          <w:rFonts w:ascii="Arial Unicode MS" w:hAnsi="Arial Unicode MS" w:cs="Arial"/>
          <w:kern w:val="0"/>
          <w:szCs w:val="21"/>
        </w:rPr>
      </w:pPr>
    </w:p>
    <w:p w:rsidR="004C06C5" w:rsidRDefault="004C06C5">
      <w:pPr>
        <w:adjustRightInd w:val="0"/>
        <w:snapToGrid w:val="0"/>
        <w:spacing w:line="360" w:lineRule="auto"/>
        <w:ind w:firstLineChars="200" w:firstLine="420"/>
        <w:rPr>
          <w:rFonts w:asciiTheme="minorEastAsia" w:eastAsiaTheme="minorEastAsia" w:hAnsiTheme="minorEastAsia" w:cs="Arial"/>
          <w:szCs w:val="21"/>
        </w:rPr>
      </w:pPr>
    </w:p>
    <w:p w:rsidR="004C06C5" w:rsidRDefault="004C06C5">
      <w:pPr>
        <w:adjustRightInd w:val="0"/>
        <w:snapToGrid w:val="0"/>
        <w:spacing w:line="360" w:lineRule="auto"/>
        <w:ind w:firstLineChars="200" w:firstLine="420"/>
        <w:rPr>
          <w:rFonts w:asciiTheme="minorEastAsia" w:eastAsiaTheme="minorEastAsia" w:hAnsiTheme="minorEastAsia" w:cs="Arial"/>
          <w:szCs w:val="21"/>
        </w:rPr>
      </w:pPr>
    </w:p>
    <w:p w:rsidR="004C06C5" w:rsidRDefault="004C06C5">
      <w:pPr>
        <w:adjustRightInd w:val="0"/>
        <w:snapToGrid w:val="0"/>
        <w:spacing w:line="360" w:lineRule="auto"/>
        <w:ind w:firstLineChars="200" w:firstLine="420"/>
        <w:rPr>
          <w:rFonts w:asciiTheme="minorEastAsia" w:eastAsiaTheme="minorEastAsia" w:hAnsiTheme="minorEastAsia" w:cs="Arial"/>
          <w:szCs w:val="21"/>
        </w:rPr>
      </w:pPr>
    </w:p>
    <w:p w:rsidR="004C06C5" w:rsidRDefault="004C06C5">
      <w:pPr>
        <w:adjustRightInd w:val="0"/>
        <w:snapToGrid w:val="0"/>
        <w:spacing w:line="360" w:lineRule="auto"/>
        <w:ind w:firstLineChars="200" w:firstLine="420"/>
        <w:rPr>
          <w:rFonts w:asciiTheme="minorEastAsia" w:eastAsiaTheme="minorEastAsia" w:hAnsiTheme="minorEastAsia" w:cs="Arial"/>
          <w:szCs w:val="21"/>
        </w:rPr>
      </w:pPr>
    </w:p>
    <w:p w:rsidR="004C06C5" w:rsidRDefault="004C06C5">
      <w:pPr>
        <w:adjustRightInd w:val="0"/>
        <w:snapToGrid w:val="0"/>
        <w:spacing w:line="360" w:lineRule="auto"/>
        <w:ind w:firstLineChars="200" w:firstLine="420"/>
        <w:rPr>
          <w:rFonts w:asciiTheme="minorEastAsia" w:eastAsiaTheme="minorEastAsia" w:hAnsiTheme="minorEastAsia" w:cs="Arial"/>
          <w:szCs w:val="21"/>
        </w:rPr>
      </w:pPr>
    </w:p>
    <w:p w:rsidR="004C06C5" w:rsidRDefault="004C06C5">
      <w:pPr>
        <w:adjustRightInd w:val="0"/>
        <w:snapToGrid w:val="0"/>
        <w:spacing w:line="360" w:lineRule="auto"/>
        <w:ind w:firstLineChars="200" w:firstLine="420"/>
        <w:rPr>
          <w:rFonts w:asciiTheme="minorEastAsia" w:eastAsiaTheme="minorEastAsia" w:hAnsiTheme="minorEastAsia" w:cs="Arial"/>
          <w:szCs w:val="21"/>
        </w:rPr>
      </w:pPr>
    </w:p>
    <w:p w:rsidR="004C06C5" w:rsidRDefault="004C06C5">
      <w:pPr>
        <w:adjustRightInd w:val="0"/>
        <w:snapToGrid w:val="0"/>
        <w:spacing w:line="360" w:lineRule="auto"/>
        <w:ind w:firstLineChars="200" w:firstLine="420"/>
        <w:rPr>
          <w:rFonts w:asciiTheme="minorEastAsia" w:eastAsiaTheme="minorEastAsia" w:hAnsiTheme="minorEastAsia" w:cs="Arial"/>
          <w:szCs w:val="21"/>
        </w:rPr>
      </w:pPr>
    </w:p>
    <w:p w:rsidR="004C06C5" w:rsidRDefault="004C06C5">
      <w:pPr>
        <w:adjustRightInd w:val="0"/>
        <w:snapToGrid w:val="0"/>
        <w:spacing w:line="360" w:lineRule="auto"/>
        <w:ind w:firstLineChars="200" w:firstLine="420"/>
        <w:rPr>
          <w:rFonts w:asciiTheme="minorEastAsia" w:eastAsiaTheme="minorEastAsia" w:hAnsiTheme="minorEastAsia" w:cs="Arial"/>
          <w:szCs w:val="21"/>
        </w:rPr>
      </w:pPr>
    </w:p>
    <w:p w:rsidR="004C06C5" w:rsidRDefault="004C06C5">
      <w:pPr>
        <w:adjustRightInd w:val="0"/>
        <w:snapToGrid w:val="0"/>
        <w:spacing w:line="360" w:lineRule="auto"/>
        <w:ind w:firstLineChars="200" w:firstLine="420"/>
        <w:rPr>
          <w:rFonts w:asciiTheme="minorEastAsia" w:eastAsiaTheme="minorEastAsia" w:hAnsiTheme="minorEastAsia" w:cs="Arial"/>
          <w:szCs w:val="21"/>
        </w:rPr>
      </w:pPr>
    </w:p>
    <w:p w:rsidR="004C06C5" w:rsidRDefault="004C06C5">
      <w:pPr>
        <w:adjustRightInd w:val="0"/>
        <w:snapToGrid w:val="0"/>
        <w:spacing w:line="360" w:lineRule="auto"/>
        <w:ind w:firstLineChars="200" w:firstLine="420"/>
        <w:rPr>
          <w:rFonts w:asciiTheme="minorEastAsia" w:eastAsiaTheme="minorEastAsia" w:hAnsiTheme="minorEastAsia" w:cs="Arial"/>
          <w:szCs w:val="21"/>
        </w:rPr>
      </w:pPr>
    </w:p>
    <w:p w:rsidR="004C06C5" w:rsidRDefault="004C06C5">
      <w:pPr>
        <w:adjustRightInd w:val="0"/>
        <w:snapToGrid w:val="0"/>
        <w:spacing w:line="360" w:lineRule="auto"/>
        <w:ind w:firstLineChars="200" w:firstLine="420"/>
        <w:rPr>
          <w:rFonts w:asciiTheme="minorEastAsia" w:eastAsiaTheme="minorEastAsia" w:hAnsiTheme="minorEastAsia" w:cs="Arial"/>
          <w:szCs w:val="21"/>
        </w:rPr>
      </w:pPr>
    </w:p>
    <w:p w:rsidR="004C06C5" w:rsidRDefault="004C06C5">
      <w:pPr>
        <w:adjustRightInd w:val="0"/>
        <w:snapToGrid w:val="0"/>
        <w:spacing w:line="360" w:lineRule="auto"/>
        <w:ind w:firstLineChars="200" w:firstLine="420"/>
        <w:rPr>
          <w:rFonts w:asciiTheme="minorEastAsia" w:eastAsiaTheme="minorEastAsia" w:hAnsiTheme="minorEastAsia" w:cs="Arial"/>
          <w:szCs w:val="21"/>
        </w:rPr>
      </w:pPr>
    </w:p>
    <w:p w:rsidR="004C06C5" w:rsidRDefault="004C06C5">
      <w:pPr>
        <w:adjustRightInd w:val="0"/>
        <w:snapToGrid w:val="0"/>
        <w:spacing w:line="360" w:lineRule="auto"/>
        <w:ind w:firstLineChars="200" w:firstLine="420"/>
        <w:rPr>
          <w:rFonts w:asciiTheme="minorEastAsia" w:eastAsiaTheme="minorEastAsia" w:hAnsiTheme="minorEastAsia" w:cs="Arial"/>
          <w:szCs w:val="21"/>
        </w:rPr>
      </w:pPr>
    </w:p>
    <w:p w:rsidR="004C06C5" w:rsidRDefault="004C06C5">
      <w:pPr>
        <w:adjustRightInd w:val="0"/>
        <w:snapToGrid w:val="0"/>
        <w:spacing w:line="360" w:lineRule="auto"/>
        <w:ind w:firstLineChars="200" w:firstLine="420"/>
        <w:rPr>
          <w:rFonts w:asciiTheme="minorEastAsia" w:eastAsiaTheme="minorEastAsia" w:hAnsiTheme="minorEastAsia" w:cs="Arial"/>
          <w:szCs w:val="21"/>
        </w:rPr>
      </w:pPr>
    </w:p>
    <w:p w:rsidR="004C06C5" w:rsidRDefault="004C06C5">
      <w:pPr>
        <w:adjustRightInd w:val="0"/>
        <w:snapToGrid w:val="0"/>
        <w:spacing w:line="360" w:lineRule="auto"/>
        <w:ind w:firstLineChars="200" w:firstLine="420"/>
        <w:rPr>
          <w:rFonts w:asciiTheme="minorEastAsia" w:eastAsiaTheme="minorEastAsia" w:hAnsiTheme="minorEastAsia" w:cs="Arial"/>
          <w:szCs w:val="21"/>
        </w:rPr>
      </w:pPr>
    </w:p>
    <w:p w:rsidR="004C06C5" w:rsidRDefault="004C06C5">
      <w:pPr>
        <w:adjustRightInd w:val="0"/>
        <w:snapToGrid w:val="0"/>
        <w:spacing w:line="360" w:lineRule="auto"/>
        <w:ind w:firstLineChars="200" w:firstLine="420"/>
        <w:rPr>
          <w:rFonts w:asciiTheme="minorEastAsia" w:eastAsiaTheme="minorEastAsia" w:hAnsiTheme="minorEastAsia" w:cs="Arial"/>
          <w:szCs w:val="21"/>
        </w:rPr>
      </w:pPr>
    </w:p>
    <w:p w:rsidR="004C06C5" w:rsidRDefault="004C06C5">
      <w:pPr>
        <w:adjustRightInd w:val="0"/>
        <w:snapToGrid w:val="0"/>
        <w:spacing w:line="360" w:lineRule="auto"/>
        <w:ind w:firstLineChars="200" w:firstLine="420"/>
        <w:rPr>
          <w:rFonts w:asciiTheme="minorEastAsia" w:eastAsiaTheme="minorEastAsia" w:hAnsiTheme="minorEastAsia" w:cs="Arial"/>
          <w:szCs w:val="21"/>
        </w:rPr>
      </w:pPr>
    </w:p>
    <w:p w:rsidR="004C06C5" w:rsidRDefault="004C06C5">
      <w:pPr>
        <w:adjustRightInd w:val="0"/>
        <w:snapToGrid w:val="0"/>
        <w:spacing w:line="360" w:lineRule="auto"/>
        <w:ind w:firstLineChars="200" w:firstLine="420"/>
        <w:rPr>
          <w:rFonts w:asciiTheme="minorEastAsia" w:eastAsiaTheme="minorEastAsia" w:hAnsiTheme="minorEastAsia" w:cs="Arial"/>
          <w:szCs w:val="21"/>
        </w:rPr>
      </w:pPr>
    </w:p>
    <w:p w:rsidR="004C06C5" w:rsidRDefault="004C06C5">
      <w:pPr>
        <w:adjustRightInd w:val="0"/>
        <w:snapToGrid w:val="0"/>
        <w:spacing w:line="360" w:lineRule="auto"/>
        <w:ind w:firstLineChars="200" w:firstLine="420"/>
        <w:rPr>
          <w:rFonts w:asciiTheme="minorEastAsia" w:eastAsiaTheme="minorEastAsia" w:hAnsiTheme="minorEastAsia" w:cs="Arial"/>
          <w:szCs w:val="21"/>
        </w:rPr>
      </w:pPr>
    </w:p>
    <w:p w:rsidR="004C06C5" w:rsidRDefault="004C06C5">
      <w:pPr>
        <w:adjustRightInd w:val="0"/>
        <w:snapToGrid w:val="0"/>
        <w:spacing w:line="360" w:lineRule="auto"/>
        <w:ind w:firstLineChars="200" w:firstLine="420"/>
        <w:rPr>
          <w:rFonts w:asciiTheme="minorEastAsia" w:eastAsiaTheme="minorEastAsia" w:hAnsiTheme="minorEastAsia" w:cs="Arial"/>
          <w:szCs w:val="21"/>
        </w:rPr>
      </w:pPr>
    </w:p>
    <w:p w:rsidR="004C06C5" w:rsidRDefault="004C06C5">
      <w:pPr>
        <w:adjustRightInd w:val="0"/>
        <w:snapToGrid w:val="0"/>
        <w:spacing w:line="360" w:lineRule="auto"/>
        <w:ind w:firstLineChars="200" w:firstLine="420"/>
        <w:rPr>
          <w:rFonts w:asciiTheme="minorEastAsia" w:eastAsiaTheme="minorEastAsia" w:hAnsiTheme="minorEastAsia" w:cs="Arial"/>
          <w:szCs w:val="21"/>
        </w:rPr>
      </w:pPr>
    </w:p>
    <w:p w:rsidR="004C06C5" w:rsidRDefault="004C06C5">
      <w:pPr>
        <w:adjustRightInd w:val="0"/>
        <w:snapToGrid w:val="0"/>
        <w:spacing w:line="360" w:lineRule="auto"/>
        <w:ind w:firstLineChars="200" w:firstLine="420"/>
        <w:rPr>
          <w:rFonts w:asciiTheme="minorEastAsia" w:eastAsiaTheme="minorEastAsia" w:hAnsiTheme="minorEastAsia" w:cs="Arial"/>
          <w:szCs w:val="21"/>
        </w:rPr>
      </w:pPr>
    </w:p>
    <w:p w:rsidR="004C06C5" w:rsidRDefault="004C06C5">
      <w:pPr>
        <w:adjustRightInd w:val="0"/>
        <w:snapToGrid w:val="0"/>
        <w:spacing w:line="360" w:lineRule="auto"/>
        <w:ind w:firstLineChars="200" w:firstLine="420"/>
        <w:rPr>
          <w:rFonts w:asciiTheme="minorEastAsia" w:eastAsiaTheme="minorEastAsia" w:hAnsiTheme="minorEastAsia" w:cs="Arial"/>
          <w:szCs w:val="21"/>
        </w:rPr>
      </w:pPr>
    </w:p>
    <w:p w:rsidR="004C06C5" w:rsidRDefault="004C06C5">
      <w:pPr>
        <w:adjustRightInd w:val="0"/>
        <w:snapToGrid w:val="0"/>
        <w:spacing w:line="360" w:lineRule="auto"/>
        <w:ind w:firstLineChars="200" w:firstLine="420"/>
        <w:rPr>
          <w:rFonts w:asciiTheme="minorEastAsia" w:eastAsiaTheme="minorEastAsia" w:hAnsiTheme="minorEastAsia" w:cs="Arial"/>
          <w:szCs w:val="21"/>
        </w:rPr>
      </w:pPr>
    </w:p>
    <w:p w:rsidR="004C06C5" w:rsidRDefault="00ED474B">
      <w:pPr>
        <w:pStyle w:val="11"/>
        <w:snapToGrid w:val="0"/>
        <w:spacing w:before="0" w:after="0" w:line="360" w:lineRule="auto"/>
        <w:ind w:firstLine="422"/>
        <w:rPr>
          <w:rFonts w:ascii="Arial Unicode MS" w:eastAsia="宋体" w:hAnsi="Arial Unicode MS" w:cs="Arial"/>
          <w:b/>
          <w:bCs/>
          <w:sz w:val="28"/>
          <w:szCs w:val="28"/>
          <w:lang w:val="en-US"/>
        </w:rPr>
      </w:pPr>
      <w:bookmarkStart w:id="39" w:name="_Toc317088541"/>
      <w:bookmarkStart w:id="40" w:name="_Toc317088144"/>
      <w:bookmarkStart w:id="41" w:name="_Toc214873596"/>
      <w:bookmarkStart w:id="42" w:name="_Toc1464062"/>
      <w:bookmarkStart w:id="43" w:name="_Toc320887646"/>
      <w:bookmarkStart w:id="44" w:name="_Toc335232695"/>
      <w:r>
        <w:rPr>
          <w:rFonts w:ascii="Arial Unicode MS" w:eastAsia="宋体" w:hAnsi="Arial Unicode MS" w:cs="Arial"/>
          <w:b/>
          <w:bCs/>
          <w:sz w:val="28"/>
          <w:szCs w:val="28"/>
        </w:rPr>
        <w:lastRenderedPageBreak/>
        <w:t>第七部分</w:t>
      </w:r>
      <w:r>
        <w:rPr>
          <w:rFonts w:ascii="Arial Unicode MS" w:eastAsia="宋体" w:hAnsi="Arial Unicode MS" w:cs="Arial"/>
          <w:b/>
          <w:bCs/>
          <w:sz w:val="28"/>
          <w:szCs w:val="28"/>
          <w:lang w:val="en-US"/>
        </w:rPr>
        <w:t xml:space="preserve">  </w:t>
      </w:r>
      <w:r>
        <w:rPr>
          <w:rFonts w:ascii="Arial Unicode MS" w:eastAsia="宋体" w:hAnsi="Arial Unicode MS" w:cs="Arial"/>
          <w:b/>
          <w:bCs/>
          <w:sz w:val="28"/>
          <w:szCs w:val="28"/>
        </w:rPr>
        <w:t>基金</w:t>
      </w:r>
      <w:bookmarkEnd w:id="36"/>
      <w:bookmarkEnd w:id="37"/>
      <w:bookmarkEnd w:id="38"/>
      <w:bookmarkEnd w:id="39"/>
      <w:bookmarkEnd w:id="40"/>
      <w:bookmarkEnd w:id="41"/>
      <w:r>
        <w:rPr>
          <w:rFonts w:ascii="Arial Unicode MS" w:eastAsia="宋体" w:hAnsi="Arial Unicode MS" w:cs="Arial" w:hint="eastAsia"/>
          <w:b/>
          <w:bCs/>
          <w:sz w:val="28"/>
          <w:szCs w:val="28"/>
        </w:rPr>
        <w:t>合同的生效</w:t>
      </w:r>
      <w:bookmarkEnd w:id="42"/>
      <w:bookmarkEnd w:id="43"/>
      <w:bookmarkEnd w:id="44"/>
    </w:p>
    <w:p w:rsidR="004C06C5" w:rsidRDefault="00ED474B">
      <w:pPr>
        <w:spacing w:line="360" w:lineRule="auto"/>
        <w:ind w:firstLineChars="200" w:firstLine="420"/>
        <w:rPr>
          <w:rFonts w:ascii="宋体" w:hAnsi="宋体"/>
          <w:color w:val="000000"/>
          <w:kern w:val="0"/>
          <w:szCs w:val="21"/>
        </w:rPr>
      </w:pPr>
      <w:r>
        <w:rPr>
          <w:rFonts w:ascii="宋体" w:hAnsi="宋体" w:hint="eastAsia"/>
          <w:color w:val="000000"/>
          <w:kern w:val="0"/>
          <w:szCs w:val="21"/>
        </w:rPr>
        <w:t>根据《基金法》、《运作办法》以及基金合同、招募说明书、基金份额发售公告的有关规定，本基金募集结果符合有关条件，本基金管理人于2018年2月7日向中国证监会办理完毕基金备案手续并已获书面确认，基金合同自该日期正式生效。自基金合同生效之日起，本基金管理人正式开始管理本基金。</w:t>
      </w:r>
    </w:p>
    <w:p w:rsidR="004C06C5" w:rsidRDefault="00ED474B">
      <w:pPr>
        <w:spacing w:line="360" w:lineRule="auto"/>
        <w:ind w:firstLineChars="200" w:firstLine="420"/>
        <w:rPr>
          <w:rFonts w:ascii="宋体" w:hAnsi="宋体"/>
          <w:color w:val="000000"/>
          <w:kern w:val="0"/>
          <w:szCs w:val="21"/>
        </w:rPr>
      </w:pPr>
      <w:r>
        <w:rPr>
          <w:rFonts w:ascii="宋体" w:hAnsi="宋体" w:hint="eastAsia"/>
          <w:color w:val="000000"/>
          <w:kern w:val="0"/>
          <w:szCs w:val="21"/>
        </w:rPr>
        <w:t>基金合同生效后，连续二十个工作日出现基金份额持有人数量</w:t>
      </w:r>
      <w:proofErr w:type="gramStart"/>
      <w:r>
        <w:rPr>
          <w:rFonts w:ascii="宋体" w:hAnsi="宋体" w:hint="eastAsia"/>
          <w:color w:val="000000"/>
          <w:kern w:val="0"/>
          <w:szCs w:val="21"/>
        </w:rPr>
        <w:t>不满二百</w:t>
      </w:r>
      <w:proofErr w:type="gramEnd"/>
      <w:r>
        <w:rPr>
          <w:rFonts w:ascii="宋体" w:hAnsi="宋体" w:hint="eastAsia"/>
          <w:color w:val="000000"/>
          <w:kern w:val="0"/>
          <w:szCs w:val="21"/>
        </w:rPr>
        <w:t>人或者基金资产净值低于五千万元情形的，基金管理人应当在定期报告中予以披露；连续六十个工作日出现前述情形的，本基金将根据《基金合同》约定进入清算程序并终止，无需召开基金份额持有人大会审议。</w:t>
      </w:r>
    </w:p>
    <w:p w:rsidR="004C06C5" w:rsidRDefault="00ED474B">
      <w:pPr>
        <w:spacing w:line="360" w:lineRule="auto"/>
        <w:ind w:firstLineChars="200" w:firstLine="420"/>
        <w:rPr>
          <w:rFonts w:ascii="宋体" w:hAnsi="宋体"/>
          <w:color w:val="000000"/>
          <w:kern w:val="0"/>
          <w:szCs w:val="21"/>
        </w:rPr>
      </w:pPr>
      <w:r>
        <w:rPr>
          <w:rFonts w:ascii="宋体" w:hAnsi="宋体" w:hint="eastAsia"/>
          <w:color w:val="000000"/>
          <w:kern w:val="0"/>
          <w:szCs w:val="21"/>
        </w:rPr>
        <w:t>法律法规或监管机构另有规定时，从其规定。</w:t>
      </w:r>
    </w:p>
    <w:p w:rsidR="004C06C5" w:rsidRDefault="004C06C5">
      <w:pPr>
        <w:spacing w:line="360" w:lineRule="auto"/>
        <w:ind w:firstLineChars="200" w:firstLine="420"/>
        <w:rPr>
          <w:rFonts w:ascii="宋体" w:hAnsi="宋体"/>
          <w:color w:val="000000"/>
          <w:kern w:val="0"/>
          <w:szCs w:val="21"/>
        </w:rPr>
      </w:pPr>
    </w:p>
    <w:p w:rsidR="004C06C5" w:rsidRDefault="004C06C5">
      <w:pPr>
        <w:adjustRightInd w:val="0"/>
        <w:snapToGrid w:val="0"/>
        <w:spacing w:line="360" w:lineRule="auto"/>
        <w:ind w:firstLineChars="200" w:firstLine="420"/>
        <w:rPr>
          <w:rFonts w:ascii="Arial Unicode MS" w:hAnsi="Arial Unicode MS" w:cs="Arial"/>
          <w:kern w:val="0"/>
          <w:szCs w:val="21"/>
        </w:rPr>
      </w:pPr>
    </w:p>
    <w:p w:rsidR="004C06C5" w:rsidRDefault="00ED474B">
      <w:pPr>
        <w:rPr>
          <w:rFonts w:ascii="Arial Unicode MS" w:hAnsi="Arial Unicode MS" w:cs="Arial"/>
          <w:szCs w:val="21"/>
        </w:rPr>
      </w:pPr>
      <w:r>
        <w:rPr>
          <w:rFonts w:ascii="Arial Unicode MS" w:hAnsi="Arial Unicode MS" w:cs="Arial"/>
          <w:szCs w:val="21"/>
        </w:rPr>
        <w:br w:type="page"/>
      </w:r>
      <w:bookmarkStart w:id="45" w:name="_Toc21073391"/>
      <w:bookmarkStart w:id="46" w:name="_Toc12357171"/>
      <w:bookmarkStart w:id="47" w:name="_Toc214873597"/>
      <w:bookmarkStart w:id="48" w:name="_Toc147463118"/>
    </w:p>
    <w:p w:rsidR="004C06C5" w:rsidRDefault="00ED474B">
      <w:pPr>
        <w:pStyle w:val="11"/>
        <w:snapToGrid w:val="0"/>
        <w:spacing w:before="0" w:after="0" w:line="360" w:lineRule="auto"/>
        <w:ind w:firstLineChars="150" w:firstLine="422"/>
        <w:rPr>
          <w:rFonts w:ascii="Arial Unicode MS" w:eastAsia="宋体" w:hAnsi="Arial Unicode MS" w:cs="Arial"/>
          <w:b/>
          <w:bCs/>
          <w:sz w:val="28"/>
          <w:szCs w:val="28"/>
        </w:rPr>
      </w:pPr>
      <w:bookmarkStart w:id="49" w:name="_Toc317088145"/>
      <w:bookmarkStart w:id="50" w:name="_Toc320887647"/>
      <w:bookmarkStart w:id="51" w:name="_Toc317088542"/>
      <w:bookmarkStart w:id="52" w:name="_Toc335232696"/>
      <w:bookmarkStart w:id="53" w:name="_Toc1464063"/>
      <w:r>
        <w:rPr>
          <w:rFonts w:ascii="Arial Unicode MS" w:eastAsia="宋体" w:hAnsi="Arial Unicode MS" w:cs="Arial"/>
          <w:b/>
          <w:bCs/>
          <w:sz w:val="28"/>
          <w:szCs w:val="28"/>
        </w:rPr>
        <w:lastRenderedPageBreak/>
        <w:t>第</w:t>
      </w:r>
      <w:r>
        <w:rPr>
          <w:rFonts w:ascii="Arial Unicode MS" w:eastAsia="宋体" w:hAnsi="Arial Unicode MS" w:cs="Arial" w:hint="eastAsia"/>
          <w:b/>
          <w:bCs/>
          <w:sz w:val="28"/>
          <w:szCs w:val="28"/>
        </w:rPr>
        <w:t>八</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基金份额的申购</w:t>
      </w:r>
      <w:r>
        <w:rPr>
          <w:rFonts w:ascii="Arial Unicode MS" w:eastAsia="宋体" w:hAnsi="Arial Unicode MS" w:cs="Arial" w:hint="eastAsia"/>
          <w:b/>
          <w:bCs/>
          <w:sz w:val="28"/>
          <w:szCs w:val="28"/>
        </w:rPr>
        <w:t>与</w:t>
      </w:r>
      <w:r>
        <w:rPr>
          <w:rFonts w:ascii="Arial Unicode MS" w:eastAsia="宋体" w:hAnsi="Arial Unicode MS" w:cs="Arial"/>
          <w:b/>
          <w:bCs/>
          <w:sz w:val="28"/>
          <w:szCs w:val="28"/>
        </w:rPr>
        <w:t>赎回</w:t>
      </w:r>
      <w:bookmarkEnd w:id="45"/>
      <w:bookmarkEnd w:id="46"/>
      <w:bookmarkEnd w:id="47"/>
      <w:bookmarkEnd w:id="48"/>
      <w:bookmarkEnd w:id="49"/>
      <w:bookmarkEnd w:id="50"/>
      <w:bookmarkEnd w:id="51"/>
      <w:bookmarkEnd w:id="52"/>
      <w:bookmarkEnd w:id="53"/>
    </w:p>
    <w:p w:rsidR="004C06C5" w:rsidRDefault="004C06C5">
      <w:pPr>
        <w:rPr>
          <w:rFonts w:ascii="Arial Unicode MS" w:hAnsi="Arial Unicode MS"/>
          <w:lang w:val="zh-CN"/>
        </w:rPr>
      </w:pPr>
    </w:p>
    <w:p w:rsidR="004C06C5" w:rsidRDefault="00ED474B">
      <w:pPr>
        <w:adjustRightInd w:val="0"/>
        <w:snapToGrid w:val="0"/>
        <w:spacing w:line="360" w:lineRule="auto"/>
        <w:ind w:firstLineChars="200" w:firstLine="422"/>
        <w:rPr>
          <w:rFonts w:ascii="Arial Unicode MS" w:hAnsi="Arial Unicode MS" w:cs="Arial"/>
          <w:b/>
          <w:bCs/>
          <w:kern w:val="0"/>
          <w:szCs w:val="21"/>
        </w:rPr>
      </w:pPr>
      <w:r>
        <w:rPr>
          <w:rFonts w:ascii="Arial Unicode MS" w:hAnsi="Arial Unicode MS" w:cs="Arial" w:hint="eastAsia"/>
          <w:b/>
          <w:bCs/>
          <w:kern w:val="0"/>
          <w:szCs w:val="21"/>
        </w:rPr>
        <w:t>一、</w:t>
      </w:r>
      <w:r>
        <w:rPr>
          <w:rFonts w:ascii="Arial Unicode MS" w:hAnsi="Arial Unicode MS" w:cs="Arial"/>
          <w:b/>
          <w:bCs/>
          <w:kern w:val="0"/>
          <w:szCs w:val="21"/>
        </w:rPr>
        <w:t>申购与赎回的场所</w:t>
      </w:r>
    </w:p>
    <w:p w:rsidR="004C06C5" w:rsidRDefault="00ED474B">
      <w:pPr>
        <w:spacing w:line="360" w:lineRule="auto"/>
        <w:ind w:firstLineChars="200" w:firstLine="420"/>
        <w:rPr>
          <w:rFonts w:ascii="Arial Unicode MS" w:hAnsi="Arial Unicode MS"/>
          <w:bCs/>
          <w:szCs w:val="21"/>
        </w:rPr>
      </w:pPr>
      <w:r>
        <w:rPr>
          <w:rFonts w:ascii="Arial Unicode MS" w:hAnsi="Arial Unicode MS" w:hint="eastAsia"/>
          <w:bCs/>
          <w:szCs w:val="21"/>
        </w:rPr>
        <w:t>本基金的申购与赎回将通过销售机构进行。本基金的销售机构包括基金管理人和基金管理人委托的其他销售机构，具体的销售机构将由基金管理人在相关公告中列明。基金管理人可根据情况变更或增减销售机构，并在管理人网站公示。基金投资者应当在销售机构办理基金销售业务的营业场所或按销售机构提供的其他方式办理基金份额的申购与赎回。</w:t>
      </w:r>
    </w:p>
    <w:p w:rsidR="004C06C5" w:rsidRDefault="00ED474B">
      <w:pPr>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二</w:t>
      </w:r>
      <w:r>
        <w:rPr>
          <w:rFonts w:ascii="Arial Unicode MS" w:hAnsi="Arial Unicode MS" w:cs="Arial"/>
          <w:b/>
          <w:bCs/>
          <w:szCs w:val="21"/>
        </w:rPr>
        <w:t>、</w:t>
      </w:r>
      <w:r>
        <w:rPr>
          <w:rFonts w:ascii="Arial Unicode MS" w:hAnsi="Arial Unicode MS" w:cs="Arial"/>
          <w:b/>
          <w:kern w:val="0"/>
          <w:szCs w:val="21"/>
        </w:rPr>
        <w:t>申购与赎回办理的开放日及时间</w:t>
      </w:r>
    </w:p>
    <w:p w:rsidR="004C06C5" w:rsidRDefault="00ED474B">
      <w:pPr>
        <w:adjustRightInd w:val="0"/>
        <w:snapToGrid w:val="0"/>
        <w:spacing w:line="360" w:lineRule="auto"/>
        <w:ind w:firstLineChars="200" w:firstLine="420"/>
        <w:rPr>
          <w:rFonts w:ascii="Arial Unicode MS" w:hAnsi="Arial Unicode MS" w:cs="Arial"/>
          <w:kern w:val="0"/>
          <w:szCs w:val="21"/>
        </w:rPr>
      </w:pPr>
      <w:bookmarkStart w:id="54" w:name="_Toc510842719"/>
      <w:r>
        <w:rPr>
          <w:rFonts w:ascii="Arial Unicode MS" w:hAnsi="Arial Unicode MS" w:cs="Arial" w:hint="eastAsia"/>
          <w:kern w:val="0"/>
          <w:szCs w:val="21"/>
        </w:rPr>
        <w:t>1</w:t>
      </w:r>
      <w:r>
        <w:rPr>
          <w:rFonts w:ascii="Arial Unicode MS" w:hAnsi="Arial Unicode MS" w:cs="Arial" w:hint="eastAsia"/>
          <w:kern w:val="0"/>
          <w:szCs w:val="21"/>
        </w:rPr>
        <w:t>、开放日及开放时间</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投资人在开放日办理基金份额的申购和赎回，具体办理时间为上海证券交易所、深圳证券交易所的正常交易日的交易时间，但基金管理人根据法律法规、中国证监会的要求或基金合同的规定公告暂停申购、赎回时除外。开放日的具体业务办理时间在招募说明书或相关公告中载明。</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合同生效后，若出现新的证券交易市场、证券交易所交易时间变更或其他特殊情况，基金管理人将视情况对前述开放日及开放时间进行相应的调整，但应在实施日前依照《信息披露办法》的有关规定在指定媒介上公告。</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、申购、赎回开始日及业务办理时间</w:t>
      </w:r>
    </w:p>
    <w:p w:rsidR="004C06C5" w:rsidRDefault="00ED474B">
      <w:pPr>
        <w:spacing w:line="360" w:lineRule="auto"/>
        <w:ind w:firstLineChars="200" w:firstLine="420"/>
        <w:rPr>
          <w:rFonts w:ascii="宋体" w:hAnsi="宋体"/>
          <w:color w:val="000000"/>
          <w:kern w:val="0"/>
          <w:szCs w:val="21"/>
        </w:rPr>
      </w:pPr>
      <w:r>
        <w:rPr>
          <w:rFonts w:ascii="宋体" w:hAnsi="宋体" w:hint="eastAsia"/>
          <w:color w:val="000000"/>
          <w:kern w:val="0"/>
          <w:szCs w:val="21"/>
        </w:rPr>
        <w:t>本基金已于2018年2月22日开始办理申购、赎回业务。</w:t>
      </w:r>
    </w:p>
    <w:p w:rsidR="004C06C5" w:rsidRDefault="00ED474B">
      <w:pPr>
        <w:adjustRightInd w:val="0"/>
        <w:snapToGrid w:val="0"/>
        <w:spacing w:line="360" w:lineRule="auto"/>
        <w:ind w:firstLineChars="200" w:firstLine="420"/>
        <w:rPr>
          <w:rFonts w:ascii="宋体" w:hAnsi="宋体"/>
          <w:color w:val="000000"/>
          <w:kern w:val="0"/>
          <w:szCs w:val="21"/>
        </w:rPr>
      </w:pPr>
      <w:r>
        <w:rPr>
          <w:rFonts w:ascii="Arial Unicode MS" w:hAnsi="Arial Unicode MS" w:cs="Arial" w:hint="eastAsia"/>
          <w:kern w:val="0"/>
          <w:szCs w:val="21"/>
        </w:rPr>
        <w:t>基金管理人不得在基金合同约定之外的日期或者时间办理基金份额的申购、赎回或者转换。投资人在基金合同约定之外的日期和时间提出申购、赎回或转换申请</w:t>
      </w:r>
      <w:proofErr w:type="gramStart"/>
      <w:r>
        <w:rPr>
          <w:rFonts w:ascii="Arial Unicode MS" w:hAnsi="Arial Unicode MS" w:cs="Arial" w:hint="eastAsia"/>
          <w:kern w:val="0"/>
          <w:szCs w:val="21"/>
        </w:rPr>
        <w:t>且登记</w:t>
      </w:r>
      <w:proofErr w:type="gramEnd"/>
      <w:r>
        <w:rPr>
          <w:rFonts w:ascii="Arial Unicode MS" w:hAnsi="Arial Unicode MS" w:cs="Arial" w:hint="eastAsia"/>
          <w:kern w:val="0"/>
          <w:szCs w:val="21"/>
        </w:rPr>
        <w:t>机构确认接受的，其基金份额申购、赎回价格为下一开放日基金份额申购、赎回的价格。</w:t>
      </w:r>
    </w:p>
    <w:bookmarkEnd w:id="54"/>
    <w:p w:rsidR="004C06C5" w:rsidRDefault="00ED474B">
      <w:pPr>
        <w:autoSpaceDE w:val="0"/>
        <w:autoSpaceDN w:val="0"/>
        <w:adjustRightInd w:val="0"/>
        <w:snapToGrid w:val="0"/>
        <w:spacing w:line="360" w:lineRule="auto"/>
        <w:ind w:firstLineChars="200" w:firstLine="422"/>
        <w:rPr>
          <w:rFonts w:ascii="Arial Unicode MS" w:hAnsi="Arial Unicode MS" w:cs="Arial"/>
          <w:b/>
          <w:szCs w:val="21"/>
        </w:rPr>
      </w:pPr>
      <w:r>
        <w:rPr>
          <w:rFonts w:ascii="Arial Unicode MS" w:hAnsi="Arial Unicode MS" w:cs="Arial" w:hint="eastAsia"/>
          <w:b/>
          <w:szCs w:val="21"/>
        </w:rPr>
        <w:t>三</w:t>
      </w:r>
      <w:r>
        <w:rPr>
          <w:rFonts w:ascii="Arial Unicode MS" w:hAnsi="Arial Unicode MS" w:cs="Arial"/>
          <w:b/>
          <w:szCs w:val="21"/>
        </w:rPr>
        <w:t>、申购与赎回的原则</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、“未知价”原则，即申购、赎回价格以申请当日收市后计算的基金份额净值为基准进行计算；</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、“金额申购、份额赎回”原则，即申购以金额申请，赎回以份额申请；</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3</w:t>
      </w:r>
      <w:r>
        <w:rPr>
          <w:rFonts w:ascii="Arial Unicode MS" w:hAnsi="Arial Unicode MS" w:cs="Arial" w:hint="eastAsia"/>
          <w:kern w:val="0"/>
          <w:szCs w:val="21"/>
        </w:rPr>
        <w:t>、当日的申购与赎回申请可以在基金管理人规定的时间以内撤销；</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4</w:t>
      </w:r>
      <w:r>
        <w:rPr>
          <w:rFonts w:ascii="Arial Unicode MS" w:hAnsi="Arial Unicode MS" w:cs="Arial" w:hint="eastAsia"/>
          <w:kern w:val="0"/>
          <w:szCs w:val="21"/>
        </w:rPr>
        <w:t>、赎回遵循“先进先出”原则，即按照投资人认购、申购的先后次序进行顺序赎回；</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5</w:t>
      </w:r>
      <w:r>
        <w:rPr>
          <w:rFonts w:ascii="Arial Unicode MS" w:hAnsi="Arial Unicode MS" w:cs="Arial" w:hint="eastAsia"/>
          <w:kern w:val="0"/>
          <w:szCs w:val="21"/>
        </w:rPr>
        <w:t>、投资者办理申购、赎回等业务时应提交的文件和办理手续、办理时间、处理规则等在遵守基金合同和招募说明书规定的前提下，以各销售机构的具体规定为准。</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基金管理人可在法律法规允许的情况下，对上述原则进行调整。基金管理人必须在新规则开始实施前依照《信息披露办法》的有关规定在指定媒介公告。</w:t>
      </w:r>
    </w:p>
    <w:p w:rsidR="004C06C5" w:rsidRDefault="00ED474B">
      <w:pPr>
        <w:autoSpaceDE w:val="0"/>
        <w:autoSpaceDN w:val="0"/>
        <w:adjustRightInd w:val="0"/>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lastRenderedPageBreak/>
        <w:t>四、申购与赎回的数额限制</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、首次申购本基金</w:t>
      </w:r>
      <w:r>
        <w:rPr>
          <w:rFonts w:ascii="Arial" w:hAnsi="Arial" w:cs="Arial" w:hint="eastAsia"/>
          <w:szCs w:val="21"/>
        </w:rPr>
        <w:t>A</w:t>
      </w:r>
      <w:r>
        <w:rPr>
          <w:rFonts w:ascii="Arial" w:hAnsi="Arial" w:cs="Arial" w:hint="eastAsia"/>
          <w:szCs w:val="21"/>
        </w:rPr>
        <w:t>类基金份额或</w:t>
      </w:r>
      <w:r>
        <w:rPr>
          <w:rFonts w:ascii="Arial" w:hAnsi="Arial" w:cs="Arial" w:hint="eastAsia"/>
          <w:szCs w:val="21"/>
        </w:rPr>
        <w:t>C</w:t>
      </w:r>
      <w:r>
        <w:rPr>
          <w:rFonts w:ascii="Arial" w:hAnsi="Arial" w:cs="Arial" w:hint="eastAsia"/>
          <w:szCs w:val="21"/>
        </w:rPr>
        <w:t>类基金份额</w:t>
      </w:r>
      <w:r>
        <w:rPr>
          <w:rFonts w:ascii="Arial Unicode MS" w:hAnsi="Arial Unicode MS" w:cs="Arial" w:hint="eastAsia"/>
          <w:kern w:val="0"/>
          <w:szCs w:val="21"/>
        </w:rPr>
        <w:t>的最低金额为</w:t>
      </w:r>
      <w:r>
        <w:rPr>
          <w:rFonts w:ascii="Arial Unicode MS" w:hAnsi="Arial Unicode MS" w:cs="Arial" w:hint="eastAsia"/>
          <w:kern w:val="0"/>
          <w:szCs w:val="21"/>
        </w:rPr>
        <w:t>1.00</w:t>
      </w:r>
      <w:r>
        <w:rPr>
          <w:rFonts w:ascii="Arial Unicode MS" w:hAnsi="Arial Unicode MS" w:cs="Arial" w:hint="eastAsia"/>
          <w:kern w:val="0"/>
          <w:szCs w:val="21"/>
        </w:rPr>
        <w:t>元，追加申购的最低金额为</w:t>
      </w:r>
      <w:r>
        <w:rPr>
          <w:rFonts w:ascii="Arial Unicode MS" w:hAnsi="Arial Unicode MS" w:cs="Arial" w:hint="eastAsia"/>
          <w:kern w:val="0"/>
          <w:szCs w:val="21"/>
        </w:rPr>
        <w:t>1.00</w:t>
      </w:r>
      <w:r>
        <w:rPr>
          <w:rFonts w:ascii="Arial Unicode MS" w:hAnsi="Arial Unicode MS" w:cs="Arial" w:hint="eastAsia"/>
          <w:kern w:val="0"/>
          <w:szCs w:val="21"/>
        </w:rPr>
        <w:t>元；</w:t>
      </w:r>
      <w:r>
        <w:rPr>
          <w:rFonts w:ascii="Arial Unicode MS" w:hAnsi="Arial Unicode MS" w:cs="Arial"/>
          <w:kern w:val="0"/>
          <w:szCs w:val="21"/>
        </w:rPr>
        <w:t>详情请见当地销售机构公告</w:t>
      </w:r>
      <w:r>
        <w:rPr>
          <w:rFonts w:ascii="Arial Unicode MS" w:hAnsi="Arial Unicode MS" w:cs="Arial" w:hint="eastAsia"/>
          <w:kern w:val="0"/>
          <w:szCs w:val="21"/>
        </w:rPr>
        <w:t>；</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、每个交易账户最低持有基金份额余额为</w:t>
      </w:r>
      <w:r>
        <w:rPr>
          <w:rFonts w:ascii="Arial Unicode MS" w:hAnsi="Arial Unicode MS" w:cs="Arial" w:hint="eastAsia"/>
          <w:kern w:val="0"/>
          <w:szCs w:val="21"/>
        </w:rPr>
        <w:t>1</w:t>
      </w:r>
      <w:r>
        <w:rPr>
          <w:rFonts w:ascii="Arial Unicode MS" w:hAnsi="Arial Unicode MS" w:cs="Arial" w:hint="eastAsia"/>
          <w:kern w:val="0"/>
          <w:szCs w:val="21"/>
        </w:rPr>
        <w:t>份，若某笔赎回导致单个交易账户的基金份额余额少于</w:t>
      </w:r>
      <w:r>
        <w:rPr>
          <w:rFonts w:ascii="Arial Unicode MS" w:hAnsi="Arial Unicode MS" w:cs="Arial" w:hint="eastAsia"/>
          <w:kern w:val="0"/>
          <w:szCs w:val="21"/>
        </w:rPr>
        <w:t>1</w:t>
      </w:r>
      <w:r>
        <w:rPr>
          <w:rFonts w:ascii="Arial Unicode MS" w:hAnsi="Arial Unicode MS" w:cs="Arial" w:hint="eastAsia"/>
          <w:kern w:val="0"/>
          <w:szCs w:val="21"/>
        </w:rPr>
        <w:t>份时，余额部分基金份额必须一同赎回；</w:t>
      </w:r>
      <w:r>
        <w:rPr>
          <w:rFonts w:ascii="Arial Unicode MS" w:hAnsi="Arial Unicode MS" w:cs="Arial" w:hint="eastAsia"/>
          <w:kern w:val="0"/>
          <w:szCs w:val="21"/>
        </w:rPr>
        <w:t xml:space="preserve"> </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3</w:t>
      </w:r>
      <w:r>
        <w:rPr>
          <w:rFonts w:ascii="Arial Unicode MS" w:hAnsi="Arial Unicode MS" w:cs="Arial" w:hint="eastAsia"/>
          <w:kern w:val="0"/>
          <w:szCs w:val="21"/>
        </w:rPr>
        <w:t>、本基金目前对单个投资人累计持有份额不设上限限制，将来基金管理人可以规定单个投资者累计持有的基金份额数量限制，具体规定见定期更新的招募说明书或相关公告；</w:t>
      </w:r>
    </w:p>
    <w:p w:rsidR="004C06C5" w:rsidRDefault="00ED474B">
      <w:pPr>
        <w:spacing w:line="360" w:lineRule="auto"/>
        <w:ind w:firstLineChars="200" w:firstLine="420"/>
        <w:rPr>
          <w:rFonts w:asciiTheme="minorEastAsia" w:eastAsiaTheme="minorEastAsia" w:hAnsiTheme="minorEastAsia"/>
          <w:bCs/>
          <w:szCs w:val="21"/>
        </w:rPr>
      </w:pPr>
      <w:r>
        <w:rPr>
          <w:rFonts w:asciiTheme="minorEastAsia" w:eastAsiaTheme="minorEastAsia" w:hAnsiTheme="minorEastAsia"/>
          <w:bCs/>
          <w:szCs w:val="21"/>
        </w:rPr>
        <w:t>4</w:t>
      </w:r>
      <w:r>
        <w:rPr>
          <w:rFonts w:asciiTheme="minorEastAsia" w:eastAsiaTheme="minorEastAsia" w:hAnsiTheme="minorEastAsia" w:hint="eastAsia"/>
          <w:bCs/>
          <w:szCs w:val="21"/>
        </w:rPr>
        <w:t>、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具体请参见相关公告。</w:t>
      </w:r>
    </w:p>
    <w:p w:rsidR="004C06C5" w:rsidRDefault="00ED474B">
      <w:pPr>
        <w:spacing w:line="360" w:lineRule="auto"/>
        <w:ind w:firstLineChars="200" w:firstLine="420"/>
        <w:rPr>
          <w:rFonts w:asciiTheme="minorEastAsia" w:eastAsiaTheme="minorEastAsia" w:hAnsiTheme="minorEastAsia"/>
          <w:bCs/>
          <w:szCs w:val="21"/>
        </w:rPr>
      </w:pPr>
      <w:r>
        <w:rPr>
          <w:rFonts w:asciiTheme="minorEastAsia" w:eastAsiaTheme="minorEastAsia" w:hAnsiTheme="minorEastAsia"/>
          <w:bCs/>
          <w:szCs w:val="21"/>
        </w:rPr>
        <w:t>5</w:t>
      </w:r>
      <w:r>
        <w:rPr>
          <w:rFonts w:asciiTheme="minorEastAsia" w:eastAsiaTheme="minorEastAsia" w:hAnsiTheme="minorEastAsia" w:hint="eastAsia"/>
          <w:bCs/>
          <w:szCs w:val="21"/>
        </w:rPr>
        <w:t>、基金管理人可在法律法规允许的情况下，调整上述规定申购金额和赎回份额等数量限制。基金管理人必须在调整实施前依照《信息披露办法》的有关规定在指定媒介上公告。</w:t>
      </w:r>
    </w:p>
    <w:p w:rsidR="004C06C5" w:rsidRDefault="00ED474B">
      <w:pPr>
        <w:autoSpaceDE w:val="0"/>
        <w:autoSpaceDN w:val="0"/>
        <w:adjustRightInd w:val="0"/>
        <w:snapToGrid w:val="0"/>
        <w:spacing w:line="360" w:lineRule="auto"/>
        <w:ind w:firstLineChars="200" w:firstLine="422"/>
        <w:rPr>
          <w:rFonts w:ascii="Arial Unicode MS" w:hAnsi="Arial Unicode MS" w:cs="Arial"/>
          <w:b/>
          <w:szCs w:val="21"/>
        </w:rPr>
      </w:pPr>
      <w:r>
        <w:rPr>
          <w:rFonts w:ascii="Arial Unicode MS" w:hAnsi="Arial Unicode MS" w:cs="Arial" w:hint="eastAsia"/>
          <w:b/>
          <w:szCs w:val="21"/>
        </w:rPr>
        <w:t>五</w:t>
      </w:r>
      <w:r>
        <w:rPr>
          <w:rFonts w:ascii="Arial Unicode MS" w:hAnsi="Arial Unicode MS" w:cs="Arial"/>
          <w:b/>
          <w:szCs w:val="21"/>
        </w:rPr>
        <w:t>、申购与赎回的程序</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1</w:t>
      </w:r>
      <w:r>
        <w:rPr>
          <w:rFonts w:ascii="Arial Unicode MS" w:hAnsi="Arial Unicode MS" w:cs="Arial" w:hint="eastAsia"/>
          <w:kern w:val="0"/>
          <w:szCs w:val="21"/>
        </w:rPr>
        <w:t>、</w:t>
      </w:r>
      <w:r>
        <w:rPr>
          <w:rFonts w:ascii="Arial Unicode MS" w:hAnsi="Arial Unicode MS" w:cs="Arial"/>
          <w:kern w:val="0"/>
          <w:szCs w:val="21"/>
        </w:rPr>
        <w:t>申购和赎回的申请方式</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投资人必须根据销售机构规定的程序，在开放日的具体业务办理时间内提出申购或赎回的申请。</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2</w:t>
      </w:r>
      <w:r>
        <w:rPr>
          <w:rFonts w:ascii="Arial Unicode MS" w:hAnsi="Arial Unicode MS" w:cs="Arial" w:hint="eastAsia"/>
          <w:kern w:val="0"/>
          <w:szCs w:val="21"/>
        </w:rPr>
        <w:t>、</w:t>
      </w:r>
      <w:r>
        <w:rPr>
          <w:rFonts w:ascii="Arial Unicode MS" w:hAnsi="Arial Unicode MS" w:cs="Arial"/>
          <w:kern w:val="0"/>
          <w:szCs w:val="21"/>
        </w:rPr>
        <w:t>申购和赎回的款项支付</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投资人申购基金份额时，必须</w:t>
      </w:r>
      <w:r>
        <w:rPr>
          <w:rFonts w:ascii="Arial Unicode MS" w:hAnsi="Arial Unicode MS" w:cs="Arial" w:hint="eastAsia"/>
          <w:kern w:val="0"/>
          <w:szCs w:val="21"/>
        </w:rPr>
        <w:t>在规定时间前</w:t>
      </w:r>
      <w:r>
        <w:rPr>
          <w:rFonts w:ascii="Arial Unicode MS" w:hAnsi="Arial Unicode MS" w:cs="Arial"/>
          <w:kern w:val="0"/>
          <w:szCs w:val="21"/>
        </w:rPr>
        <w:t>全额交付申购款项，投资人</w:t>
      </w:r>
      <w:r>
        <w:rPr>
          <w:rFonts w:ascii="Arial Unicode MS" w:hAnsi="Arial Unicode MS" w:cs="Arial" w:hint="eastAsia"/>
          <w:kern w:val="0"/>
          <w:szCs w:val="21"/>
        </w:rPr>
        <w:t>在规定时间前全额</w:t>
      </w:r>
      <w:r>
        <w:rPr>
          <w:rFonts w:ascii="Arial Unicode MS" w:hAnsi="Arial Unicode MS" w:cs="Arial"/>
          <w:kern w:val="0"/>
          <w:szCs w:val="21"/>
        </w:rPr>
        <w:t>交付</w:t>
      </w:r>
      <w:r>
        <w:rPr>
          <w:rFonts w:ascii="Arial Unicode MS" w:hAnsi="Arial Unicode MS" w:cs="Arial" w:hint="eastAsia"/>
          <w:kern w:val="0"/>
          <w:szCs w:val="21"/>
        </w:rPr>
        <w:t>申购</w:t>
      </w:r>
      <w:r>
        <w:rPr>
          <w:rFonts w:ascii="Arial Unicode MS" w:hAnsi="Arial Unicode MS" w:cs="Arial"/>
          <w:kern w:val="0"/>
          <w:szCs w:val="21"/>
        </w:rPr>
        <w:t>款项，申购</w:t>
      </w:r>
      <w:r>
        <w:rPr>
          <w:rFonts w:ascii="Arial Unicode MS" w:hAnsi="Arial Unicode MS" w:cs="Arial" w:hint="eastAsia"/>
          <w:kern w:val="0"/>
          <w:szCs w:val="21"/>
        </w:rPr>
        <w:t>成立；基金份额登记机构确认基金份额时，</w:t>
      </w:r>
      <w:r>
        <w:rPr>
          <w:rFonts w:ascii="Arial Unicode MS" w:hAnsi="Arial Unicode MS" w:cs="Arial"/>
          <w:kern w:val="0"/>
          <w:szCs w:val="21"/>
        </w:rPr>
        <w:t>申购</w:t>
      </w:r>
      <w:r>
        <w:rPr>
          <w:rFonts w:ascii="Arial Unicode MS" w:hAnsi="Arial Unicode MS" w:cs="Arial" w:hint="eastAsia"/>
          <w:kern w:val="0"/>
          <w:szCs w:val="21"/>
        </w:rPr>
        <w:t>生</w:t>
      </w:r>
      <w:r>
        <w:rPr>
          <w:rFonts w:ascii="Arial Unicode MS" w:hAnsi="Arial Unicode MS" w:cs="Arial"/>
          <w:kern w:val="0"/>
          <w:szCs w:val="21"/>
        </w:rPr>
        <w:t>效。</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基金份额持有人递交赎回申请，赎回成立；基金份额登记机构确认赎回时，赎回生效。</w:t>
      </w:r>
      <w:r>
        <w:rPr>
          <w:rFonts w:ascii="Arial Unicode MS" w:hAnsi="Arial Unicode MS" w:cs="Arial"/>
          <w:kern w:val="0"/>
          <w:szCs w:val="21"/>
        </w:rPr>
        <w:t>投资人赎回申请</w:t>
      </w:r>
      <w:r>
        <w:rPr>
          <w:rFonts w:ascii="Arial Unicode MS" w:hAnsi="Arial Unicode MS" w:cs="Arial" w:hint="eastAsia"/>
          <w:kern w:val="0"/>
          <w:szCs w:val="21"/>
        </w:rPr>
        <w:t>生效</w:t>
      </w:r>
      <w:r>
        <w:rPr>
          <w:rFonts w:ascii="Arial Unicode MS" w:hAnsi="Arial Unicode MS" w:cs="Arial"/>
          <w:kern w:val="0"/>
          <w:szCs w:val="21"/>
        </w:rPr>
        <w:t>后，基金管理人将在</w:t>
      </w:r>
      <w:r>
        <w:rPr>
          <w:rFonts w:ascii="Arial Unicode MS" w:hAnsi="Arial Unicode MS" w:cs="Arial"/>
          <w:kern w:val="0"/>
          <w:szCs w:val="21"/>
        </w:rPr>
        <w:t>T</w:t>
      </w:r>
      <w:r>
        <w:rPr>
          <w:rFonts w:ascii="Arial Unicode MS" w:hAnsi="Arial Unicode MS" w:cs="Arial"/>
          <w:kern w:val="0"/>
          <w:szCs w:val="21"/>
        </w:rPr>
        <w:t>＋</w:t>
      </w:r>
      <w:r>
        <w:rPr>
          <w:rFonts w:ascii="Arial Unicode MS" w:hAnsi="Arial Unicode MS" w:cs="Arial" w:hint="eastAsia"/>
          <w:kern w:val="0"/>
          <w:szCs w:val="21"/>
        </w:rPr>
        <w:t>7</w:t>
      </w:r>
      <w:r>
        <w:rPr>
          <w:rFonts w:ascii="Arial Unicode MS" w:hAnsi="Arial Unicode MS" w:cs="Arial"/>
          <w:kern w:val="0"/>
          <w:szCs w:val="21"/>
        </w:rPr>
        <w:t>日</w:t>
      </w:r>
      <w:r>
        <w:rPr>
          <w:rFonts w:ascii="Arial Unicode MS" w:hAnsi="Arial Unicode MS" w:cs="Arial"/>
          <w:kern w:val="0"/>
          <w:szCs w:val="21"/>
        </w:rPr>
        <w:t>(</w:t>
      </w:r>
      <w:r>
        <w:rPr>
          <w:rFonts w:ascii="Arial Unicode MS" w:hAnsi="Arial Unicode MS" w:cs="Arial"/>
          <w:kern w:val="0"/>
          <w:szCs w:val="21"/>
        </w:rPr>
        <w:t>包括该日</w:t>
      </w:r>
      <w:r>
        <w:rPr>
          <w:rFonts w:ascii="Arial Unicode MS" w:hAnsi="Arial Unicode MS" w:cs="Arial"/>
          <w:kern w:val="0"/>
          <w:szCs w:val="21"/>
        </w:rPr>
        <w:t>)</w:t>
      </w:r>
      <w:r>
        <w:rPr>
          <w:rFonts w:ascii="Arial Unicode MS" w:hAnsi="Arial Unicode MS" w:cs="Arial"/>
          <w:kern w:val="0"/>
          <w:szCs w:val="21"/>
        </w:rPr>
        <w:t>内支付赎回款项。在发生巨额赎回</w:t>
      </w:r>
      <w:r>
        <w:rPr>
          <w:rFonts w:ascii="Arial Unicode MS" w:hAnsi="Arial Unicode MS" w:cs="Arial" w:hint="eastAsia"/>
          <w:kern w:val="0"/>
          <w:szCs w:val="21"/>
        </w:rPr>
        <w:t>或基金合同约定的其他暂停赎回或延缓支付赎回款项的情形</w:t>
      </w:r>
      <w:r>
        <w:rPr>
          <w:rFonts w:ascii="Arial Unicode MS" w:hAnsi="Arial Unicode MS" w:cs="Arial"/>
          <w:kern w:val="0"/>
          <w:szCs w:val="21"/>
        </w:rPr>
        <w:t>时，款项的支付办法参照基金合同有关条款处理。</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遇交易所或交易市场数据传输延迟、通讯系统故障、银行数据交换系统故障或其他</w:t>
      </w:r>
      <w:proofErr w:type="gramStart"/>
      <w:r>
        <w:rPr>
          <w:rFonts w:ascii="Arial Unicode MS" w:hAnsi="Arial Unicode MS" w:cs="Arial" w:hint="eastAsia"/>
          <w:kern w:val="0"/>
          <w:szCs w:val="21"/>
        </w:rPr>
        <w:t>非基金</w:t>
      </w:r>
      <w:proofErr w:type="gramEnd"/>
      <w:r>
        <w:rPr>
          <w:rFonts w:ascii="Arial Unicode MS" w:hAnsi="Arial Unicode MS" w:cs="Arial" w:hint="eastAsia"/>
          <w:kern w:val="0"/>
          <w:szCs w:val="21"/>
        </w:rPr>
        <w:t>管理人及基金托管人所能控制的因素影响业务处理流程，则赎回款项划付时间相应顺延。</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3</w:t>
      </w:r>
      <w:r>
        <w:rPr>
          <w:rFonts w:ascii="Arial Unicode MS" w:hAnsi="Arial Unicode MS" w:cs="Arial" w:hint="eastAsia"/>
          <w:kern w:val="0"/>
          <w:szCs w:val="21"/>
        </w:rPr>
        <w:t>、</w:t>
      </w:r>
      <w:r>
        <w:rPr>
          <w:rFonts w:ascii="Arial Unicode MS" w:hAnsi="Arial Unicode MS" w:cs="Arial"/>
          <w:kern w:val="0"/>
          <w:szCs w:val="21"/>
        </w:rPr>
        <w:t>申购和赎回申请的确认</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基金管理人应以交易时间结束前受理</w:t>
      </w:r>
      <w:r>
        <w:rPr>
          <w:rFonts w:ascii="Arial Unicode MS" w:hAnsi="Arial Unicode MS" w:cs="Arial" w:hint="eastAsia"/>
          <w:kern w:val="0"/>
          <w:szCs w:val="21"/>
        </w:rPr>
        <w:t>有效</w:t>
      </w:r>
      <w:r>
        <w:rPr>
          <w:rFonts w:ascii="Arial Unicode MS" w:hAnsi="Arial Unicode MS" w:cs="Arial"/>
          <w:kern w:val="0"/>
          <w:szCs w:val="21"/>
        </w:rPr>
        <w:t>申购和赎回申请的当天作为申购或赎回申请日</w:t>
      </w:r>
      <w:r>
        <w:rPr>
          <w:rFonts w:ascii="Arial Unicode MS" w:hAnsi="Arial Unicode MS" w:cs="Arial"/>
          <w:kern w:val="0"/>
          <w:szCs w:val="21"/>
        </w:rPr>
        <w:t>(T</w:t>
      </w:r>
      <w:r>
        <w:rPr>
          <w:rFonts w:ascii="Arial Unicode MS" w:hAnsi="Arial Unicode MS" w:cs="Arial"/>
          <w:kern w:val="0"/>
          <w:szCs w:val="21"/>
        </w:rPr>
        <w:t>日</w:t>
      </w:r>
      <w:r>
        <w:rPr>
          <w:rFonts w:ascii="Arial Unicode MS" w:hAnsi="Arial Unicode MS" w:cs="Arial"/>
          <w:kern w:val="0"/>
          <w:szCs w:val="21"/>
        </w:rPr>
        <w:t>)</w:t>
      </w:r>
      <w:r>
        <w:rPr>
          <w:rFonts w:ascii="Arial Unicode MS" w:hAnsi="Arial Unicode MS" w:cs="Arial"/>
          <w:kern w:val="0"/>
          <w:szCs w:val="21"/>
        </w:rPr>
        <w:t>，在正常情况下，本基金登记机构在</w:t>
      </w:r>
      <w:r>
        <w:rPr>
          <w:rFonts w:ascii="Arial Unicode MS" w:hAnsi="Arial Unicode MS" w:cs="Arial"/>
          <w:kern w:val="0"/>
          <w:szCs w:val="21"/>
        </w:rPr>
        <w:t>T+</w:t>
      </w:r>
      <w:r>
        <w:rPr>
          <w:rFonts w:ascii="Arial Unicode MS" w:hAnsi="Arial Unicode MS" w:cs="Arial" w:hint="eastAsia"/>
          <w:kern w:val="0"/>
          <w:szCs w:val="21"/>
        </w:rPr>
        <w:t>1</w:t>
      </w:r>
      <w:r>
        <w:rPr>
          <w:rFonts w:ascii="Arial Unicode MS" w:hAnsi="Arial Unicode MS" w:cs="Arial"/>
          <w:kern w:val="0"/>
          <w:szCs w:val="21"/>
        </w:rPr>
        <w:t>日内对该交易的有效性进行确认。</w:t>
      </w:r>
      <w:r>
        <w:rPr>
          <w:rFonts w:ascii="Arial Unicode MS" w:hAnsi="Arial Unicode MS" w:cs="Arial"/>
          <w:kern w:val="0"/>
          <w:szCs w:val="21"/>
        </w:rPr>
        <w:t>T</w:t>
      </w:r>
      <w:r>
        <w:rPr>
          <w:rFonts w:ascii="Arial Unicode MS" w:hAnsi="Arial Unicode MS" w:cs="Arial"/>
          <w:kern w:val="0"/>
          <w:szCs w:val="21"/>
        </w:rPr>
        <w:t>日提交的有效申请，投资人</w:t>
      </w:r>
      <w:r>
        <w:rPr>
          <w:rFonts w:ascii="Arial Unicode MS" w:hAnsi="Arial Unicode MS" w:cs="Arial" w:hint="eastAsia"/>
          <w:kern w:val="0"/>
          <w:szCs w:val="21"/>
        </w:rPr>
        <w:t>应</w:t>
      </w:r>
      <w:r>
        <w:rPr>
          <w:rFonts w:ascii="Arial Unicode MS" w:hAnsi="Arial Unicode MS" w:cs="Arial"/>
          <w:kern w:val="0"/>
          <w:szCs w:val="21"/>
        </w:rPr>
        <w:t>在</w:t>
      </w:r>
      <w:r>
        <w:rPr>
          <w:rFonts w:ascii="Arial Unicode MS" w:hAnsi="Arial Unicode MS" w:cs="Arial"/>
          <w:kern w:val="0"/>
          <w:szCs w:val="21"/>
        </w:rPr>
        <w:t>T+</w:t>
      </w:r>
      <w:r>
        <w:rPr>
          <w:rFonts w:ascii="Arial Unicode MS" w:hAnsi="Arial Unicode MS" w:cs="Arial" w:hint="eastAsia"/>
          <w:kern w:val="0"/>
          <w:szCs w:val="21"/>
        </w:rPr>
        <w:t>2</w:t>
      </w:r>
      <w:r>
        <w:rPr>
          <w:rFonts w:ascii="Arial Unicode MS" w:hAnsi="Arial Unicode MS" w:cs="Arial"/>
          <w:kern w:val="0"/>
          <w:szCs w:val="21"/>
        </w:rPr>
        <w:t>日后</w:t>
      </w:r>
      <w:r>
        <w:rPr>
          <w:rFonts w:ascii="Arial Unicode MS" w:hAnsi="Arial Unicode MS" w:cs="Arial"/>
          <w:kern w:val="0"/>
          <w:szCs w:val="21"/>
        </w:rPr>
        <w:t>(</w:t>
      </w:r>
      <w:r>
        <w:rPr>
          <w:rFonts w:ascii="Arial Unicode MS" w:hAnsi="Arial Unicode MS" w:cs="Arial"/>
          <w:kern w:val="0"/>
          <w:szCs w:val="21"/>
        </w:rPr>
        <w:t>包括该日</w:t>
      </w:r>
      <w:r>
        <w:rPr>
          <w:rFonts w:ascii="Arial Unicode MS" w:hAnsi="Arial Unicode MS" w:cs="Arial"/>
          <w:kern w:val="0"/>
          <w:szCs w:val="21"/>
        </w:rPr>
        <w:t>)</w:t>
      </w:r>
      <w:r>
        <w:rPr>
          <w:rFonts w:ascii="Arial Unicode MS" w:hAnsi="Arial Unicode MS" w:cs="Arial" w:hint="eastAsia"/>
          <w:kern w:val="0"/>
          <w:szCs w:val="21"/>
        </w:rPr>
        <w:t>及时</w:t>
      </w:r>
      <w:r>
        <w:rPr>
          <w:rFonts w:ascii="Arial Unicode MS" w:hAnsi="Arial Unicode MS" w:cs="Arial"/>
          <w:kern w:val="0"/>
          <w:szCs w:val="21"/>
        </w:rPr>
        <w:t>到销售网点柜台或以销售机构规定的其他方式查询申请的确认情况。若申购不成功</w:t>
      </w:r>
      <w:r>
        <w:rPr>
          <w:rFonts w:ascii="Arial Unicode MS" w:hAnsi="Arial Unicode MS" w:cs="Arial" w:hint="eastAsia"/>
          <w:kern w:val="0"/>
          <w:szCs w:val="21"/>
        </w:rPr>
        <w:t>或</w:t>
      </w:r>
      <w:r>
        <w:rPr>
          <w:rFonts w:ascii="Arial Unicode MS" w:hAnsi="Arial Unicode MS" w:cs="Arial"/>
          <w:kern w:val="0"/>
          <w:szCs w:val="21"/>
        </w:rPr>
        <w:t>无效，则申购款项</w:t>
      </w:r>
      <w:r>
        <w:rPr>
          <w:rFonts w:ascii="Arial Unicode MS" w:hAnsi="Arial Unicode MS" w:cs="Arial" w:hint="eastAsia"/>
          <w:kern w:val="0"/>
          <w:szCs w:val="21"/>
        </w:rPr>
        <w:t>本金</w:t>
      </w:r>
      <w:r>
        <w:rPr>
          <w:rFonts w:ascii="Arial Unicode MS" w:hAnsi="Arial Unicode MS" w:cs="Arial"/>
          <w:kern w:val="0"/>
          <w:szCs w:val="21"/>
        </w:rPr>
        <w:t>退还给投资人。</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lastRenderedPageBreak/>
        <w:t>基金销售机构对申购、赎回申请的受理并不代表申请一定成功，而仅代表销售机构确实接收到申请。申购、赎回申请的确认以登记机构的确认结果为准。对于申请的确认情况，投资者应及时查询。</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基金管理人可以在法律法规和基金合同允许的范围内，对上述业务办理时间进行调整，并在调整实施前依照《信息披露办法》的有关规定在指定媒介上公告。</w:t>
      </w:r>
    </w:p>
    <w:p w:rsidR="004C06C5" w:rsidRDefault="00ED474B">
      <w:pPr>
        <w:autoSpaceDE w:val="0"/>
        <w:autoSpaceDN w:val="0"/>
        <w:adjustRightInd w:val="0"/>
        <w:snapToGrid w:val="0"/>
        <w:spacing w:line="360" w:lineRule="auto"/>
        <w:ind w:firstLineChars="200" w:firstLine="422"/>
        <w:rPr>
          <w:rFonts w:ascii="Arial Unicode MS" w:hAnsi="Arial Unicode MS" w:cs="Arial"/>
          <w:b/>
          <w:bCs/>
          <w:szCs w:val="21"/>
        </w:rPr>
      </w:pPr>
      <w:r>
        <w:rPr>
          <w:rFonts w:ascii="Arial Unicode MS" w:hAnsi="Arial Unicode MS" w:cs="Arial" w:hint="eastAsia"/>
          <w:b/>
          <w:kern w:val="0"/>
          <w:szCs w:val="21"/>
        </w:rPr>
        <w:t>六</w:t>
      </w:r>
      <w:r>
        <w:rPr>
          <w:rFonts w:ascii="Arial Unicode MS" w:hAnsi="Arial Unicode MS" w:cs="Arial"/>
          <w:b/>
          <w:bCs/>
          <w:szCs w:val="21"/>
        </w:rPr>
        <w:t>、申购费率、赎回费率</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1</w:t>
      </w:r>
      <w:r>
        <w:rPr>
          <w:rFonts w:ascii="Arial Unicode MS" w:hAnsi="Arial Unicode MS" w:cs="Arial"/>
          <w:kern w:val="0"/>
          <w:szCs w:val="21"/>
        </w:rPr>
        <w:t>、投资</w:t>
      </w:r>
      <w:r>
        <w:rPr>
          <w:rFonts w:ascii="Arial Unicode MS" w:hAnsi="Arial Unicode MS" w:cs="Arial" w:hint="eastAsia"/>
          <w:kern w:val="0"/>
          <w:szCs w:val="21"/>
        </w:rPr>
        <w:t>者</w:t>
      </w:r>
      <w:r>
        <w:rPr>
          <w:rFonts w:ascii="Arial Unicode MS" w:hAnsi="Arial Unicode MS" w:cs="Arial"/>
          <w:kern w:val="0"/>
          <w:szCs w:val="21"/>
        </w:rPr>
        <w:t>可以多次申购本基金，申购费率按每笔申购申请单独计算。</w:t>
      </w:r>
    </w:p>
    <w:p w:rsidR="004C06C5" w:rsidRDefault="00ED474B">
      <w:pPr>
        <w:ind w:firstLineChars="200" w:firstLine="420"/>
        <w:rPr>
          <w:rFonts w:ascii="Arial Unicode MS" w:hAnsi="Arial Unicode MS" w:cs="Arial"/>
          <w:kern w:val="0"/>
          <w:szCs w:val="21"/>
        </w:rPr>
      </w:pPr>
      <w:r>
        <w:rPr>
          <w:rFonts w:ascii="Arial Unicode MS" w:hAnsi="Arial Unicode MS" w:cs="Arial" w:hint="eastAsia"/>
          <w:kern w:val="0"/>
          <w:szCs w:val="21"/>
        </w:rPr>
        <w:t>本基金</w:t>
      </w:r>
      <w:r>
        <w:rPr>
          <w:rFonts w:ascii="Arial Unicode MS" w:hAnsi="Arial Unicode MS" w:cs="Arial" w:hint="eastAsia"/>
          <w:kern w:val="0"/>
          <w:szCs w:val="21"/>
        </w:rPr>
        <w:t>A</w:t>
      </w:r>
      <w:r>
        <w:rPr>
          <w:rFonts w:ascii="Arial Unicode MS" w:hAnsi="Arial Unicode MS" w:cs="Arial" w:hint="eastAsia"/>
          <w:kern w:val="0"/>
          <w:szCs w:val="21"/>
        </w:rPr>
        <w:t>类基金份额在申购时收取申购费用，</w:t>
      </w:r>
      <w:r>
        <w:rPr>
          <w:rFonts w:ascii="Arial Unicode MS" w:hAnsi="Arial Unicode MS" w:cs="Arial" w:hint="eastAsia"/>
          <w:kern w:val="0"/>
          <w:szCs w:val="21"/>
        </w:rPr>
        <w:t>C</w:t>
      </w:r>
      <w:r>
        <w:rPr>
          <w:rFonts w:ascii="Arial Unicode MS" w:hAnsi="Arial Unicode MS" w:cs="Arial" w:hint="eastAsia"/>
          <w:kern w:val="0"/>
          <w:szCs w:val="21"/>
        </w:rPr>
        <w:t>类基金份额不收取申购费用。</w:t>
      </w:r>
      <w:r>
        <w:rPr>
          <w:rFonts w:ascii="Arial Unicode MS" w:hAnsi="Arial Unicode MS" w:cs="Arial" w:hint="eastAsia"/>
          <w:kern w:val="0"/>
          <w:szCs w:val="21"/>
        </w:rPr>
        <w:t>A</w:t>
      </w:r>
      <w:r>
        <w:rPr>
          <w:rFonts w:ascii="Arial Unicode MS" w:hAnsi="Arial Unicode MS" w:cs="Arial" w:hint="eastAsia"/>
          <w:kern w:val="0"/>
          <w:szCs w:val="21"/>
        </w:rPr>
        <w:t>类基金份额申</w:t>
      </w:r>
      <w:r>
        <w:rPr>
          <w:rFonts w:ascii="Arial Unicode MS" w:hAnsi="Arial Unicode MS" w:cs="Arial"/>
          <w:kern w:val="0"/>
          <w:szCs w:val="21"/>
        </w:rPr>
        <w:t>购费率随</w:t>
      </w:r>
      <w:r>
        <w:rPr>
          <w:rFonts w:ascii="Arial Unicode MS" w:hAnsi="Arial Unicode MS" w:cs="Arial" w:hint="eastAsia"/>
          <w:kern w:val="0"/>
          <w:szCs w:val="21"/>
        </w:rPr>
        <w:t>申</w:t>
      </w:r>
      <w:r>
        <w:rPr>
          <w:rFonts w:ascii="Arial Unicode MS" w:hAnsi="Arial Unicode MS" w:cs="Arial"/>
          <w:kern w:val="0"/>
          <w:szCs w:val="21"/>
        </w:rPr>
        <w:t>购金额的增加而递减，如下表所</w:t>
      </w:r>
      <w:r>
        <w:rPr>
          <w:rFonts w:ascii="Arial Unicode MS" w:hAnsi="Arial Unicode MS" w:cs="Arial" w:hint="eastAsia"/>
          <w:kern w:val="0"/>
          <w:szCs w:val="21"/>
        </w:rPr>
        <w:t>示：</w:t>
      </w:r>
    </w:p>
    <w:p w:rsidR="004C06C5" w:rsidRDefault="004C06C5">
      <w:pPr>
        <w:ind w:firstLineChars="200" w:firstLine="420"/>
        <w:rPr>
          <w:rFonts w:ascii="Arial Unicode MS" w:hAnsi="Arial Unicode MS" w:cs="Arial"/>
        </w:rPr>
      </w:pPr>
    </w:p>
    <w:tbl>
      <w:tblPr>
        <w:tblW w:w="560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91"/>
        <w:gridCol w:w="2916"/>
      </w:tblGrid>
      <w:tr w:rsidR="004C06C5">
        <w:trPr>
          <w:trHeight w:val="190"/>
          <w:jc w:val="center"/>
        </w:trPr>
        <w:tc>
          <w:tcPr>
            <w:tcW w:w="2691" w:type="dxa"/>
            <w:shd w:val="clear" w:color="auto" w:fill="auto"/>
            <w:vAlign w:val="center"/>
          </w:tcPr>
          <w:p w:rsidR="004C06C5" w:rsidRDefault="00ED474B">
            <w:pPr>
              <w:widowControl/>
              <w:spacing w:line="336" w:lineRule="auto"/>
              <w:jc w:val="center"/>
              <w:rPr>
                <w:rFonts w:ascii="Arial Unicode MS" w:hAnsi="Arial Unicode MS"/>
                <w:bCs/>
                <w:kern w:val="0"/>
                <w:szCs w:val="21"/>
              </w:rPr>
            </w:pPr>
            <w:r>
              <w:rPr>
                <w:rFonts w:ascii="Arial Unicode MS" w:hAnsi="Arial Unicode MS" w:hint="eastAsia"/>
                <w:bCs/>
                <w:kern w:val="0"/>
                <w:szCs w:val="21"/>
              </w:rPr>
              <w:t>申购</w:t>
            </w:r>
            <w:r>
              <w:rPr>
                <w:rFonts w:ascii="Arial Unicode MS" w:hAnsi="Arial Unicode MS"/>
                <w:bCs/>
                <w:kern w:val="0"/>
                <w:szCs w:val="21"/>
              </w:rPr>
              <w:t>金额（</w:t>
            </w:r>
            <w:r>
              <w:rPr>
                <w:rFonts w:ascii="Arial Unicode MS" w:hAnsi="Arial Unicode MS"/>
                <w:bCs/>
                <w:kern w:val="0"/>
                <w:szCs w:val="21"/>
              </w:rPr>
              <w:t>M</w:t>
            </w:r>
            <w:r>
              <w:rPr>
                <w:rFonts w:ascii="Arial Unicode MS" w:hAnsi="Arial Unicode MS"/>
                <w:bCs/>
                <w:kern w:val="0"/>
                <w:szCs w:val="21"/>
              </w:rPr>
              <w:t>）</w:t>
            </w:r>
          </w:p>
        </w:tc>
        <w:tc>
          <w:tcPr>
            <w:tcW w:w="2916" w:type="dxa"/>
            <w:shd w:val="clear" w:color="auto" w:fill="auto"/>
            <w:vAlign w:val="center"/>
          </w:tcPr>
          <w:p w:rsidR="004C06C5" w:rsidRDefault="00ED474B">
            <w:pPr>
              <w:widowControl/>
              <w:spacing w:line="336" w:lineRule="auto"/>
              <w:jc w:val="center"/>
              <w:rPr>
                <w:rFonts w:ascii="Arial Unicode MS" w:hAnsi="Arial Unicode MS"/>
                <w:bCs/>
                <w:kern w:val="0"/>
                <w:szCs w:val="21"/>
              </w:rPr>
            </w:pPr>
            <w:r>
              <w:rPr>
                <w:rFonts w:ascii="Arial Unicode MS" w:hAnsi="Arial Unicode MS"/>
                <w:bCs/>
                <w:kern w:val="0"/>
                <w:szCs w:val="21"/>
              </w:rPr>
              <w:t>申购费率</w:t>
            </w:r>
          </w:p>
        </w:tc>
      </w:tr>
      <w:tr w:rsidR="004C06C5">
        <w:trPr>
          <w:trHeight w:val="190"/>
          <w:jc w:val="center"/>
        </w:trPr>
        <w:tc>
          <w:tcPr>
            <w:tcW w:w="2691" w:type="dxa"/>
            <w:shd w:val="clear" w:color="auto" w:fill="auto"/>
          </w:tcPr>
          <w:p w:rsidR="004C06C5" w:rsidRDefault="00ED474B">
            <w:pPr>
              <w:widowControl/>
              <w:spacing w:line="336" w:lineRule="auto"/>
              <w:jc w:val="center"/>
              <w:rPr>
                <w:rFonts w:ascii="Arial Unicode MS" w:hAnsi="Arial Unicode MS"/>
                <w:bCs/>
                <w:kern w:val="0"/>
                <w:szCs w:val="21"/>
              </w:rPr>
            </w:pPr>
            <w:r>
              <w:rPr>
                <w:rFonts w:ascii="Arial Unicode MS" w:hAnsi="Arial Unicode MS"/>
                <w:bCs/>
                <w:kern w:val="0"/>
                <w:szCs w:val="21"/>
              </w:rPr>
              <w:t>M</w:t>
            </w:r>
            <w:r>
              <w:rPr>
                <w:rFonts w:ascii="Arial Unicode MS" w:hAnsi="Arial Unicode MS"/>
                <w:bCs/>
                <w:kern w:val="0"/>
                <w:szCs w:val="21"/>
              </w:rPr>
              <w:t>＜</w:t>
            </w:r>
            <w:r>
              <w:rPr>
                <w:rFonts w:ascii="Arial Unicode MS" w:hAnsi="Arial Unicode MS"/>
                <w:bCs/>
                <w:kern w:val="0"/>
                <w:szCs w:val="21"/>
              </w:rPr>
              <w:t>100</w:t>
            </w:r>
            <w:r>
              <w:rPr>
                <w:rFonts w:ascii="Arial Unicode MS" w:hAnsi="Arial Unicode MS"/>
                <w:bCs/>
                <w:kern w:val="0"/>
                <w:szCs w:val="21"/>
              </w:rPr>
              <w:t>万</w:t>
            </w:r>
          </w:p>
        </w:tc>
        <w:tc>
          <w:tcPr>
            <w:tcW w:w="2916" w:type="dxa"/>
            <w:shd w:val="clear" w:color="auto" w:fill="auto"/>
          </w:tcPr>
          <w:p w:rsidR="004C06C5" w:rsidRDefault="00ED474B">
            <w:pPr>
              <w:widowControl/>
              <w:spacing w:line="336" w:lineRule="auto"/>
              <w:jc w:val="center"/>
              <w:rPr>
                <w:rFonts w:ascii="Arial Unicode MS" w:hAnsi="Arial Unicode MS"/>
                <w:bCs/>
                <w:kern w:val="0"/>
                <w:szCs w:val="21"/>
              </w:rPr>
            </w:pPr>
            <w:r>
              <w:rPr>
                <w:rFonts w:ascii="Arial Unicode MS" w:hAnsi="Arial Unicode MS"/>
                <w:bCs/>
                <w:kern w:val="0"/>
                <w:szCs w:val="21"/>
              </w:rPr>
              <w:t>0.</w:t>
            </w:r>
            <w:r>
              <w:rPr>
                <w:rFonts w:ascii="Arial Unicode MS" w:hAnsi="Arial Unicode MS" w:hint="eastAsia"/>
                <w:bCs/>
                <w:kern w:val="0"/>
                <w:szCs w:val="21"/>
              </w:rPr>
              <w:t>8</w:t>
            </w:r>
            <w:r>
              <w:rPr>
                <w:rFonts w:ascii="Arial Unicode MS" w:hAnsi="Arial Unicode MS"/>
                <w:bCs/>
                <w:kern w:val="0"/>
                <w:szCs w:val="21"/>
              </w:rPr>
              <w:t>0%</w:t>
            </w:r>
          </w:p>
        </w:tc>
      </w:tr>
      <w:tr w:rsidR="004C06C5">
        <w:trPr>
          <w:trHeight w:val="190"/>
          <w:jc w:val="center"/>
        </w:trPr>
        <w:tc>
          <w:tcPr>
            <w:tcW w:w="2691" w:type="dxa"/>
            <w:shd w:val="clear" w:color="auto" w:fill="auto"/>
          </w:tcPr>
          <w:p w:rsidR="004C06C5" w:rsidRDefault="00ED474B">
            <w:pPr>
              <w:widowControl/>
              <w:spacing w:line="336" w:lineRule="auto"/>
              <w:jc w:val="center"/>
              <w:rPr>
                <w:rFonts w:ascii="Arial Unicode MS" w:hAnsi="Arial Unicode MS"/>
                <w:bCs/>
                <w:kern w:val="0"/>
                <w:szCs w:val="21"/>
              </w:rPr>
            </w:pPr>
            <w:r>
              <w:rPr>
                <w:rFonts w:ascii="Arial Unicode MS" w:hAnsi="Arial Unicode MS"/>
                <w:bCs/>
                <w:kern w:val="0"/>
                <w:szCs w:val="21"/>
              </w:rPr>
              <w:t>100</w:t>
            </w:r>
            <w:r>
              <w:rPr>
                <w:rFonts w:ascii="Arial Unicode MS" w:hAnsi="Arial Unicode MS"/>
                <w:bCs/>
                <w:kern w:val="0"/>
                <w:szCs w:val="21"/>
              </w:rPr>
              <w:t>万</w:t>
            </w:r>
            <w:r>
              <w:rPr>
                <w:rFonts w:ascii="Arial Unicode MS" w:hAnsi="Arial Unicode MS"/>
                <w:bCs/>
                <w:kern w:val="0"/>
                <w:szCs w:val="21"/>
              </w:rPr>
              <w:t>≤M</w:t>
            </w:r>
            <w:r>
              <w:rPr>
                <w:rFonts w:ascii="Arial Unicode MS" w:hAnsi="Arial Unicode MS"/>
                <w:bCs/>
                <w:kern w:val="0"/>
                <w:szCs w:val="21"/>
              </w:rPr>
              <w:t>＜</w:t>
            </w:r>
            <w:r>
              <w:rPr>
                <w:rFonts w:ascii="Arial Unicode MS" w:hAnsi="Arial Unicode MS"/>
                <w:bCs/>
                <w:kern w:val="0"/>
                <w:szCs w:val="21"/>
              </w:rPr>
              <w:t>300</w:t>
            </w:r>
            <w:r>
              <w:rPr>
                <w:rFonts w:ascii="Arial Unicode MS" w:hAnsi="Arial Unicode MS"/>
                <w:bCs/>
                <w:kern w:val="0"/>
                <w:szCs w:val="21"/>
              </w:rPr>
              <w:t>万</w:t>
            </w:r>
          </w:p>
        </w:tc>
        <w:tc>
          <w:tcPr>
            <w:tcW w:w="2916" w:type="dxa"/>
            <w:shd w:val="clear" w:color="auto" w:fill="auto"/>
          </w:tcPr>
          <w:p w:rsidR="004C06C5" w:rsidRDefault="00ED474B">
            <w:pPr>
              <w:widowControl/>
              <w:spacing w:line="336" w:lineRule="auto"/>
              <w:jc w:val="center"/>
              <w:rPr>
                <w:rFonts w:ascii="Arial Unicode MS" w:hAnsi="Arial Unicode MS"/>
                <w:bCs/>
                <w:kern w:val="0"/>
                <w:szCs w:val="21"/>
              </w:rPr>
            </w:pPr>
            <w:r>
              <w:rPr>
                <w:rFonts w:ascii="Arial Unicode MS" w:hAnsi="Arial Unicode MS"/>
                <w:bCs/>
                <w:kern w:val="0"/>
                <w:szCs w:val="21"/>
              </w:rPr>
              <w:t>0.50%</w:t>
            </w:r>
          </w:p>
        </w:tc>
      </w:tr>
      <w:tr w:rsidR="004C06C5">
        <w:trPr>
          <w:trHeight w:val="190"/>
          <w:jc w:val="center"/>
        </w:trPr>
        <w:tc>
          <w:tcPr>
            <w:tcW w:w="2691" w:type="dxa"/>
            <w:shd w:val="clear" w:color="auto" w:fill="auto"/>
          </w:tcPr>
          <w:p w:rsidR="004C06C5" w:rsidRDefault="00ED474B">
            <w:pPr>
              <w:widowControl/>
              <w:spacing w:line="336" w:lineRule="auto"/>
              <w:jc w:val="center"/>
              <w:rPr>
                <w:rFonts w:ascii="Arial Unicode MS" w:hAnsi="Arial Unicode MS"/>
                <w:bCs/>
                <w:kern w:val="0"/>
                <w:szCs w:val="21"/>
              </w:rPr>
            </w:pPr>
            <w:r>
              <w:rPr>
                <w:rFonts w:ascii="Arial Unicode MS" w:hAnsi="Arial Unicode MS"/>
                <w:bCs/>
                <w:kern w:val="0"/>
                <w:szCs w:val="21"/>
              </w:rPr>
              <w:t>300</w:t>
            </w:r>
            <w:r>
              <w:rPr>
                <w:rFonts w:ascii="Arial Unicode MS" w:hAnsi="Arial Unicode MS"/>
                <w:bCs/>
                <w:kern w:val="0"/>
                <w:szCs w:val="21"/>
              </w:rPr>
              <w:t>万</w:t>
            </w:r>
            <w:r>
              <w:rPr>
                <w:rFonts w:ascii="Arial Unicode MS" w:hAnsi="Arial Unicode MS"/>
                <w:bCs/>
                <w:kern w:val="0"/>
                <w:szCs w:val="21"/>
              </w:rPr>
              <w:t>≤M</w:t>
            </w:r>
            <w:r>
              <w:rPr>
                <w:rFonts w:ascii="Arial Unicode MS" w:hAnsi="Arial Unicode MS"/>
                <w:bCs/>
                <w:kern w:val="0"/>
                <w:szCs w:val="21"/>
              </w:rPr>
              <w:t>＜</w:t>
            </w:r>
            <w:r>
              <w:rPr>
                <w:rFonts w:ascii="Arial Unicode MS" w:hAnsi="Arial Unicode MS"/>
                <w:bCs/>
                <w:kern w:val="0"/>
                <w:szCs w:val="21"/>
              </w:rPr>
              <w:t>500</w:t>
            </w:r>
            <w:r>
              <w:rPr>
                <w:rFonts w:ascii="Arial Unicode MS" w:hAnsi="Arial Unicode MS"/>
                <w:bCs/>
                <w:kern w:val="0"/>
                <w:szCs w:val="21"/>
              </w:rPr>
              <w:t>万</w:t>
            </w:r>
          </w:p>
        </w:tc>
        <w:tc>
          <w:tcPr>
            <w:tcW w:w="2916" w:type="dxa"/>
            <w:shd w:val="clear" w:color="auto" w:fill="auto"/>
          </w:tcPr>
          <w:p w:rsidR="004C06C5" w:rsidRDefault="00ED474B">
            <w:pPr>
              <w:widowControl/>
              <w:spacing w:line="336" w:lineRule="auto"/>
              <w:jc w:val="center"/>
              <w:rPr>
                <w:rFonts w:ascii="Arial Unicode MS" w:hAnsi="Arial Unicode MS"/>
                <w:bCs/>
                <w:kern w:val="0"/>
                <w:szCs w:val="21"/>
              </w:rPr>
            </w:pPr>
            <w:r>
              <w:rPr>
                <w:rFonts w:ascii="Arial Unicode MS" w:hAnsi="Arial Unicode MS"/>
                <w:bCs/>
                <w:kern w:val="0"/>
                <w:szCs w:val="21"/>
              </w:rPr>
              <w:t>0.3</w:t>
            </w:r>
            <w:r>
              <w:rPr>
                <w:rFonts w:ascii="Arial Unicode MS" w:hAnsi="Arial Unicode MS" w:hint="eastAsia"/>
                <w:bCs/>
                <w:kern w:val="0"/>
                <w:szCs w:val="21"/>
              </w:rPr>
              <w:t>0</w:t>
            </w:r>
            <w:r>
              <w:rPr>
                <w:rFonts w:ascii="Arial Unicode MS" w:hAnsi="Arial Unicode MS"/>
                <w:bCs/>
                <w:kern w:val="0"/>
                <w:szCs w:val="21"/>
              </w:rPr>
              <w:t>%</w:t>
            </w:r>
          </w:p>
        </w:tc>
      </w:tr>
      <w:tr w:rsidR="004C06C5">
        <w:trPr>
          <w:trHeight w:val="190"/>
          <w:jc w:val="center"/>
        </w:trPr>
        <w:tc>
          <w:tcPr>
            <w:tcW w:w="2691" w:type="dxa"/>
            <w:shd w:val="clear" w:color="auto" w:fill="auto"/>
          </w:tcPr>
          <w:p w:rsidR="004C06C5" w:rsidRDefault="00ED474B">
            <w:pPr>
              <w:widowControl/>
              <w:spacing w:line="336" w:lineRule="auto"/>
              <w:jc w:val="center"/>
              <w:rPr>
                <w:rFonts w:ascii="Arial Unicode MS" w:hAnsi="Arial Unicode MS"/>
                <w:bCs/>
                <w:kern w:val="0"/>
                <w:szCs w:val="21"/>
              </w:rPr>
            </w:pPr>
            <w:r>
              <w:rPr>
                <w:rFonts w:ascii="Arial Unicode MS" w:hAnsi="Arial Unicode MS"/>
                <w:bCs/>
                <w:kern w:val="0"/>
                <w:szCs w:val="21"/>
              </w:rPr>
              <w:t>M≥500</w:t>
            </w:r>
            <w:r>
              <w:rPr>
                <w:rFonts w:ascii="Arial Unicode MS" w:hAnsi="Arial Unicode MS"/>
                <w:bCs/>
                <w:kern w:val="0"/>
                <w:szCs w:val="21"/>
              </w:rPr>
              <w:t>万</w:t>
            </w:r>
          </w:p>
        </w:tc>
        <w:tc>
          <w:tcPr>
            <w:tcW w:w="2916" w:type="dxa"/>
            <w:shd w:val="clear" w:color="auto" w:fill="auto"/>
          </w:tcPr>
          <w:p w:rsidR="004C06C5" w:rsidRDefault="00ED474B">
            <w:pPr>
              <w:widowControl/>
              <w:spacing w:line="336" w:lineRule="auto"/>
              <w:jc w:val="center"/>
              <w:rPr>
                <w:rFonts w:ascii="Arial Unicode MS" w:hAnsi="Arial Unicode MS"/>
                <w:bCs/>
                <w:kern w:val="0"/>
                <w:szCs w:val="21"/>
              </w:rPr>
            </w:pPr>
            <w:r>
              <w:rPr>
                <w:rFonts w:ascii="Arial Unicode MS" w:hAnsi="Arial Unicode MS"/>
                <w:bCs/>
                <w:kern w:val="0"/>
                <w:szCs w:val="21"/>
              </w:rPr>
              <w:t>每笔</w:t>
            </w:r>
            <w:r>
              <w:rPr>
                <w:rFonts w:ascii="Arial Unicode MS" w:hAnsi="Arial Unicode MS"/>
                <w:bCs/>
                <w:kern w:val="0"/>
                <w:szCs w:val="21"/>
              </w:rPr>
              <w:t>1000</w:t>
            </w:r>
            <w:r>
              <w:rPr>
                <w:rFonts w:ascii="Arial Unicode MS" w:hAnsi="Arial Unicode MS"/>
                <w:bCs/>
                <w:kern w:val="0"/>
                <w:szCs w:val="21"/>
              </w:rPr>
              <w:t>元</w:t>
            </w:r>
          </w:p>
        </w:tc>
      </w:tr>
    </w:tbl>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本基金的申购费用由</w:t>
      </w:r>
      <w:r>
        <w:rPr>
          <w:rFonts w:ascii="Arial Unicode MS" w:hAnsi="Arial Unicode MS" w:cs="Arial" w:hint="eastAsia"/>
          <w:kern w:val="0"/>
          <w:szCs w:val="21"/>
        </w:rPr>
        <w:t>申购本基金</w:t>
      </w:r>
      <w:r>
        <w:rPr>
          <w:rFonts w:ascii="Arial Unicode MS" w:hAnsi="Arial Unicode MS" w:cs="Arial" w:hint="eastAsia"/>
          <w:kern w:val="0"/>
          <w:szCs w:val="21"/>
        </w:rPr>
        <w:t>A</w:t>
      </w:r>
      <w:r>
        <w:rPr>
          <w:rFonts w:ascii="Arial Unicode MS" w:hAnsi="Arial Unicode MS" w:cs="Arial" w:hint="eastAsia"/>
          <w:kern w:val="0"/>
          <w:szCs w:val="21"/>
        </w:rPr>
        <w:t>类基金份额的投资人</w:t>
      </w:r>
      <w:r>
        <w:rPr>
          <w:rFonts w:ascii="Arial Unicode MS" w:hAnsi="Arial Unicode MS" w:cs="Arial"/>
          <w:kern w:val="0"/>
          <w:szCs w:val="21"/>
        </w:rPr>
        <w:t>承担，主要用于本基金的市场推广、销售、登记等各项费用，不列入基金财产。</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2</w:t>
      </w:r>
      <w:r>
        <w:rPr>
          <w:rFonts w:ascii="Arial Unicode MS" w:hAnsi="Arial Unicode MS" w:cs="Arial"/>
          <w:kern w:val="0"/>
          <w:szCs w:val="21"/>
        </w:rPr>
        <w:t>、赎回费率见下表：</w:t>
      </w:r>
    </w:p>
    <w:tbl>
      <w:tblPr>
        <w:tblW w:w="706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757"/>
        <w:gridCol w:w="2155"/>
        <w:gridCol w:w="2153"/>
      </w:tblGrid>
      <w:tr w:rsidR="004C06C5">
        <w:trPr>
          <w:trHeight w:val="902"/>
          <w:jc w:val="center"/>
        </w:trPr>
        <w:tc>
          <w:tcPr>
            <w:tcW w:w="2757" w:type="dxa"/>
            <w:tcBorders>
              <w:top w:val="single" w:sz="4" w:space="0" w:color="000000"/>
              <w:left w:val="single" w:sz="4" w:space="0" w:color="000000"/>
              <w:bottom w:val="single" w:sz="4" w:space="0" w:color="000000"/>
              <w:right w:val="single" w:sz="4" w:space="0" w:color="000000"/>
            </w:tcBorders>
            <w:vAlign w:val="center"/>
          </w:tcPr>
          <w:p w:rsidR="004C06C5" w:rsidRDefault="00ED474B">
            <w:pPr>
              <w:adjustRightInd w:val="0"/>
              <w:snapToGrid w:val="0"/>
              <w:jc w:val="center"/>
              <w:rPr>
                <w:rFonts w:ascii="Arial Unicode MS" w:hAnsi="Arial Unicode MS" w:cs="Arial"/>
                <w:kern w:val="0"/>
                <w:szCs w:val="21"/>
              </w:rPr>
            </w:pPr>
            <w:r>
              <w:rPr>
                <w:rFonts w:ascii="Arial Unicode MS" w:hAnsi="Arial Unicode MS" w:cs="Arial" w:hint="eastAsia"/>
                <w:kern w:val="0"/>
                <w:szCs w:val="21"/>
              </w:rPr>
              <w:t>持有期限（</w:t>
            </w:r>
            <w:r>
              <w:rPr>
                <w:rFonts w:ascii="Arial Unicode MS" w:hAnsi="Arial Unicode MS" w:cs="Arial"/>
                <w:kern w:val="0"/>
                <w:szCs w:val="21"/>
              </w:rPr>
              <w:t>Y</w:t>
            </w:r>
            <w:r>
              <w:rPr>
                <w:rFonts w:ascii="Arial Unicode MS" w:hAnsi="Arial Unicode MS" w:cs="Arial" w:hint="eastAsia"/>
                <w:kern w:val="0"/>
                <w:szCs w:val="21"/>
              </w:rPr>
              <w:t>）</w:t>
            </w:r>
          </w:p>
        </w:tc>
        <w:tc>
          <w:tcPr>
            <w:tcW w:w="2155" w:type="dxa"/>
            <w:tcBorders>
              <w:top w:val="single" w:sz="4" w:space="0" w:color="000000"/>
              <w:left w:val="single" w:sz="4" w:space="0" w:color="000000"/>
              <w:bottom w:val="single" w:sz="4" w:space="0" w:color="000000"/>
              <w:right w:val="single" w:sz="4" w:space="0" w:color="000000"/>
            </w:tcBorders>
            <w:vAlign w:val="center"/>
          </w:tcPr>
          <w:p w:rsidR="004C06C5" w:rsidRDefault="00ED474B">
            <w:pPr>
              <w:adjustRightInd w:val="0"/>
              <w:snapToGrid w:val="0"/>
              <w:jc w:val="center"/>
              <w:rPr>
                <w:rFonts w:ascii="Arial Unicode MS" w:hAnsi="Arial Unicode MS" w:cs="Arial"/>
                <w:kern w:val="0"/>
                <w:szCs w:val="21"/>
              </w:rPr>
            </w:pPr>
            <w:r>
              <w:rPr>
                <w:rFonts w:ascii="Arial Unicode MS" w:hAnsi="Arial Unicode MS" w:cs="Arial"/>
                <w:kern w:val="0"/>
                <w:szCs w:val="21"/>
              </w:rPr>
              <w:t>A</w:t>
            </w:r>
            <w:r>
              <w:rPr>
                <w:rFonts w:ascii="Arial Unicode MS" w:hAnsi="Arial Unicode MS" w:cs="Arial" w:hint="eastAsia"/>
                <w:kern w:val="0"/>
                <w:szCs w:val="21"/>
              </w:rPr>
              <w:t>类基金份额赎回费率</w:t>
            </w:r>
          </w:p>
        </w:tc>
        <w:tc>
          <w:tcPr>
            <w:tcW w:w="2153" w:type="dxa"/>
            <w:tcBorders>
              <w:top w:val="single" w:sz="4" w:space="0" w:color="000000"/>
              <w:left w:val="single" w:sz="4" w:space="0" w:color="000000"/>
              <w:bottom w:val="single" w:sz="4" w:space="0" w:color="000000"/>
              <w:right w:val="single" w:sz="4" w:space="0" w:color="000000"/>
            </w:tcBorders>
            <w:vAlign w:val="center"/>
          </w:tcPr>
          <w:p w:rsidR="004C06C5" w:rsidRDefault="00ED474B">
            <w:pPr>
              <w:adjustRightInd w:val="0"/>
              <w:snapToGrid w:val="0"/>
              <w:jc w:val="center"/>
              <w:rPr>
                <w:rFonts w:ascii="Arial Unicode MS" w:hAnsi="Arial Unicode MS" w:cs="Arial"/>
                <w:kern w:val="0"/>
                <w:szCs w:val="21"/>
              </w:rPr>
            </w:pPr>
            <w:r>
              <w:rPr>
                <w:rFonts w:ascii="Arial Unicode MS" w:hAnsi="Arial Unicode MS" w:cs="Arial"/>
                <w:kern w:val="0"/>
                <w:szCs w:val="21"/>
              </w:rPr>
              <w:t>C</w:t>
            </w:r>
            <w:r>
              <w:rPr>
                <w:rFonts w:ascii="Arial Unicode MS" w:hAnsi="Arial Unicode MS" w:cs="Arial" w:hint="eastAsia"/>
                <w:kern w:val="0"/>
                <w:szCs w:val="21"/>
              </w:rPr>
              <w:t>类基金份额赎回费</w:t>
            </w:r>
          </w:p>
        </w:tc>
      </w:tr>
      <w:tr w:rsidR="004C06C5">
        <w:trPr>
          <w:trHeight w:val="529"/>
          <w:jc w:val="center"/>
        </w:trPr>
        <w:tc>
          <w:tcPr>
            <w:tcW w:w="2757" w:type="dxa"/>
            <w:tcBorders>
              <w:top w:val="single" w:sz="4" w:space="0" w:color="000000"/>
              <w:left w:val="single" w:sz="4" w:space="0" w:color="000000"/>
              <w:bottom w:val="single" w:sz="4" w:space="0" w:color="000000"/>
              <w:right w:val="single" w:sz="4" w:space="0" w:color="000000"/>
            </w:tcBorders>
            <w:vAlign w:val="center"/>
          </w:tcPr>
          <w:p w:rsidR="004C06C5" w:rsidRDefault="00ED474B">
            <w:pPr>
              <w:adjustRightInd w:val="0"/>
              <w:snapToGrid w:val="0"/>
              <w:jc w:val="center"/>
              <w:rPr>
                <w:rFonts w:ascii="Arial Unicode MS" w:hAnsi="Arial Unicode MS" w:cs="Arial"/>
                <w:kern w:val="0"/>
                <w:szCs w:val="21"/>
              </w:rPr>
            </w:pPr>
            <w:r>
              <w:rPr>
                <w:rFonts w:ascii="Arial Unicode MS" w:hAnsi="Arial Unicode MS" w:cs="Arial"/>
                <w:kern w:val="0"/>
                <w:szCs w:val="21"/>
              </w:rPr>
              <w:t>Y</w:t>
            </w:r>
            <w:r>
              <w:rPr>
                <w:rFonts w:ascii="Arial Unicode MS" w:hAnsi="Arial Unicode MS" w:cs="Arial" w:hint="eastAsia"/>
                <w:kern w:val="0"/>
                <w:szCs w:val="21"/>
              </w:rPr>
              <w:t>＜</w:t>
            </w:r>
            <w:r>
              <w:rPr>
                <w:rFonts w:ascii="Arial Unicode MS" w:hAnsi="Arial Unicode MS" w:cs="Arial"/>
                <w:kern w:val="0"/>
                <w:szCs w:val="21"/>
              </w:rPr>
              <w:t>7</w:t>
            </w:r>
            <w:r>
              <w:rPr>
                <w:rFonts w:ascii="Arial Unicode MS" w:hAnsi="Arial Unicode MS" w:cs="Arial" w:hint="eastAsia"/>
                <w:kern w:val="0"/>
                <w:szCs w:val="21"/>
              </w:rPr>
              <w:t>日</w:t>
            </w:r>
          </w:p>
        </w:tc>
        <w:tc>
          <w:tcPr>
            <w:tcW w:w="2155" w:type="dxa"/>
            <w:tcBorders>
              <w:top w:val="single" w:sz="4" w:space="0" w:color="000000"/>
              <w:left w:val="single" w:sz="4" w:space="0" w:color="000000"/>
              <w:bottom w:val="single" w:sz="4" w:space="0" w:color="000000"/>
              <w:right w:val="single" w:sz="4" w:space="0" w:color="000000"/>
            </w:tcBorders>
            <w:vAlign w:val="center"/>
          </w:tcPr>
          <w:p w:rsidR="004C06C5" w:rsidRDefault="00ED474B">
            <w:pPr>
              <w:tabs>
                <w:tab w:val="left" w:pos="757"/>
              </w:tabs>
              <w:adjustRightInd w:val="0"/>
              <w:snapToGrid w:val="0"/>
              <w:spacing w:line="360" w:lineRule="auto"/>
              <w:ind w:left="397"/>
              <w:jc w:val="center"/>
              <w:rPr>
                <w:rFonts w:ascii="Arial Unicode MS" w:hAnsi="Arial Unicode MS" w:cs="Arial"/>
                <w:kern w:val="0"/>
                <w:szCs w:val="21"/>
              </w:rPr>
            </w:pPr>
            <w:r>
              <w:rPr>
                <w:rFonts w:ascii="Arial Unicode MS" w:hAnsi="Arial Unicode MS" w:cs="Arial"/>
                <w:kern w:val="0"/>
                <w:szCs w:val="21"/>
              </w:rPr>
              <w:t>1.50%</w:t>
            </w:r>
          </w:p>
        </w:tc>
        <w:tc>
          <w:tcPr>
            <w:tcW w:w="2153" w:type="dxa"/>
            <w:tcBorders>
              <w:top w:val="single" w:sz="4" w:space="0" w:color="000000"/>
              <w:left w:val="single" w:sz="4" w:space="0" w:color="000000"/>
              <w:bottom w:val="single" w:sz="4" w:space="0" w:color="000000"/>
              <w:right w:val="single" w:sz="4" w:space="0" w:color="000000"/>
            </w:tcBorders>
            <w:vAlign w:val="center"/>
          </w:tcPr>
          <w:p w:rsidR="004C06C5" w:rsidRDefault="00ED474B">
            <w:pPr>
              <w:tabs>
                <w:tab w:val="left" w:pos="757"/>
              </w:tabs>
              <w:adjustRightInd w:val="0"/>
              <w:snapToGrid w:val="0"/>
              <w:spacing w:line="360" w:lineRule="auto"/>
              <w:ind w:left="397"/>
              <w:jc w:val="center"/>
              <w:rPr>
                <w:rFonts w:ascii="Arial Unicode MS" w:hAnsi="Arial Unicode MS" w:cs="Arial"/>
                <w:kern w:val="0"/>
                <w:szCs w:val="21"/>
              </w:rPr>
            </w:pPr>
            <w:r>
              <w:rPr>
                <w:rFonts w:ascii="Arial Unicode MS" w:hAnsi="Arial Unicode MS" w:cs="Arial"/>
                <w:kern w:val="0"/>
                <w:szCs w:val="21"/>
              </w:rPr>
              <w:t>1.50%</w:t>
            </w:r>
          </w:p>
        </w:tc>
      </w:tr>
      <w:tr w:rsidR="004C06C5">
        <w:trPr>
          <w:trHeight w:val="566"/>
          <w:jc w:val="center"/>
        </w:trPr>
        <w:tc>
          <w:tcPr>
            <w:tcW w:w="2757" w:type="dxa"/>
            <w:tcBorders>
              <w:top w:val="single" w:sz="4" w:space="0" w:color="000000"/>
              <w:left w:val="single" w:sz="4" w:space="0" w:color="000000"/>
              <w:bottom w:val="single" w:sz="4" w:space="0" w:color="000000"/>
              <w:right w:val="single" w:sz="4" w:space="0" w:color="000000"/>
            </w:tcBorders>
            <w:vAlign w:val="center"/>
          </w:tcPr>
          <w:p w:rsidR="004C06C5" w:rsidRDefault="00ED474B">
            <w:pPr>
              <w:adjustRightInd w:val="0"/>
              <w:snapToGrid w:val="0"/>
              <w:jc w:val="center"/>
              <w:rPr>
                <w:rFonts w:ascii="Arial Unicode MS" w:hAnsi="Arial Unicode MS" w:cs="Arial"/>
                <w:kern w:val="0"/>
                <w:szCs w:val="21"/>
              </w:rPr>
            </w:pPr>
            <w:r>
              <w:rPr>
                <w:rFonts w:ascii="Arial Unicode MS" w:hAnsi="Arial Unicode MS" w:cs="Arial"/>
                <w:kern w:val="0"/>
                <w:szCs w:val="21"/>
              </w:rPr>
              <w:t>Y</w:t>
            </w:r>
            <w:r>
              <w:rPr>
                <w:rFonts w:ascii="Arial Unicode MS" w:hAnsi="Arial Unicode MS" w:cs="Arial" w:hint="eastAsia"/>
                <w:kern w:val="0"/>
                <w:szCs w:val="21"/>
              </w:rPr>
              <w:t>≥</w:t>
            </w:r>
            <w:r>
              <w:rPr>
                <w:rFonts w:ascii="Arial Unicode MS" w:hAnsi="Arial Unicode MS" w:cs="Arial"/>
                <w:kern w:val="0"/>
                <w:szCs w:val="21"/>
              </w:rPr>
              <w:t>7</w:t>
            </w:r>
            <w:r>
              <w:rPr>
                <w:rFonts w:ascii="Arial Unicode MS" w:hAnsi="Arial Unicode MS" w:cs="Arial" w:hint="eastAsia"/>
                <w:kern w:val="0"/>
                <w:szCs w:val="21"/>
              </w:rPr>
              <w:t>日</w:t>
            </w:r>
          </w:p>
        </w:tc>
        <w:tc>
          <w:tcPr>
            <w:tcW w:w="2155" w:type="dxa"/>
            <w:tcBorders>
              <w:top w:val="single" w:sz="4" w:space="0" w:color="000000"/>
              <w:left w:val="single" w:sz="4" w:space="0" w:color="000000"/>
              <w:bottom w:val="single" w:sz="4" w:space="0" w:color="000000"/>
              <w:right w:val="single" w:sz="4" w:space="0" w:color="000000"/>
            </w:tcBorders>
            <w:vAlign w:val="center"/>
          </w:tcPr>
          <w:p w:rsidR="004C06C5" w:rsidRDefault="00ED474B">
            <w:pPr>
              <w:tabs>
                <w:tab w:val="left" w:pos="757"/>
              </w:tabs>
              <w:adjustRightInd w:val="0"/>
              <w:snapToGrid w:val="0"/>
              <w:spacing w:line="360" w:lineRule="auto"/>
              <w:ind w:left="397"/>
              <w:jc w:val="center"/>
              <w:rPr>
                <w:rFonts w:ascii="Arial Unicode MS" w:hAnsi="Arial Unicode MS" w:cs="Arial"/>
                <w:kern w:val="0"/>
                <w:szCs w:val="21"/>
              </w:rPr>
            </w:pPr>
            <w:r>
              <w:rPr>
                <w:rFonts w:ascii="Arial Unicode MS" w:hAnsi="Arial Unicode MS" w:cs="Arial"/>
                <w:kern w:val="0"/>
                <w:szCs w:val="21"/>
              </w:rPr>
              <w:t>0</w:t>
            </w:r>
          </w:p>
        </w:tc>
        <w:tc>
          <w:tcPr>
            <w:tcW w:w="2153" w:type="dxa"/>
            <w:tcBorders>
              <w:top w:val="single" w:sz="4" w:space="0" w:color="000000"/>
              <w:left w:val="single" w:sz="4" w:space="0" w:color="000000"/>
              <w:bottom w:val="single" w:sz="4" w:space="0" w:color="000000"/>
              <w:right w:val="single" w:sz="4" w:space="0" w:color="000000"/>
            </w:tcBorders>
            <w:vAlign w:val="center"/>
          </w:tcPr>
          <w:p w:rsidR="004C06C5" w:rsidRDefault="00ED474B">
            <w:pPr>
              <w:tabs>
                <w:tab w:val="left" w:pos="757"/>
              </w:tabs>
              <w:adjustRightInd w:val="0"/>
              <w:snapToGrid w:val="0"/>
              <w:spacing w:line="360" w:lineRule="auto"/>
              <w:ind w:left="397"/>
              <w:jc w:val="center"/>
              <w:rPr>
                <w:rFonts w:ascii="Arial Unicode MS" w:hAnsi="Arial Unicode MS" w:cs="Arial"/>
                <w:kern w:val="0"/>
                <w:szCs w:val="21"/>
              </w:rPr>
            </w:pPr>
            <w:r>
              <w:rPr>
                <w:rFonts w:ascii="Arial Unicode MS" w:hAnsi="Arial Unicode MS" w:cs="Arial"/>
                <w:kern w:val="0"/>
                <w:szCs w:val="21"/>
              </w:rPr>
              <w:t>0</w:t>
            </w:r>
          </w:p>
        </w:tc>
      </w:tr>
    </w:tbl>
    <w:p w:rsidR="004C06C5" w:rsidRDefault="004C06C5">
      <w:pPr>
        <w:spacing w:line="400" w:lineRule="exact"/>
        <w:ind w:firstLine="420"/>
        <w:rPr>
          <w:rFonts w:ascii="Arial Unicode MS" w:hAnsi="Arial Unicode MS" w:cs="Arial"/>
          <w:kern w:val="0"/>
          <w:szCs w:val="21"/>
        </w:rPr>
      </w:pPr>
    </w:p>
    <w:p w:rsidR="004C06C5" w:rsidRDefault="00ED474B">
      <w:pPr>
        <w:spacing w:line="400" w:lineRule="exact"/>
        <w:ind w:firstLine="420"/>
        <w:rPr>
          <w:rFonts w:ascii="Arial" w:hAnsi="Arial"/>
          <w:spacing w:val="8"/>
          <w:szCs w:val="21"/>
        </w:rPr>
      </w:pPr>
      <w:r>
        <w:rPr>
          <w:rFonts w:ascii="Arial Unicode MS" w:hAnsi="Arial Unicode MS" w:cs="Arial" w:hint="eastAsia"/>
          <w:kern w:val="0"/>
          <w:szCs w:val="21"/>
        </w:rPr>
        <w:t>本基金的赎回费用由赎回基金份额的基金份额持有人承担，在基金份额持有</w:t>
      </w:r>
      <w:r>
        <w:rPr>
          <w:rFonts w:ascii="Arial" w:hAnsi="Arial" w:hint="eastAsia"/>
          <w:spacing w:val="8"/>
          <w:szCs w:val="21"/>
        </w:rPr>
        <w:t>人赎回基金份额时收取。本基金对持续持有期少于</w:t>
      </w:r>
      <w:r>
        <w:rPr>
          <w:rFonts w:ascii="Arial" w:hAnsi="Arial"/>
          <w:spacing w:val="8"/>
          <w:szCs w:val="21"/>
        </w:rPr>
        <w:t>7</w:t>
      </w:r>
      <w:r>
        <w:rPr>
          <w:rFonts w:ascii="Arial" w:hAnsi="Arial" w:hint="eastAsia"/>
          <w:spacing w:val="8"/>
          <w:szCs w:val="21"/>
        </w:rPr>
        <w:t>日的投资人收取的赎回费全额计入基金财产。</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3</w:t>
      </w:r>
      <w:r>
        <w:rPr>
          <w:rFonts w:ascii="Arial Unicode MS" w:hAnsi="Arial Unicode MS" w:cs="Arial" w:hint="eastAsia"/>
          <w:kern w:val="0"/>
          <w:szCs w:val="21"/>
        </w:rPr>
        <w:t>、</w:t>
      </w:r>
      <w:r>
        <w:rPr>
          <w:rFonts w:ascii="Arial Unicode MS" w:hAnsi="Arial Unicode MS" w:cs="Arial" w:hint="eastAsia"/>
          <w:bCs/>
          <w:kern w:val="0"/>
          <w:szCs w:val="21"/>
        </w:rPr>
        <w:t>基金管理人可以在法律法规和基金合同允许的范围内，对上述业务办理时间进行调整，并在调整实施前依照《信息披露办法》的有关规定在指定媒介上公告</w:t>
      </w:r>
      <w:r>
        <w:rPr>
          <w:rFonts w:ascii="Arial Unicode MS" w:hAnsi="Arial Unicode MS" w:cs="Arial" w:hint="eastAsia"/>
          <w:kern w:val="0"/>
          <w:szCs w:val="21"/>
        </w:rPr>
        <w:t>。</w:t>
      </w:r>
    </w:p>
    <w:p w:rsidR="004C06C5" w:rsidRDefault="00ED474B">
      <w:pPr>
        <w:pStyle w:val="a8"/>
        <w:autoSpaceDE w:val="0"/>
        <w:autoSpaceDN w:val="0"/>
        <w:adjustRightInd w:val="0"/>
        <w:snapToGrid w:val="0"/>
        <w:spacing w:line="360" w:lineRule="auto"/>
        <w:ind w:firstLineChars="200" w:firstLine="452"/>
        <w:rPr>
          <w:rFonts w:ascii="Arial" w:hAnsi="Arial"/>
          <w:spacing w:val="8"/>
          <w:szCs w:val="21"/>
        </w:rPr>
      </w:pPr>
      <w:r>
        <w:rPr>
          <w:rFonts w:ascii="Arial" w:hAnsi="Arial" w:hint="eastAsia"/>
          <w:spacing w:val="8"/>
          <w:szCs w:val="21"/>
        </w:rPr>
        <w:t>4</w:t>
      </w:r>
      <w:r>
        <w:rPr>
          <w:rFonts w:ascii="Arial" w:hAnsi="Arial"/>
          <w:spacing w:val="8"/>
          <w:szCs w:val="21"/>
        </w:rPr>
        <w:t>、</w:t>
      </w:r>
      <w:r>
        <w:rPr>
          <w:rFonts w:ascii="Arial" w:hAnsi="Arial" w:hint="eastAsia"/>
          <w:spacing w:val="8"/>
          <w:szCs w:val="21"/>
        </w:rPr>
        <w:t>基金管理人可以在不违反法律法规规定及基金合同约定的情形下根据市场情况制定基金促销计划，定期或不定期地开展基金促销活动。在基金促销活动期间，按相关监管部门要求履行必要手续后，基金管理人可以适当调低基金申购费率、赎回费</w:t>
      </w:r>
      <w:r>
        <w:rPr>
          <w:rFonts w:ascii="Arial" w:hAnsi="Arial" w:hint="eastAsia"/>
          <w:spacing w:val="8"/>
          <w:szCs w:val="21"/>
        </w:rPr>
        <w:lastRenderedPageBreak/>
        <w:t>率和销售服务费率。</w:t>
      </w:r>
    </w:p>
    <w:p w:rsidR="004C06C5" w:rsidRDefault="00ED474B">
      <w:pPr>
        <w:tabs>
          <w:tab w:val="left" w:pos="1110"/>
        </w:tabs>
        <w:adjustRightInd w:val="0"/>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七</w:t>
      </w:r>
      <w:r>
        <w:rPr>
          <w:rFonts w:ascii="Arial Unicode MS" w:hAnsi="Arial Unicode MS" w:cs="Arial"/>
          <w:b/>
          <w:bCs/>
          <w:szCs w:val="21"/>
        </w:rPr>
        <w:t>、申购</w:t>
      </w:r>
      <w:r>
        <w:rPr>
          <w:rFonts w:ascii="Arial Unicode MS" w:hAnsi="Arial Unicode MS" w:cs="Arial" w:hint="eastAsia"/>
          <w:b/>
          <w:bCs/>
          <w:szCs w:val="21"/>
        </w:rPr>
        <w:t>份额</w:t>
      </w:r>
      <w:r>
        <w:rPr>
          <w:rFonts w:ascii="Arial Unicode MS" w:hAnsi="Arial Unicode MS" w:cs="Arial"/>
          <w:b/>
          <w:bCs/>
          <w:szCs w:val="21"/>
        </w:rPr>
        <w:t>与赎回金额的计算方式</w:t>
      </w:r>
    </w:p>
    <w:p w:rsidR="004C06C5" w:rsidRDefault="00ED474B">
      <w:pPr>
        <w:pStyle w:val="a8"/>
        <w:autoSpaceDE w:val="0"/>
        <w:autoSpaceDN w:val="0"/>
        <w:adjustRightInd w:val="0"/>
        <w:snapToGrid w:val="0"/>
        <w:spacing w:line="360" w:lineRule="auto"/>
        <w:ind w:firstLineChars="200" w:firstLine="452"/>
        <w:rPr>
          <w:rFonts w:ascii="Arial" w:hAnsi="Arial"/>
          <w:spacing w:val="8"/>
          <w:szCs w:val="21"/>
        </w:rPr>
      </w:pPr>
      <w:r>
        <w:rPr>
          <w:rFonts w:ascii="Arial" w:hAnsi="Arial"/>
          <w:spacing w:val="8"/>
          <w:szCs w:val="21"/>
        </w:rPr>
        <w:t>1</w:t>
      </w:r>
      <w:r>
        <w:rPr>
          <w:rFonts w:ascii="Arial" w:hAnsi="Arial"/>
          <w:spacing w:val="8"/>
          <w:szCs w:val="21"/>
        </w:rPr>
        <w:t>、本基金申购份额的计算方式</w:t>
      </w:r>
    </w:p>
    <w:p w:rsidR="004C06C5" w:rsidRDefault="00ED474B">
      <w:pPr>
        <w:pStyle w:val="a8"/>
        <w:autoSpaceDE w:val="0"/>
        <w:autoSpaceDN w:val="0"/>
        <w:adjustRightInd w:val="0"/>
        <w:snapToGrid w:val="0"/>
        <w:spacing w:line="360" w:lineRule="auto"/>
        <w:ind w:firstLineChars="200" w:firstLine="452"/>
        <w:rPr>
          <w:rFonts w:ascii="Arial" w:hAnsi="Arial"/>
          <w:spacing w:val="8"/>
          <w:szCs w:val="21"/>
        </w:rPr>
      </w:pPr>
      <w:r>
        <w:rPr>
          <w:rFonts w:ascii="Arial" w:hAnsi="Arial" w:hint="eastAsia"/>
          <w:spacing w:val="8"/>
          <w:szCs w:val="21"/>
        </w:rPr>
        <w:t>（</w:t>
      </w:r>
      <w:r>
        <w:rPr>
          <w:rFonts w:ascii="Arial" w:hAnsi="Arial" w:hint="eastAsia"/>
          <w:spacing w:val="8"/>
          <w:szCs w:val="21"/>
        </w:rPr>
        <w:t>1</w:t>
      </w:r>
      <w:r>
        <w:rPr>
          <w:rFonts w:ascii="Arial" w:hAnsi="Arial" w:hint="eastAsia"/>
          <w:spacing w:val="8"/>
          <w:szCs w:val="21"/>
        </w:rPr>
        <w:t>）</w:t>
      </w:r>
      <w:r>
        <w:rPr>
          <w:rFonts w:ascii="Arial" w:hAnsi="Arial" w:hint="eastAsia"/>
          <w:spacing w:val="8"/>
          <w:szCs w:val="21"/>
        </w:rPr>
        <w:t>A</w:t>
      </w:r>
      <w:r>
        <w:rPr>
          <w:rFonts w:ascii="Arial" w:hAnsi="Arial" w:hint="eastAsia"/>
          <w:spacing w:val="8"/>
          <w:szCs w:val="21"/>
        </w:rPr>
        <w:t>类基金份额</w:t>
      </w:r>
    </w:p>
    <w:p w:rsidR="004C06C5" w:rsidRDefault="00ED474B">
      <w:pPr>
        <w:pStyle w:val="a8"/>
        <w:autoSpaceDE w:val="0"/>
        <w:autoSpaceDN w:val="0"/>
        <w:adjustRightInd w:val="0"/>
        <w:snapToGrid w:val="0"/>
        <w:spacing w:line="360" w:lineRule="auto"/>
        <w:ind w:firstLineChars="200" w:firstLine="452"/>
        <w:rPr>
          <w:rFonts w:ascii="Arial" w:hAnsi="Arial"/>
          <w:spacing w:val="8"/>
          <w:szCs w:val="21"/>
        </w:rPr>
      </w:pPr>
      <w:r>
        <w:rPr>
          <w:rFonts w:ascii="Arial" w:hAnsi="Arial" w:hint="eastAsia"/>
          <w:spacing w:val="8"/>
          <w:szCs w:val="21"/>
        </w:rPr>
        <w:t>申购费用适用比例费率时：</w:t>
      </w:r>
    </w:p>
    <w:p w:rsidR="004C06C5" w:rsidRDefault="00ED474B">
      <w:pPr>
        <w:pStyle w:val="a8"/>
        <w:autoSpaceDE w:val="0"/>
        <w:autoSpaceDN w:val="0"/>
        <w:adjustRightInd w:val="0"/>
        <w:snapToGrid w:val="0"/>
        <w:spacing w:line="360" w:lineRule="auto"/>
        <w:ind w:firstLineChars="200" w:firstLine="452"/>
        <w:rPr>
          <w:rFonts w:ascii="Arial" w:hAnsi="Arial"/>
          <w:spacing w:val="8"/>
          <w:szCs w:val="21"/>
        </w:rPr>
      </w:pPr>
      <w:r>
        <w:rPr>
          <w:rFonts w:ascii="Arial" w:hAnsi="Arial" w:hint="eastAsia"/>
          <w:spacing w:val="8"/>
          <w:szCs w:val="21"/>
        </w:rPr>
        <w:t>净申购金额</w:t>
      </w:r>
      <w:r>
        <w:rPr>
          <w:rFonts w:ascii="Arial" w:hAnsi="Arial"/>
          <w:spacing w:val="8"/>
          <w:szCs w:val="21"/>
        </w:rPr>
        <w:t>＝</w:t>
      </w:r>
      <w:r>
        <w:rPr>
          <w:rFonts w:ascii="Arial" w:hAnsi="Arial" w:hint="eastAsia"/>
          <w:spacing w:val="8"/>
          <w:szCs w:val="21"/>
        </w:rPr>
        <w:t>申购金额</w:t>
      </w:r>
      <w:r>
        <w:rPr>
          <w:rFonts w:ascii="Arial" w:hAnsi="Arial"/>
          <w:spacing w:val="8"/>
          <w:szCs w:val="21"/>
        </w:rPr>
        <w:t>/</w:t>
      </w:r>
      <w:r>
        <w:rPr>
          <w:rFonts w:ascii="Arial" w:hAnsi="Arial" w:hint="eastAsia"/>
          <w:spacing w:val="8"/>
          <w:szCs w:val="21"/>
        </w:rPr>
        <w:t>（</w:t>
      </w:r>
      <w:r>
        <w:rPr>
          <w:rFonts w:ascii="Arial" w:hAnsi="Arial"/>
          <w:spacing w:val="8"/>
          <w:szCs w:val="21"/>
        </w:rPr>
        <w:t>1</w:t>
      </w:r>
      <w:r>
        <w:rPr>
          <w:rFonts w:ascii="Arial" w:hAnsi="Arial"/>
          <w:spacing w:val="8"/>
          <w:szCs w:val="21"/>
        </w:rPr>
        <w:t>＋</w:t>
      </w:r>
      <w:r>
        <w:rPr>
          <w:rFonts w:ascii="Arial" w:hAnsi="Arial" w:hint="eastAsia"/>
          <w:spacing w:val="8"/>
          <w:szCs w:val="21"/>
        </w:rPr>
        <w:t>申购费率）</w:t>
      </w:r>
    </w:p>
    <w:p w:rsidR="004C06C5" w:rsidRDefault="00ED474B">
      <w:pPr>
        <w:pStyle w:val="a8"/>
        <w:autoSpaceDE w:val="0"/>
        <w:autoSpaceDN w:val="0"/>
        <w:adjustRightInd w:val="0"/>
        <w:snapToGrid w:val="0"/>
        <w:spacing w:line="360" w:lineRule="auto"/>
        <w:ind w:firstLineChars="200" w:firstLine="452"/>
        <w:rPr>
          <w:rFonts w:ascii="Arial" w:hAnsi="Arial"/>
          <w:spacing w:val="8"/>
          <w:szCs w:val="21"/>
        </w:rPr>
      </w:pPr>
      <w:r>
        <w:rPr>
          <w:rFonts w:ascii="Arial" w:hAnsi="Arial" w:hint="eastAsia"/>
          <w:spacing w:val="8"/>
          <w:szCs w:val="21"/>
        </w:rPr>
        <w:t>申购费用</w:t>
      </w:r>
      <w:r>
        <w:rPr>
          <w:rFonts w:ascii="Arial" w:hAnsi="Arial"/>
          <w:spacing w:val="8"/>
          <w:szCs w:val="21"/>
        </w:rPr>
        <w:t>＝</w:t>
      </w:r>
      <w:r>
        <w:rPr>
          <w:rFonts w:ascii="Arial" w:hAnsi="Arial" w:hint="eastAsia"/>
          <w:spacing w:val="8"/>
          <w:szCs w:val="21"/>
        </w:rPr>
        <w:t>申购金额</w:t>
      </w:r>
      <w:r>
        <w:rPr>
          <w:rFonts w:ascii="Arial" w:hAnsi="Arial"/>
          <w:spacing w:val="8"/>
          <w:szCs w:val="21"/>
        </w:rPr>
        <w:t>－</w:t>
      </w:r>
      <w:r>
        <w:rPr>
          <w:rFonts w:ascii="Arial" w:hAnsi="Arial" w:hint="eastAsia"/>
          <w:spacing w:val="8"/>
          <w:szCs w:val="21"/>
        </w:rPr>
        <w:t>净申购金额</w:t>
      </w:r>
    </w:p>
    <w:p w:rsidR="004C06C5" w:rsidRDefault="00ED474B">
      <w:pPr>
        <w:pStyle w:val="a8"/>
        <w:autoSpaceDE w:val="0"/>
        <w:autoSpaceDN w:val="0"/>
        <w:adjustRightInd w:val="0"/>
        <w:snapToGrid w:val="0"/>
        <w:spacing w:line="360" w:lineRule="auto"/>
        <w:ind w:firstLineChars="200" w:firstLine="452"/>
        <w:rPr>
          <w:rFonts w:ascii="Arial" w:hAnsi="Arial"/>
          <w:spacing w:val="8"/>
          <w:szCs w:val="21"/>
        </w:rPr>
      </w:pPr>
      <w:r>
        <w:rPr>
          <w:rFonts w:ascii="Arial" w:hAnsi="Arial" w:hint="eastAsia"/>
          <w:spacing w:val="8"/>
          <w:szCs w:val="21"/>
        </w:rPr>
        <w:t>申购份额</w:t>
      </w:r>
      <w:r>
        <w:rPr>
          <w:rFonts w:ascii="Arial" w:hAnsi="Arial"/>
          <w:spacing w:val="8"/>
          <w:szCs w:val="21"/>
        </w:rPr>
        <w:t>＝</w:t>
      </w:r>
      <w:r>
        <w:rPr>
          <w:rFonts w:ascii="Arial" w:hAnsi="Arial" w:hint="eastAsia"/>
          <w:spacing w:val="8"/>
          <w:szCs w:val="21"/>
        </w:rPr>
        <w:t>净申购金额</w:t>
      </w:r>
      <w:r>
        <w:rPr>
          <w:rFonts w:ascii="Arial" w:hAnsi="Arial"/>
          <w:spacing w:val="8"/>
          <w:szCs w:val="21"/>
        </w:rPr>
        <w:t>/</w:t>
      </w:r>
      <w:r>
        <w:rPr>
          <w:rFonts w:ascii="Arial" w:hAnsi="Arial" w:hint="eastAsia"/>
          <w:spacing w:val="8"/>
          <w:szCs w:val="21"/>
        </w:rPr>
        <w:t>申购当日</w:t>
      </w:r>
      <w:r>
        <w:rPr>
          <w:rFonts w:ascii="Arial" w:hAnsi="Arial" w:hint="eastAsia"/>
          <w:spacing w:val="8"/>
          <w:szCs w:val="21"/>
        </w:rPr>
        <w:t>A</w:t>
      </w:r>
      <w:r>
        <w:rPr>
          <w:rFonts w:ascii="Arial" w:hAnsi="Arial" w:hint="eastAsia"/>
          <w:spacing w:val="8"/>
          <w:szCs w:val="21"/>
        </w:rPr>
        <w:t>类基金份额净值</w:t>
      </w:r>
    </w:p>
    <w:p w:rsidR="004C06C5" w:rsidRDefault="00ED474B">
      <w:pPr>
        <w:pStyle w:val="a8"/>
        <w:autoSpaceDE w:val="0"/>
        <w:autoSpaceDN w:val="0"/>
        <w:adjustRightInd w:val="0"/>
        <w:snapToGrid w:val="0"/>
        <w:spacing w:line="360" w:lineRule="auto"/>
        <w:ind w:firstLineChars="200" w:firstLine="452"/>
        <w:rPr>
          <w:rFonts w:ascii="Arial" w:hAnsi="Arial"/>
          <w:spacing w:val="8"/>
          <w:szCs w:val="21"/>
        </w:rPr>
      </w:pPr>
      <w:r>
        <w:rPr>
          <w:rFonts w:ascii="Arial" w:hAnsi="Arial" w:hint="eastAsia"/>
          <w:spacing w:val="8"/>
          <w:szCs w:val="21"/>
        </w:rPr>
        <w:t>申购费用适用固定金额时：</w:t>
      </w:r>
    </w:p>
    <w:p w:rsidR="004C06C5" w:rsidRDefault="00ED474B">
      <w:pPr>
        <w:pStyle w:val="a8"/>
        <w:autoSpaceDE w:val="0"/>
        <w:autoSpaceDN w:val="0"/>
        <w:adjustRightInd w:val="0"/>
        <w:snapToGrid w:val="0"/>
        <w:spacing w:line="360" w:lineRule="auto"/>
        <w:ind w:firstLineChars="200" w:firstLine="452"/>
        <w:rPr>
          <w:rFonts w:ascii="Arial" w:hAnsi="Arial"/>
          <w:spacing w:val="8"/>
          <w:szCs w:val="21"/>
        </w:rPr>
      </w:pPr>
      <w:r>
        <w:rPr>
          <w:rFonts w:ascii="Arial" w:hAnsi="Arial" w:hint="eastAsia"/>
          <w:spacing w:val="8"/>
          <w:szCs w:val="21"/>
        </w:rPr>
        <w:t>申购费用</w:t>
      </w:r>
      <w:r>
        <w:rPr>
          <w:rFonts w:ascii="Arial" w:hAnsi="Arial"/>
          <w:spacing w:val="8"/>
          <w:szCs w:val="21"/>
        </w:rPr>
        <w:t>＝</w:t>
      </w:r>
      <w:r>
        <w:rPr>
          <w:rFonts w:ascii="Arial" w:hAnsi="Arial" w:hint="eastAsia"/>
          <w:spacing w:val="8"/>
          <w:szCs w:val="21"/>
        </w:rPr>
        <w:t>固定金额</w:t>
      </w:r>
    </w:p>
    <w:p w:rsidR="004C06C5" w:rsidRDefault="00ED474B">
      <w:pPr>
        <w:pStyle w:val="a8"/>
        <w:autoSpaceDE w:val="0"/>
        <w:autoSpaceDN w:val="0"/>
        <w:adjustRightInd w:val="0"/>
        <w:snapToGrid w:val="0"/>
        <w:spacing w:line="360" w:lineRule="auto"/>
        <w:ind w:firstLineChars="200" w:firstLine="452"/>
        <w:rPr>
          <w:rFonts w:ascii="Arial" w:hAnsi="Arial"/>
          <w:spacing w:val="8"/>
          <w:szCs w:val="21"/>
        </w:rPr>
      </w:pPr>
      <w:r>
        <w:rPr>
          <w:rFonts w:ascii="Arial" w:hAnsi="Arial" w:hint="eastAsia"/>
          <w:spacing w:val="8"/>
          <w:szCs w:val="21"/>
        </w:rPr>
        <w:t>净申购金额</w:t>
      </w:r>
      <w:r>
        <w:rPr>
          <w:rFonts w:ascii="Arial" w:hAnsi="Arial"/>
          <w:spacing w:val="8"/>
          <w:szCs w:val="21"/>
        </w:rPr>
        <w:t>＝</w:t>
      </w:r>
      <w:r>
        <w:rPr>
          <w:rFonts w:ascii="Arial" w:hAnsi="Arial" w:hint="eastAsia"/>
          <w:spacing w:val="8"/>
          <w:szCs w:val="21"/>
        </w:rPr>
        <w:t>申购金额</w:t>
      </w:r>
      <w:r>
        <w:rPr>
          <w:rFonts w:ascii="Arial" w:hAnsi="Arial"/>
          <w:spacing w:val="8"/>
          <w:szCs w:val="21"/>
        </w:rPr>
        <w:t>－</w:t>
      </w:r>
      <w:r>
        <w:rPr>
          <w:rFonts w:ascii="Arial" w:hAnsi="Arial" w:hint="eastAsia"/>
          <w:spacing w:val="8"/>
          <w:szCs w:val="21"/>
        </w:rPr>
        <w:t>申购费用</w:t>
      </w:r>
    </w:p>
    <w:p w:rsidR="004C06C5" w:rsidRDefault="00ED474B">
      <w:pPr>
        <w:pStyle w:val="a8"/>
        <w:autoSpaceDE w:val="0"/>
        <w:autoSpaceDN w:val="0"/>
        <w:adjustRightInd w:val="0"/>
        <w:snapToGrid w:val="0"/>
        <w:spacing w:line="360" w:lineRule="auto"/>
        <w:ind w:firstLineChars="200" w:firstLine="452"/>
        <w:rPr>
          <w:rFonts w:ascii="Arial" w:hAnsi="Arial"/>
          <w:spacing w:val="8"/>
          <w:szCs w:val="21"/>
        </w:rPr>
      </w:pPr>
      <w:r>
        <w:rPr>
          <w:rFonts w:ascii="Arial" w:hAnsi="Arial" w:hint="eastAsia"/>
          <w:spacing w:val="8"/>
          <w:szCs w:val="21"/>
        </w:rPr>
        <w:t>申购份额</w:t>
      </w:r>
      <w:r>
        <w:rPr>
          <w:rFonts w:ascii="Arial" w:hAnsi="Arial"/>
          <w:spacing w:val="8"/>
          <w:szCs w:val="21"/>
        </w:rPr>
        <w:t>＝</w:t>
      </w:r>
      <w:r>
        <w:rPr>
          <w:rFonts w:ascii="Arial" w:hAnsi="Arial" w:hint="eastAsia"/>
          <w:spacing w:val="8"/>
          <w:szCs w:val="21"/>
        </w:rPr>
        <w:t>净申购金额</w:t>
      </w:r>
      <w:r>
        <w:rPr>
          <w:rFonts w:ascii="Arial" w:hAnsi="Arial"/>
          <w:spacing w:val="8"/>
          <w:szCs w:val="21"/>
        </w:rPr>
        <w:t>/</w:t>
      </w:r>
      <w:r>
        <w:rPr>
          <w:rFonts w:ascii="Arial" w:hAnsi="Arial" w:hint="eastAsia"/>
          <w:spacing w:val="8"/>
          <w:szCs w:val="21"/>
        </w:rPr>
        <w:t>申购当日</w:t>
      </w:r>
      <w:r>
        <w:rPr>
          <w:rFonts w:ascii="Arial" w:hAnsi="Arial" w:hint="eastAsia"/>
          <w:spacing w:val="8"/>
          <w:szCs w:val="21"/>
        </w:rPr>
        <w:t>A</w:t>
      </w:r>
      <w:r>
        <w:rPr>
          <w:rFonts w:ascii="Arial" w:hAnsi="Arial" w:hint="eastAsia"/>
          <w:spacing w:val="8"/>
          <w:szCs w:val="21"/>
        </w:rPr>
        <w:t>类基金份额净值</w:t>
      </w:r>
    </w:p>
    <w:p w:rsidR="004C06C5" w:rsidRDefault="00ED474B">
      <w:pPr>
        <w:pStyle w:val="a8"/>
        <w:autoSpaceDE w:val="0"/>
        <w:autoSpaceDN w:val="0"/>
        <w:adjustRightInd w:val="0"/>
        <w:snapToGrid w:val="0"/>
        <w:spacing w:line="360" w:lineRule="auto"/>
        <w:ind w:firstLineChars="200" w:firstLine="452"/>
        <w:rPr>
          <w:rFonts w:ascii="Arial" w:hAnsi="Arial"/>
          <w:spacing w:val="8"/>
          <w:szCs w:val="21"/>
        </w:rPr>
      </w:pPr>
      <w:r>
        <w:rPr>
          <w:rFonts w:ascii="Arial" w:hAnsi="Arial" w:hint="eastAsia"/>
          <w:spacing w:val="8"/>
          <w:szCs w:val="21"/>
        </w:rPr>
        <w:t>上述</w:t>
      </w:r>
      <w:r>
        <w:rPr>
          <w:rFonts w:ascii="Arial" w:hAnsi="Arial"/>
          <w:spacing w:val="8"/>
          <w:szCs w:val="21"/>
        </w:rPr>
        <w:t>计算结果均按照四舍五入方法，保留</w:t>
      </w:r>
      <w:r>
        <w:rPr>
          <w:rFonts w:ascii="Arial" w:hAnsi="Arial" w:hint="eastAsia"/>
          <w:spacing w:val="8"/>
          <w:szCs w:val="21"/>
        </w:rPr>
        <w:t>到</w:t>
      </w:r>
      <w:r>
        <w:rPr>
          <w:rFonts w:ascii="Arial" w:hAnsi="Arial"/>
          <w:spacing w:val="8"/>
          <w:szCs w:val="21"/>
        </w:rPr>
        <w:t>小数点后两位，由此误差产生的损失由基金财产承担，产生的收益</w:t>
      </w:r>
      <w:proofErr w:type="gramStart"/>
      <w:r>
        <w:rPr>
          <w:rFonts w:ascii="Arial" w:hAnsi="Arial"/>
          <w:spacing w:val="8"/>
          <w:szCs w:val="21"/>
        </w:rPr>
        <w:t>归基金</w:t>
      </w:r>
      <w:proofErr w:type="gramEnd"/>
      <w:r>
        <w:rPr>
          <w:rFonts w:ascii="Arial" w:hAnsi="Arial"/>
          <w:spacing w:val="8"/>
          <w:szCs w:val="21"/>
        </w:rPr>
        <w:t>财产所有。</w:t>
      </w:r>
    </w:p>
    <w:p w:rsidR="004C06C5" w:rsidRDefault="00ED474B">
      <w:pPr>
        <w:pStyle w:val="a8"/>
        <w:autoSpaceDE w:val="0"/>
        <w:autoSpaceDN w:val="0"/>
        <w:adjustRightInd w:val="0"/>
        <w:snapToGrid w:val="0"/>
        <w:spacing w:line="360" w:lineRule="auto"/>
        <w:ind w:firstLineChars="200" w:firstLine="452"/>
        <w:rPr>
          <w:rFonts w:ascii="Arial" w:hAnsi="Arial"/>
          <w:spacing w:val="8"/>
          <w:szCs w:val="21"/>
        </w:rPr>
      </w:pPr>
      <w:r>
        <w:rPr>
          <w:rFonts w:ascii="Arial" w:hAnsi="Arial" w:hint="eastAsia"/>
          <w:spacing w:val="8"/>
          <w:szCs w:val="21"/>
        </w:rPr>
        <w:t>（</w:t>
      </w:r>
      <w:r>
        <w:rPr>
          <w:rFonts w:ascii="Arial" w:hAnsi="Arial" w:hint="eastAsia"/>
          <w:spacing w:val="8"/>
          <w:szCs w:val="21"/>
        </w:rPr>
        <w:t>2</w:t>
      </w:r>
      <w:r>
        <w:rPr>
          <w:rFonts w:ascii="Arial" w:hAnsi="Arial" w:hint="eastAsia"/>
          <w:spacing w:val="8"/>
          <w:szCs w:val="21"/>
        </w:rPr>
        <w:t>）</w:t>
      </w:r>
      <w:r>
        <w:rPr>
          <w:rFonts w:ascii="Arial" w:hAnsi="Arial" w:hint="eastAsia"/>
          <w:spacing w:val="8"/>
          <w:szCs w:val="21"/>
        </w:rPr>
        <w:t>C</w:t>
      </w:r>
      <w:r>
        <w:rPr>
          <w:rFonts w:ascii="Arial" w:hAnsi="Arial" w:hint="eastAsia"/>
          <w:spacing w:val="8"/>
          <w:szCs w:val="21"/>
        </w:rPr>
        <w:t>类基金份额</w:t>
      </w:r>
      <w:r>
        <w:rPr>
          <w:rFonts w:ascii="Arial" w:hAnsi="Arial" w:hint="eastAsia"/>
          <w:spacing w:val="8"/>
          <w:szCs w:val="21"/>
        </w:rPr>
        <w:t xml:space="preserve"> </w:t>
      </w:r>
    </w:p>
    <w:p w:rsidR="004C06C5" w:rsidRDefault="00ED474B">
      <w:pPr>
        <w:pStyle w:val="a8"/>
        <w:autoSpaceDE w:val="0"/>
        <w:autoSpaceDN w:val="0"/>
        <w:adjustRightInd w:val="0"/>
        <w:snapToGrid w:val="0"/>
        <w:spacing w:line="360" w:lineRule="auto"/>
        <w:ind w:firstLineChars="200" w:firstLine="452"/>
        <w:rPr>
          <w:rFonts w:ascii="Arial" w:hAnsi="Arial"/>
          <w:spacing w:val="8"/>
          <w:szCs w:val="21"/>
        </w:rPr>
      </w:pPr>
      <w:r>
        <w:rPr>
          <w:rFonts w:ascii="Arial" w:hAnsi="Arial" w:hint="eastAsia"/>
          <w:spacing w:val="8"/>
          <w:szCs w:val="21"/>
        </w:rPr>
        <w:t>申购份额</w:t>
      </w:r>
      <w:r>
        <w:rPr>
          <w:rFonts w:ascii="Arial" w:hAnsi="Arial" w:hint="eastAsia"/>
          <w:spacing w:val="8"/>
          <w:szCs w:val="21"/>
        </w:rPr>
        <w:t>=</w:t>
      </w:r>
      <w:r>
        <w:rPr>
          <w:rFonts w:ascii="Arial" w:hAnsi="Arial" w:hint="eastAsia"/>
          <w:spacing w:val="8"/>
          <w:szCs w:val="21"/>
        </w:rPr>
        <w:t>申购金额</w:t>
      </w:r>
      <w:r>
        <w:rPr>
          <w:rFonts w:ascii="Arial" w:hAnsi="Arial" w:hint="eastAsia"/>
          <w:spacing w:val="8"/>
          <w:szCs w:val="21"/>
        </w:rPr>
        <w:t>/</w:t>
      </w:r>
      <w:r>
        <w:rPr>
          <w:rFonts w:ascii="Arial" w:hAnsi="Arial" w:hint="eastAsia"/>
          <w:spacing w:val="8"/>
          <w:szCs w:val="21"/>
        </w:rPr>
        <w:t>申购当日</w:t>
      </w:r>
      <w:r>
        <w:rPr>
          <w:rFonts w:ascii="Arial" w:hAnsi="Arial" w:hint="eastAsia"/>
          <w:spacing w:val="8"/>
          <w:szCs w:val="21"/>
        </w:rPr>
        <w:t>C</w:t>
      </w:r>
      <w:r>
        <w:rPr>
          <w:rFonts w:ascii="Arial" w:hAnsi="Arial" w:hint="eastAsia"/>
          <w:spacing w:val="8"/>
          <w:szCs w:val="21"/>
        </w:rPr>
        <w:t>类基金份额净值</w:t>
      </w:r>
      <w:r>
        <w:rPr>
          <w:rFonts w:ascii="Arial" w:hAnsi="Arial" w:hint="eastAsia"/>
          <w:spacing w:val="8"/>
          <w:szCs w:val="21"/>
        </w:rPr>
        <w:t xml:space="preserve"> </w:t>
      </w:r>
    </w:p>
    <w:p w:rsidR="004C06C5" w:rsidRDefault="00ED474B">
      <w:pPr>
        <w:pStyle w:val="a8"/>
        <w:autoSpaceDE w:val="0"/>
        <w:autoSpaceDN w:val="0"/>
        <w:adjustRightInd w:val="0"/>
        <w:snapToGrid w:val="0"/>
        <w:spacing w:line="360" w:lineRule="auto"/>
        <w:ind w:firstLineChars="200" w:firstLine="452"/>
        <w:rPr>
          <w:rFonts w:ascii="Arial" w:hAnsi="Arial"/>
          <w:spacing w:val="8"/>
          <w:szCs w:val="21"/>
        </w:rPr>
      </w:pPr>
      <w:r>
        <w:rPr>
          <w:rFonts w:ascii="Arial" w:hAnsi="Arial" w:hint="eastAsia"/>
          <w:spacing w:val="8"/>
          <w:szCs w:val="21"/>
        </w:rPr>
        <w:t>上述计算结果均按照四舍五入方法，保留到小数点后两位，由此误差产生的损失由基金财产承担，产生的收益</w:t>
      </w:r>
      <w:proofErr w:type="gramStart"/>
      <w:r>
        <w:rPr>
          <w:rFonts w:ascii="Arial" w:hAnsi="Arial" w:hint="eastAsia"/>
          <w:spacing w:val="8"/>
          <w:szCs w:val="21"/>
        </w:rPr>
        <w:t>归基金</w:t>
      </w:r>
      <w:proofErr w:type="gramEnd"/>
      <w:r>
        <w:rPr>
          <w:rFonts w:ascii="Arial" w:hAnsi="Arial" w:hint="eastAsia"/>
          <w:spacing w:val="8"/>
          <w:szCs w:val="21"/>
        </w:rPr>
        <w:t>财产所有。</w:t>
      </w:r>
    </w:p>
    <w:p w:rsidR="004C06C5" w:rsidRDefault="00ED474B">
      <w:pPr>
        <w:pStyle w:val="a8"/>
        <w:autoSpaceDE w:val="0"/>
        <w:autoSpaceDN w:val="0"/>
        <w:adjustRightInd w:val="0"/>
        <w:snapToGrid w:val="0"/>
        <w:spacing w:line="360" w:lineRule="auto"/>
        <w:ind w:firstLineChars="200" w:firstLine="452"/>
        <w:rPr>
          <w:rFonts w:ascii="Arial" w:hAnsi="Arial"/>
          <w:spacing w:val="8"/>
          <w:szCs w:val="21"/>
        </w:rPr>
      </w:pPr>
      <w:r>
        <w:rPr>
          <w:rFonts w:ascii="Arial" w:hAnsi="Arial"/>
          <w:spacing w:val="8"/>
          <w:szCs w:val="21"/>
        </w:rPr>
        <w:t>例</w:t>
      </w:r>
      <w:r>
        <w:rPr>
          <w:rFonts w:ascii="Arial" w:hAnsi="Arial" w:hint="eastAsia"/>
          <w:spacing w:val="8"/>
          <w:szCs w:val="21"/>
        </w:rPr>
        <w:t>1</w:t>
      </w:r>
      <w:r>
        <w:rPr>
          <w:rFonts w:ascii="Arial" w:hAnsi="Arial"/>
          <w:spacing w:val="8"/>
          <w:szCs w:val="21"/>
        </w:rPr>
        <w:t>：假定</w:t>
      </w:r>
      <w:r>
        <w:rPr>
          <w:rFonts w:ascii="Arial" w:hAnsi="Arial"/>
          <w:spacing w:val="8"/>
          <w:szCs w:val="21"/>
        </w:rPr>
        <w:t>T</w:t>
      </w:r>
      <w:r>
        <w:rPr>
          <w:rFonts w:ascii="Arial" w:hAnsi="Arial"/>
          <w:spacing w:val="8"/>
          <w:szCs w:val="21"/>
        </w:rPr>
        <w:t>日</w:t>
      </w:r>
      <w:r>
        <w:rPr>
          <w:rFonts w:ascii="Arial" w:hAnsi="Arial" w:hint="eastAsia"/>
          <w:spacing w:val="8"/>
          <w:szCs w:val="21"/>
        </w:rPr>
        <w:t>A</w:t>
      </w:r>
      <w:r>
        <w:rPr>
          <w:rFonts w:ascii="Arial" w:hAnsi="Arial" w:hint="eastAsia"/>
          <w:spacing w:val="8"/>
          <w:szCs w:val="21"/>
        </w:rPr>
        <w:t>类</w:t>
      </w:r>
      <w:r>
        <w:rPr>
          <w:rFonts w:ascii="Arial" w:hAnsi="Arial"/>
          <w:spacing w:val="8"/>
          <w:szCs w:val="21"/>
        </w:rPr>
        <w:t>基金份额净值为</w:t>
      </w:r>
      <w:r>
        <w:rPr>
          <w:rFonts w:ascii="Arial" w:hAnsi="Arial" w:hint="eastAsia"/>
          <w:spacing w:val="8"/>
          <w:szCs w:val="21"/>
        </w:rPr>
        <w:t>1.016</w:t>
      </w:r>
      <w:r>
        <w:rPr>
          <w:rFonts w:ascii="Arial" w:hAnsi="Arial"/>
          <w:spacing w:val="8"/>
          <w:szCs w:val="21"/>
        </w:rPr>
        <w:t>元，某投资</w:t>
      </w:r>
      <w:r>
        <w:rPr>
          <w:rFonts w:ascii="Arial" w:hAnsi="Arial" w:hint="eastAsia"/>
          <w:spacing w:val="8"/>
          <w:szCs w:val="21"/>
        </w:rPr>
        <w:t>人</w:t>
      </w:r>
      <w:r>
        <w:rPr>
          <w:rFonts w:ascii="Arial" w:hAnsi="Arial"/>
          <w:spacing w:val="8"/>
          <w:szCs w:val="21"/>
        </w:rPr>
        <w:t>本次</w:t>
      </w:r>
      <w:r>
        <w:rPr>
          <w:rFonts w:ascii="Arial" w:hAnsi="Arial" w:hint="eastAsia"/>
          <w:spacing w:val="8"/>
          <w:szCs w:val="21"/>
        </w:rPr>
        <w:t>通过</w:t>
      </w:r>
      <w:r>
        <w:rPr>
          <w:rFonts w:ascii="Arial" w:hAnsi="Arial"/>
          <w:spacing w:val="8"/>
          <w:szCs w:val="21"/>
        </w:rPr>
        <w:t>申购本基金</w:t>
      </w:r>
      <w:r>
        <w:rPr>
          <w:rFonts w:ascii="Arial" w:hAnsi="Arial" w:hint="eastAsia"/>
          <w:spacing w:val="8"/>
          <w:szCs w:val="21"/>
        </w:rPr>
        <w:t>A</w:t>
      </w:r>
      <w:r>
        <w:rPr>
          <w:rFonts w:ascii="Arial" w:hAnsi="Arial" w:hint="eastAsia"/>
          <w:spacing w:val="8"/>
          <w:szCs w:val="21"/>
        </w:rPr>
        <w:t>类</w:t>
      </w:r>
      <w:r>
        <w:rPr>
          <w:rFonts w:ascii="Arial" w:hAnsi="Arial"/>
          <w:spacing w:val="8"/>
          <w:szCs w:val="21"/>
        </w:rPr>
        <w:t>基金份额</w:t>
      </w:r>
      <w:r>
        <w:rPr>
          <w:rFonts w:ascii="Arial" w:hAnsi="Arial" w:hint="eastAsia"/>
          <w:spacing w:val="8"/>
          <w:szCs w:val="21"/>
        </w:rPr>
        <w:t>10</w:t>
      </w:r>
      <w:r>
        <w:rPr>
          <w:rFonts w:ascii="Arial" w:hAnsi="Arial"/>
          <w:spacing w:val="8"/>
          <w:szCs w:val="21"/>
        </w:rPr>
        <w:t>万元，对应的本次申购费率为</w:t>
      </w:r>
      <w:r>
        <w:rPr>
          <w:rFonts w:ascii="Arial" w:hAnsi="Arial" w:hint="eastAsia"/>
          <w:spacing w:val="8"/>
          <w:szCs w:val="21"/>
        </w:rPr>
        <w:t>0.80</w:t>
      </w:r>
      <w:r>
        <w:rPr>
          <w:rFonts w:ascii="Arial" w:hAnsi="Arial"/>
          <w:spacing w:val="8"/>
          <w:szCs w:val="21"/>
        </w:rPr>
        <w:t>%</w:t>
      </w:r>
      <w:r>
        <w:rPr>
          <w:rFonts w:ascii="Arial" w:hAnsi="Arial"/>
          <w:spacing w:val="8"/>
          <w:szCs w:val="21"/>
        </w:rPr>
        <w:t>，该投资</w:t>
      </w:r>
      <w:r>
        <w:rPr>
          <w:rFonts w:ascii="Arial" w:hAnsi="Arial" w:hint="eastAsia"/>
          <w:spacing w:val="8"/>
          <w:szCs w:val="21"/>
        </w:rPr>
        <w:t>人</w:t>
      </w:r>
      <w:r>
        <w:rPr>
          <w:rFonts w:ascii="Arial" w:hAnsi="Arial"/>
          <w:spacing w:val="8"/>
          <w:szCs w:val="21"/>
        </w:rPr>
        <w:t>可得到的</w:t>
      </w:r>
      <w:r>
        <w:rPr>
          <w:rFonts w:ascii="Arial" w:hAnsi="Arial" w:hint="eastAsia"/>
          <w:spacing w:val="8"/>
          <w:szCs w:val="21"/>
        </w:rPr>
        <w:t>A</w:t>
      </w:r>
      <w:r>
        <w:rPr>
          <w:rFonts w:ascii="Arial" w:hAnsi="Arial" w:hint="eastAsia"/>
          <w:spacing w:val="8"/>
          <w:szCs w:val="21"/>
        </w:rPr>
        <w:t>类</w:t>
      </w:r>
      <w:r>
        <w:rPr>
          <w:rFonts w:ascii="Arial" w:hAnsi="Arial"/>
          <w:spacing w:val="8"/>
          <w:szCs w:val="21"/>
        </w:rPr>
        <w:t>基金份额为：</w:t>
      </w:r>
    </w:p>
    <w:p w:rsidR="004C06C5" w:rsidRDefault="00ED474B">
      <w:pPr>
        <w:pStyle w:val="a8"/>
        <w:autoSpaceDE w:val="0"/>
        <w:autoSpaceDN w:val="0"/>
        <w:adjustRightInd w:val="0"/>
        <w:snapToGrid w:val="0"/>
        <w:spacing w:line="360" w:lineRule="auto"/>
        <w:ind w:firstLineChars="200" w:firstLine="452"/>
        <w:rPr>
          <w:rFonts w:ascii="Arial" w:hAnsi="Arial"/>
          <w:spacing w:val="8"/>
          <w:szCs w:val="21"/>
        </w:rPr>
      </w:pPr>
      <w:r>
        <w:rPr>
          <w:rFonts w:ascii="Arial" w:hAnsi="Arial"/>
          <w:spacing w:val="8"/>
          <w:szCs w:val="21"/>
        </w:rPr>
        <w:t>净申购金额＝</w:t>
      </w:r>
      <w:r>
        <w:rPr>
          <w:rFonts w:ascii="Arial" w:hAnsi="Arial"/>
          <w:spacing w:val="8"/>
          <w:szCs w:val="21"/>
        </w:rPr>
        <w:t>100,000/ (1</w:t>
      </w:r>
      <w:r>
        <w:rPr>
          <w:rFonts w:ascii="Arial" w:hAnsi="Arial"/>
          <w:spacing w:val="8"/>
          <w:szCs w:val="21"/>
        </w:rPr>
        <w:t>＋</w:t>
      </w:r>
      <w:r>
        <w:rPr>
          <w:rFonts w:ascii="Arial" w:hAnsi="Arial"/>
          <w:spacing w:val="8"/>
          <w:szCs w:val="21"/>
        </w:rPr>
        <w:t>0.</w:t>
      </w:r>
      <w:r>
        <w:rPr>
          <w:rFonts w:ascii="Arial" w:hAnsi="Arial" w:hint="eastAsia"/>
          <w:spacing w:val="8"/>
          <w:szCs w:val="21"/>
        </w:rPr>
        <w:t>8</w:t>
      </w:r>
      <w:r>
        <w:rPr>
          <w:rFonts w:ascii="Arial" w:hAnsi="Arial"/>
          <w:spacing w:val="8"/>
          <w:szCs w:val="21"/>
        </w:rPr>
        <w:t>0%)</w:t>
      </w:r>
      <w:r>
        <w:rPr>
          <w:rFonts w:ascii="Arial" w:hAnsi="Arial"/>
          <w:spacing w:val="8"/>
          <w:szCs w:val="21"/>
        </w:rPr>
        <w:t>＝</w:t>
      </w:r>
      <w:r>
        <w:rPr>
          <w:rFonts w:ascii="Arial" w:hAnsi="Arial"/>
          <w:spacing w:val="8"/>
          <w:szCs w:val="21"/>
        </w:rPr>
        <w:t>99,</w:t>
      </w:r>
      <w:r>
        <w:rPr>
          <w:rFonts w:ascii="Arial" w:hAnsi="Arial" w:hint="eastAsia"/>
          <w:spacing w:val="8"/>
          <w:szCs w:val="21"/>
        </w:rPr>
        <w:t>2</w:t>
      </w:r>
      <w:r>
        <w:rPr>
          <w:rFonts w:ascii="Arial" w:hAnsi="Arial"/>
          <w:spacing w:val="8"/>
          <w:szCs w:val="21"/>
        </w:rPr>
        <w:t>0</w:t>
      </w:r>
      <w:r>
        <w:rPr>
          <w:rFonts w:ascii="Arial" w:hAnsi="Arial" w:hint="eastAsia"/>
          <w:spacing w:val="8"/>
          <w:szCs w:val="21"/>
        </w:rPr>
        <w:t>6</w:t>
      </w:r>
      <w:r>
        <w:rPr>
          <w:rFonts w:ascii="Arial" w:hAnsi="Arial"/>
          <w:spacing w:val="8"/>
          <w:szCs w:val="21"/>
        </w:rPr>
        <w:t>.</w:t>
      </w:r>
      <w:r>
        <w:rPr>
          <w:rFonts w:ascii="Arial" w:hAnsi="Arial" w:hint="eastAsia"/>
          <w:spacing w:val="8"/>
          <w:szCs w:val="21"/>
        </w:rPr>
        <w:t>35</w:t>
      </w:r>
      <w:r>
        <w:rPr>
          <w:rFonts w:ascii="Arial" w:hAnsi="Arial"/>
          <w:spacing w:val="8"/>
          <w:szCs w:val="21"/>
        </w:rPr>
        <w:t>元</w:t>
      </w:r>
    </w:p>
    <w:p w:rsidR="004C06C5" w:rsidRDefault="00ED474B">
      <w:pPr>
        <w:pStyle w:val="a8"/>
        <w:autoSpaceDE w:val="0"/>
        <w:autoSpaceDN w:val="0"/>
        <w:adjustRightInd w:val="0"/>
        <w:snapToGrid w:val="0"/>
        <w:spacing w:line="360" w:lineRule="auto"/>
        <w:ind w:firstLineChars="200" w:firstLine="452"/>
        <w:rPr>
          <w:rFonts w:ascii="Arial" w:hAnsi="Arial"/>
          <w:spacing w:val="8"/>
          <w:szCs w:val="21"/>
        </w:rPr>
      </w:pPr>
      <w:r>
        <w:rPr>
          <w:rFonts w:ascii="Arial" w:hAnsi="Arial"/>
          <w:spacing w:val="8"/>
          <w:szCs w:val="21"/>
        </w:rPr>
        <w:t>申购费用＝</w:t>
      </w:r>
      <w:r>
        <w:rPr>
          <w:rFonts w:ascii="Arial" w:hAnsi="Arial"/>
          <w:spacing w:val="8"/>
          <w:szCs w:val="21"/>
        </w:rPr>
        <w:t>100,000</w:t>
      </w:r>
      <w:r>
        <w:rPr>
          <w:rFonts w:ascii="Arial" w:hAnsi="Arial"/>
          <w:spacing w:val="8"/>
          <w:szCs w:val="21"/>
        </w:rPr>
        <w:t>－</w:t>
      </w:r>
      <w:r>
        <w:rPr>
          <w:rFonts w:ascii="Arial" w:hAnsi="Arial"/>
          <w:spacing w:val="8"/>
          <w:szCs w:val="21"/>
        </w:rPr>
        <w:t>99,</w:t>
      </w:r>
      <w:r>
        <w:rPr>
          <w:rFonts w:ascii="Arial" w:hAnsi="Arial" w:hint="eastAsia"/>
          <w:spacing w:val="8"/>
          <w:szCs w:val="21"/>
        </w:rPr>
        <w:t>2</w:t>
      </w:r>
      <w:r>
        <w:rPr>
          <w:rFonts w:ascii="Arial" w:hAnsi="Arial"/>
          <w:spacing w:val="8"/>
          <w:szCs w:val="21"/>
        </w:rPr>
        <w:t>0</w:t>
      </w:r>
      <w:r>
        <w:rPr>
          <w:rFonts w:ascii="Arial" w:hAnsi="Arial" w:hint="eastAsia"/>
          <w:spacing w:val="8"/>
          <w:szCs w:val="21"/>
        </w:rPr>
        <w:t>6</w:t>
      </w:r>
      <w:r>
        <w:rPr>
          <w:rFonts w:ascii="Arial" w:hAnsi="Arial"/>
          <w:spacing w:val="8"/>
          <w:szCs w:val="21"/>
        </w:rPr>
        <w:t>.</w:t>
      </w:r>
      <w:r>
        <w:rPr>
          <w:rFonts w:ascii="Arial" w:hAnsi="Arial" w:hint="eastAsia"/>
          <w:spacing w:val="8"/>
          <w:szCs w:val="21"/>
        </w:rPr>
        <w:t>35</w:t>
      </w:r>
      <w:r>
        <w:rPr>
          <w:rFonts w:ascii="Arial" w:hAnsi="Arial"/>
          <w:spacing w:val="8"/>
          <w:szCs w:val="21"/>
        </w:rPr>
        <w:t>＝</w:t>
      </w:r>
      <w:r>
        <w:rPr>
          <w:rFonts w:ascii="Arial" w:hAnsi="Arial" w:hint="eastAsia"/>
          <w:spacing w:val="8"/>
          <w:szCs w:val="21"/>
        </w:rPr>
        <w:t>7</w:t>
      </w:r>
      <w:r>
        <w:rPr>
          <w:rFonts w:ascii="Arial" w:hAnsi="Arial"/>
          <w:spacing w:val="8"/>
          <w:szCs w:val="21"/>
        </w:rPr>
        <w:t>9</w:t>
      </w:r>
      <w:r>
        <w:rPr>
          <w:rFonts w:ascii="Arial" w:hAnsi="Arial" w:hint="eastAsia"/>
          <w:spacing w:val="8"/>
          <w:szCs w:val="21"/>
        </w:rPr>
        <w:t>3</w:t>
      </w:r>
      <w:r>
        <w:rPr>
          <w:rFonts w:ascii="Arial" w:hAnsi="Arial"/>
          <w:spacing w:val="8"/>
          <w:szCs w:val="21"/>
        </w:rPr>
        <w:t>.</w:t>
      </w:r>
      <w:r>
        <w:rPr>
          <w:rFonts w:ascii="Arial" w:hAnsi="Arial" w:hint="eastAsia"/>
          <w:spacing w:val="8"/>
          <w:szCs w:val="21"/>
        </w:rPr>
        <w:t>65</w:t>
      </w:r>
      <w:r>
        <w:rPr>
          <w:rFonts w:ascii="Arial" w:hAnsi="Arial"/>
          <w:spacing w:val="8"/>
          <w:szCs w:val="21"/>
        </w:rPr>
        <w:t>元</w:t>
      </w:r>
    </w:p>
    <w:p w:rsidR="004C06C5" w:rsidRDefault="00ED474B">
      <w:pPr>
        <w:pStyle w:val="a8"/>
        <w:autoSpaceDE w:val="0"/>
        <w:autoSpaceDN w:val="0"/>
        <w:adjustRightInd w:val="0"/>
        <w:snapToGrid w:val="0"/>
        <w:spacing w:line="360" w:lineRule="auto"/>
        <w:ind w:firstLineChars="200" w:firstLine="452"/>
        <w:rPr>
          <w:rFonts w:ascii="Arial" w:hAnsi="Arial"/>
          <w:spacing w:val="8"/>
          <w:szCs w:val="21"/>
        </w:rPr>
      </w:pPr>
      <w:r>
        <w:rPr>
          <w:rFonts w:ascii="Arial" w:hAnsi="Arial"/>
          <w:spacing w:val="8"/>
          <w:szCs w:val="21"/>
        </w:rPr>
        <w:t>申购份额＝</w:t>
      </w:r>
      <w:r>
        <w:rPr>
          <w:rFonts w:ascii="Arial" w:hAnsi="Arial"/>
          <w:spacing w:val="8"/>
          <w:szCs w:val="21"/>
        </w:rPr>
        <w:t>99,</w:t>
      </w:r>
      <w:r>
        <w:rPr>
          <w:rFonts w:ascii="Arial" w:hAnsi="Arial" w:hint="eastAsia"/>
          <w:spacing w:val="8"/>
          <w:szCs w:val="21"/>
        </w:rPr>
        <w:t>2</w:t>
      </w:r>
      <w:r>
        <w:rPr>
          <w:rFonts w:ascii="Arial" w:hAnsi="Arial"/>
          <w:spacing w:val="8"/>
          <w:szCs w:val="21"/>
        </w:rPr>
        <w:t>0</w:t>
      </w:r>
      <w:r>
        <w:rPr>
          <w:rFonts w:ascii="Arial" w:hAnsi="Arial" w:hint="eastAsia"/>
          <w:spacing w:val="8"/>
          <w:szCs w:val="21"/>
        </w:rPr>
        <w:t>6</w:t>
      </w:r>
      <w:r>
        <w:rPr>
          <w:rFonts w:ascii="Arial" w:hAnsi="Arial"/>
          <w:spacing w:val="8"/>
          <w:szCs w:val="21"/>
        </w:rPr>
        <w:t>.</w:t>
      </w:r>
      <w:r>
        <w:rPr>
          <w:rFonts w:ascii="Arial" w:hAnsi="Arial" w:hint="eastAsia"/>
          <w:spacing w:val="8"/>
          <w:szCs w:val="21"/>
        </w:rPr>
        <w:t>35</w:t>
      </w:r>
      <w:r>
        <w:rPr>
          <w:rFonts w:ascii="Arial" w:hAnsi="Arial"/>
          <w:spacing w:val="8"/>
          <w:szCs w:val="21"/>
        </w:rPr>
        <w:t xml:space="preserve">/1.016 </w:t>
      </w:r>
      <w:r>
        <w:rPr>
          <w:rFonts w:ascii="Arial" w:hAnsi="Arial"/>
          <w:spacing w:val="8"/>
          <w:szCs w:val="21"/>
        </w:rPr>
        <w:t>＝</w:t>
      </w:r>
      <w:r>
        <w:rPr>
          <w:rFonts w:ascii="Arial" w:hAnsi="Arial"/>
          <w:spacing w:val="8"/>
          <w:szCs w:val="21"/>
        </w:rPr>
        <w:t>97,</w:t>
      </w:r>
      <w:r>
        <w:rPr>
          <w:rFonts w:ascii="Arial" w:hAnsi="Arial" w:hint="eastAsia"/>
          <w:spacing w:val="8"/>
          <w:szCs w:val="21"/>
        </w:rPr>
        <w:t>644</w:t>
      </w:r>
      <w:r>
        <w:rPr>
          <w:rFonts w:ascii="Arial" w:hAnsi="Arial"/>
          <w:spacing w:val="8"/>
          <w:szCs w:val="21"/>
        </w:rPr>
        <w:t>.</w:t>
      </w:r>
      <w:r>
        <w:rPr>
          <w:rFonts w:ascii="Arial" w:hAnsi="Arial" w:hint="eastAsia"/>
          <w:spacing w:val="8"/>
          <w:szCs w:val="21"/>
        </w:rPr>
        <w:t>04</w:t>
      </w:r>
      <w:r>
        <w:rPr>
          <w:rFonts w:ascii="Arial" w:hAnsi="Arial"/>
          <w:spacing w:val="8"/>
          <w:szCs w:val="21"/>
        </w:rPr>
        <w:t>份</w:t>
      </w:r>
    </w:p>
    <w:p w:rsidR="004C06C5" w:rsidRDefault="00ED474B">
      <w:pPr>
        <w:pStyle w:val="a8"/>
        <w:autoSpaceDE w:val="0"/>
        <w:autoSpaceDN w:val="0"/>
        <w:adjustRightInd w:val="0"/>
        <w:snapToGrid w:val="0"/>
        <w:spacing w:line="360" w:lineRule="auto"/>
        <w:ind w:firstLineChars="200" w:firstLine="452"/>
        <w:rPr>
          <w:rFonts w:ascii="Arial" w:hAnsi="Arial"/>
          <w:spacing w:val="8"/>
          <w:szCs w:val="21"/>
        </w:rPr>
      </w:pPr>
      <w:r>
        <w:rPr>
          <w:rFonts w:ascii="Arial" w:hAnsi="Arial"/>
          <w:spacing w:val="8"/>
          <w:szCs w:val="21"/>
        </w:rPr>
        <w:t>即：投资者投资</w:t>
      </w:r>
      <w:r>
        <w:rPr>
          <w:rFonts w:ascii="Arial" w:hAnsi="Arial" w:hint="eastAsia"/>
          <w:spacing w:val="8"/>
          <w:szCs w:val="21"/>
        </w:rPr>
        <w:t>10</w:t>
      </w:r>
      <w:r>
        <w:rPr>
          <w:rFonts w:ascii="Arial" w:hAnsi="Arial"/>
          <w:spacing w:val="8"/>
          <w:szCs w:val="21"/>
        </w:rPr>
        <w:t>万元申购本基金</w:t>
      </w:r>
      <w:r>
        <w:rPr>
          <w:rFonts w:ascii="Arial" w:hAnsi="Arial" w:hint="eastAsia"/>
          <w:spacing w:val="8"/>
          <w:szCs w:val="21"/>
        </w:rPr>
        <w:t>A</w:t>
      </w:r>
      <w:r>
        <w:rPr>
          <w:rFonts w:ascii="Arial" w:hAnsi="Arial" w:hint="eastAsia"/>
          <w:spacing w:val="8"/>
          <w:szCs w:val="21"/>
        </w:rPr>
        <w:t>类</w:t>
      </w:r>
      <w:r>
        <w:rPr>
          <w:rFonts w:ascii="Arial" w:hAnsi="Arial"/>
          <w:spacing w:val="8"/>
          <w:szCs w:val="21"/>
        </w:rPr>
        <w:t>基金份额，假定申购当日</w:t>
      </w:r>
      <w:r>
        <w:rPr>
          <w:rFonts w:ascii="Arial" w:hAnsi="Arial" w:hint="eastAsia"/>
          <w:spacing w:val="8"/>
          <w:szCs w:val="21"/>
        </w:rPr>
        <w:t>A</w:t>
      </w:r>
      <w:r>
        <w:rPr>
          <w:rFonts w:ascii="Arial" w:hAnsi="Arial" w:hint="eastAsia"/>
          <w:spacing w:val="8"/>
          <w:szCs w:val="21"/>
        </w:rPr>
        <w:t>类</w:t>
      </w:r>
      <w:r>
        <w:rPr>
          <w:rFonts w:ascii="Arial" w:hAnsi="Arial"/>
          <w:spacing w:val="8"/>
          <w:szCs w:val="21"/>
        </w:rPr>
        <w:t>基金份额净值为</w:t>
      </w:r>
      <w:r>
        <w:rPr>
          <w:rFonts w:ascii="Arial" w:hAnsi="Arial" w:hint="eastAsia"/>
          <w:spacing w:val="8"/>
          <w:szCs w:val="21"/>
        </w:rPr>
        <w:t>1.016</w:t>
      </w:r>
      <w:r>
        <w:rPr>
          <w:rFonts w:ascii="Arial" w:hAnsi="Arial"/>
          <w:spacing w:val="8"/>
          <w:szCs w:val="21"/>
        </w:rPr>
        <w:t>元，可得到</w:t>
      </w:r>
      <w:r>
        <w:rPr>
          <w:rFonts w:ascii="Arial" w:hAnsi="Arial"/>
          <w:spacing w:val="8"/>
          <w:szCs w:val="21"/>
        </w:rPr>
        <w:t>97,</w:t>
      </w:r>
      <w:r>
        <w:rPr>
          <w:rFonts w:ascii="Arial" w:hAnsi="Arial" w:hint="eastAsia"/>
          <w:spacing w:val="8"/>
          <w:szCs w:val="21"/>
        </w:rPr>
        <w:t>644</w:t>
      </w:r>
      <w:r>
        <w:rPr>
          <w:rFonts w:ascii="Arial" w:hAnsi="Arial"/>
          <w:spacing w:val="8"/>
          <w:szCs w:val="21"/>
        </w:rPr>
        <w:t>.</w:t>
      </w:r>
      <w:r>
        <w:rPr>
          <w:rFonts w:ascii="Arial" w:hAnsi="Arial" w:hint="eastAsia"/>
          <w:spacing w:val="8"/>
          <w:szCs w:val="21"/>
        </w:rPr>
        <w:t>04</w:t>
      </w:r>
      <w:r>
        <w:rPr>
          <w:rFonts w:ascii="Arial" w:hAnsi="Arial"/>
          <w:spacing w:val="8"/>
          <w:szCs w:val="21"/>
        </w:rPr>
        <w:t>份</w:t>
      </w:r>
      <w:r>
        <w:rPr>
          <w:rFonts w:ascii="Arial" w:hAnsi="Arial" w:hint="eastAsia"/>
          <w:spacing w:val="8"/>
          <w:szCs w:val="21"/>
        </w:rPr>
        <w:t>A</w:t>
      </w:r>
      <w:r>
        <w:rPr>
          <w:rFonts w:ascii="Arial" w:hAnsi="Arial" w:hint="eastAsia"/>
          <w:spacing w:val="8"/>
          <w:szCs w:val="21"/>
        </w:rPr>
        <w:t>类</w:t>
      </w:r>
      <w:r>
        <w:rPr>
          <w:rFonts w:ascii="Arial" w:hAnsi="Arial"/>
          <w:spacing w:val="8"/>
          <w:szCs w:val="21"/>
        </w:rPr>
        <w:t>基金份额。</w:t>
      </w:r>
    </w:p>
    <w:p w:rsidR="004C06C5" w:rsidRDefault="00ED474B">
      <w:pPr>
        <w:pStyle w:val="a8"/>
        <w:autoSpaceDE w:val="0"/>
        <w:autoSpaceDN w:val="0"/>
        <w:adjustRightInd w:val="0"/>
        <w:snapToGrid w:val="0"/>
        <w:spacing w:line="360" w:lineRule="auto"/>
        <w:ind w:firstLineChars="200" w:firstLine="452"/>
        <w:rPr>
          <w:rFonts w:ascii="Arial" w:hAnsi="Arial"/>
          <w:spacing w:val="8"/>
          <w:szCs w:val="21"/>
        </w:rPr>
      </w:pPr>
      <w:r>
        <w:rPr>
          <w:rFonts w:ascii="Arial" w:hAnsi="Arial" w:hint="eastAsia"/>
          <w:spacing w:val="8"/>
          <w:szCs w:val="21"/>
        </w:rPr>
        <w:t>例</w:t>
      </w:r>
      <w:r>
        <w:rPr>
          <w:rFonts w:ascii="Arial" w:hAnsi="Arial" w:hint="eastAsia"/>
          <w:spacing w:val="8"/>
          <w:szCs w:val="21"/>
        </w:rPr>
        <w:t>2</w:t>
      </w:r>
      <w:r>
        <w:rPr>
          <w:rFonts w:ascii="Arial" w:hAnsi="Arial" w:hint="eastAsia"/>
          <w:spacing w:val="8"/>
          <w:szCs w:val="21"/>
        </w:rPr>
        <w:t>：假设某投资者投资</w:t>
      </w:r>
      <w:r>
        <w:rPr>
          <w:rFonts w:ascii="Arial" w:hAnsi="Arial" w:hint="eastAsia"/>
          <w:spacing w:val="8"/>
          <w:szCs w:val="21"/>
        </w:rPr>
        <w:t>10</w:t>
      </w:r>
      <w:r>
        <w:rPr>
          <w:rFonts w:ascii="Arial" w:hAnsi="Arial" w:hint="eastAsia"/>
          <w:spacing w:val="8"/>
          <w:szCs w:val="21"/>
        </w:rPr>
        <w:t>万元申购本基金</w:t>
      </w:r>
      <w:r>
        <w:rPr>
          <w:rFonts w:ascii="Arial" w:hAnsi="Arial" w:hint="eastAsia"/>
          <w:spacing w:val="8"/>
          <w:szCs w:val="21"/>
        </w:rPr>
        <w:t>C</w:t>
      </w:r>
      <w:r>
        <w:rPr>
          <w:rFonts w:ascii="Arial" w:hAnsi="Arial" w:hint="eastAsia"/>
          <w:spacing w:val="8"/>
          <w:szCs w:val="21"/>
        </w:rPr>
        <w:t>类基金份额，申购当日本基金</w:t>
      </w:r>
      <w:r>
        <w:rPr>
          <w:rFonts w:ascii="Arial" w:hAnsi="Arial" w:hint="eastAsia"/>
          <w:spacing w:val="8"/>
          <w:szCs w:val="21"/>
        </w:rPr>
        <w:t>C</w:t>
      </w:r>
      <w:r>
        <w:rPr>
          <w:rFonts w:ascii="Arial" w:hAnsi="Arial" w:hint="eastAsia"/>
          <w:spacing w:val="8"/>
          <w:szCs w:val="21"/>
        </w:rPr>
        <w:t>类基金份额净值为</w:t>
      </w:r>
      <w:r>
        <w:rPr>
          <w:rFonts w:ascii="Arial" w:hAnsi="Arial" w:hint="eastAsia"/>
          <w:spacing w:val="8"/>
          <w:szCs w:val="21"/>
        </w:rPr>
        <w:t xml:space="preserve">1.060 </w:t>
      </w:r>
      <w:r>
        <w:rPr>
          <w:rFonts w:ascii="Arial" w:hAnsi="Arial" w:hint="eastAsia"/>
          <w:spacing w:val="8"/>
          <w:szCs w:val="21"/>
        </w:rPr>
        <w:t>元，则可得到的申购份额为：</w:t>
      </w:r>
    </w:p>
    <w:p w:rsidR="004C06C5" w:rsidRDefault="00ED474B">
      <w:pPr>
        <w:pStyle w:val="a8"/>
        <w:autoSpaceDE w:val="0"/>
        <w:autoSpaceDN w:val="0"/>
        <w:adjustRightInd w:val="0"/>
        <w:snapToGrid w:val="0"/>
        <w:spacing w:line="360" w:lineRule="auto"/>
        <w:ind w:firstLineChars="200" w:firstLine="452"/>
        <w:rPr>
          <w:rFonts w:ascii="Arial" w:hAnsi="Arial"/>
          <w:spacing w:val="8"/>
          <w:szCs w:val="21"/>
        </w:rPr>
      </w:pPr>
      <w:r>
        <w:rPr>
          <w:rFonts w:ascii="Arial" w:hAnsi="Arial" w:hint="eastAsia"/>
          <w:spacing w:val="8"/>
          <w:szCs w:val="21"/>
        </w:rPr>
        <w:t>申购份额＝</w:t>
      </w:r>
      <w:r>
        <w:rPr>
          <w:rFonts w:ascii="Arial" w:hAnsi="Arial" w:hint="eastAsia"/>
          <w:spacing w:val="8"/>
          <w:szCs w:val="21"/>
        </w:rPr>
        <w:t>100,000/1.060</w:t>
      </w:r>
      <w:r>
        <w:rPr>
          <w:rFonts w:ascii="Arial" w:hAnsi="Arial" w:hint="eastAsia"/>
          <w:spacing w:val="8"/>
          <w:szCs w:val="21"/>
        </w:rPr>
        <w:t>＝</w:t>
      </w:r>
      <w:r>
        <w:rPr>
          <w:rFonts w:ascii="Arial" w:hAnsi="Arial" w:hint="eastAsia"/>
          <w:spacing w:val="8"/>
          <w:szCs w:val="21"/>
        </w:rPr>
        <w:t>94,339.62</w:t>
      </w:r>
      <w:r>
        <w:rPr>
          <w:rFonts w:ascii="Arial" w:hAnsi="Arial" w:hint="eastAsia"/>
          <w:spacing w:val="8"/>
          <w:szCs w:val="21"/>
        </w:rPr>
        <w:t>份</w:t>
      </w:r>
    </w:p>
    <w:p w:rsidR="004C06C5" w:rsidRDefault="00ED474B">
      <w:pPr>
        <w:pStyle w:val="a8"/>
        <w:autoSpaceDE w:val="0"/>
        <w:autoSpaceDN w:val="0"/>
        <w:adjustRightInd w:val="0"/>
        <w:snapToGrid w:val="0"/>
        <w:spacing w:line="360" w:lineRule="auto"/>
        <w:ind w:firstLineChars="200" w:firstLine="452"/>
        <w:rPr>
          <w:rFonts w:ascii="Arial" w:hAnsi="Arial"/>
          <w:spacing w:val="8"/>
          <w:szCs w:val="21"/>
        </w:rPr>
      </w:pPr>
      <w:r>
        <w:rPr>
          <w:rFonts w:ascii="Arial" w:hAnsi="Arial" w:hint="eastAsia"/>
          <w:spacing w:val="8"/>
          <w:szCs w:val="21"/>
        </w:rPr>
        <w:t>即：投资者投资</w:t>
      </w:r>
      <w:r>
        <w:rPr>
          <w:rFonts w:ascii="Arial" w:hAnsi="Arial" w:hint="eastAsia"/>
          <w:spacing w:val="8"/>
          <w:szCs w:val="21"/>
        </w:rPr>
        <w:t>10</w:t>
      </w:r>
      <w:r>
        <w:rPr>
          <w:rFonts w:ascii="Arial" w:hAnsi="Arial" w:hint="eastAsia"/>
          <w:spacing w:val="8"/>
          <w:szCs w:val="21"/>
        </w:rPr>
        <w:t>万元申购本基金</w:t>
      </w:r>
      <w:r>
        <w:rPr>
          <w:rFonts w:ascii="Arial" w:hAnsi="Arial" w:hint="eastAsia"/>
          <w:spacing w:val="8"/>
          <w:szCs w:val="21"/>
        </w:rPr>
        <w:t>C</w:t>
      </w:r>
      <w:r>
        <w:rPr>
          <w:rFonts w:ascii="Arial" w:hAnsi="Arial" w:hint="eastAsia"/>
          <w:spacing w:val="8"/>
          <w:szCs w:val="21"/>
        </w:rPr>
        <w:t>类基金份额，假设申购当日本基金</w:t>
      </w:r>
      <w:r>
        <w:rPr>
          <w:rFonts w:ascii="Arial" w:hAnsi="Arial" w:hint="eastAsia"/>
          <w:spacing w:val="8"/>
          <w:szCs w:val="21"/>
        </w:rPr>
        <w:t>C</w:t>
      </w:r>
      <w:r>
        <w:rPr>
          <w:rFonts w:ascii="Arial" w:hAnsi="Arial" w:hint="eastAsia"/>
          <w:spacing w:val="8"/>
          <w:szCs w:val="21"/>
        </w:rPr>
        <w:t>类基金份额净值为</w:t>
      </w:r>
      <w:r>
        <w:rPr>
          <w:rFonts w:ascii="Arial" w:hAnsi="Arial" w:hint="eastAsia"/>
          <w:spacing w:val="8"/>
          <w:szCs w:val="21"/>
        </w:rPr>
        <w:t>1.060</w:t>
      </w:r>
      <w:r>
        <w:rPr>
          <w:rFonts w:ascii="Arial" w:hAnsi="Arial" w:hint="eastAsia"/>
          <w:spacing w:val="8"/>
          <w:szCs w:val="21"/>
        </w:rPr>
        <w:t>元，则其可得到</w:t>
      </w:r>
      <w:r>
        <w:rPr>
          <w:rFonts w:ascii="Arial" w:hAnsi="Arial" w:hint="eastAsia"/>
          <w:spacing w:val="8"/>
          <w:szCs w:val="21"/>
        </w:rPr>
        <w:t>94,339.62</w:t>
      </w:r>
      <w:r>
        <w:rPr>
          <w:rFonts w:ascii="Arial" w:hAnsi="Arial" w:hint="eastAsia"/>
          <w:spacing w:val="8"/>
          <w:szCs w:val="21"/>
        </w:rPr>
        <w:t>份</w:t>
      </w:r>
      <w:r>
        <w:rPr>
          <w:rFonts w:ascii="Arial" w:hAnsi="Arial" w:hint="eastAsia"/>
          <w:spacing w:val="8"/>
          <w:szCs w:val="21"/>
        </w:rPr>
        <w:t>C</w:t>
      </w:r>
      <w:r>
        <w:rPr>
          <w:rFonts w:ascii="Arial" w:hAnsi="Arial" w:hint="eastAsia"/>
          <w:spacing w:val="8"/>
          <w:szCs w:val="21"/>
        </w:rPr>
        <w:t>类基金份额。</w:t>
      </w:r>
    </w:p>
    <w:p w:rsidR="004C06C5" w:rsidRDefault="00ED474B">
      <w:pPr>
        <w:adjustRightInd w:val="0"/>
        <w:snapToGrid w:val="0"/>
        <w:spacing w:line="360" w:lineRule="auto"/>
        <w:ind w:firstLineChars="200" w:firstLine="420"/>
        <w:rPr>
          <w:rFonts w:ascii="Arial" w:hAnsi="Arial" w:cs="Arial"/>
          <w:szCs w:val="21"/>
        </w:rPr>
      </w:pPr>
      <w:r>
        <w:rPr>
          <w:rFonts w:ascii="Arial" w:hAnsi="Arial" w:cs="Arial"/>
          <w:szCs w:val="21"/>
        </w:rPr>
        <w:t>2</w:t>
      </w:r>
      <w:r>
        <w:rPr>
          <w:rFonts w:ascii="Arial" w:hAnsi="Arial" w:cs="Arial"/>
          <w:szCs w:val="21"/>
        </w:rPr>
        <w:t>、</w:t>
      </w:r>
      <w:r>
        <w:rPr>
          <w:rFonts w:ascii="Arial" w:hAnsi="Arial" w:cs="Arial"/>
          <w:szCs w:val="21"/>
        </w:rPr>
        <w:t xml:space="preserve"> </w:t>
      </w:r>
      <w:r>
        <w:rPr>
          <w:rFonts w:ascii="Arial" w:hAnsi="Arial" w:cs="Arial"/>
          <w:szCs w:val="21"/>
        </w:rPr>
        <w:t>赎回金额的计算方式：</w:t>
      </w:r>
    </w:p>
    <w:p w:rsidR="004C06C5" w:rsidRDefault="00ED474B">
      <w:pPr>
        <w:adjustRightInd w:val="0"/>
        <w:snapToGrid w:val="0"/>
        <w:spacing w:line="360" w:lineRule="auto"/>
        <w:ind w:firstLineChars="200" w:firstLine="420"/>
        <w:rPr>
          <w:rFonts w:ascii="Arial" w:hAnsi="Arial" w:cs="Arial"/>
        </w:rPr>
      </w:pPr>
      <w:r>
        <w:rPr>
          <w:rFonts w:ascii="Arial" w:hAnsi="Arial" w:cs="Arial" w:hint="eastAsia"/>
        </w:rPr>
        <w:t>赎回总额</w:t>
      </w:r>
      <w:r>
        <w:rPr>
          <w:rFonts w:ascii="Arial" w:hAnsi="Arial" w:cs="Arial"/>
        </w:rPr>
        <w:t>=</w:t>
      </w:r>
      <w:r>
        <w:rPr>
          <w:rFonts w:ascii="Arial" w:hAnsi="Arial" w:cs="Arial" w:hint="eastAsia"/>
        </w:rPr>
        <w:t>赎回份额×</w:t>
      </w:r>
      <w:r>
        <w:rPr>
          <w:rFonts w:ascii="Arial" w:hAnsi="Arial" w:cs="Arial"/>
        </w:rPr>
        <w:t xml:space="preserve">T </w:t>
      </w:r>
      <w:r>
        <w:rPr>
          <w:rFonts w:ascii="Arial" w:hAnsi="Arial" w:cs="Arial" w:hint="eastAsia"/>
        </w:rPr>
        <w:t>日该类基金份额净值</w:t>
      </w:r>
    </w:p>
    <w:p w:rsidR="004C06C5" w:rsidRDefault="00ED474B">
      <w:pPr>
        <w:adjustRightInd w:val="0"/>
        <w:snapToGrid w:val="0"/>
        <w:spacing w:line="360" w:lineRule="auto"/>
        <w:ind w:firstLineChars="200" w:firstLine="420"/>
        <w:rPr>
          <w:rFonts w:ascii="Arial" w:hAnsi="Arial" w:cs="Arial"/>
        </w:rPr>
      </w:pPr>
      <w:r>
        <w:rPr>
          <w:rFonts w:ascii="Arial" w:hAnsi="Arial" w:cs="Arial" w:hint="eastAsia"/>
        </w:rPr>
        <w:t>赎回费用</w:t>
      </w:r>
      <w:r>
        <w:rPr>
          <w:rFonts w:ascii="Arial" w:hAnsi="Arial" w:cs="Arial"/>
        </w:rPr>
        <w:t>=</w:t>
      </w:r>
      <w:r>
        <w:rPr>
          <w:rFonts w:ascii="Arial" w:hAnsi="Arial" w:cs="Arial" w:hint="eastAsia"/>
        </w:rPr>
        <w:t>赎回总额×赎回费率</w:t>
      </w:r>
    </w:p>
    <w:p w:rsidR="004C06C5" w:rsidRDefault="00ED474B">
      <w:pPr>
        <w:adjustRightInd w:val="0"/>
        <w:snapToGrid w:val="0"/>
        <w:spacing w:line="360" w:lineRule="auto"/>
        <w:ind w:firstLineChars="200" w:firstLine="420"/>
        <w:rPr>
          <w:rFonts w:ascii="Arial" w:hAnsi="Arial" w:cs="Arial"/>
        </w:rPr>
      </w:pPr>
      <w:r>
        <w:rPr>
          <w:rFonts w:ascii="Arial" w:hAnsi="Arial" w:cs="Arial" w:hint="eastAsia"/>
        </w:rPr>
        <w:t>赎回金额</w:t>
      </w:r>
      <w:r>
        <w:rPr>
          <w:rFonts w:ascii="Arial" w:hAnsi="Arial" w:cs="Arial"/>
        </w:rPr>
        <w:t>=</w:t>
      </w:r>
      <w:r>
        <w:rPr>
          <w:rFonts w:ascii="Arial" w:hAnsi="Arial" w:cs="Arial" w:hint="eastAsia"/>
        </w:rPr>
        <w:t>赎回总额－赎回费用</w:t>
      </w:r>
    </w:p>
    <w:p w:rsidR="004C06C5" w:rsidRDefault="00ED474B">
      <w:pPr>
        <w:adjustRightInd w:val="0"/>
        <w:ind w:firstLineChars="200" w:firstLine="420"/>
        <w:rPr>
          <w:rFonts w:cs="Arial"/>
          <w:bCs/>
        </w:rPr>
      </w:pPr>
      <w:r>
        <w:rPr>
          <w:rFonts w:cs="Arial" w:hint="eastAsia"/>
          <w:bCs/>
        </w:rPr>
        <w:lastRenderedPageBreak/>
        <w:t>上述计算结果均按四舍五入方法，保留到小数点后</w:t>
      </w:r>
      <w:r>
        <w:rPr>
          <w:rFonts w:cs="Arial"/>
          <w:bCs/>
        </w:rPr>
        <w:t>2</w:t>
      </w:r>
      <w:r>
        <w:rPr>
          <w:rFonts w:cs="Arial" w:hint="eastAsia"/>
          <w:bCs/>
        </w:rPr>
        <w:t>位，由此产生的收益或损失由基金财产承担。</w:t>
      </w:r>
    </w:p>
    <w:p w:rsidR="004C06C5" w:rsidRDefault="00ED474B">
      <w:pPr>
        <w:adjustRightInd w:val="0"/>
        <w:snapToGrid w:val="0"/>
        <w:spacing w:line="360" w:lineRule="auto"/>
        <w:ind w:firstLineChars="200" w:firstLine="420"/>
        <w:rPr>
          <w:rFonts w:ascii="Arial" w:hAnsi="Arial" w:cs="Arial"/>
        </w:rPr>
      </w:pPr>
      <w:r>
        <w:rPr>
          <w:rFonts w:ascii="Arial" w:hAnsi="Arial" w:cs="Arial" w:hint="eastAsia"/>
        </w:rPr>
        <w:t>例：某投资者赎回</w:t>
      </w:r>
      <w:r>
        <w:rPr>
          <w:rFonts w:ascii="Arial" w:hAnsi="Arial" w:cs="Arial"/>
        </w:rPr>
        <w:t xml:space="preserve">10,000 </w:t>
      </w:r>
      <w:r>
        <w:rPr>
          <w:rFonts w:ascii="Arial" w:hAnsi="Arial" w:cs="Arial" w:hint="eastAsia"/>
        </w:rPr>
        <w:t>份</w:t>
      </w:r>
      <w:r>
        <w:rPr>
          <w:rFonts w:ascii="Arial" w:hAnsi="Arial" w:cs="Arial" w:hint="eastAsia"/>
        </w:rPr>
        <w:t>A</w:t>
      </w:r>
      <w:r>
        <w:rPr>
          <w:rFonts w:ascii="Arial" w:hAnsi="Arial" w:cs="Arial" w:hint="eastAsia"/>
        </w:rPr>
        <w:t>类基金份额且持有时间不满</w:t>
      </w:r>
      <w:r>
        <w:rPr>
          <w:rFonts w:ascii="Arial" w:hAnsi="Arial" w:cs="Arial" w:hint="eastAsia"/>
        </w:rPr>
        <w:t>30</w:t>
      </w:r>
      <w:r>
        <w:rPr>
          <w:rFonts w:ascii="Arial" w:hAnsi="Arial" w:cs="Arial" w:hint="eastAsia"/>
        </w:rPr>
        <w:t>日，假设赎回申请当日</w:t>
      </w:r>
      <w:r>
        <w:rPr>
          <w:rFonts w:ascii="Arial" w:hAnsi="Arial" w:cs="Arial" w:hint="eastAsia"/>
        </w:rPr>
        <w:t>A</w:t>
      </w:r>
      <w:r>
        <w:rPr>
          <w:rFonts w:ascii="Arial" w:hAnsi="Arial" w:cs="Arial" w:hint="eastAsia"/>
        </w:rPr>
        <w:t>类基金份额净值是</w:t>
      </w:r>
      <w:r>
        <w:rPr>
          <w:rFonts w:ascii="Arial" w:hAnsi="Arial" w:cs="Arial"/>
        </w:rPr>
        <w:t xml:space="preserve">1.068 </w:t>
      </w:r>
      <w:r>
        <w:rPr>
          <w:rFonts w:ascii="Arial" w:hAnsi="Arial" w:cs="Arial" w:hint="eastAsia"/>
        </w:rPr>
        <w:t>元，赎回费率为</w:t>
      </w:r>
      <w:r>
        <w:rPr>
          <w:rFonts w:ascii="Arial" w:hAnsi="Arial" w:cs="Arial" w:hint="eastAsia"/>
        </w:rPr>
        <w:t>0</w:t>
      </w:r>
      <w:r>
        <w:rPr>
          <w:rFonts w:ascii="Arial" w:hAnsi="Arial" w:cs="Arial"/>
        </w:rPr>
        <w:t>.75%</w:t>
      </w:r>
      <w:r>
        <w:rPr>
          <w:rFonts w:ascii="Arial" w:hAnsi="Arial" w:cs="Arial" w:hint="eastAsia"/>
        </w:rPr>
        <w:t>，则可得到的赎回金额为：</w:t>
      </w:r>
    </w:p>
    <w:p w:rsidR="004C06C5" w:rsidRDefault="00ED474B">
      <w:pPr>
        <w:adjustRightInd w:val="0"/>
        <w:snapToGrid w:val="0"/>
        <w:spacing w:line="360" w:lineRule="auto"/>
        <w:ind w:firstLineChars="200" w:firstLine="420"/>
        <w:rPr>
          <w:rFonts w:ascii="Arial" w:hAnsi="Arial" w:cs="Arial"/>
        </w:rPr>
      </w:pPr>
      <w:r>
        <w:rPr>
          <w:rFonts w:ascii="Arial" w:hAnsi="Arial" w:cs="Arial" w:hint="eastAsia"/>
        </w:rPr>
        <w:t>赎回总额</w:t>
      </w:r>
      <w:r>
        <w:rPr>
          <w:rFonts w:ascii="Arial" w:hAnsi="Arial" w:cs="Arial"/>
        </w:rPr>
        <w:t xml:space="preserve"> = 10,000 </w:t>
      </w:r>
      <w:r>
        <w:rPr>
          <w:rFonts w:ascii="Arial" w:hAnsi="Arial" w:cs="Arial" w:hint="eastAsia"/>
        </w:rPr>
        <w:t>×</w:t>
      </w:r>
      <w:r>
        <w:rPr>
          <w:rFonts w:ascii="Arial" w:hAnsi="Arial" w:cs="Arial"/>
        </w:rPr>
        <w:t xml:space="preserve">1.068= 10,680.00 </w:t>
      </w:r>
      <w:r>
        <w:rPr>
          <w:rFonts w:ascii="Arial" w:hAnsi="Arial" w:cs="Arial" w:hint="eastAsia"/>
        </w:rPr>
        <w:t>元</w:t>
      </w:r>
    </w:p>
    <w:p w:rsidR="004C06C5" w:rsidRDefault="00ED474B">
      <w:pPr>
        <w:adjustRightInd w:val="0"/>
        <w:snapToGrid w:val="0"/>
        <w:spacing w:line="360" w:lineRule="auto"/>
        <w:ind w:firstLineChars="200" w:firstLine="420"/>
        <w:rPr>
          <w:rFonts w:ascii="Arial" w:hAnsi="Arial" w:cs="Arial"/>
        </w:rPr>
      </w:pPr>
      <w:r>
        <w:rPr>
          <w:rFonts w:ascii="Arial" w:hAnsi="Arial" w:cs="Arial" w:hint="eastAsia"/>
        </w:rPr>
        <w:t>赎回费用</w:t>
      </w:r>
      <w:r>
        <w:rPr>
          <w:rFonts w:ascii="Arial" w:hAnsi="Arial" w:cs="Arial"/>
        </w:rPr>
        <w:t xml:space="preserve"> = 10,680.00 </w:t>
      </w:r>
      <w:r>
        <w:rPr>
          <w:rFonts w:ascii="Arial" w:hAnsi="Arial" w:cs="Arial" w:hint="eastAsia"/>
        </w:rPr>
        <w:t>×</w:t>
      </w:r>
      <w:r>
        <w:rPr>
          <w:rFonts w:ascii="Arial" w:hAnsi="Arial" w:cs="Arial" w:hint="eastAsia"/>
        </w:rPr>
        <w:t>0</w:t>
      </w:r>
      <w:r>
        <w:rPr>
          <w:rFonts w:ascii="Arial" w:hAnsi="Arial" w:cs="Arial"/>
        </w:rPr>
        <w:t>.75% = 80.10</w:t>
      </w:r>
      <w:r>
        <w:rPr>
          <w:rFonts w:ascii="Arial" w:hAnsi="Arial" w:cs="Arial" w:hint="eastAsia"/>
        </w:rPr>
        <w:t>元</w:t>
      </w:r>
    </w:p>
    <w:p w:rsidR="004C06C5" w:rsidRDefault="00ED474B">
      <w:pPr>
        <w:adjustRightInd w:val="0"/>
        <w:snapToGrid w:val="0"/>
        <w:spacing w:line="360" w:lineRule="auto"/>
        <w:ind w:firstLineChars="200" w:firstLine="420"/>
        <w:rPr>
          <w:rFonts w:ascii="Arial" w:hAnsi="Arial" w:cs="Arial"/>
        </w:rPr>
      </w:pPr>
      <w:r>
        <w:rPr>
          <w:rFonts w:ascii="Arial" w:hAnsi="Arial" w:cs="Arial" w:hint="eastAsia"/>
        </w:rPr>
        <w:t>赎回金额</w:t>
      </w:r>
      <w:r>
        <w:rPr>
          <w:rFonts w:ascii="Arial" w:hAnsi="Arial" w:cs="Arial"/>
        </w:rPr>
        <w:t xml:space="preserve"> = 10,680.00 –</w:t>
      </w:r>
      <w:r>
        <w:rPr>
          <w:rFonts w:ascii="Arial" w:hAnsi="Arial" w:cs="Arial" w:hint="eastAsia"/>
        </w:rPr>
        <w:t xml:space="preserve"> </w:t>
      </w:r>
      <w:r>
        <w:rPr>
          <w:rFonts w:ascii="Arial" w:hAnsi="Arial" w:cs="Arial"/>
        </w:rPr>
        <w:t xml:space="preserve">80.10 = 10,599.90 </w:t>
      </w:r>
      <w:r>
        <w:rPr>
          <w:rFonts w:ascii="Arial" w:hAnsi="Arial" w:cs="Arial" w:hint="eastAsia"/>
        </w:rPr>
        <w:t>元</w:t>
      </w:r>
    </w:p>
    <w:p w:rsidR="004C06C5" w:rsidRDefault="00ED474B">
      <w:pPr>
        <w:adjustRightInd w:val="0"/>
        <w:snapToGrid w:val="0"/>
        <w:spacing w:line="360" w:lineRule="auto"/>
        <w:ind w:firstLineChars="200" w:firstLine="420"/>
        <w:rPr>
          <w:rFonts w:ascii="Arial" w:hAnsi="Arial" w:cs="Arial"/>
        </w:rPr>
      </w:pPr>
      <w:r>
        <w:rPr>
          <w:rFonts w:ascii="Arial" w:hAnsi="Arial" w:cs="Arial" w:hint="eastAsia"/>
        </w:rPr>
        <w:t>即：投资者赎回</w:t>
      </w:r>
      <w:r>
        <w:rPr>
          <w:rFonts w:ascii="Arial" w:hAnsi="Arial" w:cs="Arial"/>
        </w:rPr>
        <w:t xml:space="preserve"> 10,000 </w:t>
      </w:r>
      <w:r>
        <w:rPr>
          <w:rFonts w:ascii="Arial" w:hAnsi="Arial" w:cs="Arial" w:hint="eastAsia"/>
        </w:rPr>
        <w:t>份</w:t>
      </w:r>
      <w:r>
        <w:rPr>
          <w:rFonts w:ascii="Arial" w:hAnsi="Arial" w:cs="Arial" w:hint="eastAsia"/>
        </w:rPr>
        <w:t>A</w:t>
      </w:r>
      <w:r>
        <w:rPr>
          <w:rFonts w:ascii="Arial" w:hAnsi="Arial" w:cs="Arial" w:hint="eastAsia"/>
        </w:rPr>
        <w:t>类基金份额且持有时间不满</w:t>
      </w:r>
      <w:r>
        <w:rPr>
          <w:rFonts w:ascii="Arial" w:hAnsi="Arial" w:cs="Arial" w:hint="eastAsia"/>
        </w:rPr>
        <w:t>30</w:t>
      </w:r>
      <w:r>
        <w:rPr>
          <w:rFonts w:ascii="Arial" w:hAnsi="Arial" w:cs="Arial" w:hint="eastAsia"/>
        </w:rPr>
        <w:t>日，假设赎回当日</w:t>
      </w:r>
      <w:r>
        <w:rPr>
          <w:rFonts w:ascii="Arial" w:hAnsi="Arial" w:cs="Arial" w:hint="eastAsia"/>
        </w:rPr>
        <w:t>A</w:t>
      </w:r>
      <w:r>
        <w:rPr>
          <w:rFonts w:ascii="Arial" w:hAnsi="Arial" w:cs="Arial" w:hint="eastAsia"/>
        </w:rPr>
        <w:t>类基金份额的基金份额净值是</w:t>
      </w:r>
      <w:r>
        <w:rPr>
          <w:rFonts w:ascii="Arial" w:hAnsi="Arial" w:cs="Arial"/>
        </w:rPr>
        <w:t xml:space="preserve">1.068 </w:t>
      </w:r>
      <w:r>
        <w:rPr>
          <w:rFonts w:ascii="Arial" w:hAnsi="Arial" w:cs="Arial" w:hint="eastAsia"/>
        </w:rPr>
        <w:t>元，则其可得到的赎回金额为</w:t>
      </w:r>
      <w:r>
        <w:rPr>
          <w:rFonts w:ascii="Arial" w:hAnsi="Arial" w:cs="Arial"/>
        </w:rPr>
        <w:t xml:space="preserve">10,599.90 </w:t>
      </w:r>
      <w:r>
        <w:rPr>
          <w:rFonts w:ascii="Arial" w:hAnsi="Arial" w:cs="Arial" w:hint="eastAsia"/>
        </w:rPr>
        <w:t>元。</w:t>
      </w:r>
    </w:p>
    <w:p w:rsidR="004C06C5" w:rsidRDefault="00ED474B">
      <w:pPr>
        <w:adjustRightInd w:val="0"/>
        <w:snapToGrid w:val="0"/>
        <w:spacing w:line="360" w:lineRule="auto"/>
        <w:ind w:firstLineChars="200" w:firstLine="420"/>
        <w:rPr>
          <w:rFonts w:ascii="Arial" w:hAnsi="Arial"/>
        </w:rPr>
      </w:pPr>
      <w:r>
        <w:rPr>
          <w:rFonts w:ascii="Arial" w:hAnsi="Arial" w:cs="Arial"/>
        </w:rPr>
        <w:t>3</w:t>
      </w:r>
      <w:r>
        <w:rPr>
          <w:rFonts w:ascii="Arial" w:hAnsi="Arial" w:cs="Arial"/>
        </w:rPr>
        <w:t>、</w:t>
      </w:r>
      <w:r>
        <w:rPr>
          <w:rFonts w:ascii="Arial" w:hAnsi="Arial" w:cs="Arial"/>
          <w:bCs/>
        </w:rPr>
        <w:t>本基金</w:t>
      </w:r>
      <w:r>
        <w:rPr>
          <w:rFonts w:ascii="Arial" w:hAnsi="Arial" w:cs="Arial"/>
          <w:bCs/>
        </w:rPr>
        <w:t>A</w:t>
      </w:r>
      <w:r>
        <w:rPr>
          <w:rFonts w:ascii="Arial" w:hAnsi="Arial" w:cs="Arial"/>
          <w:bCs/>
        </w:rPr>
        <w:t>类基金份额和</w:t>
      </w:r>
      <w:r>
        <w:rPr>
          <w:rFonts w:ascii="Arial" w:hAnsi="Arial" w:cs="Arial"/>
          <w:bCs/>
        </w:rPr>
        <w:t>C</w:t>
      </w:r>
      <w:r>
        <w:rPr>
          <w:rFonts w:ascii="Arial" w:hAnsi="Arial" w:cs="Arial"/>
          <w:bCs/>
        </w:rPr>
        <w:t>类基金份额分别设置代码，分别计算和公告</w:t>
      </w:r>
      <w:r>
        <w:rPr>
          <w:rFonts w:ascii="Arial" w:hAnsi="Arial" w:cs="Arial" w:hint="eastAsia"/>
          <w:bCs/>
        </w:rPr>
        <w:t>各</w:t>
      </w:r>
      <w:r>
        <w:rPr>
          <w:rFonts w:ascii="Arial" w:hAnsi="Arial" w:cs="Arial"/>
          <w:bCs/>
        </w:rPr>
        <w:t>类基金份额净值和</w:t>
      </w:r>
      <w:r>
        <w:rPr>
          <w:rFonts w:ascii="Arial" w:hAnsi="Arial" w:cs="Arial" w:hint="eastAsia"/>
          <w:bCs/>
        </w:rPr>
        <w:t>各</w:t>
      </w:r>
      <w:r>
        <w:rPr>
          <w:rFonts w:ascii="Arial" w:hAnsi="Arial" w:cs="Arial"/>
          <w:bCs/>
        </w:rPr>
        <w:t>类基金份额累计净值</w:t>
      </w:r>
      <w:r>
        <w:rPr>
          <w:rFonts w:ascii="Arial" w:hAnsi="Arial" w:cs="Arial" w:hint="eastAsia"/>
          <w:bCs/>
        </w:rPr>
        <w:t>。</w:t>
      </w:r>
      <w:r>
        <w:rPr>
          <w:rFonts w:ascii="Arial" w:hAnsi="Arial" w:hint="eastAsia"/>
        </w:rPr>
        <w:t>本基金各类基金份额净值的计算，保留到小数点后</w:t>
      </w:r>
      <w:r>
        <w:rPr>
          <w:rFonts w:ascii="Arial" w:hAnsi="Arial" w:hint="eastAsia"/>
        </w:rPr>
        <w:t>4</w:t>
      </w:r>
      <w:r>
        <w:rPr>
          <w:rFonts w:ascii="Arial" w:hAnsi="Arial" w:hint="eastAsia"/>
        </w:rPr>
        <w:t>位，小数点后第</w:t>
      </w:r>
      <w:r>
        <w:rPr>
          <w:rFonts w:ascii="Arial" w:hAnsi="Arial" w:hint="eastAsia"/>
        </w:rPr>
        <w:t>5</w:t>
      </w:r>
      <w:r>
        <w:rPr>
          <w:rFonts w:ascii="Arial" w:hAnsi="Arial" w:hint="eastAsia"/>
        </w:rPr>
        <w:t>位四舍五入，由此产生的收益或损失由基金财产承担。</w:t>
      </w:r>
      <w:r>
        <w:rPr>
          <w:rFonts w:ascii="Arial" w:hAnsi="Arial" w:hint="eastAsia"/>
        </w:rPr>
        <w:t>T</w:t>
      </w:r>
      <w:r>
        <w:rPr>
          <w:rFonts w:ascii="Arial" w:hAnsi="Arial" w:hint="eastAsia"/>
        </w:rPr>
        <w:t>日的基金份额净值在当天收市后计算，并在</w:t>
      </w:r>
      <w:r>
        <w:rPr>
          <w:rFonts w:ascii="Arial" w:hAnsi="Arial" w:hint="eastAsia"/>
        </w:rPr>
        <w:t>T+1</w:t>
      </w:r>
      <w:r>
        <w:rPr>
          <w:rFonts w:ascii="Arial" w:hAnsi="Arial" w:hint="eastAsia"/>
        </w:rPr>
        <w:t>日内公告。遇特殊情况，经中国证监会同意，可以适当延迟计算或公告。</w:t>
      </w:r>
    </w:p>
    <w:p w:rsidR="004C06C5" w:rsidRDefault="00ED474B">
      <w:pPr>
        <w:autoSpaceDE w:val="0"/>
        <w:autoSpaceDN w:val="0"/>
        <w:adjustRightInd w:val="0"/>
        <w:snapToGrid w:val="0"/>
        <w:spacing w:line="360" w:lineRule="auto"/>
        <w:ind w:firstLineChars="200" w:firstLine="422"/>
        <w:rPr>
          <w:rFonts w:ascii="Arial Unicode MS" w:hAnsi="Arial Unicode MS" w:cs="Arial"/>
          <w:b/>
          <w:szCs w:val="21"/>
        </w:rPr>
      </w:pPr>
      <w:r>
        <w:rPr>
          <w:rFonts w:ascii="Arial Unicode MS" w:hAnsi="Arial Unicode MS" w:cs="Arial" w:hint="eastAsia"/>
          <w:b/>
          <w:szCs w:val="21"/>
        </w:rPr>
        <w:t>八、申购与赎回的登记</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、经基金销售机构同意，基金投资者提出的申购和赎回申请，在基金管理人规定的时间之前可以撤销。</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、投资者申购基金成功后，登记机构在</w:t>
      </w:r>
      <w:r>
        <w:rPr>
          <w:rFonts w:ascii="Arial Unicode MS" w:hAnsi="Arial Unicode MS" w:cs="Arial" w:hint="eastAsia"/>
          <w:kern w:val="0"/>
          <w:szCs w:val="21"/>
        </w:rPr>
        <w:t>T+1</w:t>
      </w:r>
      <w:r>
        <w:rPr>
          <w:rFonts w:ascii="Arial Unicode MS" w:hAnsi="Arial Unicode MS" w:cs="Arial" w:hint="eastAsia"/>
          <w:kern w:val="0"/>
          <w:szCs w:val="21"/>
        </w:rPr>
        <w:t>日为投资者登记权益并办理登记手续，投资人自</w:t>
      </w:r>
      <w:r>
        <w:rPr>
          <w:rFonts w:ascii="Arial Unicode MS" w:hAnsi="Arial Unicode MS" w:cs="Arial" w:hint="eastAsia"/>
          <w:kern w:val="0"/>
          <w:szCs w:val="21"/>
        </w:rPr>
        <w:t>T+2</w:t>
      </w:r>
      <w:r>
        <w:rPr>
          <w:rFonts w:ascii="Arial Unicode MS" w:hAnsi="Arial Unicode MS" w:cs="Arial" w:hint="eastAsia"/>
          <w:kern w:val="0"/>
          <w:szCs w:val="21"/>
        </w:rPr>
        <w:t>日（含该日）后有权赎回该部分基金份额。</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3</w:t>
      </w:r>
      <w:r>
        <w:rPr>
          <w:rFonts w:ascii="Arial Unicode MS" w:hAnsi="Arial Unicode MS" w:cs="Arial" w:hint="eastAsia"/>
          <w:kern w:val="0"/>
          <w:szCs w:val="21"/>
        </w:rPr>
        <w:t>、投资人赎回基金成功后，登记机构在</w:t>
      </w:r>
      <w:r>
        <w:rPr>
          <w:rFonts w:ascii="Arial Unicode MS" w:hAnsi="Arial Unicode MS" w:cs="Arial" w:hint="eastAsia"/>
          <w:kern w:val="0"/>
          <w:szCs w:val="21"/>
        </w:rPr>
        <w:t>T+1</w:t>
      </w:r>
      <w:r>
        <w:rPr>
          <w:rFonts w:ascii="Arial Unicode MS" w:hAnsi="Arial Unicode MS" w:cs="Arial" w:hint="eastAsia"/>
          <w:kern w:val="0"/>
          <w:szCs w:val="21"/>
        </w:rPr>
        <w:t>日为投资者办理扣除权益的登记手续。</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4</w:t>
      </w:r>
      <w:r>
        <w:rPr>
          <w:rFonts w:ascii="Arial Unicode MS" w:hAnsi="Arial Unicode MS" w:cs="Arial" w:hint="eastAsia"/>
          <w:kern w:val="0"/>
          <w:szCs w:val="21"/>
        </w:rPr>
        <w:t>、基金管理人可以在法律法规允许的范围内，对上述登记办理时间进行调整，但不得实质影响投资者的合法权益，并最迟于开始实施前依照《信息披露办法》的有关规定进行公告。</w:t>
      </w:r>
    </w:p>
    <w:p w:rsidR="004C06C5" w:rsidRDefault="00ED474B">
      <w:pPr>
        <w:adjustRightInd w:val="0"/>
        <w:snapToGrid w:val="0"/>
        <w:spacing w:line="360" w:lineRule="auto"/>
        <w:ind w:firstLineChars="200" w:firstLine="422"/>
        <w:rPr>
          <w:rFonts w:ascii="Arial Unicode MS" w:hAnsi="Arial Unicode MS"/>
          <w:b/>
          <w:bCs/>
          <w:szCs w:val="21"/>
        </w:rPr>
      </w:pPr>
      <w:r>
        <w:rPr>
          <w:rFonts w:ascii="Arial Unicode MS" w:hAnsi="Arial Unicode MS" w:hint="eastAsia"/>
          <w:b/>
          <w:bCs/>
          <w:szCs w:val="21"/>
        </w:rPr>
        <w:t>九</w:t>
      </w:r>
      <w:r>
        <w:rPr>
          <w:rFonts w:ascii="Arial Unicode MS" w:hAnsi="Arial Unicode MS"/>
          <w:b/>
          <w:bCs/>
          <w:szCs w:val="21"/>
        </w:rPr>
        <w:t>、拒绝或暂停申购的情形及处理</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发生下列情况时，基金管理人可拒绝或暂停接受投资人的申购申请：</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、因不可抗力导致基金无法正常运作。</w:t>
      </w:r>
    </w:p>
    <w:p w:rsidR="004C06C5" w:rsidRDefault="00ED474B">
      <w:pPr>
        <w:spacing w:line="360" w:lineRule="auto"/>
        <w:ind w:firstLineChars="200" w:firstLine="420"/>
        <w:rPr>
          <w:rFonts w:asciiTheme="minorEastAsia" w:eastAsiaTheme="minorEastAsia" w:hAnsiTheme="minorEastAsia"/>
          <w:szCs w:val="21"/>
        </w:rPr>
      </w:pPr>
      <w:r>
        <w:rPr>
          <w:rFonts w:asciiTheme="minorEastAsia" w:eastAsiaTheme="minorEastAsia" w:hAnsiTheme="minorEastAsia"/>
          <w:szCs w:val="21"/>
        </w:rPr>
        <w:t>2</w:t>
      </w:r>
      <w:r>
        <w:rPr>
          <w:rFonts w:asciiTheme="minorEastAsia" w:eastAsiaTheme="minorEastAsia" w:hAnsiTheme="minorEastAsia" w:hint="eastAsia"/>
          <w:szCs w:val="21"/>
        </w:rPr>
        <w:t>、发生基金合同规定的暂停基金资产估值情况时，基金管理人可暂停</w:t>
      </w:r>
      <w:r>
        <w:rPr>
          <w:rFonts w:asciiTheme="minorEastAsia" w:eastAsiaTheme="minorEastAsia" w:hAnsiTheme="minorEastAsia" w:hint="eastAsia"/>
          <w:bCs/>
          <w:szCs w:val="21"/>
        </w:rPr>
        <w:t>接受</w:t>
      </w:r>
      <w:r>
        <w:rPr>
          <w:rFonts w:asciiTheme="minorEastAsia" w:eastAsiaTheme="minorEastAsia" w:hAnsiTheme="minorEastAsia" w:hint="eastAsia"/>
          <w:szCs w:val="21"/>
        </w:rPr>
        <w:t>投资人的申购申请。</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3</w:t>
      </w:r>
      <w:r>
        <w:rPr>
          <w:rFonts w:ascii="Arial Unicode MS" w:hAnsi="Arial Unicode MS" w:cs="Arial" w:hint="eastAsia"/>
          <w:kern w:val="0"/>
          <w:szCs w:val="21"/>
        </w:rPr>
        <w:t>、证券交易所交易时间非正常停市，导致基金管理人无法计算当日基金资产净值。</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4</w:t>
      </w:r>
      <w:r>
        <w:rPr>
          <w:rFonts w:ascii="Arial Unicode MS" w:hAnsi="Arial Unicode MS" w:cs="Arial" w:hint="eastAsia"/>
          <w:kern w:val="0"/>
          <w:szCs w:val="21"/>
        </w:rPr>
        <w:t>、基金管理人认为接受某笔或某些申购申请可能会影响或损害现有基金份额持有人利益或对存量基金份额持有人利益构成潜在重大不利影响时。</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5</w:t>
      </w:r>
      <w:r>
        <w:rPr>
          <w:rFonts w:ascii="Arial Unicode MS" w:hAnsi="Arial Unicode MS" w:cs="Arial" w:hint="eastAsia"/>
          <w:kern w:val="0"/>
          <w:szCs w:val="21"/>
        </w:rPr>
        <w:t>、基金资产规模过大，使基金管理人无法找到合适的投资品种，或其他可能对基金业</w:t>
      </w:r>
      <w:r>
        <w:rPr>
          <w:rFonts w:ascii="Arial Unicode MS" w:hAnsi="Arial Unicode MS" w:cs="Arial" w:hint="eastAsia"/>
          <w:kern w:val="0"/>
          <w:szCs w:val="21"/>
        </w:rPr>
        <w:lastRenderedPageBreak/>
        <w:t>绩产生负面影响，从而损害现有基金份额持有人利益的情形。</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6</w:t>
      </w:r>
      <w:r>
        <w:rPr>
          <w:rFonts w:ascii="Arial Unicode MS" w:hAnsi="Arial Unicode MS" w:cs="Arial" w:hint="eastAsia"/>
          <w:kern w:val="0"/>
          <w:szCs w:val="21"/>
        </w:rPr>
        <w:t>、基金管理人、基金托管人、基金份额登记机构、销售机构等因异常情况导致基金销售系统、基金登记系统或基金会计系统无法正常运行。</w:t>
      </w:r>
    </w:p>
    <w:p w:rsidR="004C06C5" w:rsidRDefault="00ED474B">
      <w:pPr>
        <w:spacing w:line="480" w:lineRule="auto"/>
        <w:ind w:firstLineChars="200" w:firstLine="420"/>
        <w:rPr>
          <w:rFonts w:asciiTheme="minorEastAsia" w:eastAsiaTheme="minorEastAsia" w:hAnsiTheme="minorEastAsia"/>
          <w:bCs/>
          <w:szCs w:val="21"/>
        </w:rPr>
      </w:pPr>
      <w:r>
        <w:rPr>
          <w:rFonts w:asciiTheme="minorEastAsia" w:eastAsiaTheme="minorEastAsia" w:hAnsiTheme="minorEastAsia"/>
          <w:bCs/>
          <w:szCs w:val="21"/>
        </w:rPr>
        <w:t>7</w:t>
      </w:r>
      <w:r>
        <w:rPr>
          <w:rFonts w:asciiTheme="minorEastAsia" w:eastAsiaTheme="minorEastAsia" w:hAnsiTheme="minorEastAsia" w:hint="eastAsia"/>
          <w:bCs/>
          <w:szCs w:val="21"/>
        </w:rPr>
        <w:t>、基金管理人接受某笔或者某些申购申请有可能导致单一投资者持有基金份额的比例达到或者超过</w:t>
      </w:r>
      <w:r>
        <w:rPr>
          <w:rFonts w:asciiTheme="minorEastAsia" w:eastAsiaTheme="minorEastAsia" w:hAnsiTheme="minorEastAsia"/>
          <w:bCs/>
          <w:szCs w:val="21"/>
        </w:rPr>
        <w:t>50%</w:t>
      </w:r>
      <w:r>
        <w:rPr>
          <w:rFonts w:asciiTheme="minorEastAsia" w:eastAsiaTheme="minorEastAsia" w:hAnsiTheme="minorEastAsia" w:hint="eastAsia"/>
          <w:bCs/>
          <w:szCs w:val="21"/>
        </w:rPr>
        <w:t>，或者变相规避</w:t>
      </w:r>
      <w:r>
        <w:rPr>
          <w:rFonts w:asciiTheme="minorEastAsia" w:eastAsiaTheme="minorEastAsia" w:hAnsiTheme="minorEastAsia"/>
          <w:bCs/>
          <w:szCs w:val="21"/>
        </w:rPr>
        <w:t>50%</w:t>
      </w:r>
      <w:r>
        <w:rPr>
          <w:rFonts w:asciiTheme="minorEastAsia" w:eastAsiaTheme="minorEastAsia" w:hAnsiTheme="minorEastAsia" w:hint="eastAsia"/>
          <w:bCs/>
          <w:szCs w:val="21"/>
        </w:rPr>
        <w:t>集中度的情形时。</w:t>
      </w:r>
    </w:p>
    <w:p w:rsidR="004C06C5" w:rsidRDefault="00ED474B">
      <w:pPr>
        <w:spacing w:line="480" w:lineRule="auto"/>
        <w:ind w:firstLineChars="200" w:firstLine="420"/>
        <w:rPr>
          <w:rFonts w:asciiTheme="minorEastAsia" w:eastAsiaTheme="minorEastAsia" w:hAnsiTheme="minorEastAsia"/>
          <w:bCs/>
          <w:szCs w:val="21"/>
        </w:rPr>
      </w:pPr>
      <w:r>
        <w:rPr>
          <w:rFonts w:asciiTheme="minorEastAsia" w:eastAsiaTheme="minorEastAsia" w:hAnsiTheme="minorEastAsia"/>
          <w:bCs/>
          <w:szCs w:val="21"/>
        </w:rPr>
        <w:t>8</w:t>
      </w:r>
      <w:r>
        <w:rPr>
          <w:rFonts w:asciiTheme="minorEastAsia" w:eastAsiaTheme="minorEastAsia" w:hAnsiTheme="minorEastAsia" w:hint="eastAsia"/>
          <w:bCs/>
          <w:szCs w:val="21"/>
        </w:rPr>
        <w:t>、当前一估值日基金资产净值</w:t>
      </w:r>
      <w:r>
        <w:rPr>
          <w:rFonts w:asciiTheme="minorEastAsia" w:eastAsiaTheme="minorEastAsia" w:hAnsiTheme="minorEastAsia"/>
          <w:bCs/>
          <w:szCs w:val="21"/>
        </w:rPr>
        <w:t>50%</w:t>
      </w:r>
      <w:r>
        <w:rPr>
          <w:rFonts w:asciiTheme="minorEastAsia" w:eastAsiaTheme="minorEastAsia" w:hAnsiTheme="minorEastAsia" w:hint="eastAsia"/>
          <w:bCs/>
          <w:szCs w:val="21"/>
        </w:rPr>
        <w:t>以上的资产出现无可参考的活跃市场价格且采用估值技术</w:t>
      </w:r>
      <w:proofErr w:type="gramStart"/>
      <w:r>
        <w:rPr>
          <w:rFonts w:asciiTheme="minorEastAsia" w:eastAsiaTheme="minorEastAsia" w:hAnsiTheme="minorEastAsia" w:hint="eastAsia"/>
          <w:bCs/>
          <w:szCs w:val="21"/>
        </w:rPr>
        <w:t>仍导致</w:t>
      </w:r>
      <w:proofErr w:type="gramEnd"/>
      <w:r>
        <w:rPr>
          <w:rFonts w:asciiTheme="minorEastAsia" w:eastAsiaTheme="minorEastAsia" w:hAnsiTheme="minorEastAsia" w:hint="eastAsia"/>
          <w:bCs/>
          <w:szCs w:val="21"/>
        </w:rPr>
        <w:t>公允价值存在重大不确定性时，经与基金托管人协商确认后，基金管理人应当采取延缓支付赎回款项或暂停接受基金申购赎回申请的措施。</w:t>
      </w:r>
    </w:p>
    <w:p w:rsidR="004C06C5" w:rsidRDefault="00ED474B">
      <w:pPr>
        <w:spacing w:line="480" w:lineRule="auto"/>
        <w:ind w:firstLineChars="200" w:firstLine="420"/>
        <w:rPr>
          <w:rFonts w:asciiTheme="minorEastAsia" w:eastAsiaTheme="minorEastAsia" w:hAnsiTheme="minorEastAsia"/>
          <w:bCs/>
          <w:szCs w:val="21"/>
        </w:rPr>
      </w:pPr>
      <w:r>
        <w:rPr>
          <w:rFonts w:asciiTheme="minorEastAsia" w:eastAsiaTheme="minorEastAsia" w:hAnsiTheme="minorEastAsia"/>
          <w:bCs/>
          <w:szCs w:val="21"/>
        </w:rPr>
        <w:t>9</w:t>
      </w:r>
      <w:r>
        <w:rPr>
          <w:rFonts w:asciiTheme="minorEastAsia" w:eastAsiaTheme="minorEastAsia" w:hAnsiTheme="minorEastAsia" w:hint="eastAsia"/>
          <w:bCs/>
          <w:szCs w:val="21"/>
        </w:rPr>
        <w:t>、法律法规规定或中国证监会认定的其他情形。</w:t>
      </w:r>
    </w:p>
    <w:p w:rsidR="004C06C5" w:rsidRDefault="00ED474B">
      <w:pPr>
        <w:spacing w:line="480" w:lineRule="auto"/>
        <w:ind w:firstLineChars="200" w:firstLine="420"/>
        <w:rPr>
          <w:rFonts w:asciiTheme="minorEastAsia" w:eastAsiaTheme="minorEastAsia" w:hAnsiTheme="minorEastAsia"/>
          <w:bCs/>
          <w:szCs w:val="21"/>
        </w:rPr>
      </w:pPr>
      <w:r>
        <w:rPr>
          <w:rFonts w:asciiTheme="minorEastAsia" w:eastAsiaTheme="minorEastAsia" w:hAnsiTheme="minorEastAsia" w:hint="eastAsia"/>
          <w:bCs/>
          <w:szCs w:val="21"/>
        </w:rPr>
        <w:t>发生上述第</w:t>
      </w:r>
      <w:r>
        <w:rPr>
          <w:rFonts w:asciiTheme="minorEastAsia" w:eastAsiaTheme="minorEastAsia" w:hAnsiTheme="minorEastAsia"/>
          <w:bCs/>
          <w:szCs w:val="21"/>
        </w:rPr>
        <w:t>1</w:t>
      </w:r>
      <w:r>
        <w:rPr>
          <w:rFonts w:asciiTheme="minorEastAsia" w:eastAsiaTheme="minorEastAsia" w:hAnsiTheme="minorEastAsia" w:hint="eastAsia"/>
          <w:bCs/>
          <w:szCs w:val="21"/>
        </w:rPr>
        <w:t>、</w:t>
      </w:r>
      <w:r>
        <w:rPr>
          <w:rFonts w:asciiTheme="minorEastAsia" w:eastAsiaTheme="minorEastAsia" w:hAnsiTheme="minorEastAsia"/>
          <w:bCs/>
          <w:szCs w:val="21"/>
        </w:rPr>
        <w:t>2</w:t>
      </w:r>
      <w:r>
        <w:rPr>
          <w:rFonts w:asciiTheme="minorEastAsia" w:eastAsiaTheme="minorEastAsia" w:hAnsiTheme="minorEastAsia" w:hint="eastAsia"/>
          <w:bCs/>
          <w:szCs w:val="21"/>
        </w:rPr>
        <w:t>、</w:t>
      </w:r>
      <w:r>
        <w:rPr>
          <w:rFonts w:asciiTheme="minorEastAsia" w:eastAsiaTheme="minorEastAsia" w:hAnsiTheme="minorEastAsia"/>
          <w:bCs/>
          <w:szCs w:val="21"/>
        </w:rPr>
        <w:t>3</w:t>
      </w:r>
      <w:r>
        <w:rPr>
          <w:rFonts w:asciiTheme="minorEastAsia" w:eastAsiaTheme="minorEastAsia" w:hAnsiTheme="minorEastAsia" w:hint="eastAsia"/>
          <w:bCs/>
          <w:szCs w:val="21"/>
        </w:rPr>
        <w:t>、</w:t>
      </w:r>
      <w:r>
        <w:rPr>
          <w:rFonts w:asciiTheme="minorEastAsia" w:eastAsiaTheme="minorEastAsia" w:hAnsiTheme="minorEastAsia"/>
          <w:bCs/>
          <w:szCs w:val="21"/>
        </w:rPr>
        <w:t>5</w:t>
      </w:r>
      <w:r>
        <w:rPr>
          <w:rFonts w:asciiTheme="minorEastAsia" w:eastAsiaTheme="minorEastAsia" w:hAnsiTheme="minorEastAsia" w:hint="eastAsia"/>
          <w:bCs/>
          <w:szCs w:val="21"/>
        </w:rPr>
        <w:t>、</w:t>
      </w:r>
      <w:r>
        <w:rPr>
          <w:rFonts w:asciiTheme="minorEastAsia" w:eastAsiaTheme="minorEastAsia" w:hAnsiTheme="minorEastAsia"/>
          <w:bCs/>
          <w:szCs w:val="21"/>
        </w:rPr>
        <w:t>6</w:t>
      </w:r>
      <w:r>
        <w:rPr>
          <w:rFonts w:asciiTheme="minorEastAsia" w:eastAsiaTheme="minorEastAsia" w:hAnsiTheme="minorEastAsia" w:hint="eastAsia"/>
          <w:bCs/>
          <w:szCs w:val="21"/>
        </w:rPr>
        <w:t>、</w:t>
      </w:r>
      <w:r>
        <w:rPr>
          <w:rFonts w:asciiTheme="minorEastAsia" w:eastAsiaTheme="minorEastAsia" w:hAnsiTheme="minorEastAsia"/>
          <w:bCs/>
          <w:szCs w:val="21"/>
        </w:rPr>
        <w:t>8</w:t>
      </w:r>
      <w:r>
        <w:rPr>
          <w:rFonts w:asciiTheme="minorEastAsia" w:eastAsiaTheme="minorEastAsia" w:hAnsiTheme="minorEastAsia" w:hint="eastAsia"/>
          <w:bCs/>
          <w:szCs w:val="21"/>
        </w:rPr>
        <w:t>、</w:t>
      </w:r>
      <w:r>
        <w:rPr>
          <w:rFonts w:asciiTheme="minorEastAsia" w:eastAsiaTheme="minorEastAsia" w:hAnsiTheme="minorEastAsia"/>
          <w:bCs/>
          <w:szCs w:val="21"/>
        </w:rPr>
        <w:t>9</w:t>
      </w:r>
      <w:r>
        <w:rPr>
          <w:rFonts w:asciiTheme="minorEastAsia" w:eastAsiaTheme="minorEastAsia" w:hAnsiTheme="minorEastAsia" w:hint="eastAsia"/>
          <w:bCs/>
          <w:szCs w:val="21"/>
        </w:rPr>
        <w:t>项暂停申购情形之一</w:t>
      </w:r>
      <w:proofErr w:type="gramStart"/>
      <w:r>
        <w:rPr>
          <w:rFonts w:asciiTheme="minorEastAsia" w:eastAsiaTheme="minorEastAsia" w:hAnsiTheme="minorEastAsia" w:hint="eastAsia"/>
          <w:bCs/>
          <w:szCs w:val="21"/>
        </w:rPr>
        <w:t>且基金</w:t>
      </w:r>
      <w:proofErr w:type="gramEnd"/>
      <w:r>
        <w:rPr>
          <w:rFonts w:asciiTheme="minorEastAsia" w:eastAsiaTheme="minorEastAsia" w:hAnsiTheme="minorEastAsia" w:hint="eastAsia"/>
          <w:bCs/>
          <w:szCs w:val="21"/>
        </w:rPr>
        <w:t>管理人决定暂停接受投资人的申购申请时，基金管理人应当根据有关规定在指定媒介上刊登暂停申购公告。如果投资人的申购申请被拒绝，被拒绝的申购款项将退还给投资人。在暂停申购的情况消除时，基金管理人应及时恢复申购业务的办理。</w:t>
      </w:r>
    </w:p>
    <w:p w:rsidR="004C06C5" w:rsidRDefault="00ED474B">
      <w:pPr>
        <w:adjustRightInd w:val="0"/>
        <w:snapToGrid w:val="0"/>
        <w:spacing w:line="360" w:lineRule="auto"/>
        <w:ind w:firstLineChars="200" w:firstLine="422"/>
        <w:rPr>
          <w:rFonts w:ascii="Arial Unicode MS" w:hAnsi="Arial Unicode MS" w:cs="Arial"/>
          <w:b/>
          <w:bCs/>
          <w:szCs w:val="21"/>
          <w:lang w:val="zh-CN"/>
        </w:rPr>
      </w:pPr>
      <w:bookmarkStart w:id="55" w:name="_Hlt70481650"/>
      <w:bookmarkEnd w:id="55"/>
      <w:r>
        <w:rPr>
          <w:rFonts w:ascii="Arial Unicode MS" w:hAnsi="Arial Unicode MS" w:hint="eastAsia"/>
          <w:b/>
          <w:bCs/>
          <w:szCs w:val="21"/>
        </w:rPr>
        <w:t>十</w:t>
      </w:r>
      <w:r>
        <w:rPr>
          <w:rFonts w:ascii="Arial Unicode MS" w:hAnsi="Arial Unicode MS"/>
          <w:b/>
          <w:bCs/>
          <w:szCs w:val="21"/>
        </w:rPr>
        <w:t>、</w:t>
      </w:r>
      <w:r>
        <w:rPr>
          <w:rFonts w:ascii="Arial Unicode MS" w:hAnsi="Arial Unicode MS" w:hint="eastAsia"/>
          <w:b/>
          <w:bCs/>
          <w:szCs w:val="21"/>
        </w:rPr>
        <w:t>暂停赎回或延缓支付赎回款项的情形</w:t>
      </w:r>
      <w:r>
        <w:rPr>
          <w:rFonts w:ascii="Arial Unicode MS" w:hAnsi="Arial Unicode MS" w:hint="eastAsia"/>
          <w:b/>
          <w:bCs/>
          <w:szCs w:val="21"/>
        </w:rPr>
        <w:t xml:space="preserve"> </w:t>
      </w:r>
      <w:r>
        <w:rPr>
          <w:rFonts w:ascii="Arial Unicode MS" w:hAnsi="Arial Unicode MS" w:cs="Arial" w:hint="eastAsia"/>
          <w:b/>
          <w:bCs/>
          <w:szCs w:val="21"/>
        </w:rPr>
        <w:t xml:space="preserve"> </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发生下列情形时，基金管理人可暂停接受投资人的赎回申请或延缓支付赎回款项：</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1</w:t>
      </w:r>
      <w:r>
        <w:rPr>
          <w:rFonts w:ascii="Arial Unicode MS" w:hAnsi="Arial Unicode MS" w:cs="Arial" w:hint="eastAsia"/>
          <w:kern w:val="0"/>
          <w:szCs w:val="21"/>
        </w:rPr>
        <w:t>、</w:t>
      </w:r>
      <w:r>
        <w:rPr>
          <w:rFonts w:ascii="Arial Unicode MS" w:hAnsi="Arial Unicode MS" w:cs="Arial"/>
          <w:kern w:val="0"/>
          <w:szCs w:val="21"/>
        </w:rPr>
        <w:t>因不可抗力导致基金管理人不能支付赎回款项。</w:t>
      </w:r>
    </w:p>
    <w:p w:rsidR="004C06C5" w:rsidRDefault="00ED474B">
      <w:pPr>
        <w:spacing w:line="360" w:lineRule="auto"/>
        <w:ind w:firstLineChars="200" w:firstLine="420"/>
        <w:rPr>
          <w:rFonts w:asciiTheme="minorEastAsia" w:eastAsiaTheme="minorEastAsia" w:hAnsiTheme="minorEastAsia"/>
          <w:szCs w:val="21"/>
        </w:rPr>
      </w:pPr>
      <w:r>
        <w:rPr>
          <w:rFonts w:asciiTheme="minorEastAsia" w:eastAsiaTheme="minorEastAsia" w:hAnsiTheme="minorEastAsia"/>
          <w:szCs w:val="21"/>
        </w:rPr>
        <w:t>2</w:t>
      </w:r>
      <w:r>
        <w:rPr>
          <w:rFonts w:asciiTheme="minorEastAsia" w:eastAsiaTheme="minorEastAsia" w:hAnsiTheme="minorEastAsia" w:hint="eastAsia"/>
          <w:szCs w:val="21"/>
        </w:rPr>
        <w:t>、发生基金合同规定的暂停基金资产估值情况时，基金管理人可暂停</w:t>
      </w:r>
      <w:r>
        <w:rPr>
          <w:rFonts w:asciiTheme="minorEastAsia" w:eastAsiaTheme="minorEastAsia" w:hAnsiTheme="minorEastAsia" w:hint="eastAsia"/>
          <w:bCs/>
          <w:szCs w:val="21"/>
        </w:rPr>
        <w:t>接受</w:t>
      </w:r>
      <w:r>
        <w:rPr>
          <w:rFonts w:asciiTheme="minorEastAsia" w:eastAsiaTheme="minorEastAsia" w:hAnsiTheme="minorEastAsia" w:hint="eastAsia"/>
          <w:szCs w:val="21"/>
        </w:rPr>
        <w:t>投资人的赎回申请或延缓支付赎回款项。</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3</w:t>
      </w:r>
      <w:r>
        <w:rPr>
          <w:rFonts w:ascii="Arial Unicode MS" w:hAnsi="Arial Unicode MS" w:cs="Arial" w:hint="eastAsia"/>
          <w:kern w:val="0"/>
          <w:szCs w:val="21"/>
        </w:rPr>
        <w:t>、</w:t>
      </w:r>
      <w:r>
        <w:rPr>
          <w:rFonts w:ascii="Arial Unicode MS" w:hAnsi="Arial Unicode MS" w:cs="Arial"/>
          <w:kern w:val="0"/>
          <w:szCs w:val="21"/>
        </w:rPr>
        <w:t>证券交易所交易时间非正常停市，导致基金管理人无法计算当日基金资产</w:t>
      </w:r>
      <w:bookmarkStart w:id="56" w:name="_Hlt152500890"/>
      <w:r>
        <w:rPr>
          <w:rFonts w:ascii="Arial Unicode MS" w:hAnsi="Arial Unicode MS" w:cs="Arial"/>
          <w:kern w:val="0"/>
          <w:szCs w:val="21"/>
        </w:rPr>
        <w:t>净值。</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4</w:t>
      </w:r>
      <w:r>
        <w:rPr>
          <w:rFonts w:ascii="Arial Unicode MS" w:hAnsi="Arial Unicode MS" w:cs="Arial" w:hint="eastAsia"/>
          <w:kern w:val="0"/>
          <w:szCs w:val="21"/>
        </w:rPr>
        <w:t>、</w:t>
      </w:r>
      <w:r>
        <w:rPr>
          <w:rFonts w:ascii="Arial Unicode MS" w:hAnsi="Arial Unicode MS" w:cs="Arial"/>
          <w:kern w:val="0"/>
          <w:szCs w:val="21"/>
        </w:rPr>
        <w:t>连续两个或两个以上开放日发生巨额赎回。</w:t>
      </w:r>
    </w:p>
    <w:bookmarkEnd w:id="56"/>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5</w:t>
      </w:r>
      <w:r>
        <w:rPr>
          <w:rFonts w:ascii="Arial Unicode MS" w:hAnsi="Arial Unicode MS" w:cs="Arial" w:hint="eastAsia"/>
          <w:kern w:val="0"/>
          <w:szCs w:val="21"/>
        </w:rPr>
        <w:t>、发生继续接受赎回申请将损害</w:t>
      </w:r>
      <w:r>
        <w:rPr>
          <w:rFonts w:ascii="Arial Unicode MS" w:hAnsi="Arial Unicode MS" w:cs="Arial"/>
          <w:kern w:val="0"/>
          <w:szCs w:val="21"/>
        </w:rPr>
        <w:t>现有基金份额持有人利益的情形</w:t>
      </w:r>
      <w:r>
        <w:rPr>
          <w:rFonts w:ascii="Arial Unicode MS" w:hAnsi="Arial Unicode MS" w:cs="Arial" w:hint="eastAsia"/>
          <w:kern w:val="0"/>
          <w:szCs w:val="21"/>
        </w:rPr>
        <w:t>时。</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6</w:t>
      </w:r>
      <w:r>
        <w:rPr>
          <w:rFonts w:ascii="Arial Unicode MS" w:hAnsi="Arial Unicode MS" w:cs="Arial" w:hint="eastAsia"/>
          <w:kern w:val="0"/>
          <w:szCs w:val="21"/>
        </w:rPr>
        <w:t>、当前一估值日基金资产净值</w:t>
      </w:r>
      <w:r>
        <w:rPr>
          <w:rFonts w:ascii="Arial Unicode MS" w:hAnsi="Arial Unicode MS" w:cs="Arial" w:hint="eastAsia"/>
          <w:kern w:val="0"/>
          <w:szCs w:val="21"/>
        </w:rPr>
        <w:t>50%</w:t>
      </w:r>
      <w:r>
        <w:rPr>
          <w:rFonts w:ascii="Arial Unicode MS" w:hAnsi="Arial Unicode MS" w:cs="Arial" w:hint="eastAsia"/>
          <w:kern w:val="0"/>
          <w:szCs w:val="21"/>
        </w:rPr>
        <w:t>以上的资产出现无可参考的活跃市场价格且采用估值技术</w:t>
      </w:r>
      <w:proofErr w:type="gramStart"/>
      <w:r>
        <w:rPr>
          <w:rFonts w:ascii="Arial Unicode MS" w:hAnsi="Arial Unicode MS" w:cs="Arial" w:hint="eastAsia"/>
          <w:kern w:val="0"/>
          <w:szCs w:val="21"/>
        </w:rPr>
        <w:t>仍导致</w:t>
      </w:r>
      <w:proofErr w:type="gramEnd"/>
      <w:r>
        <w:rPr>
          <w:rFonts w:ascii="Arial Unicode MS" w:hAnsi="Arial Unicode MS" w:cs="Arial" w:hint="eastAsia"/>
          <w:kern w:val="0"/>
          <w:szCs w:val="21"/>
        </w:rPr>
        <w:t>公允价值存在重大不确定性时，经与基金托管人协商确认后，基金管理人暂停基金估值并采取延缓支付赎回款项或暂停接受基金赎回申请的措施。</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7</w:t>
      </w:r>
      <w:r>
        <w:rPr>
          <w:rFonts w:ascii="Arial Unicode MS" w:hAnsi="Arial Unicode MS" w:cs="Arial" w:hint="eastAsia"/>
          <w:kern w:val="0"/>
          <w:szCs w:val="21"/>
        </w:rPr>
        <w:t>、</w:t>
      </w:r>
      <w:r>
        <w:rPr>
          <w:rFonts w:ascii="Arial Unicode MS" w:hAnsi="Arial Unicode MS" w:cs="Arial"/>
          <w:kern w:val="0"/>
          <w:szCs w:val="21"/>
        </w:rPr>
        <w:t>法律法规规定或中国证监会认定的其他情形。</w:t>
      </w:r>
    </w:p>
    <w:p w:rsidR="004C06C5" w:rsidRDefault="00ED474B">
      <w:pPr>
        <w:spacing w:line="480" w:lineRule="auto"/>
        <w:ind w:firstLineChars="200" w:firstLine="420"/>
        <w:rPr>
          <w:rFonts w:asciiTheme="minorEastAsia" w:eastAsiaTheme="minorEastAsia" w:hAnsiTheme="minorEastAsia"/>
          <w:bCs/>
          <w:szCs w:val="21"/>
        </w:rPr>
      </w:pPr>
      <w:r>
        <w:rPr>
          <w:rFonts w:asciiTheme="minorEastAsia" w:eastAsiaTheme="minorEastAsia" w:hAnsiTheme="minorEastAsia" w:hint="eastAsia"/>
          <w:bCs/>
          <w:szCs w:val="21"/>
        </w:rPr>
        <w:t>发生上述情形之一</w:t>
      </w:r>
      <w:proofErr w:type="gramStart"/>
      <w:r>
        <w:rPr>
          <w:rFonts w:asciiTheme="minorEastAsia" w:eastAsiaTheme="minorEastAsia" w:hAnsiTheme="minorEastAsia" w:hint="eastAsia"/>
          <w:bCs/>
          <w:szCs w:val="21"/>
        </w:rPr>
        <w:t>且基金</w:t>
      </w:r>
      <w:proofErr w:type="gramEnd"/>
      <w:r>
        <w:rPr>
          <w:rFonts w:asciiTheme="minorEastAsia" w:eastAsiaTheme="minorEastAsia" w:hAnsiTheme="minorEastAsia" w:hint="eastAsia"/>
          <w:bCs/>
          <w:szCs w:val="21"/>
        </w:rPr>
        <w:t>管理人决定拒绝接受或暂停接受基金份额持有人的赎回申请时，基金管理人应在当日报中国证监会备案，已确认的赎回申请，基金管理人应足额支付；如暂时不能足额支付，应将可支付部分按单个账户申请量占申请总量的比例分配给赎回申请</w:t>
      </w:r>
      <w:r>
        <w:rPr>
          <w:rFonts w:asciiTheme="minorEastAsia" w:eastAsiaTheme="minorEastAsia" w:hAnsiTheme="minorEastAsia" w:hint="eastAsia"/>
          <w:bCs/>
          <w:szCs w:val="21"/>
        </w:rPr>
        <w:lastRenderedPageBreak/>
        <w:t>人，未支付部分可延期支付。若出现上述第</w:t>
      </w:r>
      <w:r>
        <w:rPr>
          <w:rFonts w:asciiTheme="minorEastAsia" w:eastAsiaTheme="minorEastAsia" w:hAnsiTheme="minorEastAsia"/>
          <w:bCs/>
          <w:szCs w:val="21"/>
        </w:rPr>
        <w:t>4</w:t>
      </w:r>
      <w:r>
        <w:rPr>
          <w:rFonts w:asciiTheme="minorEastAsia" w:eastAsiaTheme="minorEastAsia" w:hAnsiTheme="minorEastAsia" w:hint="eastAsia"/>
          <w:bCs/>
          <w:szCs w:val="21"/>
        </w:rPr>
        <w:t>项所述情形，按基金合同的相关条款处理。基金份额持有人在申请赎回时可事先选择将当日可能未获受理部分予以撤销。在暂停赎回的情况消除时，基金管理人应及时恢复赎回业务的办理并公告。</w:t>
      </w:r>
    </w:p>
    <w:p w:rsidR="004C06C5" w:rsidRDefault="00ED474B">
      <w:pPr>
        <w:autoSpaceDE w:val="0"/>
        <w:autoSpaceDN w:val="0"/>
        <w:adjustRightInd w:val="0"/>
        <w:spacing w:line="360" w:lineRule="auto"/>
        <w:ind w:firstLine="420"/>
        <w:jc w:val="left"/>
        <w:rPr>
          <w:rFonts w:ascii="Arial Unicode MS" w:hAnsi="Arial Unicode MS"/>
          <w:b/>
          <w:bCs/>
          <w:szCs w:val="21"/>
        </w:rPr>
      </w:pPr>
      <w:r>
        <w:rPr>
          <w:rFonts w:ascii="Arial Unicode MS" w:hAnsi="Arial Unicode MS" w:hint="eastAsia"/>
          <w:b/>
          <w:bCs/>
          <w:szCs w:val="21"/>
        </w:rPr>
        <w:t>十一、</w:t>
      </w:r>
      <w:r>
        <w:rPr>
          <w:rFonts w:ascii="Arial Unicode MS" w:hAnsi="Arial Unicode MS"/>
          <w:b/>
          <w:bCs/>
          <w:szCs w:val="21"/>
        </w:rPr>
        <w:t>巨额赎回的情形及处理方式</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、巨额赎回的认定</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若本基金单个开放日内的基金份额净赎回申请</w:t>
      </w:r>
      <w:r>
        <w:rPr>
          <w:rFonts w:ascii="Arial Unicode MS" w:hAnsi="Arial Unicode MS" w:cs="Arial" w:hint="eastAsia"/>
          <w:kern w:val="0"/>
          <w:szCs w:val="21"/>
        </w:rPr>
        <w:t>(</w:t>
      </w:r>
      <w:r>
        <w:rPr>
          <w:rFonts w:ascii="Arial Unicode MS" w:hAnsi="Arial Unicode MS" w:cs="Arial" w:hint="eastAsia"/>
          <w:kern w:val="0"/>
          <w:szCs w:val="21"/>
        </w:rPr>
        <w:t>赎回申请份额总数加上基金转换中转出申请份额总数后扣除申购申请份额总数及基金转换中转入申请份额总数后的余额</w:t>
      </w:r>
      <w:r>
        <w:rPr>
          <w:rFonts w:ascii="Arial Unicode MS" w:hAnsi="Arial Unicode MS" w:cs="Arial" w:hint="eastAsia"/>
          <w:kern w:val="0"/>
          <w:szCs w:val="21"/>
        </w:rPr>
        <w:t>)</w:t>
      </w:r>
      <w:r>
        <w:rPr>
          <w:rFonts w:ascii="Arial Unicode MS" w:hAnsi="Arial Unicode MS" w:cs="Arial" w:hint="eastAsia"/>
          <w:kern w:val="0"/>
          <w:szCs w:val="21"/>
        </w:rPr>
        <w:t>超过前一开放日的基金总份额的</w:t>
      </w:r>
      <w:r>
        <w:rPr>
          <w:rFonts w:ascii="Arial Unicode MS" w:hAnsi="Arial Unicode MS" w:cs="Arial" w:hint="eastAsia"/>
          <w:kern w:val="0"/>
          <w:szCs w:val="21"/>
        </w:rPr>
        <w:t>10%</w:t>
      </w:r>
      <w:r>
        <w:rPr>
          <w:rFonts w:ascii="Arial Unicode MS" w:hAnsi="Arial Unicode MS" w:cs="Arial" w:hint="eastAsia"/>
          <w:kern w:val="0"/>
          <w:szCs w:val="21"/>
        </w:rPr>
        <w:t>，即认为是发生了巨额赎回。</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、巨额赎回的处理方式</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当基金出现巨额赎回时，基金管理人可以根据基金当时的资产组合状况决定全额赎回或部分延期赎回。</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hint="eastAsia"/>
          <w:kern w:val="0"/>
          <w:szCs w:val="21"/>
        </w:rPr>
        <w:t>）全额赎回：当基金管理人认为有能力支付投资人的全部赎回申请时，按正常赎回程序执行。</w:t>
      </w:r>
      <w:r>
        <w:rPr>
          <w:rFonts w:ascii="Arial Unicode MS" w:hAnsi="Arial Unicode MS" w:cs="Arial" w:hint="eastAsia"/>
          <w:kern w:val="0"/>
          <w:szCs w:val="21"/>
        </w:rPr>
        <w:t xml:space="preserve"> </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w:t>
      </w:r>
      <w:r>
        <w:rPr>
          <w:rFonts w:ascii="Arial Unicode MS" w:hAnsi="Arial Unicode MS" w:cs="Arial" w:hint="eastAsia"/>
          <w:kern w:val="0"/>
          <w:szCs w:val="21"/>
        </w:rPr>
        <w:t>10%</w:t>
      </w:r>
      <w:r>
        <w:rPr>
          <w:rFonts w:ascii="Arial Unicode MS" w:hAnsi="Arial Unicode MS" w:cs="Arial" w:hint="eastAsia"/>
          <w:kern w:val="0"/>
          <w:szCs w:val="21"/>
        </w:rPr>
        <w:t>的前提下，可对其余赎回申请延期办理。</w:t>
      </w:r>
      <w:r>
        <w:rPr>
          <w:rFonts w:asciiTheme="minorEastAsia" w:eastAsiaTheme="minorEastAsia" w:hAnsiTheme="minorEastAsia" w:hint="eastAsia"/>
          <w:bCs/>
          <w:szCs w:val="21"/>
        </w:rPr>
        <w:t>若进行上述延期办理，对于单个基金份额持有人当日赎回申请超过上一开放日基金总份额</w:t>
      </w:r>
      <w:r>
        <w:rPr>
          <w:rFonts w:asciiTheme="minorEastAsia" w:eastAsiaTheme="minorEastAsia" w:hAnsiTheme="minorEastAsia"/>
          <w:bCs/>
          <w:szCs w:val="21"/>
        </w:rPr>
        <w:t>50%</w:t>
      </w:r>
      <w:r>
        <w:rPr>
          <w:rFonts w:asciiTheme="minorEastAsia" w:eastAsiaTheme="minorEastAsia" w:hAnsiTheme="minorEastAsia" w:hint="eastAsia"/>
          <w:bCs/>
          <w:szCs w:val="21"/>
        </w:rPr>
        <w:t>以上的部分，将自动进行延期办理。对于其余当日非自动延期办理的赎回申请，应当按单个账户非自动延期办理的赎回申请量占非自动延期办理的赎回申请总量的比例，确定当日受理的赎回份额；</w:t>
      </w:r>
      <w:r>
        <w:rPr>
          <w:rFonts w:ascii="Arial Unicode MS" w:hAnsi="Arial Unicode MS" w:cs="Arial" w:hint="eastAsia"/>
          <w:kern w:val="0"/>
          <w:szCs w:val="21"/>
        </w:rPr>
        <w:t>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w:t>
      </w:r>
      <w:proofErr w:type="gramStart"/>
      <w:r>
        <w:rPr>
          <w:rFonts w:ascii="Arial Unicode MS" w:hAnsi="Arial Unicode MS" w:cs="Arial" w:hint="eastAsia"/>
          <w:kern w:val="0"/>
          <w:szCs w:val="21"/>
        </w:rPr>
        <w:t>并以下</w:t>
      </w:r>
      <w:proofErr w:type="gramEnd"/>
      <w:r>
        <w:rPr>
          <w:rFonts w:ascii="Arial Unicode MS" w:hAnsi="Arial Unicode MS" w:cs="Arial" w:hint="eastAsia"/>
          <w:kern w:val="0"/>
          <w:szCs w:val="21"/>
        </w:rPr>
        <w:t>一开放日的各类基金份额净值为基础计算赎回金额，以此类推，直到全部赎回为止。如投资人在提交赎回申请时未作明确选择，投资人未能赎回部分作自动延期赎回处理。部分延期赎回不受单笔赎回最低份额的限制。</w:t>
      </w:r>
      <w:r>
        <w:rPr>
          <w:rFonts w:ascii="Arial Unicode MS" w:hAnsi="Arial Unicode MS" w:cs="Arial" w:hint="eastAsia"/>
          <w:kern w:val="0"/>
          <w:szCs w:val="21"/>
        </w:rPr>
        <w:t xml:space="preserve"> </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3</w:t>
      </w:r>
      <w:r>
        <w:rPr>
          <w:rFonts w:ascii="Arial Unicode MS" w:hAnsi="Arial Unicode MS" w:cs="Arial" w:hint="eastAsia"/>
          <w:kern w:val="0"/>
          <w:szCs w:val="21"/>
        </w:rPr>
        <w:t>）暂停赎回：连续</w:t>
      </w:r>
      <w:r>
        <w:rPr>
          <w:rFonts w:ascii="Arial Unicode MS" w:hAnsi="Arial Unicode MS" w:cs="Arial" w:hint="eastAsia"/>
          <w:kern w:val="0"/>
          <w:szCs w:val="21"/>
        </w:rPr>
        <w:t>2</w:t>
      </w:r>
      <w:r>
        <w:rPr>
          <w:rFonts w:ascii="Arial Unicode MS" w:hAnsi="Arial Unicode MS" w:cs="Arial" w:hint="eastAsia"/>
          <w:kern w:val="0"/>
          <w:szCs w:val="21"/>
        </w:rPr>
        <w:t>个开放日以上</w:t>
      </w:r>
      <w:r>
        <w:rPr>
          <w:rFonts w:ascii="Arial Unicode MS" w:hAnsi="Arial Unicode MS" w:cs="Arial" w:hint="eastAsia"/>
          <w:kern w:val="0"/>
          <w:szCs w:val="21"/>
        </w:rPr>
        <w:t>(</w:t>
      </w:r>
      <w:r>
        <w:rPr>
          <w:rFonts w:ascii="Arial Unicode MS" w:hAnsi="Arial Unicode MS" w:cs="Arial" w:hint="eastAsia"/>
          <w:kern w:val="0"/>
          <w:szCs w:val="21"/>
        </w:rPr>
        <w:t>含本数</w:t>
      </w:r>
      <w:r>
        <w:rPr>
          <w:rFonts w:ascii="Arial Unicode MS" w:hAnsi="Arial Unicode MS" w:cs="Arial" w:hint="eastAsia"/>
          <w:kern w:val="0"/>
          <w:szCs w:val="21"/>
        </w:rPr>
        <w:t>)</w:t>
      </w:r>
      <w:r>
        <w:rPr>
          <w:rFonts w:ascii="Arial Unicode MS" w:hAnsi="Arial Unicode MS" w:cs="Arial" w:hint="eastAsia"/>
          <w:kern w:val="0"/>
          <w:szCs w:val="21"/>
        </w:rPr>
        <w:t>发生巨额赎回，如基金管理人认为有必要，可暂停接受基金的赎回申请；已经接受的赎回申请可以延缓支付赎回款项，但不得超过</w:t>
      </w:r>
      <w:r>
        <w:rPr>
          <w:rFonts w:ascii="Arial Unicode MS" w:hAnsi="Arial Unicode MS" w:cs="Arial" w:hint="eastAsia"/>
          <w:kern w:val="0"/>
          <w:szCs w:val="21"/>
        </w:rPr>
        <w:t>20</w:t>
      </w:r>
      <w:r>
        <w:rPr>
          <w:rFonts w:ascii="Arial Unicode MS" w:hAnsi="Arial Unicode MS" w:cs="Arial" w:hint="eastAsia"/>
          <w:kern w:val="0"/>
          <w:szCs w:val="21"/>
        </w:rPr>
        <w:t>个工作日，并应当在指定媒介上进行公告。</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3</w:t>
      </w:r>
      <w:r>
        <w:rPr>
          <w:rFonts w:ascii="Arial Unicode MS" w:hAnsi="Arial Unicode MS" w:cs="Arial" w:hint="eastAsia"/>
          <w:kern w:val="0"/>
          <w:szCs w:val="21"/>
        </w:rPr>
        <w:t>、巨额赎回的公告</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lastRenderedPageBreak/>
        <w:t>当发生上述巨额赎回并延期办理时，基金管理人应当通过邮寄、传真或者招募说明书规定的其他方式在</w:t>
      </w:r>
      <w:r>
        <w:rPr>
          <w:rFonts w:ascii="Arial Unicode MS" w:hAnsi="Arial Unicode MS" w:cs="Arial" w:hint="eastAsia"/>
          <w:kern w:val="0"/>
          <w:szCs w:val="21"/>
        </w:rPr>
        <w:t>3</w:t>
      </w:r>
      <w:r>
        <w:rPr>
          <w:rFonts w:ascii="Arial Unicode MS" w:hAnsi="Arial Unicode MS" w:cs="Arial" w:hint="eastAsia"/>
          <w:kern w:val="0"/>
          <w:szCs w:val="21"/>
        </w:rPr>
        <w:t>个交易日内通知基金份额持有人，说明有关处理方法，</w:t>
      </w:r>
      <w:r>
        <w:rPr>
          <w:rFonts w:ascii="Arial Unicode MS" w:hAnsi="Arial Unicode MS" w:hint="eastAsia"/>
          <w:bCs/>
          <w:szCs w:val="21"/>
        </w:rPr>
        <w:t>并在</w:t>
      </w:r>
      <w:r>
        <w:rPr>
          <w:rFonts w:ascii="Arial Unicode MS" w:hAnsi="Arial Unicode MS" w:hint="eastAsia"/>
          <w:bCs/>
          <w:szCs w:val="21"/>
        </w:rPr>
        <w:t>2</w:t>
      </w:r>
      <w:r>
        <w:rPr>
          <w:rFonts w:ascii="Arial Unicode MS" w:hAnsi="Arial Unicode MS" w:hint="eastAsia"/>
          <w:bCs/>
          <w:szCs w:val="21"/>
        </w:rPr>
        <w:t>日内在指定媒介上刊登公告</w:t>
      </w:r>
      <w:r>
        <w:rPr>
          <w:rFonts w:ascii="Arial Unicode MS" w:hAnsi="Arial Unicode MS" w:cs="Arial" w:hint="eastAsia"/>
          <w:kern w:val="0"/>
          <w:szCs w:val="21"/>
        </w:rPr>
        <w:t>。</w:t>
      </w:r>
    </w:p>
    <w:p w:rsidR="004C06C5" w:rsidRDefault="00ED474B">
      <w:pPr>
        <w:autoSpaceDE w:val="0"/>
        <w:autoSpaceDN w:val="0"/>
        <w:adjustRightInd w:val="0"/>
        <w:spacing w:line="360" w:lineRule="auto"/>
        <w:ind w:firstLine="420"/>
        <w:jc w:val="left"/>
        <w:rPr>
          <w:rFonts w:ascii="Arial Unicode MS" w:hAnsi="Arial Unicode MS"/>
          <w:b/>
          <w:bCs/>
          <w:szCs w:val="21"/>
        </w:rPr>
      </w:pPr>
      <w:r>
        <w:rPr>
          <w:rFonts w:ascii="Arial Unicode MS" w:hAnsi="Arial Unicode MS" w:hint="eastAsia"/>
          <w:b/>
          <w:bCs/>
          <w:szCs w:val="21"/>
        </w:rPr>
        <w:t>十二、</w:t>
      </w:r>
      <w:r>
        <w:rPr>
          <w:rFonts w:ascii="Arial Unicode MS" w:hAnsi="Arial Unicode MS"/>
          <w:b/>
          <w:bCs/>
          <w:szCs w:val="21"/>
        </w:rPr>
        <w:t>暂停申购或赎回的公告和重新开放申购或赎回的公告</w:t>
      </w:r>
    </w:p>
    <w:p w:rsidR="004C06C5" w:rsidRDefault="00ED474B">
      <w:pPr>
        <w:autoSpaceDE w:val="0"/>
        <w:autoSpaceDN w:val="0"/>
        <w:adjustRightInd w:val="0"/>
        <w:spacing w:line="360" w:lineRule="auto"/>
        <w:ind w:firstLine="420"/>
        <w:jc w:val="left"/>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、发生上述暂停申购或赎回情况的，</w:t>
      </w:r>
      <w:r>
        <w:rPr>
          <w:rFonts w:ascii="Arial Unicode MS" w:hAnsi="Arial Unicode MS" w:hint="eastAsia"/>
          <w:bCs/>
          <w:szCs w:val="21"/>
        </w:rPr>
        <w:t>基金管理人应在规定期限内在指定媒介上刊登暂停公告</w:t>
      </w:r>
      <w:r>
        <w:rPr>
          <w:rFonts w:ascii="Arial Unicode MS" w:hAnsi="Arial Unicode MS" w:cs="Arial" w:hint="eastAsia"/>
          <w:kern w:val="0"/>
          <w:szCs w:val="21"/>
        </w:rPr>
        <w:t>。</w:t>
      </w:r>
    </w:p>
    <w:p w:rsidR="004C06C5" w:rsidRDefault="00ED474B">
      <w:pPr>
        <w:autoSpaceDE w:val="0"/>
        <w:autoSpaceDN w:val="0"/>
        <w:adjustRightInd w:val="0"/>
        <w:spacing w:line="360" w:lineRule="auto"/>
        <w:ind w:firstLine="420"/>
        <w:jc w:val="left"/>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、上述暂停申购或赎回情况消除的，基金管理人应于重新开放日公布最近</w:t>
      </w:r>
      <w:r>
        <w:rPr>
          <w:rFonts w:ascii="Arial Unicode MS" w:hAnsi="Arial Unicode MS" w:cs="Arial" w:hint="eastAsia"/>
          <w:kern w:val="0"/>
          <w:szCs w:val="21"/>
        </w:rPr>
        <w:t>1</w:t>
      </w:r>
      <w:r>
        <w:rPr>
          <w:rFonts w:ascii="Arial Unicode MS" w:hAnsi="Arial Unicode MS" w:cs="Arial" w:hint="eastAsia"/>
          <w:kern w:val="0"/>
          <w:szCs w:val="21"/>
        </w:rPr>
        <w:t>个开放日各类基金份额的基金份额净值。</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3</w:t>
      </w:r>
      <w:r>
        <w:rPr>
          <w:rFonts w:ascii="Arial Unicode MS" w:hAnsi="Arial Unicode MS" w:cs="Arial" w:hint="eastAsia"/>
          <w:kern w:val="0"/>
          <w:szCs w:val="21"/>
        </w:rPr>
        <w:t>、基金管理人可以根据暂停申购或赎回的时间，依照《信息披露办法》的有关规定，最迟于重新开放日在指定媒介上刊登重新开放申购或赎回的公告；也可以根据实际情况在暂停公告中明确重新开放申购或赎回的时间，届时不再另行发布重新开放的公告。</w:t>
      </w:r>
    </w:p>
    <w:p w:rsidR="004C06C5" w:rsidRDefault="00ED474B">
      <w:pPr>
        <w:autoSpaceDE w:val="0"/>
        <w:autoSpaceDN w:val="0"/>
        <w:adjustRightInd w:val="0"/>
        <w:spacing w:line="360" w:lineRule="auto"/>
        <w:ind w:firstLine="420"/>
        <w:jc w:val="left"/>
        <w:rPr>
          <w:rFonts w:ascii="Arial Unicode MS" w:hAnsi="Arial Unicode MS"/>
          <w:b/>
          <w:bCs/>
          <w:szCs w:val="21"/>
        </w:rPr>
      </w:pPr>
      <w:r>
        <w:rPr>
          <w:rFonts w:ascii="Arial Unicode MS" w:hAnsi="Arial Unicode MS" w:hint="eastAsia"/>
          <w:b/>
          <w:bCs/>
          <w:szCs w:val="21"/>
        </w:rPr>
        <w:t>十三、基金转换</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可以根据相关法律法规以及基金合同的规定决定开办本基金与基金管理人管理的其他基金之间的转换业务，基金转换可以收取一定的转换费，相关规则由基金管理人届时根据相关法律法规及基金合同的规定制定并公告，并提前告知基金托管人与相关机构。</w:t>
      </w:r>
    </w:p>
    <w:p w:rsidR="004C06C5" w:rsidRDefault="00ED474B">
      <w:pPr>
        <w:autoSpaceDE w:val="0"/>
        <w:autoSpaceDN w:val="0"/>
        <w:adjustRightInd w:val="0"/>
        <w:spacing w:line="360" w:lineRule="auto"/>
        <w:ind w:firstLine="422"/>
        <w:jc w:val="left"/>
        <w:rPr>
          <w:rFonts w:ascii="Arial Unicode MS" w:hAnsi="Arial Unicode MS"/>
          <w:b/>
          <w:bCs/>
          <w:szCs w:val="21"/>
        </w:rPr>
      </w:pPr>
      <w:r>
        <w:rPr>
          <w:rFonts w:ascii="Arial Unicode MS" w:hAnsi="Arial Unicode MS" w:hint="eastAsia"/>
          <w:b/>
          <w:bCs/>
          <w:szCs w:val="21"/>
        </w:rPr>
        <w:t>十四、基金的</w:t>
      </w:r>
      <w:proofErr w:type="gramStart"/>
      <w:r>
        <w:rPr>
          <w:rFonts w:ascii="Arial Unicode MS" w:hAnsi="Arial Unicode MS" w:hint="eastAsia"/>
          <w:b/>
          <w:bCs/>
          <w:szCs w:val="21"/>
        </w:rPr>
        <w:t>非交易</w:t>
      </w:r>
      <w:proofErr w:type="gramEnd"/>
      <w:r>
        <w:rPr>
          <w:rFonts w:ascii="Arial Unicode MS" w:hAnsi="Arial Unicode MS" w:hint="eastAsia"/>
          <w:b/>
          <w:bCs/>
          <w:szCs w:val="21"/>
        </w:rPr>
        <w:t>过户</w:t>
      </w:r>
    </w:p>
    <w:p w:rsidR="004C06C5" w:rsidRDefault="00ED474B">
      <w:pPr>
        <w:autoSpaceDE w:val="0"/>
        <w:autoSpaceDN w:val="0"/>
        <w:adjustRightInd w:val="0"/>
        <w:spacing w:line="360" w:lineRule="auto"/>
        <w:ind w:firstLine="422"/>
        <w:jc w:val="left"/>
        <w:rPr>
          <w:rFonts w:ascii="Arial Unicode MS" w:hAnsi="Arial Unicode MS"/>
          <w:bCs/>
          <w:szCs w:val="21"/>
        </w:rPr>
      </w:pPr>
      <w:r>
        <w:rPr>
          <w:rFonts w:ascii="Arial Unicode MS" w:hAnsi="Arial Unicode MS" w:hint="eastAsia"/>
          <w:bCs/>
          <w:szCs w:val="21"/>
        </w:rPr>
        <w:t>基金的</w:t>
      </w:r>
      <w:proofErr w:type="gramStart"/>
      <w:r>
        <w:rPr>
          <w:rFonts w:ascii="Arial Unicode MS" w:hAnsi="Arial Unicode MS" w:hint="eastAsia"/>
          <w:bCs/>
          <w:szCs w:val="21"/>
        </w:rPr>
        <w:t>非交易</w:t>
      </w:r>
      <w:proofErr w:type="gramEnd"/>
      <w:r>
        <w:rPr>
          <w:rFonts w:ascii="Arial Unicode MS" w:hAnsi="Arial Unicode MS" w:hint="eastAsia"/>
          <w:bCs/>
          <w:szCs w:val="21"/>
        </w:rPr>
        <w:t>过户是指基金登记机构受理继承、捐赠和司法强制执行等情形而产生的</w:t>
      </w:r>
      <w:proofErr w:type="gramStart"/>
      <w:r>
        <w:rPr>
          <w:rFonts w:ascii="Arial Unicode MS" w:hAnsi="Arial Unicode MS" w:hint="eastAsia"/>
          <w:bCs/>
          <w:szCs w:val="21"/>
        </w:rPr>
        <w:t>非交易</w:t>
      </w:r>
      <w:proofErr w:type="gramEnd"/>
      <w:r>
        <w:rPr>
          <w:rFonts w:ascii="Arial Unicode MS" w:hAnsi="Arial Unicode MS" w:hint="eastAsia"/>
          <w:bCs/>
          <w:szCs w:val="21"/>
        </w:rPr>
        <w:t>过户以及登记机构认可、符合法律法规的其它</w:t>
      </w:r>
      <w:proofErr w:type="gramStart"/>
      <w:r>
        <w:rPr>
          <w:rFonts w:ascii="Arial Unicode MS" w:hAnsi="Arial Unicode MS" w:hint="eastAsia"/>
          <w:bCs/>
          <w:szCs w:val="21"/>
        </w:rPr>
        <w:t>非交易</w:t>
      </w:r>
      <w:proofErr w:type="gramEnd"/>
      <w:r>
        <w:rPr>
          <w:rFonts w:ascii="Arial Unicode MS" w:hAnsi="Arial Unicode MS" w:hint="eastAsia"/>
          <w:bCs/>
          <w:szCs w:val="21"/>
        </w:rPr>
        <w:t>过户。无论在上述何种情况下，接受划转的主体必须是依法可以持有本</w:t>
      </w:r>
      <w:proofErr w:type="gramStart"/>
      <w:r>
        <w:rPr>
          <w:rFonts w:ascii="Arial Unicode MS" w:hAnsi="Arial Unicode MS" w:hint="eastAsia"/>
          <w:bCs/>
          <w:szCs w:val="21"/>
        </w:rPr>
        <w:t>基金基金</w:t>
      </w:r>
      <w:proofErr w:type="gramEnd"/>
      <w:r>
        <w:rPr>
          <w:rFonts w:ascii="Arial Unicode MS" w:hAnsi="Arial Unicode MS" w:hint="eastAsia"/>
          <w:bCs/>
          <w:szCs w:val="21"/>
        </w:rPr>
        <w:t>份额的投资人。</w:t>
      </w:r>
    </w:p>
    <w:p w:rsidR="004C06C5" w:rsidRDefault="00ED474B">
      <w:pPr>
        <w:autoSpaceDE w:val="0"/>
        <w:autoSpaceDN w:val="0"/>
        <w:adjustRightInd w:val="0"/>
        <w:spacing w:line="360" w:lineRule="auto"/>
        <w:ind w:firstLine="422"/>
        <w:jc w:val="left"/>
        <w:rPr>
          <w:rFonts w:ascii="Arial Unicode MS" w:hAnsi="Arial Unicode MS" w:cs="Arial"/>
          <w:kern w:val="0"/>
          <w:szCs w:val="21"/>
        </w:rPr>
      </w:pPr>
      <w:r>
        <w:rPr>
          <w:rFonts w:ascii="Arial Unicode MS" w:hAnsi="Arial Unicode MS" w:hint="eastAsia"/>
          <w:bCs/>
          <w:szCs w:val="21"/>
        </w:rPr>
        <w:t>继承是指基金份额持有人死亡，其持有的基金份额由其合法的继承人继承；</w:t>
      </w:r>
      <w:proofErr w:type="gramStart"/>
      <w:r>
        <w:rPr>
          <w:rFonts w:ascii="Arial Unicode MS" w:hAnsi="Arial Unicode MS" w:hint="eastAsia"/>
          <w:bCs/>
          <w:szCs w:val="21"/>
        </w:rPr>
        <w:t>捐赠指</w:t>
      </w:r>
      <w:proofErr w:type="gramEnd"/>
      <w:r>
        <w:rPr>
          <w:rFonts w:ascii="Arial Unicode MS" w:hAnsi="Arial Unicode MS" w:hint="eastAsia"/>
          <w:bCs/>
          <w:szCs w:val="21"/>
        </w:rPr>
        <w:t>基金份额持有人将其合法持有的基金份额捐赠给福利性质的基金会或社会团体；司法强制执行是指司法机构依据生效司法文书将基金份额持有人持有的基金份额强制划转给其他自然人、法人或其他组织。办理</w:t>
      </w:r>
      <w:proofErr w:type="gramStart"/>
      <w:r>
        <w:rPr>
          <w:rFonts w:ascii="Arial Unicode MS" w:hAnsi="Arial Unicode MS" w:hint="eastAsia"/>
          <w:bCs/>
          <w:szCs w:val="21"/>
        </w:rPr>
        <w:t>非交易</w:t>
      </w:r>
      <w:proofErr w:type="gramEnd"/>
      <w:r>
        <w:rPr>
          <w:rFonts w:ascii="Arial Unicode MS" w:hAnsi="Arial Unicode MS" w:hint="eastAsia"/>
          <w:bCs/>
          <w:szCs w:val="21"/>
        </w:rPr>
        <w:t>过户必须提供基金登记机构要求提供的相关资料，对于符合条件的</w:t>
      </w:r>
      <w:proofErr w:type="gramStart"/>
      <w:r>
        <w:rPr>
          <w:rFonts w:ascii="Arial Unicode MS" w:hAnsi="Arial Unicode MS" w:hint="eastAsia"/>
          <w:bCs/>
          <w:szCs w:val="21"/>
        </w:rPr>
        <w:t>非交易过户申请按</w:t>
      </w:r>
      <w:proofErr w:type="gramEnd"/>
      <w:r>
        <w:rPr>
          <w:rFonts w:ascii="Arial Unicode MS" w:hAnsi="Arial Unicode MS" w:hint="eastAsia"/>
          <w:bCs/>
          <w:szCs w:val="21"/>
        </w:rPr>
        <w:t>基金登记机构的规定办理，并按基金登记机构规定的标准收费。</w:t>
      </w:r>
    </w:p>
    <w:p w:rsidR="004C06C5" w:rsidRDefault="00ED474B">
      <w:pPr>
        <w:autoSpaceDE w:val="0"/>
        <w:autoSpaceDN w:val="0"/>
        <w:adjustRightInd w:val="0"/>
        <w:spacing w:line="360" w:lineRule="auto"/>
        <w:ind w:firstLine="420"/>
        <w:jc w:val="left"/>
        <w:rPr>
          <w:rFonts w:ascii="Arial Unicode MS" w:hAnsi="Arial Unicode MS"/>
          <w:b/>
          <w:bCs/>
          <w:szCs w:val="21"/>
        </w:rPr>
      </w:pPr>
      <w:r>
        <w:rPr>
          <w:rFonts w:ascii="Arial Unicode MS" w:hAnsi="Arial Unicode MS" w:hint="eastAsia"/>
          <w:b/>
          <w:bCs/>
          <w:szCs w:val="21"/>
        </w:rPr>
        <w:t>十五、基金的转托管</w:t>
      </w:r>
    </w:p>
    <w:p w:rsidR="004C06C5" w:rsidRDefault="00ED474B">
      <w:pPr>
        <w:autoSpaceDE w:val="0"/>
        <w:autoSpaceDN w:val="0"/>
        <w:adjustRightInd w:val="0"/>
        <w:spacing w:line="360" w:lineRule="auto"/>
        <w:ind w:firstLine="420"/>
        <w:jc w:val="left"/>
        <w:rPr>
          <w:rFonts w:ascii="Arial Unicode MS" w:hAnsi="Arial Unicode MS" w:cs="Arial"/>
          <w:kern w:val="0"/>
          <w:szCs w:val="21"/>
        </w:rPr>
      </w:pPr>
      <w:r>
        <w:rPr>
          <w:rFonts w:ascii="Arial Unicode MS" w:hAnsi="Arial Unicode MS" w:hint="eastAsia"/>
          <w:bCs/>
          <w:szCs w:val="21"/>
        </w:rPr>
        <w:t>基金份额持有人可办理已持有基金份额在不同销售机构之间的转托管，基金销售机构可以按照规定的标准收取转托管费。</w:t>
      </w:r>
    </w:p>
    <w:p w:rsidR="004C06C5" w:rsidRDefault="00ED474B">
      <w:pPr>
        <w:autoSpaceDE w:val="0"/>
        <w:autoSpaceDN w:val="0"/>
        <w:adjustRightInd w:val="0"/>
        <w:spacing w:line="360" w:lineRule="auto"/>
        <w:ind w:firstLine="420"/>
        <w:jc w:val="left"/>
        <w:rPr>
          <w:rFonts w:ascii="Arial Unicode MS" w:hAnsi="Arial Unicode MS"/>
          <w:b/>
          <w:bCs/>
          <w:szCs w:val="21"/>
        </w:rPr>
      </w:pPr>
      <w:r>
        <w:rPr>
          <w:rFonts w:ascii="Arial Unicode MS" w:hAnsi="Arial Unicode MS" w:hint="eastAsia"/>
          <w:b/>
          <w:bCs/>
          <w:szCs w:val="21"/>
        </w:rPr>
        <w:t>十六、定期定额投资计划</w:t>
      </w:r>
    </w:p>
    <w:p w:rsidR="004C06C5" w:rsidRDefault="00ED474B">
      <w:pPr>
        <w:autoSpaceDE w:val="0"/>
        <w:autoSpaceDN w:val="0"/>
        <w:adjustRightInd w:val="0"/>
        <w:spacing w:line="360" w:lineRule="auto"/>
        <w:ind w:firstLine="420"/>
        <w:jc w:val="left"/>
        <w:rPr>
          <w:rFonts w:ascii="Arial Unicode MS" w:hAnsi="Arial Unicode MS" w:cs="Arial"/>
          <w:kern w:val="0"/>
          <w:szCs w:val="21"/>
        </w:rPr>
      </w:pPr>
      <w:r>
        <w:rPr>
          <w:rFonts w:ascii="Arial Unicode MS" w:hAnsi="Arial Unicode MS" w:hint="eastAsia"/>
          <w:bCs/>
          <w:szCs w:val="21"/>
        </w:rPr>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rsidR="004C06C5" w:rsidRDefault="00ED474B">
      <w:pPr>
        <w:autoSpaceDE w:val="0"/>
        <w:autoSpaceDN w:val="0"/>
        <w:adjustRightInd w:val="0"/>
        <w:spacing w:line="360" w:lineRule="auto"/>
        <w:ind w:firstLine="420"/>
        <w:jc w:val="left"/>
        <w:rPr>
          <w:rFonts w:ascii="Arial Unicode MS" w:hAnsi="Arial Unicode MS"/>
          <w:b/>
          <w:bCs/>
          <w:szCs w:val="21"/>
        </w:rPr>
      </w:pPr>
      <w:r>
        <w:rPr>
          <w:rFonts w:ascii="Arial Unicode MS" w:hAnsi="Arial Unicode MS" w:hint="eastAsia"/>
          <w:b/>
          <w:bCs/>
          <w:szCs w:val="21"/>
        </w:rPr>
        <w:t>十七、基金份额的冻结、解冻与质押</w:t>
      </w:r>
    </w:p>
    <w:p w:rsidR="004C06C5" w:rsidRDefault="00ED474B">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基金登记机构只受理国家有权机关依法要求的基金份额的冻结与解冻，以及登记机构认</w:t>
      </w:r>
      <w:r>
        <w:rPr>
          <w:rFonts w:ascii="Arial Unicode MS" w:hAnsi="Arial Unicode MS" w:hint="eastAsia"/>
          <w:bCs/>
          <w:szCs w:val="21"/>
        </w:rPr>
        <w:lastRenderedPageBreak/>
        <w:t>可、符合法律法规的其他情况下的冻结与解冻。基金份额被冻结的，被冻结部分产生的权益一并冻结，被冻结部分份额仍然参与收益分配与支付。法律法规另有规定的除外。</w:t>
      </w:r>
    </w:p>
    <w:p w:rsidR="004C06C5" w:rsidRDefault="00ED474B">
      <w:pPr>
        <w:autoSpaceDE w:val="0"/>
        <w:autoSpaceDN w:val="0"/>
        <w:adjustRightInd w:val="0"/>
        <w:spacing w:line="360" w:lineRule="auto"/>
        <w:ind w:firstLine="420"/>
        <w:jc w:val="left"/>
        <w:rPr>
          <w:rFonts w:ascii="Arial Unicode MS" w:hAnsi="Arial Unicode MS" w:cs="Arial"/>
          <w:kern w:val="0"/>
          <w:szCs w:val="21"/>
        </w:rPr>
      </w:pPr>
      <w:r>
        <w:rPr>
          <w:rFonts w:ascii="Arial Unicode MS" w:hAnsi="Arial Unicode MS" w:hint="eastAsia"/>
          <w:bCs/>
          <w:szCs w:val="21"/>
        </w:rPr>
        <w:t>如相关法律法规允许基金管理人办理基金份额的质押业务或其他基金业务，基金管理人有权制定和实施相应的业务规则。</w:t>
      </w:r>
    </w:p>
    <w:p w:rsidR="004C06C5" w:rsidRDefault="00ED474B">
      <w:pPr>
        <w:autoSpaceDE w:val="0"/>
        <w:autoSpaceDN w:val="0"/>
        <w:adjustRightInd w:val="0"/>
        <w:spacing w:line="360" w:lineRule="auto"/>
        <w:ind w:firstLine="420"/>
        <w:jc w:val="left"/>
        <w:rPr>
          <w:rFonts w:ascii="Arial Unicode MS" w:hAnsi="Arial Unicode MS"/>
          <w:b/>
          <w:bCs/>
          <w:szCs w:val="21"/>
        </w:rPr>
      </w:pPr>
      <w:r>
        <w:rPr>
          <w:rFonts w:ascii="Arial Unicode MS" w:hAnsi="Arial Unicode MS" w:hint="eastAsia"/>
          <w:b/>
          <w:bCs/>
          <w:szCs w:val="21"/>
        </w:rPr>
        <w:t>十八、基金份额的转让</w:t>
      </w:r>
    </w:p>
    <w:p w:rsidR="004C06C5" w:rsidRDefault="00ED474B">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公告，基金份额持有人应根据基金管理人公告的业务规则办理基金份额转让业务。</w:t>
      </w:r>
    </w:p>
    <w:p w:rsidR="004C06C5" w:rsidRDefault="004C06C5">
      <w:pPr>
        <w:autoSpaceDE w:val="0"/>
        <w:autoSpaceDN w:val="0"/>
        <w:adjustRightInd w:val="0"/>
        <w:spacing w:line="360" w:lineRule="auto"/>
        <w:ind w:firstLine="420"/>
        <w:jc w:val="left"/>
        <w:rPr>
          <w:rFonts w:ascii="Arial Unicode MS" w:hAnsi="Arial Unicode MS"/>
          <w:bCs/>
          <w:szCs w:val="21"/>
        </w:rPr>
      </w:pPr>
    </w:p>
    <w:p w:rsidR="004C06C5" w:rsidRDefault="004C06C5">
      <w:pPr>
        <w:autoSpaceDE w:val="0"/>
        <w:autoSpaceDN w:val="0"/>
        <w:adjustRightInd w:val="0"/>
        <w:spacing w:line="360" w:lineRule="auto"/>
        <w:ind w:firstLine="420"/>
        <w:jc w:val="left"/>
        <w:rPr>
          <w:rFonts w:ascii="Arial Unicode MS" w:hAnsi="Arial Unicode MS"/>
          <w:bCs/>
          <w:szCs w:val="21"/>
        </w:rPr>
      </w:pPr>
    </w:p>
    <w:p w:rsidR="004C06C5" w:rsidRDefault="004C06C5">
      <w:pPr>
        <w:autoSpaceDE w:val="0"/>
        <w:autoSpaceDN w:val="0"/>
        <w:adjustRightInd w:val="0"/>
        <w:spacing w:line="360" w:lineRule="auto"/>
        <w:ind w:firstLine="420"/>
        <w:jc w:val="left"/>
        <w:rPr>
          <w:rFonts w:ascii="Arial Unicode MS" w:hAnsi="Arial Unicode MS"/>
          <w:bCs/>
          <w:szCs w:val="21"/>
        </w:rPr>
      </w:pPr>
    </w:p>
    <w:p w:rsidR="004C06C5" w:rsidRDefault="004C06C5">
      <w:pPr>
        <w:autoSpaceDE w:val="0"/>
        <w:autoSpaceDN w:val="0"/>
        <w:adjustRightInd w:val="0"/>
        <w:spacing w:line="360" w:lineRule="auto"/>
        <w:ind w:firstLine="420"/>
        <w:jc w:val="left"/>
        <w:rPr>
          <w:rFonts w:ascii="Arial Unicode MS" w:hAnsi="Arial Unicode MS"/>
          <w:bCs/>
          <w:szCs w:val="21"/>
        </w:rPr>
      </w:pPr>
    </w:p>
    <w:p w:rsidR="004C06C5" w:rsidRDefault="004C06C5">
      <w:pPr>
        <w:autoSpaceDE w:val="0"/>
        <w:autoSpaceDN w:val="0"/>
        <w:adjustRightInd w:val="0"/>
        <w:spacing w:line="360" w:lineRule="auto"/>
        <w:ind w:firstLine="420"/>
        <w:jc w:val="left"/>
        <w:rPr>
          <w:rFonts w:ascii="Arial Unicode MS" w:hAnsi="Arial Unicode MS"/>
          <w:bCs/>
          <w:szCs w:val="21"/>
        </w:rPr>
      </w:pPr>
    </w:p>
    <w:p w:rsidR="004C06C5" w:rsidRDefault="004C06C5">
      <w:pPr>
        <w:autoSpaceDE w:val="0"/>
        <w:autoSpaceDN w:val="0"/>
        <w:adjustRightInd w:val="0"/>
        <w:spacing w:line="360" w:lineRule="auto"/>
        <w:ind w:firstLine="420"/>
        <w:jc w:val="left"/>
        <w:rPr>
          <w:rFonts w:ascii="Arial Unicode MS" w:hAnsi="Arial Unicode MS"/>
          <w:bCs/>
          <w:szCs w:val="21"/>
        </w:rPr>
      </w:pPr>
    </w:p>
    <w:p w:rsidR="004C06C5" w:rsidRDefault="004C06C5">
      <w:pPr>
        <w:autoSpaceDE w:val="0"/>
        <w:autoSpaceDN w:val="0"/>
        <w:adjustRightInd w:val="0"/>
        <w:spacing w:line="360" w:lineRule="auto"/>
        <w:ind w:firstLine="420"/>
        <w:jc w:val="left"/>
        <w:rPr>
          <w:rFonts w:ascii="Arial Unicode MS" w:hAnsi="Arial Unicode MS"/>
          <w:bCs/>
          <w:szCs w:val="21"/>
        </w:rPr>
      </w:pPr>
    </w:p>
    <w:p w:rsidR="004C06C5" w:rsidRDefault="004C06C5">
      <w:pPr>
        <w:autoSpaceDE w:val="0"/>
        <w:autoSpaceDN w:val="0"/>
        <w:adjustRightInd w:val="0"/>
        <w:spacing w:line="360" w:lineRule="auto"/>
        <w:ind w:firstLine="420"/>
        <w:jc w:val="left"/>
        <w:rPr>
          <w:rFonts w:ascii="Arial Unicode MS" w:hAnsi="Arial Unicode MS"/>
          <w:bCs/>
          <w:szCs w:val="21"/>
        </w:rPr>
      </w:pPr>
    </w:p>
    <w:p w:rsidR="004C06C5" w:rsidRDefault="004C06C5">
      <w:pPr>
        <w:autoSpaceDE w:val="0"/>
        <w:autoSpaceDN w:val="0"/>
        <w:adjustRightInd w:val="0"/>
        <w:spacing w:line="360" w:lineRule="auto"/>
        <w:ind w:firstLine="420"/>
        <w:jc w:val="left"/>
        <w:rPr>
          <w:rFonts w:ascii="Arial Unicode MS" w:hAnsi="Arial Unicode MS"/>
          <w:bCs/>
          <w:szCs w:val="21"/>
        </w:rPr>
      </w:pPr>
    </w:p>
    <w:p w:rsidR="004C06C5" w:rsidRDefault="004C06C5">
      <w:pPr>
        <w:autoSpaceDE w:val="0"/>
        <w:autoSpaceDN w:val="0"/>
        <w:adjustRightInd w:val="0"/>
        <w:spacing w:line="360" w:lineRule="auto"/>
        <w:ind w:firstLine="420"/>
        <w:jc w:val="left"/>
        <w:rPr>
          <w:rFonts w:ascii="Arial Unicode MS" w:hAnsi="Arial Unicode MS"/>
          <w:bCs/>
          <w:szCs w:val="21"/>
        </w:rPr>
      </w:pPr>
    </w:p>
    <w:p w:rsidR="004C06C5" w:rsidRDefault="004C06C5">
      <w:pPr>
        <w:autoSpaceDE w:val="0"/>
        <w:autoSpaceDN w:val="0"/>
        <w:adjustRightInd w:val="0"/>
        <w:spacing w:line="360" w:lineRule="auto"/>
        <w:ind w:firstLine="420"/>
        <w:jc w:val="left"/>
        <w:rPr>
          <w:rFonts w:ascii="Arial Unicode MS" w:hAnsi="Arial Unicode MS"/>
          <w:bCs/>
          <w:szCs w:val="21"/>
        </w:rPr>
      </w:pPr>
    </w:p>
    <w:p w:rsidR="004C06C5" w:rsidRDefault="004C06C5">
      <w:pPr>
        <w:autoSpaceDE w:val="0"/>
        <w:autoSpaceDN w:val="0"/>
        <w:adjustRightInd w:val="0"/>
        <w:spacing w:line="360" w:lineRule="auto"/>
        <w:ind w:firstLine="420"/>
        <w:jc w:val="left"/>
        <w:rPr>
          <w:rFonts w:ascii="Arial Unicode MS" w:hAnsi="Arial Unicode MS"/>
          <w:bCs/>
          <w:szCs w:val="21"/>
        </w:rPr>
      </w:pPr>
    </w:p>
    <w:p w:rsidR="004C06C5" w:rsidRDefault="004C06C5">
      <w:pPr>
        <w:autoSpaceDE w:val="0"/>
        <w:autoSpaceDN w:val="0"/>
        <w:adjustRightInd w:val="0"/>
        <w:spacing w:line="360" w:lineRule="auto"/>
        <w:ind w:firstLine="420"/>
        <w:jc w:val="left"/>
        <w:rPr>
          <w:rFonts w:ascii="Arial Unicode MS" w:hAnsi="Arial Unicode MS"/>
          <w:bCs/>
          <w:szCs w:val="21"/>
        </w:rPr>
      </w:pPr>
    </w:p>
    <w:p w:rsidR="004C06C5" w:rsidRDefault="004C06C5">
      <w:pPr>
        <w:autoSpaceDE w:val="0"/>
        <w:autoSpaceDN w:val="0"/>
        <w:adjustRightInd w:val="0"/>
        <w:spacing w:line="360" w:lineRule="auto"/>
        <w:ind w:firstLine="420"/>
        <w:jc w:val="left"/>
        <w:rPr>
          <w:rFonts w:ascii="Arial Unicode MS" w:hAnsi="Arial Unicode MS"/>
          <w:bCs/>
          <w:szCs w:val="21"/>
        </w:rPr>
      </w:pPr>
    </w:p>
    <w:p w:rsidR="004C06C5" w:rsidRDefault="004C06C5">
      <w:pPr>
        <w:autoSpaceDE w:val="0"/>
        <w:autoSpaceDN w:val="0"/>
        <w:adjustRightInd w:val="0"/>
        <w:spacing w:line="360" w:lineRule="auto"/>
        <w:ind w:firstLine="420"/>
        <w:jc w:val="left"/>
        <w:rPr>
          <w:rFonts w:ascii="Arial Unicode MS" w:hAnsi="Arial Unicode MS"/>
          <w:bCs/>
          <w:szCs w:val="21"/>
        </w:rPr>
      </w:pPr>
    </w:p>
    <w:p w:rsidR="004C06C5" w:rsidRDefault="00ED474B">
      <w:pPr>
        <w:widowControl/>
        <w:jc w:val="left"/>
        <w:rPr>
          <w:rFonts w:ascii="Arial Unicode MS" w:hAnsi="Arial Unicode MS"/>
          <w:bCs/>
          <w:szCs w:val="21"/>
        </w:rPr>
      </w:pPr>
      <w:r>
        <w:rPr>
          <w:rFonts w:ascii="Arial Unicode MS" w:hAnsi="Arial Unicode MS"/>
          <w:bCs/>
          <w:szCs w:val="21"/>
        </w:rPr>
        <w:br w:type="page"/>
      </w:r>
    </w:p>
    <w:p w:rsidR="004C06C5" w:rsidRDefault="00ED474B">
      <w:pPr>
        <w:pStyle w:val="11"/>
        <w:snapToGrid w:val="0"/>
        <w:spacing w:before="0" w:after="0" w:line="360" w:lineRule="auto"/>
        <w:rPr>
          <w:rFonts w:ascii="Arial Unicode MS" w:eastAsia="宋体" w:hAnsi="Arial Unicode MS" w:cs="Arial"/>
          <w:b/>
          <w:bCs/>
          <w:sz w:val="28"/>
          <w:szCs w:val="28"/>
        </w:rPr>
      </w:pPr>
      <w:bookmarkStart w:id="57" w:name="_Toc1464064"/>
      <w:bookmarkStart w:id="58" w:name="_Toc317088146"/>
      <w:bookmarkStart w:id="59" w:name="_Toc214873598"/>
      <w:bookmarkStart w:id="60" w:name="_Toc335232697"/>
      <w:bookmarkStart w:id="61" w:name="_Toc320887648"/>
      <w:bookmarkStart w:id="62" w:name="_Toc317088543"/>
      <w:r>
        <w:rPr>
          <w:rFonts w:ascii="Arial Unicode MS" w:eastAsia="宋体" w:hAnsi="Arial Unicode MS" w:cs="Arial"/>
          <w:b/>
          <w:bCs/>
          <w:sz w:val="28"/>
          <w:szCs w:val="28"/>
        </w:rPr>
        <w:lastRenderedPageBreak/>
        <w:t>第</w:t>
      </w:r>
      <w:r>
        <w:rPr>
          <w:rFonts w:ascii="Arial Unicode MS" w:eastAsia="宋体" w:hAnsi="Arial Unicode MS" w:cs="Arial" w:hint="eastAsia"/>
          <w:b/>
          <w:bCs/>
          <w:sz w:val="28"/>
          <w:szCs w:val="28"/>
        </w:rPr>
        <w:t>九</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基金的投资</w:t>
      </w:r>
      <w:bookmarkEnd w:id="57"/>
      <w:bookmarkEnd w:id="58"/>
      <w:bookmarkEnd w:id="59"/>
      <w:bookmarkEnd w:id="60"/>
      <w:bookmarkEnd w:id="61"/>
      <w:bookmarkEnd w:id="62"/>
    </w:p>
    <w:p w:rsidR="004C06C5" w:rsidRDefault="004C06C5">
      <w:pPr>
        <w:rPr>
          <w:rFonts w:ascii="Arial Unicode MS" w:hAnsi="Arial Unicode MS"/>
          <w:lang w:val="zh-CN"/>
        </w:rPr>
      </w:pPr>
    </w:p>
    <w:p w:rsidR="004C06C5" w:rsidRDefault="00ED474B">
      <w:pPr>
        <w:adjustRightInd w:val="0"/>
        <w:snapToGrid w:val="0"/>
        <w:spacing w:line="360" w:lineRule="auto"/>
        <w:ind w:firstLineChars="200" w:firstLine="422"/>
        <w:rPr>
          <w:rFonts w:ascii="Arial Unicode MS" w:hAnsi="Arial Unicode MS" w:cs="Arial"/>
          <w:b/>
          <w:bCs/>
          <w:szCs w:val="21"/>
        </w:rPr>
      </w:pPr>
      <w:r>
        <w:rPr>
          <w:rFonts w:ascii="Arial Unicode MS" w:hAnsi="Arial Unicode MS" w:cs="Arial"/>
          <w:b/>
          <w:bCs/>
          <w:szCs w:val="21"/>
        </w:rPr>
        <w:t>一、投资目标</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在一定程度上控制组合净值波动率的前提下，力争长期内实现超越业绩比较基准的投资回报。</w:t>
      </w:r>
    </w:p>
    <w:p w:rsidR="004C06C5" w:rsidRDefault="00ED474B">
      <w:pPr>
        <w:adjustRightInd w:val="0"/>
        <w:snapToGrid w:val="0"/>
        <w:spacing w:line="360" w:lineRule="auto"/>
        <w:ind w:firstLineChars="200" w:firstLine="422"/>
        <w:rPr>
          <w:rFonts w:ascii="Arial Unicode MS" w:hAnsi="Arial Unicode MS" w:cs="Arial"/>
          <w:b/>
          <w:bCs/>
          <w:szCs w:val="21"/>
        </w:rPr>
      </w:pPr>
      <w:r>
        <w:rPr>
          <w:rFonts w:ascii="Arial Unicode MS" w:hAnsi="Arial Unicode MS" w:cs="Arial"/>
          <w:b/>
          <w:bCs/>
          <w:szCs w:val="21"/>
        </w:rPr>
        <w:t>二、投资范围</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本基金的投资范围主要为具有良好流动性的金融工具，包括国债、国债期货、地方政府债、金融债、企业债、公司债、央行票据、中期票据、短期融资</w:t>
      </w:r>
      <w:proofErr w:type="gramStart"/>
      <w:r>
        <w:rPr>
          <w:rFonts w:ascii="Arial Unicode MS" w:hAnsi="Arial Unicode MS" w:cs="Arial" w:hint="eastAsia"/>
          <w:kern w:val="0"/>
          <w:szCs w:val="21"/>
        </w:rPr>
        <w:t>券</w:t>
      </w:r>
      <w:proofErr w:type="gramEnd"/>
      <w:r>
        <w:rPr>
          <w:rFonts w:ascii="Arial Unicode MS" w:hAnsi="Arial Unicode MS" w:cs="Arial" w:hint="eastAsia"/>
          <w:kern w:val="0"/>
          <w:szCs w:val="21"/>
        </w:rPr>
        <w:t>、中小企业私募债、资产支持证券、次级债、可分离交易可转债</w:t>
      </w:r>
      <w:proofErr w:type="gramStart"/>
      <w:r>
        <w:rPr>
          <w:rFonts w:ascii="Arial Unicode MS" w:hAnsi="Arial Unicode MS" w:cs="Arial" w:hint="eastAsia"/>
          <w:kern w:val="0"/>
          <w:szCs w:val="21"/>
        </w:rPr>
        <w:t>的纯债部分</w:t>
      </w:r>
      <w:proofErr w:type="gramEnd"/>
      <w:r>
        <w:rPr>
          <w:rFonts w:ascii="Arial Unicode MS" w:hAnsi="Arial Unicode MS" w:cs="Arial" w:hint="eastAsia"/>
          <w:kern w:val="0"/>
          <w:szCs w:val="21"/>
        </w:rPr>
        <w:t>、债券回购、银行存款等法律法规或中国证监会允许基金投资的其他金融工具（但须符合中国证监会的相关规定）。</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本基金可以投资于股票（包括中小板、创业板及其他中国证监会核准上市的股票）、权证，不投资于可转换债券（可分离交易可转债的</w:t>
      </w:r>
      <w:proofErr w:type="gramStart"/>
      <w:r>
        <w:rPr>
          <w:rFonts w:ascii="Arial Unicode MS" w:hAnsi="Arial Unicode MS" w:cs="Arial" w:hint="eastAsia"/>
          <w:kern w:val="0"/>
          <w:szCs w:val="21"/>
        </w:rPr>
        <w:t>纯债部分</w:t>
      </w:r>
      <w:proofErr w:type="gramEnd"/>
      <w:r>
        <w:rPr>
          <w:rFonts w:ascii="Arial Unicode MS" w:hAnsi="Arial Unicode MS" w:cs="Arial" w:hint="eastAsia"/>
          <w:kern w:val="0"/>
          <w:szCs w:val="21"/>
        </w:rPr>
        <w:t>除外）、可交换债券。</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基金的投资组合比例为：本基金对债券的投资比例不低于基金资产的</w:t>
      </w:r>
      <w:r>
        <w:rPr>
          <w:rFonts w:ascii="Arial Unicode MS" w:hAnsi="Arial Unicode MS" w:cs="Arial" w:hint="eastAsia"/>
          <w:kern w:val="0"/>
          <w:szCs w:val="21"/>
        </w:rPr>
        <w:t>80%</w:t>
      </w:r>
      <w:r>
        <w:rPr>
          <w:rFonts w:ascii="Arial Unicode MS" w:hAnsi="Arial Unicode MS" w:cs="Arial" w:hint="eastAsia"/>
          <w:kern w:val="0"/>
          <w:szCs w:val="21"/>
        </w:rPr>
        <w:t>；对权益类资产的投资比例不超过基金资产的</w:t>
      </w:r>
      <w:r>
        <w:rPr>
          <w:rFonts w:ascii="Arial Unicode MS" w:hAnsi="Arial Unicode MS" w:cs="Arial" w:hint="eastAsia"/>
          <w:kern w:val="0"/>
          <w:szCs w:val="21"/>
        </w:rPr>
        <w:t>20%</w:t>
      </w:r>
      <w:r>
        <w:rPr>
          <w:rFonts w:ascii="Arial Unicode MS" w:hAnsi="Arial Unicode MS" w:cs="Arial" w:hint="eastAsia"/>
          <w:kern w:val="0"/>
          <w:szCs w:val="21"/>
        </w:rPr>
        <w:t>；本基金每个交易日日终在扣除国债期货合约需缴纳的交易保证金后，持有现金或者到期日在一年以内的政府债券投资比例不低于基金资产净值的</w:t>
      </w:r>
      <w:r>
        <w:rPr>
          <w:rFonts w:ascii="Arial Unicode MS" w:hAnsi="Arial Unicode MS" w:cs="Arial" w:hint="eastAsia"/>
          <w:kern w:val="0"/>
          <w:szCs w:val="21"/>
        </w:rPr>
        <w:t>5%</w:t>
      </w:r>
      <w:r>
        <w:rPr>
          <w:rFonts w:ascii="Arial Unicode MS" w:hAnsi="Arial Unicode MS" w:cs="Arial" w:hint="eastAsia"/>
          <w:kern w:val="0"/>
          <w:szCs w:val="21"/>
        </w:rPr>
        <w:t>，其中现金不包括结算备付金、存出保证金、应收申购款等。</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如法律法规或监管机构以后允许基金投资的其他品种，基金管理人在履行适当程序后，可以将其纳入投资范围。</w:t>
      </w:r>
    </w:p>
    <w:p w:rsidR="004C06C5" w:rsidRDefault="00ED474B">
      <w:pPr>
        <w:adjustRightInd w:val="0"/>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三</w:t>
      </w:r>
      <w:r>
        <w:rPr>
          <w:rFonts w:ascii="Arial Unicode MS" w:hAnsi="Arial Unicode MS" w:cs="Arial"/>
          <w:b/>
          <w:bCs/>
          <w:szCs w:val="21"/>
        </w:rPr>
        <w:t>、投资策略</w:t>
      </w:r>
    </w:p>
    <w:p w:rsidR="004C06C5" w:rsidRDefault="00ED474B">
      <w:pPr>
        <w:adjustRightInd w:val="0"/>
        <w:snapToGrid w:val="0"/>
        <w:spacing w:line="360" w:lineRule="auto"/>
        <w:ind w:firstLineChars="200" w:firstLine="420"/>
        <w:rPr>
          <w:rFonts w:ascii="Arial Unicode MS" w:hAnsi="Arial Unicode MS" w:cs="Arial"/>
          <w:kern w:val="0"/>
          <w:szCs w:val="21"/>
        </w:rPr>
      </w:pPr>
      <w:bookmarkStart w:id="63" w:name="_Toc212891567"/>
      <w:bookmarkStart w:id="64" w:name="_Toc149105517"/>
      <w:bookmarkStart w:id="65" w:name="_Toc148867251"/>
      <w:r>
        <w:rPr>
          <w:rFonts w:ascii="Arial Unicode MS" w:hAnsi="Arial Unicode MS" w:cs="Arial" w:hint="eastAsia"/>
          <w:kern w:val="0"/>
          <w:szCs w:val="21"/>
        </w:rPr>
        <w:t>1</w:t>
      </w:r>
      <w:r>
        <w:rPr>
          <w:rFonts w:ascii="Arial Unicode MS" w:hAnsi="Arial Unicode MS" w:cs="Arial" w:hint="eastAsia"/>
          <w:kern w:val="0"/>
          <w:szCs w:val="21"/>
        </w:rPr>
        <w:t>、资产配置策略</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基金以中长期利率趋势分析为基础，结合经济周期、宏观政策方向及收益率曲线分析，自上而下决定资产配置及组合久期，并依据内部信用评估体系，深入挖掘价值被低估的标的券种，实施积极的债券投资组合管理，以获取较高的债券组合投资收益。</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、固定收益类证券投资策略</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hint="eastAsia"/>
          <w:kern w:val="0"/>
          <w:szCs w:val="21"/>
        </w:rPr>
        <w:t>）债券投资策略</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对于本基金投资的固定收益类证券，主要从四个层次进行独立、客观、综合的</w:t>
      </w:r>
      <w:proofErr w:type="gramStart"/>
      <w:r>
        <w:rPr>
          <w:rFonts w:ascii="Arial Unicode MS" w:hAnsi="Arial Unicode MS" w:cs="Arial" w:hint="eastAsia"/>
          <w:kern w:val="0"/>
          <w:szCs w:val="21"/>
        </w:rPr>
        <w:t>考量</w:t>
      </w:r>
      <w:proofErr w:type="gramEnd"/>
      <w:r>
        <w:rPr>
          <w:rFonts w:ascii="Arial Unicode MS" w:hAnsi="Arial Unicode MS" w:cs="Arial" w:hint="eastAsia"/>
          <w:kern w:val="0"/>
          <w:szCs w:val="21"/>
        </w:rPr>
        <w:t>，以筛选出合适的投资标的。</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第一，基于全部公开信息对已经上市或待上市债券的发行主体进行研究，内容主要涉及发行人的股东背景、行业地位及发展趋势、担保方式及担保资产、外部增信质量、自由现金流量动态、债务压力、再融资能力等，并从以上角度对发行主体进行精细化分析和归类，规避信用风险偏高以及信用资质存在超预期下沉风险的</w:t>
      </w:r>
      <w:proofErr w:type="gramStart"/>
      <w:r>
        <w:rPr>
          <w:rFonts w:ascii="Arial Unicode MS" w:hAnsi="Arial Unicode MS" w:cs="Arial" w:hint="eastAsia"/>
          <w:kern w:val="0"/>
          <w:szCs w:val="21"/>
        </w:rPr>
        <w:t>个券</w:t>
      </w:r>
      <w:proofErr w:type="gramEnd"/>
      <w:r>
        <w:rPr>
          <w:rFonts w:ascii="Arial Unicode MS" w:hAnsi="Arial Unicode MS" w:cs="Arial" w:hint="eastAsia"/>
          <w:kern w:val="0"/>
          <w:szCs w:val="21"/>
        </w:rPr>
        <w:t>，甄选信用风险低、信用利差对信用风险补偿较好或信用资质存在优化可能的</w:t>
      </w:r>
      <w:proofErr w:type="gramStart"/>
      <w:r>
        <w:rPr>
          <w:rFonts w:ascii="Arial Unicode MS" w:hAnsi="Arial Unicode MS" w:cs="Arial" w:hint="eastAsia"/>
          <w:kern w:val="0"/>
          <w:szCs w:val="21"/>
        </w:rPr>
        <w:t>个券</w:t>
      </w:r>
      <w:proofErr w:type="gramEnd"/>
      <w:r>
        <w:rPr>
          <w:rFonts w:ascii="Arial Unicode MS" w:hAnsi="Arial Unicode MS" w:cs="Arial" w:hint="eastAsia"/>
          <w:kern w:val="0"/>
          <w:szCs w:val="21"/>
        </w:rPr>
        <w:t>，纳入债券池。</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lastRenderedPageBreak/>
        <w:t>第二，使用基金管理人内部的信用评估体系对备选</w:t>
      </w:r>
      <w:proofErr w:type="gramStart"/>
      <w:r>
        <w:rPr>
          <w:rFonts w:ascii="Arial Unicode MS" w:hAnsi="Arial Unicode MS" w:cs="Arial" w:hint="eastAsia"/>
          <w:kern w:val="0"/>
          <w:szCs w:val="21"/>
        </w:rPr>
        <w:t>个券</w:t>
      </w:r>
      <w:proofErr w:type="gramEnd"/>
      <w:r>
        <w:rPr>
          <w:rFonts w:ascii="Arial Unicode MS" w:hAnsi="Arial Unicode MS" w:cs="Arial" w:hint="eastAsia"/>
          <w:kern w:val="0"/>
          <w:szCs w:val="21"/>
        </w:rPr>
        <w:t>进行评分，着重考察发行人的经营稳定性、财务稳定性、外部支持三个核心要素。</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第三，对市场同类可比债券、信用收益率曲线、市场交易活跃度、机构需求进行偏好分析，对个</w:t>
      </w:r>
      <w:proofErr w:type="gramStart"/>
      <w:r>
        <w:rPr>
          <w:rFonts w:ascii="Arial Unicode MS" w:hAnsi="Arial Unicode MS" w:cs="Arial" w:hint="eastAsia"/>
          <w:kern w:val="0"/>
          <w:szCs w:val="21"/>
        </w:rPr>
        <w:t>券</w:t>
      </w:r>
      <w:proofErr w:type="gramEnd"/>
      <w:r>
        <w:rPr>
          <w:rFonts w:ascii="Arial Unicode MS" w:hAnsi="Arial Unicode MS" w:cs="Arial" w:hint="eastAsia"/>
          <w:kern w:val="0"/>
          <w:szCs w:val="21"/>
        </w:rPr>
        <w:t>进行流动性风险、信用风险的综合定价，判断其合理估值水平。</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第四，根据市场结构与需求特征，在前三个层次的分析基础上，对个</w:t>
      </w:r>
      <w:proofErr w:type="gramStart"/>
      <w:r>
        <w:rPr>
          <w:rFonts w:ascii="Arial Unicode MS" w:hAnsi="Arial Unicode MS" w:cs="Arial" w:hint="eastAsia"/>
          <w:kern w:val="0"/>
          <w:szCs w:val="21"/>
        </w:rPr>
        <w:t>券</w:t>
      </w:r>
      <w:proofErr w:type="gramEnd"/>
      <w:r>
        <w:rPr>
          <w:rFonts w:ascii="Arial Unicode MS" w:hAnsi="Arial Unicode MS" w:cs="Arial" w:hint="eastAsia"/>
          <w:kern w:val="0"/>
          <w:szCs w:val="21"/>
        </w:rPr>
        <w:t>进行深入的跟踪分析，发掘其中被市场低估的品种，在控制流动性风险的前提下，对低估品种进行择机配置和交易。</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针对中小企业私募债券，本基金以持有到期，获得本金和票息收入为主要投资策略，同时，密切关注债券的信用风险变化，力争在控制风险的前提下，获得较高收益。</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）杠杆投资策略</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本基金将综合考虑债券投资的风险收益以及回购成本等因素，在严格控制投资风险的前提下，通过正回购，获得杠杆放大收益。本基金资产总值不得超过基金资产净值的</w:t>
      </w:r>
      <w:r>
        <w:rPr>
          <w:rFonts w:ascii="Arial Unicode MS" w:hAnsi="Arial Unicode MS" w:cs="Arial" w:hint="eastAsia"/>
          <w:kern w:val="0"/>
          <w:szCs w:val="21"/>
        </w:rPr>
        <w:t>140%</w:t>
      </w:r>
      <w:r>
        <w:rPr>
          <w:rFonts w:ascii="Arial Unicode MS" w:hAnsi="Arial Unicode MS" w:cs="Arial" w:hint="eastAsia"/>
          <w:kern w:val="0"/>
          <w:szCs w:val="21"/>
        </w:rPr>
        <w:t>。</w:t>
      </w:r>
      <w:r>
        <w:rPr>
          <w:rFonts w:ascii="Arial Unicode MS" w:hAnsi="Arial Unicode MS" w:cs="Arial" w:hint="eastAsia"/>
          <w:kern w:val="0"/>
          <w:szCs w:val="21"/>
        </w:rPr>
        <w:t xml:space="preserve"> </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3</w:t>
      </w:r>
      <w:r>
        <w:rPr>
          <w:rFonts w:ascii="Arial Unicode MS" w:hAnsi="Arial Unicode MS" w:cs="Arial" w:hint="eastAsia"/>
          <w:kern w:val="0"/>
          <w:szCs w:val="21"/>
        </w:rPr>
        <w:t>、股票投资策略</w:t>
      </w:r>
      <w:r>
        <w:rPr>
          <w:rFonts w:ascii="Arial Unicode MS" w:hAnsi="Arial Unicode MS" w:cs="Arial" w:hint="eastAsia"/>
          <w:kern w:val="0"/>
          <w:szCs w:val="21"/>
        </w:rPr>
        <w:t xml:space="preserve"> </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本基金的股票投资策略以精选个股为主，发挥基金管理人专业研究团队的研究能力，从定量和定性两个方面考察上市公司的增值潜力。</w:t>
      </w:r>
      <w:r>
        <w:rPr>
          <w:rFonts w:ascii="Arial Unicode MS" w:hAnsi="Arial Unicode MS" w:cs="Arial" w:hint="eastAsia"/>
          <w:kern w:val="0"/>
          <w:szCs w:val="21"/>
        </w:rPr>
        <w:t xml:space="preserve"> </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定量方面综合考虑盈利能力、成长性、估值水平等多种因素，包括净资产与市值比率（</w:t>
      </w:r>
      <w:r>
        <w:rPr>
          <w:rFonts w:ascii="Arial Unicode MS" w:hAnsi="Arial Unicode MS" w:cs="Arial" w:hint="eastAsia"/>
          <w:kern w:val="0"/>
          <w:szCs w:val="21"/>
        </w:rPr>
        <w:t>B/P</w:t>
      </w:r>
      <w:r>
        <w:rPr>
          <w:rFonts w:ascii="Arial Unicode MS" w:hAnsi="Arial Unicode MS" w:cs="Arial" w:hint="eastAsia"/>
          <w:kern w:val="0"/>
          <w:szCs w:val="21"/>
        </w:rPr>
        <w:t>）、每股盈利</w:t>
      </w:r>
      <w:r>
        <w:rPr>
          <w:rFonts w:ascii="Arial Unicode MS" w:hAnsi="Arial Unicode MS" w:cs="Arial" w:hint="eastAsia"/>
          <w:kern w:val="0"/>
          <w:szCs w:val="21"/>
        </w:rPr>
        <w:t>/</w:t>
      </w:r>
      <w:r>
        <w:rPr>
          <w:rFonts w:ascii="Arial Unicode MS" w:hAnsi="Arial Unicode MS" w:cs="Arial" w:hint="eastAsia"/>
          <w:kern w:val="0"/>
          <w:szCs w:val="21"/>
        </w:rPr>
        <w:t>每股市价（</w:t>
      </w:r>
      <w:r>
        <w:rPr>
          <w:rFonts w:ascii="Arial Unicode MS" w:hAnsi="Arial Unicode MS" w:cs="Arial" w:hint="eastAsia"/>
          <w:kern w:val="0"/>
          <w:szCs w:val="21"/>
        </w:rPr>
        <w:t>E/P</w:t>
      </w:r>
      <w:r>
        <w:rPr>
          <w:rFonts w:ascii="Arial Unicode MS" w:hAnsi="Arial Unicode MS" w:cs="Arial" w:hint="eastAsia"/>
          <w:kern w:val="0"/>
          <w:szCs w:val="21"/>
        </w:rPr>
        <w:t>）、年现金流</w:t>
      </w:r>
      <w:r>
        <w:rPr>
          <w:rFonts w:ascii="Arial Unicode MS" w:hAnsi="Arial Unicode MS" w:cs="Arial" w:hint="eastAsia"/>
          <w:kern w:val="0"/>
          <w:szCs w:val="21"/>
        </w:rPr>
        <w:t>/</w:t>
      </w:r>
      <w:r>
        <w:rPr>
          <w:rFonts w:ascii="Arial Unicode MS" w:hAnsi="Arial Unicode MS" w:cs="Arial" w:hint="eastAsia"/>
          <w:kern w:val="0"/>
          <w:szCs w:val="21"/>
        </w:rPr>
        <w:t>市值（</w:t>
      </w:r>
      <w:r>
        <w:rPr>
          <w:rFonts w:ascii="Arial Unicode MS" w:hAnsi="Arial Unicode MS" w:cs="Arial" w:hint="eastAsia"/>
          <w:kern w:val="0"/>
          <w:szCs w:val="21"/>
        </w:rPr>
        <w:t>cashflow-to-price</w:t>
      </w:r>
      <w:r>
        <w:rPr>
          <w:rFonts w:ascii="Arial Unicode MS" w:hAnsi="Arial Unicode MS" w:cs="Arial" w:hint="eastAsia"/>
          <w:kern w:val="0"/>
          <w:szCs w:val="21"/>
        </w:rPr>
        <w:t>）和销售收入</w:t>
      </w:r>
      <w:r>
        <w:rPr>
          <w:rFonts w:ascii="Arial Unicode MS" w:hAnsi="Arial Unicode MS" w:cs="Arial" w:hint="eastAsia"/>
          <w:kern w:val="0"/>
          <w:szCs w:val="21"/>
        </w:rPr>
        <w:t>/</w:t>
      </w:r>
      <w:r>
        <w:rPr>
          <w:rFonts w:ascii="Arial Unicode MS" w:hAnsi="Arial Unicode MS" w:cs="Arial" w:hint="eastAsia"/>
          <w:kern w:val="0"/>
          <w:szCs w:val="21"/>
        </w:rPr>
        <w:t>市值（</w:t>
      </w:r>
      <w:r>
        <w:rPr>
          <w:rFonts w:ascii="Arial Unicode MS" w:hAnsi="Arial Unicode MS" w:cs="Arial" w:hint="eastAsia"/>
          <w:kern w:val="0"/>
          <w:szCs w:val="21"/>
        </w:rPr>
        <w:t>S/P</w:t>
      </w:r>
      <w:r>
        <w:rPr>
          <w:rFonts w:ascii="Arial Unicode MS" w:hAnsi="Arial Unicode MS" w:cs="Arial" w:hint="eastAsia"/>
          <w:kern w:val="0"/>
          <w:szCs w:val="21"/>
        </w:rPr>
        <w:t>）等价值指标以及净资产收益率（</w:t>
      </w:r>
      <w:r>
        <w:rPr>
          <w:rFonts w:ascii="Arial Unicode MS" w:hAnsi="Arial Unicode MS" w:cs="Arial" w:hint="eastAsia"/>
          <w:kern w:val="0"/>
          <w:szCs w:val="21"/>
        </w:rPr>
        <w:t>ROE</w:t>
      </w:r>
      <w:r>
        <w:rPr>
          <w:rFonts w:ascii="Arial Unicode MS" w:hAnsi="Arial Unicode MS" w:cs="Arial" w:hint="eastAsia"/>
          <w:kern w:val="0"/>
          <w:szCs w:val="21"/>
        </w:rPr>
        <w:t>）、每股收益增长率和主营业务收入增长率</w:t>
      </w:r>
      <w:proofErr w:type="gramStart"/>
      <w:r>
        <w:rPr>
          <w:rFonts w:ascii="Arial Unicode MS" w:hAnsi="Arial Unicode MS" w:cs="Arial" w:hint="eastAsia"/>
          <w:kern w:val="0"/>
          <w:szCs w:val="21"/>
        </w:rPr>
        <w:t>等成长</w:t>
      </w:r>
      <w:proofErr w:type="gramEnd"/>
      <w:r>
        <w:rPr>
          <w:rFonts w:ascii="Arial Unicode MS" w:hAnsi="Arial Unicode MS" w:cs="Arial" w:hint="eastAsia"/>
          <w:kern w:val="0"/>
          <w:szCs w:val="21"/>
        </w:rPr>
        <w:t>指标。</w:t>
      </w:r>
      <w:r>
        <w:rPr>
          <w:rFonts w:ascii="Arial Unicode MS" w:hAnsi="Arial Unicode MS" w:cs="Arial" w:hint="eastAsia"/>
          <w:kern w:val="0"/>
          <w:szCs w:val="21"/>
        </w:rPr>
        <w:t xml:space="preserve"> </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定性方面考察上市公司所属行业发展前景、行业地位、竞争优势等多种因素，精选流动性好、成长性高、估值水平低的股票进行投资。</w:t>
      </w:r>
      <w:r>
        <w:rPr>
          <w:rFonts w:ascii="Arial Unicode MS" w:hAnsi="Arial Unicode MS" w:cs="Arial" w:hint="eastAsia"/>
          <w:kern w:val="0"/>
          <w:szCs w:val="21"/>
        </w:rPr>
        <w:t xml:space="preserve"> </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4</w:t>
      </w:r>
      <w:r>
        <w:rPr>
          <w:rFonts w:ascii="Arial Unicode MS" w:hAnsi="Arial Unicode MS" w:cs="Arial" w:hint="eastAsia"/>
          <w:kern w:val="0"/>
          <w:szCs w:val="21"/>
        </w:rPr>
        <w:t>、权证投资策略</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基金不直接购买权证等衍生品资产，但有可能持有所持股票所派发的权证或因投资分离交易可转债而产生的权证等。本基金管理人将以价值分析为基础，在采用权证定价模型分析其合理定价的基础上，结合权证的溢价率、隐含波动率等指标选择权证的卖出时机。</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5</w:t>
      </w:r>
      <w:r>
        <w:rPr>
          <w:rFonts w:ascii="Arial Unicode MS" w:hAnsi="Arial Unicode MS" w:cs="Arial" w:hint="eastAsia"/>
          <w:kern w:val="0"/>
          <w:szCs w:val="21"/>
        </w:rPr>
        <w:t>、国债期货投资策略</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本基金将根据风险管理的原则，主要选择流动性好、交易活跃的国债期货合约进行交易，以对冲投资组合的系统性风险、有效管理现金流量或降低减仓</w:t>
      </w:r>
      <w:proofErr w:type="gramStart"/>
      <w:r>
        <w:rPr>
          <w:rFonts w:ascii="Arial Unicode MS" w:hAnsi="Arial Unicode MS" w:cs="Arial" w:hint="eastAsia"/>
          <w:kern w:val="0"/>
          <w:szCs w:val="21"/>
        </w:rPr>
        <w:t>或调仓过程</w:t>
      </w:r>
      <w:proofErr w:type="gramEnd"/>
      <w:r>
        <w:rPr>
          <w:rFonts w:ascii="Arial Unicode MS" w:hAnsi="Arial Unicode MS" w:cs="Arial" w:hint="eastAsia"/>
          <w:kern w:val="0"/>
          <w:szCs w:val="21"/>
        </w:rPr>
        <w:t>中的冲击成本等。</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6</w:t>
      </w:r>
      <w:r>
        <w:rPr>
          <w:rFonts w:ascii="Arial Unicode MS" w:hAnsi="Arial Unicode MS" w:cs="Arial" w:hint="eastAsia"/>
          <w:kern w:val="0"/>
          <w:szCs w:val="21"/>
        </w:rPr>
        <w:t>、资产支持证券投资策略</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本基金将深入分析资产支持证券的市场利率、发行条款、支持资产的构成及质量、提前偿还率、风险补偿收益和市场流动性等基本面因素，估计资产违约风险和提前偿付风险，并</w:t>
      </w:r>
      <w:r>
        <w:rPr>
          <w:rFonts w:ascii="Arial Unicode MS" w:hAnsi="Arial Unicode MS" w:cs="Arial" w:hint="eastAsia"/>
          <w:kern w:val="0"/>
          <w:szCs w:val="21"/>
        </w:rPr>
        <w:lastRenderedPageBreak/>
        <w:t>根据资产证券化的收益结构安排，模拟资产支持证券的本金偿还和利息收益的现金流过程，辅助采用定价模型，评估其内在价值。</w:t>
      </w:r>
    </w:p>
    <w:p w:rsidR="004C06C5" w:rsidRDefault="00ED474B">
      <w:pPr>
        <w:spacing w:line="360" w:lineRule="auto"/>
        <w:ind w:firstLineChars="200" w:firstLine="422"/>
        <w:rPr>
          <w:rFonts w:ascii="Arial Unicode MS" w:hAnsi="Arial Unicode MS" w:cs="Arial"/>
          <w:b/>
          <w:bCs/>
          <w:szCs w:val="21"/>
        </w:rPr>
      </w:pPr>
      <w:r>
        <w:rPr>
          <w:rFonts w:ascii="Arial Unicode MS" w:hAnsi="Arial Unicode MS" w:cs="Arial" w:hint="eastAsia"/>
          <w:b/>
          <w:szCs w:val="21"/>
        </w:rPr>
        <w:t>四、</w:t>
      </w:r>
      <w:bookmarkEnd w:id="63"/>
      <w:bookmarkEnd w:id="64"/>
      <w:bookmarkEnd w:id="65"/>
      <w:r>
        <w:rPr>
          <w:rFonts w:ascii="Arial Unicode MS" w:hAnsi="Arial Unicode MS" w:cs="Arial"/>
          <w:b/>
          <w:bCs/>
          <w:szCs w:val="21"/>
        </w:rPr>
        <w:t>投资限制</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、组合限制</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基金的投资组合应遵循以下限制：</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hint="eastAsia"/>
          <w:kern w:val="0"/>
          <w:szCs w:val="21"/>
        </w:rPr>
        <w:t>）本基金对债券的投资比例不低于基金资产的</w:t>
      </w:r>
      <w:r>
        <w:rPr>
          <w:rFonts w:ascii="Arial Unicode MS" w:hAnsi="Arial Unicode MS" w:cs="Arial" w:hint="eastAsia"/>
          <w:kern w:val="0"/>
          <w:szCs w:val="21"/>
        </w:rPr>
        <w:t>80%</w:t>
      </w:r>
      <w:r>
        <w:rPr>
          <w:rFonts w:ascii="Arial Unicode MS" w:hAnsi="Arial Unicode MS" w:cs="Arial" w:hint="eastAsia"/>
          <w:kern w:val="0"/>
          <w:szCs w:val="21"/>
        </w:rPr>
        <w:t>；对权益类资产的投资比例不超过基金资产的</w:t>
      </w:r>
      <w:r>
        <w:rPr>
          <w:rFonts w:ascii="Arial Unicode MS" w:hAnsi="Arial Unicode MS" w:cs="Arial" w:hint="eastAsia"/>
          <w:kern w:val="0"/>
          <w:szCs w:val="21"/>
        </w:rPr>
        <w:t>20%</w:t>
      </w:r>
      <w:r>
        <w:rPr>
          <w:rFonts w:ascii="Arial Unicode MS" w:hAnsi="Arial Unicode MS" w:cs="Arial" w:hint="eastAsia"/>
          <w:kern w:val="0"/>
          <w:szCs w:val="21"/>
        </w:rPr>
        <w:t>；</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）本基金每个交易日日终在扣除国债期货合约需缴纳的交易保证金后，现金或到期日在一年以内的政府债券的投资比例不低于基金资产净值的</w:t>
      </w:r>
      <w:r>
        <w:rPr>
          <w:rFonts w:ascii="Arial Unicode MS" w:hAnsi="Arial Unicode MS" w:cs="Arial" w:hint="eastAsia"/>
          <w:kern w:val="0"/>
          <w:szCs w:val="21"/>
        </w:rPr>
        <w:t>5%</w:t>
      </w:r>
      <w:r>
        <w:rPr>
          <w:rFonts w:ascii="Arial Unicode MS" w:hAnsi="Arial Unicode MS" w:cs="Arial" w:hint="eastAsia"/>
          <w:kern w:val="0"/>
          <w:szCs w:val="21"/>
        </w:rPr>
        <w:t>，其中现金不包括结算备付金、存出保证金、应收申购款等；</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3</w:t>
      </w:r>
      <w:r>
        <w:rPr>
          <w:rFonts w:ascii="Arial Unicode MS" w:hAnsi="Arial Unicode MS" w:cs="Arial" w:hint="eastAsia"/>
          <w:kern w:val="0"/>
          <w:szCs w:val="21"/>
        </w:rPr>
        <w:t>）本基金持有一家公司发行的证券，其市值不超过基金资产净值的</w:t>
      </w:r>
      <w:r>
        <w:rPr>
          <w:rFonts w:ascii="Arial Unicode MS" w:hAnsi="Arial Unicode MS" w:cs="Arial" w:hint="eastAsia"/>
          <w:kern w:val="0"/>
          <w:szCs w:val="21"/>
        </w:rPr>
        <w:t>10%</w:t>
      </w:r>
      <w:r>
        <w:rPr>
          <w:rFonts w:ascii="Arial Unicode MS" w:hAnsi="Arial Unicode MS" w:cs="Arial" w:hint="eastAsia"/>
          <w:kern w:val="0"/>
          <w:szCs w:val="21"/>
        </w:rPr>
        <w:t>；</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4</w:t>
      </w:r>
      <w:r>
        <w:rPr>
          <w:rFonts w:ascii="Arial Unicode MS" w:hAnsi="Arial Unicode MS" w:cs="Arial" w:hint="eastAsia"/>
          <w:kern w:val="0"/>
          <w:szCs w:val="21"/>
        </w:rPr>
        <w:t>）本基金管理人管理的全部基金持有一家公司发行的证券，不超过该证券的</w:t>
      </w:r>
      <w:r>
        <w:rPr>
          <w:rFonts w:ascii="Arial Unicode MS" w:hAnsi="Arial Unicode MS" w:cs="Arial" w:hint="eastAsia"/>
          <w:kern w:val="0"/>
          <w:szCs w:val="21"/>
        </w:rPr>
        <w:t>10%</w:t>
      </w:r>
      <w:r>
        <w:rPr>
          <w:rFonts w:ascii="Arial Unicode MS" w:hAnsi="Arial Unicode MS" w:cs="Arial" w:hint="eastAsia"/>
          <w:kern w:val="0"/>
          <w:szCs w:val="21"/>
        </w:rPr>
        <w:t>；</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5</w:t>
      </w:r>
      <w:r>
        <w:rPr>
          <w:rFonts w:ascii="Arial Unicode MS" w:hAnsi="Arial Unicode MS" w:cs="Arial" w:hint="eastAsia"/>
          <w:kern w:val="0"/>
          <w:szCs w:val="21"/>
        </w:rPr>
        <w:t>）本基金持有的全部权证，其市值不得超过基金资产净值的</w:t>
      </w:r>
      <w:r>
        <w:rPr>
          <w:rFonts w:ascii="Arial Unicode MS" w:hAnsi="Arial Unicode MS" w:cs="Arial" w:hint="eastAsia"/>
          <w:kern w:val="0"/>
          <w:szCs w:val="21"/>
        </w:rPr>
        <w:t>3%</w:t>
      </w:r>
      <w:r>
        <w:rPr>
          <w:rFonts w:ascii="Arial Unicode MS" w:hAnsi="Arial Unicode MS" w:cs="Arial" w:hint="eastAsia"/>
          <w:kern w:val="0"/>
          <w:szCs w:val="21"/>
        </w:rPr>
        <w:t>；</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6</w:t>
      </w:r>
      <w:r>
        <w:rPr>
          <w:rFonts w:ascii="Arial Unicode MS" w:hAnsi="Arial Unicode MS" w:cs="Arial" w:hint="eastAsia"/>
          <w:kern w:val="0"/>
          <w:szCs w:val="21"/>
        </w:rPr>
        <w:t>）本基金在任何交易日买入权证的总金额，不得超过上一交易日基金资产净值的</w:t>
      </w:r>
      <w:r>
        <w:rPr>
          <w:rFonts w:ascii="Arial Unicode MS" w:hAnsi="Arial Unicode MS" w:cs="Arial" w:hint="eastAsia"/>
          <w:kern w:val="0"/>
          <w:szCs w:val="21"/>
        </w:rPr>
        <w:t>0.5%</w:t>
      </w:r>
      <w:r>
        <w:rPr>
          <w:rFonts w:ascii="Arial Unicode MS" w:hAnsi="Arial Unicode MS" w:cs="Arial" w:hint="eastAsia"/>
          <w:kern w:val="0"/>
          <w:szCs w:val="21"/>
        </w:rPr>
        <w:t>；</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7</w:t>
      </w:r>
      <w:r>
        <w:rPr>
          <w:rFonts w:ascii="Arial Unicode MS" w:hAnsi="Arial Unicode MS" w:cs="Arial" w:hint="eastAsia"/>
          <w:kern w:val="0"/>
          <w:szCs w:val="21"/>
        </w:rPr>
        <w:t>）本基金进入全国银行间同业市场进行债券回购的资金余额不得超过基金资产净值的</w:t>
      </w:r>
      <w:r>
        <w:rPr>
          <w:rFonts w:ascii="Arial Unicode MS" w:hAnsi="Arial Unicode MS" w:cs="Arial" w:hint="eastAsia"/>
          <w:kern w:val="0"/>
          <w:szCs w:val="21"/>
        </w:rPr>
        <w:t>40%</w:t>
      </w:r>
      <w:r>
        <w:rPr>
          <w:rFonts w:ascii="Arial Unicode MS" w:hAnsi="Arial Unicode MS" w:cs="Arial" w:hint="eastAsia"/>
          <w:kern w:val="0"/>
          <w:szCs w:val="21"/>
        </w:rPr>
        <w:t>，在全国银行间同业市场中的债券回购最长期限为</w:t>
      </w:r>
      <w:r>
        <w:rPr>
          <w:rFonts w:ascii="Arial Unicode MS" w:hAnsi="Arial Unicode MS" w:cs="Arial" w:hint="eastAsia"/>
          <w:kern w:val="0"/>
          <w:szCs w:val="21"/>
        </w:rPr>
        <w:t>1</w:t>
      </w:r>
      <w:r>
        <w:rPr>
          <w:rFonts w:ascii="Arial Unicode MS" w:hAnsi="Arial Unicode MS" w:cs="Arial" w:hint="eastAsia"/>
          <w:kern w:val="0"/>
          <w:szCs w:val="21"/>
        </w:rPr>
        <w:t>年，债券回购到期后</w:t>
      </w:r>
      <w:proofErr w:type="gramStart"/>
      <w:r>
        <w:rPr>
          <w:rFonts w:ascii="Arial Unicode MS" w:hAnsi="Arial Unicode MS" w:cs="Arial" w:hint="eastAsia"/>
          <w:kern w:val="0"/>
          <w:szCs w:val="21"/>
        </w:rPr>
        <w:t>不</w:t>
      </w:r>
      <w:proofErr w:type="gramEnd"/>
      <w:r>
        <w:rPr>
          <w:rFonts w:ascii="Arial Unicode MS" w:hAnsi="Arial Unicode MS" w:cs="Arial" w:hint="eastAsia"/>
          <w:kern w:val="0"/>
          <w:szCs w:val="21"/>
        </w:rPr>
        <w:t>展期；</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8</w:t>
      </w:r>
      <w:r>
        <w:rPr>
          <w:rFonts w:ascii="Arial Unicode MS" w:hAnsi="Arial Unicode MS" w:cs="Arial" w:hint="eastAsia"/>
          <w:kern w:val="0"/>
          <w:szCs w:val="21"/>
        </w:rPr>
        <w:t>）本基金投资于同一原始权益人的各类资产支持证券的比例，不得超过基金资产净值的</w:t>
      </w:r>
      <w:r>
        <w:rPr>
          <w:rFonts w:ascii="Arial Unicode MS" w:hAnsi="Arial Unicode MS" w:cs="Arial" w:hint="eastAsia"/>
          <w:kern w:val="0"/>
          <w:szCs w:val="21"/>
        </w:rPr>
        <w:t>10%</w:t>
      </w:r>
      <w:r>
        <w:rPr>
          <w:rFonts w:ascii="Arial Unicode MS" w:hAnsi="Arial Unicode MS" w:cs="Arial" w:hint="eastAsia"/>
          <w:kern w:val="0"/>
          <w:szCs w:val="21"/>
        </w:rPr>
        <w:t>；</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9</w:t>
      </w:r>
      <w:r>
        <w:rPr>
          <w:rFonts w:ascii="Arial Unicode MS" w:hAnsi="Arial Unicode MS" w:cs="Arial" w:hint="eastAsia"/>
          <w:kern w:val="0"/>
          <w:szCs w:val="21"/>
        </w:rPr>
        <w:t>）本基金持有的全部资产支持证券，其市值不得超过基金资产净值的</w:t>
      </w:r>
      <w:r>
        <w:rPr>
          <w:rFonts w:ascii="Arial Unicode MS" w:hAnsi="Arial Unicode MS" w:cs="Arial" w:hint="eastAsia"/>
          <w:kern w:val="0"/>
          <w:szCs w:val="21"/>
        </w:rPr>
        <w:t>20%</w:t>
      </w:r>
      <w:r>
        <w:rPr>
          <w:rFonts w:ascii="Arial Unicode MS" w:hAnsi="Arial Unicode MS" w:cs="Arial" w:hint="eastAsia"/>
          <w:kern w:val="0"/>
          <w:szCs w:val="21"/>
        </w:rPr>
        <w:t>；</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10</w:t>
      </w:r>
      <w:r>
        <w:rPr>
          <w:rFonts w:ascii="Arial Unicode MS" w:hAnsi="Arial Unicode MS" w:cs="Arial" w:hint="eastAsia"/>
          <w:kern w:val="0"/>
          <w:szCs w:val="21"/>
        </w:rPr>
        <w:t>）本基金持有的同一</w:t>
      </w:r>
      <w:r>
        <w:rPr>
          <w:rFonts w:ascii="Arial Unicode MS" w:hAnsi="Arial Unicode MS" w:cs="Arial" w:hint="eastAsia"/>
          <w:kern w:val="0"/>
          <w:szCs w:val="21"/>
        </w:rPr>
        <w:t>(</w:t>
      </w:r>
      <w:r>
        <w:rPr>
          <w:rFonts w:ascii="Arial Unicode MS" w:hAnsi="Arial Unicode MS" w:cs="Arial" w:hint="eastAsia"/>
          <w:kern w:val="0"/>
          <w:szCs w:val="21"/>
        </w:rPr>
        <w:t>指同一信用级别</w:t>
      </w:r>
      <w:r>
        <w:rPr>
          <w:rFonts w:ascii="Arial Unicode MS" w:hAnsi="Arial Unicode MS" w:cs="Arial" w:hint="eastAsia"/>
          <w:kern w:val="0"/>
          <w:szCs w:val="21"/>
        </w:rPr>
        <w:t>)</w:t>
      </w:r>
      <w:r>
        <w:rPr>
          <w:rFonts w:ascii="Arial Unicode MS" w:hAnsi="Arial Unicode MS" w:cs="Arial" w:hint="eastAsia"/>
          <w:kern w:val="0"/>
          <w:szCs w:val="21"/>
        </w:rPr>
        <w:t>资产支持证券的比例，不得超过该资产支持证券规模的</w:t>
      </w:r>
      <w:r>
        <w:rPr>
          <w:rFonts w:ascii="Arial Unicode MS" w:hAnsi="Arial Unicode MS" w:cs="Arial" w:hint="eastAsia"/>
          <w:kern w:val="0"/>
          <w:szCs w:val="21"/>
        </w:rPr>
        <w:t>10%</w:t>
      </w:r>
      <w:r>
        <w:rPr>
          <w:rFonts w:ascii="Arial Unicode MS" w:hAnsi="Arial Unicode MS" w:cs="Arial" w:hint="eastAsia"/>
          <w:kern w:val="0"/>
          <w:szCs w:val="21"/>
        </w:rPr>
        <w:t>；</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11</w:t>
      </w:r>
      <w:r>
        <w:rPr>
          <w:rFonts w:ascii="Arial Unicode MS" w:hAnsi="Arial Unicode MS" w:cs="Arial" w:hint="eastAsia"/>
          <w:kern w:val="0"/>
          <w:szCs w:val="21"/>
        </w:rPr>
        <w:t>）本基金管理人管理的全部基金投资于同一原始权益人的各类资产支持证券，不得超过其各类资产支持证券合计规模的</w:t>
      </w:r>
      <w:r>
        <w:rPr>
          <w:rFonts w:ascii="Arial Unicode MS" w:hAnsi="Arial Unicode MS" w:cs="Arial" w:hint="eastAsia"/>
          <w:kern w:val="0"/>
          <w:szCs w:val="21"/>
        </w:rPr>
        <w:t>10%</w:t>
      </w:r>
      <w:r>
        <w:rPr>
          <w:rFonts w:ascii="Arial Unicode MS" w:hAnsi="Arial Unicode MS" w:cs="Arial" w:hint="eastAsia"/>
          <w:kern w:val="0"/>
          <w:szCs w:val="21"/>
        </w:rPr>
        <w:t>；</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12</w:t>
      </w:r>
      <w:r>
        <w:rPr>
          <w:rFonts w:ascii="Arial Unicode MS" w:hAnsi="Arial Unicode MS" w:cs="Arial" w:hint="eastAsia"/>
          <w:kern w:val="0"/>
          <w:szCs w:val="21"/>
        </w:rPr>
        <w:t>）本基金应投资于信用级别评级为</w:t>
      </w:r>
      <w:r>
        <w:rPr>
          <w:rFonts w:ascii="Arial Unicode MS" w:hAnsi="Arial Unicode MS" w:cs="Arial" w:hint="eastAsia"/>
          <w:kern w:val="0"/>
          <w:szCs w:val="21"/>
        </w:rPr>
        <w:t>BBB</w:t>
      </w:r>
      <w:r>
        <w:rPr>
          <w:rFonts w:ascii="Arial Unicode MS" w:hAnsi="Arial Unicode MS" w:cs="Arial" w:hint="eastAsia"/>
          <w:kern w:val="0"/>
          <w:szCs w:val="21"/>
        </w:rPr>
        <w:t>以上（含</w:t>
      </w:r>
      <w:r>
        <w:rPr>
          <w:rFonts w:ascii="Arial Unicode MS" w:hAnsi="Arial Unicode MS" w:cs="Arial" w:hint="eastAsia"/>
          <w:kern w:val="0"/>
          <w:szCs w:val="21"/>
        </w:rPr>
        <w:t>BBB</w:t>
      </w:r>
      <w:r>
        <w:rPr>
          <w:rFonts w:ascii="Arial Unicode MS" w:hAnsi="Arial Unicode MS" w:cs="Arial" w:hint="eastAsia"/>
          <w:kern w:val="0"/>
          <w:szCs w:val="21"/>
        </w:rPr>
        <w:t>）的资产支持证券。基金持有资产支持证券期间，如果其信用等级下降、不再符合投资标准，应在评级报告发布之日起</w:t>
      </w:r>
      <w:r>
        <w:rPr>
          <w:rFonts w:ascii="Arial Unicode MS" w:hAnsi="Arial Unicode MS" w:cs="Arial" w:hint="eastAsia"/>
          <w:kern w:val="0"/>
          <w:szCs w:val="21"/>
        </w:rPr>
        <w:t>3</w:t>
      </w:r>
      <w:r>
        <w:rPr>
          <w:rFonts w:ascii="Arial Unicode MS" w:hAnsi="Arial Unicode MS" w:cs="Arial" w:hint="eastAsia"/>
          <w:kern w:val="0"/>
          <w:szCs w:val="21"/>
        </w:rPr>
        <w:t>个月内予以全部卖出；</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lastRenderedPageBreak/>
        <w:t>（</w:t>
      </w:r>
      <w:r>
        <w:rPr>
          <w:rFonts w:ascii="Arial Unicode MS" w:hAnsi="Arial Unicode MS" w:cs="Arial" w:hint="eastAsia"/>
          <w:kern w:val="0"/>
          <w:szCs w:val="21"/>
        </w:rPr>
        <w:t>13</w:t>
      </w:r>
      <w:r>
        <w:rPr>
          <w:rFonts w:ascii="Arial Unicode MS" w:hAnsi="Arial Unicode MS" w:cs="Arial" w:hint="eastAsia"/>
          <w:kern w:val="0"/>
          <w:szCs w:val="21"/>
        </w:rPr>
        <w:t>）本基金投资于中小企业私募债券比例合计不高于基金资产的</w:t>
      </w:r>
      <w:r>
        <w:rPr>
          <w:rFonts w:ascii="Arial Unicode MS" w:hAnsi="Arial Unicode MS" w:cs="Arial" w:hint="eastAsia"/>
          <w:kern w:val="0"/>
          <w:szCs w:val="21"/>
        </w:rPr>
        <w:t>10%</w:t>
      </w:r>
      <w:r>
        <w:rPr>
          <w:rFonts w:ascii="Arial Unicode MS" w:hAnsi="Arial Unicode MS" w:cs="Arial" w:hint="eastAsia"/>
          <w:kern w:val="0"/>
          <w:szCs w:val="21"/>
        </w:rPr>
        <w:t>；</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14</w:t>
      </w:r>
      <w:r>
        <w:rPr>
          <w:rFonts w:ascii="Arial Unicode MS" w:hAnsi="Arial Unicode MS" w:cs="Arial" w:hint="eastAsia"/>
          <w:kern w:val="0"/>
          <w:szCs w:val="21"/>
        </w:rPr>
        <w:t>）基金资产总值不得超过基金资产净值的</w:t>
      </w:r>
      <w:r>
        <w:rPr>
          <w:rFonts w:ascii="Arial Unicode MS" w:hAnsi="Arial Unicode MS" w:cs="Arial" w:hint="eastAsia"/>
          <w:kern w:val="0"/>
          <w:szCs w:val="21"/>
        </w:rPr>
        <w:t>140%</w:t>
      </w:r>
      <w:r>
        <w:rPr>
          <w:rFonts w:ascii="Arial Unicode MS" w:hAnsi="Arial Unicode MS" w:cs="Arial" w:hint="eastAsia"/>
          <w:kern w:val="0"/>
          <w:szCs w:val="21"/>
        </w:rPr>
        <w:t>；</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15</w:t>
      </w:r>
      <w:r>
        <w:rPr>
          <w:rFonts w:ascii="Arial Unicode MS" w:hAnsi="Arial Unicode MS" w:cs="Arial" w:hint="eastAsia"/>
          <w:kern w:val="0"/>
          <w:szCs w:val="21"/>
        </w:rPr>
        <w:t>）本基金参与国债期货交易，需遵守下列投资比例限制：</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）基金在任何交易日日终，持有的买入国债期货合约价值，不得超过基金资产净值的</w:t>
      </w:r>
      <w:r>
        <w:rPr>
          <w:rFonts w:ascii="Arial Unicode MS" w:hAnsi="Arial Unicode MS" w:cs="Arial" w:hint="eastAsia"/>
          <w:kern w:val="0"/>
          <w:szCs w:val="21"/>
        </w:rPr>
        <w:t>15%</w:t>
      </w:r>
      <w:r>
        <w:rPr>
          <w:rFonts w:ascii="Arial Unicode MS" w:hAnsi="Arial Unicode MS" w:cs="Arial" w:hint="eastAsia"/>
          <w:kern w:val="0"/>
          <w:szCs w:val="21"/>
        </w:rPr>
        <w:t>；</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）基金在任何交易日日终，持有的卖出国债期货合约价值不得超过基金持有的债券总市值的</w:t>
      </w:r>
      <w:r>
        <w:rPr>
          <w:rFonts w:ascii="Arial Unicode MS" w:hAnsi="Arial Unicode MS" w:cs="Arial" w:hint="eastAsia"/>
          <w:kern w:val="0"/>
          <w:szCs w:val="21"/>
        </w:rPr>
        <w:t>30%</w:t>
      </w:r>
      <w:r>
        <w:rPr>
          <w:rFonts w:ascii="Arial Unicode MS" w:hAnsi="Arial Unicode MS" w:cs="Arial" w:hint="eastAsia"/>
          <w:kern w:val="0"/>
          <w:szCs w:val="21"/>
        </w:rPr>
        <w:t>；</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3</w:t>
      </w:r>
      <w:r>
        <w:rPr>
          <w:rFonts w:ascii="Arial Unicode MS" w:hAnsi="Arial Unicode MS" w:cs="Arial" w:hint="eastAsia"/>
          <w:kern w:val="0"/>
          <w:szCs w:val="21"/>
        </w:rPr>
        <w:t>）基金在任何交易日内交易（不包括平仓）的国债期货合约的成交金额不得超过上一交易日基金资产净值的</w:t>
      </w:r>
      <w:r>
        <w:rPr>
          <w:rFonts w:ascii="Arial Unicode MS" w:hAnsi="Arial Unicode MS" w:cs="Arial" w:hint="eastAsia"/>
          <w:kern w:val="0"/>
          <w:szCs w:val="21"/>
        </w:rPr>
        <w:t>30%</w:t>
      </w:r>
      <w:r>
        <w:rPr>
          <w:rFonts w:ascii="Arial Unicode MS" w:hAnsi="Arial Unicode MS" w:cs="Arial" w:hint="eastAsia"/>
          <w:kern w:val="0"/>
          <w:szCs w:val="21"/>
        </w:rPr>
        <w:t>；</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4</w:t>
      </w:r>
      <w:r>
        <w:rPr>
          <w:rFonts w:ascii="Arial Unicode MS" w:hAnsi="Arial Unicode MS" w:cs="Arial" w:hint="eastAsia"/>
          <w:kern w:val="0"/>
          <w:szCs w:val="21"/>
        </w:rPr>
        <w:t>）基金所持有的债券（不含到期日在一年以内的政府债券）市值和买入、卖出国债期货合约价值，合计（轧差计算）应当符合基金合同关于债券投资比例的有关约定。</w:t>
      </w:r>
    </w:p>
    <w:p w:rsidR="004C06C5" w:rsidRDefault="00ED474B">
      <w:pPr>
        <w:spacing w:line="360" w:lineRule="auto"/>
        <w:ind w:firstLineChars="200" w:firstLine="420"/>
        <w:rPr>
          <w:bCs/>
          <w:szCs w:val="21"/>
        </w:rPr>
      </w:pPr>
      <w:r>
        <w:rPr>
          <w:rFonts w:hint="eastAsia"/>
          <w:bCs/>
          <w:szCs w:val="21"/>
        </w:rPr>
        <w:t>（</w:t>
      </w:r>
      <w:r>
        <w:rPr>
          <w:bCs/>
          <w:szCs w:val="21"/>
        </w:rPr>
        <w:t>16</w:t>
      </w:r>
      <w:r>
        <w:rPr>
          <w:rFonts w:hint="eastAsia"/>
          <w:bCs/>
          <w:szCs w:val="21"/>
        </w:rPr>
        <w:t>）本基金管理人管理的全部开放式基金（包括开放式基金以及处于开放期的定期开放基金）持有一家上市公司发行的可流通股票，不得超过该上市公司可流通股票的</w:t>
      </w:r>
      <w:r>
        <w:rPr>
          <w:bCs/>
          <w:szCs w:val="21"/>
        </w:rPr>
        <w:t>15%</w:t>
      </w:r>
      <w:r>
        <w:rPr>
          <w:rFonts w:hint="eastAsia"/>
          <w:bCs/>
          <w:szCs w:val="21"/>
        </w:rPr>
        <w:t>；本基金管理人管理的全部投资组合持有一家上市公司发行的可流通股票，不得超过该上市公司可流通股票的</w:t>
      </w:r>
      <w:r>
        <w:rPr>
          <w:bCs/>
          <w:szCs w:val="21"/>
        </w:rPr>
        <w:t>30%</w:t>
      </w:r>
      <w:r>
        <w:rPr>
          <w:rFonts w:hint="eastAsia"/>
          <w:bCs/>
          <w:szCs w:val="21"/>
        </w:rPr>
        <w:t>；</w:t>
      </w:r>
    </w:p>
    <w:p w:rsidR="004C06C5" w:rsidRDefault="00ED474B">
      <w:pPr>
        <w:spacing w:line="360" w:lineRule="auto"/>
        <w:ind w:firstLineChars="200" w:firstLine="420"/>
        <w:rPr>
          <w:bCs/>
          <w:szCs w:val="21"/>
        </w:rPr>
      </w:pPr>
      <w:r>
        <w:rPr>
          <w:rFonts w:hint="eastAsia"/>
          <w:bCs/>
          <w:szCs w:val="21"/>
        </w:rPr>
        <w:t>（</w:t>
      </w:r>
      <w:r>
        <w:rPr>
          <w:bCs/>
          <w:szCs w:val="21"/>
        </w:rPr>
        <w:t>17</w:t>
      </w:r>
      <w:r>
        <w:rPr>
          <w:rFonts w:hint="eastAsia"/>
          <w:bCs/>
          <w:szCs w:val="21"/>
        </w:rPr>
        <w:t>）本基金主动投资于流动性受限资产的市值合计不得超过该基金资产净值的</w:t>
      </w:r>
      <w:r>
        <w:rPr>
          <w:bCs/>
          <w:szCs w:val="21"/>
        </w:rPr>
        <w:t>15%</w:t>
      </w:r>
      <w:r>
        <w:rPr>
          <w:rFonts w:hint="eastAsia"/>
          <w:bCs/>
          <w:szCs w:val="21"/>
        </w:rPr>
        <w:t>；</w:t>
      </w:r>
    </w:p>
    <w:p w:rsidR="004C06C5" w:rsidRDefault="00ED474B">
      <w:pPr>
        <w:spacing w:line="360" w:lineRule="auto"/>
        <w:ind w:firstLineChars="200" w:firstLine="420"/>
        <w:rPr>
          <w:bCs/>
          <w:szCs w:val="21"/>
        </w:rPr>
      </w:pPr>
      <w:r>
        <w:rPr>
          <w:rFonts w:hint="eastAsia"/>
          <w:bCs/>
          <w:szCs w:val="21"/>
        </w:rPr>
        <w:t>因证券市场波动、上市公司股票停牌、基金规模变动等基金管理人之外的因素致使基金不符合前款所规定比例限制的，基金管理人不得主动新增流动性受限资产的投资；</w:t>
      </w:r>
    </w:p>
    <w:p w:rsidR="004C06C5" w:rsidRDefault="00ED474B">
      <w:pPr>
        <w:spacing w:line="360" w:lineRule="auto"/>
        <w:ind w:firstLineChars="200" w:firstLine="420"/>
        <w:rPr>
          <w:bCs/>
          <w:szCs w:val="21"/>
        </w:rPr>
      </w:pPr>
      <w:r>
        <w:rPr>
          <w:rFonts w:hint="eastAsia"/>
          <w:bCs/>
          <w:szCs w:val="21"/>
        </w:rPr>
        <w:t>（</w:t>
      </w:r>
      <w:r>
        <w:rPr>
          <w:bCs/>
          <w:szCs w:val="21"/>
        </w:rPr>
        <w:t>18</w:t>
      </w:r>
      <w:r>
        <w:rPr>
          <w:rFonts w:hint="eastAsia"/>
          <w:bCs/>
          <w:szCs w:val="21"/>
        </w:rPr>
        <w:t>）本基金与私募类</w:t>
      </w:r>
      <w:proofErr w:type="gramStart"/>
      <w:r>
        <w:rPr>
          <w:rFonts w:hint="eastAsia"/>
          <w:bCs/>
          <w:szCs w:val="21"/>
        </w:rPr>
        <w:t>证券资管产品</w:t>
      </w:r>
      <w:proofErr w:type="gramEnd"/>
      <w:r>
        <w:rPr>
          <w:rFonts w:hint="eastAsia"/>
          <w:bCs/>
          <w:szCs w:val="21"/>
        </w:rPr>
        <w:t>及中国证监会认定的其他主体为交易对手开展逆回购交易的，可接受质押品的资质要求应当与基金合同约定的投资范围保持一致；</w:t>
      </w:r>
    </w:p>
    <w:p w:rsidR="004C06C5" w:rsidRDefault="00ED474B">
      <w:pPr>
        <w:spacing w:line="360" w:lineRule="auto"/>
        <w:ind w:firstLineChars="200" w:firstLine="420"/>
        <w:rPr>
          <w:bCs/>
          <w:szCs w:val="21"/>
        </w:rPr>
      </w:pPr>
      <w:r>
        <w:rPr>
          <w:rFonts w:hint="eastAsia"/>
          <w:bCs/>
          <w:szCs w:val="21"/>
        </w:rPr>
        <w:t>（</w:t>
      </w:r>
      <w:r>
        <w:rPr>
          <w:bCs/>
          <w:szCs w:val="21"/>
        </w:rPr>
        <w:t>19</w:t>
      </w:r>
      <w:r>
        <w:rPr>
          <w:rFonts w:hint="eastAsia"/>
          <w:bCs/>
          <w:szCs w:val="21"/>
        </w:rPr>
        <w:t>）法律法规及中国证监会规定的和《基金合同》约定的其他投资限制。</w:t>
      </w:r>
    </w:p>
    <w:p w:rsidR="004C06C5" w:rsidRDefault="00ED474B">
      <w:pPr>
        <w:spacing w:line="360" w:lineRule="auto"/>
        <w:ind w:firstLineChars="200" w:firstLine="420"/>
        <w:rPr>
          <w:bCs/>
          <w:szCs w:val="21"/>
        </w:rPr>
      </w:pPr>
      <w:r>
        <w:rPr>
          <w:rFonts w:hint="eastAsia"/>
          <w:bCs/>
          <w:szCs w:val="21"/>
        </w:rPr>
        <w:t>除上述第（</w:t>
      </w:r>
      <w:r>
        <w:rPr>
          <w:bCs/>
          <w:szCs w:val="21"/>
        </w:rPr>
        <w:t>2</w:t>
      </w:r>
      <w:r>
        <w:rPr>
          <w:rFonts w:hint="eastAsia"/>
          <w:bCs/>
          <w:szCs w:val="21"/>
        </w:rPr>
        <w:t>）、（</w:t>
      </w:r>
      <w:r>
        <w:rPr>
          <w:bCs/>
          <w:szCs w:val="21"/>
        </w:rPr>
        <w:t>12</w:t>
      </w:r>
      <w:r>
        <w:rPr>
          <w:rFonts w:hint="eastAsia"/>
          <w:bCs/>
          <w:szCs w:val="21"/>
        </w:rPr>
        <w:t>）、（</w:t>
      </w:r>
      <w:r>
        <w:rPr>
          <w:bCs/>
          <w:szCs w:val="21"/>
        </w:rPr>
        <w:t>17</w:t>
      </w:r>
      <w:r>
        <w:rPr>
          <w:rFonts w:hint="eastAsia"/>
          <w:bCs/>
          <w:szCs w:val="21"/>
        </w:rPr>
        <w:t>）、（</w:t>
      </w:r>
      <w:r>
        <w:rPr>
          <w:bCs/>
          <w:szCs w:val="21"/>
        </w:rPr>
        <w:t>18</w:t>
      </w:r>
      <w:r>
        <w:rPr>
          <w:rFonts w:hint="eastAsia"/>
          <w:bCs/>
          <w:szCs w:val="21"/>
        </w:rPr>
        <w:t>）项外，因证券、期货市场波动、证券发行人合并、基金规模变动等基金管理人之外的因素致使基金投资比例不符合上述规定投资比例的，基金管理人应当在</w:t>
      </w:r>
      <w:r>
        <w:rPr>
          <w:bCs/>
          <w:szCs w:val="21"/>
        </w:rPr>
        <w:t>10</w:t>
      </w:r>
      <w:r>
        <w:rPr>
          <w:rFonts w:hint="eastAsia"/>
          <w:bCs/>
          <w:szCs w:val="21"/>
        </w:rPr>
        <w:t>个交易日内进行调整，但中国证监会规定的特殊情形除外。法律法规或监管机构另有规定的，从其规定。</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基金管理人应当自基金合同生效之日起</w:t>
      </w:r>
      <w:r>
        <w:rPr>
          <w:rFonts w:ascii="Arial Unicode MS" w:hAnsi="Arial Unicode MS" w:cs="Arial" w:hint="eastAsia"/>
          <w:kern w:val="0"/>
          <w:szCs w:val="21"/>
        </w:rPr>
        <w:t>6</w:t>
      </w:r>
      <w:r>
        <w:rPr>
          <w:rFonts w:ascii="Arial Unicode MS" w:hAnsi="Arial Unicode MS" w:cs="Arial" w:hint="eastAsia"/>
          <w:kern w:val="0"/>
          <w:szCs w:val="21"/>
        </w:rPr>
        <w:t>个月内使基金的投资组合比例符合基金合同的有关约定。在上述期间内，本基金的投资范围、投资策略应当符合基金合同的约定。基金托管人对基金的投资的监督与检查自基金合同生效之日起开始。</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法律法规或监管部门取消或变更上述限制，则本基金投资可不再受相关限制或以变更后的规定为准。</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lastRenderedPageBreak/>
        <w:t>2</w:t>
      </w:r>
      <w:r>
        <w:rPr>
          <w:rFonts w:ascii="Arial Unicode MS" w:hAnsi="Arial Unicode MS" w:cs="Arial" w:hint="eastAsia"/>
          <w:kern w:val="0"/>
          <w:szCs w:val="21"/>
        </w:rPr>
        <w:t>、禁止行为</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为维护基金份额持有人的合法权益，基金财产不得用于下列投资或者活动：</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hint="eastAsia"/>
          <w:kern w:val="0"/>
          <w:szCs w:val="21"/>
        </w:rPr>
        <w:t>）承销证券；</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）违反规定向他人贷款或者提供担保；</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3</w:t>
      </w:r>
      <w:r>
        <w:rPr>
          <w:rFonts w:ascii="Arial Unicode MS" w:hAnsi="Arial Unicode MS" w:cs="Arial" w:hint="eastAsia"/>
          <w:kern w:val="0"/>
          <w:szCs w:val="21"/>
        </w:rPr>
        <w:t>）从事承担无限责任的投资；</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4</w:t>
      </w:r>
      <w:r>
        <w:rPr>
          <w:rFonts w:ascii="Arial Unicode MS" w:hAnsi="Arial Unicode MS" w:cs="Arial" w:hint="eastAsia"/>
          <w:kern w:val="0"/>
          <w:szCs w:val="21"/>
        </w:rPr>
        <w:t>）买卖其他基金份额，但是中国证监会另有规定的除外；</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5</w:t>
      </w:r>
      <w:r>
        <w:rPr>
          <w:rFonts w:ascii="Arial Unicode MS" w:hAnsi="Arial Unicode MS" w:cs="Arial" w:hint="eastAsia"/>
          <w:kern w:val="0"/>
          <w:szCs w:val="21"/>
        </w:rPr>
        <w:t>）向其基金管理人、基金托管人出资；</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6</w:t>
      </w:r>
      <w:r>
        <w:rPr>
          <w:rFonts w:ascii="Arial Unicode MS" w:hAnsi="Arial Unicode MS" w:cs="Arial" w:hint="eastAsia"/>
          <w:kern w:val="0"/>
          <w:szCs w:val="21"/>
        </w:rPr>
        <w:t>）从事内幕交易、操纵证券交易价格及其他不正当的证券交易活动；</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7</w:t>
      </w:r>
      <w:r>
        <w:rPr>
          <w:rFonts w:ascii="Arial Unicode MS" w:hAnsi="Arial Unicode MS" w:cs="Arial" w:hint="eastAsia"/>
          <w:kern w:val="0"/>
          <w:szCs w:val="21"/>
        </w:rPr>
        <w:t>）法律、行政法规和中国证监会规定禁止的其他活动。</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如法律、行政法规或监管部门取消或调整上述禁止性规定，则本基金可不受上述规定的限制或按调整后的规定执行。</w:t>
      </w:r>
    </w:p>
    <w:p w:rsidR="004C06C5" w:rsidRDefault="00ED474B">
      <w:pPr>
        <w:spacing w:line="360" w:lineRule="auto"/>
        <w:ind w:firstLineChars="200" w:firstLine="422"/>
        <w:rPr>
          <w:rFonts w:ascii="Arial Unicode MS" w:hAnsi="Arial Unicode MS" w:cs="Arial"/>
          <w:b/>
          <w:szCs w:val="21"/>
        </w:rPr>
      </w:pPr>
      <w:r>
        <w:rPr>
          <w:rFonts w:ascii="Arial Unicode MS" w:hAnsi="Arial Unicode MS" w:cs="Arial" w:hint="eastAsia"/>
          <w:b/>
          <w:szCs w:val="21"/>
        </w:rPr>
        <w:t>五</w:t>
      </w:r>
      <w:r>
        <w:rPr>
          <w:rFonts w:ascii="Arial Unicode MS" w:hAnsi="Arial Unicode MS" w:cs="Arial"/>
          <w:b/>
          <w:szCs w:val="21"/>
        </w:rPr>
        <w:t>、业绩比较基准</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本基金的业绩比较基准为：中</w:t>
      </w:r>
      <w:proofErr w:type="gramStart"/>
      <w:r>
        <w:rPr>
          <w:rFonts w:ascii="Arial Unicode MS" w:hAnsi="Arial Unicode MS" w:cs="Arial" w:hint="eastAsia"/>
          <w:kern w:val="0"/>
          <w:szCs w:val="21"/>
        </w:rPr>
        <w:t>债综合</w:t>
      </w:r>
      <w:proofErr w:type="gramEnd"/>
      <w:r>
        <w:rPr>
          <w:rFonts w:ascii="Arial Unicode MS" w:hAnsi="Arial Unicode MS" w:cs="Arial" w:hint="eastAsia"/>
          <w:kern w:val="0"/>
          <w:szCs w:val="21"/>
        </w:rPr>
        <w:t>指数（总财富）收益率×</w:t>
      </w:r>
      <w:r>
        <w:rPr>
          <w:rFonts w:ascii="Arial Unicode MS" w:hAnsi="Arial Unicode MS" w:cs="Arial" w:hint="eastAsia"/>
          <w:kern w:val="0"/>
          <w:szCs w:val="21"/>
        </w:rPr>
        <w:t>90%+1</w:t>
      </w:r>
      <w:r>
        <w:rPr>
          <w:rFonts w:ascii="Arial Unicode MS" w:hAnsi="Arial Unicode MS" w:cs="Arial" w:hint="eastAsia"/>
          <w:kern w:val="0"/>
          <w:szCs w:val="21"/>
        </w:rPr>
        <w:t>年期定期存款利率（税后）×</w:t>
      </w:r>
      <w:r>
        <w:rPr>
          <w:rFonts w:ascii="Arial Unicode MS" w:hAnsi="Arial Unicode MS" w:cs="Arial" w:hint="eastAsia"/>
          <w:kern w:val="0"/>
          <w:szCs w:val="21"/>
        </w:rPr>
        <w:t>10%</w:t>
      </w:r>
      <w:r>
        <w:rPr>
          <w:rFonts w:ascii="Arial Unicode MS" w:hAnsi="Arial Unicode MS" w:cs="Arial" w:hint="eastAsia"/>
          <w:kern w:val="0"/>
          <w:szCs w:val="21"/>
        </w:rPr>
        <w:t>。</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如果今后法律法规发生变化，或者有更权威的、更能为市场普遍接受的业绩比较基准推出，或者是市场上出现更加适合用于本基金的业绩基准的指数，或者市场发生变化导致</w:t>
      </w:r>
      <w:proofErr w:type="gramStart"/>
      <w:r>
        <w:rPr>
          <w:rFonts w:ascii="Arial Unicode MS" w:hAnsi="Arial Unicode MS" w:cs="Arial" w:hint="eastAsia"/>
          <w:kern w:val="0"/>
          <w:szCs w:val="21"/>
        </w:rPr>
        <w:t>本业绩</w:t>
      </w:r>
      <w:proofErr w:type="gramEnd"/>
      <w:r>
        <w:rPr>
          <w:rFonts w:ascii="Arial Unicode MS" w:hAnsi="Arial Unicode MS" w:cs="Arial" w:hint="eastAsia"/>
          <w:kern w:val="0"/>
          <w:szCs w:val="21"/>
        </w:rPr>
        <w:t>比较基准不再适用或</w:t>
      </w:r>
      <w:proofErr w:type="gramStart"/>
      <w:r>
        <w:rPr>
          <w:rFonts w:ascii="Arial Unicode MS" w:hAnsi="Arial Unicode MS" w:cs="Arial" w:hint="eastAsia"/>
          <w:kern w:val="0"/>
          <w:szCs w:val="21"/>
        </w:rPr>
        <w:t>本业绩</w:t>
      </w:r>
      <w:proofErr w:type="gramEnd"/>
      <w:r>
        <w:rPr>
          <w:rFonts w:ascii="Arial Unicode MS" w:hAnsi="Arial Unicode MS" w:cs="Arial" w:hint="eastAsia"/>
          <w:kern w:val="0"/>
          <w:szCs w:val="21"/>
        </w:rPr>
        <w:t>比较基准停止发布时，本基金管理人在与基金托管人协商一致，可调整或变更业绩比较基准并及时公告，而无需召开基金份额持有人大会。</w:t>
      </w:r>
    </w:p>
    <w:p w:rsidR="004C06C5" w:rsidRDefault="00ED474B">
      <w:pPr>
        <w:widowControl/>
        <w:adjustRightInd w:val="0"/>
        <w:snapToGrid w:val="0"/>
        <w:spacing w:line="360" w:lineRule="auto"/>
        <w:ind w:firstLineChars="200" w:firstLine="422"/>
        <w:rPr>
          <w:rFonts w:ascii="Arial Unicode MS" w:hAnsi="Arial Unicode MS" w:cs="Arial"/>
          <w:b/>
          <w:szCs w:val="21"/>
        </w:rPr>
      </w:pPr>
      <w:r>
        <w:rPr>
          <w:rFonts w:ascii="Arial Unicode MS" w:hAnsi="Arial Unicode MS" w:cs="Arial" w:hint="eastAsia"/>
          <w:b/>
          <w:szCs w:val="21"/>
        </w:rPr>
        <w:t>六</w:t>
      </w:r>
      <w:r>
        <w:rPr>
          <w:rFonts w:ascii="Arial Unicode MS" w:hAnsi="Arial Unicode MS" w:cs="Arial"/>
          <w:b/>
          <w:szCs w:val="21"/>
        </w:rPr>
        <w:t>、风险收益特征</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本基金为债券型基金，预期收益和预期风险高于货币市场基金，但低于混合型基金、股票型基金，属于中低风险</w:t>
      </w:r>
      <w:r>
        <w:rPr>
          <w:rFonts w:ascii="Arial Unicode MS" w:hAnsi="Arial Unicode MS" w:cs="Arial" w:hint="eastAsia"/>
          <w:kern w:val="0"/>
          <w:szCs w:val="21"/>
        </w:rPr>
        <w:t>/</w:t>
      </w:r>
      <w:r>
        <w:rPr>
          <w:rFonts w:ascii="Arial Unicode MS" w:hAnsi="Arial Unicode MS" w:cs="Arial" w:hint="eastAsia"/>
          <w:kern w:val="0"/>
          <w:szCs w:val="21"/>
        </w:rPr>
        <w:t>收益的产品。</w:t>
      </w:r>
    </w:p>
    <w:p w:rsidR="004C06C5" w:rsidRDefault="00ED474B">
      <w:pPr>
        <w:widowControl/>
        <w:adjustRightInd w:val="0"/>
        <w:snapToGrid w:val="0"/>
        <w:spacing w:line="360" w:lineRule="auto"/>
        <w:ind w:firstLineChars="200" w:firstLine="422"/>
        <w:rPr>
          <w:rFonts w:ascii="Arial Unicode MS" w:hAnsi="Arial Unicode MS" w:cs="Arial"/>
          <w:b/>
          <w:szCs w:val="21"/>
        </w:rPr>
      </w:pPr>
      <w:r>
        <w:rPr>
          <w:rFonts w:ascii="Arial Unicode MS" w:hAnsi="Arial Unicode MS" w:cs="Arial" w:hint="eastAsia"/>
          <w:b/>
          <w:szCs w:val="21"/>
        </w:rPr>
        <w:t>七、基金管理人代表基金行使相关权利的处理原则及方法</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、基金管理人按照国家有关规定代表基金独立行使相关权利，保护基金份额持有人的</w:t>
      </w:r>
      <w:r>
        <w:rPr>
          <w:rFonts w:ascii="Arial Unicode MS" w:hAnsi="Arial Unicode MS" w:cs="Arial" w:hint="eastAsia"/>
          <w:kern w:val="0"/>
          <w:szCs w:val="21"/>
        </w:rPr>
        <w:lastRenderedPageBreak/>
        <w:t>利益；</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、有利于基金财产的安全与增值；</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kern w:val="0"/>
          <w:szCs w:val="21"/>
        </w:rPr>
        <w:t>3</w:t>
      </w:r>
      <w:r>
        <w:rPr>
          <w:rFonts w:ascii="Arial Unicode MS" w:hAnsi="Arial Unicode MS" w:cs="Arial" w:hint="eastAsia"/>
          <w:kern w:val="0"/>
          <w:szCs w:val="21"/>
        </w:rPr>
        <w:t>、不通过关联交易为自身、雇员、授权代理人或任何存在利害关系的第三人牟取任何不当利益。</w:t>
      </w:r>
    </w:p>
    <w:p w:rsidR="004C06C5" w:rsidRDefault="00ED474B">
      <w:pPr>
        <w:spacing w:line="360" w:lineRule="auto"/>
        <w:ind w:firstLineChars="200" w:firstLine="422"/>
        <w:rPr>
          <w:rFonts w:ascii="宋体" w:hAnsi="宋体" w:cs="Arial"/>
          <w:b/>
          <w:bCs/>
          <w:szCs w:val="21"/>
        </w:rPr>
      </w:pPr>
      <w:r>
        <w:rPr>
          <w:rFonts w:ascii="宋体" w:hAnsi="宋体" w:cs="Arial" w:hint="eastAsia"/>
          <w:b/>
          <w:bCs/>
          <w:szCs w:val="21"/>
        </w:rPr>
        <w:t>八、基金投资组合报告</w:t>
      </w:r>
    </w:p>
    <w:p w:rsidR="004C06C5" w:rsidRDefault="00ED474B">
      <w:pPr>
        <w:spacing w:line="360" w:lineRule="auto"/>
        <w:ind w:firstLineChars="200" w:firstLine="420"/>
        <w:rPr>
          <w:rFonts w:ascii="宋体" w:hAnsi="宋体" w:cs="Arial"/>
          <w:bCs/>
          <w:szCs w:val="21"/>
        </w:rPr>
      </w:pPr>
      <w:r>
        <w:rPr>
          <w:rFonts w:ascii="宋体" w:hAnsi="宋体" w:cs="Arial" w:hint="eastAsia"/>
          <w:bCs/>
          <w:szCs w:val="21"/>
        </w:rPr>
        <w:t>基金管理人的董事会及董事保证本报告所载资料不存在虚假记载、误导性陈述或重大遗漏，并对其内容的真实性、准确性和完整性承担个别及连带责任。</w:t>
      </w:r>
    </w:p>
    <w:p w:rsidR="004C06C5" w:rsidRDefault="00ED474B">
      <w:pPr>
        <w:spacing w:line="360" w:lineRule="auto"/>
        <w:ind w:firstLineChars="200" w:firstLine="420"/>
        <w:rPr>
          <w:rFonts w:ascii="宋体" w:hAnsi="宋体" w:cs="Arial"/>
          <w:bCs/>
          <w:szCs w:val="21"/>
        </w:rPr>
      </w:pPr>
      <w:r>
        <w:rPr>
          <w:rFonts w:ascii="宋体" w:hAnsi="宋体" w:cs="Arial" w:hint="eastAsia"/>
          <w:bCs/>
          <w:szCs w:val="21"/>
        </w:rPr>
        <w:t>基金托管人上海浦东发展银行股份有限公司根据本基金合同规定，于</w:t>
      </w:r>
      <w:r w:rsidR="00302FED">
        <w:rPr>
          <w:rFonts w:ascii="宋体" w:hAnsi="宋体" w:cs="Arial" w:hint="eastAsia"/>
          <w:bCs/>
          <w:szCs w:val="21"/>
        </w:rPr>
        <w:t>2020</w:t>
      </w:r>
      <w:r>
        <w:rPr>
          <w:rFonts w:ascii="宋体" w:hAnsi="宋体" w:cs="Arial" w:hint="eastAsia"/>
          <w:bCs/>
          <w:szCs w:val="21"/>
        </w:rPr>
        <w:t>年</w:t>
      </w:r>
      <w:r w:rsidR="00302FED">
        <w:rPr>
          <w:rFonts w:ascii="宋体" w:hAnsi="宋体" w:cs="Arial" w:hint="eastAsia"/>
          <w:bCs/>
          <w:szCs w:val="21"/>
        </w:rPr>
        <w:t>5</w:t>
      </w:r>
      <w:r>
        <w:rPr>
          <w:rFonts w:ascii="宋体" w:hAnsi="宋体" w:cs="Arial" w:hint="eastAsia"/>
          <w:bCs/>
          <w:szCs w:val="21"/>
        </w:rPr>
        <w:t>月</w:t>
      </w:r>
      <w:r w:rsidR="00302FED">
        <w:rPr>
          <w:rFonts w:ascii="宋体" w:hAnsi="宋体" w:cs="Arial" w:hint="eastAsia"/>
          <w:bCs/>
          <w:szCs w:val="21"/>
        </w:rPr>
        <w:t>7</w:t>
      </w:r>
      <w:r>
        <w:rPr>
          <w:rFonts w:ascii="宋体" w:hAnsi="宋体" w:cs="Arial" w:hint="eastAsia"/>
          <w:bCs/>
          <w:szCs w:val="21"/>
        </w:rPr>
        <w:t>日复核了本报告中的财务指标、净值表现和投资组合报告等内容，保证复核内容不存在虚假记载、误导性陈述或者重大遗漏。</w:t>
      </w:r>
    </w:p>
    <w:p w:rsidR="004C06C5" w:rsidRDefault="00ED474B">
      <w:pPr>
        <w:spacing w:line="360" w:lineRule="auto"/>
        <w:ind w:firstLineChars="200" w:firstLine="420"/>
        <w:rPr>
          <w:rFonts w:ascii="宋体" w:hAnsi="宋体" w:cs="Arial"/>
          <w:bCs/>
          <w:szCs w:val="21"/>
        </w:rPr>
      </w:pPr>
      <w:r>
        <w:rPr>
          <w:rFonts w:ascii="宋体" w:hAnsi="宋体" w:cs="Arial" w:hint="eastAsia"/>
          <w:bCs/>
          <w:szCs w:val="21"/>
        </w:rPr>
        <w:t>本投资组合报告所载数据截至2019</w:t>
      </w:r>
      <w:r>
        <w:rPr>
          <w:rFonts w:ascii="宋体" w:hAnsi="宋体" w:cs="Arial"/>
          <w:bCs/>
          <w:szCs w:val="21"/>
        </w:rPr>
        <w:t xml:space="preserve"> </w:t>
      </w:r>
      <w:r>
        <w:rPr>
          <w:rFonts w:ascii="宋体" w:hAnsi="宋体" w:cs="Arial" w:hint="eastAsia"/>
          <w:bCs/>
          <w:szCs w:val="21"/>
        </w:rPr>
        <w:t>年12月31</w:t>
      </w:r>
      <w:r>
        <w:rPr>
          <w:rFonts w:ascii="宋体" w:hAnsi="宋体" w:cs="Arial"/>
          <w:bCs/>
          <w:szCs w:val="21"/>
        </w:rPr>
        <w:t xml:space="preserve"> </w:t>
      </w:r>
      <w:r>
        <w:rPr>
          <w:rFonts w:ascii="宋体" w:hAnsi="宋体" w:cs="Arial" w:hint="eastAsia"/>
          <w:bCs/>
          <w:szCs w:val="21"/>
        </w:rPr>
        <w:t>日，本报告中所列财务数据未经审计。</w:t>
      </w:r>
    </w:p>
    <w:p w:rsidR="004C06C5" w:rsidRDefault="00ED474B">
      <w:pPr>
        <w:pStyle w:val="zhangjiep2"/>
        <w:spacing w:line="360" w:lineRule="auto"/>
        <w:rPr>
          <w:bCs/>
          <w:sz w:val="21"/>
          <w:szCs w:val="21"/>
        </w:rPr>
      </w:pPr>
      <w:r>
        <w:rPr>
          <w:rFonts w:hint="eastAsia"/>
          <w:bCs/>
          <w:sz w:val="21"/>
          <w:szCs w:val="21"/>
        </w:rPr>
        <w:t>1、报告期末基金资产组合情况</w:t>
      </w:r>
    </w:p>
    <w:tbl>
      <w:tblPr>
        <w:tblW w:w="8414" w:type="dxa"/>
        <w:tblInd w:w="108" w:type="dxa"/>
        <w:tblLayout w:type="fixed"/>
        <w:tblLook w:val="04A0" w:firstRow="1" w:lastRow="0" w:firstColumn="1" w:lastColumn="0" w:noHBand="0" w:noVBand="1"/>
      </w:tblPr>
      <w:tblGrid>
        <w:gridCol w:w="763"/>
        <w:gridCol w:w="2743"/>
        <w:gridCol w:w="2414"/>
        <w:gridCol w:w="2494"/>
      </w:tblGrid>
      <w:tr w:rsidR="004C06C5">
        <w:tc>
          <w:tcPr>
            <w:tcW w:w="763"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wordWrap w:val="0"/>
              <w:rPr>
                <w:rFonts w:hAnsi="Calibri"/>
                <w:color w:val="000000"/>
              </w:rPr>
            </w:pPr>
            <w:r>
              <w:rPr>
                <w:rFonts w:hAnsi="Calibri" w:hint="eastAsia"/>
                <w:color w:val="000000"/>
              </w:rPr>
              <w:t>序号</w:t>
            </w:r>
          </w:p>
        </w:tc>
        <w:tc>
          <w:tcPr>
            <w:tcW w:w="2743"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wordWrap w:val="0"/>
              <w:rPr>
                <w:rFonts w:hAnsi="Calibri"/>
                <w:color w:val="000000"/>
              </w:rPr>
            </w:pPr>
            <w:r>
              <w:rPr>
                <w:rFonts w:hAnsi="Calibri" w:hint="eastAsia"/>
                <w:color w:val="000000"/>
              </w:rPr>
              <w:t>项目</w:t>
            </w:r>
          </w:p>
        </w:tc>
        <w:tc>
          <w:tcPr>
            <w:tcW w:w="2414"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wordWrap w:val="0"/>
              <w:rPr>
                <w:rFonts w:hAnsi="Calibri"/>
                <w:color w:val="000000"/>
              </w:rPr>
            </w:pPr>
            <w:r>
              <w:rPr>
                <w:rFonts w:hAnsi="Calibri" w:hint="eastAsia"/>
                <w:color w:val="000000"/>
              </w:rPr>
              <w:t>金额(元)</w:t>
            </w:r>
          </w:p>
        </w:tc>
        <w:tc>
          <w:tcPr>
            <w:tcW w:w="2494"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wordWrap w:val="0"/>
              <w:rPr>
                <w:rFonts w:hAnsi="Calibri"/>
                <w:color w:val="000000"/>
              </w:rPr>
            </w:pPr>
            <w:r>
              <w:rPr>
                <w:rFonts w:hAnsi="Calibri" w:hint="eastAsia"/>
                <w:color w:val="000000"/>
              </w:rPr>
              <w:t>占基金总资产的比例（%）</w:t>
            </w:r>
          </w:p>
        </w:tc>
      </w:tr>
      <w:tr w:rsidR="004C06C5">
        <w:tc>
          <w:tcPr>
            <w:tcW w:w="763"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wordWrap w:val="0"/>
              <w:rPr>
                <w:rFonts w:hAnsi="Calibri"/>
                <w:color w:val="000000"/>
              </w:rPr>
            </w:pPr>
            <w:r>
              <w:rPr>
                <w:rFonts w:hAnsi="Calibri" w:hint="eastAsia"/>
                <w:color w:val="000000"/>
              </w:rPr>
              <w:t>1</w:t>
            </w:r>
          </w:p>
        </w:tc>
        <w:tc>
          <w:tcPr>
            <w:tcW w:w="2743"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rPr>
                <w:rFonts w:hAnsi="Calibri"/>
                <w:color w:val="000000"/>
              </w:rPr>
            </w:pPr>
            <w:r>
              <w:rPr>
                <w:rFonts w:hAnsi="Calibri" w:hint="eastAsia"/>
                <w:color w:val="000000"/>
              </w:rPr>
              <w:t>权益投资</w:t>
            </w:r>
          </w:p>
        </w:tc>
        <w:tc>
          <w:tcPr>
            <w:tcW w:w="2414"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rPr>
                <w:rFonts w:hAnsi="Calibri"/>
                <w:color w:val="000000"/>
              </w:rPr>
            </w:pPr>
            <w:r>
              <w:rPr>
                <w:rFonts w:hAnsi="Calibri" w:hint="eastAsia"/>
                <w:color w:val="000000"/>
              </w:rPr>
              <w:t>-</w:t>
            </w:r>
          </w:p>
        </w:tc>
        <w:tc>
          <w:tcPr>
            <w:tcW w:w="2494"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rPr>
                <w:rFonts w:hAnsi="Calibri"/>
                <w:color w:val="000000"/>
              </w:rPr>
            </w:pPr>
            <w:r>
              <w:rPr>
                <w:rFonts w:hAnsi="Calibri" w:hint="eastAsia"/>
                <w:color w:val="000000"/>
              </w:rPr>
              <w:t>-</w:t>
            </w:r>
          </w:p>
        </w:tc>
      </w:tr>
      <w:tr w:rsidR="004C06C5">
        <w:tc>
          <w:tcPr>
            <w:tcW w:w="763" w:type="dxa"/>
            <w:tcBorders>
              <w:top w:val="single" w:sz="8" w:space="0" w:color="000000"/>
              <w:left w:val="single" w:sz="8" w:space="0" w:color="000000"/>
              <w:bottom w:val="single" w:sz="6" w:space="0" w:color="000000"/>
              <w:right w:val="single" w:sz="8" w:space="0" w:color="000000"/>
            </w:tcBorders>
            <w:vAlign w:val="center"/>
          </w:tcPr>
          <w:p w:rsidR="004C06C5" w:rsidRDefault="004C06C5">
            <w:pPr>
              <w:pStyle w:val="biaogecenter"/>
              <w:wordWrap w:val="0"/>
              <w:rPr>
                <w:rFonts w:hAnsi="Calibri"/>
                <w:color w:val="000000"/>
              </w:rPr>
            </w:pPr>
          </w:p>
        </w:tc>
        <w:tc>
          <w:tcPr>
            <w:tcW w:w="2743"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rPr>
                <w:rFonts w:hAnsi="Calibri"/>
                <w:color w:val="000000"/>
              </w:rPr>
            </w:pPr>
            <w:r>
              <w:rPr>
                <w:rFonts w:hAnsi="Calibri" w:hint="eastAsia"/>
                <w:color w:val="000000"/>
              </w:rPr>
              <w:t>其中：股票</w:t>
            </w:r>
          </w:p>
        </w:tc>
        <w:tc>
          <w:tcPr>
            <w:tcW w:w="2414"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rPr>
                <w:rFonts w:hAnsi="Calibri"/>
                <w:color w:val="000000"/>
              </w:rPr>
            </w:pPr>
            <w:r>
              <w:rPr>
                <w:rFonts w:hAnsi="Calibri" w:hint="eastAsia"/>
                <w:color w:val="000000"/>
              </w:rPr>
              <w:t>-</w:t>
            </w:r>
          </w:p>
        </w:tc>
        <w:tc>
          <w:tcPr>
            <w:tcW w:w="2494"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rPr>
                <w:rFonts w:hAnsi="Calibri"/>
                <w:color w:val="000000"/>
              </w:rPr>
            </w:pPr>
            <w:r>
              <w:rPr>
                <w:rFonts w:hAnsi="Calibri" w:hint="eastAsia"/>
                <w:color w:val="000000"/>
              </w:rPr>
              <w:t>-</w:t>
            </w:r>
          </w:p>
        </w:tc>
      </w:tr>
      <w:tr w:rsidR="004C06C5">
        <w:tc>
          <w:tcPr>
            <w:tcW w:w="763"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wordWrap w:val="0"/>
              <w:rPr>
                <w:rFonts w:hAnsi="Calibri"/>
                <w:color w:val="000000"/>
              </w:rPr>
            </w:pPr>
            <w:r>
              <w:rPr>
                <w:rFonts w:hAnsi="Calibri" w:hint="eastAsia"/>
                <w:color w:val="000000"/>
              </w:rPr>
              <w:t>2</w:t>
            </w:r>
          </w:p>
        </w:tc>
        <w:tc>
          <w:tcPr>
            <w:tcW w:w="2743"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rPr>
                <w:rFonts w:hAnsi="Calibri"/>
                <w:color w:val="000000"/>
              </w:rPr>
            </w:pPr>
            <w:r>
              <w:rPr>
                <w:rFonts w:hAnsi="Calibri" w:hint="eastAsia"/>
                <w:color w:val="000000"/>
              </w:rPr>
              <w:t>基金投资</w:t>
            </w:r>
          </w:p>
        </w:tc>
        <w:tc>
          <w:tcPr>
            <w:tcW w:w="2414"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rPr>
                <w:rFonts w:hAnsi="Calibri"/>
                <w:color w:val="000000"/>
              </w:rPr>
            </w:pPr>
            <w:r>
              <w:rPr>
                <w:rFonts w:hAnsi="Calibri" w:hint="eastAsia"/>
                <w:color w:val="000000"/>
              </w:rPr>
              <w:t>-</w:t>
            </w:r>
          </w:p>
        </w:tc>
        <w:tc>
          <w:tcPr>
            <w:tcW w:w="2494"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rPr>
                <w:rFonts w:hAnsi="Calibri"/>
                <w:color w:val="000000"/>
              </w:rPr>
            </w:pPr>
            <w:r>
              <w:rPr>
                <w:rFonts w:hAnsi="Calibri" w:hint="eastAsia"/>
                <w:color w:val="000000"/>
              </w:rPr>
              <w:t>-</w:t>
            </w:r>
          </w:p>
        </w:tc>
      </w:tr>
      <w:tr w:rsidR="004C06C5">
        <w:tc>
          <w:tcPr>
            <w:tcW w:w="763"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wordWrap w:val="0"/>
              <w:rPr>
                <w:rFonts w:hAnsi="Calibri"/>
                <w:color w:val="000000"/>
              </w:rPr>
            </w:pPr>
            <w:r>
              <w:rPr>
                <w:rFonts w:hAnsi="Calibri" w:hint="eastAsia"/>
                <w:color w:val="000000"/>
              </w:rPr>
              <w:t>3</w:t>
            </w:r>
          </w:p>
        </w:tc>
        <w:tc>
          <w:tcPr>
            <w:tcW w:w="2743"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rPr>
                <w:rFonts w:hAnsi="Calibri"/>
                <w:color w:val="000000"/>
              </w:rPr>
            </w:pPr>
            <w:r>
              <w:rPr>
                <w:rFonts w:hAnsi="Calibri" w:hint="eastAsia"/>
                <w:color w:val="000000"/>
              </w:rPr>
              <w:t>固定收益投资</w:t>
            </w:r>
          </w:p>
        </w:tc>
        <w:tc>
          <w:tcPr>
            <w:tcW w:w="2414"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rPr>
                <w:rFonts w:hAnsi="Calibri"/>
                <w:color w:val="000000"/>
              </w:rPr>
            </w:pPr>
            <w:r>
              <w:rPr>
                <w:rFonts w:hAnsi="Calibri" w:hint="eastAsia"/>
                <w:color w:val="000000"/>
              </w:rPr>
              <w:t>2,609,537,882.30</w:t>
            </w:r>
          </w:p>
        </w:tc>
        <w:tc>
          <w:tcPr>
            <w:tcW w:w="2494"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rPr>
                <w:rFonts w:hAnsi="Calibri"/>
                <w:color w:val="000000"/>
              </w:rPr>
            </w:pPr>
            <w:r>
              <w:rPr>
                <w:rFonts w:hAnsi="Calibri" w:hint="eastAsia"/>
                <w:color w:val="000000"/>
              </w:rPr>
              <w:t>84.89</w:t>
            </w:r>
          </w:p>
        </w:tc>
      </w:tr>
      <w:tr w:rsidR="004C06C5">
        <w:tc>
          <w:tcPr>
            <w:tcW w:w="763" w:type="dxa"/>
            <w:tcBorders>
              <w:top w:val="single" w:sz="8" w:space="0" w:color="000000"/>
              <w:left w:val="single" w:sz="8" w:space="0" w:color="000000"/>
              <w:bottom w:val="single" w:sz="6" w:space="0" w:color="000000"/>
              <w:right w:val="single" w:sz="8" w:space="0" w:color="000000"/>
            </w:tcBorders>
            <w:vAlign w:val="center"/>
          </w:tcPr>
          <w:p w:rsidR="004C06C5" w:rsidRDefault="004C06C5">
            <w:pPr>
              <w:pStyle w:val="biaogecenter"/>
              <w:wordWrap w:val="0"/>
              <w:rPr>
                <w:rFonts w:hAnsi="Calibri"/>
                <w:color w:val="000000"/>
              </w:rPr>
            </w:pPr>
          </w:p>
        </w:tc>
        <w:tc>
          <w:tcPr>
            <w:tcW w:w="2743"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rPr>
                <w:rFonts w:hAnsi="Calibri"/>
                <w:color w:val="000000"/>
              </w:rPr>
            </w:pPr>
            <w:r>
              <w:rPr>
                <w:rFonts w:hAnsi="Calibri" w:hint="eastAsia"/>
                <w:color w:val="000000"/>
              </w:rPr>
              <w:t>其中：债券</w:t>
            </w:r>
          </w:p>
        </w:tc>
        <w:tc>
          <w:tcPr>
            <w:tcW w:w="2414"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rPr>
                <w:rFonts w:hAnsi="Calibri"/>
                <w:color w:val="000000"/>
              </w:rPr>
            </w:pPr>
            <w:r>
              <w:rPr>
                <w:rFonts w:hAnsi="Calibri" w:hint="eastAsia"/>
                <w:color w:val="000000"/>
              </w:rPr>
              <w:t>2,609,537,882.30</w:t>
            </w:r>
          </w:p>
        </w:tc>
        <w:tc>
          <w:tcPr>
            <w:tcW w:w="2494"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rPr>
                <w:rFonts w:hAnsi="Calibri"/>
                <w:color w:val="000000"/>
              </w:rPr>
            </w:pPr>
            <w:r>
              <w:rPr>
                <w:rFonts w:hAnsi="Calibri" w:hint="eastAsia"/>
                <w:color w:val="000000"/>
              </w:rPr>
              <w:t>84.89</w:t>
            </w:r>
          </w:p>
        </w:tc>
      </w:tr>
      <w:tr w:rsidR="004C06C5">
        <w:tc>
          <w:tcPr>
            <w:tcW w:w="763" w:type="dxa"/>
            <w:tcBorders>
              <w:top w:val="single" w:sz="8" w:space="0" w:color="000000"/>
              <w:left w:val="single" w:sz="8" w:space="0" w:color="000000"/>
              <w:bottom w:val="single" w:sz="6" w:space="0" w:color="000000"/>
              <w:right w:val="single" w:sz="8" w:space="0" w:color="000000"/>
            </w:tcBorders>
            <w:vAlign w:val="center"/>
          </w:tcPr>
          <w:p w:rsidR="004C06C5" w:rsidRDefault="004C06C5">
            <w:pPr>
              <w:pStyle w:val="biaogecenter"/>
              <w:wordWrap w:val="0"/>
              <w:rPr>
                <w:rFonts w:hAnsi="Calibri"/>
                <w:color w:val="000000"/>
              </w:rPr>
            </w:pPr>
          </w:p>
        </w:tc>
        <w:tc>
          <w:tcPr>
            <w:tcW w:w="2743"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rPr>
                <w:rFonts w:hAnsi="Calibri"/>
                <w:color w:val="000000"/>
              </w:rPr>
            </w:pPr>
            <w:r>
              <w:rPr>
                <w:rFonts w:hAnsi="Calibri" w:hint="eastAsia"/>
                <w:color w:val="000000"/>
              </w:rPr>
              <w:t>资产支持证券</w:t>
            </w:r>
          </w:p>
        </w:tc>
        <w:tc>
          <w:tcPr>
            <w:tcW w:w="2414"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rPr>
                <w:rFonts w:hAnsi="Calibri"/>
                <w:color w:val="000000"/>
              </w:rPr>
            </w:pPr>
            <w:r>
              <w:rPr>
                <w:rFonts w:hAnsi="Calibri" w:hint="eastAsia"/>
                <w:color w:val="000000"/>
              </w:rPr>
              <w:t>-</w:t>
            </w:r>
          </w:p>
        </w:tc>
        <w:tc>
          <w:tcPr>
            <w:tcW w:w="2494"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rPr>
                <w:rFonts w:hAnsi="Calibri"/>
                <w:color w:val="000000"/>
              </w:rPr>
            </w:pPr>
            <w:r>
              <w:rPr>
                <w:rFonts w:hAnsi="Calibri" w:hint="eastAsia"/>
                <w:color w:val="000000"/>
              </w:rPr>
              <w:t>-</w:t>
            </w:r>
          </w:p>
        </w:tc>
      </w:tr>
      <w:tr w:rsidR="004C06C5">
        <w:tc>
          <w:tcPr>
            <w:tcW w:w="763"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wordWrap w:val="0"/>
              <w:rPr>
                <w:rFonts w:hAnsi="Calibri"/>
                <w:color w:val="000000"/>
              </w:rPr>
            </w:pPr>
            <w:r>
              <w:rPr>
                <w:rFonts w:hAnsi="Calibri" w:hint="eastAsia"/>
                <w:color w:val="000000"/>
              </w:rPr>
              <w:t>4</w:t>
            </w:r>
          </w:p>
        </w:tc>
        <w:tc>
          <w:tcPr>
            <w:tcW w:w="2743"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rPr>
                <w:rFonts w:hAnsi="Calibri"/>
                <w:color w:val="000000"/>
              </w:rPr>
            </w:pPr>
            <w:r>
              <w:rPr>
                <w:rFonts w:hAnsi="Calibri" w:hint="eastAsia"/>
                <w:color w:val="000000"/>
              </w:rPr>
              <w:t>贵金属投资</w:t>
            </w:r>
          </w:p>
        </w:tc>
        <w:tc>
          <w:tcPr>
            <w:tcW w:w="2414"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rPr>
                <w:rFonts w:hAnsi="Calibri"/>
                <w:color w:val="000000"/>
              </w:rPr>
            </w:pPr>
            <w:r>
              <w:rPr>
                <w:rFonts w:hAnsi="Calibri" w:hint="eastAsia"/>
                <w:color w:val="000000"/>
              </w:rPr>
              <w:t>-</w:t>
            </w:r>
          </w:p>
        </w:tc>
        <w:tc>
          <w:tcPr>
            <w:tcW w:w="2494"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rPr>
                <w:rFonts w:hAnsi="Calibri"/>
                <w:color w:val="000000"/>
              </w:rPr>
            </w:pPr>
            <w:r>
              <w:rPr>
                <w:rFonts w:hAnsi="Calibri" w:hint="eastAsia"/>
                <w:color w:val="000000"/>
              </w:rPr>
              <w:t>-</w:t>
            </w:r>
          </w:p>
        </w:tc>
      </w:tr>
      <w:tr w:rsidR="004C06C5">
        <w:tc>
          <w:tcPr>
            <w:tcW w:w="763"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wordWrap w:val="0"/>
              <w:rPr>
                <w:rFonts w:hAnsi="Calibri"/>
                <w:color w:val="000000"/>
              </w:rPr>
            </w:pPr>
            <w:r>
              <w:rPr>
                <w:rFonts w:hAnsi="Calibri" w:hint="eastAsia"/>
                <w:color w:val="000000"/>
              </w:rPr>
              <w:t>5</w:t>
            </w:r>
          </w:p>
        </w:tc>
        <w:tc>
          <w:tcPr>
            <w:tcW w:w="2743"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rPr>
                <w:rFonts w:hAnsi="Calibri"/>
                <w:color w:val="000000"/>
              </w:rPr>
            </w:pPr>
            <w:r>
              <w:rPr>
                <w:rFonts w:hAnsi="Calibri" w:hint="eastAsia"/>
                <w:color w:val="000000"/>
              </w:rPr>
              <w:t>金融衍生</w:t>
            </w:r>
            <w:proofErr w:type="gramStart"/>
            <w:r>
              <w:rPr>
                <w:rFonts w:hAnsi="Calibri" w:hint="eastAsia"/>
                <w:color w:val="000000"/>
              </w:rPr>
              <w:t>品投资</w:t>
            </w:r>
            <w:proofErr w:type="gramEnd"/>
          </w:p>
        </w:tc>
        <w:tc>
          <w:tcPr>
            <w:tcW w:w="2414"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rPr>
                <w:rFonts w:hAnsi="Calibri"/>
                <w:color w:val="000000"/>
              </w:rPr>
            </w:pPr>
            <w:r>
              <w:rPr>
                <w:rFonts w:hAnsi="Calibri" w:hint="eastAsia"/>
                <w:color w:val="000000"/>
              </w:rPr>
              <w:t>-</w:t>
            </w:r>
          </w:p>
        </w:tc>
        <w:tc>
          <w:tcPr>
            <w:tcW w:w="2494"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rPr>
                <w:rFonts w:hAnsi="Calibri"/>
                <w:color w:val="000000"/>
              </w:rPr>
            </w:pPr>
            <w:r>
              <w:rPr>
                <w:rFonts w:hAnsi="Calibri" w:hint="eastAsia"/>
                <w:color w:val="000000"/>
              </w:rPr>
              <w:t>-</w:t>
            </w:r>
          </w:p>
        </w:tc>
      </w:tr>
      <w:tr w:rsidR="004C06C5">
        <w:tc>
          <w:tcPr>
            <w:tcW w:w="763"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wordWrap w:val="0"/>
              <w:rPr>
                <w:rFonts w:hAnsi="Calibri"/>
                <w:color w:val="000000"/>
              </w:rPr>
            </w:pPr>
            <w:r>
              <w:rPr>
                <w:rFonts w:hAnsi="Calibri" w:hint="eastAsia"/>
                <w:color w:val="000000"/>
              </w:rPr>
              <w:t>6</w:t>
            </w:r>
          </w:p>
        </w:tc>
        <w:tc>
          <w:tcPr>
            <w:tcW w:w="2743"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rPr>
                <w:rFonts w:hAnsi="Calibri"/>
                <w:color w:val="000000"/>
              </w:rPr>
            </w:pPr>
            <w:r>
              <w:rPr>
                <w:rFonts w:hAnsi="Calibri" w:hint="eastAsia"/>
                <w:color w:val="000000"/>
              </w:rPr>
              <w:t>买入返售金融资产</w:t>
            </w:r>
          </w:p>
        </w:tc>
        <w:tc>
          <w:tcPr>
            <w:tcW w:w="2414"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rPr>
                <w:rFonts w:hAnsi="Calibri"/>
                <w:color w:val="000000"/>
              </w:rPr>
            </w:pPr>
            <w:r>
              <w:rPr>
                <w:rFonts w:hAnsi="Calibri" w:hint="eastAsia"/>
                <w:color w:val="000000"/>
              </w:rPr>
              <w:t>404,202,690.82</w:t>
            </w:r>
          </w:p>
        </w:tc>
        <w:tc>
          <w:tcPr>
            <w:tcW w:w="2494"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rPr>
                <w:rFonts w:hAnsi="Calibri"/>
                <w:color w:val="000000"/>
              </w:rPr>
            </w:pPr>
            <w:r>
              <w:rPr>
                <w:rFonts w:hAnsi="Calibri" w:hint="eastAsia"/>
                <w:color w:val="000000"/>
              </w:rPr>
              <w:t>13.15</w:t>
            </w:r>
          </w:p>
        </w:tc>
      </w:tr>
      <w:tr w:rsidR="004C06C5">
        <w:tc>
          <w:tcPr>
            <w:tcW w:w="763" w:type="dxa"/>
            <w:tcBorders>
              <w:top w:val="single" w:sz="8" w:space="0" w:color="000000"/>
              <w:left w:val="single" w:sz="8" w:space="0" w:color="000000"/>
              <w:bottom w:val="single" w:sz="6" w:space="0" w:color="000000"/>
              <w:right w:val="single" w:sz="8" w:space="0" w:color="000000"/>
            </w:tcBorders>
            <w:vAlign w:val="center"/>
          </w:tcPr>
          <w:p w:rsidR="004C06C5" w:rsidRDefault="004C06C5">
            <w:pPr>
              <w:pStyle w:val="biaogecenter"/>
              <w:wordWrap w:val="0"/>
              <w:rPr>
                <w:rFonts w:hAnsi="Calibri"/>
                <w:color w:val="000000"/>
              </w:rPr>
            </w:pPr>
          </w:p>
        </w:tc>
        <w:tc>
          <w:tcPr>
            <w:tcW w:w="2743"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rPr>
                <w:rFonts w:hAnsi="Calibri"/>
                <w:color w:val="000000"/>
              </w:rPr>
            </w:pPr>
            <w:r>
              <w:rPr>
                <w:rFonts w:hAnsi="Calibri" w:hint="eastAsia"/>
                <w:color w:val="000000"/>
              </w:rPr>
              <w:t>其中：买断式回购的买入返售金融资产</w:t>
            </w:r>
          </w:p>
        </w:tc>
        <w:tc>
          <w:tcPr>
            <w:tcW w:w="2414"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rPr>
                <w:rFonts w:hAnsi="Calibri"/>
                <w:color w:val="000000"/>
              </w:rPr>
            </w:pPr>
            <w:r>
              <w:rPr>
                <w:rFonts w:hAnsi="Calibri" w:hint="eastAsia"/>
                <w:color w:val="000000"/>
              </w:rPr>
              <w:t>-</w:t>
            </w:r>
          </w:p>
        </w:tc>
        <w:tc>
          <w:tcPr>
            <w:tcW w:w="2494"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rPr>
                <w:rFonts w:hAnsi="Calibri"/>
                <w:color w:val="000000"/>
              </w:rPr>
            </w:pPr>
            <w:r>
              <w:rPr>
                <w:rFonts w:hAnsi="Calibri" w:hint="eastAsia"/>
                <w:color w:val="000000"/>
              </w:rPr>
              <w:t>-</w:t>
            </w:r>
          </w:p>
        </w:tc>
      </w:tr>
      <w:tr w:rsidR="004C06C5">
        <w:tc>
          <w:tcPr>
            <w:tcW w:w="763"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wordWrap w:val="0"/>
              <w:rPr>
                <w:rFonts w:hAnsi="Calibri"/>
                <w:color w:val="000000"/>
              </w:rPr>
            </w:pPr>
            <w:r>
              <w:rPr>
                <w:rFonts w:hAnsi="Calibri" w:hint="eastAsia"/>
                <w:color w:val="000000"/>
              </w:rPr>
              <w:t>7</w:t>
            </w:r>
          </w:p>
        </w:tc>
        <w:tc>
          <w:tcPr>
            <w:tcW w:w="2743"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rPr>
                <w:rFonts w:hAnsi="Calibri"/>
                <w:color w:val="000000"/>
              </w:rPr>
            </w:pPr>
            <w:r>
              <w:rPr>
                <w:rFonts w:hAnsi="Calibri" w:hint="eastAsia"/>
                <w:color w:val="000000"/>
              </w:rPr>
              <w:t>银行存款和结算备付金合计</w:t>
            </w:r>
          </w:p>
        </w:tc>
        <w:tc>
          <w:tcPr>
            <w:tcW w:w="2414"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rPr>
                <w:rFonts w:hAnsi="Calibri"/>
                <w:color w:val="000000"/>
              </w:rPr>
            </w:pPr>
            <w:r>
              <w:rPr>
                <w:rFonts w:hAnsi="Calibri" w:hint="eastAsia"/>
                <w:color w:val="000000"/>
              </w:rPr>
              <w:t>4,225,796.90</w:t>
            </w:r>
          </w:p>
        </w:tc>
        <w:tc>
          <w:tcPr>
            <w:tcW w:w="2494"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rPr>
                <w:rFonts w:hAnsi="Calibri"/>
                <w:color w:val="000000"/>
              </w:rPr>
            </w:pPr>
            <w:r>
              <w:rPr>
                <w:rFonts w:hAnsi="Calibri" w:hint="eastAsia"/>
                <w:color w:val="000000"/>
              </w:rPr>
              <w:t>0.14</w:t>
            </w:r>
          </w:p>
        </w:tc>
      </w:tr>
      <w:tr w:rsidR="004C06C5">
        <w:tc>
          <w:tcPr>
            <w:tcW w:w="763"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wordWrap w:val="0"/>
              <w:rPr>
                <w:rFonts w:hAnsi="Calibri"/>
                <w:color w:val="000000"/>
              </w:rPr>
            </w:pPr>
            <w:r>
              <w:rPr>
                <w:rFonts w:hAnsi="Calibri" w:hint="eastAsia"/>
                <w:color w:val="000000"/>
              </w:rPr>
              <w:t>8</w:t>
            </w:r>
          </w:p>
        </w:tc>
        <w:tc>
          <w:tcPr>
            <w:tcW w:w="2743"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rPr>
                <w:rFonts w:hAnsi="Calibri"/>
                <w:color w:val="000000"/>
              </w:rPr>
            </w:pPr>
            <w:r>
              <w:rPr>
                <w:rFonts w:hAnsi="Calibri" w:hint="eastAsia"/>
                <w:color w:val="000000"/>
              </w:rPr>
              <w:t>其他资产</w:t>
            </w:r>
          </w:p>
        </w:tc>
        <w:tc>
          <w:tcPr>
            <w:tcW w:w="2414"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rPr>
                <w:rFonts w:hAnsi="Calibri"/>
                <w:color w:val="000000"/>
              </w:rPr>
            </w:pPr>
            <w:r>
              <w:rPr>
                <w:rFonts w:hAnsi="Calibri" w:hint="eastAsia"/>
                <w:color w:val="000000"/>
              </w:rPr>
              <w:t>56,006,637.79</w:t>
            </w:r>
          </w:p>
        </w:tc>
        <w:tc>
          <w:tcPr>
            <w:tcW w:w="2494"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rPr>
                <w:rFonts w:hAnsi="Calibri"/>
                <w:color w:val="000000"/>
              </w:rPr>
            </w:pPr>
            <w:r>
              <w:rPr>
                <w:rFonts w:hAnsi="Calibri" w:hint="eastAsia"/>
                <w:color w:val="000000"/>
              </w:rPr>
              <w:t>1.82</w:t>
            </w:r>
          </w:p>
        </w:tc>
      </w:tr>
      <w:tr w:rsidR="004C06C5">
        <w:tc>
          <w:tcPr>
            <w:tcW w:w="763"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wordWrap w:val="0"/>
              <w:rPr>
                <w:rFonts w:hAnsi="Calibri"/>
                <w:color w:val="000000"/>
              </w:rPr>
            </w:pPr>
            <w:r>
              <w:rPr>
                <w:rFonts w:hAnsi="Calibri" w:hint="eastAsia"/>
                <w:color w:val="000000"/>
              </w:rPr>
              <w:t>9</w:t>
            </w:r>
          </w:p>
        </w:tc>
        <w:tc>
          <w:tcPr>
            <w:tcW w:w="2743"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rPr>
                <w:rFonts w:hAnsi="Calibri"/>
                <w:color w:val="000000"/>
              </w:rPr>
            </w:pPr>
            <w:r>
              <w:rPr>
                <w:rFonts w:hAnsi="Calibri" w:hint="eastAsia"/>
                <w:color w:val="000000"/>
              </w:rPr>
              <w:t>合计</w:t>
            </w:r>
          </w:p>
        </w:tc>
        <w:tc>
          <w:tcPr>
            <w:tcW w:w="2414"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rPr>
                <w:rFonts w:hAnsi="Calibri"/>
                <w:color w:val="000000"/>
              </w:rPr>
            </w:pPr>
            <w:r>
              <w:rPr>
                <w:rFonts w:hAnsi="Calibri" w:hint="eastAsia"/>
                <w:color w:val="000000"/>
              </w:rPr>
              <w:t>3,073,973,007.81</w:t>
            </w:r>
          </w:p>
        </w:tc>
        <w:tc>
          <w:tcPr>
            <w:tcW w:w="2494"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rPr>
                <w:rFonts w:hAnsi="Calibri"/>
                <w:color w:val="000000"/>
              </w:rPr>
            </w:pPr>
            <w:r>
              <w:rPr>
                <w:rFonts w:hAnsi="Calibri" w:hint="eastAsia"/>
                <w:color w:val="000000"/>
              </w:rPr>
              <w:t>100.00</w:t>
            </w:r>
          </w:p>
        </w:tc>
      </w:tr>
    </w:tbl>
    <w:p w:rsidR="004C06C5" w:rsidRDefault="004C06C5">
      <w:pPr>
        <w:pStyle w:val="biaogeright"/>
        <w:spacing w:line="360" w:lineRule="auto"/>
        <w:ind w:left="0" w:right="540"/>
        <w:jc w:val="both"/>
        <w:rPr>
          <w:sz w:val="21"/>
          <w:szCs w:val="21"/>
        </w:rPr>
      </w:pPr>
    </w:p>
    <w:p w:rsidR="004C06C5" w:rsidRDefault="00ED474B">
      <w:pPr>
        <w:pStyle w:val="zhangjiep2"/>
        <w:spacing w:line="360" w:lineRule="auto"/>
        <w:rPr>
          <w:bCs/>
          <w:sz w:val="21"/>
          <w:szCs w:val="21"/>
        </w:rPr>
      </w:pPr>
      <w:r>
        <w:rPr>
          <w:rFonts w:hint="eastAsia"/>
          <w:bCs/>
          <w:sz w:val="21"/>
          <w:szCs w:val="21"/>
        </w:rPr>
        <w:t>2、报告期末按行业分类的股票投资组合</w:t>
      </w:r>
    </w:p>
    <w:p w:rsidR="004C06C5" w:rsidRDefault="00ED474B">
      <w:pPr>
        <w:pStyle w:val="zhangjiep2"/>
        <w:spacing w:line="360" w:lineRule="auto"/>
        <w:rPr>
          <w:sz w:val="21"/>
          <w:szCs w:val="21"/>
        </w:rPr>
      </w:pPr>
      <w:r>
        <w:rPr>
          <w:rFonts w:hint="eastAsia"/>
          <w:bCs/>
          <w:sz w:val="21"/>
          <w:szCs w:val="21"/>
        </w:rPr>
        <w:t>（1）报告期末按行业分类的境内股票投资组合</w:t>
      </w:r>
    </w:p>
    <w:p w:rsidR="004C06C5" w:rsidRDefault="00ED474B">
      <w:pPr>
        <w:pStyle w:val="neirong"/>
        <w:spacing w:line="360" w:lineRule="auto"/>
        <w:ind w:leftChars="7" w:firstLineChars="200" w:firstLine="420"/>
        <w:rPr>
          <w:sz w:val="21"/>
          <w:szCs w:val="21"/>
        </w:rPr>
      </w:pPr>
      <w:r>
        <w:rPr>
          <w:rFonts w:hint="eastAsia"/>
          <w:sz w:val="21"/>
          <w:szCs w:val="21"/>
        </w:rPr>
        <w:t>本基金本报告期末未持有股票。</w:t>
      </w:r>
    </w:p>
    <w:p w:rsidR="004C06C5" w:rsidRDefault="00ED474B">
      <w:pPr>
        <w:pStyle w:val="neirong"/>
        <w:spacing w:line="360" w:lineRule="auto"/>
        <w:ind w:leftChars="7"/>
        <w:rPr>
          <w:sz w:val="21"/>
          <w:szCs w:val="21"/>
        </w:rPr>
      </w:pPr>
      <w:r>
        <w:rPr>
          <w:rFonts w:hint="eastAsia"/>
          <w:sz w:val="21"/>
          <w:szCs w:val="21"/>
        </w:rPr>
        <w:lastRenderedPageBreak/>
        <w:t>（2）报告期末按行业分类的港股通投资股票投资组合</w:t>
      </w:r>
    </w:p>
    <w:p w:rsidR="004C06C5" w:rsidRDefault="00ED474B">
      <w:pPr>
        <w:pStyle w:val="neirong"/>
        <w:spacing w:line="360" w:lineRule="auto"/>
        <w:ind w:leftChars="7" w:firstLineChars="200" w:firstLine="420"/>
        <w:rPr>
          <w:sz w:val="21"/>
          <w:szCs w:val="21"/>
        </w:rPr>
      </w:pPr>
      <w:r>
        <w:rPr>
          <w:rFonts w:hint="eastAsia"/>
          <w:sz w:val="21"/>
          <w:szCs w:val="21"/>
        </w:rPr>
        <w:t>本基金报告期末未持有港股通股票。</w:t>
      </w:r>
    </w:p>
    <w:p w:rsidR="004C06C5" w:rsidRDefault="00ED474B">
      <w:pPr>
        <w:pStyle w:val="zhangjiep2"/>
        <w:spacing w:line="360" w:lineRule="auto"/>
        <w:rPr>
          <w:bCs/>
          <w:sz w:val="21"/>
          <w:szCs w:val="21"/>
        </w:rPr>
      </w:pPr>
      <w:r>
        <w:rPr>
          <w:rFonts w:hint="eastAsia"/>
          <w:bCs/>
          <w:sz w:val="21"/>
          <w:szCs w:val="21"/>
        </w:rPr>
        <w:t>3、报告期末按公允价值占基金资产净值比例大小排序的前十名股票投资明细</w:t>
      </w:r>
    </w:p>
    <w:p w:rsidR="004C06C5" w:rsidRDefault="00ED474B">
      <w:pPr>
        <w:pStyle w:val="neirong"/>
        <w:spacing w:line="360" w:lineRule="auto"/>
        <w:ind w:leftChars="7" w:firstLineChars="200" w:firstLine="420"/>
        <w:rPr>
          <w:sz w:val="21"/>
          <w:szCs w:val="21"/>
        </w:rPr>
      </w:pPr>
      <w:r>
        <w:rPr>
          <w:rFonts w:hint="eastAsia"/>
          <w:sz w:val="21"/>
          <w:szCs w:val="21"/>
        </w:rPr>
        <w:t>本基金本报告期末未持有股票。</w:t>
      </w:r>
    </w:p>
    <w:p w:rsidR="004C06C5" w:rsidRDefault="00ED474B">
      <w:pPr>
        <w:pStyle w:val="zhangjiep2"/>
        <w:spacing w:line="360" w:lineRule="auto"/>
        <w:rPr>
          <w:bCs/>
          <w:sz w:val="21"/>
          <w:szCs w:val="21"/>
        </w:rPr>
      </w:pPr>
      <w:r>
        <w:rPr>
          <w:rFonts w:hint="eastAsia"/>
          <w:bCs/>
          <w:sz w:val="21"/>
          <w:szCs w:val="21"/>
        </w:rPr>
        <w:t>4、报告期末按债券品种分类的债券投资组合</w:t>
      </w:r>
    </w:p>
    <w:tbl>
      <w:tblPr>
        <w:tblW w:w="8414" w:type="dxa"/>
        <w:tblInd w:w="108" w:type="dxa"/>
        <w:tblLayout w:type="fixed"/>
        <w:tblLook w:val="04A0" w:firstRow="1" w:lastRow="0" w:firstColumn="1" w:lastColumn="0" w:noHBand="0" w:noVBand="1"/>
      </w:tblPr>
      <w:tblGrid>
        <w:gridCol w:w="1183"/>
        <w:gridCol w:w="2790"/>
        <w:gridCol w:w="2199"/>
        <w:gridCol w:w="2242"/>
      </w:tblGrid>
      <w:tr w:rsidR="004C06C5">
        <w:tc>
          <w:tcPr>
            <w:tcW w:w="1183"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wordWrap w:val="0"/>
            </w:pPr>
            <w:r>
              <w:rPr>
                <w:rFonts w:hint="eastAsia"/>
              </w:rPr>
              <w:t>序号</w:t>
            </w:r>
          </w:p>
        </w:tc>
        <w:tc>
          <w:tcPr>
            <w:tcW w:w="2790"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wordWrap w:val="0"/>
            </w:pPr>
            <w:r>
              <w:rPr>
                <w:rFonts w:hAnsi="Calibri" w:hint="eastAsia"/>
                <w:color w:val="000000"/>
              </w:rPr>
              <w:t>债券品种</w:t>
            </w:r>
          </w:p>
        </w:tc>
        <w:tc>
          <w:tcPr>
            <w:tcW w:w="2199"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wordWrap w:val="0"/>
            </w:pPr>
            <w:r>
              <w:rPr>
                <w:rFonts w:hAnsi="Calibri" w:hint="eastAsia"/>
                <w:color w:val="000000"/>
              </w:rPr>
              <w:t>公允价值(元)</w:t>
            </w:r>
          </w:p>
        </w:tc>
        <w:tc>
          <w:tcPr>
            <w:tcW w:w="2242"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wordWrap w:val="0"/>
            </w:pPr>
            <w:r>
              <w:rPr>
                <w:rFonts w:hAnsi="Calibri" w:hint="eastAsia"/>
                <w:color w:val="000000"/>
              </w:rPr>
              <w:t>占基金资产净值比例（％）</w:t>
            </w:r>
          </w:p>
        </w:tc>
      </w:tr>
      <w:tr w:rsidR="004C06C5">
        <w:tc>
          <w:tcPr>
            <w:tcW w:w="1183"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wordWrap w:val="0"/>
            </w:pPr>
            <w:r>
              <w:rPr>
                <w:rFonts w:hAnsi="Calibri" w:hint="eastAsia"/>
                <w:color w:val="000000"/>
              </w:rPr>
              <w:t>1</w:t>
            </w:r>
          </w:p>
        </w:tc>
        <w:tc>
          <w:tcPr>
            <w:tcW w:w="2790"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left"/>
              <w:wordWrap w:val="0"/>
            </w:pPr>
            <w:r>
              <w:rPr>
                <w:rFonts w:hint="eastAsia"/>
              </w:rPr>
              <w:t>国家债券</w:t>
            </w:r>
          </w:p>
        </w:tc>
        <w:tc>
          <w:tcPr>
            <w:tcW w:w="2199"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right"/>
              <w:wordWrap w:val="0"/>
            </w:pPr>
            <w:r>
              <w:rPr>
                <w:rFonts w:hAnsi="Calibri" w:hint="eastAsia"/>
                <w:color w:val="000000"/>
              </w:rPr>
              <w:t>58,172,662.50</w:t>
            </w:r>
          </w:p>
        </w:tc>
        <w:tc>
          <w:tcPr>
            <w:tcW w:w="2242"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right"/>
              <w:wordWrap w:val="0"/>
            </w:pPr>
            <w:r>
              <w:rPr>
                <w:rFonts w:hAnsi="Calibri" w:hint="eastAsia"/>
                <w:color w:val="000000"/>
              </w:rPr>
              <w:t>1.89</w:t>
            </w:r>
          </w:p>
        </w:tc>
      </w:tr>
      <w:tr w:rsidR="004C06C5">
        <w:tc>
          <w:tcPr>
            <w:tcW w:w="1183"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wordWrap w:val="0"/>
            </w:pPr>
            <w:r>
              <w:rPr>
                <w:rFonts w:hAnsi="Calibri" w:hint="eastAsia"/>
                <w:color w:val="000000"/>
              </w:rPr>
              <w:t>2</w:t>
            </w:r>
          </w:p>
        </w:tc>
        <w:tc>
          <w:tcPr>
            <w:tcW w:w="2790"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left"/>
              <w:wordWrap w:val="0"/>
            </w:pPr>
            <w:r>
              <w:rPr>
                <w:rFonts w:hint="eastAsia"/>
              </w:rPr>
              <w:t>央行票据</w:t>
            </w:r>
          </w:p>
        </w:tc>
        <w:tc>
          <w:tcPr>
            <w:tcW w:w="2199"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right"/>
              <w:wordWrap w:val="0"/>
            </w:pPr>
            <w:r>
              <w:rPr>
                <w:rFonts w:hAnsi="Calibri" w:hint="eastAsia"/>
                <w:color w:val="000000"/>
              </w:rPr>
              <w:t>-</w:t>
            </w:r>
          </w:p>
        </w:tc>
        <w:tc>
          <w:tcPr>
            <w:tcW w:w="2242"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right"/>
              <w:wordWrap w:val="0"/>
            </w:pPr>
            <w:r>
              <w:rPr>
                <w:rFonts w:hAnsi="Calibri" w:hint="eastAsia"/>
                <w:color w:val="000000"/>
              </w:rPr>
              <w:t>-</w:t>
            </w:r>
          </w:p>
        </w:tc>
      </w:tr>
      <w:tr w:rsidR="004C06C5">
        <w:tc>
          <w:tcPr>
            <w:tcW w:w="1183"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wordWrap w:val="0"/>
            </w:pPr>
            <w:r>
              <w:rPr>
                <w:rFonts w:hAnsi="Calibri" w:hint="eastAsia"/>
                <w:color w:val="000000"/>
              </w:rPr>
              <w:t>3</w:t>
            </w:r>
          </w:p>
        </w:tc>
        <w:tc>
          <w:tcPr>
            <w:tcW w:w="2790"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left"/>
              <w:wordWrap w:val="0"/>
            </w:pPr>
            <w:r>
              <w:rPr>
                <w:rFonts w:hint="eastAsia"/>
              </w:rPr>
              <w:t>金融债券</w:t>
            </w:r>
          </w:p>
        </w:tc>
        <w:tc>
          <w:tcPr>
            <w:tcW w:w="2199"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right"/>
              <w:wordWrap w:val="0"/>
            </w:pPr>
            <w:r>
              <w:rPr>
                <w:rFonts w:hAnsi="Calibri" w:hint="eastAsia"/>
                <w:color w:val="000000"/>
              </w:rPr>
              <w:t>1,188,319,000.00</w:t>
            </w:r>
          </w:p>
        </w:tc>
        <w:tc>
          <w:tcPr>
            <w:tcW w:w="2242"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right"/>
              <w:wordWrap w:val="0"/>
            </w:pPr>
            <w:r>
              <w:rPr>
                <w:rFonts w:hAnsi="Calibri" w:hint="eastAsia"/>
                <w:color w:val="000000"/>
              </w:rPr>
              <w:t>38.68</w:t>
            </w:r>
          </w:p>
        </w:tc>
      </w:tr>
      <w:tr w:rsidR="004C06C5">
        <w:tc>
          <w:tcPr>
            <w:tcW w:w="1183" w:type="dxa"/>
            <w:tcBorders>
              <w:top w:val="single" w:sz="8" w:space="0" w:color="000000"/>
              <w:left w:val="single" w:sz="8" w:space="0" w:color="000000"/>
              <w:bottom w:val="single" w:sz="6" w:space="0" w:color="000000"/>
              <w:right w:val="single" w:sz="8" w:space="0" w:color="000000"/>
            </w:tcBorders>
            <w:vAlign w:val="center"/>
          </w:tcPr>
          <w:p w:rsidR="004C06C5" w:rsidRDefault="004C06C5">
            <w:pPr>
              <w:rPr>
                <w:rFonts w:ascii="宋体" w:hAnsi="宋体" w:cs="宋体"/>
                <w:kern w:val="0"/>
                <w:sz w:val="24"/>
              </w:rPr>
            </w:pPr>
          </w:p>
        </w:tc>
        <w:tc>
          <w:tcPr>
            <w:tcW w:w="2790"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left"/>
              <w:wordWrap w:val="0"/>
            </w:pPr>
            <w:r>
              <w:rPr>
                <w:rFonts w:hint="eastAsia"/>
              </w:rPr>
              <w:t>其中：政策性金融债</w:t>
            </w:r>
          </w:p>
        </w:tc>
        <w:tc>
          <w:tcPr>
            <w:tcW w:w="2199"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right"/>
              <w:wordWrap w:val="0"/>
            </w:pPr>
            <w:r>
              <w:rPr>
                <w:rFonts w:hAnsi="Calibri" w:hint="eastAsia"/>
                <w:color w:val="000000"/>
              </w:rPr>
              <w:t>1,188,319,000.00</w:t>
            </w:r>
          </w:p>
        </w:tc>
        <w:tc>
          <w:tcPr>
            <w:tcW w:w="2242"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right"/>
              <w:wordWrap w:val="0"/>
            </w:pPr>
            <w:r>
              <w:rPr>
                <w:rFonts w:hAnsi="Calibri" w:hint="eastAsia"/>
                <w:color w:val="000000"/>
              </w:rPr>
              <w:t>38.68</w:t>
            </w:r>
          </w:p>
        </w:tc>
      </w:tr>
      <w:tr w:rsidR="004C06C5">
        <w:tc>
          <w:tcPr>
            <w:tcW w:w="1183"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wordWrap w:val="0"/>
            </w:pPr>
            <w:r>
              <w:rPr>
                <w:rFonts w:hint="eastAsia"/>
              </w:rPr>
              <w:t>4</w:t>
            </w:r>
          </w:p>
        </w:tc>
        <w:tc>
          <w:tcPr>
            <w:tcW w:w="2790"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left"/>
              <w:wordWrap w:val="0"/>
            </w:pPr>
            <w:r>
              <w:rPr>
                <w:rFonts w:hint="eastAsia"/>
              </w:rPr>
              <w:t>企业债券</w:t>
            </w:r>
          </w:p>
        </w:tc>
        <w:tc>
          <w:tcPr>
            <w:tcW w:w="2199"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right"/>
              <w:wordWrap w:val="0"/>
            </w:pPr>
            <w:r>
              <w:rPr>
                <w:rFonts w:hAnsi="Calibri" w:hint="eastAsia"/>
                <w:color w:val="000000"/>
              </w:rPr>
              <w:t>373,060,219.80</w:t>
            </w:r>
          </w:p>
        </w:tc>
        <w:tc>
          <w:tcPr>
            <w:tcW w:w="2242"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right"/>
              <w:wordWrap w:val="0"/>
            </w:pPr>
            <w:r>
              <w:rPr>
                <w:rFonts w:hAnsi="Calibri" w:hint="eastAsia"/>
                <w:color w:val="000000"/>
              </w:rPr>
              <w:t>12.14</w:t>
            </w:r>
          </w:p>
        </w:tc>
      </w:tr>
      <w:tr w:rsidR="004C06C5">
        <w:tc>
          <w:tcPr>
            <w:tcW w:w="1183"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wordWrap w:val="0"/>
            </w:pPr>
            <w:r>
              <w:rPr>
                <w:rFonts w:hint="eastAsia"/>
              </w:rPr>
              <w:t>5</w:t>
            </w:r>
          </w:p>
        </w:tc>
        <w:tc>
          <w:tcPr>
            <w:tcW w:w="2790"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left"/>
              <w:wordWrap w:val="0"/>
            </w:pPr>
            <w:r>
              <w:rPr>
                <w:rFonts w:hint="eastAsia"/>
              </w:rPr>
              <w:t>企业短期融资</w:t>
            </w:r>
            <w:proofErr w:type="gramStart"/>
            <w:r>
              <w:rPr>
                <w:rFonts w:hint="eastAsia"/>
              </w:rPr>
              <w:t>券</w:t>
            </w:r>
            <w:proofErr w:type="gramEnd"/>
          </w:p>
        </w:tc>
        <w:tc>
          <w:tcPr>
            <w:tcW w:w="2199"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right"/>
              <w:wordWrap w:val="0"/>
            </w:pPr>
            <w:r>
              <w:rPr>
                <w:rFonts w:hAnsi="Calibri" w:hint="eastAsia"/>
                <w:color w:val="000000"/>
              </w:rPr>
              <w:t>74,835,000.00</w:t>
            </w:r>
          </w:p>
        </w:tc>
        <w:tc>
          <w:tcPr>
            <w:tcW w:w="2242"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right"/>
              <w:wordWrap w:val="0"/>
            </w:pPr>
            <w:r>
              <w:rPr>
                <w:rFonts w:hAnsi="Calibri" w:hint="eastAsia"/>
                <w:color w:val="000000"/>
              </w:rPr>
              <w:t>2.44</w:t>
            </w:r>
          </w:p>
        </w:tc>
      </w:tr>
      <w:tr w:rsidR="004C06C5">
        <w:tc>
          <w:tcPr>
            <w:tcW w:w="1183"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wordWrap w:val="0"/>
            </w:pPr>
            <w:r>
              <w:rPr>
                <w:rFonts w:hAnsi="Calibri" w:hint="eastAsia"/>
                <w:color w:val="000000"/>
              </w:rPr>
              <w:t>6</w:t>
            </w:r>
          </w:p>
        </w:tc>
        <w:tc>
          <w:tcPr>
            <w:tcW w:w="2790"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left"/>
              <w:wordWrap w:val="0"/>
            </w:pPr>
            <w:r>
              <w:rPr>
                <w:rFonts w:hint="eastAsia"/>
              </w:rPr>
              <w:t>中期票据</w:t>
            </w:r>
          </w:p>
        </w:tc>
        <w:tc>
          <w:tcPr>
            <w:tcW w:w="2199"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right"/>
              <w:wordWrap w:val="0"/>
            </w:pPr>
            <w:r>
              <w:rPr>
                <w:rFonts w:hAnsi="Calibri" w:hint="eastAsia"/>
                <w:color w:val="000000"/>
              </w:rPr>
              <w:t>796,157,000.00</w:t>
            </w:r>
          </w:p>
        </w:tc>
        <w:tc>
          <w:tcPr>
            <w:tcW w:w="2242"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right"/>
              <w:wordWrap w:val="0"/>
            </w:pPr>
            <w:r>
              <w:rPr>
                <w:rFonts w:hAnsi="Calibri" w:hint="eastAsia"/>
                <w:color w:val="000000"/>
              </w:rPr>
              <w:t>25.91</w:t>
            </w:r>
          </w:p>
        </w:tc>
      </w:tr>
      <w:tr w:rsidR="004C06C5">
        <w:tc>
          <w:tcPr>
            <w:tcW w:w="1183"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wordWrap w:val="0"/>
            </w:pPr>
            <w:r>
              <w:rPr>
                <w:rFonts w:hAnsi="Calibri" w:hint="eastAsia"/>
                <w:color w:val="000000"/>
              </w:rPr>
              <w:t>7</w:t>
            </w:r>
          </w:p>
        </w:tc>
        <w:tc>
          <w:tcPr>
            <w:tcW w:w="2790"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left"/>
              <w:wordWrap w:val="0"/>
            </w:pPr>
            <w:r>
              <w:rPr>
                <w:rFonts w:hint="eastAsia"/>
              </w:rPr>
              <w:t>可转债（可交换债）</w:t>
            </w:r>
          </w:p>
        </w:tc>
        <w:tc>
          <w:tcPr>
            <w:tcW w:w="2199"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right"/>
              <w:wordWrap w:val="0"/>
            </w:pPr>
            <w:r>
              <w:rPr>
                <w:rFonts w:hAnsi="Calibri" w:hint="eastAsia"/>
                <w:color w:val="000000"/>
              </w:rPr>
              <w:t>-</w:t>
            </w:r>
          </w:p>
        </w:tc>
        <w:tc>
          <w:tcPr>
            <w:tcW w:w="2242"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right"/>
              <w:wordWrap w:val="0"/>
            </w:pPr>
            <w:r>
              <w:rPr>
                <w:rFonts w:hAnsi="Calibri" w:hint="eastAsia"/>
                <w:color w:val="000000"/>
              </w:rPr>
              <w:t>-</w:t>
            </w:r>
          </w:p>
        </w:tc>
      </w:tr>
      <w:tr w:rsidR="004C06C5">
        <w:tc>
          <w:tcPr>
            <w:tcW w:w="1183"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wordWrap w:val="0"/>
            </w:pPr>
            <w:r>
              <w:rPr>
                <w:rFonts w:hAnsi="Calibri" w:hint="eastAsia"/>
                <w:color w:val="000000"/>
              </w:rPr>
              <w:t>8</w:t>
            </w:r>
          </w:p>
        </w:tc>
        <w:tc>
          <w:tcPr>
            <w:tcW w:w="2790"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left"/>
              <w:wordWrap w:val="0"/>
            </w:pPr>
            <w:r>
              <w:rPr>
                <w:rFonts w:hint="eastAsia"/>
              </w:rPr>
              <w:t>同业存单</w:t>
            </w:r>
          </w:p>
        </w:tc>
        <w:tc>
          <w:tcPr>
            <w:tcW w:w="2199"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right"/>
              <w:wordWrap w:val="0"/>
            </w:pPr>
            <w:r>
              <w:rPr>
                <w:rFonts w:hAnsi="Calibri" w:hint="eastAsia"/>
                <w:color w:val="000000"/>
              </w:rPr>
              <w:t>118,994,000.00</w:t>
            </w:r>
          </w:p>
        </w:tc>
        <w:tc>
          <w:tcPr>
            <w:tcW w:w="2242"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right"/>
              <w:wordWrap w:val="0"/>
            </w:pPr>
            <w:r>
              <w:rPr>
                <w:rFonts w:hAnsi="Calibri" w:hint="eastAsia"/>
                <w:color w:val="000000"/>
              </w:rPr>
              <w:t>3.87</w:t>
            </w:r>
          </w:p>
        </w:tc>
      </w:tr>
      <w:tr w:rsidR="004C06C5">
        <w:tc>
          <w:tcPr>
            <w:tcW w:w="1183"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wordWrap w:val="0"/>
            </w:pPr>
            <w:r>
              <w:rPr>
                <w:rFonts w:hint="eastAsia"/>
              </w:rPr>
              <w:t>9</w:t>
            </w:r>
          </w:p>
        </w:tc>
        <w:tc>
          <w:tcPr>
            <w:tcW w:w="2790"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left"/>
              <w:wordWrap w:val="0"/>
            </w:pPr>
            <w:r>
              <w:rPr>
                <w:rFonts w:hint="eastAsia"/>
              </w:rPr>
              <w:t>其他</w:t>
            </w:r>
          </w:p>
        </w:tc>
        <w:tc>
          <w:tcPr>
            <w:tcW w:w="2199"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right"/>
              <w:wordWrap w:val="0"/>
            </w:pPr>
            <w:r>
              <w:rPr>
                <w:rFonts w:hAnsi="Calibri" w:hint="eastAsia"/>
                <w:color w:val="000000"/>
              </w:rPr>
              <w:t>-</w:t>
            </w:r>
          </w:p>
        </w:tc>
        <w:tc>
          <w:tcPr>
            <w:tcW w:w="2242"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right"/>
              <w:wordWrap w:val="0"/>
            </w:pPr>
            <w:r>
              <w:rPr>
                <w:rFonts w:hAnsi="Calibri" w:hint="eastAsia"/>
                <w:color w:val="000000"/>
              </w:rPr>
              <w:t>-</w:t>
            </w:r>
          </w:p>
        </w:tc>
      </w:tr>
      <w:tr w:rsidR="004C06C5">
        <w:tc>
          <w:tcPr>
            <w:tcW w:w="1183"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wordWrap w:val="0"/>
            </w:pPr>
            <w:r>
              <w:rPr>
                <w:rFonts w:hAnsi="Calibri" w:hint="eastAsia"/>
                <w:color w:val="000000"/>
              </w:rPr>
              <w:t>10</w:t>
            </w:r>
          </w:p>
        </w:tc>
        <w:tc>
          <w:tcPr>
            <w:tcW w:w="2790"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left"/>
              <w:wordWrap w:val="0"/>
            </w:pPr>
            <w:r>
              <w:rPr>
                <w:rFonts w:hint="eastAsia"/>
              </w:rPr>
              <w:t>合计</w:t>
            </w:r>
          </w:p>
        </w:tc>
        <w:tc>
          <w:tcPr>
            <w:tcW w:w="2199"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right"/>
              <w:wordWrap w:val="0"/>
            </w:pPr>
            <w:r>
              <w:rPr>
                <w:rFonts w:hAnsi="Calibri" w:hint="eastAsia"/>
                <w:color w:val="000000"/>
              </w:rPr>
              <w:t>2,609,537,882.30</w:t>
            </w:r>
          </w:p>
        </w:tc>
        <w:tc>
          <w:tcPr>
            <w:tcW w:w="2242"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right"/>
              <w:wordWrap w:val="0"/>
            </w:pPr>
            <w:r>
              <w:rPr>
                <w:rFonts w:hAnsi="Calibri" w:hint="eastAsia"/>
                <w:color w:val="000000"/>
              </w:rPr>
              <w:t>84.94</w:t>
            </w:r>
          </w:p>
        </w:tc>
      </w:tr>
    </w:tbl>
    <w:p w:rsidR="004C06C5" w:rsidRDefault="004C06C5">
      <w:pPr>
        <w:pStyle w:val="zhangjiep2"/>
        <w:spacing w:line="360" w:lineRule="auto"/>
        <w:rPr>
          <w:bCs/>
          <w:sz w:val="21"/>
          <w:szCs w:val="21"/>
        </w:rPr>
      </w:pPr>
    </w:p>
    <w:p w:rsidR="004C06C5" w:rsidRDefault="00ED474B">
      <w:pPr>
        <w:pStyle w:val="zhangjiep2"/>
        <w:spacing w:line="360" w:lineRule="auto"/>
        <w:rPr>
          <w:bCs/>
          <w:sz w:val="21"/>
          <w:szCs w:val="21"/>
        </w:rPr>
      </w:pPr>
      <w:r>
        <w:rPr>
          <w:rFonts w:hint="eastAsia"/>
          <w:bCs/>
          <w:sz w:val="21"/>
          <w:szCs w:val="21"/>
        </w:rPr>
        <w:t>5、报告期末按公允价值占基金资产净值比例大小排序的前五名债券投资明细</w:t>
      </w:r>
    </w:p>
    <w:tbl>
      <w:tblPr>
        <w:tblW w:w="8886" w:type="dxa"/>
        <w:tblInd w:w="108" w:type="dxa"/>
        <w:tblLayout w:type="fixed"/>
        <w:tblLook w:val="04A0" w:firstRow="1" w:lastRow="0" w:firstColumn="1" w:lastColumn="0" w:noHBand="0" w:noVBand="1"/>
      </w:tblPr>
      <w:tblGrid>
        <w:gridCol w:w="709"/>
        <w:gridCol w:w="1418"/>
        <w:gridCol w:w="1331"/>
        <w:gridCol w:w="1347"/>
        <w:gridCol w:w="2080"/>
        <w:gridCol w:w="2001"/>
      </w:tblGrid>
      <w:tr w:rsidR="004C06C5">
        <w:tc>
          <w:tcPr>
            <w:tcW w:w="709"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wordWrap w:val="0"/>
              <w:rPr>
                <w:rFonts w:hAnsi="Calibri"/>
                <w:color w:val="000000"/>
              </w:rPr>
            </w:pPr>
            <w:r>
              <w:rPr>
                <w:rFonts w:hAnsi="Calibri" w:hint="eastAsia"/>
                <w:color w:val="000000"/>
              </w:rPr>
              <w:t>序号</w:t>
            </w:r>
          </w:p>
        </w:tc>
        <w:tc>
          <w:tcPr>
            <w:tcW w:w="1418"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wordWrap w:val="0"/>
              <w:rPr>
                <w:rFonts w:hAnsi="Calibri"/>
                <w:color w:val="000000"/>
              </w:rPr>
            </w:pPr>
            <w:r>
              <w:rPr>
                <w:rFonts w:hAnsi="Calibri" w:hint="eastAsia"/>
                <w:color w:val="000000"/>
              </w:rPr>
              <w:t>债券代码</w:t>
            </w:r>
          </w:p>
        </w:tc>
        <w:tc>
          <w:tcPr>
            <w:tcW w:w="1331"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wordWrap w:val="0"/>
              <w:rPr>
                <w:rFonts w:hAnsi="Calibri"/>
                <w:color w:val="000000"/>
              </w:rPr>
            </w:pPr>
            <w:r>
              <w:rPr>
                <w:rFonts w:hAnsi="Calibri" w:hint="eastAsia"/>
                <w:color w:val="000000"/>
              </w:rPr>
              <w:t>债券名称</w:t>
            </w:r>
          </w:p>
        </w:tc>
        <w:tc>
          <w:tcPr>
            <w:tcW w:w="1347"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wordWrap w:val="0"/>
              <w:rPr>
                <w:rFonts w:hAnsi="Calibri"/>
                <w:color w:val="000000"/>
              </w:rPr>
            </w:pPr>
            <w:r>
              <w:rPr>
                <w:rFonts w:hAnsi="Calibri" w:hint="eastAsia"/>
                <w:color w:val="000000"/>
              </w:rPr>
              <w:t>数量（张）</w:t>
            </w:r>
          </w:p>
        </w:tc>
        <w:tc>
          <w:tcPr>
            <w:tcW w:w="2080"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wordWrap w:val="0"/>
              <w:rPr>
                <w:rFonts w:hAnsi="Calibri"/>
                <w:color w:val="000000"/>
              </w:rPr>
            </w:pPr>
            <w:r>
              <w:rPr>
                <w:rFonts w:hAnsi="Calibri" w:hint="eastAsia"/>
                <w:color w:val="000000"/>
              </w:rPr>
              <w:t>公允价值(元)</w:t>
            </w:r>
          </w:p>
        </w:tc>
        <w:tc>
          <w:tcPr>
            <w:tcW w:w="2001"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wordWrap w:val="0"/>
              <w:rPr>
                <w:rFonts w:hAnsi="Calibri"/>
                <w:color w:val="000000"/>
              </w:rPr>
            </w:pPr>
            <w:r>
              <w:rPr>
                <w:rFonts w:hAnsi="Calibri" w:hint="eastAsia"/>
                <w:color w:val="000000"/>
              </w:rPr>
              <w:t>占基金资产净值比例（％）</w:t>
            </w:r>
          </w:p>
        </w:tc>
      </w:tr>
      <w:tr w:rsidR="004C06C5">
        <w:tc>
          <w:tcPr>
            <w:tcW w:w="709"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wordWrap w:val="0"/>
              <w:rPr>
                <w:rFonts w:hAnsi="Calibri"/>
                <w:color w:val="000000"/>
              </w:rPr>
            </w:pPr>
            <w:r>
              <w:rPr>
                <w:rFonts w:hAnsi="Calibri" w:hint="eastAsia"/>
                <w:color w:val="000000"/>
              </w:rPr>
              <w:t>1</w:t>
            </w:r>
          </w:p>
        </w:tc>
        <w:tc>
          <w:tcPr>
            <w:tcW w:w="1418"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rPr>
                <w:rFonts w:hAnsi="Calibri"/>
                <w:color w:val="000000"/>
              </w:rPr>
            </w:pPr>
            <w:r>
              <w:rPr>
                <w:rFonts w:hAnsi="Calibri" w:hint="eastAsia"/>
                <w:color w:val="000000"/>
              </w:rPr>
              <w:t>190403</w:t>
            </w:r>
          </w:p>
        </w:tc>
        <w:tc>
          <w:tcPr>
            <w:tcW w:w="1331"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rPr>
                <w:rFonts w:hAnsi="Calibri"/>
                <w:color w:val="000000"/>
              </w:rPr>
            </w:pPr>
            <w:r>
              <w:rPr>
                <w:rFonts w:hAnsi="Calibri" w:hint="eastAsia"/>
                <w:color w:val="000000"/>
              </w:rPr>
              <w:t>19农发03</w:t>
            </w:r>
          </w:p>
        </w:tc>
        <w:tc>
          <w:tcPr>
            <w:tcW w:w="1347"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rPr>
                <w:rFonts w:hAnsi="Calibri"/>
                <w:color w:val="000000"/>
              </w:rPr>
            </w:pPr>
            <w:r>
              <w:rPr>
                <w:rFonts w:hAnsi="Calibri" w:hint="eastAsia"/>
                <w:color w:val="000000"/>
              </w:rPr>
              <w:t>1,800,000</w:t>
            </w:r>
          </w:p>
        </w:tc>
        <w:tc>
          <w:tcPr>
            <w:tcW w:w="2080"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rPr>
                <w:rFonts w:hAnsi="Calibri"/>
                <w:color w:val="000000"/>
              </w:rPr>
            </w:pPr>
            <w:r>
              <w:rPr>
                <w:rFonts w:hAnsi="Calibri" w:hint="eastAsia"/>
                <w:color w:val="000000"/>
              </w:rPr>
              <w:t>181,296,000.00</w:t>
            </w:r>
          </w:p>
        </w:tc>
        <w:tc>
          <w:tcPr>
            <w:tcW w:w="2001"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rPr>
                <w:rFonts w:hAnsi="Calibri"/>
                <w:color w:val="000000"/>
              </w:rPr>
            </w:pPr>
            <w:r>
              <w:rPr>
                <w:rFonts w:hAnsi="Calibri" w:hint="eastAsia"/>
                <w:color w:val="000000"/>
              </w:rPr>
              <w:t>5.90</w:t>
            </w:r>
          </w:p>
        </w:tc>
      </w:tr>
      <w:tr w:rsidR="004C06C5">
        <w:tc>
          <w:tcPr>
            <w:tcW w:w="709"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wordWrap w:val="0"/>
              <w:rPr>
                <w:rFonts w:hAnsi="Calibri"/>
                <w:color w:val="000000"/>
              </w:rPr>
            </w:pPr>
            <w:r>
              <w:rPr>
                <w:rFonts w:hAnsi="Calibri" w:hint="eastAsia"/>
                <w:color w:val="000000"/>
              </w:rPr>
              <w:t>2</w:t>
            </w:r>
          </w:p>
        </w:tc>
        <w:tc>
          <w:tcPr>
            <w:tcW w:w="1418"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rPr>
                <w:rFonts w:hAnsi="Calibri"/>
                <w:color w:val="000000"/>
              </w:rPr>
            </w:pPr>
            <w:r>
              <w:rPr>
                <w:rFonts w:hAnsi="Calibri" w:hint="eastAsia"/>
                <w:color w:val="000000"/>
              </w:rPr>
              <w:t>190207</w:t>
            </w:r>
          </w:p>
        </w:tc>
        <w:tc>
          <w:tcPr>
            <w:tcW w:w="1331"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rPr>
                <w:rFonts w:hAnsi="Calibri"/>
                <w:color w:val="000000"/>
              </w:rPr>
            </w:pPr>
            <w:r>
              <w:rPr>
                <w:rFonts w:hAnsi="Calibri" w:hint="eastAsia"/>
                <w:color w:val="000000"/>
              </w:rPr>
              <w:t>19国开07</w:t>
            </w:r>
          </w:p>
        </w:tc>
        <w:tc>
          <w:tcPr>
            <w:tcW w:w="1347"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rPr>
                <w:rFonts w:hAnsi="Calibri"/>
                <w:color w:val="000000"/>
              </w:rPr>
            </w:pPr>
            <w:r>
              <w:rPr>
                <w:rFonts w:hAnsi="Calibri" w:hint="eastAsia"/>
                <w:color w:val="000000"/>
              </w:rPr>
              <w:t>1,500,000</w:t>
            </w:r>
          </w:p>
        </w:tc>
        <w:tc>
          <w:tcPr>
            <w:tcW w:w="2080"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rPr>
                <w:rFonts w:hAnsi="Calibri"/>
                <w:color w:val="000000"/>
              </w:rPr>
            </w:pPr>
            <w:r>
              <w:rPr>
                <w:rFonts w:hAnsi="Calibri" w:hint="eastAsia"/>
                <w:color w:val="000000"/>
              </w:rPr>
              <w:t>151,110,000.00</w:t>
            </w:r>
          </w:p>
        </w:tc>
        <w:tc>
          <w:tcPr>
            <w:tcW w:w="2001"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rPr>
                <w:rFonts w:hAnsi="Calibri"/>
                <w:color w:val="000000"/>
              </w:rPr>
            </w:pPr>
            <w:r>
              <w:rPr>
                <w:rFonts w:hAnsi="Calibri" w:hint="eastAsia"/>
                <w:color w:val="000000"/>
              </w:rPr>
              <w:t>4.92</w:t>
            </w:r>
          </w:p>
        </w:tc>
      </w:tr>
      <w:tr w:rsidR="004C06C5">
        <w:tc>
          <w:tcPr>
            <w:tcW w:w="709"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wordWrap w:val="0"/>
              <w:rPr>
                <w:rFonts w:hAnsi="Calibri"/>
                <w:color w:val="000000"/>
              </w:rPr>
            </w:pPr>
            <w:r>
              <w:rPr>
                <w:rFonts w:hAnsi="Calibri" w:hint="eastAsia"/>
                <w:color w:val="000000"/>
              </w:rPr>
              <w:t>3</w:t>
            </w:r>
          </w:p>
        </w:tc>
        <w:tc>
          <w:tcPr>
            <w:tcW w:w="1418"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rPr>
                <w:rFonts w:hAnsi="Calibri"/>
                <w:color w:val="000000"/>
              </w:rPr>
            </w:pPr>
            <w:r>
              <w:rPr>
                <w:rFonts w:hAnsi="Calibri" w:hint="eastAsia"/>
                <w:color w:val="000000"/>
              </w:rPr>
              <w:t>180212</w:t>
            </w:r>
          </w:p>
        </w:tc>
        <w:tc>
          <w:tcPr>
            <w:tcW w:w="1331"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rPr>
                <w:rFonts w:hAnsi="Calibri"/>
                <w:color w:val="000000"/>
              </w:rPr>
            </w:pPr>
            <w:r>
              <w:rPr>
                <w:rFonts w:hAnsi="Calibri" w:hint="eastAsia"/>
                <w:color w:val="000000"/>
              </w:rPr>
              <w:t>18国开12</w:t>
            </w:r>
          </w:p>
        </w:tc>
        <w:tc>
          <w:tcPr>
            <w:tcW w:w="1347"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rPr>
                <w:rFonts w:hAnsi="Calibri"/>
                <w:color w:val="000000"/>
              </w:rPr>
            </w:pPr>
            <w:r>
              <w:rPr>
                <w:rFonts w:hAnsi="Calibri" w:hint="eastAsia"/>
                <w:color w:val="000000"/>
              </w:rPr>
              <w:t>1,300,000</w:t>
            </w:r>
          </w:p>
        </w:tc>
        <w:tc>
          <w:tcPr>
            <w:tcW w:w="2080"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rPr>
                <w:rFonts w:hAnsi="Calibri"/>
                <w:color w:val="000000"/>
              </w:rPr>
            </w:pPr>
            <w:r>
              <w:rPr>
                <w:rFonts w:hAnsi="Calibri" w:hint="eastAsia"/>
                <w:color w:val="000000"/>
              </w:rPr>
              <w:t>131,989,000.00</w:t>
            </w:r>
          </w:p>
        </w:tc>
        <w:tc>
          <w:tcPr>
            <w:tcW w:w="2001"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rPr>
                <w:rFonts w:hAnsi="Calibri"/>
                <w:color w:val="000000"/>
              </w:rPr>
            </w:pPr>
            <w:r>
              <w:rPr>
                <w:rFonts w:hAnsi="Calibri" w:hint="eastAsia"/>
                <w:color w:val="000000"/>
              </w:rPr>
              <w:t>4.30</w:t>
            </w:r>
          </w:p>
        </w:tc>
      </w:tr>
      <w:tr w:rsidR="004C06C5">
        <w:tc>
          <w:tcPr>
            <w:tcW w:w="709"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wordWrap w:val="0"/>
              <w:rPr>
                <w:rFonts w:hAnsi="Calibri"/>
                <w:color w:val="000000"/>
              </w:rPr>
            </w:pPr>
            <w:r>
              <w:rPr>
                <w:rFonts w:hAnsi="Calibri" w:hint="eastAsia"/>
                <w:color w:val="000000"/>
              </w:rPr>
              <w:t>4</w:t>
            </w:r>
          </w:p>
        </w:tc>
        <w:tc>
          <w:tcPr>
            <w:tcW w:w="1418"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rPr>
                <w:rFonts w:hAnsi="Calibri"/>
                <w:color w:val="000000"/>
              </w:rPr>
            </w:pPr>
            <w:r>
              <w:rPr>
                <w:rFonts w:hAnsi="Calibri" w:hint="eastAsia"/>
                <w:color w:val="000000"/>
              </w:rPr>
              <w:t>190306</w:t>
            </w:r>
          </w:p>
        </w:tc>
        <w:tc>
          <w:tcPr>
            <w:tcW w:w="1331"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rPr>
                <w:rFonts w:hAnsi="Calibri"/>
                <w:color w:val="000000"/>
              </w:rPr>
            </w:pPr>
            <w:r>
              <w:rPr>
                <w:rFonts w:hAnsi="Calibri" w:hint="eastAsia"/>
                <w:color w:val="000000"/>
              </w:rPr>
              <w:t>19进出06</w:t>
            </w:r>
          </w:p>
        </w:tc>
        <w:tc>
          <w:tcPr>
            <w:tcW w:w="1347"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rPr>
                <w:rFonts w:hAnsi="Calibri"/>
                <w:color w:val="000000"/>
              </w:rPr>
            </w:pPr>
            <w:r>
              <w:rPr>
                <w:rFonts w:hAnsi="Calibri" w:hint="eastAsia"/>
                <w:color w:val="000000"/>
              </w:rPr>
              <w:t>1,300,000</w:t>
            </w:r>
          </w:p>
        </w:tc>
        <w:tc>
          <w:tcPr>
            <w:tcW w:w="2080"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rPr>
                <w:rFonts w:hAnsi="Calibri"/>
                <w:color w:val="000000"/>
              </w:rPr>
            </w:pPr>
            <w:r>
              <w:rPr>
                <w:rFonts w:hAnsi="Calibri" w:hint="eastAsia"/>
                <w:color w:val="000000"/>
              </w:rPr>
              <w:t>131,521,000.00</w:t>
            </w:r>
          </w:p>
        </w:tc>
        <w:tc>
          <w:tcPr>
            <w:tcW w:w="2001"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rPr>
                <w:rFonts w:hAnsi="Calibri"/>
                <w:color w:val="000000"/>
              </w:rPr>
            </w:pPr>
            <w:r>
              <w:rPr>
                <w:rFonts w:hAnsi="Calibri" w:hint="eastAsia"/>
                <w:color w:val="000000"/>
              </w:rPr>
              <w:t>4.28</w:t>
            </w:r>
          </w:p>
        </w:tc>
      </w:tr>
      <w:tr w:rsidR="004C06C5">
        <w:tc>
          <w:tcPr>
            <w:tcW w:w="709"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wordWrap w:val="0"/>
              <w:rPr>
                <w:rFonts w:hAnsi="Calibri"/>
                <w:color w:val="000000"/>
              </w:rPr>
            </w:pPr>
            <w:r>
              <w:rPr>
                <w:rFonts w:hAnsi="Calibri" w:hint="eastAsia"/>
                <w:color w:val="000000"/>
              </w:rPr>
              <w:t>5</w:t>
            </w:r>
          </w:p>
        </w:tc>
        <w:tc>
          <w:tcPr>
            <w:tcW w:w="1418"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rPr>
                <w:rFonts w:hAnsi="Calibri"/>
                <w:color w:val="000000"/>
              </w:rPr>
            </w:pPr>
            <w:r>
              <w:rPr>
                <w:rFonts w:hAnsi="Calibri" w:hint="eastAsia"/>
                <w:color w:val="000000"/>
              </w:rPr>
              <w:t>190304</w:t>
            </w:r>
          </w:p>
        </w:tc>
        <w:tc>
          <w:tcPr>
            <w:tcW w:w="1331"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rPr>
                <w:rFonts w:hAnsi="Calibri"/>
                <w:color w:val="000000"/>
              </w:rPr>
            </w:pPr>
            <w:r>
              <w:rPr>
                <w:rFonts w:hAnsi="Calibri" w:hint="eastAsia"/>
                <w:color w:val="000000"/>
              </w:rPr>
              <w:t>19进出04</w:t>
            </w:r>
          </w:p>
        </w:tc>
        <w:tc>
          <w:tcPr>
            <w:tcW w:w="1347"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rPr>
                <w:rFonts w:hAnsi="Calibri"/>
                <w:color w:val="000000"/>
              </w:rPr>
            </w:pPr>
            <w:r>
              <w:rPr>
                <w:rFonts w:hAnsi="Calibri" w:hint="eastAsia"/>
                <w:color w:val="000000"/>
              </w:rPr>
              <w:t>1,300,000</w:t>
            </w:r>
          </w:p>
        </w:tc>
        <w:tc>
          <w:tcPr>
            <w:tcW w:w="2080"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rPr>
                <w:rFonts w:hAnsi="Calibri"/>
                <w:color w:val="000000"/>
              </w:rPr>
            </w:pPr>
            <w:r>
              <w:rPr>
                <w:rFonts w:hAnsi="Calibri" w:hint="eastAsia"/>
                <w:color w:val="000000"/>
              </w:rPr>
              <w:t>130,221,000.00</w:t>
            </w:r>
          </w:p>
        </w:tc>
        <w:tc>
          <w:tcPr>
            <w:tcW w:w="2001"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rPr>
                <w:rFonts w:hAnsi="Calibri"/>
                <w:color w:val="000000"/>
              </w:rPr>
            </w:pPr>
            <w:r>
              <w:rPr>
                <w:rFonts w:hAnsi="Calibri" w:hint="eastAsia"/>
                <w:color w:val="000000"/>
              </w:rPr>
              <w:t>4.24</w:t>
            </w:r>
          </w:p>
        </w:tc>
      </w:tr>
    </w:tbl>
    <w:p w:rsidR="004C06C5" w:rsidRDefault="004C06C5">
      <w:pPr>
        <w:pStyle w:val="zhangjiep2"/>
        <w:spacing w:line="360" w:lineRule="auto"/>
        <w:rPr>
          <w:bCs/>
          <w:sz w:val="21"/>
          <w:szCs w:val="21"/>
        </w:rPr>
      </w:pPr>
    </w:p>
    <w:p w:rsidR="004C06C5" w:rsidRDefault="00ED474B">
      <w:pPr>
        <w:pStyle w:val="zhangjiep2"/>
        <w:spacing w:line="360" w:lineRule="auto"/>
        <w:rPr>
          <w:bCs/>
          <w:sz w:val="21"/>
          <w:szCs w:val="21"/>
        </w:rPr>
      </w:pPr>
      <w:r>
        <w:rPr>
          <w:rFonts w:hint="eastAsia"/>
          <w:bCs/>
          <w:sz w:val="21"/>
          <w:szCs w:val="21"/>
        </w:rPr>
        <w:t>6、报告期末按公允价值占基金资产净值比例大小排序的前十名资产支持证券投资明细</w:t>
      </w:r>
    </w:p>
    <w:p w:rsidR="004C06C5" w:rsidRDefault="00ED474B">
      <w:pPr>
        <w:pStyle w:val="zhangjiep2"/>
        <w:spacing w:line="360" w:lineRule="auto"/>
        <w:ind w:firstLineChars="200" w:firstLine="480"/>
        <w:rPr>
          <w:bCs/>
          <w:sz w:val="21"/>
          <w:szCs w:val="21"/>
        </w:rPr>
      </w:pPr>
      <w:r>
        <w:rPr>
          <w:rFonts w:hint="eastAsia"/>
        </w:rPr>
        <w:t>本基金本报告期末未持有资产支持证券。</w:t>
      </w:r>
    </w:p>
    <w:p w:rsidR="004C06C5" w:rsidRDefault="00ED474B">
      <w:pPr>
        <w:pStyle w:val="zhangjiep2"/>
        <w:spacing w:line="360" w:lineRule="auto"/>
        <w:rPr>
          <w:bCs/>
          <w:sz w:val="21"/>
          <w:szCs w:val="21"/>
        </w:rPr>
      </w:pPr>
      <w:r>
        <w:rPr>
          <w:rFonts w:hint="eastAsia"/>
          <w:bCs/>
          <w:sz w:val="21"/>
          <w:szCs w:val="21"/>
        </w:rPr>
        <w:t>7、报告期末按公允价值占基金资产净值比例大小排序的前五名贵金属投资明细</w:t>
      </w:r>
    </w:p>
    <w:tbl>
      <w:tblPr>
        <w:tblW w:w="236" w:type="dxa"/>
        <w:tblInd w:w="108" w:type="dxa"/>
        <w:tblLayout w:type="fixed"/>
        <w:tblLook w:val="04A0" w:firstRow="1" w:lastRow="0" w:firstColumn="1" w:lastColumn="0" w:noHBand="0" w:noVBand="1"/>
      </w:tblPr>
      <w:tblGrid>
        <w:gridCol w:w="236"/>
      </w:tblGrid>
      <w:tr w:rsidR="004C06C5">
        <w:tc>
          <w:tcPr>
            <w:tcW w:w="236" w:type="dxa"/>
            <w:vAlign w:val="center"/>
          </w:tcPr>
          <w:p w:rsidR="004C06C5" w:rsidRDefault="004C06C5">
            <w:pPr>
              <w:pStyle w:val="zhangjiep2"/>
              <w:spacing w:line="360" w:lineRule="auto"/>
              <w:rPr>
                <w:bCs/>
                <w:sz w:val="21"/>
                <w:szCs w:val="21"/>
              </w:rPr>
            </w:pPr>
          </w:p>
        </w:tc>
      </w:tr>
    </w:tbl>
    <w:p w:rsidR="004C06C5" w:rsidRDefault="00ED474B">
      <w:pPr>
        <w:pStyle w:val="zhangjiep2"/>
        <w:spacing w:line="360" w:lineRule="auto"/>
        <w:ind w:firstLineChars="200" w:firstLine="420"/>
        <w:rPr>
          <w:bCs/>
          <w:sz w:val="21"/>
          <w:szCs w:val="21"/>
        </w:rPr>
      </w:pPr>
      <w:r>
        <w:rPr>
          <w:rFonts w:hint="eastAsia"/>
          <w:bCs/>
          <w:sz w:val="21"/>
          <w:szCs w:val="21"/>
        </w:rPr>
        <w:lastRenderedPageBreak/>
        <w:t>本基金本报告期末未持有贵金属。</w:t>
      </w:r>
    </w:p>
    <w:p w:rsidR="004C06C5" w:rsidRDefault="00ED474B">
      <w:pPr>
        <w:pStyle w:val="zhangjiep2"/>
        <w:spacing w:line="360" w:lineRule="auto"/>
        <w:rPr>
          <w:bCs/>
          <w:sz w:val="21"/>
          <w:szCs w:val="21"/>
        </w:rPr>
      </w:pPr>
      <w:r>
        <w:rPr>
          <w:rFonts w:hint="eastAsia"/>
          <w:bCs/>
          <w:sz w:val="21"/>
          <w:szCs w:val="21"/>
        </w:rPr>
        <w:t>8、报告期末按公允价值占基金资产净值比例大小排序的前五名权证投资明细</w:t>
      </w:r>
    </w:p>
    <w:p w:rsidR="004C06C5" w:rsidRDefault="00ED474B">
      <w:pPr>
        <w:pStyle w:val="zhangjiep2"/>
        <w:spacing w:line="360" w:lineRule="auto"/>
        <w:ind w:firstLineChars="200" w:firstLine="420"/>
        <w:rPr>
          <w:bCs/>
          <w:sz w:val="21"/>
          <w:szCs w:val="21"/>
        </w:rPr>
      </w:pPr>
      <w:r>
        <w:rPr>
          <w:rFonts w:hint="eastAsia"/>
          <w:bCs/>
          <w:sz w:val="21"/>
          <w:szCs w:val="21"/>
        </w:rPr>
        <w:t>本基金本报告期末未持有权证。</w:t>
      </w:r>
    </w:p>
    <w:p w:rsidR="004C06C5" w:rsidRDefault="00ED474B">
      <w:pPr>
        <w:pStyle w:val="zhangjiep2"/>
        <w:spacing w:line="360" w:lineRule="auto"/>
        <w:rPr>
          <w:bCs/>
          <w:sz w:val="21"/>
          <w:szCs w:val="21"/>
        </w:rPr>
      </w:pPr>
      <w:r>
        <w:rPr>
          <w:rFonts w:hint="eastAsia"/>
          <w:bCs/>
          <w:sz w:val="21"/>
          <w:szCs w:val="21"/>
        </w:rPr>
        <w:t>9、报告期末本基金投资的股指期货交易情况说明</w:t>
      </w:r>
    </w:p>
    <w:p w:rsidR="004C06C5" w:rsidRDefault="00ED474B">
      <w:pPr>
        <w:pStyle w:val="zhangjiep2"/>
        <w:spacing w:line="360" w:lineRule="auto"/>
        <w:rPr>
          <w:bCs/>
          <w:sz w:val="21"/>
          <w:szCs w:val="21"/>
        </w:rPr>
      </w:pPr>
      <w:r>
        <w:rPr>
          <w:rFonts w:hint="eastAsia"/>
          <w:bCs/>
          <w:sz w:val="21"/>
          <w:szCs w:val="21"/>
        </w:rPr>
        <w:t>（1）报告期末本基金投资的股指期货持仓和损益明细</w:t>
      </w:r>
    </w:p>
    <w:p w:rsidR="004C06C5" w:rsidRDefault="00ED474B">
      <w:pPr>
        <w:pStyle w:val="zhangjiep2"/>
        <w:spacing w:line="360" w:lineRule="auto"/>
        <w:ind w:firstLineChars="200" w:firstLine="420"/>
        <w:rPr>
          <w:bCs/>
          <w:sz w:val="21"/>
          <w:szCs w:val="21"/>
        </w:rPr>
      </w:pPr>
      <w:r>
        <w:rPr>
          <w:rFonts w:hint="eastAsia"/>
          <w:bCs/>
          <w:sz w:val="21"/>
          <w:szCs w:val="21"/>
        </w:rPr>
        <w:t>本基金报告期末未投资股指期货。</w:t>
      </w:r>
    </w:p>
    <w:p w:rsidR="004C06C5" w:rsidRDefault="00ED474B">
      <w:pPr>
        <w:pStyle w:val="zhangjiep2"/>
        <w:spacing w:line="360" w:lineRule="auto"/>
        <w:rPr>
          <w:bCs/>
          <w:sz w:val="21"/>
          <w:szCs w:val="21"/>
        </w:rPr>
      </w:pPr>
      <w:r>
        <w:rPr>
          <w:rFonts w:hint="eastAsia"/>
          <w:bCs/>
          <w:sz w:val="21"/>
          <w:szCs w:val="21"/>
        </w:rPr>
        <w:t>（2）本基金投资股指期货的投资政策</w:t>
      </w:r>
    </w:p>
    <w:p w:rsidR="004C06C5" w:rsidRDefault="00ED474B">
      <w:pPr>
        <w:pStyle w:val="zhangjiep2"/>
        <w:spacing w:line="360" w:lineRule="auto"/>
        <w:ind w:firstLineChars="200" w:firstLine="420"/>
        <w:rPr>
          <w:bCs/>
          <w:sz w:val="21"/>
          <w:szCs w:val="21"/>
        </w:rPr>
      </w:pPr>
      <w:r>
        <w:rPr>
          <w:rFonts w:hint="eastAsia"/>
          <w:bCs/>
          <w:sz w:val="21"/>
          <w:szCs w:val="21"/>
        </w:rPr>
        <w:t>本基金报告期末未投资股指期货。</w:t>
      </w:r>
    </w:p>
    <w:p w:rsidR="004C06C5" w:rsidRDefault="00ED474B">
      <w:pPr>
        <w:pStyle w:val="zhangjiep2"/>
        <w:spacing w:line="360" w:lineRule="auto"/>
        <w:rPr>
          <w:bCs/>
          <w:sz w:val="21"/>
          <w:szCs w:val="21"/>
        </w:rPr>
      </w:pPr>
      <w:r>
        <w:rPr>
          <w:rFonts w:hint="eastAsia"/>
          <w:bCs/>
          <w:sz w:val="21"/>
          <w:szCs w:val="21"/>
        </w:rPr>
        <w:t>10、报告期末本基金投资的国债期货交易情况说明</w:t>
      </w:r>
    </w:p>
    <w:p w:rsidR="004C06C5" w:rsidRDefault="00ED474B">
      <w:pPr>
        <w:pStyle w:val="zhangjiep2"/>
        <w:spacing w:line="360" w:lineRule="auto"/>
        <w:rPr>
          <w:bCs/>
          <w:sz w:val="21"/>
          <w:szCs w:val="21"/>
        </w:rPr>
      </w:pPr>
      <w:r>
        <w:rPr>
          <w:rFonts w:hint="eastAsia"/>
          <w:bCs/>
          <w:sz w:val="21"/>
          <w:szCs w:val="21"/>
        </w:rPr>
        <w:t>（1）本期国债期货投资政策</w:t>
      </w:r>
    </w:p>
    <w:p w:rsidR="004C06C5" w:rsidRDefault="00ED474B">
      <w:pPr>
        <w:pStyle w:val="zhangjiep2"/>
        <w:spacing w:line="360" w:lineRule="auto"/>
        <w:ind w:firstLineChars="200" w:firstLine="420"/>
        <w:rPr>
          <w:bCs/>
          <w:sz w:val="21"/>
          <w:szCs w:val="21"/>
        </w:rPr>
      </w:pPr>
      <w:r>
        <w:rPr>
          <w:rFonts w:hint="eastAsia"/>
          <w:bCs/>
          <w:sz w:val="21"/>
          <w:szCs w:val="21"/>
        </w:rPr>
        <w:t>本基金报告期末未投资国债期货。</w:t>
      </w:r>
    </w:p>
    <w:p w:rsidR="004C06C5" w:rsidRDefault="00ED474B">
      <w:pPr>
        <w:pStyle w:val="zhangjiep2"/>
        <w:spacing w:line="360" w:lineRule="auto"/>
        <w:rPr>
          <w:bCs/>
          <w:sz w:val="21"/>
          <w:szCs w:val="21"/>
        </w:rPr>
      </w:pPr>
      <w:r>
        <w:rPr>
          <w:rFonts w:hint="eastAsia"/>
          <w:bCs/>
          <w:sz w:val="21"/>
          <w:szCs w:val="21"/>
        </w:rPr>
        <w:t>（2）报告期末本基金投资的国债期货持仓和损益明细</w:t>
      </w:r>
    </w:p>
    <w:p w:rsidR="004C06C5" w:rsidRDefault="00ED474B">
      <w:pPr>
        <w:pStyle w:val="zhangjiep2"/>
        <w:spacing w:line="360" w:lineRule="auto"/>
        <w:ind w:firstLineChars="200" w:firstLine="420"/>
        <w:rPr>
          <w:bCs/>
          <w:sz w:val="21"/>
          <w:szCs w:val="21"/>
        </w:rPr>
      </w:pPr>
      <w:r>
        <w:rPr>
          <w:rFonts w:hint="eastAsia"/>
          <w:bCs/>
          <w:sz w:val="21"/>
          <w:szCs w:val="21"/>
        </w:rPr>
        <w:t>本期报告期末未投资国债期货。</w:t>
      </w:r>
    </w:p>
    <w:p w:rsidR="004C06C5" w:rsidRDefault="00ED474B">
      <w:pPr>
        <w:pStyle w:val="zhangjiep2"/>
        <w:spacing w:line="360" w:lineRule="auto"/>
        <w:rPr>
          <w:bCs/>
          <w:sz w:val="21"/>
          <w:szCs w:val="21"/>
        </w:rPr>
      </w:pPr>
      <w:r>
        <w:rPr>
          <w:rFonts w:hint="eastAsia"/>
          <w:bCs/>
          <w:sz w:val="21"/>
          <w:szCs w:val="21"/>
        </w:rPr>
        <w:t>（3）本期国债期货投资评价</w:t>
      </w:r>
    </w:p>
    <w:p w:rsidR="004C06C5" w:rsidRDefault="00ED474B">
      <w:pPr>
        <w:pStyle w:val="zhangjiep2"/>
        <w:spacing w:line="360" w:lineRule="auto"/>
        <w:ind w:firstLineChars="200" w:firstLine="420"/>
        <w:rPr>
          <w:bCs/>
          <w:sz w:val="21"/>
          <w:szCs w:val="21"/>
        </w:rPr>
      </w:pPr>
      <w:r>
        <w:rPr>
          <w:rFonts w:hint="eastAsia"/>
          <w:bCs/>
          <w:sz w:val="21"/>
          <w:szCs w:val="21"/>
        </w:rPr>
        <w:t>本基金报告期末未投资国债期货。</w:t>
      </w:r>
    </w:p>
    <w:p w:rsidR="004C06C5" w:rsidRDefault="00ED474B">
      <w:pPr>
        <w:pStyle w:val="zhangjiep2"/>
        <w:spacing w:line="360" w:lineRule="auto"/>
        <w:rPr>
          <w:bCs/>
          <w:sz w:val="21"/>
          <w:szCs w:val="21"/>
        </w:rPr>
      </w:pPr>
      <w:r>
        <w:rPr>
          <w:rFonts w:hint="eastAsia"/>
          <w:bCs/>
          <w:sz w:val="21"/>
          <w:szCs w:val="21"/>
        </w:rPr>
        <w:t xml:space="preserve">11、 投资组合报告附注 </w:t>
      </w:r>
    </w:p>
    <w:p w:rsidR="004C06C5" w:rsidRDefault="00ED474B">
      <w:pPr>
        <w:pStyle w:val="zhangjiep2"/>
        <w:spacing w:line="360" w:lineRule="auto"/>
        <w:rPr>
          <w:bCs/>
          <w:sz w:val="21"/>
          <w:szCs w:val="21"/>
        </w:rPr>
      </w:pPr>
      <w:r>
        <w:rPr>
          <w:rFonts w:hint="eastAsia"/>
          <w:bCs/>
          <w:sz w:val="21"/>
          <w:szCs w:val="21"/>
        </w:rPr>
        <w:t>（1）本基金本报告期投资的前十名证券的发行主体，本报告期没有出现被监管部门立案调查的情形，也没有出现在报告编制日前一年内受到公开谴责、处罚的情形。</w:t>
      </w:r>
    </w:p>
    <w:p w:rsidR="004C06C5" w:rsidRDefault="00ED474B">
      <w:pPr>
        <w:pStyle w:val="zhangjiep2"/>
        <w:spacing w:line="360" w:lineRule="auto"/>
        <w:rPr>
          <w:bCs/>
          <w:sz w:val="21"/>
          <w:szCs w:val="21"/>
        </w:rPr>
      </w:pPr>
      <w:r>
        <w:rPr>
          <w:rFonts w:hint="eastAsia"/>
          <w:bCs/>
          <w:sz w:val="21"/>
          <w:szCs w:val="21"/>
        </w:rPr>
        <w:t>（2）本基金本报告期未投资股票。</w:t>
      </w:r>
    </w:p>
    <w:p w:rsidR="004C06C5" w:rsidRDefault="00ED474B">
      <w:pPr>
        <w:pStyle w:val="zhangjiep2"/>
        <w:spacing w:line="360" w:lineRule="auto"/>
        <w:rPr>
          <w:bCs/>
          <w:sz w:val="21"/>
          <w:szCs w:val="21"/>
        </w:rPr>
      </w:pPr>
      <w:r>
        <w:rPr>
          <w:rFonts w:hint="eastAsia"/>
          <w:bCs/>
          <w:sz w:val="21"/>
          <w:szCs w:val="21"/>
        </w:rPr>
        <w:t>（3）其他资产构成</w:t>
      </w:r>
    </w:p>
    <w:tbl>
      <w:tblPr>
        <w:tblW w:w="8414" w:type="dxa"/>
        <w:tblInd w:w="108" w:type="dxa"/>
        <w:tblLayout w:type="fixed"/>
        <w:tblLook w:val="04A0" w:firstRow="1" w:lastRow="0" w:firstColumn="1" w:lastColumn="0" w:noHBand="0" w:noVBand="1"/>
      </w:tblPr>
      <w:tblGrid>
        <w:gridCol w:w="1207"/>
        <w:gridCol w:w="3433"/>
        <w:gridCol w:w="3774"/>
      </w:tblGrid>
      <w:tr w:rsidR="004C06C5">
        <w:tc>
          <w:tcPr>
            <w:tcW w:w="1207"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wordWrap w:val="0"/>
              <w:rPr>
                <w:rFonts w:hAnsi="Calibri"/>
                <w:color w:val="000000"/>
              </w:rPr>
            </w:pPr>
            <w:r>
              <w:rPr>
                <w:rFonts w:hAnsi="Calibri" w:hint="eastAsia"/>
                <w:color w:val="000000"/>
              </w:rPr>
              <w:t>序号</w:t>
            </w:r>
          </w:p>
        </w:tc>
        <w:tc>
          <w:tcPr>
            <w:tcW w:w="3433"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wordWrap w:val="0"/>
            </w:pPr>
            <w:r>
              <w:rPr>
                <w:rFonts w:hint="eastAsia"/>
              </w:rPr>
              <w:t>名称</w:t>
            </w:r>
          </w:p>
        </w:tc>
        <w:tc>
          <w:tcPr>
            <w:tcW w:w="3774"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wordWrap w:val="0"/>
            </w:pPr>
            <w:r>
              <w:rPr>
                <w:rFonts w:hint="eastAsia"/>
              </w:rPr>
              <w:t>金额(元)</w:t>
            </w:r>
          </w:p>
        </w:tc>
      </w:tr>
      <w:tr w:rsidR="004C06C5">
        <w:tc>
          <w:tcPr>
            <w:tcW w:w="1207"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wordWrap w:val="0"/>
              <w:rPr>
                <w:rFonts w:hAnsi="Calibri"/>
                <w:color w:val="000000"/>
              </w:rPr>
            </w:pPr>
            <w:r>
              <w:rPr>
                <w:rFonts w:hAnsi="Calibri" w:hint="eastAsia"/>
                <w:color w:val="000000"/>
              </w:rPr>
              <w:t>1</w:t>
            </w:r>
          </w:p>
        </w:tc>
        <w:tc>
          <w:tcPr>
            <w:tcW w:w="3433"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pPr>
            <w:r>
              <w:rPr>
                <w:rFonts w:hint="eastAsia"/>
              </w:rPr>
              <w:t>存出保证金</w:t>
            </w:r>
          </w:p>
        </w:tc>
        <w:tc>
          <w:tcPr>
            <w:tcW w:w="3774"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ind w:left="0"/>
              <w:jc w:val="right"/>
            </w:pPr>
            <w:r>
              <w:rPr>
                <w:rFonts w:hint="eastAsia"/>
              </w:rPr>
              <w:t>-</w:t>
            </w:r>
          </w:p>
        </w:tc>
      </w:tr>
      <w:tr w:rsidR="004C06C5">
        <w:tc>
          <w:tcPr>
            <w:tcW w:w="1207"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wordWrap w:val="0"/>
              <w:rPr>
                <w:rFonts w:hAnsi="Calibri"/>
                <w:color w:val="000000"/>
              </w:rPr>
            </w:pPr>
            <w:r>
              <w:rPr>
                <w:rFonts w:hAnsi="Calibri" w:hint="eastAsia"/>
                <w:color w:val="000000"/>
              </w:rPr>
              <w:t>2</w:t>
            </w:r>
          </w:p>
        </w:tc>
        <w:tc>
          <w:tcPr>
            <w:tcW w:w="3433"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pPr>
            <w:r>
              <w:rPr>
                <w:rFonts w:hint="eastAsia"/>
              </w:rPr>
              <w:t>应收证券清算款</w:t>
            </w:r>
          </w:p>
        </w:tc>
        <w:tc>
          <w:tcPr>
            <w:tcW w:w="3774"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ind w:left="0"/>
              <w:jc w:val="right"/>
            </w:pPr>
            <w:r>
              <w:rPr>
                <w:rFonts w:hint="eastAsia"/>
              </w:rPr>
              <w:t>-</w:t>
            </w:r>
          </w:p>
        </w:tc>
      </w:tr>
      <w:tr w:rsidR="004C06C5">
        <w:tc>
          <w:tcPr>
            <w:tcW w:w="1207"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wordWrap w:val="0"/>
              <w:rPr>
                <w:rFonts w:hAnsi="Calibri"/>
                <w:color w:val="000000"/>
              </w:rPr>
            </w:pPr>
            <w:r>
              <w:rPr>
                <w:rFonts w:hAnsi="Calibri" w:hint="eastAsia"/>
                <w:color w:val="000000"/>
              </w:rPr>
              <w:t>3</w:t>
            </w:r>
          </w:p>
        </w:tc>
        <w:tc>
          <w:tcPr>
            <w:tcW w:w="3433"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pPr>
            <w:r>
              <w:rPr>
                <w:rFonts w:hint="eastAsia"/>
              </w:rPr>
              <w:t>应收股利</w:t>
            </w:r>
          </w:p>
        </w:tc>
        <w:tc>
          <w:tcPr>
            <w:tcW w:w="3774"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ind w:left="0"/>
              <w:jc w:val="right"/>
            </w:pPr>
            <w:r>
              <w:rPr>
                <w:rFonts w:hint="eastAsia"/>
              </w:rPr>
              <w:t>-</w:t>
            </w:r>
          </w:p>
        </w:tc>
      </w:tr>
      <w:tr w:rsidR="004C06C5">
        <w:tc>
          <w:tcPr>
            <w:tcW w:w="1207"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wordWrap w:val="0"/>
              <w:rPr>
                <w:rFonts w:hAnsi="Calibri"/>
                <w:color w:val="000000"/>
              </w:rPr>
            </w:pPr>
            <w:r>
              <w:rPr>
                <w:rFonts w:hAnsi="Calibri" w:hint="eastAsia"/>
                <w:color w:val="000000"/>
              </w:rPr>
              <w:t>4</w:t>
            </w:r>
          </w:p>
        </w:tc>
        <w:tc>
          <w:tcPr>
            <w:tcW w:w="3433"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pPr>
            <w:r>
              <w:rPr>
                <w:rFonts w:hint="eastAsia"/>
              </w:rPr>
              <w:t>应收利息</w:t>
            </w:r>
          </w:p>
        </w:tc>
        <w:tc>
          <w:tcPr>
            <w:tcW w:w="3774"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ind w:left="0"/>
              <w:jc w:val="right"/>
            </w:pPr>
            <w:r>
              <w:rPr>
                <w:rFonts w:hint="eastAsia"/>
              </w:rPr>
              <w:t>56,006,637.79</w:t>
            </w:r>
          </w:p>
        </w:tc>
      </w:tr>
      <w:tr w:rsidR="004C06C5">
        <w:tc>
          <w:tcPr>
            <w:tcW w:w="1207"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wordWrap w:val="0"/>
              <w:rPr>
                <w:rFonts w:hAnsi="Calibri"/>
                <w:color w:val="000000"/>
              </w:rPr>
            </w:pPr>
            <w:r>
              <w:rPr>
                <w:rFonts w:hAnsi="Calibri" w:hint="eastAsia"/>
                <w:color w:val="000000"/>
              </w:rPr>
              <w:t>5</w:t>
            </w:r>
          </w:p>
        </w:tc>
        <w:tc>
          <w:tcPr>
            <w:tcW w:w="3433"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pPr>
            <w:r>
              <w:rPr>
                <w:rFonts w:hint="eastAsia"/>
              </w:rPr>
              <w:t>应收申购款</w:t>
            </w:r>
          </w:p>
        </w:tc>
        <w:tc>
          <w:tcPr>
            <w:tcW w:w="3774"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ind w:left="0"/>
              <w:jc w:val="right"/>
            </w:pPr>
            <w:r>
              <w:rPr>
                <w:rFonts w:hint="eastAsia"/>
              </w:rPr>
              <w:t>-</w:t>
            </w:r>
          </w:p>
        </w:tc>
      </w:tr>
      <w:tr w:rsidR="004C06C5">
        <w:tc>
          <w:tcPr>
            <w:tcW w:w="1207"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wordWrap w:val="0"/>
              <w:rPr>
                <w:rFonts w:hAnsi="Calibri"/>
                <w:color w:val="000000"/>
              </w:rPr>
            </w:pPr>
            <w:r>
              <w:rPr>
                <w:rFonts w:hAnsi="Calibri" w:hint="eastAsia"/>
                <w:color w:val="000000"/>
              </w:rPr>
              <w:t>6</w:t>
            </w:r>
          </w:p>
        </w:tc>
        <w:tc>
          <w:tcPr>
            <w:tcW w:w="3433"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pPr>
            <w:r>
              <w:rPr>
                <w:rFonts w:hint="eastAsia"/>
              </w:rPr>
              <w:t>其他应收款</w:t>
            </w:r>
          </w:p>
        </w:tc>
        <w:tc>
          <w:tcPr>
            <w:tcW w:w="3774"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ind w:left="0"/>
              <w:jc w:val="right"/>
            </w:pPr>
            <w:r>
              <w:rPr>
                <w:rFonts w:hint="eastAsia"/>
              </w:rPr>
              <w:t>-</w:t>
            </w:r>
          </w:p>
        </w:tc>
      </w:tr>
      <w:tr w:rsidR="004C06C5">
        <w:tc>
          <w:tcPr>
            <w:tcW w:w="1207"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wordWrap w:val="0"/>
              <w:rPr>
                <w:rFonts w:hAnsi="Calibri"/>
                <w:color w:val="000000"/>
              </w:rPr>
            </w:pPr>
            <w:r>
              <w:rPr>
                <w:rFonts w:hAnsi="Calibri" w:hint="eastAsia"/>
                <w:color w:val="000000"/>
              </w:rPr>
              <w:t>7</w:t>
            </w:r>
          </w:p>
        </w:tc>
        <w:tc>
          <w:tcPr>
            <w:tcW w:w="3433"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pPr>
            <w:r>
              <w:rPr>
                <w:rFonts w:hint="eastAsia"/>
              </w:rPr>
              <w:t>其他</w:t>
            </w:r>
          </w:p>
        </w:tc>
        <w:tc>
          <w:tcPr>
            <w:tcW w:w="3774"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ind w:left="0"/>
              <w:jc w:val="right"/>
            </w:pPr>
            <w:r>
              <w:rPr>
                <w:rFonts w:hint="eastAsia"/>
              </w:rPr>
              <w:t>-</w:t>
            </w:r>
          </w:p>
        </w:tc>
      </w:tr>
      <w:tr w:rsidR="004C06C5">
        <w:tc>
          <w:tcPr>
            <w:tcW w:w="1207"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wordWrap w:val="0"/>
              <w:rPr>
                <w:rFonts w:hAnsi="Calibri"/>
                <w:color w:val="000000"/>
              </w:rPr>
            </w:pPr>
            <w:r>
              <w:rPr>
                <w:rFonts w:hAnsi="Calibri" w:hint="eastAsia"/>
                <w:color w:val="000000"/>
              </w:rPr>
              <w:t>8</w:t>
            </w:r>
          </w:p>
        </w:tc>
        <w:tc>
          <w:tcPr>
            <w:tcW w:w="3433"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pPr>
            <w:r>
              <w:rPr>
                <w:rFonts w:hint="eastAsia"/>
              </w:rPr>
              <w:t>合计</w:t>
            </w:r>
          </w:p>
        </w:tc>
        <w:tc>
          <w:tcPr>
            <w:tcW w:w="3774"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ind w:left="0"/>
              <w:jc w:val="right"/>
            </w:pPr>
            <w:r>
              <w:rPr>
                <w:rFonts w:hint="eastAsia"/>
              </w:rPr>
              <w:t>56,006,637.79</w:t>
            </w:r>
          </w:p>
        </w:tc>
      </w:tr>
    </w:tbl>
    <w:p w:rsidR="004C06C5" w:rsidRDefault="004C06C5">
      <w:pPr>
        <w:widowControl/>
        <w:spacing w:line="360" w:lineRule="auto"/>
        <w:jc w:val="left"/>
        <w:rPr>
          <w:rFonts w:ascii="宋体" w:hAnsi="宋体" w:cs="宋体"/>
          <w:kern w:val="0"/>
          <w:szCs w:val="21"/>
        </w:rPr>
      </w:pPr>
    </w:p>
    <w:p w:rsidR="004C06C5" w:rsidRDefault="00ED474B">
      <w:pPr>
        <w:pStyle w:val="zhangjiep2"/>
        <w:spacing w:line="360" w:lineRule="auto"/>
        <w:rPr>
          <w:sz w:val="21"/>
          <w:szCs w:val="21"/>
        </w:rPr>
      </w:pPr>
      <w:r>
        <w:rPr>
          <w:rFonts w:hint="eastAsia"/>
          <w:bCs/>
          <w:sz w:val="21"/>
          <w:szCs w:val="21"/>
        </w:rPr>
        <w:t>（4）报告期末持有的处于转股期的可转换债券明细</w:t>
      </w:r>
    </w:p>
    <w:p w:rsidR="004C06C5" w:rsidRDefault="00ED474B">
      <w:pPr>
        <w:pStyle w:val="zhangjiep2"/>
        <w:spacing w:line="360" w:lineRule="auto"/>
        <w:ind w:firstLineChars="200" w:firstLine="420"/>
        <w:rPr>
          <w:sz w:val="21"/>
          <w:szCs w:val="21"/>
        </w:rPr>
      </w:pPr>
      <w:r>
        <w:rPr>
          <w:rFonts w:hint="eastAsia"/>
          <w:sz w:val="21"/>
          <w:szCs w:val="21"/>
        </w:rPr>
        <w:t>本基金本报告期末未持有处于转股期的可转换债券。</w:t>
      </w:r>
    </w:p>
    <w:p w:rsidR="004C06C5" w:rsidRDefault="00ED474B">
      <w:pPr>
        <w:pStyle w:val="zhangjiep2"/>
        <w:spacing w:line="360" w:lineRule="auto"/>
        <w:rPr>
          <w:sz w:val="21"/>
          <w:szCs w:val="21"/>
        </w:rPr>
      </w:pPr>
      <w:r>
        <w:rPr>
          <w:rFonts w:hint="eastAsia"/>
          <w:bCs/>
          <w:sz w:val="21"/>
          <w:szCs w:val="21"/>
        </w:rPr>
        <w:lastRenderedPageBreak/>
        <w:t>（5）报告</w:t>
      </w:r>
      <w:proofErr w:type="gramStart"/>
      <w:r>
        <w:rPr>
          <w:rFonts w:hint="eastAsia"/>
          <w:bCs/>
          <w:sz w:val="21"/>
          <w:szCs w:val="21"/>
        </w:rPr>
        <w:t>期末前</w:t>
      </w:r>
      <w:proofErr w:type="gramEnd"/>
      <w:r>
        <w:rPr>
          <w:rFonts w:hint="eastAsia"/>
          <w:bCs/>
          <w:sz w:val="21"/>
          <w:szCs w:val="21"/>
        </w:rPr>
        <w:t>十名股票中存在流通受限情况的说明</w:t>
      </w:r>
    </w:p>
    <w:p w:rsidR="004C06C5" w:rsidRDefault="00ED474B">
      <w:pPr>
        <w:pStyle w:val="zhangjiep2"/>
        <w:spacing w:line="360" w:lineRule="auto"/>
        <w:ind w:firstLineChars="200" w:firstLine="420"/>
        <w:rPr>
          <w:sz w:val="21"/>
          <w:szCs w:val="21"/>
        </w:rPr>
      </w:pPr>
      <w:r>
        <w:rPr>
          <w:rFonts w:hint="eastAsia"/>
          <w:sz w:val="21"/>
          <w:szCs w:val="21"/>
        </w:rPr>
        <w:t>本基金本报告期末未持有股票。</w:t>
      </w:r>
    </w:p>
    <w:p w:rsidR="004C06C5" w:rsidRDefault="00ED474B">
      <w:pPr>
        <w:pStyle w:val="zhangjiep2"/>
        <w:spacing w:line="360" w:lineRule="auto"/>
        <w:rPr>
          <w:sz w:val="21"/>
          <w:szCs w:val="21"/>
        </w:rPr>
      </w:pPr>
      <w:r>
        <w:rPr>
          <w:rFonts w:hint="eastAsia"/>
          <w:bCs/>
          <w:sz w:val="21"/>
          <w:szCs w:val="21"/>
        </w:rPr>
        <w:t>（6）投资组合报告附注的其他文字描述部分</w:t>
      </w:r>
    </w:p>
    <w:p w:rsidR="004C06C5" w:rsidRDefault="00ED474B">
      <w:pPr>
        <w:pStyle w:val="biaogeleft"/>
        <w:spacing w:line="360" w:lineRule="auto"/>
        <w:ind w:firstLine="480"/>
        <w:rPr>
          <w:sz w:val="21"/>
          <w:szCs w:val="21"/>
        </w:rPr>
      </w:pPr>
      <w:r>
        <w:rPr>
          <w:rFonts w:hint="eastAsia"/>
          <w:sz w:val="21"/>
          <w:szCs w:val="21"/>
        </w:rPr>
        <w:t>由于四舍五入原因，分项之和与合计可能有尾差。</w:t>
      </w:r>
    </w:p>
    <w:p w:rsidR="004C06C5" w:rsidRDefault="00ED474B">
      <w:pPr>
        <w:pStyle w:val="biaogeleft"/>
        <w:spacing w:line="360" w:lineRule="auto"/>
        <w:rPr>
          <w:sz w:val="21"/>
          <w:szCs w:val="21"/>
        </w:rPr>
      </w:pPr>
      <w:r>
        <w:rPr>
          <w:rFonts w:cs="Arial" w:hint="eastAsia"/>
          <w:b/>
          <w:bCs/>
          <w:szCs w:val="21"/>
        </w:rPr>
        <w:t>九、</w:t>
      </w:r>
      <w:r>
        <w:rPr>
          <w:rFonts w:cs="Arial" w:hint="eastAsia"/>
          <w:b/>
          <w:bCs/>
          <w:sz w:val="21"/>
          <w:szCs w:val="21"/>
        </w:rPr>
        <w:t>基金净值表现</w:t>
      </w:r>
    </w:p>
    <w:p w:rsidR="004C06C5" w:rsidRDefault="00ED474B">
      <w:pPr>
        <w:pStyle w:val="zhangjiep2"/>
        <w:spacing w:line="360" w:lineRule="auto"/>
        <w:rPr>
          <w:sz w:val="21"/>
          <w:szCs w:val="21"/>
        </w:rPr>
      </w:pPr>
      <w:r>
        <w:rPr>
          <w:rFonts w:hint="eastAsia"/>
          <w:bCs/>
          <w:sz w:val="21"/>
          <w:szCs w:val="21"/>
        </w:rPr>
        <w:t>1、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rsidR="004C06C5" w:rsidRDefault="00ED474B">
      <w:pPr>
        <w:spacing w:line="360" w:lineRule="auto"/>
        <w:rPr>
          <w:rFonts w:ascii="宋体" w:hAnsi="宋体"/>
          <w:bCs/>
          <w:szCs w:val="21"/>
        </w:rPr>
      </w:pPr>
      <w:r>
        <w:rPr>
          <w:rFonts w:ascii="宋体" w:hAnsi="宋体" w:hint="eastAsia"/>
          <w:bCs/>
          <w:szCs w:val="21"/>
        </w:rPr>
        <w:t>（1）富</w:t>
      </w:r>
      <w:proofErr w:type="gramStart"/>
      <w:r>
        <w:rPr>
          <w:rFonts w:ascii="宋体" w:hAnsi="宋体" w:hint="eastAsia"/>
          <w:bCs/>
          <w:szCs w:val="21"/>
        </w:rPr>
        <w:t>荣富乾</w:t>
      </w:r>
      <w:proofErr w:type="gramEnd"/>
      <w:r>
        <w:rPr>
          <w:rFonts w:ascii="宋体" w:hAnsi="宋体" w:hint="eastAsia"/>
          <w:bCs/>
          <w:szCs w:val="21"/>
        </w:rPr>
        <w:t>A（</w:t>
      </w:r>
      <w:r>
        <w:rPr>
          <w:rFonts w:ascii="宋体" w:hAnsi="宋体" w:hint="eastAsia"/>
          <w:color w:val="000000"/>
          <w:kern w:val="0"/>
          <w:szCs w:val="21"/>
        </w:rPr>
        <w:t>基金代码：</w:t>
      </w:r>
      <w:r>
        <w:rPr>
          <w:rFonts w:ascii="宋体" w:hAnsi="宋体"/>
          <w:color w:val="000000"/>
          <w:kern w:val="0"/>
          <w:szCs w:val="21"/>
        </w:rPr>
        <w:t>00</w:t>
      </w:r>
      <w:r>
        <w:rPr>
          <w:rFonts w:ascii="宋体" w:hAnsi="宋体" w:hint="eastAsia"/>
          <w:color w:val="000000"/>
          <w:kern w:val="0"/>
          <w:szCs w:val="21"/>
        </w:rPr>
        <w:t>4792</w:t>
      </w:r>
      <w:r>
        <w:rPr>
          <w:rFonts w:ascii="宋体" w:hAnsi="宋体" w:hint="eastAsia"/>
          <w:bCs/>
          <w:szCs w:val="21"/>
        </w:rPr>
        <w:t>）</w:t>
      </w:r>
    </w:p>
    <w:p w:rsidR="004C06C5" w:rsidRDefault="004C06C5">
      <w:pPr>
        <w:spacing w:line="360" w:lineRule="auto"/>
        <w:rPr>
          <w:rFonts w:ascii="宋体" w:hAnsi="宋体"/>
          <w:bCs/>
          <w:szCs w:val="21"/>
        </w:rPr>
      </w:pPr>
    </w:p>
    <w:tbl>
      <w:tblPr>
        <w:tblW w:w="8692" w:type="dxa"/>
        <w:jc w:val="center"/>
        <w:tblLayout w:type="fixed"/>
        <w:tblLook w:val="04A0" w:firstRow="1" w:lastRow="0" w:firstColumn="1" w:lastColumn="0" w:noHBand="0" w:noVBand="1"/>
      </w:tblPr>
      <w:tblGrid>
        <w:gridCol w:w="1462"/>
        <w:gridCol w:w="1095"/>
        <w:gridCol w:w="1126"/>
        <w:gridCol w:w="1345"/>
        <w:gridCol w:w="1224"/>
        <w:gridCol w:w="1345"/>
        <w:gridCol w:w="1095"/>
      </w:tblGrid>
      <w:tr w:rsidR="004C06C5">
        <w:trPr>
          <w:trHeight w:val="1292"/>
          <w:jc w:val="center"/>
        </w:trPr>
        <w:tc>
          <w:tcPr>
            <w:tcW w:w="1462"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left"/>
              <w:wordWrap w:val="0"/>
              <w:spacing w:line="360" w:lineRule="auto"/>
              <w:rPr>
                <w:sz w:val="21"/>
                <w:szCs w:val="21"/>
              </w:rPr>
            </w:pPr>
            <w:r>
              <w:rPr>
                <w:rFonts w:hint="eastAsia"/>
                <w:sz w:val="21"/>
                <w:szCs w:val="21"/>
              </w:rPr>
              <w:t>阶段</w:t>
            </w:r>
          </w:p>
        </w:tc>
        <w:tc>
          <w:tcPr>
            <w:tcW w:w="1095"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wordWrap w:val="0"/>
              <w:spacing w:line="360" w:lineRule="auto"/>
              <w:rPr>
                <w:sz w:val="21"/>
                <w:szCs w:val="21"/>
              </w:rPr>
            </w:pPr>
            <w:r>
              <w:rPr>
                <w:rFonts w:hint="eastAsia"/>
                <w:sz w:val="21"/>
                <w:szCs w:val="21"/>
              </w:rPr>
              <w:t>净值增长率①</w:t>
            </w:r>
          </w:p>
        </w:tc>
        <w:tc>
          <w:tcPr>
            <w:tcW w:w="1126"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wordWrap w:val="0"/>
              <w:spacing w:line="360" w:lineRule="auto"/>
              <w:rPr>
                <w:sz w:val="21"/>
                <w:szCs w:val="21"/>
              </w:rPr>
            </w:pPr>
            <w:r>
              <w:rPr>
                <w:rFonts w:hint="eastAsia"/>
                <w:sz w:val="21"/>
                <w:szCs w:val="21"/>
              </w:rPr>
              <w:t>净值增长率标准差②</w:t>
            </w:r>
          </w:p>
        </w:tc>
        <w:tc>
          <w:tcPr>
            <w:tcW w:w="1345"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wordWrap w:val="0"/>
              <w:spacing w:line="360" w:lineRule="auto"/>
              <w:rPr>
                <w:sz w:val="21"/>
                <w:szCs w:val="21"/>
              </w:rPr>
            </w:pPr>
            <w:r>
              <w:rPr>
                <w:rFonts w:hint="eastAsia"/>
                <w:sz w:val="21"/>
                <w:szCs w:val="21"/>
              </w:rPr>
              <w:t>业绩比较基准收益率③</w:t>
            </w:r>
          </w:p>
        </w:tc>
        <w:tc>
          <w:tcPr>
            <w:tcW w:w="1224"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wordWrap w:val="0"/>
              <w:spacing w:line="360" w:lineRule="auto"/>
              <w:rPr>
                <w:sz w:val="21"/>
                <w:szCs w:val="21"/>
              </w:rPr>
            </w:pPr>
            <w:r>
              <w:rPr>
                <w:rFonts w:hint="eastAsia"/>
                <w:sz w:val="21"/>
                <w:szCs w:val="21"/>
              </w:rPr>
              <w:t>业绩比较基准收益率标准差④</w:t>
            </w:r>
          </w:p>
        </w:tc>
        <w:tc>
          <w:tcPr>
            <w:tcW w:w="1345"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wordWrap w:val="0"/>
              <w:spacing w:line="360" w:lineRule="auto"/>
              <w:rPr>
                <w:sz w:val="21"/>
                <w:szCs w:val="21"/>
              </w:rPr>
            </w:pPr>
            <w:r>
              <w:rPr>
                <w:rFonts w:hint="eastAsia"/>
                <w:sz w:val="21"/>
                <w:szCs w:val="21"/>
              </w:rPr>
              <w:t>①-③</w:t>
            </w:r>
          </w:p>
        </w:tc>
        <w:tc>
          <w:tcPr>
            <w:tcW w:w="1095"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wordWrap w:val="0"/>
              <w:spacing w:line="360" w:lineRule="auto"/>
              <w:rPr>
                <w:sz w:val="21"/>
                <w:szCs w:val="21"/>
              </w:rPr>
            </w:pPr>
            <w:r>
              <w:rPr>
                <w:rFonts w:hint="eastAsia"/>
                <w:sz w:val="21"/>
                <w:szCs w:val="21"/>
              </w:rPr>
              <w:t>②-④</w:t>
            </w:r>
          </w:p>
        </w:tc>
      </w:tr>
      <w:tr w:rsidR="004C06C5">
        <w:trPr>
          <w:trHeight w:val="862"/>
          <w:jc w:val="center"/>
        </w:trPr>
        <w:tc>
          <w:tcPr>
            <w:tcW w:w="1462" w:type="dxa"/>
            <w:tcBorders>
              <w:top w:val="single" w:sz="8" w:space="0" w:color="000000"/>
              <w:left w:val="single" w:sz="8" w:space="0" w:color="000000"/>
              <w:bottom w:val="single" w:sz="8" w:space="0" w:color="000000"/>
              <w:right w:val="single" w:sz="8" w:space="0" w:color="000000"/>
            </w:tcBorders>
            <w:vAlign w:val="center"/>
          </w:tcPr>
          <w:p w:rsidR="004C06C5" w:rsidRDefault="00ED474B">
            <w:pPr>
              <w:pStyle w:val="biaogeleft"/>
              <w:wordWrap w:val="0"/>
              <w:spacing w:line="360" w:lineRule="auto"/>
              <w:rPr>
                <w:color w:val="000000"/>
                <w:sz w:val="21"/>
                <w:szCs w:val="21"/>
              </w:rPr>
            </w:pPr>
            <w:r>
              <w:rPr>
                <w:color w:val="000000"/>
                <w:sz w:val="21"/>
                <w:szCs w:val="21"/>
              </w:rPr>
              <w:t>201</w:t>
            </w:r>
            <w:r>
              <w:rPr>
                <w:rFonts w:hint="eastAsia"/>
                <w:color w:val="000000"/>
                <w:sz w:val="21"/>
                <w:szCs w:val="21"/>
              </w:rPr>
              <w:t>8</w:t>
            </w:r>
            <w:r>
              <w:rPr>
                <w:color w:val="000000"/>
                <w:sz w:val="21"/>
                <w:szCs w:val="21"/>
              </w:rPr>
              <w:t>.</w:t>
            </w:r>
            <w:r>
              <w:rPr>
                <w:rFonts w:hint="eastAsia"/>
                <w:color w:val="000000"/>
                <w:sz w:val="21"/>
                <w:szCs w:val="21"/>
              </w:rPr>
              <w:t>02</w:t>
            </w:r>
            <w:r>
              <w:rPr>
                <w:color w:val="000000"/>
                <w:sz w:val="21"/>
                <w:szCs w:val="21"/>
              </w:rPr>
              <w:t>.</w:t>
            </w:r>
            <w:r>
              <w:rPr>
                <w:rFonts w:hint="eastAsia"/>
                <w:color w:val="000000"/>
                <w:sz w:val="21"/>
                <w:szCs w:val="21"/>
              </w:rPr>
              <w:t>07</w:t>
            </w:r>
            <w:r>
              <w:rPr>
                <w:color w:val="000000"/>
                <w:sz w:val="21"/>
                <w:szCs w:val="21"/>
              </w:rPr>
              <w:t>~201</w:t>
            </w:r>
            <w:r>
              <w:rPr>
                <w:rFonts w:hint="eastAsia"/>
                <w:color w:val="000000"/>
                <w:sz w:val="21"/>
                <w:szCs w:val="21"/>
              </w:rPr>
              <w:t>8</w:t>
            </w:r>
            <w:r>
              <w:rPr>
                <w:color w:val="000000"/>
                <w:sz w:val="21"/>
                <w:szCs w:val="21"/>
              </w:rPr>
              <w:t>.</w:t>
            </w:r>
            <w:r>
              <w:rPr>
                <w:rFonts w:hint="eastAsia"/>
                <w:color w:val="000000"/>
                <w:sz w:val="21"/>
                <w:szCs w:val="21"/>
              </w:rPr>
              <w:t>12</w:t>
            </w:r>
            <w:r>
              <w:rPr>
                <w:color w:val="000000"/>
                <w:sz w:val="21"/>
                <w:szCs w:val="21"/>
              </w:rPr>
              <w:t>.</w:t>
            </w:r>
            <w:r>
              <w:rPr>
                <w:rFonts w:hint="eastAsia"/>
                <w:color w:val="000000"/>
                <w:sz w:val="21"/>
                <w:szCs w:val="21"/>
              </w:rPr>
              <w:t>31</w:t>
            </w:r>
          </w:p>
        </w:tc>
        <w:tc>
          <w:tcPr>
            <w:tcW w:w="1095" w:type="dxa"/>
            <w:tcBorders>
              <w:top w:val="single" w:sz="8" w:space="0" w:color="000000"/>
              <w:left w:val="single" w:sz="8" w:space="0" w:color="000000"/>
              <w:bottom w:val="single" w:sz="8" w:space="0" w:color="000000"/>
              <w:right w:val="single" w:sz="8" w:space="0" w:color="000000"/>
            </w:tcBorders>
            <w:vAlign w:val="center"/>
          </w:tcPr>
          <w:p w:rsidR="004C06C5" w:rsidRDefault="00ED474B">
            <w:pPr>
              <w:pStyle w:val="biaogecenter"/>
              <w:wordWrap w:val="0"/>
              <w:spacing w:line="360" w:lineRule="auto"/>
              <w:rPr>
                <w:sz w:val="21"/>
                <w:szCs w:val="21"/>
              </w:rPr>
            </w:pPr>
            <w:r>
              <w:rPr>
                <w:rFonts w:hint="eastAsia"/>
                <w:sz w:val="21"/>
                <w:szCs w:val="21"/>
              </w:rPr>
              <w:t>7.06%</w:t>
            </w:r>
          </w:p>
        </w:tc>
        <w:tc>
          <w:tcPr>
            <w:tcW w:w="1126" w:type="dxa"/>
            <w:tcBorders>
              <w:top w:val="single" w:sz="8" w:space="0" w:color="000000"/>
              <w:left w:val="single" w:sz="8" w:space="0" w:color="000000"/>
              <w:bottom w:val="single" w:sz="8" w:space="0" w:color="000000"/>
              <w:right w:val="single" w:sz="8" w:space="0" w:color="000000"/>
            </w:tcBorders>
            <w:vAlign w:val="center"/>
          </w:tcPr>
          <w:p w:rsidR="004C06C5" w:rsidRDefault="00ED474B">
            <w:pPr>
              <w:pStyle w:val="biaogecenter"/>
              <w:wordWrap w:val="0"/>
              <w:spacing w:line="360" w:lineRule="auto"/>
              <w:rPr>
                <w:sz w:val="21"/>
                <w:szCs w:val="21"/>
              </w:rPr>
            </w:pPr>
            <w:r>
              <w:rPr>
                <w:rFonts w:hint="eastAsia"/>
                <w:sz w:val="21"/>
                <w:szCs w:val="21"/>
              </w:rPr>
              <w:t>0.28%</w:t>
            </w:r>
          </w:p>
        </w:tc>
        <w:tc>
          <w:tcPr>
            <w:tcW w:w="1345" w:type="dxa"/>
            <w:tcBorders>
              <w:top w:val="single" w:sz="8" w:space="0" w:color="000000"/>
              <w:left w:val="single" w:sz="8" w:space="0" w:color="000000"/>
              <w:bottom w:val="single" w:sz="8" w:space="0" w:color="000000"/>
              <w:right w:val="single" w:sz="8" w:space="0" w:color="000000"/>
            </w:tcBorders>
            <w:vAlign w:val="center"/>
          </w:tcPr>
          <w:p w:rsidR="004C06C5" w:rsidRDefault="00ED474B">
            <w:pPr>
              <w:pStyle w:val="biaogecenter"/>
              <w:wordWrap w:val="0"/>
              <w:spacing w:line="360" w:lineRule="auto"/>
              <w:rPr>
                <w:sz w:val="21"/>
                <w:szCs w:val="21"/>
              </w:rPr>
            </w:pPr>
            <w:r>
              <w:rPr>
                <w:rFonts w:hint="eastAsia"/>
                <w:sz w:val="21"/>
                <w:szCs w:val="21"/>
              </w:rPr>
              <w:t>7.01%</w:t>
            </w:r>
          </w:p>
        </w:tc>
        <w:tc>
          <w:tcPr>
            <w:tcW w:w="1224" w:type="dxa"/>
            <w:tcBorders>
              <w:top w:val="single" w:sz="8" w:space="0" w:color="000000"/>
              <w:left w:val="single" w:sz="8" w:space="0" w:color="000000"/>
              <w:bottom w:val="single" w:sz="8" w:space="0" w:color="000000"/>
              <w:right w:val="single" w:sz="8" w:space="0" w:color="000000"/>
            </w:tcBorders>
            <w:vAlign w:val="center"/>
          </w:tcPr>
          <w:p w:rsidR="004C06C5" w:rsidRDefault="00ED474B">
            <w:pPr>
              <w:pStyle w:val="biaogecenter"/>
              <w:wordWrap w:val="0"/>
              <w:spacing w:line="360" w:lineRule="auto"/>
              <w:rPr>
                <w:sz w:val="21"/>
                <w:szCs w:val="21"/>
              </w:rPr>
            </w:pPr>
            <w:r>
              <w:rPr>
                <w:rFonts w:hint="eastAsia"/>
                <w:sz w:val="21"/>
                <w:szCs w:val="21"/>
              </w:rPr>
              <w:t>0.06%</w:t>
            </w:r>
          </w:p>
        </w:tc>
        <w:tc>
          <w:tcPr>
            <w:tcW w:w="1345" w:type="dxa"/>
            <w:tcBorders>
              <w:top w:val="single" w:sz="8" w:space="0" w:color="000000"/>
              <w:left w:val="single" w:sz="8" w:space="0" w:color="000000"/>
              <w:bottom w:val="single" w:sz="8" w:space="0" w:color="000000"/>
              <w:right w:val="single" w:sz="8" w:space="0" w:color="000000"/>
            </w:tcBorders>
            <w:vAlign w:val="center"/>
          </w:tcPr>
          <w:p w:rsidR="004C06C5" w:rsidRDefault="00ED474B">
            <w:pPr>
              <w:pStyle w:val="biaogecenter"/>
              <w:wordWrap w:val="0"/>
              <w:spacing w:line="360" w:lineRule="auto"/>
              <w:rPr>
                <w:sz w:val="21"/>
                <w:szCs w:val="21"/>
              </w:rPr>
            </w:pPr>
            <w:r>
              <w:rPr>
                <w:rFonts w:hint="eastAsia"/>
                <w:sz w:val="21"/>
                <w:szCs w:val="21"/>
              </w:rPr>
              <w:t>0.05%</w:t>
            </w:r>
          </w:p>
        </w:tc>
        <w:tc>
          <w:tcPr>
            <w:tcW w:w="1095" w:type="dxa"/>
            <w:tcBorders>
              <w:top w:val="single" w:sz="8" w:space="0" w:color="000000"/>
              <w:left w:val="single" w:sz="8" w:space="0" w:color="000000"/>
              <w:bottom w:val="single" w:sz="8" w:space="0" w:color="000000"/>
              <w:right w:val="single" w:sz="8" w:space="0" w:color="000000"/>
            </w:tcBorders>
            <w:vAlign w:val="center"/>
          </w:tcPr>
          <w:p w:rsidR="004C06C5" w:rsidRDefault="00ED474B">
            <w:pPr>
              <w:pStyle w:val="biaogecenter"/>
              <w:wordWrap w:val="0"/>
              <w:spacing w:line="360" w:lineRule="auto"/>
              <w:rPr>
                <w:sz w:val="21"/>
                <w:szCs w:val="21"/>
              </w:rPr>
            </w:pPr>
            <w:r>
              <w:rPr>
                <w:rFonts w:hint="eastAsia"/>
                <w:sz w:val="21"/>
                <w:szCs w:val="21"/>
              </w:rPr>
              <w:t>0.22%</w:t>
            </w:r>
          </w:p>
        </w:tc>
      </w:tr>
      <w:tr w:rsidR="004C06C5">
        <w:trPr>
          <w:trHeight w:val="862"/>
          <w:jc w:val="center"/>
        </w:trPr>
        <w:tc>
          <w:tcPr>
            <w:tcW w:w="1462" w:type="dxa"/>
            <w:tcBorders>
              <w:top w:val="single" w:sz="8" w:space="0" w:color="000000"/>
              <w:left w:val="single" w:sz="8" w:space="0" w:color="000000"/>
              <w:bottom w:val="single" w:sz="8" w:space="0" w:color="000000"/>
              <w:right w:val="single" w:sz="8" w:space="0" w:color="000000"/>
            </w:tcBorders>
            <w:vAlign w:val="center"/>
          </w:tcPr>
          <w:p w:rsidR="004C06C5" w:rsidRDefault="00ED474B">
            <w:pPr>
              <w:pStyle w:val="biaogeleft"/>
              <w:wordWrap w:val="0"/>
              <w:spacing w:line="360" w:lineRule="auto"/>
              <w:rPr>
                <w:color w:val="000000"/>
                <w:sz w:val="21"/>
                <w:szCs w:val="21"/>
              </w:rPr>
            </w:pPr>
            <w:r>
              <w:rPr>
                <w:color w:val="000000"/>
                <w:sz w:val="21"/>
                <w:szCs w:val="21"/>
              </w:rPr>
              <w:t>201</w:t>
            </w:r>
            <w:r>
              <w:rPr>
                <w:rFonts w:hint="eastAsia"/>
                <w:color w:val="000000"/>
                <w:sz w:val="21"/>
                <w:szCs w:val="21"/>
              </w:rPr>
              <w:t>9</w:t>
            </w:r>
            <w:r>
              <w:rPr>
                <w:color w:val="000000"/>
                <w:sz w:val="21"/>
                <w:szCs w:val="21"/>
              </w:rPr>
              <w:t>.</w:t>
            </w:r>
            <w:r>
              <w:rPr>
                <w:rFonts w:hint="eastAsia"/>
                <w:color w:val="000000"/>
                <w:sz w:val="21"/>
                <w:szCs w:val="21"/>
              </w:rPr>
              <w:t>01</w:t>
            </w:r>
            <w:r>
              <w:rPr>
                <w:color w:val="000000"/>
                <w:sz w:val="21"/>
                <w:szCs w:val="21"/>
              </w:rPr>
              <w:t>.</w:t>
            </w:r>
            <w:r>
              <w:rPr>
                <w:rFonts w:hint="eastAsia"/>
                <w:color w:val="000000"/>
                <w:sz w:val="21"/>
                <w:szCs w:val="21"/>
              </w:rPr>
              <w:t>01</w:t>
            </w:r>
            <w:r>
              <w:rPr>
                <w:color w:val="000000"/>
                <w:sz w:val="21"/>
                <w:szCs w:val="21"/>
              </w:rPr>
              <w:t>~201</w:t>
            </w:r>
            <w:r>
              <w:rPr>
                <w:rFonts w:hint="eastAsia"/>
                <w:color w:val="000000"/>
                <w:sz w:val="21"/>
                <w:szCs w:val="21"/>
              </w:rPr>
              <w:t>9</w:t>
            </w:r>
            <w:r>
              <w:rPr>
                <w:color w:val="000000"/>
                <w:sz w:val="21"/>
                <w:szCs w:val="21"/>
              </w:rPr>
              <w:t>.</w:t>
            </w:r>
            <w:r>
              <w:rPr>
                <w:rFonts w:hint="eastAsia"/>
                <w:color w:val="000000"/>
                <w:sz w:val="21"/>
                <w:szCs w:val="21"/>
              </w:rPr>
              <w:t>12</w:t>
            </w:r>
            <w:r>
              <w:rPr>
                <w:color w:val="000000"/>
                <w:sz w:val="21"/>
                <w:szCs w:val="21"/>
              </w:rPr>
              <w:t>.</w:t>
            </w:r>
            <w:r>
              <w:rPr>
                <w:rFonts w:hint="eastAsia"/>
                <w:color w:val="000000"/>
                <w:sz w:val="21"/>
                <w:szCs w:val="21"/>
              </w:rPr>
              <w:t>31</w:t>
            </w:r>
          </w:p>
        </w:tc>
        <w:tc>
          <w:tcPr>
            <w:tcW w:w="1095" w:type="dxa"/>
            <w:tcBorders>
              <w:top w:val="single" w:sz="8" w:space="0" w:color="000000"/>
              <w:left w:val="single" w:sz="8" w:space="0" w:color="000000"/>
              <w:bottom w:val="single" w:sz="8" w:space="0" w:color="000000"/>
              <w:right w:val="single" w:sz="8" w:space="0" w:color="000000"/>
            </w:tcBorders>
            <w:vAlign w:val="center"/>
          </w:tcPr>
          <w:p w:rsidR="004C06C5" w:rsidRDefault="00ED474B">
            <w:pPr>
              <w:pStyle w:val="biaogecenter"/>
              <w:wordWrap w:val="0"/>
              <w:spacing w:line="360" w:lineRule="auto"/>
              <w:rPr>
                <w:sz w:val="21"/>
                <w:szCs w:val="21"/>
              </w:rPr>
            </w:pPr>
            <w:r>
              <w:rPr>
                <w:sz w:val="21"/>
                <w:szCs w:val="21"/>
              </w:rPr>
              <w:t>-0.92%</w:t>
            </w:r>
          </w:p>
        </w:tc>
        <w:tc>
          <w:tcPr>
            <w:tcW w:w="1126" w:type="dxa"/>
            <w:tcBorders>
              <w:top w:val="single" w:sz="8" w:space="0" w:color="000000"/>
              <w:left w:val="single" w:sz="8" w:space="0" w:color="000000"/>
              <w:bottom w:val="single" w:sz="8" w:space="0" w:color="000000"/>
              <w:right w:val="single" w:sz="8" w:space="0" w:color="000000"/>
            </w:tcBorders>
            <w:vAlign w:val="center"/>
          </w:tcPr>
          <w:p w:rsidR="004C06C5" w:rsidRDefault="00ED474B">
            <w:pPr>
              <w:pStyle w:val="biaogecenter"/>
              <w:wordWrap w:val="0"/>
              <w:spacing w:line="360" w:lineRule="auto"/>
              <w:rPr>
                <w:sz w:val="21"/>
                <w:szCs w:val="21"/>
              </w:rPr>
            </w:pPr>
            <w:r>
              <w:rPr>
                <w:sz w:val="21"/>
                <w:szCs w:val="21"/>
              </w:rPr>
              <w:t>0.14%</w:t>
            </w:r>
          </w:p>
        </w:tc>
        <w:tc>
          <w:tcPr>
            <w:tcW w:w="1345" w:type="dxa"/>
            <w:tcBorders>
              <w:top w:val="single" w:sz="8" w:space="0" w:color="000000"/>
              <w:left w:val="single" w:sz="8" w:space="0" w:color="000000"/>
              <w:bottom w:val="single" w:sz="8" w:space="0" w:color="000000"/>
              <w:right w:val="single" w:sz="8" w:space="0" w:color="000000"/>
            </w:tcBorders>
            <w:vAlign w:val="center"/>
          </w:tcPr>
          <w:p w:rsidR="004C06C5" w:rsidRDefault="00ED474B">
            <w:pPr>
              <w:pStyle w:val="biaogecenter"/>
              <w:wordWrap w:val="0"/>
              <w:spacing w:line="360" w:lineRule="auto"/>
              <w:rPr>
                <w:sz w:val="21"/>
                <w:szCs w:val="21"/>
              </w:rPr>
            </w:pPr>
            <w:r>
              <w:rPr>
                <w:sz w:val="21"/>
                <w:szCs w:val="21"/>
              </w:rPr>
              <w:t>4.28%</w:t>
            </w:r>
          </w:p>
        </w:tc>
        <w:tc>
          <w:tcPr>
            <w:tcW w:w="1224" w:type="dxa"/>
            <w:tcBorders>
              <w:top w:val="single" w:sz="8" w:space="0" w:color="000000"/>
              <w:left w:val="single" w:sz="8" w:space="0" w:color="000000"/>
              <w:bottom w:val="single" w:sz="8" w:space="0" w:color="000000"/>
              <w:right w:val="single" w:sz="8" w:space="0" w:color="000000"/>
            </w:tcBorders>
            <w:vAlign w:val="center"/>
          </w:tcPr>
          <w:p w:rsidR="004C06C5" w:rsidRDefault="00ED474B">
            <w:pPr>
              <w:pStyle w:val="biaogecenter"/>
              <w:wordWrap w:val="0"/>
              <w:spacing w:line="360" w:lineRule="auto"/>
              <w:rPr>
                <w:sz w:val="21"/>
                <w:szCs w:val="21"/>
              </w:rPr>
            </w:pPr>
            <w:r>
              <w:rPr>
                <w:sz w:val="21"/>
                <w:szCs w:val="21"/>
              </w:rPr>
              <w:t>0.04%</w:t>
            </w:r>
          </w:p>
        </w:tc>
        <w:tc>
          <w:tcPr>
            <w:tcW w:w="1345" w:type="dxa"/>
            <w:tcBorders>
              <w:top w:val="single" w:sz="8" w:space="0" w:color="000000"/>
              <w:left w:val="single" w:sz="8" w:space="0" w:color="000000"/>
              <w:bottom w:val="single" w:sz="8" w:space="0" w:color="000000"/>
              <w:right w:val="single" w:sz="8" w:space="0" w:color="000000"/>
            </w:tcBorders>
            <w:vAlign w:val="center"/>
          </w:tcPr>
          <w:p w:rsidR="004C06C5" w:rsidRDefault="00ED474B">
            <w:pPr>
              <w:pStyle w:val="biaogecenter"/>
              <w:wordWrap w:val="0"/>
              <w:spacing w:line="360" w:lineRule="auto"/>
              <w:rPr>
                <w:sz w:val="21"/>
                <w:szCs w:val="21"/>
              </w:rPr>
            </w:pPr>
            <w:r>
              <w:rPr>
                <w:sz w:val="21"/>
                <w:szCs w:val="21"/>
              </w:rPr>
              <w:t>-5.20%</w:t>
            </w:r>
          </w:p>
        </w:tc>
        <w:tc>
          <w:tcPr>
            <w:tcW w:w="1095" w:type="dxa"/>
            <w:tcBorders>
              <w:top w:val="single" w:sz="8" w:space="0" w:color="000000"/>
              <w:left w:val="single" w:sz="8" w:space="0" w:color="000000"/>
              <w:bottom w:val="single" w:sz="8" w:space="0" w:color="000000"/>
              <w:right w:val="single" w:sz="8" w:space="0" w:color="000000"/>
            </w:tcBorders>
            <w:vAlign w:val="center"/>
          </w:tcPr>
          <w:p w:rsidR="004C06C5" w:rsidRDefault="00ED474B">
            <w:pPr>
              <w:pStyle w:val="biaogecenter"/>
              <w:wordWrap w:val="0"/>
              <w:spacing w:line="360" w:lineRule="auto"/>
              <w:rPr>
                <w:sz w:val="21"/>
                <w:szCs w:val="21"/>
              </w:rPr>
            </w:pPr>
            <w:r>
              <w:rPr>
                <w:sz w:val="21"/>
                <w:szCs w:val="21"/>
              </w:rPr>
              <w:t>0.10%</w:t>
            </w:r>
          </w:p>
        </w:tc>
      </w:tr>
      <w:tr w:rsidR="004C06C5">
        <w:trPr>
          <w:trHeight w:val="862"/>
          <w:jc w:val="center"/>
        </w:trPr>
        <w:tc>
          <w:tcPr>
            <w:tcW w:w="1462"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left"/>
              <w:wordWrap w:val="0"/>
              <w:spacing w:line="360" w:lineRule="auto"/>
              <w:rPr>
                <w:color w:val="000000"/>
                <w:sz w:val="21"/>
                <w:szCs w:val="21"/>
              </w:rPr>
            </w:pPr>
            <w:r>
              <w:rPr>
                <w:rFonts w:hint="eastAsia"/>
                <w:color w:val="000000"/>
                <w:sz w:val="21"/>
                <w:szCs w:val="21"/>
              </w:rPr>
              <w:t>自基金合同生效起至</w:t>
            </w:r>
            <w:r>
              <w:rPr>
                <w:color w:val="000000"/>
                <w:sz w:val="21"/>
                <w:szCs w:val="21"/>
              </w:rPr>
              <w:t>2019.12.31</w:t>
            </w:r>
          </w:p>
        </w:tc>
        <w:tc>
          <w:tcPr>
            <w:tcW w:w="1095"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wordWrap w:val="0"/>
              <w:spacing w:line="360" w:lineRule="auto"/>
              <w:rPr>
                <w:sz w:val="21"/>
                <w:szCs w:val="21"/>
              </w:rPr>
            </w:pPr>
            <w:r>
              <w:rPr>
                <w:rFonts w:hint="eastAsia"/>
              </w:rPr>
              <w:t>6.07%</w:t>
            </w:r>
          </w:p>
        </w:tc>
        <w:tc>
          <w:tcPr>
            <w:tcW w:w="1126"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wordWrap w:val="0"/>
              <w:spacing w:line="360" w:lineRule="auto"/>
              <w:rPr>
                <w:sz w:val="21"/>
                <w:szCs w:val="21"/>
              </w:rPr>
            </w:pPr>
            <w:r>
              <w:rPr>
                <w:rFonts w:hint="eastAsia"/>
              </w:rPr>
              <w:t>0.22%</w:t>
            </w:r>
          </w:p>
        </w:tc>
        <w:tc>
          <w:tcPr>
            <w:tcW w:w="1345"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wordWrap w:val="0"/>
              <w:spacing w:line="360" w:lineRule="auto"/>
              <w:rPr>
                <w:sz w:val="21"/>
                <w:szCs w:val="21"/>
              </w:rPr>
            </w:pPr>
            <w:r>
              <w:rPr>
                <w:rFonts w:hint="eastAsia"/>
              </w:rPr>
              <w:t>11.59%</w:t>
            </w:r>
          </w:p>
        </w:tc>
        <w:tc>
          <w:tcPr>
            <w:tcW w:w="1224"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wordWrap w:val="0"/>
              <w:spacing w:line="360" w:lineRule="auto"/>
              <w:rPr>
                <w:sz w:val="21"/>
                <w:szCs w:val="21"/>
              </w:rPr>
            </w:pPr>
            <w:r>
              <w:rPr>
                <w:rFonts w:hint="eastAsia"/>
              </w:rPr>
              <w:t>0.05%</w:t>
            </w:r>
          </w:p>
        </w:tc>
        <w:tc>
          <w:tcPr>
            <w:tcW w:w="1345"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wordWrap w:val="0"/>
              <w:spacing w:line="360" w:lineRule="auto"/>
              <w:rPr>
                <w:sz w:val="21"/>
                <w:szCs w:val="21"/>
              </w:rPr>
            </w:pPr>
            <w:r>
              <w:rPr>
                <w:rFonts w:hint="eastAsia"/>
              </w:rPr>
              <w:t>-5.52%</w:t>
            </w:r>
          </w:p>
        </w:tc>
        <w:tc>
          <w:tcPr>
            <w:tcW w:w="1095"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wordWrap w:val="0"/>
              <w:spacing w:line="360" w:lineRule="auto"/>
              <w:rPr>
                <w:sz w:val="21"/>
                <w:szCs w:val="21"/>
              </w:rPr>
            </w:pPr>
            <w:r>
              <w:rPr>
                <w:rFonts w:hint="eastAsia"/>
              </w:rPr>
              <w:t>0.17%</w:t>
            </w:r>
          </w:p>
        </w:tc>
      </w:tr>
    </w:tbl>
    <w:p w:rsidR="004C06C5" w:rsidRDefault="004C06C5">
      <w:pPr>
        <w:spacing w:line="360" w:lineRule="auto"/>
        <w:rPr>
          <w:rFonts w:ascii="宋体" w:hAnsi="宋体"/>
          <w:bCs/>
          <w:szCs w:val="21"/>
        </w:rPr>
      </w:pPr>
    </w:p>
    <w:p w:rsidR="004C06C5" w:rsidRDefault="00ED474B">
      <w:pPr>
        <w:spacing w:line="360" w:lineRule="auto"/>
        <w:rPr>
          <w:rFonts w:ascii="宋体" w:hAnsi="宋体"/>
          <w:bCs/>
          <w:szCs w:val="21"/>
        </w:rPr>
      </w:pPr>
      <w:r>
        <w:rPr>
          <w:rFonts w:ascii="宋体" w:hAnsi="宋体" w:hint="eastAsia"/>
          <w:bCs/>
          <w:szCs w:val="21"/>
        </w:rPr>
        <w:t>（2）富</w:t>
      </w:r>
      <w:proofErr w:type="gramStart"/>
      <w:r>
        <w:rPr>
          <w:rFonts w:ascii="宋体" w:hAnsi="宋体" w:hint="eastAsia"/>
          <w:bCs/>
          <w:szCs w:val="21"/>
        </w:rPr>
        <w:t>荣富乾</w:t>
      </w:r>
      <w:proofErr w:type="gramEnd"/>
      <w:r>
        <w:rPr>
          <w:rFonts w:ascii="宋体" w:hAnsi="宋体" w:hint="eastAsia"/>
          <w:bCs/>
          <w:szCs w:val="21"/>
        </w:rPr>
        <w:t>C（</w:t>
      </w:r>
      <w:r>
        <w:rPr>
          <w:rFonts w:ascii="宋体" w:hAnsi="宋体" w:hint="eastAsia"/>
          <w:color w:val="000000"/>
          <w:kern w:val="0"/>
          <w:szCs w:val="21"/>
        </w:rPr>
        <w:t>基金代码：</w:t>
      </w:r>
      <w:r>
        <w:rPr>
          <w:rFonts w:ascii="宋体" w:hAnsi="宋体"/>
          <w:color w:val="000000"/>
          <w:kern w:val="0"/>
          <w:szCs w:val="21"/>
        </w:rPr>
        <w:t>00</w:t>
      </w:r>
      <w:r>
        <w:rPr>
          <w:rFonts w:ascii="宋体" w:hAnsi="宋体" w:hint="eastAsia"/>
          <w:color w:val="000000"/>
          <w:kern w:val="0"/>
          <w:szCs w:val="21"/>
        </w:rPr>
        <w:t>4793</w:t>
      </w:r>
      <w:r>
        <w:rPr>
          <w:rFonts w:ascii="宋体" w:hAnsi="宋体" w:hint="eastAsia"/>
          <w:bCs/>
          <w:szCs w:val="21"/>
        </w:rPr>
        <w:t>）</w:t>
      </w:r>
    </w:p>
    <w:p w:rsidR="004C06C5" w:rsidRDefault="004C06C5">
      <w:pPr>
        <w:pStyle w:val="neirong"/>
        <w:spacing w:line="360" w:lineRule="auto"/>
        <w:ind w:left="0"/>
        <w:rPr>
          <w:sz w:val="21"/>
          <w:szCs w:val="21"/>
        </w:rPr>
      </w:pPr>
    </w:p>
    <w:tbl>
      <w:tblPr>
        <w:tblW w:w="8808" w:type="dxa"/>
        <w:jc w:val="center"/>
        <w:tblLayout w:type="fixed"/>
        <w:tblLook w:val="04A0" w:firstRow="1" w:lastRow="0" w:firstColumn="1" w:lastColumn="0" w:noHBand="0" w:noVBand="1"/>
      </w:tblPr>
      <w:tblGrid>
        <w:gridCol w:w="1418"/>
        <w:gridCol w:w="1052"/>
        <w:gridCol w:w="1163"/>
        <w:gridCol w:w="1356"/>
        <w:gridCol w:w="1298"/>
        <w:gridCol w:w="1390"/>
        <w:gridCol w:w="1131"/>
      </w:tblGrid>
      <w:tr w:rsidR="004C06C5">
        <w:trPr>
          <w:trHeight w:val="1195"/>
          <w:jc w:val="center"/>
        </w:trPr>
        <w:tc>
          <w:tcPr>
            <w:tcW w:w="1418"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left"/>
              <w:wordWrap w:val="0"/>
              <w:spacing w:line="360" w:lineRule="auto"/>
              <w:rPr>
                <w:sz w:val="21"/>
                <w:szCs w:val="21"/>
              </w:rPr>
            </w:pPr>
            <w:r>
              <w:rPr>
                <w:rFonts w:hint="eastAsia"/>
                <w:sz w:val="21"/>
                <w:szCs w:val="21"/>
              </w:rPr>
              <w:t>阶段</w:t>
            </w:r>
          </w:p>
        </w:tc>
        <w:tc>
          <w:tcPr>
            <w:tcW w:w="1052"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wordWrap w:val="0"/>
              <w:spacing w:line="360" w:lineRule="auto"/>
              <w:rPr>
                <w:sz w:val="21"/>
                <w:szCs w:val="21"/>
              </w:rPr>
            </w:pPr>
            <w:r>
              <w:rPr>
                <w:rFonts w:hint="eastAsia"/>
                <w:sz w:val="21"/>
                <w:szCs w:val="21"/>
              </w:rPr>
              <w:t>净值增长率①</w:t>
            </w:r>
          </w:p>
        </w:tc>
        <w:tc>
          <w:tcPr>
            <w:tcW w:w="1163"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wordWrap w:val="0"/>
              <w:spacing w:line="360" w:lineRule="auto"/>
              <w:rPr>
                <w:sz w:val="21"/>
                <w:szCs w:val="21"/>
              </w:rPr>
            </w:pPr>
            <w:r>
              <w:rPr>
                <w:rFonts w:hint="eastAsia"/>
                <w:sz w:val="21"/>
                <w:szCs w:val="21"/>
              </w:rPr>
              <w:t>净值增长率标准差②</w:t>
            </w:r>
          </w:p>
        </w:tc>
        <w:tc>
          <w:tcPr>
            <w:tcW w:w="1356"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wordWrap w:val="0"/>
              <w:spacing w:line="360" w:lineRule="auto"/>
              <w:rPr>
                <w:sz w:val="21"/>
                <w:szCs w:val="21"/>
              </w:rPr>
            </w:pPr>
            <w:r>
              <w:rPr>
                <w:rFonts w:hint="eastAsia"/>
                <w:sz w:val="21"/>
                <w:szCs w:val="21"/>
              </w:rPr>
              <w:t>业绩比较基准收益率③</w:t>
            </w:r>
          </w:p>
        </w:tc>
        <w:tc>
          <w:tcPr>
            <w:tcW w:w="1298"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wordWrap w:val="0"/>
              <w:spacing w:line="360" w:lineRule="auto"/>
              <w:rPr>
                <w:sz w:val="21"/>
                <w:szCs w:val="21"/>
              </w:rPr>
            </w:pPr>
            <w:r>
              <w:rPr>
                <w:rFonts w:hint="eastAsia"/>
                <w:sz w:val="21"/>
                <w:szCs w:val="21"/>
              </w:rPr>
              <w:t>业绩比较基准收益率标准差④</w:t>
            </w:r>
          </w:p>
        </w:tc>
        <w:tc>
          <w:tcPr>
            <w:tcW w:w="1390"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wordWrap w:val="0"/>
              <w:spacing w:line="360" w:lineRule="auto"/>
              <w:rPr>
                <w:sz w:val="21"/>
                <w:szCs w:val="21"/>
              </w:rPr>
            </w:pPr>
            <w:r>
              <w:rPr>
                <w:rFonts w:hint="eastAsia"/>
                <w:sz w:val="21"/>
                <w:szCs w:val="21"/>
              </w:rPr>
              <w:t>①-③</w:t>
            </w:r>
          </w:p>
        </w:tc>
        <w:tc>
          <w:tcPr>
            <w:tcW w:w="1131"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wordWrap w:val="0"/>
              <w:spacing w:line="360" w:lineRule="auto"/>
              <w:rPr>
                <w:sz w:val="21"/>
                <w:szCs w:val="21"/>
              </w:rPr>
            </w:pPr>
            <w:r>
              <w:rPr>
                <w:rFonts w:hint="eastAsia"/>
                <w:sz w:val="21"/>
                <w:szCs w:val="21"/>
              </w:rPr>
              <w:t>②-④</w:t>
            </w:r>
          </w:p>
        </w:tc>
      </w:tr>
      <w:tr w:rsidR="004C06C5">
        <w:trPr>
          <w:trHeight w:val="820"/>
          <w:jc w:val="center"/>
        </w:trPr>
        <w:tc>
          <w:tcPr>
            <w:tcW w:w="1418" w:type="dxa"/>
            <w:tcBorders>
              <w:top w:val="single" w:sz="8" w:space="0" w:color="000000"/>
              <w:left w:val="single" w:sz="8" w:space="0" w:color="000000"/>
              <w:bottom w:val="single" w:sz="8" w:space="0" w:color="000000"/>
              <w:right w:val="single" w:sz="8" w:space="0" w:color="000000"/>
            </w:tcBorders>
            <w:vAlign w:val="center"/>
          </w:tcPr>
          <w:p w:rsidR="004C06C5" w:rsidRDefault="00ED474B">
            <w:pPr>
              <w:pStyle w:val="biaogeleft"/>
              <w:wordWrap w:val="0"/>
              <w:spacing w:line="360" w:lineRule="auto"/>
              <w:rPr>
                <w:sz w:val="21"/>
                <w:szCs w:val="21"/>
              </w:rPr>
            </w:pPr>
            <w:r>
              <w:rPr>
                <w:color w:val="000000"/>
                <w:sz w:val="21"/>
                <w:szCs w:val="21"/>
              </w:rPr>
              <w:t>201</w:t>
            </w:r>
            <w:r>
              <w:rPr>
                <w:rFonts w:hint="eastAsia"/>
                <w:color w:val="000000"/>
                <w:sz w:val="21"/>
                <w:szCs w:val="21"/>
              </w:rPr>
              <w:t>8</w:t>
            </w:r>
            <w:r>
              <w:rPr>
                <w:color w:val="000000"/>
                <w:sz w:val="21"/>
                <w:szCs w:val="21"/>
              </w:rPr>
              <w:t>.</w:t>
            </w:r>
            <w:r>
              <w:rPr>
                <w:rFonts w:hint="eastAsia"/>
                <w:color w:val="000000"/>
                <w:sz w:val="21"/>
                <w:szCs w:val="21"/>
              </w:rPr>
              <w:t>02</w:t>
            </w:r>
            <w:r>
              <w:rPr>
                <w:color w:val="000000"/>
                <w:sz w:val="21"/>
                <w:szCs w:val="21"/>
              </w:rPr>
              <w:t>.</w:t>
            </w:r>
            <w:r>
              <w:rPr>
                <w:rFonts w:hint="eastAsia"/>
                <w:color w:val="000000"/>
                <w:sz w:val="21"/>
                <w:szCs w:val="21"/>
              </w:rPr>
              <w:t>07</w:t>
            </w:r>
            <w:r>
              <w:rPr>
                <w:color w:val="000000"/>
                <w:sz w:val="21"/>
                <w:szCs w:val="21"/>
              </w:rPr>
              <w:t>~201</w:t>
            </w:r>
            <w:r>
              <w:rPr>
                <w:rFonts w:hint="eastAsia"/>
                <w:color w:val="000000"/>
                <w:sz w:val="21"/>
                <w:szCs w:val="21"/>
              </w:rPr>
              <w:t>8</w:t>
            </w:r>
            <w:r>
              <w:rPr>
                <w:color w:val="000000"/>
                <w:sz w:val="21"/>
                <w:szCs w:val="21"/>
              </w:rPr>
              <w:t>.</w:t>
            </w:r>
            <w:r>
              <w:rPr>
                <w:rFonts w:hint="eastAsia"/>
                <w:color w:val="000000"/>
                <w:sz w:val="21"/>
                <w:szCs w:val="21"/>
              </w:rPr>
              <w:t>12</w:t>
            </w:r>
            <w:r>
              <w:rPr>
                <w:color w:val="000000"/>
                <w:sz w:val="21"/>
                <w:szCs w:val="21"/>
              </w:rPr>
              <w:t>.</w:t>
            </w:r>
            <w:r>
              <w:rPr>
                <w:rFonts w:hint="eastAsia"/>
                <w:color w:val="000000"/>
                <w:sz w:val="21"/>
                <w:szCs w:val="21"/>
              </w:rPr>
              <w:t>31</w:t>
            </w:r>
          </w:p>
        </w:tc>
        <w:tc>
          <w:tcPr>
            <w:tcW w:w="1052" w:type="dxa"/>
            <w:tcBorders>
              <w:top w:val="single" w:sz="8" w:space="0" w:color="000000"/>
              <w:left w:val="single" w:sz="8" w:space="0" w:color="000000"/>
              <w:bottom w:val="single" w:sz="8" w:space="0" w:color="000000"/>
              <w:right w:val="single" w:sz="8" w:space="0" w:color="000000"/>
            </w:tcBorders>
            <w:vAlign w:val="center"/>
          </w:tcPr>
          <w:p w:rsidR="004C06C5" w:rsidRDefault="00ED474B">
            <w:pPr>
              <w:pStyle w:val="biaogecenter"/>
              <w:wordWrap w:val="0"/>
              <w:spacing w:line="360" w:lineRule="auto"/>
              <w:rPr>
                <w:sz w:val="21"/>
                <w:szCs w:val="21"/>
              </w:rPr>
            </w:pPr>
            <w:r>
              <w:rPr>
                <w:rFonts w:hint="eastAsia"/>
                <w:sz w:val="21"/>
                <w:szCs w:val="21"/>
              </w:rPr>
              <w:t>5.82%</w:t>
            </w:r>
          </w:p>
        </w:tc>
        <w:tc>
          <w:tcPr>
            <w:tcW w:w="1163" w:type="dxa"/>
            <w:tcBorders>
              <w:top w:val="single" w:sz="8" w:space="0" w:color="000000"/>
              <w:left w:val="single" w:sz="8" w:space="0" w:color="000000"/>
              <w:bottom w:val="single" w:sz="8" w:space="0" w:color="000000"/>
              <w:right w:val="single" w:sz="8" w:space="0" w:color="000000"/>
            </w:tcBorders>
            <w:vAlign w:val="center"/>
          </w:tcPr>
          <w:p w:rsidR="004C06C5" w:rsidRDefault="00ED474B">
            <w:pPr>
              <w:pStyle w:val="biaogecenter"/>
              <w:wordWrap w:val="0"/>
              <w:spacing w:line="360" w:lineRule="auto"/>
              <w:rPr>
                <w:sz w:val="21"/>
                <w:szCs w:val="21"/>
              </w:rPr>
            </w:pPr>
            <w:r>
              <w:rPr>
                <w:rFonts w:hint="eastAsia"/>
                <w:sz w:val="21"/>
                <w:szCs w:val="21"/>
              </w:rPr>
              <w:t>0.22%</w:t>
            </w:r>
          </w:p>
        </w:tc>
        <w:tc>
          <w:tcPr>
            <w:tcW w:w="1356" w:type="dxa"/>
            <w:tcBorders>
              <w:top w:val="single" w:sz="8" w:space="0" w:color="000000"/>
              <w:left w:val="single" w:sz="8" w:space="0" w:color="000000"/>
              <w:bottom w:val="single" w:sz="8" w:space="0" w:color="000000"/>
              <w:right w:val="single" w:sz="8" w:space="0" w:color="000000"/>
            </w:tcBorders>
            <w:vAlign w:val="center"/>
          </w:tcPr>
          <w:p w:rsidR="004C06C5" w:rsidRDefault="00ED474B">
            <w:pPr>
              <w:pStyle w:val="biaogecenter"/>
              <w:wordWrap w:val="0"/>
              <w:spacing w:line="360" w:lineRule="auto"/>
              <w:rPr>
                <w:sz w:val="21"/>
                <w:szCs w:val="21"/>
              </w:rPr>
            </w:pPr>
            <w:r>
              <w:rPr>
                <w:rFonts w:hint="eastAsia"/>
                <w:sz w:val="21"/>
                <w:szCs w:val="21"/>
              </w:rPr>
              <w:t>7.01%</w:t>
            </w:r>
          </w:p>
        </w:tc>
        <w:tc>
          <w:tcPr>
            <w:tcW w:w="1298" w:type="dxa"/>
            <w:tcBorders>
              <w:top w:val="single" w:sz="8" w:space="0" w:color="000000"/>
              <w:left w:val="single" w:sz="8" w:space="0" w:color="000000"/>
              <w:bottom w:val="single" w:sz="8" w:space="0" w:color="000000"/>
              <w:right w:val="single" w:sz="8" w:space="0" w:color="000000"/>
            </w:tcBorders>
            <w:vAlign w:val="center"/>
          </w:tcPr>
          <w:p w:rsidR="004C06C5" w:rsidRDefault="00ED474B">
            <w:pPr>
              <w:pStyle w:val="biaogecenter"/>
              <w:wordWrap w:val="0"/>
              <w:spacing w:line="360" w:lineRule="auto"/>
              <w:rPr>
                <w:sz w:val="21"/>
                <w:szCs w:val="21"/>
              </w:rPr>
            </w:pPr>
            <w:r>
              <w:rPr>
                <w:rFonts w:hint="eastAsia"/>
                <w:sz w:val="21"/>
                <w:szCs w:val="21"/>
              </w:rPr>
              <w:t>0.06%</w:t>
            </w:r>
          </w:p>
        </w:tc>
        <w:tc>
          <w:tcPr>
            <w:tcW w:w="1390" w:type="dxa"/>
            <w:tcBorders>
              <w:top w:val="single" w:sz="8" w:space="0" w:color="000000"/>
              <w:left w:val="single" w:sz="8" w:space="0" w:color="000000"/>
              <w:bottom w:val="single" w:sz="8" w:space="0" w:color="000000"/>
              <w:right w:val="single" w:sz="8" w:space="0" w:color="000000"/>
            </w:tcBorders>
            <w:vAlign w:val="center"/>
          </w:tcPr>
          <w:p w:rsidR="004C06C5" w:rsidRDefault="00ED474B">
            <w:pPr>
              <w:pStyle w:val="biaogecenter"/>
              <w:wordWrap w:val="0"/>
              <w:spacing w:line="360" w:lineRule="auto"/>
              <w:rPr>
                <w:sz w:val="21"/>
                <w:szCs w:val="21"/>
              </w:rPr>
            </w:pPr>
            <w:r>
              <w:rPr>
                <w:rFonts w:hint="eastAsia"/>
                <w:sz w:val="21"/>
                <w:szCs w:val="21"/>
              </w:rPr>
              <w:t>-1.19%</w:t>
            </w:r>
          </w:p>
        </w:tc>
        <w:tc>
          <w:tcPr>
            <w:tcW w:w="1131" w:type="dxa"/>
            <w:tcBorders>
              <w:top w:val="single" w:sz="8" w:space="0" w:color="000000"/>
              <w:left w:val="single" w:sz="8" w:space="0" w:color="000000"/>
              <w:bottom w:val="single" w:sz="8" w:space="0" w:color="000000"/>
              <w:right w:val="single" w:sz="8" w:space="0" w:color="000000"/>
            </w:tcBorders>
            <w:vAlign w:val="center"/>
          </w:tcPr>
          <w:p w:rsidR="004C06C5" w:rsidRDefault="00ED474B">
            <w:pPr>
              <w:pStyle w:val="biaogecenter"/>
              <w:wordWrap w:val="0"/>
              <w:spacing w:line="360" w:lineRule="auto"/>
              <w:rPr>
                <w:sz w:val="21"/>
                <w:szCs w:val="21"/>
              </w:rPr>
            </w:pPr>
            <w:r>
              <w:rPr>
                <w:rFonts w:hint="eastAsia"/>
                <w:sz w:val="21"/>
                <w:szCs w:val="21"/>
              </w:rPr>
              <w:t>0.16%</w:t>
            </w:r>
          </w:p>
        </w:tc>
      </w:tr>
      <w:tr w:rsidR="004C06C5">
        <w:trPr>
          <w:trHeight w:val="820"/>
          <w:jc w:val="center"/>
        </w:trPr>
        <w:tc>
          <w:tcPr>
            <w:tcW w:w="1418" w:type="dxa"/>
            <w:tcBorders>
              <w:top w:val="single" w:sz="8" w:space="0" w:color="000000"/>
              <w:left w:val="single" w:sz="8" w:space="0" w:color="000000"/>
              <w:bottom w:val="single" w:sz="8" w:space="0" w:color="000000"/>
              <w:right w:val="single" w:sz="8" w:space="0" w:color="000000"/>
            </w:tcBorders>
            <w:vAlign w:val="center"/>
          </w:tcPr>
          <w:p w:rsidR="004C06C5" w:rsidRDefault="00ED474B">
            <w:pPr>
              <w:pStyle w:val="biaogeleft"/>
              <w:wordWrap w:val="0"/>
              <w:spacing w:line="360" w:lineRule="auto"/>
              <w:rPr>
                <w:color w:val="000000"/>
                <w:sz w:val="21"/>
                <w:szCs w:val="21"/>
              </w:rPr>
            </w:pPr>
            <w:r>
              <w:rPr>
                <w:color w:val="000000"/>
                <w:sz w:val="21"/>
                <w:szCs w:val="21"/>
              </w:rPr>
              <w:t>201</w:t>
            </w:r>
            <w:r>
              <w:rPr>
                <w:rFonts w:hint="eastAsia"/>
                <w:color w:val="000000"/>
                <w:sz w:val="21"/>
                <w:szCs w:val="21"/>
              </w:rPr>
              <w:t>9</w:t>
            </w:r>
            <w:r>
              <w:rPr>
                <w:color w:val="000000"/>
                <w:sz w:val="21"/>
                <w:szCs w:val="21"/>
              </w:rPr>
              <w:t>.</w:t>
            </w:r>
            <w:r>
              <w:rPr>
                <w:rFonts w:hint="eastAsia"/>
                <w:color w:val="000000"/>
                <w:sz w:val="21"/>
                <w:szCs w:val="21"/>
              </w:rPr>
              <w:t>01</w:t>
            </w:r>
            <w:r>
              <w:rPr>
                <w:color w:val="000000"/>
                <w:sz w:val="21"/>
                <w:szCs w:val="21"/>
              </w:rPr>
              <w:t>.</w:t>
            </w:r>
            <w:r>
              <w:rPr>
                <w:rFonts w:hint="eastAsia"/>
                <w:color w:val="000000"/>
                <w:sz w:val="21"/>
                <w:szCs w:val="21"/>
              </w:rPr>
              <w:t>01</w:t>
            </w:r>
            <w:r>
              <w:rPr>
                <w:color w:val="000000"/>
                <w:sz w:val="21"/>
                <w:szCs w:val="21"/>
              </w:rPr>
              <w:t>~201</w:t>
            </w:r>
            <w:r>
              <w:rPr>
                <w:rFonts w:hint="eastAsia"/>
                <w:color w:val="000000"/>
                <w:sz w:val="21"/>
                <w:szCs w:val="21"/>
              </w:rPr>
              <w:t>9</w:t>
            </w:r>
            <w:r>
              <w:rPr>
                <w:color w:val="000000"/>
                <w:sz w:val="21"/>
                <w:szCs w:val="21"/>
              </w:rPr>
              <w:t>.</w:t>
            </w:r>
            <w:r>
              <w:rPr>
                <w:rFonts w:hint="eastAsia"/>
                <w:color w:val="000000"/>
                <w:sz w:val="21"/>
                <w:szCs w:val="21"/>
              </w:rPr>
              <w:t>12</w:t>
            </w:r>
            <w:r>
              <w:rPr>
                <w:color w:val="000000"/>
                <w:sz w:val="21"/>
                <w:szCs w:val="21"/>
              </w:rPr>
              <w:t>.</w:t>
            </w:r>
            <w:r>
              <w:rPr>
                <w:rFonts w:hint="eastAsia"/>
                <w:color w:val="000000"/>
                <w:sz w:val="21"/>
                <w:szCs w:val="21"/>
              </w:rPr>
              <w:t>31</w:t>
            </w:r>
          </w:p>
        </w:tc>
        <w:tc>
          <w:tcPr>
            <w:tcW w:w="1052" w:type="dxa"/>
            <w:tcBorders>
              <w:top w:val="single" w:sz="8" w:space="0" w:color="000000"/>
              <w:left w:val="single" w:sz="8" w:space="0" w:color="000000"/>
              <w:bottom w:val="single" w:sz="8" w:space="0" w:color="000000"/>
              <w:right w:val="single" w:sz="8" w:space="0" w:color="000000"/>
            </w:tcBorders>
            <w:vAlign w:val="center"/>
          </w:tcPr>
          <w:p w:rsidR="004C06C5" w:rsidRDefault="00ED474B">
            <w:pPr>
              <w:pStyle w:val="biaogecenter"/>
              <w:wordWrap w:val="0"/>
              <w:spacing w:line="360" w:lineRule="auto"/>
              <w:rPr>
                <w:sz w:val="21"/>
                <w:szCs w:val="21"/>
              </w:rPr>
            </w:pPr>
            <w:r>
              <w:rPr>
                <w:sz w:val="21"/>
                <w:szCs w:val="21"/>
              </w:rPr>
              <w:t>-0.93%</w:t>
            </w:r>
          </w:p>
        </w:tc>
        <w:tc>
          <w:tcPr>
            <w:tcW w:w="1163" w:type="dxa"/>
            <w:tcBorders>
              <w:top w:val="single" w:sz="8" w:space="0" w:color="000000"/>
              <w:left w:val="single" w:sz="8" w:space="0" w:color="000000"/>
              <w:bottom w:val="single" w:sz="8" w:space="0" w:color="000000"/>
              <w:right w:val="single" w:sz="8" w:space="0" w:color="000000"/>
            </w:tcBorders>
            <w:vAlign w:val="center"/>
          </w:tcPr>
          <w:p w:rsidR="004C06C5" w:rsidRDefault="00ED474B">
            <w:pPr>
              <w:pStyle w:val="biaogecenter"/>
              <w:wordWrap w:val="0"/>
              <w:spacing w:line="360" w:lineRule="auto"/>
              <w:rPr>
                <w:sz w:val="21"/>
                <w:szCs w:val="21"/>
              </w:rPr>
            </w:pPr>
            <w:r>
              <w:rPr>
                <w:sz w:val="21"/>
                <w:szCs w:val="21"/>
              </w:rPr>
              <w:t>0.14%</w:t>
            </w:r>
          </w:p>
        </w:tc>
        <w:tc>
          <w:tcPr>
            <w:tcW w:w="1356" w:type="dxa"/>
            <w:tcBorders>
              <w:top w:val="single" w:sz="8" w:space="0" w:color="000000"/>
              <w:left w:val="single" w:sz="8" w:space="0" w:color="000000"/>
              <w:bottom w:val="single" w:sz="8" w:space="0" w:color="000000"/>
              <w:right w:val="single" w:sz="8" w:space="0" w:color="000000"/>
            </w:tcBorders>
            <w:vAlign w:val="center"/>
          </w:tcPr>
          <w:p w:rsidR="004C06C5" w:rsidRDefault="00ED474B">
            <w:pPr>
              <w:pStyle w:val="biaogecenter"/>
              <w:wordWrap w:val="0"/>
              <w:spacing w:line="360" w:lineRule="auto"/>
              <w:rPr>
                <w:sz w:val="21"/>
                <w:szCs w:val="21"/>
              </w:rPr>
            </w:pPr>
            <w:r>
              <w:rPr>
                <w:sz w:val="21"/>
                <w:szCs w:val="21"/>
              </w:rPr>
              <w:t>4.28%</w:t>
            </w:r>
          </w:p>
        </w:tc>
        <w:tc>
          <w:tcPr>
            <w:tcW w:w="1298" w:type="dxa"/>
            <w:tcBorders>
              <w:top w:val="single" w:sz="8" w:space="0" w:color="000000"/>
              <w:left w:val="single" w:sz="8" w:space="0" w:color="000000"/>
              <w:bottom w:val="single" w:sz="8" w:space="0" w:color="000000"/>
              <w:right w:val="single" w:sz="8" w:space="0" w:color="000000"/>
            </w:tcBorders>
            <w:vAlign w:val="center"/>
          </w:tcPr>
          <w:p w:rsidR="004C06C5" w:rsidRDefault="00ED474B">
            <w:pPr>
              <w:pStyle w:val="biaogecenter"/>
              <w:wordWrap w:val="0"/>
              <w:spacing w:line="360" w:lineRule="auto"/>
              <w:rPr>
                <w:sz w:val="21"/>
                <w:szCs w:val="21"/>
              </w:rPr>
            </w:pPr>
            <w:r>
              <w:rPr>
                <w:sz w:val="21"/>
                <w:szCs w:val="21"/>
              </w:rPr>
              <w:t>0.04%</w:t>
            </w:r>
          </w:p>
        </w:tc>
        <w:tc>
          <w:tcPr>
            <w:tcW w:w="1390" w:type="dxa"/>
            <w:tcBorders>
              <w:top w:val="single" w:sz="8" w:space="0" w:color="000000"/>
              <w:left w:val="single" w:sz="8" w:space="0" w:color="000000"/>
              <w:bottom w:val="single" w:sz="8" w:space="0" w:color="000000"/>
              <w:right w:val="single" w:sz="8" w:space="0" w:color="000000"/>
            </w:tcBorders>
            <w:vAlign w:val="center"/>
          </w:tcPr>
          <w:p w:rsidR="004C06C5" w:rsidRDefault="00ED474B">
            <w:pPr>
              <w:pStyle w:val="biaogecenter"/>
              <w:wordWrap w:val="0"/>
              <w:spacing w:line="360" w:lineRule="auto"/>
              <w:rPr>
                <w:sz w:val="21"/>
                <w:szCs w:val="21"/>
              </w:rPr>
            </w:pPr>
            <w:r>
              <w:rPr>
                <w:sz w:val="21"/>
                <w:szCs w:val="21"/>
              </w:rPr>
              <w:t>-5.21%</w:t>
            </w:r>
          </w:p>
        </w:tc>
        <w:tc>
          <w:tcPr>
            <w:tcW w:w="1131" w:type="dxa"/>
            <w:tcBorders>
              <w:top w:val="single" w:sz="8" w:space="0" w:color="000000"/>
              <w:left w:val="single" w:sz="8" w:space="0" w:color="000000"/>
              <w:bottom w:val="single" w:sz="8" w:space="0" w:color="000000"/>
              <w:right w:val="single" w:sz="8" w:space="0" w:color="000000"/>
            </w:tcBorders>
            <w:vAlign w:val="center"/>
          </w:tcPr>
          <w:p w:rsidR="004C06C5" w:rsidRDefault="00ED474B">
            <w:pPr>
              <w:pStyle w:val="biaogecenter"/>
              <w:wordWrap w:val="0"/>
              <w:spacing w:line="360" w:lineRule="auto"/>
              <w:rPr>
                <w:sz w:val="21"/>
                <w:szCs w:val="21"/>
              </w:rPr>
            </w:pPr>
            <w:r>
              <w:rPr>
                <w:sz w:val="21"/>
                <w:szCs w:val="21"/>
              </w:rPr>
              <w:t>0.10%</w:t>
            </w:r>
          </w:p>
        </w:tc>
      </w:tr>
      <w:tr w:rsidR="004C06C5">
        <w:trPr>
          <w:trHeight w:val="820"/>
          <w:jc w:val="center"/>
        </w:trPr>
        <w:tc>
          <w:tcPr>
            <w:tcW w:w="1418"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left"/>
              <w:wordWrap w:val="0"/>
              <w:spacing w:line="360" w:lineRule="auto"/>
              <w:rPr>
                <w:color w:val="000000"/>
                <w:sz w:val="21"/>
                <w:szCs w:val="21"/>
              </w:rPr>
            </w:pPr>
            <w:r>
              <w:rPr>
                <w:rFonts w:hint="eastAsia"/>
                <w:color w:val="000000"/>
                <w:sz w:val="21"/>
                <w:szCs w:val="21"/>
              </w:rPr>
              <w:lastRenderedPageBreak/>
              <w:t>自基金合同生效起至</w:t>
            </w:r>
          </w:p>
          <w:p w:rsidR="004C06C5" w:rsidRDefault="00ED474B">
            <w:pPr>
              <w:pStyle w:val="biaogeleft"/>
              <w:wordWrap w:val="0"/>
              <w:spacing w:line="360" w:lineRule="auto"/>
              <w:rPr>
                <w:color w:val="000000"/>
                <w:sz w:val="21"/>
                <w:szCs w:val="21"/>
              </w:rPr>
            </w:pPr>
            <w:r>
              <w:rPr>
                <w:color w:val="000000"/>
                <w:sz w:val="21"/>
                <w:szCs w:val="21"/>
              </w:rPr>
              <w:t>2019.12.31</w:t>
            </w:r>
          </w:p>
        </w:tc>
        <w:tc>
          <w:tcPr>
            <w:tcW w:w="1052"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wordWrap w:val="0"/>
              <w:spacing w:line="360" w:lineRule="auto"/>
              <w:rPr>
                <w:sz w:val="21"/>
                <w:szCs w:val="21"/>
              </w:rPr>
            </w:pPr>
            <w:r>
              <w:rPr>
                <w:sz w:val="21"/>
                <w:szCs w:val="21"/>
              </w:rPr>
              <w:t>4.84%</w:t>
            </w:r>
          </w:p>
        </w:tc>
        <w:tc>
          <w:tcPr>
            <w:tcW w:w="1163"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wordWrap w:val="0"/>
              <w:spacing w:line="360" w:lineRule="auto"/>
              <w:rPr>
                <w:sz w:val="21"/>
                <w:szCs w:val="21"/>
              </w:rPr>
            </w:pPr>
            <w:r>
              <w:rPr>
                <w:sz w:val="21"/>
                <w:szCs w:val="21"/>
              </w:rPr>
              <w:t>0.18%</w:t>
            </w:r>
          </w:p>
        </w:tc>
        <w:tc>
          <w:tcPr>
            <w:tcW w:w="1356"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wordWrap w:val="0"/>
              <w:spacing w:line="360" w:lineRule="auto"/>
              <w:rPr>
                <w:sz w:val="21"/>
                <w:szCs w:val="21"/>
              </w:rPr>
            </w:pPr>
            <w:r>
              <w:rPr>
                <w:sz w:val="21"/>
                <w:szCs w:val="21"/>
              </w:rPr>
              <w:t>11.59%</w:t>
            </w:r>
          </w:p>
        </w:tc>
        <w:tc>
          <w:tcPr>
            <w:tcW w:w="1298"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wordWrap w:val="0"/>
              <w:spacing w:line="360" w:lineRule="auto"/>
              <w:rPr>
                <w:sz w:val="21"/>
                <w:szCs w:val="21"/>
              </w:rPr>
            </w:pPr>
            <w:r>
              <w:rPr>
                <w:sz w:val="21"/>
                <w:szCs w:val="21"/>
              </w:rPr>
              <w:t>0.05%</w:t>
            </w:r>
          </w:p>
        </w:tc>
        <w:tc>
          <w:tcPr>
            <w:tcW w:w="1390"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wordWrap w:val="0"/>
              <w:spacing w:line="360" w:lineRule="auto"/>
              <w:rPr>
                <w:sz w:val="21"/>
                <w:szCs w:val="21"/>
              </w:rPr>
            </w:pPr>
            <w:r>
              <w:rPr>
                <w:sz w:val="21"/>
                <w:szCs w:val="21"/>
              </w:rPr>
              <w:t>-6.75%</w:t>
            </w:r>
          </w:p>
        </w:tc>
        <w:tc>
          <w:tcPr>
            <w:tcW w:w="1131"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wordWrap w:val="0"/>
              <w:spacing w:line="360" w:lineRule="auto"/>
              <w:rPr>
                <w:sz w:val="21"/>
                <w:szCs w:val="21"/>
              </w:rPr>
            </w:pPr>
            <w:r>
              <w:rPr>
                <w:sz w:val="21"/>
                <w:szCs w:val="21"/>
              </w:rPr>
              <w:t>0.13%</w:t>
            </w:r>
          </w:p>
        </w:tc>
      </w:tr>
    </w:tbl>
    <w:p w:rsidR="004C06C5" w:rsidRDefault="004C06C5">
      <w:pPr>
        <w:pStyle w:val="neirong"/>
        <w:spacing w:line="360" w:lineRule="auto"/>
        <w:ind w:left="0"/>
        <w:rPr>
          <w:sz w:val="21"/>
          <w:szCs w:val="21"/>
        </w:rPr>
      </w:pPr>
    </w:p>
    <w:p w:rsidR="004C06C5" w:rsidRDefault="00ED474B">
      <w:pPr>
        <w:pStyle w:val="neirong"/>
        <w:spacing w:line="360" w:lineRule="auto"/>
        <w:ind w:left="0"/>
        <w:rPr>
          <w:sz w:val="21"/>
          <w:szCs w:val="21"/>
        </w:rPr>
      </w:pPr>
      <w:r>
        <w:rPr>
          <w:rFonts w:hint="eastAsia"/>
          <w:sz w:val="21"/>
          <w:szCs w:val="21"/>
        </w:rPr>
        <w:t>注：本基金的业绩比较基准为：中</w:t>
      </w:r>
      <w:proofErr w:type="gramStart"/>
      <w:r>
        <w:rPr>
          <w:rFonts w:hint="eastAsia"/>
          <w:sz w:val="21"/>
          <w:szCs w:val="21"/>
        </w:rPr>
        <w:t>债综合</w:t>
      </w:r>
      <w:proofErr w:type="gramEnd"/>
      <w:r>
        <w:rPr>
          <w:rFonts w:hint="eastAsia"/>
          <w:sz w:val="21"/>
          <w:szCs w:val="21"/>
        </w:rPr>
        <w:t>指数（总财富）×90%+1年期定期存款利率（税后）×10%</w:t>
      </w:r>
    </w:p>
    <w:p w:rsidR="004C06C5" w:rsidRDefault="00ED474B">
      <w:pPr>
        <w:pStyle w:val="neirong"/>
        <w:spacing w:line="360" w:lineRule="auto"/>
        <w:ind w:left="0"/>
        <w:rPr>
          <w:bCs/>
          <w:sz w:val="21"/>
          <w:szCs w:val="21"/>
        </w:rPr>
      </w:pPr>
      <w:r>
        <w:rPr>
          <w:rFonts w:hint="eastAsia"/>
          <w:bCs/>
          <w:sz w:val="21"/>
          <w:szCs w:val="21"/>
        </w:rPr>
        <w:t>2、自基金合同生效以来基金累计净值增长率变动及其与同期业绩比较基准收益率变动的比较</w:t>
      </w:r>
    </w:p>
    <w:p w:rsidR="004C06C5" w:rsidRDefault="004C06C5">
      <w:pPr>
        <w:pStyle w:val="neirong"/>
        <w:spacing w:line="360" w:lineRule="auto"/>
        <w:ind w:left="0"/>
        <w:rPr>
          <w:bCs/>
          <w:sz w:val="21"/>
          <w:szCs w:val="21"/>
        </w:rPr>
      </w:pP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hAnsi="Calibri"/>
          <w:noProof/>
          <w:color w:val="000000"/>
        </w:rPr>
        <w:drawing>
          <wp:inline distT="0" distB="0" distL="0" distR="0">
            <wp:extent cx="5274310" cy="3426460"/>
            <wp:effectExtent l="0" t="0" r="2540" b="2540"/>
            <wp:docPr id="3" name="图片 3" descr="说明: D:\HundSun\FA_Client\Bin\MOD\TMP\CN_51130000_004792_FB010010_20200002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说明: D:\HundSun\FA_Client\Bin\MOD\TMP\CN_51130000_004792_FB010010_20200002_2.jp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a:xfrm>
                      <a:off x="0" y="0"/>
                      <a:ext cx="5274310" cy="3426508"/>
                    </a:xfrm>
                    <a:prstGeom prst="rect">
                      <a:avLst/>
                    </a:prstGeom>
                    <a:noFill/>
                    <a:ln>
                      <a:noFill/>
                    </a:ln>
                  </pic:spPr>
                </pic:pic>
              </a:graphicData>
            </a:graphic>
          </wp:inline>
        </w:drawing>
      </w:r>
    </w:p>
    <w:p w:rsidR="004C06C5" w:rsidRDefault="004C06C5">
      <w:pPr>
        <w:adjustRightInd w:val="0"/>
        <w:snapToGrid w:val="0"/>
        <w:spacing w:line="360" w:lineRule="auto"/>
        <w:ind w:firstLineChars="200" w:firstLine="420"/>
        <w:rPr>
          <w:rFonts w:ascii="Arial Unicode MS" w:hAnsi="Arial Unicode MS" w:cs="Arial"/>
          <w:kern w:val="0"/>
          <w:szCs w:val="21"/>
        </w:rPr>
      </w:pPr>
    </w:p>
    <w:p w:rsidR="004C06C5" w:rsidRDefault="00ED474B">
      <w:pPr>
        <w:adjustRightInd w:val="0"/>
        <w:snapToGrid w:val="0"/>
        <w:spacing w:line="360" w:lineRule="auto"/>
        <w:ind w:firstLineChars="200" w:firstLine="420"/>
      </w:pPr>
      <w:r>
        <w:rPr>
          <w:rFonts w:hAnsi="Calibri"/>
          <w:noProof/>
          <w:color w:val="000000"/>
        </w:rPr>
        <w:lastRenderedPageBreak/>
        <w:drawing>
          <wp:inline distT="0" distB="0" distL="0" distR="0">
            <wp:extent cx="5274310" cy="3426460"/>
            <wp:effectExtent l="0" t="0" r="2540" b="2540"/>
            <wp:docPr id="4" name="图片 4" descr="说明: D:\HundSun\FA_Client\Bin\MOD\TMP\CN_51130000_004792_FB010010_20200002_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说明: D:\HundSun\FA_Client\Bin\MOD\TMP\CN_51130000_004792_FB010010_20200002_3.jp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a:xfrm>
                      <a:off x="0" y="0"/>
                      <a:ext cx="5274310" cy="3426508"/>
                    </a:xfrm>
                    <a:prstGeom prst="rect">
                      <a:avLst/>
                    </a:prstGeom>
                    <a:noFill/>
                    <a:ln>
                      <a:noFill/>
                    </a:ln>
                  </pic:spPr>
                </pic:pic>
              </a:graphicData>
            </a:graphic>
          </wp:inline>
        </w:drawing>
      </w:r>
    </w:p>
    <w:p w:rsidR="004C06C5" w:rsidRDefault="00ED474B">
      <w:pPr>
        <w:pStyle w:val="neirong"/>
        <w:spacing w:line="360" w:lineRule="auto"/>
        <w:ind w:left="0"/>
        <w:rPr>
          <w:sz w:val="21"/>
          <w:szCs w:val="21"/>
        </w:rPr>
      </w:pPr>
      <w:r>
        <w:rPr>
          <w:rFonts w:hint="eastAsia"/>
        </w:rPr>
        <w:t>注：本基金建仓期为6个月，建仓期结束时各项资产配置比例符合合同约定。</w:t>
      </w:r>
    </w:p>
    <w:p w:rsidR="004C06C5" w:rsidRDefault="004C06C5">
      <w:pPr>
        <w:pStyle w:val="neirong"/>
        <w:spacing w:line="360" w:lineRule="auto"/>
        <w:ind w:left="0"/>
        <w:rPr>
          <w:rFonts w:cs="Arial"/>
          <w:bCs/>
          <w:kern w:val="2"/>
          <w:sz w:val="21"/>
          <w:szCs w:val="21"/>
        </w:rPr>
      </w:pPr>
    </w:p>
    <w:p w:rsidR="004C06C5" w:rsidRDefault="004C06C5">
      <w:pPr>
        <w:pStyle w:val="neirong"/>
        <w:spacing w:line="360" w:lineRule="auto"/>
        <w:ind w:left="0"/>
        <w:rPr>
          <w:sz w:val="21"/>
          <w:szCs w:val="21"/>
        </w:rPr>
      </w:pPr>
    </w:p>
    <w:p w:rsidR="004C06C5" w:rsidRDefault="00ED474B">
      <w:pPr>
        <w:pStyle w:val="11"/>
        <w:snapToGrid w:val="0"/>
        <w:spacing w:before="0" w:after="0" w:line="360" w:lineRule="auto"/>
        <w:rPr>
          <w:rFonts w:ascii="Arial Unicode MS" w:hAnsi="Arial Unicode MS" w:cs="Arial"/>
          <w:b/>
          <w:bCs/>
          <w:sz w:val="28"/>
          <w:szCs w:val="28"/>
        </w:rPr>
      </w:pPr>
      <w:bookmarkStart w:id="66" w:name="_Toc79392634"/>
      <w:r>
        <w:br w:type="page"/>
      </w:r>
      <w:bookmarkStart w:id="67" w:name="_Toc214873599"/>
      <w:bookmarkStart w:id="68" w:name="_Toc317088147"/>
      <w:bookmarkStart w:id="69" w:name="_Toc317088544"/>
      <w:bookmarkStart w:id="70" w:name="_Toc320887649"/>
      <w:bookmarkStart w:id="71" w:name="_Toc335232698"/>
      <w:bookmarkStart w:id="72" w:name="_Toc1464065"/>
      <w:bookmarkEnd w:id="66"/>
      <w:r>
        <w:rPr>
          <w:rFonts w:ascii="Arial Unicode MS" w:eastAsia="宋体" w:hAnsi="Arial Unicode MS" w:cs="Arial" w:hint="eastAsia"/>
          <w:b/>
          <w:bCs/>
          <w:sz w:val="28"/>
          <w:szCs w:val="28"/>
        </w:rPr>
        <w:lastRenderedPageBreak/>
        <w:t>第十部分</w:t>
      </w:r>
      <w:r>
        <w:rPr>
          <w:rFonts w:ascii="Arial Unicode MS" w:eastAsia="宋体" w:hAnsi="Arial Unicode MS" w:cs="Arial"/>
          <w:b/>
          <w:bCs/>
          <w:sz w:val="28"/>
          <w:szCs w:val="28"/>
        </w:rPr>
        <w:t xml:space="preserve">  </w:t>
      </w:r>
      <w:r>
        <w:rPr>
          <w:rFonts w:ascii="Arial Unicode MS" w:eastAsia="宋体" w:hAnsi="Arial Unicode MS" w:cs="Arial" w:hint="eastAsia"/>
          <w:b/>
          <w:bCs/>
          <w:sz w:val="28"/>
          <w:szCs w:val="28"/>
        </w:rPr>
        <w:t>基金的财产</w:t>
      </w:r>
      <w:bookmarkEnd w:id="67"/>
      <w:bookmarkEnd w:id="68"/>
      <w:bookmarkEnd w:id="69"/>
      <w:bookmarkEnd w:id="70"/>
      <w:bookmarkEnd w:id="71"/>
      <w:bookmarkEnd w:id="72"/>
    </w:p>
    <w:p w:rsidR="004C06C5" w:rsidRDefault="004C06C5">
      <w:pPr>
        <w:rPr>
          <w:rFonts w:ascii="Arial Unicode MS" w:hAnsi="Arial Unicode MS"/>
          <w:lang w:val="zh-CN"/>
        </w:rPr>
      </w:pPr>
    </w:p>
    <w:p w:rsidR="004C06C5" w:rsidRDefault="00ED474B">
      <w:pPr>
        <w:spacing w:line="360" w:lineRule="auto"/>
        <w:ind w:firstLineChars="200" w:firstLine="422"/>
        <w:rPr>
          <w:rFonts w:ascii="Arial Unicode MS" w:hAnsi="Arial Unicode MS" w:cs="Arial"/>
          <w:b/>
          <w:szCs w:val="21"/>
        </w:rPr>
      </w:pPr>
      <w:r>
        <w:rPr>
          <w:rFonts w:ascii="Arial Unicode MS" w:hAnsi="Arial Unicode MS" w:cs="Arial"/>
          <w:b/>
          <w:szCs w:val="21"/>
        </w:rPr>
        <w:t>一、基金资产总值</w:t>
      </w:r>
    </w:p>
    <w:p w:rsidR="004C06C5" w:rsidRDefault="00ED474B">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基金资产总值是指基金拥有的各类有价证券、银行存款本息和基金应收款项以及其他资产的价值总和。</w:t>
      </w:r>
    </w:p>
    <w:p w:rsidR="004C06C5" w:rsidRDefault="00ED474B">
      <w:pPr>
        <w:spacing w:line="360" w:lineRule="auto"/>
        <w:ind w:firstLineChars="200" w:firstLine="422"/>
        <w:rPr>
          <w:rFonts w:ascii="Arial Unicode MS" w:hAnsi="Arial Unicode MS" w:cs="Arial"/>
          <w:b/>
          <w:szCs w:val="21"/>
        </w:rPr>
      </w:pPr>
      <w:r>
        <w:rPr>
          <w:rFonts w:ascii="Arial Unicode MS" w:hAnsi="Arial Unicode MS" w:cs="Arial"/>
          <w:b/>
          <w:szCs w:val="21"/>
        </w:rPr>
        <w:t>二、基金资产净值</w:t>
      </w:r>
    </w:p>
    <w:p w:rsidR="004C06C5" w:rsidRDefault="00ED474B">
      <w:pPr>
        <w:spacing w:line="360" w:lineRule="auto"/>
        <w:ind w:firstLineChars="200" w:firstLine="420"/>
        <w:rPr>
          <w:rFonts w:ascii="Arial Unicode MS" w:hAnsi="Arial Unicode MS" w:cs="Arial"/>
          <w:szCs w:val="21"/>
        </w:rPr>
      </w:pPr>
      <w:r>
        <w:rPr>
          <w:rFonts w:ascii="Arial Unicode MS" w:hAnsi="Arial Unicode MS" w:cs="Arial"/>
          <w:szCs w:val="21"/>
        </w:rPr>
        <w:t>基金资产净值是指基金资产总值减去基金负债后的价值。</w:t>
      </w:r>
    </w:p>
    <w:p w:rsidR="004C06C5" w:rsidRDefault="00ED474B">
      <w:pPr>
        <w:spacing w:line="360" w:lineRule="auto"/>
        <w:ind w:firstLineChars="200" w:firstLine="422"/>
        <w:rPr>
          <w:rFonts w:ascii="Arial Unicode MS" w:hAnsi="Arial Unicode MS" w:cs="Arial"/>
          <w:b/>
          <w:szCs w:val="21"/>
        </w:rPr>
      </w:pPr>
      <w:r>
        <w:rPr>
          <w:rFonts w:ascii="Arial Unicode MS" w:hAnsi="Arial Unicode MS" w:cs="Arial"/>
          <w:b/>
          <w:szCs w:val="21"/>
        </w:rPr>
        <w:t>三、基金财产的账户</w:t>
      </w:r>
    </w:p>
    <w:p w:rsidR="004C06C5" w:rsidRDefault="00ED474B">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托管人根据相关法律法规、规范性文件为本基金开立资金账户、证券账户以及投资所需的其他专用账户。开立的基金专用账户与基金管理人、基金托管人、基金销售机构和基金登记机构自有的财产账户以及其他基金财产账户相独立。</w:t>
      </w:r>
    </w:p>
    <w:p w:rsidR="004C06C5" w:rsidRDefault="00ED474B">
      <w:pPr>
        <w:spacing w:line="360" w:lineRule="auto"/>
        <w:ind w:firstLineChars="200" w:firstLine="422"/>
        <w:rPr>
          <w:rFonts w:ascii="Arial Unicode MS" w:hAnsi="Arial Unicode MS" w:cs="Arial"/>
          <w:b/>
          <w:szCs w:val="21"/>
        </w:rPr>
      </w:pPr>
      <w:r>
        <w:rPr>
          <w:rFonts w:ascii="Arial Unicode MS" w:hAnsi="Arial Unicode MS" w:cs="Arial"/>
          <w:b/>
          <w:szCs w:val="21"/>
        </w:rPr>
        <w:t>四、基金财产的保管和处分</w:t>
      </w:r>
    </w:p>
    <w:p w:rsidR="004C06C5" w:rsidRDefault="00ED474B">
      <w:pPr>
        <w:spacing w:line="360" w:lineRule="auto"/>
        <w:ind w:firstLineChars="200" w:firstLine="420"/>
        <w:rPr>
          <w:rFonts w:ascii="Arial Unicode MS" w:hAnsi="Arial Unicode MS" w:cs="Arial"/>
          <w:bCs/>
          <w:szCs w:val="21"/>
        </w:rPr>
      </w:pPr>
      <w:bookmarkStart w:id="73" w:name="_Hlt88900062"/>
      <w:bookmarkStart w:id="74" w:name="_Hlt88841837"/>
      <w:bookmarkEnd w:id="73"/>
      <w:bookmarkEnd w:id="74"/>
      <w:r>
        <w:rPr>
          <w:rFonts w:ascii="Arial Unicode MS" w:hAnsi="Arial Unicode MS" w:cs="Arial" w:hint="eastAsia"/>
          <w:bCs/>
          <w:szCs w:val="21"/>
        </w:rPr>
        <w:t>本基金财产独立于基金管理人、基金托管人和基金销售机构的财产，并由基金托管人保管。基金管理人、基金托管人、基金登记机构和基金销售机构以其自有的财产承担其自身的法律责任，其债权人不得对本基金财产行使请求冻结、扣押或其他权利。除依法</w:t>
      </w:r>
      <w:proofErr w:type="gramStart"/>
      <w:r>
        <w:rPr>
          <w:rFonts w:ascii="Arial Unicode MS" w:hAnsi="Arial Unicode MS" w:cs="Arial" w:hint="eastAsia"/>
          <w:bCs/>
          <w:szCs w:val="21"/>
        </w:rPr>
        <w:t>律法规</w:t>
      </w:r>
      <w:proofErr w:type="gramEnd"/>
      <w:r>
        <w:rPr>
          <w:rFonts w:ascii="Arial Unicode MS" w:hAnsi="Arial Unicode MS" w:cs="Arial" w:hint="eastAsia"/>
          <w:bCs/>
          <w:szCs w:val="21"/>
        </w:rPr>
        <w:t>和《基金合同》的规定处分外，基金财产不得被处分。</w:t>
      </w:r>
    </w:p>
    <w:p w:rsidR="004C06C5" w:rsidRDefault="00ED474B">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基金管理人、基金托管人因依法解散、被依法撤销或者被依法宣告破产等原因进行清算的，基金财产不属于其清算财产。基金管理人管理运作基金财产所产生的债权，不得与其固有资产产生的债务相互</w:t>
      </w:r>
      <w:proofErr w:type="gramStart"/>
      <w:r>
        <w:rPr>
          <w:rFonts w:ascii="Arial Unicode MS" w:hAnsi="Arial Unicode MS" w:cs="Arial" w:hint="eastAsia"/>
          <w:bCs/>
          <w:szCs w:val="21"/>
        </w:rPr>
        <w:t>抵销</w:t>
      </w:r>
      <w:proofErr w:type="gramEnd"/>
      <w:r>
        <w:rPr>
          <w:rFonts w:ascii="Arial Unicode MS" w:hAnsi="Arial Unicode MS" w:cs="Arial" w:hint="eastAsia"/>
          <w:bCs/>
          <w:szCs w:val="21"/>
        </w:rPr>
        <w:t>；基金管理人管理运作不同基金的基金财产所产生的债权债务不得相互</w:t>
      </w:r>
      <w:proofErr w:type="gramStart"/>
      <w:r>
        <w:rPr>
          <w:rFonts w:ascii="Arial Unicode MS" w:hAnsi="Arial Unicode MS" w:cs="Arial" w:hint="eastAsia"/>
          <w:bCs/>
          <w:szCs w:val="21"/>
        </w:rPr>
        <w:t>抵销</w:t>
      </w:r>
      <w:proofErr w:type="gramEnd"/>
      <w:r>
        <w:rPr>
          <w:rFonts w:ascii="Arial Unicode MS" w:hAnsi="Arial Unicode MS" w:cs="Arial" w:hint="eastAsia"/>
          <w:bCs/>
          <w:szCs w:val="21"/>
        </w:rPr>
        <w:t>。</w:t>
      </w:r>
    </w:p>
    <w:p w:rsidR="004C06C5" w:rsidRDefault="004C06C5">
      <w:pPr>
        <w:spacing w:line="360" w:lineRule="auto"/>
        <w:ind w:firstLineChars="200" w:firstLine="420"/>
        <w:rPr>
          <w:rFonts w:ascii="Arial Unicode MS" w:hAnsi="Arial Unicode MS" w:cs="Arial"/>
          <w:szCs w:val="21"/>
        </w:rPr>
        <w:sectPr w:rsidR="004C06C5">
          <w:footerReference w:type="default" r:id="rId30"/>
          <w:headerReference w:type="first" r:id="rId31"/>
          <w:footerReference w:type="first" r:id="rId32"/>
          <w:pgSz w:w="11906" w:h="16838"/>
          <w:pgMar w:top="1440" w:right="1800" w:bottom="1440" w:left="1800" w:header="851" w:footer="992" w:gutter="0"/>
          <w:cols w:space="720"/>
          <w:titlePg/>
          <w:docGrid w:linePitch="312"/>
        </w:sectPr>
      </w:pPr>
    </w:p>
    <w:p w:rsidR="004C06C5" w:rsidRDefault="00ED474B">
      <w:pPr>
        <w:pStyle w:val="11"/>
        <w:snapToGrid w:val="0"/>
        <w:spacing w:before="0" w:after="0" w:line="360" w:lineRule="auto"/>
        <w:ind w:firstLineChars="150" w:firstLine="422"/>
        <w:rPr>
          <w:rFonts w:ascii="Arial Unicode MS" w:eastAsia="宋体" w:hAnsi="Arial Unicode MS" w:cs="Arial"/>
          <w:b/>
          <w:bCs/>
          <w:sz w:val="28"/>
          <w:szCs w:val="28"/>
        </w:rPr>
      </w:pPr>
      <w:bookmarkStart w:id="75" w:name="_Toc214873600"/>
      <w:bookmarkStart w:id="76" w:name="_Toc335232699"/>
      <w:bookmarkStart w:id="77" w:name="_Toc317088148"/>
      <w:bookmarkStart w:id="78" w:name="_Toc1464066"/>
      <w:bookmarkStart w:id="79" w:name="_Toc317088545"/>
      <w:bookmarkStart w:id="80" w:name="_Toc320887650"/>
      <w:r>
        <w:rPr>
          <w:rFonts w:ascii="Arial Unicode MS" w:eastAsia="宋体" w:hAnsi="Arial Unicode MS" w:cs="Arial"/>
          <w:b/>
          <w:bCs/>
          <w:sz w:val="28"/>
          <w:szCs w:val="28"/>
        </w:rPr>
        <w:lastRenderedPageBreak/>
        <w:t>第十</w:t>
      </w:r>
      <w:r>
        <w:rPr>
          <w:rFonts w:ascii="Arial Unicode MS" w:eastAsia="宋体" w:hAnsi="Arial Unicode MS" w:cs="Arial" w:hint="eastAsia"/>
          <w:b/>
          <w:bCs/>
          <w:sz w:val="28"/>
          <w:szCs w:val="28"/>
        </w:rPr>
        <w:t>一</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基金资产的估值</w:t>
      </w:r>
      <w:bookmarkEnd w:id="75"/>
      <w:bookmarkEnd w:id="76"/>
      <w:bookmarkEnd w:id="77"/>
      <w:bookmarkEnd w:id="78"/>
      <w:bookmarkEnd w:id="79"/>
      <w:bookmarkEnd w:id="80"/>
    </w:p>
    <w:p w:rsidR="004C06C5" w:rsidRDefault="004C06C5">
      <w:pPr>
        <w:rPr>
          <w:rFonts w:ascii="Arial Unicode MS" w:hAnsi="Arial Unicode MS"/>
          <w:lang w:val="zh-CN"/>
        </w:rPr>
      </w:pPr>
    </w:p>
    <w:p w:rsidR="004C06C5" w:rsidRDefault="00ED474B">
      <w:pPr>
        <w:spacing w:line="360" w:lineRule="auto"/>
        <w:ind w:firstLineChars="200" w:firstLine="422"/>
        <w:rPr>
          <w:rFonts w:ascii="Arial Unicode MS" w:hAnsi="Arial Unicode MS"/>
          <w:b/>
          <w:bCs/>
          <w:szCs w:val="21"/>
        </w:rPr>
      </w:pPr>
      <w:bookmarkStart w:id="81" w:name="_Toc530223193"/>
      <w:bookmarkStart w:id="82" w:name="_Toc214873601"/>
      <w:r>
        <w:rPr>
          <w:rFonts w:ascii="Arial Unicode MS" w:hAnsi="Arial Unicode MS"/>
          <w:b/>
          <w:bCs/>
          <w:szCs w:val="21"/>
        </w:rPr>
        <w:t>一、估值日</w:t>
      </w:r>
    </w:p>
    <w:p w:rsidR="004C06C5" w:rsidRDefault="00ED474B">
      <w:pPr>
        <w:spacing w:line="360" w:lineRule="auto"/>
        <w:ind w:firstLineChars="200" w:firstLine="420"/>
        <w:rPr>
          <w:rFonts w:ascii="Arial Unicode MS" w:hAnsi="Arial Unicode MS"/>
          <w:bCs/>
          <w:szCs w:val="21"/>
        </w:rPr>
      </w:pPr>
      <w:r>
        <w:rPr>
          <w:rFonts w:ascii="Arial Unicode MS" w:hAnsi="Arial Unicode MS" w:hint="eastAsia"/>
          <w:bCs/>
          <w:szCs w:val="21"/>
        </w:rPr>
        <w:t>本基金的估值日为本基金相关的证券交易场所的交易日以及国家法律法规规定需要对外披露基金净值的</w:t>
      </w:r>
      <w:proofErr w:type="gramStart"/>
      <w:r>
        <w:rPr>
          <w:rFonts w:ascii="Arial Unicode MS" w:hAnsi="Arial Unicode MS" w:hint="eastAsia"/>
          <w:bCs/>
          <w:szCs w:val="21"/>
        </w:rPr>
        <w:t>非交易</w:t>
      </w:r>
      <w:proofErr w:type="gramEnd"/>
      <w:r>
        <w:rPr>
          <w:rFonts w:ascii="Arial Unicode MS" w:hAnsi="Arial Unicode MS" w:hint="eastAsia"/>
          <w:bCs/>
          <w:szCs w:val="21"/>
        </w:rPr>
        <w:t>日。</w:t>
      </w:r>
    </w:p>
    <w:p w:rsidR="004C06C5" w:rsidRDefault="00ED474B">
      <w:pPr>
        <w:spacing w:line="360" w:lineRule="auto"/>
        <w:ind w:firstLineChars="200" w:firstLine="422"/>
        <w:rPr>
          <w:rFonts w:ascii="Arial Unicode MS" w:hAnsi="Arial Unicode MS"/>
          <w:b/>
          <w:bCs/>
          <w:szCs w:val="21"/>
        </w:rPr>
      </w:pPr>
      <w:r>
        <w:rPr>
          <w:rFonts w:ascii="Arial Unicode MS" w:hAnsi="Arial Unicode MS"/>
          <w:b/>
          <w:bCs/>
          <w:szCs w:val="21"/>
        </w:rPr>
        <w:t>二、估值对象</w:t>
      </w:r>
    </w:p>
    <w:p w:rsidR="004C06C5" w:rsidRDefault="00ED474B">
      <w:pPr>
        <w:spacing w:line="360" w:lineRule="auto"/>
        <w:ind w:firstLineChars="200" w:firstLine="420"/>
        <w:rPr>
          <w:rFonts w:ascii="Arial Unicode MS" w:hAnsi="Arial Unicode MS"/>
          <w:bCs/>
          <w:szCs w:val="21"/>
        </w:rPr>
      </w:pPr>
      <w:r>
        <w:rPr>
          <w:rFonts w:ascii="Arial Unicode MS" w:hAnsi="Arial Unicode MS" w:hint="eastAsia"/>
          <w:bCs/>
          <w:szCs w:val="21"/>
        </w:rPr>
        <w:t>基金所拥有的股票、权证、债券、期货合约和银行存款本息、应收款项、其它投资等资产及负债。</w:t>
      </w:r>
    </w:p>
    <w:p w:rsidR="004C06C5" w:rsidRDefault="00ED474B">
      <w:pPr>
        <w:spacing w:line="360" w:lineRule="auto"/>
        <w:ind w:firstLineChars="200" w:firstLine="422"/>
        <w:rPr>
          <w:rFonts w:ascii="Arial Unicode MS" w:hAnsi="Arial Unicode MS"/>
          <w:b/>
          <w:bCs/>
          <w:szCs w:val="21"/>
        </w:rPr>
      </w:pPr>
      <w:r>
        <w:rPr>
          <w:rFonts w:ascii="Arial Unicode MS" w:hAnsi="Arial Unicode MS"/>
          <w:b/>
          <w:bCs/>
          <w:szCs w:val="21"/>
        </w:rPr>
        <w:t>三、估值方法</w:t>
      </w:r>
    </w:p>
    <w:p w:rsidR="004C06C5" w:rsidRDefault="00ED474B">
      <w:pPr>
        <w:spacing w:line="360" w:lineRule="auto"/>
        <w:ind w:firstLineChars="200" w:firstLine="420"/>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、证券交易所上市的有价证券的估值</w:t>
      </w:r>
    </w:p>
    <w:p w:rsidR="004C06C5" w:rsidRDefault="00ED474B">
      <w:pPr>
        <w:spacing w:line="360" w:lineRule="auto"/>
        <w:ind w:firstLineChars="200" w:firstLine="420"/>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除本部分另有约定的品种外，交易所上市的有价证券（包括股票、权证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rsidR="004C06C5" w:rsidRDefault="00ED474B">
      <w:pPr>
        <w:spacing w:line="360" w:lineRule="auto"/>
        <w:ind w:firstLineChars="200" w:firstLine="420"/>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）交易所上市交易或挂牌转让的固定收益品种（本合同另有规定的除外），选取估值日第三方估值机构提供的相应品种对应的估值净价估值，具体估值机构由基金管理人与托管人另行协商约定；</w:t>
      </w:r>
    </w:p>
    <w:p w:rsidR="004C06C5" w:rsidRDefault="00ED474B">
      <w:pPr>
        <w:spacing w:line="360" w:lineRule="auto"/>
        <w:ind w:firstLineChars="200" w:firstLine="420"/>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交易所上市交易的可转换债券按估值日收盘价减去债券收盘价中所含的债券应收利息得到的净价进行估值；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格；</w:t>
      </w:r>
    </w:p>
    <w:p w:rsidR="004C06C5" w:rsidRDefault="00ED474B">
      <w:pPr>
        <w:spacing w:line="360" w:lineRule="auto"/>
        <w:ind w:firstLineChars="200" w:firstLine="420"/>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4</w:t>
      </w:r>
      <w:r>
        <w:rPr>
          <w:rFonts w:ascii="Arial Unicode MS" w:hAnsi="Arial Unicode MS" w:hint="eastAsia"/>
          <w:bCs/>
          <w:szCs w:val="21"/>
        </w:rPr>
        <w:t>）交易所上市不存在活跃市场的有价证券，采用估值技术确定公允价值。交易所上市的资产支持证券，采用估值技术确定公允价值，在估值技术难以可靠计量公允价值的情况下，按成本估值。</w:t>
      </w:r>
    </w:p>
    <w:p w:rsidR="004C06C5" w:rsidRDefault="00ED474B">
      <w:pPr>
        <w:spacing w:line="360" w:lineRule="auto"/>
        <w:ind w:firstLineChars="200" w:firstLine="420"/>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、首次公开发行未上市的债券，采用估值技术确定公允价值，在估值技术难以可靠计量公允价值的情况下，按成本估值。</w:t>
      </w:r>
    </w:p>
    <w:p w:rsidR="004C06C5" w:rsidRDefault="00ED474B">
      <w:pPr>
        <w:spacing w:line="360" w:lineRule="auto"/>
        <w:ind w:firstLineChars="200" w:firstLine="420"/>
        <w:rPr>
          <w:rFonts w:ascii="Arial Unicode MS" w:hAnsi="Arial Unicode MS"/>
          <w:bCs/>
          <w:szCs w:val="21"/>
        </w:rPr>
      </w:pPr>
      <w:r>
        <w:rPr>
          <w:rFonts w:ascii="Arial Unicode MS" w:hAnsi="Arial Unicode MS" w:hint="eastAsia"/>
          <w:bCs/>
          <w:szCs w:val="21"/>
        </w:rPr>
        <w:t>3</w:t>
      </w:r>
      <w:r>
        <w:rPr>
          <w:rFonts w:ascii="Arial Unicode MS" w:hAnsi="Arial Unicode MS" w:hint="eastAsia"/>
          <w:bCs/>
          <w:szCs w:val="21"/>
        </w:rPr>
        <w:t>、全国银行间债券市场交易的债券、资产支持证券等固定收益品种，采用估值技术确定公允价值。</w:t>
      </w:r>
    </w:p>
    <w:p w:rsidR="004C06C5" w:rsidRDefault="00ED474B">
      <w:pPr>
        <w:spacing w:line="360" w:lineRule="auto"/>
        <w:ind w:firstLineChars="200" w:firstLine="420"/>
        <w:rPr>
          <w:rFonts w:ascii="Arial Unicode MS" w:hAnsi="Arial Unicode MS"/>
          <w:bCs/>
          <w:szCs w:val="21"/>
        </w:rPr>
      </w:pPr>
      <w:r>
        <w:rPr>
          <w:rFonts w:ascii="Arial Unicode MS" w:hAnsi="Arial Unicode MS" w:hint="eastAsia"/>
          <w:bCs/>
          <w:szCs w:val="21"/>
        </w:rPr>
        <w:lastRenderedPageBreak/>
        <w:t>4</w:t>
      </w:r>
      <w:r>
        <w:rPr>
          <w:rFonts w:ascii="Arial Unicode MS" w:hAnsi="Arial Unicode MS" w:hint="eastAsia"/>
          <w:bCs/>
          <w:szCs w:val="21"/>
        </w:rPr>
        <w:t>、同一债券同时在两个或两个以上市场交易的，按债券所处的市场分别估值。</w:t>
      </w:r>
    </w:p>
    <w:p w:rsidR="004C06C5" w:rsidRDefault="00ED474B">
      <w:pPr>
        <w:spacing w:line="360" w:lineRule="auto"/>
        <w:ind w:firstLineChars="200" w:firstLine="420"/>
        <w:rPr>
          <w:rFonts w:ascii="Arial Unicode MS" w:hAnsi="Arial Unicode MS"/>
          <w:bCs/>
          <w:szCs w:val="21"/>
        </w:rPr>
      </w:pPr>
      <w:r>
        <w:rPr>
          <w:rFonts w:ascii="Arial Unicode MS" w:hAnsi="Arial Unicode MS" w:hint="eastAsia"/>
          <w:bCs/>
          <w:szCs w:val="21"/>
        </w:rPr>
        <w:t>5</w:t>
      </w:r>
      <w:r>
        <w:rPr>
          <w:rFonts w:ascii="Arial Unicode MS" w:hAnsi="Arial Unicode MS" w:hint="eastAsia"/>
          <w:bCs/>
          <w:szCs w:val="21"/>
        </w:rPr>
        <w:t>、中小企业私募债券，采用估值技术确定公允价值。在估值技术难以可靠计量公允价值的情况下，按成本估值。</w:t>
      </w:r>
    </w:p>
    <w:p w:rsidR="004C06C5" w:rsidRDefault="00ED474B">
      <w:pPr>
        <w:spacing w:line="360" w:lineRule="auto"/>
        <w:ind w:firstLineChars="200" w:firstLine="420"/>
        <w:rPr>
          <w:rFonts w:ascii="Arial Unicode MS" w:hAnsi="Arial Unicode MS"/>
          <w:bCs/>
          <w:szCs w:val="21"/>
        </w:rPr>
      </w:pPr>
      <w:r>
        <w:rPr>
          <w:rFonts w:ascii="Arial Unicode MS" w:hAnsi="Arial Unicode MS" w:hint="eastAsia"/>
          <w:bCs/>
          <w:szCs w:val="21"/>
        </w:rPr>
        <w:t>6</w:t>
      </w:r>
      <w:r>
        <w:rPr>
          <w:rFonts w:ascii="Arial Unicode MS" w:hAnsi="Arial Unicode MS" w:hint="eastAsia"/>
          <w:bCs/>
          <w:szCs w:val="21"/>
        </w:rPr>
        <w:t>、国债期货合约按照结算价估值，如估值日无结算价且最近交易日后经济环境未发生重大变化，按最近交易日结算价估值。</w:t>
      </w:r>
    </w:p>
    <w:p w:rsidR="004C06C5" w:rsidRDefault="00ED474B">
      <w:pPr>
        <w:autoSpaceDE w:val="0"/>
        <w:autoSpaceDN w:val="0"/>
        <w:spacing w:line="360" w:lineRule="auto"/>
        <w:ind w:firstLineChars="200" w:firstLine="420"/>
        <w:textAlignment w:val="bottom"/>
        <w:rPr>
          <w:rFonts w:asciiTheme="minorEastAsia" w:eastAsiaTheme="minorEastAsia" w:hAnsiTheme="minorEastAsia"/>
          <w:bCs/>
          <w:szCs w:val="21"/>
        </w:rPr>
      </w:pPr>
      <w:r>
        <w:rPr>
          <w:rFonts w:asciiTheme="minorEastAsia" w:eastAsiaTheme="minorEastAsia" w:hAnsiTheme="minorEastAsia"/>
          <w:bCs/>
          <w:szCs w:val="21"/>
        </w:rPr>
        <w:t>7</w:t>
      </w:r>
      <w:r>
        <w:rPr>
          <w:rFonts w:asciiTheme="minorEastAsia" w:eastAsiaTheme="minorEastAsia" w:hAnsiTheme="minorEastAsia" w:hint="eastAsia"/>
          <w:bCs/>
          <w:szCs w:val="21"/>
        </w:rPr>
        <w:t>、 当本基金发生大额申购或赎回情形时，基金管理人可以对本基金采用摆动定价机制，以确保基金估值的公平性。</w:t>
      </w:r>
    </w:p>
    <w:p w:rsidR="004C06C5" w:rsidRDefault="00ED474B">
      <w:pPr>
        <w:spacing w:line="360" w:lineRule="auto"/>
        <w:ind w:firstLineChars="200" w:firstLine="420"/>
        <w:rPr>
          <w:rFonts w:ascii="Arial Unicode MS" w:hAnsi="Arial Unicode MS"/>
          <w:bCs/>
          <w:szCs w:val="21"/>
        </w:rPr>
      </w:pPr>
      <w:r>
        <w:rPr>
          <w:rFonts w:ascii="Arial Unicode MS" w:hAnsi="Arial Unicode MS"/>
          <w:bCs/>
          <w:szCs w:val="21"/>
        </w:rPr>
        <w:t>8</w:t>
      </w:r>
      <w:r>
        <w:rPr>
          <w:rFonts w:ascii="Arial Unicode MS" w:hAnsi="Arial Unicode MS" w:hint="eastAsia"/>
          <w:bCs/>
          <w:szCs w:val="21"/>
        </w:rPr>
        <w:t>、如有确凿证据表明按上述方法进行估值不能客观反映其公允价值的，基金管理人可根据具体情况与基金托管人商定后，按最能反映公允价值的价格估值。</w:t>
      </w:r>
    </w:p>
    <w:p w:rsidR="004C06C5" w:rsidRDefault="00ED474B">
      <w:pPr>
        <w:spacing w:line="360" w:lineRule="auto"/>
        <w:ind w:firstLineChars="200" w:firstLine="420"/>
        <w:rPr>
          <w:rFonts w:ascii="Arial Unicode MS" w:hAnsi="Arial Unicode MS"/>
          <w:bCs/>
          <w:szCs w:val="21"/>
        </w:rPr>
      </w:pPr>
      <w:r>
        <w:rPr>
          <w:rFonts w:ascii="Arial Unicode MS" w:hAnsi="Arial Unicode MS"/>
          <w:bCs/>
          <w:szCs w:val="21"/>
        </w:rPr>
        <w:t>9</w:t>
      </w:r>
      <w:r>
        <w:rPr>
          <w:rFonts w:ascii="Arial Unicode MS" w:hAnsi="Arial Unicode MS" w:hint="eastAsia"/>
          <w:bCs/>
          <w:szCs w:val="21"/>
        </w:rPr>
        <w:t>、相关法律法规以及监管部门有强制规定的，从其规定。如有新增事项，按国家最新规定估值。</w:t>
      </w:r>
    </w:p>
    <w:p w:rsidR="004C06C5" w:rsidRDefault="00ED474B">
      <w:pPr>
        <w:spacing w:line="360" w:lineRule="auto"/>
        <w:ind w:firstLineChars="200" w:firstLine="420"/>
        <w:rPr>
          <w:rFonts w:ascii="Arial Unicode MS" w:hAnsi="Arial Unicode MS"/>
          <w:bCs/>
          <w:szCs w:val="21"/>
        </w:rPr>
      </w:pPr>
      <w:r>
        <w:rPr>
          <w:rFonts w:ascii="Arial Unicode MS" w:hAnsi="Arial Unicode MS" w:hint="eastAsia"/>
          <w:bCs/>
          <w:szCs w:val="21"/>
        </w:rPr>
        <w:t>如基金管理人或基金托管人发现基金估值违反基金合同订明的估值方法、程序及相关法律法规的规定或者未能充分维护基金份额持有人利益时，应立即通知对方，共同查明原因，双方协商解决。</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hint="eastAsia"/>
          <w:bCs/>
          <w:szCs w:val="21"/>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rsidR="004C06C5" w:rsidRDefault="00ED474B">
      <w:pPr>
        <w:spacing w:line="360" w:lineRule="auto"/>
        <w:ind w:firstLineChars="200" w:firstLine="422"/>
        <w:rPr>
          <w:rFonts w:ascii="Arial Unicode MS" w:hAnsi="Arial Unicode MS"/>
          <w:b/>
          <w:bCs/>
          <w:szCs w:val="21"/>
        </w:rPr>
      </w:pPr>
      <w:r>
        <w:rPr>
          <w:rFonts w:ascii="Arial Unicode MS" w:hAnsi="Arial Unicode MS"/>
          <w:b/>
          <w:bCs/>
          <w:szCs w:val="21"/>
        </w:rPr>
        <w:t>四、估值程序</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、各类基金份额净值是按照每个工作日闭市后，基金资产净值除以当日该类基金份额的余额数量计算，精确到</w:t>
      </w:r>
      <w:r>
        <w:rPr>
          <w:rFonts w:ascii="Arial Unicode MS" w:hAnsi="Arial Unicode MS" w:cs="Arial" w:hint="eastAsia"/>
          <w:kern w:val="0"/>
          <w:szCs w:val="21"/>
        </w:rPr>
        <w:t>0.0001</w:t>
      </w:r>
      <w:r>
        <w:rPr>
          <w:rFonts w:ascii="Arial Unicode MS" w:hAnsi="Arial Unicode MS" w:cs="Arial" w:hint="eastAsia"/>
          <w:kern w:val="0"/>
          <w:szCs w:val="21"/>
        </w:rPr>
        <w:t>元，小数点后第</w:t>
      </w:r>
      <w:r>
        <w:rPr>
          <w:rFonts w:ascii="Arial Unicode MS" w:hAnsi="Arial Unicode MS" w:cs="Arial" w:hint="eastAsia"/>
          <w:kern w:val="0"/>
          <w:szCs w:val="21"/>
        </w:rPr>
        <w:t>5</w:t>
      </w:r>
      <w:r>
        <w:rPr>
          <w:rFonts w:ascii="Arial Unicode MS" w:hAnsi="Arial Unicode MS" w:cs="Arial" w:hint="eastAsia"/>
          <w:kern w:val="0"/>
          <w:szCs w:val="21"/>
        </w:rPr>
        <w:t>位四舍五入。国家另有规定的，从其规定。</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基金管理人每个工作日计算基金资产净值及各类基金份额净值，并按规定公告。</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、基金管理人</w:t>
      </w:r>
      <w:proofErr w:type="gramStart"/>
      <w:r>
        <w:rPr>
          <w:rFonts w:ascii="Arial Unicode MS" w:hAnsi="Arial Unicode MS" w:cs="Arial" w:hint="eastAsia"/>
          <w:kern w:val="0"/>
          <w:szCs w:val="21"/>
        </w:rPr>
        <w:t>应每个</w:t>
      </w:r>
      <w:proofErr w:type="gramEnd"/>
      <w:r>
        <w:rPr>
          <w:rFonts w:ascii="Arial Unicode MS" w:hAnsi="Arial Unicode MS" w:cs="Arial" w:hint="eastAsia"/>
          <w:kern w:val="0"/>
          <w:szCs w:val="21"/>
        </w:rPr>
        <w:t>工作日对基金资产估值。但基金管理人根据法律法规或基金合同的规定暂停估值时除外。基金管理人每个工作日对基金资产估值后，将各类基金份额净值结果发送基金托管人，经基金托管人复核无误后，由基金管理人按规定对外公布。</w:t>
      </w:r>
    </w:p>
    <w:p w:rsidR="004C06C5" w:rsidRDefault="00ED474B">
      <w:pPr>
        <w:spacing w:line="360" w:lineRule="auto"/>
        <w:ind w:firstLineChars="200" w:firstLine="422"/>
        <w:rPr>
          <w:rFonts w:ascii="Arial Unicode MS" w:hAnsi="Arial Unicode MS"/>
          <w:b/>
          <w:bCs/>
          <w:szCs w:val="21"/>
        </w:rPr>
      </w:pPr>
      <w:r>
        <w:rPr>
          <w:rFonts w:ascii="Arial Unicode MS" w:hAnsi="Arial Unicode MS"/>
          <w:b/>
          <w:bCs/>
          <w:szCs w:val="21"/>
        </w:rPr>
        <w:t>五、估值错误的处理</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基金管理人和基金托管人将采取必要、适当、合理的措施确保基金资产估值的准确性、及时性。当任一类基金份额净值小数点后</w:t>
      </w:r>
      <w:r>
        <w:rPr>
          <w:rFonts w:ascii="Arial Unicode MS" w:hAnsi="Arial Unicode MS" w:cs="Arial" w:hint="eastAsia"/>
          <w:kern w:val="0"/>
          <w:szCs w:val="21"/>
        </w:rPr>
        <w:t>4</w:t>
      </w:r>
      <w:r>
        <w:rPr>
          <w:rFonts w:ascii="Arial Unicode MS" w:hAnsi="Arial Unicode MS" w:cs="Arial" w:hint="eastAsia"/>
          <w:kern w:val="0"/>
          <w:szCs w:val="21"/>
        </w:rPr>
        <w:t>位以内</w:t>
      </w:r>
      <w:r>
        <w:rPr>
          <w:rFonts w:ascii="Arial Unicode MS" w:hAnsi="Arial Unicode MS" w:cs="Arial" w:hint="eastAsia"/>
          <w:kern w:val="0"/>
          <w:szCs w:val="21"/>
        </w:rPr>
        <w:t>(</w:t>
      </w:r>
      <w:r>
        <w:rPr>
          <w:rFonts w:ascii="Arial Unicode MS" w:hAnsi="Arial Unicode MS" w:cs="Arial" w:hint="eastAsia"/>
          <w:kern w:val="0"/>
          <w:szCs w:val="21"/>
        </w:rPr>
        <w:t>含第</w:t>
      </w:r>
      <w:r>
        <w:rPr>
          <w:rFonts w:ascii="Arial Unicode MS" w:hAnsi="Arial Unicode MS" w:cs="Arial" w:hint="eastAsia"/>
          <w:kern w:val="0"/>
          <w:szCs w:val="21"/>
        </w:rPr>
        <w:t>4</w:t>
      </w:r>
      <w:r>
        <w:rPr>
          <w:rFonts w:ascii="Arial Unicode MS" w:hAnsi="Arial Unicode MS" w:cs="Arial" w:hint="eastAsia"/>
          <w:kern w:val="0"/>
          <w:szCs w:val="21"/>
        </w:rPr>
        <w:t>位</w:t>
      </w:r>
      <w:r>
        <w:rPr>
          <w:rFonts w:ascii="Arial Unicode MS" w:hAnsi="Arial Unicode MS" w:cs="Arial" w:hint="eastAsia"/>
          <w:kern w:val="0"/>
          <w:szCs w:val="21"/>
        </w:rPr>
        <w:t>)</w:t>
      </w:r>
      <w:r>
        <w:rPr>
          <w:rFonts w:ascii="Arial Unicode MS" w:hAnsi="Arial Unicode MS" w:cs="Arial" w:hint="eastAsia"/>
          <w:kern w:val="0"/>
          <w:szCs w:val="21"/>
        </w:rPr>
        <w:t>发生估值错误时，视为该类基金份额净值错误。</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基金合同的当事人应按照以下约定处理：</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lastRenderedPageBreak/>
        <w:t>1</w:t>
      </w:r>
      <w:r>
        <w:rPr>
          <w:rFonts w:ascii="Arial Unicode MS" w:hAnsi="Arial Unicode MS" w:cs="Arial" w:hint="eastAsia"/>
          <w:kern w:val="0"/>
          <w:szCs w:val="21"/>
        </w:rPr>
        <w:t>、估值错误类型</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本基金运作过程中，如果由于基金管理人或基金托管人、或登记机构、或销售机构、或投资人自身的过错造成估值错误，导致其他当事人遭受损失的，过错的责任人应当对由于该估值错误遭受损失当事人</w:t>
      </w:r>
      <w:r>
        <w:rPr>
          <w:rFonts w:ascii="Arial Unicode MS" w:hAnsi="Arial Unicode MS" w:cs="Arial" w:hint="eastAsia"/>
          <w:kern w:val="0"/>
          <w:szCs w:val="21"/>
        </w:rPr>
        <w:t>(</w:t>
      </w:r>
      <w:r>
        <w:rPr>
          <w:rFonts w:ascii="Arial Unicode MS" w:hAnsi="Arial Unicode MS" w:cs="Arial" w:hint="eastAsia"/>
          <w:kern w:val="0"/>
          <w:szCs w:val="21"/>
        </w:rPr>
        <w:t>“受损方”</w:t>
      </w:r>
      <w:r>
        <w:rPr>
          <w:rFonts w:ascii="Arial Unicode MS" w:hAnsi="Arial Unicode MS" w:cs="Arial" w:hint="eastAsia"/>
          <w:kern w:val="0"/>
          <w:szCs w:val="21"/>
        </w:rPr>
        <w:t>)</w:t>
      </w:r>
      <w:r>
        <w:rPr>
          <w:rFonts w:ascii="Arial Unicode MS" w:hAnsi="Arial Unicode MS" w:cs="Arial" w:hint="eastAsia"/>
          <w:kern w:val="0"/>
          <w:szCs w:val="21"/>
        </w:rPr>
        <w:t>的直接损失按下述“估值错误处理原则”给予赔偿，承担赔偿责任。</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上述估值错误的主要类型包括但不限于：资料申报差错、数据传输差错、数据计算差错、系统故障差错、下达指令差错等。</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、估值错误处理原则</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hint="eastAsia"/>
          <w:kern w:val="0"/>
          <w:szCs w:val="21"/>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）估值错误的责任方对有关当事人的直接损失负责，不对间接损失负责，并且仅对估值错误的有关直接当事人负责，不对第三方负责。</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3</w:t>
      </w:r>
      <w:r>
        <w:rPr>
          <w:rFonts w:ascii="Arial Unicode MS" w:hAnsi="Arial Unicode MS" w:cs="Arial" w:hint="eastAsia"/>
          <w:kern w:val="0"/>
          <w:szCs w:val="21"/>
        </w:rPr>
        <w:t>）因估值错误而获得不当得利的当事人负有及时返还不当得利的义务。但估值错误责任方仍应对估值错误负责。如果由于获得不当得利的当事人</w:t>
      </w:r>
      <w:proofErr w:type="gramStart"/>
      <w:r>
        <w:rPr>
          <w:rFonts w:ascii="Arial Unicode MS" w:hAnsi="Arial Unicode MS" w:cs="Arial" w:hint="eastAsia"/>
          <w:kern w:val="0"/>
          <w:szCs w:val="21"/>
        </w:rPr>
        <w:t>不</w:t>
      </w:r>
      <w:proofErr w:type="gramEnd"/>
      <w:r>
        <w:rPr>
          <w:rFonts w:ascii="Arial Unicode MS" w:hAnsi="Arial Unicode MS" w:cs="Arial" w:hint="eastAsia"/>
          <w:kern w:val="0"/>
          <w:szCs w:val="21"/>
        </w:rPr>
        <w:t>返还或不全部返还不当得利造成其他当事人的利益损失</w:t>
      </w:r>
      <w:r>
        <w:rPr>
          <w:rFonts w:ascii="Arial Unicode MS" w:hAnsi="Arial Unicode MS" w:cs="Arial" w:hint="eastAsia"/>
          <w:kern w:val="0"/>
          <w:szCs w:val="21"/>
        </w:rPr>
        <w:t>(</w:t>
      </w:r>
      <w:r>
        <w:rPr>
          <w:rFonts w:ascii="Arial Unicode MS" w:hAnsi="Arial Unicode MS" w:cs="Arial" w:hint="eastAsia"/>
          <w:kern w:val="0"/>
          <w:szCs w:val="21"/>
        </w:rPr>
        <w:t>“受损方”</w:t>
      </w:r>
      <w:r>
        <w:rPr>
          <w:rFonts w:ascii="Arial Unicode MS" w:hAnsi="Arial Unicode MS" w:cs="Arial" w:hint="eastAsia"/>
          <w:kern w:val="0"/>
          <w:szCs w:val="21"/>
        </w:rPr>
        <w:t>)</w:t>
      </w:r>
      <w:r>
        <w:rPr>
          <w:rFonts w:ascii="Arial Unicode MS" w:hAnsi="Arial Unicode MS" w:cs="Arial" w:hint="eastAsia"/>
          <w:kern w:val="0"/>
          <w:szCs w:val="21"/>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4</w:t>
      </w:r>
      <w:r>
        <w:rPr>
          <w:rFonts w:ascii="Arial Unicode MS" w:hAnsi="Arial Unicode MS" w:cs="Arial" w:hint="eastAsia"/>
          <w:kern w:val="0"/>
          <w:szCs w:val="21"/>
        </w:rPr>
        <w:t>）估值错误调整采用尽量恢复至假设未发生估值错误的正确情形的方式。</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3</w:t>
      </w:r>
      <w:r>
        <w:rPr>
          <w:rFonts w:ascii="Arial Unicode MS" w:hAnsi="Arial Unicode MS" w:cs="Arial" w:hint="eastAsia"/>
          <w:kern w:val="0"/>
          <w:szCs w:val="21"/>
        </w:rPr>
        <w:t>、估值错误处理程序</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估值错误被发现后，有关的当事人应当及时进行处理，处理的程序如下：</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hint="eastAsia"/>
          <w:kern w:val="0"/>
          <w:szCs w:val="21"/>
        </w:rPr>
        <w:t>）查明估值错误发生的原因，列明所有的当事人，并根据估值错误发生的原因确定估值错误的责任方；</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）根据估值错误处理原则或当事人协商的方法对因估值错误造成的损失进行评估；</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3</w:t>
      </w:r>
      <w:r>
        <w:rPr>
          <w:rFonts w:ascii="Arial Unicode MS" w:hAnsi="Arial Unicode MS" w:cs="Arial" w:hint="eastAsia"/>
          <w:kern w:val="0"/>
          <w:szCs w:val="21"/>
        </w:rPr>
        <w:t>）根据估值错误处理原则或当事人协商的方法由估值错误的责任方进行更正和赔偿损失；</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lastRenderedPageBreak/>
        <w:t>（</w:t>
      </w:r>
      <w:r>
        <w:rPr>
          <w:rFonts w:ascii="Arial Unicode MS" w:hAnsi="Arial Unicode MS" w:cs="Arial" w:hint="eastAsia"/>
          <w:kern w:val="0"/>
          <w:szCs w:val="21"/>
        </w:rPr>
        <w:t>4</w:t>
      </w:r>
      <w:r>
        <w:rPr>
          <w:rFonts w:ascii="Arial Unicode MS" w:hAnsi="Arial Unicode MS" w:cs="Arial" w:hint="eastAsia"/>
          <w:kern w:val="0"/>
          <w:szCs w:val="21"/>
        </w:rPr>
        <w:t>）根据估值错误处理的方法，需要修改基金登记机构交易数据的，由基金登记机构进行更正，并就估值错误的更正向有关当事人进行确认。</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4</w:t>
      </w:r>
      <w:r>
        <w:rPr>
          <w:rFonts w:ascii="Arial Unicode MS" w:hAnsi="Arial Unicode MS" w:cs="Arial" w:hint="eastAsia"/>
          <w:kern w:val="0"/>
          <w:szCs w:val="21"/>
        </w:rPr>
        <w:t>、基金份额净值估值错误处理的方法如下：</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hint="eastAsia"/>
          <w:kern w:val="0"/>
          <w:szCs w:val="21"/>
        </w:rPr>
        <w:t>）基金份额净值计算出现错误时，基金管理人应当立即予以纠正，通报基金托管人，并采取合理的措施防止损失进一步扩大。</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）错误偏差达到该类基金份额净值的</w:t>
      </w:r>
      <w:r>
        <w:rPr>
          <w:rFonts w:ascii="Arial Unicode MS" w:hAnsi="Arial Unicode MS" w:cs="Arial" w:hint="eastAsia"/>
          <w:kern w:val="0"/>
          <w:szCs w:val="21"/>
        </w:rPr>
        <w:t>0.25%</w:t>
      </w:r>
      <w:r>
        <w:rPr>
          <w:rFonts w:ascii="Arial Unicode MS" w:hAnsi="Arial Unicode MS" w:cs="Arial" w:hint="eastAsia"/>
          <w:kern w:val="0"/>
          <w:szCs w:val="21"/>
        </w:rPr>
        <w:t>时，基金管理人应当通报基金托管人并报中国证监会备案；错误偏差达到该类基金份额净值的</w:t>
      </w:r>
      <w:r>
        <w:rPr>
          <w:rFonts w:ascii="Arial Unicode MS" w:hAnsi="Arial Unicode MS" w:cs="Arial" w:hint="eastAsia"/>
          <w:kern w:val="0"/>
          <w:szCs w:val="21"/>
        </w:rPr>
        <w:t>0.5%</w:t>
      </w:r>
      <w:r>
        <w:rPr>
          <w:rFonts w:ascii="Arial Unicode MS" w:hAnsi="Arial Unicode MS" w:cs="Arial" w:hint="eastAsia"/>
          <w:kern w:val="0"/>
          <w:szCs w:val="21"/>
        </w:rPr>
        <w:t>时，基金管理人应当公告。</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3</w:t>
      </w:r>
      <w:r>
        <w:rPr>
          <w:rFonts w:ascii="Arial Unicode MS" w:hAnsi="Arial Unicode MS" w:cs="Arial" w:hint="eastAsia"/>
          <w:kern w:val="0"/>
          <w:szCs w:val="21"/>
        </w:rPr>
        <w:t>）前述内容如法律法规或监管机关另有规定的，从其规定处理。</w:t>
      </w:r>
    </w:p>
    <w:p w:rsidR="004C06C5" w:rsidRDefault="00ED474B">
      <w:pPr>
        <w:spacing w:line="360" w:lineRule="auto"/>
        <w:ind w:firstLineChars="200" w:firstLine="422"/>
        <w:rPr>
          <w:rFonts w:ascii="Arial Unicode MS" w:hAnsi="Arial Unicode MS"/>
          <w:b/>
          <w:bCs/>
          <w:szCs w:val="21"/>
        </w:rPr>
      </w:pPr>
      <w:r>
        <w:rPr>
          <w:rFonts w:ascii="Arial Unicode MS" w:hAnsi="Arial Unicode MS"/>
          <w:b/>
          <w:bCs/>
          <w:szCs w:val="21"/>
        </w:rPr>
        <w:t>六、暂停估值的情形</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、基金投资所涉及的证券交易市场遇法定节假日或因其他原因暂停营业时；</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、因不可抗力致使基金管理人、基金托管人无法准确评估基金资产价值时；</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3</w:t>
      </w:r>
      <w:r>
        <w:rPr>
          <w:rFonts w:ascii="Arial Unicode MS" w:hAnsi="Arial Unicode MS" w:cs="Arial" w:hint="eastAsia"/>
          <w:kern w:val="0"/>
          <w:szCs w:val="21"/>
        </w:rPr>
        <w:t>、当前一估值日基金资产净值</w:t>
      </w:r>
      <w:r>
        <w:rPr>
          <w:rFonts w:ascii="Arial Unicode MS" w:hAnsi="Arial Unicode MS" w:cs="Arial" w:hint="eastAsia"/>
          <w:kern w:val="0"/>
          <w:szCs w:val="21"/>
        </w:rPr>
        <w:t xml:space="preserve"> 50%</w:t>
      </w:r>
      <w:r>
        <w:rPr>
          <w:rFonts w:ascii="Arial Unicode MS" w:hAnsi="Arial Unicode MS" w:cs="Arial" w:hint="eastAsia"/>
          <w:kern w:val="0"/>
          <w:szCs w:val="21"/>
        </w:rPr>
        <w:t>以上的资产出现无可参考的活跃市场价格且采用估值技术</w:t>
      </w:r>
      <w:proofErr w:type="gramStart"/>
      <w:r>
        <w:rPr>
          <w:rFonts w:ascii="Arial Unicode MS" w:hAnsi="Arial Unicode MS" w:cs="Arial" w:hint="eastAsia"/>
          <w:kern w:val="0"/>
          <w:szCs w:val="21"/>
        </w:rPr>
        <w:t>仍导致</w:t>
      </w:r>
      <w:proofErr w:type="gramEnd"/>
      <w:r>
        <w:rPr>
          <w:rFonts w:ascii="Arial Unicode MS" w:hAnsi="Arial Unicode MS" w:cs="Arial" w:hint="eastAsia"/>
          <w:kern w:val="0"/>
          <w:szCs w:val="21"/>
        </w:rPr>
        <w:t>公允价值存在重大不确定性时，经与基金托管人协商一致的；</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4</w:t>
      </w:r>
      <w:r>
        <w:rPr>
          <w:rFonts w:ascii="Arial Unicode MS" w:hAnsi="Arial Unicode MS" w:cs="Arial" w:hint="eastAsia"/>
          <w:kern w:val="0"/>
          <w:szCs w:val="21"/>
        </w:rPr>
        <w:t>、中国证监会和基金合同认定的其它情形。</w:t>
      </w:r>
    </w:p>
    <w:p w:rsidR="004C06C5" w:rsidRDefault="00ED474B">
      <w:pPr>
        <w:spacing w:line="360" w:lineRule="auto"/>
        <w:ind w:firstLineChars="200" w:firstLine="422"/>
        <w:rPr>
          <w:rFonts w:ascii="Arial Unicode MS" w:hAnsi="Arial Unicode MS"/>
          <w:b/>
          <w:bCs/>
          <w:szCs w:val="21"/>
        </w:rPr>
      </w:pPr>
      <w:r>
        <w:rPr>
          <w:rFonts w:ascii="Arial Unicode MS" w:hAnsi="Arial Unicode MS"/>
          <w:b/>
          <w:bCs/>
          <w:szCs w:val="21"/>
        </w:rPr>
        <w:t>七、基金净值的确认</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用于基金信息披露的基金资产净值和各类基金份额净值由基金管理人负责计算，基金托管人负责进行复核。基金管理人应于每个工作日交易结束后计算当日的基金资产净值和各类基金份额净值并发送给基金托管人。基金托管人对净值计算结果复核确认后发送给基金管理人，由基金管理人按规定对基金净值予以公布。</w:t>
      </w:r>
    </w:p>
    <w:p w:rsidR="004C06C5" w:rsidRDefault="00ED474B">
      <w:pPr>
        <w:adjustRightInd w:val="0"/>
        <w:snapToGrid w:val="0"/>
        <w:spacing w:line="360" w:lineRule="auto"/>
        <w:ind w:firstLineChars="200" w:firstLine="422"/>
        <w:rPr>
          <w:rFonts w:ascii="Arial Unicode MS" w:hAnsi="Arial Unicode MS" w:cs="Arial"/>
          <w:b/>
          <w:kern w:val="0"/>
          <w:szCs w:val="21"/>
        </w:rPr>
      </w:pPr>
      <w:r>
        <w:rPr>
          <w:rFonts w:ascii="Arial Unicode MS" w:hAnsi="Arial Unicode MS" w:cs="Arial" w:hint="eastAsia"/>
          <w:b/>
          <w:kern w:val="0"/>
          <w:szCs w:val="21"/>
        </w:rPr>
        <w:t>八、特殊情况的处理</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、基金管理人或基金托管人按估值方法的第</w:t>
      </w:r>
      <w:r>
        <w:rPr>
          <w:rFonts w:ascii="Arial Unicode MS" w:hAnsi="Arial Unicode MS" w:cs="Arial" w:hint="eastAsia"/>
          <w:kern w:val="0"/>
          <w:szCs w:val="21"/>
        </w:rPr>
        <w:t>8</w:t>
      </w:r>
      <w:r>
        <w:rPr>
          <w:rFonts w:ascii="Arial Unicode MS" w:hAnsi="Arial Unicode MS" w:cs="Arial" w:hint="eastAsia"/>
          <w:kern w:val="0"/>
          <w:szCs w:val="21"/>
        </w:rPr>
        <w:t>项进行估值时，所造成的误差不作为基金资产估值错误处理。</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由于不可抗力原因，或由于证券、期货交易所及登记结算公司发送的数据错误，或国家会计政策变更、市场规则变更等，基金管理人和基金托管人虽然已经采取必要、适当、合理的措施进行检查，但未能发现错误的，由此造成的基金资产估值错误，基金管理人和基金托管人免除赔偿责任。但基金管理人、基金托管人应当积极采取必要的措施消除或减轻由此造成的影响。</w:t>
      </w:r>
    </w:p>
    <w:p w:rsidR="004C06C5" w:rsidRDefault="004C06C5">
      <w:pPr>
        <w:adjustRightInd w:val="0"/>
        <w:snapToGrid w:val="0"/>
        <w:spacing w:line="360" w:lineRule="auto"/>
        <w:ind w:firstLineChars="200" w:firstLine="420"/>
        <w:rPr>
          <w:rFonts w:ascii="Arial Unicode MS" w:hAnsi="Arial Unicode MS" w:cs="Arial"/>
          <w:kern w:val="0"/>
          <w:szCs w:val="21"/>
        </w:rPr>
      </w:pPr>
    </w:p>
    <w:p w:rsidR="004C06C5" w:rsidRDefault="00ED474B">
      <w:pPr>
        <w:pStyle w:val="11"/>
        <w:snapToGrid w:val="0"/>
        <w:spacing w:before="0" w:after="0" w:line="360" w:lineRule="auto"/>
        <w:ind w:firstLine="480"/>
        <w:rPr>
          <w:lang w:val="en-US"/>
        </w:rPr>
      </w:pPr>
      <w:bookmarkStart w:id="83" w:name="_Toc317088149"/>
      <w:bookmarkStart w:id="84" w:name="_Toc320887651"/>
      <w:bookmarkStart w:id="85" w:name="_Toc317088546"/>
      <w:bookmarkStart w:id="86" w:name="_Toc1464067"/>
      <w:bookmarkStart w:id="87" w:name="_Toc335232700"/>
      <w:r>
        <w:rPr>
          <w:rFonts w:ascii="Arial Unicode MS" w:eastAsia="宋体" w:hAnsi="Arial Unicode MS" w:cs="Arial"/>
          <w:b/>
          <w:bCs/>
          <w:sz w:val="28"/>
          <w:szCs w:val="28"/>
        </w:rPr>
        <w:lastRenderedPageBreak/>
        <w:t>第十</w:t>
      </w:r>
      <w:r>
        <w:rPr>
          <w:rFonts w:ascii="Arial Unicode MS" w:eastAsia="宋体" w:hAnsi="Arial Unicode MS" w:cs="Arial" w:hint="eastAsia"/>
          <w:b/>
          <w:bCs/>
          <w:sz w:val="28"/>
          <w:szCs w:val="28"/>
        </w:rPr>
        <w:t>二</w:t>
      </w:r>
      <w:r>
        <w:rPr>
          <w:rFonts w:ascii="Arial Unicode MS" w:eastAsia="宋体" w:hAnsi="Arial Unicode MS" w:cs="Arial"/>
          <w:b/>
          <w:bCs/>
          <w:sz w:val="28"/>
          <w:szCs w:val="28"/>
        </w:rPr>
        <w:t>部分</w:t>
      </w:r>
      <w:r>
        <w:rPr>
          <w:rFonts w:ascii="Arial Unicode MS" w:hAnsi="Arial Unicode MS" w:cs="Arial"/>
          <w:b/>
          <w:bCs/>
          <w:sz w:val="28"/>
          <w:szCs w:val="28"/>
          <w:lang w:val="en-US"/>
        </w:rPr>
        <w:t xml:space="preserve"> </w:t>
      </w:r>
      <w:bookmarkEnd w:id="81"/>
      <w:r>
        <w:rPr>
          <w:rFonts w:ascii="Arial Unicode MS" w:eastAsia="宋体" w:hAnsi="Arial Unicode MS" w:cs="Arial"/>
          <w:b/>
          <w:bCs/>
          <w:sz w:val="28"/>
          <w:szCs w:val="28"/>
        </w:rPr>
        <w:t>基金的收益</w:t>
      </w:r>
      <w:r>
        <w:rPr>
          <w:rFonts w:ascii="Arial Unicode MS" w:eastAsia="宋体" w:hAnsi="Arial Unicode MS" w:cs="Arial" w:hint="eastAsia"/>
          <w:b/>
          <w:bCs/>
          <w:sz w:val="28"/>
          <w:szCs w:val="28"/>
        </w:rPr>
        <w:t>与</w:t>
      </w:r>
      <w:r>
        <w:rPr>
          <w:rFonts w:ascii="Arial Unicode MS" w:eastAsia="宋体" w:hAnsi="Arial Unicode MS" w:cs="Arial"/>
          <w:b/>
          <w:bCs/>
          <w:sz w:val="28"/>
          <w:szCs w:val="28"/>
        </w:rPr>
        <w:t>分配</w:t>
      </w:r>
      <w:bookmarkEnd w:id="82"/>
      <w:bookmarkEnd w:id="83"/>
      <w:bookmarkEnd w:id="84"/>
      <w:bookmarkEnd w:id="85"/>
      <w:bookmarkEnd w:id="86"/>
      <w:bookmarkEnd w:id="87"/>
    </w:p>
    <w:p w:rsidR="004C06C5" w:rsidRDefault="004C06C5">
      <w:pPr>
        <w:spacing w:line="360" w:lineRule="auto"/>
        <w:ind w:firstLineChars="200" w:firstLine="422"/>
        <w:rPr>
          <w:rFonts w:ascii="Arial Unicode MS" w:hAnsi="Arial Unicode MS"/>
          <w:b/>
          <w:bCs/>
          <w:szCs w:val="21"/>
        </w:rPr>
      </w:pPr>
    </w:p>
    <w:p w:rsidR="004C06C5" w:rsidRDefault="00ED474B">
      <w:pPr>
        <w:spacing w:line="360" w:lineRule="auto"/>
        <w:ind w:firstLineChars="200" w:firstLine="422"/>
        <w:rPr>
          <w:rFonts w:ascii="Arial Unicode MS" w:hAnsi="Arial Unicode MS"/>
          <w:b/>
          <w:bCs/>
          <w:szCs w:val="21"/>
        </w:rPr>
      </w:pPr>
      <w:r>
        <w:rPr>
          <w:rFonts w:ascii="Arial Unicode MS" w:hAnsi="Arial Unicode MS"/>
          <w:b/>
          <w:bCs/>
          <w:szCs w:val="21"/>
        </w:rPr>
        <w:t>一、基金利润的构成</w:t>
      </w:r>
    </w:p>
    <w:p w:rsidR="004C06C5" w:rsidRDefault="00ED474B">
      <w:pPr>
        <w:spacing w:line="360" w:lineRule="auto"/>
        <w:ind w:firstLineChars="200" w:firstLine="420"/>
        <w:rPr>
          <w:rFonts w:ascii="Arial Unicode MS" w:hAnsi="Arial Unicode MS"/>
          <w:bCs/>
          <w:szCs w:val="21"/>
        </w:rPr>
      </w:pPr>
      <w:r>
        <w:rPr>
          <w:rFonts w:ascii="Arial Unicode MS" w:hAnsi="Arial Unicode MS" w:hint="eastAsia"/>
          <w:bCs/>
          <w:szCs w:val="21"/>
        </w:rPr>
        <w:t>基金利润指基金利息收入、投资收益、公允价值变动收益和其他收入扣除相关费用后的余额，基金已实现收益指基金利润减去公允价值变动收益后的余额。</w:t>
      </w:r>
    </w:p>
    <w:p w:rsidR="004C06C5" w:rsidRDefault="00ED474B">
      <w:pPr>
        <w:spacing w:line="360" w:lineRule="auto"/>
        <w:ind w:firstLineChars="200" w:firstLine="422"/>
        <w:rPr>
          <w:rFonts w:ascii="Arial Unicode MS" w:hAnsi="Arial Unicode MS"/>
          <w:b/>
          <w:bCs/>
          <w:szCs w:val="21"/>
        </w:rPr>
      </w:pPr>
      <w:r>
        <w:rPr>
          <w:rFonts w:ascii="Arial Unicode MS" w:hAnsi="Arial Unicode MS" w:hint="eastAsia"/>
          <w:b/>
          <w:bCs/>
          <w:szCs w:val="21"/>
        </w:rPr>
        <w:t>二、基金可供分配利润</w:t>
      </w:r>
    </w:p>
    <w:p w:rsidR="004C06C5" w:rsidRDefault="00ED474B">
      <w:pPr>
        <w:spacing w:line="360" w:lineRule="auto"/>
        <w:ind w:firstLineChars="200" w:firstLine="420"/>
        <w:rPr>
          <w:rFonts w:ascii="Arial Unicode MS" w:hAnsi="Arial Unicode MS"/>
          <w:bCs/>
          <w:szCs w:val="21"/>
        </w:rPr>
      </w:pPr>
      <w:r>
        <w:rPr>
          <w:rFonts w:ascii="Arial Unicode MS" w:hAnsi="Arial Unicode MS" w:hint="eastAsia"/>
          <w:bCs/>
          <w:szCs w:val="21"/>
        </w:rPr>
        <w:t>基金可供分配利润指截至收益分配基准日基金未分配利润与未分配利润中已实现收益的孰低数。</w:t>
      </w:r>
    </w:p>
    <w:p w:rsidR="004C06C5" w:rsidRDefault="00ED474B">
      <w:pPr>
        <w:spacing w:line="360" w:lineRule="auto"/>
        <w:ind w:firstLineChars="200" w:firstLine="422"/>
        <w:rPr>
          <w:rFonts w:ascii="Arial Unicode MS" w:hAnsi="Arial Unicode MS"/>
          <w:b/>
          <w:bCs/>
          <w:szCs w:val="21"/>
        </w:rPr>
      </w:pPr>
      <w:r>
        <w:rPr>
          <w:rFonts w:ascii="Arial Unicode MS" w:hAnsi="Arial Unicode MS" w:hint="eastAsia"/>
          <w:b/>
          <w:bCs/>
          <w:szCs w:val="21"/>
        </w:rPr>
        <w:t>三</w:t>
      </w:r>
      <w:r>
        <w:rPr>
          <w:rFonts w:ascii="Arial Unicode MS" w:hAnsi="Arial Unicode MS"/>
          <w:b/>
          <w:bCs/>
          <w:szCs w:val="21"/>
        </w:rPr>
        <w:t>、基金收益分配原则</w:t>
      </w:r>
    </w:p>
    <w:p w:rsidR="004C06C5" w:rsidRDefault="00ED474B">
      <w:pPr>
        <w:spacing w:line="360" w:lineRule="auto"/>
        <w:ind w:firstLineChars="200" w:firstLine="420"/>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、本基金收益分配方式分两种：现金分红与红利再投资，投资者可选择现金红利或将现金红利自动转为相应类别的基金份额进行再投资，</w:t>
      </w:r>
      <w:proofErr w:type="gramStart"/>
      <w:r>
        <w:rPr>
          <w:rFonts w:ascii="Arial Unicode MS" w:hAnsi="Arial Unicode MS" w:hint="eastAsia"/>
          <w:bCs/>
          <w:szCs w:val="21"/>
        </w:rPr>
        <w:t>且基金</w:t>
      </w:r>
      <w:proofErr w:type="gramEnd"/>
      <w:r>
        <w:rPr>
          <w:rFonts w:ascii="Arial Unicode MS" w:hAnsi="Arial Unicode MS" w:hint="eastAsia"/>
          <w:bCs/>
          <w:szCs w:val="21"/>
        </w:rPr>
        <w:t>份额持有人可对</w:t>
      </w:r>
      <w:r>
        <w:rPr>
          <w:rFonts w:ascii="Arial Unicode MS" w:hAnsi="Arial Unicode MS" w:hint="eastAsia"/>
          <w:bCs/>
          <w:szCs w:val="21"/>
        </w:rPr>
        <w:t>A</w:t>
      </w:r>
      <w:r>
        <w:rPr>
          <w:rFonts w:ascii="Arial Unicode MS" w:hAnsi="Arial Unicode MS" w:hint="eastAsia"/>
          <w:bCs/>
          <w:szCs w:val="21"/>
        </w:rPr>
        <w:t>类、</w:t>
      </w:r>
      <w:r>
        <w:rPr>
          <w:rFonts w:ascii="Arial Unicode MS" w:hAnsi="Arial Unicode MS" w:hint="eastAsia"/>
          <w:bCs/>
          <w:szCs w:val="21"/>
        </w:rPr>
        <w:t>C</w:t>
      </w:r>
      <w:r>
        <w:rPr>
          <w:rFonts w:ascii="Arial Unicode MS" w:hAnsi="Arial Unicode MS" w:hint="eastAsia"/>
          <w:bCs/>
          <w:szCs w:val="21"/>
        </w:rPr>
        <w:t>类基金份额分别选择不同的分红方式；若投资者不选择，本基金默认的收益分配方式是现金分红；</w:t>
      </w:r>
    </w:p>
    <w:p w:rsidR="004C06C5" w:rsidRDefault="00ED474B">
      <w:pPr>
        <w:spacing w:line="360" w:lineRule="auto"/>
        <w:ind w:firstLineChars="200" w:firstLine="420"/>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、基金收益分配后各类基金份额净值不能低于面值，即基金收益分配基准日的各类基金份额净值减去每单位该类基金份额收益分配金额后不能低于面值；</w:t>
      </w:r>
    </w:p>
    <w:p w:rsidR="004C06C5" w:rsidRDefault="00ED474B">
      <w:pPr>
        <w:spacing w:line="360" w:lineRule="auto"/>
        <w:ind w:firstLineChars="200" w:firstLine="420"/>
        <w:rPr>
          <w:rFonts w:ascii="Arial Unicode MS" w:hAnsi="Arial Unicode MS"/>
          <w:bCs/>
          <w:szCs w:val="21"/>
        </w:rPr>
      </w:pPr>
      <w:r>
        <w:rPr>
          <w:rFonts w:ascii="Arial Unicode MS" w:hAnsi="Arial Unicode MS" w:hint="eastAsia"/>
          <w:bCs/>
          <w:szCs w:val="21"/>
        </w:rPr>
        <w:t>3</w:t>
      </w:r>
      <w:r>
        <w:rPr>
          <w:rFonts w:ascii="Arial Unicode MS" w:hAnsi="Arial Unicode MS" w:hint="eastAsia"/>
          <w:bCs/>
          <w:szCs w:val="21"/>
        </w:rPr>
        <w:t>、本基金各类基金份额在费用收取上不同，其对应的可分配收益可能有所不同。同一类别每一基金份额享有同等分配权；</w:t>
      </w:r>
    </w:p>
    <w:p w:rsidR="004C06C5" w:rsidRDefault="00ED474B">
      <w:pPr>
        <w:spacing w:line="360" w:lineRule="auto"/>
        <w:ind w:firstLineChars="200" w:firstLine="420"/>
        <w:rPr>
          <w:rFonts w:ascii="Arial Unicode MS" w:hAnsi="Arial Unicode MS"/>
          <w:bCs/>
          <w:szCs w:val="21"/>
        </w:rPr>
      </w:pPr>
      <w:r>
        <w:rPr>
          <w:rFonts w:ascii="Arial Unicode MS" w:hAnsi="Arial Unicode MS" w:hint="eastAsia"/>
          <w:bCs/>
          <w:szCs w:val="21"/>
        </w:rPr>
        <w:t>4</w:t>
      </w:r>
      <w:r>
        <w:rPr>
          <w:rFonts w:ascii="Arial Unicode MS" w:hAnsi="Arial Unicode MS" w:hint="eastAsia"/>
          <w:bCs/>
          <w:szCs w:val="21"/>
        </w:rPr>
        <w:t>、法律法规或监管机关另有规定的，从其规定。</w:t>
      </w:r>
    </w:p>
    <w:p w:rsidR="004C06C5" w:rsidRDefault="00ED474B">
      <w:pPr>
        <w:spacing w:line="360" w:lineRule="auto"/>
        <w:ind w:firstLineChars="200" w:firstLine="420"/>
        <w:rPr>
          <w:rFonts w:ascii="Arial Unicode MS" w:hAnsi="Arial Unicode MS"/>
          <w:bCs/>
          <w:szCs w:val="21"/>
        </w:rPr>
      </w:pPr>
      <w:r>
        <w:rPr>
          <w:rFonts w:ascii="Arial Unicode MS" w:hAnsi="Arial Unicode MS" w:hint="eastAsia"/>
          <w:bCs/>
          <w:szCs w:val="21"/>
        </w:rPr>
        <w:t>在符合法律法规及基金合同约定，并对基金份额持有人利益无实质不利影响的前提下，基金管理人可对基金收益分配原则和支付方式进行调整，不需召开基金份额持有人大会。</w:t>
      </w:r>
    </w:p>
    <w:p w:rsidR="004C06C5" w:rsidRDefault="00ED474B">
      <w:pPr>
        <w:spacing w:line="360" w:lineRule="auto"/>
        <w:ind w:firstLineChars="200" w:firstLine="422"/>
        <w:rPr>
          <w:rFonts w:ascii="Arial Unicode MS" w:hAnsi="Arial Unicode MS"/>
          <w:b/>
          <w:bCs/>
          <w:szCs w:val="21"/>
        </w:rPr>
      </w:pPr>
      <w:r>
        <w:rPr>
          <w:rFonts w:ascii="Arial Unicode MS" w:hAnsi="Arial Unicode MS" w:hint="eastAsia"/>
          <w:b/>
          <w:bCs/>
          <w:szCs w:val="21"/>
        </w:rPr>
        <w:t>四</w:t>
      </w:r>
      <w:r>
        <w:rPr>
          <w:rFonts w:ascii="Arial Unicode MS" w:hAnsi="Arial Unicode MS"/>
          <w:b/>
          <w:bCs/>
          <w:szCs w:val="21"/>
        </w:rPr>
        <w:t>、收益分配方案</w:t>
      </w:r>
    </w:p>
    <w:p w:rsidR="004C06C5" w:rsidRDefault="00ED474B">
      <w:pPr>
        <w:spacing w:line="360" w:lineRule="auto"/>
        <w:ind w:firstLineChars="200" w:firstLine="420"/>
        <w:rPr>
          <w:rFonts w:ascii="Arial Unicode MS" w:hAnsi="Arial Unicode MS"/>
          <w:bCs/>
          <w:szCs w:val="21"/>
        </w:rPr>
      </w:pPr>
      <w:r>
        <w:rPr>
          <w:rFonts w:ascii="Arial Unicode MS" w:hAnsi="Arial Unicode MS" w:hint="eastAsia"/>
          <w:bCs/>
          <w:szCs w:val="21"/>
        </w:rPr>
        <w:t>基金收益分配方案中应载明截止收益分配基准日的可供分配利润、基金收益分配对象、分配时间、分配数额及比例、分配方式等内容。</w:t>
      </w:r>
    </w:p>
    <w:p w:rsidR="004C06C5" w:rsidRDefault="00ED474B">
      <w:pPr>
        <w:spacing w:line="360" w:lineRule="auto"/>
        <w:ind w:firstLineChars="200" w:firstLine="422"/>
        <w:rPr>
          <w:rFonts w:ascii="Arial Unicode MS" w:hAnsi="Arial Unicode MS"/>
          <w:b/>
          <w:bCs/>
          <w:szCs w:val="21"/>
        </w:rPr>
      </w:pPr>
      <w:r>
        <w:rPr>
          <w:rFonts w:ascii="Arial Unicode MS" w:hAnsi="Arial Unicode MS" w:hint="eastAsia"/>
          <w:b/>
          <w:bCs/>
          <w:szCs w:val="21"/>
        </w:rPr>
        <w:t>五、收益分配方案的确定、公告与实施</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本基金收益分配方案由基金管理人拟定，并由基金托管人复核，</w:t>
      </w:r>
      <w:r>
        <w:rPr>
          <w:rFonts w:ascii="Arial Unicode MS" w:hAnsi="Arial Unicode MS" w:hint="eastAsia"/>
          <w:bCs/>
          <w:szCs w:val="21"/>
        </w:rPr>
        <w:t>依据相关规定在指定媒介公告</w:t>
      </w:r>
      <w:r>
        <w:rPr>
          <w:rFonts w:ascii="Arial Unicode MS" w:hAnsi="Arial Unicode MS" w:cs="Arial" w:hint="eastAsia"/>
          <w:kern w:val="0"/>
          <w:szCs w:val="21"/>
        </w:rPr>
        <w:t>。</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基金红利发放</w:t>
      </w:r>
      <w:proofErr w:type="gramStart"/>
      <w:r>
        <w:rPr>
          <w:rFonts w:ascii="Arial Unicode MS" w:hAnsi="Arial Unicode MS" w:cs="Arial" w:hint="eastAsia"/>
          <w:kern w:val="0"/>
          <w:szCs w:val="21"/>
        </w:rPr>
        <w:t>日距离</w:t>
      </w:r>
      <w:proofErr w:type="gramEnd"/>
      <w:r>
        <w:rPr>
          <w:rFonts w:ascii="Arial Unicode MS" w:hAnsi="Arial Unicode MS" w:cs="Arial" w:hint="eastAsia"/>
          <w:kern w:val="0"/>
          <w:szCs w:val="21"/>
        </w:rPr>
        <w:t>收益分配基准日（即可供分配利润计算截止日）的时间不得超过</w:t>
      </w:r>
      <w:r>
        <w:rPr>
          <w:rFonts w:ascii="Arial Unicode MS" w:hAnsi="Arial Unicode MS" w:cs="Arial" w:hint="eastAsia"/>
          <w:kern w:val="0"/>
          <w:szCs w:val="21"/>
        </w:rPr>
        <w:t>15</w:t>
      </w:r>
      <w:r>
        <w:rPr>
          <w:rFonts w:ascii="Arial Unicode MS" w:hAnsi="Arial Unicode MS" w:cs="Arial" w:hint="eastAsia"/>
          <w:kern w:val="0"/>
          <w:szCs w:val="21"/>
        </w:rPr>
        <w:t>个工作日。</w:t>
      </w:r>
    </w:p>
    <w:p w:rsidR="004C06C5" w:rsidRDefault="00ED474B">
      <w:pPr>
        <w:spacing w:line="360" w:lineRule="auto"/>
        <w:ind w:firstLineChars="200" w:firstLine="422"/>
        <w:rPr>
          <w:rFonts w:ascii="Arial Unicode MS" w:hAnsi="Arial Unicode MS"/>
          <w:b/>
          <w:bCs/>
          <w:szCs w:val="21"/>
        </w:rPr>
      </w:pPr>
      <w:r>
        <w:rPr>
          <w:rFonts w:ascii="Arial Unicode MS" w:hAnsi="Arial Unicode MS" w:hint="eastAsia"/>
          <w:b/>
          <w:bCs/>
          <w:szCs w:val="21"/>
        </w:rPr>
        <w:t>六、基金收益分配中发生的费用</w:t>
      </w:r>
    </w:p>
    <w:p w:rsidR="004C06C5" w:rsidRDefault="00ED474B">
      <w:pPr>
        <w:spacing w:line="360" w:lineRule="auto"/>
        <w:ind w:firstLineChars="200" w:firstLine="420"/>
        <w:rPr>
          <w:rFonts w:ascii="Arial Unicode MS" w:hAnsi="Arial Unicode MS"/>
          <w:bCs/>
          <w:szCs w:val="21"/>
        </w:rPr>
      </w:pPr>
      <w:r>
        <w:rPr>
          <w:rFonts w:ascii="Arial Unicode MS" w:hAnsi="Arial Unicode MS" w:hint="eastAsia"/>
          <w:bCs/>
          <w:szCs w:val="21"/>
        </w:rPr>
        <w:t>基金收益分配时所发生的银行转账或其他手续费用由投资者自行承担。当投资者的现金红利小于一定金额，不足以支付银行转账或其他手续费用时，基金登记机构可将基金份额持有人的现金红利自动转为相应类别的基金份额。红利再投资的计算方法，依照《业务规则》</w:t>
      </w:r>
      <w:r>
        <w:rPr>
          <w:rFonts w:ascii="Arial Unicode MS" w:hAnsi="Arial Unicode MS" w:hint="eastAsia"/>
          <w:bCs/>
          <w:szCs w:val="21"/>
        </w:rPr>
        <w:lastRenderedPageBreak/>
        <w:t>执行。</w:t>
      </w:r>
    </w:p>
    <w:p w:rsidR="004C06C5" w:rsidRDefault="004C06C5">
      <w:pPr>
        <w:spacing w:line="360" w:lineRule="auto"/>
        <w:ind w:firstLineChars="200" w:firstLine="420"/>
        <w:rPr>
          <w:rFonts w:ascii="Arial Unicode MS" w:hAnsi="Arial Unicode MS"/>
          <w:bCs/>
          <w:szCs w:val="21"/>
        </w:rPr>
      </w:pPr>
    </w:p>
    <w:p w:rsidR="004C06C5" w:rsidRDefault="004C06C5">
      <w:pPr>
        <w:spacing w:line="360" w:lineRule="auto"/>
        <w:ind w:firstLineChars="200" w:firstLine="420"/>
        <w:rPr>
          <w:rFonts w:ascii="Arial Unicode MS" w:hAnsi="Arial Unicode MS"/>
          <w:bCs/>
          <w:szCs w:val="21"/>
        </w:rPr>
      </w:pPr>
    </w:p>
    <w:p w:rsidR="004C06C5" w:rsidRDefault="004C06C5">
      <w:pPr>
        <w:spacing w:line="360" w:lineRule="auto"/>
        <w:ind w:firstLineChars="200" w:firstLine="420"/>
        <w:rPr>
          <w:rFonts w:ascii="Arial Unicode MS" w:hAnsi="Arial Unicode MS"/>
          <w:bCs/>
          <w:szCs w:val="21"/>
        </w:rPr>
      </w:pPr>
    </w:p>
    <w:p w:rsidR="004C06C5" w:rsidRDefault="004C06C5">
      <w:pPr>
        <w:spacing w:line="360" w:lineRule="auto"/>
        <w:ind w:firstLineChars="200" w:firstLine="420"/>
        <w:rPr>
          <w:rFonts w:ascii="Arial Unicode MS" w:hAnsi="Arial Unicode MS"/>
          <w:bCs/>
          <w:szCs w:val="21"/>
        </w:rPr>
      </w:pPr>
    </w:p>
    <w:p w:rsidR="004C06C5" w:rsidRDefault="004C06C5">
      <w:pPr>
        <w:spacing w:line="360" w:lineRule="auto"/>
        <w:ind w:firstLineChars="200" w:firstLine="420"/>
        <w:rPr>
          <w:rFonts w:ascii="Arial Unicode MS" w:hAnsi="Arial Unicode MS"/>
          <w:bCs/>
          <w:szCs w:val="21"/>
        </w:rPr>
      </w:pPr>
    </w:p>
    <w:p w:rsidR="004C06C5" w:rsidRDefault="004C06C5">
      <w:pPr>
        <w:spacing w:line="360" w:lineRule="auto"/>
        <w:ind w:firstLineChars="200" w:firstLine="420"/>
        <w:rPr>
          <w:rFonts w:ascii="Arial Unicode MS" w:hAnsi="Arial Unicode MS"/>
          <w:bCs/>
          <w:szCs w:val="21"/>
        </w:rPr>
      </w:pPr>
    </w:p>
    <w:p w:rsidR="004C06C5" w:rsidRDefault="004C06C5">
      <w:pPr>
        <w:spacing w:line="360" w:lineRule="auto"/>
        <w:ind w:firstLineChars="200" w:firstLine="420"/>
        <w:rPr>
          <w:rFonts w:ascii="Arial Unicode MS" w:hAnsi="Arial Unicode MS"/>
          <w:bCs/>
          <w:szCs w:val="21"/>
        </w:rPr>
      </w:pPr>
    </w:p>
    <w:p w:rsidR="004C06C5" w:rsidRDefault="004C06C5">
      <w:pPr>
        <w:spacing w:line="360" w:lineRule="auto"/>
        <w:ind w:firstLineChars="200" w:firstLine="420"/>
        <w:rPr>
          <w:rFonts w:ascii="Arial Unicode MS" w:hAnsi="Arial Unicode MS"/>
          <w:bCs/>
          <w:szCs w:val="21"/>
        </w:rPr>
      </w:pPr>
    </w:p>
    <w:p w:rsidR="004C06C5" w:rsidRDefault="004C06C5">
      <w:pPr>
        <w:spacing w:line="360" w:lineRule="auto"/>
        <w:ind w:firstLineChars="200" w:firstLine="420"/>
        <w:rPr>
          <w:rFonts w:ascii="Arial Unicode MS" w:hAnsi="Arial Unicode MS"/>
          <w:bCs/>
          <w:szCs w:val="21"/>
        </w:rPr>
      </w:pPr>
    </w:p>
    <w:p w:rsidR="004C06C5" w:rsidRDefault="004C06C5">
      <w:pPr>
        <w:spacing w:line="360" w:lineRule="auto"/>
        <w:ind w:firstLineChars="200" w:firstLine="420"/>
        <w:rPr>
          <w:rFonts w:ascii="Arial Unicode MS" w:hAnsi="Arial Unicode MS"/>
          <w:bCs/>
          <w:szCs w:val="21"/>
        </w:rPr>
      </w:pPr>
    </w:p>
    <w:p w:rsidR="004C06C5" w:rsidRDefault="004C06C5">
      <w:pPr>
        <w:spacing w:line="360" w:lineRule="auto"/>
        <w:ind w:firstLineChars="200" w:firstLine="420"/>
        <w:rPr>
          <w:rFonts w:ascii="Arial Unicode MS" w:hAnsi="Arial Unicode MS"/>
          <w:bCs/>
          <w:szCs w:val="21"/>
        </w:rPr>
      </w:pPr>
    </w:p>
    <w:p w:rsidR="004C06C5" w:rsidRDefault="004C06C5">
      <w:pPr>
        <w:spacing w:line="360" w:lineRule="auto"/>
        <w:ind w:firstLineChars="200" w:firstLine="420"/>
        <w:rPr>
          <w:rFonts w:ascii="Arial Unicode MS" w:hAnsi="Arial Unicode MS"/>
          <w:bCs/>
          <w:szCs w:val="21"/>
        </w:rPr>
      </w:pPr>
    </w:p>
    <w:p w:rsidR="004C06C5" w:rsidRDefault="004C06C5">
      <w:pPr>
        <w:spacing w:line="360" w:lineRule="auto"/>
        <w:ind w:firstLineChars="200" w:firstLine="420"/>
        <w:rPr>
          <w:rFonts w:ascii="Arial Unicode MS" w:hAnsi="Arial Unicode MS"/>
          <w:bCs/>
          <w:szCs w:val="21"/>
        </w:rPr>
      </w:pPr>
    </w:p>
    <w:p w:rsidR="004C06C5" w:rsidRDefault="004C06C5">
      <w:pPr>
        <w:spacing w:line="360" w:lineRule="auto"/>
        <w:ind w:firstLineChars="200" w:firstLine="420"/>
        <w:rPr>
          <w:rFonts w:ascii="Arial Unicode MS" w:hAnsi="Arial Unicode MS"/>
          <w:bCs/>
          <w:szCs w:val="21"/>
        </w:rPr>
      </w:pPr>
    </w:p>
    <w:p w:rsidR="004C06C5" w:rsidRDefault="004C06C5">
      <w:pPr>
        <w:spacing w:line="360" w:lineRule="auto"/>
        <w:ind w:firstLineChars="200" w:firstLine="420"/>
        <w:rPr>
          <w:rFonts w:ascii="Arial Unicode MS" w:hAnsi="Arial Unicode MS"/>
          <w:bCs/>
          <w:szCs w:val="21"/>
        </w:rPr>
      </w:pPr>
    </w:p>
    <w:p w:rsidR="004C06C5" w:rsidRDefault="004C06C5">
      <w:pPr>
        <w:spacing w:line="360" w:lineRule="auto"/>
        <w:ind w:firstLineChars="200" w:firstLine="420"/>
        <w:rPr>
          <w:rFonts w:ascii="Arial Unicode MS" w:hAnsi="Arial Unicode MS"/>
          <w:bCs/>
          <w:szCs w:val="21"/>
        </w:rPr>
      </w:pPr>
    </w:p>
    <w:p w:rsidR="004C06C5" w:rsidRDefault="004C06C5">
      <w:pPr>
        <w:spacing w:line="360" w:lineRule="auto"/>
        <w:ind w:firstLineChars="200" w:firstLine="420"/>
        <w:rPr>
          <w:rFonts w:ascii="Arial Unicode MS" w:hAnsi="Arial Unicode MS"/>
          <w:bCs/>
          <w:szCs w:val="21"/>
        </w:rPr>
      </w:pPr>
    </w:p>
    <w:p w:rsidR="004C06C5" w:rsidRDefault="004C06C5">
      <w:pPr>
        <w:spacing w:line="360" w:lineRule="auto"/>
        <w:ind w:firstLineChars="200" w:firstLine="420"/>
        <w:rPr>
          <w:rFonts w:ascii="Arial Unicode MS" w:hAnsi="Arial Unicode MS"/>
          <w:bCs/>
          <w:szCs w:val="21"/>
        </w:rPr>
      </w:pPr>
    </w:p>
    <w:p w:rsidR="004C06C5" w:rsidRDefault="004C06C5">
      <w:pPr>
        <w:spacing w:line="360" w:lineRule="auto"/>
        <w:ind w:firstLineChars="200" w:firstLine="420"/>
        <w:rPr>
          <w:rFonts w:ascii="Arial Unicode MS" w:hAnsi="Arial Unicode MS"/>
          <w:bCs/>
          <w:szCs w:val="21"/>
        </w:rPr>
      </w:pPr>
    </w:p>
    <w:p w:rsidR="004C06C5" w:rsidRDefault="004C06C5">
      <w:pPr>
        <w:spacing w:line="360" w:lineRule="auto"/>
        <w:ind w:firstLineChars="200" w:firstLine="420"/>
        <w:rPr>
          <w:rFonts w:ascii="Arial Unicode MS" w:hAnsi="Arial Unicode MS"/>
          <w:bCs/>
          <w:szCs w:val="21"/>
        </w:rPr>
      </w:pPr>
    </w:p>
    <w:p w:rsidR="004C06C5" w:rsidRDefault="004C06C5">
      <w:pPr>
        <w:spacing w:line="360" w:lineRule="auto"/>
        <w:ind w:firstLineChars="200" w:firstLine="420"/>
        <w:rPr>
          <w:rFonts w:ascii="Arial Unicode MS" w:hAnsi="Arial Unicode MS"/>
          <w:bCs/>
          <w:szCs w:val="21"/>
        </w:rPr>
      </w:pPr>
    </w:p>
    <w:p w:rsidR="004C06C5" w:rsidRDefault="004C06C5">
      <w:pPr>
        <w:spacing w:line="360" w:lineRule="auto"/>
        <w:ind w:firstLineChars="200" w:firstLine="420"/>
        <w:rPr>
          <w:rFonts w:ascii="Arial Unicode MS" w:hAnsi="Arial Unicode MS"/>
          <w:bCs/>
          <w:szCs w:val="21"/>
        </w:rPr>
      </w:pPr>
    </w:p>
    <w:p w:rsidR="004C06C5" w:rsidRDefault="004C06C5">
      <w:pPr>
        <w:spacing w:line="360" w:lineRule="auto"/>
        <w:ind w:firstLineChars="200" w:firstLine="420"/>
        <w:rPr>
          <w:rFonts w:ascii="Arial Unicode MS" w:hAnsi="Arial Unicode MS"/>
          <w:bCs/>
          <w:szCs w:val="21"/>
        </w:rPr>
      </w:pPr>
    </w:p>
    <w:p w:rsidR="004C06C5" w:rsidRDefault="004C06C5">
      <w:pPr>
        <w:spacing w:line="360" w:lineRule="auto"/>
        <w:ind w:firstLineChars="200" w:firstLine="420"/>
        <w:rPr>
          <w:rFonts w:ascii="Arial Unicode MS" w:hAnsi="Arial Unicode MS"/>
          <w:bCs/>
          <w:szCs w:val="21"/>
        </w:rPr>
      </w:pPr>
    </w:p>
    <w:p w:rsidR="004C06C5" w:rsidRDefault="00ED474B">
      <w:pPr>
        <w:pStyle w:val="11"/>
        <w:snapToGrid w:val="0"/>
        <w:spacing w:before="0" w:after="0" w:line="360" w:lineRule="auto"/>
        <w:ind w:firstLine="422"/>
        <w:rPr>
          <w:rFonts w:ascii="Arial Unicode MS" w:eastAsia="宋体" w:hAnsi="Arial Unicode MS" w:cs="Arial"/>
          <w:b/>
          <w:bCs/>
          <w:sz w:val="28"/>
          <w:szCs w:val="28"/>
        </w:rPr>
      </w:pPr>
      <w:bookmarkStart w:id="88" w:name="_Toc317088547"/>
      <w:bookmarkStart w:id="89" w:name="_Toc320887652"/>
      <w:bookmarkStart w:id="90" w:name="_Toc12357181"/>
      <w:bookmarkStart w:id="91" w:name="_Toc335232701"/>
      <w:bookmarkStart w:id="92" w:name="_Toc21073401"/>
      <w:bookmarkStart w:id="93" w:name="_Toc317088150"/>
      <w:bookmarkStart w:id="94" w:name="_Toc214873602"/>
      <w:bookmarkStart w:id="95" w:name="_Toc147463128"/>
      <w:bookmarkStart w:id="96" w:name="_Toc1464068"/>
      <w:r>
        <w:rPr>
          <w:rFonts w:ascii="Arial Unicode MS" w:eastAsia="宋体" w:hAnsi="Arial Unicode MS" w:cs="Arial"/>
          <w:b/>
          <w:bCs/>
          <w:sz w:val="28"/>
          <w:szCs w:val="28"/>
        </w:rPr>
        <w:lastRenderedPageBreak/>
        <w:t>第十</w:t>
      </w:r>
      <w:r>
        <w:rPr>
          <w:rFonts w:ascii="Arial Unicode MS" w:eastAsia="宋体" w:hAnsi="Arial Unicode MS" w:cs="Arial" w:hint="eastAsia"/>
          <w:b/>
          <w:bCs/>
          <w:sz w:val="28"/>
          <w:szCs w:val="28"/>
        </w:rPr>
        <w:t>三</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基金费用与税收</w:t>
      </w:r>
      <w:bookmarkEnd w:id="88"/>
      <w:bookmarkEnd w:id="89"/>
      <w:bookmarkEnd w:id="90"/>
      <w:bookmarkEnd w:id="91"/>
      <w:bookmarkEnd w:id="92"/>
      <w:bookmarkEnd w:id="93"/>
      <w:bookmarkEnd w:id="94"/>
      <w:bookmarkEnd w:id="95"/>
      <w:bookmarkEnd w:id="96"/>
    </w:p>
    <w:p w:rsidR="004C06C5" w:rsidRDefault="004C06C5">
      <w:pPr>
        <w:snapToGrid w:val="0"/>
        <w:spacing w:line="360" w:lineRule="auto"/>
        <w:ind w:firstLineChars="200" w:firstLine="422"/>
        <w:rPr>
          <w:rFonts w:ascii="Arial Unicode MS" w:hAnsi="Arial Unicode MS" w:cs="Arial"/>
          <w:b/>
          <w:szCs w:val="21"/>
        </w:rPr>
      </w:pPr>
    </w:p>
    <w:p w:rsidR="004C06C5" w:rsidRDefault="00ED474B">
      <w:pPr>
        <w:spacing w:line="360" w:lineRule="auto"/>
        <w:ind w:firstLineChars="200" w:firstLine="422"/>
        <w:rPr>
          <w:rFonts w:ascii="Arial Unicode MS" w:hAnsi="Arial Unicode MS"/>
          <w:b/>
          <w:bCs/>
          <w:szCs w:val="21"/>
        </w:rPr>
      </w:pPr>
      <w:r>
        <w:rPr>
          <w:rFonts w:ascii="Arial Unicode MS" w:hAnsi="Arial Unicode MS"/>
          <w:b/>
          <w:bCs/>
          <w:szCs w:val="21"/>
        </w:rPr>
        <w:t>一、基金费用的种类</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、基金管理人的管理费；</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、基金托管人的托管费；</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3</w:t>
      </w:r>
      <w:r>
        <w:rPr>
          <w:rFonts w:ascii="Arial Unicode MS" w:hAnsi="Arial Unicode MS" w:cs="Arial" w:hint="eastAsia"/>
          <w:kern w:val="0"/>
          <w:szCs w:val="21"/>
        </w:rPr>
        <w:t>、</w:t>
      </w:r>
      <w:r>
        <w:rPr>
          <w:rFonts w:ascii="Arial Unicode MS" w:hAnsi="Arial Unicode MS" w:cs="Arial" w:hint="eastAsia"/>
          <w:kern w:val="0"/>
          <w:szCs w:val="21"/>
        </w:rPr>
        <w:t>C</w:t>
      </w:r>
      <w:r>
        <w:rPr>
          <w:rFonts w:ascii="Arial Unicode MS" w:hAnsi="Arial Unicode MS" w:cs="Arial" w:hint="eastAsia"/>
          <w:kern w:val="0"/>
          <w:szCs w:val="21"/>
        </w:rPr>
        <w:t>类基金份额的销售服务费；</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4</w:t>
      </w:r>
      <w:r>
        <w:rPr>
          <w:rFonts w:ascii="Arial Unicode MS" w:hAnsi="Arial Unicode MS" w:cs="Arial" w:hint="eastAsia"/>
          <w:kern w:val="0"/>
          <w:szCs w:val="21"/>
        </w:rPr>
        <w:t>、基金合同生效后与基金相关的信息披露费用；</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5</w:t>
      </w:r>
      <w:r>
        <w:rPr>
          <w:rFonts w:ascii="Arial Unicode MS" w:hAnsi="Arial Unicode MS" w:cs="Arial" w:hint="eastAsia"/>
          <w:kern w:val="0"/>
          <w:szCs w:val="21"/>
        </w:rPr>
        <w:t>、基金合同生效后与基金相关的会计师费、律师费、诉讼费和仲裁费；</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6</w:t>
      </w:r>
      <w:r>
        <w:rPr>
          <w:rFonts w:ascii="Arial Unicode MS" w:hAnsi="Arial Unicode MS" w:cs="Arial" w:hint="eastAsia"/>
          <w:kern w:val="0"/>
          <w:szCs w:val="21"/>
        </w:rPr>
        <w:t>、基金份额持有人大会费用；</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7</w:t>
      </w:r>
      <w:r>
        <w:rPr>
          <w:rFonts w:ascii="Arial Unicode MS" w:hAnsi="Arial Unicode MS" w:cs="Arial" w:hint="eastAsia"/>
          <w:kern w:val="0"/>
          <w:szCs w:val="21"/>
        </w:rPr>
        <w:t>、基金的证券、期货交易费用；</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8</w:t>
      </w:r>
      <w:r>
        <w:rPr>
          <w:rFonts w:ascii="Arial Unicode MS" w:hAnsi="Arial Unicode MS" w:cs="Arial" w:hint="eastAsia"/>
          <w:kern w:val="0"/>
          <w:szCs w:val="21"/>
        </w:rPr>
        <w:t>、基金的银行汇划费用；</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9</w:t>
      </w:r>
      <w:r>
        <w:rPr>
          <w:rFonts w:ascii="Arial Unicode MS" w:hAnsi="Arial Unicode MS" w:cs="Arial" w:hint="eastAsia"/>
          <w:kern w:val="0"/>
          <w:szCs w:val="21"/>
        </w:rPr>
        <w:t>、账户开户费用、账户维护费用；</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10</w:t>
      </w:r>
      <w:r>
        <w:rPr>
          <w:rFonts w:ascii="Arial Unicode MS" w:hAnsi="Arial Unicode MS" w:cs="Arial" w:hint="eastAsia"/>
          <w:kern w:val="0"/>
          <w:szCs w:val="21"/>
        </w:rPr>
        <w:t>、按照国家有关规定和基金合同约定，可以在基金财产中列支的其他费用。</w:t>
      </w:r>
    </w:p>
    <w:p w:rsidR="004C06C5" w:rsidRDefault="00ED474B">
      <w:pPr>
        <w:spacing w:line="360" w:lineRule="auto"/>
        <w:ind w:firstLineChars="200" w:firstLine="422"/>
        <w:rPr>
          <w:rFonts w:ascii="Arial Unicode MS" w:hAnsi="Arial Unicode MS"/>
          <w:b/>
          <w:bCs/>
          <w:szCs w:val="21"/>
        </w:rPr>
      </w:pPr>
      <w:r>
        <w:rPr>
          <w:rFonts w:ascii="Arial Unicode MS" w:hAnsi="Arial Unicode MS"/>
          <w:b/>
          <w:bCs/>
          <w:szCs w:val="21"/>
        </w:rPr>
        <w:t>二、基金费用计提方法、计提标准和支付方式</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、基金管理人的管理费</w:t>
      </w:r>
      <w:r>
        <w:rPr>
          <w:rFonts w:ascii="Arial Unicode MS" w:hAnsi="Arial Unicode MS" w:cs="Arial" w:hint="eastAsia"/>
          <w:kern w:val="0"/>
          <w:szCs w:val="21"/>
        </w:rPr>
        <w:t xml:space="preserve"> </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本基金的管理费按前一日基金资产净值的</w:t>
      </w:r>
      <w:r>
        <w:rPr>
          <w:rFonts w:ascii="Arial Unicode MS" w:hAnsi="Arial Unicode MS" w:cs="Arial" w:hint="eastAsia"/>
          <w:kern w:val="0"/>
          <w:szCs w:val="21"/>
        </w:rPr>
        <w:t>0.40%</w:t>
      </w:r>
      <w:r>
        <w:rPr>
          <w:rFonts w:ascii="Arial Unicode MS" w:hAnsi="Arial Unicode MS" w:cs="Arial" w:hint="eastAsia"/>
          <w:kern w:val="0"/>
          <w:szCs w:val="21"/>
        </w:rPr>
        <w:t>年费率计提。管理费的计算方法如下：</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H</w:t>
      </w:r>
      <w:r>
        <w:rPr>
          <w:rFonts w:ascii="Arial Unicode MS" w:hAnsi="Arial Unicode MS" w:cs="Arial" w:hint="eastAsia"/>
          <w:kern w:val="0"/>
          <w:szCs w:val="21"/>
        </w:rPr>
        <w:t>＝</w:t>
      </w:r>
      <w:r>
        <w:rPr>
          <w:rFonts w:ascii="Arial Unicode MS" w:hAnsi="Arial Unicode MS" w:cs="Arial" w:hint="eastAsia"/>
          <w:kern w:val="0"/>
          <w:szCs w:val="21"/>
        </w:rPr>
        <w:t>E</w:t>
      </w:r>
      <w:r>
        <w:rPr>
          <w:rFonts w:ascii="Arial Unicode MS" w:hAnsi="Arial Unicode MS" w:cs="Arial" w:hint="eastAsia"/>
          <w:kern w:val="0"/>
          <w:szCs w:val="21"/>
        </w:rPr>
        <w:t>×</w:t>
      </w:r>
      <w:r>
        <w:rPr>
          <w:rFonts w:ascii="Arial Unicode MS" w:hAnsi="Arial Unicode MS" w:cs="Arial" w:hint="eastAsia"/>
          <w:kern w:val="0"/>
          <w:szCs w:val="21"/>
        </w:rPr>
        <w:t>0.40%</w:t>
      </w:r>
      <w:r>
        <w:rPr>
          <w:rFonts w:ascii="Arial Unicode MS" w:hAnsi="Arial Unicode MS" w:cs="Arial" w:hint="eastAsia"/>
          <w:kern w:val="0"/>
          <w:szCs w:val="21"/>
        </w:rPr>
        <w:t>÷当年天数</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H</w:t>
      </w:r>
      <w:r>
        <w:rPr>
          <w:rFonts w:ascii="Arial Unicode MS" w:hAnsi="Arial Unicode MS" w:cs="Arial" w:hint="eastAsia"/>
          <w:kern w:val="0"/>
          <w:szCs w:val="21"/>
        </w:rPr>
        <w:t>为每日应计提的基金管理费</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E</w:t>
      </w:r>
      <w:r>
        <w:rPr>
          <w:rFonts w:ascii="Arial Unicode MS" w:hAnsi="Arial Unicode MS" w:cs="Arial" w:hint="eastAsia"/>
          <w:kern w:val="0"/>
          <w:szCs w:val="21"/>
        </w:rPr>
        <w:t>为前一日的基金资产净值</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基金管理费每日计算，逐日累计至每月月末，按月支付，由基金管理人与基金托管人核对一致后，基金托管人按照与基金管理人协商一致的方式在次月初</w:t>
      </w:r>
      <w:r>
        <w:rPr>
          <w:rFonts w:ascii="Arial Unicode MS" w:hAnsi="Arial Unicode MS" w:cs="Arial" w:hint="eastAsia"/>
          <w:kern w:val="0"/>
          <w:szCs w:val="21"/>
        </w:rPr>
        <w:t>3</w:t>
      </w:r>
      <w:proofErr w:type="gramStart"/>
      <w:r>
        <w:rPr>
          <w:rFonts w:ascii="Arial Unicode MS" w:hAnsi="Arial Unicode MS" w:cs="Arial" w:hint="eastAsia"/>
          <w:kern w:val="0"/>
          <w:szCs w:val="21"/>
        </w:rPr>
        <w:t>个</w:t>
      </w:r>
      <w:proofErr w:type="gramEnd"/>
      <w:r>
        <w:rPr>
          <w:rFonts w:ascii="Arial Unicode MS" w:hAnsi="Arial Unicode MS" w:cs="Arial" w:hint="eastAsia"/>
          <w:kern w:val="0"/>
          <w:szCs w:val="21"/>
        </w:rPr>
        <w:t>工作日内从基金财产中一次性支付给基金管理人。若遇法定节假日、公休假或不可抗力等，支付日期顺延。</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、基金托管人的托管费</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本基金的托管费按前一日基金资产净值的</w:t>
      </w:r>
      <w:r>
        <w:rPr>
          <w:rFonts w:ascii="Arial Unicode MS" w:hAnsi="Arial Unicode MS" w:cs="Arial" w:hint="eastAsia"/>
          <w:kern w:val="0"/>
          <w:szCs w:val="21"/>
        </w:rPr>
        <w:t>0.05%</w:t>
      </w:r>
      <w:r>
        <w:rPr>
          <w:rFonts w:ascii="Arial Unicode MS" w:hAnsi="Arial Unicode MS" w:cs="Arial" w:hint="eastAsia"/>
          <w:kern w:val="0"/>
          <w:szCs w:val="21"/>
        </w:rPr>
        <w:t>的年费率计提。托管费的计算方法如下：</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H</w:t>
      </w:r>
      <w:r>
        <w:rPr>
          <w:rFonts w:ascii="Arial Unicode MS" w:hAnsi="Arial Unicode MS" w:cs="Arial" w:hint="eastAsia"/>
          <w:kern w:val="0"/>
          <w:szCs w:val="21"/>
        </w:rPr>
        <w:t>＝</w:t>
      </w:r>
      <w:r>
        <w:rPr>
          <w:rFonts w:ascii="Arial Unicode MS" w:hAnsi="Arial Unicode MS" w:cs="Arial" w:hint="eastAsia"/>
          <w:kern w:val="0"/>
          <w:szCs w:val="21"/>
        </w:rPr>
        <w:t>E</w:t>
      </w:r>
      <w:r>
        <w:rPr>
          <w:rFonts w:ascii="Arial Unicode MS" w:hAnsi="Arial Unicode MS" w:cs="Arial" w:hint="eastAsia"/>
          <w:kern w:val="0"/>
          <w:szCs w:val="21"/>
        </w:rPr>
        <w:t>×</w:t>
      </w:r>
      <w:r>
        <w:rPr>
          <w:rFonts w:ascii="Arial Unicode MS" w:hAnsi="Arial Unicode MS" w:cs="Arial" w:hint="eastAsia"/>
          <w:kern w:val="0"/>
          <w:szCs w:val="21"/>
        </w:rPr>
        <w:t>0.05%</w:t>
      </w:r>
      <w:r>
        <w:rPr>
          <w:rFonts w:ascii="Arial Unicode MS" w:hAnsi="Arial Unicode MS" w:cs="Arial" w:hint="eastAsia"/>
          <w:kern w:val="0"/>
          <w:szCs w:val="21"/>
        </w:rPr>
        <w:t>÷当年天数</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H</w:t>
      </w:r>
      <w:r>
        <w:rPr>
          <w:rFonts w:ascii="Arial Unicode MS" w:hAnsi="Arial Unicode MS" w:cs="Arial" w:hint="eastAsia"/>
          <w:kern w:val="0"/>
          <w:szCs w:val="21"/>
        </w:rPr>
        <w:t>为每日应计提的基金托管费</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lastRenderedPageBreak/>
        <w:t>E</w:t>
      </w:r>
      <w:r>
        <w:rPr>
          <w:rFonts w:ascii="Arial Unicode MS" w:hAnsi="Arial Unicode MS" w:cs="Arial" w:hint="eastAsia"/>
          <w:kern w:val="0"/>
          <w:szCs w:val="21"/>
        </w:rPr>
        <w:t>为前一日的基金资产净值</w:t>
      </w:r>
    </w:p>
    <w:p w:rsidR="004C06C5" w:rsidRDefault="00ED474B">
      <w:pPr>
        <w:spacing w:line="360" w:lineRule="auto"/>
        <w:rPr>
          <w:rFonts w:ascii="Arial Unicode MS" w:hAnsi="Arial Unicode MS" w:cs="Arial"/>
          <w:i/>
          <w:kern w:val="0"/>
          <w:szCs w:val="21"/>
        </w:rPr>
      </w:pPr>
      <w:r>
        <w:rPr>
          <w:rFonts w:ascii="Arial Unicode MS" w:hAnsi="Arial Unicode MS" w:cs="Arial" w:hint="eastAsia"/>
          <w:kern w:val="0"/>
          <w:szCs w:val="21"/>
        </w:rPr>
        <w:t>基金托管费每日计算，逐日累计至每月月末，按月支付，由基金管理人与基金托管人核对一致后，基金托管人按照与基金管理人协商一致的方式于次月初</w:t>
      </w:r>
      <w:r>
        <w:rPr>
          <w:rFonts w:ascii="Arial Unicode MS" w:hAnsi="Arial Unicode MS" w:cs="Arial" w:hint="eastAsia"/>
          <w:kern w:val="0"/>
          <w:szCs w:val="21"/>
        </w:rPr>
        <w:t>3</w:t>
      </w:r>
      <w:proofErr w:type="gramStart"/>
      <w:r>
        <w:rPr>
          <w:rFonts w:ascii="Arial Unicode MS" w:hAnsi="Arial Unicode MS" w:cs="Arial" w:hint="eastAsia"/>
          <w:kern w:val="0"/>
          <w:szCs w:val="21"/>
        </w:rPr>
        <w:t>个</w:t>
      </w:r>
      <w:proofErr w:type="gramEnd"/>
      <w:r>
        <w:rPr>
          <w:rFonts w:ascii="Arial Unicode MS" w:hAnsi="Arial Unicode MS" w:cs="Arial" w:hint="eastAsia"/>
          <w:kern w:val="0"/>
          <w:szCs w:val="21"/>
        </w:rPr>
        <w:t>工作日内从基金财产中一次性支取。若遇法定节假日、公休假或不可抗力等，支付日期顺延。</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3</w:t>
      </w:r>
      <w:r>
        <w:rPr>
          <w:rFonts w:ascii="Arial Unicode MS" w:hAnsi="Arial Unicode MS" w:cs="Arial" w:hint="eastAsia"/>
          <w:kern w:val="0"/>
          <w:szCs w:val="21"/>
        </w:rPr>
        <w:t>、销售服务费</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本基金</w:t>
      </w:r>
      <w:r>
        <w:rPr>
          <w:rFonts w:ascii="Arial Unicode MS" w:hAnsi="Arial Unicode MS" w:cs="Arial" w:hint="eastAsia"/>
          <w:kern w:val="0"/>
          <w:szCs w:val="21"/>
        </w:rPr>
        <w:t>A</w:t>
      </w:r>
      <w:r>
        <w:rPr>
          <w:rFonts w:ascii="Arial Unicode MS" w:hAnsi="Arial Unicode MS" w:cs="Arial" w:hint="eastAsia"/>
          <w:kern w:val="0"/>
          <w:szCs w:val="21"/>
        </w:rPr>
        <w:t>类基金份额不收取销售服务费，</w:t>
      </w:r>
      <w:r>
        <w:rPr>
          <w:rFonts w:ascii="Arial Unicode MS" w:hAnsi="Arial Unicode MS" w:cs="Arial" w:hint="eastAsia"/>
          <w:kern w:val="0"/>
          <w:szCs w:val="21"/>
        </w:rPr>
        <w:t>C</w:t>
      </w:r>
      <w:r>
        <w:rPr>
          <w:rFonts w:ascii="Arial Unicode MS" w:hAnsi="Arial Unicode MS" w:cs="Arial" w:hint="eastAsia"/>
          <w:kern w:val="0"/>
          <w:szCs w:val="21"/>
        </w:rPr>
        <w:t>类基金份额的销售服务费年费率为</w:t>
      </w:r>
      <w:r>
        <w:rPr>
          <w:rFonts w:ascii="Arial Unicode MS" w:hAnsi="Arial Unicode MS" w:cs="Arial" w:hint="eastAsia"/>
          <w:kern w:val="0"/>
          <w:szCs w:val="21"/>
        </w:rPr>
        <w:t>0.01%</w:t>
      </w:r>
      <w:r>
        <w:rPr>
          <w:rFonts w:ascii="Arial Unicode MS" w:hAnsi="Arial Unicode MS" w:cs="Arial" w:hint="eastAsia"/>
          <w:kern w:val="0"/>
          <w:szCs w:val="21"/>
        </w:rPr>
        <w:t>。</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本基金销售服务费按前一日</w:t>
      </w:r>
      <w:r>
        <w:rPr>
          <w:rFonts w:ascii="Arial Unicode MS" w:hAnsi="Arial Unicode MS" w:cs="Arial" w:hint="eastAsia"/>
          <w:kern w:val="0"/>
          <w:szCs w:val="21"/>
        </w:rPr>
        <w:t>C</w:t>
      </w:r>
      <w:r>
        <w:rPr>
          <w:rFonts w:ascii="Arial Unicode MS" w:hAnsi="Arial Unicode MS" w:cs="Arial" w:hint="eastAsia"/>
          <w:kern w:val="0"/>
          <w:szCs w:val="21"/>
        </w:rPr>
        <w:t>类基金份额的基金资产净值的</w:t>
      </w:r>
      <w:r>
        <w:rPr>
          <w:rFonts w:ascii="Arial Unicode MS" w:hAnsi="Arial Unicode MS" w:cs="Arial" w:hint="eastAsia"/>
          <w:kern w:val="0"/>
          <w:szCs w:val="21"/>
        </w:rPr>
        <w:t>0.01%</w:t>
      </w:r>
      <w:r>
        <w:rPr>
          <w:rFonts w:ascii="Arial Unicode MS" w:hAnsi="Arial Unicode MS" w:cs="Arial" w:hint="eastAsia"/>
          <w:kern w:val="0"/>
          <w:szCs w:val="21"/>
        </w:rPr>
        <w:t>年费率计提。</w:t>
      </w:r>
      <w:r>
        <w:rPr>
          <w:rFonts w:ascii="Arial Unicode MS" w:hAnsi="Arial Unicode MS" w:cs="Arial" w:hint="eastAsia"/>
          <w:kern w:val="0"/>
          <w:szCs w:val="21"/>
        </w:rPr>
        <w:t xml:space="preserve"> </w:t>
      </w:r>
      <w:r>
        <w:rPr>
          <w:rFonts w:ascii="Arial Unicode MS" w:hAnsi="Arial Unicode MS" w:cs="Arial" w:hint="eastAsia"/>
          <w:kern w:val="0"/>
          <w:szCs w:val="21"/>
        </w:rPr>
        <w:t>计算方法如下：</w:t>
      </w:r>
      <w:r>
        <w:rPr>
          <w:rFonts w:ascii="Arial Unicode MS" w:hAnsi="Arial Unicode MS" w:cs="Arial" w:hint="eastAsia"/>
          <w:kern w:val="0"/>
          <w:szCs w:val="21"/>
        </w:rPr>
        <w:t xml:space="preserve"> </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H=E</w:t>
      </w:r>
      <w:r>
        <w:rPr>
          <w:rFonts w:ascii="Arial Unicode MS" w:hAnsi="Arial Unicode MS" w:cs="Arial" w:hint="eastAsia"/>
          <w:kern w:val="0"/>
          <w:szCs w:val="21"/>
        </w:rPr>
        <w:t>×</w:t>
      </w:r>
      <w:r>
        <w:rPr>
          <w:rFonts w:ascii="Arial Unicode MS" w:hAnsi="Arial Unicode MS" w:cs="Arial" w:hint="eastAsia"/>
          <w:kern w:val="0"/>
          <w:szCs w:val="21"/>
        </w:rPr>
        <w:t>0.01%</w:t>
      </w:r>
      <w:r>
        <w:rPr>
          <w:rFonts w:ascii="Arial Unicode MS" w:hAnsi="Arial Unicode MS" w:cs="Arial" w:hint="eastAsia"/>
          <w:kern w:val="0"/>
          <w:szCs w:val="21"/>
        </w:rPr>
        <w:t>÷当年天数</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H</w:t>
      </w:r>
      <w:r>
        <w:rPr>
          <w:rFonts w:ascii="Arial Unicode MS" w:hAnsi="Arial Unicode MS" w:cs="Arial" w:hint="eastAsia"/>
          <w:kern w:val="0"/>
          <w:szCs w:val="21"/>
        </w:rPr>
        <w:t>为</w:t>
      </w:r>
      <w:r>
        <w:rPr>
          <w:rFonts w:ascii="Arial Unicode MS" w:hAnsi="Arial Unicode MS" w:cs="Arial" w:hint="eastAsia"/>
          <w:kern w:val="0"/>
          <w:szCs w:val="21"/>
        </w:rPr>
        <w:t>C</w:t>
      </w:r>
      <w:r>
        <w:rPr>
          <w:rFonts w:ascii="Arial Unicode MS" w:hAnsi="Arial Unicode MS" w:cs="Arial" w:hint="eastAsia"/>
          <w:kern w:val="0"/>
          <w:szCs w:val="21"/>
        </w:rPr>
        <w:t>类基金份额每日应计提的销售服务费</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E</w:t>
      </w:r>
      <w:r>
        <w:rPr>
          <w:rFonts w:ascii="Arial Unicode MS" w:hAnsi="Arial Unicode MS" w:cs="Arial" w:hint="eastAsia"/>
          <w:kern w:val="0"/>
          <w:szCs w:val="21"/>
        </w:rPr>
        <w:t>为</w:t>
      </w:r>
      <w:r>
        <w:rPr>
          <w:rFonts w:ascii="Arial Unicode MS" w:hAnsi="Arial Unicode MS" w:cs="Arial" w:hint="eastAsia"/>
          <w:kern w:val="0"/>
          <w:szCs w:val="21"/>
        </w:rPr>
        <w:t>C</w:t>
      </w:r>
      <w:r>
        <w:rPr>
          <w:rFonts w:ascii="Arial Unicode MS" w:hAnsi="Arial Unicode MS" w:cs="Arial" w:hint="eastAsia"/>
          <w:kern w:val="0"/>
          <w:szCs w:val="21"/>
        </w:rPr>
        <w:t>类基金份额前一日基金资产净值</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基金销售服务费每日计算，逐日累计至每月月末，按月支付，由基金管理人与基金托管人核对一致后，基金托管人按照与基金管理人协商一致的方式于次月初</w:t>
      </w:r>
      <w:r>
        <w:rPr>
          <w:rFonts w:ascii="Arial Unicode MS" w:hAnsi="Arial Unicode MS" w:cs="Arial" w:hint="eastAsia"/>
          <w:kern w:val="0"/>
          <w:szCs w:val="21"/>
        </w:rPr>
        <w:t>3</w:t>
      </w:r>
      <w:proofErr w:type="gramStart"/>
      <w:r>
        <w:rPr>
          <w:rFonts w:ascii="Arial Unicode MS" w:hAnsi="Arial Unicode MS" w:cs="Arial" w:hint="eastAsia"/>
          <w:kern w:val="0"/>
          <w:szCs w:val="21"/>
        </w:rPr>
        <w:t>个</w:t>
      </w:r>
      <w:proofErr w:type="gramEnd"/>
      <w:r>
        <w:rPr>
          <w:rFonts w:ascii="Arial Unicode MS" w:hAnsi="Arial Unicode MS" w:cs="Arial" w:hint="eastAsia"/>
          <w:kern w:val="0"/>
          <w:szCs w:val="21"/>
        </w:rPr>
        <w:t>工作日内从基金财产中一次性支付。若遇法定节假日、公休假或不可抗力等，支付日期顺延。</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销售服务费主要用于本基金持续销售以及基金份额持有人服务等各项费用。</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上述“一、基金费用的种类”中第</w:t>
      </w:r>
      <w:r>
        <w:rPr>
          <w:rFonts w:ascii="Arial Unicode MS" w:hAnsi="Arial Unicode MS" w:cs="Arial" w:hint="eastAsia"/>
          <w:kern w:val="0"/>
          <w:szCs w:val="21"/>
        </w:rPr>
        <w:t>4</w:t>
      </w:r>
      <w:r>
        <w:rPr>
          <w:rFonts w:ascii="Arial Unicode MS" w:hAnsi="Arial Unicode MS" w:cs="Arial" w:hint="eastAsia"/>
          <w:kern w:val="0"/>
          <w:szCs w:val="21"/>
        </w:rPr>
        <w:t>－</w:t>
      </w:r>
      <w:r>
        <w:rPr>
          <w:rFonts w:ascii="Arial Unicode MS" w:hAnsi="Arial Unicode MS" w:cs="Arial" w:hint="eastAsia"/>
          <w:kern w:val="0"/>
          <w:szCs w:val="21"/>
        </w:rPr>
        <w:t>10</w:t>
      </w:r>
      <w:r>
        <w:rPr>
          <w:rFonts w:ascii="Arial Unicode MS" w:hAnsi="Arial Unicode MS" w:cs="Arial" w:hint="eastAsia"/>
          <w:kern w:val="0"/>
          <w:szCs w:val="21"/>
        </w:rPr>
        <w:t>项费用，根据有关法规及相应协议规定，按费用实际支出金额列入当期费用，由基金托管人从基金财产中支付。</w:t>
      </w:r>
    </w:p>
    <w:p w:rsidR="004C06C5" w:rsidRDefault="00ED474B">
      <w:pPr>
        <w:spacing w:line="360" w:lineRule="auto"/>
        <w:ind w:firstLineChars="200" w:firstLine="422"/>
        <w:rPr>
          <w:rFonts w:ascii="Arial Unicode MS" w:hAnsi="Arial Unicode MS"/>
          <w:b/>
          <w:bCs/>
          <w:szCs w:val="21"/>
        </w:rPr>
      </w:pPr>
      <w:r>
        <w:rPr>
          <w:rFonts w:ascii="Arial Unicode MS" w:hAnsi="Arial Unicode MS"/>
          <w:b/>
          <w:bCs/>
          <w:szCs w:val="21"/>
        </w:rPr>
        <w:t>三、不列入基金费用的项目</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下列费用不列入基金费用：</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、基金管理人和基金托管人因未履行或未完全履行义务导致的费用支出或基金财产的损失；</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、基金管理人和基金托管人处理与基金运作无关的事项发生的费用；</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3</w:t>
      </w:r>
      <w:r>
        <w:rPr>
          <w:rFonts w:ascii="Arial Unicode MS" w:hAnsi="Arial Unicode MS" w:cs="Arial" w:hint="eastAsia"/>
          <w:kern w:val="0"/>
          <w:szCs w:val="21"/>
        </w:rPr>
        <w:t>、《基金合同》生效前的相关费用；</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4</w:t>
      </w:r>
      <w:r>
        <w:rPr>
          <w:rFonts w:ascii="Arial Unicode MS" w:hAnsi="Arial Unicode MS" w:cs="Arial" w:hint="eastAsia"/>
          <w:kern w:val="0"/>
          <w:szCs w:val="21"/>
        </w:rPr>
        <w:t>、其他根据相关法律法规及中国证监会的有关规定不得列入基金费用的项目。</w:t>
      </w:r>
    </w:p>
    <w:p w:rsidR="004C06C5" w:rsidRDefault="00ED474B">
      <w:pPr>
        <w:spacing w:line="360" w:lineRule="auto"/>
        <w:ind w:firstLineChars="200" w:firstLine="422"/>
        <w:rPr>
          <w:rFonts w:ascii="Arial Unicode MS" w:hAnsi="Arial Unicode MS"/>
          <w:b/>
          <w:bCs/>
          <w:szCs w:val="21"/>
        </w:rPr>
      </w:pPr>
      <w:r>
        <w:rPr>
          <w:rFonts w:ascii="Arial Unicode MS" w:hAnsi="Arial Unicode MS" w:hint="eastAsia"/>
          <w:b/>
          <w:bCs/>
          <w:szCs w:val="21"/>
        </w:rPr>
        <w:t>四</w:t>
      </w:r>
      <w:r>
        <w:rPr>
          <w:rFonts w:ascii="Arial Unicode MS" w:hAnsi="Arial Unicode MS"/>
          <w:b/>
          <w:bCs/>
          <w:szCs w:val="21"/>
        </w:rPr>
        <w:t>、基金税收</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本基金运作过程中涉及的各纳税主体，其纳税义务按国家税收法律、法规执行。</w:t>
      </w:r>
    </w:p>
    <w:p w:rsidR="004C06C5" w:rsidRDefault="00ED474B">
      <w:pPr>
        <w:adjustRightInd w:val="0"/>
        <w:snapToGrid w:val="0"/>
        <w:spacing w:line="360" w:lineRule="auto"/>
        <w:ind w:firstLineChars="200" w:firstLine="422"/>
        <w:rPr>
          <w:rFonts w:ascii="Arial Unicode MS" w:hAnsi="Arial Unicode MS" w:cs="Arial"/>
          <w:b/>
          <w:kern w:val="0"/>
          <w:szCs w:val="21"/>
        </w:rPr>
      </w:pPr>
      <w:r>
        <w:rPr>
          <w:rFonts w:ascii="Arial Unicode MS" w:hAnsi="Arial Unicode MS" w:cs="Arial" w:hint="eastAsia"/>
          <w:b/>
          <w:kern w:val="0"/>
          <w:szCs w:val="21"/>
        </w:rPr>
        <w:t>五、销售服务费的调整</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基金管理人和基金托管人可根据基金规模等因素协商一致，酌情调低销售服务费率，无须召开基金份额持有人大会。</w:t>
      </w:r>
    </w:p>
    <w:p w:rsidR="004C06C5" w:rsidRDefault="00ED474B">
      <w:pPr>
        <w:pStyle w:val="11"/>
        <w:snapToGrid w:val="0"/>
        <w:spacing w:before="0" w:after="0" w:line="360" w:lineRule="auto"/>
        <w:ind w:firstLineChars="150" w:firstLine="360"/>
        <w:rPr>
          <w:rFonts w:ascii="Arial Unicode MS" w:eastAsia="宋体" w:hAnsi="Arial Unicode MS" w:cs="Arial"/>
          <w:b/>
          <w:bCs/>
          <w:sz w:val="28"/>
          <w:szCs w:val="28"/>
        </w:rPr>
      </w:pPr>
      <w:r>
        <w:rPr>
          <w:rFonts w:ascii="Arial Unicode MS" w:hAnsi="Arial Unicode MS"/>
        </w:rPr>
        <w:br w:type="page"/>
      </w:r>
      <w:bookmarkStart w:id="97" w:name="_Hlt88827255"/>
      <w:bookmarkStart w:id="98" w:name="_Toc335232702"/>
      <w:bookmarkStart w:id="99" w:name="_Toc317088151"/>
      <w:bookmarkStart w:id="100" w:name="_Toc320887653"/>
      <w:bookmarkStart w:id="101" w:name="_Toc317088548"/>
      <w:bookmarkStart w:id="102" w:name="_Toc214873603"/>
      <w:bookmarkStart w:id="103" w:name="_Toc1464069"/>
      <w:bookmarkEnd w:id="97"/>
      <w:r>
        <w:rPr>
          <w:rFonts w:ascii="Arial Unicode MS" w:eastAsia="宋体" w:hAnsi="Arial Unicode MS" w:cs="Arial"/>
          <w:b/>
          <w:bCs/>
          <w:sz w:val="28"/>
          <w:szCs w:val="28"/>
        </w:rPr>
        <w:lastRenderedPageBreak/>
        <w:t>第十</w:t>
      </w:r>
      <w:r>
        <w:rPr>
          <w:rFonts w:ascii="Arial Unicode MS" w:eastAsia="宋体" w:hAnsi="Arial Unicode MS" w:cs="Arial" w:hint="eastAsia"/>
          <w:b/>
          <w:bCs/>
          <w:sz w:val="28"/>
          <w:szCs w:val="28"/>
        </w:rPr>
        <w:t>四</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基金的会计与审计</w:t>
      </w:r>
      <w:bookmarkEnd w:id="98"/>
      <w:bookmarkEnd w:id="99"/>
      <w:bookmarkEnd w:id="100"/>
      <w:bookmarkEnd w:id="101"/>
      <w:bookmarkEnd w:id="102"/>
      <w:bookmarkEnd w:id="103"/>
    </w:p>
    <w:p w:rsidR="004C06C5" w:rsidRDefault="004C06C5">
      <w:pPr>
        <w:rPr>
          <w:rFonts w:ascii="Arial Unicode MS" w:hAnsi="Arial Unicode MS"/>
          <w:lang w:val="zh-CN"/>
        </w:rPr>
      </w:pPr>
    </w:p>
    <w:p w:rsidR="004C06C5" w:rsidRDefault="00ED474B">
      <w:pPr>
        <w:spacing w:line="360" w:lineRule="auto"/>
        <w:ind w:firstLineChars="200" w:firstLine="422"/>
        <w:rPr>
          <w:rFonts w:ascii="Arial Unicode MS" w:hAnsi="Arial Unicode MS"/>
          <w:b/>
          <w:bCs/>
          <w:szCs w:val="21"/>
        </w:rPr>
      </w:pPr>
      <w:bookmarkStart w:id="104" w:name="_Toc79978642"/>
      <w:bookmarkStart w:id="105" w:name="_Toc214873604"/>
      <w:r>
        <w:rPr>
          <w:rFonts w:ascii="Arial Unicode MS" w:hAnsi="Arial Unicode MS"/>
          <w:b/>
          <w:bCs/>
          <w:szCs w:val="21"/>
        </w:rPr>
        <w:t>一、基金会计政策</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1</w:t>
      </w:r>
      <w:r>
        <w:rPr>
          <w:rFonts w:ascii="Arial Unicode MS" w:hAnsi="Arial Unicode MS" w:cs="Arial"/>
          <w:kern w:val="0"/>
          <w:szCs w:val="21"/>
        </w:rPr>
        <w:t>、基金管理人为本基金的基金会计责任方；</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2</w:t>
      </w:r>
      <w:r>
        <w:rPr>
          <w:rFonts w:ascii="Arial Unicode MS" w:hAnsi="Arial Unicode MS" w:cs="Arial"/>
          <w:kern w:val="0"/>
          <w:szCs w:val="21"/>
        </w:rPr>
        <w:t>、基金的会计年度为公历年度的</w:t>
      </w:r>
      <w:r>
        <w:rPr>
          <w:rFonts w:ascii="Arial Unicode MS" w:hAnsi="Arial Unicode MS" w:cs="Arial"/>
          <w:kern w:val="0"/>
          <w:szCs w:val="21"/>
        </w:rPr>
        <w:t>1</w:t>
      </w:r>
      <w:r>
        <w:rPr>
          <w:rFonts w:ascii="Arial Unicode MS" w:hAnsi="Arial Unicode MS" w:cs="Arial"/>
          <w:kern w:val="0"/>
          <w:szCs w:val="21"/>
        </w:rPr>
        <w:t>月</w:t>
      </w:r>
      <w:r>
        <w:rPr>
          <w:rFonts w:ascii="Arial Unicode MS" w:hAnsi="Arial Unicode MS" w:cs="Arial"/>
          <w:kern w:val="0"/>
          <w:szCs w:val="21"/>
        </w:rPr>
        <w:t>1</w:t>
      </w:r>
      <w:r>
        <w:rPr>
          <w:rFonts w:ascii="Arial Unicode MS" w:hAnsi="Arial Unicode MS" w:cs="Arial"/>
          <w:kern w:val="0"/>
          <w:szCs w:val="21"/>
        </w:rPr>
        <w:t>日至</w:t>
      </w:r>
      <w:r>
        <w:rPr>
          <w:rFonts w:ascii="Arial Unicode MS" w:hAnsi="Arial Unicode MS" w:cs="Arial"/>
          <w:kern w:val="0"/>
          <w:szCs w:val="21"/>
        </w:rPr>
        <w:t>12</w:t>
      </w:r>
      <w:r>
        <w:rPr>
          <w:rFonts w:ascii="Arial Unicode MS" w:hAnsi="Arial Unicode MS" w:cs="Arial"/>
          <w:kern w:val="0"/>
          <w:szCs w:val="21"/>
        </w:rPr>
        <w:t>月</w:t>
      </w:r>
      <w:r>
        <w:rPr>
          <w:rFonts w:ascii="Arial Unicode MS" w:hAnsi="Arial Unicode MS" w:cs="Arial"/>
          <w:kern w:val="0"/>
          <w:szCs w:val="21"/>
        </w:rPr>
        <w:t>31</w:t>
      </w:r>
      <w:r>
        <w:rPr>
          <w:rFonts w:ascii="Arial Unicode MS" w:hAnsi="Arial Unicode MS" w:cs="Arial"/>
          <w:kern w:val="0"/>
          <w:szCs w:val="21"/>
        </w:rPr>
        <w:t>日；基金首次募集的会计年度按如下原则：如果《基金合同》生效少于</w:t>
      </w:r>
      <w:r>
        <w:rPr>
          <w:rFonts w:ascii="Arial Unicode MS" w:hAnsi="Arial Unicode MS" w:cs="Arial"/>
          <w:kern w:val="0"/>
          <w:szCs w:val="21"/>
        </w:rPr>
        <w:t>2</w:t>
      </w:r>
      <w:r>
        <w:rPr>
          <w:rFonts w:ascii="Arial Unicode MS" w:hAnsi="Arial Unicode MS" w:cs="Arial"/>
          <w:kern w:val="0"/>
          <w:szCs w:val="21"/>
        </w:rPr>
        <w:t>个月，可以并入下一个会计年度</w:t>
      </w:r>
      <w:r>
        <w:rPr>
          <w:rFonts w:ascii="Arial Unicode MS" w:hAnsi="Arial Unicode MS" w:cs="Arial" w:hint="eastAsia"/>
          <w:kern w:val="0"/>
          <w:szCs w:val="21"/>
        </w:rPr>
        <w:t>披露</w:t>
      </w:r>
      <w:r>
        <w:rPr>
          <w:rFonts w:ascii="Arial Unicode MS" w:hAnsi="Arial Unicode MS" w:cs="Arial"/>
          <w:kern w:val="0"/>
          <w:szCs w:val="21"/>
        </w:rPr>
        <w:t>；</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3</w:t>
      </w:r>
      <w:r>
        <w:rPr>
          <w:rFonts w:ascii="Arial Unicode MS" w:hAnsi="Arial Unicode MS" w:cs="Arial"/>
          <w:kern w:val="0"/>
          <w:szCs w:val="21"/>
        </w:rPr>
        <w:t>、基金核算以人民币为记账本位币，以人民币元为记账单位；</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4</w:t>
      </w:r>
      <w:r>
        <w:rPr>
          <w:rFonts w:ascii="Arial Unicode MS" w:hAnsi="Arial Unicode MS" w:cs="Arial"/>
          <w:kern w:val="0"/>
          <w:szCs w:val="21"/>
        </w:rPr>
        <w:t>、会计制度执行国家有关会计制度；</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5</w:t>
      </w:r>
      <w:r>
        <w:rPr>
          <w:rFonts w:ascii="Arial Unicode MS" w:hAnsi="Arial Unicode MS" w:cs="Arial"/>
          <w:kern w:val="0"/>
          <w:szCs w:val="21"/>
        </w:rPr>
        <w:t>、本基金独立建账、独立核算；</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6</w:t>
      </w:r>
      <w:r>
        <w:rPr>
          <w:rFonts w:ascii="Arial Unicode MS" w:hAnsi="Arial Unicode MS" w:cs="Arial"/>
          <w:kern w:val="0"/>
          <w:szCs w:val="21"/>
        </w:rPr>
        <w:t>、基金管理人及基金托管人各自保留完整的会计账目、凭证并进行日常的会计核算，按照有关规定编制基金会计报表；</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7</w:t>
      </w:r>
      <w:r>
        <w:rPr>
          <w:rFonts w:ascii="Arial Unicode MS" w:hAnsi="Arial Unicode MS" w:cs="Arial"/>
          <w:kern w:val="0"/>
          <w:szCs w:val="21"/>
        </w:rPr>
        <w:t>、基金托管人每月与基金管理人就基金的会计核算、报表编制等进行核对并以</w:t>
      </w:r>
      <w:r>
        <w:rPr>
          <w:rFonts w:ascii="Arial Unicode MS" w:hAnsi="Arial Unicode MS" w:cs="Arial" w:hint="eastAsia"/>
          <w:kern w:val="0"/>
          <w:szCs w:val="21"/>
        </w:rPr>
        <w:t>书面方式</w:t>
      </w:r>
      <w:r>
        <w:rPr>
          <w:rFonts w:ascii="Arial Unicode MS" w:hAnsi="Arial Unicode MS" w:cs="Arial"/>
          <w:kern w:val="0"/>
          <w:szCs w:val="21"/>
        </w:rPr>
        <w:t>确认。</w:t>
      </w:r>
    </w:p>
    <w:p w:rsidR="004C06C5" w:rsidRDefault="00ED474B">
      <w:pPr>
        <w:spacing w:line="360" w:lineRule="auto"/>
        <w:ind w:firstLineChars="200" w:firstLine="422"/>
        <w:rPr>
          <w:rFonts w:ascii="Arial Unicode MS" w:hAnsi="Arial Unicode MS"/>
          <w:b/>
          <w:bCs/>
          <w:szCs w:val="21"/>
        </w:rPr>
      </w:pPr>
      <w:r>
        <w:rPr>
          <w:rFonts w:ascii="Arial Unicode MS" w:hAnsi="Arial Unicode MS"/>
          <w:b/>
          <w:bCs/>
          <w:szCs w:val="21"/>
        </w:rPr>
        <w:t>二、基金的年度审计</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1</w:t>
      </w:r>
      <w:r>
        <w:rPr>
          <w:rFonts w:ascii="Arial Unicode MS" w:hAnsi="Arial Unicode MS" w:cs="Arial"/>
          <w:kern w:val="0"/>
          <w:szCs w:val="21"/>
        </w:rPr>
        <w:t>、基金管理人聘请与基金管理人、基金托管人相互独立的</w:t>
      </w:r>
      <w:r>
        <w:rPr>
          <w:rFonts w:ascii="Arial Unicode MS" w:hAnsi="Arial Unicode MS" w:hint="eastAsia"/>
          <w:bCs/>
          <w:szCs w:val="21"/>
        </w:rPr>
        <w:t>具有证券、期货相关业务资格</w:t>
      </w:r>
      <w:r>
        <w:rPr>
          <w:rFonts w:ascii="Arial Unicode MS" w:hAnsi="Arial Unicode MS"/>
          <w:bCs/>
          <w:szCs w:val="21"/>
        </w:rPr>
        <w:t>的</w:t>
      </w:r>
      <w:r>
        <w:rPr>
          <w:rFonts w:ascii="Arial Unicode MS" w:hAnsi="Arial Unicode MS" w:cs="Arial"/>
          <w:kern w:val="0"/>
          <w:szCs w:val="21"/>
        </w:rPr>
        <w:t>会计师事务所及其注册会计师对本基金的年度财务报表进行审计。</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2</w:t>
      </w:r>
      <w:r>
        <w:rPr>
          <w:rFonts w:ascii="Arial Unicode MS" w:hAnsi="Arial Unicode MS" w:cs="Arial"/>
          <w:kern w:val="0"/>
          <w:szCs w:val="21"/>
        </w:rPr>
        <w:t>、会计师事务所更换经办注册会计师，应事先征得基金管理人同意。</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3</w:t>
      </w:r>
      <w:r>
        <w:rPr>
          <w:rFonts w:ascii="Arial Unicode MS" w:hAnsi="Arial Unicode MS" w:cs="Arial"/>
          <w:kern w:val="0"/>
          <w:szCs w:val="21"/>
        </w:rPr>
        <w:t>、</w:t>
      </w:r>
      <w:bookmarkStart w:id="106" w:name="_Hlt4221115"/>
      <w:bookmarkEnd w:id="106"/>
      <w:r>
        <w:rPr>
          <w:rFonts w:ascii="Arial Unicode MS" w:hAnsi="Arial Unicode MS" w:cs="Arial"/>
          <w:kern w:val="0"/>
          <w:szCs w:val="21"/>
        </w:rPr>
        <w:t>基金管理人认为有充足理由更换会计师事务所，须通报基金托管人。更换会计师事务所需在</w:t>
      </w:r>
      <w:r>
        <w:rPr>
          <w:rFonts w:ascii="Arial Unicode MS" w:hAnsi="Arial Unicode MS" w:cs="Arial"/>
          <w:kern w:val="0"/>
          <w:szCs w:val="21"/>
        </w:rPr>
        <w:t>2</w:t>
      </w:r>
      <w:r>
        <w:rPr>
          <w:rFonts w:ascii="Arial Unicode MS" w:hAnsi="Arial Unicode MS" w:cs="Arial"/>
          <w:kern w:val="0"/>
          <w:szCs w:val="21"/>
        </w:rPr>
        <w:t>日内在</w:t>
      </w:r>
      <w:r>
        <w:rPr>
          <w:rFonts w:ascii="Arial Unicode MS" w:hAnsi="Arial Unicode MS" w:cs="Arial" w:hint="eastAsia"/>
          <w:kern w:val="0"/>
          <w:szCs w:val="21"/>
        </w:rPr>
        <w:t>指定媒介</w:t>
      </w:r>
      <w:r>
        <w:rPr>
          <w:rFonts w:ascii="Arial Unicode MS" w:hAnsi="Arial Unicode MS" w:cs="Arial"/>
          <w:kern w:val="0"/>
          <w:szCs w:val="21"/>
        </w:rPr>
        <w:t>公告。</w:t>
      </w:r>
    </w:p>
    <w:p w:rsidR="004C06C5" w:rsidRDefault="004C06C5">
      <w:pPr>
        <w:adjustRightInd w:val="0"/>
        <w:snapToGrid w:val="0"/>
        <w:spacing w:line="360" w:lineRule="auto"/>
        <w:ind w:firstLineChars="200" w:firstLine="420"/>
        <w:rPr>
          <w:rFonts w:ascii="Arial Unicode MS" w:hAnsi="Arial Unicode MS" w:cs="Arial"/>
          <w:kern w:val="0"/>
          <w:szCs w:val="21"/>
        </w:rPr>
      </w:pPr>
    </w:p>
    <w:p w:rsidR="004C06C5" w:rsidRDefault="004C06C5">
      <w:pPr>
        <w:adjustRightInd w:val="0"/>
        <w:snapToGrid w:val="0"/>
        <w:spacing w:line="360" w:lineRule="auto"/>
        <w:ind w:firstLineChars="200" w:firstLine="420"/>
        <w:rPr>
          <w:rFonts w:ascii="Arial Unicode MS" w:hAnsi="Arial Unicode MS" w:cs="Arial"/>
          <w:kern w:val="0"/>
          <w:szCs w:val="21"/>
        </w:rPr>
      </w:pPr>
    </w:p>
    <w:p w:rsidR="004C06C5" w:rsidRDefault="004C06C5">
      <w:pPr>
        <w:adjustRightInd w:val="0"/>
        <w:snapToGrid w:val="0"/>
        <w:spacing w:line="360" w:lineRule="auto"/>
        <w:ind w:firstLineChars="200" w:firstLine="420"/>
        <w:rPr>
          <w:rFonts w:ascii="Arial Unicode MS" w:hAnsi="Arial Unicode MS" w:cs="Arial"/>
          <w:kern w:val="0"/>
          <w:szCs w:val="21"/>
        </w:rPr>
      </w:pPr>
    </w:p>
    <w:p w:rsidR="004C06C5" w:rsidRDefault="004C06C5">
      <w:pPr>
        <w:adjustRightInd w:val="0"/>
        <w:snapToGrid w:val="0"/>
        <w:spacing w:line="360" w:lineRule="auto"/>
        <w:ind w:firstLineChars="200" w:firstLine="420"/>
        <w:rPr>
          <w:rFonts w:ascii="Arial Unicode MS" w:hAnsi="Arial Unicode MS" w:cs="Arial"/>
          <w:kern w:val="0"/>
          <w:szCs w:val="21"/>
        </w:rPr>
      </w:pPr>
    </w:p>
    <w:p w:rsidR="004C06C5" w:rsidRDefault="004C06C5">
      <w:pPr>
        <w:adjustRightInd w:val="0"/>
        <w:snapToGrid w:val="0"/>
        <w:spacing w:line="360" w:lineRule="auto"/>
        <w:ind w:firstLineChars="200" w:firstLine="420"/>
        <w:rPr>
          <w:rFonts w:ascii="Arial Unicode MS" w:hAnsi="Arial Unicode MS" w:cs="Arial"/>
          <w:kern w:val="0"/>
          <w:szCs w:val="21"/>
        </w:rPr>
      </w:pPr>
    </w:p>
    <w:p w:rsidR="004C06C5" w:rsidRDefault="004C06C5">
      <w:pPr>
        <w:adjustRightInd w:val="0"/>
        <w:snapToGrid w:val="0"/>
        <w:spacing w:line="360" w:lineRule="auto"/>
        <w:ind w:firstLineChars="200" w:firstLine="420"/>
        <w:rPr>
          <w:rFonts w:ascii="Arial Unicode MS" w:hAnsi="Arial Unicode MS" w:cs="Arial"/>
          <w:kern w:val="0"/>
          <w:szCs w:val="21"/>
        </w:rPr>
      </w:pPr>
    </w:p>
    <w:p w:rsidR="004C06C5" w:rsidRDefault="004C06C5">
      <w:pPr>
        <w:adjustRightInd w:val="0"/>
        <w:snapToGrid w:val="0"/>
        <w:spacing w:line="360" w:lineRule="auto"/>
        <w:ind w:firstLineChars="200" w:firstLine="420"/>
        <w:rPr>
          <w:rFonts w:ascii="Arial Unicode MS" w:hAnsi="Arial Unicode MS" w:cs="Arial"/>
          <w:kern w:val="0"/>
          <w:szCs w:val="21"/>
        </w:rPr>
      </w:pPr>
    </w:p>
    <w:p w:rsidR="004C06C5" w:rsidRDefault="004C06C5">
      <w:pPr>
        <w:adjustRightInd w:val="0"/>
        <w:snapToGrid w:val="0"/>
        <w:spacing w:line="360" w:lineRule="auto"/>
        <w:ind w:firstLineChars="200" w:firstLine="420"/>
        <w:rPr>
          <w:rFonts w:ascii="Arial Unicode MS" w:hAnsi="Arial Unicode MS"/>
          <w:bCs/>
          <w:szCs w:val="21"/>
        </w:rPr>
      </w:pPr>
    </w:p>
    <w:p w:rsidR="004C06C5" w:rsidRDefault="00ED474B">
      <w:pPr>
        <w:pStyle w:val="11"/>
        <w:snapToGrid w:val="0"/>
        <w:spacing w:before="0" w:after="0" w:line="360" w:lineRule="auto"/>
        <w:rPr>
          <w:rFonts w:ascii="Arial Unicode MS" w:eastAsia="宋体" w:hAnsi="Arial Unicode MS"/>
          <w:b/>
          <w:sz w:val="28"/>
          <w:szCs w:val="28"/>
          <w:lang w:val="en-US"/>
        </w:rPr>
      </w:pPr>
      <w:bookmarkStart w:id="107" w:name="_Toc317088152"/>
      <w:bookmarkStart w:id="108" w:name="_Toc320887654"/>
      <w:bookmarkStart w:id="109" w:name="_Toc317088549"/>
      <w:bookmarkStart w:id="110" w:name="_Toc335232703"/>
      <w:bookmarkStart w:id="111" w:name="_Toc1464070"/>
      <w:r>
        <w:rPr>
          <w:rFonts w:ascii="Arial Unicode MS" w:eastAsia="宋体" w:hAnsi="Arial Unicode MS"/>
          <w:b/>
          <w:sz w:val="28"/>
          <w:szCs w:val="28"/>
        </w:rPr>
        <w:lastRenderedPageBreak/>
        <w:t>第十</w:t>
      </w:r>
      <w:r>
        <w:rPr>
          <w:rFonts w:ascii="Arial Unicode MS" w:eastAsia="宋体" w:hAnsi="Arial Unicode MS" w:hint="eastAsia"/>
          <w:b/>
          <w:sz w:val="28"/>
          <w:szCs w:val="28"/>
        </w:rPr>
        <w:t>五</w:t>
      </w:r>
      <w:r>
        <w:rPr>
          <w:rFonts w:ascii="Arial Unicode MS" w:eastAsia="宋体" w:hAnsi="Arial Unicode MS"/>
          <w:b/>
          <w:sz w:val="28"/>
          <w:szCs w:val="28"/>
        </w:rPr>
        <w:t>部分</w:t>
      </w:r>
      <w:r>
        <w:rPr>
          <w:rFonts w:ascii="Arial Unicode MS" w:eastAsia="宋体" w:hAnsi="Arial Unicode MS"/>
          <w:b/>
          <w:sz w:val="28"/>
          <w:szCs w:val="28"/>
          <w:lang w:val="en-US"/>
        </w:rPr>
        <w:t xml:space="preserve">  </w:t>
      </w:r>
      <w:r>
        <w:rPr>
          <w:rFonts w:ascii="Arial Unicode MS" w:eastAsia="宋体" w:hAnsi="Arial Unicode MS"/>
          <w:b/>
          <w:sz w:val="28"/>
          <w:szCs w:val="28"/>
        </w:rPr>
        <w:t>基金的信息披露</w:t>
      </w:r>
      <w:bookmarkEnd w:id="107"/>
      <w:bookmarkEnd w:id="108"/>
      <w:bookmarkEnd w:id="109"/>
      <w:bookmarkEnd w:id="110"/>
      <w:bookmarkEnd w:id="111"/>
    </w:p>
    <w:p w:rsidR="004C06C5" w:rsidRDefault="004C06C5">
      <w:pPr>
        <w:rPr>
          <w:rFonts w:ascii="Arial Unicode MS" w:hAnsi="Arial Unicode MS"/>
        </w:rPr>
      </w:pPr>
    </w:p>
    <w:p w:rsidR="004C06C5" w:rsidRDefault="00ED474B">
      <w:pPr>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一、本基金的信息披露应符合《基金法》、《运作办法》、《信息披露办法》、《基金合同》及其他有关规定。相关法律法规关于信息披露的规定发生变化时，本基金从其最新规定。</w:t>
      </w:r>
    </w:p>
    <w:p w:rsidR="004C06C5" w:rsidRDefault="00ED474B">
      <w:pPr>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二、信息披露义务人</w:t>
      </w:r>
    </w:p>
    <w:p w:rsidR="004C06C5" w:rsidRDefault="00ED474B">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本基金信息披露义务人包括基金管理人、基金托管人、召集基金份额持有人大会的基金份额持有人等法律法规和中国证监会规定的自然人、法人和非法人组织。</w:t>
      </w:r>
    </w:p>
    <w:p w:rsidR="004C06C5" w:rsidRDefault="00ED474B">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本基金信息披露义务人以保护基金份额持有人利益为根本出发点，按照法律法规和中国证监会的规定披露基金信息，并保证所披露信息的真实性、准确性、完整性、及时性、简明性和易得性。</w:t>
      </w:r>
    </w:p>
    <w:p w:rsidR="004C06C5" w:rsidRDefault="00ED474B">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本基金信息披露义务人应当在中国证监会规定时间内，将应予披露的基金信息通过中国证监会指定的媒介和基金管理人、基金托管人的互联网网站（以下简称“网站”）等媒介披露，并保证基金投资者能够按照《基金合同》约定的时间和方式查阅或者复制公开披露的信息资料。</w:t>
      </w:r>
    </w:p>
    <w:p w:rsidR="004C06C5" w:rsidRDefault="00ED474B">
      <w:pPr>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三、本基金信息披露义务人承诺公开披露的基金信息，不得有下列行为：</w:t>
      </w:r>
    </w:p>
    <w:p w:rsidR="004C06C5" w:rsidRDefault="00ED474B">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、虚假记载、误导性陈述或者重大遗漏；</w:t>
      </w:r>
    </w:p>
    <w:p w:rsidR="004C06C5" w:rsidRDefault="00ED474B">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、对证券投资业绩进行预测；</w:t>
      </w:r>
    </w:p>
    <w:p w:rsidR="004C06C5" w:rsidRDefault="00ED474B">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3</w:t>
      </w:r>
      <w:r>
        <w:rPr>
          <w:rFonts w:ascii="Arial Unicode MS" w:hAnsi="Arial Unicode MS" w:cs="Arial" w:hint="eastAsia"/>
          <w:kern w:val="0"/>
          <w:szCs w:val="21"/>
        </w:rPr>
        <w:t>、违规承诺收益或者承担损失；</w:t>
      </w:r>
    </w:p>
    <w:p w:rsidR="004C06C5" w:rsidRDefault="00ED474B">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4</w:t>
      </w:r>
      <w:r>
        <w:rPr>
          <w:rFonts w:ascii="Arial Unicode MS" w:hAnsi="Arial Unicode MS" w:cs="Arial" w:hint="eastAsia"/>
          <w:kern w:val="0"/>
          <w:szCs w:val="21"/>
        </w:rPr>
        <w:t>、诋毁其他基金管理人、基金托管人或者基金销售机构；</w:t>
      </w:r>
    </w:p>
    <w:p w:rsidR="004C06C5" w:rsidRDefault="00ED474B">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5</w:t>
      </w:r>
      <w:r>
        <w:rPr>
          <w:rFonts w:ascii="Arial Unicode MS" w:hAnsi="Arial Unicode MS" w:cs="Arial" w:hint="eastAsia"/>
          <w:kern w:val="0"/>
          <w:szCs w:val="21"/>
        </w:rPr>
        <w:t>、登载任何自然人、法人或者非法人组织的祝贺性、恭维性或推荐性的文字；</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6</w:t>
      </w:r>
      <w:r>
        <w:rPr>
          <w:rFonts w:ascii="Arial Unicode MS" w:hAnsi="Arial Unicode MS" w:cs="Arial" w:hint="eastAsia"/>
          <w:kern w:val="0"/>
          <w:szCs w:val="21"/>
        </w:rPr>
        <w:t>、中国证监会禁止的其他行为。</w:t>
      </w:r>
    </w:p>
    <w:p w:rsidR="004C06C5" w:rsidRDefault="00ED474B">
      <w:pPr>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四、本基金公开披露的信息应采用中文文本。如同时采用外文文本的，基金信息披露义务人应保证不同文本的内容一致。不同文本之间发生歧义的，以中文文本为准。</w:t>
      </w:r>
    </w:p>
    <w:p w:rsidR="004C06C5" w:rsidRDefault="00ED474B">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本基金公开披露的信息采用阿拉伯数字；除特别说明外，货币单位为人民币元。</w:t>
      </w:r>
    </w:p>
    <w:p w:rsidR="004C06C5" w:rsidRDefault="00ED474B">
      <w:pPr>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五、公开披露的基金信息</w:t>
      </w:r>
    </w:p>
    <w:p w:rsidR="004C06C5" w:rsidRDefault="00ED474B">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公开披露的基金信息包括：</w:t>
      </w:r>
    </w:p>
    <w:p w:rsidR="004C06C5" w:rsidRDefault="00ED474B">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（一）基金招募说明书、《基金合同》、基金托管协议</w:t>
      </w:r>
      <w:r>
        <w:rPr>
          <w:rFonts w:ascii="Arial Unicode MS" w:hAnsi="Arial Unicode MS" w:cs="Arial" w:hint="eastAsia"/>
          <w:bCs/>
          <w:szCs w:val="21"/>
        </w:rPr>
        <w:t>、基金产品资料概要</w:t>
      </w:r>
    </w:p>
    <w:p w:rsidR="004C06C5" w:rsidRDefault="00ED474B">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、《基金合同》是界定《基金合同》当事人的各项权利、义务关系，明确基金份额持有人大会召开的规则及具体程序，说明基金产品的特性等涉及基金投资者重大利益的事项的法律文件。</w:t>
      </w:r>
    </w:p>
    <w:p w:rsidR="004C06C5" w:rsidRDefault="00ED474B">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、基金招募说明书应当最大限度地披露影响基金投资者决策的全部事项，说明基金认</w:t>
      </w:r>
      <w:r>
        <w:rPr>
          <w:rFonts w:ascii="Arial Unicode MS" w:hAnsi="Arial Unicode MS" w:cs="Arial" w:hint="eastAsia"/>
          <w:kern w:val="0"/>
          <w:szCs w:val="21"/>
        </w:rPr>
        <w:lastRenderedPageBreak/>
        <w:t>购、申购和赎回安排、基金投资、基金产品特性、风险揭示、信息披露及基金份额持有人服务等内容。《基金合同》生效后，</w:t>
      </w:r>
      <w:r>
        <w:rPr>
          <w:rFonts w:ascii="Arial Unicode MS" w:hAnsi="Arial Unicode MS" w:cs="Arial" w:hint="eastAsia"/>
          <w:bCs/>
          <w:szCs w:val="21"/>
        </w:rPr>
        <w:t>基金招募说明书的信息发生重大变更的，基金管理人应当在三个工作日内，更新基金招募说明书并登载在指定网站上；基金招募说明书其他信息发生变更的，基金管理人至少每年更新一次。基金终止运作的，基金管理人不再更新基金招募说明书。</w:t>
      </w:r>
    </w:p>
    <w:p w:rsidR="004C06C5" w:rsidRDefault="00ED474B">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3</w:t>
      </w:r>
      <w:r>
        <w:rPr>
          <w:rFonts w:ascii="Arial Unicode MS" w:hAnsi="Arial Unicode MS" w:cs="Arial" w:hint="eastAsia"/>
          <w:kern w:val="0"/>
          <w:szCs w:val="21"/>
        </w:rPr>
        <w:t>、基金托管协议是界定基金托管人和基金管理人在基金财产保管及基金运作监督等活动中的权利、义务关系的法律文件。</w:t>
      </w:r>
    </w:p>
    <w:p w:rsidR="004C06C5" w:rsidRDefault="00ED474B">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4</w:t>
      </w:r>
      <w:r>
        <w:rPr>
          <w:rFonts w:ascii="Arial Unicode MS" w:hAnsi="Arial Unicode MS" w:cs="Arial" w:hint="eastAsia"/>
          <w:bCs/>
          <w:szCs w:val="21"/>
        </w:rPr>
        <w:t>、基金产品资料概要是基金招募说明书的摘要文件，用于向投资者提供简明的基金概要信息。《基金合同》生效后，基金产品资料概要的信息发生重大变更的，基金管理人应当在三个工作日内，更新基金产品资料概要，并登载在指定网站及基金销售机构网站或营业网点；基金产品资料概要其他信息发生变更的，基金管理人至少每年更新一次。基金终止运作的，基金管理人不再更新基金产品资料概要。</w:t>
      </w:r>
    </w:p>
    <w:p w:rsidR="004C06C5" w:rsidRDefault="00ED474B">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bCs/>
          <w:szCs w:val="21"/>
        </w:rPr>
        <w:t>5</w:t>
      </w:r>
      <w:r>
        <w:rPr>
          <w:rFonts w:ascii="Arial Unicode MS" w:hAnsi="Arial Unicode MS" w:cs="Arial" w:hint="eastAsia"/>
          <w:bCs/>
          <w:szCs w:val="21"/>
        </w:rPr>
        <w:t>、基金募集申请经中国证监会注册后，基金管理人应当在基金份额发售的三日前，将基金份额发售公告、基金招募说明书提示性公告和基金合同提示性公告登载在指定报刊上，将基金份额发售公告、基金招募说明书、基金产品资料概要、《基金合同》和基金托管协议登载在指定网站上，并将基金产品资料概要登载在基金销售机构网站或营业网点；基金托管人应当同时将基金合同、基金托管协议登载在网站上。</w:t>
      </w:r>
    </w:p>
    <w:p w:rsidR="004C06C5" w:rsidRDefault="00ED474B">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（二）基金份额发售公告</w:t>
      </w:r>
    </w:p>
    <w:p w:rsidR="004C06C5" w:rsidRDefault="00ED474B">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基金管理人应当就基金份额发售的具体事宜编制基金份额发售公告，并在披露招募说明书的当日登载于指定媒介上。</w:t>
      </w:r>
    </w:p>
    <w:p w:rsidR="004C06C5" w:rsidRDefault="00ED474B">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（三）《基金合同》生效公告</w:t>
      </w:r>
    </w:p>
    <w:p w:rsidR="004C06C5" w:rsidRDefault="00ED474B">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基金管理人应当在收到中国证监会确认文件的次日在指定媒介上登载《基金合同》生效公告。</w:t>
      </w:r>
    </w:p>
    <w:p w:rsidR="004C06C5" w:rsidRDefault="00ED474B">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（四）</w:t>
      </w:r>
      <w:r>
        <w:rPr>
          <w:rFonts w:ascii="Arial Unicode MS" w:hAnsi="Arial Unicode MS" w:cs="Arial" w:hint="eastAsia"/>
          <w:bCs/>
          <w:szCs w:val="21"/>
        </w:rPr>
        <w:t>基金净值信息</w:t>
      </w:r>
    </w:p>
    <w:p w:rsidR="004C06C5" w:rsidRDefault="00ED474B">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《基金合同》生效后，在开始办理基金份额申购或者赎回前，</w:t>
      </w:r>
      <w:r>
        <w:rPr>
          <w:rFonts w:ascii="Arial Unicode MS" w:hAnsi="Arial Unicode MS" w:cs="Arial" w:hint="eastAsia"/>
          <w:bCs/>
          <w:szCs w:val="21"/>
        </w:rPr>
        <w:t>基金管理人应当至少每周在指定网站披露一次基金份额净值和基金份额累计净值。</w:t>
      </w:r>
    </w:p>
    <w:p w:rsidR="004C06C5" w:rsidRDefault="00ED474B">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在开始办理基金份额申购或者赎回后，</w:t>
      </w:r>
      <w:r>
        <w:rPr>
          <w:rFonts w:ascii="Arial Unicode MS" w:hAnsi="Arial Unicode MS" w:cs="Arial" w:hint="eastAsia"/>
          <w:bCs/>
          <w:szCs w:val="21"/>
        </w:rPr>
        <w:t>基金管理人应当在不晚于每个开放日的次日，通过其指定网站、基金销售机构网站或营业网点披露开放日的基金份额净值和基金份额累计净值</w:t>
      </w:r>
      <w:r>
        <w:rPr>
          <w:rFonts w:ascii="Arial Unicode MS" w:hAnsi="Arial Unicode MS" w:cs="Arial" w:hint="eastAsia"/>
          <w:kern w:val="0"/>
          <w:szCs w:val="21"/>
        </w:rPr>
        <w:t>。</w:t>
      </w:r>
    </w:p>
    <w:p w:rsidR="004C06C5" w:rsidRDefault="00ED474B">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bCs/>
          <w:szCs w:val="21"/>
        </w:rPr>
        <w:t>基金管理人应在不晚于半年度和年度最后一日的次日，在指定网站披露半年度和年度最后一日的基金份额净值和基金份额累计净值。</w:t>
      </w:r>
    </w:p>
    <w:p w:rsidR="004C06C5" w:rsidRDefault="00ED474B">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（五）基金份额申购、赎回价格</w:t>
      </w:r>
    </w:p>
    <w:p w:rsidR="004C06C5" w:rsidRDefault="00ED474B">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基金管理人应当在《基金合同》、招募说明书等信息披露文件上载</w:t>
      </w:r>
      <w:proofErr w:type="gramStart"/>
      <w:r>
        <w:rPr>
          <w:rFonts w:ascii="Arial Unicode MS" w:hAnsi="Arial Unicode MS" w:cs="Arial" w:hint="eastAsia"/>
          <w:kern w:val="0"/>
          <w:szCs w:val="21"/>
        </w:rPr>
        <w:t>明基金</w:t>
      </w:r>
      <w:proofErr w:type="gramEnd"/>
      <w:r>
        <w:rPr>
          <w:rFonts w:ascii="Arial Unicode MS" w:hAnsi="Arial Unicode MS" w:cs="Arial" w:hint="eastAsia"/>
          <w:kern w:val="0"/>
          <w:szCs w:val="21"/>
        </w:rPr>
        <w:t>份额申购、赎</w:t>
      </w:r>
      <w:r>
        <w:rPr>
          <w:rFonts w:ascii="Arial Unicode MS" w:hAnsi="Arial Unicode MS" w:cs="Arial" w:hint="eastAsia"/>
          <w:kern w:val="0"/>
          <w:szCs w:val="21"/>
        </w:rPr>
        <w:lastRenderedPageBreak/>
        <w:t>回价格的计算方式及有关申购、赎回费率，</w:t>
      </w:r>
      <w:r>
        <w:rPr>
          <w:rFonts w:ascii="Arial Unicode MS" w:hAnsi="Arial Unicode MS" w:cs="Arial" w:hint="eastAsia"/>
          <w:bCs/>
          <w:szCs w:val="21"/>
        </w:rPr>
        <w:t>并保证投资者能够在基金销售机构网站或营业网点查阅或者复制前述信息库资料。</w:t>
      </w:r>
    </w:p>
    <w:p w:rsidR="004C06C5" w:rsidRDefault="00ED474B">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（六）基金定期报告，包括基金年度报告、基金中期报告和基金季度报告</w:t>
      </w:r>
    </w:p>
    <w:p w:rsidR="004C06C5" w:rsidRDefault="00ED474B">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基金管理人应当在每年结束之日起三个月内，编制完成基金年度报告，</w:t>
      </w:r>
      <w:r>
        <w:rPr>
          <w:rFonts w:ascii="Arial Unicode MS" w:hAnsi="Arial Unicode MS" w:cs="Arial" w:hint="eastAsia"/>
          <w:bCs/>
          <w:szCs w:val="21"/>
        </w:rPr>
        <w:t>将年度报告登载在指定网站上，将年度报告提示性公告登载在指定报刊上。基金年度报告中的财务会计报告应当经过具有证券、期货相关业务资格的会计师事务所审计。</w:t>
      </w:r>
    </w:p>
    <w:p w:rsidR="004C06C5" w:rsidRDefault="00ED474B">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bCs/>
          <w:szCs w:val="21"/>
        </w:rPr>
        <w:t>基金管理人应当在上半年结束之日起两个月内，编制完成基金中期报告，将中期报告登载在指定网站上，并将中期报告提示性公告登载在指定报刊上。</w:t>
      </w:r>
    </w:p>
    <w:p w:rsidR="004C06C5" w:rsidRDefault="00ED474B">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bCs/>
          <w:szCs w:val="21"/>
        </w:rPr>
        <w:t>基金管理人应当在每个季度结束之日起</w:t>
      </w:r>
      <w:r>
        <w:rPr>
          <w:rFonts w:ascii="Arial Unicode MS" w:hAnsi="Arial Unicode MS" w:cs="Arial" w:hint="eastAsia"/>
          <w:bCs/>
          <w:szCs w:val="21"/>
        </w:rPr>
        <w:t>15</w:t>
      </w:r>
      <w:r>
        <w:rPr>
          <w:rFonts w:ascii="Arial Unicode MS" w:hAnsi="Arial Unicode MS" w:cs="Arial" w:hint="eastAsia"/>
          <w:bCs/>
          <w:szCs w:val="21"/>
        </w:rPr>
        <w:t>个工作日内，编制完成基金季度报告，将季度报告登载在指定网站上，并将季度报告提示性公告登载在指定报刊上。</w:t>
      </w:r>
    </w:p>
    <w:p w:rsidR="004C06C5" w:rsidRDefault="00ED474B">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《基金合同》生效不足</w:t>
      </w:r>
      <w:r>
        <w:rPr>
          <w:rFonts w:ascii="Arial Unicode MS" w:hAnsi="Arial Unicode MS" w:cs="Arial" w:hint="eastAsia"/>
          <w:kern w:val="0"/>
          <w:szCs w:val="21"/>
        </w:rPr>
        <w:t>2</w:t>
      </w:r>
      <w:r>
        <w:rPr>
          <w:rFonts w:ascii="Arial Unicode MS" w:hAnsi="Arial Unicode MS" w:cs="Arial" w:hint="eastAsia"/>
          <w:kern w:val="0"/>
          <w:szCs w:val="21"/>
        </w:rPr>
        <w:t>个月的，</w:t>
      </w:r>
      <w:r>
        <w:rPr>
          <w:rFonts w:ascii="Arial Unicode MS" w:hAnsi="Arial Unicode MS" w:cs="Arial" w:hint="eastAsia"/>
          <w:bCs/>
          <w:szCs w:val="21"/>
        </w:rPr>
        <w:t>基金管理人可以不编制当期季度报告、中期报告或者年度报告。</w:t>
      </w:r>
    </w:p>
    <w:p w:rsidR="004C06C5" w:rsidRDefault="00ED474B">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如报告期内出现单一投资者持有基金份额达到或超过基金总份额</w:t>
      </w:r>
      <w:r>
        <w:rPr>
          <w:rFonts w:ascii="Arial Unicode MS" w:hAnsi="Arial Unicode MS" w:cs="Arial" w:hint="eastAsia"/>
          <w:kern w:val="0"/>
          <w:szCs w:val="21"/>
        </w:rPr>
        <w:t>20%</w:t>
      </w:r>
      <w:r>
        <w:rPr>
          <w:rFonts w:ascii="Arial Unicode MS" w:hAnsi="Arial Unicode MS" w:cs="Arial" w:hint="eastAsia"/>
          <w:kern w:val="0"/>
          <w:szCs w:val="21"/>
        </w:rPr>
        <w:t>的情形，为保障其他投资者利益，基金管理人至少应当在定期报告“影响投资者决策的其他重要信息”项下披露该投资者的类别、报告期末持有份额及占比、报告期内持有份额变化情况及本基金的特有风险。</w:t>
      </w:r>
    </w:p>
    <w:p w:rsidR="004C06C5" w:rsidRDefault="00ED474B">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本基金持续运作过程中，应当在基金年度报告和中期报告中披露基金组合资产情况及其流动性风险分析等。</w:t>
      </w:r>
    </w:p>
    <w:p w:rsidR="004C06C5" w:rsidRDefault="00ED474B">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（七）临时报告</w:t>
      </w:r>
    </w:p>
    <w:p w:rsidR="004C06C5" w:rsidRDefault="00ED474B">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bCs/>
          <w:szCs w:val="21"/>
        </w:rPr>
        <w:t>本基金发生重大事件，有关信息披露义务人应在</w:t>
      </w:r>
      <w:r>
        <w:rPr>
          <w:rFonts w:ascii="Arial Unicode MS" w:hAnsi="Arial Unicode MS" w:cs="Arial" w:hint="eastAsia"/>
          <w:bCs/>
          <w:szCs w:val="21"/>
        </w:rPr>
        <w:t>2</w:t>
      </w:r>
      <w:r>
        <w:rPr>
          <w:rFonts w:ascii="Arial Unicode MS" w:hAnsi="Arial Unicode MS" w:cs="Arial" w:hint="eastAsia"/>
          <w:bCs/>
          <w:szCs w:val="21"/>
        </w:rPr>
        <w:t>日内编制临时报告书，并登载在指定报刊和指定网站上。</w:t>
      </w:r>
    </w:p>
    <w:p w:rsidR="004C06C5" w:rsidRDefault="00ED474B">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前款所称重大事件，是指可能对基金份额持有人权益或者基金份额的价格产生重大影响的下列事件：</w:t>
      </w:r>
    </w:p>
    <w:p w:rsidR="004C06C5" w:rsidRDefault="00ED474B">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w:t>
      </w:r>
      <w:r>
        <w:rPr>
          <w:rFonts w:ascii="Arial Unicode MS" w:hAnsi="Arial Unicode MS" w:cs="Arial" w:hint="eastAsia"/>
          <w:bCs/>
          <w:szCs w:val="21"/>
        </w:rPr>
        <w:t>、基金份额持有人大会的召开及决定的事项；</w:t>
      </w:r>
    </w:p>
    <w:p w:rsidR="004C06C5" w:rsidRDefault="00ED474B">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2</w:t>
      </w:r>
      <w:r>
        <w:rPr>
          <w:rFonts w:ascii="Arial Unicode MS" w:hAnsi="Arial Unicode MS" w:cs="Arial" w:hint="eastAsia"/>
          <w:bCs/>
          <w:szCs w:val="21"/>
        </w:rPr>
        <w:t>、基金终止上市交易、基金合同终止、基金清算；</w:t>
      </w:r>
    </w:p>
    <w:p w:rsidR="004C06C5" w:rsidRDefault="00ED474B">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3</w:t>
      </w:r>
      <w:r>
        <w:rPr>
          <w:rFonts w:ascii="Arial Unicode MS" w:hAnsi="Arial Unicode MS" w:cs="Arial" w:hint="eastAsia"/>
          <w:bCs/>
          <w:szCs w:val="21"/>
        </w:rPr>
        <w:t>、转换基金运作方式、基金合并；</w:t>
      </w:r>
    </w:p>
    <w:p w:rsidR="004C06C5" w:rsidRDefault="00ED474B">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4</w:t>
      </w:r>
      <w:r>
        <w:rPr>
          <w:rFonts w:ascii="Arial Unicode MS" w:hAnsi="Arial Unicode MS" w:cs="Arial" w:hint="eastAsia"/>
          <w:bCs/>
          <w:szCs w:val="21"/>
        </w:rPr>
        <w:t>、更换基金管理人、基金托管人、基金份额登记机构，基金改聘会计师事务所；</w:t>
      </w:r>
    </w:p>
    <w:p w:rsidR="004C06C5" w:rsidRDefault="00ED474B">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5</w:t>
      </w:r>
      <w:r>
        <w:rPr>
          <w:rFonts w:ascii="Arial Unicode MS" w:hAnsi="Arial Unicode MS" w:cs="Arial" w:hint="eastAsia"/>
          <w:bCs/>
          <w:szCs w:val="21"/>
        </w:rPr>
        <w:t>、基金管理人委托基金服务机构代为办理基金的份额登记、核算、估值等事项，基金托管人委托基金服务机构代为办理基金的核算、估值、复核等事项；</w:t>
      </w:r>
    </w:p>
    <w:p w:rsidR="004C06C5" w:rsidRDefault="00ED474B">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6</w:t>
      </w:r>
      <w:r>
        <w:rPr>
          <w:rFonts w:ascii="Arial Unicode MS" w:hAnsi="Arial Unicode MS" w:cs="Arial" w:hint="eastAsia"/>
          <w:bCs/>
          <w:szCs w:val="21"/>
        </w:rPr>
        <w:t>、基金管理人、基金托管人的法定名称、住所发生变更；</w:t>
      </w:r>
    </w:p>
    <w:p w:rsidR="004C06C5" w:rsidRDefault="00ED474B">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lastRenderedPageBreak/>
        <w:t>7</w:t>
      </w:r>
      <w:r>
        <w:rPr>
          <w:rFonts w:ascii="Arial Unicode MS" w:hAnsi="Arial Unicode MS" w:cs="Arial" w:hint="eastAsia"/>
          <w:bCs/>
          <w:szCs w:val="21"/>
        </w:rPr>
        <w:t>、基金管理人变更持有百分之五以上股权的股东、基金管理人的实际控制人变更；</w:t>
      </w:r>
    </w:p>
    <w:p w:rsidR="004C06C5" w:rsidRDefault="00ED474B">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8</w:t>
      </w:r>
      <w:r>
        <w:rPr>
          <w:rFonts w:ascii="Arial Unicode MS" w:hAnsi="Arial Unicode MS" w:cs="Arial" w:hint="eastAsia"/>
          <w:bCs/>
          <w:szCs w:val="21"/>
        </w:rPr>
        <w:t>、基金募集期延长或提前结束募集；</w:t>
      </w:r>
    </w:p>
    <w:p w:rsidR="004C06C5" w:rsidRDefault="00ED474B">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9</w:t>
      </w:r>
      <w:r>
        <w:rPr>
          <w:rFonts w:ascii="Arial Unicode MS" w:hAnsi="Arial Unicode MS" w:cs="Arial" w:hint="eastAsia"/>
          <w:bCs/>
          <w:szCs w:val="21"/>
        </w:rPr>
        <w:t>、基金管理人的高级管理人员、基金经理和基金托管人专门基金托管部门负责人发生变动；</w:t>
      </w:r>
    </w:p>
    <w:p w:rsidR="004C06C5" w:rsidRDefault="00ED474B">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10</w:t>
      </w:r>
      <w:r>
        <w:rPr>
          <w:rFonts w:ascii="Arial Unicode MS" w:hAnsi="Arial Unicode MS" w:cs="Arial" w:hint="eastAsia"/>
          <w:bCs/>
          <w:szCs w:val="21"/>
        </w:rPr>
        <w:t>、基金管理人的董事在最近</w:t>
      </w:r>
      <w:r>
        <w:rPr>
          <w:rFonts w:ascii="Arial Unicode MS" w:hAnsi="Arial Unicode MS" w:cs="Arial" w:hint="eastAsia"/>
          <w:bCs/>
          <w:szCs w:val="21"/>
        </w:rPr>
        <w:t>12</w:t>
      </w:r>
      <w:r>
        <w:rPr>
          <w:rFonts w:ascii="Arial Unicode MS" w:hAnsi="Arial Unicode MS" w:cs="Arial" w:hint="eastAsia"/>
          <w:bCs/>
          <w:szCs w:val="21"/>
        </w:rPr>
        <w:t>个月内变更超过百分之五十，基金管理人、基金托管人专门基金托管部门的主要业务人员在最近</w:t>
      </w:r>
      <w:r>
        <w:rPr>
          <w:rFonts w:ascii="Arial Unicode MS" w:hAnsi="Arial Unicode MS" w:cs="Arial" w:hint="eastAsia"/>
          <w:bCs/>
          <w:szCs w:val="21"/>
        </w:rPr>
        <w:t>12</w:t>
      </w:r>
      <w:r>
        <w:rPr>
          <w:rFonts w:ascii="Arial Unicode MS" w:hAnsi="Arial Unicode MS" w:cs="Arial" w:hint="eastAsia"/>
          <w:bCs/>
          <w:szCs w:val="21"/>
        </w:rPr>
        <w:t>个月内，变动超过百分之三十；</w:t>
      </w:r>
    </w:p>
    <w:p w:rsidR="004C06C5" w:rsidRDefault="00ED474B">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11</w:t>
      </w:r>
      <w:r>
        <w:rPr>
          <w:rFonts w:ascii="Arial Unicode MS" w:hAnsi="Arial Unicode MS" w:cs="Arial" w:hint="eastAsia"/>
          <w:bCs/>
          <w:szCs w:val="21"/>
        </w:rPr>
        <w:t>、涉及基金财产、基金管理业务、基金托管业务的诉讼或仲裁；</w:t>
      </w:r>
    </w:p>
    <w:p w:rsidR="004C06C5" w:rsidRDefault="00ED474B">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12</w:t>
      </w:r>
      <w:r>
        <w:rPr>
          <w:rFonts w:ascii="Arial Unicode MS" w:hAnsi="Arial Unicode MS" w:cs="Arial" w:hint="eastAsia"/>
          <w:bCs/>
          <w:szCs w:val="21"/>
        </w:rPr>
        <w:t>、基金管理人或其高级管理人员、基金经理因基金管理业务相关行为受到重大行政处罚、刑事处罚，基金托管人或其专门基金托管部门负责人因基金托管业务相关行为受到重大行政处罚、刑事处罚；</w:t>
      </w:r>
    </w:p>
    <w:p w:rsidR="004C06C5" w:rsidRDefault="00ED474B">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13</w:t>
      </w:r>
      <w:r>
        <w:rPr>
          <w:rFonts w:ascii="Arial Unicode MS" w:hAnsi="Arial Unicode MS" w:cs="Arial" w:hint="eastAsia"/>
          <w:bCs/>
          <w:szCs w:val="21"/>
        </w:rPr>
        <w:t>、基金管理人运用基金财产买卖基金管理人、基金托管人及其控股股东、实际控制人或者与其有重大利害关系的公司发行的证券或者承销期内承销的证券，或者从事其他重大关联交易事项，中国证监会另有规定的情形除外；</w:t>
      </w:r>
    </w:p>
    <w:p w:rsidR="004C06C5" w:rsidRDefault="00ED474B">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14</w:t>
      </w:r>
      <w:r>
        <w:rPr>
          <w:rFonts w:ascii="Arial Unicode MS" w:hAnsi="Arial Unicode MS" w:cs="Arial" w:hint="eastAsia"/>
          <w:bCs/>
          <w:szCs w:val="21"/>
        </w:rPr>
        <w:t>、基金收益分配事项；</w:t>
      </w:r>
    </w:p>
    <w:p w:rsidR="004C06C5" w:rsidRDefault="00ED474B">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15</w:t>
      </w:r>
      <w:r>
        <w:rPr>
          <w:rFonts w:ascii="Arial Unicode MS" w:hAnsi="Arial Unicode MS" w:cs="Arial" w:hint="eastAsia"/>
          <w:bCs/>
          <w:szCs w:val="21"/>
        </w:rPr>
        <w:t>、管理费、托管费、申购费、赎回费等费用计提标准、计提方式和费率发生变更；</w:t>
      </w:r>
    </w:p>
    <w:p w:rsidR="004C06C5" w:rsidRDefault="00ED474B">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16</w:t>
      </w:r>
      <w:r>
        <w:rPr>
          <w:rFonts w:ascii="Arial Unicode MS" w:hAnsi="Arial Unicode MS" w:cs="Arial" w:hint="eastAsia"/>
          <w:bCs/>
          <w:szCs w:val="21"/>
        </w:rPr>
        <w:t>、基金份额净值计价错误</w:t>
      </w:r>
      <w:proofErr w:type="gramStart"/>
      <w:r>
        <w:rPr>
          <w:rFonts w:ascii="Arial Unicode MS" w:hAnsi="Arial Unicode MS" w:cs="Arial" w:hint="eastAsia"/>
          <w:bCs/>
          <w:szCs w:val="21"/>
        </w:rPr>
        <w:t>达基金</w:t>
      </w:r>
      <w:proofErr w:type="gramEnd"/>
      <w:r>
        <w:rPr>
          <w:rFonts w:ascii="Arial Unicode MS" w:hAnsi="Arial Unicode MS" w:cs="Arial" w:hint="eastAsia"/>
          <w:bCs/>
          <w:szCs w:val="21"/>
        </w:rPr>
        <w:t>份额净值百分之零点五；</w:t>
      </w:r>
    </w:p>
    <w:p w:rsidR="004C06C5" w:rsidRDefault="00ED474B">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17</w:t>
      </w:r>
      <w:r>
        <w:rPr>
          <w:rFonts w:ascii="Arial Unicode MS" w:hAnsi="Arial Unicode MS" w:cs="Arial" w:hint="eastAsia"/>
          <w:bCs/>
          <w:szCs w:val="21"/>
        </w:rPr>
        <w:t>、本基金开始办理申购、赎回；</w:t>
      </w:r>
    </w:p>
    <w:p w:rsidR="004C06C5" w:rsidRDefault="00ED474B">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18</w:t>
      </w:r>
      <w:r>
        <w:rPr>
          <w:rFonts w:ascii="Arial Unicode MS" w:hAnsi="Arial Unicode MS" w:cs="Arial" w:hint="eastAsia"/>
          <w:bCs/>
          <w:szCs w:val="21"/>
        </w:rPr>
        <w:t>、本基金暂定接受申购、赎回申请或重新接受申购、赎回申请；</w:t>
      </w:r>
    </w:p>
    <w:p w:rsidR="004C06C5" w:rsidRDefault="00ED474B">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19</w:t>
      </w:r>
      <w:r>
        <w:rPr>
          <w:rFonts w:ascii="Arial Unicode MS" w:hAnsi="Arial Unicode MS" w:cs="Arial" w:hint="eastAsia"/>
          <w:bCs/>
          <w:szCs w:val="21"/>
        </w:rPr>
        <w:t>、基金变更标的指数；</w:t>
      </w:r>
    </w:p>
    <w:p w:rsidR="004C06C5" w:rsidRDefault="00ED474B">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20</w:t>
      </w:r>
      <w:r>
        <w:rPr>
          <w:rFonts w:ascii="Arial Unicode MS" w:hAnsi="Arial Unicode MS" w:cs="Arial" w:hint="eastAsia"/>
          <w:bCs/>
          <w:szCs w:val="21"/>
        </w:rPr>
        <w:t>、基金份额停牌、复牌、暂停上市、恢复上市或终止上市交易；</w:t>
      </w:r>
    </w:p>
    <w:p w:rsidR="004C06C5" w:rsidRDefault="00ED474B">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21</w:t>
      </w:r>
      <w:r>
        <w:rPr>
          <w:rFonts w:ascii="Arial Unicode MS" w:hAnsi="Arial Unicode MS" w:cs="Arial" w:hint="eastAsia"/>
          <w:bCs/>
          <w:szCs w:val="21"/>
        </w:rPr>
        <w:t>、调整最小申购赎回单位、申购赎回方式及申购对价、赎回对价组成；</w:t>
      </w:r>
    </w:p>
    <w:p w:rsidR="004C06C5" w:rsidRDefault="00ED474B">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22</w:t>
      </w:r>
      <w:r>
        <w:rPr>
          <w:rFonts w:ascii="Arial Unicode MS" w:hAnsi="Arial Unicode MS" w:cs="Arial" w:hint="eastAsia"/>
          <w:bCs/>
          <w:szCs w:val="21"/>
        </w:rPr>
        <w:t>、调整基金份额类别的设置；</w:t>
      </w:r>
    </w:p>
    <w:p w:rsidR="004C06C5" w:rsidRDefault="00ED474B">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23</w:t>
      </w:r>
      <w:r>
        <w:rPr>
          <w:rFonts w:ascii="Arial Unicode MS" w:hAnsi="Arial Unicode MS" w:cs="Arial" w:hint="eastAsia"/>
          <w:bCs/>
          <w:szCs w:val="21"/>
        </w:rPr>
        <w:t>、基金推出新业务或服务；</w:t>
      </w:r>
    </w:p>
    <w:p w:rsidR="004C06C5" w:rsidRDefault="00ED474B">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bCs/>
          <w:szCs w:val="21"/>
        </w:rPr>
        <w:t>24</w:t>
      </w:r>
      <w:r>
        <w:rPr>
          <w:rFonts w:ascii="Arial Unicode MS" w:hAnsi="Arial Unicode MS" w:cs="Arial" w:hint="eastAsia"/>
          <w:bCs/>
          <w:szCs w:val="21"/>
        </w:rPr>
        <w:t>、基金信息披露义务人认为可能对基金份额持有人权益或者基金份额的价格产生重大影响的其他事项或中国证监会规定的其他事项。</w:t>
      </w:r>
    </w:p>
    <w:p w:rsidR="004C06C5" w:rsidRDefault="00ED474B">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（八）澄清公告</w:t>
      </w:r>
    </w:p>
    <w:p w:rsidR="004C06C5" w:rsidRDefault="00ED474B">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bCs/>
          <w:szCs w:val="21"/>
        </w:rPr>
        <w:t>在基金合同期限内，任何公共媒体中出现的或者在市场上流传的消息可能对基金份额价</w:t>
      </w:r>
      <w:r>
        <w:rPr>
          <w:rFonts w:ascii="Arial Unicode MS" w:hAnsi="Arial Unicode MS" w:cs="Arial" w:hint="eastAsia"/>
          <w:bCs/>
          <w:szCs w:val="21"/>
        </w:rPr>
        <w:lastRenderedPageBreak/>
        <w:t>格产生误导性影响或者引起较大波动，以及可能损害基金份额持有人权益的，相关信息披露义务人知悉后应当立即对该消息进行公开澄清，并将有关情况立即报告中国证监会、基金上市交易的证券交易所。</w:t>
      </w:r>
    </w:p>
    <w:p w:rsidR="004C06C5" w:rsidRDefault="00ED474B">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（九）清算报告</w:t>
      </w:r>
    </w:p>
    <w:p w:rsidR="004C06C5" w:rsidRDefault="00ED474B">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bCs/>
          <w:szCs w:val="21"/>
        </w:rPr>
        <w:t>基金合同终止的，基金管理人应当依法组织基金财产清算小组对基金财产进行清算并</w:t>
      </w:r>
      <w:proofErr w:type="gramStart"/>
      <w:r>
        <w:rPr>
          <w:rFonts w:ascii="Arial Unicode MS" w:hAnsi="Arial Unicode MS" w:cs="Arial" w:hint="eastAsia"/>
          <w:bCs/>
          <w:szCs w:val="21"/>
        </w:rPr>
        <w:t>作出</w:t>
      </w:r>
      <w:proofErr w:type="gramEnd"/>
      <w:r>
        <w:rPr>
          <w:rFonts w:ascii="Arial Unicode MS" w:hAnsi="Arial Unicode MS" w:cs="Arial" w:hint="eastAsia"/>
          <w:bCs/>
          <w:szCs w:val="21"/>
        </w:rPr>
        <w:t>清算报告。基金财产清算小组应当将清算报告登载在指定网站上，并将清算报告提示性公告登载在指定报刊上。</w:t>
      </w:r>
    </w:p>
    <w:p w:rsidR="004C06C5" w:rsidRDefault="00ED474B">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（十）基金份额持有人大会决议</w:t>
      </w:r>
    </w:p>
    <w:p w:rsidR="004C06C5" w:rsidRDefault="00ED474B">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基金份额持有人大会决定的事项，应当依法报中国证监会备案，并予以公告。</w:t>
      </w:r>
    </w:p>
    <w:p w:rsidR="004C06C5" w:rsidRDefault="00ED474B">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（十一）投资于中小企业私募债券的信息披露</w:t>
      </w:r>
    </w:p>
    <w:p w:rsidR="004C06C5" w:rsidRDefault="00ED474B">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、基金管理人应当在基金投资中小企业私募债券后两个交易日内，在中国证监会指定媒介披露所投资中小企业私募债券的名称、数量、期限、收益率等信息。</w:t>
      </w:r>
    </w:p>
    <w:p w:rsidR="004C06C5" w:rsidRDefault="00ED474B">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、基金管理人应当在季度报告、中期报告、年度报告等定期报告和招募说明书（更新）等文件中披露中小企业私募债券的投资情况。</w:t>
      </w:r>
    </w:p>
    <w:p w:rsidR="004C06C5" w:rsidRDefault="00ED474B">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（十二）投资于资产支持证券的信息披露</w:t>
      </w:r>
    </w:p>
    <w:p w:rsidR="004C06C5" w:rsidRDefault="00ED474B">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应在基金年报及中期报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w:t>
      </w:r>
      <w:r>
        <w:rPr>
          <w:rFonts w:ascii="Arial Unicode MS" w:hAnsi="Arial Unicode MS" w:cs="Arial" w:hint="eastAsia"/>
          <w:kern w:val="0"/>
          <w:szCs w:val="21"/>
        </w:rPr>
        <w:t>10</w:t>
      </w:r>
      <w:r>
        <w:rPr>
          <w:rFonts w:ascii="Arial Unicode MS" w:hAnsi="Arial Unicode MS" w:cs="Arial" w:hint="eastAsia"/>
          <w:kern w:val="0"/>
          <w:szCs w:val="21"/>
        </w:rPr>
        <w:t>名资产支持证券明细。</w:t>
      </w:r>
    </w:p>
    <w:p w:rsidR="004C06C5" w:rsidRDefault="00ED474B">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（十三）投资于国债期货的信息披露</w:t>
      </w:r>
    </w:p>
    <w:p w:rsidR="004C06C5" w:rsidRDefault="00ED474B">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应当在基金季度报告、基金中期报告、基金年度报告等定期报告和招募说明书（更新）等文件中披露国债期货交易情况，包括投资政策、持仓情况、损益情况、风险指标等，并充分揭示国债期货交易对基金总体风险的影响以及是否符合既定的投资政策和投资目标。</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（十四）中国证监会规定的其他信息</w:t>
      </w:r>
    </w:p>
    <w:p w:rsidR="004C06C5" w:rsidRDefault="00ED474B">
      <w:pPr>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六、信息披露事务管理</w:t>
      </w:r>
    </w:p>
    <w:p w:rsidR="004C06C5" w:rsidRDefault="00ED474B">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基金管理人、基金托管人应当建立健全信息披露管理制度，指定专门部门及高级管理人员负责管理信息披露事务。</w:t>
      </w:r>
    </w:p>
    <w:p w:rsidR="004C06C5" w:rsidRDefault="00ED474B">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基金信息披露义务人公开披露基金信息，应当符合中国证监会相关基金信息披露内容与格式准则等法规的规定。</w:t>
      </w:r>
    </w:p>
    <w:p w:rsidR="004C06C5" w:rsidRDefault="00ED474B">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托管人应当按照相关法律法规、中国证监会的规定和基金合同的约定，对基金管理人编制的基金资产净值、基金份额净值、基金份额申购赎回对价、基金定期报告、更新的招募说明书、基金产品资料概要、基金清算报告等公开披露的相关基金信息</w:t>
      </w:r>
      <w:proofErr w:type="gramStart"/>
      <w:r>
        <w:rPr>
          <w:rFonts w:ascii="Arial Unicode MS" w:hAnsi="Arial Unicode MS" w:cs="Arial" w:hint="eastAsia"/>
          <w:bCs/>
          <w:szCs w:val="21"/>
        </w:rPr>
        <w:t>进行进行</w:t>
      </w:r>
      <w:proofErr w:type="gramEnd"/>
      <w:r>
        <w:rPr>
          <w:rFonts w:ascii="Arial Unicode MS" w:hAnsi="Arial Unicode MS" w:cs="Arial" w:hint="eastAsia"/>
          <w:bCs/>
          <w:szCs w:val="21"/>
        </w:rPr>
        <w:t>复核、审</w:t>
      </w:r>
      <w:r>
        <w:rPr>
          <w:rFonts w:ascii="Arial Unicode MS" w:hAnsi="Arial Unicode MS" w:cs="Arial" w:hint="eastAsia"/>
          <w:bCs/>
          <w:szCs w:val="21"/>
        </w:rPr>
        <w:lastRenderedPageBreak/>
        <w:t>查，并向基金管理人进行书面或电子确认。</w:t>
      </w:r>
    </w:p>
    <w:p w:rsidR="004C06C5" w:rsidRDefault="00ED474B">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基金管理人、基金托管人应当在指定报刊中选择一家报刊披露本基金信息。基金管理人、基金托管人应当向中国证监会基金电子披露网站报送拟披露的基金信息，并保证相关报送信息的真实、准确、完整、及时。</w:t>
      </w:r>
    </w:p>
    <w:p w:rsidR="004C06C5" w:rsidRDefault="00ED474B">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基金管理人、基金托管人除依法在指定媒介上披露信息外，还可以根据需要在其他公共媒介披露信息，但是其他公共媒介不得早于指定媒介披露信息，并且在不同媒介上披露同一信息的内容应当一致。</w:t>
      </w:r>
    </w:p>
    <w:p w:rsidR="004C06C5" w:rsidRDefault="00ED474B">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bCs/>
          <w:szCs w:val="21"/>
        </w:rPr>
        <w:t>基金管理人、基金托管人除按法律法规要求披露信息外、也可着眼于为投资者决策提供有用信息的角度，在保证公平对待投资者、</w:t>
      </w:r>
      <w:proofErr w:type="gramStart"/>
      <w:r>
        <w:rPr>
          <w:rFonts w:ascii="Arial Unicode MS" w:hAnsi="Arial Unicode MS" w:cs="Arial" w:hint="eastAsia"/>
          <w:bCs/>
          <w:szCs w:val="21"/>
        </w:rPr>
        <w:t>不</w:t>
      </w:r>
      <w:proofErr w:type="gramEnd"/>
      <w:r>
        <w:rPr>
          <w:rFonts w:ascii="Arial Unicode MS" w:hAnsi="Arial Unicode MS" w:cs="Arial" w:hint="eastAsia"/>
          <w:bCs/>
          <w:szCs w:val="21"/>
        </w:rPr>
        <w:t>误导投资者、不影响基金正常投资操作的前提下，自主提升信息披露服务的质量。具体要求应当符合中国证监会及自律规则的相关规定。前述自主披露如产生信息披露费用，该费用不得从基金财产中列支。</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为基金信息披露义务人公开披露的基金信息出具审计报告、法律意见书的专业机构，应当制作工作底稿，并将相关档案至少保存到《基金合同》终止后</w:t>
      </w:r>
      <w:r>
        <w:rPr>
          <w:rFonts w:ascii="Arial Unicode MS" w:hAnsi="Arial Unicode MS" w:cs="Arial" w:hint="eastAsia"/>
          <w:kern w:val="0"/>
          <w:szCs w:val="21"/>
        </w:rPr>
        <w:t>10</w:t>
      </w:r>
      <w:r>
        <w:rPr>
          <w:rFonts w:ascii="Arial Unicode MS" w:hAnsi="Arial Unicode MS" w:cs="Arial" w:hint="eastAsia"/>
          <w:kern w:val="0"/>
          <w:szCs w:val="21"/>
        </w:rPr>
        <w:t>年。</w:t>
      </w:r>
    </w:p>
    <w:p w:rsidR="004C06C5" w:rsidRDefault="00ED474B">
      <w:pPr>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七、信息披露文件的存放与查阅</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bCs/>
          <w:szCs w:val="21"/>
        </w:rPr>
        <w:t>依法必须披露的信息发布后，基金管理人、基金托管人应当按照相关法律法规规定将信息置备于公司住所、基金上市交易的证券交易所，供社会公众查阅、复制。</w:t>
      </w:r>
    </w:p>
    <w:p w:rsidR="004C06C5" w:rsidRDefault="00ED474B">
      <w:pPr>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八、当出现下述情况时，基金管理人和基金托管人可暂停或延迟披露基金相关信息：</w:t>
      </w:r>
    </w:p>
    <w:p w:rsidR="004C06C5" w:rsidRDefault="00ED474B">
      <w:pPr>
        <w:snapToGrid w:val="0"/>
        <w:spacing w:line="360" w:lineRule="auto"/>
        <w:ind w:firstLineChars="200" w:firstLine="420"/>
        <w:rPr>
          <w:rFonts w:ascii="Arial Unicode MS" w:hAnsi="Arial Unicode MS" w:cs="Arial"/>
          <w:bCs/>
          <w:szCs w:val="21"/>
        </w:rPr>
      </w:pPr>
      <w:r>
        <w:rPr>
          <w:rFonts w:ascii="Arial Unicode MS" w:hAnsi="Arial Unicode MS" w:cs="Arial"/>
          <w:bCs/>
          <w:szCs w:val="21"/>
        </w:rPr>
        <w:t>1</w:t>
      </w:r>
      <w:r>
        <w:rPr>
          <w:rFonts w:ascii="Arial Unicode MS" w:hAnsi="Arial Unicode MS" w:cs="Arial" w:hint="eastAsia"/>
          <w:bCs/>
          <w:szCs w:val="21"/>
        </w:rPr>
        <w:t>、基金投资所涉及的证券交易所遇法定节假日或因其他原因暂停营业时；</w:t>
      </w:r>
    </w:p>
    <w:p w:rsidR="004C06C5" w:rsidRDefault="00ED474B">
      <w:pPr>
        <w:snapToGrid w:val="0"/>
        <w:spacing w:line="360" w:lineRule="auto"/>
        <w:ind w:firstLineChars="200" w:firstLine="420"/>
        <w:rPr>
          <w:rFonts w:ascii="Arial Unicode MS" w:hAnsi="Arial Unicode MS" w:cs="Arial"/>
          <w:bCs/>
          <w:szCs w:val="21"/>
        </w:rPr>
      </w:pPr>
      <w:r>
        <w:rPr>
          <w:rFonts w:ascii="Arial Unicode MS" w:hAnsi="Arial Unicode MS" w:cs="Arial"/>
          <w:bCs/>
          <w:szCs w:val="21"/>
        </w:rPr>
        <w:t>2</w:t>
      </w:r>
      <w:r>
        <w:rPr>
          <w:rFonts w:ascii="Arial Unicode MS" w:hAnsi="Arial Unicode MS" w:cs="Arial" w:hint="eastAsia"/>
          <w:bCs/>
          <w:szCs w:val="21"/>
        </w:rPr>
        <w:t>、因不可抗力或其他情形致使基金管理人、基金托管人无法准确评估基金资产价值时；</w:t>
      </w:r>
    </w:p>
    <w:p w:rsidR="004C06C5" w:rsidRDefault="00ED474B">
      <w:pPr>
        <w:snapToGrid w:val="0"/>
        <w:spacing w:line="360" w:lineRule="auto"/>
        <w:ind w:firstLineChars="200" w:firstLine="420"/>
        <w:rPr>
          <w:rFonts w:ascii="Arial Unicode MS" w:hAnsi="Arial Unicode MS" w:cs="Arial"/>
          <w:bCs/>
          <w:szCs w:val="21"/>
        </w:rPr>
      </w:pPr>
      <w:r>
        <w:rPr>
          <w:rFonts w:ascii="Arial Unicode MS" w:hAnsi="Arial Unicode MS" w:cs="Arial"/>
          <w:bCs/>
          <w:szCs w:val="21"/>
        </w:rPr>
        <w:t>3</w:t>
      </w:r>
      <w:r>
        <w:rPr>
          <w:rFonts w:ascii="Arial Unicode MS" w:hAnsi="Arial Unicode MS" w:cs="Arial" w:hint="eastAsia"/>
          <w:bCs/>
          <w:szCs w:val="21"/>
        </w:rPr>
        <w:t>、法律法规、中国证监会或《基金合同》认定的其他情形。</w:t>
      </w:r>
    </w:p>
    <w:p w:rsidR="004C06C5" w:rsidRDefault="004C06C5">
      <w:pPr>
        <w:snapToGrid w:val="0"/>
        <w:spacing w:line="360" w:lineRule="auto"/>
        <w:ind w:firstLineChars="200" w:firstLine="420"/>
        <w:rPr>
          <w:rFonts w:ascii="Arial Unicode MS" w:hAnsi="Arial Unicode MS" w:cs="Arial"/>
          <w:bCs/>
          <w:szCs w:val="21"/>
        </w:rPr>
      </w:pPr>
    </w:p>
    <w:p w:rsidR="004C06C5" w:rsidRDefault="004C06C5">
      <w:pPr>
        <w:snapToGrid w:val="0"/>
        <w:spacing w:line="360" w:lineRule="auto"/>
        <w:ind w:firstLineChars="200" w:firstLine="420"/>
        <w:rPr>
          <w:rFonts w:ascii="Arial Unicode MS" w:hAnsi="Arial Unicode MS" w:cs="Arial"/>
          <w:bCs/>
          <w:szCs w:val="21"/>
        </w:rPr>
      </w:pPr>
    </w:p>
    <w:p w:rsidR="004C06C5" w:rsidRDefault="004C06C5">
      <w:pPr>
        <w:snapToGrid w:val="0"/>
        <w:spacing w:line="360" w:lineRule="auto"/>
        <w:ind w:firstLineChars="200" w:firstLine="420"/>
        <w:rPr>
          <w:rFonts w:ascii="Arial Unicode MS" w:hAnsi="Arial Unicode MS" w:cs="Arial"/>
          <w:bCs/>
          <w:szCs w:val="21"/>
        </w:rPr>
      </w:pPr>
    </w:p>
    <w:p w:rsidR="004C06C5" w:rsidRDefault="004C06C5">
      <w:pPr>
        <w:snapToGrid w:val="0"/>
        <w:spacing w:line="360" w:lineRule="auto"/>
        <w:ind w:firstLineChars="200" w:firstLine="420"/>
        <w:rPr>
          <w:rFonts w:ascii="Arial Unicode MS" w:hAnsi="Arial Unicode MS" w:cs="Arial"/>
          <w:bCs/>
          <w:szCs w:val="21"/>
        </w:rPr>
      </w:pPr>
    </w:p>
    <w:p w:rsidR="004C06C5" w:rsidRDefault="004C06C5">
      <w:pPr>
        <w:snapToGrid w:val="0"/>
        <w:spacing w:line="360" w:lineRule="auto"/>
        <w:ind w:firstLineChars="200" w:firstLine="420"/>
        <w:rPr>
          <w:rFonts w:ascii="Arial Unicode MS" w:hAnsi="Arial Unicode MS" w:cs="Arial"/>
          <w:bCs/>
          <w:szCs w:val="21"/>
        </w:rPr>
      </w:pPr>
    </w:p>
    <w:p w:rsidR="004C06C5" w:rsidRDefault="004C06C5">
      <w:pPr>
        <w:snapToGrid w:val="0"/>
        <w:spacing w:line="360" w:lineRule="auto"/>
        <w:ind w:firstLineChars="200" w:firstLine="420"/>
        <w:rPr>
          <w:rFonts w:ascii="Arial Unicode MS" w:hAnsi="Arial Unicode MS" w:cs="Arial"/>
          <w:bCs/>
          <w:szCs w:val="21"/>
        </w:rPr>
      </w:pPr>
    </w:p>
    <w:p w:rsidR="004C06C5" w:rsidRDefault="004C06C5">
      <w:pPr>
        <w:snapToGrid w:val="0"/>
        <w:spacing w:line="360" w:lineRule="auto"/>
        <w:ind w:firstLineChars="200" w:firstLine="420"/>
        <w:rPr>
          <w:rFonts w:ascii="Arial Unicode MS" w:hAnsi="Arial Unicode MS" w:cs="Arial"/>
          <w:bCs/>
          <w:szCs w:val="21"/>
        </w:rPr>
      </w:pPr>
    </w:p>
    <w:p w:rsidR="004C06C5" w:rsidRDefault="004C06C5">
      <w:pPr>
        <w:snapToGrid w:val="0"/>
        <w:spacing w:line="360" w:lineRule="auto"/>
        <w:rPr>
          <w:rFonts w:ascii="Arial Unicode MS" w:hAnsi="Arial Unicode MS" w:cs="Arial"/>
          <w:kern w:val="0"/>
          <w:szCs w:val="21"/>
        </w:rPr>
      </w:pPr>
    </w:p>
    <w:p w:rsidR="004C06C5" w:rsidRDefault="00ED474B">
      <w:pPr>
        <w:pStyle w:val="11"/>
        <w:snapToGrid w:val="0"/>
        <w:spacing w:before="0" w:after="0" w:line="360" w:lineRule="auto"/>
        <w:rPr>
          <w:rFonts w:ascii="Arial Unicode MS" w:eastAsia="宋体" w:hAnsi="Arial Unicode MS" w:cs="Arial"/>
          <w:b/>
          <w:bCs/>
          <w:sz w:val="28"/>
          <w:szCs w:val="28"/>
        </w:rPr>
      </w:pPr>
      <w:bookmarkStart w:id="112" w:name="_Toc147463125"/>
      <w:bookmarkStart w:id="113" w:name="_Toc21073398"/>
      <w:bookmarkStart w:id="114" w:name="_Toc12357178"/>
      <w:bookmarkStart w:id="115" w:name="_Toc214873605"/>
      <w:bookmarkStart w:id="116" w:name="_Toc317088153"/>
      <w:bookmarkStart w:id="117" w:name="_Toc320887655"/>
      <w:bookmarkStart w:id="118" w:name="_Toc335232704"/>
      <w:bookmarkStart w:id="119" w:name="_Toc317088550"/>
      <w:bookmarkStart w:id="120" w:name="_Toc1464071"/>
      <w:bookmarkEnd w:id="104"/>
      <w:bookmarkEnd w:id="105"/>
      <w:r>
        <w:rPr>
          <w:rFonts w:ascii="Arial Unicode MS" w:eastAsia="宋体" w:hAnsi="Arial Unicode MS" w:cs="Arial"/>
          <w:b/>
          <w:bCs/>
          <w:sz w:val="28"/>
          <w:szCs w:val="28"/>
        </w:rPr>
        <w:lastRenderedPageBreak/>
        <w:t>第十</w:t>
      </w:r>
      <w:r>
        <w:rPr>
          <w:rFonts w:ascii="Arial Unicode MS" w:eastAsia="宋体" w:hAnsi="Arial Unicode MS" w:cs="Arial" w:hint="eastAsia"/>
          <w:b/>
          <w:bCs/>
          <w:sz w:val="28"/>
          <w:szCs w:val="28"/>
        </w:rPr>
        <w:t>六</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风险揭示</w:t>
      </w:r>
      <w:bookmarkEnd w:id="112"/>
      <w:bookmarkEnd w:id="113"/>
      <w:bookmarkEnd w:id="114"/>
      <w:bookmarkEnd w:id="115"/>
      <w:bookmarkEnd w:id="116"/>
      <w:bookmarkEnd w:id="117"/>
      <w:bookmarkEnd w:id="118"/>
      <w:bookmarkEnd w:id="119"/>
      <w:bookmarkEnd w:id="120"/>
    </w:p>
    <w:p w:rsidR="004C06C5" w:rsidRDefault="004C06C5">
      <w:pPr>
        <w:rPr>
          <w:rFonts w:ascii="Arial Unicode MS" w:hAnsi="Arial Unicode MS"/>
          <w:lang w:val="zh-CN"/>
        </w:rPr>
      </w:pPr>
    </w:p>
    <w:p w:rsidR="004C06C5" w:rsidRDefault="00ED474B">
      <w:pPr>
        <w:adjustRightInd w:val="0"/>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一、投资于本基金的主要风险</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投资于本基金的主要风险有：</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、市场风险</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证券市场价格受到各种因素的影响，导致基金收益水平变化而产生风险，主要包括：</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hint="eastAsia"/>
          <w:kern w:val="0"/>
          <w:szCs w:val="21"/>
        </w:rPr>
        <w:t>）政策风险。因国家宏观政策（如货币政策、财政政策、行业政策、地区发展政策等）发生变化，导致市场价格波动而产生风险。</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）经济周期风险。随着经济运行的周期性变化，证券市场的收益水平也呈周期性变化。本基金主要投资于债券，收益水平也会随之变化，从而产生风险。</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3</w:t>
      </w:r>
      <w:r>
        <w:rPr>
          <w:rFonts w:ascii="Arial Unicode MS" w:hAnsi="Arial Unicode MS" w:cs="Arial" w:hint="eastAsia"/>
          <w:kern w:val="0"/>
          <w:szCs w:val="21"/>
        </w:rPr>
        <w:t>）利率风险。金融市场利率的波动会导致证券市场价格和收益率的变动。</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4</w:t>
      </w:r>
      <w:r>
        <w:rPr>
          <w:rFonts w:ascii="Arial Unicode MS" w:hAnsi="Arial Unicode MS" w:cs="Arial" w:hint="eastAsia"/>
          <w:kern w:val="0"/>
          <w:szCs w:val="21"/>
        </w:rPr>
        <w:t>）通货膨胀风险。如果发生通货膨胀，基金投资于证券所获得的收益可能会被通货膨胀抵消，从而影响基金资产的保值增值。</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5</w:t>
      </w:r>
      <w:r>
        <w:rPr>
          <w:rFonts w:ascii="Arial Unicode MS" w:hAnsi="Arial Unicode MS" w:cs="Arial" w:hint="eastAsia"/>
          <w:kern w:val="0"/>
          <w:szCs w:val="21"/>
        </w:rPr>
        <w:t>）再投资风险。再投资风险反映了利率下降对固定收益证券利息收入再投资收益的影响，这与利率上升所带来的价格风险（即利率风险）互为消长。</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、信用风险</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信用风险主要指债券、资产支持证券等信用证券发行主体信用状况恶化，导致信用评级下降甚至到期不能履行合约进行兑付的风险，另外，信用风险也包括证券交易对手因违约而产生的证券交割风险。</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3</w:t>
      </w:r>
      <w:r>
        <w:rPr>
          <w:rFonts w:ascii="Arial Unicode MS" w:hAnsi="Arial Unicode MS" w:cs="Arial" w:hint="eastAsia"/>
          <w:kern w:val="0"/>
          <w:szCs w:val="21"/>
        </w:rPr>
        <w:t>、流动性风险</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流动性风险是指因证券市场交易量不足，导致证券不能迅速、低成本地变现的风险。流动性风险还包括基金出现巨额赎回，致使没有足够的现金应付赎回支付所引致的风险。</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hint="eastAsia"/>
          <w:kern w:val="0"/>
          <w:szCs w:val="21"/>
        </w:rPr>
        <w:t>）拟投资市场、行业及资产的流动性风险评估</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本基金主要投资于债券、货币市场工具等具有良好流动性的金融工具，资本市场成交活跃程度、基金持仓资产的变现能力以及投资者的申购</w:t>
      </w:r>
      <w:r>
        <w:rPr>
          <w:rFonts w:ascii="Arial Unicode MS" w:hAnsi="Arial Unicode MS" w:cs="Arial" w:hint="eastAsia"/>
          <w:kern w:val="0"/>
          <w:szCs w:val="21"/>
        </w:rPr>
        <w:t>/</w:t>
      </w:r>
      <w:r>
        <w:rPr>
          <w:rFonts w:ascii="Arial Unicode MS" w:hAnsi="Arial Unicode MS" w:cs="Arial" w:hint="eastAsia"/>
          <w:kern w:val="0"/>
          <w:szCs w:val="21"/>
        </w:rPr>
        <w:t>赎回行为将对本基金所面临的流动性风险产生直接影响。资本市场成交量低迷、基金持仓集中度过高、基金资产变现能力下降、</w:t>
      </w:r>
      <w:proofErr w:type="gramStart"/>
      <w:r>
        <w:rPr>
          <w:rFonts w:ascii="Arial Unicode MS" w:hAnsi="Arial Unicode MS" w:cs="Arial" w:hint="eastAsia"/>
          <w:kern w:val="0"/>
          <w:szCs w:val="21"/>
        </w:rPr>
        <w:t>单一基金</w:t>
      </w:r>
      <w:proofErr w:type="gramEnd"/>
      <w:r>
        <w:rPr>
          <w:rFonts w:ascii="Arial Unicode MS" w:hAnsi="Arial Unicode MS" w:cs="Arial" w:hint="eastAsia"/>
          <w:kern w:val="0"/>
          <w:szCs w:val="21"/>
        </w:rPr>
        <w:t>份额持有人持有基金份额比例过高等因素，将使得本基金面临流动性风险在本基金的投资运作过程中，基金管理人将充分评估本基金所面临的流动性风险，并根据基金合同的约定及实际情况，合理采取控制基金份额持有人集中度，审慎确认大额申购申请设定、单一投资者申购金额上限、综合运用延期办理巨额赎回申请等各类流动性风险管理工具、降低基</w:t>
      </w:r>
      <w:r>
        <w:rPr>
          <w:rFonts w:ascii="Arial Unicode MS" w:hAnsi="Arial Unicode MS" w:cs="Arial" w:hint="eastAsia"/>
          <w:kern w:val="0"/>
          <w:szCs w:val="21"/>
        </w:rPr>
        <w:lastRenderedPageBreak/>
        <w:t>金资产持仓集中度、降低流动受限资产投资比例等措施，有效防范本基金所面临的流动性风险。</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）巨额赎回情形下的流动性风险管理措施</w:t>
      </w:r>
      <w:r>
        <w:rPr>
          <w:rFonts w:ascii="Arial Unicode MS" w:hAnsi="Arial Unicode MS" w:cs="Arial" w:hint="eastAsia"/>
          <w:kern w:val="0"/>
          <w:szCs w:val="21"/>
        </w:rPr>
        <w:t xml:space="preserve"> </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在本基金发生巨额赎回的情形下，基金管理人将在与基金托管人协商一致，并在确保投资者得到公平对待的前提下，依照法律法规及基金合同的约定，综合运用各类流动性风险管理工具，对巨额赎回申请等进行适度调整，作为本基金发生巨额赎回的特定情形下基金管理人流动性风险管理的辅助措施。</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上述各类流动性风险管理工具包括但不限于：</w:t>
      </w:r>
      <w:r>
        <w:rPr>
          <w:rFonts w:ascii="Arial Unicode MS" w:hAnsi="Arial Unicode MS" w:cs="Arial" w:hint="eastAsia"/>
          <w:kern w:val="0"/>
          <w:szCs w:val="21"/>
        </w:rPr>
        <w:t xml:space="preserve"> 1</w:t>
      </w:r>
      <w:r>
        <w:rPr>
          <w:rFonts w:ascii="Arial Unicode MS" w:hAnsi="Arial Unicode MS" w:cs="Arial" w:hint="eastAsia"/>
          <w:kern w:val="0"/>
          <w:szCs w:val="21"/>
        </w:rPr>
        <w:t>、</w:t>
      </w:r>
      <w:r>
        <w:rPr>
          <w:rFonts w:ascii="Arial Unicode MS" w:hAnsi="Arial Unicode MS" w:cs="Arial" w:hint="eastAsia"/>
          <w:kern w:val="0"/>
          <w:szCs w:val="21"/>
        </w:rPr>
        <w:t xml:space="preserve"> </w:t>
      </w:r>
      <w:r>
        <w:rPr>
          <w:rFonts w:ascii="Arial Unicode MS" w:hAnsi="Arial Unicode MS" w:cs="Arial" w:hint="eastAsia"/>
          <w:kern w:val="0"/>
          <w:szCs w:val="21"/>
        </w:rPr>
        <w:t>延期办理巨额赎回申请；</w:t>
      </w:r>
      <w:r>
        <w:rPr>
          <w:rFonts w:ascii="Arial Unicode MS" w:hAnsi="Arial Unicode MS" w:cs="Arial" w:hint="eastAsia"/>
          <w:kern w:val="0"/>
          <w:szCs w:val="21"/>
        </w:rPr>
        <w:t xml:space="preserve"> 2</w:t>
      </w:r>
      <w:r>
        <w:rPr>
          <w:rFonts w:ascii="Arial Unicode MS" w:hAnsi="Arial Unicode MS" w:cs="Arial" w:hint="eastAsia"/>
          <w:kern w:val="0"/>
          <w:szCs w:val="21"/>
        </w:rPr>
        <w:t>、暂停接受赎回申请；</w:t>
      </w:r>
      <w:r>
        <w:rPr>
          <w:rFonts w:ascii="Arial Unicode MS" w:hAnsi="Arial Unicode MS" w:cs="Arial" w:hint="eastAsia"/>
          <w:kern w:val="0"/>
          <w:szCs w:val="21"/>
        </w:rPr>
        <w:t>3</w:t>
      </w:r>
      <w:r>
        <w:rPr>
          <w:rFonts w:ascii="Arial Unicode MS" w:hAnsi="Arial Unicode MS" w:cs="Arial" w:hint="eastAsia"/>
          <w:kern w:val="0"/>
          <w:szCs w:val="21"/>
        </w:rPr>
        <w:t>、延缓支付赎回款项；</w:t>
      </w:r>
      <w:r>
        <w:rPr>
          <w:rFonts w:ascii="Arial Unicode MS" w:hAnsi="Arial Unicode MS" w:cs="Arial" w:hint="eastAsia"/>
          <w:kern w:val="0"/>
          <w:szCs w:val="21"/>
        </w:rPr>
        <w:t>4</w:t>
      </w:r>
      <w:r>
        <w:rPr>
          <w:rFonts w:ascii="Arial Unicode MS" w:hAnsi="Arial Unicode MS" w:cs="Arial" w:hint="eastAsia"/>
          <w:kern w:val="0"/>
          <w:szCs w:val="21"/>
        </w:rPr>
        <w:t>、收取短期赎回费；</w:t>
      </w:r>
      <w:r>
        <w:rPr>
          <w:rFonts w:ascii="Arial Unicode MS" w:hAnsi="Arial Unicode MS" w:cs="Arial" w:hint="eastAsia"/>
          <w:kern w:val="0"/>
          <w:szCs w:val="21"/>
        </w:rPr>
        <w:t>5</w:t>
      </w:r>
      <w:r>
        <w:rPr>
          <w:rFonts w:ascii="Arial Unicode MS" w:hAnsi="Arial Unicode MS" w:cs="Arial" w:hint="eastAsia"/>
          <w:kern w:val="0"/>
          <w:szCs w:val="21"/>
        </w:rPr>
        <w:t>、暂停基金估值；</w:t>
      </w:r>
      <w:r>
        <w:rPr>
          <w:rFonts w:ascii="Arial Unicode MS" w:hAnsi="Arial Unicode MS" w:cs="Arial" w:hint="eastAsia"/>
          <w:kern w:val="0"/>
          <w:szCs w:val="21"/>
        </w:rPr>
        <w:t>6</w:t>
      </w:r>
      <w:r>
        <w:rPr>
          <w:rFonts w:ascii="Arial Unicode MS" w:hAnsi="Arial Unicode MS" w:cs="Arial" w:hint="eastAsia"/>
          <w:kern w:val="0"/>
          <w:szCs w:val="21"/>
        </w:rPr>
        <w:t>、摆动定价；</w:t>
      </w:r>
      <w:r>
        <w:rPr>
          <w:rFonts w:ascii="Arial Unicode MS" w:hAnsi="Arial Unicode MS" w:cs="Arial" w:hint="eastAsia"/>
          <w:kern w:val="0"/>
          <w:szCs w:val="21"/>
        </w:rPr>
        <w:t>7</w:t>
      </w:r>
      <w:r>
        <w:rPr>
          <w:rFonts w:ascii="Arial Unicode MS" w:hAnsi="Arial Unicode MS" w:cs="Arial" w:hint="eastAsia"/>
          <w:kern w:val="0"/>
          <w:szCs w:val="21"/>
        </w:rPr>
        <w:t>、中国证监会认定的其他措施。</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在采用上述流动性风险管理工具时，</w:t>
      </w:r>
      <w:r>
        <w:rPr>
          <w:rFonts w:ascii="Arial Unicode MS" w:hAnsi="Arial Unicode MS" w:cs="Arial" w:hint="eastAsia"/>
          <w:kern w:val="0"/>
          <w:szCs w:val="21"/>
        </w:rPr>
        <w:t xml:space="preserve"> </w:t>
      </w:r>
      <w:r>
        <w:rPr>
          <w:rFonts w:ascii="Arial Unicode MS" w:hAnsi="Arial Unicode MS" w:cs="Arial" w:hint="eastAsia"/>
          <w:kern w:val="0"/>
          <w:szCs w:val="21"/>
        </w:rPr>
        <w:t>基金管理人严格遵守法律法规及基金合同的约定，确保相关工具实施的及时、有序、透明及公平。</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3</w:t>
      </w:r>
      <w:r>
        <w:rPr>
          <w:rFonts w:ascii="Arial Unicode MS" w:hAnsi="Arial Unicode MS" w:cs="Arial" w:hint="eastAsia"/>
          <w:kern w:val="0"/>
          <w:szCs w:val="21"/>
        </w:rPr>
        <w:t>）实施备用的流动性风险管理工具的情形、程序及对投资者的潜在影响</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）实施备用流动性风险管理工具的情形：在本基金发生巨额赎回的情形下，本基金管理人将实施备用流动性风险管理工具。</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实施备用流动性风险管理工具的程序：本基金管理人将在与基金托管人协商一致，并在确保投资者得到公平对待的前提下，依照法律法规及基金合同的约定实施备用流动性风险管理工具，确保相关工具实施的及时、有序、透明及公平。</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3</w:t>
      </w:r>
      <w:r>
        <w:rPr>
          <w:rFonts w:ascii="Arial Unicode MS" w:hAnsi="Arial Unicode MS" w:cs="Arial" w:hint="eastAsia"/>
          <w:kern w:val="0"/>
          <w:szCs w:val="21"/>
        </w:rPr>
        <w:t>）实施备用流动性风险管理工具对投资者的影响：在实施备用流动性风险管理工具的情形下，可能会导致本基金份额持有人的部分或全部赎回申请被确认失败或者被收取短期赎回费。</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4</w:t>
      </w:r>
      <w:r>
        <w:rPr>
          <w:rFonts w:ascii="Arial Unicode MS" w:hAnsi="Arial Unicode MS" w:cs="Arial" w:hint="eastAsia"/>
          <w:kern w:val="0"/>
          <w:szCs w:val="21"/>
        </w:rPr>
        <w:t>、操作风险</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操作风险是指基金运作过程中，因内部控制存在缺陷或者人为因素造成操作失误或违反操作规程等引致的风险，例如，越权违规交易、会计部门欺诈、交易错误、</w:t>
      </w:r>
      <w:r>
        <w:rPr>
          <w:rFonts w:ascii="Arial Unicode MS" w:hAnsi="Arial Unicode MS" w:cs="Arial" w:hint="eastAsia"/>
          <w:kern w:val="0"/>
          <w:szCs w:val="21"/>
        </w:rPr>
        <w:t>IT</w:t>
      </w:r>
      <w:r>
        <w:rPr>
          <w:rFonts w:ascii="Arial Unicode MS" w:hAnsi="Arial Unicode MS" w:cs="Arial" w:hint="eastAsia"/>
          <w:kern w:val="0"/>
          <w:szCs w:val="21"/>
        </w:rPr>
        <w:t>系统故障等风险。</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5</w:t>
      </w:r>
      <w:r>
        <w:rPr>
          <w:rFonts w:ascii="Arial Unicode MS" w:hAnsi="Arial Unicode MS" w:cs="Arial" w:hint="eastAsia"/>
          <w:kern w:val="0"/>
          <w:szCs w:val="21"/>
        </w:rPr>
        <w:t>、管理风险</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在基金管理运作过程中，基金管理人的研究水平、投资管理水平直接影响基金收益水平，如果基金管理人对经济形势和证券市场判断不准确、获取的信息不充分、投资操作出现失误等，都会影响基金的收益水平。</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6</w:t>
      </w:r>
      <w:r>
        <w:rPr>
          <w:rFonts w:ascii="Arial Unicode MS" w:hAnsi="Arial Unicode MS" w:cs="Arial" w:hint="eastAsia"/>
          <w:kern w:val="0"/>
          <w:szCs w:val="21"/>
        </w:rPr>
        <w:t>、合</w:t>
      </w:r>
      <w:proofErr w:type="gramStart"/>
      <w:r>
        <w:rPr>
          <w:rFonts w:ascii="Arial Unicode MS" w:hAnsi="Arial Unicode MS" w:cs="Arial" w:hint="eastAsia"/>
          <w:kern w:val="0"/>
          <w:szCs w:val="21"/>
        </w:rPr>
        <w:t>规</w:t>
      </w:r>
      <w:proofErr w:type="gramEnd"/>
      <w:r>
        <w:rPr>
          <w:rFonts w:ascii="Arial Unicode MS" w:hAnsi="Arial Unicode MS" w:cs="Arial" w:hint="eastAsia"/>
          <w:kern w:val="0"/>
          <w:szCs w:val="21"/>
        </w:rPr>
        <w:t>风险</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lastRenderedPageBreak/>
        <w:t>合</w:t>
      </w:r>
      <w:proofErr w:type="gramStart"/>
      <w:r>
        <w:rPr>
          <w:rFonts w:ascii="Arial Unicode MS" w:hAnsi="Arial Unicode MS" w:cs="Arial" w:hint="eastAsia"/>
          <w:kern w:val="0"/>
          <w:szCs w:val="21"/>
        </w:rPr>
        <w:t>规</w:t>
      </w:r>
      <w:proofErr w:type="gramEnd"/>
      <w:r>
        <w:rPr>
          <w:rFonts w:ascii="Arial Unicode MS" w:hAnsi="Arial Unicode MS" w:cs="Arial" w:hint="eastAsia"/>
          <w:kern w:val="0"/>
          <w:szCs w:val="21"/>
        </w:rPr>
        <w:t>风险指基金管理或运作过程中，违反国家法律、法规的规定，或者违反《基金合同》有关规定的风险。</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7</w:t>
      </w:r>
      <w:r>
        <w:rPr>
          <w:rFonts w:ascii="Arial Unicode MS" w:hAnsi="Arial Unicode MS" w:cs="Arial" w:hint="eastAsia"/>
          <w:kern w:val="0"/>
          <w:szCs w:val="21"/>
        </w:rPr>
        <w:t>、本基金的特有风险</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本基金为债券型基金，债券的投资比例不低于基金资产的</w:t>
      </w:r>
      <w:r>
        <w:rPr>
          <w:rFonts w:ascii="Arial Unicode MS" w:hAnsi="Arial Unicode MS" w:cs="Arial" w:hint="eastAsia"/>
          <w:kern w:val="0"/>
          <w:szCs w:val="21"/>
        </w:rPr>
        <w:t>80%</w:t>
      </w:r>
      <w:r>
        <w:rPr>
          <w:rFonts w:ascii="Arial Unicode MS" w:hAnsi="Arial Unicode MS" w:cs="Arial" w:hint="eastAsia"/>
          <w:kern w:val="0"/>
          <w:szCs w:val="21"/>
        </w:rPr>
        <w:t>，该类债券的特定风险即成为本基金及投资者主要面对的特定投资风险。债券的投资收益会受到宏观经济、政府产业政策、货币政策、市场需求变化、行业波动等因素的影响，可能存在所选投资标的</w:t>
      </w:r>
      <w:proofErr w:type="gramStart"/>
      <w:r>
        <w:rPr>
          <w:rFonts w:ascii="Arial Unicode MS" w:hAnsi="Arial Unicode MS" w:cs="Arial" w:hint="eastAsia"/>
          <w:kern w:val="0"/>
          <w:szCs w:val="21"/>
        </w:rPr>
        <w:t>的</w:t>
      </w:r>
      <w:proofErr w:type="gramEnd"/>
      <w:r>
        <w:rPr>
          <w:rFonts w:ascii="Arial Unicode MS" w:hAnsi="Arial Unicode MS" w:cs="Arial" w:hint="eastAsia"/>
          <w:kern w:val="0"/>
          <w:szCs w:val="21"/>
        </w:rPr>
        <w:t>成长性与市场一致预期不符而造成个</w:t>
      </w:r>
      <w:proofErr w:type="gramStart"/>
      <w:r>
        <w:rPr>
          <w:rFonts w:ascii="Arial Unicode MS" w:hAnsi="Arial Unicode MS" w:cs="Arial" w:hint="eastAsia"/>
          <w:kern w:val="0"/>
          <w:szCs w:val="21"/>
        </w:rPr>
        <w:t>券</w:t>
      </w:r>
      <w:proofErr w:type="gramEnd"/>
      <w:r>
        <w:rPr>
          <w:rFonts w:ascii="Arial Unicode MS" w:hAnsi="Arial Unicode MS" w:cs="Arial" w:hint="eastAsia"/>
          <w:kern w:val="0"/>
          <w:szCs w:val="21"/>
        </w:rPr>
        <w:t>价格表现低于预期的风险。</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基金投资中小企业私募债券，中小企业私募债券是根据相关法律法规由非上市中小企业采用非公开方式发行的债券。由于不能公开交易，一般情况下，交易不活跃，潜在较大流动性风险。当发债主体信用质量恶化时，受市场流动性所限，本基金可能无法卖出所持有的中小企业私募债券，由此可能给基金净值带来更大的负面影响和损失。</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本基金投资资产支持证券，资产支持证券（</w:t>
      </w:r>
      <w:r>
        <w:rPr>
          <w:rFonts w:ascii="Arial Unicode MS" w:hAnsi="Arial Unicode MS" w:cs="Arial" w:hint="eastAsia"/>
          <w:kern w:val="0"/>
          <w:szCs w:val="21"/>
        </w:rPr>
        <w:t>ABS</w:t>
      </w:r>
      <w:r>
        <w:rPr>
          <w:rFonts w:ascii="Arial Unicode MS" w:hAnsi="Arial Unicode MS" w:cs="Arial" w:hint="eastAsia"/>
          <w:kern w:val="0"/>
          <w:szCs w:val="21"/>
        </w:rPr>
        <w:t>）或资产支持票据（</w:t>
      </w:r>
      <w:r>
        <w:rPr>
          <w:rFonts w:ascii="Arial Unicode MS" w:hAnsi="Arial Unicode MS" w:cs="Arial" w:hint="eastAsia"/>
          <w:kern w:val="0"/>
          <w:szCs w:val="21"/>
        </w:rPr>
        <w:t>ABN</w:t>
      </w:r>
      <w:r>
        <w:rPr>
          <w:rFonts w:ascii="Arial Unicode MS" w:hAnsi="Arial Unicode MS" w:cs="Arial" w:hint="eastAsia"/>
          <w:kern w:val="0"/>
          <w:szCs w:val="21"/>
        </w:rPr>
        <w:t>）是一种债券性质的金融工具，其向投资者支付的本息来自于基础资产</w:t>
      </w:r>
      <w:proofErr w:type="gramStart"/>
      <w:r>
        <w:rPr>
          <w:rFonts w:ascii="Arial Unicode MS" w:hAnsi="Arial Unicode MS" w:cs="Arial" w:hint="eastAsia"/>
          <w:kern w:val="0"/>
          <w:szCs w:val="21"/>
        </w:rPr>
        <w:t>池产生</w:t>
      </w:r>
      <w:proofErr w:type="gramEnd"/>
      <w:r>
        <w:rPr>
          <w:rFonts w:ascii="Arial Unicode MS" w:hAnsi="Arial Unicode MS" w:cs="Arial" w:hint="eastAsia"/>
          <w:kern w:val="0"/>
          <w:szCs w:val="21"/>
        </w:rPr>
        <w:t>的现金流或剩余权益。与股票和一般债券不同，资产支持证券不是对某一经营实体的利益要求权，而是对基础</w:t>
      </w:r>
      <w:proofErr w:type="gramStart"/>
      <w:r>
        <w:rPr>
          <w:rFonts w:ascii="Arial Unicode MS" w:hAnsi="Arial Unicode MS" w:cs="Arial" w:hint="eastAsia"/>
          <w:kern w:val="0"/>
          <w:szCs w:val="21"/>
        </w:rPr>
        <w:t>资产池所产生</w:t>
      </w:r>
      <w:proofErr w:type="gramEnd"/>
      <w:r>
        <w:rPr>
          <w:rFonts w:ascii="Arial Unicode MS" w:hAnsi="Arial Unicode MS" w:cs="Arial" w:hint="eastAsia"/>
          <w:kern w:val="0"/>
          <w:szCs w:val="21"/>
        </w:rPr>
        <w:t>的现金流和剩余权益的要求权，是一种以资产信用为支持的证券，所面临的风险主要包括交易结构风险、各种原因导致的基础资产池现金流与对应证券现金流不匹配产生的信用风险、市场交易不活跃导致的流动性风险等。</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基金可投资国债期货，国债期货采用保证金交易制度，由于保证金交易具有杠杆性，当相应期限国债收益率出现不利变动时，可能会导致投资人权益遭受较大损失。国债期货采用每日无负债结算制度，如果没有在规定的时间内补足保证金，按规定将被强制平仓，可能给投资带来重大损失。</w:t>
      </w:r>
    </w:p>
    <w:p w:rsidR="004C06C5" w:rsidRDefault="00ED474B">
      <w:pPr>
        <w:adjustRightInd w:val="0"/>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二、声明</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、投资者投资于本基金，须自行承担投资风险；</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、除基金管理人直接办理本基金的销售外，本基金还通过基金销售机构代理销售，基金管理人与基金销售机构都不能保证其收益或本金安全。</w:t>
      </w:r>
    </w:p>
    <w:p w:rsidR="004C06C5" w:rsidRDefault="004C06C5">
      <w:pPr>
        <w:adjustRightInd w:val="0"/>
        <w:snapToGrid w:val="0"/>
        <w:spacing w:line="360" w:lineRule="auto"/>
        <w:ind w:firstLineChars="200" w:firstLine="420"/>
        <w:rPr>
          <w:rFonts w:ascii="Arial Unicode MS" w:hAnsi="Arial Unicode MS" w:cs="Arial"/>
          <w:kern w:val="0"/>
          <w:szCs w:val="21"/>
        </w:rPr>
      </w:pPr>
    </w:p>
    <w:p w:rsidR="004C06C5" w:rsidRDefault="004C06C5">
      <w:pPr>
        <w:adjustRightInd w:val="0"/>
        <w:snapToGrid w:val="0"/>
        <w:spacing w:line="360" w:lineRule="auto"/>
        <w:ind w:firstLineChars="200" w:firstLine="420"/>
        <w:rPr>
          <w:rFonts w:ascii="Arial Unicode MS" w:hAnsi="Arial Unicode MS" w:cs="Arial"/>
          <w:kern w:val="0"/>
          <w:szCs w:val="21"/>
        </w:rPr>
      </w:pPr>
    </w:p>
    <w:p w:rsidR="004C06C5" w:rsidRDefault="004C06C5">
      <w:pPr>
        <w:adjustRightInd w:val="0"/>
        <w:snapToGrid w:val="0"/>
        <w:spacing w:line="360" w:lineRule="auto"/>
        <w:ind w:firstLineChars="200" w:firstLine="420"/>
        <w:rPr>
          <w:rFonts w:ascii="Arial Unicode MS" w:hAnsi="Arial Unicode MS" w:cs="Arial"/>
          <w:kern w:val="0"/>
          <w:szCs w:val="21"/>
        </w:rPr>
      </w:pPr>
    </w:p>
    <w:p w:rsidR="004C06C5" w:rsidRDefault="004C06C5">
      <w:pPr>
        <w:adjustRightInd w:val="0"/>
        <w:snapToGrid w:val="0"/>
        <w:spacing w:line="360" w:lineRule="auto"/>
        <w:ind w:firstLineChars="200" w:firstLine="420"/>
        <w:rPr>
          <w:rFonts w:ascii="Arial Unicode MS" w:hAnsi="Arial Unicode MS" w:cs="Arial"/>
          <w:kern w:val="0"/>
          <w:szCs w:val="21"/>
        </w:rPr>
      </w:pPr>
    </w:p>
    <w:p w:rsidR="004C06C5" w:rsidRDefault="00ED474B">
      <w:pPr>
        <w:pStyle w:val="11"/>
        <w:snapToGrid w:val="0"/>
        <w:spacing w:before="0" w:after="0" w:line="360" w:lineRule="auto"/>
        <w:ind w:firstLine="422"/>
        <w:rPr>
          <w:rFonts w:ascii="Arial Unicode MS" w:eastAsia="宋体" w:hAnsi="Arial Unicode MS" w:cs="Arial"/>
          <w:b/>
          <w:bCs/>
          <w:sz w:val="28"/>
          <w:szCs w:val="28"/>
        </w:rPr>
      </w:pPr>
      <w:bookmarkStart w:id="121" w:name="_Toc454717524"/>
      <w:bookmarkStart w:id="122" w:name="_Toc520693803"/>
      <w:bookmarkStart w:id="123" w:name="_Toc520693901"/>
      <w:bookmarkStart w:id="124" w:name="_Toc524923235"/>
      <w:bookmarkStart w:id="125" w:name="_Toc214873606"/>
      <w:bookmarkStart w:id="126" w:name="_Toc317088154"/>
      <w:bookmarkStart w:id="127" w:name="_Toc317088551"/>
      <w:bookmarkStart w:id="128" w:name="_Toc320887656"/>
      <w:bookmarkStart w:id="129" w:name="_Toc335232705"/>
      <w:bookmarkStart w:id="130" w:name="_Toc1464072"/>
      <w:r>
        <w:rPr>
          <w:rFonts w:ascii="Arial Unicode MS" w:eastAsia="宋体" w:hAnsi="Arial Unicode MS" w:cs="Arial"/>
          <w:b/>
          <w:bCs/>
          <w:sz w:val="28"/>
          <w:szCs w:val="28"/>
        </w:rPr>
        <w:lastRenderedPageBreak/>
        <w:t>第十</w:t>
      </w:r>
      <w:r>
        <w:rPr>
          <w:rFonts w:ascii="Arial Unicode MS" w:eastAsia="宋体" w:hAnsi="Arial Unicode MS" w:cs="Arial" w:hint="eastAsia"/>
          <w:b/>
          <w:bCs/>
          <w:sz w:val="28"/>
          <w:szCs w:val="28"/>
        </w:rPr>
        <w:t>七</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bookmarkEnd w:id="121"/>
      <w:bookmarkEnd w:id="122"/>
      <w:bookmarkEnd w:id="123"/>
      <w:bookmarkEnd w:id="124"/>
      <w:r>
        <w:rPr>
          <w:rFonts w:ascii="Arial Unicode MS" w:eastAsia="宋体" w:hAnsi="Arial Unicode MS" w:cs="Arial"/>
          <w:b/>
          <w:bCs/>
          <w:sz w:val="28"/>
          <w:szCs w:val="28"/>
        </w:rPr>
        <w:t>基金合同的变更、终止与基金财产的清算</w:t>
      </w:r>
      <w:bookmarkEnd w:id="125"/>
      <w:bookmarkEnd w:id="126"/>
      <w:bookmarkEnd w:id="127"/>
      <w:bookmarkEnd w:id="128"/>
      <w:bookmarkEnd w:id="129"/>
      <w:bookmarkEnd w:id="130"/>
    </w:p>
    <w:p w:rsidR="004C06C5" w:rsidRDefault="004C06C5">
      <w:pPr>
        <w:rPr>
          <w:rFonts w:ascii="Arial Unicode MS" w:hAnsi="Arial Unicode MS"/>
          <w:lang w:val="zh-CN"/>
        </w:rPr>
      </w:pPr>
    </w:p>
    <w:p w:rsidR="004C06C5" w:rsidRDefault="00ED474B">
      <w:pPr>
        <w:snapToGrid w:val="0"/>
        <w:spacing w:line="360" w:lineRule="auto"/>
        <w:ind w:firstLineChars="200" w:firstLine="422"/>
        <w:rPr>
          <w:rFonts w:ascii="Arial Unicode MS" w:hAnsi="Arial Unicode MS" w:cs="Arial"/>
          <w:b/>
          <w:szCs w:val="21"/>
        </w:rPr>
      </w:pPr>
      <w:bookmarkStart w:id="131" w:name="_Toc79392639"/>
      <w:r>
        <w:rPr>
          <w:rFonts w:ascii="Arial Unicode MS" w:hAnsi="Arial Unicode MS" w:cs="Arial" w:hint="eastAsia"/>
          <w:b/>
          <w:szCs w:val="21"/>
        </w:rPr>
        <w:t>一、《基金合同》的变更</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1</w:t>
      </w:r>
      <w:r>
        <w:rPr>
          <w:rFonts w:ascii="Arial Unicode MS" w:hAnsi="Arial Unicode MS" w:cs="Arial"/>
          <w:kern w:val="0"/>
          <w:szCs w:val="21"/>
        </w:rPr>
        <w:t>、变更基金合同</w:t>
      </w:r>
      <w:r>
        <w:rPr>
          <w:rFonts w:ascii="Arial Unicode MS" w:hAnsi="Arial Unicode MS" w:cs="Arial" w:hint="eastAsia"/>
          <w:kern w:val="0"/>
          <w:szCs w:val="21"/>
        </w:rPr>
        <w:t>涉及</w:t>
      </w:r>
      <w:r>
        <w:rPr>
          <w:rFonts w:ascii="Arial Unicode MS" w:hAnsi="Arial Unicode MS" w:cs="Arial"/>
          <w:kern w:val="0"/>
          <w:szCs w:val="21"/>
        </w:rPr>
        <w:t>法律法规规定或</w:t>
      </w:r>
      <w:r>
        <w:rPr>
          <w:rFonts w:ascii="Arial Unicode MS" w:hAnsi="Arial Unicode MS" w:cs="Arial" w:hint="eastAsia"/>
          <w:kern w:val="0"/>
          <w:szCs w:val="21"/>
        </w:rPr>
        <w:t>基金</w:t>
      </w:r>
      <w:r>
        <w:rPr>
          <w:rFonts w:ascii="Arial Unicode MS" w:hAnsi="Arial Unicode MS" w:cs="Arial"/>
          <w:kern w:val="0"/>
          <w:szCs w:val="21"/>
        </w:rPr>
        <w:t>合同约定应经基金份额持有人大会决议通过的事项的，应召</w:t>
      </w:r>
      <w:proofErr w:type="gramStart"/>
      <w:r>
        <w:rPr>
          <w:rFonts w:ascii="Arial Unicode MS" w:hAnsi="Arial Unicode MS" w:cs="Arial"/>
          <w:kern w:val="0"/>
          <w:szCs w:val="21"/>
        </w:rPr>
        <w:t>开基金</w:t>
      </w:r>
      <w:proofErr w:type="gramEnd"/>
      <w:r>
        <w:rPr>
          <w:rFonts w:ascii="Arial Unicode MS" w:hAnsi="Arial Unicode MS" w:cs="Arial"/>
          <w:kern w:val="0"/>
          <w:szCs w:val="21"/>
        </w:rPr>
        <w:t>份额持有人大会决议通过。对于</w:t>
      </w:r>
      <w:r>
        <w:rPr>
          <w:rFonts w:ascii="Arial Unicode MS" w:hAnsi="Arial Unicode MS" w:cs="Arial" w:hint="eastAsia"/>
          <w:kern w:val="0"/>
          <w:szCs w:val="21"/>
        </w:rPr>
        <w:t>法律法规规定和基金合同约定</w:t>
      </w:r>
      <w:r>
        <w:rPr>
          <w:rFonts w:ascii="Arial Unicode MS" w:hAnsi="Arial Unicode MS" w:cs="Arial"/>
          <w:kern w:val="0"/>
          <w:szCs w:val="21"/>
        </w:rPr>
        <w:t>可不经基金份额持有人大会决议通过的事项，由基金管理人和基金托管人同意后变更并公告，并报中国证监会备案。</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2</w:t>
      </w:r>
      <w:r>
        <w:rPr>
          <w:rFonts w:ascii="Arial Unicode MS" w:hAnsi="Arial Unicode MS" w:cs="Arial"/>
          <w:kern w:val="0"/>
          <w:szCs w:val="21"/>
        </w:rPr>
        <w:t>、关于《基金合同》变更的基金份额持有人大会决议</w:t>
      </w:r>
      <w:r>
        <w:rPr>
          <w:rFonts w:ascii="Arial Unicode MS" w:hAnsi="Arial Unicode MS" w:cs="Arial" w:hint="eastAsia"/>
          <w:kern w:val="0"/>
          <w:szCs w:val="21"/>
        </w:rPr>
        <w:t>须报中国证监会备案，自表决通过之日起生效</w:t>
      </w:r>
      <w:r>
        <w:rPr>
          <w:rFonts w:ascii="Arial Unicode MS" w:hAnsi="Arial Unicode MS" w:cs="Arial"/>
          <w:kern w:val="0"/>
          <w:szCs w:val="21"/>
        </w:rPr>
        <w:t>，</w:t>
      </w:r>
      <w:r>
        <w:rPr>
          <w:rFonts w:ascii="Arial Unicode MS" w:hAnsi="Arial Unicode MS" w:cs="Arial" w:hint="eastAsia"/>
          <w:kern w:val="0"/>
          <w:szCs w:val="21"/>
        </w:rPr>
        <w:t>并</w:t>
      </w:r>
      <w:proofErr w:type="gramStart"/>
      <w:r>
        <w:rPr>
          <w:rFonts w:ascii="Arial Unicode MS" w:hAnsi="Arial Unicode MS" w:cs="Arial"/>
          <w:kern w:val="0"/>
          <w:szCs w:val="21"/>
        </w:rPr>
        <w:t>自决议</w:t>
      </w:r>
      <w:proofErr w:type="gramEnd"/>
      <w:r>
        <w:rPr>
          <w:rFonts w:ascii="Arial Unicode MS" w:hAnsi="Arial Unicode MS" w:cs="Arial"/>
          <w:kern w:val="0"/>
          <w:szCs w:val="21"/>
        </w:rPr>
        <w:t>生效后两</w:t>
      </w:r>
      <w:r>
        <w:rPr>
          <w:rFonts w:ascii="Arial Unicode MS" w:hAnsi="Arial Unicode MS" w:cs="Arial" w:hint="eastAsia"/>
          <w:kern w:val="0"/>
          <w:szCs w:val="21"/>
        </w:rPr>
        <w:t>个工作</w:t>
      </w:r>
      <w:r>
        <w:rPr>
          <w:rFonts w:ascii="Arial Unicode MS" w:hAnsi="Arial Unicode MS" w:cs="Arial"/>
          <w:kern w:val="0"/>
          <w:szCs w:val="21"/>
        </w:rPr>
        <w:t>日内在指定媒介公告。</w:t>
      </w:r>
    </w:p>
    <w:p w:rsidR="004C06C5" w:rsidRDefault="00ED474B">
      <w:pPr>
        <w:snapToGrid w:val="0"/>
        <w:spacing w:line="360" w:lineRule="auto"/>
        <w:ind w:firstLineChars="200" w:firstLine="422"/>
        <w:rPr>
          <w:rFonts w:ascii="Arial Unicode MS" w:hAnsi="Arial Unicode MS" w:cs="Arial"/>
          <w:b/>
          <w:szCs w:val="21"/>
        </w:rPr>
      </w:pPr>
      <w:r>
        <w:rPr>
          <w:rFonts w:ascii="Arial Unicode MS" w:hAnsi="Arial Unicode MS" w:cs="Arial" w:hint="eastAsia"/>
          <w:b/>
          <w:szCs w:val="21"/>
        </w:rPr>
        <w:t>二、《基金合同》的终止事由</w:t>
      </w:r>
    </w:p>
    <w:p w:rsidR="004C06C5" w:rsidRDefault="00ED474B">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有下列情形之一的，《基金合同》应当终止：</w:t>
      </w:r>
    </w:p>
    <w:p w:rsidR="004C06C5" w:rsidRDefault="00ED474B">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、基金份额持有人大会决定终止的；</w:t>
      </w:r>
    </w:p>
    <w:p w:rsidR="004C06C5" w:rsidRDefault="00ED474B">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、基金管理人、基金托管人职责终止，在</w:t>
      </w:r>
      <w:r>
        <w:rPr>
          <w:rFonts w:ascii="Arial Unicode MS" w:hAnsi="Arial Unicode MS" w:cs="Arial" w:hint="eastAsia"/>
          <w:kern w:val="0"/>
          <w:szCs w:val="21"/>
        </w:rPr>
        <w:t>6</w:t>
      </w:r>
      <w:r>
        <w:rPr>
          <w:rFonts w:ascii="Arial Unicode MS" w:hAnsi="Arial Unicode MS" w:cs="Arial" w:hint="eastAsia"/>
          <w:kern w:val="0"/>
          <w:szCs w:val="21"/>
        </w:rPr>
        <w:t>个月内没有新基金管理人、新基金托管人承接的；</w:t>
      </w:r>
    </w:p>
    <w:p w:rsidR="004C06C5" w:rsidRDefault="00ED474B">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3</w:t>
      </w:r>
      <w:r>
        <w:rPr>
          <w:rFonts w:ascii="Arial Unicode MS" w:hAnsi="Arial Unicode MS" w:cs="Arial" w:hint="eastAsia"/>
          <w:kern w:val="0"/>
          <w:szCs w:val="21"/>
        </w:rPr>
        <w:t>、《基金合同》生效后，连续</w:t>
      </w:r>
      <w:r>
        <w:rPr>
          <w:rFonts w:ascii="Arial Unicode MS" w:hAnsi="Arial Unicode MS" w:cs="Arial" w:hint="eastAsia"/>
          <w:kern w:val="0"/>
          <w:szCs w:val="21"/>
        </w:rPr>
        <w:t>60</w:t>
      </w:r>
      <w:r>
        <w:rPr>
          <w:rFonts w:ascii="Arial Unicode MS" w:hAnsi="Arial Unicode MS" w:cs="Arial" w:hint="eastAsia"/>
          <w:kern w:val="0"/>
          <w:szCs w:val="21"/>
        </w:rPr>
        <w:t>个工作日出现基金份额持有人数量不满</w:t>
      </w:r>
      <w:r>
        <w:rPr>
          <w:rFonts w:ascii="Arial Unicode MS" w:hAnsi="Arial Unicode MS" w:cs="Arial" w:hint="eastAsia"/>
          <w:kern w:val="0"/>
          <w:szCs w:val="21"/>
        </w:rPr>
        <w:t>200</w:t>
      </w:r>
      <w:r>
        <w:rPr>
          <w:rFonts w:ascii="Arial Unicode MS" w:hAnsi="Arial Unicode MS" w:cs="Arial" w:hint="eastAsia"/>
          <w:kern w:val="0"/>
          <w:szCs w:val="21"/>
        </w:rPr>
        <w:t>人或者基金资产净值低于</w:t>
      </w:r>
      <w:r>
        <w:rPr>
          <w:rFonts w:ascii="Arial Unicode MS" w:hAnsi="Arial Unicode MS" w:cs="Arial" w:hint="eastAsia"/>
          <w:kern w:val="0"/>
          <w:szCs w:val="21"/>
        </w:rPr>
        <w:t>5000</w:t>
      </w:r>
      <w:r>
        <w:rPr>
          <w:rFonts w:ascii="Arial Unicode MS" w:hAnsi="Arial Unicode MS" w:cs="Arial" w:hint="eastAsia"/>
          <w:kern w:val="0"/>
          <w:szCs w:val="21"/>
        </w:rPr>
        <w:t>万元情形的，本基金将根据《基金合同》约定进入清算程序并终止，无需召开基金份额持有人大会进行表决；</w:t>
      </w:r>
    </w:p>
    <w:p w:rsidR="004C06C5" w:rsidRDefault="00ED474B">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4</w:t>
      </w:r>
      <w:r>
        <w:rPr>
          <w:rFonts w:ascii="Arial Unicode MS" w:hAnsi="Arial Unicode MS" w:cs="Arial" w:hint="eastAsia"/>
          <w:kern w:val="0"/>
          <w:szCs w:val="21"/>
        </w:rPr>
        <w:t>、《基金合同》约定的其他情形；</w:t>
      </w:r>
    </w:p>
    <w:p w:rsidR="004C06C5" w:rsidRDefault="00ED474B">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5</w:t>
      </w:r>
      <w:r>
        <w:rPr>
          <w:rFonts w:ascii="Arial Unicode MS" w:hAnsi="Arial Unicode MS" w:cs="Arial" w:hint="eastAsia"/>
          <w:kern w:val="0"/>
          <w:szCs w:val="21"/>
        </w:rPr>
        <w:t>、相关法律法规和中国证监会规定的其他情况。</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基金合同终止后，基金管理人和基金托管人有权依照《基金法》、《运作办法》、《销售办法》、基金合同及其他有关法律法规的规定，行使请求给付报酬、从基金资产中获得补偿的权利。</w:t>
      </w:r>
    </w:p>
    <w:p w:rsidR="004C06C5" w:rsidRDefault="00ED474B">
      <w:pPr>
        <w:snapToGrid w:val="0"/>
        <w:spacing w:line="360" w:lineRule="auto"/>
        <w:ind w:firstLineChars="200" w:firstLine="422"/>
        <w:rPr>
          <w:rFonts w:ascii="Arial Unicode MS" w:hAnsi="Arial Unicode MS" w:cs="Arial"/>
          <w:b/>
          <w:szCs w:val="21"/>
        </w:rPr>
      </w:pPr>
      <w:r>
        <w:rPr>
          <w:rFonts w:ascii="Arial Unicode MS" w:hAnsi="Arial Unicode MS" w:cs="Arial" w:hint="eastAsia"/>
          <w:b/>
          <w:szCs w:val="21"/>
        </w:rPr>
        <w:t>三、基金财产的清算</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、基金财产清算小组：自出现基金合同终止事由之日起</w:t>
      </w:r>
      <w:r>
        <w:rPr>
          <w:rFonts w:ascii="Arial Unicode MS" w:hAnsi="Arial Unicode MS" w:cs="Arial" w:hint="eastAsia"/>
          <w:kern w:val="0"/>
          <w:szCs w:val="21"/>
        </w:rPr>
        <w:t>30</w:t>
      </w:r>
      <w:r>
        <w:rPr>
          <w:rFonts w:ascii="Arial Unicode MS" w:hAnsi="Arial Unicode MS" w:cs="Arial" w:hint="eastAsia"/>
          <w:kern w:val="0"/>
          <w:szCs w:val="21"/>
        </w:rPr>
        <w:t>个工作日内成立清算小组，基金管理人组织基金财产清算小组并在中国证监会的监督下进行基金清算。</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、基金财产清算小组组成：基金财产清算小组成员由基金管理人、基金托管人、</w:t>
      </w:r>
      <w:r>
        <w:rPr>
          <w:rFonts w:ascii="Arial Unicode MS" w:hAnsi="Arial Unicode MS" w:cs="Arial" w:hint="eastAsia"/>
          <w:szCs w:val="21"/>
        </w:rPr>
        <w:t>具有证券、期货相关业务资格的</w:t>
      </w:r>
      <w:r>
        <w:rPr>
          <w:rFonts w:ascii="Arial Unicode MS" w:hAnsi="Arial Unicode MS" w:cs="Arial" w:hint="eastAsia"/>
          <w:kern w:val="0"/>
          <w:szCs w:val="21"/>
        </w:rPr>
        <w:t>注册会计师、律师以及中国证监会指定的人员组成。基金财产清算小组可以聘用必要的工作人员。</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3</w:t>
      </w:r>
      <w:r>
        <w:rPr>
          <w:rFonts w:ascii="Arial Unicode MS" w:hAnsi="Arial Unicode MS" w:cs="Arial"/>
          <w:kern w:val="0"/>
          <w:szCs w:val="21"/>
        </w:rPr>
        <w:t>、</w:t>
      </w:r>
      <w:r>
        <w:rPr>
          <w:rFonts w:ascii="Arial Unicode MS" w:hAnsi="Arial Unicode MS" w:cs="Arial" w:hint="eastAsia"/>
          <w:kern w:val="0"/>
          <w:szCs w:val="21"/>
        </w:rPr>
        <w:t>基金财产清算小组职责：基金财产清算小组负责基金财产的保管、清理、估价、变现和分配。基金财产清算小组可以依法进行必要的民事活动。</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lastRenderedPageBreak/>
        <w:t>4</w:t>
      </w:r>
      <w:r>
        <w:rPr>
          <w:rFonts w:ascii="Arial Unicode MS" w:hAnsi="Arial Unicode MS" w:cs="Arial" w:hint="eastAsia"/>
          <w:kern w:val="0"/>
          <w:szCs w:val="21"/>
        </w:rPr>
        <w:t>、基金财产清算程序：</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hint="eastAsia"/>
          <w:kern w:val="0"/>
          <w:szCs w:val="21"/>
        </w:rPr>
        <w:t>）《基金合同》终止情形出现时，由基金财产清算小组统一接管基金；</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）对基金财产和债权债务进行清理和确认；</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3</w:t>
      </w:r>
      <w:r>
        <w:rPr>
          <w:rFonts w:ascii="Arial Unicode MS" w:hAnsi="Arial Unicode MS" w:cs="Arial" w:hint="eastAsia"/>
          <w:kern w:val="0"/>
          <w:szCs w:val="21"/>
        </w:rPr>
        <w:t>）对基金财产进行估值和变现；</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4</w:t>
      </w:r>
      <w:r>
        <w:rPr>
          <w:rFonts w:ascii="Arial Unicode MS" w:hAnsi="Arial Unicode MS" w:cs="Arial" w:hint="eastAsia"/>
          <w:kern w:val="0"/>
          <w:szCs w:val="21"/>
        </w:rPr>
        <w:t>）制作清算报告；</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5</w:t>
      </w:r>
      <w:r>
        <w:rPr>
          <w:rFonts w:ascii="Arial Unicode MS" w:hAnsi="Arial Unicode MS" w:cs="Arial" w:hint="eastAsia"/>
          <w:kern w:val="0"/>
          <w:szCs w:val="21"/>
        </w:rPr>
        <w:t>）聘请</w:t>
      </w:r>
      <w:r>
        <w:rPr>
          <w:rFonts w:ascii="Arial Unicode MS" w:hAnsi="Arial Unicode MS" w:cs="Arial" w:hint="eastAsia"/>
          <w:szCs w:val="21"/>
        </w:rPr>
        <w:t>具有证券、期货相关业务资格的</w:t>
      </w:r>
      <w:r>
        <w:rPr>
          <w:rFonts w:ascii="Arial Unicode MS" w:hAnsi="Arial Unicode MS" w:cs="Arial" w:hint="eastAsia"/>
          <w:kern w:val="0"/>
          <w:szCs w:val="21"/>
        </w:rPr>
        <w:t>会计师事务所对清算报告进行外部审计，聘请律师事务所对清算报告出具法律意见书；</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6</w:t>
      </w:r>
      <w:r>
        <w:rPr>
          <w:rFonts w:ascii="Arial Unicode MS" w:hAnsi="Arial Unicode MS" w:cs="Arial" w:hint="eastAsia"/>
          <w:kern w:val="0"/>
          <w:szCs w:val="21"/>
        </w:rPr>
        <w:t>）将清算报告报中国证监会备案并公告；</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7</w:t>
      </w:r>
      <w:r>
        <w:rPr>
          <w:rFonts w:ascii="Arial Unicode MS" w:hAnsi="Arial Unicode MS" w:cs="Arial" w:hint="eastAsia"/>
          <w:kern w:val="0"/>
          <w:szCs w:val="21"/>
        </w:rPr>
        <w:t>）对基金剩余财产进行分配。</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5</w:t>
      </w:r>
      <w:r>
        <w:rPr>
          <w:rFonts w:ascii="Arial Unicode MS" w:hAnsi="Arial Unicode MS" w:cs="Arial"/>
          <w:kern w:val="0"/>
          <w:szCs w:val="21"/>
        </w:rPr>
        <w:t>、基金财产清算的期限为</w:t>
      </w:r>
      <w:r>
        <w:rPr>
          <w:rFonts w:ascii="Arial Unicode MS" w:hAnsi="Arial Unicode MS" w:cs="Arial" w:hint="eastAsia"/>
          <w:kern w:val="0"/>
          <w:szCs w:val="21"/>
        </w:rPr>
        <w:t>6</w:t>
      </w:r>
      <w:r>
        <w:rPr>
          <w:rFonts w:ascii="Arial Unicode MS" w:hAnsi="Arial Unicode MS" w:cs="Arial"/>
          <w:kern w:val="0"/>
          <w:szCs w:val="21"/>
        </w:rPr>
        <w:t>个月</w:t>
      </w:r>
      <w:r>
        <w:rPr>
          <w:rFonts w:ascii="Arial Unicode MS" w:hAnsi="Arial Unicode MS" w:cs="Arial" w:hint="eastAsia"/>
          <w:kern w:val="0"/>
          <w:szCs w:val="21"/>
        </w:rPr>
        <w:t>，但因本基金所持证券的流动性受到限制而不能及时变现的，清算期限相应顺延</w:t>
      </w:r>
      <w:r>
        <w:rPr>
          <w:rFonts w:ascii="Arial Unicode MS" w:hAnsi="Arial Unicode MS" w:cs="Arial"/>
          <w:kern w:val="0"/>
          <w:szCs w:val="21"/>
        </w:rPr>
        <w:t>。</w:t>
      </w:r>
    </w:p>
    <w:p w:rsidR="004C06C5" w:rsidRDefault="00ED474B">
      <w:pPr>
        <w:snapToGrid w:val="0"/>
        <w:spacing w:line="360" w:lineRule="auto"/>
        <w:ind w:firstLineChars="200" w:firstLine="422"/>
        <w:rPr>
          <w:rFonts w:ascii="Arial Unicode MS" w:hAnsi="Arial Unicode MS" w:cs="Arial"/>
          <w:b/>
          <w:szCs w:val="21"/>
        </w:rPr>
      </w:pPr>
      <w:r>
        <w:rPr>
          <w:rFonts w:ascii="Arial Unicode MS" w:hAnsi="Arial Unicode MS" w:cs="Arial" w:hint="eastAsia"/>
          <w:b/>
          <w:szCs w:val="21"/>
        </w:rPr>
        <w:t>四、清算费用</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清算费用是指基金财产清算小组在进行基金清算过程中发生的所有合理费用，清算费用由基金财产清算小组优先从基金剩余财产中支付。</w:t>
      </w:r>
    </w:p>
    <w:p w:rsidR="004C06C5" w:rsidRDefault="00ED474B">
      <w:pPr>
        <w:snapToGrid w:val="0"/>
        <w:spacing w:line="360" w:lineRule="auto"/>
        <w:ind w:firstLineChars="200" w:firstLine="422"/>
        <w:rPr>
          <w:rFonts w:ascii="Arial Unicode MS" w:hAnsi="Arial Unicode MS" w:cs="Arial"/>
          <w:b/>
          <w:szCs w:val="21"/>
        </w:rPr>
      </w:pPr>
      <w:r>
        <w:rPr>
          <w:rFonts w:ascii="Arial Unicode MS" w:hAnsi="Arial Unicode MS" w:cs="Arial" w:hint="eastAsia"/>
          <w:b/>
          <w:szCs w:val="21"/>
        </w:rPr>
        <w:t>五、基金财产清算剩余资产的分配</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依据基金财产清算的分配方案，将基金财产清算后的全部剩余资产扣除基金财产清算费用、交纳所欠税款并清偿基金债务后，按基金份额持有人持有的基金份额比例进行分配。</w:t>
      </w:r>
    </w:p>
    <w:p w:rsidR="004C06C5" w:rsidRDefault="00ED474B">
      <w:pPr>
        <w:snapToGrid w:val="0"/>
        <w:spacing w:line="360" w:lineRule="auto"/>
        <w:ind w:firstLineChars="200" w:firstLine="422"/>
        <w:rPr>
          <w:rFonts w:ascii="Arial Unicode MS" w:hAnsi="Arial Unicode MS" w:cs="Arial"/>
          <w:b/>
          <w:szCs w:val="21"/>
        </w:rPr>
      </w:pPr>
      <w:r>
        <w:rPr>
          <w:rFonts w:ascii="Arial Unicode MS" w:hAnsi="Arial Unicode MS" w:cs="Arial" w:hint="eastAsia"/>
          <w:b/>
          <w:szCs w:val="21"/>
        </w:rPr>
        <w:t>六、基金财产清算的公告</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清算过程中的有关重大事项须及时公告；基金财产清算报告经</w:t>
      </w:r>
      <w:r>
        <w:rPr>
          <w:rFonts w:ascii="Arial Unicode MS" w:hAnsi="Arial Unicode MS" w:cs="Arial" w:hint="eastAsia"/>
          <w:szCs w:val="21"/>
        </w:rPr>
        <w:t>具有证券、期货相关业务资格的</w:t>
      </w:r>
      <w:r>
        <w:rPr>
          <w:rFonts w:ascii="Arial Unicode MS" w:hAnsi="Arial Unicode MS" w:cs="Arial" w:hint="eastAsia"/>
          <w:kern w:val="0"/>
          <w:szCs w:val="21"/>
        </w:rPr>
        <w:t>会计师事务所审计并由律师事务所出具法律意见书后报中国证监会备案并公告。基金财产清算公告于基金财产清算报告报中国证监会备案后</w:t>
      </w:r>
      <w:r>
        <w:rPr>
          <w:rFonts w:ascii="Arial Unicode MS" w:hAnsi="Arial Unicode MS" w:cs="Arial" w:hint="eastAsia"/>
          <w:kern w:val="0"/>
          <w:szCs w:val="21"/>
        </w:rPr>
        <w:t>5</w:t>
      </w:r>
      <w:r>
        <w:rPr>
          <w:rFonts w:ascii="Arial Unicode MS" w:hAnsi="Arial Unicode MS" w:cs="Arial" w:hint="eastAsia"/>
          <w:kern w:val="0"/>
          <w:szCs w:val="21"/>
        </w:rPr>
        <w:t>个工作日内由基金财产清算小组进行公告。</w:t>
      </w:r>
    </w:p>
    <w:p w:rsidR="004C06C5" w:rsidRDefault="00ED474B">
      <w:pPr>
        <w:snapToGrid w:val="0"/>
        <w:spacing w:line="360" w:lineRule="auto"/>
        <w:ind w:firstLineChars="200" w:firstLine="422"/>
        <w:rPr>
          <w:rFonts w:ascii="Arial Unicode MS" w:hAnsi="Arial Unicode MS" w:cs="Arial"/>
          <w:b/>
          <w:szCs w:val="21"/>
        </w:rPr>
      </w:pPr>
      <w:r>
        <w:rPr>
          <w:rFonts w:ascii="Arial Unicode MS" w:hAnsi="Arial Unicode MS" w:cs="Arial" w:hint="eastAsia"/>
          <w:b/>
          <w:szCs w:val="21"/>
        </w:rPr>
        <w:t>七、基金财产清算账册及文件的保存</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基金财产清算账册及有关文件由基金托管人保存</w:t>
      </w:r>
      <w:r>
        <w:rPr>
          <w:rFonts w:ascii="Arial Unicode MS" w:hAnsi="Arial Unicode MS" w:cs="Arial" w:hint="eastAsia"/>
          <w:kern w:val="0"/>
          <w:szCs w:val="21"/>
        </w:rPr>
        <w:t>15</w:t>
      </w:r>
      <w:r>
        <w:rPr>
          <w:rFonts w:ascii="Arial Unicode MS" w:hAnsi="Arial Unicode MS" w:cs="Arial" w:hint="eastAsia"/>
          <w:kern w:val="0"/>
          <w:szCs w:val="21"/>
        </w:rPr>
        <w:t>年以上。</w:t>
      </w:r>
    </w:p>
    <w:p w:rsidR="004C06C5" w:rsidRDefault="004C06C5">
      <w:pPr>
        <w:adjustRightInd w:val="0"/>
        <w:snapToGrid w:val="0"/>
        <w:spacing w:line="360" w:lineRule="auto"/>
        <w:ind w:firstLineChars="200" w:firstLine="420"/>
        <w:rPr>
          <w:rFonts w:ascii="Arial Unicode MS" w:hAnsi="Arial Unicode MS" w:cs="Arial"/>
          <w:kern w:val="0"/>
          <w:szCs w:val="21"/>
        </w:rPr>
      </w:pPr>
    </w:p>
    <w:p w:rsidR="004C06C5" w:rsidRDefault="004C06C5">
      <w:pPr>
        <w:adjustRightInd w:val="0"/>
        <w:snapToGrid w:val="0"/>
        <w:spacing w:line="360" w:lineRule="auto"/>
        <w:ind w:firstLineChars="200" w:firstLine="420"/>
        <w:rPr>
          <w:rFonts w:ascii="Arial Unicode MS" w:hAnsi="Arial Unicode MS" w:cs="Arial"/>
          <w:kern w:val="0"/>
          <w:szCs w:val="21"/>
        </w:rPr>
      </w:pPr>
    </w:p>
    <w:p w:rsidR="004C06C5" w:rsidRDefault="004C06C5">
      <w:pPr>
        <w:adjustRightInd w:val="0"/>
        <w:snapToGrid w:val="0"/>
        <w:spacing w:line="360" w:lineRule="auto"/>
        <w:ind w:firstLineChars="200" w:firstLine="420"/>
        <w:rPr>
          <w:rFonts w:ascii="Arial Unicode MS" w:hAnsi="Arial Unicode MS" w:cs="Arial"/>
          <w:kern w:val="0"/>
          <w:szCs w:val="21"/>
        </w:rPr>
      </w:pPr>
    </w:p>
    <w:p w:rsidR="004C06C5" w:rsidRDefault="004C06C5">
      <w:pPr>
        <w:adjustRightInd w:val="0"/>
        <w:snapToGrid w:val="0"/>
        <w:spacing w:line="360" w:lineRule="auto"/>
        <w:ind w:firstLineChars="200" w:firstLine="420"/>
        <w:rPr>
          <w:rFonts w:ascii="Arial Unicode MS" w:hAnsi="Arial Unicode MS" w:cs="Arial"/>
          <w:kern w:val="0"/>
          <w:szCs w:val="21"/>
        </w:rPr>
      </w:pPr>
    </w:p>
    <w:p w:rsidR="004C06C5" w:rsidRDefault="00ED474B">
      <w:pPr>
        <w:pStyle w:val="11"/>
        <w:snapToGrid w:val="0"/>
        <w:spacing w:before="0" w:after="0" w:line="360" w:lineRule="auto"/>
        <w:ind w:firstLine="422"/>
        <w:rPr>
          <w:rFonts w:ascii="Arial Unicode MS" w:eastAsia="宋体" w:hAnsi="Arial Unicode MS" w:cs="Arial"/>
          <w:b/>
          <w:bCs/>
          <w:sz w:val="28"/>
          <w:szCs w:val="28"/>
        </w:rPr>
      </w:pPr>
      <w:bookmarkStart w:id="132" w:name="_Toc317088155"/>
      <w:bookmarkStart w:id="133" w:name="_Toc214873607"/>
      <w:bookmarkStart w:id="134" w:name="_Toc317088552"/>
      <w:bookmarkStart w:id="135" w:name="_Toc320887657"/>
      <w:bookmarkStart w:id="136" w:name="_Toc335232706"/>
      <w:bookmarkStart w:id="137" w:name="_Toc1464073"/>
      <w:bookmarkEnd w:id="131"/>
      <w:r>
        <w:rPr>
          <w:rFonts w:ascii="Arial Unicode MS" w:eastAsia="宋体" w:hAnsi="Arial Unicode MS" w:cs="Arial"/>
          <w:b/>
          <w:bCs/>
          <w:sz w:val="28"/>
          <w:szCs w:val="28"/>
        </w:rPr>
        <w:lastRenderedPageBreak/>
        <w:t>第</w:t>
      </w:r>
      <w:r>
        <w:rPr>
          <w:rFonts w:ascii="Arial Unicode MS" w:eastAsia="宋体" w:hAnsi="Arial Unicode MS" w:cs="Arial" w:hint="eastAsia"/>
          <w:b/>
          <w:bCs/>
          <w:sz w:val="28"/>
          <w:szCs w:val="28"/>
        </w:rPr>
        <w:t>十八</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基金合同的内容摘要</w:t>
      </w:r>
      <w:bookmarkEnd w:id="132"/>
      <w:bookmarkEnd w:id="133"/>
      <w:bookmarkEnd w:id="134"/>
      <w:bookmarkEnd w:id="135"/>
      <w:bookmarkEnd w:id="136"/>
      <w:bookmarkEnd w:id="137"/>
    </w:p>
    <w:p w:rsidR="004C06C5" w:rsidRDefault="004C06C5">
      <w:pPr>
        <w:autoSpaceDE w:val="0"/>
        <w:autoSpaceDN w:val="0"/>
        <w:adjustRightInd w:val="0"/>
        <w:spacing w:line="360" w:lineRule="auto"/>
        <w:ind w:firstLineChars="200" w:firstLine="422"/>
        <w:jc w:val="left"/>
        <w:rPr>
          <w:rFonts w:ascii="Arial Unicode MS" w:hAnsi="Arial Unicode MS"/>
          <w:b/>
          <w:bCs/>
          <w:szCs w:val="21"/>
        </w:rPr>
      </w:pPr>
    </w:p>
    <w:p w:rsidR="004C06C5" w:rsidRDefault="00ED474B">
      <w:pPr>
        <w:autoSpaceDE w:val="0"/>
        <w:autoSpaceDN w:val="0"/>
        <w:adjustRightInd w:val="0"/>
        <w:spacing w:line="360" w:lineRule="auto"/>
        <w:ind w:firstLineChars="200" w:firstLine="422"/>
        <w:jc w:val="left"/>
        <w:rPr>
          <w:rFonts w:ascii="Arial Unicode MS" w:hAnsi="Arial Unicode MS"/>
          <w:b/>
          <w:bCs/>
          <w:szCs w:val="21"/>
        </w:rPr>
      </w:pPr>
      <w:r>
        <w:rPr>
          <w:rFonts w:ascii="Arial Unicode MS" w:hAnsi="Arial Unicode MS" w:hint="eastAsia"/>
          <w:b/>
          <w:bCs/>
          <w:szCs w:val="21"/>
        </w:rPr>
        <w:t>一、基金份额持有人、基金管理人和基金托管人的权利、义务</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（一）基金管理人的权利与义务</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、根据《基金法》、《运作办法》及其他有关规定，基金管理人的权利包括但不限于：</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hint="eastAsia"/>
          <w:kern w:val="0"/>
          <w:szCs w:val="21"/>
        </w:rPr>
        <w:t>）依法募集资金；</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）自基金合同生效之日起，根据法律法规和基金合同独立运用并管理基金财产；</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3</w:t>
      </w:r>
      <w:r>
        <w:rPr>
          <w:rFonts w:ascii="Arial Unicode MS" w:hAnsi="Arial Unicode MS" w:cs="Arial" w:hint="eastAsia"/>
          <w:kern w:val="0"/>
          <w:szCs w:val="21"/>
        </w:rPr>
        <w:t>）依照基金合同收取基金管理费以及法律法规规定或中国证监会批准的其他费用；</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4</w:t>
      </w:r>
      <w:r>
        <w:rPr>
          <w:rFonts w:ascii="Arial Unicode MS" w:hAnsi="Arial Unicode MS" w:cs="Arial" w:hint="eastAsia"/>
          <w:kern w:val="0"/>
          <w:szCs w:val="21"/>
        </w:rPr>
        <w:t>）销售基金份额；</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5</w:t>
      </w:r>
      <w:r>
        <w:rPr>
          <w:rFonts w:ascii="Arial Unicode MS" w:hAnsi="Arial Unicode MS" w:cs="Arial" w:hint="eastAsia"/>
          <w:kern w:val="0"/>
          <w:szCs w:val="21"/>
        </w:rPr>
        <w:t>）按照规定召集基金份额持有人大会；</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6</w:t>
      </w:r>
      <w:r>
        <w:rPr>
          <w:rFonts w:ascii="Arial Unicode MS" w:hAnsi="Arial Unicode MS" w:cs="Arial" w:hint="eastAsia"/>
          <w:kern w:val="0"/>
          <w:szCs w:val="21"/>
        </w:rPr>
        <w:t>）依据基金合同及有关法律规定监督基金托管人，如认为基金托管人违反了基金合同及国家有关法律规定，应呈报中国证监会和其他监管部门，并采取必要措施保护基金投资者的利益；</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7</w:t>
      </w:r>
      <w:r>
        <w:rPr>
          <w:rFonts w:ascii="Arial Unicode MS" w:hAnsi="Arial Unicode MS" w:cs="Arial" w:hint="eastAsia"/>
          <w:kern w:val="0"/>
          <w:szCs w:val="21"/>
        </w:rPr>
        <w:t>）在基金托管人更换时，提名新的基金托管人；</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8</w:t>
      </w:r>
      <w:r>
        <w:rPr>
          <w:rFonts w:ascii="Arial Unicode MS" w:hAnsi="Arial Unicode MS" w:cs="Arial" w:hint="eastAsia"/>
          <w:kern w:val="0"/>
          <w:szCs w:val="21"/>
        </w:rPr>
        <w:t>）选择、更换基金销售机构，对基金销售机构的相关行为进行监督和处理；</w:t>
      </w:r>
      <w:r>
        <w:rPr>
          <w:rFonts w:ascii="Arial Unicode MS" w:hAnsi="Arial Unicode MS" w:cs="Arial" w:hint="eastAsia"/>
          <w:kern w:val="0"/>
          <w:szCs w:val="21"/>
        </w:rPr>
        <w:t xml:space="preserve"> </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9</w:t>
      </w:r>
      <w:r>
        <w:rPr>
          <w:rFonts w:ascii="Arial Unicode MS" w:hAnsi="Arial Unicode MS" w:cs="Arial" w:hint="eastAsia"/>
          <w:kern w:val="0"/>
          <w:szCs w:val="21"/>
        </w:rPr>
        <w:t>）担任或委托其他符合条件的机构担任基金登记机构办理基金登记业务并获得基金合同规定的费用；</w:t>
      </w:r>
      <w:r>
        <w:rPr>
          <w:rFonts w:ascii="Arial Unicode MS" w:hAnsi="Arial Unicode MS" w:cs="Arial" w:hint="eastAsia"/>
          <w:kern w:val="0"/>
          <w:szCs w:val="21"/>
        </w:rPr>
        <w:t xml:space="preserve"> </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10</w:t>
      </w:r>
      <w:r>
        <w:rPr>
          <w:rFonts w:ascii="Arial Unicode MS" w:hAnsi="Arial Unicode MS" w:cs="Arial" w:hint="eastAsia"/>
          <w:kern w:val="0"/>
          <w:szCs w:val="21"/>
        </w:rPr>
        <w:t>）依据基金合同及有关法律规定决定基金收益的分配方案；</w:t>
      </w:r>
      <w:r>
        <w:rPr>
          <w:rFonts w:ascii="Arial Unicode MS" w:hAnsi="Arial Unicode MS" w:cs="Arial" w:hint="eastAsia"/>
          <w:kern w:val="0"/>
          <w:szCs w:val="21"/>
        </w:rPr>
        <w:tab/>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11</w:t>
      </w:r>
      <w:r>
        <w:rPr>
          <w:rFonts w:ascii="Arial Unicode MS" w:hAnsi="Arial Unicode MS" w:cs="Arial" w:hint="eastAsia"/>
          <w:kern w:val="0"/>
          <w:szCs w:val="21"/>
        </w:rPr>
        <w:t>）在基金合同约定的范围内，拒绝或暂停受理申购、赎回与转换申请；</w:t>
      </w:r>
      <w:r>
        <w:rPr>
          <w:rFonts w:ascii="Arial Unicode MS" w:hAnsi="Arial Unicode MS" w:cs="Arial" w:hint="eastAsia"/>
          <w:kern w:val="0"/>
          <w:szCs w:val="21"/>
        </w:rPr>
        <w:t xml:space="preserve"> </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12</w:t>
      </w:r>
      <w:r>
        <w:rPr>
          <w:rFonts w:ascii="Arial Unicode MS" w:hAnsi="Arial Unicode MS" w:cs="Arial" w:hint="eastAsia"/>
          <w:kern w:val="0"/>
          <w:szCs w:val="21"/>
        </w:rPr>
        <w:t>）依照法律法规为基金的利益对被投资公司行使股东权利，为基金的利益行使因基金财产投资于证券所产生的权利；</w:t>
      </w:r>
      <w:r>
        <w:rPr>
          <w:rFonts w:ascii="Arial Unicode MS" w:hAnsi="Arial Unicode MS" w:cs="Arial" w:hint="eastAsia"/>
          <w:kern w:val="0"/>
          <w:szCs w:val="21"/>
        </w:rPr>
        <w:tab/>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13</w:t>
      </w:r>
      <w:r>
        <w:rPr>
          <w:rFonts w:ascii="Arial Unicode MS" w:hAnsi="Arial Unicode MS" w:cs="Arial" w:hint="eastAsia"/>
          <w:kern w:val="0"/>
          <w:szCs w:val="21"/>
        </w:rPr>
        <w:t>）以基金管理人的名义，代表基金份额持有人的利益行使诉讼权利或者实施其他法律行为；</w:t>
      </w:r>
      <w:r>
        <w:rPr>
          <w:rFonts w:ascii="Arial Unicode MS" w:hAnsi="Arial Unicode MS" w:cs="Arial" w:hint="eastAsia"/>
          <w:kern w:val="0"/>
          <w:szCs w:val="21"/>
        </w:rPr>
        <w:tab/>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14</w:t>
      </w:r>
      <w:r>
        <w:rPr>
          <w:rFonts w:ascii="Arial Unicode MS" w:hAnsi="Arial Unicode MS" w:cs="Arial" w:hint="eastAsia"/>
          <w:kern w:val="0"/>
          <w:szCs w:val="21"/>
        </w:rPr>
        <w:t>）选择、更换律师事务所、会计师事务所、证券经纪商或其他为基金提供服务的外部机构；</w:t>
      </w:r>
      <w:r>
        <w:rPr>
          <w:rFonts w:ascii="Arial Unicode MS" w:hAnsi="Arial Unicode MS" w:cs="Arial" w:hint="eastAsia"/>
          <w:kern w:val="0"/>
          <w:szCs w:val="21"/>
        </w:rPr>
        <w:tab/>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15</w:t>
      </w:r>
      <w:r>
        <w:rPr>
          <w:rFonts w:ascii="Arial Unicode MS" w:hAnsi="Arial Unicode MS" w:cs="Arial" w:hint="eastAsia"/>
          <w:kern w:val="0"/>
          <w:szCs w:val="21"/>
        </w:rPr>
        <w:t>）在符合有关法律、法规的前提下，制订和调整有关基金认购、申购、赎回、转换、定期定额投资和</w:t>
      </w:r>
      <w:proofErr w:type="gramStart"/>
      <w:r>
        <w:rPr>
          <w:rFonts w:ascii="Arial Unicode MS" w:hAnsi="Arial Unicode MS" w:cs="Arial" w:hint="eastAsia"/>
          <w:kern w:val="0"/>
          <w:szCs w:val="21"/>
        </w:rPr>
        <w:t>非交易</w:t>
      </w:r>
      <w:proofErr w:type="gramEnd"/>
      <w:r>
        <w:rPr>
          <w:rFonts w:ascii="Arial Unicode MS" w:hAnsi="Arial Unicode MS" w:cs="Arial" w:hint="eastAsia"/>
          <w:kern w:val="0"/>
          <w:szCs w:val="21"/>
        </w:rPr>
        <w:t>过户等业务规则；</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16</w:t>
      </w:r>
      <w:r>
        <w:rPr>
          <w:rFonts w:ascii="Arial Unicode MS" w:hAnsi="Arial Unicode MS" w:cs="Arial" w:hint="eastAsia"/>
          <w:kern w:val="0"/>
          <w:szCs w:val="21"/>
        </w:rPr>
        <w:t>）法律法规及中国证监会规定的和基金合同约定的其他权利。</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lastRenderedPageBreak/>
        <w:t>2</w:t>
      </w:r>
      <w:r>
        <w:rPr>
          <w:rFonts w:ascii="Arial Unicode MS" w:hAnsi="Arial Unicode MS" w:cs="Arial" w:hint="eastAsia"/>
          <w:kern w:val="0"/>
          <w:szCs w:val="21"/>
        </w:rPr>
        <w:t>、根据《基金法》、《运作办法》及其他有关规定，基金管理人的义务包括但不限于：</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hint="eastAsia"/>
          <w:kern w:val="0"/>
          <w:szCs w:val="21"/>
        </w:rPr>
        <w:t>）依法募集资金，办理或者委托经中国证监会认定的其他机构代为办理基金份额的发售、申购、赎回和登记事宜；</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）办理基金备案手续；</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3</w:t>
      </w:r>
      <w:r>
        <w:rPr>
          <w:rFonts w:ascii="Arial Unicode MS" w:hAnsi="Arial Unicode MS" w:cs="Arial" w:hint="eastAsia"/>
          <w:kern w:val="0"/>
          <w:szCs w:val="21"/>
        </w:rPr>
        <w:t>）自基金合同生效之日起，以诚实信用、谨慎勤勉的原则管理和运用基金财产；</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4</w:t>
      </w:r>
      <w:r>
        <w:rPr>
          <w:rFonts w:ascii="Arial Unicode MS" w:hAnsi="Arial Unicode MS" w:cs="Arial" w:hint="eastAsia"/>
          <w:kern w:val="0"/>
          <w:szCs w:val="21"/>
        </w:rPr>
        <w:t>）配备足够的具有专业资格的人员进行基金投资分析、决策，以专业化的经营方式管理和运作基金财产；</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5</w:t>
      </w:r>
      <w:r>
        <w:rPr>
          <w:rFonts w:ascii="Arial Unicode MS" w:hAnsi="Arial Unicode MS" w:cs="Arial" w:hint="eastAsia"/>
          <w:kern w:val="0"/>
          <w:szCs w:val="21"/>
        </w:rPr>
        <w:t>）建立健全内部风险控制、监察与稽核、财务管理及人事管理等制度，保证所管理的基金财产和基金管理人的财产相互独立，对所管理的不同基金分别管理，分别记账，进行证券投资；</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6</w:t>
      </w:r>
      <w:r>
        <w:rPr>
          <w:rFonts w:ascii="Arial Unicode MS" w:hAnsi="Arial Unicode MS" w:cs="Arial" w:hint="eastAsia"/>
          <w:kern w:val="0"/>
          <w:szCs w:val="21"/>
        </w:rPr>
        <w:t>）除依据《基金法》、基金合同及其他有关规定外，不得利用基金财产为自己及任何第三人谋取利益，不得委托第三人运作基金财产；</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7</w:t>
      </w:r>
      <w:r>
        <w:rPr>
          <w:rFonts w:ascii="Arial Unicode MS" w:hAnsi="Arial Unicode MS" w:cs="Arial" w:hint="eastAsia"/>
          <w:kern w:val="0"/>
          <w:szCs w:val="21"/>
        </w:rPr>
        <w:t>）依法接受基金托管人的监督；</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8</w:t>
      </w:r>
      <w:r>
        <w:rPr>
          <w:rFonts w:ascii="Arial Unicode MS" w:hAnsi="Arial Unicode MS" w:cs="Arial" w:hint="eastAsia"/>
          <w:kern w:val="0"/>
          <w:szCs w:val="21"/>
        </w:rPr>
        <w:t>）采取适当合理的措施使计算基金份额认购、申购、赎回和注销价格的方法符合基金合同等法律文件的规定，按有关规定计算并公告</w:t>
      </w:r>
      <w:r>
        <w:rPr>
          <w:rFonts w:ascii="Arial Unicode MS" w:hAnsi="Arial Unicode MS" w:hint="eastAsia"/>
          <w:bCs/>
          <w:szCs w:val="21"/>
        </w:rPr>
        <w:t>基金净值信息，确定基金份额申购、赎回对价，编制申购赎回清单</w:t>
      </w:r>
      <w:r>
        <w:rPr>
          <w:rFonts w:ascii="Arial Unicode MS" w:hAnsi="Arial Unicode MS" w:cs="Arial" w:hint="eastAsia"/>
          <w:kern w:val="0"/>
          <w:szCs w:val="21"/>
        </w:rPr>
        <w:t>；</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9</w:t>
      </w:r>
      <w:r>
        <w:rPr>
          <w:rFonts w:ascii="Arial Unicode MS" w:hAnsi="Arial Unicode MS" w:cs="Arial" w:hint="eastAsia"/>
          <w:kern w:val="0"/>
          <w:szCs w:val="21"/>
        </w:rPr>
        <w:t>）进行基金会计核算并编制基金财务会计报告；</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10</w:t>
      </w:r>
      <w:r>
        <w:rPr>
          <w:rFonts w:ascii="Arial Unicode MS" w:hAnsi="Arial Unicode MS" w:cs="Arial" w:hint="eastAsia"/>
          <w:kern w:val="0"/>
          <w:szCs w:val="21"/>
        </w:rPr>
        <w:t>）编制季度报告、中期报告和年度报告；</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11</w:t>
      </w:r>
      <w:r>
        <w:rPr>
          <w:rFonts w:ascii="Arial Unicode MS" w:hAnsi="Arial Unicode MS" w:cs="Arial" w:hint="eastAsia"/>
          <w:kern w:val="0"/>
          <w:szCs w:val="21"/>
        </w:rPr>
        <w:t>）严格按照《基金法》、基金合同及其他有关规定，履行信息披露及报告义务；</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12</w:t>
      </w:r>
      <w:r>
        <w:rPr>
          <w:rFonts w:ascii="Arial Unicode MS" w:hAnsi="Arial Unicode MS" w:cs="Arial" w:hint="eastAsia"/>
          <w:kern w:val="0"/>
          <w:szCs w:val="21"/>
        </w:rPr>
        <w:t>）保守基金商业秘密，不泄露基金投资计划、投资意向等。除《基金法》、基金合同及其他有关规定另有规定外，在基金信息公开披露前应予保密，不向他人泄露；</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13</w:t>
      </w:r>
      <w:r>
        <w:rPr>
          <w:rFonts w:ascii="Arial Unicode MS" w:hAnsi="Arial Unicode MS" w:cs="Arial" w:hint="eastAsia"/>
          <w:kern w:val="0"/>
          <w:szCs w:val="21"/>
        </w:rPr>
        <w:t>）按基金合同的约定确定基金收益分配方案，及时向基金份额持有人分配基金收益；</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14</w:t>
      </w:r>
      <w:r>
        <w:rPr>
          <w:rFonts w:ascii="Arial Unicode MS" w:hAnsi="Arial Unicode MS" w:cs="Arial" w:hint="eastAsia"/>
          <w:kern w:val="0"/>
          <w:szCs w:val="21"/>
        </w:rPr>
        <w:t>）按规定受理申购与赎回申请，及时、足额支付赎回款项；</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15</w:t>
      </w:r>
      <w:r>
        <w:rPr>
          <w:rFonts w:ascii="Arial Unicode MS" w:hAnsi="Arial Unicode MS" w:cs="Arial" w:hint="eastAsia"/>
          <w:kern w:val="0"/>
          <w:szCs w:val="21"/>
        </w:rPr>
        <w:t>）依据《基金法》、基金合同及其他有关规定召集基金份额持有人大会或配合基金托管人、基金份额持有人依法召集基金份额持有人大会；</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16</w:t>
      </w:r>
      <w:r>
        <w:rPr>
          <w:rFonts w:ascii="Arial Unicode MS" w:hAnsi="Arial Unicode MS" w:cs="Arial" w:hint="eastAsia"/>
          <w:kern w:val="0"/>
          <w:szCs w:val="21"/>
        </w:rPr>
        <w:t>）按规定保存基金财产管理业务活动的会计账册、报表、记录和其他相关资料</w:t>
      </w:r>
      <w:r>
        <w:rPr>
          <w:rFonts w:ascii="Arial Unicode MS" w:hAnsi="Arial Unicode MS" w:cs="Arial" w:hint="eastAsia"/>
          <w:kern w:val="0"/>
          <w:szCs w:val="21"/>
        </w:rPr>
        <w:t>15</w:t>
      </w:r>
      <w:r>
        <w:rPr>
          <w:rFonts w:ascii="Arial Unicode MS" w:hAnsi="Arial Unicode MS" w:cs="Arial" w:hint="eastAsia"/>
          <w:kern w:val="0"/>
          <w:szCs w:val="21"/>
        </w:rPr>
        <w:t>年以上；</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lastRenderedPageBreak/>
        <w:t>（</w:t>
      </w:r>
      <w:r>
        <w:rPr>
          <w:rFonts w:ascii="Arial Unicode MS" w:hAnsi="Arial Unicode MS" w:cs="Arial" w:hint="eastAsia"/>
          <w:kern w:val="0"/>
          <w:szCs w:val="21"/>
        </w:rPr>
        <w:t>17</w:t>
      </w:r>
      <w:r>
        <w:rPr>
          <w:rFonts w:ascii="Arial Unicode MS" w:hAnsi="Arial Unicode MS" w:cs="Arial" w:hint="eastAsia"/>
          <w:kern w:val="0"/>
          <w:szCs w:val="21"/>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18</w:t>
      </w:r>
      <w:r>
        <w:rPr>
          <w:rFonts w:ascii="Arial Unicode MS" w:hAnsi="Arial Unicode MS" w:cs="Arial" w:hint="eastAsia"/>
          <w:kern w:val="0"/>
          <w:szCs w:val="21"/>
        </w:rPr>
        <w:t>）组织并参加基金财产清算小组，参与基金财产的保管、清理、估价、变现和分配；</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19</w:t>
      </w:r>
      <w:r>
        <w:rPr>
          <w:rFonts w:ascii="Arial Unicode MS" w:hAnsi="Arial Unicode MS" w:cs="Arial" w:hint="eastAsia"/>
          <w:kern w:val="0"/>
          <w:szCs w:val="21"/>
        </w:rPr>
        <w:t>）面临解散、依法被撤销或者被依法宣告破产时，及时报告中国证监会并通知基金托管人；</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20</w:t>
      </w:r>
      <w:r>
        <w:rPr>
          <w:rFonts w:ascii="Arial Unicode MS" w:hAnsi="Arial Unicode MS" w:cs="Arial" w:hint="eastAsia"/>
          <w:kern w:val="0"/>
          <w:szCs w:val="21"/>
        </w:rPr>
        <w:t>）因违反基金合同导致基金财产的损失或损害基金份额持有人合法权益时，应当承担赔偿责任，其赔偿责任不因其退任而免除；</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21</w:t>
      </w:r>
      <w:r>
        <w:rPr>
          <w:rFonts w:ascii="Arial Unicode MS" w:hAnsi="Arial Unicode MS" w:cs="Arial" w:hint="eastAsia"/>
          <w:kern w:val="0"/>
          <w:szCs w:val="21"/>
        </w:rPr>
        <w:t>）监督基金托管人按法律法规和基金合同规定履行自己的义务，基金托管人违反基金合同造成基金财产损失时，基金管理人应为基金份额持有人利益向基金托管人追偿；</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22</w:t>
      </w:r>
      <w:r>
        <w:rPr>
          <w:rFonts w:ascii="Arial Unicode MS" w:hAnsi="Arial Unicode MS" w:cs="Arial" w:hint="eastAsia"/>
          <w:kern w:val="0"/>
          <w:szCs w:val="21"/>
        </w:rPr>
        <w:t>）当基金管理人将其义务委托第三方处理时，应当对第三方处理有关基金事务的行为承担责任；</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23</w:t>
      </w:r>
      <w:r>
        <w:rPr>
          <w:rFonts w:ascii="Arial Unicode MS" w:hAnsi="Arial Unicode MS" w:cs="Arial" w:hint="eastAsia"/>
          <w:kern w:val="0"/>
          <w:szCs w:val="21"/>
        </w:rPr>
        <w:t>）以基金管理人名义，代表基金份额持有人利益行使诉讼权利或实施其他法律行为；</w:t>
      </w:r>
      <w:r>
        <w:rPr>
          <w:rFonts w:ascii="Arial Unicode MS" w:hAnsi="Arial Unicode MS" w:cs="Arial" w:hint="eastAsia"/>
          <w:kern w:val="0"/>
          <w:szCs w:val="21"/>
        </w:rPr>
        <w:tab/>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24</w:t>
      </w:r>
      <w:r>
        <w:rPr>
          <w:rFonts w:ascii="Arial Unicode MS" w:hAnsi="Arial Unicode MS" w:cs="Arial" w:hint="eastAsia"/>
          <w:kern w:val="0"/>
          <w:szCs w:val="21"/>
        </w:rPr>
        <w:t>）基金管理人在募集期间未能达到基金的备案条件，基金合同不能生效，基金管理人承担全部募集费用，将已募集资金并加计银行同期活期存款利息在基金募集期结束后</w:t>
      </w:r>
      <w:r>
        <w:rPr>
          <w:rFonts w:ascii="Arial Unicode MS" w:hAnsi="Arial Unicode MS" w:cs="Arial" w:hint="eastAsia"/>
          <w:kern w:val="0"/>
          <w:szCs w:val="21"/>
        </w:rPr>
        <w:t>30</w:t>
      </w:r>
      <w:r>
        <w:rPr>
          <w:rFonts w:ascii="Arial Unicode MS" w:hAnsi="Arial Unicode MS" w:cs="Arial" w:hint="eastAsia"/>
          <w:kern w:val="0"/>
          <w:szCs w:val="21"/>
        </w:rPr>
        <w:t>日内退还基金认购人；</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25</w:t>
      </w:r>
      <w:r>
        <w:rPr>
          <w:rFonts w:ascii="Arial Unicode MS" w:hAnsi="Arial Unicode MS" w:cs="Arial" w:hint="eastAsia"/>
          <w:kern w:val="0"/>
          <w:szCs w:val="21"/>
        </w:rPr>
        <w:t>）执行生效的基金份额持有人大会的决议；</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26</w:t>
      </w:r>
      <w:r>
        <w:rPr>
          <w:rFonts w:ascii="Arial Unicode MS" w:hAnsi="Arial Unicode MS" w:cs="Arial" w:hint="eastAsia"/>
          <w:kern w:val="0"/>
          <w:szCs w:val="21"/>
        </w:rPr>
        <w:t>）建立并保存基金份额持有人名册；</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27</w:t>
      </w:r>
      <w:r>
        <w:rPr>
          <w:rFonts w:ascii="Arial Unicode MS" w:hAnsi="Arial Unicode MS" w:cs="Arial" w:hint="eastAsia"/>
          <w:kern w:val="0"/>
          <w:szCs w:val="21"/>
        </w:rPr>
        <w:t>）法律法规及中国证监会规定的和基金合同约定的其他义务。</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（二）</w:t>
      </w:r>
      <w:r>
        <w:rPr>
          <w:rFonts w:ascii="Arial Unicode MS" w:hAnsi="Arial Unicode MS" w:cs="Arial"/>
          <w:kern w:val="0"/>
          <w:szCs w:val="21"/>
        </w:rPr>
        <w:tab/>
      </w:r>
      <w:r>
        <w:rPr>
          <w:rFonts w:ascii="Arial Unicode MS" w:hAnsi="Arial Unicode MS" w:cs="Arial"/>
          <w:kern w:val="0"/>
          <w:szCs w:val="21"/>
        </w:rPr>
        <w:t>基金托管人的权利与义务</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、根据《基金法》、《运作办法》及其他有关规定，基金托管人的权利包括但不限于：</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hint="eastAsia"/>
          <w:kern w:val="0"/>
          <w:szCs w:val="21"/>
        </w:rPr>
        <w:t>）自基金合同生效之日起，依法</w:t>
      </w:r>
      <w:proofErr w:type="gramStart"/>
      <w:r>
        <w:rPr>
          <w:rFonts w:ascii="Arial Unicode MS" w:hAnsi="Arial Unicode MS" w:cs="Arial" w:hint="eastAsia"/>
          <w:kern w:val="0"/>
          <w:szCs w:val="21"/>
        </w:rPr>
        <w:t>律法规</w:t>
      </w:r>
      <w:proofErr w:type="gramEnd"/>
      <w:r>
        <w:rPr>
          <w:rFonts w:ascii="Arial Unicode MS" w:hAnsi="Arial Unicode MS" w:cs="Arial" w:hint="eastAsia"/>
          <w:kern w:val="0"/>
          <w:szCs w:val="21"/>
        </w:rPr>
        <w:t>和基金合同的规定安全保管基金财产；</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）依基金合同约定获得基金托管费以及法律法规规定或监管部门批准的其他费用；</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3</w:t>
      </w:r>
      <w:r>
        <w:rPr>
          <w:rFonts w:ascii="Arial Unicode MS" w:hAnsi="Arial Unicode MS" w:cs="Arial" w:hint="eastAsia"/>
          <w:kern w:val="0"/>
          <w:szCs w:val="21"/>
        </w:rPr>
        <w:t>）监督基金管理人对本基金的投资运作，如发现基金管理人有违反基金合同及国家法律法规行为，对基金财产、其他当事人的利益造成重大损失的情形，应呈报中国证监会，并采取必要措施保护基金投资者的利益；</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lastRenderedPageBreak/>
        <w:t>（</w:t>
      </w:r>
      <w:r>
        <w:rPr>
          <w:rFonts w:ascii="Arial Unicode MS" w:hAnsi="Arial Unicode MS" w:cs="Arial" w:hint="eastAsia"/>
          <w:kern w:val="0"/>
          <w:szCs w:val="21"/>
        </w:rPr>
        <w:t>4</w:t>
      </w:r>
      <w:r>
        <w:rPr>
          <w:rFonts w:ascii="Arial Unicode MS" w:hAnsi="Arial Unicode MS" w:cs="Arial" w:hint="eastAsia"/>
          <w:kern w:val="0"/>
          <w:szCs w:val="21"/>
        </w:rPr>
        <w:t>）根据相关市场规则，为基金开设资金账户、证券账户等投资所需账户，为基金办理证券交易资金清算；</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5</w:t>
      </w:r>
      <w:r>
        <w:rPr>
          <w:rFonts w:ascii="Arial Unicode MS" w:hAnsi="Arial Unicode MS" w:cs="Arial" w:hint="eastAsia"/>
          <w:kern w:val="0"/>
          <w:szCs w:val="21"/>
        </w:rPr>
        <w:t>）提议召开或召集基金份额持有人大会；</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6</w:t>
      </w:r>
      <w:r>
        <w:rPr>
          <w:rFonts w:ascii="Arial Unicode MS" w:hAnsi="Arial Unicode MS" w:cs="Arial" w:hint="eastAsia"/>
          <w:kern w:val="0"/>
          <w:szCs w:val="21"/>
        </w:rPr>
        <w:t>）在基金管理人更换时，提名新的基金管理人；</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7</w:t>
      </w:r>
      <w:r>
        <w:rPr>
          <w:rFonts w:ascii="Arial Unicode MS" w:hAnsi="Arial Unicode MS" w:cs="Arial" w:hint="eastAsia"/>
          <w:kern w:val="0"/>
          <w:szCs w:val="21"/>
        </w:rPr>
        <w:t>）法律法规及中国证监会规定的和基金合同约定的其他权利。</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、根据《基金法》、《运作办法》及其他有关规定，基金托管人的义务包括但不限于：</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hint="eastAsia"/>
          <w:kern w:val="0"/>
          <w:szCs w:val="21"/>
        </w:rPr>
        <w:t>）以诚实信用、勤勉尽责的原则持有并安全保管基金财产；</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）设立专门的基金托管部门，具有符合要求的营业场所，配备足够的、合格的熟悉基金托管业务的专职人员，负责基金财产托管事宜；</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3</w:t>
      </w:r>
      <w:r>
        <w:rPr>
          <w:rFonts w:ascii="Arial Unicode MS" w:hAnsi="Arial Unicode MS" w:cs="Arial" w:hint="eastAsia"/>
          <w:kern w:val="0"/>
          <w:szCs w:val="21"/>
        </w:rPr>
        <w:t>）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4</w:t>
      </w:r>
      <w:r>
        <w:rPr>
          <w:rFonts w:ascii="Arial Unicode MS" w:hAnsi="Arial Unicode MS" w:cs="Arial" w:hint="eastAsia"/>
          <w:kern w:val="0"/>
          <w:szCs w:val="21"/>
        </w:rPr>
        <w:t>）除依据《基金法》、基金合同及其他有关规定外，不得利用基金财产为自己及任何第三人谋取利益，不得委托第三人托管基金财产；</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5</w:t>
      </w:r>
      <w:r>
        <w:rPr>
          <w:rFonts w:ascii="Arial Unicode MS" w:hAnsi="Arial Unicode MS" w:cs="Arial" w:hint="eastAsia"/>
          <w:kern w:val="0"/>
          <w:szCs w:val="21"/>
        </w:rPr>
        <w:t>）保管由基金管理人代表基金签订的与基金有关的重大合同及有关凭证；</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6</w:t>
      </w:r>
      <w:r>
        <w:rPr>
          <w:rFonts w:ascii="Arial Unicode MS" w:hAnsi="Arial Unicode MS" w:cs="Arial" w:hint="eastAsia"/>
          <w:kern w:val="0"/>
          <w:szCs w:val="21"/>
        </w:rPr>
        <w:t>）按规定开设基金财产的资金账户、证券账户等投资所需账户，按照基金合同的约定，根据基金管理人的投资指令，及时办理清算、交割事宜；</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7</w:t>
      </w:r>
      <w:r>
        <w:rPr>
          <w:rFonts w:ascii="Arial Unicode MS" w:hAnsi="Arial Unicode MS" w:cs="Arial" w:hint="eastAsia"/>
          <w:kern w:val="0"/>
          <w:szCs w:val="21"/>
        </w:rPr>
        <w:t>）保守基金商业秘密，除《基金法》、基金合同及其他有关规定另有规定外，在基金信息公开披露前予以保密，不得向他人泄露；</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8</w:t>
      </w:r>
      <w:r>
        <w:rPr>
          <w:rFonts w:ascii="Arial Unicode MS" w:hAnsi="Arial Unicode MS" w:cs="Arial" w:hint="eastAsia"/>
          <w:kern w:val="0"/>
          <w:szCs w:val="21"/>
        </w:rPr>
        <w:t>）复核、审查基金管理人计算的</w:t>
      </w:r>
      <w:r>
        <w:rPr>
          <w:rFonts w:ascii="Arial Unicode MS" w:hAnsi="Arial Unicode MS" w:hint="eastAsia"/>
          <w:bCs/>
          <w:szCs w:val="21"/>
        </w:rPr>
        <w:t>基金资产净值、基金份额净值、基金份额申购、赎回价格</w:t>
      </w:r>
      <w:r>
        <w:rPr>
          <w:rFonts w:ascii="Arial Unicode MS" w:hAnsi="Arial Unicode MS" w:cs="Arial" w:hint="eastAsia"/>
          <w:kern w:val="0"/>
          <w:szCs w:val="21"/>
        </w:rPr>
        <w:t>；</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9</w:t>
      </w:r>
      <w:r>
        <w:rPr>
          <w:rFonts w:ascii="Arial Unicode MS" w:hAnsi="Arial Unicode MS" w:cs="Arial" w:hint="eastAsia"/>
          <w:kern w:val="0"/>
          <w:szCs w:val="21"/>
        </w:rPr>
        <w:t>）办理与基金托管业务活动有关的信息披露事项；</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10</w:t>
      </w:r>
      <w:r>
        <w:rPr>
          <w:rFonts w:ascii="Arial Unicode MS" w:hAnsi="Arial Unicode MS" w:cs="Arial" w:hint="eastAsia"/>
          <w:kern w:val="0"/>
          <w:szCs w:val="21"/>
        </w:rPr>
        <w:t>）对基金财务会计报告、季度报告、中期报告和年度报告出具意见，说明基金管理人在各重要方面的运作是否严格按照基金合同的规定进行；如果基金管理人有未执行基金合同规定的行为，还应当说明基金托管人是否采取了适当的措施；</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11</w:t>
      </w:r>
      <w:r>
        <w:rPr>
          <w:rFonts w:ascii="Arial Unicode MS" w:hAnsi="Arial Unicode MS" w:cs="Arial" w:hint="eastAsia"/>
          <w:kern w:val="0"/>
          <w:szCs w:val="21"/>
        </w:rPr>
        <w:t>）保存基金托管业务活动的记录、账册、报表和其他相关资料</w:t>
      </w:r>
      <w:r>
        <w:rPr>
          <w:rFonts w:ascii="Arial Unicode MS" w:hAnsi="Arial Unicode MS" w:cs="Arial" w:hint="eastAsia"/>
          <w:kern w:val="0"/>
          <w:szCs w:val="21"/>
        </w:rPr>
        <w:t>15</w:t>
      </w:r>
      <w:r>
        <w:rPr>
          <w:rFonts w:ascii="Arial Unicode MS" w:hAnsi="Arial Unicode MS" w:cs="Arial" w:hint="eastAsia"/>
          <w:kern w:val="0"/>
          <w:szCs w:val="21"/>
        </w:rPr>
        <w:t>年以上；</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12</w:t>
      </w:r>
      <w:r>
        <w:rPr>
          <w:rFonts w:ascii="Arial Unicode MS" w:hAnsi="Arial Unicode MS" w:cs="Arial" w:hint="eastAsia"/>
          <w:kern w:val="0"/>
          <w:szCs w:val="21"/>
        </w:rPr>
        <w:t>）建立并保存基金份额持有人名册；</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lastRenderedPageBreak/>
        <w:t>（</w:t>
      </w:r>
      <w:r>
        <w:rPr>
          <w:rFonts w:ascii="Arial Unicode MS" w:hAnsi="Arial Unicode MS" w:cs="Arial" w:hint="eastAsia"/>
          <w:kern w:val="0"/>
          <w:szCs w:val="21"/>
        </w:rPr>
        <w:t>13</w:t>
      </w:r>
      <w:r>
        <w:rPr>
          <w:rFonts w:ascii="Arial Unicode MS" w:hAnsi="Arial Unicode MS" w:cs="Arial" w:hint="eastAsia"/>
          <w:kern w:val="0"/>
          <w:szCs w:val="21"/>
        </w:rPr>
        <w:t>）按规定制作相关账册并与基金管理人核对；</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14</w:t>
      </w:r>
      <w:r>
        <w:rPr>
          <w:rFonts w:ascii="Arial Unicode MS" w:hAnsi="Arial Unicode MS" w:cs="Arial" w:hint="eastAsia"/>
          <w:kern w:val="0"/>
          <w:szCs w:val="21"/>
        </w:rPr>
        <w:t>）依据基金管理人的指令或有关规定向基金份额持有人支付基金收益和赎回款项；</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15</w:t>
      </w:r>
      <w:r>
        <w:rPr>
          <w:rFonts w:ascii="Arial Unicode MS" w:hAnsi="Arial Unicode MS" w:cs="Arial" w:hint="eastAsia"/>
          <w:kern w:val="0"/>
          <w:szCs w:val="21"/>
        </w:rPr>
        <w:t>）依据《基金法》、基金合同及其他有关规定，召集基金份额持有人大会或配合基金管理人、基金份额持有人依法召集基金份额持有人大会；</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16</w:t>
      </w:r>
      <w:r>
        <w:rPr>
          <w:rFonts w:ascii="Arial Unicode MS" w:hAnsi="Arial Unicode MS" w:cs="Arial" w:hint="eastAsia"/>
          <w:kern w:val="0"/>
          <w:szCs w:val="21"/>
        </w:rPr>
        <w:t>）按照法律法规和基金合同的规定监督基金管理人的投资运作；</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17</w:t>
      </w:r>
      <w:r>
        <w:rPr>
          <w:rFonts w:ascii="Arial Unicode MS" w:hAnsi="Arial Unicode MS" w:cs="Arial" w:hint="eastAsia"/>
          <w:kern w:val="0"/>
          <w:szCs w:val="21"/>
        </w:rPr>
        <w:t>）参加基金财产清算小组，参与基金财产的保管、清理、估价、变现和分配；</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18</w:t>
      </w:r>
      <w:r>
        <w:rPr>
          <w:rFonts w:ascii="Arial Unicode MS" w:hAnsi="Arial Unicode MS" w:cs="Arial" w:hint="eastAsia"/>
          <w:kern w:val="0"/>
          <w:szCs w:val="21"/>
        </w:rPr>
        <w:t>）面临解散、依法被撤销或者被依法宣告破产时，及时报告中国证监会和银行监管机构，并通知基金管理人；</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19</w:t>
      </w:r>
      <w:r>
        <w:rPr>
          <w:rFonts w:ascii="Arial Unicode MS" w:hAnsi="Arial Unicode MS" w:cs="Arial" w:hint="eastAsia"/>
          <w:kern w:val="0"/>
          <w:szCs w:val="21"/>
        </w:rPr>
        <w:t>）因违反基金合同导致基金财产损失时，应承担赔偿责任，其赔偿责任不因其退任而免除；</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20</w:t>
      </w:r>
      <w:r>
        <w:rPr>
          <w:rFonts w:ascii="Arial Unicode MS" w:hAnsi="Arial Unicode MS" w:cs="Arial" w:hint="eastAsia"/>
          <w:kern w:val="0"/>
          <w:szCs w:val="21"/>
        </w:rPr>
        <w:t>）按规定监督基金管理人按法律法规和基金合同规定履行自己的义务，基金管理人因违反基金合同造成基金财产损失时，应为基金份额持有人利益向基金管理人追偿；</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21</w:t>
      </w:r>
      <w:r>
        <w:rPr>
          <w:rFonts w:ascii="Arial Unicode MS" w:hAnsi="Arial Unicode MS" w:cs="Arial" w:hint="eastAsia"/>
          <w:kern w:val="0"/>
          <w:szCs w:val="21"/>
        </w:rPr>
        <w:t>）执行生效的基金份额持有人大会的决议；</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22</w:t>
      </w:r>
      <w:r>
        <w:rPr>
          <w:rFonts w:ascii="Arial Unicode MS" w:hAnsi="Arial Unicode MS" w:cs="Arial" w:hint="eastAsia"/>
          <w:kern w:val="0"/>
          <w:szCs w:val="21"/>
        </w:rPr>
        <w:t>）法律法规及中国证监会规定的和基金合同约定的其他义务。</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kern w:val="0"/>
          <w:szCs w:val="21"/>
        </w:rPr>
        <w:t>三</w:t>
      </w:r>
      <w:r>
        <w:rPr>
          <w:rFonts w:ascii="Arial Unicode MS" w:hAnsi="Arial Unicode MS" w:cs="Arial" w:hint="eastAsia"/>
          <w:kern w:val="0"/>
          <w:szCs w:val="21"/>
        </w:rPr>
        <w:t>）</w:t>
      </w:r>
      <w:r>
        <w:rPr>
          <w:rFonts w:ascii="Arial Unicode MS" w:hAnsi="Arial Unicode MS" w:cs="Arial"/>
          <w:kern w:val="0"/>
          <w:szCs w:val="21"/>
        </w:rPr>
        <w:t>基金份额持有人</w:t>
      </w:r>
      <w:r>
        <w:rPr>
          <w:rFonts w:ascii="Arial Unicode MS" w:hAnsi="Arial Unicode MS" w:cs="Arial" w:hint="eastAsia"/>
          <w:kern w:val="0"/>
          <w:szCs w:val="21"/>
        </w:rPr>
        <w:t>的权利和义务</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基金投资者持有本</w:t>
      </w:r>
      <w:proofErr w:type="gramStart"/>
      <w:r>
        <w:rPr>
          <w:rFonts w:ascii="Arial Unicode MS" w:hAnsi="Arial Unicode MS" w:cs="Arial" w:hint="eastAsia"/>
          <w:kern w:val="0"/>
          <w:szCs w:val="21"/>
        </w:rPr>
        <w:t>基金基金</w:t>
      </w:r>
      <w:proofErr w:type="gramEnd"/>
      <w:r>
        <w:rPr>
          <w:rFonts w:ascii="Arial Unicode MS" w:hAnsi="Arial Unicode MS" w:cs="Arial" w:hint="eastAsia"/>
          <w:kern w:val="0"/>
          <w:szCs w:val="21"/>
        </w:rPr>
        <w:t>份额的行为即视为对基金合同的承认和接受，基金投资者</w:t>
      </w:r>
      <w:proofErr w:type="gramStart"/>
      <w:r>
        <w:rPr>
          <w:rFonts w:ascii="Arial Unicode MS" w:hAnsi="Arial Unicode MS" w:cs="Arial" w:hint="eastAsia"/>
          <w:kern w:val="0"/>
          <w:szCs w:val="21"/>
        </w:rPr>
        <w:t>自依据</w:t>
      </w:r>
      <w:proofErr w:type="gramEnd"/>
      <w:r>
        <w:rPr>
          <w:rFonts w:ascii="Arial Unicode MS" w:hAnsi="Arial Unicode MS" w:cs="Arial" w:hint="eastAsia"/>
          <w:kern w:val="0"/>
          <w:szCs w:val="21"/>
        </w:rPr>
        <w:t>基金合同取得基金份额，即成为本基金份额持有人和基金合同的当事人，直至其不再持有本基金的基金份额。基金份额持有人作为基金合同当事人并不以在基金合同上书面签章或签字为必要条件。</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同一类别每份基金份额具有同等的合法权益。本基金</w:t>
      </w:r>
      <w:r>
        <w:rPr>
          <w:rFonts w:ascii="Arial Unicode MS" w:hAnsi="Arial Unicode MS" w:cs="Arial" w:hint="eastAsia"/>
          <w:kern w:val="0"/>
          <w:szCs w:val="21"/>
        </w:rPr>
        <w:t>A</w:t>
      </w:r>
      <w:r>
        <w:rPr>
          <w:rFonts w:ascii="Arial Unicode MS" w:hAnsi="Arial Unicode MS" w:cs="Arial" w:hint="eastAsia"/>
          <w:kern w:val="0"/>
          <w:szCs w:val="21"/>
        </w:rPr>
        <w:t>类基金份额与</w:t>
      </w:r>
      <w:r>
        <w:rPr>
          <w:rFonts w:ascii="Arial Unicode MS" w:hAnsi="Arial Unicode MS" w:cs="Arial" w:hint="eastAsia"/>
          <w:kern w:val="0"/>
          <w:szCs w:val="21"/>
        </w:rPr>
        <w:t>C</w:t>
      </w:r>
      <w:r>
        <w:rPr>
          <w:rFonts w:ascii="Arial Unicode MS" w:hAnsi="Arial Unicode MS" w:cs="Arial" w:hint="eastAsia"/>
          <w:kern w:val="0"/>
          <w:szCs w:val="21"/>
        </w:rPr>
        <w:t>类基金份额由于基金份额净值的不同，基金收益分配的金额以及参与清算后的剩余基金财产分配的数量将可能有所不同。</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、根据《基金法》、《运作办法》及其他有关规定，基金份额持有人的权利包括但不限于：</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hint="eastAsia"/>
          <w:kern w:val="0"/>
          <w:szCs w:val="21"/>
        </w:rPr>
        <w:t>）分享基金财产收益；</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）参与分配清算后的剩余基金财产；</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3</w:t>
      </w:r>
      <w:r>
        <w:rPr>
          <w:rFonts w:ascii="Arial Unicode MS" w:hAnsi="Arial Unicode MS" w:cs="Arial" w:hint="eastAsia"/>
          <w:kern w:val="0"/>
          <w:szCs w:val="21"/>
        </w:rPr>
        <w:t>）根据基金合同的约定依法转让或申请赎回其持有的基金份额；</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4</w:t>
      </w:r>
      <w:r>
        <w:rPr>
          <w:rFonts w:ascii="Arial Unicode MS" w:hAnsi="Arial Unicode MS" w:cs="Arial" w:hint="eastAsia"/>
          <w:kern w:val="0"/>
          <w:szCs w:val="21"/>
        </w:rPr>
        <w:t>）按照规定要求召开基金份额持有人大会或者召集基金份额持有人大会；</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lastRenderedPageBreak/>
        <w:t>（</w:t>
      </w:r>
      <w:r>
        <w:rPr>
          <w:rFonts w:ascii="Arial Unicode MS" w:hAnsi="Arial Unicode MS" w:cs="Arial" w:hint="eastAsia"/>
          <w:kern w:val="0"/>
          <w:szCs w:val="21"/>
        </w:rPr>
        <w:t>5</w:t>
      </w:r>
      <w:r>
        <w:rPr>
          <w:rFonts w:ascii="Arial Unicode MS" w:hAnsi="Arial Unicode MS" w:cs="Arial" w:hint="eastAsia"/>
          <w:kern w:val="0"/>
          <w:szCs w:val="21"/>
        </w:rPr>
        <w:t>）出席或者委派代表出席基金份额持有人大会，对基金份额持有人大会审议事项行使表决权；</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6</w:t>
      </w:r>
      <w:r>
        <w:rPr>
          <w:rFonts w:ascii="Arial Unicode MS" w:hAnsi="Arial Unicode MS" w:cs="Arial" w:hint="eastAsia"/>
          <w:kern w:val="0"/>
          <w:szCs w:val="21"/>
        </w:rPr>
        <w:t>）查阅或者复制公开披露的基金信息资料；</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7</w:t>
      </w:r>
      <w:r>
        <w:rPr>
          <w:rFonts w:ascii="Arial Unicode MS" w:hAnsi="Arial Unicode MS" w:cs="Arial" w:hint="eastAsia"/>
          <w:kern w:val="0"/>
          <w:szCs w:val="21"/>
        </w:rPr>
        <w:t>）监督基金管理人的投资运作；</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8</w:t>
      </w:r>
      <w:r>
        <w:rPr>
          <w:rFonts w:ascii="Arial Unicode MS" w:hAnsi="Arial Unicode MS" w:cs="Arial" w:hint="eastAsia"/>
          <w:kern w:val="0"/>
          <w:szCs w:val="21"/>
        </w:rPr>
        <w:t>）对基金管理人、基金托管人、基金服务机构损害其合法权益的行为依法提起诉讼或仲裁；</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9</w:t>
      </w:r>
      <w:r>
        <w:rPr>
          <w:rFonts w:ascii="Arial Unicode MS" w:hAnsi="Arial Unicode MS" w:cs="Arial" w:hint="eastAsia"/>
          <w:kern w:val="0"/>
          <w:szCs w:val="21"/>
        </w:rPr>
        <w:t>）法律法规及中国证监会规定的和基金合同约定的其他权利。</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、根据《基金法》、《运作办法》及其他有关规定，基金份额持有人的义务包括但不限于：</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hint="eastAsia"/>
          <w:kern w:val="0"/>
          <w:szCs w:val="21"/>
        </w:rPr>
        <w:t>）认真阅读并遵守基金合同、招募说明书等信息披露文件；</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）了解所投资基金产品，了解自身风险承受能力，自主判断基金的投资价值，自主做出投资决策，自行承担投资风险；</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3</w:t>
      </w:r>
      <w:r>
        <w:rPr>
          <w:rFonts w:ascii="Arial Unicode MS" w:hAnsi="Arial Unicode MS" w:cs="Arial" w:hint="eastAsia"/>
          <w:kern w:val="0"/>
          <w:szCs w:val="21"/>
        </w:rPr>
        <w:t>）关注基金信息披露，及时行使权利和履行义务；</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4</w:t>
      </w:r>
      <w:r>
        <w:rPr>
          <w:rFonts w:ascii="Arial Unicode MS" w:hAnsi="Arial Unicode MS" w:cs="Arial" w:hint="eastAsia"/>
          <w:kern w:val="0"/>
          <w:szCs w:val="21"/>
        </w:rPr>
        <w:t>）缴纳基金认购、申购款项及法律法规和基金合同所规定的费用；</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5</w:t>
      </w:r>
      <w:r>
        <w:rPr>
          <w:rFonts w:ascii="Arial Unicode MS" w:hAnsi="Arial Unicode MS" w:cs="Arial" w:hint="eastAsia"/>
          <w:kern w:val="0"/>
          <w:szCs w:val="21"/>
        </w:rPr>
        <w:t>）在其持有的基金份额范围内，承担基金亏损或者基金合同终止的有限责任；</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6</w:t>
      </w:r>
      <w:r>
        <w:rPr>
          <w:rFonts w:ascii="Arial Unicode MS" w:hAnsi="Arial Unicode MS" w:cs="Arial" w:hint="eastAsia"/>
          <w:kern w:val="0"/>
          <w:szCs w:val="21"/>
        </w:rPr>
        <w:t>）不从事任何有损基金及其他基金合同当事人合法权益的活动；</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7</w:t>
      </w:r>
      <w:r>
        <w:rPr>
          <w:rFonts w:ascii="Arial Unicode MS" w:hAnsi="Arial Unicode MS" w:cs="Arial" w:hint="eastAsia"/>
          <w:kern w:val="0"/>
          <w:szCs w:val="21"/>
        </w:rPr>
        <w:t>）执行生效的基金份额持有人大会的决议；</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8</w:t>
      </w:r>
      <w:r>
        <w:rPr>
          <w:rFonts w:ascii="Arial Unicode MS" w:hAnsi="Arial Unicode MS" w:cs="Arial" w:hint="eastAsia"/>
          <w:kern w:val="0"/>
          <w:szCs w:val="21"/>
        </w:rPr>
        <w:t>）返还在基金交易过程中因任何原因获得的不当得利；</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9</w:t>
      </w:r>
      <w:r>
        <w:rPr>
          <w:rFonts w:ascii="Arial Unicode MS" w:hAnsi="Arial Unicode MS" w:cs="Arial" w:hint="eastAsia"/>
          <w:kern w:val="0"/>
          <w:szCs w:val="21"/>
        </w:rPr>
        <w:t>）法律法规及中国证监会规定的和基金合同约定的其他义务。</w:t>
      </w:r>
    </w:p>
    <w:p w:rsidR="004C06C5" w:rsidRDefault="00ED474B">
      <w:pPr>
        <w:autoSpaceDE w:val="0"/>
        <w:autoSpaceDN w:val="0"/>
        <w:adjustRightInd w:val="0"/>
        <w:spacing w:line="360" w:lineRule="auto"/>
        <w:ind w:firstLineChars="200" w:firstLine="422"/>
        <w:jc w:val="left"/>
        <w:rPr>
          <w:rFonts w:ascii="Arial Unicode MS" w:hAnsi="Arial Unicode MS"/>
          <w:b/>
          <w:bCs/>
          <w:szCs w:val="21"/>
        </w:rPr>
      </w:pPr>
      <w:bookmarkStart w:id="138" w:name="_Hlt88825574"/>
      <w:bookmarkEnd w:id="138"/>
      <w:r>
        <w:rPr>
          <w:rFonts w:ascii="Arial Unicode MS" w:hAnsi="Arial Unicode MS" w:hint="eastAsia"/>
          <w:b/>
          <w:bCs/>
          <w:szCs w:val="21"/>
        </w:rPr>
        <w:t>二、基金份额持有人大会召集、议事及表决的程序和规则</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基金份额持有人大会由基金份额持有人组成，基金份额持有人的合法授权代表有权代表基金份额持有人出席会议并表决。基金份额持有人持有的</w:t>
      </w:r>
      <w:r>
        <w:rPr>
          <w:rFonts w:ascii="Arial Unicode MS" w:hAnsi="Arial Unicode MS" w:cs="Arial" w:hint="eastAsia"/>
          <w:kern w:val="0"/>
          <w:szCs w:val="21"/>
        </w:rPr>
        <w:t>同一类别</w:t>
      </w:r>
      <w:r>
        <w:rPr>
          <w:rFonts w:ascii="Arial Unicode MS" w:hAnsi="Arial Unicode MS" w:cs="Arial"/>
          <w:kern w:val="0"/>
          <w:szCs w:val="21"/>
        </w:rPr>
        <w:t>每一基金份额拥有平等的投票权。</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本基金份额持有人大会不设日常机构。</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kern w:val="0"/>
          <w:szCs w:val="21"/>
        </w:rPr>
        <w:t>一</w:t>
      </w:r>
      <w:r>
        <w:rPr>
          <w:rFonts w:ascii="Arial Unicode MS" w:hAnsi="Arial Unicode MS" w:cs="Arial" w:hint="eastAsia"/>
          <w:kern w:val="0"/>
          <w:szCs w:val="21"/>
        </w:rPr>
        <w:t>）</w:t>
      </w:r>
      <w:r>
        <w:rPr>
          <w:rFonts w:ascii="Arial Unicode MS" w:hAnsi="Arial Unicode MS" w:cs="Arial"/>
          <w:kern w:val="0"/>
          <w:szCs w:val="21"/>
        </w:rPr>
        <w:t>召开事由</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、除法律法规和中国证监会另有规定或《基金合同》另有约定外，当出现或需要决定下列事由之一的，应当召开基金份额持有人大会：</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hint="eastAsia"/>
          <w:kern w:val="0"/>
          <w:szCs w:val="21"/>
        </w:rPr>
        <w:t>）终止基金合同；</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lastRenderedPageBreak/>
        <w:t>（</w:t>
      </w:r>
      <w:r>
        <w:rPr>
          <w:rFonts w:ascii="Arial Unicode MS" w:hAnsi="Arial Unicode MS" w:cs="Arial" w:hint="eastAsia"/>
          <w:kern w:val="0"/>
          <w:szCs w:val="21"/>
        </w:rPr>
        <w:t>2</w:t>
      </w:r>
      <w:r>
        <w:rPr>
          <w:rFonts w:ascii="Arial Unicode MS" w:hAnsi="Arial Unicode MS" w:cs="Arial" w:hint="eastAsia"/>
          <w:kern w:val="0"/>
          <w:szCs w:val="21"/>
        </w:rPr>
        <w:t>）更换基金管理人；</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3</w:t>
      </w:r>
      <w:r>
        <w:rPr>
          <w:rFonts w:ascii="Arial Unicode MS" w:hAnsi="Arial Unicode MS" w:cs="Arial" w:hint="eastAsia"/>
          <w:kern w:val="0"/>
          <w:szCs w:val="21"/>
        </w:rPr>
        <w:t>）更换基金托管人；</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4</w:t>
      </w:r>
      <w:r>
        <w:rPr>
          <w:rFonts w:ascii="Arial Unicode MS" w:hAnsi="Arial Unicode MS" w:cs="Arial" w:hint="eastAsia"/>
          <w:kern w:val="0"/>
          <w:szCs w:val="21"/>
        </w:rPr>
        <w:t>）转换基金运作方式；</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5</w:t>
      </w:r>
      <w:r>
        <w:rPr>
          <w:rFonts w:ascii="Arial Unicode MS" w:hAnsi="Arial Unicode MS" w:cs="Arial" w:hint="eastAsia"/>
          <w:kern w:val="0"/>
          <w:szCs w:val="21"/>
        </w:rPr>
        <w:t>）调整基金管理人、基金托管人的报酬标准或调高销售服务费率；</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6</w:t>
      </w:r>
      <w:r>
        <w:rPr>
          <w:rFonts w:ascii="Arial Unicode MS" w:hAnsi="Arial Unicode MS" w:cs="Arial" w:hint="eastAsia"/>
          <w:kern w:val="0"/>
          <w:szCs w:val="21"/>
        </w:rPr>
        <w:t>）变更基金类别；</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7</w:t>
      </w:r>
      <w:r>
        <w:rPr>
          <w:rFonts w:ascii="Arial Unicode MS" w:hAnsi="Arial Unicode MS" w:cs="Arial" w:hint="eastAsia"/>
          <w:kern w:val="0"/>
          <w:szCs w:val="21"/>
        </w:rPr>
        <w:t>）本基金与其他基金的合并；</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8</w:t>
      </w:r>
      <w:r>
        <w:rPr>
          <w:rFonts w:ascii="Arial Unicode MS" w:hAnsi="Arial Unicode MS" w:cs="Arial" w:hint="eastAsia"/>
          <w:kern w:val="0"/>
          <w:szCs w:val="21"/>
        </w:rPr>
        <w:t>）变更基金投资目标、范围或策略；</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9</w:t>
      </w:r>
      <w:r>
        <w:rPr>
          <w:rFonts w:ascii="Arial Unicode MS" w:hAnsi="Arial Unicode MS" w:cs="Arial" w:hint="eastAsia"/>
          <w:kern w:val="0"/>
          <w:szCs w:val="21"/>
        </w:rPr>
        <w:t>）变更基金份额持有人大会程序；</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10</w:t>
      </w:r>
      <w:r>
        <w:rPr>
          <w:rFonts w:ascii="Arial Unicode MS" w:hAnsi="Arial Unicode MS" w:cs="Arial" w:hint="eastAsia"/>
          <w:kern w:val="0"/>
          <w:szCs w:val="21"/>
        </w:rPr>
        <w:t>）基金管理人或基金托管人要求召开基金份额持有人大会；</w:t>
      </w:r>
    </w:p>
    <w:p w:rsidR="004C06C5" w:rsidRDefault="00ED474B">
      <w:pPr>
        <w:adjustRightInd w:val="0"/>
        <w:snapToGrid w:val="0"/>
        <w:spacing w:line="276"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11</w:t>
      </w:r>
      <w:r>
        <w:rPr>
          <w:rFonts w:ascii="Arial Unicode MS" w:hAnsi="Arial Unicode MS" w:cs="Arial" w:hint="eastAsia"/>
          <w:kern w:val="0"/>
          <w:szCs w:val="21"/>
        </w:rPr>
        <w:t>）单独或合计持有本基金总份额</w:t>
      </w:r>
      <w:r>
        <w:rPr>
          <w:rFonts w:ascii="Arial Unicode MS" w:hAnsi="Arial Unicode MS" w:cs="Arial" w:hint="eastAsia"/>
          <w:kern w:val="0"/>
          <w:szCs w:val="21"/>
        </w:rPr>
        <w:t>10%</w:t>
      </w:r>
      <w:r>
        <w:rPr>
          <w:rFonts w:ascii="Arial Unicode MS" w:hAnsi="Arial Unicode MS" w:cs="Arial" w:hint="eastAsia"/>
          <w:kern w:val="0"/>
          <w:szCs w:val="21"/>
        </w:rPr>
        <w:t>以上（含</w:t>
      </w:r>
      <w:r>
        <w:rPr>
          <w:rFonts w:ascii="Arial Unicode MS" w:hAnsi="Arial Unicode MS" w:cs="Arial" w:hint="eastAsia"/>
          <w:kern w:val="0"/>
          <w:szCs w:val="21"/>
        </w:rPr>
        <w:t>10%</w:t>
      </w:r>
      <w:r>
        <w:rPr>
          <w:rFonts w:ascii="Arial Unicode MS" w:hAnsi="Arial Unicode MS" w:cs="Arial" w:hint="eastAsia"/>
          <w:kern w:val="0"/>
          <w:szCs w:val="21"/>
        </w:rPr>
        <w:t>）基金份额的基金份额持有人（以基金管理人收到提议当日的基金份额计算，下同）就同一事项书面要求召开基金份额持有人大会；</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12</w:t>
      </w:r>
      <w:r>
        <w:rPr>
          <w:rFonts w:ascii="Arial Unicode MS" w:hAnsi="Arial Unicode MS" w:cs="Arial" w:hint="eastAsia"/>
          <w:kern w:val="0"/>
          <w:szCs w:val="21"/>
        </w:rPr>
        <w:t>）对基金合同当事人权利和义务产生重大影响的其他事项；</w:t>
      </w:r>
    </w:p>
    <w:p w:rsidR="004C06C5" w:rsidRDefault="00ED474B">
      <w:pPr>
        <w:adjustRightInd w:val="0"/>
        <w:snapToGrid w:val="0"/>
        <w:spacing w:line="276"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13</w:t>
      </w:r>
      <w:r>
        <w:rPr>
          <w:rFonts w:ascii="Arial Unicode MS" w:hAnsi="Arial Unicode MS" w:cs="Arial" w:hint="eastAsia"/>
          <w:kern w:val="0"/>
          <w:szCs w:val="21"/>
        </w:rPr>
        <w:t>）法律法规、基金合同或中国证监会规定的其他应当召开基金份额持有人大会的事项。</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、以下情况可由基金管理人和基金托管人协商后修改，不需召开基金份额持有人大会：</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hint="eastAsia"/>
          <w:kern w:val="0"/>
          <w:szCs w:val="21"/>
        </w:rPr>
        <w:t>）在法律法规和基金合同规定的范围内且对现有基金份额持有人利益无实质性不利影响的前提下调</w:t>
      </w:r>
      <w:proofErr w:type="gramStart"/>
      <w:r>
        <w:rPr>
          <w:rFonts w:ascii="Arial Unicode MS" w:hAnsi="Arial Unicode MS" w:cs="Arial" w:hint="eastAsia"/>
          <w:kern w:val="0"/>
          <w:szCs w:val="21"/>
        </w:rPr>
        <w:t>低销售</w:t>
      </w:r>
      <w:proofErr w:type="gramEnd"/>
      <w:r>
        <w:rPr>
          <w:rFonts w:ascii="Arial Unicode MS" w:hAnsi="Arial Unicode MS" w:cs="Arial" w:hint="eastAsia"/>
          <w:kern w:val="0"/>
          <w:szCs w:val="21"/>
        </w:rPr>
        <w:t>服务费；</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）法律法规要求增加的基金费用的收取；</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3</w:t>
      </w:r>
      <w:r>
        <w:rPr>
          <w:rFonts w:ascii="Arial Unicode MS" w:hAnsi="Arial Unicode MS" w:cs="Arial" w:hint="eastAsia"/>
          <w:kern w:val="0"/>
          <w:szCs w:val="21"/>
        </w:rPr>
        <w:t>）在法律法规和基金合同规定的范围内且对现有基金份额持有人利益无实质性不利影响的前提下调整本基金的申购费率、调低赎回费率或变更收费方式；</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4</w:t>
      </w:r>
      <w:r>
        <w:rPr>
          <w:rFonts w:ascii="Arial Unicode MS" w:hAnsi="Arial Unicode MS" w:cs="Arial" w:hint="eastAsia"/>
          <w:kern w:val="0"/>
          <w:szCs w:val="21"/>
        </w:rPr>
        <w:t>）</w:t>
      </w:r>
      <w:proofErr w:type="gramStart"/>
      <w:r>
        <w:rPr>
          <w:rFonts w:ascii="Arial Unicode MS" w:hAnsi="Arial Unicode MS" w:cs="Arial" w:hint="eastAsia"/>
          <w:kern w:val="0"/>
          <w:szCs w:val="21"/>
        </w:rPr>
        <w:t>因相应</w:t>
      </w:r>
      <w:proofErr w:type="gramEnd"/>
      <w:r>
        <w:rPr>
          <w:rFonts w:ascii="Arial Unicode MS" w:hAnsi="Arial Unicode MS" w:cs="Arial" w:hint="eastAsia"/>
          <w:kern w:val="0"/>
          <w:szCs w:val="21"/>
        </w:rPr>
        <w:t>的法律法规发生变动而应当对基金合同进行修改；</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5</w:t>
      </w:r>
      <w:r>
        <w:rPr>
          <w:rFonts w:ascii="Arial Unicode MS" w:hAnsi="Arial Unicode MS" w:cs="Arial" w:hint="eastAsia"/>
          <w:kern w:val="0"/>
          <w:szCs w:val="21"/>
        </w:rPr>
        <w:t>）对基金合同的修改对基金份额持有人利益无实质性不利影响或修改不涉及基金合同当事人权利义务关系发生重大变化；</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6</w:t>
      </w:r>
      <w:r>
        <w:rPr>
          <w:rFonts w:ascii="Arial Unicode MS" w:hAnsi="Arial Unicode MS" w:cs="Arial" w:hint="eastAsia"/>
          <w:kern w:val="0"/>
          <w:szCs w:val="21"/>
        </w:rPr>
        <w:t>）在不违反法律法规、基金合同以及不对基金份额持有人权益产生实质性不利影响的情况下，根据基金实际运作情况，在履行适当程序后，基金管理人可根据实际情况，经与基金托管人协商，调整本基金份额类别的设置；</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7</w:t>
      </w:r>
      <w:r>
        <w:rPr>
          <w:rFonts w:ascii="Arial Unicode MS" w:hAnsi="Arial Unicode MS" w:cs="Arial" w:hint="eastAsia"/>
          <w:kern w:val="0"/>
          <w:szCs w:val="21"/>
        </w:rPr>
        <w:t>）在不违反法律法规、基金合同以及在不损害已有基金份额持有人权益的前提下，</w:t>
      </w:r>
      <w:r>
        <w:rPr>
          <w:rFonts w:ascii="Arial Unicode MS" w:hAnsi="Arial Unicode MS" w:cs="Arial" w:hint="eastAsia"/>
          <w:kern w:val="0"/>
          <w:szCs w:val="21"/>
        </w:rPr>
        <w:lastRenderedPageBreak/>
        <w:t>基金管理人、登记机构、基金销售机构在法律法规规定或中国证监会许可的范围内调整有关认购、申购、赎回、转换、基金交易、</w:t>
      </w:r>
      <w:proofErr w:type="gramStart"/>
      <w:r>
        <w:rPr>
          <w:rFonts w:ascii="Arial Unicode MS" w:hAnsi="Arial Unicode MS" w:cs="Arial" w:hint="eastAsia"/>
          <w:kern w:val="0"/>
          <w:szCs w:val="21"/>
        </w:rPr>
        <w:t>非交易</w:t>
      </w:r>
      <w:proofErr w:type="gramEnd"/>
      <w:r>
        <w:rPr>
          <w:rFonts w:ascii="Arial Unicode MS" w:hAnsi="Arial Unicode MS" w:cs="Arial" w:hint="eastAsia"/>
          <w:kern w:val="0"/>
          <w:szCs w:val="21"/>
        </w:rPr>
        <w:t>过户、转托管等业务规则；</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8</w:t>
      </w:r>
      <w:r>
        <w:rPr>
          <w:rFonts w:ascii="Arial Unicode MS" w:hAnsi="Arial Unicode MS" w:cs="Arial" w:hint="eastAsia"/>
          <w:kern w:val="0"/>
          <w:szCs w:val="21"/>
        </w:rPr>
        <w:t>）在不违反法律法规、基金合同以及在不损害已有基金份额持有人权益的前提下，基金推出新业务或服务；</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9</w:t>
      </w:r>
      <w:r>
        <w:rPr>
          <w:rFonts w:ascii="Arial Unicode MS" w:hAnsi="Arial Unicode MS" w:cs="Arial" w:hint="eastAsia"/>
          <w:kern w:val="0"/>
          <w:szCs w:val="21"/>
        </w:rPr>
        <w:t>）按照法律法规和基金合同规定不需召开基金份额持有人大会的其他情形。</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3</w:t>
      </w:r>
      <w:r>
        <w:rPr>
          <w:rFonts w:ascii="Arial Unicode MS" w:hAnsi="Arial Unicode MS" w:cs="Arial" w:hint="eastAsia"/>
          <w:kern w:val="0"/>
          <w:szCs w:val="21"/>
        </w:rPr>
        <w:t>、《基金合同》生效后，连续</w:t>
      </w:r>
      <w:r>
        <w:rPr>
          <w:rFonts w:ascii="Arial Unicode MS" w:hAnsi="Arial Unicode MS" w:cs="Arial" w:hint="eastAsia"/>
          <w:kern w:val="0"/>
          <w:szCs w:val="21"/>
        </w:rPr>
        <w:t>60</w:t>
      </w:r>
      <w:r>
        <w:rPr>
          <w:rFonts w:ascii="Arial Unicode MS" w:hAnsi="Arial Unicode MS" w:cs="Arial" w:hint="eastAsia"/>
          <w:kern w:val="0"/>
          <w:szCs w:val="21"/>
        </w:rPr>
        <w:t>个工作日出现基金份额持有人数量不满</w:t>
      </w:r>
      <w:r>
        <w:rPr>
          <w:rFonts w:ascii="Arial Unicode MS" w:hAnsi="Arial Unicode MS" w:cs="Arial" w:hint="eastAsia"/>
          <w:kern w:val="0"/>
          <w:szCs w:val="21"/>
        </w:rPr>
        <w:t>200</w:t>
      </w:r>
      <w:r>
        <w:rPr>
          <w:rFonts w:ascii="Arial Unicode MS" w:hAnsi="Arial Unicode MS" w:cs="Arial" w:hint="eastAsia"/>
          <w:kern w:val="0"/>
          <w:szCs w:val="21"/>
        </w:rPr>
        <w:t>人或者基金资产净值低于</w:t>
      </w:r>
      <w:r>
        <w:rPr>
          <w:rFonts w:ascii="Arial Unicode MS" w:hAnsi="Arial Unicode MS" w:cs="Arial" w:hint="eastAsia"/>
          <w:kern w:val="0"/>
          <w:szCs w:val="21"/>
        </w:rPr>
        <w:t>5000</w:t>
      </w:r>
      <w:r>
        <w:rPr>
          <w:rFonts w:ascii="Arial Unicode MS" w:hAnsi="Arial Unicode MS" w:cs="Arial" w:hint="eastAsia"/>
          <w:kern w:val="0"/>
          <w:szCs w:val="21"/>
        </w:rPr>
        <w:t>万元情形的，本基金将根据《基金合同》约定进入清算程序并终止，无需召开基金份额持有人大会进行表决。</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kern w:val="0"/>
          <w:szCs w:val="21"/>
        </w:rPr>
        <w:t>二</w:t>
      </w:r>
      <w:r>
        <w:rPr>
          <w:rFonts w:ascii="Arial Unicode MS" w:hAnsi="Arial Unicode MS" w:cs="Arial" w:hint="eastAsia"/>
          <w:kern w:val="0"/>
          <w:szCs w:val="21"/>
        </w:rPr>
        <w:t>）</w:t>
      </w:r>
      <w:r>
        <w:rPr>
          <w:rFonts w:ascii="Arial Unicode MS" w:hAnsi="Arial Unicode MS" w:cs="Arial"/>
          <w:kern w:val="0"/>
          <w:szCs w:val="21"/>
        </w:rPr>
        <w:t>会议召集人及召集方式</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、除法律法规规定或基金合同另有约定外，基金份额持有人大会由基金管理人召集。</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、基金管理人未按规定召集或不能召开时，由基金托管人召集。</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3</w:t>
      </w:r>
      <w:r>
        <w:rPr>
          <w:rFonts w:ascii="Arial Unicode MS" w:hAnsi="Arial Unicode MS" w:cs="Arial" w:hint="eastAsia"/>
          <w:kern w:val="0"/>
          <w:szCs w:val="21"/>
        </w:rPr>
        <w:t>、基金托管人认为有必要召开基金份额持有人大会的，应当向基金管理人提出书面提议。基金管理人应当自收到书面提议之日起</w:t>
      </w:r>
      <w:r>
        <w:rPr>
          <w:rFonts w:ascii="Arial Unicode MS" w:hAnsi="Arial Unicode MS" w:cs="Arial" w:hint="eastAsia"/>
          <w:kern w:val="0"/>
          <w:szCs w:val="21"/>
        </w:rPr>
        <w:t>10</w:t>
      </w:r>
      <w:r>
        <w:rPr>
          <w:rFonts w:ascii="Arial Unicode MS" w:hAnsi="Arial Unicode MS" w:cs="Arial" w:hint="eastAsia"/>
          <w:kern w:val="0"/>
          <w:szCs w:val="21"/>
        </w:rPr>
        <w:t>日内决定是否召集，并书面告知基金托管人。基金管理人决定召集的，应当自出具书面决定之日起</w:t>
      </w:r>
      <w:r>
        <w:rPr>
          <w:rFonts w:ascii="Arial Unicode MS" w:hAnsi="Arial Unicode MS" w:cs="Arial" w:hint="eastAsia"/>
          <w:kern w:val="0"/>
          <w:szCs w:val="21"/>
        </w:rPr>
        <w:t>60</w:t>
      </w:r>
      <w:r>
        <w:rPr>
          <w:rFonts w:ascii="Arial Unicode MS" w:hAnsi="Arial Unicode MS" w:cs="Arial" w:hint="eastAsia"/>
          <w:kern w:val="0"/>
          <w:szCs w:val="21"/>
        </w:rPr>
        <w:t>日内召开；基金管理人决定不召集，基金托管人仍认为有必要召开的，应当由基金托管人自行召集，并自出具书面决定之日起</w:t>
      </w:r>
      <w:r>
        <w:rPr>
          <w:rFonts w:ascii="Arial Unicode MS" w:hAnsi="Arial Unicode MS" w:cs="Arial" w:hint="eastAsia"/>
          <w:kern w:val="0"/>
          <w:szCs w:val="21"/>
        </w:rPr>
        <w:t>60</w:t>
      </w:r>
      <w:r>
        <w:rPr>
          <w:rFonts w:ascii="Arial Unicode MS" w:hAnsi="Arial Unicode MS" w:cs="Arial" w:hint="eastAsia"/>
          <w:kern w:val="0"/>
          <w:szCs w:val="21"/>
        </w:rPr>
        <w:t>日内召开并告知基金管理人，基金管理人应当配合。</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4</w:t>
      </w:r>
      <w:r>
        <w:rPr>
          <w:rFonts w:ascii="Arial Unicode MS" w:hAnsi="Arial Unicode MS" w:cs="Arial" w:hint="eastAsia"/>
          <w:kern w:val="0"/>
          <w:szCs w:val="21"/>
        </w:rPr>
        <w:t>、代表基金份额</w:t>
      </w:r>
      <w:r>
        <w:rPr>
          <w:rFonts w:ascii="Arial Unicode MS" w:hAnsi="Arial Unicode MS" w:cs="Arial" w:hint="eastAsia"/>
          <w:kern w:val="0"/>
          <w:szCs w:val="21"/>
        </w:rPr>
        <w:t>10%</w:t>
      </w:r>
      <w:r>
        <w:rPr>
          <w:rFonts w:ascii="Arial Unicode MS" w:hAnsi="Arial Unicode MS" w:cs="Arial" w:hint="eastAsia"/>
          <w:kern w:val="0"/>
          <w:szCs w:val="21"/>
        </w:rPr>
        <w:t>以上（含</w:t>
      </w:r>
      <w:r>
        <w:rPr>
          <w:rFonts w:ascii="Arial Unicode MS" w:hAnsi="Arial Unicode MS" w:cs="Arial" w:hint="eastAsia"/>
          <w:kern w:val="0"/>
          <w:szCs w:val="21"/>
        </w:rPr>
        <w:t>10%</w:t>
      </w:r>
      <w:r>
        <w:rPr>
          <w:rFonts w:ascii="Arial Unicode MS" w:hAnsi="Arial Unicode MS" w:cs="Arial" w:hint="eastAsia"/>
          <w:kern w:val="0"/>
          <w:szCs w:val="21"/>
        </w:rPr>
        <w:t>）的基金份额持有人就同一事项书面要求召开基金份额持有人大会，应当向基金管理人提出书面提议。基金管理人应当自收到书面提议之日起</w:t>
      </w:r>
      <w:r>
        <w:rPr>
          <w:rFonts w:ascii="Arial Unicode MS" w:hAnsi="Arial Unicode MS" w:cs="Arial" w:hint="eastAsia"/>
          <w:kern w:val="0"/>
          <w:szCs w:val="21"/>
        </w:rPr>
        <w:t>10</w:t>
      </w:r>
      <w:r>
        <w:rPr>
          <w:rFonts w:ascii="Arial Unicode MS" w:hAnsi="Arial Unicode MS" w:cs="Arial" w:hint="eastAsia"/>
          <w:kern w:val="0"/>
          <w:szCs w:val="21"/>
        </w:rPr>
        <w:t>日内决定是否召集，并书面告知提出提议的基金份额持有人代表和基金托管人。基金管理人决定召集的，应当自出具书面决定之日起</w:t>
      </w:r>
      <w:r>
        <w:rPr>
          <w:rFonts w:ascii="Arial Unicode MS" w:hAnsi="Arial Unicode MS" w:cs="Arial" w:hint="eastAsia"/>
          <w:kern w:val="0"/>
          <w:szCs w:val="21"/>
        </w:rPr>
        <w:t>60</w:t>
      </w:r>
      <w:r>
        <w:rPr>
          <w:rFonts w:ascii="Arial Unicode MS" w:hAnsi="Arial Unicode MS" w:cs="Arial" w:hint="eastAsia"/>
          <w:kern w:val="0"/>
          <w:szCs w:val="21"/>
        </w:rPr>
        <w:t>日内召开；基金管理人决定不召集，代表基金份额</w:t>
      </w:r>
      <w:r>
        <w:rPr>
          <w:rFonts w:ascii="Arial Unicode MS" w:hAnsi="Arial Unicode MS" w:cs="Arial" w:hint="eastAsia"/>
          <w:kern w:val="0"/>
          <w:szCs w:val="21"/>
        </w:rPr>
        <w:t>10%</w:t>
      </w:r>
      <w:r>
        <w:rPr>
          <w:rFonts w:ascii="Arial Unicode MS" w:hAnsi="Arial Unicode MS" w:cs="Arial" w:hint="eastAsia"/>
          <w:kern w:val="0"/>
          <w:szCs w:val="21"/>
        </w:rPr>
        <w:t>以上（含</w:t>
      </w:r>
      <w:r>
        <w:rPr>
          <w:rFonts w:ascii="Arial Unicode MS" w:hAnsi="Arial Unicode MS" w:cs="Arial" w:hint="eastAsia"/>
          <w:kern w:val="0"/>
          <w:szCs w:val="21"/>
        </w:rPr>
        <w:t>10%</w:t>
      </w:r>
      <w:r>
        <w:rPr>
          <w:rFonts w:ascii="Arial Unicode MS" w:hAnsi="Arial Unicode MS" w:cs="Arial" w:hint="eastAsia"/>
          <w:kern w:val="0"/>
          <w:szCs w:val="21"/>
        </w:rPr>
        <w:t>）的基金份额持有人仍认为有必要召开的，应当向基金托管人提出书面提议。基金托管人应当自收到书面提议之日起</w:t>
      </w:r>
      <w:r>
        <w:rPr>
          <w:rFonts w:ascii="Arial Unicode MS" w:hAnsi="Arial Unicode MS" w:cs="Arial" w:hint="eastAsia"/>
          <w:kern w:val="0"/>
          <w:szCs w:val="21"/>
        </w:rPr>
        <w:t>10</w:t>
      </w:r>
      <w:r>
        <w:rPr>
          <w:rFonts w:ascii="Arial Unicode MS" w:hAnsi="Arial Unicode MS" w:cs="Arial" w:hint="eastAsia"/>
          <w:kern w:val="0"/>
          <w:szCs w:val="21"/>
        </w:rPr>
        <w:t>日内决定是否召集，并书面告知提出提议的基金份额持有人代表和基金管理人；基金托管人决定召集的，应当自出具书面决定之日起</w:t>
      </w:r>
      <w:r>
        <w:rPr>
          <w:rFonts w:ascii="Arial Unicode MS" w:hAnsi="Arial Unicode MS" w:cs="Arial" w:hint="eastAsia"/>
          <w:kern w:val="0"/>
          <w:szCs w:val="21"/>
        </w:rPr>
        <w:t>60</w:t>
      </w:r>
      <w:r>
        <w:rPr>
          <w:rFonts w:ascii="Arial Unicode MS" w:hAnsi="Arial Unicode MS" w:cs="Arial" w:hint="eastAsia"/>
          <w:kern w:val="0"/>
          <w:szCs w:val="21"/>
        </w:rPr>
        <w:t>日内召开并告知基金管理人，基金管理人应当配合。</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5</w:t>
      </w:r>
      <w:r>
        <w:rPr>
          <w:rFonts w:ascii="Arial Unicode MS" w:hAnsi="Arial Unicode MS" w:cs="Arial" w:hint="eastAsia"/>
          <w:kern w:val="0"/>
          <w:szCs w:val="21"/>
        </w:rPr>
        <w:t>、代表基金份额</w:t>
      </w:r>
      <w:r>
        <w:rPr>
          <w:rFonts w:ascii="Arial Unicode MS" w:hAnsi="Arial Unicode MS" w:cs="Arial" w:hint="eastAsia"/>
          <w:kern w:val="0"/>
          <w:szCs w:val="21"/>
        </w:rPr>
        <w:t>10%</w:t>
      </w:r>
      <w:r>
        <w:rPr>
          <w:rFonts w:ascii="Arial Unicode MS" w:hAnsi="Arial Unicode MS" w:cs="Arial" w:hint="eastAsia"/>
          <w:kern w:val="0"/>
          <w:szCs w:val="21"/>
        </w:rPr>
        <w:t>以上（含</w:t>
      </w:r>
      <w:r>
        <w:rPr>
          <w:rFonts w:ascii="Arial Unicode MS" w:hAnsi="Arial Unicode MS" w:cs="Arial" w:hint="eastAsia"/>
          <w:kern w:val="0"/>
          <w:szCs w:val="21"/>
        </w:rPr>
        <w:t>10%</w:t>
      </w:r>
      <w:r>
        <w:rPr>
          <w:rFonts w:ascii="Arial Unicode MS" w:hAnsi="Arial Unicode MS" w:cs="Arial" w:hint="eastAsia"/>
          <w:kern w:val="0"/>
          <w:szCs w:val="21"/>
        </w:rPr>
        <w:t>）的基金份额持有人就同一事项要求召开基金份额持有人大会，而基金管理人、基金托管人都不召集的，单独或合计代表基金份额</w:t>
      </w:r>
      <w:r>
        <w:rPr>
          <w:rFonts w:ascii="Arial Unicode MS" w:hAnsi="Arial Unicode MS" w:cs="Arial" w:hint="eastAsia"/>
          <w:kern w:val="0"/>
          <w:szCs w:val="21"/>
        </w:rPr>
        <w:t>10%</w:t>
      </w:r>
      <w:r>
        <w:rPr>
          <w:rFonts w:ascii="Arial Unicode MS" w:hAnsi="Arial Unicode MS" w:cs="Arial" w:hint="eastAsia"/>
          <w:kern w:val="0"/>
          <w:szCs w:val="21"/>
        </w:rPr>
        <w:t>以上（含</w:t>
      </w:r>
      <w:r>
        <w:rPr>
          <w:rFonts w:ascii="Arial Unicode MS" w:hAnsi="Arial Unicode MS" w:cs="Arial" w:hint="eastAsia"/>
          <w:kern w:val="0"/>
          <w:szCs w:val="21"/>
        </w:rPr>
        <w:t>10%</w:t>
      </w:r>
      <w:r>
        <w:rPr>
          <w:rFonts w:ascii="Arial Unicode MS" w:hAnsi="Arial Unicode MS" w:cs="Arial" w:hint="eastAsia"/>
          <w:kern w:val="0"/>
          <w:szCs w:val="21"/>
        </w:rPr>
        <w:t>）的基金份额持有人有权自行召集，并至少提前</w:t>
      </w:r>
      <w:r>
        <w:rPr>
          <w:rFonts w:ascii="Arial Unicode MS" w:hAnsi="Arial Unicode MS" w:cs="Arial" w:hint="eastAsia"/>
          <w:kern w:val="0"/>
          <w:szCs w:val="21"/>
        </w:rPr>
        <w:t>30</w:t>
      </w:r>
      <w:r>
        <w:rPr>
          <w:rFonts w:ascii="Arial Unicode MS" w:hAnsi="Arial Unicode MS" w:cs="Arial" w:hint="eastAsia"/>
          <w:kern w:val="0"/>
          <w:szCs w:val="21"/>
        </w:rPr>
        <w:t>日报中国证监会备案。基金</w:t>
      </w:r>
      <w:r>
        <w:rPr>
          <w:rFonts w:ascii="Arial Unicode MS" w:hAnsi="Arial Unicode MS" w:cs="Arial" w:hint="eastAsia"/>
          <w:kern w:val="0"/>
          <w:szCs w:val="21"/>
        </w:rPr>
        <w:lastRenderedPageBreak/>
        <w:t>份额持有人依法自行召集基金份额持有人大会的，基金管理人、基金托管人应当配合，不得阻碍、干扰。</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6</w:t>
      </w:r>
      <w:r>
        <w:rPr>
          <w:rFonts w:ascii="Arial Unicode MS" w:hAnsi="Arial Unicode MS" w:cs="Arial" w:hint="eastAsia"/>
          <w:kern w:val="0"/>
          <w:szCs w:val="21"/>
        </w:rPr>
        <w:t>、基金份额持有人会议的召集人负责选择确定开会时间、地点、方式和权益登记日。</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kern w:val="0"/>
          <w:szCs w:val="21"/>
        </w:rPr>
        <w:t>三</w:t>
      </w:r>
      <w:r>
        <w:rPr>
          <w:rFonts w:ascii="Arial Unicode MS" w:hAnsi="Arial Unicode MS" w:cs="Arial" w:hint="eastAsia"/>
          <w:kern w:val="0"/>
          <w:szCs w:val="21"/>
        </w:rPr>
        <w:t>）</w:t>
      </w:r>
      <w:r>
        <w:rPr>
          <w:rFonts w:ascii="Arial Unicode MS" w:hAnsi="Arial Unicode MS" w:cs="Arial"/>
          <w:kern w:val="0"/>
          <w:szCs w:val="21"/>
        </w:rPr>
        <w:t>召开基金份额持有人大会的通知时间、通知内容、通知方式</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、召开基金份额持有人大会，召集人应于会议召开前</w:t>
      </w:r>
      <w:r>
        <w:rPr>
          <w:rFonts w:ascii="Arial Unicode MS" w:hAnsi="Arial Unicode MS" w:cs="Arial" w:hint="eastAsia"/>
          <w:kern w:val="0"/>
          <w:szCs w:val="21"/>
        </w:rPr>
        <w:t>30</w:t>
      </w:r>
      <w:r>
        <w:rPr>
          <w:rFonts w:ascii="Arial Unicode MS" w:hAnsi="Arial Unicode MS" w:cs="Arial" w:hint="eastAsia"/>
          <w:kern w:val="0"/>
          <w:szCs w:val="21"/>
        </w:rPr>
        <w:t>日在指定媒介公告。基金份额持有人大会通知应至少载明以下内容：</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hint="eastAsia"/>
          <w:kern w:val="0"/>
          <w:szCs w:val="21"/>
        </w:rPr>
        <w:t>）会议召开的时间、地点和会议形式；</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）会议</w:t>
      </w:r>
      <w:proofErr w:type="gramStart"/>
      <w:r>
        <w:rPr>
          <w:rFonts w:ascii="Arial Unicode MS" w:hAnsi="Arial Unicode MS" w:cs="Arial" w:hint="eastAsia"/>
          <w:kern w:val="0"/>
          <w:szCs w:val="21"/>
        </w:rPr>
        <w:t>拟审议</w:t>
      </w:r>
      <w:proofErr w:type="gramEnd"/>
      <w:r>
        <w:rPr>
          <w:rFonts w:ascii="Arial Unicode MS" w:hAnsi="Arial Unicode MS" w:cs="Arial" w:hint="eastAsia"/>
          <w:kern w:val="0"/>
          <w:szCs w:val="21"/>
        </w:rPr>
        <w:t>的事项、议事程序和表决方式；</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3</w:t>
      </w:r>
      <w:r>
        <w:rPr>
          <w:rFonts w:ascii="Arial Unicode MS" w:hAnsi="Arial Unicode MS" w:cs="Arial" w:hint="eastAsia"/>
          <w:kern w:val="0"/>
          <w:szCs w:val="21"/>
        </w:rPr>
        <w:t>）有权出席基金份额持有人大会的基金份额持有人的权益登记日；</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4</w:t>
      </w:r>
      <w:r>
        <w:rPr>
          <w:rFonts w:ascii="Arial Unicode MS" w:hAnsi="Arial Unicode MS" w:cs="Arial" w:hint="eastAsia"/>
          <w:kern w:val="0"/>
          <w:szCs w:val="21"/>
        </w:rPr>
        <w:t>）授权委托证明的内容要求（包括但不限于代理人身份，代理权限和代理有效期限等）、授权方式、送达时间和地点；</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5</w:t>
      </w:r>
      <w:r>
        <w:rPr>
          <w:rFonts w:ascii="Arial Unicode MS" w:hAnsi="Arial Unicode MS" w:cs="Arial" w:hint="eastAsia"/>
          <w:kern w:val="0"/>
          <w:szCs w:val="21"/>
        </w:rPr>
        <w:t>）会务常设联系人姓名及联系电话；</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6</w:t>
      </w:r>
      <w:r>
        <w:rPr>
          <w:rFonts w:ascii="Arial Unicode MS" w:hAnsi="Arial Unicode MS" w:cs="Arial" w:hint="eastAsia"/>
          <w:kern w:val="0"/>
          <w:szCs w:val="21"/>
        </w:rPr>
        <w:t>）出席会议者必须准备的文件和必须履行的手续；</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7</w:t>
      </w:r>
      <w:r>
        <w:rPr>
          <w:rFonts w:ascii="Arial Unicode MS" w:hAnsi="Arial Unicode MS" w:cs="Arial" w:hint="eastAsia"/>
          <w:kern w:val="0"/>
          <w:szCs w:val="21"/>
        </w:rPr>
        <w:t>）召集人需要通知的其他事项。</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、采取通讯开会方式并进行表决的情况下，由会议召集人决定在会议通知中说明本次基金份额持有人大会所采取的具体通讯方式、委托的公证机关及其联系方式和联系人、表决意见寄交的截止时间和收取方式。</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3</w:t>
      </w:r>
      <w:r>
        <w:rPr>
          <w:rFonts w:ascii="Arial Unicode MS" w:hAnsi="Arial Unicode MS" w:cs="Arial" w:hint="eastAsia"/>
          <w:kern w:val="0"/>
          <w:szCs w:val="21"/>
        </w:rPr>
        <w:t>、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w:t>
      </w:r>
      <w:proofErr w:type="gramStart"/>
      <w:r>
        <w:rPr>
          <w:rFonts w:ascii="Arial Unicode MS" w:hAnsi="Arial Unicode MS" w:cs="Arial" w:hint="eastAsia"/>
          <w:kern w:val="0"/>
          <w:szCs w:val="21"/>
        </w:rPr>
        <w:t>拒不派</w:t>
      </w:r>
      <w:proofErr w:type="gramEnd"/>
      <w:r>
        <w:rPr>
          <w:rFonts w:ascii="Arial Unicode MS" w:hAnsi="Arial Unicode MS" w:cs="Arial" w:hint="eastAsia"/>
          <w:kern w:val="0"/>
          <w:szCs w:val="21"/>
        </w:rPr>
        <w:t>代表对表决意见的计票进行监督的，不影响表决意见的计票效力。</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kern w:val="0"/>
          <w:szCs w:val="21"/>
        </w:rPr>
        <w:t>四</w:t>
      </w:r>
      <w:r>
        <w:rPr>
          <w:rFonts w:ascii="Arial Unicode MS" w:hAnsi="Arial Unicode MS" w:cs="Arial" w:hint="eastAsia"/>
          <w:kern w:val="0"/>
          <w:szCs w:val="21"/>
        </w:rPr>
        <w:t>）</w:t>
      </w:r>
      <w:r>
        <w:rPr>
          <w:rFonts w:ascii="Arial Unicode MS" w:hAnsi="Arial Unicode MS" w:cs="Arial"/>
          <w:kern w:val="0"/>
          <w:szCs w:val="21"/>
        </w:rPr>
        <w:t>基金份额持有人出席会议的方式</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基金份额持有人大会可通过现场开会方式、通讯开会方式或法律法规、监管机构允许的其他方式召开，会议的召开方式由会议召集人确定。</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hint="eastAsia"/>
          <w:kern w:val="0"/>
          <w:szCs w:val="21"/>
        </w:rPr>
        <w:t>）亲自出席会议者持有基金份额的凭证、受托出席会议者出具的委托人持有基金份</w:t>
      </w:r>
      <w:r>
        <w:rPr>
          <w:rFonts w:ascii="Arial Unicode MS" w:hAnsi="Arial Unicode MS" w:cs="Arial" w:hint="eastAsia"/>
          <w:kern w:val="0"/>
          <w:szCs w:val="21"/>
        </w:rPr>
        <w:lastRenderedPageBreak/>
        <w:t>额的凭证及委托人的代理投票授权委托证明符合法律法规、基金合同和会议通知的规定，并且持有基金份额的凭证与基金管理人持有的登记资料相符；</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经核对，汇总到会者出示的在权益登记日持有基金份额的凭证显示，有效的基金份额不少于本基金在权益登记日基金总份额的二分之一（含二分之一）；若到会者在权益登记日代表的有效的基金份额少于本基金在权益登记日基金总份额的二分之一，召集人可以在原公告的基金份额持有人大会召开时间的</w:t>
      </w:r>
      <w:r>
        <w:rPr>
          <w:rFonts w:ascii="Arial Unicode MS" w:hAnsi="Arial Unicode MS" w:cs="Arial" w:hint="eastAsia"/>
          <w:kern w:val="0"/>
          <w:szCs w:val="21"/>
        </w:rPr>
        <w:t>3</w:t>
      </w:r>
      <w:r>
        <w:rPr>
          <w:rFonts w:ascii="Arial Unicode MS" w:hAnsi="Arial Unicode MS" w:cs="Arial" w:hint="eastAsia"/>
          <w:kern w:val="0"/>
          <w:szCs w:val="21"/>
        </w:rPr>
        <w:t>个月以后、</w:t>
      </w:r>
      <w:r>
        <w:rPr>
          <w:rFonts w:ascii="Arial Unicode MS" w:hAnsi="Arial Unicode MS" w:cs="Arial" w:hint="eastAsia"/>
          <w:kern w:val="0"/>
          <w:szCs w:val="21"/>
        </w:rPr>
        <w:t>6</w:t>
      </w:r>
      <w:r>
        <w:rPr>
          <w:rFonts w:ascii="Arial Unicode MS" w:hAnsi="Arial Unicode MS" w:cs="Arial" w:hint="eastAsia"/>
          <w:kern w:val="0"/>
          <w:szCs w:val="21"/>
        </w:rPr>
        <w:t>个月以内，就原定审议事项重新召集基金份额持有人大会。重新召集的基金份额持有人大会到会者在权益登记日代表的有效的基金份额应不少于本基金在权益登记日基金总份额的三分之一（含三分之一）。</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、通讯开会。通讯开会系指基金份额持有人将其对表决事项的投票以书面形式</w:t>
      </w:r>
      <w:proofErr w:type="gramStart"/>
      <w:r>
        <w:rPr>
          <w:rFonts w:ascii="Arial Unicode MS" w:hAnsi="Arial Unicode MS" w:cs="Arial" w:hint="eastAsia"/>
          <w:kern w:val="0"/>
          <w:szCs w:val="21"/>
        </w:rPr>
        <w:t>或大会</w:t>
      </w:r>
      <w:proofErr w:type="gramEnd"/>
      <w:r>
        <w:rPr>
          <w:rFonts w:ascii="Arial Unicode MS" w:hAnsi="Arial Unicode MS" w:cs="Arial" w:hint="eastAsia"/>
          <w:kern w:val="0"/>
          <w:szCs w:val="21"/>
        </w:rPr>
        <w:t>公告载明的其他方式在表决截至日以前送达至召集人指定的地址。通讯开会应以书面方式</w:t>
      </w:r>
      <w:proofErr w:type="gramStart"/>
      <w:r>
        <w:rPr>
          <w:rFonts w:ascii="Arial Unicode MS" w:hAnsi="Arial Unicode MS" w:cs="Arial" w:hint="eastAsia"/>
          <w:kern w:val="0"/>
          <w:szCs w:val="21"/>
        </w:rPr>
        <w:t>或大会</w:t>
      </w:r>
      <w:proofErr w:type="gramEnd"/>
      <w:r>
        <w:rPr>
          <w:rFonts w:ascii="Arial Unicode MS" w:hAnsi="Arial Unicode MS" w:cs="Arial" w:hint="eastAsia"/>
          <w:kern w:val="0"/>
          <w:szCs w:val="21"/>
        </w:rPr>
        <w:t>公告载明的其他方式进行表决。</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在同时符合以下条件时，通讯开会的方式视为有效：</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hint="eastAsia"/>
          <w:kern w:val="0"/>
          <w:szCs w:val="21"/>
        </w:rPr>
        <w:t>）会议召集人按基金合同约定公布会议通知后，在</w:t>
      </w:r>
      <w:r>
        <w:rPr>
          <w:rFonts w:ascii="Arial Unicode MS" w:hAnsi="Arial Unicode MS" w:cs="Arial" w:hint="eastAsia"/>
          <w:kern w:val="0"/>
          <w:szCs w:val="21"/>
        </w:rPr>
        <w:t>2</w:t>
      </w:r>
      <w:r>
        <w:rPr>
          <w:rFonts w:ascii="Arial Unicode MS" w:hAnsi="Arial Unicode MS" w:cs="Arial" w:hint="eastAsia"/>
          <w:kern w:val="0"/>
          <w:szCs w:val="21"/>
        </w:rPr>
        <w:t>个工作日内连续公布相关提示性公告；</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召集人按基金合同约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通知不参加收取表决意见的，不影响表决效力；</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3</w:t>
      </w:r>
      <w:r>
        <w:rPr>
          <w:rFonts w:ascii="Arial Unicode MS" w:hAnsi="Arial Unicode MS" w:cs="Arial" w:hint="eastAsia"/>
          <w:kern w:val="0"/>
          <w:szCs w:val="21"/>
        </w:rPr>
        <w:t>）本人直接出具表决意见或授权他人代表出具表决意见的，基金份额持有人所持有的基金份额不小于在权益登记日基金总份额的二分之一（含二分之一）；若本人直接出具表决意见或授权他人代表出具表决意见基金份额持有人所持有的基金份额小于在权益登记日基金总份额的二分之一，召集人可以在原公告的基金份额持有人大会召开时间的</w:t>
      </w:r>
      <w:r>
        <w:rPr>
          <w:rFonts w:ascii="Arial Unicode MS" w:hAnsi="Arial Unicode MS" w:cs="Arial" w:hint="eastAsia"/>
          <w:kern w:val="0"/>
          <w:szCs w:val="21"/>
        </w:rPr>
        <w:t>3</w:t>
      </w:r>
      <w:r>
        <w:rPr>
          <w:rFonts w:ascii="Arial Unicode MS" w:hAnsi="Arial Unicode MS" w:cs="Arial" w:hint="eastAsia"/>
          <w:kern w:val="0"/>
          <w:szCs w:val="21"/>
        </w:rPr>
        <w:t>个月以后、</w:t>
      </w:r>
      <w:r>
        <w:rPr>
          <w:rFonts w:ascii="Arial Unicode MS" w:hAnsi="Arial Unicode MS" w:cs="Arial" w:hint="eastAsia"/>
          <w:kern w:val="0"/>
          <w:szCs w:val="21"/>
        </w:rPr>
        <w:t>6</w:t>
      </w:r>
      <w:r>
        <w:rPr>
          <w:rFonts w:ascii="Arial Unicode MS" w:hAnsi="Arial Unicode MS" w:cs="Arial" w:hint="eastAsia"/>
          <w:kern w:val="0"/>
          <w:szCs w:val="21"/>
        </w:rPr>
        <w:t>个月以内，就原定审议事项重新召集基金份额持有人大会。重新召集的基金份额持有人大会应当有代表三分之一以上（含三分之一）基金份额的持有人直接出具表决意见或授权他人代表出具表决意见；</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4</w:t>
      </w:r>
      <w:r>
        <w:rPr>
          <w:rFonts w:ascii="Arial Unicode MS" w:hAnsi="Arial Unicode MS" w:cs="Arial" w:hint="eastAsia"/>
          <w:kern w:val="0"/>
          <w:szCs w:val="21"/>
        </w:rPr>
        <w:t>）上述第（</w:t>
      </w:r>
      <w:r>
        <w:rPr>
          <w:rFonts w:ascii="Arial Unicode MS" w:hAnsi="Arial Unicode MS" w:cs="Arial" w:hint="eastAsia"/>
          <w:kern w:val="0"/>
          <w:szCs w:val="21"/>
        </w:rPr>
        <w:t>3</w:t>
      </w:r>
      <w:r>
        <w:rPr>
          <w:rFonts w:ascii="Arial Unicode MS" w:hAnsi="Arial Unicode MS" w:cs="Arial" w:hint="eastAsia"/>
          <w:kern w:val="0"/>
          <w:szCs w:val="21"/>
        </w:rPr>
        <w:t>）项中直接出具表决意见的基金份额持有人或受托代表他人出具表决意见的代理人，同时提交的持有基金份额的凭证、受托出具表决意见的代理人出具的委托人持有基金份额的凭证及委托人的代理投票授权委托证明符合法律法规、基金合同和会议通知的规定，并与基金登记机构记录相符。</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3</w:t>
      </w:r>
      <w:r>
        <w:rPr>
          <w:rFonts w:ascii="Arial Unicode MS" w:hAnsi="Arial Unicode MS" w:cs="Arial" w:hint="eastAsia"/>
          <w:kern w:val="0"/>
          <w:szCs w:val="21"/>
        </w:rPr>
        <w:t>、在法律法规和监管机关允许的情况下，经会议通知载明，本基金的基金份额持有人亦可采用其他非书面方式授权其代理人出席基金份额持有人大会，授权方式可以采用书面、</w:t>
      </w:r>
      <w:r>
        <w:rPr>
          <w:rFonts w:ascii="Arial Unicode MS" w:hAnsi="Arial Unicode MS" w:cs="Arial" w:hint="eastAsia"/>
          <w:kern w:val="0"/>
          <w:szCs w:val="21"/>
        </w:rPr>
        <w:lastRenderedPageBreak/>
        <w:t>网络、电话、短信或其他方式，具体方式由会议召集人确定并在会议通知中列明。</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4</w:t>
      </w:r>
      <w:r>
        <w:rPr>
          <w:rFonts w:ascii="Arial Unicode MS" w:hAnsi="Arial Unicode MS" w:cs="Arial" w:hint="eastAsia"/>
          <w:kern w:val="0"/>
          <w:szCs w:val="21"/>
        </w:rPr>
        <w:t>、在会议召开方式上，本基金亦可采用其他非现场方式或者以现场方式与非现场方式相结合的方式召开基金份额持有人大会，会议程序比照现场开会和通讯方式开会的程序进行。基金份额持有人可以采用书面、网络、电话、短信或其他方式进行表决，具体方式由会议召集人确定并在会议通知中列明。</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kern w:val="0"/>
          <w:szCs w:val="21"/>
        </w:rPr>
        <w:t>五</w:t>
      </w:r>
      <w:r>
        <w:rPr>
          <w:rFonts w:ascii="Arial Unicode MS" w:hAnsi="Arial Unicode MS" w:cs="Arial" w:hint="eastAsia"/>
          <w:kern w:val="0"/>
          <w:szCs w:val="21"/>
        </w:rPr>
        <w:t>）</w:t>
      </w:r>
      <w:r>
        <w:rPr>
          <w:rFonts w:ascii="Arial Unicode MS" w:hAnsi="Arial Unicode MS" w:cs="Arial"/>
          <w:kern w:val="0"/>
          <w:szCs w:val="21"/>
        </w:rPr>
        <w:t>议事内容与程序</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、议事内容及提案权</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基金份额持有人大会的召集人发出召集会议的通知后，对原有提案的修改应当在基金份额持有人大会召开前及时公告。</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基金份额持有人大会不得对未事先公告的议事内容进行表决。</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、议事程序</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hint="eastAsia"/>
          <w:kern w:val="0"/>
          <w:szCs w:val="21"/>
        </w:rPr>
        <w:t>）现场开会</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二分之一以上（含二分之一）选举产生一名基金份额持有人作为该次基金份额持有人大会的主持人。基金管理人和基金托管人拒不出席或主持基金份额持有人大会，不影响基金份额持有人大会</w:t>
      </w:r>
      <w:proofErr w:type="gramStart"/>
      <w:r>
        <w:rPr>
          <w:rFonts w:ascii="Arial Unicode MS" w:hAnsi="Arial Unicode MS" w:cs="Arial" w:hint="eastAsia"/>
          <w:kern w:val="0"/>
          <w:szCs w:val="21"/>
        </w:rPr>
        <w:t>作出</w:t>
      </w:r>
      <w:proofErr w:type="gramEnd"/>
      <w:r>
        <w:rPr>
          <w:rFonts w:ascii="Arial Unicode MS" w:hAnsi="Arial Unicode MS" w:cs="Arial" w:hint="eastAsia"/>
          <w:kern w:val="0"/>
          <w:szCs w:val="21"/>
        </w:rPr>
        <w:t>的决议的效力。</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会议召集人应当制作出席会议人员的签名册。签名</w:t>
      </w:r>
      <w:proofErr w:type="gramStart"/>
      <w:r>
        <w:rPr>
          <w:rFonts w:ascii="Arial Unicode MS" w:hAnsi="Arial Unicode MS" w:cs="Arial" w:hint="eastAsia"/>
          <w:kern w:val="0"/>
          <w:szCs w:val="21"/>
        </w:rPr>
        <w:t>册</w:t>
      </w:r>
      <w:proofErr w:type="gramEnd"/>
      <w:r>
        <w:rPr>
          <w:rFonts w:ascii="Arial Unicode MS" w:hAnsi="Arial Unicode MS" w:cs="Arial" w:hint="eastAsia"/>
          <w:kern w:val="0"/>
          <w:szCs w:val="21"/>
        </w:rPr>
        <w:t>载明参加会议人员姓名（或单位名称）、身份证明文件号码、持有或代表有表决权的基金份额、委托人姓名（或单位名称）和联系方式等事项。</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）通讯开会</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在通讯开会的情况下，首先由召集人提前</w:t>
      </w:r>
      <w:r>
        <w:rPr>
          <w:rFonts w:ascii="Arial Unicode MS" w:hAnsi="Arial Unicode MS" w:cs="Arial" w:hint="eastAsia"/>
          <w:kern w:val="0"/>
          <w:szCs w:val="21"/>
        </w:rPr>
        <w:t>30</w:t>
      </w:r>
      <w:r>
        <w:rPr>
          <w:rFonts w:ascii="Arial Unicode MS" w:hAnsi="Arial Unicode MS" w:cs="Arial" w:hint="eastAsia"/>
          <w:kern w:val="0"/>
          <w:szCs w:val="21"/>
        </w:rPr>
        <w:t>日公布提案，在所通知的表决截止日期后</w:t>
      </w:r>
      <w:r>
        <w:rPr>
          <w:rFonts w:ascii="Arial Unicode MS" w:hAnsi="Arial Unicode MS" w:cs="Arial" w:hint="eastAsia"/>
          <w:kern w:val="0"/>
          <w:szCs w:val="21"/>
        </w:rPr>
        <w:t>2</w:t>
      </w:r>
      <w:r>
        <w:rPr>
          <w:rFonts w:ascii="Arial Unicode MS" w:hAnsi="Arial Unicode MS" w:cs="Arial" w:hint="eastAsia"/>
          <w:kern w:val="0"/>
          <w:szCs w:val="21"/>
        </w:rPr>
        <w:t>个工作日内在公证机关监督下由召集人统计全部有效表决，在公证机关监督下形成决议。</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kern w:val="0"/>
          <w:szCs w:val="21"/>
        </w:rPr>
        <w:t>六</w:t>
      </w:r>
      <w:r>
        <w:rPr>
          <w:rFonts w:ascii="Arial Unicode MS" w:hAnsi="Arial Unicode MS" w:cs="Arial" w:hint="eastAsia"/>
          <w:kern w:val="0"/>
          <w:szCs w:val="21"/>
        </w:rPr>
        <w:t>）</w:t>
      </w:r>
      <w:r>
        <w:rPr>
          <w:rFonts w:ascii="Arial Unicode MS" w:hAnsi="Arial Unicode MS" w:cs="Arial"/>
          <w:kern w:val="0"/>
          <w:szCs w:val="21"/>
        </w:rPr>
        <w:t>表决</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基金份额持有人所持每份基金份额有一票表决权。</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基金份额持有人大会决议分为一般决议和特别决议：</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lastRenderedPageBreak/>
        <w:t>1</w:t>
      </w:r>
      <w:r>
        <w:rPr>
          <w:rFonts w:ascii="Arial Unicode MS" w:hAnsi="Arial Unicode MS" w:cs="Arial" w:hint="eastAsia"/>
          <w:kern w:val="0"/>
          <w:szCs w:val="21"/>
        </w:rPr>
        <w:t>、一般决议，一般决议须经参加大会的基金份额持有人或其代理人所持表决权的二分之一以上（含二分之一）通过方为有效；除下列第</w:t>
      </w:r>
      <w:r>
        <w:rPr>
          <w:rFonts w:ascii="Arial Unicode MS" w:hAnsi="Arial Unicode MS" w:cs="Arial" w:hint="eastAsia"/>
          <w:kern w:val="0"/>
          <w:szCs w:val="21"/>
        </w:rPr>
        <w:t>2</w:t>
      </w:r>
      <w:r>
        <w:rPr>
          <w:rFonts w:ascii="Arial Unicode MS" w:hAnsi="Arial Unicode MS" w:cs="Arial" w:hint="eastAsia"/>
          <w:kern w:val="0"/>
          <w:szCs w:val="21"/>
        </w:rPr>
        <w:t>项所规定的须以特别决议通过事项以外的其他事项均以一般决议的方式通过。</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特别决议，特别决议应当经参加大会的基金份额持有人或其代理人所持表决权的三分之二以上（含三分之二）通过方可做出。除基金合同另有约定外，转换基金运作方式、更换基金管理人或者基金托管人、终止基金合同、本基金与其他基金合并以特别决议通过方为有效。</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基金份额持有人大会采取记名方式进行投票表决。</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采取通讯方式进行表决时，除非在计票时有充分的相反证据证明，否则提交符合会议通知中规定的确认投资者身份文件的表决视为有效出席的投资者，表面符合会议通知规定的表决意见视为有效表决，表决意见模糊不清或相互矛盾的视为弃权表决，但应当计入出具表决意见的基金份额持有人所代表的基金份额总数。</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基金份额持有人大会的各项提案或同一项提案内并列的各项议题应当分开审议、逐项表决。</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kern w:val="0"/>
          <w:szCs w:val="21"/>
        </w:rPr>
        <w:t>七</w:t>
      </w:r>
      <w:r>
        <w:rPr>
          <w:rFonts w:ascii="Arial Unicode MS" w:hAnsi="Arial Unicode MS" w:cs="Arial" w:hint="eastAsia"/>
          <w:kern w:val="0"/>
          <w:szCs w:val="21"/>
        </w:rPr>
        <w:t>）</w:t>
      </w:r>
      <w:r>
        <w:rPr>
          <w:rFonts w:ascii="Arial Unicode MS" w:hAnsi="Arial Unicode MS" w:cs="Arial"/>
          <w:kern w:val="0"/>
          <w:szCs w:val="21"/>
        </w:rPr>
        <w:t>计票</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、现场开会</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hint="eastAsia"/>
          <w:kern w:val="0"/>
          <w:szCs w:val="21"/>
        </w:rPr>
        <w:t>）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w:t>
      </w:r>
      <w:proofErr w:type="gramStart"/>
      <w:r>
        <w:rPr>
          <w:rFonts w:ascii="Arial Unicode MS" w:hAnsi="Arial Unicode MS" w:cs="Arial" w:hint="eastAsia"/>
          <w:kern w:val="0"/>
          <w:szCs w:val="21"/>
        </w:rPr>
        <w:t>或大会</w:t>
      </w:r>
      <w:proofErr w:type="gramEnd"/>
      <w:r>
        <w:rPr>
          <w:rFonts w:ascii="Arial Unicode MS" w:hAnsi="Arial Unicode MS" w:cs="Arial" w:hint="eastAsia"/>
          <w:kern w:val="0"/>
          <w:szCs w:val="21"/>
        </w:rPr>
        <w:t>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）监票人应当在基金份额持有人表决后立即进行清点并由大会主持人当场公布计票结果。</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3</w:t>
      </w:r>
      <w:r>
        <w:rPr>
          <w:rFonts w:ascii="Arial Unicode MS" w:hAnsi="Arial Unicode MS" w:cs="Arial" w:hint="eastAsia"/>
          <w:kern w:val="0"/>
          <w:szCs w:val="21"/>
        </w:rPr>
        <w:t>）如果会议主持人或基金份额持有人或代理人对于提交的表决结果有怀疑，可以在宣布表决结果后立即对所投票</w:t>
      </w:r>
      <w:proofErr w:type="gramStart"/>
      <w:r>
        <w:rPr>
          <w:rFonts w:ascii="Arial Unicode MS" w:hAnsi="Arial Unicode MS" w:cs="Arial" w:hint="eastAsia"/>
          <w:kern w:val="0"/>
          <w:szCs w:val="21"/>
        </w:rPr>
        <w:t>数要求</w:t>
      </w:r>
      <w:proofErr w:type="gramEnd"/>
      <w:r>
        <w:rPr>
          <w:rFonts w:ascii="Arial Unicode MS" w:hAnsi="Arial Unicode MS" w:cs="Arial" w:hint="eastAsia"/>
          <w:kern w:val="0"/>
          <w:szCs w:val="21"/>
        </w:rPr>
        <w:t>进行重新清点。监票人应当进行重新清点，重新清点以一次为限。重新清点后，大会主持人应当当场公布重新清点结果。</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4</w:t>
      </w:r>
      <w:r>
        <w:rPr>
          <w:rFonts w:ascii="Arial Unicode MS" w:hAnsi="Arial Unicode MS" w:cs="Arial" w:hint="eastAsia"/>
          <w:kern w:val="0"/>
          <w:szCs w:val="21"/>
        </w:rPr>
        <w:t>）计票过程应由公证机关予以公证，基金管理人或基金托管人拒不出席大会的，不影响计票的效力。</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、通讯开会</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在通讯开会的情况下，计票方式为：由大会召集人授权的两名监督员在基金托管人授权</w:t>
      </w:r>
      <w:r>
        <w:rPr>
          <w:rFonts w:ascii="Arial Unicode MS" w:hAnsi="Arial Unicode MS" w:cs="Arial" w:hint="eastAsia"/>
          <w:kern w:val="0"/>
          <w:szCs w:val="21"/>
        </w:rPr>
        <w:lastRenderedPageBreak/>
        <w:t>代表（若由基金托管人召集，则为基金管理人授权代表）的监督下进行计票，并由公证机关对其计票过程予以公证。基金管理人或基金托管</w:t>
      </w:r>
      <w:proofErr w:type="gramStart"/>
      <w:r>
        <w:rPr>
          <w:rFonts w:ascii="Arial Unicode MS" w:hAnsi="Arial Unicode MS" w:cs="Arial" w:hint="eastAsia"/>
          <w:kern w:val="0"/>
          <w:szCs w:val="21"/>
        </w:rPr>
        <w:t>人拒派</w:t>
      </w:r>
      <w:proofErr w:type="gramEnd"/>
      <w:r>
        <w:rPr>
          <w:rFonts w:ascii="Arial Unicode MS" w:hAnsi="Arial Unicode MS" w:cs="Arial" w:hint="eastAsia"/>
          <w:kern w:val="0"/>
          <w:szCs w:val="21"/>
        </w:rPr>
        <w:t>代表对表决意见的计票进行监督的，不影响计票和表决结果。</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kern w:val="0"/>
          <w:szCs w:val="21"/>
        </w:rPr>
        <w:t>八</w:t>
      </w:r>
      <w:r>
        <w:rPr>
          <w:rFonts w:ascii="Arial Unicode MS" w:hAnsi="Arial Unicode MS" w:cs="Arial" w:hint="eastAsia"/>
          <w:kern w:val="0"/>
          <w:szCs w:val="21"/>
        </w:rPr>
        <w:t>）</w:t>
      </w:r>
      <w:r>
        <w:rPr>
          <w:rFonts w:ascii="Arial Unicode MS" w:hAnsi="Arial Unicode MS" w:cs="Arial"/>
          <w:kern w:val="0"/>
          <w:szCs w:val="21"/>
        </w:rPr>
        <w:t>生效与公告</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基金份额持有人大会的决议，召集人应当自通过之日起</w:t>
      </w:r>
      <w:r>
        <w:rPr>
          <w:rFonts w:ascii="Arial Unicode MS" w:hAnsi="Arial Unicode MS" w:cs="Arial" w:hint="eastAsia"/>
          <w:kern w:val="0"/>
          <w:szCs w:val="21"/>
        </w:rPr>
        <w:t>5</w:t>
      </w:r>
      <w:r>
        <w:rPr>
          <w:rFonts w:ascii="Arial Unicode MS" w:hAnsi="Arial Unicode MS" w:cs="Arial" w:hint="eastAsia"/>
          <w:kern w:val="0"/>
          <w:szCs w:val="21"/>
        </w:rPr>
        <w:t>日内报中国证监会备案。</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基金份额持有人大会的决议自表决通过之日起生效。</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基金份额持有人大会决议自生效之日起</w:t>
      </w:r>
      <w:r>
        <w:rPr>
          <w:rFonts w:ascii="Arial Unicode MS" w:hAnsi="Arial Unicode MS" w:cs="Arial" w:hint="eastAsia"/>
          <w:kern w:val="0"/>
          <w:szCs w:val="21"/>
        </w:rPr>
        <w:t>2</w:t>
      </w:r>
      <w:r>
        <w:rPr>
          <w:rFonts w:ascii="Arial Unicode MS" w:hAnsi="Arial Unicode MS" w:cs="Arial" w:hint="eastAsia"/>
          <w:kern w:val="0"/>
          <w:szCs w:val="21"/>
        </w:rPr>
        <w:t>个工作日内在指定媒介上公告。如果采用通讯方式进行表决，在公告基金份额持有人大会决议时，必须将公证书全文、公证机构、公证员姓名等一同公告。</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基金管理人、基金托管人和基金份额持有人应当执行生效的基金份额持有人大会的决议。生效的基金份额持有人大会决议对全体基金份额持有人、基金管理人、基金托管人均有约束力。</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（九）本部</w:t>
      </w:r>
      <w:proofErr w:type="gramStart"/>
      <w:r>
        <w:rPr>
          <w:rFonts w:ascii="Arial Unicode MS" w:hAnsi="Arial Unicode MS" w:cs="Arial" w:hint="eastAsia"/>
          <w:kern w:val="0"/>
          <w:szCs w:val="21"/>
        </w:rPr>
        <w:t>分关于</w:t>
      </w:r>
      <w:proofErr w:type="gramEnd"/>
      <w:r>
        <w:rPr>
          <w:rFonts w:ascii="Arial Unicode MS" w:hAnsi="Arial Unicode MS" w:cs="Arial" w:hint="eastAsia"/>
          <w:kern w:val="0"/>
          <w:szCs w:val="21"/>
        </w:rPr>
        <w:t>基金份额持有人大会召开事由、召开条件、议事程序、表决条件等规定，凡是直接引用法律法规的部分，如将来法律法规修改导致相关内容被取消或变更的，基金管理人与基金托管人协商一致并提前公告后，可直接对本部分内容进行修改和调整，无需召开基金份额持有人大会审议。</w:t>
      </w:r>
    </w:p>
    <w:p w:rsidR="004C06C5" w:rsidRDefault="00ED474B">
      <w:pPr>
        <w:autoSpaceDE w:val="0"/>
        <w:autoSpaceDN w:val="0"/>
        <w:adjustRightInd w:val="0"/>
        <w:spacing w:line="360" w:lineRule="auto"/>
        <w:ind w:firstLineChars="200" w:firstLine="422"/>
        <w:jc w:val="left"/>
        <w:rPr>
          <w:rFonts w:ascii="Arial Unicode MS" w:hAnsi="Arial Unicode MS"/>
          <w:b/>
          <w:bCs/>
          <w:szCs w:val="21"/>
        </w:rPr>
      </w:pPr>
      <w:r>
        <w:rPr>
          <w:rFonts w:ascii="Arial Unicode MS" w:hAnsi="Arial Unicode MS" w:hint="eastAsia"/>
          <w:b/>
          <w:bCs/>
          <w:szCs w:val="21"/>
        </w:rPr>
        <w:t>三、基金合同解除和终止的事由、程序以及基金财产清算方式</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kern w:val="0"/>
          <w:szCs w:val="21"/>
        </w:rPr>
        <w:t>一</w:t>
      </w:r>
      <w:r>
        <w:rPr>
          <w:rFonts w:ascii="Arial Unicode MS" w:hAnsi="Arial Unicode MS" w:cs="Arial" w:hint="eastAsia"/>
          <w:kern w:val="0"/>
          <w:szCs w:val="21"/>
        </w:rPr>
        <w:t>）</w:t>
      </w:r>
      <w:r>
        <w:rPr>
          <w:rFonts w:ascii="Arial Unicode MS" w:hAnsi="Arial Unicode MS" w:cs="Arial"/>
          <w:kern w:val="0"/>
          <w:szCs w:val="21"/>
        </w:rPr>
        <w:t>《基金合同》的变更</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、变更基金合同涉及法律法规规定或本基金合同约定应经基金份额持有人大会决议通过的事项的，应召</w:t>
      </w:r>
      <w:proofErr w:type="gramStart"/>
      <w:r>
        <w:rPr>
          <w:rFonts w:ascii="Arial Unicode MS" w:hAnsi="Arial Unicode MS" w:cs="Arial" w:hint="eastAsia"/>
          <w:kern w:val="0"/>
          <w:szCs w:val="21"/>
        </w:rPr>
        <w:t>开基金</w:t>
      </w:r>
      <w:proofErr w:type="gramEnd"/>
      <w:r>
        <w:rPr>
          <w:rFonts w:ascii="Arial Unicode MS" w:hAnsi="Arial Unicode MS" w:cs="Arial" w:hint="eastAsia"/>
          <w:kern w:val="0"/>
          <w:szCs w:val="21"/>
        </w:rPr>
        <w:t>份额持有人大会决议通过。对于法律法规规定和基金合同约定可不经基金份额持有人大会决议通过的事项，由基金管理人和基金托管人同意后变更并公告，并报中国证监会备案。</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 xml:space="preserve"> 2</w:t>
      </w:r>
      <w:r>
        <w:rPr>
          <w:rFonts w:ascii="Arial Unicode MS" w:hAnsi="Arial Unicode MS" w:cs="Arial" w:hint="eastAsia"/>
          <w:kern w:val="0"/>
          <w:szCs w:val="21"/>
        </w:rPr>
        <w:t>、关于《基金合同》变更的基金份额持有人大会决议须报中国证监会备案，自表决通过之日起生效，</w:t>
      </w:r>
      <w:proofErr w:type="gramStart"/>
      <w:r>
        <w:rPr>
          <w:rFonts w:ascii="Arial Unicode MS" w:hAnsi="Arial Unicode MS" w:cs="Arial" w:hint="eastAsia"/>
          <w:kern w:val="0"/>
          <w:szCs w:val="21"/>
        </w:rPr>
        <w:t>自决议</w:t>
      </w:r>
      <w:proofErr w:type="gramEnd"/>
      <w:r>
        <w:rPr>
          <w:rFonts w:ascii="Arial Unicode MS" w:hAnsi="Arial Unicode MS" w:cs="Arial" w:hint="eastAsia"/>
          <w:kern w:val="0"/>
          <w:szCs w:val="21"/>
        </w:rPr>
        <w:t>生效后两个工作日内在指定媒介公告。</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（二）《基金合同》的终止事由</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有下列情形之一的，《基金合同》应当终止：</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、基金份额持有人大会决定终止的；</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、基金管理人、基金托管人职责终止，在</w:t>
      </w:r>
      <w:r>
        <w:rPr>
          <w:rFonts w:ascii="Arial Unicode MS" w:hAnsi="Arial Unicode MS" w:cs="Arial" w:hint="eastAsia"/>
          <w:kern w:val="0"/>
          <w:szCs w:val="21"/>
        </w:rPr>
        <w:t>6</w:t>
      </w:r>
      <w:r>
        <w:rPr>
          <w:rFonts w:ascii="Arial Unicode MS" w:hAnsi="Arial Unicode MS" w:cs="Arial" w:hint="eastAsia"/>
          <w:kern w:val="0"/>
          <w:szCs w:val="21"/>
        </w:rPr>
        <w:t>个月内没有新基金管理人、新基金托管人承接的；</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3</w:t>
      </w:r>
      <w:r>
        <w:rPr>
          <w:rFonts w:ascii="Arial Unicode MS" w:hAnsi="Arial Unicode MS" w:cs="Arial" w:hint="eastAsia"/>
          <w:kern w:val="0"/>
          <w:szCs w:val="21"/>
        </w:rPr>
        <w:t>、《基金合同》生效后，连续</w:t>
      </w:r>
      <w:r>
        <w:rPr>
          <w:rFonts w:ascii="Arial Unicode MS" w:hAnsi="Arial Unicode MS" w:cs="Arial" w:hint="eastAsia"/>
          <w:kern w:val="0"/>
          <w:szCs w:val="21"/>
        </w:rPr>
        <w:t>60</w:t>
      </w:r>
      <w:r>
        <w:rPr>
          <w:rFonts w:ascii="Arial Unicode MS" w:hAnsi="Arial Unicode MS" w:cs="Arial" w:hint="eastAsia"/>
          <w:kern w:val="0"/>
          <w:szCs w:val="21"/>
        </w:rPr>
        <w:t>个工作日出现基金份额持有人数量不满</w:t>
      </w:r>
      <w:r>
        <w:rPr>
          <w:rFonts w:ascii="Arial Unicode MS" w:hAnsi="Arial Unicode MS" w:cs="Arial" w:hint="eastAsia"/>
          <w:kern w:val="0"/>
          <w:szCs w:val="21"/>
        </w:rPr>
        <w:t>200</w:t>
      </w:r>
      <w:r>
        <w:rPr>
          <w:rFonts w:ascii="Arial Unicode MS" w:hAnsi="Arial Unicode MS" w:cs="Arial" w:hint="eastAsia"/>
          <w:kern w:val="0"/>
          <w:szCs w:val="21"/>
        </w:rPr>
        <w:t>人或者基金资产净值低于</w:t>
      </w:r>
      <w:r>
        <w:rPr>
          <w:rFonts w:ascii="Arial Unicode MS" w:hAnsi="Arial Unicode MS" w:cs="Arial" w:hint="eastAsia"/>
          <w:kern w:val="0"/>
          <w:szCs w:val="21"/>
        </w:rPr>
        <w:t>5000</w:t>
      </w:r>
      <w:r>
        <w:rPr>
          <w:rFonts w:ascii="Arial Unicode MS" w:hAnsi="Arial Unicode MS" w:cs="Arial" w:hint="eastAsia"/>
          <w:kern w:val="0"/>
          <w:szCs w:val="21"/>
        </w:rPr>
        <w:t>万元情形的，本基金将根据《基金合同》约定进入清算程序并终止，</w:t>
      </w:r>
      <w:r>
        <w:rPr>
          <w:rFonts w:ascii="Arial Unicode MS" w:hAnsi="Arial Unicode MS" w:cs="Arial" w:hint="eastAsia"/>
          <w:kern w:val="0"/>
          <w:szCs w:val="21"/>
        </w:rPr>
        <w:lastRenderedPageBreak/>
        <w:t>无需召开基金份额持有人大会进行表决；</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4</w:t>
      </w:r>
      <w:r>
        <w:rPr>
          <w:rFonts w:ascii="Arial Unicode MS" w:hAnsi="Arial Unicode MS" w:cs="Arial" w:hint="eastAsia"/>
          <w:kern w:val="0"/>
          <w:szCs w:val="21"/>
        </w:rPr>
        <w:t>、《基金合同》约定的其他情形；</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5</w:t>
      </w:r>
      <w:r>
        <w:rPr>
          <w:rFonts w:ascii="Arial Unicode MS" w:hAnsi="Arial Unicode MS" w:cs="Arial" w:hint="eastAsia"/>
          <w:kern w:val="0"/>
          <w:szCs w:val="21"/>
        </w:rPr>
        <w:t>、相关法律法规和中国证监会规定的其他情况。</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基金合同终止后，基金管理人和基金托管人有权依照《基金法》、《运作办法》、《销售办法》、基金合同及其他有关法律法规的规定，行使请求给付报酬、从基金资产中获得补偿的权利。</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kern w:val="0"/>
          <w:szCs w:val="21"/>
        </w:rPr>
        <w:t>三</w:t>
      </w:r>
      <w:r>
        <w:rPr>
          <w:rFonts w:ascii="Arial Unicode MS" w:hAnsi="Arial Unicode MS" w:cs="Arial" w:hint="eastAsia"/>
          <w:kern w:val="0"/>
          <w:szCs w:val="21"/>
        </w:rPr>
        <w:t>）</w:t>
      </w:r>
      <w:r>
        <w:rPr>
          <w:rFonts w:ascii="Arial Unicode MS" w:hAnsi="Arial Unicode MS" w:cs="Arial"/>
          <w:kern w:val="0"/>
          <w:szCs w:val="21"/>
        </w:rPr>
        <w:t>基金财产的清算</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、基金财产清算小组：自出现《基金合同》终止事由之日起</w:t>
      </w:r>
      <w:r>
        <w:rPr>
          <w:rFonts w:ascii="Arial Unicode MS" w:hAnsi="Arial Unicode MS" w:cs="Arial" w:hint="eastAsia"/>
          <w:kern w:val="0"/>
          <w:szCs w:val="21"/>
        </w:rPr>
        <w:t>30</w:t>
      </w:r>
      <w:r>
        <w:rPr>
          <w:rFonts w:ascii="Arial Unicode MS" w:hAnsi="Arial Unicode MS" w:cs="Arial" w:hint="eastAsia"/>
          <w:kern w:val="0"/>
          <w:szCs w:val="21"/>
        </w:rPr>
        <w:t>个工作日内成立清算小组，基金管理人组织基金财产清算小组并在中国证监会的监督下进行基金清算。</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、基金财产清算小组组成：基金财产清算小组成员由基金管理人、基金托管人、</w:t>
      </w:r>
      <w:r>
        <w:rPr>
          <w:rFonts w:ascii="Arial Unicode MS" w:hAnsi="Arial Unicode MS" w:hint="eastAsia"/>
          <w:bCs/>
          <w:szCs w:val="21"/>
        </w:rPr>
        <w:t>具有证券、</w:t>
      </w:r>
      <w:r>
        <w:rPr>
          <w:rFonts w:ascii="Arial Unicode MS" w:hAnsi="Arial Unicode MS"/>
          <w:bCs/>
          <w:szCs w:val="21"/>
        </w:rPr>
        <w:t>期货</w:t>
      </w:r>
      <w:r>
        <w:rPr>
          <w:rFonts w:ascii="Arial Unicode MS" w:hAnsi="Arial Unicode MS" w:hint="eastAsia"/>
          <w:bCs/>
          <w:szCs w:val="21"/>
        </w:rPr>
        <w:t>相关业务资格的</w:t>
      </w:r>
      <w:r>
        <w:rPr>
          <w:rFonts w:ascii="Arial Unicode MS" w:hAnsi="Arial Unicode MS" w:cs="Arial" w:hint="eastAsia"/>
          <w:kern w:val="0"/>
          <w:szCs w:val="21"/>
        </w:rPr>
        <w:t>注册会计师、律师以及中国证监会指定的人员组成。基金财产清算小组可以聘用必要的工作人员。</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3</w:t>
      </w:r>
      <w:r>
        <w:rPr>
          <w:rFonts w:ascii="Arial Unicode MS" w:hAnsi="Arial Unicode MS" w:cs="Arial" w:hint="eastAsia"/>
          <w:kern w:val="0"/>
          <w:szCs w:val="21"/>
        </w:rPr>
        <w:t>、基金财产清算小组职责：基金财产清算小组负责基金财产的保管、清理、估价、变现和分配。基金财产清算小组可以依法进行必要的民事活动。</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4</w:t>
      </w:r>
      <w:r>
        <w:rPr>
          <w:rFonts w:ascii="Arial Unicode MS" w:hAnsi="Arial Unicode MS" w:cs="Arial" w:hint="eastAsia"/>
          <w:kern w:val="0"/>
          <w:szCs w:val="21"/>
        </w:rPr>
        <w:t>、基金财产清算程序：</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hint="eastAsia"/>
          <w:kern w:val="0"/>
          <w:szCs w:val="21"/>
        </w:rPr>
        <w:t>）《基金合同》终止情形出现时，由基金财产清算小组统一接管基金；</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）对基金财产和债权债务进行清理和确认；</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3</w:t>
      </w:r>
      <w:r>
        <w:rPr>
          <w:rFonts w:ascii="Arial Unicode MS" w:hAnsi="Arial Unicode MS" w:cs="Arial" w:hint="eastAsia"/>
          <w:kern w:val="0"/>
          <w:szCs w:val="21"/>
        </w:rPr>
        <w:t>）对基金财产进行估值和变现；</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4</w:t>
      </w:r>
      <w:r>
        <w:rPr>
          <w:rFonts w:ascii="Arial Unicode MS" w:hAnsi="Arial Unicode MS" w:cs="Arial" w:hint="eastAsia"/>
          <w:kern w:val="0"/>
          <w:szCs w:val="21"/>
        </w:rPr>
        <w:t>）制作清算报告；</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5</w:t>
      </w:r>
      <w:r>
        <w:rPr>
          <w:rFonts w:ascii="Arial Unicode MS" w:hAnsi="Arial Unicode MS" w:cs="Arial" w:hint="eastAsia"/>
          <w:kern w:val="0"/>
          <w:szCs w:val="21"/>
        </w:rPr>
        <w:t>）聘请</w:t>
      </w:r>
      <w:r>
        <w:rPr>
          <w:rFonts w:ascii="Arial Unicode MS" w:hAnsi="Arial Unicode MS" w:hint="eastAsia"/>
          <w:bCs/>
          <w:szCs w:val="21"/>
        </w:rPr>
        <w:t>具有证券、</w:t>
      </w:r>
      <w:r>
        <w:rPr>
          <w:rFonts w:ascii="Arial Unicode MS" w:hAnsi="Arial Unicode MS"/>
          <w:bCs/>
          <w:szCs w:val="21"/>
        </w:rPr>
        <w:t>期货</w:t>
      </w:r>
      <w:r>
        <w:rPr>
          <w:rFonts w:ascii="Arial Unicode MS" w:hAnsi="Arial Unicode MS" w:hint="eastAsia"/>
          <w:bCs/>
          <w:szCs w:val="21"/>
        </w:rPr>
        <w:t>相关业务资格的</w:t>
      </w:r>
      <w:r>
        <w:rPr>
          <w:rFonts w:ascii="Arial Unicode MS" w:hAnsi="Arial Unicode MS" w:cs="Arial" w:hint="eastAsia"/>
          <w:kern w:val="0"/>
          <w:szCs w:val="21"/>
        </w:rPr>
        <w:t>会计师事务所对清算报告进行外部审计，聘请律师事务所对清算报告出具法律意见书；</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6</w:t>
      </w:r>
      <w:r>
        <w:rPr>
          <w:rFonts w:ascii="Arial Unicode MS" w:hAnsi="Arial Unicode MS" w:cs="Arial" w:hint="eastAsia"/>
          <w:kern w:val="0"/>
          <w:szCs w:val="21"/>
        </w:rPr>
        <w:t>）将清算报告报中国证监会备案并公告；</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7</w:t>
      </w:r>
      <w:r>
        <w:rPr>
          <w:rFonts w:ascii="Arial Unicode MS" w:hAnsi="Arial Unicode MS" w:cs="Arial" w:hint="eastAsia"/>
          <w:kern w:val="0"/>
          <w:szCs w:val="21"/>
        </w:rPr>
        <w:t>）对基金剩余财产进行分配。</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5</w:t>
      </w:r>
      <w:r>
        <w:rPr>
          <w:rFonts w:ascii="Arial Unicode MS" w:hAnsi="Arial Unicode MS" w:cs="Arial" w:hint="eastAsia"/>
          <w:kern w:val="0"/>
          <w:szCs w:val="21"/>
        </w:rPr>
        <w:t>、基金财产清算的期限为</w:t>
      </w:r>
      <w:r>
        <w:rPr>
          <w:rFonts w:ascii="Arial Unicode MS" w:hAnsi="Arial Unicode MS" w:cs="Arial" w:hint="eastAsia"/>
          <w:kern w:val="0"/>
          <w:szCs w:val="21"/>
        </w:rPr>
        <w:t>6</w:t>
      </w:r>
      <w:r>
        <w:rPr>
          <w:rFonts w:ascii="Arial Unicode MS" w:hAnsi="Arial Unicode MS" w:cs="Arial" w:hint="eastAsia"/>
          <w:kern w:val="0"/>
          <w:szCs w:val="21"/>
        </w:rPr>
        <w:t>个月，但因本基金所持证券的流动性受到限制而不能及时变现的，清算期限相应顺延。</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kern w:val="0"/>
          <w:szCs w:val="21"/>
        </w:rPr>
        <w:t>四</w:t>
      </w:r>
      <w:r>
        <w:rPr>
          <w:rFonts w:ascii="Arial Unicode MS" w:hAnsi="Arial Unicode MS" w:cs="Arial" w:hint="eastAsia"/>
          <w:kern w:val="0"/>
          <w:szCs w:val="21"/>
        </w:rPr>
        <w:t>）</w:t>
      </w:r>
      <w:r>
        <w:rPr>
          <w:rFonts w:ascii="Arial Unicode MS" w:hAnsi="Arial Unicode MS" w:cs="Arial"/>
          <w:kern w:val="0"/>
          <w:szCs w:val="21"/>
        </w:rPr>
        <w:t>清算费用</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清算费用是指基金财产清算小组在进行基金清算过程中发生的所有合理费用，清算费用由基金财产清算小组优先从基金</w:t>
      </w:r>
      <w:r>
        <w:rPr>
          <w:rFonts w:ascii="Arial Unicode MS" w:hAnsi="Arial Unicode MS" w:cs="Arial" w:hint="eastAsia"/>
          <w:kern w:val="0"/>
          <w:szCs w:val="21"/>
        </w:rPr>
        <w:t>剩余</w:t>
      </w:r>
      <w:r>
        <w:rPr>
          <w:rFonts w:ascii="Arial Unicode MS" w:hAnsi="Arial Unicode MS" w:cs="Arial"/>
          <w:kern w:val="0"/>
          <w:szCs w:val="21"/>
        </w:rPr>
        <w:t>财产中支付。</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kern w:val="0"/>
          <w:szCs w:val="21"/>
        </w:rPr>
        <w:t>五</w:t>
      </w:r>
      <w:r>
        <w:rPr>
          <w:rFonts w:ascii="Arial Unicode MS" w:hAnsi="Arial Unicode MS" w:cs="Arial" w:hint="eastAsia"/>
          <w:kern w:val="0"/>
          <w:szCs w:val="21"/>
        </w:rPr>
        <w:t>）</w:t>
      </w:r>
      <w:r>
        <w:rPr>
          <w:rFonts w:ascii="Arial Unicode MS" w:hAnsi="Arial Unicode MS" w:cs="Arial"/>
          <w:kern w:val="0"/>
          <w:szCs w:val="21"/>
        </w:rPr>
        <w:t>基金财产清算剩余资产的分配</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lastRenderedPageBreak/>
        <w:t>依据基金财产清算的分配方案，将基金财产清算后的全部剩余资产扣除基金财产清算费用、交纳所欠税款并清偿基金债务后，按基金份额持有人持有的基金份额比例进行分配。</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kern w:val="0"/>
          <w:szCs w:val="21"/>
        </w:rPr>
        <w:t>六</w:t>
      </w:r>
      <w:r>
        <w:rPr>
          <w:rFonts w:ascii="Arial Unicode MS" w:hAnsi="Arial Unicode MS" w:cs="Arial" w:hint="eastAsia"/>
          <w:kern w:val="0"/>
          <w:szCs w:val="21"/>
        </w:rPr>
        <w:t>）</w:t>
      </w:r>
      <w:r>
        <w:rPr>
          <w:rFonts w:ascii="Arial Unicode MS" w:hAnsi="Arial Unicode MS" w:cs="Arial"/>
          <w:kern w:val="0"/>
          <w:szCs w:val="21"/>
        </w:rPr>
        <w:t>基金财产清算的公告</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清算过程中的有关重大事项须及时公告；基金财产清算报告经</w:t>
      </w:r>
      <w:r>
        <w:rPr>
          <w:rFonts w:ascii="Arial Unicode MS" w:hAnsi="Arial Unicode MS" w:hint="eastAsia"/>
          <w:bCs/>
          <w:szCs w:val="21"/>
        </w:rPr>
        <w:t>具有证券、</w:t>
      </w:r>
      <w:r>
        <w:rPr>
          <w:rFonts w:ascii="Arial Unicode MS" w:hAnsi="Arial Unicode MS"/>
          <w:bCs/>
          <w:szCs w:val="21"/>
        </w:rPr>
        <w:t>期货</w:t>
      </w:r>
      <w:r>
        <w:rPr>
          <w:rFonts w:ascii="Arial Unicode MS" w:hAnsi="Arial Unicode MS" w:hint="eastAsia"/>
          <w:bCs/>
          <w:szCs w:val="21"/>
        </w:rPr>
        <w:t>相关业务资格的</w:t>
      </w:r>
      <w:r>
        <w:rPr>
          <w:rFonts w:ascii="Arial Unicode MS" w:hAnsi="Arial Unicode MS" w:cs="Arial"/>
          <w:kern w:val="0"/>
          <w:szCs w:val="21"/>
        </w:rPr>
        <w:t>会计师事务所审计并由律师事务所出具法律意见书后报中国证监会备案并公告。基金财产清算公告于基金财产清算报告报中国证监会备案后</w:t>
      </w:r>
      <w:r>
        <w:rPr>
          <w:rFonts w:ascii="Arial Unicode MS" w:hAnsi="Arial Unicode MS" w:cs="Arial" w:hint="eastAsia"/>
          <w:kern w:val="0"/>
          <w:szCs w:val="21"/>
        </w:rPr>
        <w:t>5</w:t>
      </w:r>
      <w:r>
        <w:rPr>
          <w:rFonts w:ascii="Arial Unicode MS" w:hAnsi="Arial Unicode MS" w:cs="Arial"/>
          <w:kern w:val="0"/>
          <w:szCs w:val="21"/>
        </w:rPr>
        <w:t>个工作日内由基金财产清算小组进行公告。</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kern w:val="0"/>
          <w:szCs w:val="21"/>
        </w:rPr>
        <w:t>七</w:t>
      </w:r>
      <w:r>
        <w:rPr>
          <w:rFonts w:ascii="Arial Unicode MS" w:hAnsi="Arial Unicode MS" w:cs="Arial" w:hint="eastAsia"/>
          <w:kern w:val="0"/>
          <w:szCs w:val="21"/>
        </w:rPr>
        <w:t>）</w:t>
      </w:r>
      <w:r>
        <w:rPr>
          <w:rFonts w:ascii="Arial Unicode MS" w:hAnsi="Arial Unicode MS" w:cs="Arial"/>
          <w:kern w:val="0"/>
          <w:szCs w:val="21"/>
        </w:rPr>
        <w:t>基金财产清算账册及文件的保存</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基金财产清算账册及有关文件由基金托管人保存</w:t>
      </w:r>
      <w:r>
        <w:rPr>
          <w:rFonts w:ascii="Arial Unicode MS" w:hAnsi="Arial Unicode MS" w:cs="Arial" w:hint="eastAsia"/>
          <w:kern w:val="0"/>
          <w:szCs w:val="21"/>
        </w:rPr>
        <w:t>15</w:t>
      </w:r>
      <w:r>
        <w:rPr>
          <w:rFonts w:ascii="Arial Unicode MS" w:hAnsi="Arial Unicode MS" w:cs="Arial"/>
          <w:kern w:val="0"/>
          <w:szCs w:val="21"/>
        </w:rPr>
        <w:t>年以上。</w:t>
      </w:r>
    </w:p>
    <w:p w:rsidR="004C06C5" w:rsidRDefault="00ED474B">
      <w:pPr>
        <w:autoSpaceDE w:val="0"/>
        <w:autoSpaceDN w:val="0"/>
        <w:adjustRightInd w:val="0"/>
        <w:spacing w:line="360" w:lineRule="auto"/>
        <w:ind w:firstLineChars="200" w:firstLine="422"/>
        <w:jc w:val="left"/>
        <w:rPr>
          <w:rFonts w:ascii="Arial Unicode MS" w:hAnsi="Arial Unicode MS"/>
          <w:b/>
          <w:bCs/>
          <w:szCs w:val="21"/>
        </w:rPr>
      </w:pPr>
      <w:r>
        <w:rPr>
          <w:rFonts w:ascii="Arial Unicode MS" w:hAnsi="Arial Unicode MS" w:hint="eastAsia"/>
          <w:b/>
          <w:bCs/>
          <w:szCs w:val="21"/>
        </w:rPr>
        <w:t>四、争议解决方式</w:t>
      </w:r>
    </w:p>
    <w:p w:rsidR="004C06C5" w:rsidRDefault="00ED474B">
      <w:pPr>
        <w:autoSpaceDE w:val="0"/>
        <w:autoSpaceDN w:val="0"/>
        <w:adjustRightInd w:val="0"/>
        <w:spacing w:line="360" w:lineRule="auto"/>
        <w:ind w:firstLineChars="200" w:firstLine="420"/>
        <w:jc w:val="left"/>
        <w:rPr>
          <w:rFonts w:ascii="Arial Unicode MS" w:hAnsi="Arial Unicode MS" w:cs="Arial"/>
          <w:kern w:val="0"/>
          <w:szCs w:val="21"/>
        </w:rPr>
      </w:pPr>
      <w:r>
        <w:rPr>
          <w:rFonts w:ascii="Arial Unicode MS" w:hAnsi="Arial Unicode MS" w:cs="Arial" w:hint="eastAsia"/>
          <w:kern w:val="0"/>
          <w:szCs w:val="21"/>
        </w:rPr>
        <w:t>各方当事人同意，因《基金合同》而产生的或与《基金合同》有关的一切争议，如经友好协商未能解决的，应提交华南国际经济贸易仲裁委员会根据该会当时有效的仲裁规则进行仲裁，仲裁地点为深圳市，仲裁裁决是终局性的并对各方当事人具有约束力，仲裁费由败诉方承担。</w:t>
      </w:r>
    </w:p>
    <w:p w:rsidR="004C06C5" w:rsidRDefault="00ED474B">
      <w:pPr>
        <w:autoSpaceDE w:val="0"/>
        <w:autoSpaceDN w:val="0"/>
        <w:adjustRightInd w:val="0"/>
        <w:spacing w:line="360" w:lineRule="auto"/>
        <w:ind w:firstLineChars="200" w:firstLine="420"/>
        <w:jc w:val="left"/>
        <w:rPr>
          <w:rFonts w:ascii="Arial Unicode MS" w:hAnsi="Arial Unicode MS" w:cs="Arial"/>
          <w:kern w:val="0"/>
          <w:szCs w:val="21"/>
        </w:rPr>
      </w:pPr>
      <w:r>
        <w:rPr>
          <w:rFonts w:ascii="Arial Unicode MS" w:hAnsi="Arial Unicode MS" w:cs="Arial" w:hint="eastAsia"/>
          <w:kern w:val="0"/>
          <w:szCs w:val="21"/>
        </w:rPr>
        <w:t>争议处理期间，基金合同当事人应恪守各自的职责，继续忠实、勤勉、尽责地履行基金合同和托管协议规定的义务，维护基金份额持有人的合法权益。</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《基金合同》（为本合同之目的，在此不包括香港、澳门特别行政区和台湾地区法律）受中国法律管辖。</w:t>
      </w:r>
    </w:p>
    <w:p w:rsidR="004C06C5" w:rsidRDefault="00ED474B">
      <w:pPr>
        <w:autoSpaceDE w:val="0"/>
        <w:autoSpaceDN w:val="0"/>
        <w:adjustRightInd w:val="0"/>
        <w:spacing w:line="360" w:lineRule="auto"/>
        <w:ind w:firstLineChars="200" w:firstLine="422"/>
        <w:jc w:val="left"/>
        <w:rPr>
          <w:rFonts w:ascii="Arial Unicode MS" w:hAnsi="Arial Unicode MS"/>
          <w:b/>
          <w:bCs/>
          <w:szCs w:val="21"/>
        </w:rPr>
      </w:pPr>
      <w:r>
        <w:rPr>
          <w:rFonts w:ascii="Arial Unicode MS" w:hAnsi="Arial Unicode MS" w:hint="eastAsia"/>
          <w:b/>
          <w:bCs/>
          <w:szCs w:val="21"/>
        </w:rPr>
        <w:t>五、基金合同存放地和投资人取得基金合同的方式</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《基金合同》可印制成册，供投资者在基金管理人、基金托管人、销售机构的办公场所和营业场所查阅。</w:t>
      </w:r>
    </w:p>
    <w:p w:rsidR="004C06C5" w:rsidRDefault="004C06C5">
      <w:pPr>
        <w:adjustRightInd w:val="0"/>
        <w:snapToGrid w:val="0"/>
        <w:spacing w:line="360" w:lineRule="auto"/>
        <w:ind w:firstLineChars="200" w:firstLine="420"/>
        <w:rPr>
          <w:rFonts w:ascii="Arial Unicode MS" w:hAnsi="Arial Unicode MS" w:cs="Arial"/>
          <w:kern w:val="0"/>
          <w:szCs w:val="21"/>
        </w:rPr>
      </w:pPr>
    </w:p>
    <w:p w:rsidR="004C06C5" w:rsidRDefault="004C06C5">
      <w:pPr>
        <w:adjustRightInd w:val="0"/>
        <w:snapToGrid w:val="0"/>
        <w:spacing w:line="360" w:lineRule="auto"/>
        <w:ind w:firstLineChars="200" w:firstLine="420"/>
        <w:rPr>
          <w:rFonts w:ascii="Arial Unicode MS" w:hAnsi="Arial Unicode MS" w:cs="Arial"/>
          <w:kern w:val="0"/>
          <w:szCs w:val="21"/>
        </w:rPr>
      </w:pPr>
    </w:p>
    <w:p w:rsidR="004C06C5" w:rsidRDefault="004C06C5">
      <w:pPr>
        <w:adjustRightInd w:val="0"/>
        <w:snapToGrid w:val="0"/>
        <w:spacing w:line="360" w:lineRule="auto"/>
        <w:ind w:firstLineChars="200" w:firstLine="420"/>
        <w:rPr>
          <w:rFonts w:ascii="Arial Unicode MS" w:hAnsi="Arial Unicode MS" w:cs="Arial"/>
          <w:kern w:val="0"/>
          <w:szCs w:val="21"/>
        </w:rPr>
      </w:pPr>
    </w:p>
    <w:p w:rsidR="004C06C5" w:rsidRDefault="004C06C5">
      <w:pPr>
        <w:adjustRightInd w:val="0"/>
        <w:snapToGrid w:val="0"/>
        <w:spacing w:line="360" w:lineRule="auto"/>
        <w:ind w:firstLineChars="200" w:firstLine="420"/>
        <w:rPr>
          <w:rFonts w:ascii="Arial Unicode MS" w:hAnsi="Arial Unicode MS" w:cs="Arial"/>
          <w:kern w:val="0"/>
          <w:szCs w:val="21"/>
        </w:rPr>
      </w:pPr>
    </w:p>
    <w:p w:rsidR="004C06C5" w:rsidRDefault="004C06C5">
      <w:pPr>
        <w:adjustRightInd w:val="0"/>
        <w:snapToGrid w:val="0"/>
        <w:spacing w:line="360" w:lineRule="auto"/>
        <w:ind w:firstLineChars="200" w:firstLine="420"/>
        <w:rPr>
          <w:rFonts w:ascii="Arial Unicode MS" w:hAnsi="Arial Unicode MS" w:cs="Arial"/>
          <w:kern w:val="0"/>
          <w:szCs w:val="21"/>
        </w:rPr>
      </w:pPr>
    </w:p>
    <w:p w:rsidR="004C06C5" w:rsidRDefault="004C06C5">
      <w:pPr>
        <w:adjustRightInd w:val="0"/>
        <w:snapToGrid w:val="0"/>
        <w:spacing w:line="360" w:lineRule="auto"/>
        <w:ind w:firstLineChars="200" w:firstLine="420"/>
        <w:rPr>
          <w:rFonts w:ascii="Arial Unicode MS" w:hAnsi="Arial Unicode MS" w:cs="Arial"/>
          <w:kern w:val="0"/>
          <w:szCs w:val="21"/>
        </w:rPr>
      </w:pPr>
    </w:p>
    <w:p w:rsidR="004C06C5" w:rsidRDefault="004C06C5">
      <w:pPr>
        <w:adjustRightInd w:val="0"/>
        <w:snapToGrid w:val="0"/>
        <w:spacing w:line="360" w:lineRule="auto"/>
        <w:ind w:firstLineChars="200" w:firstLine="420"/>
        <w:rPr>
          <w:rFonts w:ascii="Arial Unicode MS" w:hAnsi="Arial Unicode MS" w:cs="Arial"/>
          <w:kern w:val="0"/>
          <w:szCs w:val="21"/>
        </w:rPr>
      </w:pPr>
    </w:p>
    <w:p w:rsidR="004C06C5" w:rsidRDefault="004C06C5">
      <w:pPr>
        <w:adjustRightInd w:val="0"/>
        <w:snapToGrid w:val="0"/>
        <w:spacing w:line="360" w:lineRule="auto"/>
        <w:ind w:firstLineChars="200" w:firstLine="420"/>
        <w:rPr>
          <w:rFonts w:ascii="Arial Unicode MS" w:hAnsi="Arial Unicode MS" w:cs="Arial"/>
          <w:kern w:val="0"/>
          <w:szCs w:val="21"/>
        </w:rPr>
      </w:pPr>
    </w:p>
    <w:p w:rsidR="004C06C5" w:rsidRDefault="004C06C5">
      <w:pPr>
        <w:adjustRightInd w:val="0"/>
        <w:snapToGrid w:val="0"/>
        <w:spacing w:line="360" w:lineRule="auto"/>
        <w:rPr>
          <w:rFonts w:ascii="Arial Unicode MS" w:hAnsi="Arial Unicode MS"/>
          <w:bCs/>
          <w:sz w:val="24"/>
        </w:rPr>
      </w:pPr>
    </w:p>
    <w:p w:rsidR="004C06C5" w:rsidRDefault="00ED474B">
      <w:pPr>
        <w:pStyle w:val="11"/>
        <w:snapToGrid w:val="0"/>
        <w:spacing w:before="0" w:after="0" w:line="360" w:lineRule="auto"/>
        <w:ind w:firstLine="492"/>
        <w:rPr>
          <w:rFonts w:ascii="Arial Unicode MS" w:eastAsia="宋体" w:hAnsi="Arial Unicode MS" w:cs="Arial"/>
          <w:b/>
          <w:bCs/>
          <w:sz w:val="28"/>
          <w:szCs w:val="28"/>
        </w:rPr>
      </w:pPr>
      <w:bookmarkStart w:id="139" w:name="_Toc214873614"/>
      <w:bookmarkStart w:id="140" w:name="_Toc317088156"/>
      <w:bookmarkStart w:id="141" w:name="_Toc317088553"/>
      <w:bookmarkStart w:id="142" w:name="_Toc320887658"/>
      <w:bookmarkStart w:id="143" w:name="_Toc335232707"/>
      <w:bookmarkStart w:id="144" w:name="_Toc1464074"/>
      <w:r>
        <w:rPr>
          <w:rFonts w:ascii="Arial Unicode MS" w:eastAsia="宋体" w:hAnsi="Arial Unicode MS" w:cs="Arial"/>
          <w:b/>
          <w:bCs/>
          <w:sz w:val="28"/>
          <w:szCs w:val="28"/>
        </w:rPr>
        <w:lastRenderedPageBreak/>
        <w:t>第</w:t>
      </w:r>
      <w:r>
        <w:rPr>
          <w:rFonts w:ascii="Arial Unicode MS" w:eastAsia="宋体" w:hAnsi="Arial Unicode MS" w:cs="Arial" w:hint="eastAsia"/>
          <w:b/>
          <w:bCs/>
          <w:sz w:val="28"/>
          <w:szCs w:val="28"/>
        </w:rPr>
        <w:t>十九</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基金托管协议的内容摘要</w:t>
      </w:r>
      <w:bookmarkEnd w:id="139"/>
      <w:bookmarkEnd w:id="140"/>
      <w:bookmarkEnd w:id="141"/>
      <w:bookmarkEnd w:id="142"/>
      <w:bookmarkEnd w:id="143"/>
      <w:bookmarkEnd w:id="144"/>
    </w:p>
    <w:p w:rsidR="004C06C5" w:rsidRDefault="004C06C5">
      <w:pPr>
        <w:adjustRightInd w:val="0"/>
        <w:snapToGrid w:val="0"/>
        <w:spacing w:line="360" w:lineRule="auto"/>
        <w:ind w:firstLineChars="200" w:firstLine="422"/>
        <w:rPr>
          <w:rFonts w:ascii="Arial Unicode MS" w:hAnsi="Arial Unicode MS" w:cs="Arial"/>
          <w:b/>
          <w:szCs w:val="21"/>
        </w:rPr>
      </w:pPr>
    </w:p>
    <w:p w:rsidR="004C06C5" w:rsidRDefault="00ED474B">
      <w:pPr>
        <w:adjustRightInd w:val="0"/>
        <w:snapToGrid w:val="0"/>
        <w:spacing w:line="360" w:lineRule="auto"/>
        <w:ind w:firstLineChars="200" w:firstLine="422"/>
        <w:rPr>
          <w:rFonts w:ascii="Arial Unicode MS" w:hAnsi="Arial Unicode MS" w:cs="Arial"/>
          <w:b/>
          <w:szCs w:val="21"/>
        </w:rPr>
      </w:pPr>
      <w:r>
        <w:rPr>
          <w:rFonts w:ascii="Arial Unicode MS" w:hAnsi="Arial Unicode MS" w:cs="Arial"/>
          <w:b/>
          <w:szCs w:val="21"/>
        </w:rPr>
        <w:t>一、托管协议当事人</w:t>
      </w:r>
    </w:p>
    <w:p w:rsidR="004C06C5" w:rsidRDefault="00ED474B">
      <w:pPr>
        <w:adjustRightInd w:val="0"/>
        <w:snapToGrid w:val="0"/>
        <w:spacing w:line="360" w:lineRule="auto"/>
        <w:ind w:firstLineChars="200" w:firstLine="420"/>
        <w:rPr>
          <w:rFonts w:ascii="Arial Unicode MS" w:hAnsi="Arial Unicode MS" w:cs="Arial"/>
          <w:kern w:val="0"/>
          <w:szCs w:val="21"/>
        </w:rPr>
      </w:pPr>
      <w:bookmarkStart w:id="145" w:name="_Toc22454433"/>
      <w:bookmarkStart w:id="146" w:name="_Toc77662992"/>
      <w:r>
        <w:rPr>
          <w:rFonts w:ascii="Arial Unicode MS" w:hAnsi="Arial Unicode MS" w:cs="Arial" w:hint="eastAsia"/>
          <w:kern w:val="0"/>
          <w:szCs w:val="21"/>
        </w:rPr>
        <w:t>（一）基金管理人</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名称：富</w:t>
      </w:r>
      <w:proofErr w:type="gramStart"/>
      <w:r>
        <w:rPr>
          <w:rFonts w:ascii="Arial Unicode MS" w:hAnsi="Arial Unicode MS" w:cs="Arial" w:hint="eastAsia"/>
          <w:kern w:val="0"/>
          <w:szCs w:val="21"/>
        </w:rPr>
        <w:t>荣基金</w:t>
      </w:r>
      <w:proofErr w:type="gramEnd"/>
      <w:r>
        <w:rPr>
          <w:rFonts w:ascii="Arial Unicode MS" w:hAnsi="Arial Unicode MS" w:cs="Arial" w:hint="eastAsia"/>
          <w:kern w:val="0"/>
          <w:szCs w:val="21"/>
        </w:rPr>
        <w:t>管理有限公司</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住所：广州市南沙区海滨路</w:t>
      </w:r>
      <w:r>
        <w:rPr>
          <w:rFonts w:ascii="Arial Unicode MS" w:hAnsi="Arial Unicode MS" w:cs="Arial" w:hint="eastAsia"/>
          <w:kern w:val="0"/>
          <w:szCs w:val="21"/>
        </w:rPr>
        <w:t>171</w:t>
      </w:r>
      <w:r>
        <w:rPr>
          <w:rFonts w:ascii="Arial Unicode MS" w:hAnsi="Arial Unicode MS" w:cs="Arial" w:hint="eastAsia"/>
          <w:kern w:val="0"/>
          <w:szCs w:val="21"/>
        </w:rPr>
        <w:t>号南沙金融大厦</w:t>
      </w:r>
      <w:r>
        <w:rPr>
          <w:rFonts w:ascii="Arial Unicode MS" w:hAnsi="Arial Unicode MS" w:cs="Arial" w:hint="eastAsia"/>
          <w:kern w:val="0"/>
          <w:szCs w:val="21"/>
        </w:rPr>
        <w:t>11</w:t>
      </w:r>
      <w:r>
        <w:rPr>
          <w:rFonts w:ascii="Arial Unicode MS" w:hAnsi="Arial Unicode MS" w:cs="Arial" w:hint="eastAsia"/>
          <w:kern w:val="0"/>
          <w:szCs w:val="21"/>
        </w:rPr>
        <w:t>楼</w:t>
      </w:r>
      <w:r>
        <w:rPr>
          <w:rFonts w:ascii="Arial Unicode MS" w:hAnsi="Arial Unicode MS" w:cs="Arial" w:hint="eastAsia"/>
          <w:kern w:val="0"/>
          <w:szCs w:val="21"/>
        </w:rPr>
        <w:t>1101</w:t>
      </w:r>
      <w:r>
        <w:rPr>
          <w:rFonts w:ascii="Arial Unicode MS" w:hAnsi="Arial Unicode MS" w:cs="Arial" w:hint="eastAsia"/>
          <w:kern w:val="0"/>
          <w:szCs w:val="21"/>
        </w:rPr>
        <w:t>之一</w:t>
      </w:r>
      <w:r>
        <w:rPr>
          <w:rFonts w:ascii="Arial Unicode MS" w:hAnsi="Arial Unicode MS" w:cs="Arial" w:hint="eastAsia"/>
          <w:kern w:val="0"/>
          <w:szCs w:val="21"/>
        </w:rPr>
        <w:t>J20</w:t>
      </w:r>
      <w:r>
        <w:rPr>
          <w:rFonts w:ascii="Arial Unicode MS" w:hAnsi="Arial Unicode MS" w:cs="Arial" w:hint="eastAsia"/>
          <w:kern w:val="0"/>
          <w:szCs w:val="21"/>
        </w:rPr>
        <w:t>室</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办公地址：深圳市福田区八卦四路</w:t>
      </w:r>
      <w:r>
        <w:rPr>
          <w:rFonts w:ascii="Arial Unicode MS" w:hAnsi="Arial Unicode MS" w:cs="Arial" w:hint="eastAsia"/>
          <w:kern w:val="0"/>
          <w:szCs w:val="21"/>
        </w:rPr>
        <w:t>52</w:t>
      </w:r>
      <w:r>
        <w:rPr>
          <w:rFonts w:ascii="Arial Unicode MS" w:hAnsi="Arial Unicode MS" w:cs="Arial" w:hint="eastAsia"/>
          <w:kern w:val="0"/>
          <w:szCs w:val="21"/>
        </w:rPr>
        <w:t>号安吉</w:t>
      </w:r>
      <w:proofErr w:type="gramStart"/>
      <w:r>
        <w:rPr>
          <w:rFonts w:ascii="Arial Unicode MS" w:hAnsi="Arial Unicode MS" w:cs="Arial" w:hint="eastAsia"/>
          <w:kern w:val="0"/>
          <w:szCs w:val="21"/>
        </w:rPr>
        <w:t>尔大厦</w:t>
      </w:r>
      <w:proofErr w:type="gramEnd"/>
      <w:r>
        <w:rPr>
          <w:rFonts w:ascii="Arial Unicode MS" w:hAnsi="Arial Unicode MS" w:cs="Arial" w:hint="eastAsia"/>
          <w:kern w:val="0"/>
          <w:szCs w:val="21"/>
        </w:rPr>
        <w:t>24</w:t>
      </w:r>
      <w:r>
        <w:rPr>
          <w:rFonts w:ascii="Arial Unicode MS" w:hAnsi="Arial Unicode MS" w:cs="Arial" w:hint="eastAsia"/>
          <w:kern w:val="0"/>
          <w:szCs w:val="21"/>
        </w:rPr>
        <w:t>层</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法定代表人：杨小舟</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成立时间：</w:t>
      </w:r>
      <w:r>
        <w:rPr>
          <w:rFonts w:ascii="Arial Unicode MS" w:hAnsi="Arial Unicode MS" w:cs="Arial" w:hint="eastAsia"/>
          <w:kern w:val="0"/>
          <w:szCs w:val="21"/>
        </w:rPr>
        <w:t>2016</w:t>
      </w:r>
      <w:r>
        <w:rPr>
          <w:rFonts w:ascii="Arial Unicode MS" w:hAnsi="Arial Unicode MS" w:cs="Arial" w:hint="eastAsia"/>
          <w:kern w:val="0"/>
          <w:szCs w:val="21"/>
        </w:rPr>
        <w:t>年</w:t>
      </w:r>
      <w:r>
        <w:rPr>
          <w:rFonts w:ascii="Arial Unicode MS" w:hAnsi="Arial Unicode MS" w:cs="Arial" w:hint="eastAsia"/>
          <w:kern w:val="0"/>
          <w:szCs w:val="21"/>
        </w:rPr>
        <w:t>1</w:t>
      </w:r>
      <w:r>
        <w:rPr>
          <w:rFonts w:ascii="Arial Unicode MS" w:hAnsi="Arial Unicode MS" w:cs="Arial" w:hint="eastAsia"/>
          <w:kern w:val="0"/>
          <w:szCs w:val="21"/>
        </w:rPr>
        <w:t>月</w:t>
      </w:r>
      <w:r>
        <w:rPr>
          <w:rFonts w:ascii="Arial Unicode MS" w:hAnsi="Arial Unicode MS" w:cs="Arial" w:hint="eastAsia"/>
          <w:kern w:val="0"/>
          <w:szCs w:val="21"/>
        </w:rPr>
        <w:t>25</w:t>
      </w:r>
      <w:r>
        <w:rPr>
          <w:rFonts w:ascii="Arial Unicode MS" w:hAnsi="Arial Unicode MS" w:cs="Arial" w:hint="eastAsia"/>
          <w:kern w:val="0"/>
          <w:szCs w:val="21"/>
        </w:rPr>
        <w:t>日</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批准设立机关及批准设立文号：中国证监会证监许可【</w:t>
      </w:r>
      <w:r>
        <w:rPr>
          <w:rFonts w:ascii="Arial Unicode MS" w:hAnsi="Arial Unicode MS" w:cs="Arial" w:hint="eastAsia"/>
          <w:kern w:val="0"/>
          <w:szCs w:val="21"/>
        </w:rPr>
        <w:t>2015</w:t>
      </w:r>
      <w:r>
        <w:rPr>
          <w:rFonts w:ascii="Arial Unicode MS" w:hAnsi="Arial Unicode MS" w:cs="Arial" w:hint="eastAsia"/>
          <w:kern w:val="0"/>
          <w:szCs w:val="21"/>
        </w:rPr>
        <w:t>】</w:t>
      </w:r>
      <w:r>
        <w:rPr>
          <w:rFonts w:ascii="Arial Unicode MS" w:hAnsi="Arial Unicode MS" w:cs="Arial" w:hint="eastAsia"/>
          <w:kern w:val="0"/>
          <w:szCs w:val="21"/>
        </w:rPr>
        <w:t>3118</w:t>
      </w:r>
      <w:r>
        <w:rPr>
          <w:rFonts w:ascii="Arial Unicode MS" w:hAnsi="Arial Unicode MS" w:cs="Arial" w:hint="eastAsia"/>
          <w:kern w:val="0"/>
          <w:szCs w:val="21"/>
        </w:rPr>
        <w:t>号</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注册资本：</w:t>
      </w:r>
      <w:r>
        <w:rPr>
          <w:rFonts w:ascii="Arial Unicode MS" w:hAnsi="Arial Unicode MS" w:cs="Arial" w:hint="eastAsia"/>
          <w:kern w:val="0"/>
          <w:szCs w:val="21"/>
        </w:rPr>
        <w:t>2</w:t>
      </w:r>
      <w:r>
        <w:rPr>
          <w:rFonts w:ascii="Arial Unicode MS" w:hAnsi="Arial Unicode MS" w:cs="Arial" w:hint="eastAsia"/>
          <w:kern w:val="0"/>
          <w:szCs w:val="21"/>
        </w:rPr>
        <w:t>亿元人民币</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组织形式</w:t>
      </w:r>
      <w:r>
        <w:rPr>
          <w:rFonts w:ascii="Arial Unicode MS" w:hAnsi="Arial Unicode MS" w:cs="Arial" w:hint="eastAsia"/>
          <w:kern w:val="0"/>
          <w:szCs w:val="21"/>
        </w:rPr>
        <w:t xml:space="preserve">: </w:t>
      </w:r>
      <w:r>
        <w:rPr>
          <w:rFonts w:ascii="Arial Unicode MS" w:hAnsi="Arial Unicode MS" w:cs="Arial" w:hint="eastAsia"/>
          <w:kern w:val="0"/>
          <w:szCs w:val="21"/>
        </w:rPr>
        <w:t>有限责任公司</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存续期间：永续经营</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联系电话：</w:t>
      </w:r>
      <w:r>
        <w:rPr>
          <w:rFonts w:ascii="Arial Unicode MS" w:hAnsi="Arial Unicode MS" w:cs="Arial" w:hint="eastAsia"/>
          <w:kern w:val="0"/>
          <w:szCs w:val="21"/>
        </w:rPr>
        <w:t>0755-84356633</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（二）基金托管人</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名称：上海浦东发展银行股份有限公司</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办公地址：上海市中山东一路</w:t>
      </w:r>
      <w:r>
        <w:rPr>
          <w:rFonts w:ascii="Arial Unicode MS" w:hAnsi="Arial Unicode MS" w:cs="Arial" w:hint="eastAsia"/>
          <w:kern w:val="0"/>
          <w:szCs w:val="21"/>
        </w:rPr>
        <w:t>12</w:t>
      </w:r>
      <w:r>
        <w:rPr>
          <w:rFonts w:ascii="Arial Unicode MS" w:hAnsi="Arial Unicode MS" w:cs="Arial" w:hint="eastAsia"/>
          <w:kern w:val="0"/>
          <w:szCs w:val="21"/>
        </w:rPr>
        <w:t>号</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法定代表人：吉晓辉</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成立日期：</w:t>
      </w:r>
      <w:r>
        <w:rPr>
          <w:rFonts w:ascii="Arial Unicode MS" w:hAnsi="Arial Unicode MS" w:cs="Arial" w:hint="eastAsia"/>
          <w:kern w:val="0"/>
          <w:szCs w:val="21"/>
        </w:rPr>
        <w:t>1992</w:t>
      </w:r>
      <w:r>
        <w:rPr>
          <w:rFonts w:ascii="Arial Unicode MS" w:hAnsi="Arial Unicode MS" w:cs="Arial" w:hint="eastAsia"/>
          <w:kern w:val="0"/>
          <w:szCs w:val="21"/>
        </w:rPr>
        <w:t>年</w:t>
      </w:r>
      <w:r>
        <w:rPr>
          <w:rFonts w:ascii="Arial Unicode MS" w:hAnsi="Arial Unicode MS" w:cs="Arial" w:hint="eastAsia"/>
          <w:kern w:val="0"/>
          <w:szCs w:val="21"/>
        </w:rPr>
        <w:t>10</w:t>
      </w:r>
      <w:r>
        <w:rPr>
          <w:rFonts w:ascii="Arial Unicode MS" w:hAnsi="Arial Unicode MS" w:cs="Arial" w:hint="eastAsia"/>
          <w:kern w:val="0"/>
          <w:szCs w:val="21"/>
        </w:rPr>
        <w:t>月</w:t>
      </w:r>
      <w:r>
        <w:rPr>
          <w:rFonts w:ascii="Arial Unicode MS" w:hAnsi="Arial Unicode MS" w:cs="Arial" w:hint="eastAsia"/>
          <w:kern w:val="0"/>
          <w:szCs w:val="21"/>
        </w:rPr>
        <w:t>19</w:t>
      </w:r>
      <w:r>
        <w:rPr>
          <w:rFonts w:ascii="Arial Unicode MS" w:hAnsi="Arial Unicode MS" w:cs="Arial" w:hint="eastAsia"/>
          <w:kern w:val="0"/>
          <w:szCs w:val="21"/>
        </w:rPr>
        <w:t>日</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基金托管业务资格批准机关：中国证监会</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基金托管业务资格文号：证</w:t>
      </w:r>
      <w:proofErr w:type="gramStart"/>
      <w:r>
        <w:rPr>
          <w:rFonts w:ascii="Arial Unicode MS" w:hAnsi="Arial Unicode MS" w:cs="Arial" w:hint="eastAsia"/>
          <w:kern w:val="0"/>
          <w:szCs w:val="21"/>
        </w:rPr>
        <w:t>监基金字</w:t>
      </w:r>
      <w:proofErr w:type="gramEnd"/>
      <w:r>
        <w:rPr>
          <w:rFonts w:ascii="Arial Unicode MS" w:hAnsi="Arial Unicode MS" w:cs="Arial" w:hint="eastAsia"/>
          <w:kern w:val="0"/>
          <w:szCs w:val="21"/>
        </w:rPr>
        <w:t>[2003]105</w:t>
      </w:r>
      <w:r>
        <w:rPr>
          <w:rFonts w:ascii="Arial Unicode MS" w:hAnsi="Arial Unicode MS" w:cs="Arial" w:hint="eastAsia"/>
          <w:kern w:val="0"/>
          <w:szCs w:val="21"/>
        </w:rPr>
        <w:t>号</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组织形式：股份有限公司（上市）</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注册资本：人民币</w:t>
      </w:r>
      <w:r>
        <w:rPr>
          <w:rFonts w:ascii="Arial Unicode MS" w:hAnsi="Arial Unicode MS" w:cs="Arial" w:hint="eastAsia"/>
          <w:kern w:val="0"/>
          <w:szCs w:val="21"/>
        </w:rPr>
        <w:t>196.53</w:t>
      </w:r>
      <w:r>
        <w:rPr>
          <w:rFonts w:ascii="Arial Unicode MS" w:hAnsi="Arial Unicode MS" w:cs="Arial" w:hint="eastAsia"/>
          <w:kern w:val="0"/>
          <w:szCs w:val="21"/>
        </w:rPr>
        <w:t>亿元</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经营期限：永久存续</w:t>
      </w:r>
    </w:p>
    <w:bookmarkEnd w:id="145"/>
    <w:bookmarkEnd w:id="146"/>
    <w:p w:rsidR="004C06C5" w:rsidRDefault="00ED474B">
      <w:pPr>
        <w:adjustRightInd w:val="0"/>
        <w:snapToGrid w:val="0"/>
        <w:spacing w:line="360" w:lineRule="auto"/>
        <w:ind w:firstLineChars="200" w:firstLine="422"/>
        <w:rPr>
          <w:rFonts w:ascii="Arial Unicode MS" w:hAnsi="Arial Unicode MS" w:cs="Arial"/>
          <w:b/>
          <w:kern w:val="0"/>
          <w:szCs w:val="21"/>
        </w:rPr>
      </w:pPr>
      <w:r>
        <w:rPr>
          <w:rFonts w:ascii="Arial Unicode MS" w:hAnsi="Arial Unicode MS" w:cs="Arial"/>
          <w:b/>
          <w:kern w:val="0"/>
          <w:szCs w:val="21"/>
        </w:rPr>
        <w:t>二、</w:t>
      </w:r>
      <w:r>
        <w:rPr>
          <w:rFonts w:ascii="Arial Unicode MS" w:hAnsi="Arial Unicode MS" w:cs="Arial" w:hint="eastAsia"/>
          <w:b/>
          <w:kern w:val="0"/>
          <w:szCs w:val="21"/>
        </w:rPr>
        <w:t>基金托管人与基金管理人之间的业务监督、核查</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（一）基金托管人对基金管理人的投资行为行使监督权</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基金托管人根据有关法律法规的规定和《基金合同》的约定，对下述基金投资范围、投资对象进行监督。</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本基金将投资于以下金融工具：</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lastRenderedPageBreak/>
        <w:t>本基金的投资范围主要为具有良好流动性的金融工具，包括国债、国债期货、地方政府债、金融债、企业债、公司债、央行票据、中期票据、短期融资</w:t>
      </w:r>
      <w:proofErr w:type="gramStart"/>
      <w:r>
        <w:rPr>
          <w:rFonts w:ascii="Arial Unicode MS" w:hAnsi="Arial Unicode MS" w:cs="Arial" w:hint="eastAsia"/>
          <w:kern w:val="0"/>
          <w:szCs w:val="21"/>
        </w:rPr>
        <w:t>券</w:t>
      </w:r>
      <w:proofErr w:type="gramEnd"/>
      <w:r>
        <w:rPr>
          <w:rFonts w:ascii="Arial Unicode MS" w:hAnsi="Arial Unicode MS" w:cs="Arial" w:hint="eastAsia"/>
          <w:kern w:val="0"/>
          <w:szCs w:val="21"/>
        </w:rPr>
        <w:t>、中小企业私募债、资产支持证券、次级债、可分离交易可转债</w:t>
      </w:r>
      <w:proofErr w:type="gramStart"/>
      <w:r>
        <w:rPr>
          <w:rFonts w:ascii="Arial Unicode MS" w:hAnsi="Arial Unicode MS" w:cs="Arial" w:hint="eastAsia"/>
          <w:kern w:val="0"/>
          <w:szCs w:val="21"/>
        </w:rPr>
        <w:t>的纯债部分</w:t>
      </w:r>
      <w:proofErr w:type="gramEnd"/>
      <w:r>
        <w:rPr>
          <w:rFonts w:ascii="Arial Unicode MS" w:hAnsi="Arial Unicode MS" w:cs="Arial" w:hint="eastAsia"/>
          <w:kern w:val="0"/>
          <w:szCs w:val="21"/>
        </w:rPr>
        <w:t>、债券回购、银行存款等法律法规或中国证监会允许基金投资的其他金融工具（但须符合中国证监会的相关规定）。</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本基金可以投资于股票（包括中小板、创业板及其他中国证监会核准上市的股票）、权证，不投资于可转换债券（可分离交易可转债的</w:t>
      </w:r>
      <w:proofErr w:type="gramStart"/>
      <w:r>
        <w:rPr>
          <w:rFonts w:ascii="Arial Unicode MS" w:hAnsi="Arial Unicode MS" w:cs="Arial" w:hint="eastAsia"/>
          <w:kern w:val="0"/>
          <w:szCs w:val="21"/>
        </w:rPr>
        <w:t>纯债部分</w:t>
      </w:r>
      <w:proofErr w:type="gramEnd"/>
      <w:r>
        <w:rPr>
          <w:rFonts w:ascii="Arial Unicode MS" w:hAnsi="Arial Unicode MS" w:cs="Arial" w:hint="eastAsia"/>
          <w:kern w:val="0"/>
          <w:szCs w:val="21"/>
        </w:rPr>
        <w:t>除外）、可交换债券。</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如法律法规或监管机构以后允许基金投资的其他品种，基金管理人在履行适当程序后，可以将其纳入投资范围。</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合同》已明确约定基金投资风格或证券选择标准的，基金管理人应按照基金托管人要求的格式提供投资品种，以便基金托管人运用相关技术系统，对基金实际投资是否符合《基金合同》关于证券选择标准的约定进行监督，对存在疑义的事项进行核查。</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本基金不得投资于相关法律、法规、部门规章及《基金合同》禁止投资的投资工具。</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基金托管人根据有关法律法规的规定及《基金合同》的约定对下述基金投融资比例进行监督：</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hint="eastAsia"/>
          <w:kern w:val="0"/>
          <w:szCs w:val="21"/>
        </w:rPr>
        <w:t>）按法律法规的规定及《基金合同》的约定，本基金的投资资产配置比例为：</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基金的投资组合比例为：本基金对债券的投资比例不低于基金资产的</w:t>
      </w:r>
      <w:r>
        <w:rPr>
          <w:rFonts w:ascii="Arial Unicode MS" w:hAnsi="Arial Unicode MS" w:cs="Arial" w:hint="eastAsia"/>
          <w:kern w:val="0"/>
          <w:szCs w:val="21"/>
        </w:rPr>
        <w:t>80</w:t>
      </w:r>
      <w:r>
        <w:rPr>
          <w:rFonts w:ascii="Arial Unicode MS" w:hAnsi="Arial Unicode MS" w:cs="Arial" w:hint="eastAsia"/>
          <w:kern w:val="0"/>
          <w:szCs w:val="21"/>
        </w:rPr>
        <w:t>％；对权益类资产的投资比例不超过基金资产的</w:t>
      </w:r>
      <w:r>
        <w:rPr>
          <w:rFonts w:ascii="Arial Unicode MS" w:hAnsi="Arial Unicode MS" w:cs="Arial" w:hint="eastAsia"/>
          <w:kern w:val="0"/>
          <w:szCs w:val="21"/>
        </w:rPr>
        <w:t>20%</w:t>
      </w:r>
      <w:r>
        <w:rPr>
          <w:rFonts w:ascii="Arial Unicode MS" w:hAnsi="Arial Unicode MS" w:cs="Arial" w:hint="eastAsia"/>
          <w:kern w:val="0"/>
          <w:szCs w:val="21"/>
        </w:rPr>
        <w:t>；本基金每个交易日日终在扣除国债期货合约需缴纳的交易保证金后，持有现金或者到期日在一年以内的政府债券投资比例不低于基金资产净值的</w:t>
      </w:r>
      <w:r>
        <w:rPr>
          <w:rFonts w:ascii="Arial Unicode MS" w:hAnsi="Arial Unicode MS" w:cs="Arial" w:hint="eastAsia"/>
          <w:kern w:val="0"/>
          <w:szCs w:val="21"/>
        </w:rPr>
        <w:t>5%</w:t>
      </w:r>
      <w:r>
        <w:rPr>
          <w:rFonts w:ascii="Arial Unicode MS" w:hAnsi="Arial Unicode MS" w:cs="Arial" w:hint="eastAsia"/>
          <w:kern w:val="0"/>
          <w:szCs w:val="21"/>
        </w:rPr>
        <w:t>，其中现金不包括结算备付金、存出保证金、应收申购款等。</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因基金规模或市场变化等因素导致投资组合不符合上述规定的，基金管理人应在合理的期限内调整基金的投资组合，以符合上述比例限定。法律法规另有规定时，从其规定。</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如法律法规或监管机构以后允许本基金投资其他品种，基金管理人在履行适当程序后，可以将其纳入投资范围，并可依据届时有效的法律法规适时合理地调整投资范围。</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）根据法律法规的规定及《基金合同》的约定，本基金投资组合遵循以下投资限制：</w:t>
      </w:r>
      <w:r>
        <w:rPr>
          <w:rFonts w:ascii="Arial Unicode MS" w:hAnsi="Arial Unicode MS" w:cs="Arial" w:hint="eastAsia"/>
          <w:kern w:val="0"/>
          <w:szCs w:val="21"/>
        </w:rPr>
        <w:t xml:space="preserve"> </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）本基金对债券的投资比例不低于基金资产的</w:t>
      </w:r>
      <w:r>
        <w:rPr>
          <w:rFonts w:ascii="Arial Unicode MS" w:hAnsi="Arial Unicode MS" w:cs="Arial" w:hint="eastAsia"/>
          <w:kern w:val="0"/>
          <w:szCs w:val="21"/>
        </w:rPr>
        <w:t>80%</w:t>
      </w:r>
      <w:r>
        <w:rPr>
          <w:rFonts w:ascii="Arial Unicode MS" w:hAnsi="Arial Unicode MS" w:cs="Arial" w:hint="eastAsia"/>
          <w:kern w:val="0"/>
          <w:szCs w:val="21"/>
        </w:rPr>
        <w:t>；对权益类资产的投资比例不超过基金资产的</w:t>
      </w:r>
      <w:r>
        <w:rPr>
          <w:rFonts w:ascii="Arial Unicode MS" w:hAnsi="Arial Unicode MS" w:cs="Arial" w:hint="eastAsia"/>
          <w:kern w:val="0"/>
          <w:szCs w:val="21"/>
        </w:rPr>
        <w:t>20%</w:t>
      </w:r>
      <w:r>
        <w:rPr>
          <w:rFonts w:ascii="Arial Unicode MS" w:hAnsi="Arial Unicode MS" w:cs="Arial" w:hint="eastAsia"/>
          <w:kern w:val="0"/>
          <w:szCs w:val="21"/>
        </w:rPr>
        <w:t>；</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）本基金每个交易日日终在扣除国债期货合约需缴纳的交易保证金后，现金或到期日在一年以内的政府债券的投资比例不低于基金资产净值的</w:t>
      </w:r>
      <w:r>
        <w:rPr>
          <w:rFonts w:ascii="Arial Unicode MS" w:hAnsi="Arial Unicode MS" w:cs="Arial" w:hint="eastAsia"/>
          <w:kern w:val="0"/>
          <w:szCs w:val="21"/>
        </w:rPr>
        <w:t>5%</w:t>
      </w:r>
      <w:r>
        <w:rPr>
          <w:rFonts w:ascii="Arial Unicode MS" w:hAnsi="Arial Unicode MS" w:cs="Arial" w:hint="eastAsia"/>
          <w:kern w:val="0"/>
          <w:szCs w:val="21"/>
        </w:rPr>
        <w:t>，其中现金不包括结算备付金、存出保证金、应收申购款等；</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3</w:t>
      </w:r>
      <w:r>
        <w:rPr>
          <w:rFonts w:ascii="Arial Unicode MS" w:hAnsi="Arial Unicode MS" w:cs="Arial" w:hint="eastAsia"/>
          <w:kern w:val="0"/>
          <w:szCs w:val="21"/>
        </w:rPr>
        <w:t>）本基金持有一家公司发行的证券，其市值不超过基金资产净值的</w:t>
      </w:r>
      <w:r>
        <w:rPr>
          <w:rFonts w:ascii="Arial Unicode MS" w:hAnsi="Arial Unicode MS" w:cs="Arial" w:hint="eastAsia"/>
          <w:kern w:val="0"/>
          <w:szCs w:val="21"/>
        </w:rPr>
        <w:t>10</w:t>
      </w:r>
      <w:r>
        <w:rPr>
          <w:rFonts w:ascii="Arial Unicode MS" w:hAnsi="Arial Unicode MS" w:cs="Arial" w:hint="eastAsia"/>
          <w:kern w:val="0"/>
          <w:szCs w:val="21"/>
        </w:rPr>
        <w:t>％；</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lastRenderedPageBreak/>
        <w:t>4</w:t>
      </w:r>
      <w:r>
        <w:rPr>
          <w:rFonts w:ascii="Arial Unicode MS" w:hAnsi="Arial Unicode MS" w:cs="Arial" w:hint="eastAsia"/>
          <w:kern w:val="0"/>
          <w:szCs w:val="21"/>
        </w:rPr>
        <w:t>）本基金管理人管理的全部基金持有一家公司发行的证券，不超过该证券的</w:t>
      </w:r>
      <w:r>
        <w:rPr>
          <w:rFonts w:ascii="Arial Unicode MS" w:hAnsi="Arial Unicode MS" w:cs="Arial" w:hint="eastAsia"/>
          <w:kern w:val="0"/>
          <w:szCs w:val="21"/>
        </w:rPr>
        <w:t>10</w:t>
      </w:r>
      <w:r>
        <w:rPr>
          <w:rFonts w:ascii="Arial Unicode MS" w:hAnsi="Arial Unicode MS" w:cs="Arial" w:hint="eastAsia"/>
          <w:kern w:val="0"/>
          <w:szCs w:val="21"/>
        </w:rPr>
        <w:t>％；</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5</w:t>
      </w:r>
      <w:r>
        <w:rPr>
          <w:rFonts w:ascii="Arial Unicode MS" w:hAnsi="Arial Unicode MS" w:cs="Arial" w:hint="eastAsia"/>
          <w:kern w:val="0"/>
          <w:szCs w:val="21"/>
        </w:rPr>
        <w:t>）本基金持有的全部权证，其市值不得超过基金资产净值的</w:t>
      </w:r>
      <w:r>
        <w:rPr>
          <w:rFonts w:ascii="Arial Unicode MS" w:hAnsi="Arial Unicode MS" w:cs="Arial" w:hint="eastAsia"/>
          <w:kern w:val="0"/>
          <w:szCs w:val="21"/>
        </w:rPr>
        <w:t>3</w:t>
      </w:r>
      <w:r>
        <w:rPr>
          <w:rFonts w:ascii="Arial Unicode MS" w:hAnsi="Arial Unicode MS" w:cs="Arial" w:hint="eastAsia"/>
          <w:kern w:val="0"/>
          <w:szCs w:val="21"/>
        </w:rPr>
        <w:t>％；</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6</w:t>
      </w:r>
      <w:r>
        <w:rPr>
          <w:rFonts w:ascii="Arial Unicode MS" w:hAnsi="Arial Unicode MS" w:cs="Arial" w:hint="eastAsia"/>
          <w:kern w:val="0"/>
          <w:szCs w:val="21"/>
        </w:rPr>
        <w:t>）本基金在任何交易日买入权证的总金额，不得超过上一交易日基金资产净值的</w:t>
      </w:r>
      <w:r>
        <w:rPr>
          <w:rFonts w:ascii="Arial Unicode MS" w:hAnsi="Arial Unicode MS" w:cs="Arial" w:hint="eastAsia"/>
          <w:kern w:val="0"/>
          <w:szCs w:val="21"/>
        </w:rPr>
        <w:t>0.5</w:t>
      </w:r>
      <w:r>
        <w:rPr>
          <w:rFonts w:ascii="Arial Unicode MS" w:hAnsi="Arial Unicode MS" w:cs="Arial" w:hint="eastAsia"/>
          <w:kern w:val="0"/>
          <w:szCs w:val="21"/>
        </w:rPr>
        <w:t>％；</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7</w:t>
      </w:r>
      <w:r>
        <w:rPr>
          <w:rFonts w:ascii="Arial Unicode MS" w:hAnsi="Arial Unicode MS" w:cs="Arial" w:hint="eastAsia"/>
          <w:kern w:val="0"/>
          <w:szCs w:val="21"/>
        </w:rPr>
        <w:t>）本基金进入全国银行间同业市场进行债券回购的资金余额不得超过基金资产净值的</w:t>
      </w:r>
      <w:r>
        <w:rPr>
          <w:rFonts w:ascii="Arial Unicode MS" w:hAnsi="Arial Unicode MS" w:cs="Arial" w:hint="eastAsia"/>
          <w:kern w:val="0"/>
          <w:szCs w:val="21"/>
        </w:rPr>
        <w:t>40%</w:t>
      </w:r>
      <w:r>
        <w:rPr>
          <w:rFonts w:ascii="Arial Unicode MS" w:hAnsi="Arial Unicode MS" w:cs="Arial" w:hint="eastAsia"/>
          <w:kern w:val="0"/>
          <w:szCs w:val="21"/>
        </w:rPr>
        <w:t>，在全国银行间同业市场中的债券回购最长期限为</w:t>
      </w:r>
      <w:r>
        <w:rPr>
          <w:rFonts w:ascii="Arial Unicode MS" w:hAnsi="Arial Unicode MS" w:cs="Arial" w:hint="eastAsia"/>
          <w:kern w:val="0"/>
          <w:szCs w:val="21"/>
        </w:rPr>
        <w:t>1</w:t>
      </w:r>
      <w:r>
        <w:rPr>
          <w:rFonts w:ascii="Arial Unicode MS" w:hAnsi="Arial Unicode MS" w:cs="Arial" w:hint="eastAsia"/>
          <w:kern w:val="0"/>
          <w:szCs w:val="21"/>
        </w:rPr>
        <w:t>年，债券回购到期后</w:t>
      </w:r>
      <w:proofErr w:type="gramStart"/>
      <w:r>
        <w:rPr>
          <w:rFonts w:ascii="Arial Unicode MS" w:hAnsi="Arial Unicode MS" w:cs="Arial" w:hint="eastAsia"/>
          <w:kern w:val="0"/>
          <w:szCs w:val="21"/>
        </w:rPr>
        <w:t>不</w:t>
      </w:r>
      <w:proofErr w:type="gramEnd"/>
      <w:r>
        <w:rPr>
          <w:rFonts w:ascii="Arial Unicode MS" w:hAnsi="Arial Unicode MS" w:cs="Arial" w:hint="eastAsia"/>
          <w:kern w:val="0"/>
          <w:szCs w:val="21"/>
        </w:rPr>
        <w:t>展期；</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8</w:t>
      </w:r>
      <w:r>
        <w:rPr>
          <w:rFonts w:ascii="Arial Unicode MS" w:hAnsi="Arial Unicode MS" w:cs="Arial" w:hint="eastAsia"/>
          <w:kern w:val="0"/>
          <w:szCs w:val="21"/>
        </w:rPr>
        <w:t>）本基金投资于同一原始权益人的各类资产支持证券的比例，不得超过基金资产净值的</w:t>
      </w:r>
      <w:r>
        <w:rPr>
          <w:rFonts w:ascii="Arial Unicode MS" w:hAnsi="Arial Unicode MS" w:cs="Arial" w:hint="eastAsia"/>
          <w:kern w:val="0"/>
          <w:szCs w:val="21"/>
        </w:rPr>
        <w:t>10</w:t>
      </w:r>
      <w:r>
        <w:rPr>
          <w:rFonts w:ascii="Arial Unicode MS" w:hAnsi="Arial Unicode MS" w:cs="Arial" w:hint="eastAsia"/>
          <w:kern w:val="0"/>
          <w:szCs w:val="21"/>
        </w:rPr>
        <w:t>％；</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9</w:t>
      </w:r>
      <w:r>
        <w:rPr>
          <w:rFonts w:ascii="Arial Unicode MS" w:hAnsi="Arial Unicode MS" w:cs="Arial" w:hint="eastAsia"/>
          <w:kern w:val="0"/>
          <w:szCs w:val="21"/>
        </w:rPr>
        <w:t>）本基金持有的全部资产支持证券，其市值不得超过基金资产净值的</w:t>
      </w:r>
      <w:r>
        <w:rPr>
          <w:rFonts w:ascii="Arial Unicode MS" w:hAnsi="Arial Unicode MS" w:cs="Arial" w:hint="eastAsia"/>
          <w:kern w:val="0"/>
          <w:szCs w:val="21"/>
        </w:rPr>
        <w:t>20</w:t>
      </w:r>
      <w:r>
        <w:rPr>
          <w:rFonts w:ascii="Arial Unicode MS" w:hAnsi="Arial Unicode MS" w:cs="Arial" w:hint="eastAsia"/>
          <w:kern w:val="0"/>
          <w:szCs w:val="21"/>
        </w:rPr>
        <w:t>％；</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10</w:t>
      </w:r>
      <w:r>
        <w:rPr>
          <w:rFonts w:ascii="Arial Unicode MS" w:hAnsi="Arial Unicode MS" w:cs="Arial" w:hint="eastAsia"/>
          <w:kern w:val="0"/>
          <w:szCs w:val="21"/>
        </w:rPr>
        <w:t>）本基金持有的同一</w:t>
      </w:r>
      <w:r>
        <w:rPr>
          <w:rFonts w:ascii="Arial Unicode MS" w:hAnsi="Arial Unicode MS" w:cs="Arial" w:hint="eastAsia"/>
          <w:kern w:val="0"/>
          <w:szCs w:val="21"/>
        </w:rPr>
        <w:t>(</w:t>
      </w:r>
      <w:r>
        <w:rPr>
          <w:rFonts w:ascii="Arial Unicode MS" w:hAnsi="Arial Unicode MS" w:cs="Arial" w:hint="eastAsia"/>
          <w:kern w:val="0"/>
          <w:szCs w:val="21"/>
        </w:rPr>
        <w:t>指同一信用级别</w:t>
      </w:r>
      <w:r>
        <w:rPr>
          <w:rFonts w:ascii="Arial Unicode MS" w:hAnsi="Arial Unicode MS" w:cs="Arial" w:hint="eastAsia"/>
          <w:kern w:val="0"/>
          <w:szCs w:val="21"/>
        </w:rPr>
        <w:t>)</w:t>
      </w:r>
      <w:r>
        <w:rPr>
          <w:rFonts w:ascii="Arial Unicode MS" w:hAnsi="Arial Unicode MS" w:cs="Arial" w:hint="eastAsia"/>
          <w:kern w:val="0"/>
          <w:szCs w:val="21"/>
        </w:rPr>
        <w:t>资产支持证券的比例，不得超过该资产支持证券规模的</w:t>
      </w:r>
      <w:r>
        <w:rPr>
          <w:rFonts w:ascii="Arial Unicode MS" w:hAnsi="Arial Unicode MS" w:cs="Arial" w:hint="eastAsia"/>
          <w:kern w:val="0"/>
          <w:szCs w:val="21"/>
        </w:rPr>
        <w:t>10</w:t>
      </w:r>
      <w:r>
        <w:rPr>
          <w:rFonts w:ascii="Arial Unicode MS" w:hAnsi="Arial Unicode MS" w:cs="Arial" w:hint="eastAsia"/>
          <w:kern w:val="0"/>
          <w:szCs w:val="21"/>
        </w:rPr>
        <w:t>％；</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11</w:t>
      </w:r>
      <w:r>
        <w:rPr>
          <w:rFonts w:ascii="Arial Unicode MS" w:hAnsi="Arial Unicode MS" w:cs="Arial" w:hint="eastAsia"/>
          <w:kern w:val="0"/>
          <w:szCs w:val="21"/>
        </w:rPr>
        <w:t>）本基金管理人管理的全部基金投资于同一原始权益人的各类资产支持证券，不得超过其各类资产支持证券合计规模的</w:t>
      </w:r>
      <w:r>
        <w:rPr>
          <w:rFonts w:ascii="Arial Unicode MS" w:hAnsi="Arial Unicode MS" w:cs="Arial" w:hint="eastAsia"/>
          <w:kern w:val="0"/>
          <w:szCs w:val="21"/>
        </w:rPr>
        <w:t>10</w:t>
      </w:r>
      <w:r>
        <w:rPr>
          <w:rFonts w:ascii="Arial Unicode MS" w:hAnsi="Arial Unicode MS" w:cs="Arial" w:hint="eastAsia"/>
          <w:kern w:val="0"/>
          <w:szCs w:val="21"/>
        </w:rPr>
        <w:t>％；</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12</w:t>
      </w:r>
      <w:r>
        <w:rPr>
          <w:rFonts w:ascii="Arial Unicode MS" w:hAnsi="Arial Unicode MS" w:cs="Arial" w:hint="eastAsia"/>
          <w:kern w:val="0"/>
          <w:szCs w:val="21"/>
        </w:rPr>
        <w:t>）本基金应投资于信用级别评级为</w:t>
      </w:r>
      <w:r>
        <w:rPr>
          <w:rFonts w:ascii="Arial Unicode MS" w:hAnsi="Arial Unicode MS" w:cs="Arial" w:hint="eastAsia"/>
          <w:kern w:val="0"/>
          <w:szCs w:val="21"/>
        </w:rPr>
        <w:t>BBB</w:t>
      </w:r>
      <w:r>
        <w:rPr>
          <w:rFonts w:ascii="Arial Unicode MS" w:hAnsi="Arial Unicode MS" w:cs="Arial" w:hint="eastAsia"/>
          <w:kern w:val="0"/>
          <w:szCs w:val="21"/>
        </w:rPr>
        <w:t>以上</w:t>
      </w:r>
      <w:r>
        <w:rPr>
          <w:rFonts w:ascii="Arial Unicode MS" w:hAnsi="Arial Unicode MS" w:cs="Arial" w:hint="eastAsia"/>
          <w:kern w:val="0"/>
          <w:szCs w:val="21"/>
        </w:rPr>
        <w:t>(</w:t>
      </w:r>
      <w:r>
        <w:rPr>
          <w:rFonts w:ascii="Arial Unicode MS" w:hAnsi="Arial Unicode MS" w:cs="Arial" w:hint="eastAsia"/>
          <w:kern w:val="0"/>
          <w:szCs w:val="21"/>
        </w:rPr>
        <w:t>含</w:t>
      </w:r>
      <w:r>
        <w:rPr>
          <w:rFonts w:ascii="Arial Unicode MS" w:hAnsi="Arial Unicode MS" w:cs="Arial" w:hint="eastAsia"/>
          <w:kern w:val="0"/>
          <w:szCs w:val="21"/>
        </w:rPr>
        <w:t>BBB)</w:t>
      </w:r>
      <w:r>
        <w:rPr>
          <w:rFonts w:ascii="Arial Unicode MS" w:hAnsi="Arial Unicode MS" w:cs="Arial" w:hint="eastAsia"/>
          <w:kern w:val="0"/>
          <w:szCs w:val="21"/>
        </w:rPr>
        <w:t>的资产支持证券。基金持有资产支持证券期间，如果其信用等级下降、不再符合投资标准，应在评级报告发布之日起</w:t>
      </w:r>
      <w:r>
        <w:rPr>
          <w:rFonts w:ascii="Arial Unicode MS" w:hAnsi="Arial Unicode MS" w:cs="Arial" w:hint="eastAsia"/>
          <w:kern w:val="0"/>
          <w:szCs w:val="21"/>
        </w:rPr>
        <w:t>3</w:t>
      </w:r>
      <w:r>
        <w:rPr>
          <w:rFonts w:ascii="Arial Unicode MS" w:hAnsi="Arial Unicode MS" w:cs="Arial" w:hint="eastAsia"/>
          <w:kern w:val="0"/>
          <w:szCs w:val="21"/>
        </w:rPr>
        <w:t>个月内予以全部卖出；</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13</w:t>
      </w:r>
      <w:r>
        <w:rPr>
          <w:rFonts w:ascii="Arial Unicode MS" w:hAnsi="Arial Unicode MS" w:cs="Arial" w:hint="eastAsia"/>
          <w:kern w:val="0"/>
          <w:szCs w:val="21"/>
        </w:rPr>
        <w:t>）本基金投资于中小企业私募债券比例合计不高于基金资产的</w:t>
      </w:r>
      <w:r>
        <w:rPr>
          <w:rFonts w:ascii="Arial Unicode MS" w:hAnsi="Arial Unicode MS" w:cs="Arial" w:hint="eastAsia"/>
          <w:kern w:val="0"/>
          <w:szCs w:val="21"/>
        </w:rPr>
        <w:t>10%</w:t>
      </w:r>
      <w:r>
        <w:rPr>
          <w:rFonts w:ascii="Arial Unicode MS" w:hAnsi="Arial Unicode MS" w:cs="Arial" w:hint="eastAsia"/>
          <w:kern w:val="0"/>
          <w:szCs w:val="21"/>
        </w:rPr>
        <w:t>；</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14</w:t>
      </w:r>
      <w:r>
        <w:rPr>
          <w:rFonts w:ascii="Arial Unicode MS" w:hAnsi="Arial Unicode MS" w:cs="Arial" w:hint="eastAsia"/>
          <w:kern w:val="0"/>
          <w:szCs w:val="21"/>
        </w:rPr>
        <w:t>）基金资产总值不得超过基金资产净值的</w:t>
      </w:r>
      <w:r>
        <w:rPr>
          <w:rFonts w:ascii="Arial Unicode MS" w:hAnsi="Arial Unicode MS" w:cs="Arial" w:hint="eastAsia"/>
          <w:kern w:val="0"/>
          <w:szCs w:val="21"/>
        </w:rPr>
        <w:t>140%</w:t>
      </w:r>
      <w:r>
        <w:rPr>
          <w:rFonts w:ascii="Arial Unicode MS" w:hAnsi="Arial Unicode MS" w:cs="Arial" w:hint="eastAsia"/>
          <w:kern w:val="0"/>
          <w:szCs w:val="21"/>
        </w:rPr>
        <w:t>；</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15</w:t>
      </w:r>
      <w:r>
        <w:rPr>
          <w:rFonts w:ascii="Arial Unicode MS" w:hAnsi="Arial Unicode MS" w:cs="Arial" w:hint="eastAsia"/>
          <w:kern w:val="0"/>
          <w:szCs w:val="21"/>
        </w:rPr>
        <w:t>）本基金参与国债期货交易，需遵守下列投资比例限制：</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15.1</w:t>
      </w:r>
      <w:r>
        <w:rPr>
          <w:rFonts w:ascii="Arial Unicode MS" w:hAnsi="Arial Unicode MS" w:cs="Arial" w:hint="eastAsia"/>
          <w:kern w:val="0"/>
          <w:szCs w:val="21"/>
        </w:rPr>
        <w:t>基金在任何交易日日终，持有的买入国债期货合约价值，不得超过基金资产净值的</w:t>
      </w:r>
      <w:r>
        <w:rPr>
          <w:rFonts w:ascii="Arial Unicode MS" w:hAnsi="Arial Unicode MS" w:cs="Arial" w:hint="eastAsia"/>
          <w:kern w:val="0"/>
          <w:szCs w:val="21"/>
        </w:rPr>
        <w:t>15%</w:t>
      </w:r>
      <w:r>
        <w:rPr>
          <w:rFonts w:ascii="Arial Unicode MS" w:hAnsi="Arial Unicode MS" w:cs="Arial" w:hint="eastAsia"/>
          <w:kern w:val="0"/>
          <w:szCs w:val="21"/>
        </w:rPr>
        <w:t>；</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15.2</w:t>
      </w:r>
      <w:r>
        <w:rPr>
          <w:rFonts w:ascii="Arial Unicode MS" w:hAnsi="Arial Unicode MS" w:cs="Arial" w:hint="eastAsia"/>
          <w:kern w:val="0"/>
          <w:szCs w:val="21"/>
        </w:rPr>
        <w:t>基金在任何交易日日终，持有的卖出国债期货合约价值不得超过基金持有的债券总市值的</w:t>
      </w:r>
      <w:r>
        <w:rPr>
          <w:rFonts w:ascii="Arial Unicode MS" w:hAnsi="Arial Unicode MS" w:cs="Arial" w:hint="eastAsia"/>
          <w:kern w:val="0"/>
          <w:szCs w:val="21"/>
        </w:rPr>
        <w:t>30%</w:t>
      </w:r>
      <w:r>
        <w:rPr>
          <w:rFonts w:ascii="Arial Unicode MS" w:hAnsi="Arial Unicode MS" w:cs="Arial" w:hint="eastAsia"/>
          <w:kern w:val="0"/>
          <w:szCs w:val="21"/>
        </w:rPr>
        <w:t>；</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15.3</w:t>
      </w:r>
      <w:r>
        <w:rPr>
          <w:rFonts w:ascii="Arial Unicode MS" w:hAnsi="Arial Unicode MS" w:cs="Arial" w:hint="eastAsia"/>
          <w:kern w:val="0"/>
          <w:szCs w:val="21"/>
        </w:rPr>
        <w:t>基金在任何交易日内交易（不包括平仓）的国债期货合约的成交金额不得超过上一交易日基金资产净值的</w:t>
      </w:r>
      <w:r>
        <w:rPr>
          <w:rFonts w:ascii="Arial Unicode MS" w:hAnsi="Arial Unicode MS" w:cs="Arial" w:hint="eastAsia"/>
          <w:kern w:val="0"/>
          <w:szCs w:val="21"/>
        </w:rPr>
        <w:t>30%</w:t>
      </w:r>
      <w:r>
        <w:rPr>
          <w:rFonts w:ascii="Arial Unicode MS" w:hAnsi="Arial Unicode MS" w:cs="Arial" w:hint="eastAsia"/>
          <w:kern w:val="0"/>
          <w:szCs w:val="21"/>
        </w:rPr>
        <w:t>；</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15.4</w:t>
      </w:r>
      <w:r>
        <w:rPr>
          <w:rFonts w:ascii="Arial Unicode MS" w:hAnsi="Arial Unicode MS" w:cs="Arial" w:hint="eastAsia"/>
          <w:kern w:val="0"/>
          <w:szCs w:val="21"/>
        </w:rPr>
        <w:t>基金所持有的债券（不含到期日在一年以内的政府债券）市值和买入、卖出国债期货合约价值，合计（轧差计算）应当符合基金合同关于债券投资比例的有关约定；</w:t>
      </w:r>
    </w:p>
    <w:p w:rsidR="004C06C5" w:rsidRDefault="00ED474B">
      <w:pPr>
        <w:spacing w:line="360" w:lineRule="auto"/>
        <w:ind w:firstLineChars="200" w:firstLine="420"/>
        <w:rPr>
          <w:rFonts w:asciiTheme="minorEastAsia" w:eastAsiaTheme="minorEastAsia" w:hAnsiTheme="minorEastAsia"/>
          <w:bCs/>
          <w:szCs w:val="21"/>
        </w:rPr>
      </w:pPr>
      <w:r>
        <w:rPr>
          <w:rFonts w:asciiTheme="minorEastAsia" w:eastAsiaTheme="minorEastAsia" w:hAnsiTheme="minorEastAsia"/>
          <w:bCs/>
          <w:szCs w:val="21"/>
        </w:rPr>
        <w:lastRenderedPageBreak/>
        <w:t>16</w:t>
      </w:r>
      <w:r>
        <w:rPr>
          <w:rFonts w:asciiTheme="minorEastAsia" w:eastAsiaTheme="minorEastAsia" w:hAnsiTheme="minorEastAsia" w:hint="eastAsia"/>
          <w:bCs/>
          <w:szCs w:val="21"/>
        </w:rPr>
        <w:t>）本基金管理人管理的全部开放式基金（包括开放式基金以及处于开放期的定期开放基金）持有一家上市公司发行的可流通股票，不得超过该上市公司可流通股票的</w:t>
      </w:r>
      <w:r>
        <w:rPr>
          <w:rFonts w:asciiTheme="minorEastAsia" w:eastAsiaTheme="minorEastAsia" w:hAnsiTheme="minorEastAsia"/>
          <w:bCs/>
          <w:szCs w:val="21"/>
        </w:rPr>
        <w:t>15%</w:t>
      </w:r>
      <w:r>
        <w:rPr>
          <w:rFonts w:asciiTheme="minorEastAsia" w:eastAsiaTheme="minorEastAsia" w:hAnsiTheme="minorEastAsia" w:hint="eastAsia"/>
          <w:bCs/>
          <w:szCs w:val="21"/>
        </w:rPr>
        <w:t>；本基金管理人管理的全部投资组合持有一家上市公司发行的可流通股票，不得超过该上市公司可流通股票的</w:t>
      </w:r>
      <w:r>
        <w:rPr>
          <w:rFonts w:asciiTheme="minorEastAsia" w:eastAsiaTheme="minorEastAsia" w:hAnsiTheme="minorEastAsia"/>
          <w:bCs/>
          <w:szCs w:val="21"/>
        </w:rPr>
        <w:t>30%</w:t>
      </w:r>
      <w:r>
        <w:rPr>
          <w:rFonts w:asciiTheme="minorEastAsia" w:eastAsiaTheme="minorEastAsia" w:hAnsiTheme="minorEastAsia" w:hint="eastAsia"/>
          <w:bCs/>
          <w:szCs w:val="21"/>
        </w:rPr>
        <w:t>；</w:t>
      </w:r>
    </w:p>
    <w:p w:rsidR="004C06C5" w:rsidRDefault="00ED474B">
      <w:pPr>
        <w:spacing w:line="360" w:lineRule="auto"/>
        <w:ind w:firstLineChars="200" w:firstLine="420"/>
        <w:rPr>
          <w:rFonts w:asciiTheme="minorEastAsia" w:eastAsiaTheme="minorEastAsia" w:hAnsiTheme="minorEastAsia"/>
          <w:bCs/>
          <w:szCs w:val="21"/>
        </w:rPr>
      </w:pPr>
      <w:r>
        <w:rPr>
          <w:rFonts w:asciiTheme="minorEastAsia" w:eastAsiaTheme="minorEastAsia" w:hAnsiTheme="minorEastAsia"/>
          <w:bCs/>
          <w:szCs w:val="21"/>
        </w:rPr>
        <w:t>17</w:t>
      </w:r>
      <w:r>
        <w:rPr>
          <w:rFonts w:asciiTheme="minorEastAsia" w:eastAsiaTheme="minorEastAsia" w:hAnsiTheme="minorEastAsia" w:hint="eastAsia"/>
          <w:bCs/>
          <w:szCs w:val="21"/>
        </w:rPr>
        <w:t>）本基金主动投资于流动性受限资产的市值合计不得超过该基金资产净值的</w:t>
      </w:r>
      <w:r>
        <w:rPr>
          <w:rFonts w:asciiTheme="minorEastAsia" w:eastAsiaTheme="minorEastAsia" w:hAnsiTheme="minorEastAsia"/>
          <w:bCs/>
          <w:szCs w:val="21"/>
        </w:rPr>
        <w:t>15%</w:t>
      </w:r>
      <w:r>
        <w:rPr>
          <w:rFonts w:asciiTheme="minorEastAsia" w:eastAsiaTheme="minorEastAsia" w:hAnsiTheme="minorEastAsia" w:hint="eastAsia"/>
          <w:bCs/>
          <w:szCs w:val="21"/>
        </w:rPr>
        <w:t>；</w:t>
      </w:r>
    </w:p>
    <w:p w:rsidR="004C06C5" w:rsidRDefault="00ED474B">
      <w:pPr>
        <w:spacing w:line="360" w:lineRule="auto"/>
        <w:ind w:firstLineChars="200" w:firstLine="420"/>
        <w:rPr>
          <w:rFonts w:asciiTheme="minorEastAsia" w:eastAsiaTheme="minorEastAsia" w:hAnsiTheme="minorEastAsia"/>
          <w:bCs/>
          <w:szCs w:val="21"/>
        </w:rPr>
      </w:pPr>
      <w:r>
        <w:rPr>
          <w:rFonts w:asciiTheme="minorEastAsia" w:eastAsiaTheme="minorEastAsia" w:hAnsiTheme="minorEastAsia" w:hint="eastAsia"/>
          <w:bCs/>
          <w:szCs w:val="21"/>
        </w:rPr>
        <w:t>因证券市场波动、上市公司股票停牌、基金规模变动等基金管理人之外的因素致使基金不符合前款所规定比例限制的，基金管理人不得主动新增流动性受限资产的投资；</w:t>
      </w:r>
    </w:p>
    <w:p w:rsidR="004C06C5" w:rsidRDefault="00ED474B">
      <w:pPr>
        <w:spacing w:line="360" w:lineRule="auto"/>
        <w:ind w:firstLineChars="200" w:firstLine="420"/>
        <w:rPr>
          <w:rFonts w:asciiTheme="minorEastAsia" w:eastAsiaTheme="minorEastAsia" w:hAnsiTheme="minorEastAsia"/>
          <w:bCs/>
          <w:szCs w:val="21"/>
        </w:rPr>
      </w:pPr>
      <w:r>
        <w:rPr>
          <w:rFonts w:asciiTheme="minorEastAsia" w:eastAsiaTheme="minorEastAsia" w:hAnsiTheme="minorEastAsia"/>
          <w:bCs/>
          <w:szCs w:val="21"/>
        </w:rPr>
        <w:t>18</w:t>
      </w:r>
      <w:r>
        <w:rPr>
          <w:rFonts w:asciiTheme="minorEastAsia" w:eastAsiaTheme="minorEastAsia" w:hAnsiTheme="minorEastAsia" w:hint="eastAsia"/>
          <w:bCs/>
          <w:szCs w:val="21"/>
        </w:rPr>
        <w:t>）本基金与私募类</w:t>
      </w:r>
      <w:proofErr w:type="gramStart"/>
      <w:r>
        <w:rPr>
          <w:rFonts w:asciiTheme="minorEastAsia" w:eastAsiaTheme="minorEastAsia" w:hAnsiTheme="minorEastAsia" w:hint="eastAsia"/>
          <w:bCs/>
          <w:szCs w:val="21"/>
        </w:rPr>
        <w:t>证券资管产品</w:t>
      </w:r>
      <w:proofErr w:type="gramEnd"/>
      <w:r>
        <w:rPr>
          <w:rFonts w:asciiTheme="minorEastAsia" w:eastAsiaTheme="minorEastAsia" w:hAnsiTheme="minorEastAsia" w:hint="eastAsia"/>
          <w:bCs/>
          <w:szCs w:val="21"/>
        </w:rPr>
        <w:t>及中国证监会认定的其他主体为交易对手开展逆回购交易的，可接受质押品的资质要求应当与基金合同约定的投资范围保持一致；</w:t>
      </w:r>
    </w:p>
    <w:p w:rsidR="004C06C5" w:rsidRDefault="00ED474B">
      <w:pPr>
        <w:spacing w:line="360" w:lineRule="auto"/>
        <w:ind w:firstLineChars="200" w:firstLine="420"/>
        <w:rPr>
          <w:rFonts w:asciiTheme="minorEastAsia" w:eastAsiaTheme="minorEastAsia" w:hAnsiTheme="minorEastAsia"/>
          <w:bCs/>
          <w:szCs w:val="21"/>
        </w:rPr>
      </w:pPr>
      <w:r>
        <w:rPr>
          <w:rFonts w:asciiTheme="minorEastAsia" w:eastAsiaTheme="minorEastAsia" w:hAnsiTheme="minorEastAsia"/>
          <w:bCs/>
          <w:szCs w:val="21"/>
        </w:rPr>
        <w:t>19</w:t>
      </w:r>
      <w:r>
        <w:rPr>
          <w:rFonts w:asciiTheme="minorEastAsia" w:eastAsiaTheme="minorEastAsia" w:hAnsiTheme="minorEastAsia" w:hint="eastAsia"/>
          <w:bCs/>
          <w:szCs w:val="21"/>
        </w:rPr>
        <w:t>）法律法规及中国证监会规定的和《基金合同》约定的其他投资限制。</w:t>
      </w:r>
    </w:p>
    <w:p w:rsidR="004C06C5" w:rsidRDefault="00ED474B">
      <w:pPr>
        <w:spacing w:line="360" w:lineRule="auto"/>
        <w:ind w:firstLineChars="200" w:firstLine="420"/>
        <w:rPr>
          <w:rFonts w:asciiTheme="minorEastAsia" w:eastAsiaTheme="minorEastAsia" w:hAnsiTheme="minorEastAsia"/>
          <w:bCs/>
          <w:szCs w:val="21"/>
        </w:rPr>
      </w:pPr>
      <w:r>
        <w:rPr>
          <w:rFonts w:asciiTheme="minorEastAsia" w:eastAsiaTheme="minorEastAsia" w:hAnsiTheme="minorEastAsia" w:hint="eastAsia"/>
          <w:bCs/>
          <w:szCs w:val="21"/>
        </w:rPr>
        <w:t>除上述第</w:t>
      </w:r>
      <w:r>
        <w:rPr>
          <w:rFonts w:asciiTheme="minorEastAsia" w:eastAsiaTheme="minorEastAsia" w:hAnsiTheme="minorEastAsia"/>
          <w:bCs/>
          <w:szCs w:val="21"/>
        </w:rPr>
        <w:t>2</w:t>
      </w:r>
      <w:r>
        <w:rPr>
          <w:rFonts w:asciiTheme="minorEastAsia" w:eastAsiaTheme="minorEastAsia" w:hAnsiTheme="minorEastAsia" w:hint="eastAsia"/>
          <w:bCs/>
          <w:szCs w:val="21"/>
        </w:rPr>
        <w:t>）、</w:t>
      </w:r>
      <w:r>
        <w:rPr>
          <w:rFonts w:asciiTheme="minorEastAsia" w:eastAsiaTheme="minorEastAsia" w:hAnsiTheme="minorEastAsia"/>
          <w:bCs/>
          <w:szCs w:val="21"/>
        </w:rPr>
        <w:t>12</w:t>
      </w:r>
      <w:r>
        <w:rPr>
          <w:rFonts w:asciiTheme="minorEastAsia" w:eastAsiaTheme="minorEastAsia" w:hAnsiTheme="minorEastAsia" w:hint="eastAsia"/>
          <w:bCs/>
          <w:szCs w:val="21"/>
        </w:rPr>
        <w:t>）、</w:t>
      </w:r>
      <w:r>
        <w:rPr>
          <w:rFonts w:asciiTheme="minorEastAsia" w:eastAsiaTheme="minorEastAsia" w:hAnsiTheme="minorEastAsia"/>
          <w:bCs/>
          <w:szCs w:val="21"/>
        </w:rPr>
        <w:t>17</w:t>
      </w:r>
      <w:r>
        <w:rPr>
          <w:rFonts w:asciiTheme="minorEastAsia" w:eastAsiaTheme="minorEastAsia" w:hAnsiTheme="minorEastAsia" w:hint="eastAsia"/>
          <w:bCs/>
          <w:szCs w:val="21"/>
        </w:rPr>
        <w:t>）、</w:t>
      </w:r>
      <w:r>
        <w:rPr>
          <w:rFonts w:asciiTheme="minorEastAsia" w:eastAsiaTheme="minorEastAsia" w:hAnsiTheme="minorEastAsia"/>
          <w:bCs/>
          <w:szCs w:val="21"/>
        </w:rPr>
        <w:t>18</w:t>
      </w:r>
      <w:r>
        <w:rPr>
          <w:rFonts w:asciiTheme="minorEastAsia" w:eastAsiaTheme="minorEastAsia" w:hAnsiTheme="minorEastAsia" w:hint="eastAsia"/>
          <w:bCs/>
          <w:szCs w:val="21"/>
        </w:rPr>
        <w:t>）项外，因证券、期货市场波动、证券发行人合并、基金规模变动等基金管理人之外的因素致使基金投资比例不符合上述规定投资比例的，基金管理人应当在</w:t>
      </w:r>
      <w:r>
        <w:rPr>
          <w:rFonts w:asciiTheme="minorEastAsia" w:eastAsiaTheme="minorEastAsia" w:hAnsiTheme="minorEastAsia"/>
          <w:bCs/>
          <w:szCs w:val="21"/>
        </w:rPr>
        <w:t>10</w:t>
      </w:r>
      <w:r>
        <w:rPr>
          <w:rFonts w:asciiTheme="minorEastAsia" w:eastAsiaTheme="minorEastAsia" w:hAnsiTheme="minorEastAsia" w:hint="eastAsia"/>
          <w:bCs/>
          <w:szCs w:val="21"/>
        </w:rPr>
        <w:t>个交易日内进行调整，但中国证监会规定的特殊情形除外。法律法规或监管机构另有规定的，从其规定。</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基金管理人应当自基金合同生效之日起</w:t>
      </w:r>
      <w:r>
        <w:rPr>
          <w:rFonts w:ascii="Arial Unicode MS" w:hAnsi="Arial Unicode MS" w:cs="Arial" w:hint="eastAsia"/>
          <w:kern w:val="0"/>
          <w:szCs w:val="21"/>
        </w:rPr>
        <w:t>6</w:t>
      </w:r>
      <w:r>
        <w:rPr>
          <w:rFonts w:ascii="Arial Unicode MS" w:hAnsi="Arial Unicode MS" w:cs="Arial" w:hint="eastAsia"/>
          <w:kern w:val="0"/>
          <w:szCs w:val="21"/>
        </w:rPr>
        <w:t>个月内使基金的投资组合比例符合基金合同的有关约定。在上述期间内，本基金的投资范围、投资策略应当符合基金合同的约定。基金托管人对基金的投资的监督与检查自本基金合同生效之日起开始。</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法律法规或监管部门取消或变更上述限制，则本基金投资可不再受相关限制或以变更后的规定为准。</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托管人对上述指标的监督义务，仅限于监督由基金管理人管理且由托管人托管的全部公</w:t>
      </w:r>
      <w:proofErr w:type="gramStart"/>
      <w:r>
        <w:rPr>
          <w:rFonts w:ascii="Arial Unicode MS" w:hAnsi="Arial Unicode MS" w:cs="Arial" w:hint="eastAsia"/>
          <w:kern w:val="0"/>
          <w:szCs w:val="21"/>
        </w:rPr>
        <w:t>募基金</w:t>
      </w:r>
      <w:proofErr w:type="gramEnd"/>
      <w:r>
        <w:rPr>
          <w:rFonts w:ascii="Arial Unicode MS" w:hAnsi="Arial Unicode MS" w:cs="Arial" w:hint="eastAsia"/>
          <w:kern w:val="0"/>
          <w:szCs w:val="21"/>
        </w:rPr>
        <w:t>及基金专</w:t>
      </w:r>
      <w:proofErr w:type="gramStart"/>
      <w:r>
        <w:rPr>
          <w:rFonts w:ascii="Arial Unicode MS" w:hAnsi="Arial Unicode MS" w:cs="Arial" w:hint="eastAsia"/>
          <w:kern w:val="0"/>
          <w:szCs w:val="21"/>
        </w:rPr>
        <w:t>户产品</w:t>
      </w:r>
      <w:proofErr w:type="gramEnd"/>
      <w:r>
        <w:rPr>
          <w:rFonts w:ascii="Arial Unicode MS" w:hAnsi="Arial Unicode MS" w:cs="Arial" w:hint="eastAsia"/>
          <w:kern w:val="0"/>
          <w:szCs w:val="21"/>
        </w:rPr>
        <w:t>是否符合上述比例限制。《基金法》及其他有关法律法规或监管部门取消上述限制的，履行适当程序后，基金不受上述限制。</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除投资资产配置外，基金托管人对基金投资的监督和检查自本托管协议生效之日起开始。</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3</w:t>
      </w:r>
      <w:r>
        <w:rPr>
          <w:rFonts w:ascii="Arial Unicode MS" w:hAnsi="Arial Unicode MS" w:cs="Arial" w:hint="eastAsia"/>
          <w:kern w:val="0"/>
          <w:szCs w:val="21"/>
        </w:rPr>
        <w:t>）法律法规允许的基金投资比例调整期限</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由于证券市场波动、上市公司合并或基金规模变动等基金管理人之外的原因导致的投资组合不符合上述约定的比例，不在限制之内，但基金管理人应在</w:t>
      </w:r>
      <w:r>
        <w:rPr>
          <w:rFonts w:ascii="Arial Unicode MS" w:hAnsi="Arial Unicode MS" w:cs="Arial" w:hint="eastAsia"/>
          <w:kern w:val="0"/>
          <w:szCs w:val="21"/>
        </w:rPr>
        <w:t>10</w:t>
      </w:r>
      <w:r>
        <w:rPr>
          <w:rFonts w:ascii="Arial Unicode MS" w:hAnsi="Arial Unicode MS" w:cs="Arial" w:hint="eastAsia"/>
          <w:kern w:val="0"/>
          <w:szCs w:val="21"/>
        </w:rPr>
        <w:t>个交易日内进行调整，以达到规定的投资比例限制要求。法律法规另有规定的从其规定。</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基金管理人应在出现可预见资产规模大幅变动的情况下，至少提前</w:t>
      </w:r>
      <w:r>
        <w:rPr>
          <w:rFonts w:ascii="Arial Unicode MS" w:hAnsi="Arial Unicode MS" w:cs="Arial" w:hint="eastAsia"/>
          <w:kern w:val="0"/>
          <w:szCs w:val="21"/>
        </w:rPr>
        <w:t>2</w:t>
      </w:r>
      <w:r>
        <w:rPr>
          <w:rFonts w:ascii="Arial Unicode MS" w:hAnsi="Arial Unicode MS" w:cs="Arial" w:hint="eastAsia"/>
          <w:kern w:val="0"/>
          <w:szCs w:val="21"/>
        </w:rPr>
        <w:t>个工作日正式向基金托管人发函说明基金可能的变动规模和公司应对措施，便于基金托管人实施交易监督。</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4</w:t>
      </w:r>
      <w:r>
        <w:rPr>
          <w:rFonts w:ascii="Arial Unicode MS" w:hAnsi="Arial Unicode MS" w:cs="Arial" w:hint="eastAsia"/>
          <w:kern w:val="0"/>
          <w:szCs w:val="21"/>
        </w:rPr>
        <w:t>）本基金可以按照国家的有关规定进行融资融券。</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5</w:t>
      </w:r>
      <w:r>
        <w:rPr>
          <w:rFonts w:ascii="Arial Unicode MS" w:hAnsi="Arial Unicode MS" w:cs="Arial" w:hint="eastAsia"/>
          <w:kern w:val="0"/>
          <w:szCs w:val="21"/>
        </w:rPr>
        <w:t>）相关法律、法规或部门规章规定的其他比例限制。</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基金托管人对基金投资的监督和检查自本托管协议生效之日起开始。</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lastRenderedPageBreak/>
        <w:t>3.</w:t>
      </w:r>
      <w:r>
        <w:rPr>
          <w:rFonts w:ascii="Arial Unicode MS" w:hAnsi="Arial Unicode MS" w:cs="Arial" w:hint="eastAsia"/>
          <w:kern w:val="0"/>
          <w:szCs w:val="21"/>
        </w:rPr>
        <w:t>基金托管人根据有关法律法规的规定及《基金合同》的约定对下述基金投资禁止行为进行监督：</w:t>
      </w:r>
      <w:r>
        <w:rPr>
          <w:rFonts w:ascii="Arial Unicode MS" w:hAnsi="Arial Unicode MS" w:cs="Arial" w:hint="eastAsia"/>
          <w:kern w:val="0"/>
          <w:szCs w:val="21"/>
        </w:rPr>
        <w:t xml:space="preserve"> </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根据法律法规的规定及《基金合同》的约定，本基金禁止从事下列行为：</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hint="eastAsia"/>
          <w:kern w:val="0"/>
          <w:szCs w:val="21"/>
        </w:rPr>
        <w:t>）承销证券；</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）违反规定向他人贷款或者提供担保；</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3</w:t>
      </w:r>
      <w:r>
        <w:rPr>
          <w:rFonts w:ascii="Arial Unicode MS" w:hAnsi="Arial Unicode MS" w:cs="Arial" w:hint="eastAsia"/>
          <w:kern w:val="0"/>
          <w:szCs w:val="21"/>
        </w:rPr>
        <w:t>）从事承担无限责任的投资；</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4</w:t>
      </w:r>
      <w:r>
        <w:rPr>
          <w:rFonts w:ascii="Arial Unicode MS" w:hAnsi="Arial Unicode MS" w:cs="Arial" w:hint="eastAsia"/>
          <w:kern w:val="0"/>
          <w:szCs w:val="21"/>
        </w:rPr>
        <w:t>）买卖其他基金份额，但是中国证监会另有规定的除外；</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5</w:t>
      </w:r>
      <w:r>
        <w:rPr>
          <w:rFonts w:ascii="Arial Unicode MS" w:hAnsi="Arial Unicode MS" w:cs="Arial" w:hint="eastAsia"/>
          <w:kern w:val="0"/>
          <w:szCs w:val="21"/>
        </w:rPr>
        <w:t>）向其基金管理人、基金托管人出资；</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6</w:t>
      </w:r>
      <w:r>
        <w:rPr>
          <w:rFonts w:ascii="Arial Unicode MS" w:hAnsi="Arial Unicode MS" w:cs="Arial" w:hint="eastAsia"/>
          <w:kern w:val="0"/>
          <w:szCs w:val="21"/>
        </w:rPr>
        <w:t>）从事内幕交易、操纵证券交易价格及其他不正当的证券交易活动；</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7</w:t>
      </w:r>
      <w:r>
        <w:rPr>
          <w:rFonts w:ascii="Arial Unicode MS" w:hAnsi="Arial Unicode MS" w:cs="Arial" w:hint="eastAsia"/>
          <w:kern w:val="0"/>
          <w:szCs w:val="21"/>
        </w:rPr>
        <w:t>）法律、行政法规和中国证监会规定禁止的其他活动。</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如法律、行政法规或监管部门取消或调整上述禁止性规定，则本基金可不受上述规定的限制或按调整后的规定执行。</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4.</w:t>
      </w:r>
      <w:r>
        <w:rPr>
          <w:rFonts w:ascii="Arial Unicode MS" w:hAnsi="Arial Unicode MS" w:cs="Arial" w:hint="eastAsia"/>
          <w:kern w:val="0"/>
          <w:szCs w:val="21"/>
        </w:rPr>
        <w:t>基金托管人依据有关法律法规的规定和《基金合同》的约定对于基金关联投资限制进行监督。</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运用基金财产买卖基金管理人、基金托管人及其控股股东、实际控制人或者与其有其他重大利害关系的公司发行的证券或承销期内承销的证券，或者从事其他重大关联交易的，应当遵循基金份额持有人利益优先的原则，防范利益冲突，符合国务院证券监督管理机构的规定，并履行信息披露义务。</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如法律法规或《基金合同》有关于基金禁止从事关联交易的规定，基金管理人和基金托管人应相互提供与本机构有控股关系的股东或与本机构有其他重大利害关系的公司名单及其更新，并加盖业务章并书面提交，确保关联交易名单真实、完整、全面。基金管理人有责任保管关联交易名单，名单变更后基金管理人应及时发送基金托管人。如果基金托管人在运作中严格遵循了监督流程，基金管理人仍违规进行关联交易，并造成基金资产损失的，由基金管理人承担责任。</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lastRenderedPageBreak/>
        <w:t>5.</w:t>
      </w:r>
      <w:r>
        <w:rPr>
          <w:rFonts w:ascii="Arial Unicode MS" w:hAnsi="Arial Unicode MS" w:cs="Arial" w:hint="eastAsia"/>
          <w:kern w:val="0"/>
          <w:szCs w:val="21"/>
        </w:rPr>
        <w:t>基金托管人依据有关法律法规的规定和《基金合同》的约定对基金管理人参与银行间债券市场进行监督。</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hint="eastAsia"/>
          <w:kern w:val="0"/>
          <w:szCs w:val="21"/>
        </w:rPr>
        <w:t>）基金托管人按以下方式对基金管理人参与银行间市场交易的交易对手的资信风险控制措施进行监督。</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基金管理人向基金托管人提供其银行间债券市场交易的交易对手库，交易对手库由银行间交易会员中财务状况较好、实力雄厚、信用等级高的交易对手组成。基金管理人可以根据实际情况的变化，及时对交易对手</w:t>
      </w:r>
      <w:proofErr w:type="gramStart"/>
      <w:r>
        <w:rPr>
          <w:rFonts w:ascii="Arial Unicode MS" w:hAnsi="Arial Unicode MS" w:cs="Arial" w:hint="eastAsia"/>
          <w:kern w:val="0"/>
          <w:szCs w:val="21"/>
        </w:rPr>
        <w:t>库予以</w:t>
      </w:r>
      <w:proofErr w:type="gramEnd"/>
      <w:r>
        <w:rPr>
          <w:rFonts w:ascii="Arial Unicode MS" w:hAnsi="Arial Unicode MS" w:cs="Arial" w:hint="eastAsia"/>
          <w:kern w:val="0"/>
          <w:szCs w:val="21"/>
        </w:rPr>
        <w:t>更新和调整，并及时书面通知基金托管人。基金托管人据以对基金银行间债券市场交易的交易对手是否符合上述名单进行监督。</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）基金托管人对银行间交易市场的交易方式的</w:t>
      </w:r>
      <w:proofErr w:type="gramStart"/>
      <w:r>
        <w:rPr>
          <w:rFonts w:ascii="Arial Unicode MS" w:hAnsi="Arial Unicode MS" w:cs="Arial" w:hint="eastAsia"/>
          <w:kern w:val="0"/>
          <w:szCs w:val="21"/>
        </w:rPr>
        <w:t>控制按</w:t>
      </w:r>
      <w:proofErr w:type="gramEnd"/>
      <w:r>
        <w:rPr>
          <w:rFonts w:ascii="Arial Unicode MS" w:hAnsi="Arial Unicode MS" w:cs="Arial" w:hint="eastAsia"/>
          <w:kern w:val="0"/>
          <w:szCs w:val="21"/>
        </w:rPr>
        <w:t>如下约定进行监督。</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应按照审慎的风险控制原则，对银行间交易对手的资信状况进行评估，控制交易对手的资信风险，确定与各类交易对手所适用的交易结算方式，在具体的交易中，应尽力争取对基金有利的交易方式。由于交易对手资信风险引起的损失，基金托管人不承担赔偿责任。</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6.</w:t>
      </w:r>
      <w:r>
        <w:rPr>
          <w:rFonts w:ascii="Arial Unicode MS" w:hAnsi="Arial Unicode MS" w:cs="Arial" w:hint="eastAsia"/>
          <w:kern w:val="0"/>
          <w:szCs w:val="21"/>
        </w:rPr>
        <w:t>基金托管人对基金管理人选择存款银行进行监督。</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如投资银行存款，基金管理人应根据法律法规的规定及《基金合同》的约定，事先确定符合条件的所有存款银行的名单，并及时提供给基金托管人，基金管理人可以根据实际情况的变化，及时对存款银行的名单予以更新和调整，并通知基金托管人。基金托管人据此对基金投资银行存款的交易对手是否符合上述名单进行监督。</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负责对存款银行的资信控制，并对投资银行存款的信用风险（包括但不限于存款银行的信用等级、存款银行的支付能力等）进行评估。对于基金投资的银行存款，由于存款银行发生信用风险事件而造成损失时，先由基金管理人负责赔偿，之后有权要求相关责任人进行赔偿。</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7.</w:t>
      </w:r>
      <w:r>
        <w:rPr>
          <w:rFonts w:ascii="Arial Unicode MS" w:hAnsi="Arial Unicode MS" w:cs="Arial" w:hint="eastAsia"/>
          <w:kern w:val="0"/>
          <w:szCs w:val="21"/>
        </w:rPr>
        <w:t>基金托管人对基金投资中小企业私募债券、中期票据的监督责任仅限于依据本协议第二条第（一）款第</w:t>
      </w:r>
      <w:r>
        <w:rPr>
          <w:rFonts w:ascii="Arial Unicode MS" w:hAnsi="Arial Unicode MS" w:cs="Arial" w:hint="eastAsia"/>
          <w:kern w:val="0"/>
          <w:szCs w:val="21"/>
        </w:rPr>
        <w:t>2</w:t>
      </w:r>
      <w:r>
        <w:rPr>
          <w:rFonts w:ascii="Arial Unicode MS" w:hAnsi="Arial Unicode MS" w:cs="Arial" w:hint="eastAsia"/>
          <w:kern w:val="0"/>
          <w:szCs w:val="21"/>
        </w:rPr>
        <w:t>项对投资比例和投资限制进行事后监督；除此外，无其它监督责任。如发现异常情况，应及时以书面形式通知基金管理人。基金管理人应积极配合和协助基金托管人进行监督和核查。基金因投资中小企业私募债券、中期票据导致的信用风险、流动性风险，基金托管人不承担任何责任。如因基金管理</w:t>
      </w:r>
      <w:proofErr w:type="gramStart"/>
      <w:r>
        <w:rPr>
          <w:rFonts w:ascii="Arial Unicode MS" w:hAnsi="Arial Unicode MS" w:cs="Arial" w:hint="eastAsia"/>
          <w:kern w:val="0"/>
          <w:szCs w:val="21"/>
        </w:rPr>
        <w:t>人原因</w:t>
      </w:r>
      <w:proofErr w:type="gramEnd"/>
      <w:r>
        <w:rPr>
          <w:rFonts w:ascii="Arial Unicode MS" w:hAnsi="Arial Unicode MS" w:cs="Arial" w:hint="eastAsia"/>
          <w:kern w:val="0"/>
          <w:szCs w:val="21"/>
        </w:rPr>
        <w:t>导致基金出现损失的，基金托管人不承担任何责任。</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管理的基金在投资中小企业私募债、中期票据前，基金管理人须根据法律、法规、监管部门的规定，制定严格的关于投资中小企业私募债、中期票据的风险控制制度和流动性风险处置预案，管理人在此承诺将严格执行该风险控制制度和流动性风险处置预案。</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（二）基金托管人应根据有关法律法规的规定及《基金合同》的约定，对基金资产净值</w:t>
      </w:r>
      <w:r>
        <w:rPr>
          <w:rFonts w:ascii="Arial Unicode MS" w:hAnsi="Arial Unicode MS" w:cs="Arial" w:hint="eastAsia"/>
          <w:kern w:val="0"/>
          <w:szCs w:val="21"/>
        </w:rPr>
        <w:lastRenderedPageBreak/>
        <w:t>计算、基金份额净值计算、应收资金到账、基金费用开支及收入确定、基金收益分配、相关信息披露、基金宣传推介材料中登载基金业绩表现数据等进行监督和核查。</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三）基金托管人发现基金管理人的投资运作及其他运作违反《基金法》、《基金合同》、基金托管协议等有关规定时，应及时以书面形式通知基金管理人限期纠正，基金管理人收到通知后应在下一个工作日及时核对，并以书面形式向基金托管人发出回函，进行解释或举证。</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在限期内，基金托管人有权随时对通知事项进行复查，督促基金管理人改正。基金管理人对基金托管人通知的违规事项未能在限期内纠正的，基金托管人应报告中国证监会。</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应积极配合和协助基金托管人依照法律法规、《基金合同》和本托管协议对基金业务的监督和核查，对基金托管人发出的书面提示，必须在规定时间内答复基金托管人并改正，或就基金托管人的疑义进行解释或举证，对基金托管人按照法律法规、《基金合同》和本托管协议的要求需向中国证监会报送基金监督报告的，基金管理人应积极配合提供相关数据资料和制度等。</w:t>
      </w:r>
    </w:p>
    <w:p w:rsidR="004C06C5" w:rsidRDefault="00ED474B">
      <w:pPr>
        <w:adjustRightInd w:val="0"/>
        <w:snapToGrid w:val="0"/>
        <w:spacing w:line="360" w:lineRule="auto"/>
        <w:ind w:firstLineChars="200" w:firstLine="420"/>
        <w:rPr>
          <w:rFonts w:ascii="Arial Unicode MS" w:hAnsi="Arial Unicode MS" w:cs="Arial"/>
          <w:kern w:val="0"/>
          <w:szCs w:val="21"/>
        </w:rPr>
      </w:pPr>
      <w:proofErr w:type="gramStart"/>
      <w:r>
        <w:rPr>
          <w:rFonts w:ascii="Arial Unicode MS" w:hAnsi="Arial Unicode MS" w:cs="Arial" w:hint="eastAsia"/>
          <w:kern w:val="0"/>
          <w:szCs w:val="21"/>
        </w:rPr>
        <w:t>若基金</w:t>
      </w:r>
      <w:proofErr w:type="gramEnd"/>
      <w:r>
        <w:rPr>
          <w:rFonts w:ascii="Arial Unicode MS" w:hAnsi="Arial Unicode MS" w:cs="Arial" w:hint="eastAsia"/>
          <w:kern w:val="0"/>
          <w:szCs w:val="21"/>
        </w:rPr>
        <w:t>托管人发现基金管理人发出但未执行的投资指令或依据交易程序已经生效的投资指令违反法律、行政法规和其他有关规定，或者违反《基金合同》约定的，应当立即通知基金管理人，并报告中国证监会。基金管理人的上述违规失信行为给基金财产或基金份额持有人造成的损失，由基金管理人承担。</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对于必须于估值完成后方可获知的监控指标或依据交易程序已经成交的投资指令，基金托管人发现该投资指令违反法律法规或者违反《基金合同》约定的，应当立即通知基金管理人，并报告中国证监会。</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基金托管人发现基金管理人有重大违规行为，应立即报告中国证监会，同时通知基金管理人限期纠正。</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无正当理由，拒绝、阻挠基金托管人根据本协议规定行使监督权，或采取拖延、欺诈等手段妨碍基金托管人进行有效监督，情节严重或经基金托管人提出警告仍不改正的，基金托管人应报告中国证监会。</w:t>
      </w:r>
    </w:p>
    <w:p w:rsidR="004C06C5" w:rsidRDefault="00ED474B">
      <w:pPr>
        <w:adjustRightInd w:val="0"/>
        <w:snapToGrid w:val="0"/>
        <w:spacing w:line="360" w:lineRule="auto"/>
        <w:ind w:firstLineChars="200" w:firstLine="422"/>
        <w:rPr>
          <w:rFonts w:ascii="Arial Unicode MS" w:hAnsi="Arial Unicode MS" w:cs="Arial"/>
          <w:b/>
          <w:kern w:val="0"/>
          <w:szCs w:val="21"/>
        </w:rPr>
      </w:pPr>
      <w:bookmarkStart w:id="147" w:name="_Toc296541722"/>
      <w:r>
        <w:rPr>
          <w:rFonts w:ascii="Arial Unicode MS" w:hAnsi="Arial Unicode MS" w:cs="Arial" w:hint="eastAsia"/>
          <w:b/>
          <w:kern w:val="0"/>
          <w:szCs w:val="21"/>
        </w:rPr>
        <w:t>三、基金管理人对基金托管人的业务核查</w:t>
      </w:r>
      <w:bookmarkEnd w:id="147"/>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对基金托管人履行托管职责情况进行核查，核查事项包括但不限于基金托管人是否安全保管基金财产、是否分别开设基金财产的资金账户和证券账户、是否复核基金管理人计算的基金资产净值和基金份额净值、是否根据管理人指令办理清算交收、进行相关信息披露和监督基金投资运作等行为。</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发现基金托管人擅自挪用基金财产、未对基金财产实行分账管理、无故未执行或无故延迟执行基金管理人资金划拨指令、泄露基金投资信息等违反《基金法》、《基金合同》、本托管协议及其他有关规定时，基金管理人应及时以书面形式通知基金托管人限期纠正，基金托管人收到通知后应及时核对并以书面形式向基金管理人发出回函。在限期内，基金管理人有权随时对通知事项进行复查，督促基金托管人改正。基金托管人对基金管理人</w:t>
      </w:r>
      <w:r>
        <w:rPr>
          <w:rFonts w:ascii="Arial Unicode MS" w:hAnsi="Arial Unicode MS" w:cs="Arial" w:hint="eastAsia"/>
          <w:kern w:val="0"/>
          <w:szCs w:val="21"/>
        </w:rPr>
        <w:lastRenderedPageBreak/>
        <w:t>通知的违规事项未能在限期内纠正的，基金管理人应报告中国证监会。基金管理人发现基金托管人有重大违规行为，应立即报告中国证监会和银行业监督管理机构，同时通知基金托管人限期纠正。</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基金托管人应积极配合基金管理人的核查行为，包括但不限于：提交相关资料以</w:t>
      </w:r>
      <w:proofErr w:type="gramStart"/>
      <w:r>
        <w:rPr>
          <w:rFonts w:ascii="Arial Unicode MS" w:hAnsi="Arial Unicode MS" w:cs="Arial" w:hint="eastAsia"/>
          <w:kern w:val="0"/>
          <w:szCs w:val="21"/>
        </w:rPr>
        <w:t>供基金</w:t>
      </w:r>
      <w:proofErr w:type="gramEnd"/>
      <w:r>
        <w:rPr>
          <w:rFonts w:ascii="Arial Unicode MS" w:hAnsi="Arial Unicode MS" w:cs="Arial" w:hint="eastAsia"/>
          <w:kern w:val="0"/>
          <w:szCs w:val="21"/>
        </w:rPr>
        <w:t>管理人核查托管财产的完整性和真实性，在规定时间内答复基金管理人并改正。</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托管人无正当理由，拒绝、阻挠基金管理人根据本协议规定行使监督权，或采取拖延、欺诈等手段妨碍基金管理人进行有效监督，情节严重或经基金管理人提出警告仍不改正的，基金管理人应报告中国证监会。</w:t>
      </w:r>
    </w:p>
    <w:p w:rsidR="004C06C5" w:rsidRDefault="00ED474B">
      <w:pPr>
        <w:adjustRightInd w:val="0"/>
        <w:snapToGrid w:val="0"/>
        <w:spacing w:line="360" w:lineRule="auto"/>
        <w:ind w:firstLineChars="200" w:firstLine="422"/>
        <w:rPr>
          <w:rFonts w:ascii="Arial Unicode MS" w:hAnsi="Arial Unicode MS" w:cs="Arial"/>
          <w:b/>
          <w:kern w:val="0"/>
          <w:szCs w:val="21"/>
        </w:rPr>
      </w:pPr>
      <w:r>
        <w:rPr>
          <w:rFonts w:ascii="Arial Unicode MS" w:hAnsi="Arial Unicode MS" w:cs="Arial"/>
          <w:b/>
          <w:kern w:val="0"/>
          <w:szCs w:val="21"/>
        </w:rPr>
        <w:t>四、基金财产的保管</w:t>
      </w:r>
      <w:bookmarkStart w:id="148" w:name="_Toc37159173"/>
      <w:bookmarkStart w:id="149" w:name="_Toc77662997"/>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（一）基金财产保管的原则</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基金财产应独立于基金管理人、基金托管人的固有财产。</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基金托管人应按本协议规定安全保管托管财产。未经基金管理人的指令，不得自行运用、处分、分配基金的任何财产（托管人主动扣收的</w:t>
      </w:r>
      <w:proofErr w:type="gramStart"/>
      <w:r>
        <w:rPr>
          <w:rFonts w:ascii="Arial Unicode MS" w:hAnsi="Arial Unicode MS" w:cs="Arial" w:hint="eastAsia"/>
          <w:kern w:val="0"/>
          <w:szCs w:val="21"/>
        </w:rPr>
        <w:t>汇划费除外</w:t>
      </w:r>
      <w:proofErr w:type="gramEnd"/>
      <w:r>
        <w:rPr>
          <w:rFonts w:ascii="Arial Unicode MS" w:hAnsi="Arial Unicode MS" w:cs="Arial" w:hint="eastAsia"/>
          <w:kern w:val="0"/>
          <w:szCs w:val="21"/>
        </w:rPr>
        <w:t>）。托管人不对处于自身实际控制之外的账户及财产承担责任。</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3.</w:t>
      </w:r>
      <w:r>
        <w:rPr>
          <w:rFonts w:ascii="Arial Unicode MS" w:hAnsi="Arial Unicode MS" w:cs="Arial" w:hint="eastAsia"/>
          <w:kern w:val="0"/>
          <w:szCs w:val="21"/>
        </w:rPr>
        <w:t>基金托管人按照规定为托管的基金财产开设资金账户和证券账户。</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4.</w:t>
      </w:r>
      <w:r>
        <w:rPr>
          <w:rFonts w:ascii="Arial Unicode MS" w:hAnsi="Arial Unicode MS" w:cs="Arial" w:hint="eastAsia"/>
          <w:kern w:val="0"/>
          <w:szCs w:val="21"/>
        </w:rPr>
        <w:t>基金托管人对所托管的不同基金财产分别设置账户，与基金托管人的其他业务和其他基金的托管业务实行严格的分账管理，确保基金财产的完整与独立。</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5.</w:t>
      </w:r>
      <w:r>
        <w:rPr>
          <w:rFonts w:ascii="Arial Unicode MS" w:hAnsi="Arial Unicode MS" w:cs="Arial" w:hint="eastAsia"/>
          <w:kern w:val="0"/>
          <w:szCs w:val="21"/>
        </w:rPr>
        <w:t>对于因基金认（申）购、基金投资过程中产生的应收财产，应由基金管理人负责与有关当事人确定到账日期并通知基金托管人，到账日基金财产没有到达基金托管人处的，基金托管人应及时通知基金管理人采取措施进行催收。由此给基金造成损失的，基金管理人应负责向有关当事人追偿基金的损失，基金托管人对此不承担责任。</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（二）募集资金的验证</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募集期内销售机构按销售与服务代理协议的约定，将认购资金划入基金管理人在具有托管资格的商业银行开设的“富荣基金管理有限公司基金认购专户”。该账户由基金管理人开立并管理。基金募集期满，募集的基金份额总额、基金募集金额、基金份额持有人人数符合《基金法》、《运作办法》等有关规定后，由基金管理人聘请具有从事证券业务资格的会计师事务所进行验资，出具验资报告，出具的验资报告应由参加验资的</w:t>
      </w:r>
      <w:r>
        <w:rPr>
          <w:rFonts w:ascii="Arial Unicode MS" w:hAnsi="Arial Unicode MS" w:cs="Arial" w:hint="eastAsia"/>
          <w:kern w:val="0"/>
          <w:szCs w:val="21"/>
        </w:rPr>
        <w:t>2</w:t>
      </w:r>
      <w:r>
        <w:rPr>
          <w:rFonts w:ascii="Arial Unicode MS" w:hAnsi="Arial Unicode MS" w:cs="Arial" w:hint="eastAsia"/>
          <w:kern w:val="0"/>
          <w:szCs w:val="21"/>
        </w:rPr>
        <w:t>名以上（含</w:t>
      </w:r>
      <w:r>
        <w:rPr>
          <w:rFonts w:ascii="Arial Unicode MS" w:hAnsi="Arial Unicode MS" w:cs="Arial" w:hint="eastAsia"/>
          <w:kern w:val="0"/>
          <w:szCs w:val="21"/>
        </w:rPr>
        <w:t>2</w:t>
      </w:r>
      <w:r>
        <w:rPr>
          <w:rFonts w:ascii="Arial Unicode MS" w:hAnsi="Arial Unicode MS" w:cs="Arial" w:hint="eastAsia"/>
          <w:kern w:val="0"/>
          <w:szCs w:val="21"/>
        </w:rPr>
        <w:t>名）中国注册会计师签字方为有效。验资完成，基金管理人应将募集的属于本基金财产的全部资金划入基金托管人为基金开立的资产托管专户中，并确保划入的资金与</w:t>
      </w:r>
      <w:proofErr w:type="gramStart"/>
      <w:r>
        <w:rPr>
          <w:rFonts w:ascii="Arial Unicode MS" w:hAnsi="Arial Unicode MS" w:cs="Arial" w:hint="eastAsia"/>
          <w:kern w:val="0"/>
          <w:szCs w:val="21"/>
        </w:rPr>
        <w:t>验资金额相</w:t>
      </w:r>
      <w:proofErr w:type="gramEnd"/>
      <w:r>
        <w:rPr>
          <w:rFonts w:ascii="Arial Unicode MS" w:hAnsi="Arial Unicode MS" w:cs="Arial" w:hint="eastAsia"/>
          <w:kern w:val="0"/>
          <w:szCs w:val="21"/>
        </w:rPr>
        <w:t>一致。基金托管人收到有效认购资金当日以书面形式确认资金到账情况，并及时将资金到账凭证传真给基金管理人，双方进行账务处理。</w:t>
      </w:r>
    </w:p>
    <w:p w:rsidR="004C06C5" w:rsidRDefault="00ED474B">
      <w:pPr>
        <w:adjustRightInd w:val="0"/>
        <w:snapToGrid w:val="0"/>
        <w:spacing w:line="360" w:lineRule="auto"/>
        <w:ind w:firstLineChars="200" w:firstLine="420"/>
        <w:rPr>
          <w:rFonts w:ascii="Arial Unicode MS" w:hAnsi="Arial Unicode MS" w:cs="Arial"/>
          <w:kern w:val="0"/>
          <w:szCs w:val="21"/>
        </w:rPr>
      </w:pPr>
      <w:proofErr w:type="gramStart"/>
      <w:r>
        <w:rPr>
          <w:rFonts w:ascii="Arial Unicode MS" w:hAnsi="Arial Unicode MS" w:cs="Arial" w:hint="eastAsia"/>
          <w:kern w:val="0"/>
          <w:szCs w:val="21"/>
        </w:rPr>
        <w:t>若基金</w:t>
      </w:r>
      <w:proofErr w:type="gramEnd"/>
      <w:r>
        <w:rPr>
          <w:rFonts w:ascii="Arial Unicode MS" w:hAnsi="Arial Unicode MS" w:cs="Arial" w:hint="eastAsia"/>
          <w:kern w:val="0"/>
          <w:szCs w:val="21"/>
        </w:rPr>
        <w:t>募集期限届满，未能达到《基金合同》生效的条件，由基金管理人按规定办理退</w:t>
      </w:r>
      <w:r>
        <w:rPr>
          <w:rFonts w:ascii="Arial Unicode MS" w:hAnsi="Arial Unicode MS" w:cs="Arial" w:hint="eastAsia"/>
          <w:kern w:val="0"/>
          <w:szCs w:val="21"/>
        </w:rPr>
        <w:lastRenderedPageBreak/>
        <w:t>款事宜。</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（三）基金资产托管专户的开立和管理</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基金托管人以基金托管人的名义或以基金的名义在其营业机构开设资产托管专户，并根据基金管理人合法合</w:t>
      </w:r>
      <w:proofErr w:type="gramStart"/>
      <w:r>
        <w:rPr>
          <w:rFonts w:ascii="Arial Unicode MS" w:hAnsi="Arial Unicode MS" w:cs="Arial" w:hint="eastAsia"/>
          <w:kern w:val="0"/>
          <w:szCs w:val="21"/>
        </w:rPr>
        <w:t>规</w:t>
      </w:r>
      <w:proofErr w:type="gramEnd"/>
      <w:r>
        <w:rPr>
          <w:rFonts w:ascii="Arial Unicode MS" w:hAnsi="Arial Unicode MS" w:cs="Arial" w:hint="eastAsia"/>
          <w:kern w:val="0"/>
          <w:szCs w:val="21"/>
        </w:rPr>
        <w:t>的有效指令办理资金收付。基金管理人应根据法律法规及托管行的相关要求，提供开户所需的资料并提供其他必要协助。本基金的资产托管专户的预留印鉴的印章由基金托管人、刻制、保管和使用，或使用托管人托管印鉴为预留印鉴。</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基金的一切货币收支活动，均需通过基金托管人或基金的资产托管专户进行。基金的资产托管专户的开立和使用，限于满足开展本基金业务的需要。除因本基金业务需要，基金托管人和基金管理人不得假借本基金的名义开立其他任何银行账户；亦不得使用以基金名义开立的银行账户进行本基金业务以外的活动。</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资产托管专户的管理应符合《人民币银行结算账户管理办法》、《现金管理暂行条例》、《人民币利率管理规定》、《利率管理暂行规定》、《支付结算办法》以及银行业监督管理机构的其他有关规定。</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（四）基金证券账户与证券交易资金账户的开设和管理</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基金托管人以基金托管人和本基金联名的方式在中国证券登记结算有限公司上海分公司</w:t>
      </w:r>
      <w:r>
        <w:rPr>
          <w:rFonts w:ascii="Arial Unicode MS" w:hAnsi="Arial Unicode MS" w:cs="Arial" w:hint="eastAsia"/>
          <w:kern w:val="0"/>
          <w:szCs w:val="21"/>
        </w:rPr>
        <w:t>/</w:t>
      </w:r>
      <w:r>
        <w:rPr>
          <w:rFonts w:ascii="Arial Unicode MS" w:hAnsi="Arial Unicode MS" w:cs="Arial" w:hint="eastAsia"/>
          <w:kern w:val="0"/>
          <w:szCs w:val="21"/>
        </w:rPr>
        <w:t>深圳分公司开立专门的证券账户。</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基金证券账户的开立和使用，限于满足开展本基金业务的需要。基金托管人和基金管理人不得出借和未经对方同意擅自转让本基金的任何证券账户；亦不得使用本基金的任何证券账户进行本基金业务以外的活动。</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基金证券账户的开立由基金托管人负责，管理和运用由基金管理人负责。</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基金托管人保管证券账户卡原件。</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基金托管人以基金托管人的名义在中国证券登记结算有限责任公司上海分公司</w:t>
      </w:r>
      <w:r>
        <w:rPr>
          <w:rFonts w:ascii="Arial Unicode MS" w:hAnsi="Arial Unicode MS" w:cs="Arial" w:hint="eastAsia"/>
          <w:kern w:val="0"/>
          <w:szCs w:val="21"/>
        </w:rPr>
        <w:t>/</w:t>
      </w:r>
      <w:r>
        <w:rPr>
          <w:rFonts w:ascii="Arial Unicode MS" w:hAnsi="Arial Unicode MS" w:cs="Arial" w:hint="eastAsia"/>
          <w:kern w:val="0"/>
          <w:szCs w:val="21"/>
        </w:rPr>
        <w:t>深圳分公司开立结算备付金账户，基金托管人代表所托管的基金完成与中国证券登记结算有限责任公司的一级法人清算工作，基金管理人应予以积极协助。结算备付金、证券结算保证金等的收取按照中国证券登记结算有限责任公司的规定和基金托管人为履行结算参与人的义务所制定的业务规则执行。</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（五）银行间市场债券托管和资金结算专户的开立和管理及市场准入备案</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合同》生效后，在符合监管机构要求的情况下，基金管理人负责以基金的名义申请并取得进入全国银行间同业拆借市场的交易资格，并代表基金进行交易；基金托管人根据中国人民银行、中央国债登记结算有限责任公司、银行间市场清算所股份有限公司的有关规定，以本基金的名义分别在中央国债登记结算有限责任公司、银行间市场清算所股份有限公司开立债券托管账户和资金结算账户，并代表基金进行银行间市场债券交易的结算。基金管理人和基金托管人应共同负责完成银行间债券市场准入备案。</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lastRenderedPageBreak/>
        <w:t>（六）其他账户的开设和管理</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因业务发展而需要开立的其它账户，可以根据《基金合同》或有关法律法规的规定，经基金管理人和基金托管人协商一致后，由基金托管人负责为基金开立。新账户按有关规则使用并管理。</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法律、法规等有关规定对相关账户的开立和管理另有规定的，从其规定办理。</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（七）基金投资银行存款账户的开立和管理</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基金投资银行定期存款，基金管理人与基金托管人应比照证监会《货币市场基金监督管理办法》的规定，就本基金投资银行存款业务签订书面协议。</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基金投资银行定期存款应由基金管理人与存款银行总行或其授权分行签订总体合作协议，并将资金存放于存款银行总行或其授权分行指定的分支机构。</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存款账户必须以基金名义开立，账户名称为基金名称，存款账户开户文件上加盖预留印鉴及基金管理人公章。</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本基金投资银行存款时，基金管理人应当与存款银行签订具体存款协议，明确存款的类型、期限、利率、金额、账号、对账方式、支取方式、账户管理等细则。</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为防范特殊情况下的流动性风险，定期存款协议中应当约定提前支取条款。</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基金所投资定期存款存续期间，基金管理人、基金托管人应当与存款银行建立定期对账机制，确保基金银行存款业务账目及核对的真实、准确。</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（八）基金财产投资的有关实物证券、银行定期存款存单等有价凭证的保管</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基金财产投资的有关实物证券由基金托管人存放于基金托管人的保管库；其中实物证券也可存入中央国债登记结算有限责任公司或中国证券登记结算有限责任公司上海分公司</w:t>
      </w:r>
      <w:r>
        <w:rPr>
          <w:rFonts w:ascii="Arial Unicode MS" w:hAnsi="Arial Unicode MS" w:cs="Arial" w:hint="eastAsia"/>
          <w:kern w:val="0"/>
          <w:szCs w:val="21"/>
        </w:rPr>
        <w:t>/</w:t>
      </w:r>
      <w:r>
        <w:rPr>
          <w:rFonts w:ascii="Arial Unicode MS" w:hAnsi="Arial Unicode MS" w:cs="Arial" w:hint="eastAsia"/>
          <w:kern w:val="0"/>
          <w:szCs w:val="21"/>
        </w:rPr>
        <w:t>深圳分公司或票据营业中心的代保管库。实物证券的购买和转让，由基金托管人根据基金管理人的指令办理。属于基金托管人实际有效控制下的实物证券在基金托管人保管期间的损坏、灭失，由此产生的责任应由基金托管人承担。基金托管人对基金托管人以外机构实际有效控制或保管的实物证券、银行定期存款存单对应的财产不承担保管责任。</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（九）与基金财产有关的重大合同的保管</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由基金管理人代表基金签署的与基金有关的重大合同的原件分别应由基金托管人、基金管理人保管。除本协议另有规定外，基金管理人在代表基金签署与基金有关的重大合同时应保证基金一方持有两份以上的正本，以便基金管理人和基金托管人至少各持有一份正本的原件。基金管理人在合同签署后</w:t>
      </w:r>
      <w:r>
        <w:rPr>
          <w:rFonts w:ascii="Arial Unicode MS" w:hAnsi="Arial Unicode MS" w:cs="Arial" w:hint="eastAsia"/>
          <w:kern w:val="0"/>
          <w:szCs w:val="21"/>
        </w:rPr>
        <w:t>5</w:t>
      </w:r>
      <w:r>
        <w:rPr>
          <w:rFonts w:ascii="Arial Unicode MS" w:hAnsi="Arial Unicode MS" w:cs="Arial" w:hint="eastAsia"/>
          <w:kern w:val="0"/>
          <w:szCs w:val="21"/>
        </w:rPr>
        <w:t>个工作日内通过专人送达、挂号邮寄等安全方式将合同原件送达基金托管人处。合同原件应存放于基金管理人和基金托管人各自文件保管部门</w:t>
      </w:r>
      <w:r>
        <w:rPr>
          <w:rFonts w:ascii="Arial Unicode MS" w:hAnsi="Arial Unicode MS" w:cs="Arial" w:hint="eastAsia"/>
          <w:kern w:val="0"/>
          <w:szCs w:val="21"/>
        </w:rPr>
        <w:t>15</w:t>
      </w:r>
      <w:r>
        <w:rPr>
          <w:rFonts w:ascii="Arial Unicode MS" w:hAnsi="Arial Unicode MS" w:cs="Arial" w:hint="eastAsia"/>
          <w:kern w:val="0"/>
          <w:szCs w:val="21"/>
        </w:rPr>
        <w:t>年以上。</w:t>
      </w:r>
    </w:p>
    <w:bookmarkEnd w:id="148"/>
    <w:bookmarkEnd w:id="149"/>
    <w:p w:rsidR="004C06C5" w:rsidRDefault="00ED474B">
      <w:pPr>
        <w:adjustRightInd w:val="0"/>
        <w:snapToGrid w:val="0"/>
        <w:spacing w:line="360" w:lineRule="auto"/>
        <w:ind w:firstLineChars="200" w:firstLine="422"/>
        <w:rPr>
          <w:rFonts w:ascii="Arial Unicode MS" w:hAnsi="Arial Unicode MS" w:cs="Arial"/>
          <w:b/>
          <w:szCs w:val="21"/>
        </w:rPr>
      </w:pPr>
      <w:r>
        <w:rPr>
          <w:rFonts w:ascii="Arial Unicode MS" w:hAnsi="Arial Unicode MS" w:cs="Arial"/>
          <w:b/>
          <w:szCs w:val="21"/>
        </w:rPr>
        <w:t>五、</w:t>
      </w:r>
      <w:r>
        <w:rPr>
          <w:rFonts w:ascii="Arial Unicode MS" w:hAnsi="Arial Unicode MS" w:cs="Arial" w:hint="eastAsia"/>
          <w:b/>
          <w:szCs w:val="21"/>
        </w:rPr>
        <w:t>基金资产净值计算和会计核算</w:t>
      </w:r>
      <w:bookmarkStart w:id="150" w:name="_Toc77663017"/>
    </w:p>
    <w:bookmarkEnd w:id="150"/>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lastRenderedPageBreak/>
        <w:t>（一）基金资产净值的计算、复核的时间和程序</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基金资产净值是指基金资产总值减去负债后的价值。基金份额净值是指计算日基金资产净值除以该计算日基金份额总份额后的数值。基金份额净值的计算保留到小数点后</w:t>
      </w:r>
      <w:r>
        <w:rPr>
          <w:rFonts w:ascii="Arial Unicode MS" w:hAnsi="Arial Unicode MS" w:cs="Arial" w:hint="eastAsia"/>
          <w:kern w:val="0"/>
          <w:szCs w:val="21"/>
        </w:rPr>
        <w:t>4</w:t>
      </w:r>
      <w:r>
        <w:rPr>
          <w:rFonts w:ascii="Arial Unicode MS" w:hAnsi="Arial Unicode MS" w:cs="Arial" w:hint="eastAsia"/>
          <w:kern w:val="0"/>
          <w:szCs w:val="21"/>
        </w:rPr>
        <w:t>位</w:t>
      </w:r>
      <w:r>
        <w:rPr>
          <w:rFonts w:ascii="Arial Unicode MS" w:hAnsi="Arial Unicode MS" w:cs="Arial" w:hint="eastAsia"/>
          <w:kern w:val="0"/>
          <w:szCs w:val="21"/>
        </w:rPr>
        <w:t xml:space="preserve">  </w:t>
      </w:r>
      <w:r>
        <w:rPr>
          <w:rFonts w:ascii="Arial Unicode MS" w:hAnsi="Arial Unicode MS" w:cs="Arial" w:hint="eastAsia"/>
          <w:kern w:val="0"/>
          <w:szCs w:val="21"/>
        </w:rPr>
        <w:t>，小数点后第</w:t>
      </w:r>
      <w:r>
        <w:rPr>
          <w:rFonts w:ascii="Arial Unicode MS" w:hAnsi="Arial Unicode MS" w:cs="Arial" w:hint="eastAsia"/>
          <w:kern w:val="0"/>
          <w:szCs w:val="21"/>
        </w:rPr>
        <w:t>5</w:t>
      </w:r>
      <w:r>
        <w:rPr>
          <w:rFonts w:ascii="Arial Unicode MS" w:hAnsi="Arial Unicode MS" w:cs="Arial" w:hint="eastAsia"/>
          <w:kern w:val="0"/>
          <w:szCs w:val="21"/>
        </w:rPr>
        <w:t>位四舍五入，由此产生的误差计入基金财产。</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每个工作日，基金管理人应对基金资产估值。估值原则应符合《基金合同》、《证券投资基金会计核算业务指引》及其他法律、法规的规定。用于基金信息披露的基金资产净值和基金份额净值由基金管理人负责计算，基金托管人复核。基金管理人应于每个工作日交易结束后计算当日的基金份额资产净值并以双方认可的方式发送给基金托管人。基金托管人对净值计算结果复核后以双方认可的方式发送给基金管理人，由基金管理人对基金净值予以公布。</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根据《基金法》，基金管理人计算并公告基金资产净值，基金托管人复核、审查基金管理人计算的基金资产净值。本基金的会计责任方是基金管理人，就与本基金有关的会计问题，如经相关各方在平等基础上充分讨论后，仍无法达成一致的意见，按照基金管理人对基金资产净值的计算结果对外予以公布。法律法规以及监管部门有强制规定的，从其规定。如有新增事项，按国家最新规定估值。</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（二）基金资产估值方法</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 xml:space="preserve">1. </w:t>
      </w:r>
      <w:r>
        <w:rPr>
          <w:rFonts w:ascii="Arial Unicode MS" w:hAnsi="Arial Unicode MS" w:cs="Arial" w:hint="eastAsia"/>
          <w:kern w:val="0"/>
          <w:szCs w:val="21"/>
        </w:rPr>
        <w:t>估值日</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本基金的估值日为本基金相关的证券交易场所的交易日以及国家法律法规规定需要对外披露基金净值的</w:t>
      </w:r>
      <w:proofErr w:type="gramStart"/>
      <w:r>
        <w:rPr>
          <w:rFonts w:ascii="Arial Unicode MS" w:hAnsi="Arial Unicode MS" w:cs="Arial" w:hint="eastAsia"/>
          <w:kern w:val="0"/>
          <w:szCs w:val="21"/>
        </w:rPr>
        <w:t>非交易</w:t>
      </w:r>
      <w:proofErr w:type="gramEnd"/>
      <w:r>
        <w:rPr>
          <w:rFonts w:ascii="Arial Unicode MS" w:hAnsi="Arial Unicode MS" w:cs="Arial" w:hint="eastAsia"/>
          <w:kern w:val="0"/>
          <w:szCs w:val="21"/>
        </w:rPr>
        <w:t>日。</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估值对象</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基金所拥有的股票、债券、权证、期货合约和银行存款本息、应收款项、其它投资等资产及负债。</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3.</w:t>
      </w:r>
      <w:r>
        <w:rPr>
          <w:rFonts w:ascii="Arial Unicode MS" w:hAnsi="Arial Unicode MS" w:cs="Arial" w:hint="eastAsia"/>
          <w:kern w:val="0"/>
          <w:szCs w:val="21"/>
        </w:rPr>
        <w:t>估值方法</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本基金的估值方法为：</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hint="eastAsia"/>
          <w:kern w:val="0"/>
          <w:szCs w:val="21"/>
        </w:rPr>
        <w:t>）证券交易所上市的有价证券的估值</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①除本部分另有约定的品种外，交易所上市的有价证券（包括股票、权证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②交易所上市交易或挂牌转让的固定收益品种（本合同另有规定的除外），选取估值日第三方估值机构提供的相应品种对应的估值净价估值，具体估值机构由基金管理人与托管人</w:t>
      </w:r>
      <w:r>
        <w:rPr>
          <w:rFonts w:ascii="Arial Unicode MS" w:hAnsi="Arial Unicode MS" w:cs="Arial" w:hint="eastAsia"/>
          <w:kern w:val="0"/>
          <w:szCs w:val="21"/>
        </w:rPr>
        <w:lastRenderedPageBreak/>
        <w:t>另行协商约定；</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③交易所上市交易的可转换债券按估值日收盘价减去债券收盘价中所含的债券应收利息得到的净价进行估值；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格；</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④交易所上市不存在活跃市场的有价证券，采用估值技术确定公允价值。交易所上市的资产支持证券，采用估值技术确定公允价值，在估值技术难以可靠计量公允价值的情况下，按成本估值。</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）首次公开发行未上市的债券，采用估值技术确定公允价值，在估值技术难以可靠计量公允价值的情况下，按成本估值。</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3</w:t>
      </w:r>
      <w:r>
        <w:rPr>
          <w:rFonts w:ascii="Arial Unicode MS" w:hAnsi="Arial Unicode MS" w:cs="Arial" w:hint="eastAsia"/>
          <w:kern w:val="0"/>
          <w:szCs w:val="21"/>
        </w:rPr>
        <w:t>）全国银行间债券市场交易的债券、资产支持证券等固定收益品种，采用估值技术确定公允价值。</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4</w:t>
      </w:r>
      <w:r>
        <w:rPr>
          <w:rFonts w:ascii="Arial Unicode MS" w:hAnsi="Arial Unicode MS" w:cs="Arial" w:hint="eastAsia"/>
          <w:kern w:val="0"/>
          <w:szCs w:val="21"/>
        </w:rPr>
        <w:t>）同一债券同时在两个或两个以上市场交易的，按债券所处的市场分别估值。</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5</w:t>
      </w:r>
      <w:r>
        <w:rPr>
          <w:rFonts w:ascii="Arial Unicode MS" w:hAnsi="Arial Unicode MS" w:cs="Arial" w:hint="eastAsia"/>
          <w:kern w:val="0"/>
          <w:szCs w:val="21"/>
        </w:rPr>
        <w:t>）中小企业私募债券，采用估值技术确定公允价值。在估值技术难以可靠计量公允价值的情况下，按成本估值。</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6</w:t>
      </w:r>
      <w:r>
        <w:rPr>
          <w:rFonts w:ascii="Arial Unicode MS" w:hAnsi="Arial Unicode MS" w:cs="Arial" w:hint="eastAsia"/>
          <w:kern w:val="0"/>
          <w:szCs w:val="21"/>
        </w:rPr>
        <w:t>）国债期货合约按照结算价估值，如估值日无结算价且最近交易日后经济环境未发生重大变化，按最近交易日结算价估值。</w:t>
      </w:r>
    </w:p>
    <w:p w:rsidR="004C06C5" w:rsidRDefault="00ED474B">
      <w:pPr>
        <w:autoSpaceDE w:val="0"/>
        <w:autoSpaceDN w:val="0"/>
        <w:spacing w:line="360" w:lineRule="auto"/>
        <w:ind w:firstLineChars="200" w:firstLine="420"/>
        <w:textAlignment w:val="bottom"/>
        <w:rPr>
          <w:rFonts w:asciiTheme="minorEastAsia" w:eastAsiaTheme="minorEastAsia" w:hAnsiTheme="minorEastAsia"/>
          <w:bCs/>
          <w:szCs w:val="21"/>
        </w:rPr>
      </w:pPr>
      <w:r>
        <w:rPr>
          <w:rFonts w:asciiTheme="minorEastAsia" w:eastAsiaTheme="minorEastAsia" w:hAnsiTheme="minorEastAsia" w:hint="eastAsia"/>
          <w:bCs/>
          <w:szCs w:val="21"/>
        </w:rPr>
        <w:t>（</w:t>
      </w:r>
      <w:r>
        <w:rPr>
          <w:rFonts w:asciiTheme="minorEastAsia" w:eastAsiaTheme="minorEastAsia" w:hAnsiTheme="minorEastAsia"/>
          <w:bCs/>
          <w:szCs w:val="21"/>
        </w:rPr>
        <w:t>7</w:t>
      </w:r>
      <w:r>
        <w:rPr>
          <w:rFonts w:asciiTheme="minorEastAsia" w:eastAsiaTheme="minorEastAsia" w:hAnsiTheme="minorEastAsia" w:hint="eastAsia"/>
          <w:bCs/>
          <w:szCs w:val="21"/>
        </w:rPr>
        <w:t>）当本基金发生大额申购或赎回情形时，基金管理人可以对本基金采用摆动定价机制，以确保基金估值的公平性。</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kern w:val="0"/>
          <w:szCs w:val="21"/>
        </w:rPr>
        <w:t>8</w:t>
      </w:r>
      <w:r>
        <w:rPr>
          <w:rFonts w:ascii="Arial Unicode MS" w:hAnsi="Arial Unicode MS" w:cs="Arial" w:hint="eastAsia"/>
          <w:kern w:val="0"/>
          <w:szCs w:val="21"/>
        </w:rPr>
        <w:t>）如有确凿证据表明按上述方法进行估值不能客观反映其公允价值的，基金管理人可根据具体情况与基金托管人商定后，按最能反映公允价值的价格估值。</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kern w:val="0"/>
          <w:szCs w:val="21"/>
        </w:rPr>
        <w:t>9</w:t>
      </w:r>
      <w:r>
        <w:rPr>
          <w:rFonts w:ascii="Arial Unicode MS" w:hAnsi="Arial Unicode MS" w:cs="Arial" w:hint="eastAsia"/>
          <w:kern w:val="0"/>
          <w:szCs w:val="21"/>
        </w:rPr>
        <w:t>）相关法律法规以及监管部门有强制规定的，从其规定。如有新增事项，按国家最新规定估值。</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如基金管理人或基金托管人发现基金估值违反基金合同订明的估值方法、程序及相关法律法规的规定或者未能充分维护基金份额持有人利益时，应立即通知对方，共同查明原因，双方协商解决。</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（三）估值程序</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lastRenderedPageBreak/>
        <w:t>1.</w:t>
      </w:r>
      <w:r>
        <w:rPr>
          <w:rFonts w:ascii="Arial Unicode MS" w:hAnsi="Arial Unicode MS" w:cs="Arial" w:hint="eastAsia"/>
          <w:kern w:val="0"/>
          <w:szCs w:val="21"/>
        </w:rPr>
        <w:t>各类基金份额净值是按照每个工作日闭市后，基金资产净值除以当日该类基金份额的余额数量计算，精确到</w:t>
      </w:r>
      <w:r>
        <w:rPr>
          <w:rFonts w:ascii="Arial Unicode MS" w:hAnsi="Arial Unicode MS" w:cs="Arial" w:hint="eastAsia"/>
          <w:kern w:val="0"/>
          <w:szCs w:val="21"/>
        </w:rPr>
        <w:t>0.0001</w:t>
      </w:r>
      <w:r>
        <w:rPr>
          <w:rFonts w:ascii="Arial Unicode MS" w:hAnsi="Arial Unicode MS" w:cs="Arial" w:hint="eastAsia"/>
          <w:kern w:val="0"/>
          <w:szCs w:val="21"/>
        </w:rPr>
        <w:t>元，小数点后第</w:t>
      </w:r>
      <w:r>
        <w:rPr>
          <w:rFonts w:ascii="Arial Unicode MS" w:hAnsi="Arial Unicode MS" w:cs="Arial" w:hint="eastAsia"/>
          <w:kern w:val="0"/>
          <w:szCs w:val="21"/>
        </w:rPr>
        <w:t>5</w:t>
      </w:r>
      <w:r>
        <w:rPr>
          <w:rFonts w:ascii="Arial Unicode MS" w:hAnsi="Arial Unicode MS" w:cs="Arial" w:hint="eastAsia"/>
          <w:kern w:val="0"/>
          <w:szCs w:val="21"/>
        </w:rPr>
        <w:t>位四舍五入。国家另有规定的，从其规定。</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基金管理人每个工作日计算基金资产净值及各类基金份额净值，并按规定公告。</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基金管理人</w:t>
      </w:r>
      <w:proofErr w:type="gramStart"/>
      <w:r>
        <w:rPr>
          <w:rFonts w:ascii="Arial Unicode MS" w:hAnsi="Arial Unicode MS" w:cs="Arial" w:hint="eastAsia"/>
          <w:kern w:val="0"/>
          <w:szCs w:val="21"/>
        </w:rPr>
        <w:t>应每个</w:t>
      </w:r>
      <w:proofErr w:type="gramEnd"/>
      <w:r>
        <w:rPr>
          <w:rFonts w:ascii="Arial Unicode MS" w:hAnsi="Arial Unicode MS" w:cs="Arial" w:hint="eastAsia"/>
          <w:kern w:val="0"/>
          <w:szCs w:val="21"/>
        </w:rPr>
        <w:t>工作日对基金资产估值。但基金管理人根据法律法规或本基金合同的规定暂停估值时除外。基金管理人每个工作日对基金资产估值后，将各类基金份额净值结果发送基金托管人，经基金托管人复核无误后，由基金管理人按规定对外公布。</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（四）估值错误的处理</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基金管理人和基金托管人将采取必要、适当、合理的措施确保基金资产估值的准确性、及时性。当任一类基金份额净值小数点后</w:t>
      </w:r>
      <w:r>
        <w:rPr>
          <w:rFonts w:ascii="Arial Unicode MS" w:hAnsi="Arial Unicode MS" w:cs="Arial" w:hint="eastAsia"/>
          <w:kern w:val="0"/>
          <w:szCs w:val="21"/>
        </w:rPr>
        <w:t>4</w:t>
      </w:r>
      <w:r>
        <w:rPr>
          <w:rFonts w:ascii="Arial Unicode MS" w:hAnsi="Arial Unicode MS" w:cs="Arial" w:hint="eastAsia"/>
          <w:kern w:val="0"/>
          <w:szCs w:val="21"/>
        </w:rPr>
        <w:t>位以内</w:t>
      </w:r>
      <w:r>
        <w:rPr>
          <w:rFonts w:ascii="Arial Unicode MS" w:hAnsi="Arial Unicode MS" w:cs="Arial" w:hint="eastAsia"/>
          <w:kern w:val="0"/>
          <w:szCs w:val="21"/>
        </w:rPr>
        <w:t>(</w:t>
      </w:r>
      <w:r>
        <w:rPr>
          <w:rFonts w:ascii="Arial Unicode MS" w:hAnsi="Arial Unicode MS" w:cs="Arial" w:hint="eastAsia"/>
          <w:kern w:val="0"/>
          <w:szCs w:val="21"/>
        </w:rPr>
        <w:t>含第</w:t>
      </w:r>
      <w:r>
        <w:rPr>
          <w:rFonts w:ascii="Arial Unicode MS" w:hAnsi="Arial Unicode MS" w:cs="Arial" w:hint="eastAsia"/>
          <w:kern w:val="0"/>
          <w:szCs w:val="21"/>
        </w:rPr>
        <w:t>4</w:t>
      </w:r>
      <w:r>
        <w:rPr>
          <w:rFonts w:ascii="Arial Unicode MS" w:hAnsi="Arial Unicode MS" w:cs="Arial" w:hint="eastAsia"/>
          <w:kern w:val="0"/>
          <w:szCs w:val="21"/>
        </w:rPr>
        <w:t>位</w:t>
      </w:r>
      <w:r>
        <w:rPr>
          <w:rFonts w:ascii="Arial Unicode MS" w:hAnsi="Arial Unicode MS" w:cs="Arial" w:hint="eastAsia"/>
          <w:kern w:val="0"/>
          <w:szCs w:val="21"/>
        </w:rPr>
        <w:t>)</w:t>
      </w:r>
      <w:r>
        <w:rPr>
          <w:rFonts w:ascii="Arial Unicode MS" w:hAnsi="Arial Unicode MS" w:cs="Arial" w:hint="eastAsia"/>
          <w:kern w:val="0"/>
          <w:szCs w:val="21"/>
        </w:rPr>
        <w:t>发生估值错误时，视为该类基金份额净值错误。</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本基金合同的当事人应按照以下约定处理：</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估值错误类型</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本基金运作过程中，如果由于基金管理人或基金托管人、或登记机构、或销售机构、或投资人自身的过错造成估值错误，导致其他当事人遭受损失的，过错的责任人应当对由于该估值错误遭受损失当事人</w:t>
      </w:r>
      <w:r>
        <w:rPr>
          <w:rFonts w:ascii="Arial Unicode MS" w:hAnsi="Arial Unicode MS" w:cs="Arial" w:hint="eastAsia"/>
          <w:kern w:val="0"/>
          <w:szCs w:val="21"/>
        </w:rPr>
        <w:t>(</w:t>
      </w:r>
      <w:r>
        <w:rPr>
          <w:rFonts w:ascii="Arial Unicode MS" w:hAnsi="Arial Unicode MS" w:cs="Arial" w:hint="eastAsia"/>
          <w:kern w:val="0"/>
          <w:szCs w:val="21"/>
        </w:rPr>
        <w:t>“受损方”</w:t>
      </w:r>
      <w:r>
        <w:rPr>
          <w:rFonts w:ascii="Arial Unicode MS" w:hAnsi="Arial Unicode MS" w:cs="Arial" w:hint="eastAsia"/>
          <w:kern w:val="0"/>
          <w:szCs w:val="21"/>
        </w:rPr>
        <w:t>)</w:t>
      </w:r>
      <w:r>
        <w:rPr>
          <w:rFonts w:ascii="Arial Unicode MS" w:hAnsi="Arial Unicode MS" w:cs="Arial" w:hint="eastAsia"/>
          <w:kern w:val="0"/>
          <w:szCs w:val="21"/>
        </w:rPr>
        <w:t>的直接损失按下述“估值错误处理原则”给予赔偿，承担赔偿责任。</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上述估值错误的主要类型包括但不限于：资料申报差错、数据传输差错、数据计算差错、系统故障差错、下达指令差错等。</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估值错误处理原则</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hint="eastAsia"/>
          <w:kern w:val="0"/>
          <w:szCs w:val="21"/>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）估值错误的责任方对有关当事人的直接损失负责，不对间接损失负责，并且仅对估值错误的有关直接当事人负责，不对第三方负责。</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3</w:t>
      </w:r>
      <w:r>
        <w:rPr>
          <w:rFonts w:ascii="Arial Unicode MS" w:hAnsi="Arial Unicode MS" w:cs="Arial" w:hint="eastAsia"/>
          <w:kern w:val="0"/>
          <w:szCs w:val="21"/>
        </w:rPr>
        <w:t>）因估值错误而获得不当得利的当事人负有及时返还不当得利的义务。但估值错误责任方仍应对估值错误负责。如果由于获得不当得利的当事人</w:t>
      </w:r>
      <w:proofErr w:type="gramStart"/>
      <w:r>
        <w:rPr>
          <w:rFonts w:ascii="Arial Unicode MS" w:hAnsi="Arial Unicode MS" w:cs="Arial" w:hint="eastAsia"/>
          <w:kern w:val="0"/>
          <w:szCs w:val="21"/>
        </w:rPr>
        <w:t>不</w:t>
      </w:r>
      <w:proofErr w:type="gramEnd"/>
      <w:r>
        <w:rPr>
          <w:rFonts w:ascii="Arial Unicode MS" w:hAnsi="Arial Unicode MS" w:cs="Arial" w:hint="eastAsia"/>
          <w:kern w:val="0"/>
          <w:szCs w:val="21"/>
        </w:rPr>
        <w:t>返还或不全部返还不当得利造成其他当事人的利益损失</w:t>
      </w:r>
      <w:r>
        <w:rPr>
          <w:rFonts w:ascii="Arial Unicode MS" w:hAnsi="Arial Unicode MS" w:cs="Arial" w:hint="eastAsia"/>
          <w:kern w:val="0"/>
          <w:szCs w:val="21"/>
        </w:rPr>
        <w:t>(</w:t>
      </w:r>
      <w:r>
        <w:rPr>
          <w:rFonts w:ascii="Arial Unicode MS" w:hAnsi="Arial Unicode MS" w:cs="Arial" w:hint="eastAsia"/>
          <w:kern w:val="0"/>
          <w:szCs w:val="21"/>
        </w:rPr>
        <w:t>“受损方”</w:t>
      </w:r>
      <w:r>
        <w:rPr>
          <w:rFonts w:ascii="Arial Unicode MS" w:hAnsi="Arial Unicode MS" w:cs="Arial" w:hint="eastAsia"/>
          <w:kern w:val="0"/>
          <w:szCs w:val="21"/>
        </w:rPr>
        <w:t>)</w:t>
      </w:r>
      <w:r>
        <w:rPr>
          <w:rFonts w:ascii="Arial Unicode MS" w:hAnsi="Arial Unicode MS" w:cs="Arial" w:hint="eastAsia"/>
          <w:kern w:val="0"/>
          <w:szCs w:val="21"/>
        </w:rPr>
        <w:t>，则估值错误责任方应赔偿受损方的损失，并在其</w:t>
      </w:r>
      <w:r>
        <w:rPr>
          <w:rFonts w:ascii="Arial Unicode MS" w:hAnsi="Arial Unicode MS" w:cs="Arial" w:hint="eastAsia"/>
          <w:kern w:val="0"/>
          <w:szCs w:val="21"/>
        </w:rPr>
        <w:lastRenderedPageBreak/>
        <w:t>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4</w:t>
      </w:r>
      <w:r>
        <w:rPr>
          <w:rFonts w:ascii="Arial Unicode MS" w:hAnsi="Arial Unicode MS" w:cs="Arial" w:hint="eastAsia"/>
          <w:kern w:val="0"/>
          <w:szCs w:val="21"/>
        </w:rPr>
        <w:t>）估值错误调整采用尽量恢复至假设未发生估值错误的正确情形的方式。</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3.</w:t>
      </w:r>
      <w:r>
        <w:rPr>
          <w:rFonts w:ascii="Arial Unicode MS" w:hAnsi="Arial Unicode MS" w:cs="Arial" w:hint="eastAsia"/>
          <w:kern w:val="0"/>
          <w:szCs w:val="21"/>
        </w:rPr>
        <w:t>估值错误处理程序</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估值错误被发现后，有关的当事人应当及时进行处理，处理的程序如下：</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hint="eastAsia"/>
          <w:kern w:val="0"/>
          <w:szCs w:val="21"/>
        </w:rPr>
        <w:t>）查明估值错误发生的原因，列明所有的当事人，并根据估值错误发生的原因确定估值错误的责任方；</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）根据估值错误处理原则或当事人协商的方法对因估值错误造成的损失进行评估；</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3</w:t>
      </w:r>
      <w:r>
        <w:rPr>
          <w:rFonts w:ascii="Arial Unicode MS" w:hAnsi="Arial Unicode MS" w:cs="Arial" w:hint="eastAsia"/>
          <w:kern w:val="0"/>
          <w:szCs w:val="21"/>
        </w:rPr>
        <w:t>）根据估值错误处理原则或当事人协商的方法由估值错误的责任方进行更正和赔偿损失；</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4</w:t>
      </w:r>
      <w:r>
        <w:rPr>
          <w:rFonts w:ascii="Arial Unicode MS" w:hAnsi="Arial Unicode MS" w:cs="Arial" w:hint="eastAsia"/>
          <w:kern w:val="0"/>
          <w:szCs w:val="21"/>
        </w:rPr>
        <w:t>）根据估值错误处理的方法，需要修改基金登记机构交易数据的，由基金登记机构进行更正，并就估值错误的更正向有关当事人进行确认。</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4.</w:t>
      </w:r>
      <w:r>
        <w:rPr>
          <w:rFonts w:ascii="Arial Unicode MS" w:hAnsi="Arial Unicode MS" w:cs="Arial" w:hint="eastAsia"/>
          <w:kern w:val="0"/>
          <w:szCs w:val="21"/>
        </w:rPr>
        <w:t>基金份额净值估值错误处理的方法如下：</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hint="eastAsia"/>
          <w:kern w:val="0"/>
          <w:szCs w:val="21"/>
        </w:rPr>
        <w:t>）基金份额净值计算出现错误时，基金管理人应当立即予以纠正，通报基金托管人，并采取合理的措施防止损失进一步扩大。</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）错误偏差达到该类基金份额净值的</w:t>
      </w:r>
      <w:r>
        <w:rPr>
          <w:rFonts w:ascii="Arial Unicode MS" w:hAnsi="Arial Unicode MS" w:cs="Arial" w:hint="eastAsia"/>
          <w:kern w:val="0"/>
          <w:szCs w:val="21"/>
        </w:rPr>
        <w:t>0.25%</w:t>
      </w:r>
      <w:r>
        <w:rPr>
          <w:rFonts w:ascii="Arial Unicode MS" w:hAnsi="Arial Unicode MS" w:cs="Arial" w:hint="eastAsia"/>
          <w:kern w:val="0"/>
          <w:szCs w:val="21"/>
        </w:rPr>
        <w:t>时，基金管理人应当通报基金托管人并报中国证监会备案；错误偏差达到该类基金份额净值的</w:t>
      </w:r>
      <w:r>
        <w:rPr>
          <w:rFonts w:ascii="Arial Unicode MS" w:hAnsi="Arial Unicode MS" w:cs="Arial" w:hint="eastAsia"/>
          <w:kern w:val="0"/>
          <w:szCs w:val="21"/>
        </w:rPr>
        <w:t>0.5%</w:t>
      </w:r>
      <w:r>
        <w:rPr>
          <w:rFonts w:ascii="Arial Unicode MS" w:hAnsi="Arial Unicode MS" w:cs="Arial" w:hint="eastAsia"/>
          <w:kern w:val="0"/>
          <w:szCs w:val="21"/>
        </w:rPr>
        <w:t>时，基金管理人应当公告。</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3</w:t>
      </w:r>
      <w:r>
        <w:rPr>
          <w:rFonts w:ascii="Arial Unicode MS" w:hAnsi="Arial Unicode MS" w:cs="Arial" w:hint="eastAsia"/>
          <w:kern w:val="0"/>
          <w:szCs w:val="21"/>
        </w:rPr>
        <w:t>）前述内容如法律法规或监管机关另有规定的，从其规定处理。</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（五）暂停估值的情形</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 xml:space="preserve">1. </w:t>
      </w:r>
      <w:r>
        <w:rPr>
          <w:rFonts w:ascii="Arial Unicode MS" w:hAnsi="Arial Unicode MS" w:cs="Arial" w:hint="eastAsia"/>
          <w:kern w:val="0"/>
          <w:szCs w:val="21"/>
        </w:rPr>
        <w:t>基金投资所涉及的证券交易市场遇法定节假日或因其他原因暂停营业时；</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因不可抗力致使基金管理人、基金托管人无法准确评估基金资产价值时；</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3.</w:t>
      </w:r>
      <w:r>
        <w:rPr>
          <w:rFonts w:ascii="Arial Unicode MS" w:hAnsi="Arial Unicode MS" w:cs="Arial" w:hint="eastAsia"/>
          <w:kern w:val="0"/>
          <w:szCs w:val="21"/>
        </w:rPr>
        <w:t>中国证监会和基金合同认定的其它情形。</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（六）基金账册的建立</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和基金托管人在《基金合同》生效后，应按照相关各方约定的同一记账方法和会计处理原则，分别独立地设置、登录和保管本基金的全套账册，对相关各方各自的账册定期进行核对，互相监督，以保证基金资产的安全。若双方对会计处理方法存在分歧，应以基金管理人的处理方法为准。</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经对账发现相关各方的账目存在不符的，基金管理人和基金托管人必须及时查明原因并</w:t>
      </w:r>
      <w:r>
        <w:rPr>
          <w:rFonts w:ascii="Arial Unicode MS" w:hAnsi="Arial Unicode MS" w:cs="Arial" w:hint="eastAsia"/>
          <w:kern w:val="0"/>
          <w:szCs w:val="21"/>
        </w:rPr>
        <w:lastRenderedPageBreak/>
        <w:t>纠正，保证相关各方平行登录的账册记录完全相符。若当日核对不符，暂时无法查找到错账的原因而影响到基金资产净值的计算和公告的，以基金管理人的账册为准。</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（七）基金定期报告的编制和复核</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基金财务报表由基金管理人和基金托管人每</w:t>
      </w:r>
      <w:proofErr w:type="gramStart"/>
      <w:r>
        <w:rPr>
          <w:rFonts w:ascii="Arial Unicode MS" w:hAnsi="Arial Unicode MS" w:cs="Arial" w:hint="eastAsia"/>
          <w:kern w:val="0"/>
          <w:szCs w:val="21"/>
        </w:rPr>
        <w:t>月分别独立</w:t>
      </w:r>
      <w:proofErr w:type="gramEnd"/>
      <w:r>
        <w:rPr>
          <w:rFonts w:ascii="Arial Unicode MS" w:hAnsi="Arial Unicode MS" w:cs="Arial" w:hint="eastAsia"/>
          <w:kern w:val="0"/>
          <w:szCs w:val="21"/>
        </w:rPr>
        <w:t>编制。月度报表的编制，应于每月终了后</w:t>
      </w:r>
      <w:r>
        <w:rPr>
          <w:rFonts w:ascii="Arial Unicode MS" w:hAnsi="Arial Unicode MS" w:cs="Arial" w:hint="eastAsia"/>
          <w:kern w:val="0"/>
          <w:szCs w:val="21"/>
        </w:rPr>
        <w:t>5</w:t>
      </w:r>
      <w:r>
        <w:rPr>
          <w:rFonts w:ascii="Arial Unicode MS" w:hAnsi="Arial Unicode MS" w:cs="Arial" w:hint="eastAsia"/>
          <w:kern w:val="0"/>
          <w:szCs w:val="21"/>
        </w:rPr>
        <w:t>个工作日内完成。</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在《基金合同》生效后每六个月结束之日起</w:t>
      </w:r>
      <w:r>
        <w:rPr>
          <w:rFonts w:ascii="Arial Unicode MS" w:hAnsi="Arial Unicode MS" w:cs="Arial" w:hint="eastAsia"/>
          <w:kern w:val="0"/>
          <w:szCs w:val="21"/>
        </w:rPr>
        <w:t>45</w:t>
      </w:r>
      <w:r>
        <w:rPr>
          <w:rFonts w:ascii="Arial Unicode MS" w:hAnsi="Arial Unicode MS" w:cs="Arial" w:hint="eastAsia"/>
          <w:kern w:val="0"/>
          <w:szCs w:val="21"/>
        </w:rPr>
        <w:t>日内，基金管理人对招募说明书更新一次并登载在网站上，并将更新后的招募说明书摘要登载在指定媒体上。基金管理人在每个季度结束之日起</w:t>
      </w:r>
      <w:r>
        <w:rPr>
          <w:rFonts w:ascii="Arial Unicode MS" w:hAnsi="Arial Unicode MS" w:cs="Arial" w:hint="eastAsia"/>
          <w:kern w:val="0"/>
          <w:szCs w:val="21"/>
        </w:rPr>
        <w:t>15</w:t>
      </w:r>
      <w:r>
        <w:rPr>
          <w:rFonts w:ascii="Arial Unicode MS" w:hAnsi="Arial Unicode MS" w:cs="Arial" w:hint="eastAsia"/>
          <w:kern w:val="0"/>
          <w:szCs w:val="21"/>
        </w:rPr>
        <w:t>个工作日内完成季度报告编制并公告；在会计年度半年终了后两个月内完成中期报告编制并公告；在会计年度结束后三个月内完成年度报告编制并公告。</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基金管理人在</w:t>
      </w:r>
      <w:r>
        <w:rPr>
          <w:rFonts w:ascii="Arial Unicode MS" w:hAnsi="Arial Unicode MS" w:cs="Arial" w:hint="eastAsia"/>
          <w:kern w:val="0"/>
          <w:szCs w:val="21"/>
        </w:rPr>
        <w:t>5</w:t>
      </w:r>
      <w:r>
        <w:rPr>
          <w:rFonts w:ascii="Arial Unicode MS" w:hAnsi="Arial Unicode MS" w:cs="Arial" w:hint="eastAsia"/>
          <w:kern w:val="0"/>
          <w:szCs w:val="21"/>
        </w:rPr>
        <w:t>个工作日内完成月度报告，在月度报告完成当日，对报告加盖公章后，以加密传真方式将有关报告提供基金托管人复核；基金托管人在</w:t>
      </w:r>
      <w:r>
        <w:rPr>
          <w:rFonts w:ascii="Arial Unicode MS" w:hAnsi="Arial Unicode MS" w:cs="Arial" w:hint="eastAsia"/>
          <w:kern w:val="0"/>
          <w:szCs w:val="21"/>
        </w:rPr>
        <w:t>3</w:t>
      </w:r>
      <w:r>
        <w:rPr>
          <w:rFonts w:ascii="Arial Unicode MS" w:hAnsi="Arial Unicode MS" w:cs="Arial" w:hint="eastAsia"/>
          <w:kern w:val="0"/>
          <w:szCs w:val="21"/>
        </w:rPr>
        <w:t>个工作日内进行复核，并将复核结果及时书面通知基金管理人。基金管理人在</w:t>
      </w:r>
      <w:r>
        <w:rPr>
          <w:rFonts w:ascii="Arial Unicode MS" w:hAnsi="Arial Unicode MS" w:cs="Arial" w:hint="eastAsia"/>
          <w:kern w:val="0"/>
          <w:szCs w:val="21"/>
        </w:rPr>
        <w:t>7</w:t>
      </w:r>
      <w:r>
        <w:rPr>
          <w:rFonts w:ascii="Arial Unicode MS" w:hAnsi="Arial Unicode MS" w:cs="Arial" w:hint="eastAsia"/>
          <w:kern w:val="0"/>
          <w:szCs w:val="21"/>
        </w:rPr>
        <w:t>个工作日内完成季度报告，在季度报告完成当日，将有关报告提供基金托管人复核，基金托管人在收到后</w:t>
      </w:r>
      <w:r>
        <w:rPr>
          <w:rFonts w:ascii="Arial Unicode MS" w:hAnsi="Arial Unicode MS" w:cs="Arial" w:hint="eastAsia"/>
          <w:kern w:val="0"/>
          <w:szCs w:val="21"/>
        </w:rPr>
        <w:t>7</w:t>
      </w:r>
      <w:r>
        <w:rPr>
          <w:rFonts w:ascii="Arial Unicode MS" w:hAnsi="Arial Unicode MS" w:cs="Arial" w:hint="eastAsia"/>
          <w:kern w:val="0"/>
          <w:szCs w:val="21"/>
        </w:rPr>
        <w:t>个工作日内进行复核，并将复核结果书面通知基金管理人。基金管理人在</w:t>
      </w:r>
      <w:r>
        <w:rPr>
          <w:rFonts w:ascii="Arial Unicode MS" w:hAnsi="Arial Unicode MS" w:cs="Arial" w:hint="eastAsia"/>
          <w:kern w:val="0"/>
          <w:szCs w:val="21"/>
        </w:rPr>
        <w:t>30</w:t>
      </w:r>
      <w:r>
        <w:rPr>
          <w:rFonts w:ascii="Arial Unicode MS" w:hAnsi="Arial Unicode MS" w:cs="Arial" w:hint="eastAsia"/>
          <w:kern w:val="0"/>
          <w:szCs w:val="21"/>
        </w:rPr>
        <w:t>日内完成半年度报告，在中期</w:t>
      </w:r>
      <w:proofErr w:type="gramStart"/>
      <w:r>
        <w:rPr>
          <w:rFonts w:ascii="Arial Unicode MS" w:hAnsi="Arial Unicode MS" w:cs="Arial" w:hint="eastAsia"/>
          <w:kern w:val="0"/>
          <w:szCs w:val="21"/>
        </w:rPr>
        <w:t>报完成</w:t>
      </w:r>
      <w:proofErr w:type="gramEnd"/>
      <w:r>
        <w:rPr>
          <w:rFonts w:ascii="Arial Unicode MS" w:hAnsi="Arial Unicode MS" w:cs="Arial" w:hint="eastAsia"/>
          <w:kern w:val="0"/>
          <w:szCs w:val="21"/>
        </w:rPr>
        <w:t>当日，将有关报告提供基金托管人复核，基金托管人在收到后</w:t>
      </w:r>
      <w:r>
        <w:rPr>
          <w:rFonts w:ascii="Arial Unicode MS" w:hAnsi="Arial Unicode MS" w:cs="Arial" w:hint="eastAsia"/>
          <w:kern w:val="0"/>
          <w:szCs w:val="21"/>
        </w:rPr>
        <w:t>30</w:t>
      </w:r>
      <w:r>
        <w:rPr>
          <w:rFonts w:ascii="Arial Unicode MS" w:hAnsi="Arial Unicode MS" w:cs="Arial" w:hint="eastAsia"/>
          <w:kern w:val="0"/>
          <w:szCs w:val="21"/>
        </w:rPr>
        <w:t>日内进行复核，并将复核结果书面通知基金管理人。基金管理人在</w:t>
      </w:r>
      <w:r>
        <w:rPr>
          <w:rFonts w:ascii="Arial Unicode MS" w:hAnsi="Arial Unicode MS" w:cs="Arial" w:hint="eastAsia"/>
          <w:kern w:val="0"/>
          <w:szCs w:val="21"/>
        </w:rPr>
        <w:t>45</w:t>
      </w:r>
      <w:r>
        <w:rPr>
          <w:rFonts w:ascii="Arial Unicode MS" w:hAnsi="Arial Unicode MS" w:cs="Arial" w:hint="eastAsia"/>
          <w:kern w:val="0"/>
          <w:szCs w:val="21"/>
        </w:rPr>
        <w:t>日内完成年度报告，在年度报告完成当日，将有关报告提供基金托管人复核，基金托管人在收到后</w:t>
      </w:r>
      <w:r>
        <w:rPr>
          <w:rFonts w:ascii="Arial Unicode MS" w:hAnsi="Arial Unicode MS" w:cs="Arial" w:hint="eastAsia"/>
          <w:kern w:val="0"/>
          <w:szCs w:val="21"/>
        </w:rPr>
        <w:t>45</w:t>
      </w:r>
      <w:r>
        <w:rPr>
          <w:rFonts w:ascii="Arial Unicode MS" w:hAnsi="Arial Unicode MS" w:cs="Arial" w:hint="eastAsia"/>
          <w:kern w:val="0"/>
          <w:szCs w:val="21"/>
        </w:rPr>
        <w:t>日内复核，并将复核结果书面通知基金管理人。</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托管人在复核过程中，发现相关各方的报表存在不符时，基金管理人和基金托管人应共同查明原因，进行调整，调整以相关各方认可的账务处理方式为准。核对无误后，基金托管人在基金管理人提供的报告上加盖印鉴或者出具加盖托管业务部门业务章的复核意见书，相关各方各自留存一份。如果基金管理人与基金托管人不能</w:t>
      </w:r>
      <w:proofErr w:type="gramStart"/>
      <w:r>
        <w:rPr>
          <w:rFonts w:ascii="Arial Unicode MS" w:hAnsi="Arial Unicode MS" w:cs="Arial" w:hint="eastAsia"/>
          <w:kern w:val="0"/>
          <w:szCs w:val="21"/>
        </w:rPr>
        <w:t>于应当</w:t>
      </w:r>
      <w:proofErr w:type="gramEnd"/>
      <w:r>
        <w:rPr>
          <w:rFonts w:ascii="Arial Unicode MS" w:hAnsi="Arial Unicode MS" w:cs="Arial" w:hint="eastAsia"/>
          <w:kern w:val="0"/>
          <w:szCs w:val="21"/>
        </w:rPr>
        <w:t>发布公告之日之前就相关报表达成一致，基金管理人有权按照其编制的报表对外发布公告，基金托管人有权就相关情况报证监会备案。</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基金托管人在对财务会计报告、中期报告或年度报告复核完毕后，需盖章确认或出具相应的复核确认书，以</w:t>
      </w:r>
      <w:proofErr w:type="gramStart"/>
      <w:r>
        <w:rPr>
          <w:rFonts w:ascii="Arial Unicode MS" w:hAnsi="Arial Unicode MS" w:cs="Arial" w:hint="eastAsia"/>
          <w:kern w:val="0"/>
          <w:szCs w:val="21"/>
        </w:rPr>
        <w:t>备有权</w:t>
      </w:r>
      <w:proofErr w:type="gramEnd"/>
      <w:r>
        <w:rPr>
          <w:rFonts w:ascii="Arial Unicode MS" w:hAnsi="Arial Unicode MS" w:cs="Arial" w:hint="eastAsia"/>
          <w:kern w:val="0"/>
          <w:szCs w:val="21"/>
        </w:rPr>
        <w:t>机构对相关文件审核时提示。</w:t>
      </w:r>
    </w:p>
    <w:p w:rsidR="004C06C5" w:rsidRDefault="00ED474B">
      <w:pPr>
        <w:adjustRightInd w:val="0"/>
        <w:snapToGrid w:val="0"/>
        <w:spacing w:line="360" w:lineRule="auto"/>
        <w:ind w:firstLineChars="200" w:firstLine="422"/>
        <w:rPr>
          <w:rFonts w:ascii="Arial Unicode MS" w:hAnsi="Arial Unicode MS" w:cs="Arial"/>
          <w:b/>
          <w:szCs w:val="21"/>
        </w:rPr>
      </w:pPr>
      <w:bookmarkStart w:id="151" w:name="_Hlt47837242"/>
      <w:bookmarkEnd w:id="151"/>
      <w:r>
        <w:rPr>
          <w:rFonts w:ascii="Arial Unicode MS" w:hAnsi="Arial Unicode MS" w:cs="Arial"/>
          <w:b/>
          <w:szCs w:val="21"/>
        </w:rPr>
        <w:t>六、基金份额持有人名册的保管</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基金管理人妥善保管的基金份额持有人名册，包括《基金合同》生效日、《基金合同》终止日、基金份额持有人大会权利登记日、每年</w:t>
      </w:r>
      <w:r>
        <w:rPr>
          <w:rFonts w:ascii="Arial Unicode MS" w:hAnsi="Arial Unicode MS" w:cs="Arial" w:hint="eastAsia"/>
          <w:kern w:val="0"/>
          <w:szCs w:val="21"/>
        </w:rPr>
        <w:t>6</w:t>
      </w:r>
      <w:r>
        <w:rPr>
          <w:rFonts w:ascii="Arial Unicode MS" w:hAnsi="Arial Unicode MS" w:cs="Arial" w:hint="eastAsia"/>
          <w:kern w:val="0"/>
          <w:szCs w:val="21"/>
        </w:rPr>
        <w:t>月</w:t>
      </w:r>
      <w:r>
        <w:rPr>
          <w:rFonts w:ascii="Arial Unicode MS" w:hAnsi="Arial Unicode MS" w:cs="Arial" w:hint="eastAsia"/>
          <w:kern w:val="0"/>
          <w:szCs w:val="21"/>
        </w:rPr>
        <w:t>30</w:t>
      </w:r>
      <w:r>
        <w:rPr>
          <w:rFonts w:ascii="Arial Unicode MS" w:hAnsi="Arial Unicode MS" w:cs="Arial" w:hint="eastAsia"/>
          <w:kern w:val="0"/>
          <w:szCs w:val="21"/>
        </w:rPr>
        <w:t>日、</w:t>
      </w:r>
      <w:r>
        <w:rPr>
          <w:rFonts w:ascii="Arial Unicode MS" w:hAnsi="Arial Unicode MS" w:cs="Arial" w:hint="eastAsia"/>
          <w:kern w:val="0"/>
          <w:szCs w:val="21"/>
        </w:rPr>
        <w:t>12</w:t>
      </w:r>
      <w:r>
        <w:rPr>
          <w:rFonts w:ascii="Arial Unicode MS" w:hAnsi="Arial Unicode MS" w:cs="Arial" w:hint="eastAsia"/>
          <w:kern w:val="0"/>
          <w:szCs w:val="21"/>
        </w:rPr>
        <w:t>月</w:t>
      </w:r>
      <w:r>
        <w:rPr>
          <w:rFonts w:ascii="Arial Unicode MS" w:hAnsi="Arial Unicode MS" w:cs="Arial" w:hint="eastAsia"/>
          <w:kern w:val="0"/>
          <w:szCs w:val="21"/>
        </w:rPr>
        <w:t>31</w:t>
      </w:r>
      <w:r>
        <w:rPr>
          <w:rFonts w:ascii="Arial Unicode MS" w:hAnsi="Arial Unicode MS" w:cs="Arial" w:hint="eastAsia"/>
          <w:kern w:val="0"/>
          <w:szCs w:val="21"/>
        </w:rPr>
        <w:t>日的基金份额持有人名册。基金份额持有人名册的内容必须包括基金份额持有人的名称和持有的基金份额。</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lastRenderedPageBreak/>
        <w:t>基金份额持有人名册由基金的基金注册登记机构根据基金管理人的指令编制和保管，基金管理人应按照目前相关规则保管基金份额持有人名册。保管方式可以采用电子或文档的形式。保管期限为</w:t>
      </w:r>
      <w:r>
        <w:rPr>
          <w:rFonts w:ascii="Arial Unicode MS" w:hAnsi="Arial Unicode MS" w:cs="Arial" w:hint="eastAsia"/>
          <w:kern w:val="0"/>
          <w:szCs w:val="21"/>
        </w:rPr>
        <w:t>15</w:t>
      </w:r>
      <w:r>
        <w:rPr>
          <w:rFonts w:ascii="Arial Unicode MS" w:hAnsi="Arial Unicode MS" w:cs="Arial" w:hint="eastAsia"/>
          <w:kern w:val="0"/>
          <w:szCs w:val="21"/>
        </w:rPr>
        <w:t>年。</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在基金托管人编制半年报和年报前，基金管理人应将每年</w:t>
      </w:r>
      <w:r>
        <w:rPr>
          <w:rFonts w:ascii="Arial Unicode MS" w:hAnsi="Arial Unicode MS" w:cs="Arial" w:hint="eastAsia"/>
          <w:kern w:val="0"/>
          <w:szCs w:val="21"/>
        </w:rPr>
        <w:t>6</w:t>
      </w:r>
      <w:r>
        <w:rPr>
          <w:rFonts w:ascii="Arial Unicode MS" w:hAnsi="Arial Unicode MS" w:cs="Arial" w:hint="eastAsia"/>
          <w:kern w:val="0"/>
          <w:szCs w:val="21"/>
        </w:rPr>
        <w:t>月</w:t>
      </w:r>
      <w:r>
        <w:rPr>
          <w:rFonts w:ascii="Arial Unicode MS" w:hAnsi="Arial Unicode MS" w:cs="Arial" w:hint="eastAsia"/>
          <w:kern w:val="0"/>
          <w:szCs w:val="21"/>
        </w:rPr>
        <w:t>30</w:t>
      </w:r>
      <w:r>
        <w:rPr>
          <w:rFonts w:ascii="Arial Unicode MS" w:hAnsi="Arial Unicode MS" w:cs="Arial" w:hint="eastAsia"/>
          <w:kern w:val="0"/>
          <w:szCs w:val="21"/>
        </w:rPr>
        <w:t>日、</w:t>
      </w:r>
      <w:r>
        <w:rPr>
          <w:rFonts w:ascii="Arial Unicode MS" w:hAnsi="Arial Unicode MS" w:cs="Arial" w:hint="eastAsia"/>
          <w:kern w:val="0"/>
          <w:szCs w:val="21"/>
        </w:rPr>
        <w:t>12</w:t>
      </w:r>
      <w:r>
        <w:rPr>
          <w:rFonts w:ascii="Arial Unicode MS" w:hAnsi="Arial Unicode MS" w:cs="Arial" w:hint="eastAsia"/>
          <w:kern w:val="0"/>
          <w:szCs w:val="21"/>
        </w:rPr>
        <w:t>月</w:t>
      </w:r>
      <w:r>
        <w:rPr>
          <w:rFonts w:ascii="Arial Unicode MS" w:hAnsi="Arial Unicode MS" w:cs="Arial" w:hint="eastAsia"/>
          <w:kern w:val="0"/>
          <w:szCs w:val="21"/>
        </w:rPr>
        <w:t>31</w:t>
      </w:r>
      <w:r>
        <w:rPr>
          <w:rFonts w:ascii="Arial Unicode MS" w:hAnsi="Arial Unicode MS" w:cs="Arial" w:hint="eastAsia"/>
          <w:kern w:val="0"/>
          <w:szCs w:val="21"/>
        </w:rPr>
        <w:t>日的基金持有人名册送交基金托管人，文件方式可以采用电子或文档的形式并且保证其的真实、准确、完整。基金托管人应妥善保管，不得将持有人名册用于基金托管业务以外的其他用途。</w:t>
      </w:r>
    </w:p>
    <w:p w:rsidR="004C06C5" w:rsidRDefault="00ED474B">
      <w:pPr>
        <w:adjustRightInd w:val="0"/>
        <w:snapToGrid w:val="0"/>
        <w:spacing w:line="360" w:lineRule="auto"/>
        <w:ind w:firstLineChars="200" w:firstLine="422"/>
        <w:rPr>
          <w:rFonts w:ascii="Arial Unicode MS" w:hAnsi="Arial Unicode MS" w:cs="Arial"/>
          <w:b/>
          <w:szCs w:val="21"/>
        </w:rPr>
      </w:pPr>
      <w:r>
        <w:rPr>
          <w:rFonts w:ascii="Arial Unicode MS" w:hAnsi="Arial Unicode MS" w:cs="Arial"/>
          <w:b/>
          <w:szCs w:val="21"/>
        </w:rPr>
        <w:t>七、争议解决方式</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（一）本协议适用中华人民共和国法律（为本协议之目的，在此不包括香港、澳门特别行政区和台湾地区法律），并从其解释。</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二）相关各方当事人同意，因本协议而产生的或与本协议有关的一切争议，除经友好协商可以解决的，应提交华南国际经济贸易仲裁委员会，根据该会届时有效的仲裁规则进行仲裁，仲裁的地点在深圳，仲裁裁决是终局性的并对相关各方均有约束力，仲裁费用由败诉方承担。</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争议处理期间，相关各方当事人应恪守基金管理人和基金托管人职责，继续忠实、勤勉、尽责地履行《基金合同》和本托管协议规定的义务，维护基金份额持有人的合法权益。</w:t>
      </w:r>
    </w:p>
    <w:p w:rsidR="004C06C5" w:rsidRDefault="00ED474B">
      <w:pPr>
        <w:adjustRightInd w:val="0"/>
        <w:snapToGrid w:val="0"/>
        <w:spacing w:line="360" w:lineRule="auto"/>
        <w:ind w:firstLineChars="200" w:firstLine="422"/>
        <w:rPr>
          <w:rFonts w:ascii="Arial Unicode MS" w:hAnsi="Arial Unicode MS" w:cs="Arial"/>
          <w:b/>
          <w:szCs w:val="21"/>
        </w:rPr>
      </w:pPr>
      <w:r>
        <w:rPr>
          <w:rFonts w:ascii="Arial Unicode MS" w:hAnsi="Arial Unicode MS" w:cs="Arial"/>
          <w:b/>
          <w:szCs w:val="21"/>
        </w:rPr>
        <w:t>八、</w:t>
      </w:r>
      <w:r>
        <w:rPr>
          <w:rFonts w:ascii="Arial Unicode MS" w:hAnsi="Arial Unicode MS" w:cs="Arial" w:hint="eastAsia"/>
          <w:b/>
          <w:szCs w:val="21"/>
        </w:rPr>
        <w:t>基金托管协议的变更、终止与基金财产的清算</w:t>
      </w:r>
    </w:p>
    <w:p w:rsidR="004C06C5" w:rsidRDefault="00ED474B">
      <w:pPr>
        <w:adjustRightInd w:val="0"/>
        <w:snapToGrid w:val="0"/>
        <w:spacing w:line="360" w:lineRule="auto"/>
        <w:ind w:firstLineChars="200" w:firstLine="420"/>
        <w:rPr>
          <w:rFonts w:ascii="Arial Unicode MS" w:hAnsi="Arial Unicode MS" w:cs="Arial"/>
          <w:kern w:val="0"/>
          <w:szCs w:val="21"/>
        </w:rPr>
      </w:pPr>
      <w:bookmarkStart w:id="152" w:name="_Toc510842757"/>
      <w:r>
        <w:rPr>
          <w:rFonts w:ascii="Arial Unicode MS" w:hAnsi="Arial Unicode MS" w:cs="Arial" w:hint="eastAsia"/>
          <w:kern w:val="0"/>
          <w:szCs w:val="21"/>
        </w:rPr>
        <w:t>（一）托管协议的变更与终止</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托管协议的变更程序</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协议双方当事人经协商一致，可以对协议的内容进行变更。变更后的托管协议，其内容不得与《基金合同》的规定有任何冲突，并需经基金管理人、基金托管人加盖公章或合同专用章以及双方法定代表人或授权代理人签字（或盖章）确认。基金托管协议的变更报中国证监会核准后生效。</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基金托管协议终止的情形</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发生以下情况，本托管协议终止：</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hint="eastAsia"/>
          <w:kern w:val="0"/>
          <w:szCs w:val="21"/>
        </w:rPr>
        <w:t>）《基金合同》终止；</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）基金托管人解散、依法被撤销、破产或有其他基金托管人接管基金资产；</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3</w:t>
      </w:r>
      <w:r>
        <w:rPr>
          <w:rFonts w:ascii="Arial Unicode MS" w:hAnsi="Arial Unicode MS" w:cs="Arial" w:hint="eastAsia"/>
          <w:kern w:val="0"/>
          <w:szCs w:val="21"/>
        </w:rPr>
        <w:t>）基金管理人解散、依法被撤销、破产或有其他基金管理人接管基金管理权；</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4</w:t>
      </w:r>
      <w:r>
        <w:rPr>
          <w:rFonts w:ascii="Arial Unicode MS" w:hAnsi="Arial Unicode MS" w:cs="Arial" w:hint="eastAsia"/>
          <w:kern w:val="0"/>
          <w:szCs w:val="21"/>
        </w:rPr>
        <w:t>）发生法律法规或《基金合同》规定的终止事项。</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（二）基金财产的清算</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基金财产清算小组：自出现《基金合同》终止事由之日起</w:t>
      </w:r>
      <w:r>
        <w:rPr>
          <w:rFonts w:ascii="Arial Unicode MS" w:hAnsi="Arial Unicode MS" w:cs="Arial" w:hint="eastAsia"/>
          <w:kern w:val="0"/>
          <w:szCs w:val="21"/>
        </w:rPr>
        <w:t>30</w:t>
      </w:r>
      <w:r>
        <w:rPr>
          <w:rFonts w:ascii="Arial Unicode MS" w:hAnsi="Arial Unicode MS" w:cs="Arial" w:hint="eastAsia"/>
          <w:kern w:val="0"/>
          <w:szCs w:val="21"/>
        </w:rPr>
        <w:t>个工作日内成立清算小组，基金管理人组织基金财产清算小组并在中国证监会的监督下进行基金清算。</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lastRenderedPageBreak/>
        <w:t>2.</w:t>
      </w:r>
      <w:r>
        <w:rPr>
          <w:rFonts w:ascii="Arial Unicode MS" w:hAnsi="Arial Unicode MS" w:cs="Arial" w:hint="eastAsia"/>
          <w:kern w:val="0"/>
          <w:szCs w:val="21"/>
        </w:rPr>
        <w:t>基金财产清算小组组成：基金财产清算小组成员由基金管理人、基金托管人、</w:t>
      </w:r>
      <w:r>
        <w:rPr>
          <w:rFonts w:ascii="Arial Unicode MS" w:hAnsi="Arial Unicode MS" w:cs="Arial" w:hint="eastAsia"/>
          <w:szCs w:val="21"/>
        </w:rPr>
        <w:t>具有证券、期货相关业务资格的</w:t>
      </w:r>
      <w:r>
        <w:rPr>
          <w:rFonts w:ascii="Arial Unicode MS" w:hAnsi="Arial Unicode MS" w:cs="Arial" w:hint="eastAsia"/>
          <w:kern w:val="0"/>
          <w:szCs w:val="21"/>
        </w:rPr>
        <w:t>注册会计师、律师以及中国证监会指定的人员组成。基金财产清算小组可以聘用必要的工作人员。</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3.</w:t>
      </w:r>
      <w:r>
        <w:rPr>
          <w:rFonts w:ascii="Arial Unicode MS" w:hAnsi="Arial Unicode MS" w:cs="Arial" w:hint="eastAsia"/>
          <w:kern w:val="0"/>
          <w:szCs w:val="21"/>
        </w:rPr>
        <w:t>基金财产清算小组职责：基金财产清算小组负责基金财产的保管、清理、估价、变现和分配。基金财产清算小组可以依法进行必要的民事活动。</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4.</w:t>
      </w:r>
      <w:r>
        <w:rPr>
          <w:rFonts w:ascii="Arial Unicode MS" w:hAnsi="Arial Unicode MS" w:cs="Arial" w:hint="eastAsia"/>
          <w:kern w:val="0"/>
          <w:szCs w:val="21"/>
        </w:rPr>
        <w:t>基金财产清算程序：</w:t>
      </w:r>
      <w:r>
        <w:rPr>
          <w:rFonts w:ascii="Arial Unicode MS" w:hAnsi="Arial Unicode MS" w:cs="Arial" w:hint="eastAsia"/>
          <w:kern w:val="0"/>
          <w:szCs w:val="21"/>
        </w:rPr>
        <w:tab/>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hint="eastAsia"/>
          <w:kern w:val="0"/>
          <w:szCs w:val="21"/>
        </w:rPr>
        <w:t>）《基金合同》终止后，由基金财产清算小组统一接管基金；</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）对基金财产和债权债务进行清理和确认；</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3</w:t>
      </w:r>
      <w:r>
        <w:rPr>
          <w:rFonts w:ascii="Arial Unicode MS" w:hAnsi="Arial Unicode MS" w:cs="Arial" w:hint="eastAsia"/>
          <w:kern w:val="0"/>
          <w:szCs w:val="21"/>
        </w:rPr>
        <w:t>）对基金财产进行估值和变现；</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4</w:t>
      </w:r>
      <w:r>
        <w:rPr>
          <w:rFonts w:ascii="Arial Unicode MS" w:hAnsi="Arial Unicode MS" w:cs="Arial" w:hint="eastAsia"/>
          <w:kern w:val="0"/>
          <w:szCs w:val="21"/>
        </w:rPr>
        <w:t>）制作清算报告；</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5</w:t>
      </w:r>
      <w:r>
        <w:rPr>
          <w:rFonts w:ascii="Arial Unicode MS" w:hAnsi="Arial Unicode MS" w:cs="Arial" w:hint="eastAsia"/>
          <w:kern w:val="0"/>
          <w:szCs w:val="21"/>
        </w:rPr>
        <w:t>）聘请</w:t>
      </w:r>
      <w:r>
        <w:rPr>
          <w:rFonts w:ascii="Arial Unicode MS" w:hAnsi="Arial Unicode MS" w:cs="Arial" w:hint="eastAsia"/>
          <w:szCs w:val="21"/>
        </w:rPr>
        <w:t>具有证券、期货相关业务资格的</w:t>
      </w:r>
      <w:r>
        <w:rPr>
          <w:rFonts w:ascii="Arial Unicode MS" w:hAnsi="Arial Unicode MS" w:cs="Arial" w:hint="eastAsia"/>
          <w:kern w:val="0"/>
          <w:szCs w:val="21"/>
        </w:rPr>
        <w:t>会计师事务所对清算报告进行外部审计，聘请律师事务所对清算报告出具法律意见书；</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6</w:t>
      </w:r>
      <w:r>
        <w:rPr>
          <w:rFonts w:ascii="Arial Unicode MS" w:hAnsi="Arial Unicode MS" w:cs="Arial" w:hint="eastAsia"/>
          <w:kern w:val="0"/>
          <w:szCs w:val="21"/>
        </w:rPr>
        <w:t>）将清算报告报告中国证监会备案并公告；</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7</w:t>
      </w:r>
      <w:r>
        <w:rPr>
          <w:rFonts w:ascii="Arial Unicode MS" w:hAnsi="Arial Unicode MS" w:cs="Arial" w:hint="eastAsia"/>
          <w:kern w:val="0"/>
          <w:szCs w:val="21"/>
        </w:rPr>
        <w:t>）对基金财产进行分配；</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 xml:space="preserve">5. </w:t>
      </w:r>
      <w:r>
        <w:rPr>
          <w:rFonts w:ascii="Arial Unicode MS" w:hAnsi="Arial Unicode MS" w:cs="Arial" w:hint="eastAsia"/>
          <w:kern w:val="0"/>
          <w:szCs w:val="21"/>
        </w:rPr>
        <w:t>基金财产清算的期限为</w:t>
      </w:r>
      <w:r>
        <w:rPr>
          <w:rFonts w:ascii="Arial Unicode MS" w:hAnsi="Arial Unicode MS" w:cs="Arial" w:hint="eastAsia"/>
          <w:kern w:val="0"/>
          <w:szCs w:val="21"/>
        </w:rPr>
        <w:t>6</w:t>
      </w:r>
      <w:r>
        <w:rPr>
          <w:rFonts w:ascii="Arial Unicode MS" w:hAnsi="Arial Unicode MS" w:cs="Arial" w:hint="eastAsia"/>
          <w:kern w:val="0"/>
          <w:szCs w:val="21"/>
        </w:rPr>
        <w:t>个月，但因本基金所持证券的流动性受到限制而不能及时变现的，清算期限相应顺延。</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6.</w:t>
      </w:r>
      <w:r>
        <w:rPr>
          <w:rFonts w:ascii="Arial Unicode MS" w:hAnsi="Arial Unicode MS" w:cs="Arial" w:hint="eastAsia"/>
          <w:kern w:val="0"/>
          <w:szCs w:val="21"/>
        </w:rPr>
        <w:t>清算费用</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清算费用是指基金清算小组在进行基金清算过程中发生的所有合理费用，清算费用由基金清算小组优先从基金财产中支付。</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 xml:space="preserve">7. </w:t>
      </w:r>
      <w:r>
        <w:rPr>
          <w:rFonts w:ascii="Arial Unicode MS" w:hAnsi="Arial Unicode MS" w:cs="Arial" w:hint="eastAsia"/>
          <w:kern w:val="0"/>
          <w:szCs w:val="21"/>
        </w:rPr>
        <w:t>基金财产清算剩余资产的分配</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依据基金财产清算的分配方案，将基金财产清算后的全部剩余资产扣除基金财产清算费用、交纳所欠税款并清偿基金债务后，按基金份额持有人持有的基金份额比例进行分配。</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（三）基金财产清算的公告</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清算过程中的有关重大事项须及时公告；基金财产清算报告经</w:t>
      </w:r>
      <w:r>
        <w:rPr>
          <w:rFonts w:ascii="Arial Unicode MS" w:hAnsi="Arial Unicode MS" w:cs="Arial" w:hint="eastAsia"/>
          <w:szCs w:val="21"/>
        </w:rPr>
        <w:t>具有证券、期货相关业务资格的</w:t>
      </w:r>
      <w:r>
        <w:rPr>
          <w:rFonts w:ascii="Arial Unicode MS" w:hAnsi="Arial Unicode MS" w:cs="Arial" w:hint="eastAsia"/>
          <w:kern w:val="0"/>
          <w:szCs w:val="21"/>
        </w:rPr>
        <w:t>会计师事务所审计并由律师事务所出具法律意见书后报中国证监会备案并公告。基金财产清算公告于《基金合同》终止并报中国证监会备案后</w:t>
      </w:r>
      <w:r>
        <w:rPr>
          <w:rFonts w:ascii="Arial Unicode MS" w:hAnsi="Arial Unicode MS" w:cs="Arial" w:hint="eastAsia"/>
          <w:kern w:val="0"/>
          <w:szCs w:val="21"/>
        </w:rPr>
        <w:t>5</w:t>
      </w:r>
      <w:r>
        <w:rPr>
          <w:rFonts w:ascii="Arial Unicode MS" w:hAnsi="Arial Unicode MS" w:cs="Arial" w:hint="eastAsia"/>
          <w:kern w:val="0"/>
          <w:szCs w:val="21"/>
        </w:rPr>
        <w:t>个工作日内由基金财产清算小组进行公告。</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（四）基金财产清算账册及文件的保存</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基金财产清算账册及有关文件由基金托管人保存</w:t>
      </w:r>
      <w:r>
        <w:rPr>
          <w:rFonts w:ascii="Arial Unicode MS" w:hAnsi="Arial Unicode MS" w:cs="Arial" w:hint="eastAsia"/>
          <w:kern w:val="0"/>
          <w:szCs w:val="21"/>
        </w:rPr>
        <w:t>15</w:t>
      </w:r>
      <w:r>
        <w:rPr>
          <w:rFonts w:ascii="Arial Unicode MS" w:hAnsi="Arial Unicode MS" w:cs="Arial" w:hint="eastAsia"/>
          <w:kern w:val="0"/>
          <w:szCs w:val="21"/>
        </w:rPr>
        <w:t>年以上。</w:t>
      </w:r>
    </w:p>
    <w:p w:rsidR="004C06C5" w:rsidRDefault="00ED474B">
      <w:pPr>
        <w:pStyle w:val="11"/>
        <w:snapToGrid w:val="0"/>
        <w:spacing w:before="0" w:after="0" w:line="360" w:lineRule="auto"/>
        <w:ind w:firstLineChars="150" w:firstLine="360"/>
        <w:rPr>
          <w:rFonts w:ascii="Arial Unicode MS" w:eastAsia="宋体" w:hAnsi="Arial Unicode MS" w:cs="Arial"/>
          <w:b/>
          <w:bCs/>
          <w:sz w:val="28"/>
          <w:szCs w:val="28"/>
        </w:rPr>
      </w:pPr>
      <w:r>
        <w:rPr>
          <w:rFonts w:ascii="Arial Unicode MS" w:hAnsi="Arial Unicode MS" w:cs="Arial"/>
          <w:szCs w:val="21"/>
        </w:rPr>
        <w:br w:type="page"/>
      </w:r>
      <w:bookmarkStart w:id="153" w:name="_Toc12357176"/>
      <w:bookmarkStart w:id="154" w:name="_Toc21073396"/>
      <w:bookmarkStart w:id="155" w:name="_Toc147463123"/>
      <w:bookmarkStart w:id="156" w:name="_Toc214873621"/>
      <w:bookmarkStart w:id="157" w:name="_Toc317088165"/>
      <w:bookmarkStart w:id="158" w:name="_Toc317088554"/>
      <w:bookmarkStart w:id="159" w:name="_Toc320887659"/>
      <w:bookmarkStart w:id="160" w:name="_Toc335232708"/>
      <w:bookmarkStart w:id="161" w:name="_Toc1464075"/>
      <w:bookmarkEnd w:id="152"/>
      <w:r>
        <w:rPr>
          <w:rFonts w:ascii="Arial Unicode MS" w:eastAsia="宋体" w:hAnsi="Arial Unicode MS" w:cs="Arial"/>
          <w:b/>
          <w:bCs/>
          <w:sz w:val="28"/>
          <w:szCs w:val="28"/>
        </w:rPr>
        <w:lastRenderedPageBreak/>
        <w:t>第二十部分</w:t>
      </w:r>
      <w:r>
        <w:rPr>
          <w:rFonts w:ascii="Arial Unicode MS" w:eastAsia="宋体" w:hAnsi="Arial Unicode MS" w:cs="Arial"/>
          <w:b/>
          <w:bCs/>
          <w:sz w:val="28"/>
          <w:szCs w:val="28"/>
        </w:rPr>
        <w:t xml:space="preserve">  </w:t>
      </w:r>
      <w:bookmarkEnd w:id="153"/>
      <w:bookmarkEnd w:id="154"/>
      <w:bookmarkEnd w:id="155"/>
      <w:r>
        <w:rPr>
          <w:rFonts w:ascii="Arial Unicode MS" w:eastAsia="宋体" w:hAnsi="Arial Unicode MS" w:cs="Arial"/>
          <w:b/>
          <w:bCs/>
          <w:sz w:val="28"/>
          <w:szCs w:val="28"/>
        </w:rPr>
        <w:t>对基金份额持有人的服务</w:t>
      </w:r>
      <w:bookmarkEnd w:id="156"/>
      <w:bookmarkEnd w:id="157"/>
      <w:bookmarkEnd w:id="158"/>
      <w:bookmarkEnd w:id="159"/>
      <w:bookmarkEnd w:id="160"/>
      <w:bookmarkEnd w:id="161"/>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基金管理人承诺为基金份额持有人提供一系列服务，基金管理人根据基金份额持有人的需要和市场的变化，有权增加或变更服务项目。主要服务内容如下：</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（一）电话人工咨询服务</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投资者可以通过拨打基金管理人客服热线转人工坐席，进行基金业务的相关咨询，人工坐席服务时间为每周一至周五上午</w:t>
      </w:r>
      <w:r>
        <w:rPr>
          <w:rFonts w:ascii="Arial Unicode MS" w:hAnsi="Arial Unicode MS" w:cs="Arial"/>
          <w:kern w:val="0"/>
          <w:szCs w:val="21"/>
        </w:rPr>
        <w:t>9:00-11:30</w:t>
      </w:r>
      <w:r>
        <w:rPr>
          <w:rFonts w:ascii="Arial Unicode MS" w:hAnsi="Arial Unicode MS" w:cs="Arial" w:hint="eastAsia"/>
          <w:kern w:val="0"/>
          <w:szCs w:val="21"/>
        </w:rPr>
        <w:t>，下午</w:t>
      </w:r>
      <w:r>
        <w:rPr>
          <w:rFonts w:ascii="Arial Unicode MS" w:hAnsi="Arial Unicode MS" w:cs="Arial"/>
          <w:kern w:val="0"/>
          <w:szCs w:val="21"/>
        </w:rPr>
        <w:t>13:00-17:00</w:t>
      </w:r>
      <w:r>
        <w:rPr>
          <w:rFonts w:ascii="Arial Unicode MS" w:hAnsi="Arial Unicode MS" w:cs="Arial" w:hint="eastAsia"/>
          <w:kern w:val="0"/>
          <w:szCs w:val="21"/>
        </w:rPr>
        <w:t>（法定节假日及因此导致的证券交易所休市日除外）。针对非人工服务时间内的电话留言，基金管理人将设有专员进行及时回复。</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（二）自助查询服务</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投资者可通过基金管理人呼叫中心自动语音系统、基金管理人网上账户查询系统进行账户余额、交易情况、基金净值等信息查询。</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（三）邮件咨询服务</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投资者可通过电子邮件的形式向基金管理人提出疑问，针对投资者的问题，基金管理人将设有专员进行及时回复。</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（四）免费信息订阅服务</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为了给投资者带来良好的服务体验，基金管理人除了交易确认短信外，提供多个渠道的免费信息订阅服务。投资人可以通过基金管理人网站、客服热线等渠道提交信息定制申请，在申请获基金管理人确认后，基金管理人将通过手机短信、电子邮件等方式为客户发送所定制的信息。通过手机短信可定制的信息包括：月度短信账单、持有基金周末净值等；通过邮件定制的信息包括：电子对账单等信息。基金管理人将根据业务发展需要和实际情况，适时调整发送的定制信息内容。</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（五）资料邮寄服务</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基金管理人可免费为基金投资人提供基金持有证明和交易对账单邮寄服务。投资者可根据需要，通过基金管理人网站或客服热线定制、修改或取消该服务。</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（六）客户投诉受理服务</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投资人可以通过客服热线、书信、电子邮件等渠道，对基金管理人和销售机构所提供的服务进行投诉。</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对于工作日期间受理的投诉，以“及时回复”为处理原则，对于不能及时回复的投诉，基金管理人承诺在</w:t>
      </w:r>
      <w:r>
        <w:rPr>
          <w:rFonts w:ascii="Arial Unicode MS" w:hAnsi="Arial Unicode MS" w:cs="Arial"/>
          <w:kern w:val="0"/>
          <w:szCs w:val="21"/>
        </w:rPr>
        <w:t xml:space="preserve"> 3 </w:t>
      </w:r>
      <w:proofErr w:type="gramStart"/>
      <w:r>
        <w:rPr>
          <w:rFonts w:ascii="Arial Unicode MS" w:hAnsi="Arial Unicode MS" w:cs="Arial" w:hint="eastAsia"/>
          <w:kern w:val="0"/>
          <w:szCs w:val="21"/>
        </w:rPr>
        <w:t>个</w:t>
      </w:r>
      <w:proofErr w:type="gramEnd"/>
      <w:r>
        <w:rPr>
          <w:rFonts w:ascii="Arial Unicode MS" w:hAnsi="Arial Unicode MS" w:cs="Arial" w:hint="eastAsia"/>
          <w:kern w:val="0"/>
          <w:szCs w:val="21"/>
        </w:rPr>
        <w:t>工作日之内对基金投资人的投诉做出回复。对于非工作日提出的投诉，基金管理人将在顺延到下</w:t>
      </w:r>
      <w:r>
        <w:rPr>
          <w:rFonts w:ascii="Arial Unicode MS" w:hAnsi="Arial Unicode MS" w:cs="Arial"/>
          <w:kern w:val="0"/>
          <w:szCs w:val="21"/>
        </w:rPr>
        <w:t xml:space="preserve"> 1 </w:t>
      </w:r>
      <w:proofErr w:type="gramStart"/>
      <w:r>
        <w:rPr>
          <w:rFonts w:ascii="Arial Unicode MS" w:hAnsi="Arial Unicode MS" w:cs="Arial" w:hint="eastAsia"/>
          <w:kern w:val="0"/>
          <w:szCs w:val="21"/>
        </w:rPr>
        <w:t>个</w:t>
      </w:r>
      <w:proofErr w:type="gramEnd"/>
      <w:r>
        <w:rPr>
          <w:rFonts w:ascii="Arial Unicode MS" w:hAnsi="Arial Unicode MS" w:cs="Arial" w:hint="eastAsia"/>
          <w:kern w:val="0"/>
          <w:szCs w:val="21"/>
        </w:rPr>
        <w:t>工作日进行回复。</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（七）基金管理人联系方式</w:t>
      </w:r>
      <w:r>
        <w:rPr>
          <w:rFonts w:ascii="Arial Unicode MS" w:hAnsi="Arial Unicode MS" w:cs="Arial"/>
          <w:kern w:val="0"/>
          <w:szCs w:val="21"/>
        </w:rPr>
        <w:t xml:space="preserve"> </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公司</w:t>
      </w:r>
      <w:r>
        <w:rPr>
          <w:rFonts w:ascii="Arial Unicode MS" w:hAnsi="Arial Unicode MS" w:cs="Arial"/>
          <w:kern w:val="0"/>
          <w:szCs w:val="21"/>
        </w:rPr>
        <w:t>网址：</w:t>
      </w:r>
      <w:r>
        <w:rPr>
          <w:rFonts w:ascii="Arial Unicode MS" w:hAnsi="Arial Unicode MS" w:cs="Arial"/>
          <w:kern w:val="0"/>
          <w:szCs w:val="21"/>
        </w:rPr>
        <w:t xml:space="preserve"> www.</w:t>
      </w:r>
      <w:r>
        <w:rPr>
          <w:rFonts w:ascii="Arial Unicode MS" w:hAnsi="Arial Unicode MS" w:cs="Arial" w:hint="eastAsia"/>
          <w:kern w:val="0"/>
          <w:szCs w:val="21"/>
        </w:rPr>
        <w:t>furamc</w:t>
      </w:r>
      <w:r>
        <w:rPr>
          <w:rFonts w:ascii="Arial Unicode MS" w:hAnsi="Arial Unicode MS" w:cs="Arial"/>
          <w:kern w:val="0"/>
          <w:szCs w:val="21"/>
        </w:rPr>
        <w:t xml:space="preserve">.com </w:t>
      </w:r>
      <w:r>
        <w:rPr>
          <w:rFonts w:ascii="Arial Unicode MS" w:hAnsi="Arial Unicode MS" w:cs="Arial" w:hint="eastAsia"/>
          <w:kern w:val="0"/>
          <w:szCs w:val="21"/>
        </w:rPr>
        <w:t>.cn</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lastRenderedPageBreak/>
        <w:t>电子信箱：</w:t>
      </w:r>
      <w:r>
        <w:rPr>
          <w:rFonts w:ascii="Arial Unicode MS" w:hAnsi="Arial Unicode MS" w:cs="Arial"/>
          <w:kern w:val="0"/>
          <w:szCs w:val="21"/>
        </w:rPr>
        <w:t>service@</w:t>
      </w:r>
      <w:r>
        <w:rPr>
          <w:rFonts w:ascii="Arial Unicode MS" w:hAnsi="Arial Unicode MS" w:cs="Arial" w:hint="eastAsia"/>
          <w:kern w:val="0"/>
          <w:szCs w:val="21"/>
        </w:rPr>
        <w:t>furamc.com.cn</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客服热线：</w:t>
      </w:r>
      <w:r>
        <w:rPr>
          <w:rFonts w:ascii="Arial Unicode MS" w:hAnsi="Arial Unicode MS" w:cs="Arial"/>
          <w:kern w:val="0"/>
          <w:szCs w:val="21"/>
        </w:rPr>
        <w:t>4006855600</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客户服务部地址：深圳市福田区八卦四路</w:t>
      </w:r>
      <w:r>
        <w:rPr>
          <w:rFonts w:ascii="Arial Unicode MS" w:hAnsi="Arial Unicode MS" w:cs="Arial" w:hint="eastAsia"/>
          <w:kern w:val="0"/>
          <w:szCs w:val="21"/>
        </w:rPr>
        <w:t>52</w:t>
      </w:r>
      <w:r>
        <w:rPr>
          <w:rFonts w:ascii="Arial Unicode MS" w:hAnsi="Arial Unicode MS" w:cs="Arial" w:hint="eastAsia"/>
          <w:kern w:val="0"/>
          <w:szCs w:val="21"/>
        </w:rPr>
        <w:t>号安吉</w:t>
      </w:r>
      <w:proofErr w:type="gramStart"/>
      <w:r>
        <w:rPr>
          <w:rFonts w:ascii="Arial Unicode MS" w:hAnsi="Arial Unicode MS" w:cs="Arial" w:hint="eastAsia"/>
          <w:kern w:val="0"/>
          <w:szCs w:val="21"/>
        </w:rPr>
        <w:t>尔大厦</w:t>
      </w:r>
      <w:proofErr w:type="gramEnd"/>
      <w:r>
        <w:rPr>
          <w:rFonts w:ascii="Arial Unicode MS" w:hAnsi="Arial Unicode MS" w:cs="Arial" w:hint="eastAsia"/>
          <w:kern w:val="0"/>
          <w:szCs w:val="21"/>
        </w:rPr>
        <w:t>24</w:t>
      </w:r>
      <w:r>
        <w:rPr>
          <w:rFonts w:ascii="Arial Unicode MS" w:hAnsi="Arial Unicode MS" w:cs="Arial" w:hint="eastAsia"/>
          <w:kern w:val="0"/>
          <w:szCs w:val="21"/>
        </w:rPr>
        <w:t>层，富</w:t>
      </w:r>
      <w:proofErr w:type="gramStart"/>
      <w:r>
        <w:rPr>
          <w:rFonts w:ascii="Arial Unicode MS" w:hAnsi="Arial Unicode MS" w:cs="Arial" w:hint="eastAsia"/>
          <w:kern w:val="0"/>
          <w:szCs w:val="21"/>
        </w:rPr>
        <w:t>荣基金</w:t>
      </w:r>
      <w:proofErr w:type="gramEnd"/>
      <w:r>
        <w:rPr>
          <w:rFonts w:ascii="Arial Unicode MS" w:hAnsi="Arial Unicode MS" w:cs="Arial" w:hint="eastAsia"/>
          <w:kern w:val="0"/>
          <w:szCs w:val="21"/>
        </w:rPr>
        <w:t>管理有限公司客户服务部（收）</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邮编：</w:t>
      </w:r>
      <w:r>
        <w:rPr>
          <w:rFonts w:ascii="Arial Unicode MS" w:hAnsi="Arial Unicode MS" w:cs="Arial"/>
          <w:kern w:val="0"/>
          <w:szCs w:val="21"/>
        </w:rPr>
        <w:t>518038</w:t>
      </w:r>
    </w:p>
    <w:p w:rsidR="004C06C5" w:rsidRDefault="00ED474B">
      <w:pPr>
        <w:adjustRightInd w:val="0"/>
        <w:snapToGrid w:val="0"/>
        <w:spacing w:line="360" w:lineRule="auto"/>
        <w:ind w:firstLineChars="200" w:firstLine="420"/>
        <w:rPr>
          <w:rFonts w:ascii="Arial" w:hAnsi="Arial" w:cs="Arial"/>
          <w:b/>
          <w:bCs/>
          <w:szCs w:val="21"/>
        </w:rPr>
      </w:pPr>
      <w:r>
        <w:rPr>
          <w:rFonts w:ascii="Arial Unicode MS" w:hAnsi="Arial Unicode MS" w:cs="Arial" w:hint="eastAsia"/>
          <w:kern w:val="0"/>
          <w:szCs w:val="21"/>
        </w:rPr>
        <w:t>（八）如本招募说明书存在任何您</w:t>
      </w:r>
      <w:r>
        <w:rPr>
          <w:rFonts w:ascii="Arial Unicode MS" w:hAnsi="Arial Unicode MS" w:cs="Arial"/>
          <w:kern w:val="0"/>
          <w:szCs w:val="21"/>
        </w:rPr>
        <w:t>/</w:t>
      </w:r>
      <w:proofErr w:type="gramStart"/>
      <w:r>
        <w:rPr>
          <w:rFonts w:ascii="Arial Unicode MS" w:hAnsi="Arial Unicode MS" w:cs="Arial" w:hint="eastAsia"/>
          <w:kern w:val="0"/>
          <w:szCs w:val="21"/>
        </w:rPr>
        <w:t>贵机构</w:t>
      </w:r>
      <w:proofErr w:type="gramEnd"/>
      <w:r>
        <w:rPr>
          <w:rFonts w:ascii="Arial Unicode MS" w:hAnsi="Arial Unicode MS" w:cs="Arial" w:hint="eastAsia"/>
          <w:kern w:val="0"/>
          <w:szCs w:val="21"/>
        </w:rPr>
        <w:t>无法理解的内容，请通过</w:t>
      </w:r>
      <w:proofErr w:type="gramStart"/>
      <w:r>
        <w:rPr>
          <w:rFonts w:ascii="Arial Unicode MS" w:hAnsi="Arial Unicode MS" w:cs="Arial" w:hint="eastAsia"/>
          <w:kern w:val="0"/>
          <w:szCs w:val="21"/>
        </w:rPr>
        <w:t>上述联系</w:t>
      </w:r>
      <w:proofErr w:type="gramEnd"/>
      <w:r>
        <w:rPr>
          <w:rFonts w:ascii="Arial Unicode MS" w:hAnsi="Arial Unicode MS" w:cs="Arial" w:hint="eastAsia"/>
          <w:kern w:val="0"/>
          <w:szCs w:val="21"/>
        </w:rPr>
        <w:t>方式联系基金管理人。</w:t>
      </w:r>
      <w:proofErr w:type="gramStart"/>
      <w:r>
        <w:rPr>
          <w:rFonts w:ascii="Arial Unicode MS" w:hAnsi="Arial Unicode MS" w:cs="Arial" w:hint="eastAsia"/>
          <w:kern w:val="0"/>
          <w:szCs w:val="21"/>
        </w:rPr>
        <w:t>请确保</w:t>
      </w:r>
      <w:proofErr w:type="gramEnd"/>
      <w:r>
        <w:rPr>
          <w:rFonts w:ascii="Arial Unicode MS" w:hAnsi="Arial Unicode MS" w:cs="Arial" w:hint="eastAsia"/>
          <w:kern w:val="0"/>
          <w:szCs w:val="21"/>
        </w:rPr>
        <w:t>投资前，您</w:t>
      </w:r>
      <w:r>
        <w:rPr>
          <w:rFonts w:ascii="Arial Unicode MS" w:hAnsi="Arial Unicode MS" w:cs="Arial"/>
          <w:kern w:val="0"/>
          <w:szCs w:val="21"/>
        </w:rPr>
        <w:t>/</w:t>
      </w:r>
      <w:proofErr w:type="gramStart"/>
      <w:r>
        <w:rPr>
          <w:rFonts w:ascii="Arial Unicode MS" w:hAnsi="Arial Unicode MS" w:cs="Arial" w:hint="eastAsia"/>
          <w:kern w:val="0"/>
          <w:szCs w:val="21"/>
        </w:rPr>
        <w:t>贵机构</w:t>
      </w:r>
      <w:proofErr w:type="gramEnd"/>
      <w:r>
        <w:rPr>
          <w:rFonts w:ascii="Arial Unicode MS" w:hAnsi="Arial Unicode MS" w:cs="Arial" w:hint="eastAsia"/>
          <w:kern w:val="0"/>
          <w:szCs w:val="21"/>
        </w:rPr>
        <w:t>已经全面理解了本招募说明书。</w:t>
      </w:r>
    </w:p>
    <w:p w:rsidR="004C06C5" w:rsidRDefault="004C06C5">
      <w:pPr>
        <w:adjustRightInd w:val="0"/>
        <w:snapToGrid w:val="0"/>
        <w:spacing w:line="360" w:lineRule="auto"/>
        <w:ind w:firstLineChars="200" w:firstLine="422"/>
        <w:rPr>
          <w:rFonts w:ascii="Arial" w:hAnsi="Arial"/>
          <w:b/>
          <w:szCs w:val="21"/>
        </w:rPr>
      </w:pPr>
    </w:p>
    <w:p w:rsidR="004C06C5" w:rsidRDefault="004C06C5">
      <w:pPr>
        <w:pStyle w:val="11"/>
        <w:snapToGrid w:val="0"/>
        <w:spacing w:before="0" w:after="0" w:line="360" w:lineRule="auto"/>
        <w:ind w:firstLineChars="150" w:firstLine="360"/>
        <w:rPr>
          <w:rFonts w:ascii="Arial Unicode MS" w:hAnsi="Arial Unicode MS" w:cs="Arial"/>
          <w:szCs w:val="21"/>
        </w:rPr>
        <w:sectPr w:rsidR="004C06C5">
          <w:pgSz w:w="11906" w:h="16838"/>
          <w:pgMar w:top="1440" w:right="1800" w:bottom="1440" w:left="1800" w:header="851" w:footer="992" w:gutter="0"/>
          <w:cols w:space="720"/>
          <w:titlePg/>
          <w:docGrid w:linePitch="312"/>
        </w:sectPr>
      </w:pPr>
    </w:p>
    <w:p w:rsidR="004C06C5" w:rsidRDefault="00ED474B">
      <w:pPr>
        <w:pStyle w:val="11"/>
        <w:snapToGrid w:val="0"/>
        <w:spacing w:before="0" w:after="0" w:line="360" w:lineRule="auto"/>
        <w:ind w:firstLineChars="150" w:firstLine="422"/>
        <w:rPr>
          <w:rFonts w:ascii="Arial Unicode MS" w:eastAsia="宋体" w:hAnsi="Arial Unicode MS" w:cs="Arial"/>
          <w:b/>
          <w:bCs/>
          <w:sz w:val="28"/>
          <w:szCs w:val="28"/>
        </w:rPr>
      </w:pPr>
      <w:bookmarkStart w:id="162" w:name="_Toc256666809"/>
      <w:bookmarkStart w:id="163" w:name="_Toc256666929"/>
      <w:bookmarkStart w:id="164" w:name="_Toc482624810"/>
      <w:bookmarkStart w:id="165" w:name="_Toc30359"/>
      <w:bookmarkStart w:id="166" w:name="_Toc1464076"/>
      <w:bookmarkStart w:id="167" w:name="_Toc530223198"/>
      <w:bookmarkStart w:id="168" w:name="_Toc214873622"/>
      <w:bookmarkStart w:id="169" w:name="_Toc317088166"/>
      <w:bookmarkStart w:id="170" w:name="_Toc317088555"/>
      <w:bookmarkStart w:id="171" w:name="_Toc320887660"/>
      <w:bookmarkStart w:id="172" w:name="_Toc335232709"/>
      <w:bookmarkStart w:id="173" w:name="_Toc484165614"/>
      <w:r>
        <w:rPr>
          <w:rFonts w:ascii="Arial Unicode MS" w:eastAsia="宋体" w:hAnsi="Arial Unicode MS" w:cs="Arial" w:hint="eastAsia"/>
          <w:b/>
          <w:bCs/>
          <w:sz w:val="28"/>
          <w:szCs w:val="28"/>
        </w:rPr>
        <w:lastRenderedPageBreak/>
        <w:t>第二十一部分</w:t>
      </w:r>
      <w:r>
        <w:rPr>
          <w:rFonts w:ascii="Arial Unicode MS" w:eastAsia="宋体" w:hAnsi="Arial Unicode MS" w:cs="Arial" w:hint="eastAsia"/>
          <w:b/>
          <w:bCs/>
          <w:sz w:val="28"/>
          <w:szCs w:val="28"/>
        </w:rPr>
        <w:t xml:space="preserve">  </w:t>
      </w:r>
      <w:r>
        <w:rPr>
          <w:rFonts w:ascii="Arial Unicode MS" w:eastAsia="宋体" w:hAnsi="Arial Unicode MS" w:cs="Arial" w:hint="eastAsia"/>
          <w:b/>
          <w:bCs/>
          <w:sz w:val="28"/>
          <w:szCs w:val="28"/>
        </w:rPr>
        <w:t>其他应披露事项</w:t>
      </w:r>
      <w:bookmarkEnd w:id="162"/>
      <w:bookmarkEnd w:id="163"/>
      <w:bookmarkEnd w:id="164"/>
      <w:bookmarkEnd w:id="165"/>
      <w:bookmarkEnd w:id="166"/>
    </w:p>
    <w:tbl>
      <w:tblPr>
        <w:tblW w:w="86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75"/>
        <w:gridCol w:w="5954"/>
        <w:gridCol w:w="1984"/>
      </w:tblGrid>
      <w:tr w:rsidR="004C06C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序号</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公告事项</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披露日期</w:t>
            </w:r>
          </w:p>
        </w:tc>
      </w:tr>
      <w:tr w:rsidR="004C06C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1</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富</w:t>
            </w:r>
            <w:proofErr w:type="gramStart"/>
            <w:r>
              <w:rPr>
                <w:rFonts w:ascii="宋体" w:hAnsi="宋体" w:hint="eastAsia"/>
                <w:szCs w:val="21"/>
              </w:rPr>
              <w:t>荣基金</w:t>
            </w:r>
            <w:proofErr w:type="gramEnd"/>
            <w:r>
              <w:rPr>
                <w:rFonts w:ascii="宋体" w:hAnsi="宋体" w:hint="eastAsia"/>
                <w:szCs w:val="21"/>
              </w:rPr>
              <w:t>管理有限公司关于旗下部分基金新增深圳前海</w:t>
            </w:r>
            <w:proofErr w:type="gramStart"/>
            <w:r>
              <w:rPr>
                <w:rFonts w:ascii="宋体" w:hAnsi="宋体" w:hint="eastAsia"/>
                <w:szCs w:val="21"/>
              </w:rPr>
              <w:t>财厚基金</w:t>
            </w:r>
            <w:proofErr w:type="gramEnd"/>
            <w:r>
              <w:rPr>
                <w:rFonts w:ascii="宋体" w:hAnsi="宋体" w:hint="eastAsia"/>
                <w:szCs w:val="21"/>
              </w:rPr>
              <w:t>销售有限公司为销售机构并开通</w:t>
            </w:r>
            <w:proofErr w:type="gramStart"/>
            <w:r>
              <w:rPr>
                <w:rFonts w:ascii="宋体" w:hAnsi="宋体" w:hint="eastAsia"/>
                <w:szCs w:val="21"/>
              </w:rPr>
              <w:t>基金定投转换</w:t>
            </w:r>
            <w:proofErr w:type="gramEnd"/>
            <w:r>
              <w:rPr>
                <w:rFonts w:ascii="宋体" w:hAnsi="宋体" w:hint="eastAsia"/>
                <w:szCs w:val="21"/>
              </w:rPr>
              <w:t>业务的公告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03</w:t>
            </w:r>
            <w:r>
              <w:rPr>
                <w:rFonts w:ascii="宋体" w:hAnsi="宋体" w:hint="eastAsia"/>
                <w:szCs w:val="21"/>
              </w:rPr>
              <w:t>月</w:t>
            </w:r>
            <w:r>
              <w:rPr>
                <w:rFonts w:ascii="宋体" w:hAnsi="宋体"/>
                <w:szCs w:val="21"/>
              </w:rPr>
              <w:t>13</w:t>
            </w:r>
            <w:r>
              <w:rPr>
                <w:rFonts w:ascii="宋体" w:hAnsi="宋体" w:hint="eastAsia"/>
                <w:szCs w:val="21"/>
              </w:rPr>
              <w:t>日</w:t>
            </w:r>
          </w:p>
        </w:tc>
      </w:tr>
      <w:tr w:rsidR="004C06C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2</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富</w:t>
            </w:r>
            <w:proofErr w:type="gramStart"/>
            <w:r>
              <w:rPr>
                <w:rFonts w:ascii="宋体" w:hAnsi="宋体" w:hint="eastAsia"/>
                <w:szCs w:val="21"/>
              </w:rPr>
              <w:t>荣基金</w:t>
            </w:r>
            <w:proofErr w:type="gramEnd"/>
            <w:r>
              <w:rPr>
                <w:rFonts w:ascii="宋体" w:hAnsi="宋体" w:hint="eastAsia"/>
                <w:szCs w:val="21"/>
              </w:rPr>
              <w:t>管理有限公司关于旗下部分基金参加深圳前海</w:t>
            </w:r>
            <w:proofErr w:type="gramStart"/>
            <w:r>
              <w:rPr>
                <w:rFonts w:ascii="宋体" w:hAnsi="宋体" w:hint="eastAsia"/>
                <w:szCs w:val="21"/>
              </w:rPr>
              <w:t>财厚基金</w:t>
            </w:r>
            <w:proofErr w:type="gramEnd"/>
            <w:r>
              <w:rPr>
                <w:rFonts w:ascii="宋体" w:hAnsi="宋体" w:hint="eastAsia"/>
                <w:szCs w:val="21"/>
              </w:rPr>
              <w:t>销售有限公司基金申购及定期定额投资申购费率优惠活动的公告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03</w:t>
            </w:r>
            <w:r>
              <w:rPr>
                <w:rFonts w:ascii="宋体" w:hAnsi="宋体" w:hint="eastAsia"/>
                <w:szCs w:val="21"/>
              </w:rPr>
              <w:t>月</w:t>
            </w:r>
            <w:r>
              <w:rPr>
                <w:rFonts w:ascii="宋体" w:hAnsi="宋体"/>
                <w:szCs w:val="21"/>
              </w:rPr>
              <w:t>13</w:t>
            </w:r>
            <w:r>
              <w:rPr>
                <w:rFonts w:ascii="宋体" w:hAnsi="宋体" w:hint="eastAsia"/>
                <w:szCs w:val="21"/>
              </w:rPr>
              <w:t>日</w:t>
            </w:r>
          </w:p>
        </w:tc>
      </w:tr>
      <w:tr w:rsidR="004C06C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3</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富</w:t>
            </w:r>
            <w:proofErr w:type="gramStart"/>
            <w:r>
              <w:rPr>
                <w:rFonts w:ascii="宋体" w:hAnsi="宋体" w:hint="eastAsia"/>
                <w:szCs w:val="21"/>
              </w:rPr>
              <w:t>荣基金</w:t>
            </w:r>
            <w:proofErr w:type="gramEnd"/>
            <w:r>
              <w:rPr>
                <w:rFonts w:ascii="宋体" w:hAnsi="宋体" w:hint="eastAsia"/>
                <w:szCs w:val="21"/>
              </w:rPr>
              <w:t>管理有限公司关于旗下部分基金参加深圳前海</w:t>
            </w:r>
            <w:proofErr w:type="gramStart"/>
            <w:r>
              <w:rPr>
                <w:rFonts w:ascii="宋体" w:hAnsi="宋体" w:hint="eastAsia"/>
                <w:szCs w:val="21"/>
              </w:rPr>
              <w:t>财厚基金</w:t>
            </w:r>
            <w:proofErr w:type="gramEnd"/>
            <w:r>
              <w:rPr>
                <w:rFonts w:ascii="宋体" w:hAnsi="宋体" w:hint="eastAsia"/>
                <w:szCs w:val="21"/>
              </w:rPr>
              <w:t>销售有限公司基金转换费率优惠活动的公告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03</w:t>
            </w:r>
            <w:r>
              <w:rPr>
                <w:rFonts w:ascii="宋体" w:hAnsi="宋体" w:hint="eastAsia"/>
                <w:szCs w:val="21"/>
              </w:rPr>
              <w:t>月</w:t>
            </w:r>
            <w:r>
              <w:rPr>
                <w:rFonts w:ascii="宋体" w:hAnsi="宋体"/>
                <w:szCs w:val="21"/>
              </w:rPr>
              <w:t>13</w:t>
            </w:r>
            <w:r>
              <w:rPr>
                <w:rFonts w:ascii="宋体" w:hAnsi="宋体" w:hint="eastAsia"/>
                <w:szCs w:val="21"/>
              </w:rPr>
              <w:t>日</w:t>
            </w:r>
          </w:p>
        </w:tc>
      </w:tr>
      <w:tr w:rsidR="004C06C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4</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富</w:t>
            </w:r>
            <w:proofErr w:type="gramStart"/>
            <w:r>
              <w:rPr>
                <w:rFonts w:ascii="宋体" w:hAnsi="宋体" w:hint="eastAsia"/>
                <w:szCs w:val="21"/>
              </w:rPr>
              <w:t>荣基金</w:t>
            </w:r>
            <w:proofErr w:type="gramEnd"/>
            <w:r>
              <w:rPr>
                <w:rFonts w:ascii="宋体" w:hAnsi="宋体" w:hint="eastAsia"/>
                <w:szCs w:val="21"/>
              </w:rPr>
              <w:t>管理有限公司关于旗下部分基金新增上海基</w:t>
            </w:r>
            <w:proofErr w:type="gramStart"/>
            <w:r>
              <w:rPr>
                <w:rFonts w:ascii="宋体" w:hAnsi="宋体" w:hint="eastAsia"/>
                <w:szCs w:val="21"/>
              </w:rPr>
              <w:t>煜</w:t>
            </w:r>
            <w:proofErr w:type="gramEnd"/>
            <w:r>
              <w:rPr>
                <w:rFonts w:ascii="宋体" w:hAnsi="宋体" w:hint="eastAsia"/>
                <w:szCs w:val="21"/>
              </w:rPr>
              <w:t>基金销售有限公司为销售机构并开通</w:t>
            </w:r>
            <w:proofErr w:type="gramStart"/>
            <w:r>
              <w:rPr>
                <w:rFonts w:ascii="宋体" w:hAnsi="宋体" w:hint="eastAsia"/>
                <w:szCs w:val="21"/>
              </w:rPr>
              <w:t>基金定投转换</w:t>
            </w:r>
            <w:proofErr w:type="gramEnd"/>
            <w:r>
              <w:rPr>
                <w:rFonts w:ascii="宋体" w:hAnsi="宋体" w:hint="eastAsia"/>
                <w:szCs w:val="21"/>
              </w:rPr>
              <w:t>业务的公告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03</w:t>
            </w:r>
            <w:r>
              <w:rPr>
                <w:rFonts w:ascii="宋体" w:hAnsi="宋体" w:hint="eastAsia"/>
                <w:szCs w:val="21"/>
              </w:rPr>
              <w:t>月</w:t>
            </w:r>
            <w:r>
              <w:rPr>
                <w:rFonts w:ascii="宋体" w:hAnsi="宋体"/>
                <w:szCs w:val="21"/>
              </w:rPr>
              <w:t>16</w:t>
            </w:r>
            <w:r>
              <w:rPr>
                <w:rFonts w:ascii="宋体" w:hAnsi="宋体" w:hint="eastAsia"/>
                <w:szCs w:val="21"/>
              </w:rPr>
              <w:t>日</w:t>
            </w:r>
          </w:p>
        </w:tc>
      </w:tr>
      <w:tr w:rsidR="004C06C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5</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富</w:t>
            </w:r>
            <w:proofErr w:type="gramStart"/>
            <w:r>
              <w:rPr>
                <w:rFonts w:ascii="宋体" w:hAnsi="宋体" w:hint="eastAsia"/>
                <w:szCs w:val="21"/>
              </w:rPr>
              <w:t>荣基金</w:t>
            </w:r>
            <w:proofErr w:type="gramEnd"/>
            <w:r>
              <w:rPr>
                <w:rFonts w:ascii="宋体" w:hAnsi="宋体" w:hint="eastAsia"/>
                <w:szCs w:val="21"/>
              </w:rPr>
              <w:t>管理有限公司关于旗下部分基金参加上海基</w:t>
            </w:r>
            <w:proofErr w:type="gramStart"/>
            <w:r>
              <w:rPr>
                <w:rFonts w:ascii="宋体" w:hAnsi="宋体" w:hint="eastAsia"/>
                <w:szCs w:val="21"/>
              </w:rPr>
              <w:t>煜</w:t>
            </w:r>
            <w:proofErr w:type="gramEnd"/>
            <w:r>
              <w:rPr>
                <w:rFonts w:ascii="宋体" w:hAnsi="宋体" w:hint="eastAsia"/>
                <w:szCs w:val="21"/>
              </w:rPr>
              <w:t>基金销售有限公司基金申购及定期定额投资申购费率优惠活动的公告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03</w:t>
            </w:r>
            <w:r>
              <w:rPr>
                <w:rFonts w:ascii="宋体" w:hAnsi="宋体" w:hint="eastAsia"/>
                <w:szCs w:val="21"/>
              </w:rPr>
              <w:t>月</w:t>
            </w:r>
            <w:r>
              <w:rPr>
                <w:rFonts w:ascii="宋体" w:hAnsi="宋体"/>
                <w:szCs w:val="21"/>
              </w:rPr>
              <w:t>16</w:t>
            </w:r>
            <w:r>
              <w:rPr>
                <w:rFonts w:ascii="宋体" w:hAnsi="宋体" w:hint="eastAsia"/>
                <w:szCs w:val="21"/>
              </w:rPr>
              <w:t>日</w:t>
            </w:r>
          </w:p>
        </w:tc>
      </w:tr>
      <w:tr w:rsidR="004C06C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6</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富</w:t>
            </w:r>
            <w:proofErr w:type="gramStart"/>
            <w:r>
              <w:rPr>
                <w:rFonts w:ascii="宋体" w:hAnsi="宋体" w:hint="eastAsia"/>
                <w:szCs w:val="21"/>
              </w:rPr>
              <w:t>荣基金</w:t>
            </w:r>
            <w:proofErr w:type="gramEnd"/>
            <w:r>
              <w:rPr>
                <w:rFonts w:ascii="宋体" w:hAnsi="宋体" w:hint="eastAsia"/>
                <w:szCs w:val="21"/>
              </w:rPr>
              <w:t>管理有限公司关于旗下部分基金参加深圳盈信基金销售有限公司基金申购及定期定额投资申购费率优惠活动的公告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03</w:t>
            </w:r>
            <w:r>
              <w:rPr>
                <w:rFonts w:ascii="宋体" w:hAnsi="宋体" w:hint="eastAsia"/>
                <w:szCs w:val="21"/>
              </w:rPr>
              <w:t>月</w:t>
            </w:r>
            <w:r>
              <w:rPr>
                <w:rFonts w:ascii="宋体" w:hAnsi="宋体"/>
                <w:szCs w:val="21"/>
              </w:rPr>
              <w:t>20</w:t>
            </w:r>
            <w:r>
              <w:rPr>
                <w:rFonts w:ascii="宋体" w:hAnsi="宋体" w:hint="eastAsia"/>
                <w:szCs w:val="21"/>
              </w:rPr>
              <w:t>日</w:t>
            </w:r>
          </w:p>
        </w:tc>
      </w:tr>
      <w:tr w:rsidR="004C06C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7</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富</w:t>
            </w:r>
            <w:proofErr w:type="gramStart"/>
            <w:r>
              <w:rPr>
                <w:rFonts w:ascii="宋体" w:hAnsi="宋体" w:hint="eastAsia"/>
                <w:szCs w:val="21"/>
              </w:rPr>
              <w:t>荣基金</w:t>
            </w:r>
            <w:proofErr w:type="gramEnd"/>
            <w:r>
              <w:rPr>
                <w:rFonts w:ascii="宋体" w:hAnsi="宋体" w:hint="eastAsia"/>
                <w:szCs w:val="21"/>
              </w:rPr>
              <w:t>管理有限公司关于旗下部分基金新增深圳盈信基金销售有限公司为销售机构并开通</w:t>
            </w:r>
            <w:proofErr w:type="gramStart"/>
            <w:r>
              <w:rPr>
                <w:rFonts w:ascii="宋体" w:hAnsi="宋体" w:hint="eastAsia"/>
                <w:szCs w:val="21"/>
              </w:rPr>
              <w:t>基金定投转换</w:t>
            </w:r>
            <w:proofErr w:type="gramEnd"/>
            <w:r>
              <w:rPr>
                <w:rFonts w:ascii="宋体" w:hAnsi="宋体" w:hint="eastAsia"/>
                <w:szCs w:val="21"/>
              </w:rPr>
              <w:t>业务的公告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03</w:t>
            </w:r>
            <w:r>
              <w:rPr>
                <w:rFonts w:ascii="宋体" w:hAnsi="宋体" w:hint="eastAsia"/>
                <w:szCs w:val="21"/>
              </w:rPr>
              <w:t>月</w:t>
            </w:r>
            <w:r>
              <w:rPr>
                <w:rFonts w:ascii="宋体" w:hAnsi="宋体"/>
                <w:szCs w:val="21"/>
              </w:rPr>
              <w:t>20</w:t>
            </w:r>
            <w:r>
              <w:rPr>
                <w:rFonts w:ascii="宋体" w:hAnsi="宋体" w:hint="eastAsia"/>
                <w:szCs w:val="21"/>
              </w:rPr>
              <w:t>日</w:t>
            </w:r>
          </w:p>
        </w:tc>
      </w:tr>
      <w:tr w:rsidR="004C06C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8</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富</w:t>
            </w:r>
            <w:proofErr w:type="gramStart"/>
            <w:r>
              <w:rPr>
                <w:rFonts w:ascii="宋体" w:hAnsi="宋体" w:hint="eastAsia"/>
                <w:szCs w:val="21"/>
              </w:rPr>
              <w:t>荣基金</w:t>
            </w:r>
            <w:proofErr w:type="gramEnd"/>
            <w:r>
              <w:rPr>
                <w:rFonts w:ascii="宋体" w:hAnsi="宋体" w:hint="eastAsia"/>
                <w:szCs w:val="21"/>
              </w:rPr>
              <w:t>管理有限公司关于旗下部分基金新增上海联泰基金销售有限公司为销售机构并开通</w:t>
            </w:r>
            <w:proofErr w:type="gramStart"/>
            <w:r>
              <w:rPr>
                <w:rFonts w:ascii="宋体" w:hAnsi="宋体" w:hint="eastAsia"/>
                <w:szCs w:val="21"/>
              </w:rPr>
              <w:t>基金定投转换</w:t>
            </w:r>
            <w:proofErr w:type="gramEnd"/>
            <w:r>
              <w:rPr>
                <w:rFonts w:ascii="宋体" w:hAnsi="宋体" w:hint="eastAsia"/>
                <w:szCs w:val="21"/>
              </w:rPr>
              <w:t>业务的公告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03</w:t>
            </w:r>
            <w:r>
              <w:rPr>
                <w:rFonts w:ascii="宋体" w:hAnsi="宋体" w:hint="eastAsia"/>
                <w:szCs w:val="21"/>
              </w:rPr>
              <w:t>月</w:t>
            </w:r>
            <w:r>
              <w:rPr>
                <w:rFonts w:ascii="宋体" w:hAnsi="宋体"/>
                <w:szCs w:val="21"/>
              </w:rPr>
              <w:t>20</w:t>
            </w:r>
            <w:r>
              <w:rPr>
                <w:rFonts w:ascii="宋体" w:hAnsi="宋体" w:hint="eastAsia"/>
                <w:szCs w:val="21"/>
              </w:rPr>
              <w:t>日</w:t>
            </w:r>
          </w:p>
        </w:tc>
      </w:tr>
      <w:tr w:rsidR="004C06C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9</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富</w:t>
            </w:r>
            <w:proofErr w:type="gramStart"/>
            <w:r>
              <w:rPr>
                <w:rFonts w:ascii="宋体" w:hAnsi="宋体" w:hint="eastAsia"/>
                <w:szCs w:val="21"/>
              </w:rPr>
              <w:t>荣基金</w:t>
            </w:r>
            <w:proofErr w:type="gramEnd"/>
            <w:r>
              <w:rPr>
                <w:rFonts w:ascii="宋体" w:hAnsi="宋体" w:hint="eastAsia"/>
                <w:szCs w:val="21"/>
              </w:rPr>
              <w:t>管理有限公司关于旗下部分基金参加上海联泰基金销售有限公司基金申购及定期定额投资申购费率优惠活动的公告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03</w:t>
            </w:r>
            <w:r>
              <w:rPr>
                <w:rFonts w:ascii="宋体" w:hAnsi="宋体" w:hint="eastAsia"/>
                <w:szCs w:val="21"/>
              </w:rPr>
              <w:t>月</w:t>
            </w:r>
            <w:r>
              <w:rPr>
                <w:rFonts w:ascii="宋体" w:hAnsi="宋体"/>
                <w:szCs w:val="21"/>
              </w:rPr>
              <w:t>20</w:t>
            </w:r>
            <w:r>
              <w:rPr>
                <w:rFonts w:ascii="宋体" w:hAnsi="宋体" w:hint="eastAsia"/>
                <w:szCs w:val="21"/>
              </w:rPr>
              <w:t>日</w:t>
            </w:r>
          </w:p>
        </w:tc>
      </w:tr>
      <w:tr w:rsidR="004C06C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10</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富</w:t>
            </w:r>
            <w:proofErr w:type="gramStart"/>
            <w:r>
              <w:rPr>
                <w:rFonts w:ascii="宋体" w:hAnsi="宋体" w:hint="eastAsia"/>
                <w:szCs w:val="21"/>
              </w:rPr>
              <w:t>荣富乾债券</w:t>
            </w:r>
            <w:proofErr w:type="gramEnd"/>
            <w:r>
              <w:rPr>
                <w:rFonts w:ascii="宋体" w:hAnsi="宋体" w:hint="eastAsia"/>
                <w:szCs w:val="21"/>
              </w:rPr>
              <w:t>型证券投资基金</w:t>
            </w:r>
            <w:r>
              <w:rPr>
                <w:rFonts w:ascii="宋体" w:hAnsi="宋体"/>
                <w:szCs w:val="21"/>
              </w:rPr>
              <w:t>2018</w:t>
            </w:r>
            <w:r>
              <w:rPr>
                <w:rFonts w:ascii="宋体" w:hAnsi="宋体" w:hint="eastAsia"/>
                <w:szCs w:val="21"/>
              </w:rPr>
              <w:t>年年度报告摘要</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03</w:t>
            </w:r>
            <w:r>
              <w:rPr>
                <w:rFonts w:ascii="宋体" w:hAnsi="宋体" w:hint="eastAsia"/>
                <w:szCs w:val="21"/>
              </w:rPr>
              <w:t>月</w:t>
            </w:r>
            <w:r>
              <w:rPr>
                <w:rFonts w:ascii="宋体" w:hAnsi="宋体"/>
                <w:szCs w:val="21"/>
              </w:rPr>
              <w:t>29</w:t>
            </w:r>
            <w:r>
              <w:rPr>
                <w:rFonts w:ascii="宋体" w:hAnsi="宋体" w:hint="eastAsia"/>
                <w:szCs w:val="21"/>
              </w:rPr>
              <w:t>日</w:t>
            </w:r>
          </w:p>
        </w:tc>
      </w:tr>
      <w:tr w:rsidR="004C06C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11</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富</w:t>
            </w:r>
            <w:proofErr w:type="gramStart"/>
            <w:r>
              <w:rPr>
                <w:rFonts w:ascii="宋体" w:hAnsi="宋体" w:hint="eastAsia"/>
                <w:szCs w:val="21"/>
              </w:rPr>
              <w:t>荣基金</w:t>
            </w:r>
            <w:proofErr w:type="gramEnd"/>
            <w:r>
              <w:rPr>
                <w:rFonts w:ascii="宋体" w:hAnsi="宋体" w:hint="eastAsia"/>
                <w:szCs w:val="21"/>
              </w:rPr>
              <w:t>管理有限公司关于旗下部分基金参加华鑫证券有限责任公司基金申购及定期定额投资申购费率优惠活动的公告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04</w:t>
            </w:r>
            <w:r>
              <w:rPr>
                <w:rFonts w:ascii="宋体" w:hAnsi="宋体" w:hint="eastAsia"/>
                <w:szCs w:val="21"/>
              </w:rPr>
              <w:t>月</w:t>
            </w:r>
            <w:r>
              <w:rPr>
                <w:rFonts w:ascii="宋体" w:hAnsi="宋体"/>
                <w:szCs w:val="21"/>
              </w:rPr>
              <w:t>09</w:t>
            </w:r>
            <w:r>
              <w:rPr>
                <w:rFonts w:ascii="宋体" w:hAnsi="宋体" w:hint="eastAsia"/>
                <w:szCs w:val="21"/>
              </w:rPr>
              <w:t>日</w:t>
            </w:r>
          </w:p>
        </w:tc>
      </w:tr>
      <w:tr w:rsidR="004C06C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12</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富</w:t>
            </w:r>
            <w:proofErr w:type="gramStart"/>
            <w:r>
              <w:rPr>
                <w:rFonts w:ascii="宋体" w:hAnsi="宋体" w:hint="eastAsia"/>
                <w:szCs w:val="21"/>
              </w:rPr>
              <w:t>荣基金</w:t>
            </w:r>
            <w:proofErr w:type="gramEnd"/>
            <w:r>
              <w:rPr>
                <w:rFonts w:ascii="宋体" w:hAnsi="宋体" w:hint="eastAsia"/>
                <w:szCs w:val="21"/>
              </w:rPr>
              <w:t>管理有限公司关于旗下部分基金新增华鑫证券有限责任公司为销售机构并开通</w:t>
            </w:r>
            <w:proofErr w:type="gramStart"/>
            <w:r>
              <w:rPr>
                <w:rFonts w:ascii="宋体" w:hAnsi="宋体" w:hint="eastAsia"/>
                <w:szCs w:val="21"/>
              </w:rPr>
              <w:t>基金定投转换</w:t>
            </w:r>
            <w:proofErr w:type="gramEnd"/>
            <w:r>
              <w:rPr>
                <w:rFonts w:ascii="宋体" w:hAnsi="宋体" w:hint="eastAsia"/>
                <w:szCs w:val="21"/>
              </w:rPr>
              <w:t>业务的公告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04</w:t>
            </w:r>
            <w:r>
              <w:rPr>
                <w:rFonts w:ascii="宋体" w:hAnsi="宋体" w:hint="eastAsia"/>
                <w:szCs w:val="21"/>
              </w:rPr>
              <w:t>月</w:t>
            </w:r>
            <w:r>
              <w:rPr>
                <w:rFonts w:ascii="宋体" w:hAnsi="宋体"/>
                <w:szCs w:val="21"/>
              </w:rPr>
              <w:t>09</w:t>
            </w:r>
            <w:r>
              <w:rPr>
                <w:rFonts w:ascii="宋体" w:hAnsi="宋体" w:hint="eastAsia"/>
                <w:szCs w:val="21"/>
              </w:rPr>
              <w:t>日</w:t>
            </w:r>
          </w:p>
        </w:tc>
      </w:tr>
      <w:tr w:rsidR="004C06C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13</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富</w:t>
            </w:r>
            <w:proofErr w:type="gramStart"/>
            <w:r>
              <w:rPr>
                <w:rFonts w:ascii="宋体" w:hAnsi="宋体" w:hint="eastAsia"/>
                <w:szCs w:val="21"/>
              </w:rPr>
              <w:t>荣基金</w:t>
            </w:r>
            <w:proofErr w:type="gramEnd"/>
            <w:r>
              <w:rPr>
                <w:rFonts w:ascii="宋体" w:hAnsi="宋体" w:hint="eastAsia"/>
                <w:szCs w:val="21"/>
              </w:rPr>
              <w:t>管理有限公司关于旗下部分基金参加上海挖财基金销售有限公司基金申购及定期定额投资申购费率优惠活动的公告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04</w:t>
            </w:r>
            <w:r>
              <w:rPr>
                <w:rFonts w:ascii="宋体" w:hAnsi="宋体" w:hint="eastAsia"/>
                <w:szCs w:val="21"/>
              </w:rPr>
              <w:t>月</w:t>
            </w:r>
            <w:r>
              <w:rPr>
                <w:rFonts w:ascii="宋体" w:hAnsi="宋体"/>
                <w:szCs w:val="21"/>
              </w:rPr>
              <w:t>18</w:t>
            </w:r>
            <w:r>
              <w:rPr>
                <w:rFonts w:ascii="宋体" w:hAnsi="宋体" w:hint="eastAsia"/>
                <w:szCs w:val="21"/>
              </w:rPr>
              <w:t>日</w:t>
            </w:r>
          </w:p>
        </w:tc>
      </w:tr>
      <w:tr w:rsidR="004C06C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14</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富</w:t>
            </w:r>
            <w:proofErr w:type="gramStart"/>
            <w:r>
              <w:rPr>
                <w:rFonts w:ascii="宋体" w:hAnsi="宋体" w:hint="eastAsia"/>
                <w:szCs w:val="21"/>
              </w:rPr>
              <w:t>荣基金</w:t>
            </w:r>
            <w:proofErr w:type="gramEnd"/>
            <w:r>
              <w:rPr>
                <w:rFonts w:ascii="宋体" w:hAnsi="宋体" w:hint="eastAsia"/>
                <w:szCs w:val="21"/>
              </w:rPr>
              <w:t>管理有限公司关于旗下部分基金新增上海挖财基金销售有限公司为销售机构并开通</w:t>
            </w:r>
            <w:proofErr w:type="gramStart"/>
            <w:r>
              <w:rPr>
                <w:rFonts w:ascii="宋体" w:hAnsi="宋体" w:hint="eastAsia"/>
                <w:szCs w:val="21"/>
              </w:rPr>
              <w:t>基金定投转换</w:t>
            </w:r>
            <w:proofErr w:type="gramEnd"/>
            <w:r>
              <w:rPr>
                <w:rFonts w:ascii="宋体" w:hAnsi="宋体" w:hint="eastAsia"/>
                <w:szCs w:val="21"/>
              </w:rPr>
              <w:t>业务的公告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04</w:t>
            </w:r>
            <w:r>
              <w:rPr>
                <w:rFonts w:ascii="宋体" w:hAnsi="宋体" w:hint="eastAsia"/>
                <w:szCs w:val="21"/>
              </w:rPr>
              <w:t>月</w:t>
            </w:r>
            <w:r>
              <w:rPr>
                <w:rFonts w:ascii="宋体" w:hAnsi="宋体"/>
                <w:szCs w:val="21"/>
              </w:rPr>
              <w:t>18</w:t>
            </w:r>
            <w:r>
              <w:rPr>
                <w:rFonts w:ascii="宋体" w:hAnsi="宋体" w:hint="eastAsia"/>
                <w:szCs w:val="21"/>
              </w:rPr>
              <w:t>日</w:t>
            </w:r>
          </w:p>
        </w:tc>
      </w:tr>
      <w:tr w:rsidR="004C06C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15</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富</w:t>
            </w:r>
            <w:proofErr w:type="gramStart"/>
            <w:r>
              <w:rPr>
                <w:rFonts w:ascii="宋体" w:hAnsi="宋体" w:hint="eastAsia"/>
                <w:szCs w:val="21"/>
              </w:rPr>
              <w:t>荣基金</w:t>
            </w:r>
            <w:proofErr w:type="gramEnd"/>
            <w:r>
              <w:rPr>
                <w:rFonts w:ascii="宋体" w:hAnsi="宋体" w:hint="eastAsia"/>
                <w:szCs w:val="21"/>
              </w:rPr>
              <w:t>管理有限公司关于旗下部分基金参加诺亚正</w:t>
            </w:r>
            <w:proofErr w:type="gramStart"/>
            <w:r>
              <w:rPr>
                <w:rFonts w:ascii="宋体" w:hAnsi="宋体" w:hint="eastAsia"/>
                <w:szCs w:val="21"/>
              </w:rPr>
              <w:t>行基金</w:t>
            </w:r>
            <w:proofErr w:type="gramEnd"/>
            <w:r>
              <w:rPr>
                <w:rFonts w:ascii="宋体" w:hAnsi="宋体" w:hint="eastAsia"/>
                <w:szCs w:val="21"/>
              </w:rPr>
              <w:t>销售有限公司基金申购及定期定额投资申购费率优惠活动的公告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04</w:t>
            </w:r>
            <w:r>
              <w:rPr>
                <w:rFonts w:ascii="宋体" w:hAnsi="宋体" w:hint="eastAsia"/>
                <w:szCs w:val="21"/>
              </w:rPr>
              <w:t>月</w:t>
            </w:r>
            <w:r>
              <w:rPr>
                <w:rFonts w:ascii="宋体" w:hAnsi="宋体"/>
                <w:szCs w:val="21"/>
              </w:rPr>
              <w:t>18</w:t>
            </w:r>
            <w:r>
              <w:rPr>
                <w:rFonts w:ascii="宋体" w:hAnsi="宋体" w:hint="eastAsia"/>
                <w:szCs w:val="21"/>
              </w:rPr>
              <w:t>日</w:t>
            </w:r>
          </w:p>
        </w:tc>
      </w:tr>
      <w:tr w:rsidR="004C06C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16</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富</w:t>
            </w:r>
            <w:proofErr w:type="gramStart"/>
            <w:r>
              <w:rPr>
                <w:rFonts w:ascii="宋体" w:hAnsi="宋体" w:hint="eastAsia"/>
                <w:szCs w:val="21"/>
              </w:rPr>
              <w:t>荣基金</w:t>
            </w:r>
            <w:proofErr w:type="gramEnd"/>
            <w:r>
              <w:rPr>
                <w:rFonts w:ascii="宋体" w:hAnsi="宋体" w:hint="eastAsia"/>
                <w:szCs w:val="21"/>
              </w:rPr>
              <w:t>管理有限公司关于旗下部分基金新增诺亚正</w:t>
            </w:r>
            <w:proofErr w:type="gramStart"/>
            <w:r>
              <w:rPr>
                <w:rFonts w:ascii="宋体" w:hAnsi="宋体" w:hint="eastAsia"/>
                <w:szCs w:val="21"/>
              </w:rPr>
              <w:t>行基金</w:t>
            </w:r>
            <w:proofErr w:type="gramEnd"/>
            <w:r>
              <w:rPr>
                <w:rFonts w:ascii="宋体" w:hAnsi="宋体" w:hint="eastAsia"/>
                <w:szCs w:val="21"/>
              </w:rPr>
              <w:t>销售有限公司为销售机构并开通基金</w:t>
            </w:r>
            <w:proofErr w:type="gramStart"/>
            <w:r>
              <w:rPr>
                <w:rFonts w:ascii="宋体" w:hAnsi="宋体" w:hint="eastAsia"/>
                <w:szCs w:val="21"/>
              </w:rPr>
              <w:t>定投业务</w:t>
            </w:r>
            <w:proofErr w:type="gramEnd"/>
            <w:r>
              <w:rPr>
                <w:rFonts w:ascii="宋体" w:hAnsi="宋体" w:hint="eastAsia"/>
                <w:szCs w:val="21"/>
              </w:rPr>
              <w:t>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04</w:t>
            </w:r>
            <w:r>
              <w:rPr>
                <w:rFonts w:ascii="宋体" w:hAnsi="宋体" w:hint="eastAsia"/>
                <w:szCs w:val="21"/>
              </w:rPr>
              <w:t>月</w:t>
            </w:r>
            <w:r>
              <w:rPr>
                <w:rFonts w:ascii="宋体" w:hAnsi="宋体"/>
                <w:szCs w:val="21"/>
              </w:rPr>
              <w:t>18</w:t>
            </w:r>
            <w:r>
              <w:rPr>
                <w:rFonts w:ascii="宋体" w:hAnsi="宋体" w:hint="eastAsia"/>
                <w:szCs w:val="21"/>
              </w:rPr>
              <w:t>日</w:t>
            </w:r>
          </w:p>
        </w:tc>
      </w:tr>
      <w:tr w:rsidR="004C06C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17</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富</w:t>
            </w:r>
            <w:proofErr w:type="gramStart"/>
            <w:r>
              <w:rPr>
                <w:rFonts w:ascii="宋体" w:hAnsi="宋体" w:hint="eastAsia"/>
                <w:szCs w:val="21"/>
              </w:rPr>
              <w:t>荣富乾债券</w:t>
            </w:r>
            <w:proofErr w:type="gramEnd"/>
            <w:r>
              <w:rPr>
                <w:rFonts w:ascii="宋体" w:hAnsi="宋体" w:hint="eastAsia"/>
                <w:szCs w:val="21"/>
              </w:rPr>
              <w:t>型证券投资基金</w:t>
            </w:r>
            <w:r>
              <w:rPr>
                <w:rFonts w:ascii="宋体" w:hAnsi="宋体"/>
                <w:szCs w:val="21"/>
              </w:rPr>
              <w:t>2019</w:t>
            </w:r>
            <w:r>
              <w:rPr>
                <w:rFonts w:ascii="宋体" w:hAnsi="宋体" w:hint="eastAsia"/>
                <w:szCs w:val="21"/>
              </w:rPr>
              <w:t>年第一季度报告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04</w:t>
            </w:r>
            <w:r>
              <w:rPr>
                <w:rFonts w:ascii="宋体" w:hAnsi="宋体" w:hint="eastAsia"/>
                <w:szCs w:val="21"/>
              </w:rPr>
              <w:t>月</w:t>
            </w:r>
            <w:r>
              <w:rPr>
                <w:rFonts w:ascii="宋体" w:hAnsi="宋体"/>
                <w:szCs w:val="21"/>
              </w:rPr>
              <w:t>20</w:t>
            </w:r>
            <w:r>
              <w:rPr>
                <w:rFonts w:ascii="宋体" w:hAnsi="宋体" w:hint="eastAsia"/>
                <w:szCs w:val="21"/>
              </w:rPr>
              <w:t>日</w:t>
            </w:r>
          </w:p>
        </w:tc>
      </w:tr>
      <w:tr w:rsidR="004C06C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18</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富</w:t>
            </w:r>
            <w:proofErr w:type="gramStart"/>
            <w:r>
              <w:rPr>
                <w:rFonts w:ascii="宋体" w:hAnsi="宋体" w:hint="eastAsia"/>
                <w:szCs w:val="21"/>
              </w:rPr>
              <w:t>荣基金</w:t>
            </w:r>
            <w:proofErr w:type="gramEnd"/>
            <w:r>
              <w:rPr>
                <w:rFonts w:ascii="宋体" w:hAnsi="宋体" w:hint="eastAsia"/>
                <w:szCs w:val="21"/>
              </w:rPr>
              <w:t>管理有限公司关于旗下部分基金参加上海</w:t>
            </w:r>
            <w:proofErr w:type="gramStart"/>
            <w:r>
              <w:rPr>
                <w:rFonts w:ascii="宋体" w:hAnsi="宋体" w:hint="eastAsia"/>
                <w:szCs w:val="21"/>
              </w:rPr>
              <w:t>凯</w:t>
            </w:r>
            <w:proofErr w:type="gramEnd"/>
            <w:r>
              <w:rPr>
                <w:rFonts w:ascii="宋体" w:hAnsi="宋体" w:hint="eastAsia"/>
                <w:szCs w:val="21"/>
              </w:rPr>
              <w:t>石财富基金销售有限公司基金申购及定期定额投资申购费率优惠活动的公告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05</w:t>
            </w:r>
            <w:r>
              <w:rPr>
                <w:rFonts w:ascii="宋体" w:hAnsi="宋体" w:hint="eastAsia"/>
                <w:szCs w:val="21"/>
              </w:rPr>
              <w:t>月</w:t>
            </w:r>
            <w:r>
              <w:rPr>
                <w:rFonts w:ascii="宋体" w:hAnsi="宋体"/>
                <w:szCs w:val="21"/>
              </w:rPr>
              <w:t>07</w:t>
            </w:r>
            <w:r>
              <w:rPr>
                <w:rFonts w:ascii="宋体" w:hAnsi="宋体" w:hint="eastAsia"/>
                <w:szCs w:val="21"/>
              </w:rPr>
              <w:t>日</w:t>
            </w:r>
          </w:p>
        </w:tc>
      </w:tr>
      <w:tr w:rsidR="004C06C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19</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富</w:t>
            </w:r>
            <w:proofErr w:type="gramStart"/>
            <w:r>
              <w:rPr>
                <w:rFonts w:ascii="宋体" w:hAnsi="宋体" w:hint="eastAsia"/>
                <w:szCs w:val="21"/>
              </w:rPr>
              <w:t>荣基金</w:t>
            </w:r>
            <w:proofErr w:type="gramEnd"/>
            <w:r>
              <w:rPr>
                <w:rFonts w:ascii="宋体" w:hAnsi="宋体" w:hint="eastAsia"/>
                <w:szCs w:val="21"/>
              </w:rPr>
              <w:t>管理有限公司关于旗下部分基金新增上海</w:t>
            </w:r>
            <w:proofErr w:type="gramStart"/>
            <w:r>
              <w:rPr>
                <w:rFonts w:ascii="宋体" w:hAnsi="宋体" w:hint="eastAsia"/>
                <w:szCs w:val="21"/>
              </w:rPr>
              <w:t>凯</w:t>
            </w:r>
            <w:proofErr w:type="gramEnd"/>
            <w:r>
              <w:rPr>
                <w:rFonts w:ascii="宋体" w:hAnsi="宋体" w:hint="eastAsia"/>
                <w:szCs w:val="21"/>
              </w:rPr>
              <w:t>石财富基金销售有限公司为销售机构并开通</w:t>
            </w:r>
            <w:proofErr w:type="gramStart"/>
            <w:r>
              <w:rPr>
                <w:rFonts w:ascii="宋体" w:hAnsi="宋体" w:hint="eastAsia"/>
                <w:szCs w:val="21"/>
              </w:rPr>
              <w:t>基金定投转换</w:t>
            </w:r>
            <w:proofErr w:type="gramEnd"/>
            <w:r>
              <w:rPr>
                <w:rFonts w:ascii="宋体" w:hAnsi="宋体" w:hint="eastAsia"/>
                <w:szCs w:val="21"/>
              </w:rPr>
              <w:t>业务的公告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05</w:t>
            </w:r>
            <w:r>
              <w:rPr>
                <w:rFonts w:ascii="宋体" w:hAnsi="宋体" w:hint="eastAsia"/>
                <w:szCs w:val="21"/>
              </w:rPr>
              <w:t>月</w:t>
            </w:r>
            <w:r>
              <w:rPr>
                <w:rFonts w:ascii="宋体" w:hAnsi="宋体"/>
                <w:szCs w:val="21"/>
              </w:rPr>
              <w:t>07</w:t>
            </w:r>
            <w:r>
              <w:rPr>
                <w:rFonts w:ascii="宋体" w:hAnsi="宋体" w:hint="eastAsia"/>
                <w:szCs w:val="21"/>
              </w:rPr>
              <w:t>日</w:t>
            </w:r>
          </w:p>
        </w:tc>
      </w:tr>
      <w:tr w:rsidR="004C06C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20</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富</w:t>
            </w:r>
            <w:proofErr w:type="gramStart"/>
            <w:r>
              <w:rPr>
                <w:rFonts w:ascii="宋体" w:hAnsi="宋体" w:hint="eastAsia"/>
                <w:szCs w:val="21"/>
              </w:rPr>
              <w:t>荣基金</w:t>
            </w:r>
            <w:proofErr w:type="gramEnd"/>
            <w:r>
              <w:rPr>
                <w:rFonts w:ascii="宋体" w:hAnsi="宋体" w:hint="eastAsia"/>
                <w:szCs w:val="21"/>
              </w:rPr>
              <w:t>管理有限公司关于旗下部分基金参加</w:t>
            </w:r>
            <w:proofErr w:type="gramStart"/>
            <w:r>
              <w:rPr>
                <w:rFonts w:ascii="宋体" w:hAnsi="宋体" w:hint="eastAsia"/>
                <w:szCs w:val="21"/>
              </w:rPr>
              <w:t>泰信财富</w:t>
            </w:r>
            <w:proofErr w:type="gramEnd"/>
            <w:r>
              <w:rPr>
                <w:rFonts w:ascii="宋体" w:hAnsi="宋体" w:hint="eastAsia"/>
                <w:szCs w:val="21"/>
              </w:rPr>
              <w:t>基金销售有限公司基金申购及定期定额投资申购费率优惠活动的公告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05</w:t>
            </w:r>
            <w:r>
              <w:rPr>
                <w:rFonts w:ascii="宋体" w:hAnsi="宋体" w:hint="eastAsia"/>
                <w:szCs w:val="21"/>
              </w:rPr>
              <w:t>月</w:t>
            </w:r>
            <w:r>
              <w:rPr>
                <w:rFonts w:ascii="宋体" w:hAnsi="宋体"/>
                <w:szCs w:val="21"/>
              </w:rPr>
              <w:t>14</w:t>
            </w:r>
            <w:r>
              <w:rPr>
                <w:rFonts w:ascii="宋体" w:hAnsi="宋体" w:hint="eastAsia"/>
                <w:szCs w:val="21"/>
              </w:rPr>
              <w:t>日</w:t>
            </w:r>
          </w:p>
        </w:tc>
      </w:tr>
      <w:tr w:rsidR="004C06C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21</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富</w:t>
            </w:r>
            <w:proofErr w:type="gramStart"/>
            <w:r>
              <w:rPr>
                <w:rFonts w:ascii="宋体" w:hAnsi="宋体" w:hint="eastAsia"/>
                <w:szCs w:val="21"/>
              </w:rPr>
              <w:t>荣基金</w:t>
            </w:r>
            <w:proofErr w:type="gramEnd"/>
            <w:r>
              <w:rPr>
                <w:rFonts w:ascii="宋体" w:hAnsi="宋体" w:hint="eastAsia"/>
                <w:szCs w:val="21"/>
              </w:rPr>
              <w:t>管理有限公司关于旗下部分基金新增</w:t>
            </w:r>
            <w:proofErr w:type="gramStart"/>
            <w:r>
              <w:rPr>
                <w:rFonts w:ascii="宋体" w:hAnsi="宋体" w:hint="eastAsia"/>
                <w:szCs w:val="21"/>
              </w:rPr>
              <w:t>泰信财富</w:t>
            </w:r>
            <w:proofErr w:type="gramEnd"/>
            <w:r>
              <w:rPr>
                <w:rFonts w:ascii="宋体" w:hAnsi="宋体" w:hint="eastAsia"/>
                <w:szCs w:val="21"/>
              </w:rPr>
              <w:t>基金销售有限公司为销售机构并开通</w:t>
            </w:r>
            <w:proofErr w:type="gramStart"/>
            <w:r>
              <w:rPr>
                <w:rFonts w:ascii="宋体" w:hAnsi="宋体" w:hint="eastAsia"/>
                <w:szCs w:val="21"/>
              </w:rPr>
              <w:t>基金定投转换</w:t>
            </w:r>
            <w:proofErr w:type="gramEnd"/>
            <w:r>
              <w:rPr>
                <w:rFonts w:ascii="宋体" w:hAnsi="宋体" w:hint="eastAsia"/>
                <w:szCs w:val="21"/>
              </w:rPr>
              <w:t>业务的公告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05</w:t>
            </w:r>
            <w:r>
              <w:rPr>
                <w:rFonts w:ascii="宋体" w:hAnsi="宋体" w:hint="eastAsia"/>
                <w:szCs w:val="21"/>
              </w:rPr>
              <w:t>月</w:t>
            </w:r>
            <w:r>
              <w:rPr>
                <w:rFonts w:ascii="宋体" w:hAnsi="宋体"/>
                <w:szCs w:val="21"/>
              </w:rPr>
              <w:t>14</w:t>
            </w:r>
            <w:r>
              <w:rPr>
                <w:rFonts w:ascii="宋体" w:hAnsi="宋体" w:hint="eastAsia"/>
                <w:szCs w:val="21"/>
              </w:rPr>
              <w:t>日</w:t>
            </w:r>
          </w:p>
        </w:tc>
      </w:tr>
      <w:tr w:rsidR="004C06C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22</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富</w:t>
            </w:r>
            <w:proofErr w:type="gramStart"/>
            <w:r>
              <w:rPr>
                <w:rFonts w:ascii="宋体" w:hAnsi="宋体" w:hint="eastAsia"/>
                <w:szCs w:val="21"/>
              </w:rPr>
              <w:t>荣基金</w:t>
            </w:r>
            <w:proofErr w:type="gramEnd"/>
            <w:r>
              <w:rPr>
                <w:rFonts w:ascii="宋体" w:hAnsi="宋体" w:hint="eastAsia"/>
                <w:szCs w:val="21"/>
              </w:rPr>
              <w:t>管理有限公司关于旗下部分基金</w:t>
            </w:r>
            <w:proofErr w:type="gramStart"/>
            <w:r>
              <w:rPr>
                <w:rFonts w:ascii="宋体" w:hAnsi="宋体" w:hint="eastAsia"/>
                <w:szCs w:val="21"/>
              </w:rPr>
              <w:t>暂停大泰金石</w:t>
            </w:r>
            <w:proofErr w:type="gramEnd"/>
            <w:r>
              <w:rPr>
                <w:rFonts w:ascii="宋体" w:hAnsi="宋体" w:hint="eastAsia"/>
                <w:szCs w:val="21"/>
              </w:rPr>
              <w:t>代销渠道申购、定期定额投资及转换转入业务的公告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05</w:t>
            </w:r>
            <w:r>
              <w:rPr>
                <w:rFonts w:ascii="宋体" w:hAnsi="宋体" w:hint="eastAsia"/>
                <w:szCs w:val="21"/>
              </w:rPr>
              <w:t>月</w:t>
            </w:r>
            <w:r>
              <w:rPr>
                <w:rFonts w:ascii="宋体" w:hAnsi="宋体"/>
                <w:szCs w:val="21"/>
              </w:rPr>
              <w:t>22</w:t>
            </w:r>
            <w:r>
              <w:rPr>
                <w:rFonts w:ascii="宋体" w:hAnsi="宋体" w:hint="eastAsia"/>
                <w:szCs w:val="21"/>
              </w:rPr>
              <w:t>日</w:t>
            </w:r>
          </w:p>
        </w:tc>
      </w:tr>
      <w:tr w:rsidR="004C06C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23</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富</w:t>
            </w:r>
            <w:proofErr w:type="gramStart"/>
            <w:r>
              <w:rPr>
                <w:rFonts w:ascii="宋体" w:hAnsi="宋体" w:hint="eastAsia"/>
                <w:szCs w:val="21"/>
              </w:rPr>
              <w:t>荣基金</w:t>
            </w:r>
            <w:proofErr w:type="gramEnd"/>
            <w:r>
              <w:rPr>
                <w:rFonts w:ascii="宋体" w:hAnsi="宋体" w:hint="eastAsia"/>
                <w:szCs w:val="21"/>
              </w:rPr>
              <w:t>管理有限公司关于增聘副总经理的公告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06</w:t>
            </w:r>
            <w:r>
              <w:rPr>
                <w:rFonts w:ascii="宋体" w:hAnsi="宋体" w:hint="eastAsia"/>
                <w:szCs w:val="21"/>
              </w:rPr>
              <w:t>月</w:t>
            </w:r>
            <w:r>
              <w:rPr>
                <w:rFonts w:ascii="宋体" w:hAnsi="宋体"/>
                <w:szCs w:val="21"/>
              </w:rPr>
              <w:t>15</w:t>
            </w:r>
            <w:r>
              <w:rPr>
                <w:rFonts w:ascii="宋体" w:hAnsi="宋体" w:hint="eastAsia"/>
                <w:szCs w:val="21"/>
              </w:rPr>
              <w:t>日</w:t>
            </w:r>
          </w:p>
        </w:tc>
      </w:tr>
      <w:tr w:rsidR="004C06C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lastRenderedPageBreak/>
              <w:t>24</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富</w:t>
            </w:r>
            <w:proofErr w:type="gramStart"/>
            <w:r>
              <w:rPr>
                <w:rFonts w:ascii="宋体" w:hAnsi="宋体" w:hint="eastAsia"/>
                <w:szCs w:val="21"/>
              </w:rPr>
              <w:t>荣基金</w:t>
            </w:r>
            <w:proofErr w:type="gramEnd"/>
            <w:r>
              <w:rPr>
                <w:rFonts w:ascii="宋体" w:hAnsi="宋体" w:hint="eastAsia"/>
                <w:szCs w:val="21"/>
              </w:rPr>
              <w:t>管理有限公司关于旗下部分基金新增长城证券股份有限公司为销售机构并开通基金转换业务的公告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06</w:t>
            </w:r>
            <w:r>
              <w:rPr>
                <w:rFonts w:ascii="宋体" w:hAnsi="宋体" w:hint="eastAsia"/>
                <w:szCs w:val="21"/>
              </w:rPr>
              <w:t>月</w:t>
            </w:r>
            <w:r>
              <w:rPr>
                <w:rFonts w:ascii="宋体" w:hAnsi="宋体"/>
                <w:szCs w:val="21"/>
              </w:rPr>
              <w:t>21</w:t>
            </w:r>
            <w:r>
              <w:rPr>
                <w:rFonts w:ascii="宋体" w:hAnsi="宋体" w:hint="eastAsia"/>
                <w:szCs w:val="21"/>
              </w:rPr>
              <w:t>日</w:t>
            </w:r>
          </w:p>
        </w:tc>
      </w:tr>
      <w:tr w:rsidR="004C06C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25</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富</w:t>
            </w:r>
            <w:proofErr w:type="gramStart"/>
            <w:r>
              <w:rPr>
                <w:rFonts w:ascii="宋体" w:hAnsi="宋体" w:hint="eastAsia"/>
                <w:szCs w:val="21"/>
              </w:rPr>
              <w:t>荣基金</w:t>
            </w:r>
            <w:proofErr w:type="gramEnd"/>
            <w:r>
              <w:rPr>
                <w:rFonts w:ascii="宋体" w:hAnsi="宋体" w:hint="eastAsia"/>
                <w:szCs w:val="21"/>
              </w:rPr>
              <w:t>管理有限公司关于旗下部分基金新增上海好买基金销售有限公司为销售机构并开通</w:t>
            </w:r>
            <w:proofErr w:type="gramStart"/>
            <w:r>
              <w:rPr>
                <w:rFonts w:ascii="宋体" w:hAnsi="宋体" w:hint="eastAsia"/>
                <w:szCs w:val="21"/>
              </w:rPr>
              <w:t>基金定投转换</w:t>
            </w:r>
            <w:proofErr w:type="gramEnd"/>
            <w:r>
              <w:rPr>
                <w:rFonts w:ascii="宋体" w:hAnsi="宋体" w:hint="eastAsia"/>
                <w:szCs w:val="21"/>
              </w:rPr>
              <w:t>业务的公告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06</w:t>
            </w:r>
            <w:r>
              <w:rPr>
                <w:rFonts w:ascii="宋体" w:hAnsi="宋体" w:hint="eastAsia"/>
                <w:szCs w:val="21"/>
              </w:rPr>
              <w:t>月</w:t>
            </w:r>
            <w:r>
              <w:rPr>
                <w:rFonts w:ascii="宋体" w:hAnsi="宋体"/>
                <w:szCs w:val="21"/>
              </w:rPr>
              <w:t>29</w:t>
            </w:r>
            <w:r>
              <w:rPr>
                <w:rFonts w:ascii="宋体" w:hAnsi="宋体" w:hint="eastAsia"/>
                <w:szCs w:val="21"/>
              </w:rPr>
              <w:t>日</w:t>
            </w:r>
          </w:p>
        </w:tc>
      </w:tr>
      <w:tr w:rsidR="004C06C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26</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富</w:t>
            </w:r>
            <w:proofErr w:type="gramStart"/>
            <w:r>
              <w:rPr>
                <w:rFonts w:ascii="宋体" w:hAnsi="宋体" w:hint="eastAsia"/>
                <w:szCs w:val="21"/>
              </w:rPr>
              <w:t>荣基金</w:t>
            </w:r>
            <w:proofErr w:type="gramEnd"/>
            <w:r>
              <w:rPr>
                <w:rFonts w:ascii="宋体" w:hAnsi="宋体" w:hint="eastAsia"/>
                <w:szCs w:val="21"/>
              </w:rPr>
              <w:t>管理有限公司关于旗下部分基金参加上海好买基金销售有限公司基金申购及定期定额投资申购费率优惠活动的公告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06</w:t>
            </w:r>
            <w:r>
              <w:rPr>
                <w:rFonts w:ascii="宋体" w:hAnsi="宋体" w:hint="eastAsia"/>
                <w:szCs w:val="21"/>
              </w:rPr>
              <w:t>月</w:t>
            </w:r>
            <w:r>
              <w:rPr>
                <w:rFonts w:ascii="宋体" w:hAnsi="宋体"/>
                <w:szCs w:val="21"/>
              </w:rPr>
              <w:t>29</w:t>
            </w:r>
            <w:r>
              <w:rPr>
                <w:rFonts w:ascii="宋体" w:hAnsi="宋体" w:hint="eastAsia"/>
                <w:szCs w:val="21"/>
              </w:rPr>
              <w:t>日</w:t>
            </w:r>
          </w:p>
        </w:tc>
      </w:tr>
      <w:tr w:rsidR="004C06C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27</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富</w:t>
            </w:r>
            <w:proofErr w:type="gramStart"/>
            <w:r>
              <w:rPr>
                <w:rFonts w:ascii="宋体" w:hAnsi="宋体" w:hint="eastAsia"/>
                <w:szCs w:val="21"/>
              </w:rPr>
              <w:t>荣基金</w:t>
            </w:r>
            <w:proofErr w:type="gramEnd"/>
            <w:r>
              <w:rPr>
                <w:rFonts w:ascii="宋体" w:hAnsi="宋体" w:hint="eastAsia"/>
                <w:szCs w:val="21"/>
              </w:rPr>
              <w:t>管理有限公司旗下基金</w:t>
            </w:r>
            <w:r>
              <w:rPr>
                <w:rFonts w:ascii="宋体" w:hAnsi="宋体"/>
                <w:szCs w:val="21"/>
              </w:rPr>
              <w:t>2019</w:t>
            </w:r>
            <w:r>
              <w:rPr>
                <w:rFonts w:ascii="宋体" w:hAnsi="宋体" w:hint="eastAsia"/>
                <w:szCs w:val="21"/>
              </w:rPr>
              <w:t>年半年度最后一个交易日基金资产净值、基金份额净值及份额累计净值公告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06</w:t>
            </w:r>
            <w:r>
              <w:rPr>
                <w:rFonts w:ascii="宋体" w:hAnsi="宋体" w:hint="eastAsia"/>
                <w:szCs w:val="21"/>
              </w:rPr>
              <w:t>月</w:t>
            </w:r>
            <w:r>
              <w:rPr>
                <w:rFonts w:ascii="宋体" w:hAnsi="宋体"/>
                <w:szCs w:val="21"/>
              </w:rPr>
              <w:t>29</w:t>
            </w:r>
            <w:r>
              <w:rPr>
                <w:rFonts w:ascii="宋体" w:hAnsi="宋体" w:hint="eastAsia"/>
                <w:szCs w:val="21"/>
              </w:rPr>
              <w:t>日</w:t>
            </w:r>
          </w:p>
        </w:tc>
      </w:tr>
      <w:tr w:rsidR="004C06C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28</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富</w:t>
            </w:r>
            <w:proofErr w:type="gramStart"/>
            <w:r>
              <w:rPr>
                <w:rFonts w:ascii="宋体" w:hAnsi="宋体" w:hint="eastAsia"/>
                <w:szCs w:val="21"/>
              </w:rPr>
              <w:t>荣基金</w:t>
            </w:r>
            <w:proofErr w:type="gramEnd"/>
            <w:r>
              <w:rPr>
                <w:rFonts w:ascii="宋体" w:hAnsi="宋体" w:hint="eastAsia"/>
                <w:szCs w:val="21"/>
              </w:rPr>
              <w:t>管理有限公司旗下基金</w:t>
            </w:r>
            <w:r>
              <w:rPr>
                <w:rFonts w:ascii="宋体" w:hAnsi="宋体"/>
                <w:szCs w:val="21"/>
              </w:rPr>
              <w:t>2019</w:t>
            </w:r>
            <w:r>
              <w:rPr>
                <w:rFonts w:ascii="宋体" w:hAnsi="宋体" w:hint="eastAsia"/>
                <w:szCs w:val="21"/>
              </w:rPr>
              <w:t>年半年度最后一个市场自然日基金资产净值、基金份额净值及份额累计净值公告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07</w:t>
            </w:r>
            <w:r>
              <w:rPr>
                <w:rFonts w:ascii="宋体" w:hAnsi="宋体" w:hint="eastAsia"/>
                <w:szCs w:val="21"/>
              </w:rPr>
              <w:t>月</w:t>
            </w:r>
            <w:r>
              <w:rPr>
                <w:rFonts w:ascii="宋体" w:hAnsi="宋体"/>
                <w:szCs w:val="21"/>
              </w:rPr>
              <w:t>01</w:t>
            </w:r>
            <w:r>
              <w:rPr>
                <w:rFonts w:ascii="宋体" w:hAnsi="宋体" w:hint="eastAsia"/>
                <w:szCs w:val="21"/>
              </w:rPr>
              <w:t>日</w:t>
            </w:r>
          </w:p>
        </w:tc>
      </w:tr>
      <w:tr w:rsidR="004C06C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29</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富</w:t>
            </w:r>
            <w:proofErr w:type="gramStart"/>
            <w:r>
              <w:rPr>
                <w:rFonts w:ascii="宋体" w:hAnsi="宋体" w:hint="eastAsia"/>
                <w:szCs w:val="21"/>
              </w:rPr>
              <w:t>荣基金</w:t>
            </w:r>
            <w:proofErr w:type="gramEnd"/>
            <w:r>
              <w:rPr>
                <w:rFonts w:ascii="宋体" w:hAnsi="宋体" w:hint="eastAsia"/>
                <w:szCs w:val="21"/>
              </w:rPr>
              <w:t>管理有限公司关于旗下部分基金新增上海陆金</w:t>
            </w:r>
            <w:proofErr w:type="gramStart"/>
            <w:r>
              <w:rPr>
                <w:rFonts w:ascii="宋体" w:hAnsi="宋体" w:hint="eastAsia"/>
                <w:szCs w:val="21"/>
              </w:rPr>
              <w:t>所基金</w:t>
            </w:r>
            <w:proofErr w:type="gramEnd"/>
            <w:r>
              <w:rPr>
                <w:rFonts w:ascii="宋体" w:hAnsi="宋体" w:hint="eastAsia"/>
                <w:szCs w:val="21"/>
              </w:rPr>
              <w:t>销售有限公司为销售机构并开通基金</w:t>
            </w:r>
            <w:proofErr w:type="gramStart"/>
            <w:r>
              <w:rPr>
                <w:rFonts w:ascii="宋体" w:hAnsi="宋体" w:hint="eastAsia"/>
                <w:szCs w:val="21"/>
              </w:rPr>
              <w:t>定投业务</w:t>
            </w:r>
            <w:proofErr w:type="gramEnd"/>
            <w:r>
              <w:rPr>
                <w:rFonts w:ascii="宋体" w:hAnsi="宋体" w:hint="eastAsia"/>
                <w:szCs w:val="21"/>
              </w:rPr>
              <w:t>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07</w:t>
            </w:r>
            <w:r>
              <w:rPr>
                <w:rFonts w:ascii="宋体" w:hAnsi="宋体" w:hint="eastAsia"/>
                <w:szCs w:val="21"/>
              </w:rPr>
              <w:t>月</w:t>
            </w:r>
            <w:r>
              <w:rPr>
                <w:rFonts w:ascii="宋体" w:hAnsi="宋体"/>
                <w:szCs w:val="21"/>
              </w:rPr>
              <w:t>09</w:t>
            </w:r>
            <w:r>
              <w:rPr>
                <w:rFonts w:ascii="宋体" w:hAnsi="宋体" w:hint="eastAsia"/>
                <w:szCs w:val="21"/>
              </w:rPr>
              <w:t>日</w:t>
            </w:r>
          </w:p>
        </w:tc>
      </w:tr>
      <w:tr w:rsidR="004C06C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30</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富</w:t>
            </w:r>
            <w:proofErr w:type="gramStart"/>
            <w:r>
              <w:rPr>
                <w:rFonts w:ascii="宋体" w:hAnsi="宋体" w:hint="eastAsia"/>
                <w:szCs w:val="21"/>
              </w:rPr>
              <w:t>荣基金</w:t>
            </w:r>
            <w:proofErr w:type="gramEnd"/>
            <w:r>
              <w:rPr>
                <w:rFonts w:ascii="宋体" w:hAnsi="宋体" w:hint="eastAsia"/>
                <w:szCs w:val="21"/>
              </w:rPr>
              <w:t>管理有限公司关于旗下部分基金新增浙江同花</w:t>
            </w:r>
            <w:proofErr w:type="gramStart"/>
            <w:r>
              <w:rPr>
                <w:rFonts w:ascii="宋体" w:hAnsi="宋体" w:hint="eastAsia"/>
                <w:szCs w:val="21"/>
              </w:rPr>
              <w:t>顺基金</w:t>
            </w:r>
            <w:proofErr w:type="gramEnd"/>
            <w:r>
              <w:rPr>
                <w:rFonts w:ascii="宋体" w:hAnsi="宋体" w:hint="eastAsia"/>
                <w:szCs w:val="21"/>
              </w:rPr>
              <w:t>销售有限公司为销售机构并开通</w:t>
            </w:r>
            <w:proofErr w:type="gramStart"/>
            <w:r>
              <w:rPr>
                <w:rFonts w:ascii="宋体" w:hAnsi="宋体" w:hint="eastAsia"/>
                <w:szCs w:val="21"/>
              </w:rPr>
              <w:t>基金定投转换</w:t>
            </w:r>
            <w:proofErr w:type="gramEnd"/>
            <w:r>
              <w:rPr>
                <w:rFonts w:ascii="宋体" w:hAnsi="宋体" w:hint="eastAsia"/>
                <w:szCs w:val="21"/>
              </w:rPr>
              <w:t>业务的公告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07</w:t>
            </w:r>
            <w:r>
              <w:rPr>
                <w:rFonts w:ascii="宋体" w:hAnsi="宋体" w:hint="eastAsia"/>
                <w:szCs w:val="21"/>
              </w:rPr>
              <w:t>月</w:t>
            </w:r>
            <w:r>
              <w:rPr>
                <w:rFonts w:ascii="宋体" w:hAnsi="宋体"/>
                <w:szCs w:val="21"/>
              </w:rPr>
              <w:t>12</w:t>
            </w:r>
            <w:r>
              <w:rPr>
                <w:rFonts w:ascii="宋体" w:hAnsi="宋体" w:hint="eastAsia"/>
                <w:szCs w:val="21"/>
              </w:rPr>
              <w:t>日</w:t>
            </w:r>
          </w:p>
        </w:tc>
      </w:tr>
      <w:tr w:rsidR="004C06C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31</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富</w:t>
            </w:r>
            <w:proofErr w:type="gramStart"/>
            <w:r>
              <w:rPr>
                <w:rFonts w:ascii="宋体" w:hAnsi="宋体" w:hint="eastAsia"/>
                <w:szCs w:val="21"/>
              </w:rPr>
              <w:t>荣基金</w:t>
            </w:r>
            <w:proofErr w:type="gramEnd"/>
            <w:r>
              <w:rPr>
                <w:rFonts w:ascii="宋体" w:hAnsi="宋体" w:hint="eastAsia"/>
                <w:szCs w:val="21"/>
              </w:rPr>
              <w:t>管理有限公司关于旗下部分基金新增上海天天基金销售有限公司为销售机构并开通</w:t>
            </w:r>
            <w:proofErr w:type="gramStart"/>
            <w:r>
              <w:rPr>
                <w:rFonts w:ascii="宋体" w:hAnsi="宋体" w:hint="eastAsia"/>
                <w:szCs w:val="21"/>
              </w:rPr>
              <w:t>基金定投转换</w:t>
            </w:r>
            <w:proofErr w:type="gramEnd"/>
            <w:r>
              <w:rPr>
                <w:rFonts w:ascii="宋体" w:hAnsi="宋体" w:hint="eastAsia"/>
                <w:szCs w:val="21"/>
              </w:rPr>
              <w:t>业务的公告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07</w:t>
            </w:r>
            <w:r>
              <w:rPr>
                <w:rFonts w:ascii="宋体" w:hAnsi="宋体" w:hint="eastAsia"/>
                <w:szCs w:val="21"/>
              </w:rPr>
              <w:t>月</w:t>
            </w:r>
            <w:r>
              <w:rPr>
                <w:rFonts w:ascii="宋体" w:hAnsi="宋体"/>
                <w:szCs w:val="21"/>
              </w:rPr>
              <w:t>15</w:t>
            </w:r>
            <w:r>
              <w:rPr>
                <w:rFonts w:ascii="宋体" w:hAnsi="宋体" w:hint="eastAsia"/>
                <w:szCs w:val="21"/>
              </w:rPr>
              <w:t>日</w:t>
            </w:r>
          </w:p>
        </w:tc>
      </w:tr>
      <w:tr w:rsidR="004C06C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32</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富</w:t>
            </w:r>
            <w:proofErr w:type="gramStart"/>
            <w:r>
              <w:rPr>
                <w:rFonts w:ascii="宋体" w:hAnsi="宋体" w:hint="eastAsia"/>
                <w:szCs w:val="21"/>
              </w:rPr>
              <w:t>荣基金</w:t>
            </w:r>
            <w:proofErr w:type="gramEnd"/>
            <w:r>
              <w:rPr>
                <w:rFonts w:ascii="宋体" w:hAnsi="宋体" w:hint="eastAsia"/>
                <w:szCs w:val="21"/>
              </w:rPr>
              <w:t>管理有限公司关于旗下部分基金新增五</w:t>
            </w:r>
            <w:proofErr w:type="gramStart"/>
            <w:r>
              <w:rPr>
                <w:rFonts w:ascii="宋体" w:hAnsi="宋体" w:hint="eastAsia"/>
                <w:szCs w:val="21"/>
              </w:rPr>
              <w:t>矿证券</w:t>
            </w:r>
            <w:proofErr w:type="gramEnd"/>
            <w:r>
              <w:rPr>
                <w:rFonts w:ascii="宋体" w:hAnsi="宋体" w:hint="eastAsia"/>
                <w:szCs w:val="21"/>
              </w:rPr>
              <w:t>有限公司为销售机构并开通</w:t>
            </w:r>
            <w:proofErr w:type="gramStart"/>
            <w:r>
              <w:rPr>
                <w:rFonts w:ascii="宋体" w:hAnsi="宋体" w:hint="eastAsia"/>
                <w:szCs w:val="21"/>
              </w:rPr>
              <w:t>基金定投转换</w:t>
            </w:r>
            <w:proofErr w:type="gramEnd"/>
            <w:r>
              <w:rPr>
                <w:rFonts w:ascii="宋体" w:hAnsi="宋体" w:hint="eastAsia"/>
                <w:szCs w:val="21"/>
              </w:rPr>
              <w:t>业务的公告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07</w:t>
            </w:r>
            <w:r>
              <w:rPr>
                <w:rFonts w:ascii="宋体" w:hAnsi="宋体" w:hint="eastAsia"/>
                <w:szCs w:val="21"/>
              </w:rPr>
              <w:t>月</w:t>
            </w:r>
            <w:r>
              <w:rPr>
                <w:rFonts w:ascii="宋体" w:hAnsi="宋体"/>
                <w:szCs w:val="21"/>
              </w:rPr>
              <w:t>17</w:t>
            </w:r>
            <w:r>
              <w:rPr>
                <w:rFonts w:ascii="宋体" w:hAnsi="宋体" w:hint="eastAsia"/>
                <w:szCs w:val="21"/>
              </w:rPr>
              <w:t>日</w:t>
            </w:r>
          </w:p>
        </w:tc>
      </w:tr>
      <w:tr w:rsidR="004C06C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33</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富</w:t>
            </w:r>
            <w:proofErr w:type="gramStart"/>
            <w:r>
              <w:rPr>
                <w:rFonts w:ascii="宋体" w:hAnsi="宋体" w:hint="eastAsia"/>
                <w:szCs w:val="21"/>
              </w:rPr>
              <w:t>荣富乾债券</w:t>
            </w:r>
            <w:proofErr w:type="gramEnd"/>
            <w:r>
              <w:rPr>
                <w:rFonts w:ascii="宋体" w:hAnsi="宋体" w:hint="eastAsia"/>
                <w:szCs w:val="21"/>
              </w:rPr>
              <w:t>型证券投资基金</w:t>
            </w:r>
            <w:r>
              <w:rPr>
                <w:rFonts w:ascii="宋体" w:hAnsi="宋体"/>
                <w:szCs w:val="21"/>
              </w:rPr>
              <w:t>2019</w:t>
            </w:r>
            <w:r>
              <w:rPr>
                <w:rFonts w:ascii="宋体" w:hAnsi="宋体" w:hint="eastAsia"/>
                <w:szCs w:val="21"/>
              </w:rPr>
              <w:t>年第二季度报告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07</w:t>
            </w:r>
            <w:r>
              <w:rPr>
                <w:rFonts w:ascii="宋体" w:hAnsi="宋体" w:hint="eastAsia"/>
                <w:szCs w:val="21"/>
              </w:rPr>
              <w:t>月</w:t>
            </w:r>
            <w:r>
              <w:rPr>
                <w:rFonts w:ascii="宋体" w:hAnsi="宋体"/>
                <w:szCs w:val="21"/>
              </w:rPr>
              <w:t>18</w:t>
            </w:r>
            <w:r>
              <w:rPr>
                <w:rFonts w:ascii="宋体" w:hAnsi="宋体" w:hint="eastAsia"/>
                <w:szCs w:val="21"/>
              </w:rPr>
              <w:t>日</w:t>
            </w:r>
          </w:p>
        </w:tc>
      </w:tr>
      <w:tr w:rsidR="004C06C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34</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富</w:t>
            </w:r>
            <w:proofErr w:type="gramStart"/>
            <w:r>
              <w:rPr>
                <w:rFonts w:ascii="宋体" w:hAnsi="宋体" w:hint="eastAsia"/>
                <w:szCs w:val="21"/>
              </w:rPr>
              <w:t>荣基金</w:t>
            </w:r>
            <w:proofErr w:type="gramEnd"/>
            <w:r>
              <w:rPr>
                <w:rFonts w:ascii="宋体" w:hAnsi="宋体" w:hint="eastAsia"/>
                <w:szCs w:val="21"/>
              </w:rPr>
              <w:t>管理有限公司关于旗下部分基金新增蚂蚁（杭州）基金销售有限公司为销售机构并开通</w:t>
            </w:r>
            <w:proofErr w:type="gramStart"/>
            <w:r>
              <w:rPr>
                <w:rFonts w:ascii="宋体" w:hAnsi="宋体" w:hint="eastAsia"/>
                <w:szCs w:val="21"/>
              </w:rPr>
              <w:t>基金定投转换</w:t>
            </w:r>
            <w:proofErr w:type="gramEnd"/>
            <w:r>
              <w:rPr>
                <w:rFonts w:ascii="宋体" w:hAnsi="宋体" w:hint="eastAsia"/>
                <w:szCs w:val="21"/>
              </w:rPr>
              <w:t>业务的公告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07</w:t>
            </w:r>
            <w:r>
              <w:rPr>
                <w:rFonts w:ascii="宋体" w:hAnsi="宋体" w:hint="eastAsia"/>
                <w:szCs w:val="21"/>
              </w:rPr>
              <w:t>月</w:t>
            </w:r>
            <w:r>
              <w:rPr>
                <w:rFonts w:ascii="宋体" w:hAnsi="宋体"/>
                <w:szCs w:val="21"/>
              </w:rPr>
              <w:t>22</w:t>
            </w:r>
            <w:r>
              <w:rPr>
                <w:rFonts w:ascii="宋体" w:hAnsi="宋体" w:hint="eastAsia"/>
                <w:szCs w:val="21"/>
              </w:rPr>
              <w:t>日</w:t>
            </w:r>
          </w:p>
        </w:tc>
      </w:tr>
      <w:tr w:rsidR="004C06C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35</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富</w:t>
            </w:r>
            <w:proofErr w:type="gramStart"/>
            <w:r>
              <w:rPr>
                <w:rFonts w:ascii="宋体" w:hAnsi="宋体" w:hint="eastAsia"/>
                <w:szCs w:val="21"/>
              </w:rPr>
              <w:t>荣基金</w:t>
            </w:r>
            <w:proofErr w:type="gramEnd"/>
            <w:r>
              <w:rPr>
                <w:rFonts w:ascii="宋体" w:hAnsi="宋体" w:hint="eastAsia"/>
                <w:szCs w:val="21"/>
              </w:rPr>
              <w:t>管理有限公司关于旗下部分基金新增上海联泰资产管理有限公司为销售机构并开通</w:t>
            </w:r>
            <w:proofErr w:type="gramStart"/>
            <w:r>
              <w:rPr>
                <w:rFonts w:ascii="宋体" w:hAnsi="宋体" w:hint="eastAsia"/>
                <w:szCs w:val="21"/>
              </w:rPr>
              <w:t>基金定投转换</w:t>
            </w:r>
            <w:proofErr w:type="gramEnd"/>
            <w:r>
              <w:rPr>
                <w:rFonts w:ascii="宋体" w:hAnsi="宋体" w:hint="eastAsia"/>
                <w:szCs w:val="21"/>
              </w:rPr>
              <w:t>业务的公告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07</w:t>
            </w:r>
            <w:r>
              <w:rPr>
                <w:rFonts w:ascii="宋体" w:hAnsi="宋体" w:hint="eastAsia"/>
                <w:szCs w:val="21"/>
              </w:rPr>
              <w:t>月</w:t>
            </w:r>
            <w:r>
              <w:rPr>
                <w:rFonts w:ascii="宋体" w:hAnsi="宋体"/>
                <w:szCs w:val="21"/>
              </w:rPr>
              <w:t>25</w:t>
            </w:r>
            <w:r>
              <w:rPr>
                <w:rFonts w:ascii="宋体" w:hAnsi="宋体" w:hint="eastAsia"/>
                <w:szCs w:val="21"/>
              </w:rPr>
              <w:t>日</w:t>
            </w:r>
          </w:p>
        </w:tc>
      </w:tr>
      <w:tr w:rsidR="004C06C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36</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富</w:t>
            </w:r>
            <w:proofErr w:type="gramStart"/>
            <w:r>
              <w:rPr>
                <w:rFonts w:ascii="宋体" w:hAnsi="宋体" w:hint="eastAsia"/>
                <w:szCs w:val="21"/>
              </w:rPr>
              <w:t>荣富乾债券</w:t>
            </w:r>
            <w:proofErr w:type="gramEnd"/>
            <w:r>
              <w:rPr>
                <w:rFonts w:ascii="宋体" w:hAnsi="宋体" w:hint="eastAsia"/>
                <w:szCs w:val="21"/>
              </w:rPr>
              <w:t>型证券投资基金暂停代销渠道申购（含转换转入、定期定额投资）业务的公告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07</w:t>
            </w:r>
            <w:r>
              <w:rPr>
                <w:rFonts w:ascii="宋体" w:hAnsi="宋体" w:hint="eastAsia"/>
                <w:szCs w:val="21"/>
              </w:rPr>
              <w:t>月</w:t>
            </w:r>
            <w:r>
              <w:rPr>
                <w:rFonts w:ascii="宋体" w:hAnsi="宋体"/>
                <w:szCs w:val="21"/>
              </w:rPr>
              <w:t>31</w:t>
            </w:r>
            <w:r>
              <w:rPr>
                <w:rFonts w:ascii="宋体" w:hAnsi="宋体" w:hint="eastAsia"/>
                <w:szCs w:val="21"/>
              </w:rPr>
              <w:t>日</w:t>
            </w:r>
          </w:p>
        </w:tc>
      </w:tr>
      <w:tr w:rsidR="004C06C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37</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富</w:t>
            </w:r>
            <w:proofErr w:type="gramStart"/>
            <w:r>
              <w:rPr>
                <w:rFonts w:ascii="宋体" w:hAnsi="宋体" w:hint="eastAsia"/>
                <w:szCs w:val="21"/>
              </w:rPr>
              <w:t>荣基金</w:t>
            </w:r>
            <w:proofErr w:type="gramEnd"/>
            <w:r>
              <w:rPr>
                <w:rFonts w:ascii="宋体" w:hAnsi="宋体" w:hint="eastAsia"/>
                <w:szCs w:val="21"/>
              </w:rPr>
              <w:t>管理有限公司关于独立董事变更的公告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08</w:t>
            </w:r>
            <w:r>
              <w:rPr>
                <w:rFonts w:ascii="宋体" w:hAnsi="宋体" w:hint="eastAsia"/>
                <w:szCs w:val="21"/>
              </w:rPr>
              <w:t>月</w:t>
            </w:r>
            <w:r>
              <w:rPr>
                <w:rFonts w:ascii="宋体" w:hAnsi="宋体"/>
                <w:szCs w:val="21"/>
              </w:rPr>
              <w:t>07</w:t>
            </w:r>
            <w:r>
              <w:rPr>
                <w:rFonts w:ascii="宋体" w:hAnsi="宋体" w:hint="eastAsia"/>
                <w:szCs w:val="21"/>
              </w:rPr>
              <w:t>日</w:t>
            </w:r>
          </w:p>
        </w:tc>
      </w:tr>
      <w:tr w:rsidR="004C06C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38</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富</w:t>
            </w:r>
            <w:proofErr w:type="gramStart"/>
            <w:r>
              <w:rPr>
                <w:rFonts w:ascii="宋体" w:hAnsi="宋体" w:hint="eastAsia"/>
                <w:szCs w:val="21"/>
              </w:rPr>
              <w:t>荣富乾债券</w:t>
            </w:r>
            <w:proofErr w:type="gramEnd"/>
            <w:r>
              <w:rPr>
                <w:rFonts w:ascii="宋体" w:hAnsi="宋体" w:hint="eastAsia"/>
                <w:szCs w:val="21"/>
              </w:rPr>
              <w:t>型证券投资基金2019年基金经理变更公告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08</w:t>
            </w:r>
            <w:r>
              <w:rPr>
                <w:rFonts w:ascii="宋体" w:hAnsi="宋体" w:hint="eastAsia"/>
                <w:szCs w:val="21"/>
              </w:rPr>
              <w:t>月</w:t>
            </w:r>
            <w:r>
              <w:rPr>
                <w:rFonts w:ascii="宋体" w:hAnsi="宋体"/>
                <w:szCs w:val="21"/>
              </w:rPr>
              <w:t>14</w:t>
            </w:r>
            <w:r>
              <w:rPr>
                <w:rFonts w:ascii="宋体" w:hAnsi="宋体" w:hint="eastAsia"/>
                <w:szCs w:val="21"/>
              </w:rPr>
              <w:t>日</w:t>
            </w:r>
          </w:p>
        </w:tc>
      </w:tr>
      <w:tr w:rsidR="004C06C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39</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富</w:t>
            </w:r>
            <w:proofErr w:type="gramStart"/>
            <w:r>
              <w:rPr>
                <w:rFonts w:ascii="宋体" w:hAnsi="宋体" w:hint="eastAsia"/>
                <w:szCs w:val="21"/>
              </w:rPr>
              <w:t>荣基金</w:t>
            </w:r>
            <w:proofErr w:type="gramEnd"/>
            <w:r>
              <w:rPr>
                <w:rFonts w:ascii="宋体" w:hAnsi="宋体" w:hint="eastAsia"/>
                <w:szCs w:val="21"/>
              </w:rPr>
              <w:t>管理有限公司关于旗下部分基金参加北京</w:t>
            </w:r>
            <w:proofErr w:type="gramStart"/>
            <w:r>
              <w:rPr>
                <w:rFonts w:ascii="宋体" w:hAnsi="宋体" w:hint="eastAsia"/>
                <w:szCs w:val="21"/>
              </w:rPr>
              <w:t>唐鼎耀</w:t>
            </w:r>
            <w:proofErr w:type="gramEnd"/>
            <w:r>
              <w:rPr>
                <w:rFonts w:ascii="宋体" w:hAnsi="宋体" w:hint="eastAsia"/>
                <w:szCs w:val="21"/>
              </w:rPr>
              <w:t>华基金销售有限公司基金申购及定期定额投资申购费率优惠活动的公告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08</w:t>
            </w:r>
            <w:r>
              <w:rPr>
                <w:rFonts w:ascii="宋体" w:hAnsi="宋体" w:hint="eastAsia"/>
                <w:szCs w:val="21"/>
              </w:rPr>
              <w:t>月</w:t>
            </w:r>
            <w:r>
              <w:rPr>
                <w:rFonts w:ascii="宋体" w:hAnsi="宋体"/>
                <w:szCs w:val="21"/>
              </w:rPr>
              <w:t>16</w:t>
            </w:r>
            <w:r>
              <w:rPr>
                <w:rFonts w:ascii="宋体" w:hAnsi="宋体" w:hint="eastAsia"/>
                <w:szCs w:val="21"/>
              </w:rPr>
              <w:t>日</w:t>
            </w:r>
          </w:p>
        </w:tc>
      </w:tr>
      <w:tr w:rsidR="004C06C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40</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富</w:t>
            </w:r>
            <w:proofErr w:type="gramStart"/>
            <w:r>
              <w:rPr>
                <w:rFonts w:ascii="宋体" w:hAnsi="宋体" w:hint="eastAsia"/>
                <w:szCs w:val="21"/>
              </w:rPr>
              <w:t>荣基金</w:t>
            </w:r>
            <w:proofErr w:type="gramEnd"/>
            <w:r>
              <w:rPr>
                <w:rFonts w:ascii="宋体" w:hAnsi="宋体" w:hint="eastAsia"/>
                <w:szCs w:val="21"/>
              </w:rPr>
              <w:t>管理有限公司关于旗下部分基金新增北京</w:t>
            </w:r>
            <w:proofErr w:type="gramStart"/>
            <w:r>
              <w:rPr>
                <w:rFonts w:ascii="宋体" w:hAnsi="宋体" w:hint="eastAsia"/>
                <w:szCs w:val="21"/>
              </w:rPr>
              <w:t>唐鼎耀</w:t>
            </w:r>
            <w:proofErr w:type="gramEnd"/>
            <w:r>
              <w:rPr>
                <w:rFonts w:ascii="宋体" w:hAnsi="宋体" w:hint="eastAsia"/>
                <w:szCs w:val="21"/>
              </w:rPr>
              <w:t>华基金销售有限公司为销售机构并开通</w:t>
            </w:r>
            <w:proofErr w:type="gramStart"/>
            <w:r>
              <w:rPr>
                <w:rFonts w:ascii="宋体" w:hAnsi="宋体" w:hint="eastAsia"/>
                <w:szCs w:val="21"/>
              </w:rPr>
              <w:t>基金定投转换</w:t>
            </w:r>
            <w:proofErr w:type="gramEnd"/>
            <w:r>
              <w:rPr>
                <w:rFonts w:ascii="宋体" w:hAnsi="宋体" w:hint="eastAsia"/>
                <w:szCs w:val="21"/>
              </w:rPr>
              <w:t>业务的公告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08</w:t>
            </w:r>
            <w:r>
              <w:rPr>
                <w:rFonts w:ascii="宋体" w:hAnsi="宋体" w:hint="eastAsia"/>
                <w:szCs w:val="21"/>
              </w:rPr>
              <w:t>月</w:t>
            </w:r>
            <w:r>
              <w:rPr>
                <w:rFonts w:ascii="宋体" w:hAnsi="宋体"/>
                <w:szCs w:val="21"/>
              </w:rPr>
              <w:t>16</w:t>
            </w:r>
            <w:r>
              <w:rPr>
                <w:rFonts w:ascii="宋体" w:hAnsi="宋体" w:hint="eastAsia"/>
                <w:szCs w:val="21"/>
              </w:rPr>
              <w:t>日</w:t>
            </w:r>
          </w:p>
        </w:tc>
      </w:tr>
      <w:tr w:rsidR="004C06C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41</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富</w:t>
            </w:r>
            <w:proofErr w:type="gramStart"/>
            <w:r>
              <w:rPr>
                <w:rFonts w:ascii="宋体" w:hAnsi="宋体" w:hint="eastAsia"/>
                <w:szCs w:val="21"/>
              </w:rPr>
              <w:t>荣基金</w:t>
            </w:r>
            <w:proofErr w:type="gramEnd"/>
            <w:r>
              <w:rPr>
                <w:rFonts w:ascii="宋体" w:hAnsi="宋体" w:hint="eastAsia"/>
                <w:szCs w:val="21"/>
              </w:rPr>
              <w:t>管理有限公司关于旗下部分基金参加西藏东方财富证券股份有限公司基金申购费率优惠活动的公告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08</w:t>
            </w:r>
            <w:r>
              <w:rPr>
                <w:rFonts w:ascii="宋体" w:hAnsi="宋体" w:hint="eastAsia"/>
                <w:szCs w:val="21"/>
              </w:rPr>
              <w:t>月</w:t>
            </w:r>
            <w:r>
              <w:rPr>
                <w:rFonts w:ascii="宋体" w:hAnsi="宋体"/>
                <w:szCs w:val="21"/>
              </w:rPr>
              <w:t>22</w:t>
            </w:r>
            <w:r>
              <w:rPr>
                <w:rFonts w:ascii="宋体" w:hAnsi="宋体" w:hint="eastAsia"/>
                <w:szCs w:val="21"/>
              </w:rPr>
              <w:t>日</w:t>
            </w:r>
          </w:p>
        </w:tc>
      </w:tr>
      <w:tr w:rsidR="004C06C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42</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富</w:t>
            </w:r>
            <w:proofErr w:type="gramStart"/>
            <w:r>
              <w:rPr>
                <w:rFonts w:ascii="宋体" w:hAnsi="宋体" w:hint="eastAsia"/>
                <w:szCs w:val="21"/>
              </w:rPr>
              <w:t>荣基金</w:t>
            </w:r>
            <w:proofErr w:type="gramEnd"/>
            <w:r>
              <w:rPr>
                <w:rFonts w:ascii="宋体" w:hAnsi="宋体" w:hint="eastAsia"/>
                <w:szCs w:val="21"/>
              </w:rPr>
              <w:t>管理有限公司关于旗下部分基金新增西藏东方财富证券股份有限公司为销售机构并开通基金转换业务的公告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08</w:t>
            </w:r>
            <w:r>
              <w:rPr>
                <w:rFonts w:ascii="宋体" w:hAnsi="宋体" w:hint="eastAsia"/>
                <w:szCs w:val="21"/>
              </w:rPr>
              <w:t>月</w:t>
            </w:r>
            <w:r>
              <w:rPr>
                <w:rFonts w:ascii="宋体" w:hAnsi="宋体"/>
                <w:szCs w:val="21"/>
              </w:rPr>
              <w:t>22</w:t>
            </w:r>
            <w:r>
              <w:rPr>
                <w:rFonts w:ascii="宋体" w:hAnsi="宋体" w:hint="eastAsia"/>
                <w:szCs w:val="21"/>
              </w:rPr>
              <w:t>日</w:t>
            </w:r>
          </w:p>
        </w:tc>
      </w:tr>
      <w:tr w:rsidR="004C06C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43</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富</w:t>
            </w:r>
            <w:proofErr w:type="gramStart"/>
            <w:r>
              <w:rPr>
                <w:rFonts w:ascii="宋体" w:hAnsi="宋体" w:hint="eastAsia"/>
                <w:szCs w:val="21"/>
              </w:rPr>
              <w:t>荣基金</w:t>
            </w:r>
            <w:proofErr w:type="gramEnd"/>
            <w:r>
              <w:rPr>
                <w:rFonts w:ascii="宋体" w:hAnsi="宋体" w:hint="eastAsia"/>
                <w:szCs w:val="21"/>
              </w:rPr>
              <w:t>管理有限公司关于旗下部分基金参加北京汇成基金销售有限公司基金申购及定期定额投资申购费率优惠活动的公告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08</w:t>
            </w:r>
            <w:r>
              <w:rPr>
                <w:rFonts w:ascii="宋体" w:hAnsi="宋体" w:hint="eastAsia"/>
                <w:szCs w:val="21"/>
              </w:rPr>
              <w:t>月</w:t>
            </w:r>
            <w:r>
              <w:rPr>
                <w:rFonts w:ascii="宋体" w:hAnsi="宋体"/>
                <w:szCs w:val="21"/>
              </w:rPr>
              <w:t>23</w:t>
            </w:r>
            <w:r>
              <w:rPr>
                <w:rFonts w:ascii="宋体" w:hAnsi="宋体" w:hint="eastAsia"/>
                <w:szCs w:val="21"/>
              </w:rPr>
              <w:t>日</w:t>
            </w:r>
          </w:p>
        </w:tc>
      </w:tr>
      <w:tr w:rsidR="004C06C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44</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富</w:t>
            </w:r>
            <w:proofErr w:type="gramStart"/>
            <w:r>
              <w:rPr>
                <w:rFonts w:ascii="宋体" w:hAnsi="宋体" w:hint="eastAsia"/>
                <w:szCs w:val="21"/>
              </w:rPr>
              <w:t>荣基金</w:t>
            </w:r>
            <w:proofErr w:type="gramEnd"/>
            <w:r>
              <w:rPr>
                <w:rFonts w:ascii="宋体" w:hAnsi="宋体" w:hint="eastAsia"/>
                <w:szCs w:val="21"/>
              </w:rPr>
              <w:t>管理有限公司关于旗下部分基金新增北京汇成基金销售有限公司为销售机构并开通</w:t>
            </w:r>
            <w:proofErr w:type="gramStart"/>
            <w:r>
              <w:rPr>
                <w:rFonts w:ascii="宋体" w:hAnsi="宋体" w:hint="eastAsia"/>
                <w:szCs w:val="21"/>
              </w:rPr>
              <w:t>基金定投转换</w:t>
            </w:r>
            <w:proofErr w:type="gramEnd"/>
            <w:r>
              <w:rPr>
                <w:rFonts w:ascii="宋体" w:hAnsi="宋体" w:hint="eastAsia"/>
                <w:szCs w:val="21"/>
              </w:rPr>
              <w:t>业务的公告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08</w:t>
            </w:r>
            <w:r>
              <w:rPr>
                <w:rFonts w:ascii="宋体" w:hAnsi="宋体" w:hint="eastAsia"/>
                <w:szCs w:val="21"/>
              </w:rPr>
              <w:t>月</w:t>
            </w:r>
            <w:r>
              <w:rPr>
                <w:rFonts w:ascii="宋体" w:hAnsi="宋体"/>
                <w:szCs w:val="21"/>
              </w:rPr>
              <w:t>23</w:t>
            </w:r>
            <w:r>
              <w:rPr>
                <w:rFonts w:ascii="宋体" w:hAnsi="宋体" w:hint="eastAsia"/>
                <w:szCs w:val="21"/>
              </w:rPr>
              <w:t>日</w:t>
            </w:r>
          </w:p>
        </w:tc>
      </w:tr>
      <w:tr w:rsidR="004C06C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45</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富</w:t>
            </w:r>
            <w:proofErr w:type="gramStart"/>
            <w:r>
              <w:rPr>
                <w:rFonts w:ascii="宋体" w:hAnsi="宋体" w:hint="eastAsia"/>
                <w:szCs w:val="21"/>
              </w:rPr>
              <w:t>荣基金</w:t>
            </w:r>
            <w:proofErr w:type="gramEnd"/>
            <w:r>
              <w:rPr>
                <w:rFonts w:ascii="宋体" w:hAnsi="宋体" w:hint="eastAsia"/>
                <w:szCs w:val="21"/>
              </w:rPr>
              <w:t>管理有限公司关于旗下部分基金参加上海利得基金销售有限公司基金申购及定期定额投资申购费率优惠活动的公告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08</w:t>
            </w:r>
            <w:r>
              <w:rPr>
                <w:rFonts w:ascii="宋体" w:hAnsi="宋体" w:hint="eastAsia"/>
                <w:szCs w:val="21"/>
              </w:rPr>
              <w:t>月</w:t>
            </w:r>
            <w:r>
              <w:rPr>
                <w:rFonts w:ascii="宋体" w:hAnsi="宋体"/>
                <w:szCs w:val="21"/>
              </w:rPr>
              <w:t>26</w:t>
            </w:r>
            <w:r>
              <w:rPr>
                <w:rFonts w:ascii="宋体" w:hAnsi="宋体" w:hint="eastAsia"/>
                <w:szCs w:val="21"/>
              </w:rPr>
              <w:t>日</w:t>
            </w:r>
          </w:p>
        </w:tc>
      </w:tr>
      <w:tr w:rsidR="004C06C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46</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富</w:t>
            </w:r>
            <w:proofErr w:type="gramStart"/>
            <w:r>
              <w:rPr>
                <w:rFonts w:ascii="宋体" w:hAnsi="宋体" w:hint="eastAsia"/>
                <w:szCs w:val="21"/>
              </w:rPr>
              <w:t>荣基金</w:t>
            </w:r>
            <w:proofErr w:type="gramEnd"/>
            <w:r>
              <w:rPr>
                <w:rFonts w:ascii="宋体" w:hAnsi="宋体" w:hint="eastAsia"/>
                <w:szCs w:val="21"/>
              </w:rPr>
              <w:t>管理有限公司关于旗下部分基金新增上海利得基金销售有限公司为销售机构并开通</w:t>
            </w:r>
            <w:proofErr w:type="gramStart"/>
            <w:r>
              <w:rPr>
                <w:rFonts w:ascii="宋体" w:hAnsi="宋体" w:hint="eastAsia"/>
                <w:szCs w:val="21"/>
              </w:rPr>
              <w:t>基金定投转换</w:t>
            </w:r>
            <w:proofErr w:type="gramEnd"/>
            <w:r>
              <w:rPr>
                <w:rFonts w:ascii="宋体" w:hAnsi="宋体" w:hint="eastAsia"/>
                <w:szCs w:val="21"/>
              </w:rPr>
              <w:t>业务的公告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08</w:t>
            </w:r>
            <w:r>
              <w:rPr>
                <w:rFonts w:ascii="宋体" w:hAnsi="宋体" w:hint="eastAsia"/>
                <w:szCs w:val="21"/>
              </w:rPr>
              <w:t>月</w:t>
            </w:r>
            <w:r>
              <w:rPr>
                <w:rFonts w:ascii="宋体" w:hAnsi="宋体"/>
                <w:szCs w:val="21"/>
              </w:rPr>
              <w:t>26</w:t>
            </w:r>
            <w:r>
              <w:rPr>
                <w:rFonts w:ascii="宋体" w:hAnsi="宋体" w:hint="eastAsia"/>
                <w:szCs w:val="21"/>
              </w:rPr>
              <w:t>日</w:t>
            </w:r>
          </w:p>
        </w:tc>
      </w:tr>
      <w:tr w:rsidR="004C06C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47</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富</w:t>
            </w:r>
            <w:proofErr w:type="gramStart"/>
            <w:r>
              <w:rPr>
                <w:rFonts w:ascii="宋体" w:hAnsi="宋体" w:hint="eastAsia"/>
                <w:szCs w:val="21"/>
              </w:rPr>
              <w:t>荣富乾债券</w:t>
            </w:r>
            <w:proofErr w:type="gramEnd"/>
            <w:r>
              <w:rPr>
                <w:rFonts w:ascii="宋体" w:hAnsi="宋体" w:hint="eastAsia"/>
                <w:szCs w:val="21"/>
              </w:rPr>
              <w:t>型证券投资基金2019年半年度报告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08</w:t>
            </w:r>
            <w:r>
              <w:rPr>
                <w:rFonts w:ascii="宋体" w:hAnsi="宋体" w:hint="eastAsia"/>
                <w:szCs w:val="21"/>
              </w:rPr>
              <w:t>月</w:t>
            </w:r>
            <w:r>
              <w:rPr>
                <w:rFonts w:ascii="宋体" w:hAnsi="宋体"/>
                <w:szCs w:val="21"/>
              </w:rPr>
              <w:t>27</w:t>
            </w:r>
            <w:r>
              <w:rPr>
                <w:rFonts w:ascii="宋体" w:hAnsi="宋体" w:hint="eastAsia"/>
                <w:szCs w:val="21"/>
              </w:rPr>
              <w:t>日</w:t>
            </w:r>
          </w:p>
        </w:tc>
      </w:tr>
      <w:tr w:rsidR="004C06C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48</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富</w:t>
            </w:r>
            <w:proofErr w:type="gramStart"/>
            <w:r>
              <w:rPr>
                <w:rFonts w:ascii="宋体" w:hAnsi="宋体" w:hint="eastAsia"/>
                <w:szCs w:val="21"/>
              </w:rPr>
              <w:t>荣富乾债券</w:t>
            </w:r>
            <w:proofErr w:type="gramEnd"/>
            <w:r>
              <w:rPr>
                <w:rFonts w:ascii="宋体" w:hAnsi="宋体" w:hint="eastAsia"/>
                <w:szCs w:val="21"/>
              </w:rPr>
              <w:t>型证券投资基金2019年半年度报告摘要</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08</w:t>
            </w:r>
            <w:r>
              <w:rPr>
                <w:rFonts w:ascii="宋体" w:hAnsi="宋体" w:hint="eastAsia"/>
                <w:szCs w:val="21"/>
              </w:rPr>
              <w:t>月</w:t>
            </w:r>
            <w:r>
              <w:rPr>
                <w:rFonts w:ascii="宋体" w:hAnsi="宋体"/>
                <w:szCs w:val="21"/>
              </w:rPr>
              <w:t>27</w:t>
            </w:r>
            <w:r>
              <w:rPr>
                <w:rFonts w:ascii="宋体" w:hAnsi="宋体" w:hint="eastAsia"/>
                <w:szCs w:val="21"/>
              </w:rPr>
              <w:t>日</w:t>
            </w:r>
          </w:p>
        </w:tc>
      </w:tr>
      <w:tr w:rsidR="004C06C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49</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富</w:t>
            </w:r>
            <w:proofErr w:type="gramStart"/>
            <w:r>
              <w:rPr>
                <w:rFonts w:ascii="宋体" w:hAnsi="宋体" w:hint="eastAsia"/>
                <w:szCs w:val="21"/>
              </w:rPr>
              <w:t>荣基金</w:t>
            </w:r>
            <w:proofErr w:type="gramEnd"/>
            <w:r>
              <w:rPr>
                <w:rFonts w:ascii="宋体" w:hAnsi="宋体" w:hint="eastAsia"/>
                <w:szCs w:val="21"/>
              </w:rPr>
              <w:t>管理有限公司关于旗下部分基金新增北京肯特瑞财富投资管理有限公司为销售机构并开通</w:t>
            </w:r>
            <w:proofErr w:type="gramStart"/>
            <w:r>
              <w:rPr>
                <w:rFonts w:ascii="宋体" w:hAnsi="宋体" w:hint="eastAsia"/>
                <w:szCs w:val="21"/>
              </w:rPr>
              <w:t>基金定投转换</w:t>
            </w:r>
            <w:proofErr w:type="gramEnd"/>
            <w:r>
              <w:rPr>
                <w:rFonts w:ascii="宋体" w:hAnsi="宋体" w:hint="eastAsia"/>
                <w:szCs w:val="21"/>
              </w:rPr>
              <w:t>业务的公告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09</w:t>
            </w:r>
            <w:r>
              <w:rPr>
                <w:rFonts w:ascii="宋体" w:hAnsi="宋体" w:hint="eastAsia"/>
                <w:szCs w:val="21"/>
              </w:rPr>
              <w:t>月</w:t>
            </w:r>
            <w:r>
              <w:rPr>
                <w:rFonts w:ascii="宋体" w:hAnsi="宋体"/>
                <w:szCs w:val="21"/>
              </w:rPr>
              <w:t>05</w:t>
            </w:r>
            <w:r>
              <w:rPr>
                <w:rFonts w:ascii="宋体" w:hAnsi="宋体" w:hint="eastAsia"/>
                <w:szCs w:val="21"/>
              </w:rPr>
              <w:t>日</w:t>
            </w:r>
          </w:p>
        </w:tc>
      </w:tr>
      <w:tr w:rsidR="004C06C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lastRenderedPageBreak/>
              <w:t>50</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富</w:t>
            </w:r>
            <w:proofErr w:type="gramStart"/>
            <w:r>
              <w:rPr>
                <w:rFonts w:ascii="宋体" w:hAnsi="宋体" w:hint="eastAsia"/>
                <w:szCs w:val="21"/>
              </w:rPr>
              <w:t>荣基金</w:t>
            </w:r>
            <w:proofErr w:type="gramEnd"/>
            <w:r>
              <w:rPr>
                <w:rFonts w:ascii="宋体" w:hAnsi="宋体" w:hint="eastAsia"/>
                <w:szCs w:val="21"/>
              </w:rPr>
              <w:t>管理有限公司关于旗下部分基金参加北京肯特瑞财富投资管理有限公司基金申购及定期定额投资申购费率优惠活动的公告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09</w:t>
            </w:r>
            <w:r>
              <w:rPr>
                <w:rFonts w:ascii="宋体" w:hAnsi="宋体" w:hint="eastAsia"/>
                <w:szCs w:val="21"/>
              </w:rPr>
              <w:t>月</w:t>
            </w:r>
            <w:r>
              <w:rPr>
                <w:rFonts w:ascii="宋体" w:hAnsi="宋体"/>
                <w:szCs w:val="21"/>
              </w:rPr>
              <w:t>05</w:t>
            </w:r>
            <w:r>
              <w:rPr>
                <w:rFonts w:ascii="宋体" w:hAnsi="宋体" w:hint="eastAsia"/>
                <w:szCs w:val="21"/>
              </w:rPr>
              <w:t>日</w:t>
            </w:r>
          </w:p>
        </w:tc>
      </w:tr>
      <w:tr w:rsidR="004C06C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51</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富</w:t>
            </w:r>
            <w:proofErr w:type="gramStart"/>
            <w:r>
              <w:rPr>
                <w:rFonts w:ascii="宋体" w:hAnsi="宋体" w:hint="eastAsia"/>
                <w:szCs w:val="21"/>
              </w:rPr>
              <w:t>荣基金</w:t>
            </w:r>
            <w:proofErr w:type="gramEnd"/>
            <w:r>
              <w:rPr>
                <w:rFonts w:ascii="宋体" w:hAnsi="宋体" w:hint="eastAsia"/>
                <w:szCs w:val="21"/>
              </w:rPr>
              <w:t>管理有限公司关于旗下部分基金参加南京苏宁基金销售有限公司基金申购及定期定额投资申购费率优惠活动的公告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09</w:t>
            </w:r>
            <w:r>
              <w:rPr>
                <w:rFonts w:ascii="宋体" w:hAnsi="宋体" w:hint="eastAsia"/>
                <w:szCs w:val="21"/>
              </w:rPr>
              <w:t>月</w:t>
            </w:r>
            <w:r>
              <w:rPr>
                <w:rFonts w:ascii="宋体" w:hAnsi="宋体"/>
                <w:szCs w:val="21"/>
              </w:rPr>
              <w:t>10</w:t>
            </w:r>
            <w:r>
              <w:rPr>
                <w:rFonts w:ascii="宋体" w:hAnsi="宋体" w:hint="eastAsia"/>
                <w:szCs w:val="21"/>
              </w:rPr>
              <w:t>日</w:t>
            </w:r>
          </w:p>
        </w:tc>
      </w:tr>
      <w:tr w:rsidR="004C06C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52</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富</w:t>
            </w:r>
            <w:proofErr w:type="gramStart"/>
            <w:r>
              <w:rPr>
                <w:rFonts w:ascii="宋体" w:hAnsi="宋体" w:hint="eastAsia"/>
                <w:szCs w:val="21"/>
              </w:rPr>
              <w:t>荣基金</w:t>
            </w:r>
            <w:proofErr w:type="gramEnd"/>
            <w:r>
              <w:rPr>
                <w:rFonts w:ascii="宋体" w:hAnsi="宋体" w:hint="eastAsia"/>
                <w:szCs w:val="21"/>
              </w:rPr>
              <w:t>管理有限公司关于旗下部分基金新增南京苏宁基金销售有限公司为销售机构并开通</w:t>
            </w:r>
            <w:proofErr w:type="gramStart"/>
            <w:r>
              <w:rPr>
                <w:rFonts w:ascii="宋体" w:hAnsi="宋体" w:hint="eastAsia"/>
                <w:szCs w:val="21"/>
              </w:rPr>
              <w:t>基金定投转换</w:t>
            </w:r>
            <w:proofErr w:type="gramEnd"/>
            <w:r>
              <w:rPr>
                <w:rFonts w:ascii="宋体" w:hAnsi="宋体" w:hint="eastAsia"/>
                <w:szCs w:val="21"/>
              </w:rPr>
              <w:t>业务的公告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09</w:t>
            </w:r>
            <w:r>
              <w:rPr>
                <w:rFonts w:ascii="宋体" w:hAnsi="宋体" w:hint="eastAsia"/>
                <w:szCs w:val="21"/>
              </w:rPr>
              <w:t>月</w:t>
            </w:r>
            <w:r>
              <w:rPr>
                <w:rFonts w:ascii="宋体" w:hAnsi="宋体"/>
                <w:szCs w:val="21"/>
              </w:rPr>
              <w:t>10</w:t>
            </w:r>
            <w:r>
              <w:rPr>
                <w:rFonts w:ascii="宋体" w:hAnsi="宋体" w:hint="eastAsia"/>
                <w:szCs w:val="21"/>
              </w:rPr>
              <w:t>日</w:t>
            </w:r>
          </w:p>
        </w:tc>
      </w:tr>
      <w:tr w:rsidR="004C06C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53</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富</w:t>
            </w:r>
            <w:proofErr w:type="gramStart"/>
            <w:r>
              <w:rPr>
                <w:rFonts w:ascii="宋体" w:hAnsi="宋体" w:hint="eastAsia"/>
                <w:szCs w:val="21"/>
              </w:rPr>
              <w:t>荣基金</w:t>
            </w:r>
            <w:proofErr w:type="gramEnd"/>
            <w:r>
              <w:rPr>
                <w:rFonts w:ascii="宋体" w:hAnsi="宋体" w:hint="eastAsia"/>
                <w:szCs w:val="21"/>
              </w:rPr>
              <w:t>管理有限公司关于旗下部分基金参加中证金牛（北京）投资咨询有限公司基金申购及定期定额投资申购费率优惠活动的公告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09</w:t>
            </w:r>
            <w:r>
              <w:rPr>
                <w:rFonts w:ascii="宋体" w:hAnsi="宋体" w:hint="eastAsia"/>
                <w:szCs w:val="21"/>
              </w:rPr>
              <w:t>月</w:t>
            </w:r>
            <w:r>
              <w:rPr>
                <w:rFonts w:ascii="宋体" w:hAnsi="宋体"/>
                <w:szCs w:val="21"/>
              </w:rPr>
              <w:t>18</w:t>
            </w:r>
            <w:r>
              <w:rPr>
                <w:rFonts w:ascii="宋体" w:hAnsi="宋体" w:hint="eastAsia"/>
                <w:szCs w:val="21"/>
              </w:rPr>
              <w:t>日</w:t>
            </w:r>
          </w:p>
        </w:tc>
      </w:tr>
      <w:tr w:rsidR="004C06C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54</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富</w:t>
            </w:r>
            <w:proofErr w:type="gramStart"/>
            <w:r>
              <w:rPr>
                <w:rFonts w:ascii="宋体" w:hAnsi="宋体" w:hint="eastAsia"/>
                <w:szCs w:val="21"/>
              </w:rPr>
              <w:t>荣基金</w:t>
            </w:r>
            <w:proofErr w:type="gramEnd"/>
            <w:r>
              <w:rPr>
                <w:rFonts w:ascii="宋体" w:hAnsi="宋体" w:hint="eastAsia"/>
                <w:szCs w:val="21"/>
              </w:rPr>
              <w:t>管理有限公司关于旗下部分基金新增中证金牛（北京）投资咨询有限公司为销售机构并开通</w:t>
            </w:r>
            <w:proofErr w:type="gramStart"/>
            <w:r>
              <w:rPr>
                <w:rFonts w:ascii="宋体" w:hAnsi="宋体" w:hint="eastAsia"/>
                <w:szCs w:val="21"/>
              </w:rPr>
              <w:t>基金定投转换</w:t>
            </w:r>
            <w:proofErr w:type="gramEnd"/>
            <w:r>
              <w:rPr>
                <w:rFonts w:ascii="宋体" w:hAnsi="宋体" w:hint="eastAsia"/>
                <w:szCs w:val="21"/>
              </w:rPr>
              <w:t>业务的公告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09</w:t>
            </w:r>
            <w:r>
              <w:rPr>
                <w:rFonts w:ascii="宋体" w:hAnsi="宋体" w:hint="eastAsia"/>
                <w:szCs w:val="21"/>
              </w:rPr>
              <w:t>月</w:t>
            </w:r>
            <w:r>
              <w:rPr>
                <w:rFonts w:ascii="宋体" w:hAnsi="宋体"/>
                <w:szCs w:val="21"/>
              </w:rPr>
              <w:t>18</w:t>
            </w:r>
            <w:r>
              <w:rPr>
                <w:rFonts w:ascii="宋体" w:hAnsi="宋体" w:hint="eastAsia"/>
                <w:szCs w:val="21"/>
              </w:rPr>
              <w:t>日</w:t>
            </w:r>
          </w:p>
        </w:tc>
      </w:tr>
      <w:tr w:rsidR="004C06C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55</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富</w:t>
            </w:r>
            <w:proofErr w:type="gramStart"/>
            <w:r>
              <w:rPr>
                <w:rFonts w:ascii="宋体" w:hAnsi="宋体" w:hint="eastAsia"/>
                <w:szCs w:val="21"/>
              </w:rPr>
              <w:t>荣基金</w:t>
            </w:r>
            <w:proofErr w:type="gramEnd"/>
            <w:r>
              <w:rPr>
                <w:rFonts w:ascii="宋体" w:hAnsi="宋体" w:hint="eastAsia"/>
                <w:szCs w:val="21"/>
              </w:rPr>
              <w:t>管理有限公司关于旗下部分基金新增光大证券股份有限公司为销售机构并开通</w:t>
            </w:r>
            <w:proofErr w:type="gramStart"/>
            <w:r>
              <w:rPr>
                <w:rFonts w:ascii="宋体" w:hAnsi="宋体" w:hint="eastAsia"/>
                <w:szCs w:val="21"/>
              </w:rPr>
              <w:t>基金定投转换</w:t>
            </w:r>
            <w:proofErr w:type="gramEnd"/>
            <w:r>
              <w:rPr>
                <w:rFonts w:ascii="宋体" w:hAnsi="宋体" w:hint="eastAsia"/>
                <w:szCs w:val="21"/>
              </w:rPr>
              <w:t>业务的公告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09</w:t>
            </w:r>
            <w:r>
              <w:rPr>
                <w:rFonts w:ascii="宋体" w:hAnsi="宋体" w:hint="eastAsia"/>
                <w:szCs w:val="21"/>
              </w:rPr>
              <w:t>月</w:t>
            </w:r>
            <w:r>
              <w:rPr>
                <w:rFonts w:ascii="宋体" w:hAnsi="宋体"/>
                <w:szCs w:val="21"/>
              </w:rPr>
              <w:t>18</w:t>
            </w:r>
            <w:r>
              <w:rPr>
                <w:rFonts w:ascii="宋体" w:hAnsi="宋体" w:hint="eastAsia"/>
                <w:szCs w:val="21"/>
              </w:rPr>
              <w:t>日</w:t>
            </w:r>
          </w:p>
        </w:tc>
      </w:tr>
      <w:tr w:rsidR="004C06C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56</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富</w:t>
            </w:r>
            <w:proofErr w:type="gramStart"/>
            <w:r>
              <w:rPr>
                <w:rFonts w:ascii="宋体" w:hAnsi="宋体" w:hint="eastAsia"/>
                <w:szCs w:val="21"/>
              </w:rPr>
              <w:t>荣基金</w:t>
            </w:r>
            <w:proofErr w:type="gramEnd"/>
            <w:r>
              <w:rPr>
                <w:rFonts w:ascii="宋体" w:hAnsi="宋体" w:hint="eastAsia"/>
                <w:szCs w:val="21"/>
              </w:rPr>
              <w:t>管理有限公司关于旗下部分基金新增奕丰基金销售有限公司为销售机构并开通</w:t>
            </w:r>
            <w:proofErr w:type="gramStart"/>
            <w:r>
              <w:rPr>
                <w:rFonts w:ascii="宋体" w:hAnsi="宋体" w:hint="eastAsia"/>
                <w:szCs w:val="21"/>
              </w:rPr>
              <w:t>基金定投转换</w:t>
            </w:r>
            <w:proofErr w:type="gramEnd"/>
            <w:r>
              <w:rPr>
                <w:rFonts w:ascii="宋体" w:hAnsi="宋体" w:hint="eastAsia"/>
                <w:szCs w:val="21"/>
              </w:rPr>
              <w:t>业务的公告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09</w:t>
            </w:r>
            <w:r>
              <w:rPr>
                <w:rFonts w:ascii="宋体" w:hAnsi="宋体" w:hint="eastAsia"/>
                <w:szCs w:val="21"/>
              </w:rPr>
              <w:t>月</w:t>
            </w:r>
            <w:r>
              <w:rPr>
                <w:rFonts w:ascii="宋体" w:hAnsi="宋体"/>
                <w:szCs w:val="21"/>
              </w:rPr>
              <w:t>25</w:t>
            </w:r>
            <w:r>
              <w:rPr>
                <w:rFonts w:ascii="宋体" w:hAnsi="宋体" w:hint="eastAsia"/>
                <w:szCs w:val="21"/>
              </w:rPr>
              <w:t>日</w:t>
            </w:r>
          </w:p>
        </w:tc>
      </w:tr>
      <w:tr w:rsidR="004C06C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57</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富</w:t>
            </w:r>
            <w:proofErr w:type="gramStart"/>
            <w:r>
              <w:rPr>
                <w:rFonts w:ascii="宋体" w:hAnsi="宋体" w:hint="eastAsia"/>
                <w:szCs w:val="21"/>
              </w:rPr>
              <w:t>荣基金</w:t>
            </w:r>
            <w:proofErr w:type="gramEnd"/>
            <w:r>
              <w:rPr>
                <w:rFonts w:ascii="宋体" w:hAnsi="宋体" w:hint="eastAsia"/>
                <w:szCs w:val="21"/>
              </w:rPr>
              <w:t>管理有限公司关于旗下部分基金参加奕丰基金销售有限公司基金申购及定期定额投资申购费率优惠活动的公告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09</w:t>
            </w:r>
            <w:r>
              <w:rPr>
                <w:rFonts w:ascii="宋体" w:hAnsi="宋体" w:hint="eastAsia"/>
                <w:szCs w:val="21"/>
              </w:rPr>
              <w:t>月</w:t>
            </w:r>
            <w:r>
              <w:rPr>
                <w:rFonts w:ascii="宋体" w:hAnsi="宋体"/>
                <w:szCs w:val="21"/>
              </w:rPr>
              <w:t>25</w:t>
            </w:r>
            <w:r>
              <w:rPr>
                <w:rFonts w:ascii="宋体" w:hAnsi="宋体" w:hint="eastAsia"/>
                <w:szCs w:val="21"/>
              </w:rPr>
              <w:t>日</w:t>
            </w:r>
          </w:p>
        </w:tc>
      </w:tr>
      <w:tr w:rsidR="004C06C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58</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富</w:t>
            </w:r>
            <w:proofErr w:type="gramStart"/>
            <w:r>
              <w:rPr>
                <w:rFonts w:ascii="宋体" w:hAnsi="宋体" w:hint="eastAsia"/>
                <w:szCs w:val="21"/>
              </w:rPr>
              <w:t>荣基金</w:t>
            </w:r>
            <w:proofErr w:type="gramEnd"/>
            <w:r>
              <w:rPr>
                <w:rFonts w:ascii="宋体" w:hAnsi="宋体" w:hint="eastAsia"/>
                <w:szCs w:val="21"/>
              </w:rPr>
              <w:t>管理有限公司关于旗下部分基金新增江苏汇林保大基金销售有限公司为销售机构并开通基金定期定额投资业务和基金转换业务的公告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10</w:t>
            </w:r>
            <w:r>
              <w:rPr>
                <w:rFonts w:ascii="宋体" w:hAnsi="宋体" w:hint="eastAsia"/>
                <w:szCs w:val="21"/>
              </w:rPr>
              <w:t>月</w:t>
            </w:r>
            <w:r>
              <w:rPr>
                <w:rFonts w:ascii="宋体" w:hAnsi="宋体"/>
                <w:szCs w:val="21"/>
              </w:rPr>
              <w:t>14</w:t>
            </w:r>
            <w:r>
              <w:rPr>
                <w:rFonts w:ascii="宋体" w:hAnsi="宋体" w:hint="eastAsia"/>
                <w:szCs w:val="21"/>
              </w:rPr>
              <w:t>日</w:t>
            </w:r>
          </w:p>
        </w:tc>
      </w:tr>
      <w:tr w:rsidR="004C06C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59</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富</w:t>
            </w:r>
            <w:proofErr w:type="gramStart"/>
            <w:r>
              <w:rPr>
                <w:rFonts w:ascii="宋体" w:hAnsi="宋体" w:hint="eastAsia"/>
                <w:szCs w:val="21"/>
              </w:rPr>
              <w:t>荣基金</w:t>
            </w:r>
            <w:proofErr w:type="gramEnd"/>
            <w:r>
              <w:rPr>
                <w:rFonts w:ascii="宋体" w:hAnsi="宋体" w:hint="eastAsia"/>
                <w:szCs w:val="21"/>
              </w:rPr>
              <w:t>管理有限公司关于旗下部分基金参加江苏汇林保大基金销售有限公司基金申购及定期定额投资申购费率优惠活动的公告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10</w:t>
            </w:r>
            <w:r>
              <w:rPr>
                <w:rFonts w:ascii="宋体" w:hAnsi="宋体" w:hint="eastAsia"/>
                <w:szCs w:val="21"/>
              </w:rPr>
              <w:t>月</w:t>
            </w:r>
            <w:r>
              <w:rPr>
                <w:rFonts w:ascii="宋体" w:hAnsi="宋体"/>
                <w:szCs w:val="21"/>
              </w:rPr>
              <w:t>14</w:t>
            </w:r>
            <w:r>
              <w:rPr>
                <w:rFonts w:ascii="宋体" w:hAnsi="宋体" w:hint="eastAsia"/>
                <w:szCs w:val="21"/>
              </w:rPr>
              <w:t>日</w:t>
            </w:r>
          </w:p>
        </w:tc>
      </w:tr>
      <w:tr w:rsidR="004C06C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60</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富</w:t>
            </w:r>
            <w:proofErr w:type="gramStart"/>
            <w:r>
              <w:rPr>
                <w:rFonts w:ascii="宋体" w:hAnsi="宋体" w:hint="eastAsia"/>
                <w:szCs w:val="21"/>
              </w:rPr>
              <w:t>荣基金</w:t>
            </w:r>
            <w:proofErr w:type="gramEnd"/>
            <w:r>
              <w:rPr>
                <w:rFonts w:ascii="宋体" w:hAnsi="宋体" w:hint="eastAsia"/>
                <w:szCs w:val="21"/>
              </w:rPr>
              <w:t>管理有限公司关于旗下部分基金新增</w:t>
            </w:r>
            <w:proofErr w:type="gramStart"/>
            <w:r>
              <w:rPr>
                <w:rFonts w:ascii="宋体" w:hAnsi="宋体" w:hint="eastAsia"/>
                <w:szCs w:val="21"/>
              </w:rPr>
              <w:t>玄元保险</w:t>
            </w:r>
            <w:proofErr w:type="gramEnd"/>
            <w:r>
              <w:rPr>
                <w:rFonts w:ascii="宋体" w:hAnsi="宋体" w:hint="eastAsia"/>
                <w:szCs w:val="21"/>
              </w:rPr>
              <w:t>代理有限公司为销售机构并开通基金定期定额投资业务和基金转换业务的公告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10</w:t>
            </w:r>
            <w:r>
              <w:rPr>
                <w:rFonts w:ascii="宋体" w:hAnsi="宋体" w:hint="eastAsia"/>
                <w:szCs w:val="21"/>
              </w:rPr>
              <w:t>月</w:t>
            </w:r>
            <w:r>
              <w:rPr>
                <w:rFonts w:ascii="宋体" w:hAnsi="宋体"/>
                <w:szCs w:val="21"/>
              </w:rPr>
              <w:t>21</w:t>
            </w:r>
            <w:r>
              <w:rPr>
                <w:rFonts w:ascii="宋体" w:hAnsi="宋体" w:hint="eastAsia"/>
                <w:szCs w:val="21"/>
              </w:rPr>
              <w:t>日</w:t>
            </w:r>
          </w:p>
        </w:tc>
      </w:tr>
      <w:tr w:rsidR="004C06C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61</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富</w:t>
            </w:r>
            <w:proofErr w:type="gramStart"/>
            <w:r>
              <w:rPr>
                <w:rFonts w:ascii="宋体" w:hAnsi="宋体" w:hint="eastAsia"/>
                <w:szCs w:val="21"/>
              </w:rPr>
              <w:t>荣基金</w:t>
            </w:r>
            <w:proofErr w:type="gramEnd"/>
            <w:r>
              <w:rPr>
                <w:rFonts w:ascii="宋体" w:hAnsi="宋体" w:hint="eastAsia"/>
                <w:szCs w:val="21"/>
              </w:rPr>
              <w:t>管理有限公司关于旗下部分基金参加</w:t>
            </w:r>
            <w:proofErr w:type="gramStart"/>
            <w:r>
              <w:rPr>
                <w:rFonts w:ascii="宋体" w:hAnsi="宋体" w:hint="eastAsia"/>
                <w:szCs w:val="21"/>
              </w:rPr>
              <w:t>玄元保险</w:t>
            </w:r>
            <w:proofErr w:type="gramEnd"/>
            <w:r>
              <w:rPr>
                <w:rFonts w:ascii="宋体" w:hAnsi="宋体" w:hint="eastAsia"/>
                <w:szCs w:val="21"/>
              </w:rPr>
              <w:t>代理有限公司基金申购及定期定额投资申购费率优惠活动的公告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10</w:t>
            </w:r>
            <w:r>
              <w:rPr>
                <w:rFonts w:ascii="宋体" w:hAnsi="宋体" w:hint="eastAsia"/>
                <w:szCs w:val="21"/>
              </w:rPr>
              <w:t>月</w:t>
            </w:r>
            <w:r>
              <w:rPr>
                <w:rFonts w:ascii="宋体" w:hAnsi="宋体"/>
                <w:szCs w:val="21"/>
              </w:rPr>
              <w:t>21</w:t>
            </w:r>
            <w:r>
              <w:rPr>
                <w:rFonts w:ascii="宋体" w:hAnsi="宋体" w:hint="eastAsia"/>
                <w:szCs w:val="21"/>
              </w:rPr>
              <w:t>日</w:t>
            </w:r>
          </w:p>
        </w:tc>
      </w:tr>
      <w:tr w:rsidR="004C06C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62</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富</w:t>
            </w:r>
            <w:proofErr w:type="gramStart"/>
            <w:r>
              <w:rPr>
                <w:rFonts w:ascii="宋体" w:hAnsi="宋体" w:hint="eastAsia"/>
                <w:szCs w:val="21"/>
              </w:rPr>
              <w:t>荣富乾债券</w:t>
            </w:r>
            <w:proofErr w:type="gramEnd"/>
            <w:r>
              <w:rPr>
                <w:rFonts w:ascii="宋体" w:hAnsi="宋体" w:hint="eastAsia"/>
                <w:szCs w:val="21"/>
              </w:rPr>
              <w:t>型证券投资基金2019年第三季度报告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10</w:t>
            </w:r>
            <w:r>
              <w:rPr>
                <w:rFonts w:ascii="宋体" w:hAnsi="宋体" w:hint="eastAsia"/>
                <w:szCs w:val="21"/>
              </w:rPr>
              <w:t>月</w:t>
            </w:r>
            <w:r>
              <w:rPr>
                <w:rFonts w:ascii="宋体" w:hAnsi="宋体"/>
                <w:szCs w:val="21"/>
              </w:rPr>
              <w:t>23</w:t>
            </w:r>
            <w:r>
              <w:rPr>
                <w:rFonts w:ascii="宋体" w:hAnsi="宋体" w:hint="eastAsia"/>
                <w:szCs w:val="21"/>
              </w:rPr>
              <w:t>日</w:t>
            </w:r>
          </w:p>
        </w:tc>
      </w:tr>
      <w:tr w:rsidR="004C06C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63</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富</w:t>
            </w:r>
            <w:proofErr w:type="gramStart"/>
            <w:r>
              <w:rPr>
                <w:rFonts w:ascii="宋体" w:hAnsi="宋体" w:hint="eastAsia"/>
                <w:szCs w:val="21"/>
              </w:rPr>
              <w:t>荣基金</w:t>
            </w:r>
            <w:proofErr w:type="gramEnd"/>
            <w:r>
              <w:rPr>
                <w:rFonts w:ascii="宋体" w:hAnsi="宋体" w:hint="eastAsia"/>
                <w:szCs w:val="21"/>
              </w:rPr>
              <w:t>管理有限公司旗下全部基金季度报告提示性公告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10</w:t>
            </w:r>
            <w:r>
              <w:rPr>
                <w:rFonts w:ascii="宋体" w:hAnsi="宋体" w:hint="eastAsia"/>
                <w:szCs w:val="21"/>
              </w:rPr>
              <w:t>月</w:t>
            </w:r>
            <w:r>
              <w:rPr>
                <w:rFonts w:ascii="宋体" w:hAnsi="宋体"/>
                <w:szCs w:val="21"/>
              </w:rPr>
              <w:t>23</w:t>
            </w:r>
            <w:r>
              <w:rPr>
                <w:rFonts w:ascii="宋体" w:hAnsi="宋体" w:hint="eastAsia"/>
                <w:szCs w:val="21"/>
              </w:rPr>
              <w:t>日</w:t>
            </w:r>
          </w:p>
        </w:tc>
      </w:tr>
      <w:tr w:rsidR="004C06C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64</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富</w:t>
            </w:r>
            <w:proofErr w:type="gramStart"/>
            <w:r>
              <w:rPr>
                <w:rFonts w:ascii="宋体" w:hAnsi="宋体" w:hint="eastAsia"/>
                <w:szCs w:val="21"/>
              </w:rPr>
              <w:t>荣基金</w:t>
            </w:r>
            <w:proofErr w:type="gramEnd"/>
            <w:r>
              <w:rPr>
                <w:rFonts w:ascii="宋体" w:hAnsi="宋体" w:hint="eastAsia"/>
                <w:szCs w:val="21"/>
              </w:rPr>
              <w:t>管理有限公司关于旗下部分基金新增</w:t>
            </w:r>
            <w:proofErr w:type="gramStart"/>
            <w:r>
              <w:rPr>
                <w:rFonts w:ascii="宋体" w:hAnsi="宋体" w:hint="eastAsia"/>
                <w:szCs w:val="21"/>
              </w:rPr>
              <w:t>北京植信基金</w:t>
            </w:r>
            <w:proofErr w:type="gramEnd"/>
            <w:r>
              <w:rPr>
                <w:rFonts w:ascii="宋体" w:hAnsi="宋体" w:hint="eastAsia"/>
                <w:szCs w:val="21"/>
              </w:rPr>
              <w:t>销售有限公司为销售机构并开通</w:t>
            </w:r>
            <w:proofErr w:type="gramStart"/>
            <w:r>
              <w:rPr>
                <w:rFonts w:ascii="宋体" w:hAnsi="宋体" w:hint="eastAsia"/>
                <w:szCs w:val="21"/>
              </w:rPr>
              <w:t>基金定投转换</w:t>
            </w:r>
            <w:proofErr w:type="gramEnd"/>
            <w:r>
              <w:rPr>
                <w:rFonts w:ascii="宋体" w:hAnsi="宋体" w:hint="eastAsia"/>
                <w:szCs w:val="21"/>
              </w:rPr>
              <w:t>业务的公告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10</w:t>
            </w:r>
            <w:r>
              <w:rPr>
                <w:rFonts w:ascii="宋体" w:hAnsi="宋体" w:hint="eastAsia"/>
                <w:szCs w:val="21"/>
              </w:rPr>
              <w:t>月</w:t>
            </w:r>
            <w:r>
              <w:rPr>
                <w:rFonts w:ascii="宋体" w:hAnsi="宋体"/>
                <w:szCs w:val="21"/>
              </w:rPr>
              <w:t>28</w:t>
            </w:r>
            <w:r>
              <w:rPr>
                <w:rFonts w:ascii="宋体" w:hAnsi="宋体" w:hint="eastAsia"/>
                <w:szCs w:val="21"/>
              </w:rPr>
              <w:t>日</w:t>
            </w:r>
          </w:p>
        </w:tc>
      </w:tr>
      <w:tr w:rsidR="004C06C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65</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富</w:t>
            </w:r>
            <w:proofErr w:type="gramStart"/>
            <w:r>
              <w:rPr>
                <w:rFonts w:ascii="宋体" w:hAnsi="宋体" w:hint="eastAsia"/>
                <w:szCs w:val="21"/>
              </w:rPr>
              <w:t>荣基金</w:t>
            </w:r>
            <w:proofErr w:type="gramEnd"/>
            <w:r>
              <w:rPr>
                <w:rFonts w:ascii="宋体" w:hAnsi="宋体" w:hint="eastAsia"/>
                <w:szCs w:val="21"/>
              </w:rPr>
              <w:t>管理有限公司关于旗下部分基金参加</w:t>
            </w:r>
            <w:proofErr w:type="gramStart"/>
            <w:r>
              <w:rPr>
                <w:rFonts w:ascii="宋体" w:hAnsi="宋体" w:hint="eastAsia"/>
                <w:szCs w:val="21"/>
              </w:rPr>
              <w:t>北京植信基金</w:t>
            </w:r>
            <w:proofErr w:type="gramEnd"/>
            <w:r>
              <w:rPr>
                <w:rFonts w:ascii="宋体" w:hAnsi="宋体" w:hint="eastAsia"/>
                <w:szCs w:val="21"/>
              </w:rPr>
              <w:t>销售有限公司基金申购及定期定额投资申购费率优惠活动的公告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10</w:t>
            </w:r>
            <w:r>
              <w:rPr>
                <w:rFonts w:ascii="宋体" w:hAnsi="宋体" w:hint="eastAsia"/>
                <w:szCs w:val="21"/>
              </w:rPr>
              <w:t>月</w:t>
            </w:r>
            <w:r>
              <w:rPr>
                <w:rFonts w:ascii="宋体" w:hAnsi="宋体"/>
                <w:szCs w:val="21"/>
              </w:rPr>
              <w:t>28</w:t>
            </w:r>
            <w:r>
              <w:rPr>
                <w:rFonts w:ascii="宋体" w:hAnsi="宋体" w:hint="eastAsia"/>
                <w:szCs w:val="21"/>
              </w:rPr>
              <w:t>日</w:t>
            </w:r>
          </w:p>
        </w:tc>
      </w:tr>
      <w:tr w:rsidR="004C06C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66</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富</w:t>
            </w:r>
            <w:proofErr w:type="gramStart"/>
            <w:r>
              <w:rPr>
                <w:rFonts w:ascii="宋体" w:hAnsi="宋体" w:hint="eastAsia"/>
                <w:szCs w:val="21"/>
              </w:rPr>
              <w:t>荣基金</w:t>
            </w:r>
            <w:proofErr w:type="gramEnd"/>
            <w:r>
              <w:rPr>
                <w:rFonts w:ascii="宋体" w:hAnsi="宋体" w:hint="eastAsia"/>
                <w:szCs w:val="21"/>
              </w:rPr>
              <w:t>管理有限公司关于旗下部分基金</w:t>
            </w:r>
            <w:proofErr w:type="gramStart"/>
            <w:r>
              <w:rPr>
                <w:rFonts w:ascii="宋体" w:hAnsi="宋体" w:hint="eastAsia"/>
                <w:szCs w:val="21"/>
              </w:rPr>
              <w:t>新增宜信普</w:t>
            </w:r>
            <w:proofErr w:type="gramEnd"/>
            <w:r>
              <w:rPr>
                <w:rFonts w:ascii="宋体" w:hAnsi="宋体" w:hint="eastAsia"/>
                <w:szCs w:val="21"/>
              </w:rPr>
              <w:t>泽（北京）基金销售有限公司为销售机构并开通基金定期定额投资业务和基金转换业务的公告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10</w:t>
            </w:r>
            <w:r>
              <w:rPr>
                <w:rFonts w:ascii="宋体" w:hAnsi="宋体" w:hint="eastAsia"/>
                <w:szCs w:val="21"/>
              </w:rPr>
              <w:t>月</w:t>
            </w:r>
            <w:r>
              <w:rPr>
                <w:rFonts w:ascii="宋体" w:hAnsi="宋体"/>
                <w:szCs w:val="21"/>
              </w:rPr>
              <w:t>31</w:t>
            </w:r>
            <w:r>
              <w:rPr>
                <w:rFonts w:ascii="宋体" w:hAnsi="宋体" w:hint="eastAsia"/>
                <w:szCs w:val="21"/>
              </w:rPr>
              <w:t>日</w:t>
            </w:r>
          </w:p>
        </w:tc>
      </w:tr>
      <w:tr w:rsidR="004C06C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67</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富</w:t>
            </w:r>
            <w:proofErr w:type="gramStart"/>
            <w:r>
              <w:rPr>
                <w:rFonts w:ascii="宋体" w:hAnsi="宋体" w:hint="eastAsia"/>
                <w:szCs w:val="21"/>
              </w:rPr>
              <w:t>荣基金</w:t>
            </w:r>
            <w:proofErr w:type="gramEnd"/>
            <w:r>
              <w:rPr>
                <w:rFonts w:ascii="宋体" w:hAnsi="宋体" w:hint="eastAsia"/>
                <w:szCs w:val="21"/>
              </w:rPr>
              <w:t>管理有限公司关于旗下部分基金</w:t>
            </w:r>
            <w:proofErr w:type="gramStart"/>
            <w:r>
              <w:rPr>
                <w:rFonts w:ascii="宋体" w:hAnsi="宋体" w:hint="eastAsia"/>
                <w:szCs w:val="21"/>
              </w:rPr>
              <w:t>参加宜信普</w:t>
            </w:r>
            <w:proofErr w:type="gramEnd"/>
            <w:r>
              <w:rPr>
                <w:rFonts w:ascii="宋体" w:hAnsi="宋体" w:hint="eastAsia"/>
                <w:szCs w:val="21"/>
              </w:rPr>
              <w:t>泽（北京）基金销售有限公司基金申购及定期定额投资申购费率优惠活动的公告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10</w:t>
            </w:r>
            <w:r>
              <w:rPr>
                <w:rFonts w:ascii="宋体" w:hAnsi="宋体" w:hint="eastAsia"/>
                <w:szCs w:val="21"/>
              </w:rPr>
              <w:t>月</w:t>
            </w:r>
            <w:r>
              <w:rPr>
                <w:rFonts w:ascii="宋体" w:hAnsi="宋体"/>
                <w:szCs w:val="21"/>
              </w:rPr>
              <w:t>31</w:t>
            </w:r>
            <w:r>
              <w:rPr>
                <w:rFonts w:ascii="宋体" w:hAnsi="宋体" w:hint="eastAsia"/>
                <w:szCs w:val="21"/>
              </w:rPr>
              <w:t>日</w:t>
            </w:r>
          </w:p>
        </w:tc>
      </w:tr>
      <w:tr w:rsidR="004C06C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68</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关于调整旗下基金首次申购、追加申购及定期定额投资最低数额限制的公告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11</w:t>
            </w:r>
            <w:r>
              <w:rPr>
                <w:rFonts w:ascii="宋体" w:hAnsi="宋体" w:hint="eastAsia"/>
                <w:szCs w:val="21"/>
              </w:rPr>
              <w:t>月</w:t>
            </w:r>
            <w:r>
              <w:rPr>
                <w:rFonts w:ascii="宋体" w:hAnsi="宋体"/>
                <w:szCs w:val="21"/>
              </w:rPr>
              <w:t>07</w:t>
            </w:r>
            <w:r>
              <w:rPr>
                <w:rFonts w:ascii="宋体" w:hAnsi="宋体" w:hint="eastAsia"/>
                <w:szCs w:val="21"/>
              </w:rPr>
              <w:t>日</w:t>
            </w:r>
          </w:p>
        </w:tc>
      </w:tr>
      <w:tr w:rsidR="004C06C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69</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富</w:t>
            </w:r>
            <w:proofErr w:type="gramStart"/>
            <w:r>
              <w:rPr>
                <w:rFonts w:ascii="宋体" w:hAnsi="宋体" w:hint="eastAsia"/>
                <w:szCs w:val="21"/>
              </w:rPr>
              <w:t>荣基金</w:t>
            </w:r>
            <w:proofErr w:type="gramEnd"/>
            <w:r>
              <w:rPr>
                <w:rFonts w:ascii="宋体" w:hAnsi="宋体" w:hint="eastAsia"/>
                <w:szCs w:val="21"/>
              </w:rPr>
              <w:t>管理有限公司关于旗下部分基金新增喜鹊财富基金销售有限公司为销售机构并开通基金定期定额投资业务和基金转换业务的公告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11</w:t>
            </w:r>
            <w:r>
              <w:rPr>
                <w:rFonts w:ascii="宋体" w:hAnsi="宋体" w:hint="eastAsia"/>
                <w:szCs w:val="21"/>
              </w:rPr>
              <w:t>月</w:t>
            </w:r>
            <w:r>
              <w:rPr>
                <w:rFonts w:ascii="宋体" w:hAnsi="宋体"/>
                <w:szCs w:val="21"/>
              </w:rPr>
              <w:t>27</w:t>
            </w:r>
            <w:r>
              <w:rPr>
                <w:rFonts w:ascii="宋体" w:hAnsi="宋体" w:hint="eastAsia"/>
                <w:szCs w:val="21"/>
              </w:rPr>
              <w:t>日</w:t>
            </w:r>
          </w:p>
        </w:tc>
      </w:tr>
      <w:tr w:rsidR="004C06C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70</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富</w:t>
            </w:r>
            <w:proofErr w:type="gramStart"/>
            <w:r>
              <w:rPr>
                <w:rFonts w:ascii="宋体" w:hAnsi="宋体" w:hint="eastAsia"/>
                <w:szCs w:val="21"/>
              </w:rPr>
              <w:t>荣基金</w:t>
            </w:r>
            <w:proofErr w:type="gramEnd"/>
            <w:r>
              <w:rPr>
                <w:rFonts w:ascii="宋体" w:hAnsi="宋体" w:hint="eastAsia"/>
                <w:szCs w:val="21"/>
              </w:rPr>
              <w:t>管理有限公司关于旗下部分基金参加喜鹊财富基金销售有限公司基金申购及定期定额投资申购费率优惠活动的公告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11</w:t>
            </w:r>
            <w:r>
              <w:rPr>
                <w:rFonts w:ascii="宋体" w:hAnsi="宋体" w:hint="eastAsia"/>
                <w:szCs w:val="21"/>
              </w:rPr>
              <w:t>月</w:t>
            </w:r>
            <w:r>
              <w:rPr>
                <w:rFonts w:ascii="宋体" w:hAnsi="宋体"/>
                <w:szCs w:val="21"/>
              </w:rPr>
              <w:t>27</w:t>
            </w:r>
            <w:r>
              <w:rPr>
                <w:rFonts w:ascii="宋体" w:hAnsi="宋体" w:hint="eastAsia"/>
                <w:szCs w:val="21"/>
              </w:rPr>
              <w:t>日</w:t>
            </w:r>
          </w:p>
        </w:tc>
      </w:tr>
      <w:tr w:rsidR="004C06C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71</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富</w:t>
            </w:r>
            <w:proofErr w:type="gramStart"/>
            <w:r>
              <w:rPr>
                <w:rFonts w:ascii="宋体" w:hAnsi="宋体" w:hint="eastAsia"/>
                <w:szCs w:val="21"/>
              </w:rPr>
              <w:t>荣基金</w:t>
            </w:r>
            <w:proofErr w:type="gramEnd"/>
            <w:r>
              <w:rPr>
                <w:rFonts w:ascii="宋体" w:hAnsi="宋体" w:hint="eastAsia"/>
                <w:szCs w:val="21"/>
              </w:rPr>
              <w:t>管理有限公司关于旗下部分基金参加安信证券股份有</w:t>
            </w:r>
            <w:r>
              <w:rPr>
                <w:rFonts w:ascii="宋体" w:hAnsi="宋体" w:hint="eastAsia"/>
                <w:szCs w:val="21"/>
              </w:rPr>
              <w:lastRenderedPageBreak/>
              <w:t>限公司基金申购及定期定额投资申购费率优惠活动的公告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szCs w:val="21"/>
              </w:rPr>
              <w:lastRenderedPageBreak/>
              <w:t>2020</w:t>
            </w:r>
            <w:r>
              <w:rPr>
                <w:rFonts w:ascii="宋体" w:hAnsi="宋体" w:hint="eastAsia"/>
                <w:szCs w:val="21"/>
              </w:rPr>
              <w:t>年</w:t>
            </w:r>
            <w:r>
              <w:rPr>
                <w:rFonts w:ascii="宋体" w:hAnsi="宋体"/>
                <w:szCs w:val="21"/>
              </w:rPr>
              <w:t>01</w:t>
            </w:r>
            <w:r>
              <w:rPr>
                <w:rFonts w:ascii="宋体" w:hAnsi="宋体" w:hint="eastAsia"/>
                <w:szCs w:val="21"/>
              </w:rPr>
              <w:t>月</w:t>
            </w:r>
            <w:r>
              <w:rPr>
                <w:rFonts w:ascii="宋体" w:hAnsi="宋体"/>
                <w:szCs w:val="21"/>
              </w:rPr>
              <w:t>09</w:t>
            </w:r>
            <w:r>
              <w:rPr>
                <w:rFonts w:ascii="宋体" w:hAnsi="宋体" w:hint="eastAsia"/>
                <w:szCs w:val="21"/>
              </w:rPr>
              <w:t>日</w:t>
            </w:r>
          </w:p>
        </w:tc>
      </w:tr>
      <w:tr w:rsidR="004C06C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lastRenderedPageBreak/>
              <w:t>72</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富</w:t>
            </w:r>
            <w:proofErr w:type="gramStart"/>
            <w:r>
              <w:rPr>
                <w:rFonts w:ascii="宋体" w:hAnsi="宋体" w:hint="eastAsia"/>
                <w:szCs w:val="21"/>
              </w:rPr>
              <w:t>荣基金</w:t>
            </w:r>
            <w:proofErr w:type="gramEnd"/>
            <w:r>
              <w:rPr>
                <w:rFonts w:ascii="宋体" w:hAnsi="宋体" w:hint="eastAsia"/>
                <w:szCs w:val="21"/>
              </w:rPr>
              <w:t>管理有限公司关于旗下部分基金新增安信证券股份有限公司为销售机构并开通基金定期定额投资业务和基金转换业务的公告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szCs w:val="21"/>
              </w:rPr>
              <w:t>2020</w:t>
            </w:r>
            <w:r>
              <w:rPr>
                <w:rFonts w:ascii="宋体" w:hAnsi="宋体" w:hint="eastAsia"/>
                <w:szCs w:val="21"/>
              </w:rPr>
              <w:t>年</w:t>
            </w:r>
            <w:r>
              <w:rPr>
                <w:rFonts w:ascii="宋体" w:hAnsi="宋体"/>
                <w:szCs w:val="21"/>
              </w:rPr>
              <w:t>01</w:t>
            </w:r>
            <w:r>
              <w:rPr>
                <w:rFonts w:ascii="宋体" w:hAnsi="宋体" w:hint="eastAsia"/>
                <w:szCs w:val="21"/>
              </w:rPr>
              <w:t>月</w:t>
            </w:r>
            <w:r>
              <w:rPr>
                <w:rFonts w:ascii="宋体" w:hAnsi="宋体"/>
                <w:szCs w:val="21"/>
              </w:rPr>
              <w:t>09</w:t>
            </w:r>
            <w:r>
              <w:rPr>
                <w:rFonts w:ascii="宋体" w:hAnsi="宋体" w:hint="eastAsia"/>
                <w:szCs w:val="21"/>
              </w:rPr>
              <w:t>日</w:t>
            </w:r>
          </w:p>
        </w:tc>
      </w:tr>
      <w:tr w:rsidR="004C06C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73</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富</w:t>
            </w:r>
            <w:proofErr w:type="gramStart"/>
            <w:r>
              <w:rPr>
                <w:rFonts w:ascii="宋体" w:hAnsi="宋体" w:hint="eastAsia"/>
                <w:szCs w:val="21"/>
              </w:rPr>
              <w:t>荣基金</w:t>
            </w:r>
            <w:proofErr w:type="gramEnd"/>
            <w:r>
              <w:rPr>
                <w:rFonts w:ascii="宋体" w:hAnsi="宋体" w:hint="eastAsia"/>
                <w:szCs w:val="21"/>
              </w:rPr>
              <w:t>管理有限公司关于暂停</w:t>
            </w:r>
            <w:proofErr w:type="gramStart"/>
            <w:r>
              <w:rPr>
                <w:rFonts w:ascii="宋体" w:hAnsi="宋体" w:hint="eastAsia"/>
                <w:szCs w:val="21"/>
              </w:rPr>
              <w:t>泰信财富</w:t>
            </w:r>
            <w:proofErr w:type="gramEnd"/>
            <w:r>
              <w:rPr>
                <w:rFonts w:ascii="宋体" w:hAnsi="宋体" w:hint="eastAsia"/>
                <w:szCs w:val="21"/>
              </w:rPr>
              <w:t>基金销售有限办理旗下基金相关销售业务的公告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szCs w:val="21"/>
              </w:rPr>
              <w:t>2020</w:t>
            </w:r>
            <w:r>
              <w:rPr>
                <w:rFonts w:ascii="宋体" w:hAnsi="宋体" w:hint="eastAsia"/>
                <w:szCs w:val="21"/>
              </w:rPr>
              <w:t>年</w:t>
            </w:r>
            <w:r>
              <w:rPr>
                <w:rFonts w:ascii="宋体" w:hAnsi="宋体"/>
                <w:szCs w:val="21"/>
              </w:rPr>
              <w:t>01</w:t>
            </w:r>
            <w:r>
              <w:rPr>
                <w:rFonts w:ascii="宋体" w:hAnsi="宋体" w:hint="eastAsia"/>
                <w:szCs w:val="21"/>
              </w:rPr>
              <w:t>月</w:t>
            </w:r>
            <w:r>
              <w:rPr>
                <w:rFonts w:ascii="宋体" w:hAnsi="宋体"/>
                <w:szCs w:val="21"/>
              </w:rPr>
              <w:t>10</w:t>
            </w:r>
            <w:r>
              <w:rPr>
                <w:rFonts w:ascii="宋体" w:hAnsi="宋体" w:hint="eastAsia"/>
                <w:szCs w:val="21"/>
              </w:rPr>
              <w:t>日</w:t>
            </w:r>
          </w:p>
        </w:tc>
      </w:tr>
      <w:tr w:rsidR="004C06C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74</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富</w:t>
            </w:r>
            <w:proofErr w:type="gramStart"/>
            <w:r>
              <w:rPr>
                <w:rFonts w:ascii="宋体" w:hAnsi="宋体" w:hint="eastAsia"/>
                <w:szCs w:val="21"/>
              </w:rPr>
              <w:t>荣富乾债券</w:t>
            </w:r>
            <w:proofErr w:type="gramEnd"/>
            <w:r>
              <w:rPr>
                <w:rFonts w:ascii="宋体" w:hAnsi="宋体" w:hint="eastAsia"/>
                <w:szCs w:val="21"/>
              </w:rPr>
              <w:t>型证券投资基金2019年第四季度报告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szCs w:val="21"/>
              </w:rPr>
              <w:t>2020</w:t>
            </w:r>
            <w:r>
              <w:rPr>
                <w:rFonts w:ascii="宋体" w:hAnsi="宋体" w:hint="eastAsia"/>
                <w:szCs w:val="21"/>
              </w:rPr>
              <w:t>年</w:t>
            </w:r>
            <w:r>
              <w:rPr>
                <w:rFonts w:ascii="宋体" w:hAnsi="宋体"/>
                <w:szCs w:val="21"/>
              </w:rPr>
              <w:t>01</w:t>
            </w:r>
            <w:r>
              <w:rPr>
                <w:rFonts w:ascii="宋体" w:hAnsi="宋体" w:hint="eastAsia"/>
                <w:szCs w:val="21"/>
              </w:rPr>
              <w:t>月</w:t>
            </w:r>
            <w:r>
              <w:rPr>
                <w:rFonts w:ascii="宋体" w:hAnsi="宋体"/>
                <w:szCs w:val="21"/>
              </w:rPr>
              <w:t>17</w:t>
            </w:r>
            <w:r>
              <w:rPr>
                <w:rFonts w:ascii="宋体" w:hAnsi="宋体" w:hint="eastAsia"/>
                <w:szCs w:val="21"/>
              </w:rPr>
              <w:t>日</w:t>
            </w:r>
          </w:p>
        </w:tc>
      </w:tr>
      <w:tr w:rsidR="004C06C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75</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富</w:t>
            </w:r>
            <w:proofErr w:type="gramStart"/>
            <w:r>
              <w:rPr>
                <w:rFonts w:ascii="宋体" w:hAnsi="宋体" w:hint="eastAsia"/>
                <w:szCs w:val="21"/>
              </w:rPr>
              <w:t>荣基金</w:t>
            </w:r>
            <w:proofErr w:type="gramEnd"/>
            <w:r>
              <w:rPr>
                <w:rFonts w:ascii="宋体" w:hAnsi="宋体" w:hint="eastAsia"/>
                <w:szCs w:val="21"/>
              </w:rPr>
              <w:t>管理有限公司旗下全部基金2019年第4季度报告提示性公告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szCs w:val="21"/>
              </w:rPr>
              <w:t>2020</w:t>
            </w:r>
            <w:r>
              <w:rPr>
                <w:rFonts w:ascii="宋体" w:hAnsi="宋体" w:hint="eastAsia"/>
                <w:szCs w:val="21"/>
              </w:rPr>
              <w:t>年</w:t>
            </w:r>
            <w:r>
              <w:rPr>
                <w:rFonts w:ascii="宋体" w:hAnsi="宋体"/>
                <w:szCs w:val="21"/>
              </w:rPr>
              <w:t>01</w:t>
            </w:r>
            <w:r>
              <w:rPr>
                <w:rFonts w:ascii="宋体" w:hAnsi="宋体" w:hint="eastAsia"/>
                <w:szCs w:val="21"/>
              </w:rPr>
              <w:t>月</w:t>
            </w:r>
            <w:r>
              <w:rPr>
                <w:rFonts w:ascii="宋体" w:hAnsi="宋体"/>
                <w:szCs w:val="21"/>
              </w:rPr>
              <w:t>17</w:t>
            </w:r>
            <w:r>
              <w:rPr>
                <w:rFonts w:ascii="宋体" w:hAnsi="宋体" w:hint="eastAsia"/>
                <w:szCs w:val="21"/>
              </w:rPr>
              <w:t>日</w:t>
            </w:r>
          </w:p>
        </w:tc>
      </w:tr>
      <w:tr w:rsidR="004C06C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76</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富</w:t>
            </w:r>
            <w:proofErr w:type="gramStart"/>
            <w:r>
              <w:rPr>
                <w:rFonts w:ascii="宋体" w:hAnsi="宋体" w:hint="eastAsia"/>
                <w:szCs w:val="21"/>
              </w:rPr>
              <w:t>荣基金</w:t>
            </w:r>
            <w:proofErr w:type="gramEnd"/>
            <w:r>
              <w:rPr>
                <w:rFonts w:ascii="宋体" w:hAnsi="宋体" w:hint="eastAsia"/>
                <w:szCs w:val="21"/>
              </w:rPr>
              <w:t>管理有限公司关于2020年春节假期延长期间暂停办理申购赎回等业务的公告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szCs w:val="21"/>
              </w:rPr>
              <w:t>2020</w:t>
            </w:r>
            <w:r>
              <w:rPr>
                <w:rFonts w:ascii="宋体" w:hAnsi="宋体" w:hint="eastAsia"/>
                <w:szCs w:val="21"/>
              </w:rPr>
              <w:t>年</w:t>
            </w:r>
            <w:r>
              <w:rPr>
                <w:rFonts w:ascii="宋体" w:hAnsi="宋体"/>
                <w:szCs w:val="21"/>
              </w:rPr>
              <w:t>01</w:t>
            </w:r>
            <w:r>
              <w:rPr>
                <w:rFonts w:ascii="宋体" w:hAnsi="宋体" w:hint="eastAsia"/>
                <w:szCs w:val="21"/>
              </w:rPr>
              <w:t>月</w:t>
            </w:r>
            <w:r>
              <w:rPr>
                <w:rFonts w:ascii="宋体" w:hAnsi="宋体"/>
                <w:szCs w:val="21"/>
              </w:rPr>
              <w:t>30</w:t>
            </w:r>
            <w:r>
              <w:rPr>
                <w:rFonts w:ascii="宋体" w:hAnsi="宋体" w:hint="eastAsia"/>
                <w:szCs w:val="21"/>
              </w:rPr>
              <w:t>日</w:t>
            </w:r>
          </w:p>
        </w:tc>
      </w:tr>
      <w:tr w:rsidR="004C06C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77</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富</w:t>
            </w:r>
            <w:proofErr w:type="gramStart"/>
            <w:r>
              <w:rPr>
                <w:rFonts w:ascii="宋体" w:hAnsi="宋体" w:hint="eastAsia"/>
                <w:szCs w:val="21"/>
              </w:rPr>
              <w:t>荣基金</w:t>
            </w:r>
            <w:proofErr w:type="gramEnd"/>
            <w:r>
              <w:rPr>
                <w:rFonts w:ascii="宋体" w:hAnsi="宋体" w:hint="eastAsia"/>
                <w:szCs w:val="21"/>
              </w:rPr>
              <w:t>管理有限公司根据《公开募集证券投资基金信息披露管理办法》修订旗下13只</w:t>
            </w:r>
            <w:proofErr w:type="gramStart"/>
            <w:r>
              <w:rPr>
                <w:rFonts w:ascii="宋体" w:hAnsi="宋体" w:hint="eastAsia"/>
                <w:szCs w:val="21"/>
              </w:rPr>
              <w:t>基金基金</w:t>
            </w:r>
            <w:proofErr w:type="gramEnd"/>
            <w:r>
              <w:rPr>
                <w:rFonts w:ascii="宋体" w:hAnsi="宋体" w:hint="eastAsia"/>
                <w:szCs w:val="21"/>
              </w:rPr>
              <w:t>合同及托管协议的公告 - 富</w:t>
            </w:r>
            <w:proofErr w:type="gramStart"/>
            <w:r>
              <w:rPr>
                <w:rFonts w:ascii="宋体" w:hAnsi="宋体" w:hint="eastAsia"/>
                <w:szCs w:val="21"/>
              </w:rPr>
              <w:t>荣富乾债券</w:t>
            </w:r>
            <w:proofErr w:type="gramEnd"/>
            <w:r>
              <w:rPr>
                <w:rFonts w:ascii="宋体" w:hAnsi="宋体" w:hint="eastAsia"/>
                <w:szCs w:val="21"/>
              </w:rPr>
              <w:t>型证券投资基金</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szCs w:val="21"/>
              </w:rPr>
              <w:t>2020</w:t>
            </w:r>
            <w:r>
              <w:rPr>
                <w:rFonts w:ascii="宋体" w:hAnsi="宋体" w:hint="eastAsia"/>
                <w:szCs w:val="21"/>
              </w:rPr>
              <w:t>年</w:t>
            </w:r>
            <w:r>
              <w:rPr>
                <w:rFonts w:ascii="宋体" w:hAnsi="宋体"/>
                <w:szCs w:val="21"/>
              </w:rPr>
              <w:t>02</w:t>
            </w:r>
            <w:r>
              <w:rPr>
                <w:rFonts w:ascii="宋体" w:hAnsi="宋体" w:hint="eastAsia"/>
                <w:szCs w:val="21"/>
              </w:rPr>
              <w:t>月</w:t>
            </w:r>
            <w:r>
              <w:rPr>
                <w:rFonts w:ascii="宋体" w:hAnsi="宋体"/>
                <w:szCs w:val="21"/>
              </w:rPr>
              <w:t>20</w:t>
            </w:r>
            <w:r>
              <w:rPr>
                <w:rFonts w:ascii="宋体" w:hAnsi="宋体" w:hint="eastAsia"/>
                <w:szCs w:val="21"/>
              </w:rPr>
              <w:t>日</w:t>
            </w:r>
          </w:p>
        </w:tc>
      </w:tr>
      <w:tr w:rsidR="004C06C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78</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富</w:t>
            </w:r>
            <w:proofErr w:type="gramStart"/>
            <w:r>
              <w:rPr>
                <w:rFonts w:ascii="宋体" w:hAnsi="宋体" w:hint="eastAsia"/>
                <w:szCs w:val="21"/>
              </w:rPr>
              <w:t>荣富乾债券</w:t>
            </w:r>
            <w:proofErr w:type="gramEnd"/>
            <w:r>
              <w:rPr>
                <w:rFonts w:ascii="宋体" w:hAnsi="宋体" w:hint="eastAsia"/>
                <w:szCs w:val="21"/>
              </w:rPr>
              <w:t>型证券投资</w:t>
            </w:r>
            <w:proofErr w:type="gramStart"/>
            <w:r>
              <w:rPr>
                <w:rFonts w:ascii="宋体" w:hAnsi="宋体" w:hint="eastAsia"/>
                <w:szCs w:val="21"/>
              </w:rPr>
              <w:t>基金基金</w:t>
            </w:r>
            <w:proofErr w:type="gramEnd"/>
            <w:r>
              <w:rPr>
                <w:rFonts w:ascii="宋体" w:hAnsi="宋体" w:hint="eastAsia"/>
                <w:szCs w:val="21"/>
              </w:rPr>
              <w:t>合同</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szCs w:val="21"/>
              </w:rPr>
              <w:t>2020</w:t>
            </w:r>
            <w:r>
              <w:rPr>
                <w:rFonts w:ascii="宋体" w:hAnsi="宋体" w:hint="eastAsia"/>
                <w:szCs w:val="21"/>
              </w:rPr>
              <w:t>年</w:t>
            </w:r>
            <w:r>
              <w:rPr>
                <w:rFonts w:ascii="宋体" w:hAnsi="宋体"/>
                <w:szCs w:val="21"/>
              </w:rPr>
              <w:t>02</w:t>
            </w:r>
            <w:r>
              <w:rPr>
                <w:rFonts w:ascii="宋体" w:hAnsi="宋体" w:hint="eastAsia"/>
                <w:szCs w:val="21"/>
              </w:rPr>
              <w:t>月</w:t>
            </w:r>
            <w:r>
              <w:rPr>
                <w:rFonts w:ascii="宋体" w:hAnsi="宋体"/>
                <w:szCs w:val="21"/>
              </w:rPr>
              <w:t>20</w:t>
            </w:r>
            <w:r>
              <w:rPr>
                <w:rFonts w:ascii="宋体" w:hAnsi="宋体" w:hint="eastAsia"/>
                <w:szCs w:val="21"/>
              </w:rPr>
              <w:t>日</w:t>
            </w:r>
          </w:p>
        </w:tc>
      </w:tr>
      <w:tr w:rsidR="004C06C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79</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富</w:t>
            </w:r>
            <w:proofErr w:type="gramStart"/>
            <w:r>
              <w:rPr>
                <w:rFonts w:ascii="宋体" w:hAnsi="宋体" w:hint="eastAsia"/>
                <w:szCs w:val="21"/>
              </w:rPr>
              <w:t>荣富乾债券</w:t>
            </w:r>
            <w:proofErr w:type="gramEnd"/>
            <w:r>
              <w:rPr>
                <w:rFonts w:ascii="宋体" w:hAnsi="宋体" w:hint="eastAsia"/>
                <w:szCs w:val="21"/>
              </w:rPr>
              <w:t>型证券投资</w:t>
            </w:r>
            <w:proofErr w:type="gramStart"/>
            <w:r>
              <w:rPr>
                <w:rFonts w:ascii="宋体" w:hAnsi="宋体" w:hint="eastAsia"/>
                <w:szCs w:val="21"/>
              </w:rPr>
              <w:t>基金基金</w:t>
            </w:r>
            <w:proofErr w:type="gramEnd"/>
            <w:r>
              <w:rPr>
                <w:rFonts w:ascii="宋体" w:hAnsi="宋体" w:hint="eastAsia"/>
                <w:szCs w:val="21"/>
              </w:rPr>
              <w:t>合同及托管协议对照表</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szCs w:val="21"/>
              </w:rPr>
              <w:t>2020</w:t>
            </w:r>
            <w:r>
              <w:rPr>
                <w:rFonts w:ascii="宋体" w:hAnsi="宋体" w:hint="eastAsia"/>
                <w:szCs w:val="21"/>
              </w:rPr>
              <w:t>年</w:t>
            </w:r>
            <w:r>
              <w:rPr>
                <w:rFonts w:ascii="宋体" w:hAnsi="宋体"/>
                <w:szCs w:val="21"/>
              </w:rPr>
              <w:t>02</w:t>
            </w:r>
            <w:r>
              <w:rPr>
                <w:rFonts w:ascii="宋体" w:hAnsi="宋体" w:hint="eastAsia"/>
                <w:szCs w:val="21"/>
              </w:rPr>
              <w:t>月</w:t>
            </w:r>
            <w:r>
              <w:rPr>
                <w:rFonts w:ascii="宋体" w:hAnsi="宋体"/>
                <w:szCs w:val="21"/>
              </w:rPr>
              <w:t>20</w:t>
            </w:r>
            <w:r>
              <w:rPr>
                <w:rFonts w:ascii="宋体" w:hAnsi="宋体" w:hint="eastAsia"/>
                <w:szCs w:val="21"/>
              </w:rPr>
              <w:t>日</w:t>
            </w:r>
          </w:p>
        </w:tc>
      </w:tr>
      <w:tr w:rsidR="004C06C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80</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富</w:t>
            </w:r>
            <w:proofErr w:type="gramStart"/>
            <w:r>
              <w:rPr>
                <w:rFonts w:ascii="宋体" w:hAnsi="宋体" w:hint="eastAsia"/>
                <w:szCs w:val="21"/>
              </w:rPr>
              <w:t>荣富乾债券</w:t>
            </w:r>
            <w:proofErr w:type="gramEnd"/>
            <w:r>
              <w:rPr>
                <w:rFonts w:ascii="宋体" w:hAnsi="宋体" w:hint="eastAsia"/>
                <w:szCs w:val="21"/>
              </w:rPr>
              <w:t>型证券投资基金托管协议</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szCs w:val="21"/>
              </w:rPr>
              <w:t>2020</w:t>
            </w:r>
            <w:r>
              <w:rPr>
                <w:rFonts w:ascii="宋体" w:hAnsi="宋体" w:hint="eastAsia"/>
                <w:szCs w:val="21"/>
              </w:rPr>
              <w:t>年</w:t>
            </w:r>
            <w:r>
              <w:rPr>
                <w:rFonts w:ascii="宋体" w:hAnsi="宋体"/>
                <w:szCs w:val="21"/>
              </w:rPr>
              <w:t>02</w:t>
            </w:r>
            <w:r>
              <w:rPr>
                <w:rFonts w:ascii="宋体" w:hAnsi="宋体" w:hint="eastAsia"/>
                <w:szCs w:val="21"/>
              </w:rPr>
              <w:t>月</w:t>
            </w:r>
            <w:r>
              <w:rPr>
                <w:rFonts w:ascii="宋体" w:hAnsi="宋体"/>
                <w:szCs w:val="21"/>
              </w:rPr>
              <w:t>20</w:t>
            </w:r>
            <w:r>
              <w:rPr>
                <w:rFonts w:ascii="宋体" w:hAnsi="宋体" w:hint="eastAsia"/>
                <w:szCs w:val="21"/>
              </w:rPr>
              <w:t>日</w:t>
            </w:r>
          </w:p>
        </w:tc>
      </w:tr>
      <w:tr w:rsidR="004C06C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81</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富</w:t>
            </w:r>
            <w:proofErr w:type="gramStart"/>
            <w:r>
              <w:rPr>
                <w:rFonts w:ascii="宋体" w:hAnsi="宋体" w:hint="eastAsia"/>
                <w:szCs w:val="21"/>
              </w:rPr>
              <w:t>荣富乾债券</w:t>
            </w:r>
            <w:proofErr w:type="gramEnd"/>
            <w:r>
              <w:rPr>
                <w:rFonts w:ascii="宋体" w:hAnsi="宋体" w:hint="eastAsia"/>
                <w:szCs w:val="21"/>
              </w:rPr>
              <w:t>型证券投资基金更新的招募说明书（2019年第2号）</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szCs w:val="21"/>
              </w:rPr>
              <w:t>2020</w:t>
            </w:r>
            <w:r>
              <w:rPr>
                <w:rFonts w:ascii="宋体" w:hAnsi="宋体" w:hint="eastAsia"/>
                <w:szCs w:val="21"/>
              </w:rPr>
              <w:t>年</w:t>
            </w:r>
            <w:r>
              <w:rPr>
                <w:rFonts w:ascii="宋体" w:hAnsi="宋体"/>
                <w:szCs w:val="21"/>
              </w:rPr>
              <w:t>02</w:t>
            </w:r>
            <w:r>
              <w:rPr>
                <w:rFonts w:ascii="宋体" w:hAnsi="宋体" w:hint="eastAsia"/>
                <w:szCs w:val="21"/>
              </w:rPr>
              <w:t>月</w:t>
            </w:r>
            <w:r>
              <w:rPr>
                <w:rFonts w:ascii="宋体" w:hAnsi="宋体"/>
                <w:szCs w:val="21"/>
              </w:rPr>
              <w:t>21</w:t>
            </w:r>
            <w:r>
              <w:rPr>
                <w:rFonts w:ascii="宋体" w:hAnsi="宋体" w:hint="eastAsia"/>
                <w:szCs w:val="21"/>
              </w:rPr>
              <w:t>日</w:t>
            </w:r>
          </w:p>
        </w:tc>
      </w:tr>
      <w:tr w:rsidR="004C06C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82</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富</w:t>
            </w:r>
            <w:proofErr w:type="gramStart"/>
            <w:r>
              <w:rPr>
                <w:rFonts w:ascii="宋体" w:hAnsi="宋体" w:hint="eastAsia"/>
                <w:szCs w:val="21"/>
              </w:rPr>
              <w:t>荣富乾债券</w:t>
            </w:r>
            <w:proofErr w:type="gramEnd"/>
            <w:r>
              <w:rPr>
                <w:rFonts w:ascii="宋体" w:hAnsi="宋体" w:hint="eastAsia"/>
                <w:szCs w:val="21"/>
              </w:rPr>
              <w:t>型证券投资基金更新招募说明书的提示性公告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szCs w:val="21"/>
              </w:rPr>
              <w:t>2020</w:t>
            </w:r>
            <w:r>
              <w:rPr>
                <w:rFonts w:ascii="宋体" w:hAnsi="宋体" w:hint="eastAsia"/>
                <w:szCs w:val="21"/>
              </w:rPr>
              <w:t>年</w:t>
            </w:r>
            <w:r>
              <w:rPr>
                <w:rFonts w:ascii="宋体" w:hAnsi="宋体"/>
                <w:szCs w:val="21"/>
              </w:rPr>
              <w:t>02</w:t>
            </w:r>
            <w:r>
              <w:rPr>
                <w:rFonts w:ascii="宋体" w:hAnsi="宋体" w:hint="eastAsia"/>
                <w:szCs w:val="21"/>
              </w:rPr>
              <w:t>月</w:t>
            </w:r>
            <w:r>
              <w:rPr>
                <w:rFonts w:ascii="宋体" w:hAnsi="宋体"/>
                <w:szCs w:val="21"/>
              </w:rPr>
              <w:t>21</w:t>
            </w:r>
            <w:r>
              <w:rPr>
                <w:rFonts w:ascii="宋体" w:hAnsi="宋体" w:hint="eastAsia"/>
                <w:szCs w:val="21"/>
              </w:rPr>
              <w:t>日</w:t>
            </w:r>
          </w:p>
        </w:tc>
      </w:tr>
      <w:tr w:rsidR="004C06C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83</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富</w:t>
            </w:r>
            <w:proofErr w:type="gramStart"/>
            <w:r>
              <w:rPr>
                <w:rFonts w:ascii="宋体" w:hAnsi="宋体" w:hint="eastAsia"/>
                <w:szCs w:val="21"/>
              </w:rPr>
              <w:t>荣富乾债券</w:t>
            </w:r>
            <w:proofErr w:type="gramEnd"/>
            <w:r>
              <w:rPr>
                <w:rFonts w:ascii="宋体" w:hAnsi="宋体" w:hint="eastAsia"/>
                <w:szCs w:val="21"/>
              </w:rPr>
              <w:t>型证券投资基金更新的招募说明书摘要（2019年第2号）</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szCs w:val="21"/>
              </w:rPr>
              <w:t>2020</w:t>
            </w:r>
            <w:r>
              <w:rPr>
                <w:rFonts w:ascii="宋体" w:hAnsi="宋体" w:hint="eastAsia"/>
                <w:szCs w:val="21"/>
              </w:rPr>
              <w:t>年</w:t>
            </w:r>
            <w:r>
              <w:rPr>
                <w:rFonts w:ascii="宋体" w:hAnsi="宋体"/>
                <w:szCs w:val="21"/>
              </w:rPr>
              <w:t>02</w:t>
            </w:r>
            <w:r>
              <w:rPr>
                <w:rFonts w:ascii="宋体" w:hAnsi="宋体" w:hint="eastAsia"/>
                <w:szCs w:val="21"/>
              </w:rPr>
              <w:t>月</w:t>
            </w:r>
            <w:r>
              <w:rPr>
                <w:rFonts w:ascii="宋体" w:hAnsi="宋体"/>
                <w:szCs w:val="21"/>
              </w:rPr>
              <w:t>21</w:t>
            </w:r>
            <w:r>
              <w:rPr>
                <w:rFonts w:ascii="宋体" w:hAnsi="宋体" w:hint="eastAsia"/>
                <w:szCs w:val="21"/>
              </w:rPr>
              <w:t>日</w:t>
            </w:r>
          </w:p>
        </w:tc>
      </w:tr>
    </w:tbl>
    <w:p w:rsidR="004C06C5" w:rsidRDefault="004C06C5"/>
    <w:p w:rsidR="004C06C5" w:rsidRDefault="00ED474B">
      <w:pPr>
        <w:widowControl/>
        <w:jc w:val="left"/>
      </w:pPr>
      <w:r>
        <w:br w:type="page"/>
      </w:r>
    </w:p>
    <w:p w:rsidR="004C06C5" w:rsidRDefault="00ED474B">
      <w:pPr>
        <w:pStyle w:val="11"/>
        <w:snapToGrid w:val="0"/>
        <w:spacing w:before="0" w:after="0" w:line="360" w:lineRule="auto"/>
        <w:rPr>
          <w:rFonts w:ascii="Arial Unicode MS" w:eastAsia="宋体" w:hAnsi="Arial Unicode MS" w:cs="Arial"/>
          <w:b/>
          <w:bCs/>
          <w:sz w:val="28"/>
          <w:szCs w:val="28"/>
        </w:rPr>
      </w:pPr>
      <w:bookmarkStart w:id="174" w:name="_Toc1464077"/>
      <w:r>
        <w:rPr>
          <w:rFonts w:ascii="Arial Unicode MS" w:eastAsia="宋体" w:hAnsi="Arial Unicode MS" w:cs="Arial"/>
          <w:b/>
          <w:bCs/>
          <w:sz w:val="28"/>
          <w:szCs w:val="28"/>
        </w:rPr>
        <w:lastRenderedPageBreak/>
        <w:t>第二十</w:t>
      </w:r>
      <w:r>
        <w:rPr>
          <w:rFonts w:ascii="Arial Unicode MS" w:eastAsia="宋体" w:hAnsi="Arial Unicode MS" w:cs="Arial" w:hint="eastAsia"/>
          <w:b/>
          <w:bCs/>
          <w:sz w:val="28"/>
          <w:szCs w:val="28"/>
        </w:rPr>
        <w:t>二</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招募说明书</w:t>
      </w:r>
      <w:r>
        <w:rPr>
          <w:rFonts w:ascii="Arial Unicode MS" w:eastAsia="宋体" w:hAnsi="Arial Unicode MS" w:cs="Arial" w:hint="eastAsia"/>
          <w:b/>
          <w:bCs/>
          <w:sz w:val="28"/>
          <w:szCs w:val="28"/>
        </w:rPr>
        <w:t>的</w:t>
      </w:r>
      <w:r>
        <w:rPr>
          <w:rFonts w:ascii="Arial Unicode MS" w:eastAsia="宋体" w:hAnsi="Arial Unicode MS" w:cs="Arial"/>
          <w:b/>
          <w:bCs/>
          <w:sz w:val="28"/>
          <w:szCs w:val="28"/>
        </w:rPr>
        <w:t>存放及查阅方式</w:t>
      </w:r>
      <w:bookmarkEnd w:id="167"/>
      <w:bookmarkEnd w:id="168"/>
      <w:bookmarkEnd w:id="169"/>
      <w:bookmarkEnd w:id="170"/>
      <w:bookmarkEnd w:id="171"/>
      <w:bookmarkEnd w:id="172"/>
      <w:bookmarkEnd w:id="174"/>
    </w:p>
    <w:p w:rsidR="004C06C5" w:rsidRDefault="004C06C5">
      <w:pPr>
        <w:rPr>
          <w:rFonts w:ascii="Arial Unicode MS" w:hAnsi="Arial Unicode MS"/>
          <w:lang w:val="zh-CN"/>
        </w:rPr>
      </w:pP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依法必须披露的信息发布后，基金管理人、基金托管人应当按照相关法律法规规定将信息置备于公司住所、基金上市交易的证券交易所，供社会公众查阅、复制</w:t>
      </w:r>
      <w:r>
        <w:rPr>
          <w:rFonts w:ascii="Arial Unicode MS" w:hAnsi="Arial Unicode MS" w:cs="Arial"/>
          <w:kern w:val="0"/>
          <w:szCs w:val="21"/>
        </w:rPr>
        <w:t>；投资人在支付工本费后，可在合理时间内取得上述文件复制件或复印件。对投资人按此种方式所获得的文件及其复印件，基金管理人保证文本的内容与所公告的内容完全一致。</w:t>
      </w:r>
    </w:p>
    <w:p w:rsidR="004C06C5" w:rsidRDefault="00ED474B">
      <w:pPr>
        <w:adjustRightInd w:val="0"/>
        <w:snapToGrid w:val="0"/>
        <w:spacing w:line="360" w:lineRule="auto"/>
        <w:ind w:firstLineChars="200" w:firstLine="420"/>
        <w:rPr>
          <w:rFonts w:ascii="Arial Unicode MS" w:hAnsi="Arial Unicode MS" w:cs="Arial"/>
          <w:kern w:val="0"/>
          <w:szCs w:val="21"/>
        </w:rPr>
        <w:sectPr w:rsidR="004C06C5">
          <w:pgSz w:w="11906" w:h="16838"/>
          <w:pgMar w:top="1440" w:right="1800" w:bottom="1440" w:left="1800" w:header="851" w:footer="992" w:gutter="0"/>
          <w:cols w:space="720"/>
          <w:titlePg/>
          <w:docGrid w:linePitch="312"/>
        </w:sectPr>
      </w:pPr>
      <w:r>
        <w:rPr>
          <w:rFonts w:ascii="Arial Unicode MS" w:hAnsi="Arial Unicode MS" w:cs="Arial"/>
          <w:kern w:val="0"/>
          <w:szCs w:val="21"/>
        </w:rPr>
        <w:t>投资人还可以直接登录基金管理人的网站（</w:t>
      </w:r>
      <w:r>
        <w:rPr>
          <w:rFonts w:ascii="Arial Unicode MS" w:hAnsi="Arial Unicode MS" w:cs="Arial"/>
          <w:kern w:val="0"/>
          <w:szCs w:val="21"/>
        </w:rPr>
        <w:t>www.furamc.com.cn</w:t>
      </w:r>
      <w:r>
        <w:rPr>
          <w:rFonts w:ascii="Arial Unicode MS" w:hAnsi="Arial Unicode MS" w:cs="Arial"/>
          <w:kern w:val="0"/>
          <w:szCs w:val="21"/>
        </w:rPr>
        <w:t>）查阅和下载招募说明书。</w:t>
      </w:r>
    </w:p>
    <w:p w:rsidR="004C06C5" w:rsidRDefault="00ED474B">
      <w:pPr>
        <w:pStyle w:val="11"/>
        <w:snapToGrid w:val="0"/>
        <w:spacing w:before="0" w:after="0" w:line="360" w:lineRule="auto"/>
        <w:ind w:firstLineChars="150" w:firstLine="422"/>
        <w:rPr>
          <w:rFonts w:ascii="Arial Unicode MS" w:eastAsia="宋体" w:hAnsi="Arial Unicode MS" w:cs="Arial"/>
          <w:b/>
          <w:bCs/>
          <w:sz w:val="28"/>
          <w:szCs w:val="28"/>
        </w:rPr>
      </w:pPr>
      <w:bookmarkStart w:id="175" w:name="_Toc525454771"/>
      <w:bookmarkStart w:id="176" w:name="_Toc530223199"/>
      <w:bookmarkStart w:id="177" w:name="_Toc214873623"/>
      <w:bookmarkStart w:id="178" w:name="_Toc317088167"/>
      <w:bookmarkStart w:id="179" w:name="_Toc317088556"/>
      <w:bookmarkStart w:id="180" w:name="_Toc320887661"/>
      <w:bookmarkStart w:id="181" w:name="_Toc335232710"/>
      <w:bookmarkStart w:id="182" w:name="_Toc1464078"/>
      <w:r>
        <w:rPr>
          <w:rFonts w:ascii="Arial Unicode MS" w:eastAsia="宋体" w:hAnsi="Arial Unicode MS" w:cs="Arial"/>
          <w:b/>
          <w:bCs/>
          <w:sz w:val="28"/>
          <w:szCs w:val="28"/>
        </w:rPr>
        <w:lastRenderedPageBreak/>
        <w:t>第二十</w:t>
      </w:r>
      <w:r>
        <w:rPr>
          <w:rFonts w:ascii="Arial Unicode MS" w:eastAsia="宋体" w:hAnsi="Arial Unicode MS" w:cs="Arial" w:hint="eastAsia"/>
          <w:b/>
          <w:bCs/>
          <w:sz w:val="28"/>
          <w:szCs w:val="28"/>
        </w:rPr>
        <w:t>三</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bookmarkEnd w:id="173"/>
      <w:bookmarkEnd w:id="175"/>
      <w:r>
        <w:rPr>
          <w:rFonts w:ascii="Arial Unicode MS" w:eastAsia="宋体" w:hAnsi="Arial Unicode MS" w:cs="Arial"/>
          <w:b/>
          <w:bCs/>
          <w:sz w:val="28"/>
          <w:szCs w:val="28"/>
        </w:rPr>
        <w:t>备查文件</w:t>
      </w:r>
      <w:bookmarkEnd w:id="176"/>
      <w:bookmarkEnd w:id="177"/>
      <w:bookmarkEnd w:id="178"/>
      <w:bookmarkEnd w:id="179"/>
      <w:bookmarkEnd w:id="180"/>
      <w:bookmarkEnd w:id="181"/>
      <w:bookmarkEnd w:id="182"/>
    </w:p>
    <w:p w:rsidR="004C06C5" w:rsidRDefault="004C06C5">
      <w:pPr>
        <w:rPr>
          <w:rFonts w:ascii="Arial Unicode MS" w:hAnsi="Arial Unicode MS"/>
          <w:lang w:val="zh-CN"/>
        </w:rPr>
      </w:pP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以下备查文件存放在基金管理人的办公场所，在办公时间可供免费查阅。</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（一）中国证监会</w:t>
      </w:r>
      <w:r>
        <w:rPr>
          <w:rFonts w:ascii="Arial Unicode MS" w:hAnsi="Arial Unicode MS" w:cs="Arial" w:hint="eastAsia"/>
          <w:kern w:val="0"/>
          <w:szCs w:val="21"/>
        </w:rPr>
        <w:t>准予</w:t>
      </w:r>
      <w:r>
        <w:rPr>
          <w:rFonts w:ascii="Arial Unicode MS" w:hAnsi="Arial Unicode MS" w:cs="Arial"/>
          <w:kern w:val="0"/>
          <w:szCs w:val="21"/>
        </w:rPr>
        <w:t>富</w:t>
      </w:r>
      <w:proofErr w:type="gramStart"/>
      <w:r>
        <w:rPr>
          <w:rFonts w:ascii="Arial Unicode MS" w:hAnsi="Arial Unicode MS" w:cs="Arial"/>
          <w:kern w:val="0"/>
          <w:szCs w:val="21"/>
        </w:rPr>
        <w:t>荣富乾债券</w:t>
      </w:r>
      <w:proofErr w:type="gramEnd"/>
      <w:r>
        <w:rPr>
          <w:rFonts w:ascii="Arial Unicode MS" w:hAnsi="Arial Unicode MS" w:cs="Arial"/>
          <w:kern w:val="0"/>
          <w:szCs w:val="21"/>
        </w:rPr>
        <w:t>型证券投资基金</w:t>
      </w:r>
      <w:r>
        <w:rPr>
          <w:rFonts w:ascii="Arial Unicode MS" w:hAnsi="Arial Unicode MS" w:cs="Arial" w:hint="eastAsia"/>
          <w:kern w:val="0"/>
          <w:szCs w:val="21"/>
        </w:rPr>
        <w:t>注册</w:t>
      </w:r>
      <w:r>
        <w:rPr>
          <w:rFonts w:ascii="Arial Unicode MS" w:hAnsi="Arial Unicode MS" w:cs="Arial"/>
          <w:kern w:val="0"/>
          <w:szCs w:val="21"/>
        </w:rPr>
        <w:t>的文件</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（二）《富荣富乾债券型证券投资基金基金合同》</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w:t>
      </w:r>
      <w:r>
        <w:rPr>
          <w:rFonts w:ascii="Arial Unicode MS" w:hAnsi="Arial Unicode MS" w:cs="Arial" w:hint="eastAsia"/>
          <w:kern w:val="0"/>
          <w:szCs w:val="21"/>
        </w:rPr>
        <w:t>三</w:t>
      </w:r>
      <w:r>
        <w:rPr>
          <w:rFonts w:ascii="Arial Unicode MS" w:hAnsi="Arial Unicode MS" w:cs="Arial"/>
          <w:kern w:val="0"/>
          <w:szCs w:val="21"/>
        </w:rPr>
        <w:t>）《富荣富乾债券型证券投资基金托管协议》</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w:t>
      </w:r>
      <w:r>
        <w:rPr>
          <w:rFonts w:ascii="Arial Unicode MS" w:hAnsi="Arial Unicode MS" w:cs="Arial" w:hint="eastAsia"/>
          <w:kern w:val="0"/>
          <w:szCs w:val="21"/>
        </w:rPr>
        <w:t>四</w:t>
      </w:r>
      <w:r>
        <w:rPr>
          <w:rFonts w:ascii="Arial Unicode MS" w:hAnsi="Arial Unicode MS" w:cs="Arial"/>
          <w:kern w:val="0"/>
          <w:szCs w:val="21"/>
        </w:rPr>
        <w:t>）基金管理人业务资格批件、营业执照</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w:t>
      </w:r>
      <w:r>
        <w:rPr>
          <w:rFonts w:ascii="Arial Unicode MS" w:hAnsi="Arial Unicode MS" w:cs="Arial" w:hint="eastAsia"/>
          <w:kern w:val="0"/>
          <w:szCs w:val="21"/>
        </w:rPr>
        <w:t>五</w:t>
      </w:r>
      <w:r>
        <w:rPr>
          <w:rFonts w:ascii="Arial Unicode MS" w:hAnsi="Arial Unicode MS" w:cs="Arial"/>
          <w:kern w:val="0"/>
          <w:szCs w:val="21"/>
        </w:rPr>
        <w:t>）基金托管人业务资格批件、营业执照</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w:t>
      </w:r>
      <w:r>
        <w:rPr>
          <w:rFonts w:ascii="Arial Unicode MS" w:hAnsi="Arial Unicode MS" w:cs="Arial" w:hint="eastAsia"/>
          <w:kern w:val="0"/>
          <w:szCs w:val="21"/>
        </w:rPr>
        <w:t>六</w:t>
      </w:r>
      <w:r>
        <w:rPr>
          <w:rFonts w:ascii="Arial Unicode MS" w:hAnsi="Arial Unicode MS" w:cs="Arial"/>
          <w:kern w:val="0"/>
          <w:szCs w:val="21"/>
        </w:rPr>
        <w:t>）关于申请募集</w:t>
      </w:r>
      <w:r>
        <w:rPr>
          <w:rFonts w:ascii="Arial Unicode MS" w:hAnsi="Arial Unicode MS" w:cs="Arial" w:hint="eastAsia"/>
          <w:kern w:val="0"/>
          <w:szCs w:val="21"/>
        </w:rPr>
        <w:t>注册</w:t>
      </w:r>
      <w:r>
        <w:rPr>
          <w:rFonts w:ascii="Arial Unicode MS" w:hAnsi="Arial Unicode MS" w:cs="Arial"/>
          <w:kern w:val="0"/>
          <w:szCs w:val="21"/>
        </w:rPr>
        <w:t>富</w:t>
      </w:r>
      <w:proofErr w:type="gramStart"/>
      <w:r>
        <w:rPr>
          <w:rFonts w:ascii="Arial Unicode MS" w:hAnsi="Arial Unicode MS" w:cs="Arial"/>
          <w:kern w:val="0"/>
          <w:szCs w:val="21"/>
        </w:rPr>
        <w:t>荣富乾债券</w:t>
      </w:r>
      <w:proofErr w:type="gramEnd"/>
      <w:r>
        <w:rPr>
          <w:rFonts w:ascii="Arial Unicode MS" w:hAnsi="Arial Unicode MS" w:cs="Arial"/>
          <w:kern w:val="0"/>
          <w:szCs w:val="21"/>
        </w:rPr>
        <w:t>型证券投资基金之法律意见书</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（七）中国证监会要求的其他文件</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查阅方式：投资者可在营业时间免费查阅，也可按工本费购买复印件。</w:t>
      </w:r>
    </w:p>
    <w:p w:rsidR="004C06C5" w:rsidRDefault="004C06C5">
      <w:pPr>
        <w:adjustRightInd w:val="0"/>
        <w:snapToGrid w:val="0"/>
        <w:spacing w:line="360" w:lineRule="auto"/>
        <w:ind w:firstLineChars="200" w:firstLine="420"/>
        <w:rPr>
          <w:rFonts w:ascii="Arial Unicode MS" w:hAnsi="Arial Unicode MS" w:cs="Arial"/>
          <w:kern w:val="0"/>
          <w:szCs w:val="21"/>
        </w:rPr>
      </w:pPr>
    </w:p>
    <w:p w:rsidR="004C06C5" w:rsidRDefault="004C06C5">
      <w:pPr>
        <w:adjustRightInd w:val="0"/>
        <w:snapToGrid w:val="0"/>
        <w:spacing w:line="360" w:lineRule="auto"/>
        <w:ind w:firstLineChars="200" w:firstLine="420"/>
        <w:rPr>
          <w:rFonts w:ascii="Arial Unicode MS" w:hAnsi="Arial Unicode MS" w:cs="Arial"/>
          <w:kern w:val="0"/>
          <w:szCs w:val="21"/>
        </w:rPr>
      </w:pPr>
    </w:p>
    <w:p w:rsidR="004C06C5" w:rsidRDefault="004C06C5">
      <w:pPr>
        <w:adjustRightInd w:val="0"/>
        <w:snapToGrid w:val="0"/>
        <w:spacing w:line="360" w:lineRule="auto"/>
        <w:ind w:firstLineChars="200" w:firstLine="420"/>
        <w:rPr>
          <w:rFonts w:ascii="Arial Unicode MS" w:hAnsi="Arial Unicode MS" w:cs="Arial"/>
          <w:kern w:val="0"/>
          <w:szCs w:val="21"/>
        </w:rPr>
      </w:pPr>
    </w:p>
    <w:p w:rsidR="004C06C5" w:rsidRDefault="004C06C5">
      <w:pPr>
        <w:adjustRightInd w:val="0"/>
        <w:snapToGrid w:val="0"/>
        <w:spacing w:line="360" w:lineRule="auto"/>
        <w:ind w:firstLineChars="200" w:firstLine="420"/>
        <w:rPr>
          <w:rFonts w:ascii="Arial Unicode MS" w:hAnsi="Arial Unicode MS" w:cs="Arial"/>
          <w:kern w:val="0"/>
          <w:szCs w:val="21"/>
        </w:rPr>
      </w:pPr>
    </w:p>
    <w:p w:rsidR="004C06C5" w:rsidRDefault="004C06C5">
      <w:pPr>
        <w:adjustRightInd w:val="0"/>
        <w:snapToGrid w:val="0"/>
        <w:spacing w:line="360" w:lineRule="auto"/>
        <w:ind w:firstLineChars="200" w:firstLine="420"/>
        <w:rPr>
          <w:rFonts w:ascii="Arial Unicode MS" w:hAnsi="Arial Unicode MS" w:cs="Arial"/>
          <w:kern w:val="0"/>
          <w:szCs w:val="21"/>
        </w:rPr>
      </w:pPr>
    </w:p>
    <w:p w:rsidR="004C06C5" w:rsidRDefault="004C06C5">
      <w:pPr>
        <w:adjustRightInd w:val="0"/>
        <w:snapToGrid w:val="0"/>
        <w:spacing w:line="360" w:lineRule="auto"/>
        <w:ind w:firstLineChars="200" w:firstLine="420"/>
        <w:rPr>
          <w:rFonts w:ascii="Arial Unicode MS" w:hAnsi="Arial Unicode MS" w:cs="Arial"/>
          <w:kern w:val="0"/>
          <w:szCs w:val="21"/>
        </w:rPr>
      </w:pPr>
    </w:p>
    <w:p w:rsidR="004C06C5" w:rsidRDefault="004C06C5">
      <w:pPr>
        <w:adjustRightInd w:val="0"/>
        <w:snapToGrid w:val="0"/>
        <w:spacing w:line="360" w:lineRule="auto"/>
        <w:ind w:firstLineChars="200" w:firstLine="420"/>
        <w:rPr>
          <w:rFonts w:ascii="Arial Unicode MS" w:hAnsi="Arial Unicode MS" w:cs="Arial"/>
          <w:kern w:val="0"/>
          <w:szCs w:val="21"/>
        </w:rPr>
      </w:pPr>
    </w:p>
    <w:p w:rsidR="004C06C5" w:rsidRDefault="004C06C5">
      <w:pPr>
        <w:adjustRightInd w:val="0"/>
        <w:snapToGrid w:val="0"/>
        <w:spacing w:line="360" w:lineRule="auto"/>
        <w:ind w:firstLineChars="200" w:firstLine="420"/>
        <w:rPr>
          <w:rFonts w:ascii="Arial Unicode MS" w:hAnsi="Arial Unicode MS" w:cs="Arial"/>
          <w:kern w:val="0"/>
          <w:szCs w:val="21"/>
        </w:rPr>
      </w:pPr>
    </w:p>
    <w:p w:rsidR="004C06C5" w:rsidRDefault="004C06C5">
      <w:pPr>
        <w:adjustRightInd w:val="0"/>
        <w:snapToGrid w:val="0"/>
        <w:spacing w:line="360" w:lineRule="auto"/>
        <w:ind w:firstLineChars="200" w:firstLine="420"/>
        <w:rPr>
          <w:rFonts w:ascii="Arial Unicode MS" w:hAnsi="Arial Unicode MS" w:cs="Arial"/>
          <w:kern w:val="0"/>
          <w:szCs w:val="21"/>
        </w:rPr>
      </w:pPr>
    </w:p>
    <w:p w:rsidR="004C06C5" w:rsidRDefault="00ED474B">
      <w:pPr>
        <w:adjustRightInd w:val="0"/>
        <w:snapToGrid w:val="0"/>
        <w:spacing w:line="360" w:lineRule="auto"/>
        <w:ind w:firstLineChars="2700" w:firstLine="5670"/>
        <w:rPr>
          <w:rFonts w:ascii="Arial Unicode MS" w:hAnsi="Arial Unicode MS"/>
        </w:rPr>
      </w:pPr>
      <w:r>
        <w:rPr>
          <w:rFonts w:ascii="Arial Unicode MS" w:hAnsi="Arial Unicode MS" w:hint="eastAsia"/>
        </w:rPr>
        <w:t>富</w:t>
      </w:r>
      <w:proofErr w:type="gramStart"/>
      <w:r>
        <w:rPr>
          <w:rFonts w:ascii="Arial Unicode MS" w:hAnsi="Arial Unicode MS" w:hint="eastAsia"/>
        </w:rPr>
        <w:t>荣基金</w:t>
      </w:r>
      <w:proofErr w:type="gramEnd"/>
      <w:r>
        <w:rPr>
          <w:rFonts w:ascii="Arial Unicode MS" w:hAnsi="Arial Unicode MS" w:hint="eastAsia"/>
        </w:rPr>
        <w:t>管理有限公司</w:t>
      </w:r>
    </w:p>
    <w:p w:rsidR="004C06C5" w:rsidRDefault="00847A94">
      <w:pPr>
        <w:adjustRightInd w:val="0"/>
        <w:snapToGrid w:val="0"/>
        <w:spacing w:line="360" w:lineRule="auto"/>
        <w:ind w:firstLineChars="2750" w:firstLine="5775"/>
        <w:rPr>
          <w:rFonts w:ascii="Arial Unicode MS" w:hAnsi="Arial Unicode MS"/>
        </w:rPr>
      </w:pPr>
      <w:r>
        <w:rPr>
          <w:rFonts w:ascii="Arial Unicode MS" w:hAnsi="Arial Unicode MS" w:hint="eastAsia"/>
        </w:rPr>
        <w:t>2020</w:t>
      </w:r>
      <w:r w:rsidR="00ED474B">
        <w:rPr>
          <w:rFonts w:ascii="Arial Unicode MS" w:hAnsi="Arial Unicode MS" w:hint="eastAsia"/>
        </w:rPr>
        <w:t>年</w:t>
      </w:r>
      <w:r>
        <w:rPr>
          <w:rFonts w:ascii="Arial Unicode MS" w:hAnsi="Arial Unicode MS" w:hint="eastAsia"/>
        </w:rPr>
        <w:t>5</w:t>
      </w:r>
      <w:r w:rsidR="00ED474B">
        <w:rPr>
          <w:rFonts w:ascii="Arial Unicode MS" w:hAnsi="Arial Unicode MS" w:hint="eastAsia"/>
        </w:rPr>
        <w:t>月</w:t>
      </w:r>
      <w:r w:rsidR="00133BB9">
        <w:rPr>
          <w:rFonts w:ascii="Arial Unicode MS" w:hAnsi="Arial Unicode MS" w:hint="eastAsia"/>
        </w:rPr>
        <w:t>2</w:t>
      </w:r>
      <w:bookmarkStart w:id="183" w:name="_GoBack"/>
      <w:bookmarkEnd w:id="183"/>
      <w:r>
        <w:rPr>
          <w:rFonts w:ascii="Arial Unicode MS" w:hAnsi="Arial Unicode MS" w:hint="eastAsia"/>
        </w:rPr>
        <w:t>1</w:t>
      </w:r>
      <w:r w:rsidR="00ED474B">
        <w:rPr>
          <w:rFonts w:ascii="Arial Unicode MS" w:hAnsi="Arial Unicode MS" w:hint="eastAsia"/>
        </w:rPr>
        <w:t>日</w:t>
      </w:r>
    </w:p>
    <w:sectPr w:rsidR="004C06C5">
      <w:footerReference w:type="first" r:id="rId33"/>
      <w:pgSz w:w="11906" w:h="16838"/>
      <w:pgMar w:top="1440" w:right="1800" w:bottom="1440" w:left="1800" w:header="851" w:footer="992" w:gutter="0"/>
      <w:cols w:space="720"/>
      <w:titlePg/>
      <w:docGrid w:linePitch="312"/>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7ECF08A5" w15:done="0"/>
  <w15:commentEx w15:paraId="7C4A4AC1" w15:done="0"/>
  <w15:commentEx w15:paraId="368C0583"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E024C" w:rsidRDefault="00CE024C">
      <w:r>
        <w:separator/>
      </w:r>
    </w:p>
  </w:endnote>
  <w:endnote w:type="continuationSeparator" w:id="0">
    <w:p w:rsidR="00CE024C" w:rsidRDefault="00CE02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楷体_GB2312">
    <w:altName w:val="楷体"/>
    <w:charset w:val="86"/>
    <w:family w:val="modern"/>
    <w:pitch w:val="default"/>
    <w:sig w:usb0="00000001" w:usb1="080E0000" w:usb2="00000000" w:usb3="00000000" w:csb0="00040000" w:csb1="00000000"/>
  </w:font>
  <w:font w:name="@楷体_GB2312">
    <w:charset w:val="86"/>
    <w:family w:val="modern"/>
    <w:pitch w:val="fixed"/>
    <w:sig w:usb0="00000001" w:usb1="080E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6"/>
    <w:family w:val="swiss"/>
    <w:pitch w:val="variable"/>
    <w:sig w:usb0="F7FFAFFF" w:usb1="E9DFFFFF" w:usb2="0000003F" w:usb3="00000000" w:csb0="003F01FF" w:csb1="00000000"/>
  </w:font>
  <w:font w:name="Verdana">
    <w:panose1 w:val="020B0604030504040204"/>
    <w:charset w:val="00"/>
    <w:family w:val="swiss"/>
    <w:pitch w:val="variable"/>
    <w:sig w:usb0="A00006FF" w:usb1="4000205B" w:usb2="00000010" w:usb3="00000000" w:csb0="0000019F" w:csb1="00000000"/>
  </w:font>
  <w:font w:name="ˎ̥">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C06C5" w:rsidRDefault="004C06C5">
    <w:pPr>
      <w:pStyle w:val="af1"/>
      <w:jc w:val="center"/>
      <w:rPr>
        <w:rFonts w:ascii="Arial" w:hAnsi="Arial" w:cs="Arial"/>
        <w:sz w:val="21"/>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C06C5" w:rsidRDefault="00ED474B">
    <w:pPr>
      <w:pStyle w:val="af1"/>
      <w:jc w:val="center"/>
    </w:pPr>
    <w:r>
      <w:fldChar w:fldCharType="begin"/>
    </w:r>
    <w:r>
      <w:instrText xml:space="preserve"> PAGE   \* MERGEFORMAT </w:instrText>
    </w:r>
    <w:r>
      <w:fldChar w:fldCharType="separate"/>
    </w:r>
    <w:r w:rsidR="00133BB9">
      <w:rPr>
        <w:noProof/>
      </w:rPr>
      <w:t>3</w:t>
    </w:r>
    <w:r>
      <w:fldChar w:fldCharType="end"/>
    </w:r>
  </w:p>
  <w:p w:rsidR="004C06C5" w:rsidRDefault="004C06C5">
    <w:pPr>
      <w:pStyle w:val="af1"/>
      <w:jc w:val="center"/>
      <w:rPr>
        <w:rFonts w:ascii="Arial" w:hAnsi="Arial" w:cs="Arial"/>
        <w:sz w:val="21"/>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C06C5" w:rsidRDefault="00ED474B">
    <w:pPr>
      <w:pStyle w:val="af1"/>
      <w:jc w:val="center"/>
    </w:pPr>
    <w:r>
      <w:fldChar w:fldCharType="begin"/>
    </w:r>
    <w:r>
      <w:instrText xml:space="preserve"> PAGE   \* MERGEFORMAT </w:instrText>
    </w:r>
    <w:r>
      <w:fldChar w:fldCharType="separate"/>
    </w:r>
    <w:r w:rsidR="00133BB9">
      <w:rPr>
        <w:noProof/>
      </w:rPr>
      <w:t>1</w:t>
    </w:r>
    <w:r>
      <w:fldChar w:fldCharType="end"/>
    </w:r>
  </w:p>
  <w:p w:rsidR="004C06C5" w:rsidRDefault="004C06C5">
    <w:pPr>
      <w:pStyle w:val="af1"/>
      <w:jc w:val="center"/>
      <w:rPr>
        <w:rFonts w:ascii="Arial" w:hAnsi="Arial" w:cs="Arial"/>
        <w:sz w:val="21"/>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C06C5" w:rsidRDefault="00ED474B">
    <w:pPr>
      <w:pStyle w:val="af1"/>
      <w:jc w:val="center"/>
    </w:pPr>
    <w:r>
      <w:fldChar w:fldCharType="begin"/>
    </w:r>
    <w:r>
      <w:instrText xml:space="preserve"> PAGE   \* MERGEFORMAT </w:instrText>
    </w:r>
    <w:r>
      <w:fldChar w:fldCharType="separate"/>
    </w:r>
    <w:r w:rsidR="00133BB9">
      <w:rPr>
        <w:noProof/>
      </w:rPr>
      <w:t>33</w:t>
    </w:r>
    <w:r>
      <w:fldChar w:fldCharType="end"/>
    </w:r>
  </w:p>
  <w:p w:rsidR="004C06C5" w:rsidRDefault="004C06C5">
    <w:pPr>
      <w:pStyle w:val="af1"/>
      <w:jc w:val="cen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C06C5" w:rsidRDefault="00ED474B">
    <w:pPr>
      <w:pStyle w:val="af1"/>
      <w:jc w:val="center"/>
      <w:rPr>
        <w:rFonts w:ascii="Arial" w:hAnsi="Arial" w:cs="Arial"/>
        <w:sz w:val="21"/>
        <w:szCs w:val="21"/>
      </w:rPr>
    </w:pPr>
    <w:r>
      <w:rPr>
        <w:rStyle w:val="af8"/>
        <w:rFonts w:ascii="Arial" w:hAnsi="Arial" w:cs="Arial"/>
        <w:sz w:val="21"/>
        <w:szCs w:val="21"/>
      </w:rPr>
      <w:fldChar w:fldCharType="begin"/>
    </w:r>
    <w:r>
      <w:rPr>
        <w:rStyle w:val="af8"/>
        <w:rFonts w:ascii="Arial" w:hAnsi="Arial" w:cs="Arial"/>
        <w:sz w:val="21"/>
        <w:szCs w:val="21"/>
      </w:rPr>
      <w:instrText xml:space="preserve"> PAGE </w:instrText>
    </w:r>
    <w:r>
      <w:rPr>
        <w:rStyle w:val="af8"/>
        <w:rFonts w:ascii="Arial" w:hAnsi="Arial" w:cs="Arial"/>
        <w:sz w:val="21"/>
        <w:szCs w:val="21"/>
      </w:rPr>
      <w:fldChar w:fldCharType="separate"/>
    </w:r>
    <w:r>
      <w:rPr>
        <w:rStyle w:val="af8"/>
        <w:rFonts w:ascii="Arial" w:hAnsi="Arial" w:cs="Arial"/>
        <w:sz w:val="21"/>
        <w:szCs w:val="21"/>
      </w:rPr>
      <w:t>89</w:t>
    </w:r>
    <w:r>
      <w:rPr>
        <w:rStyle w:val="af8"/>
        <w:rFonts w:ascii="Arial" w:hAnsi="Arial" w:cs="Arial"/>
        <w:sz w:val="21"/>
        <w:szCs w:val="21"/>
      </w:rPr>
      <w:fldChar w:fldCharType="end"/>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C06C5" w:rsidRDefault="00ED474B">
    <w:pPr>
      <w:pStyle w:val="af1"/>
      <w:jc w:val="center"/>
    </w:pPr>
    <w:r>
      <w:fldChar w:fldCharType="begin"/>
    </w:r>
    <w:r>
      <w:instrText xml:space="preserve"> PAGE   \* MERGEFORMAT </w:instrText>
    </w:r>
    <w:r>
      <w:fldChar w:fldCharType="separate"/>
    </w:r>
    <w:r w:rsidR="00133BB9">
      <w:rPr>
        <w:noProof/>
      </w:rPr>
      <w:t>4</w:t>
    </w:r>
    <w:r>
      <w:fldChar w:fldCharType="end"/>
    </w:r>
  </w:p>
  <w:p w:rsidR="004C06C5" w:rsidRDefault="004C06C5">
    <w:pPr>
      <w:pStyle w:val="af1"/>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C06C5" w:rsidRDefault="00ED474B">
    <w:pPr>
      <w:pStyle w:val="af1"/>
      <w:jc w:val="center"/>
    </w:pPr>
    <w:r>
      <w:fldChar w:fldCharType="begin"/>
    </w:r>
    <w:r>
      <w:instrText xml:space="preserve"> PAGE   \* MERGEFORMAT </w:instrText>
    </w:r>
    <w:r>
      <w:fldChar w:fldCharType="separate"/>
    </w:r>
    <w:r w:rsidR="00133BB9">
      <w:rPr>
        <w:noProof/>
      </w:rPr>
      <w:t>109</w:t>
    </w:r>
    <w:r>
      <w:fldChar w:fldCharType="end"/>
    </w:r>
  </w:p>
  <w:p w:rsidR="004C06C5" w:rsidRDefault="004C06C5">
    <w:pPr>
      <w:pStyle w:val="af1"/>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C06C5" w:rsidRDefault="00ED474B">
    <w:pPr>
      <w:pStyle w:val="af1"/>
      <w:jc w:val="center"/>
    </w:pPr>
    <w:r>
      <w:fldChar w:fldCharType="begin"/>
    </w:r>
    <w:r>
      <w:instrText>PAGE   \* MERGEFORMAT</w:instrText>
    </w:r>
    <w:r>
      <w:fldChar w:fldCharType="separate"/>
    </w:r>
    <w:r w:rsidR="00133BB9">
      <w:rPr>
        <w:noProof/>
      </w:rPr>
      <w:t>111</w:t>
    </w:r>
    <w:r>
      <w:fldChar w:fldCharType="end"/>
    </w:r>
  </w:p>
  <w:p w:rsidR="004C06C5" w:rsidRDefault="004C06C5">
    <w:pPr>
      <w:pStyle w:val="af1"/>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C06C5" w:rsidRDefault="004C06C5">
    <w:pPr>
      <w:pStyle w:val="af1"/>
      <w:jc w:val="center"/>
    </w:pPr>
  </w:p>
  <w:p w:rsidR="004C06C5" w:rsidRDefault="004C06C5">
    <w:pPr>
      <w:pStyle w:val="af1"/>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E024C" w:rsidRDefault="00CE024C">
      <w:r>
        <w:separator/>
      </w:r>
    </w:p>
  </w:footnote>
  <w:footnote w:type="continuationSeparator" w:id="0">
    <w:p w:rsidR="00CE024C" w:rsidRDefault="00CE024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C06C5" w:rsidRDefault="00ED474B">
    <w:pPr>
      <w:pStyle w:val="af2"/>
      <w:jc w:val="left"/>
    </w:pPr>
    <w:r>
      <w:rPr>
        <w:rFonts w:hint="eastAsia"/>
      </w:rPr>
      <w:t>富</w:t>
    </w:r>
    <w:proofErr w:type="gramStart"/>
    <w:r>
      <w:rPr>
        <w:rFonts w:hint="eastAsia"/>
      </w:rPr>
      <w:t>荣富乾</w:t>
    </w:r>
    <w:r>
      <w:t>债券</w:t>
    </w:r>
    <w:proofErr w:type="gramEnd"/>
    <w:r>
      <w:t>型</w:t>
    </w:r>
    <w:r>
      <w:rPr>
        <w:rFonts w:hint="eastAsia"/>
      </w:rPr>
      <w:t>证券投资基金更新的招募说明书（</w:t>
    </w:r>
    <w:r>
      <w:rPr>
        <w:rFonts w:hint="eastAsia"/>
      </w:rPr>
      <w:t>20</w:t>
    </w:r>
    <w:r>
      <w:t>20</w:t>
    </w:r>
    <w:r>
      <w:rPr>
        <w:rFonts w:hint="eastAsia"/>
      </w:rPr>
      <w:t>年第</w:t>
    </w:r>
    <w:r>
      <w:t>1</w:t>
    </w:r>
    <w:r>
      <w:rPr>
        <w:rFonts w:hint="eastAsia"/>
      </w:rPr>
      <w:t>号）</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C06C5" w:rsidRDefault="004C06C5">
    <w:pPr>
      <w:pStyle w:val="af2"/>
      <w:pBdr>
        <w:bottom w:val="none" w:sz="0" w:space="0" w:color="auto"/>
      </w:pBdr>
      <w:jc w:val="righ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C06C5" w:rsidRDefault="00ED474B">
    <w:pPr>
      <w:pStyle w:val="af2"/>
      <w:jc w:val="left"/>
    </w:pPr>
    <w:r>
      <w:rPr>
        <w:rFonts w:hint="eastAsia"/>
      </w:rPr>
      <w:t>富</w:t>
    </w:r>
    <w:proofErr w:type="gramStart"/>
    <w:r>
      <w:rPr>
        <w:rFonts w:hint="eastAsia"/>
      </w:rPr>
      <w:t>荣富乾</w:t>
    </w:r>
    <w:r>
      <w:t>债券</w:t>
    </w:r>
    <w:proofErr w:type="gramEnd"/>
    <w:r>
      <w:t>型证券投资基金</w:t>
    </w:r>
    <w:r>
      <w:rPr>
        <w:rFonts w:hint="eastAsia"/>
      </w:rPr>
      <w:t>更新的招募说明书（</w:t>
    </w:r>
    <w:r>
      <w:rPr>
        <w:rFonts w:hint="eastAsia"/>
      </w:rPr>
      <w:t>20</w:t>
    </w:r>
    <w:r>
      <w:t>20</w:t>
    </w:r>
    <w:r>
      <w:rPr>
        <w:rFonts w:hint="eastAsia"/>
      </w:rPr>
      <w:t>年第</w:t>
    </w:r>
    <w:r>
      <w:t>1</w:t>
    </w:r>
    <w:r>
      <w:rPr>
        <w:rFonts w:hint="eastAsia"/>
      </w:rPr>
      <w:t>号）</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C06C5" w:rsidRDefault="00ED474B">
    <w:pPr>
      <w:pStyle w:val="af2"/>
      <w:jc w:val="left"/>
    </w:pPr>
    <w:r>
      <w:rPr>
        <w:rFonts w:hint="eastAsia"/>
      </w:rPr>
      <w:t>富</w:t>
    </w:r>
    <w:proofErr w:type="gramStart"/>
    <w:r>
      <w:rPr>
        <w:rFonts w:hint="eastAsia"/>
      </w:rPr>
      <w:t>荣富乾</w:t>
    </w:r>
    <w:r>
      <w:t>债券</w:t>
    </w:r>
    <w:proofErr w:type="gramEnd"/>
    <w:r>
      <w:t>型</w:t>
    </w:r>
    <w:r>
      <w:rPr>
        <w:rFonts w:hint="eastAsia"/>
      </w:rPr>
      <w:t>证券投资基金更新的招募说明书（</w:t>
    </w:r>
    <w:r>
      <w:rPr>
        <w:rFonts w:hint="eastAsia"/>
      </w:rPr>
      <w:t>2019</w:t>
    </w:r>
    <w:r>
      <w:rPr>
        <w:rFonts w:hint="eastAsia"/>
      </w:rPr>
      <w:t>年第</w:t>
    </w:r>
    <w:r>
      <w:t>2</w:t>
    </w:r>
    <w:r>
      <w:rPr>
        <w:rFonts w:hint="eastAsia"/>
      </w:rPr>
      <w:t>号）</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C06C5" w:rsidRDefault="00ED474B">
    <w:pPr>
      <w:pStyle w:val="af2"/>
      <w:jc w:val="left"/>
    </w:pPr>
    <w:r>
      <w:rPr>
        <w:rFonts w:hint="eastAsia"/>
      </w:rPr>
      <w:t>富</w:t>
    </w:r>
    <w:proofErr w:type="gramStart"/>
    <w:r>
      <w:rPr>
        <w:rFonts w:hint="eastAsia"/>
      </w:rPr>
      <w:t>荣富乾</w:t>
    </w:r>
    <w:r>
      <w:t>债券</w:t>
    </w:r>
    <w:proofErr w:type="gramEnd"/>
    <w:r>
      <w:t>型</w:t>
    </w:r>
    <w:r>
      <w:rPr>
        <w:rFonts w:hint="eastAsia"/>
      </w:rPr>
      <w:t>证券投资基金更新的招募说明书（</w:t>
    </w:r>
    <w:r>
      <w:rPr>
        <w:rFonts w:hint="eastAsia"/>
      </w:rPr>
      <w:t>2020</w:t>
    </w:r>
    <w:r>
      <w:rPr>
        <w:rFonts w:hint="eastAsia"/>
      </w:rPr>
      <w:t>年第</w:t>
    </w:r>
    <w:r>
      <w:rPr>
        <w:rFonts w:hint="eastAsia"/>
      </w:rPr>
      <w:t>1</w:t>
    </w:r>
    <w:r>
      <w:rPr>
        <w:rFonts w:hint="eastAsia"/>
      </w:rPr>
      <w:t>号）</w:t>
    </w:r>
  </w:p>
  <w:p w:rsidR="004C06C5" w:rsidRDefault="004C06C5"/>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931F6B"/>
    <w:multiLevelType w:val="multilevel"/>
    <w:tmpl w:val="0C931F6B"/>
    <w:lvl w:ilvl="0">
      <w:start w:val="1"/>
      <w:numFmt w:val="decimal"/>
      <w:pStyle w:val="1"/>
      <w:lvlText w:val="%1、"/>
      <w:lvlJc w:val="left"/>
      <w:pPr>
        <w:tabs>
          <w:tab w:val="left" w:pos="757"/>
        </w:tabs>
        <w:ind w:left="0" w:firstLine="397"/>
      </w:pPr>
      <w:rPr>
        <w:rFonts w:hint="default"/>
      </w:rPr>
    </w:lvl>
    <w:lvl w:ilvl="1">
      <w:start w:val="1"/>
      <w:numFmt w:val="bullet"/>
      <w:lvlText w:val=""/>
      <w:lvlJc w:val="left"/>
      <w:pPr>
        <w:tabs>
          <w:tab w:val="left" w:pos="840"/>
        </w:tabs>
        <w:ind w:left="840" w:hanging="420"/>
      </w:pPr>
      <w:rPr>
        <w:rFonts w:ascii="Wingdings" w:hAnsi="Wingdings" w:hint="default"/>
        <w:b w:val="0"/>
        <w:i w:val="0"/>
        <w:sz w:val="15"/>
        <w:szCs w:val="15"/>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
    <w:nsid w:val="1A4038FD"/>
    <w:multiLevelType w:val="multilevel"/>
    <w:tmpl w:val="1A4038FD"/>
    <w:lvl w:ilvl="0">
      <w:start w:val="1"/>
      <w:numFmt w:val="japaneseCounting"/>
      <w:pStyle w:val="10"/>
      <w:lvlText w:val="%1、"/>
      <w:lvlJc w:val="left"/>
      <w:pPr>
        <w:tabs>
          <w:tab w:val="left" w:pos="3243"/>
        </w:tabs>
        <w:ind w:left="3243" w:hanging="7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
    <w:nsid w:val="3DAC2829"/>
    <w:multiLevelType w:val="singleLevel"/>
    <w:tmpl w:val="3DAC2829"/>
    <w:lvl w:ilvl="0">
      <w:start w:val="1"/>
      <w:numFmt w:val="decimal"/>
      <w:pStyle w:val="2"/>
      <w:lvlText w:val="(%1)"/>
      <w:lvlJc w:val="left"/>
      <w:pPr>
        <w:tabs>
          <w:tab w:val="left" w:pos="907"/>
        </w:tabs>
        <w:ind w:left="907" w:hanging="482"/>
      </w:pPr>
      <w:rPr>
        <w:rFonts w:hint="default"/>
      </w:rPr>
    </w:lvl>
  </w:abstractNum>
  <w:abstractNum w:abstractNumId="3">
    <w:nsid w:val="48DC602A"/>
    <w:multiLevelType w:val="multilevel"/>
    <w:tmpl w:val="48DC602A"/>
    <w:lvl w:ilvl="0">
      <w:start w:val="1"/>
      <w:numFmt w:val="none"/>
      <w:suff w:val="nothing"/>
      <w:lvlText w:val=""/>
      <w:lvlJc w:val="left"/>
      <w:pPr>
        <w:ind w:left="0" w:firstLine="0"/>
      </w:pPr>
      <w:rPr>
        <w:rFonts w:ascii="楷体_GB2312" w:eastAsia="@楷体_GB2312" w:hint="eastAsia"/>
        <w:b/>
        <w:i w:val="0"/>
        <w:sz w:val="30"/>
      </w:rPr>
    </w:lvl>
    <w:lvl w:ilvl="1">
      <w:start w:val="1"/>
      <w:numFmt w:val="chineseCountingThousand"/>
      <w:suff w:val="nothing"/>
      <w:lvlText w:val="第%2章"/>
      <w:lvlJc w:val="left"/>
      <w:pPr>
        <w:ind w:left="0" w:firstLine="0"/>
      </w:pPr>
      <w:rPr>
        <w:rFonts w:ascii="楷体_GB2312" w:eastAsia="@楷体_GB2312" w:hint="eastAsia"/>
        <w:b/>
        <w:i w:val="0"/>
        <w:sz w:val="30"/>
      </w:rPr>
    </w:lvl>
    <w:lvl w:ilvl="2">
      <w:start w:val="1"/>
      <w:numFmt w:val="chineseCountingThousand"/>
      <w:suff w:val="nothing"/>
      <w:lvlText w:val="%3、"/>
      <w:lvlJc w:val="left"/>
      <w:pPr>
        <w:ind w:left="0" w:firstLine="0"/>
      </w:pPr>
      <w:rPr>
        <w:rFonts w:ascii="楷体_GB2312" w:eastAsia="@楷体_GB2312" w:hint="eastAsia"/>
        <w:b w:val="0"/>
        <w:i w:val="0"/>
        <w:sz w:val="28"/>
      </w:rPr>
    </w:lvl>
    <w:lvl w:ilvl="3">
      <w:start w:val="1"/>
      <w:numFmt w:val="chineseCountingThousand"/>
      <w:pStyle w:val="a"/>
      <w:suff w:val="nothing"/>
      <w:lvlText w:val="（%4）"/>
      <w:lvlJc w:val="left"/>
      <w:pPr>
        <w:ind w:left="0" w:firstLine="0"/>
      </w:pPr>
      <w:rPr>
        <w:rFonts w:ascii="楷体_GB2312" w:eastAsia="@楷体_GB2312" w:hint="eastAsia"/>
        <w:b w:val="0"/>
        <w:i w:val="0"/>
        <w:sz w:val="24"/>
      </w:rPr>
    </w:lvl>
    <w:lvl w:ilvl="4">
      <w:start w:val="1"/>
      <w:numFmt w:val="decimal"/>
      <w:suff w:val="nothing"/>
      <w:lvlText w:val="%5、"/>
      <w:lvlJc w:val="left"/>
      <w:pPr>
        <w:ind w:left="0" w:firstLine="0"/>
      </w:pPr>
      <w:rPr>
        <w:rFonts w:ascii="Times New Roman" w:hAnsi="Times New Roman" w:hint="default"/>
        <w:b w:val="0"/>
        <w:i w:val="0"/>
        <w:sz w:val="24"/>
      </w:rPr>
    </w:lvl>
    <w:lvl w:ilvl="5">
      <w:start w:val="1"/>
      <w:numFmt w:val="decimal"/>
      <w:suff w:val="nothing"/>
      <w:lvlText w:val="（%6）"/>
      <w:lvlJc w:val="left"/>
      <w:pPr>
        <w:ind w:left="0" w:firstLine="0"/>
      </w:pPr>
      <w:rPr>
        <w:rFonts w:ascii="Times New Roman" w:hAnsi="Times New Roman" w:hint="default"/>
        <w:b w:val="0"/>
        <w:i w:val="0"/>
        <w:sz w:val="24"/>
      </w:rPr>
    </w:lvl>
    <w:lvl w:ilvl="6">
      <w:start w:val="1"/>
      <w:numFmt w:val="none"/>
      <w:suff w:val="nothing"/>
      <w:lvlText w:val=""/>
      <w:lvlJc w:val="left"/>
      <w:pPr>
        <w:ind w:left="0" w:firstLine="0"/>
      </w:pPr>
      <w:rPr>
        <w:rFonts w:hint="eastAsia"/>
      </w:rPr>
    </w:lvl>
    <w:lvl w:ilvl="7">
      <w:start w:val="1"/>
      <w:numFmt w:val="none"/>
      <w:suff w:val="nothing"/>
      <w:lvlText w:val=""/>
      <w:lvlJc w:val="left"/>
      <w:pPr>
        <w:ind w:left="0" w:firstLine="0"/>
      </w:pPr>
      <w:rPr>
        <w:rFonts w:hint="eastAsia"/>
      </w:rPr>
    </w:lvl>
    <w:lvl w:ilvl="8">
      <w:start w:val="1"/>
      <w:numFmt w:val="none"/>
      <w:suff w:val="nothing"/>
      <w:lvlText w:val=""/>
      <w:lvlJc w:val="left"/>
      <w:pPr>
        <w:ind w:left="0" w:firstLine="0"/>
      </w:pPr>
      <w:rPr>
        <w:rFonts w:hint="eastAsia"/>
      </w:rPr>
    </w:lvl>
  </w:abstractNum>
  <w:num w:numId="1">
    <w:abstractNumId w:val="2"/>
  </w:num>
  <w:num w:numId="2">
    <w:abstractNumId w:val="0"/>
  </w:num>
  <w:num w:numId="3">
    <w:abstractNumId w:val="1"/>
  </w:num>
  <w:num w:numId="4">
    <w:abstractNumId w:val="3"/>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王若雯">
    <w15:presenceInfo w15:providerId="None" w15:userId="王若雯"/>
  </w15:person>
  <w15:person w15:author="shaosd">
    <w15:presenceInfo w15:providerId="None" w15:userId="shaosd"/>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58"/>
  <w:bordersDoNotSurroundHeader/>
  <w:bordersDoNotSurroundFooter/>
  <w:hideSpellingErrors/>
  <w:proofState w:grammar="clean"/>
  <w:trackRevisions/>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A2BE9"/>
    <w:rsid w:val="000000BB"/>
    <w:rsid w:val="000004AB"/>
    <w:rsid w:val="000005C6"/>
    <w:rsid w:val="00000F3E"/>
    <w:rsid w:val="00001115"/>
    <w:rsid w:val="000011E4"/>
    <w:rsid w:val="00001254"/>
    <w:rsid w:val="000016B0"/>
    <w:rsid w:val="0000298F"/>
    <w:rsid w:val="00002D3C"/>
    <w:rsid w:val="00005F1C"/>
    <w:rsid w:val="0000670B"/>
    <w:rsid w:val="00007BE9"/>
    <w:rsid w:val="000118B7"/>
    <w:rsid w:val="00012DD5"/>
    <w:rsid w:val="00012F8D"/>
    <w:rsid w:val="00014B1E"/>
    <w:rsid w:val="000156DF"/>
    <w:rsid w:val="00017120"/>
    <w:rsid w:val="000177F3"/>
    <w:rsid w:val="00017A0C"/>
    <w:rsid w:val="000202DD"/>
    <w:rsid w:val="000248F5"/>
    <w:rsid w:val="00025B1A"/>
    <w:rsid w:val="00025D47"/>
    <w:rsid w:val="000269A2"/>
    <w:rsid w:val="0002708D"/>
    <w:rsid w:val="000274BE"/>
    <w:rsid w:val="000275A0"/>
    <w:rsid w:val="0003199D"/>
    <w:rsid w:val="00033529"/>
    <w:rsid w:val="00034BDA"/>
    <w:rsid w:val="00034CFD"/>
    <w:rsid w:val="0004048E"/>
    <w:rsid w:val="00041294"/>
    <w:rsid w:val="0004192D"/>
    <w:rsid w:val="00043617"/>
    <w:rsid w:val="00044F2F"/>
    <w:rsid w:val="000470E2"/>
    <w:rsid w:val="00047255"/>
    <w:rsid w:val="00047BCA"/>
    <w:rsid w:val="00050B78"/>
    <w:rsid w:val="00051569"/>
    <w:rsid w:val="000518E1"/>
    <w:rsid w:val="00053D39"/>
    <w:rsid w:val="0005542C"/>
    <w:rsid w:val="00055CDD"/>
    <w:rsid w:val="0005621B"/>
    <w:rsid w:val="00057908"/>
    <w:rsid w:val="00057DB6"/>
    <w:rsid w:val="00060EC7"/>
    <w:rsid w:val="00061060"/>
    <w:rsid w:val="00061244"/>
    <w:rsid w:val="000613B4"/>
    <w:rsid w:val="00061786"/>
    <w:rsid w:val="00062602"/>
    <w:rsid w:val="000635C2"/>
    <w:rsid w:val="00065CB4"/>
    <w:rsid w:val="00066685"/>
    <w:rsid w:val="00066D4B"/>
    <w:rsid w:val="0006779C"/>
    <w:rsid w:val="00070220"/>
    <w:rsid w:val="000704BD"/>
    <w:rsid w:val="00071D4E"/>
    <w:rsid w:val="000724FF"/>
    <w:rsid w:val="00075E3D"/>
    <w:rsid w:val="00076CDD"/>
    <w:rsid w:val="00076FB8"/>
    <w:rsid w:val="00081796"/>
    <w:rsid w:val="0008195C"/>
    <w:rsid w:val="00081EEA"/>
    <w:rsid w:val="00082203"/>
    <w:rsid w:val="000823B6"/>
    <w:rsid w:val="000828CD"/>
    <w:rsid w:val="00082A8A"/>
    <w:rsid w:val="00082F38"/>
    <w:rsid w:val="00083390"/>
    <w:rsid w:val="00084FFD"/>
    <w:rsid w:val="00086A37"/>
    <w:rsid w:val="00090DEF"/>
    <w:rsid w:val="0009161B"/>
    <w:rsid w:val="0009175C"/>
    <w:rsid w:val="000945FF"/>
    <w:rsid w:val="000959CB"/>
    <w:rsid w:val="00096EC8"/>
    <w:rsid w:val="00097201"/>
    <w:rsid w:val="00097DFC"/>
    <w:rsid w:val="00097E83"/>
    <w:rsid w:val="000A11E3"/>
    <w:rsid w:val="000A19F0"/>
    <w:rsid w:val="000A2C8A"/>
    <w:rsid w:val="000A5297"/>
    <w:rsid w:val="000A62A4"/>
    <w:rsid w:val="000A6EDE"/>
    <w:rsid w:val="000A7748"/>
    <w:rsid w:val="000A7A9C"/>
    <w:rsid w:val="000B0134"/>
    <w:rsid w:val="000B1D0F"/>
    <w:rsid w:val="000B5BAA"/>
    <w:rsid w:val="000B61D2"/>
    <w:rsid w:val="000B6442"/>
    <w:rsid w:val="000B699E"/>
    <w:rsid w:val="000B743E"/>
    <w:rsid w:val="000C3411"/>
    <w:rsid w:val="000C3479"/>
    <w:rsid w:val="000C35FD"/>
    <w:rsid w:val="000C3E11"/>
    <w:rsid w:val="000C46DF"/>
    <w:rsid w:val="000C47F0"/>
    <w:rsid w:val="000C4BFD"/>
    <w:rsid w:val="000C5118"/>
    <w:rsid w:val="000C59F0"/>
    <w:rsid w:val="000C785A"/>
    <w:rsid w:val="000C78B5"/>
    <w:rsid w:val="000C79F3"/>
    <w:rsid w:val="000C7A58"/>
    <w:rsid w:val="000C7A9E"/>
    <w:rsid w:val="000D087F"/>
    <w:rsid w:val="000D0CF9"/>
    <w:rsid w:val="000D1F2C"/>
    <w:rsid w:val="000D27C6"/>
    <w:rsid w:val="000D31E3"/>
    <w:rsid w:val="000D3394"/>
    <w:rsid w:val="000D53EF"/>
    <w:rsid w:val="000D5DC2"/>
    <w:rsid w:val="000D6C0F"/>
    <w:rsid w:val="000D71DD"/>
    <w:rsid w:val="000E0060"/>
    <w:rsid w:val="000E1483"/>
    <w:rsid w:val="000E1DDF"/>
    <w:rsid w:val="000E1FDF"/>
    <w:rsid w:val="000E2719"/>
    <w:rsid w:val="000E2A1B"/>
    <w:rsid w:val="000E4499"/>
    <w:rsid w:val="000E5258"/>
    <w:rsid w:val="000E773E"/>
    <w:rsid w:val="000E77F9"/>
    <w:rsid w:val="000F0451"/>
    <w:rsid w:val="000F160B"/>
    <w:rsid w:val="000F168A"/>
    <w:rsid w:val="000F1AB6"/>
    <w:rsid w:val="000F2FA1"/>
    <w:rsid w:val="000F51D8"/>
    <w:rsid w:val="000F5321"/>
    <w:rsid w:val="000F56D9"/>
    <w:rsid w:val="000F578B"/>
    <w:rsid w:val="000F5AB5"/>
    <w:rsid w:val="000F5EC0"/>
    <w:rsid w:val="000F71A9"/>
    <w:rsid w:val="000F756D"/>
    <w:rsid w:val="000F7EE9"/>
    <w:rsid w:val="00100A8C"/>
    <w:rsid w:val="001013DC"/>
    <w:rsid w:val="00101A57"/>
    <w:rsid w:val="00101AB1"/>
    <w:rsid w:val="001034FE"/>
    <w:rsid w:val="001035CA"/>
    <w:rsid w:val="00103952"/>
    <w:rsid w:val="00104FD3"/>
    <w:rsid w:val="00105435"/>
    <w:rsid w:val="00105ACE"/>
    <w:rsid w:val="00105E5F"/>
    <w:rsid w:val="00105EA2"/>
    <w:rsid w:val="00107608"/>
    <w:rsid w:val="00110203"/>
    <w:rsid w:val="00111A89"/>
    <w:rsid w:val="00111C83"/>
    <w:rsid w:val="001145B4"/>
    <w:rsid w:val="001147B4"/>
    <w:rsid w:val="00114F9D"/>
    <w:rsid w:val="001159F7"/>
    <w:rsid w:val="00115BF1"/>
    <w:rsid w:val="0011623A"/>
    <w:rsid w:val="00120FD5"/>
    <w:rsid w:val="00121F77"/>
    <w:rsid w:val="001232B7"/>
    <w:rsid w:val="00124FC1"/>
    <w:rsid w:val="001250EA"/>
    <w:rsid w:val="00125CDD"/>
    <w:rsid w:val="00125CEE"/>
    <w:rsid w:val="001278E3"/>
    <w:rsid w:val="00130A79"/>
    <w:rsid w:val="00131DDA"/>
    <w:rsid w:val="0013242A"/>
    <w:rsid w:val="00132EB4"/>
    <w:rsid w:val="00133BB9"/>
    <w:rsid w:val="00134278"/>
    <w:rsid w:val="00135A7F"/>
    <w:rsid w:val="00136938"/>
    <w:rsid w:val="001400DB"/>
    <w:rsid w:val="00140B6E"/>
    <w:rsid w:val="00141343"/>
    <w:rsid w:val="00141595"/>
    <w:rsid w:val="00145BD4"/>
    <w:rsid w:val="001470B9"/>
    <w:rsid w:val="001500AE"/>
    <w:rsid w:val="00150ACE"/>
    <w:rsid w:val="0015142D"/>
    <w:rsid w:val="00151F04"/>
    <w:rsid w:val="00152669"/>
    <w:rsid w:val="00152D78"/>
    <w:rsid w:val="0015364F"/>
    <w:rsid w:val="00154735"/>
    <w:rsid w:val="00154E5B"/>
    <w:rsid w:val="001559FC"/>
    <w:rsid w:val="00157188"/>
    <w:rsid w:val="00160038"/>
    <w:rsid w:val="0016263E"/>
    <w:rsid w:val="00162F00"/>
    <w:rsid w:val="001648B4"/>
    <w:rsid w:val="00164C31"/>
    <w:rsid w:val="001652FD"/>
    <w:rsid w:val="001665C7"/>
    <w:rsid w:val="00167621"/>
    <w:rsid w:val="00170A4E"/>
    <w:rsid w:val="00170CE8"/>
    <w:rsid w:val="00172158"/>
    <w:rsid w:val="0017297B"/>
    <w:rsid w:val="001737A0"/>
    <w:rsid w:val="00173F90"/>
    <w:rsid w:val="00175282"/>
    <w:rsid w:val="001754BD"/>
    <w:rsid w:val="00176ACE"/>
    <w:rsid w:val="00176AED"/>
    <w:rsid w:val="00177066"/>
    <w:rsid w:val="00180E22"/>
    <w:rsid w:val="00180EA6"/>
    <w:rsid w:val="00181D57"/>
    <w:rsid w:val="0018336E"/>
    <w:rsid w:val="00183E84"/>
    <w:rsid w:val="001841A8"/>
    <w:rsid w:val="00184B6B"/>
    <w:rsid w:val="00185B77"/>
    <w:rsid w:val="0018608E"/>
    <w:rsid w:val="00190284"/>
    <w:rsid w:val="0019131C"/>
    <w:rsid w:val="001913E3"/>
    <w:rsid w:val="0019160C"/>
    <w:rsid w:val="00192ED4"/>
    <w:rsid w:val="00193734"/>
    <w:rsid w:val="0019397A"/>
    <w:rsid w:val="001947B1"/>
    <w:rsid w:val="00195C73"/>
    <w:rsid w:val="0019671E"/>
    <w:rsid w:val="00196FBE"/>
    <w:rsid w:val="00197064"/>
    <w:rsid w:val="001970BC"/>
    <w:rsid w:val="001A0310"/>
    <w:rsid w:val="001A0A48"/>
    <w:rsid w:val="001A158D"/>
    <w:rsid w:val="001A1E2F"/>
    <w:rsid w:val="001A20DD"/>
    <w:rsid w:val="001A2186"/>
    <w:rsid w:val="001A2C46"/>
    <w:rsid w:val="001A374D"/>
    <w:rsid w:val="001A5BF5"/>
    <w:rsid w:val="001A5CE5"/>
    <w:rsid w:val="001A5D8E"/>
    <w:rsid w:val="001A677F"/>
    <w:rsid w:val="001A728B"/>
    <w:rsid w:val="001A7B7E"/>
    <w:rsid w:val="001A7F12"/>
    <w:rsid w:val="001B17B9"/>
    <w:rsid w:val="001B18A6"/>
    <w:rsid w:val="001B2BE1"/>
    <w:rsid w:val="001B37C0"/>
    <w:rsid w:val="001B4541"/>
    <w:rsid w:val="001B4FAD"/>
    <w:rsid w:val="001B6E47"/>
    <w:rsid w:val="001C2E5E"/>
    <w:rsid w:val="001C3CDB"/>
    <w:rsid w:val="001C4023"/>
    <w:rsid w:val="001C4B8E"/>
    <w:rsid w:val="001C4D51"/>
    <w:rsid w:val="001C6AF3"/>
    <w:rsid w:val="001C7018"/>
    <w:rsid w:val="001C71C9"/>
    <w:rsid w:val="001C7E36"/>
    <w:rsid w:val="001D0B03"/>
    <w:rsid w:val="001D1997"/>
    <w:rsid w:val="001D1D1E"/>
    <w:rsid w:val="001D2FAD"/>
    <w:rsid w:val="001D47AE"/>
    <w:rsid w:val="001D4C4A"/>
    <w:rsid w:val="001D55B5"/>
    <w:rsid w:val="001D6EE7"/>
    <w:rsid w:val="001E089E"/>
    <w:rsid w:val="001E0BC9"/>
    <w:rsid w:val="001E1153"/>
    <w:rsid w:val="001E36D8"/>
    <w:rsid w:val="001F141C"/>
    <w:rsid w:val="001F1809"/>
    <w:rsid w:val="001F205F"/>
    <w:rsid w:val="001F304D"/>
    <w:rsid w:val="001F53AA"/>
    <w:rsid w:val="001F56C7"/>
    <w:rsid w:val="001F6342"/>
    <w:rsid w:val="001F7E62"/>
    <w:rsid w:val="002009EC"/>
    <w:rsid w:val="00200B5D"/>
    <w:rsid w:val="00200DC6"/>
    <w:rsid w:val="00200FE5"/>
    <w:rsid w:val="002011EA"/>
    <w:rsid w:val="0020140E"/>
    <w:rsid w:val="002016E2"/>
    <w:rsid w:val="00201837"/>
    <w:rsid w:val="002020EF"/>
    <w:rsid w:val="00202E60"/>
    <w:rsid w:val="00202F67"/>
    <w:rsid w:val="0020492A"/>
    <w:rsid w:val="00204B44"/>
    <w:rsid w:val="00207847"/>
    <w:rsid w:val="00210348"/>
    <w:rsid w:val="0021196A"/>
    <w:rsid w:val="002125D3"/>
    <w:rsid w:val="0021267F"/>
    <w:rsid w:val="00212BCA"/>
    <w:rsid w:val="0021351B"/>
    <w:rsid w:val="00213977"/>
    <w:rsid w:val="00215434"/>
    <w:rsid w:val="00217024"/>
    <w:rsid w:val="00220DC5"/>
    <w:rsid w:val="002214FF"/>
    <w:rsid w:val="00221B33"/>
    <w:rsid w:val="00223D37"/>
    <w:rsid w:val="00224E6D"/>
    <w:rsid w:val="002250F9"/>
    <w:rsid w:val="002252CF"/>
    <w:rsid w:val="00225865"/>
    <w:rsid w:val="00226D37"/>
    <w:rsid w:val="00226DBA"/>
    <w:rsid w:val="00227C17"/>
    <w:rsid w:val="00231603"/>
    <w:rsid w:val="00231CAF"/>
    <w:rsid w:val="00232621"/>
    <w:rsid w:val="002330BB"/>
    <w:rsid w:val="002349D9"/>
    <w:rsid w:val="00235475"/>
    <w:rsid w:val="00235796"/>
    <w:rsid w:val="002357BA"/>
    <w:rsid w:val="00235D44"/>
    <w:rsid w:val="00237009"/>
    <w:rsid w:val="002376B3"/>
    <w:rsid w:val="00240D4C"/>
    <w:rsid w:val="00241335"/>
    <w:rsid w:val="002422E3"/>
    <w:rsid w:val="00242BD9"/>
    <w:rsid w:val="00242BEA"/>
    <w:rsid w:val="002438FD"/>
    <w:rsid w:val="00245246"/>
    <w:rsid w:val="0024541D"/>
    <w:rsid w:val="0024627E"/>
    <w:rsid w:val="002463A3"/>
    <w:rsid w:val="00246A1E"/>
    <w:rsid w:val="00247785"/>
    <w:rsid w:val="00250A4F"/>
    <w:rsid w:val="00251367"/>
    <w:rsid w:val="00251B66"/>
    <w:rsid w:val="00251C22"/>
    <w:rsid w:val="00251D29"/>
    <w:rsid w:val="00253DBB"/>
    <w:rsid w:val="00253FB9"/>
    <w:rsid w:val="00254671"/>
    <w:rsid w:val="00254C19"/>
    <w:rsid w:val="00255CDB"/>
    <w:rsid w:val="00256CE7"/>
    <w:rsid w:val="0026104F"/>
    <w:rsid w:val="0026208E"/>
    <w:rsid w:val="00263479"/>
    <w:rsid w:val="002641D1"/>
    <w:rsid w:val="002642F6"/>
    <w:rsid w:val="00264CE3"/>
    <w:rsid w:val="0026519E"/>
    <w:rsid w:val="00265E3D"/>
    <w:rsid w:val="002667E3"/>
    <w:rsid w:val="0026714D"/>
    <w:rsid w:val="00267198"/>
    <w:rsid w:val="00270FB0"/>
    <w:rsid w:val="002714CB"/>
    <w:rsid w:val="0027331C"/>
    <w:rsid w:val="0027426C"/>
    <w:rsid w:val="0027449D"/>
    <w:rsid w:val="00276499"/>
    <w:rsid w:val="0028018C"/>
    <w:rsid w:val="002803F7"/>
    <w:rsid w:val="00281DE9"/>
    <w:rsid w:val="0028226F"/>
    <w:rsid w:val="00283202"/>
    <w:rsid w:val="0028389D"/>
    <w:rsid w:val="002839F8"/>
    <w:rsid w:val="00284369"/>
    <w:rsid w:val="002844EC"/>
    <w:rsid w:val="002876EB"/>
    <w:rsid w:val="00287B75"/>
    <w:rsid w:val="00290FAA"/>
    <w:rsid w:val="002932E2"/>
    <w:rsid w:val="002950D6"/>
    <w:rsid w:val="0029529E"/>
    <w:rsid w:val="00295887"/>
    <w:rsid w:val="00295DCD"/>
    <w:rsid w:val="002978B9"/>
    <w:rsid w:val="00297916"/>
    <w:rsid w:val="002A09A4"/>
    <w:rsid w:val="002A2816"/>
    <w:rsid w:val="002A398F"/>
    <w:rsid w:val="002A39A3"/>
    <w:rsid w:val="002A48D2"/>
    <w:rsid w:val="002A4B66"/>
    <w:rsid w:val="002A6570"/>
    <w:rsid w:val="002B0463"/>
    <w:rsid w:val="002B05CF"/>
    <w:rsid w:val="002B258E"/>
    <w:rsid w:val="002B3E37"/>
    <w:rsid w:val="002B4950"/>
    <w:rsid w:val="002B4D2F"/>
    <w:rsid w:val="002B73AB"/>
    <w:rsid w:val="002C00FD"/>
    <w:rsid w:val="002C0710"/>
    <w:rsid w:val="002C0993"/>
    <w:rsid w:val="002C1C98"/>
    <w:rsid w:val="002C2B2E"/>
    <w:rsid w:val="002C303F"/>
    <w:rsid w:val="002C318B"/>
    <w:rsid w:val="002C377F"/>
    <w:rsid w:val="002C3977"/>
    <w:rsid w:val="002C4C2E"/>
    <w:rsid w:val="002C5822"/>
    <w:rsid w:val="002C63C9"/>
    <w:rsid w:val="002C641F"/>
    <w:rsid w:val="002D11EA"/>
    <w:rsid w:val="002D177B"/>
    <w:rsid w:val="002D1F8B"/>
    <w:rsid w:val="002D2D84"/>
    <w:rsid w:val="002D2EE2"/>
    <w:rsid w:val="002D2F74"/>
    <w:rsid w:val="002D351A"/>
    <w:rsid w:val="002D36B9"/>
    <w:rsid w:val="002D534E"/>
    <w:rsid w:val="002D53B4"/>
    <w:rsid w:val="002D53E4"/>
    <w:rsid w:val="002D553A"/>
    <w:rsid w:val="002D5FD2"/>
    <w:rsid w:val="002D7784"/>
    <w:rsid w:val="002E0549"/>
    <w:rsid w:val="002E0E22"/>
    <w:rsid w:val="002E1201"/>
    <w:rsid w:val="002E1361"/>
    <w:rsid w:val="002E1A0E"/>
    <w:rsid w:val="002E1C33"/>
    <w:rsid w:val="002E23D9"/>
    <w:rsid w:val="002E2649"/>
    <w:rsid w:val="002E2B98"/>
    <w:rsid w:val="002E3B9C"/>
    <w:rsid w:val="002E466A"/>
    <w:rsid w:val="002E53F9"/>
    <w:rsid w:val="002E5408"/>
    <w:rsid w:val="002E5BE6"/>
    <w:rsid w:val="002E5DC3"/>
    <w:rsid w:val="002E5FDC"/>
    <w:rsid w:val="002E6960"/>
    <w:rsid w:val="002E6FAA"/>
    <w:rsid w:val="002E7250"/>
    <w:rsid w:val="002F207D"/>
    <w:rsid w:val="002F3590"/>
    <w:rsid w:val="002F38F8"/>
    <w:rsid w:val="002F3B52"/>
    <w:rsid w:val="002F46BA"/>
    <w:rsid w:val="002F5462"/>
    <w:rsid w:val="002F5EE5"/>
    <w:rsid w:val="002F5FD4"/>
    <w:rsid w:val="002F6CD1"/>
    <w:rsid w:val="002F7487"/>
    <w:rsid w:val="0030083C"/>
    <w:rsid w:val="00301604"/>
    <w:rsid w:val="003016CD"/>
    <w:rsid w:val="00302493"/>
    <w:rsid w:val="00302C06"/>
    <w:rsid w:val="00302C75"/>
    <w:rsid w:val="00302FED"/>
    <w:rsid w:val="00304633"/>
    <w:rsid w:val="00304B5B"/>
    <w:rsid w:val="003070EF"/>
    <w:rsid w:val="003079E0"/>
    <w:rsid w:val="00307EF6"/>
    <w:rsid w:val="003105BD"/>
    <w:rsid w:val="003110BB"/>
    <w:rsid w:val="00311728"/>
    <w:rsid w:val="003127D3"/>
    <w:rsid w:val="00313F03"/>
    <w:rsid w:val="003169C9"/>
    <w:rsid w:val="00317B96"/>
    <w:rsid w:val="003211F9"/>
    <w:rsid w:val="00321B3D"/>
    <w:rsid w:val="00323478"/>
    <w:rsid w:val="00323693"/>
    <w:rsid w:val="003244D4"/>
    <w:rsid w:val="003245C1"/>
    <w:rsid w:val="00325E51"/>
    <w:rsid w:val="00326D3D"/>
    <w:rsid w:val="00326E24"/>
    <w:rsid w:val="003272D0"/>
    <w:rsid w:val="00327EE7"/>
    <w:rsid w:val="003307CF"/>
    <w:rsid w:val="0033116B"/>
    <w:rsid w:val="00331736"/>
    <w:rsid w:val="003322E0"/>
    <w:rsid w:val="0033359F"/>
    <w:rsid w:val="003339E1"/>
    <w:rsid w:val="003340CB"/>
    <w:rsid w:val="00335D49"/>
    <w:rsid w:val="00337CF6"/>
    <w:rsid w:val="00340270"/>
    <w:rsid w:val="003405A7"/>
    <w:rsid w:val="003407D1"/>
    <w:rsid w:val="003417A3"/>
    <w:rsid w:val="00341D86"/>
    <w:rsid w:val="00342B73"/>
    <w:rsid w:val="00343E0E"/>
    <w:rsid w:val="00344344"/>
    <w:rsid w:val="003455CF"/>
    <w:rsid w:val="00345B45"/>
    <w:rsid w:val="003469A9"/>
    <w:rsid w:val="00346C6A"/>
    <w:rsid w:val="00347BC6"/>
    <w:rsid w:val="00351D44"/>
    <w:rsid w:val="003537C1"/>
    <w:rsid w:val="003542B6"/>
    <w:rsid w:val="003551F6"/>
    <w:rsid w:val="00355C6B"/>
    <w:rsid w:val="003578C4"/>
    <w:rsid w:val="003606BC"/>
    <w:rsid w:val="00360E8F"/>
    <w:rsid w:val="0036125C"/>
    <w:rsid w:val="003617C8"/>
    <w:rsid w:val="00361BE5"/>
    <w:rsid w:val="00362599"/>
    <w:rsid w:val="00362A82"/>
    <w:rsid w:val="00363733"/>
    <w:rsid w:val="00363EC0"/>
    <w:rsid w:val="00364072"/>
    <w:rsid w:val="00364D4C"/>
    <w:rsid w:val="00364DE9"/>
    <w:rsid w:val="003668B0"/>
    <w:rsid w:val="00370095"/>
    <w:rsid w:val="00370706"/>
    <w:rsid w:val="003727FC"/>
    <w:rsid w:val="003731CC"/>
    <w:rsid w:val="003748E6"/>
    <w:rsid w:val="00374C90"/>
    <w:rsid w:val="00374CB7"/>
    <w:rsid w:val="00377F3F"/>
    <w:rsid w:val="00377F56"/>
    <w:rsid w:val="00381328"/>
    <w:rsid w:val="00381E81"/>
    <w:rsid w:val="00382EEF"/>
    <w:rsid w:val="003833E8"/>
    <w:rsid w:val="00384A5F"/>
    <w:rsid w:val="003851B3"/>
    <w:rsid w:val="0038544B"/>
    <w:rsid w:val="00387CFF"/>
    <w:rsid w:val="00390C99"/>
    <w:rsid w:val="00390FDE"/>
    <w:rsid w:val="0039105B"/>
    <w:rsid w:val="0039268C"/>
    <w:rsid w:val="0039278F"/>
    <w:rsid w:val="00393395"/>
    <w:rsid w:val="00393F8E"/>
    <w:rsid w:val="0039434F"/>
    <w:rsid w:val="003945A2"/>
    <w:rsid w:val="00394A2A"/>
    <w:rsid w:val="00395DCF"/>
    <w:rsid w:val="00396A34"/>
    <w:rsid w:val="00397477"/>
    <w:rsid w:val="003A0289"/>
    <w:rsid w:val="003A11B8"/>
    <w:rsid w:val="003A13C9"/>
    <w:rsid w:val="003A2D38"/>
    <w:rsid w:val="003A4942"/>
    <w:rsid w:val="003A4E69"/>
    <w:rsid w:val="003A51F6"/>
    <w:rsid w:val="003A564C"/>
    <w:rsid w:val="003A72E2"/>
    <w:rsid w:val="003A7FAC"/>
    <w:rsid w:val="003B035B"/>
    <w:rsid w:val="003B166B"/>
    <w:rsid w:val="003B1EFC"/>
    <w:rsid w:val="003B2831"/>
    <w:rsid w:val="003B3D8A"/>
    <w:rsid w:val="003B5103"/>
    <w:rsid w:val="003B5571"/>
    <w:rsid w:val="003B5B6A"/>
    <w:rsid w:val="003B67E5"/>
    <w:rsid w:val="003B748B"/>
    <w:rsid w:val="003B75A5"/>
    <w:rsid w:val="003C0526"/>
    <w:rsid w:val="003C07D1"/>
    <w:rsid w:val="003C09B9"/>
    <w:rsid w:val="003C0C7C"/>
    <w:rsid w:val="003C0E73"/>
    <w:rsid w:val="003C1B80"/>
    <w:rsid w:val="003C1EA1"/>
    <w:rsid w:val="003C2816"/>
    <w:rsid w:val="003C3DE8"/>
    <w:rsid w:val="003C4743"/>
    <w:rsid w:val="003C5ED1"/>
    <w:rsid w:val="003D059F"/>
    <w:rsid w:val="003D06F8"/>
    <w:rsid w:val="003D089B"/>
    <w:rsid w:val="003D1C55"/>
    <w:rsid w:val="003D2D8E"/>
    <w:rsid w:val="003D34F2"/>
    <w:rsid w:val="003D45A3"/>
    <w:rsid w:val="003D4979"/>
    <w:rsid w:val="003D56CC"/>
    <w:rsid w:val="003D7159"/>
    <w:rsid w:val="003D742A"/>
    <w:rsid w:val="003D768C"/>
    <w:rsid w:val="003E2732"/>
    <w:rsid w:val="003E2BF0"/>
    <w:rsid w:val="003E2C28"/>
    <w:rsid w:val="003E34B3"/>
    <w:rsid w:val="003E395F"/>
    <w:rsid w:val="003E3A93"/>
    <w:rsid w:val="003E3B54"/>
    <w:rsid w:val="003E44C4"/>
    <w:rsid w:val="003E655A"/>
    <w:rsid w:val="003F1292"/>
    <w:rsid w:val="003F190E"/>
    <w:rsid w:val="003F3B7E"/>
    <w:rsid w:val="003F40E0"/>
    <w:rsid w:val="003F48DD"/>
    <w:rsid w:val="003F4D2D"/>
    <w:rsid w:val="003F4DC2"/>
    <w:rsid w:val="003F5905"/>
    <w:rsid w:val="003F7321"/>
    <w:rsid w:val="003F7B71"/>
    <w:rsid w:val="00400FD2"/>
    <w:rsid w:val="004021B5"/>
    <w:rsid w:val="00403119"/>
    <w:rsid w:val="00403C10"/>
    <w:rsid w:val="00404E14"/>
    <w:rsid w:val="00407A0E"/>
    <w:rsid w:val="00411792"/>
    <w:rsid w:val="00411A60"/>
    <w:rsid w:val="00411D5A"/>
    <w:rsid w:val="004120C0"/>
    <w:rsid w:val="00412305"/>
    <w:rsid w:val="004147C4"/>
    <w:rsid w:val="004155D6"/>
    <w:rsid w:val="004158F4"/>
    <w:rsid w:val="00416AD6"/>
    <w:rsid w:val="0041786D"/>
    <w:rsid w:val="004206C3"/>
    <w:rsid w:val="0042072A"/>
    <w:rsid w:val="0042095D"/>
    <w:rsid w:val="004212B9"/>
    <w:rsid w:val="004225D1"/>
    <w:rsid w:val="00422C83"/>
    <w:rsid w:val="00423361"/>
    <w:rsid w:val="0042485F"/>
    <w:rsid w:val="00425631"/>
    <w:rsid w:val="00425B70"/>
    <w:rsid w:val="00425E89"/>
    <w:rsid w:val="004304EC"/>
    <w:rsid w:val="004308A8"/>
    <w:rsid w:val="00431AD5"/>
    <w:rsid w:val="00432DED"/>
    <w:rsid w:val="00432F44"/>
    <w:rsid w:val="00433727"/>
    <w:rsid w:val="0043479E"/>
    <w:rsid w:val="004351B5"/>
    <w:rsid w:val="00441337"/>
    <w:rsid w:val="00443EF7"/>
    <w:rsid w:val="004466FF"/>
    <w:rsid w:val="0044730D"/>
    <w:rsid w:val="004508AF"/>
    <w:rsid w:val="00452D04"/>
    <w:rsid w:val="00453113"/>
    <w:rsid w:val="00454684"/>
    <w:rsid w:val="004555DB"/>
    <w:rsid w:val="004556CD"/>
    <w:rsid w:val="00456178"/>
    <w:rsid w:val="00456225"/>
    <w:rsid w:val="004566A2"/>
    <w:rsid w:val="0046057D"/>
    <w:rsid w:val="00461B9D"/>
    <w:rsid w:val="00461F26"/>
    <w:rsid w:val="004628CF"/>
    <w:rsid w:val="00462C61"/>
    <w:rsid w:val="00464100"/>
    <w:rsid w:val="004646C7"/>
    <w:rsid w:val="00465A4E"/>
    <w:rsid w:val="00465AC0"/>
    <w:rsid w:val="00466FD5"/>
    <w:rsid w:val="004676A0"/>
    <w:rsid w:val="00470943"/>
    <w:rsid w:val="004719D8"/>
    <w:rsid w:val="00471D1C"/>
    <w:rsid w:val="004751C3"/>
    <w:rsid w:val="004763E9"/>
    <w:rsid w:val="004772D0"/>
    <w:rsid w:val="00477523"/>
    <w:rsid w:val="0048019C"/>
    <w:rsid w:val="00481D46"/>
    <w:rsid w:val="004824BE"/>
    <w:rsid w:val="0048406B"/>
    <w:rsid w:val="00484811"/>
    <w:rsid w:val="00484DEE"/>
    <w:rsid w:val="0048570A"/>
    <w:rsid w:val="00485C59"/>
    <w:rsid w:val="004861B4"/>
    <w:rsid w:val="004865A2"/>
    <w:rsid w:val="00487B59"/>
    <w:rsid w:val="00490070"/>
    <w:rsid w:val="004908E2"/>
    <w:rsid w:val="00491F2E"/>
    <w:rsid w:val="004921E4"/>
    <w:rsid w:val="00492608"/>
    <w:rsid w:val="004945AE"/>
    <w:rsid w:val="00494834"/>
    <w:rsid w:val="004950AA"/>
    <w:rsid w:val="00495F4A"/>
    <w:rsid w:val="0049671C"/>
    <w:rsid w:val="00496C01"/>
    <w:rsid w:val="004A0441"/>
    <w:rsid w:val="004A0D67"/>
    <w:rsid w:val="004A2B22"/>
    <w:rsid w:val="004A37D9"/>
    <w:rsid w:val="004A4092"/>
    <w:rsid w:val="004A4EB2"/>
    <w:rsid w:val="004A54C0"/>
    <w:rsid w:val="004A60A0"/>
    <w:rsid w:val="004B08F8"/>
    <w:rsid w:val="004B3806"/>
    <w:rsid w:val="004B4490"/>
    <w:rsid w:val="004B5154"/>
    <w:rsid w:val="004B5BB5"/>
    <w:rsid w:val="004B7C5A"/>
    <w:rsid w:val="004B7E6C"/>
    <w:rsid w:val="004B7EC2"/>
    <w:rsid w:val="004B7FC8"/>
    <w:rsid w:val="004C06C5"/>
    <w:rsid w:val="004C0A84"/>
    <w:rsid w:val="004C147B"/>
    <w:rsid w:val="004C26FA"/>
    <w:rsid w:val="004C2892"/>
    <w:rsid w:val="004C5082"/>
    <w:rsid w:val="004C604C"/>
    <w:rsid w:val="004C6325"/>
    <w:rsid w:val="004C6474"/>
    <w:rsid w:val="004C70C9"/>
    <w:rsid w:val="004C7159"/>
    <w:rsid w:val="004C71F7"/>
    <w:rsid w:val="004C7C8A"/>
    <w:rsid w:val="004D101D"/>
    <w:rsid w:val="004D236C"/>
    <w:rsid w:val="004D378B"/>
    <w:rsid w:val="004D5114"/>
    <w:rsid w:val="004D5230"/>
    <w:rsid w:val="004E0A8B"/>
    <w:rsid w:val="004E2152"/>
    <w:rsid w:val="004E24AC"/>
    <w:rsid w:val="004E2840"/>
    <w:rsid w:val="004E2A19"/>
    <w:rsid w:val="004E32A4"/>
    <w:rsid w:val="004E4373"/>
    <w:rsid w:val="004E4C5A"/>
    <w:rsid w:val="004E5D54"/>
    <w:rsid w:val="004E5EB1"/>
    <w:rsid w:val="004E6C04"/>
    <w:rsid w:val="004E73DF"/>
    <w:rsid w:val="004E7B96"/>
    <w:rsid w:val="004F058D"/>
    <w:rsid w:val="004F05E2"/>
    <w:rsid w:val="004F0FC7"/>
    <w:rsid w:val="004F168C"/>
    <w:rsid w:val="004F1D8D"/>
    <w:rsid w:val="004F2450"/>
    <w:rsid w:val="004F2C35"/>
    <w:rsid w:val="004F329F"/>
    <w:rsid w:val="004F3C21"/>
    <w:rsid w:val="004F432D"/>
    <w:rsid w:val="004F5102"/>
    <w:rsid w:val="004F5EFA"/>
    <w:rsid w:val="004F6180"/>
    <w:rsid w:val="004F6580"/>
    <w:rsid w:val="004F6EBB"/>
    <w:rsid w:val="004F768E"/>
    <w:rsid w:val="005001FC"/>
    <w:rsid w:val="00500C3B"/>
    <w:rsid w:val="00500D1D"/>
    <w:rsid w:val="00502F3F"/>
    <w:rsid w:val="005045DC"/>
    <w:rsid w:val="00505440"/>
    <w:rsid w:val="0050592E"/>
    <w:rsid w:val="00505C48"/>
    <w:rsid w:val="00505C50"/>
    <w:rsid w:val="00506028"/>
    <w:rsid w:val="00506A2D"/>
    <w:rsid w:val="005078EF"/>
    <w:rsid w:val="0051005B"/>
    <w:rsid w:val="00510F8F"/>
    <w:rsid w:val="0051191E"/>
    <w:rsid w:val="00511A7E"/>
    <w:rsid w:val="00512653"/>
    <w:rsid w:val="00513267"/>
    <w:rsid w:val="0051350C"/>
    <w:rsid w:val="0051405C"/>
    <w:rsid w:val="005140E2"/>
    <w:rsid w:val="00514FB2"/>
    <w:rsid w:val="00515F2D"/>
    <w:rsid w:val="005169ED"/>
    <w:rsid w:val="00516CF5"/>
    <w:rsid w:val="00517897"/>
    <w:rsid w:val="00517D60"/>
    <w:rsid w:val="005214A3"/>
    <w:rsid w:val="005216B8"/>
    <w:rsid w:val="00522BBC"/>
    <w:rsid w:val="0052367D"/>
    <w:rsid w:val="0052461E"/>
    <w:rsid w:val="00524B11"/>
    <w:rsid w:val="005253E8"/>
    <w:rsid w:val="00525F31"/>
    <w:rsid w:val="00526344"/>
    <w:rsid w:val="005266DE"/>
    <w:rsid w:val="005268DB"/>
    <w:rsid w:val="00527261"/>
    <w:rsid w:val="00532221"/>
    <w:rsid w:val="00532E9B"/>
    <w:rsid w:val="0053306F"/>
    <w:rsid w:val="00533C7B"/>
    <w:rsid w:val="00534B31"/>
    <w:rsid w:val="00535DB5"/>
    <w:rsid w:val="00537B38"/>
    <w:rsid w:val="00541293"/>
    <w:rsid w:val="0054176B"/>
    <w:rsid w:val="00542453"/>
    <w:rsid w:val="00543D73"/>
    <w:rsid w:val="005447C1"/>
    <w:rsid w:val="00545203"/>
    <w:rsid w:val="00545EDE"/>
    <w:rsid w:val="00546B4F"/>
    <w:rsid w:val="0055142E"/>
    <w:rsid w:val="005520FE"/>
    <w:rsid w:val="005523C5"/>
    <w:rsid w:val="005528A4"/>
    <w:rsid w:val="005529CC"/>
    <w:rsid w:val="00554233"/>
    <w:rsid w:val="00554E1C"/>
    <w:rsid w:val="00555189"/>
    <w:rsid w:val="00555301"/>
    <w:rsid w:val="005567F5"/>
    <w:rsid w:val="00556F24"/>
    <w:rsid w:val="00560746"/>
    <w:rsid w:val="0056079F"/>
    <w:rsid w:val="00560CCF"/>
    <w:rsid w:val="00560E93"/>
    <w:rsid w:val="005617DF"/>
    <w:rsid w:val="00561CBE"/>
    <w:rsid w:val="00563B8C"/>
    <w:rsid w:val="00564445"/>
    <w:rsid w:val="00566FBA"/>
    <w:rsid w:val="005706C1"/>
    <w:rsid w:val="00570AA4"/>
    <w:rsid w:val="0057125F"/>
    <w:rsid w:val="00572318"/>
    <w:rsid w:val="00573110"/>
    <w:rsid w:val="005749CB"/>
    <w:rsid w:val="0057565A"/>
    <w:rsid w:val="00575AB2"/>
    <w:rsid w:val="00576F83"/>
    <w:rsid w:val="0057731C"/>
    <w:rsid w:val="00577A88"/>
    <w:rsid w:val="00577DCE"/>
    <w:rsid w:val="00580E4D"/>
    <w:rsid w:val="00581C56"/>
    <w:rsid w:val="005822CE"/>
    <w:rsid w:val="00582714"/>
    <w:rsid w:val="00582D47"/>
    <w:rsid w:val="0058368D"/>
    <w:rsid w:val="005852CE"/>
    <w:rsid w:val="005855DF"/>
    <w:rsid w:val="00585D58"/>
    <w:rsid w:val="00586059"/>
    <w:rsid w:val="0058784C"/>
    <w:rsid w:val="00590470"/>
    <w:rsid w:val="005906BA"/>
    <w:rsid w:val="00591268"/>
    <w:rsid w:val="005926DC"/>
    <w:rsid w:val="00592CBE"/>
    <w:rsid w:val="0059303C"/>
    <w:rsid w:val="005944ED"/>
    <w:rsid w:val="00594762"/>
    <w:rsid w:val="00595193"/>
    <w:rsid w:val="00596F98"/>
    <w:rsid w:val="005A0BD1"/>
    <w:rsid w:val="005A383E"/>
    <w:rsid w:val="005A4801"/>
    <w:rsid w:val="005A4FB7"/>
    <w:rsid w:val="005A6332"/>
    <w:rsid w:val="005A6969"/>
    <w:rsid w:val="005A6C81"/>
    <w:rsid w:val="005A7408"/>
    <w:rsid w:val="005A77E9"/>
    <w:rsid w:val="005A7918"/>
    <w:rsid w:val="005B1CCC"/>
    <w:rsid w:val="005B2501"/>
    <w:rsid w:val="005B3FAB"/>
    <w:rsid w:val="005B5142"/>
    <w:rsid w:val="005B5BA1"/>
    <w:rsid w:val="005B714A"/>
    <w:rsid w:val="005B7730"/>
    <w:rsid w:val="005C0338"/>
    <w:rsid w:val="005C0527"/>
    <w:rsid w:val="005C0F4B"/>
    <w:rsid w:val="005C148B"/>
    <w:rsid w:val="005C1893"/>
    <w:rsid w:val="005C1985"/>
    <w:rsid w:val="005C2A9A"/>
    <w:rsid w:val="005C2EF6"/>
    <w:rsid w:val="005C31C0"/>
    <w:rsid w:val="005C3750"/>
    <w:rsid w:val="005C3BFD"/>
    <w:rsid w:val="005C4390"/>
    <w:rsid w:val="005C4D83"/>
    <w:rsid w:val="005C7637"/>
    <w:rsid w:val="005C78ED"/>
    <w:rsid w:val="005C7C2D"/>
    <w:rsid w:val="005C7CD8"/>
    <w:rsid w:val="005D0ADE"/>
    <w:rsid w:val="005D1600"/>
    <w:rsid w:val="005D1B7A"/>
    <w:rsid w:val="005D1D03"/>
    <w:rsid w:val="005D250A"/>
    <w:rsid w:val="005D5B94"/>
    <w:rsid w:val="005D6DD6"/>
    <w:rsid w:val="005D7486"/>
    <w:rsid w:val="005E3972"/>
    <w:rsid w:val="005E3F5D"/>
    <w:rsid w:val="005E4335"/>
    <w:rsid w:val="005E43CE"/>
    <w:rsid w:val="005E451E"/>
    <w:rsid w:val="005E52CE"/>
    <w:rsid w:val="005E7DBF"/>
    <w:rsid w:val="005F0C8B"/>
    <w:rsid w:val="005F2430"/>
    <w:rsid w:val="005F2DB6"/>
    <w:rsid w:val="005F3EA7"/>
    <w:rsid w:val="005F4903"/>
    <w:rsid w:val="005F60EF"/>
    <w:rsid w:val="00600466"/>
    <w:rsid w:val="00601778"/>
    <w:rsid w:val="0060288F"/>
    <w:rsid w:val="00606EF5"/>
    <w:rsid w:val="00606F94"/>
    <w:rsid w:val="00610687"/>
    <w:rsid w:val="00611A12"/>
    <w:rsid w:val="006129DA"/>
    <w:rsid w:val="00613116"/>
    <w:rsid w:val="0061334A"/>
    <w:rsid w:val="00613600"/>
    <w:rsid w:val="00613C83"/>
    <w:rsid w:val="00616063"/>
    <w:rsid w:val="00616226"/>
    <w:rsid w:val="0061669A"/>
    <w:rsid w:val="00616D38"/>
    <w:rsid w:val="00617907"/>
    <w:rsid w:val="00621033"/>
    <w:rsid w:val="006227AA"/>
    <w:rsid w:val="0062287F"/>
    <w:rsid w:val="00622A51"/>
    <w:rsid w:val="006236A9"/>
    <w:rsid w:val="006245EA"/>
    <w:rsid w:val="006249B2"/>
    <w:rsid w:val="00624B75"/>
    <w:rsid w:val="00624B95"/>
    <w:rsid w:val="006264E7"/>
    <w:rsid w:val="00626955"/>
    <w:rsid w:val="00626C1B"/>
    <w:rsid w:val="00627020"/>
    <w:rsid w:val="00627D90"/>
    <w:rsid w:val="00634C99"/>
    <w:rsid w:val="00636906"/>
    <w:rsid w:val="00637644"/>
    <w:rsid w:val="00640D3B"/>
    <w:rsid w:val="006414FA"/>
    <w:rsid w:val="00642ECA"/>
    <w:rsid w:val="00643A33"/>
    <w:rsid w:val="006446B6"/>
    <w:rsid w:val="00644A71"/>
    <w:rsid w:val="00646025"/>
    <w:rsid w:val="00647359"/>
    <w:rsid w:val="00647F4B"/>
    <w:rsid w:val="00650631"/>
    <w:rsid w:val="00650A88"/>
    <w:rsid w:val="00650D14"/>
    <w:rsid w:val="00651534"/>
    <w:rsid w:val="006516A2"/>
    <w:rsid w:val="00651788"/>
    <w:rsid w:val="00652E70"/>
    <w:rsid w:val="00652F67"/>
    <w:rsid w:val="0065445E"/>
    <w:rsid w:val="00654A27"/>
    <w:rsid w:val="0065538F"/>
    <w:rsid w:val="00655C59"/>
    <w:rsid w:val="00655D42"/>
    <w:rsid w:val="006560A9"/>
    <w:rsid w:val="00660AFE"/>
    <w:rsid w:val="00661080"/>
    <w:rsid w:val="0066148F"/>
    <w:rsid w:val="00661B64"/>
    <w:rsid w:val="00662940"/>
    <w:rsid w:val="00663189"/>
    <w:rsid w:val="0066344B"/>
    <w:rsid w:val="006637FB"/>
    <w:rsid w:val="006650DC"/>
    <w:rsid w:val="00665A1D"/>
    <w:rsid w:val="00666C57"/>
    <w:rsid w:val="00667995"/>
    <w:rsid w:val="00670566"/>
    <w:rsid w:val="00671BC3"/>
    <w:rsid w:val="00672D0A"/>
    <w:rsid w:val="00673694"/>
    <w:rsid w:val="00674843"/>
    <w:rsid w:val="00675743"/>
    <w:rsid w:val="00675FD7"/>
    <w:rsid w:val="006762AB"/>
    <w:rsid w:val="00676461"/>
    <w:rsid w:val="00683658"/>
    <w:rsid w:val="00684B84"/>
    <w:rsid w:val="00685AA5"/>
    <w:rsid w:val="00686D94"/>
    <w:rsid w:val="006873E5"/>
    <w:rsid w:val="00687446"/>
    <w:rsid w:val="00687595"/>
    <w:rsid w:val="00687E87"/>
    <w:rsid w:val="00687ECB"/>
    <w:rsid w:val="006900E5"/>
    <w:rsid w:val="0069394C"/>
    <w:rsid w:val="00694C39"/>
    <w:rsid w:val="00695055"/>
    <w:rsid w:val="006954C0"/>
    <w:rsid w:val="00695754"/>
    <w:rsid w:val="00695FF5"/>
    <w:rsid w:val="0069694C"/>
    <w:rsid w:val="006A06B9"/>
    <w:rsid w:val="006A1D01"/>
    <w:rsid w:val="006A2360"/>
    <w:rsid w:val="006A450A"/>
    <w:rsid w:val="006A457C"/>
    <w:rsid w:val="006A4839"/>
    <w:rsid w:val="006A55AB"/>
    <w:rsid w:val="006A58DE"/>
    <w:rsid w:val="006A75BF"/>
    <w:rsid w:val="006B0C07"/>
    <w:rsid w:val="006B2E9C"/>
    <w:rsid w:val="006B385B"/>
    <w:rsid w:val="006B3B03"/>
    <w:rsid w:val="006B5874"/>
    <w:rsid w:val="006B5B4A"/>
    <w:rsid w:val="006B6682"/>
    <w:rsid w:val="006B7085"/>
    <w:rsid w:val="006B7087"/>
    <w:rsid w:val="006B7907"/>
    <w:rsid w:val="006C0490"/>
    <w:rsid w:val="006C0939"/>
    <w:rsid w:val="006C1C9C"/>
    <w:rsid w:val="006C2CA0"/>
    <w:rsid w:val="006C45F7"/>
    <w:rsid w:val="006C4E29"/>
    <w:rsid w:val="006C5C87"/>
    <w:rsid w:val="006C5E7C"/>
    <w:rsid w:val="006C5FB1"/>
    <w:rsid w:val="006C69FA"/>
    <w:rsid w:val="006C6BD9"/>
    <w:rsid w:val="006D04BA"/>
    <w:rsid w:val="006D0556"/>
    <w:rsid w:val="006D236F"/>
    <w:rsid w:val="006D56A2"/>
    <w:rsid w:val="006D6F3B"/>
    <w:rsid w:val="006E0F70"/>
    <w:rsid w:val="006E1B7F"/>
    <w:rsid w:val="006E1DCB"/>
    <w:rsid w:val="006E3E3D"/>
    <w:rsid w:val="006E3E3E"/>
    <w:rsid w:val="006E41A4"/>
    <w:rsid w:val="006E4596"/>
    <w:rsid w:val="006E4CA3"/>
    <w:rsid w:val="006E57B2"/>
    <w:rsid w:val="006E584E"/>
    <w:rsid w:val="006E5BBC"/>
    <w:rsid w:val="006E6711"/>
    <w:rsid w:val="006E6F25"/>
    <w:rsid w:val="006E766F"/>
    <w:rsid w:val="006E789A"/>
    <w:rsid w:val="006F0D55"/>
    <w:rsid w:val="006F179D"/>
    <w:rsid w:val="006F1B5E"/>
    <w:rsid w:val="006F1C8B"/>
    <w:rsid w:val="006F3BAB"/>
    <w:rsid w:val="006F611B"/>
    <w:rsid w:val="006F7025"/>
    <w:rsid w:val="006F77A1"/>
    <w:rsid w:val="006F78EF"/>
    <w:rsid w:val="006F7F3B"/>
    <w:rsid w:val="00700BFB"/>
    <w:rsid w:val="007016CD"/>
    <w:rsid w:val="007025BA"/>
    <w:rsid w:val="007036BC"/>
    <w:rsid w:val="00703730"/>
    <w:rsid w:val="0070432E"/>
    <w:rsid w:val="00704D5C"/>
    <w:rsid w:val="007056EA"/>
    <w:rsid w:val="0070625E"/>
    <w:rsid w:val="00706881"/>
    <w:rsid w:val="00706E86"/>
    <w:rsid w:val="007117B6"/>
    <w:rsid w:val="00711BD9"/>
    <w:rsid w:val="00711F19"/>
    <w:rsid w:val="0071224A"/>
    <w:rsid w:val="00712D5B"/>
    <w:rsid w:val="007144E3"/>
    <w:rsid w:val="007146DA"/>
    <w:rsid w:val="00714D72"/>
    <w:rsid w:val="007160EE"/>
    <w:rsid w:val="007177A2"/>
    <w:rsid w:val="00720B27"/>
    <w:rsid w:val="00720C76"/>
    <w:rsid w:val="00721EF2"/>
    <w:rsid w:val="00722C4E"/>
    <w:rsid w:val="007236D6"/>
    <w:rsid w:val="00723CE0"/>
    <w:rsid w:val="007253F8"/>
    <w:rsid w:val="0072555F"/>
    <w:rsid w:val="007257EE"/>
    <w:rsid w:val="00726199"/>
    <w:rsid w:val="00727B07"/>
    <w:rsid w:val="007314EC"/>
    <w:rsid w:val="007317BC"/>
    <w:rsid w:val="00732D9A"/>
    <w:rsid w:val="00733143"/>
    <w:rsid w:val="00733B32"/>
    <w:rsid w:val="007347C0"/>
    <w:rsid w:val="00735C75"/>
    <w:rsid w:val="00735E81"/>
    <w:rsid w:val="00736C96"/>
    <w:rsid w:val="00741079"/>
    <w:rsid w:val="00741DAC"/>
    <w:rsid w:val="007430E4"/>
    <w:rsid w:val="00744BBC"/>
    <w:rsid w:val="00746633"/>
    <w:rsid w:val="007474B5"/>
    <w:rsid w:val="0075017C"/>
    <w:rsid w:val="00750C6C"/>
    <w:rsid w:val="00750C91"/>
    <w:rsid w:val="00751079"/>
    <w:rsid w:val="00751D96"/>
    <w:rsid w:val="0075203E"/>
    <w:rsid w:val="00752401"/>
    <w:rsid w:val="00753774"/>
    <w:rsid w:val="00753778"/>
    <w:rsid w:val="0075559F"/>
    <w:rsid w:val="00755DDC"/>
    <w:rsid w:val="00756648"/>
    <w:rsid w:val="00760291"/>
    <w:rsid w:val="007618B7"/>
    <w:rsid w:val="0076197A"/>
    <w:rsid w:val="00762EF1"/>
    <w:rsid w:val="00763B00"/>
    <w:rsid w:val="00763FE7"/>
    <w:rsid w:val="0076465F"/>
    <w:rsid w:val="00765CEC"/>
    <w:rsid w:val="00766295"/>
    <w:rsid w:val="00767AD2"/>
    <w:rsid w:val="00770DBF"/>
    <w:rsid w:val="00772174"/>
    <w:rsid w:val="00772E25"/>
    <w:rsid w:val="00774A7C"/>
    <w:rsid w:val="00774B11"/>
    <w:rsid w:val="00775B77"/>
    <w:rsid w:val="00776C92"/>
    <w:rsid w:val="0077731D"/>
    <w:rsid w:val="00780AF1"/>
    <w:rsid w:val="007815B9"/>
    <w:rsid w:val="00781B29"/>
    <w:rsid w:val="007825A3"/>
    <w:rsid w:val="00782AC1"/>
    <w:rsid w:val="00782D06"/>
    <w:rsid w:val="0078565F"/>
    <w:rsid w:val="0078663C"/>
    <w:rsid w:val="00787740"/>
    <w:rsid w:val="007908E9"/>
    <w:rsid w:val="00792868"/>
    <w:rsid w:val="00792AF1"/>
    <w:rsid w:val="007939C4"/>
    <w:rsid w:val="0079544F"/>
    <w:rsid w:val="0079693A"/>
    <w:rsid w:val="00796CB0"/>
    <w:rsid w:val="00796D36"/>
    <w:rsid w:val="00797A08"/>
    <w:rsid w:val="007A1C46"/>
    <w:rsid w:val="007A27B1"/>
    <w:rsid w:val="007A2BE9"/>
    <w:rsid w:val="007A2D87"/>
    <w:rsid w:val="007A3F97"/>
    <w:rsid w:val="007A44F3"/>
    <w:rsid w:val="007A4BB7"/>
    <w:rsid w:val="007A4DC9"/>
    <w:rsid w:val="007A5080"/>
    <w:rsid w:val="007A54EE"/>
    <w:rsid w:val="007A60FD"/>
    <w:rsid w:val="007B0F93"/>
    <w:rsid w:val="007B2913"/>
    <w:rsid w:val="007B2D21"/>
    <w:rsid w:val="007B3B9E"/>
    <w:rsid w:val="007B4526"/>
    <w:rsid w:val="007B5B7A"/>
    <w:rsid w:val="007B6A02"/>
    <w:rsid w:val="007B784B"/>
    <w:rsid w:val="007C1232"/>
    <w:rsid w:val="007C15A9"/>
    <w:rsid w:val="007C1989"/>
    <w:rsid w:val="007C3BF2"/>
    <w:rsid w:val="007C3E7A"/>
    <w:rsid w:val="007C4373"/>
    <w:rsid w:val="007C4FCF"/>
    <w:rsid w:val="007C6448"/>
    <w:rsid w:val="007C6628"/>
    <w:rsid w:val="007C6777"/>
    <w:rsid w:val="007C6DF4"/>
    <w:rsid w:val="007C6F01"/>
    <w:rsid w:val="007C74E5"/>
    <w:rsid w:val="007D0270"/>
    <w:rsid w:val="007D21E1"/>
    <w:rsid w:val="007D29B7"/>
    <w:rsid w:val="007D428C"/>
    <w:rsid w:val="007D686F"/>
    <w:rsid w:val="007D6C8C"/>
    <w:rsid w:val="007D73DD"/>
    <w:rsid w:val="007E0725"/>
    <w:rsid w:val="007E1220"/>
    <w:rsid w:val="007E1323"/>
    <w:rsid w:val="007E1D36"/>
    <w:rsid w:val="007E2D3D"/>
    <w:rsid w:val="007E3D6A"/>
    <w:rsid w:val="007E4930"/>
    <w:rsid w:val="007E4F9C"/>
    <w:rsid w:val="007E5AFF"/>
    <w:rsid w:val="007E6B98"/>
    <w:rsid w:val="007E797C"/>
    <w:rsid w:val="007F0055"/>
    <w:rsid w:val="007F0E57"/>
    <w:rsid w:val="007F1CA7"/>
    <w:rsid w:val="007F22B5"/>
    <w:rsid w:val="007F3247"/>
    <w:rsid w:val="007F35E5"/>
    <w:rsid w:val="007F3CED"/>
    <w:rsid w:val="007F4FF2"/>
    <w:rsid w:val="007F51D6"/>
    <w:rsid w:val="007F58D6"/>
    <w:rsid w:val="007F5C6D"/>
    <w:rsid w:val="007F7144"/>
    <w:rsid w:val="007F766D"/>
    <w:rsid w:val="007F7B37"/>
    <w:rsid w:val="007F7C2A"/>
    <w:rsid w:val="00800277"/>
    <w:rsid w:val="00800564"/>
    <w:rsid w:val="00800754"/>
    <w:rsid w:val="00800C75"/>
    <w:rsid w:val="008020EE"/>
    <w:rsid w:val="00802C9E"/>
    <w:rsid w:val="00802EF3"/>
    <w:rsid w:val="00805805"/>
    <w:rsid w:val="0080597A"/>
    <w:rsid w:val="008065ED"/>
    <w:rsid w:val="00806948"/>
    <w:rsid w:val="00807548"/>
    <w:rsid w:val="00810AA3"/>
    <w:rsid w:val="008111E8"/>
    <w:rsid w:val="00812613"/>
    <w:rsid w:val="0081515A"/>
    <w:rsid w:val="008166F2"/>
    <w:rsid w:val="008169DF"/>
    <w:rsid w:val="00816D74"/>
    <w:rsid w:val="0082078C"/>
    <w:rsid w:val="008212E8"/>
    <w:rsid w:val="008219B1"/>
    <w:rsid w:val="00821BC0"/>
    <w:rsid w:val="0082218D"/>
    <w:rsid w:val="008239CD"/>
    <w:rsid w:val="00823EFF"/>
    <w:rsid w:val="00824432"/>
    <w:rsid w:val="00825407"/>
    <w:rsid w:val="00825775"/>
    <w:rsid w:val="008262B9"/>
    <w:rsid w:val="0082702A"/>
    <w:rsid w:val="0083034E"/>
    <w:rsid w:val="00830C8B"/>
    <w:rsid w:val="00832D28"/>
    <w:rsid w:val="008330E8"/>
    <w:rsid w:val="0083480D"/>
    <w:rsid w:val="008357D0"/>
    <w:rsid w:val="00836F5A"/>
    <w:rsid w:val="008407DA"/>
    <w:rsid w:val="00840DFA"/>
    <w:rsid w:val="00841D2E"/>
    <w:rsid w:val="0084259C"/>
    <w:rsid w:val="00842A2D"/>
    <w:rsid w:val="0084340F"/>
    <w:rsid w:val="00843B4A"/>
    <w:rsid w:val="00844C0D"/>
    <w:rsid w:val="00845BEC"/>
    <w:rsid w:val="008463ED"/>
    <w:rsid w:val="0084685C"/>
    <w:rsid w:val="008468A8"/>
    <w:rsid w:val="00846A44"/>
    <w:rsid w:val="00846B97"/>
    <w:rsid w:val="00846E3A"/>
    <w:rsid w:val="00847629"/>
    <w:rsid w:val="00847859"/>
    <w:rsid w:val="00847A94"/>
    <w:rsid w:val="00847F68"/>
    <w:rsid w:val="00851C0F"/>
    <w:rsid w:val="008521CD"/>
    <w:rsid w:val="00855F0D"/>
    <w:rsid w:val="00856621"/>
    <w:rsid w:val="008568EF"/>
    <w:rsid w:val="00857675"/>
    <w:rsid w:val="00857A66"/>
    <w:rsid w:val="00857B6B"/>
    <w:rsid w:val="00857E66"/>
    <w:rsid w:val="0086002D"/>
    <w:rsid w:val="00861F94"/>
    <w:rsid w:val="008627E8"/>
    <w:rsid w:val="00863D54"/>
    <w:rsid w:val="00863E7D"/>
    <w:rsid w:val="0086559F"/>
    <w:rsid w:val="008659B7"/>
    <w:rsid w:val="008666B4"/>
    <w:rsid w:val="0086761C"/>
    <w:rsid w:val="008679A0"/>
    <w:rsid w:val="00867C55"/>
    <w:rsid w:val="00871B09"/>
    <w:rsid w:val="0087205F"/>
    <w:rsid w:val="008731AD"/>
    <w:rsid w:val="0087368E"/>
    <w:rsid w:val="00874742"/>
    <w:rsid w:val="00874B94"/>
    <w:rsid w:val="00874E7F"/>
    <w:rsid w:val="0087655D"/>
    <w:rsid w:val="0087694B"/>
    <w:rsid w:val="00876B28"/>
    <w:rsid w:val="0087792C"/>
    <w:rsid w:val="00880A87"/>
    <w:rsid w:val="0088109E"/>
    <w:rsid w:val="00881E1F"/>
    <w:rsid w:val="00881EE2"/>
    <w:rsid w:val="00882BFF"/>
    <w:rsid w:val="00882D79"/>
    <w:rsid w:val="00882F12"/>
    <w:rsid w:val="00883215"/>
    <w:rsid w:val="00883B57"/>
    <w:rsid w:val="0088489D"/>
    <w:rsid w:val="008857FF"/>
    <w:rsid w:val="00886B73"/>
    <w:rsid w:val="00887131"/>
    <w:rsid w:val="0088737A"/>
    <w:rsid w:val="00890807"/>
    <w:rsid w:val="00890B9B"/>
    <w:rsid w:val="0089141F"/>
    <w:rsid w:val="00891468"/>
    <w:rsid w:val="00891EA2"/>
    <w:rsid w:val="00893604"/>
    <w:rsid w:val="008958E8"/>
    <w:rsid w:val="0089775D"/>
    <w:rsid w:val="008979BF"/>
    <w:rsid w:val="00897D29"/>
    <w:rsid w:val="008A0242"/>
    <w:rsid w:val="008A123D"/>
    <w:rsid w:val="008A13A6"/>
    <w:rsid w:val="008A2F19"/>
    <w:rsid w:val="008A3734"/>
    <w:rsid w:val="008A39E4"/>
    <w:rsid w:val="008A4067"/>
    <w:rsid w:val="008A57BC"/>
    <w:rsid w:val="008A595D"/>
    <w:rsid w:val="008A5F14"/>
    <w:rsid w:val="008A617B"/>
    <w:rsid w:val="008A6289"/>
    <w:rsid w:val="008A7021"/>
    <w:rsid w:val="008B0BF0"/>
    <w:rsid w:val="008B108D"/>
    <w:rsid w:val="008B347C"/>
    <w:rsid w:val="008B4208"/>
    <w:rsid w:val="008B577A"/>
    <w:rsid w:val="008B6637"/>
    <w:rsid w:val="008B719D"/>
    <w:rsid w:val="008B7A0D"/>
    <w:rsid w:val="008B7A6D"/>
    <w:rsid w:val="008C08F0"/>
    <w:rsid w:val="008C35BF"/>
    <w:rsid w:val="008C4889"/>
    <w:rsid w:val="008C4F4B"/>
    <w:rsid w:val="008C6195"/>
    <w:rsid w:val="008C7734"/>
    <w:rsid w:val="008D0862"/>
    <w:rsid w:val="008D0A33"/>
    <w:rsid w:val="008D14EF"/>
    <w:rsid w:val="008D1C1D"/>
    <w:rsid w:val="008D254E"/>
    <w:rsid w:val="008D2907"/>
    <w:rsid w:val="008D3435"/>
    <w:rsid w:val="008D4FFF"/>
    <w:rsid w:val="008D5931"/>
    <w:rsid w:val="008D77CA"/>
    <w:rsid w:val="008E1F90"/>
    <w:rsid w:val="008E2B73"/>
    <w:rsid w:val="008E2D0D"/>
    <w:rsid w:val="008E39A3"/>
    <w:rsid w:val="008E491E"/>
    <w:rsid w:val="008E527A"/>
    <w:rsid w:val="008E5816"/>
    <w:rsid w:val="008E6BA2"/>
    <w:rsid w:val="008E6E1C"/>
    <w:rsid w:val="008F1BD4"/>
    <w:rsid w:val="008F25C3"/>
    <w:rsid w:val="008F2735"/>
    <w:rsid w:val="008F3C26"/>
    <w:rsid w:val="008F425C"/>
    <w:rsid w:val="008F557A"/>
    <w:rsid w:val="009011E6"/>
    <w:rsid w:val="00901244"/>
    <w:rsid w:val="00901402"/>
    <w:rsid w:val="009021C7"/>
    <w:rsid w:val="00902923"/>
    <w:rsid w:val="00904178"/>
    <w:rsid w:val="00904EFA"/>
    <w:rsid w:val="009060AB"/>
    <w:rsid w:val="0090649B"/>
    <w:rsid w:val="00906EC5"/>
    <w:rsid w:val="00906FE8"/>
    <w:rsid w:val="00907434"/>
    <w:rsid w:val="009076E3"/>
    <w:rsid w:val="00910886"/>
    <w:rsid w:val="009113A2"/>
    <w:rsid w:val="00913403"/>
    <w:rsid w:val="009137F7"/>
    <w:rsid w:val="0091383B"/>
    <w:rsid w:val="0091706D"/>
    <w:rsid w:val="00920C7B"/>
    <w:rsid w:val="009222B2"/>
    <w:rsid w:val="0092268D"/>
    <w:rsid w:val="009226FB"/>
    <w:rsid w:val="00922B67"/>
    <w:rsid w:val="009230F7"/>
    <w:rsid w:val="00923943"/>
    <w:rsid w:val="0092551C"/>
    <w:rsid w:val="00927760"/>
    <w:rsid w:val="00927C11"/>
    <w:rsid w:val="00930634"/>
    <w:rsid w:val="00931D8B"/>
    <w:rsid w:val="00932612"/>
    <w:rsid w:val="009331CF"/>
    <w:rsid w:val="0093341A"/>
    <w:rsid w:val="00933E5A"/>
    <w:rsid w:val="009347AD"/>
    <w:rsid w:val="00934817"/>
    <w:rsid w:val="00934C0D"/>
    <w:rsid w:val="00934D73"/>
    <w:rsid w:val="00934E1C"/>
    <w:rsid w:val="009357FE"/>
    <w:rsid w:val="00937828"/>
    <w:rsid w:val="00940247"/>
    <w:rsid w:val="00943780"/>
    <w:rsid w:val="00943FD1"/>
    <w:rsid w:val="00944A77"/>
    <w:rsid w:val="009456AF"/>
    <w:rsid w:val="009464F5"/>
    <w:rsid w:val="009465EB"/>
    <w:rsid w:val="0094663D"/>
    <w:rsid w:val="009471F7"/>
    <w:rsid w:val="00951ADB"/>
    <w:rsid w:val="00953781"/>
    <w:rsid w:val="009544A9"/>
    <w:rsid w:val="009546D1"/>
    <w:rsid w:val="00955621"/>
    <w:rsid w:val="00957658"/>
    <w:rsid w:val="00957D10"/>
    <w:rsid w:val="00962658"/>
    <w:rsid w:val="009629A2"/>
    <w:rsid w:val="00964604"/>
    <w:rsid w:val="009672F1"/>
    <w:rsid w:val="0097080F"/>
    <w:rsid w:val="00970C42"/>
    <w:rsid w:val="00971660"/>
    <w:rsid w:val="00972A7A"/>
    <w:rsid w:val="009755AD"/>
    <w:rsid w:val="00975A0D"/>
    <w:rsid w:val="00976B9E"/>
    <w:rsid w:val="00980698"/>
    <w:rsid w:val="00980992"/>
    <w:rsid w:val="00981B98"/>
    <w:rsid w:val="0098201B"/>
    <w:rsid w:val="00982F56"/>
    <w:rsid w:val="009830B4"/>
    <w:rsid w:val="00983FD2"/>
    <w:rsid w:val="00984A20"/>
    <w:rsid w:val="00984A3A"/>
    <w:rsid w:val="0098608F"/>
    <w:rsid w:val="0098749D"/>
    <w:rsid w:val="00987C51"/>
    <w:rsid w:val="00990F7B"/>
    <w:rsid w:val="00990F95"/>
    <w:rsid w:val="00992154"/>
    <w:rsid w:val="00992B2F"/>
    <w:rsid w:val="00993B4E"/>
    <w:rsid w:val="00993F74"/>
    <w:rsid w:val="00994CDE"/>
    <w:rsid w:val="009969AD"/>
    <w:rsid w:val="00997073"/>
    <w:rsid w:val="00997D1D"/>
    <w:rsid w:val="00997E4E"/>
    <w:rsid w:val="009A1AD9"/>
    <w:rsid w:val="009A2F4A"/>
    <w:rsid w:val="009A30B1"/>
    <w:rsid w:val="009A349F"/>
    <w:rsid w:val="009A420E"/>
    <w:rsid w:val="009A4481"/>
    <w:rsid w:val="009A4D6E"/>
    <w:rsid w:val="009A4E46"/>
    <w:rsid w:val="009A549A"/>
    <w:rsid w:val="009A5CFE"/>
    <w:rsid w:val="009A63D9"/>
    <w:rsid w:val="009A7171"/>
    <w:rsid w:val="009A76D2"/>
    <w:rsid w:val="009B106D"/>
    <w:rsid w:val="009B1812"/>
    <w:rsid w:val="009B1CA4"/>
    <w:rsid w:val="009B2463"/>
    <w:rsid w:val="009B2CE4"/>
    <w:rsid w:val="009B3B51"/>
    <w:rsid w:val="009B7832"/>
    <w:rsid w:val="009B79AA"/>
    <w:rsid w:val="009C2F19"/>
    <w:rsid w:val="009C3853"/>
    <w:rsid w:val="009C446C"/>
    <w:rsid w:val="009C47C0"/>
    <w:rsid w:val="009C4B6A"/>
    <w:rsid w:val="009C546B"/>
    <w:rsid w:val="009C5E60"/>
    <w:rsid w:val="009C5F49"/>
    <w:rsid w:val="009C7546"/>
    <w:rsid w:val="009C7C94"/>
    <w:rsid w:val="009D07FF"/>
    <w:rsid w:val="009D0CE5"/>
    <w:rsid w:val="009D0D39"/>
    <w:rsid w:val="009D1098"/>
    <w:rsid w:val="009D2B09"/>
    <w:rsid w:val="009D3538"/>
    <w:rsid w:val="009D3AE8"/>
    <w:rsid w:val="009D5E7F"/>
    <w:rsid w:val="009D6590"/>
    <w:rsid w:val="009D6EC0"/>
    <w:rsid w:val="009D7218"/>
    <w:rsid w:val="009D7879"/>
    <w:rsid w:val="009E0E34"/>
    <w:rsid w:val="009E1B31"/>
    <w:rsid w:val="009E1B3B"/>
    <w:rsid w:val="009E2B63"/>
    <w:rsid w:val="009E3206"/>
    <w:rsid w:val="009E5ADF"/>
    <w:rsid w:val="009E64D1"/>
    <w:rsid w:val="009E7E7E"/>
    <w:rsid w:val="009F033C"/>
    <w:rsid w:val="009F17D3"/>
    <w:rsid w:val="009F1DA1"/>
    <w:rsid w:val="009F2838"/>
    <w:rsid w:val="009F2D96"/>
    <w:rsid w:val="009F2DED"/>
    <w:rsid w:val="009F6138"/>
    <w:rsid w:val="009F677C"/>
    <w:rsid w:val="009F76C0"/>
    <w:rsid w:val="00A00E22"/>
    <w:rsid w:val="00A03009"/>
    <w:rsid w:val="00A03175"/>
    <w:rsid w:val="00A0339C"/>
    <w:rsid w:val="00A04A02"/>
    <w:rsid w:val="00A0556D"/>
    <w:rsid w:val="00A059FB"/>
    <w:rsid w:val="00A06211"/>
    <w:rsid w:val="00A06EFA"/>
    <w:rsid w:val="00A070A4"/>
    <w:rsid w:val="00A07996"/>
    <w:rsid w:val="00A1072F"/>
    <w:rsid w:val="00A128AC"/>
    <w:rsid w:val="00A12A29"/>
    <w:rsid w:val="00A12DB8"/>
    <w:rsid w:val="00A1417F"/>
    <w:rsid w:val="00A14FBC"/>
    <w:rsid w:val="00A15870"/>
    <w:rsid w:val="00A166E6"/>
    <w:rsid w:val="00A16B36"/>
    <w:rsid w:val="00A21490"/>
    <w:rsid w:val="00A223BF"/>
    <w:rsid w:val="00A23BB5"/>
    <w:rsid w:val="00A23D7E"/>
    <w:rsid w:val="00A24DC3"/>
    <w:rsid w:val="00A2544B"/>
    <w:rsid w:val="00A27BAD"/>
    <w:rsid w:val="00A3024F"/>
    <w:rsid w:val="00A309AC"/>
    <w:rsid w:val="00A310A3"/>
    <w:rsid w:val="00A31BF0"/>
    <w:rsid w:val="00A32089"/>
    <w:rsid w:val="00A33CF1"/>
    <w:rsid w:val="00A34AAD"/>
    <w:rsid w:val="00A35D56"/>
    <w:rsid w:val="00A37CF4"/>
    <w:rsid w:val="00A417E3"/>
    <w:rsid w:val="00A41DAF"/>
    <w:rsid w:val="00A4208C"/>
    <w:rsid w:val="00A42404"/>
    <w:rsid w:val="00A42669"/>
    <w:rsid w:val="00A4337F"/>
    <w:rsid w:val="00A436C9"/>
    <w:rsid w:val="00A43AA9"/>
    <w:rsid w:val="00A43F68"/>
    <w:rsid w:val="00A45294"/>
    <w:rsid w:val="00A46989"/>
    <w:rsid w:val="00A47350"/>
    <w:rsid w:val="00A5186C"/>
    <w:rsid w:val="00A51A87"/>
    <w:rsid w:val="00A51C6B"/>
    <w:rsid w:val="00A51CAF"/>
    <w:rsid w:val="00A51F43"/>
    <w:rsid w:val="00A52480"/>
    <w:rsid w:val="00A52EDA"/>
    <w:rsid w:val="00A53A16"/>
    <w:rsid w:val="00A55EAB"/>
    <w:rsid w:val="00A56AB9"/>
    <w:rsid w:val="00A600EA"/>
    <w:rsid w:val="00A6138A"/>
    <w:rsid w:val="00A61416"/>
    <w:rsid w:val="00A61BF7"/>
    <w:rsid w:val="00A649FA"/>
    <w:rsid w:val="00A64BBB"/>
    <w:rsid w:val="00A64F64"/>
    <w:rsid w:val="00A64F7C"/>
    <w:rsid w:val="00A65998"/>
    <w:rsid w:val="00A67312"/>
    <w:rsid w:val="00A70152"/>
    <w:rsid w:val="00A71CD5"/>
    <w:rsid w:val="00A725C1"/>
    <w:rsid w:val="00A7264B"/>
    <w:rsid w:val="00A73508"/>
    <w:rsid w:val="00A75CEC"/>
    <w:rsid w:val="00A76B6D"/>
    <w:rsid w:val="00A77272"/>
    <w:rsid w:val="00A77C50"/>
    <w:rsid w:val="00A80E06"/>
    <w:rsid w:val="00A80F8C"/>
    <w:rsid w:val="00A81688"/>
    <w:rsid w:val="00A81F67"/>
    <w:rsid w:val="00A83B38"/>
    <w:rsid w:val="00A85495"/>
    <w:rsid w:val="00A859AF"/>
    <w:rsid w:val="00A86DE3"/>
    <w:rsid w:val="00A86FA3"/>
    <w:rsid w:val="00A9029A"/>
    <w:rsid w:val="00A90596"/>
    <w:rsid w:val="00A92B65"/>
    <w:rsid w:val="00A92D8C"/>
    <w:rsid w:val="00A92F1B"/>
    <w:rsid w:val="00A93A1E"/>
    <w:rsid w:val="00A94F55"/>
    <w:rsid w:val="00A95573"/>
    <w:rsid w:val="00A95DEE"/>
    <w:rsid w:val="00A9680F"/>
    <w:rsid w:val="00A96BD9"/>
    <w:rsid w:val="00A9724B"/>
    <w:rsid w:val="00A97419"/>
    <w:rsid w:val="00A97ED3"/>
    <w:rsid w:val="00AA0B2B"/>
    <w:rsid w:val="00AA1774"/>
    <w:rsid w:val="00AA1F60"/>
    <w:rsid w:val="00AA208C"/>
    <w:rsid w:val="00AA2462"/>
    <w:rsid w:val="00AA24A7"/>
    <w:rsid w:val="00AA25E7"/>
    <w:rsid w:val="00AA2EFF"/>
    <w:rsid w:val="00AA3F28"/>
    <w:rsid w:val="00AA4DF7"/>
    <w:rsid w:val="00AA51CC"/>
    <w:rsid w:val="00AA63B0"/>
    <w:rsid w:val="00AA661F"/>
    <w:rsid w:val="00AA6C33"/>
    <w:rsid w:val="00AA6F56"/>
    <w:rsid w:val="00AA7603"/>
    <w:rsid w:val="00AB00B2"/>
    <w:rsid w:val="00AB0928"/>
    <w:rsid w:val="00AB127D"/>
    <w:rsid w:val="00AB2458"/>
    <w:rsid w:val="00AB34E2"/>
    <w:rsid w:val="00AB3DAE"/>
    <w:rsid w:val="00AB42E0"/>
    <w:rsid w:val="00AB4BB3"/>
    <w:rsid w:val="00AB5748"/>
    <w:rsid w:val="00AB63A4"/>
    <w:rsid w:val="00AB6E6E"/>
    <w:rsid w:val="00AB7C3D"/>
    <w:rsid w:val="00AC0C60"/>
    <w:rsid w:val="00AC166E"/>
    <w:rsid w:val="00AC225F"/>
    <w:rsid w:val="00AC2470"/>
    <w:rsid w:val="00AC457D"/>
    <w:rsid w:val="00AC46D2"/>
    <w:rsid w:val="00AC51BF"/>
    <w:rsid w:val="00AC5278"/>
    <w:rsid w:val="00AC5D0E"/>
    <w:rsid w:val="00AC7D3E"/>
    <w:rsid w:val="00AD0931"/>
    <w:rsid w:val="00AD17BA"/>
    <w:rsid w:val="00AD2286"/>
    <w:rsid w:val="00AD5D81"/>
    <w:rsid w:val="00AD5F74"/>
    <w:rsid w:val="00AD7F40"/>
    <w:rsid w:val="00AE0B06"/>
    <w:rsid w:val="00AE3B1C"/>
    <w:rsid w:val="00AE406B"/>
    <w:rsid w:val="00AE4C2A"/>
    <w:rsid w:val="00AE5706"/>
    <w:rsid w:val="00AE5B44"/>
    <w:rsid w:val="00AE61C3"/>
    <w:rsid w:val="00AE6F73"/>
    <w:rsid w:val="00AE712B"/>
    <w:rsid w:val="00AE71B9"/>
    <w:rsid w:val="00AE73C2"/>
    <w:rsid w:val="00AE7F31"/>
    <w:rsid w:val="00AF0CF8"/>
    <w:rsid w:val="00AF26BD"/>
    <w:rsid w:val="00AF2738"/>
    <w:rsid w:val="00AF46A5"/>
    <w:rsid w:val="00AF5568"/>
    <w:rsid w:val="00AF57FB"/>
    <w:rsid w:val="00AF5C50"/>
    <w:rsid w:val="00B00F02"/>
    <w:rsid w:val="00B00F36"/>
    <w:rsid w:val="00B01D1D"/>
    <w:rsid w:val="00B01D70"/>
    <w:rsid w:val="00B02081"/>
    <w:rsid w:val="00B02970"/>
    <w:rsid w:val="00B02B78"/>
    <w:rsid w:val="00B06024"/>
    <w:rsid w:val="00B07CA4"/>
    <w:rsid w:val="00B137AA"/>
    <w:rsid w:val="00B13B25"/>
    <w:rsid w:val="00B13C1F"/>
    <w:rsid w:val="00B149C3"/>
    <w:rsid w:val="00B14FD9"/>
    <w:rsid w:val="00B157DF"/>
    <w:rsid w:val="00B15C7E"/>
    <w:rsid w:val="00B16DB9"/>
    <w:rsid w:val="00B17497"/>
    <w:rsid w:val="00B20F1A"/>
    <w:rsid w:val="00B21AF8"/>
    <w:rsid w:val="00B225A9"/>
    <w:rsid w:val="00B22FF5"/>
    <w:rsid w:val="00B231CC"/>
    <w:rsid w:val="00B237E6"/>
    <w:rsid w:val="00B2738E"/>
    <w:rsid w:val="00B274F5"/>
    <w:rsid w:val="00B3011A"/>
    <w:rsid w:val="00B30811"/>
    <w:rsid w:val="00B30D00"/>
    <w:rsid w:val="00B30F83"/>
    <w:rsid w:val="00B32203"/>
    <w:rsid w:val="00B324ED"/>
    <w:rsid w:val="00B32C31"/>
    <w:rsid w:val="00B333E3"/>
    <w:rsid w:val="00B33ABF"/>
    <w:rsid w:val="00B3513A"/>
    <w:rsid w:val="00B35885"/>
    <w:rsid w:val="00B36404"/>
    <w:rsid w:val="00B364D1"/>
    <w:rsid w:val="00B376E1"/>
    <w:rsid w:val="00B3792D"/>
    <w:rsid w:val="00B40E79"/>
    <w:rsid w:val="00B41490"/>
    <w:rsid w:val="00B41B30"/>
    <w:rsid w:val="00B41C3C"/>
    <w:rsid w:val="00B41E5A"/>
    <w:rsid w:val="00B43269"/>
    <w:rsid w:val="00B4347C"/>
    <w:rsid w:val="00B436E5"/>
    <w:rsid w:val="00B446DB"/>
    <w:rsid w:val="00B453C8"/>
    <w:rsid w:val="00B46191"/>
    <w:rsid w:val="00B47762"/>
    <w:rsid w:val="00B52D8F"/>
    <w:rsid w:val="00B56052"/>
    <w:rsid w:val="00B6009F"/>
    <w:rsid w:val="00B61D01"/>
    <w:rsid w:val="00B62DB3"/>
    <w:rsid w:val="00B6477D"/>
    <w:rsid w:val="00B658A7"/>
    <w:rsid w:val="00B65FF2"/>
    <w:rsid w:val="00B67660"/>
    <w:rsid w:val="00B679CE"/>
    <w:rsid w:val="00B700D8"/>
    <w:rsid w:val="00B703C3"/>
    <w:rsid w:val="00B70E4A"/>
    <w:rsid w:val="00B71203"/>
    <w:rsid w:val="00B72228"/>
    <w:rsid w:val="00B73AF0"/>
    <w:rsid w:val="00B73D0D"/>
    <w:rsid w:val="00B7424B"/>
    <w:rsid w:val="00B74606"/>
    <w:rsid w:val="00B754FE"/>
    <w:rsid w:val="00B77FAA"/>
    <w:rsid w:val="00B81292"/>
    <w:rsid w:val="00B826AB"/>
    <w:rsid w:val="00B83096"/>
    <w:rsid w:val="00B837CE"/>
    <w:rsid w:val="00B83F19"/>
    <w:rsid w:val="00B8450C"/>
    <w:rsid w:val="00B850AD"/>
    <w:rsid w:val="00B87CC8"/>
    <w:rsid w:val="00B87F1D"/>
    <w:rsid w:val="00B9049F"/>
    <w:rsid w:val="00B91B67"/>
    <w:rsid w:val="00B9218E"/>
    <w:rsid w:val="00B95476"/>
    <w:rsid w:val="00B961A8"/>
    <w:rsid w:val="00B97216"/>
    <w:rsid w:val="00B97CF3"/>
    <w:rsid w:val="00BA01CD"/>
    <w:rsid w:val="00BA0FC5"/>
    <w:rsid w:val="00BA1517"/>
    <w:rsid w:val="00BA1B2A"/>
    <w:rsid w:val="00BA1FFB"/>
    <w:rsid w:val="00BA25C8"/>
    <w:rsid w:val="00BA2C95"/>
    <w:rsid w:val="00BA36EF"/>
    <w:rsid w:val="00BA4AB3"/>
    <w:rsid w:val="00BA669E"/>
    <w:rsid w:val="00BB086F"/>
    <w:rsid w:val="00BB31F9"/>
    <w:rsid w:val="00BB32D0"/>
    <w:rsid w:val="00BB3A3D"/>
    <w:rsid w:val="00BB3B37"/>
    <w:rsid w:val="00BB47ED"/>
    <w:rsid w:val="00BB48BB"/>
    <w:rsid w:val="00BC0937"/>
    <w:rsid w:val="00BC1694"/>
    <w:rsid w:val="00BC1904"/>
    <w:rsid w:val="00BC2134"/>
    <w:rsid w:val="00BC2F15"/>
    <w:rsid w:val="00BC332F"/>
    <w:rsid w:val="00BC34E4"/>
    <w:rsid w:val="00BC3D82"/>
    <w:rsid w:val="00BC50DF"/>
    <w:rsid w:val="00BC59AD"/>
    <w:rsid w:val="00BC5AB2"/>
    <w:rsid w:val="00BC6003"/>
    <w:rsid w:val="00BC6300"/>
    <w:rsid w:val="00BC6B76"/>
    <w:rsid w:val="00BD108A"/>
    <w:rsid w:val="00BD4A07"/>
    <w:rsid w:val="00BD5408"/>
    <w:rsid w:val="00BD597E"/>
    <w:rsid w:val="00BE0A0C"/>
    <w:rsid w:val="00BE1531"/>
    <w:rsid w:val="00BE2C26"/>
    <w:rsid w:val="00BE3173"/>
    <w:rsid w:val="00BE4C3D"/>
    <w:rsid w:val="00BE597F"/>
    <w:rsid w:val="00BE6733"/>
    <w:rsid w:val="00BE774A"/>
    <w:rsid w:val="00BE7C89"/>
    <w:rsid w:val="00BF04F7"/>
    <w:rsid w:val="00BF0641"/>
    <w:rsid w:val="00BF27B8"/>
    <w:rsid w:val="00BF299B"/>
    <w:rsid w:val="00BF37A8"/>
    <w:rsid w:val="00BF3EE1"/>
    <w:rsid w:val="00BF4BBA"/>
    <w:rsid w:val="00BF54F2"/>
    <w:rsid w:val="00BF6947"/>
    <w:rsid w:val="00BF7F36"/>
    <w:rsid w:val="00C00214"/>
    <w:rsid w:val="00C00D52"/>
    <w:rsid w:val="00C01FBA"/>
    <w:rsid w:val="00C02B69"/>
    <w:rsid w:val="00C034E4"/>
    <w:rsid w:val="00C05534"/>
    <w:rsid w:val="00C05F18"/>
    <w:rsid w:val="00C06FD3"/>
    <w:rsid w:val="00C07027"/>
    <w:rsid w:val="00C07799"/>
    <w:rsid w:val="00C10A9C"/>
    <w:rsid w:val="00C1108C"/>
    <w:rsid w:val="00C11638"/>
    <w:rsid w:val="00C1217F"/>
    <w:rsid w:val="00C1427D"/>
    <w:rsid w:val="00C150C2"/>
    <w:rsid w:val="00C1656C"/>
    <w:rsid w:val="00C16856"/>
    <w:rsid w:val="00C1693A"/>
    <w:rsid w:val="00C20DB5"/>
    <w:rsid w:val="00C21494"/>
    <w:rsid w:val="00C22A16"/>
    <w:rsid w:val="00C23D0B"/>
    <w:rsid w:val="00C25490"/>
    <w:rsid w:val="00C25573"/>
    <w:rsid w:val="00C26B7F"/>
    <w:rsid w:val="00C27548"/>
    <w:rsid w:val="00C302AF"/>
    <w:rsid w:val="00C30CCD"/>
    <w:rsid w:val="00C3148D"/>
    <w:rsid w:val="00C31657"/>
    <w:rsid w:val="00C32BD7"/>
    <w:rsid w:val="00C32E05"/>
    <w:rsid w:val="00C32E31"/>
    <w:rsid w:val="00C32F4F"/>
    <w:rsid w:val="00C33A68"/>
    <w:rsid w:val="00C3426E"/>
    <w:rsid w:val="00C34C17"/>
    <w:rsid w:val="00C34FEF"/>
    <w:rsid w:val="00C362C2"/>
    <w:rsid w:val="00C37EAA"/>
    <w:rsid w:val="00C403B9"/>
    <w:rsid w:val="00C41EAA"/>
    <w:rsid w:val="00C4205D"/>
    <w:rsid w:val="00C4222C"/>
    <w:rsid w:val="00C42442"/>
    <w:rsid w:val="00C43A9E"/>
    <w:rsid w:val="00C47473"/>
    <w:rsid w:val="00C474B4"/>
    <w:rsid w:val="00C5095A"/>
    <w:rsid w:val="00C51986"/>
    <w:rsid w:val="00C52A15"/>
    <w:rsid w:val="00C5377F"/>
    <w:rsid w:val="00C53DFF"/>
    <w:rsid w:val="00C53FC5"/>
    <w:rsid w:val="00C55CC1"/>
    <w:rsid w:val="00C56103"/>
    <w:rsid w:val="00C57906"/>
    <w:rsid w:val="00C600D2"/>
    <w:rsid w:val="00C606D2"/>
    <w:rsid w:val="00C6074F"/>
    <w:rsid w:val="00C609E6"/>
    <w:rsid w:val="00C61AA0"/>
    <w:rsid w:val="00C61C1C"/>
    <w:rsid w:val="00C62B6B"/>
    <w:rsid w:val="00C62FC7"/>
    <w:rsid w:val="00C644FE"/>
    <w:rsid w:val="00C6540E"/>
    <w:rsid w:val="00C65A83"/>
    <w:rsid w:val="00C65EAC"/>
    <w:rsid w:val="00C66E4F"/>
    <w:rsid w:val="00C70302"/>
    <w:rsid w:val="00C720F8"/>
    <w:rsid w:val="00C74D2B"/>
    <w:rsid w:val="00C754C5"/>
    <w:rsid w:val="00C76162"/>
    <w:rsid w:val="00C762A1"/>
    <w:rsid w:val="00C762BD"/>
    <w:rsid w:val="00C763A5"/>
    <w:rsid w:val="00C771E0"/>
    <w:rsid w:val="00C771FD"/>
    <w:rsid w:val="00C772A3"/>
    <w:rsid w:val="00C773CB"/>
    <w:rsid w:val="00C80239"/>
    <w:rsid w:val="00C80AAD"/>
    <w:rsid w:val="00C80B18"/>
    <w:rsid w:val="00C817F5"/>
    <w:rsid w:val="00C824FB"/>
    <w:rsid w:val="00C8385F"/>
    <w:rsid w:val="00C8421A"/>
    <w:rsid w:val="00C84ED4"/>
    <w:rsid w:val="00C85B68"/>
    <w:rsid w:val="00C85F32"/>
    <w:rsid w:val="00C8619B"/>
    <w:rsid w:val="00C86EF7"/>
    <w:rsid w:val="00C8731D"/>
    <w:rsid w:val="00C903F7"/>
    <w:rsid w:val="00C905DE"/>
    <w:rsid w:val="00C91133"/>
    <w:rsid w:val="00C921B0"/>
    <w:rsid w:val="00C94EE5"/>
    <w:rsid w:val="00C95CCD"/>
    <w:rsid w:val="00C9653A"/>
    <w:rsid w:val="00C97541"/>
    <w:rsid w:val="00C97633"/>
    <w:rsid w:val="00C977DB"/>
    <w:rsid w:val="00C978F7"/>
    <w:rsid w:val="00C97A24"/>
    <w:rsid w:val="00C97D24"/>
    <w:rsid w:val="00CA063F"/>
    <w:rsid w:val="00CA2294"/>
    <w:rsid w:val="00CA3271"/>
    <w:rsid w:val="00CA3B16"/>
    <w:rsid w:val="00CA448E"/>
    <w:rsid w:val="00CA4719"/>
    <w:rsid w:val="00CA4917"/>
    <w:rsid w:val="00CA4930"/>
    <w:rsid w:val="00CA52DF"/>
    <w:rsid w:val="00CA5619"/>
    <w:rsid w:val="00CA5973"/>
    <w:rsid w:val="00CA5BAA"/>
    <w:rsid w:val="00CA5D52"/>
    <w:rsid w:val="00CA610E"/>
    <w:rsid w:val="00CA611A"/>
    <w:rsid w:val="00CA73C5"/>
    <w:rsid w:val="00CB002A"/>
    <w:rsid w:val="00CB0E2E"/>
    <w:rsid w:val="00CB154E"/>
    <w:rsid w:val="00CB32E2"/>
    <w:rsid w:val="00CB390B"/>
    <w:rsid w:val="00CB3ACF"/>
    <w:rsid w:val="00CB3D5B"/>
    <w:rsid w:val="00CB3EA9"/>
    <w:rsid w:val="00CB63A2"/>
    <w:rsid w:val="00CB6B0D"/>
    <w:rsid w:val="00CC0E40"/>
    <w:rsid w:val="00CC12BB"/>
    <w:rsid w:val="00CC253B"/>
    <w:rsid w:val="00CC2E06"/>
    <w:rsid w:val="00CC3CB0"/>
    <w:rsid w:val="00CC5122"/>
    <w:rsid w:val="00CC6072"/>
    <w:rsid w:val="00CC61A3"/>
    <w:rsid w:val="00CC73AB"/>
    <w:rsid w:val="00CD1C48"/>
    <w:rsid w:val="00CD4608"/>
    <w:rsid w:val="00CD5F35"/>
    <w:rsid w:val="00CD60DB"/>
    <w:rsid w:val="00CD6154"/>
    <w:rsid w:val="00CD6491"/>
    <w:rsid w:val="00CE006C"/>
    <w:rsid w:val="00CE024C"/>
    <w:rsid w:val="00CE03F6"/>
    <w:rsid w:val="00CE0F6B"/>
    <w:rsid w:val="00CE1437"/>
    <w:rsid w:val="00CE14AF"/>
    <w:rsid w:val="00CE687A"/>
    <w:rsid w:val="00CE736F"/>
    <w:rsid w:val="00CE738D"/>
    <w:rsid w:val="00CF1132"/>
    <w:rsid w:val="00CF12F6"/>
    <w:rsid w:val="00CF3052"/>
    <w:rsid w:val="00CF5174"/>
    <w:rsid w:val="00CF5545"/>
    <w:rsid w:val="00CF63A5"/>
    <w:rsid w:val="00CF6C5A"/>
    <w:rsid w:val="00CF7908"/>
    <w:rsid w:val="00CF7C84"/>
    <w:rsid w:val="00CF7ED3"/>
    <w:rsid w:val="00D01B66"/>
    <w:rsid w:val="00D024AE"/>
    <w:rsid w:val="00D03441"/>
    <w:rsid w:val="00D03850"/>
    <w:rsid w:val="00D0483D"/>
    <w:rsid w:val="00D04BE7"/>
    <w:rsid w:val="00D04FE7"/>
    <w:rsid w:val="00D051DE"/>
    <w:rsid w:val="00D05CFD"/>
    <w:rsid w:val="00D05DDF"/>
    <w:rsid w:val="00D0665D"/>
    <w:rsid w:val="00D06AAC"/>
    <w:rsid w:val="00D07C90"/>
    <w:rsid w:val="00D11318"/>
    <w:rsid w:val="00D116A4"/>
    <w:rsid w:val="00D122BA"/>
    <w:rsid w:val="00D13371"/>
    <w:rsid w:val="00D14181"/>
    <w:rsid w:val="00D14D71"/>
    <w:rsid w:val="00D14D84"/>
    <w:rsid w:val="00D1504B"/>
    <w:rsid w:val="00D1697E"/>
    <w:rsid w:val="00D1714E"/>
    <w:rsid w:val="00D17630"/>
    <w:rsid w:val="00D20DAA"/>
    <w:rsid w:val="00D21142"/>
    <w:rsid w:val="00D228BE"/>
    <w:rsid w:val="00D2328D"/>
    <w:rsid w:val="00D24430"/>
    <w:rsid w:val="00D25ADC"/>
    <w:rsid w:val="00D26BD5"/>
    <w:rsid w:val="00D27124"/>
    <w:rsid w:val="00D27A2F"/>
    <w:rsid w:val="00D3023A"/>
    <w:rsid w:val="00D30AC5"/>
    <w:rsid w:val="00D31329"/>
    <w:rsid w:val="00D315B3"/>
    <w:rsid w:val="00D33BC1"/>
    <w:rsid w:val="00D33E80"/>
    <w:rsid w:val="00D3445A"/>
    <w:rsid w:val="00D34E3B"/>
    <w:rsid w:val="00D351C3"/>
    <w:rsid w:val="00D35521"/>
    <w:rsid w:val="00D35890"/>
    <w:rsid w:val="00D363AD"/>
    <w:rsid w:val="00D36A89"/>
    <w:rsid w:val="00D36CE2"/>
    <w:rsid w:val="00D3760B"/>
    <w:rsid w:val="00D401A7"/>
    <w:rsid w:val="00D41823"/>
    <w:rsid w:val="00D4471C"/>
    <w:rsid w:val="00D44904"/>
    <w:rsid w:val="00D45385"/>
    <w:rsid w:val="00D456D2"/>
    <w:rsid w:val="00D459B2"/>
    <w:rsid w:val="00D5033B"/>
    <w:rsid w:val="00D5175E"/>
    <w:rsid w:val="00D5180C"/>
    <w:rsid w:val="00D51DD6"/>
    <w:rsid w:val="00D5268C"/>
    <w:rsid w:val="00D52D5A"/>
    <w:rsid w:val="00D547AC"/>
    <w:rsid w:val="00D55208"/>
    <w:rsid w:val="00D55D4F"/>
    <w:rsid w:val="00D5752B"/>
    <w:rsid w:val="00D57F45"/>
    <w:rsid w:val="00D601F1"/>
    <w:rsid w:val="00D612BD"/>
    <w:rsid w:val="00D6156B"/>
    <w:rsid w:val="00D61908"/>
    <w:rsid w:val="00D61A62"/>
    <w:rsid w:val="00D61F02"/>
    <w:rsid w:val="00D620F8"/>
    <w:rsid w:val="00D63D1E"/>
    <w:rsid w:val="00D64122"/>
    <w:rsid w:val="00D65556"/>
    <w:rsid w:val="00D66F06"/>
    <w:rsid w:val="00D67AA1"/>
    <w:rsid w:val="00D67BE3"/>
    <w:rsid w:val="00D7141F"/>
    <w:rsid w:val="00D717DA"/>
    <w:rsid w:val="00D72AD3"/>
    <w:rsid w:val="00D72FCB"/>
    <w:rsid w:val="00D7551A"/>
    <w:rsid w:val="00D77FC2"/>
    <w:rsid w:val="00D801E7"/>
    <w:rsid w:val="00D81642"/>
    <w:rsid w:val="00D823B8"/>
    <w:rsid w:val="00D82A55"/>
    <w:rsid w:val="00D83364"/>
    <w:rsid w:val="00D848BC"/>
    <w:rsid w:val="00D84E06"/>
    <w:rsid w:val="00D854A1"/>
    <w:rsid w:val="00D856AE"/>
    <w:rsid w:val="00D858B6"/>
    <w:rsid w:val="00D85CAB"/>
    <w:rsid w:val="00D87503"/>
    <w:rsid w:val="00D878D0"/>
    <w:rsid w:val="00D90A92"/>
    <w:rsid w:val="00D90F8F"/>
    <w:rsid w:val="00D91602"/>
    <w:rsid w:val="00D91BA0"/>
    <w:rsid w:val="00D92DC8"/>
    <w:rsid w:val="00D92FC4"/>
    <w:rsid w:val="00D9424D"/>
    <w:rsid w:val="00D949B2"/>
    <w:rsid w:val="00D96530"/>
    <w:rsid w:val="00D97058"/>
    <w:rsid w:val="00D97CB9"/>
    <w:rsid w:val="00DA0662"/>
    <w:rsid w:val="00DA0A6C"/>
    <w:rsid w:val="00DA0D93"/>
    <w:rsid w:val="00DA229B"/>
    <w:rsid w:val="00DA2BAF"/>
    <w:rsid w:val="00DA4B68"/>
    <w:rsid w:val="00DA4C14"/>
    <w:rsid w:val="00DA5A43"/>
    <w:rsid w:val="00DA614B"/>
    <w:rsid w:val="00DA6D6B"/>
    <w:rsid w:val="00DA7F70"/>
    <w:rsid w:val="00DB165B"/>
    <w:rsid w:val="00DB3B57"/>
    <w:rsid w:val="00DB406D"/>
    <w:rsid w:val="00DB46DB"/>
    <w:rsid w:val="00DB4724"/>
    <w:rsid w:val="00DB52EF"/>
    <w:rsid w:val="00DB5491"/>
    <w:rsid w:val="00DB679A"/>
    <w:rsid w:val="00DB7C29"/>
    <w:rsid w:val="00DC0DD5"/>
    <w:rsid w:val="00DC1051"/>
    <w:rsid w:val="00DC1D72"/>
    <w:rsid w:val="00DC56B6"/>
    <w:rsid w:val="00DC75F4"/>
    <w:rsid w:val="00DD3A7F"/>
    <w:rsid w:val="00DD48A0"/>
    <w:rsid w:val="00DD602A"/>
    <w:rsid w:val="00DD7A82"/>
    <w:rsid w:val="00DD7E99"/>
    <w:rsid w:val="00DE001A"/>
    <w:rsid w:val="00DE0ABE"/>
    <w:rsid w:val="00DE0BE0"/>
    <w:rsid w:val="00DE0E10"/>
    <w:rsid w:val="00DE1B39"/>
    <w:rsid w:val="00DE2E0B"/>
    <w:rsid w:val="00DE40D4"/>
    <w:rsid w:val="00DE45BB"/>
    <w:rsid w:val="00DE6B5F"/>
    <w:rsid w:val="00DE6C17"/>
    <w:rsid w:val="00DF15E1"/>
    <w:rsid w:val="00DF1A62"/>
    <w:rsid w:val="00DF24F6"/>
    <w:rsid w:val="00DF317D"/>
    <w:rsid w:val="00DF404C"/>
    <w:rsid w:val="00DF434B"/>
    <w:rsid w:val="00DF43EB"/>
    <w:rsid w:val="00DF47BF"/>
    <w:rsid w:val="00DF53B5"/>
    <w:rsid w:val="00E01113"/>
    <w:rsid w:val="00E0199B"/>
    <w:rsid w:val="00E01E92"/>
    <w:rsid w:val="00E03C20"/>
    <w:rsid w:val="00E04245"/>
    <w:rsid w:val="00E04A36"/>
    <w:rsid w:val="00E051F6"/>
    <w:rsid w:val="00E06673"/>
    <w:rsid w:val="00E122B2"/>
    <w:rsid w:val="00E12BD9"/>
    <w:rsid w:val="00E12F57"/>
    <w:rsid w:val="00E13265"/>
    <w:rsid w:val="00E1396A"/>
    <w:rsid w:val="00E14770"/>
    <w:rsid w:val="00E158F2"/>
    <w:rsid w:val="00E16AB9"/>
    <w:rsid w:val="00E16E3F"/>
    <w:rsid w:val="00E17F01"/>
    <w:rsid w:val="00E20159"/>
    <w:rsid w:val="00E21867"/>
    <w:rsid w:val="00E22677"/>
    <w:rsid w:val="00E22C2C"/>
    <w:rsid w:val="00E22E61"/>
    <w:rsid w:val="00E24AB3"/>
    <w:rsid w:val="00E24D88"/>
    <w:rsid w:val="00E253A5"/>
    <w:rsid w:val="00E3019A"/>
    <w:rsid w:val="00E312E6"/>
    <w:rsid w:val="00E318BA"/>
    <w:rsid w:val="00E338E8"/>
    <w:rsid w:val="00E3399F"/>
    <w:rsid w:val="00E34965"/>
    <w:rsid w:val="00E35E69"/>
    <w:rsid w:val="00E367B4"/>
    <w:rsid w:val="00E36C2A"/>
    <w:rsid w:val="00E406F1"/>
    <w:rsid w:val="00E41976"/>
    <w:rsid w:val="00E41A75"/>
    <w:rsid w:val="00E427F5"/>
    <w:rsid w:val="00E42B4B"/>
    <w:rsid w:val="00E42BAF"/>
    <w:rsid w:val="00E44076"/>
    <w:rsid w:val="00E4472E"/>
    <w:rsid w:val="00E44C3D"/>
    <w:rsid w:val="00E452B9"/>
    <w:rsid w:val="00E460A7"/>
    <w:rsid w:val="00E464AC"/>
    <w:rsid w:val="00E46820"/>
    <w:rsid w:val="00E47067"/>
    <w:rsid w:val="00E4750C"/>
    <w:rsid w:val="00E47AD0"/>
    <w:rsid w:val="00E50285"/>
    <w:rsid w:val="00E503A5"/>
    <w:rsid w:val="00E5074C"/>
    <w:rsid w:val="00E51218"/>
    <w:rsid w:val="00E5319E"/>
    <w:rsid w:val="00E531AD"/>
    <w:rsid w:val="00E54134"/>
    <w:rsid w:val="00E543EE"/>
    <w:rsid w:val="00E55826"/>
    <w:rsid w:val="00E55E9A"/>
    <w:rsid w:val="00E56AF6"/>
    <w:rsid w:val="00E56E9E"/>
    <w:rsid w:val="00E57C34"/>
    <w:rsid w:val="00E57DBD"/>
    <w:rsid w:val="00E57F24"/>
    <w:rsid w:val="00E60466"/>
    <w:rsid w:val="00E60A4C"/>
    <w:rsid w:val="00E62F2A"/>
    <w:rsid w:val="00E62FCB"/>
    <w:rsid w:val="00E637D2"/>
    <w:rsid w:val="00E63C66"/>
    <w:rsid w:val="00E6429B"/>
    <w:rsid w:val="00E64712"/>
    <w:rsid w:val="00E64954"/>
    <w:rsid w:val="00E65267"/>
    <w:rsid w:val="00E66704"/>
    <w:rsid w:val="00E66A9D"/>
    <w:rsid w:val="00E671D5"/>
    <w:rsid w:val="00E67A63"/>
    <w:rsid w:val="00E70B18"/>
    <w:rsid w:val="00E70C7E"/>
    <w:rsid w:val="00E7255F"/>
    <w:rsid w:val="00E7368D"/>
    <w:rsid w:val="00E73D51"/>
    <w:rsid w:val="00E73D5E"/>
    <w:rsid w:val="00E745A2"/>
    <w:rsid w:val="00E745DB"/>
    <w:rsid w:val="00E753D1"/>
    <w:rsid w:val="00E76012"/>
    <w:rsid w:val="00E76497"/>
    <w:rsid w:val="00E77C27"/>
    <w:rsid w:val="00E77C7D"/>
    <w:rsid w:val="00E809FB"/>
    <w:rsid w:val="00E80C55"/>
    <w:rsid w:val="00E80F44"/>
    <w:rsid w:val="00E81247"/>
    <w:rsid w:val="00E81396"/>
    <w:rsid w:val="00E82512"/>
    <w:rsid w:val="00E832D6"/>
    <w:rsid w:val="00E83FA9"/>
    <w:rsid w:val="00E840C7"/>
    <w:rsid w:val="00E84BDC"/>
    <w:rsid w:val="00E865F2"/>
    <w:rsid w:val="00E8705D"/>
    <w:rsid w:val="00E873FA"/>
    <w:rsid w:val="00E875E5"/>
    <w:rsid w:val="00E903C5"/>
    <w:rsid w:val="00E915CC"/>
    <w:rsid w:val="00E91A1B"/>
    <w:rsid w:val="00E91EA8"/>
    <w:rsid w:val="00E92E66"/>
    <w:rsid w:val="00E931C0"/>
    <w:rsid w:val="00E9432D"/>
    <w:rsid w:val="00E959D9"/>
    <w:rsid w:val="00E96275"/>
    <w:rsid w:val="00E971B0"/>
    <w:rsid w:val="00E9764C"/>
    <w:rsid w:val="00EA0CC3"/>
    <w:rsid w:val="00EA22D6"/>
    <w:rsid w:val="00EA2559"/>
    <w:rsid w:val="00EA2766"/>
    <w:rsid w:val="00EA297C"/>
    <w:rsid w:val="00EA3E55"/>
    <w:rsid w:val="00EA44C7"/>
    <w:rsid w:val="00EA5C26"/>
    <w:rsid w:val="00EA7457"/>
    <w:rsid w:val="00EA75AF"/>
    <w:rsid w:val="00EB1505"/>
    <w:rsid w:val="00EB2666"/>
    <w:rsid w:val="00EB3807"/>
    <w:rsid w:val="00EB43CB"/>
    <w:rsid w:val="00EB6897"/>
    <w:rsid w:val="00EB6EA4"/>
    <w:rsid w:val="00EB76EB"/>
    <w:rsid w:val="00EC0258"/>
    <w:rsid w:val="00EC0350"/>
    <w:rsid w:val="00EC145E"/>
    <w:rsid w:val="00EC3AC4"/>
    <w:rsid w:val="00EC51AE"/>
    <w:rsid w:val="00EC617A"/>
    <w:rsid w:val="00ED022C"/>
    <w:rsid w:val="00ED0CC0"/>
    <w:rsid w:val="00ED0F59"/>
    <w:rsid w:val="00ED17BB"/>
    <w:rsid w:val="00ED1E97"/>
    <w:rsid w:val="00ED28C7"/>
    <w:rsid w:val="00ED2C41"/>
    <w:rsid w:val="00ED474B"/>
    <w:rsid w:val="00ED4C46"/>
    <w:rsid w:val="00ED4DAC"/>
    <w:rsid w:val="00ED5719"/>
    <w:rsid w:val="00EE00A3"/>
    <w:rsid w:val="00EE12A1"/>
    <w:rsid w:val="00EE17CE"/>
    <w:rsid w:val="00EE1CE3"/>
    <w:rsid w:val="00EE2776"/>
    <w:rsid w:val="00EE35E2"/>
    <w:rsid w:val="00EE3A6A"/>
    <w:rsid w:val="00EE48F3"/>
    <w:rsid w:val="00EE496C"/>
    <w:rsid w:val="00EE4D21"/>
    <w:rsid w:val="00EE512C"/>
    <w:rsid w:val="00EE51DD"/>
    <w:rsid w:val="00EE55FE"/>
    <w:rsid w:val="00EE7B00"/>
    <w:rsid w:val="00EF0286"/>
    <w:rsid w:val="00EF061B"/>
    <w:rsid w:val="00EF069A"/>
    <w:rsid w:val="00EF2469"/>
    <w:rsid w:val="00EF3349"/>
    <w:rsid w:val="00EF4D46"/>
    <w:rsid w:val="00EF58C2"/>
    <w:rsid w:val="00EF6FFF"/>
    <w:rsid w:val="00F00BED"/>
    <w:rsid w:val="00F00E9F"/>
    <w:rsid w:val="00F021DD"/>
    <w:rsid w:val="00F022BA"/>
    <w:rsid w:val="00F029BA"/>
    <w:rsid w:val="00F02C65"/>
    <w:rsid w:val="00F03805"/>
    <w:rsid w:val="00F0389F"/>
    <w:rsid w:val="00F039C4"/>
    <w:rsid w:val="00F03A97"/>
    <w:rsid w:val="00F04990"/>
    <w:rsid w:val="00F04999"/>
    <w:rsid w:val="00F04BCF"/>
    <w:rsid w:val="00F04BF0"/>
    <w:rsid w:val="00F0512E"/>
    <w:rsid w:val="00F06218"/>
    <w:rsid w:val="00F06370"/>
    <w:rsid w:val="00F067A4"/>
    <w:rsid w:val="00F06C6C"/>
    <w:rsid w:val="00F07C6E"/>
    <w:rsid w:val="00F13279"/>
    <w:rsid w:val="00F132B7"/>
    <w:rsid w:val="00F138ED"/>
    <w:rsid w:val="00F13A49"/>
    <w:rsid w:val="00F14D5F"/>
    <w:rsid w:val="00F14F5A"/>
    <w:rsid w:val="00F15724"/>
    <w:rsid w:val="00F1587E"/>
    <w:rsid w:val="00F15A9A"/>
    <w:rsid w:val="00F15D86"/>
    <w:rsid w:val="00F16B90"/>
    <w:rsid w:val="00F1723B"/>
    <w:rsid w:val="00F17836"/>
    <w:rsid w:val="00F17CDF"/>
    <w:rsid w:val="00F22560"/>
    <w:rsid w:val="00F22D9A"/>
    <w:rsid w:val="00F22FEF"/>
    <w:rsid w:val="00F2317F"/>
    <w:rsid w:val="00F2349C"/>
    <w:rsid w:val="00F238DF"/>
    <w:rsid w:val="00F241E3"/>
    <w:rsid w:val="00F24E69"/>
    <w:rsid w:val="00F25AD9"/>
    <w:rsid w:val="00F26096"/>
    <w:rsid w:val="00F265C0"/>
    <w:rsid w:val="00F271EA"/>
    <w:rsid w:val="00F27219"/>
    <w:rsid w:val="00F2731D"/>
    <w:rsid w:val="00F308C9"/>
    <w:rsid w:val="00F311DE"/>
    <w:rsid w:val="00F32562"/>
    <w:rsid w:val="00F344D1"/>
    <w:rsid w:val="00F36748"/>
    <w:rsid w:val="00F36853"/>
    <w:rsid w:val="00F36C6B"/>
    <w:rsid w:val="00F36DDA"/>
    <w:rsid w:val="00F37075"/>
    <w:rsid w:val="00F41E21"/>
    <w:rsid w:val="00F42E31"/>
    <w:rsid w:val="00F43BE9"/>
    <w:rsid w:val="00F45171"/>
    <w:rsid w:val="00F45DFF"/>
    <w:rsid w:val="00F472D5"/>
    <w:rsid w:val="00F507CB"/>
    <w:rsid w:val="00F52CE4"/>
    <w:rsid w:val="00F530C8"/>
    <w:rsid w:val="00F539D4"/>
    <w:rsid w:val="00F541FB"/>
    <w:rsid w:val="00F54B3E"/>
    <w:rsid w:val="00F54FCD"/>
    <w:rsid w:val="00F56BB6"/>
    <w:rsid w:val="00F56E08"/>
    <w:rsid w:val="00F574CF"/>
    <w:rsid w:val="00F57E03"/>
    <w:rsid w:val="00F629B1"/>
    <w:rsid w:val="00F62CE9"/>
    <w:rsid w:val="00F632D5"/>
    <w:rsid w:val="00F6362B"/>
    <w:rsid w:val="00F6391C"/>
    <w:rsid w:val="00F64A5D"/>
    <w:rsid w:val="00F64F6B"/>
    <w:rsid w:val="00F65FAC"/>
    <w:rsid w:val="00F66475"/>
    <w:rsid w:val="00F716E2"/>
    <w:rsid w:val="00F74A14"/>
    <w:rsid w:val="00F75E50"/>
    <w:rsid w:val="00F76183"/>
    <w:rsid w:val="00F76EA2"/>
    <w:rsid w:val="00F77B3F"/>
    <w:rsid w:val="00F80E47"/>
    <w:rsid w:val="00F818A7"/>
    <w:rsid w:val="00F832BB"/>
    <w:rsid w:val="00F832FD"/>
    <w:rsid w:val="00F84CF3"/>
    <w:rsid w:val="00F8512B"/>
    <w:rsid w:val="00F87624"/>
    <w:rsid w:val="00F87D43"/>
    <w:rsid w:val="00F87E91"/>
    <w:rsid w:val="00F87F74"/>
    <w:rsid w:val="00F923F2"/>
    <w:rsid w:val="00F9388B"/>
    <w:rsid w:val="00F9603A"/>
    <w:rsid w:val="00F969B7"/>
    <w:rsid w:val="00F9738A"/>
    <w:rsid w:val="00FA0B19"/>
    <w:rsid w:val="00FA0F80"/>
    <w:rsid w:val="00FA1393"/>
    <w:rsid w:val="00FA1424"/>
    <w:rsid w:val="00FA41F2"/>
    <w:rsid w:val="00FA5717"/>
    <w:rsid w:val="00FA5840"/>
    <w:rsid w:val="00FA5959"/>
    <w:rsid w:val="00FA6C6B"/>
    <w:rsid w:val="00FA6DD8"/>
    <w:rsid w:val="00FA777E"/>
    <w:rsid w:val="00FB02C1"/>
    <w:rsid w:val="00FB064A"/>
    <w:rsid w:val="00FB0A12"/>
    <w:rsid w:val="00FB1C38"/>
    <w:rsid w:val="00FB1FB5"/>
    <w:rsid w:val="00FB1FCE"/>
    <w:rsid w:val="00FB3645"/>
    <w:rsid w:val="00FB640E"/>
    <w:rsid w:val="00FB658F"/>
    <w:rsid w:val="00FB6693"/>
    <w:rsid w:val="00FB76F0"/>
    <w:rsid w:val="00FB7F33"/>
    <w:rsid w:val="00FC2D9B"/>
    <w:rsid w:val="00FC3A3F"/>
    <w:rsid w:val="00FC3B2F"/>
    <w:rsid w:val="00FC55C4"/>
    <w:rsid w:val="00FC683E"/>
    <w:rsid w:val="00FC709B"/>
    <w:rsid w:val="00FC73F5"/>
    <w:rsid w:val="00FD088E"/>
    <w:rsid w:val="00FD12F9"/>
    <w:rsid w:val="00FD16B8"/>
    <w:rsid w:val="00FD22B0"/>
    <w:rsid w:val="00FD2351"/>
    <w:rsid w:val="00FD2655"/>
    <w:rsid w:val="00FD306E"/>
    <w:rsid w:val="00FD3F85"/>
    <w:rsid w:val="00FD5461"/>
    <w:rsid w:val="00FD6E0F"/>
    <w:rsid w:val="00FD743E"/>
    <w:rsid w:val="00FE063A"/>
    <w:rsid w:val="00FE0B75"/>
    <w:rsid w:val="00FE1714"/>
    <w:rsid w:val="00FE1B2A"/>
    <w:rsid w:val="00FE5DAD"/>
    <w:rsid w:val="00FE5DD9"/>
    <w:rsid w:val="00FF04D3"/>
    <w:rsid w:val="00FF1D75"/>
    <w:rsid w:val="00FF2CFA"/>
    <w:rsid w:val="00FF303D"/>
    <w:rsid w:val="00FF393E"/>
    <w:rsid w:val="00FF3AFC"/>
    <w:rsid w:val="00FF41E2"/>
    <w:rsid w:val="00FF48BC"/>
    <w:rsid w:val="00FF62D8"/>
    <w:rsid w:val="00FF73AC"/>
    <w:rsid w:val="259223B6"/>
    <w:rsid w:val="3B232FA9"/>
    <w:rsid w:val="47266765"/>
    <w:rsid w:val="6E286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267">
    <w:lsdException w:name="Normal" w:uiPriority="0" w:qFormat="1"/>
    <w:lsdException w:name="heading 1" w:uiPriority="0" w:qFormat="1"/>
    <w:lsdException w:name="heading 2" w:uiPriority="9"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lsdException w:name="toc 2" w:uiPriority="0"/>
    <w:lsdException w:name="toc 3" w:uiPriority="0" w:qFormat="1"/>
    <w:lsdException w:name="toc 4" w:uiPriority="0"/>
    <w:lsdException w:name="toc 5" w:uiPriority="0"/>
    <w:lsdException w:name="toc 6" w:uiPriority="0"/>
    <w:lsdException w:name="toc 7" w:uiPriority="0"/>
    <w:lsdException w:name="toc 8" w:uiPriority="0"/>
    <w:lsdException w:name="toc 9" w:uiPriority="0"/>
    <w:lsdException w:name="Normal Indent" w:uiPriority="0" w:qFormat="1"/>
    <w:lsdException w:name="footnote text" w:uiPriority="0" w:qFormat="1"/>
    <w:lsdException w:name="annotation text" w:qFormat="1"/>
    <w:lsdException w:name="header" w:qFormat="1"/>
    <w:lsdException w:name="index heading" w:semiHidden="1" w:unhideWhenUsed="1"/>
    <w:lsdException w:name="caption" w:uiPriority="0" w:unhideWhenUsed="1" w:qFormat="1"/>
    <w:lsdException w:name="table of figures" w:semiHidden="1" w:unhideWhenUsed="1"/>
    <w:lsdException w:name="envelope address" w:semiHidden="1" w:unhideWhenUsed="1"/>
    <w:lsdException w:name="envelope return" w:semiHidden="1" w:unhideWhenUsed="1"/>
    <w:lsdException w:name="footnote reference" w:uiPriority="0"/>
    <w:lsdException w:name="line number" w:semiHidden="1" w:unhideWhenUsed="1"/>
    <w:lsdException w:name="page number" w:uiPriority="0" w:qFormat="1"/>
    <w:lsdException w:name="endnote reference" w:uiPriority="0" w:qFormat="1"/>
    <w:lsdException w:name="endnote text" w:uiPriority="0"/>
    <w:lsdException w:name="table of authorities" w:semiHidden="1" w:unhideWhenUsed="1"/>
    <w:lsdException w:name="macro" w:semiHidden="1" w:unhideWhenUsed="1"/>
    <w:lsdException w:name="toa heading" w:semiHidden="1" w:unhideWhenUsed="1"/>
    <w:lsdException w:name="List" w:semiHidden="1" w:unhideWhenUsed="1"/>
    <w:lsdException w:name="List Bullet" w:uiPriority="0"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qFormat="1"/>
    <w:lsdException w:name="Body Text First Indent" w:uiPriority="0"/>
    <w:lsdException w:name="Body Text First Indent 2" w:semiHidden="1" w:unhideWhenUsed="1"/>
    <w:lsdException w:name="Note Heading" w:semiHidden="1" w:unhideWhenUsed="1"/>
    <w:lsdException w:name="Body Text 2" w:uiPriority="0" w:qFormat="1"/>
    <w:lsdException w:name="Body Text 3" w:semiHidden="1" w:unhideWhenUsed="1"/>
    <w:lsdException w:name="Body Text Indent 2" w:uiPriority="0"/>
    <w:lsdException w:name="Body Text Indent 3" w:uiPriority="0" w:qFormat="1"/>
    <w:lsdException w:name="Block Text" w:semiHidden="1" w:unhideWhenUsed="1"/>
    <w:lsdException w:name="Hyperlink" w:qFormat="1"/>
    <w:lsdException w:name="FollowedHyperlink" w:uiPriority="0"/>
    <w:lsdException w:name="Strong" w:uiPriority="22" w:qFormat="1"/>
    <w:lsdException w:name="Emphasis" w:uiPriority="20" w:qFormat="1"/>
    <w:lsdException w:name="Document Map" w:uiPriority="0"/>
    <w:lsdException w:name="Plain Text" w:uiPriority="0" w:qFormat="1"/>
    <w:lsdException w:name="E-mail Signature" w:semiHidden="1" w:unhideWhenUsed="1"/>
    <w:lsdException w:name="HTML Top of Form" w:semiHidden="1" w:unhideWhenUsed="1"/>
    <w:lsdException w:name="HTML Bottom of Form"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uiPriority="0"/>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uiPriority="0" w:qFormat="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lsdException w:name="Table Grid" w:uiPriority="0" w:qFormat="1"/>
    <w:lsdException w:name="Table Theme" w:uiPriority="0"/>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0">
    <w:name w:val="Normal"/>
    <w:qFormat/>
    <w:pPr>
      <w:widowControl w:val="0"/>
      <w:jc w:val="both"/>
    </w:pPr>
    <w:rPr>
      <w:rFonts w:ascii="Times New Roman" w:hAnsi="Times New Roman"/>
      <w:kern w:val="2"/>
      <w:sz w:val="21"/>
      <w:szCs w:val="24"/>
    </w:rPr>
  </w:style>
  <w:style w:type="paragraph" w:styleId="11">
    <w:name w:val="heading 1"/>
    <w:basedOn w:val="a0"/>
    <w:next w:val="a0"/>
    <w:link w:val="1Char"/>
    <w:qFormat/>
    <w:pPr>
      <w:keepNext/>
      <w:keepLines/>
      <w:autoSpaceDE w:val="0"/>
      <w:autoSpaceDN w:val="0"/>
      <w:adjustRightInd w:val="0"/>
      <w:spacing w:before="360" w:after="360"/>
      <w:jc w:val="center"/>
      <w:textAlignment w:val="baseline"/>
      <w:outlineLvl w:val="0"/>
    </w:pPr>
    <w:rPr>
      <w:rFonts w:ascii="宋体" w:eastAsia="黑体"/>
      <w:kern w:val="0"/>
      <w:sz w:val="24"/>
      <w:szCs w:val="20"/>
      <w:lang w:val="zh-CN"/>
    </w:rPr>
  </w:style>
  <w:style w:type="paragraph" w:styleId="20">
    <w:name w:val="heading 2"/>
    <w:basedOn w:val="a0"/>
    <w:next w:val="a0"/>
    <w:link w:val="2Char"/>
    <w:uiPriority w:val="9"/>
    <w:qFormat/>
    <w:pPr>
      <w:keepNext/>
      <w:keepLines/>
      <w:autoSpaceDE w:val="0"/>
      <w:autoSpaceDN w:val="0"/>
      <w:adjustRightInd w:val="0"/>
      <w:spacing w:before="240" w:after="240" w:line="360" w:lineRule="auto"/>
      <w:jc w:val="left"/>
      <w:textAlignment w:val="baseline"/>
      <w:outlineLvl w:val="1"/>
    </w:pPr>
    <w:rPr>
      <w:rFonts w:ascii="Arial" w:eastAsia="黑体" w:hAnsi="Arial"/>
      <w:b/>
      <w:kern w:val="0"/>
      <w:sz w:val="32"/>
      <w:szCs w:val="20"/>
      <w:lang w:val="zh-CN"/>
    </w:rPr>
  </w:style>
  <w:style w:type="paragraph" w:styleId="3">
    <w:name w:val="heading 3"/>
    <w:basedOn w:val="a0"/>
    <w:next w:val="a0"/>
    <w:link w:val="3Char"/>
    <w:qFormat/>
    <w:pPr>
      <w:keepNext/>
      <w:keepLines/>
      <w:spacing w:before="260" w:after="260" w:line="416" w:lineRule="auto"/>
      <w:outlineLvl w:val="2"/>
    </w:pPr>
    <w:rPr>
      <w:b/>
      <w:bCs/>
      <w:kern w:val="0"/>
      <w:sz w:val="20"/>
      <w:szCs w:val="32"/>
      <w:lang w:val="zh-CN"/>
    </w:rPr>
  </w:style>
  <w:style w:type="paragraph" w:styleId="4">
    <w:name w:val="heading 4"/>
    <w:basedOn w:val="a0"/>
    <w:next w:val="a0"/>
    <w:link w:val="4Char"/>
    <w:qFormat/>
    <w:pPr>
      <w:keepNext/>
      <w:keepLines/>
      <w:autoSpaceDE w:val="0"/>
      <w:autoSpaceDN w:val="0"/>
      <w:adjustRightInd w:val="0"/>
      <w:spacing w:before="280" w:after="290" w:line="376" w:lineRule="auto"/>
      <w:textAlignment w:val="baseline"/>
      <w:outlineLvl w:val="3"/>
    </w:pPr>
    <w:rPr>
      <w:rFonts w:ascii="Arial" w:eastAsia="黑体" w:hAnsi="Arial"/>
      <w:b/>
      <w:kern w:val="0"/>
      <w:sz w:val="28"/>
      <w:szCs w:val="20"/>
      <w:lang w:val="zh-CN"/>
    </w:rPr>
  </w:style>
  <w:style w:type="paragraph" w:styleId="5">
    <w:name w:val="heading 5"/>
    <w:basedOn w:val="a0"/>
    <w:next w:val="a0"/>
    <w:link w:val="5Char"/>
    <w:qFormat/>
    <w:pPr>
      <w:keepNext/>
      <w:keepLines/>
      <w:autoSpaceDE w:val="0"/>
      <w:autoSpaceDN w:val="0"/>
      <w:adjustRightInd w:val="0"/>
      <w:spacing w:before="280" w:after="290" w:line="376" w:lineRule="auto"/>
      <w:textAlignment w:val="baseline"/>
      <w:outlineLvl w:val="4"/>
    </w:pPr>
    <w:rPr>
      <w:rFonts w:ascii="宋体"/>
      <w:b/>
      <w:kern w:val="0"/>
      <w:sz w:val="28"/>
      <w:szCs w:val="20"/>
      <w:lang w:val="zh-CN"/>
    </w:rPr>
  </w:style>
  <w:style w:type="paragraph" w:styleId="6">
    <w:name w:val="heading 6"/>
    <w:basedOn w:val="a0"/>
    <w:next w:val="a0"/>
    <w:link w:val="6Char"/>
    <w:qFormat/>
    <w:pPr>
      <w:keepNext/>
      <w:keepLines/>
      <w:autoSpaceDE w:val="0"/>
      <w:autoSpaceDN w:val="0"/>
      <w:adjustRightInd w:val="0"/>
      <w:spacing w:before="240" w:after="64" w:line="320" w:lineRule="auto"/>
      <w:textAlignment w:val="baseline"/>
      <w:outlineLvl w:val="5"/>
    </w:pPr>
    <w:rPr>
      <w:rFonts w:ascii="Arial" w:eastAsia="黑体" w:hAnsi="Arial"/>
      <w:b/>
      <w:kern w:val="0"/>
      <w:sz w:val="24"/>
      <w:szCs w:val="20"/>
      <w:lang w:val="zh-CN"/>
    </w:rPr>
  </w:style>
  <w:style w:type="paragraph" w:styleId="7">
    <w:name w:val="heading 7"/>
    <w:basedOn w:val="a0"/>
    <w:next w:val="a0"/>
    <w:link w:val="7Char"/>
    <w:qFormat/>
    <w:pPr>
      <w:keepNext/>
      <w:keepLines/>
      <w:autoSpaceDE w:val="0"/>
      <w:autoSpaceDN w:val="0"/>
      <w:adjustRightInd w:val="0"/>
      <w:spacing w:before="240" w:after="64" w:line="320" w:lineRule="auto"/>
      <w:textAlignment w:val="baseline"/>
      <w:outlineLvl w:val="6"/>
    </w:pPr>
    <w:rPr>
      <w:rFonts w:ascii="宋体"/>
      <w:b/>
      <w:kern w:val="0"/>
      <w:sz w:val="24"/>
      <w:szCs w:val="20"/>
      <w:lang w:val="zh-CN"/>
    </w:rPr>
  </w:style>
  <w:style w:type="paragraph" w:styleId="8">
    <w:name w:val="heading 8"/>
    <w:basedOn w:val="a0"/>
    <w:next w:val="a0"/>
    <w:link w:val="8Char"/>
    <w:qFormat/>
    <w:pPr>
      <w:keepNext/>
      <w:keepLines/>
      <w:autoSpaceDE w:val="0"/>
      <w:autoSpaceDN w:val="0"/>
      <w:adjustRightInd w:val="0"/>
      <w:spacing w:before="240" w:after="64" w:line="320" w:lineRule="auto"/>
      <w:textAlignment w:val="baseline"/>
      <w:outlineLvl w:val="7"/>
    </w:pPr>
    <w:rPr>
      <w:rFonts w:ascii="Arial" w:eastAsia="黑体" w:hAnsi="Arial"/>
      <w:kern w:val="0"/>
      <w:sz w:val="24"/>
      <w:szCs w:val="20"/>
      <w:lang w:val="zh-CN"/>
    </w:rPr>
  </w:style>
  <w:style w:type="paragraph" w:styleId="9">
    <w:name w:val="heading 9"/>
    <w:basedOn w:val="a0"/>
    <w:next w:val="a0"/>
    <w:link w:val="9Char"/>
    <w:qFormat/>
    <w:pPr>
      <w:keepNext/>
      <w:keepLines/>
      <w:autoSpaceDE w:val="0"/>
      <w:autoSpaceDN w:val="0"/>
      <w:adjustRightInd w:val="0"/>
      <w:spacing w:before="240" w:after="64" w:line="320" w:lineRule="auto"/>
      <w:textAlignment w:val="baseline"/>
      <w:outlineLvl w:val="8"/>
    </w:pPr>
    <w:rPr>
      <w:rFonts w:ascii="Arial" w:eastAsia="黑体" w:hAnsi="Arial"/>
      <w:kern w:val="0"/>
      <w:sz w:val="20"/>
      <w:szCs w:val="20"/>
      <w:lang w:val="zh-CN"/>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annotation subject"/>
    <w:basedOn w:val="a5"/>
    <w:next w:val="a5"/>
    <w:link w:val="Char"/>
    <w:rPr>
      <w:b/>
      <w:bCs/>
    </w:rPr>
  </w:style>
  <w:style w:type="paragraph" w:styleId="a5">
    <w:name w:val="annotation text"/>
    <w:basedOn w:val="a0"/>
    <w:link w:val="Char0"/>
    <w:uiPriority w:val="99"/>
    <w:qFormat/>
    <w:pPr>
      <w:jc w:val="left"/>
    </w:pPr>
    <w:rPr>
      <w:kern w:val="0"/>
      <w:sz w:val="20"/>
      <w:lang w:val="zh-CN"/>
    </w:rPr>
  </w:style>
  <w:style w:type="paragraph" w:styleId="70">
    <w:name w:val="toc 7"/>
    <w:basedOn w:val="a0"/>
    <w:next w:val="a0"/>
    <w:pPr>
      <w:spacing w:after="120" w:line="360" w:lineRule="auto"/>
      <w:ind w:left="2520" w:firstLine="480"/>
    </w:pPr>
    <w:rPr>
      <w:rFonts w:ascii="宋体" w:hAnsi="宋体" w:cs="Arial"/>
      <w:bCs/>
      <w:color w:val="000000"/>
      <w:kern w:val="0"/>
      <w:szCs w:val="21"/>
      <w:lang w:val="zh-CN"/>
    </w:rPr>
  </w:style>
  <w:style w:type="paragraph" w:styleId="a6">
    <w:name w:val="Body Text First Indent"/>
    <w:basedOn w:val="a7"/>
    <w:link w:val="Char1"/>
    <w:pPr>
      <w:spacing w:after="120"/>
      <w:ind w:firstLineChars="100" w:firstLine="420"/>
    </w:pPr>
    <w:rPr>
      <w:rFonts w:ascii="Times New Roman" w:hAnsi="Times New Roman"/>
      <w:szCs w:val="24"/>
    </w:rPr>
  </w:style>
  <w:style w:type="paragraph" w:styleId="a7">
    <w:name w:val="Body Text"/>
    <w:basedOn w:val="a0"/>
    <w:link w:val="Char2"/>
    <w:qFormat/>
    <w:rPr>
      <w:rFonts w:ascii="宋体" w:hAnsi="宋体"/>
      <w:kern w:val="0"/>
      <w:sz w:val="24"/>
      <w:szCs w:val="21"/>
      <w:lang w:val="zh-CN"/>
    </w:rPr>
  </w:style>
  <w:style w:type="paragraph" w:styleId="a8">
    <w:name w:val="Normal Indent"/>
    <w:basedOn w:val="a0"/>
    <w:qFormat/>
    <w:pPr>
      <w:ind w:firstLine="420"/>
    </w:pPr>
    <w:rPr>
      <w:szCs w:val="20"/>
    </w:rPr>
  </w:style>
  <w:style w:type="paragraph" w:styleId="a9">
    <w:name w:val="caption"/>
    <w:basedOn w:val="a0"/>
    <w:next w:val="a0"/>
    <w:unhideWhenUsed/>
    <w:qFormat/>
    <w:pPr>
      <w:spacing w:line="360" w:lineRule="auto"/>
      <w:ind w:firstLineChars="200" w:firstLine="200"/>
    </w:pPr>
    <w:rPr>
      <w:rFonts w:ascii="Cambria" w:eastAsia="黑体" w:hAnsi="Cambria"/>
      <w:sz w:val="20"/>
      <w:szCs w:val="20"/>
    </w:rPr>
  </w:style>
  <w:style w:type="paragraph" w:styleId="aa">
    <w:name w:val="List Bullet"/>
    <w:basedOn w:val="a0"/>
    <w:qFormat/>
    <w:pPr>
      <w:tabs>
        <w:tab w:val="left" w:pos="360"/>
      </w:tabs>
      <w:autoSpaceDE w:val="0"/>
      <w:autoSpaceDN w:val="0"/>
      <w:adjustRightInd w:val="0"/>
      <w:spacing w:after="120"/>
      <w:ind w:left="360" w:hangingChars="200" w:hanging="360"/>
      <w:textAlignment w:val="baseline"/>
    </w:pPr>
    <w:rPr>
      <w:rFonts w:ascii="宋体"/>
      <w:kern w:val="0"/>
      <w:sz w:val="28"/>
      <w:szCs w:val="20"/>
    </w:rPr>
  </w:style>
  <w:style w:type="paragraph" w:styleId="ab">
    <w:name w:val="Document Map"/>
    <w:basedOn w:val="a0"/>
    <w:link w:val="Char3"/>
    <w:pPr>
      <w:shd w:val="clear" w:color="auto" w:fill="000080"/>
      <w:spacing w:after="120" w:line="360" w:lineRule="auto"/>
      <w:ind w:firstLine="480"/>
    </w:pPr>
    <w:rPr>
      <w:rFonts w:ascii="宋体" w:hAnsi="宋体"/>
      <w:bCs/>
      <w:color w:val="000000"/>
      <w:kern w:val="0"/>
      <w:sz w:val="20"/>
      <w:szCs w:val="21"/>
      <w:lang w:val="zh-CN"/>
    </w:rPr>
  </w:style>
  <w:style w:type="paragraph" w:styleId="ac">
    <w:name w:val="Body Text Indent"/>
    <w:basedOn w:val="a0"/>
    <w:link w:val="Char4"/>
    <w:qFormat/>
    <w:pPr>
      <w:ind w:firstLine="540"/>
    </w:pPr>
    <w:rPr>
      <w:kern w:val="0"/>
      <w:sz w:val="24"/>
      <w:szCs w:val="20"/>
      <w:lang w:val="zh-CN"/>
    </w:rPr>
  </w:style>
  <w:style w:type="paragraph" w:styleId="50">
    <w:name w:val="toc 5"/>
    <w:basedOn w:val="a0"/>
    <w:next w:val="a0"/>
    <w:pPr>
      <w:spacing w:after="120" w:line="360" w:lineRule="auto"/>
      <w:ind w:left="1680" w:firstLine="480"/>
    </w:pPr>
    <w:rPr>
      <w:rFonts w:ascii="宋体" w:hAnsi="宋体" w:cs="Arial"/>
      <w:bCs/>
      <w:color w:val="000000"/>
      <w:kern w:val="0"/>
      <w:szCs w:val="21"/>
      <w:lang w:val="zh-CN"/>
    </w:rPr>
  </w:style>
  <w:style w:type="paragraph" w:styleId="30">
    <w:name w:val="toc 3"/>
    <w:basedOn w:val="a0"/>
    <w:next w:val="a0"/>
    <w:qFormat/>
    <w:pPr>
      <w:spacing w:after="120" w:line="360" w:lineRule="auto"/>
      <w:ind w:left="840" w:firstLine="480"/>
    </w:pPr>
    <w:rPr>
      <w:rFonts w:ascii="宋体" w:hAnsi="宋体" w:cs="Arial"/>
      <w:bCs/>
      <w:color w:val="000000"/>
      <w:kern w:val="0"/>
      <w:szCs w:val="21"/>
      <w:lang w:val="zh-CN"/>
    </w:rPr>
  </w:style>
  <w:style w:type="paragraph" w:styleId="ad">
    <w:name w:val="Plain Text"/>
    <w:basedOn w:val="a0"/>
    <w:link w:val="Char5"/>
    <w:qFormat/>
    <w:pPr>
      <w:widowControl/>
      <w:spacing w:before="100" w:beforeAutospacing="1" w:after="100" w:afterAutospacing="1"/>
      <w:jc w:val="left"/>
    </w:pPr>
    <w:rPr>
      <w:rFonts w:ascii="Arial Unicode MS" w:eastAsia="Arial Unicode MS" w:hAnsi="Arial Unicode MS"/>
      <w:kern w:val="0"/>
      <w:sz w:val="24"/>
      <w:lang w:val="zh-CN"/>
    </w:rPr>
  </w:style>
  <w:style w:type="paragraph" w:styleId="80">
    <w:name w:val="toc 8"/>
    <w:basedOn w:val="a0"/>
    <w:next w:val="a0"/>
    <w:pPr>
      <w:spacing w:after="120" w:line="360" w:lineRule="auto"/>
      <w:ind w:left="2940" w:firstLine="480"/>
    </w:pPr>
    <w:rPr>
      <w:rFonts w:ascii="宋体" w:hAnsi="宋体" w:cs="Arial"/>
      <w:bCs/>
      <w:color w:val="000000"/>
      <w:kern w:val="0"/>
      <w:szCs w:val="21"/>
      <w:lang w:val="zh-CN"/>
    </w:rPr>
  </w:style>
  <w:style w:type="paragraph" w:styleId="ae">
    <w:name w:val="Date"/>
    <w:basedOn w:val="a0"/>
    <w:next w:val="a0"/>
    <w:link w:val="Char6"/>
    <w:qFormat/>
    <w:pPr>
      <w:ind w:leftChars="2500" w:left="100"/>
    </w:pPr>
    <w:rPr>
      <w:rFonts w:ascii="宋体" w:hAnsi="宋体"/>
      <w:kern w:val="0"/>
      <w:sz w:val="24"/>
      <w:szCs w:val="21"/>
      <w:lang w:val="zh-CN"/>
    </w:rPr>
  </w:style>
  <w:style w:type="paragraph" w:styleId="21">
    <w:name w:val="Body Text Indent 2"/>
    <w:basedOn w:val="a0"/>
    <w:link w:val="2Char0"/>
    <w:pPr>
      <w:tabs>
        <w:tab w:val="left" w:pos="1110"/>
      </w:tabs>
      <w:spacing w:line="360" w:lineRule="auto"/>
      <w:ind w:firstLineChars="200" w:firstLine="420"/>
    </w:pPr>
    <w:rPr>
      <w:rFonts w:ascii="宋体" w:hAnsi="宋体"/>
      <w:color w:val="FF0000"/>
      <w:kern w:val="0"/>
      <w:sz w:val="20"/>
      <w:lang w:val="zh-CN"/>
    </w:rPr>
  </w:style>
  <w:style w:type="paragraph" w:styleId="af">
    <w:name w:val="endnote text"/>
    <w:basedOn w:val="a0"/>
    <w:link w:val="Char7"/>
    <w:pPr>
      <w:snapToGrid w:val="0"/>
      <w:jc w:val="left"/>
    </w:pPr>
    <w:rPr>
      <w:kern w:val="0"/>
      <w:sz w:val="20"/>
      <w:szCs w:val="20"/>
      <w:lang w:val="zh-CN"/>
    </w:rPr>
  </w:style>
  <w:style w:type="paragraph" w:styleId="af0">
    <w:name w:val="Balloon Text"/>
    <w:basedOn w:val="a0"/>
    <w:link w:val="Char8"/>
    <w:semiHidden/>
    <w:rPr>
      <w:kern w:val="0"/>
      <w:sz w:val="18"/>
      <w:szCs w:val="18"/>
      <w:lang w:val="zh-CN"/>
    </w:rPr>
  </w:style>
  <w:style w:type="paragraph" w:styleId="af1">
    <w:name w:val="footer"/>
    <w:basedOn w:val="a0"/>
    <w:link w:val="Char9"/>
    <w:uiPriority w:val="99"/>
    <w:pPr>
      <w:tabs>
        <w:tab w:val="center" w:pos="4153"/>
        <w:tab w:val="right" w:pos="8306"/>
      </w:tabs>
      <w:snapToGrid w:val="0"/>
      <w:jc w:val="left"/>
    </w:pPr>
    <w:rPr>
      <w:kern w:val="0"/>
      <w:sz w:val="18"/>
      <w:szCs w:val="18"/>
      <w:lang w:val="zh-CN"/>
    </w:rPr>
  </w:style>
  <w:style w:type="paragraph" w:styleId="af2">
    <w:name w:val="header"/>
    <w:basedOn w:val="a0"/>
    <w:link w:val="Chara"/>
    <w:uiPriority w:val="99"/>
    <w:qFormat/>
    <w:pPr>
      <w:pBdr>
        <w:bottom w:val="single" w:sz="6" w:space="1" w:color="auto"/>
      </w:pBdr>
      <w:tabs>
        <w:tab w:val="center" w:pos="4153"/>
        <w:tab w:val="right" w:pos="8306"/>
      </w:tabs>
      <w:snapToGrid w:val="0"/>
      <w:jc w:val="center"/>
    </w:pPr>
    <w:rPr>
      <w:kern w:val="0"/>
      <w:sz w:val="18"/>
      <w:szCs w:val="18"/>
      <w:lang w:val="zh-CN"/>
    </w:rPr>
  </w:style>
  <w:style w:type="paragraph" w:styleId="12">
    <w:name w:val="toc 1"/>
    <w:basedOn w:val="a0"/>
    <w:next w:val="a0"/>
    <w:uiPriority w:val="39"/>
    <w:pPr>
      <w:tabs>
        <w:tab w:val="right" w:leader="dot" w:pos="8295"/>
      </w:tabs>
      <w:snapToGrid w:val="0"/>
      <w:spacing w:line="360" w:lineRule="auto"/>
    </w:pPr>
    <w:rPr>
      <w:rFonts w:ascii="宋体" w:hAnsi="宋体"/>
      <w:caps/>
      <w:sz w:val="24"/>
    </w:rPr>
  </w:style>
  <w:style w:type="paragraph" w:styleId="40">
    <w:name w:val="toc 4"/>
    <w:basedOn w:val="a0"/>
    <w:next w:val="a0"/>
    <w:pPr>
      <w:spacing w:after="120" w:line="360" w:lineRule="auto"/>
      <w:ind w:left="1260" w:firstLine="480"/>
    </w:pPr>
    <w:rPr>
      <w:rFonts w:ascii="宋体" w:hAnsi="宋体" w:cs="Arial"/>
      <w:bCs/>
      <w:color w:val="000000"/>
      <w:kern w:val="0"/>
      <w:szCs w:val="21"/>
      <w:lang w:val="zh-CN"/>
    </w:rPr>
  </w:style>
  <w:style w:type="paragraph" w:styleId="af3">
    <w:name w:val="footnote text"/>
    <w:basedOn w:val="a0"/>
    <w:link w:val="Charb"/>
    <w:qFormat/>
    <w:pPr>
      <w:snapToGrid w:val="0"/>
      <w:jc w:val="left"/>
    </w:pPr>
    <w:rPr>
      <w:kern w:val="0"/>
      <w:sz w:val="18"/>
      <w:szCs w:val="18"/>
      <w:lang w:val="zh-CN"/>
    </w:rPr>
  </w:style>
  <w:style w:type="paragraph" w:styleId="60">
    <w:name w:val="toc 6"/>
    <w:basedOn w:val="a0"/>
    <w:next w:val="a0"/>
    <w:pPr>
      <w:spacing w:after="120" w:line="360" w:lineRule="auto"/>
      <w:ind w:left="2100" w:firstLine="480"/>
    </w:pPr>
    <w:rPr>
      <w:rFonts w:ascii="宋体" w:hAnsi="宋体" w:cs="Arial"/>
      <w:bCs/>
      <w:color w:val="000000"/>
      <w:kern w:val="0"/>
      <w:szCs w:val="21"/>
      <w:lang w:val="zh-CN"/>
    </w:rPr>
  </w:style>
  <w:style w:type="paragraph" w:styleId="31">
    <w:name w:val="Body Text Indent 3"/>
    <w:basedOn w:val="a0"/>
    <w:link w:val="3Char0"/>
    <w:qFormat/>
    <w:pPr>
      <w:spacing w:line="360" w:lineRule="auto"/>
      <w:ind w:firstLine="425"/>
    </w:pPr>
    <w:rPr>
      <w:rFonts w:ascii="宋体"/>
      <w:kern w:val="0"/>
      <w:sz w:val="20"/>
      <w:lang w:val="zh-CN"/>
    </w:rPr>
  </w:style>
  <w:style w:type="paragraph" w:styleId="22">
    <w:name w:val="toc 2"/>
    <w:basedOn w:val="a0"/>
    <w:next w:val="a0"/>
    <w:pPr>
      <w:spacing w:after="120" w:line="360" w:lineRule="auto"/>
      <w:ind w:left="420" w:firstLine="480"/>
    </w:pPr>
    <w:rPr>
      <w:rFonts w:ascii="宋体" w:hAnsi="宋体" w:cs="Arial"/>
      <w:bCs/>
      <w:color w:val="000000"/>
      <w:kern w:val="0"/>
      <w:szCs w:val="21"/>
      <w:lang w:val="zh-CN"/>
    </w:rPr>
  </w:style>
  <w:style w:type="paragraph" w:styleId="90">
    <w:name w:val="toc 9"/>
    <w:basedOn w:val="a0"/>
    <w:next w:val="a0"/>
    <w:pPr>
      <w:spacing w:after="120" w:line="360" w:lineRule="auto"/>
      <w:ind w:left="3360" w:firstLine="480"/>
    </w:pPr>
    <w:rPr>
      <w:rFonts w:ascii="宋体" w:hAnsi="宋体" w:cs="Arial"/>
      <w:bCs/>
      <w:color w:val="000000"/>
      <w:kern w:val="0"/>
      <w:szCs w:val="21"/>
      <w:lang w:val="zh-CN"/>
    </w:rPr>
  </w:style>
  <w:style w:type="paragraph" w:styleId="23">
    <w:name w:val="Body Text 2"/>
    <w:basedOn w:val="a0"/>
    <w:link w:val="2Char1"/>
    <w:qFormat/>
    <w:rPr>
      <w:kern w:val="0"/>
      <w:sz w:val="28"/>
      <w:szCs w:val="20"/>
      <w:lang w:val="zh-CN"/>
    </w:rPr>
  </w:style>
  <w:style w:type="paragraph" w:styleId="af4">
    <w:name w:val="Normal (Web)"/>
    <w:basedOn w:val="a0"/>
    <w:uiPriority w:val="99"/>
    <w:pPr>
      <w:widowControl/>
      <w:spacing w:before="100" w:beforeAutospacing="1" w:after="100" w:afterAutospacing="1"/>
      <w:jc w:val="left"/>
    </w:pPr>
    <w:rPr>
      <w:rFonts w:ascii="宋体" w:hAnsi="宋体"/>
      <w:kern w:val="0"/>
      <w:sz w:val="24"/>
    </w:rPr>
  </w:style>
  <w:style w:type="paragraph" w:styleId="af5">
    <w:name w:val="Title"/>
    <w:basedOn w:val="a0"/>
    <w:link w:val="Charc"/>
    <w:qFormat/>
    <w:pPr>
      <w:autoSpaceDE w:val="0"/>
      <w:autoSpaceDN w:val="0"/>
      <w:adjustRightInd w:val="0"/>
      <w:spacing w:before="240" w:after="60"/>
      <w:jc w:val="center"/>
      <w:textAlignment w:val="baseline"/>
      <w:outlineLvl w:val="0"/>
    </w:pPr>
    <w:rPr>
      <w:rFonts w:ascii="Arial" w:hAnsi="Arial"/>
      <w:b/>
      <w:bCs/>
      <w:kern w:val="0"/>
      <w:sz w:val="32"/>
      <w:szCs w:val="32"/>
      <w:lang w:val="zh-CN"/>
    </w:rPr>
  </w:style>
  <w:style w:type="character" w:styleId="af6">
    <w:name w:val="Strong"/>
    <w:uiPriority w:val="22"/>
    <w:qFormat/>
    <w:rPr>
      <w:b/>
      <w:bCs/>
    </w:rPr>
  </w:style>
  <w:style w:type="character" w:styleId="af7">
    <w:name w:val="endnote reference"/>
    <w:qFormat/>
    <w:rPr>
      <w:vertAlign w:val="superscript"/>
    </w:rPr>
  </w:style>
  <w:style w:type="character" w:styleId="af8">
    <w:name w:val="page number"/>
    <w:basedOn w:val="a1"/>
    <w:qFormat/>
  </w:style>
  <w:style w:type="character" w:styleId="af9">
    <w:name w:val="FollowedHyperlink"/>
    <w:rPr>
      <w:color w:val="800080"/>
      <w:u w:val="single"/>
    </w:rPr>
  </w:style>
  <w:style w:type="character" w:styleId="afa">
    <w:name w:val="Emphasis"/>
    <w:uiPriority w:val="20"/>
    <w:qFormat/>
    <w:rPr>
      <w:i/>
      <w:iCs/>
    </w:rPr>
  </w:style>
  <w:style w:type="character" w:styleId="afb">
    <w:name w:val="Hyperlink"/>
    <w:uiPriority w:val="99"/>
    <w:qFormat/>
    <w:rPr>
      <w:color w:val="0000FF"/>
      <w:u w:val="single"/>
    </w:rPr>
  </w:style>
  <w:style w:type="character" w:styleId="afc">
    <w:name w:val="annotation reference"/>
    <w:uiPriority w:val="99"/>
    <w:rPr>
      <w:sz w:val="21"/>
      <w:szCs w:val="21"/>
    </w:rPr>
  </w:style>
  <w:style w:type="character" w:styleId="afd">
    <w:name w:val="footnote reference"/>
    <w:rPr>
      <w:vertAlign w:val="superscript"/>
    </w:rPr>
  </w:style>
  <w:style w:type="table" w:styleId="afe">
    <w:name w:val="Table Grid"/>
    <w:basedOn w:val="a2"/>
    <w:qFormat/>
    <w:rPr>
      <w:rFonts w:ascii="Times New Roman" w:hAnsi="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aff">
    <w:name w:val="Table Theme"/>
    <w:basedOn w:val="a2"/>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3">
    <w:name w:val="Table Colorful 1"/>
    <w:basedOn w:val="a2"/>
    <w:qFormat/>
    <w:pPr>
      <w:widowControl w:val="0"/>
      <w:jc w:val="both"/>
    </w:pPr>
    <w:rPr>
      <w:rFonts w:ascii="Times New Roman" w:hAnsi="Times New Roman"/>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character" w:customStyle="1" w:styleId="1Char">
    <w:name w:val="标题 1 Char"/>
    <w:link w:val="11"/>
    <w:rPr>
      <w:rFonts w:ascii="宋体" w:eastAsia="黑体" w:hAnsi="Times New Roman" w:cs="Times New Roman"/>
      <w:kern w:val="0"/>
      <w:sz w:val="24"/>
      <w:szCs w:val="20"/>
    </w:rPr>
  </w:style>
  <w:style w:type="character" w:customStyle="1" w:styleId="2Char">
    <w:name w:val="标题 2 Char"/>
    <w:link w:val="20"/>
    <w:uiPriority w:val="9"/>
    <w:rPr>
      <w:rFonts w:ascii="Arial" w:eastAsia="黑体" w:hAnsi="Arial" w:cs="Times New Roman"/>
      <w:b/>
      <w:kern w:val="0"/>
      <w:sz w:val="32"/>
      <w:szCs w:val="20"/>
    </w:rPr>
  </w:style>
  <w:style w:type="character" w:customStyle="1" w:styleId="3Char">
    <w:name w:val="标题 3 Char"/>
    <w:link w:val="3"/>
    <w:qFormat/>
    <w:rPr>
      <w:rFonts w:ascii="Times New Roman" w:hAnsi="Times New Roman"/>
      <w:b/>
      <w:bCs/>
      <w:szCs w:val="32"/>
      <w:lang w:val="zh-CN" w:eastAsia="zh-CN"/>
    </w:rPr>
  </w:style>
  <w:style w:type="character" w:customStyle="1" w:styleId="4Char">
    <w:name w:val="标题 4 Char"/>
    <w:link w:val="4"/>
    <w:rPr>
      <w:rFonts w:ascii="Arial" w:eastAsia="黑体" w:hAnsi="Arial" w:cs="Times New Roman"/>
      <w:b/>
      <w:kern w:val="0"/>
      <w:sz w:val="28"/>
      <w:szCs w:val="20"/>
    </w:rPr>
  </w:style>
  <w:style w:type="character" w:customStyle="1" w:styleId="5Char">
    <w:name w:val="标题 5 Char"/>
    <w:link w:val="5"/>
    <w:rPr>
      <w:rFonts w:ascii="宋体" w:eastAsia="宋体" w:hAnsi="Times New Roman" w:cs="Times New Roman"/>
      <w:b/>
      <w:kern w:val="0"/>
      <w:sz w:val="28"/>
      <w:szCs w:val="20"/>
    </w:rPr>
  </w:style>
  <w:style w:type="character" w:customStyle="1" w:styleId="6Char">
    <w:name w:val="标题 6 Char"/>
    <w:link w:val="6"/>
    <w:qFormat/>
    <w:rPr>
      <w:rFonts w:ascii="Arial" w:eastAsia="黑体" w:hAnsi="Arial" w:cs="Times New Roman"/>
      <w:b/>
      <w:kern w:val="0"/>
      <w:sz w:val="24"/>
      <w:szCs w:val="20"/>
    </w:rPr>
  </w:style>
  <w:style w:type="character" w:customStyle="1" w:styleId="7Char">
    <w:name w:val="标题 7 Char"/>
    <w:link w:val="7"/>
    <w:qFormat/>
    <w:rPr>
      <w:rFonts w:ascii="宋体" w:eastAsia="宋体" w:hAnsi="Times New Roman" w:cs="Times New Roman"/>
      <w:b/>
      <w:kern w:val="0"/>
      <w:sz w:val="24"/>
      <w:szCs w:val="20"/>
    </w:rPr>
  </w:style>
  <w:style w:type="character" w:customStyle="1" w:styleId="8Char">
    <w:name w:val="标题 8 Char"/>
    <w:link w:val="8"/>
    <w:qFormat/>
    <w:rPr>
      <w:rFonts w:ascii="Arial" w:eastAsia="黑体" w:hAnsi="Arial" w:cs="Times New Roman"/>
      <w:kern w:val="0"/>
      <w:sz w:val="24"/>
      <w:szCs w:val="20"/>
    </w:rPr>
  </w:style>
  <w:style w:type="character" w:customStyle="1" w:styleId="9Char">
    <w:name w:val="标题 9 Char"/>
    <w:link w:val="9"/>
    <w:rPr>
      <w:rFonts w:ascii="Arial" w:eastAsia="黑体" w:hAnsi="Arial"/>
      <w:lang w:val="zh-CN" w:eastAsia="zh-CN"/>
    </w:rPr>
  </w:style>
  <w:style w:type="paragraph" w:customStyle="1" w:styleId="Chard">
    <w:name w:val="Char"/>
    <w:basedOn w:val="a0"/>
    <w:pPr>
      <w:widowControl/>
      <w:spacing w:after="160" w:line="240" w:lineRule="exact"/>
      <w:jc w:val="left"/>
    </w:pPr>
    <w:rPr>
      <w:rFonts w:ascii="Verdana" w:hAnsi="Verdana"/>
      <w:kern w:val="0"/>
      <w:sz w:val="20"/>
      <w:szCs w:val="20"/>
      <w:lang w:eastAsia="en-US"/>
    </w:rPr>
  </w:style>
  <w:style w:type="character" w:customStyle="1" w:styleId="Chara">
    <w:name w:val="页眉 Char"/>
    <w:link w:val="af2"/>
    <w:uiPriority w:val="99"/>
    <w:qFormat/>
    <w:rPr>
      <w:rFonts w:ascii="Times New Roman" w:hAnsi="Times New Roman"/>
      <w:sz w:val="18"/>
      <w:szCs w:val="18"/>
      <w:lang w:val="zh-CN" w:eastAsia="zh-CN"/>
    </w:rPr>
  </w:style>
  <w:style w:type="character" w:customStyle="1" w:styleId="Char9">
    <w:name w:val="页脚 Char"/>
    <w:link w:val="af1"/>
    <w:uiPriority w:val="99"/>
    <w:qFormat/>
    <w:rPr>
      <w:rFonts w:ascii="Times New Roman" w:hAnsi="Times New Roman"/>
      <w:sz w:val="18"/>
      <w:szCs w:val="18"/>
      <w:lang w:val="zh-CN" w:eastAsia="zh-CN"/>
    </w:rPr>
  </w:style>
  <w:style w:type="character" w:customStyle="1" w:styleId="Char6">
    <w:name w:val="日期 Char"/>
    <w:link w:val="ae"/>
    <w:qFormat/>
    <w:rPr>
      <w:rFonts w:ascii="宋体" w:eastAsia="宋体" w:hAnsi="宋体" w:cs="Times New Roman"/>
      <w:kern w:val="0"/>
      <w:sz w:val="24"/>
      <w:szCs w:val="21"/>
    </w:rPr>
  </w:style>
  <w:style w:type="character" w:customStyle="1" w:styleId="Char2">
    <w:name w:val="正文文本 Char"/>
    <w:link w:val="a7"/>
    <w:qFormat/>
    <w:rPr>
      <w:rFonts w:ascii="宋体" w:eastAsia="宋体" w:hAnsi="宋体" w:cs="Times New Roman"/>
      <w:kern w:val="0"/>
      <w:sz w:val="24"/>
      <w:szCs w:val="21"/>
    </w:rPr>
  </w:style>
  <w:style w:type="character" w:customStyle="1" w:styleId="Char4">
    <w:name w:val="正文文本缩进 Char"/>
    <w:link w:val="ac"/>
    <w:qFormat/>
    <w:rPr>
      <w:rFonts w:ascii="Times New Roman" w:hAnsi="Times New Roman"/>
      <w:sz w:val="24"/>
      <w:lang w:val="zh-CN" w:eastAsia="zh-CN"/>
    </w:rPr>
  </w:style>
  <w:style w:type="character" w:customStyle="1" w:styleId="2Char1">
    <w:name w:val="正文文本 2 Char"/>
    <w:link w:val="23"/>
    <w:rPr>
      <w:rFonts w:ascii="Times New Roman" w:hAnsi="Times New Roman"/>
      <w:sz w:val="28"/>
      <w:lang w:val="zh-CN" w:eastAsia="zh-CN"/>
    </w:rPr>
  </w:style>
  <w:style w:type="character" w:customStyle="1" w:styleId="tt11">
    <w:name w:val="tt11"/>
    <w:qFormat/>
    <w:rPr>
      <w:spacing w:val="400"/>
      <w:sz w:val="22"/>
      <w:szCs w:val="22"/>
    </w:rPr>
  </w:style>
  <w:style w:type="character" w:customStyle="1" w:styleId="2Char0">
    <w:name w:val="正文文本缩进 2 Char"/>
    <w:link w:val="21"/>
    <w:qFormat/>
    <w:rPr>
      <w:rFonts w:ascii="宋体" w:hAnsi="宋体"/>
      <w:color w:val="FF0000"/>
      <w:szCs w:val="24"/>
      <w:lang w:val="zh-CN" w:eastAsia="zh-CN"/>
    </w:rPr>
  </w:style>
  <w:style w:type="character" w:customStyle="1" w:styleId="c">
    <w:name w:val="c"/>
    <w:basedOn w:val="a1"/>
    <w:qFormat/>
  </w:style>
  <w:style w:type="character" w:customStyle="1" w:styleId="3Char0">
    <w:name w:val="正文文本缩进 3 Char"/>
    <w:link w:val="31"/>
    <w:rPr>
      <w:rFonts w:ascii="宋体" w:hAnsi="Times New Roman"/>
      <w:szCs w:val="24"/>
      <w:lang w:val="zh-CN" w:eastAsia="zh-CN"/>
    </w:rPr>
  </w:style>
  <w:style w:type="character" w:customStyle="1" w:styleId="read">
    <w:name w:val="read"/>
    <w:basedOn w:val="a1"/>
    <w:qFormat/>
  </w:style>
  <w:style w:type="character" w:customStyle="1" w:styleId="read1">
    <w:name w:val="read1"/>
    <w:rPr>
      <w:rFonts w:hint="default"/>
      <w:color w:val="000000"/>
      <w:spacing w:val="450"/>
      <w:u w:val="none"/>
    </w:rPr>
  </w:style>
  <w:style w:type="paragraph" w:customStyle="1" w:styleId="2">
    <w:name w:val="列表2"/>
    <w:basedOn w:val="a0"/>
    <w:next w:val="af5"/>
    <w:qFormat/>
    <w:pPr>
      <w:numPr>
        <w:numId w:val="1"/>
      </w:numPr>
      <w:spacing w:line="360" w:lineRule="auto"/>
    </w:pPr>
    <w:rPr>
      <w:rFonts w:ascii="宋体"/>
      <w:szCs w:val="20"/>
    </w:rPr>
  </w:style>
  <w:style w:type="character" w:customStyle="1" w:styleId="Charc">
    <w:name w:val="标题 Char"/>
    <w:link w:val="af5"/>
    <w:rPr>
      <w:rFonts w:ascii="Arial" w:eastAsia="宋体" w:hAnsi="Arial" w:cs="Arial"/>
      <w:b/>
      <w:bCs/>
      <w:kern w:val="0"/>
      <w:sz w:val="32"/>
      <w:szCs w:val="32"/>
    </w:rPr>
  </w:style>
  <w:style w:type="paragraph" w:customStyle="1" w:styleId="1">
    <w:name w:val="列表1"/>
    <w:basedOn w:val="a0"/>
    <w:next w:val="a0"/>
    <w:qFormat/>
    <w:pPr>
      <w:numPr>
        <w:numId w:val="2"/>
      </w:numPr>
      <w:spacing w:line="360" w:lineRule="auto"/>
    </w:pPr>
    <w:rPr>
      <w:szCs w:val="20"/>
    </w:rPr>
  </w:style>
  <w:style w:type="paragraph" w:customStyle="1" w:styleId="Default">
    <w:name w:val="Default"/>
    <w:qFormat/>
    <w:pPr>
      <w:widowControl w:val="0"/>
      <w:autoSpaceDE w:val="0"/>
      <w:autoSpaceDN w:val="0"/>
      <w:adjustRightInd w:val="0"/>
    </w:pPr>
    <w:rPr>
      <w:rFonts w:ascii="宋体" w:hAnsi="Times New Roman"/>
      <w:color w:val="000000"/>
      <w:sz w:val="24"/>
      <w:szCs w:val="24"/>
    </w:rPr>
  </w:style>
  <w:style w:type="character" w:customStyle="1" w:styleId="font21">
    <w:name w:val="font21"/>
    <w:rPr>
      <w:color w:val="CC6600"/>
      <w:sz w:val="20"/>
      <w:szCs w:val="20"/>
    </w:rPr>
  </w:style>
  <w:style w:type="character" w:customStyle="1" w:styleId="big1">
    <w:name w:val="big1"/>
    <w:qFormat/>
    <w:rPr>
      <w:spacing w:val="360"/>
      <w:sz w:val="25"/>
      <w:szCs w:val="25"/>
    </w:rPr>
  </w:style>
  <w:style w:type="paragraph" w:customStyle="1" w:styleId="content">
    <w:name w:val="content"/>
    <w:basedOn w:val="a0"/>
    <w:qFormat/>
    <w:pPr>
      <w:widowControl/>
      <w:spacing w:before="100" w:beforeAutospacing="1" w:after="100" w:afterAutospacing="1" w:line="270" w:lineRule="atLeast"/>
      <w:jc w:val="left"/>
    </w:pPr>
    <w:rPr>
      <w:rFonts w:ascii="Arial Unicode MS" w:eastAsia="Arial Unicode MS" w:hAnsi="Arial Unicode MS" w:cs="Arial Unicode MS"/>
      <w:kern w:val="0"/>
      <w:sz w:val="18"/>
      <w:szCs w:val="18"/>
    </w:rPr>
  </w:style>
  <w:style w:type="paragraph" w:customStyle="1" w:styleId="41">
    <w:name w:val="标题4"/>
    <w:basedOn w:val="ac"/>
    <w:qFormat/>
    <w:pPr>
      <w:spacing w:line="360" w:lineRule="auto"/>
      <w:ind w:firstLine="0"/>
    </w:pPr>
    <w:rPr>
      <w:szCs w:val="24"/>
    </w:rPr>
  </w:style>
  <w:style w:type="character" w:customStyle="1" w:styleId="Char5">
    <w:name w:val="纯文本 Char"/>
    <w:link w:val="ad"/>
    <w:rPr>
      <w:rFonts w:ascii="Arial Unicode MS" w:eastAsia="Arial Unicode MS" w:hAnsi="Arial Unicode MS" w:cs="Arial Unicode MS"/>
      <w:kern w:val="0"/>
      <w:sz w:val="24"/>
      <w:szCs w:val="24"/>
    </w:rPr>
  </w:style>
  <w:style w:type="paragraph" w:customStyle="1" w:styleId="2211">
    <w:name w:val="样式 标题 2 + 首行缩进:  2 字符 段前: 1 行 段后: 1 行"/>
    <w:basedOn w:val="20"/>
    <w:qFormat/>
    <w:pPr>
      <w:tabs>
        <w:tab w:val="left" w:pos="1276"/>
      </w:tabs>
      <w:autoSpaceDE/>
      <w:autoSpaceDN/>
      <w:adjustRightInd/>
      <w:spacing w:before="100" w:after="100" w:line="240" w:lineRule="auto"/>
      <w:ind w:left="851"/>
      <w:jc w:val="both"/>
      <w:textAlignment w:val="auto"/>
    </w:pPr>
    <w:rPr>
      <w:rFonts w:eastAsia="宋体"/>
      <w:kern w:val="2"/>
      <w:sz w:val="28"/>
    </w:rPr>
  </w:style>
  <w:style w:type="paragraph" w:customStyle="1" w:styleId="10">
    <w:name w:val="1"/>
    <w:basedOn w:val="a0"/>
    <w:qFormat/>
    <w:pPr>
      <w:numPr>
        <w:numId w:val="3"/>
      </w:numPr>
      <w:tabs>
        <w:tab w:val="clear" w:pos="3243"/>
      </w:tabs>
      <w:spacing w:before="100" w:beforeAutospacing="1" w:after="120" w:afterAutospacing="1" w:line="360" w:lineRule="auto"/>
      <w:ind w:leftChars="200" w:left="420" w:firstLine="0"/>
    </w:pPr>
  </w:style>
  <w:style w:type="paragraph" w:customStyle="1" w:styleId="15">
    <w:name w:val="样式 宋体 四号 行距: 1.5 倍行距"/>
    <w:basedOn w:val="a0"/>
    <w:qFormat/>
    <w:pPr>
      <w:spacing w:line="360" w:lineRule="auto"/>
    </w:pPr>
    <w:rPr>
      <w:rFonts w:ascii="宋体" w:hAnsi="宋体"/>
      <w:sz w:val="24"/>
      <w:szCs w:val="20"/>
    </w:rPr>
  </w:style>
  <w:style w:type="paragraph" w:customStyle="1" w:styleId="aff0">
    <w:name w:val="正文所"/>
    <w:basedOn w:val="a0"/>
    <w:pPr>
      <w:spacing w:line="360" w:lineRule="auto"/>
      <w:ind w:firstLineChars="200" w:firstLine="420"/>
    </w:pPr>
    <w:rPr>
      <w:rFonts w:ascii="宋体"/>
      <w:szCs w:val="20"/>
    </w:rPr>
  </w:style>
  <w:style w:type="paragraph" w:customStyle="1" w:styleId="aff1">
    <w:name w:val="正文正文"/>
    <w:basedOn w:val="a0"/>
    <w:qFormat/>
    <w:pPr>
      <w:spacing w:afterLines="25" w:line="360" w:lineRule="auto"/>
      <w:ind w:firstLineChars="200" w:firstLine="200"/>
    </w:pPr>
    <w:rPr>
      <w:sz w:val="24"/>
    </w:rPr>
  </w:style>
  <w:style w:type="paragraph" w:customStyle="1" w:styleId="CharCharCharChar">
    <w:name w:val="Char Char Char Char"/>
    <w:basedOn w:val="a0"/>
    <w:qFormat/>
    <w:pPr>
      <w:tabs>
        <w:tab w:val="left" w:pos="360"/>
      </w:tabs>
    </w:pPr>
    <w:rPr>
      <w:sz w:val="24"/>
    </w:rPr>
  </w:style>
  <w:style w:type="character" w:customStyle="1" w:styleId="Charb">
    <w:name w:val="脚注文本 Char"/>
    <w:link w:val="af3"/>
    <w:qFormat/>
    <w:rPr>
      <w:rFonts w:ascii="Times New Roman" w:hAnsi="Times New Roman"/>
      <w:sz w:val="18"/>
      <w:szCs w:val="18"/>
      <w:lang w:val="zh-CN" w:eastAsia="zh-CN"/>
    </w:rPr>
  </w:style>
  <w:style w:type="paragraph" w:customStyle="1" w:styleId="Char20">
    <w:name w:val="Char2"/>
    <w:basedOn w:val="a0"/>
    <w:qFormat/>
  </w:style>
  <w:style w:type="paragraph" w:customStyle="1" w:styleId="Char1CharCharCharChar">
    <w:name w:val="Char1 Char Char Char Char"/>
    <w:basedOn w:val="a0"/>
    <w:pPr>
      <w:widowControl/>
      <w:spacing w:after="160" w:line="240" w:lineRule="exact"/>
      <w:jc w:val="left"/>
    </w:pPr>
    <w:rPr>
      <w:rFonts w:ascii="Verdana" w:hAnsi="Verdana" w:cs="Verdana"/>
      <w:kern w:val="0"/>
      <w:sz w:val="20"/>
      <w:szCs w:val="20"/>
      <w:lang w:eastAsia="en-US"/>
    </w:rPr>
  </w:style>
  <w:style w:type="character" w:customStyle="1" w:styleId="Char8">
    <w:name w:val="批注框文本 Char"/>
    <w:link w:val="af0"/>
    <w:semiHidden/>
    <w:rPr>
      <w:rFonts w:ascii="Times New Roman" w:hAnsi="Times New Roman"/>
      <w:sz w:val="18"/>
      <w:szCs w:val="18"/>
      <w:lang w:val="zh-CN" w:eastAsia="zh-CN"/>
    </w:rPr>
  </w:style>
  <w:style w:type="paragraph" w:customStyle="1" w:styleId="ParaChar">
    <w:name w:val="默认段落字体 Para Char"/>
    <w:basedOn w:val="a0"/>
    <w:pPr>
      <w:tabs>
        <w:tab w:val="left" w:pos="757"/>
      </w:tabs>
      <w:ind w:firstLine="397"/>
    </w:pPr>
    <w:rPr>
      <w:sz w:val="24"/>
    </w:rPr>
  </w:style>
  <w:style w:type="character" w:customStyle="1" w:styleId="msoins0">
    <w:name w:val="msoins"/>
    <w:basedOn w:val="a1"/>
  </w:style>
  <w:style w:type="character" w:customStyle="1" w:styleId="Char0">
    <w:name w:val="批注文字 Char"/>
    <w:link w:val="a5"/>
    <w:uiPriority w:val="99"/>
    <w:rPr>
      <w:rFonts w:ascii="Times New Roman" w:hAnsi="Times New Roman"/>
      <w:szCs w:val="24"/>
      <w:lang w:val="zh-CN" w:eastAsia="zh-CN"/>
    </w:rPr>
  </w:style>
  <w:style w:type="character" w:customStyle="1" w:styleId="Char">
    <w:name w:val="批注主题 Char"/>
    <w:link w:val="a4"/>
    <w:qFormat/>
    <w:rPr>
      <w:rFonts w:ascii="Times New Roman" w:hAnsi="Times New Roman"/>
      <w:b/>
      <w:bCs/>
      <w:szCs w:val="24"/>
      <w:lang w:val="zh-CN" w:eastAsia="zh-CN"/>
    </w:rPr>
  </w:style>
  <w:style w:type="character" w:customStyle="1" w:styleId="unnamed11">
    <w:name w:val="unnamed11"/>
    <w:rPr>
      <w:rFonts w:ascii="宋体" w:eastAsia="宋体" w:hAnsi="宋体" w:hint="eastAsia"/>
      <w:sz w:val="18"/>
      <w:szCs w:val="18"/>
    </w:rPr>
  </w:style>
  <w:style w:type="character" w:customStyle="1" w:styleId="Char1">
    <w:name w:val="正文首行缩进 Char"/>
    <w:link w:val="a6"/>
    <w:rPr>
      <w:rFonts w:ascii="Times New Roman" w:hAnsi="Times New Roman"/>
      <w:sz w:val="24"/>
      <w:szCs w:val="24"/>
      <w:lang w:val="zh-CN" w:eastAsia="zh-CN"/>
    </w:rPr>
  </w:style>
  <w:style w:type="paragraph" w:customStyle="1" w:styleId="BS8">
    <w:name w:val="BS标题8"/>
    <w:basedOn w:val="20"/>
    <w:link w:val="BS8Char"/>
    <w:pPr>
      <w:keepNext w:val="0"/>
      <w:keepLines w:val="0"/>
      <w:autoSpaceDE/>
      <w:autoSpaceDN/>
      <w:adjustRightInd/>
      <w:spacing w:before="120" w:after="120" w:line="240" w:lineRule="auto"/>
      <w:ind w:left="737" w:hanging="425"/>
      <w:textAlignment w:val="auto"/>
    </w:pPr>
    <w:rPr>
      <w:rFonts w:ascii="Times New Roman" w:eastAsia="宋体" w:hAnsi="Times New Roman"/>
      <w:b w:val="0"/>
      <w:sz w:val="20"/>
      <w:szCs w:val="32"/>
    </w:rPr>
  </w:style>
  <w:style w:type="character" w:customStyle="1" w:styleId="BS8Char">
    <w:name w:val="BS标题8 Char"/>
    <w:link w:val="BS8"/>
    <w:rPr>
      <w:rFonts w:ascii="Times New Roman" w:hAnsi="Times New Roman"/>
      <w:szCs w:val="32"/>
      <w:lang w:val="zh-CN" w:eastAsia="zh-CN"/>
    </w:rPr>
  </w:style>
  <w:style w:type="paragraph" w:customStyle="1" w:styleId="14">
    <w:name w:val="修订1"/>
    <w:hidden/>
    <w:uiPriority w:val="99"/>
    <w:semiHidden/>
    <w:rPr>
      <w:rFonts w:ascii="Times New Roman" w:hAnsi="Times New Roman"/>
      <w:kern w:val="2"/>
      <w:sz w:val="21"/>
      <w:szCs w:val="24"/>
    </w:rPr>
  </w:style>
  <w:style w:type="character" w:customStyle="1" w:styleId="Char3">
    <w:name w:val="文档结构图 Char"/>
    <w:link w:val="ab"/>
    <w:rPr>
      <w:rFonts w:ascii="宋体" w:hAnsi="宋体"/>
      <w:bCs/>
      <w:color w:val="000000"/>
      <w:szCs w:val="21"/>
      <w:shd w:val="clear" w:color="auto" w:fill="000080"/>
      <w:lang w:val="zh-CN" w:eastAsia="zh-CN"/>
    </w:rPr>
  </w:style>
  <w:style w:type="paragraph" w:customStyle="1" w:styleId="24">
    <w:name w:val="编号正文2"/>
    <w:basedOn w:val="a0"/>
    <w:pPr>
      <w:autoSpaceDE w:val="0"/>
      <w:autoSpaceDN w:val="0"/>
      <w:adjustRightInd w:val="0"/>
      <w:spacing w:after="120" w:line="300" w:lineRule="auto"/>
      <w:ind w:firstLine="480"/>
      <w:textAlignment w:val="baseline"/>
    </w:pPr>
    <w:rPr>
      <w:rFonts w:ascii="宋体"/>
      <w:color w:val="000000"/>
      <w:kern w:val="0"/>
      <w:szCs w:val="21"/>
      <w:lang w:val="zh-CN"/>
    </w:rPr>
  </w:style>
  <w:style w:type="paragraph" w:customStyle="1" w:styleId="a">
    <w:name w:val="项目"/>
    <w:basedOn w:val="4"/>
    <w:pPr>
      <w:numPr>
        <w:ilvl w:val="3"/>
        <w:numId w:val="4"/>
      </w:numPr>
      <w:autoSpaceDE/>
      <w:autoSpaceDN/>
      <w:adjustRightInd/>
      <w:snapToGrid w:val="0"/>
      <w:spacing w:before="120" w:after="120" w:line="360" w:lineRule="auto"/>
      <w:textAlignment w:val="auto"/>
    </w:pPr>
    <w:rPr>
      <w:rFonts w:ascii="Times New Roman" w:eastAsia="楷体_GB2312" w:hAnsi="Times New Roman"/>
      <w:b w:val="0"/>
      <w:bCs/>
      <w:kern w:val="2"/>
      <w:sz w:val="24"/>
    </w:rPr>
  </w:style>
  <w:style w:type="character" w:customStyle="1" w:styleId="txtcontent11">
    <w:name w:val="txtcontent11"/>
    <w:qFormat/>
    <w:rPr>
      <w:rFonts w:ascii="ˎ̥" w:hAnsi="ˎ̥" w:hint="default"/>
      <w:color w:val="000000"/>
      <w:sz w:val="21"/>
      <w:szCs w:val="21"/>
    </w:rPr>
  </w:style>
  <w:style w:type="paragraph" w:styleId="aff2">
    <w:name w:val="List Paragraph"/>
    <w:basedOn w:val="a0"/>
    <w:uiPriority w:val="34"/>
    <w:qFormat/>
    <w:pPr>
      <w:spacing w:after="120" w:line="360" w:lineRule="auto"/>
      <w:ind w:firstLineChars="200" w:firstLine="420"/>
    </w:pPr>
    <w:rPr>
      <w:rFonts w:ascii="宋体" w:hAnsi="宋体" w:cs="Arial"/>
      <w:bCs/>
      <w:color w:val="000000"/>
      <w:kern w:val="0"/>
      <w:szCs w:val="21"/>
      <w:lang w:val="zh-CN"/>
    </w:rPr>
  </w:style>
  <w:style w:type="character" w:customStyle="1" w:styleId="c1">
    <w:name w:val="c1"/>
    <w:qFormat/>
    <w:rPr>
      <w:color w:val="000000"/>
      <w:spacing w:val="257"/>
      <w:sz w:val="15"/>
      <w:szCs w:val="15"/>
    </w:rPr>
  </w:style>
  <w:style w:type="character" w:customStyle="1" w:styleId="Char7">
    <w:name w:val="尾注文本 Char"/>
    <w:link w:val="af"/>
    <w:qFormat/>
    <w:rPr>
      <w:rFonts w:ascii="Times New Roman" w:hAnsi="Times New Roman"/>
      <w:lang w:val="zh-CN" w:eastAsia="zh-CN"/>
    </w:rPr>
  </w:style>
  <w:style w:type="paragraph" w:customStyle="1" w:styleId="CharCharCharCharChar1Char">
    <w:name w:val="Char Char Char Char Char1 Char"/>
    <w:basedOn w:val="a0"/>
    <w:qFormat/>
  </w:style>
  <w:style w:type="paragraph" w:customStyle="1" w:styleId="CharCharCharChar1">
    <w:name w:val="Char Char Char Char1"/>
    <w:basedOn w:val="a0"/>
    <w:qFormat/>
    <w:pPr>
      <w:tabs>
        <w:tab w:val="left" w:pos="360"/>
      </w:tabs>
      <w:spacing w:before="312" w:after="312" w:line="360" w:lineRule="auto"/>
    </w:pPr>
    <w:rPr>
      <w:sz w:val="24"/>
    </w:rPr>
  </w:style>
  <w:style w:type="paragraph" w:customStyle="1" w:styleId="16">
    <w:name w:val="列出段落1"/>
    <w:basedOn w:val="a0"/>
    <w:qFormat/>
    <w:pPr>
      <w:ind w:firstLineChars="200" w:firstLine="420"/>
    </w:pPr>
    <w:rPr>
      <w:rFonts w:ascii="Calibri" w:hAnsi="Calibri"/>
      <w:szCs w:val="22"/>
    </w:rPr>
  </w:style>
  <w:style w:type="paragraph" w:customStyle="1" w:styleId="Char10">
    <w:name w:val="Char1"/>
    <w:basedOn w:val="a0"/>
    <w:qFormat/>
    <w:pPr>
      <w:tabs>
        <w:tab w:val="left" w:pos="360"/>
      </w:tabs>
    </w:pPr>
    <w:rPr>
      <w:sz w:val="24"/>
    </w:rPr>
  </w:style>
  <w:style w:type="paragraph" w:customStyle="1" w:styleId="ParaCharCharCharCharCharCharChar">
    <w:name w:val="默认段落字体 Para Char Char Char Char Char Char Char"/>
    <w:basedOn w:val="a0"/>
    <w:pPr>
      <w:widowControl/>
      <w:jc w:val="left"/>
    </w:pPr>
    <w:rPr>
      <w:sz w:val="24"/>
    </w:rPr>
  </w:style>
  <w:style w:type="paragraph" w:customStyle="1" w:styleId="CharCharCharChar11">
    <w:name w:val="Char Char Char Char11"/>
    <w:basedOn w:val="a0"/>
    <w:qFormat/>
    <w:rPr>
      <w:szCs w:val="20"/>
    </w:rPr>
  </w:style>
  <w:style w:type="character" w:customStyle="1" w:styleId="apple-style-span">
    <w:name w:val="apple-style-span"/>
    <w:basedOn w:val="a1"/>
    <w:qFormat/>
  </w:style>
  <w:style w:type="paragraph" w:customStyle="1" w:styleId="Char30">
    <w:name w:val="Char3"/>
    <w:basedOn w:val="a0"/>
    <w:pPr>
      <w:tabs>
        <w:tab w:val="left" w:pos="360"/>
      </w:tabs>
    </w:pPr>
    <w:rPr>
      <w:sz w:val="24"/>
    </w:rPr>
  </w:style>
  <w:style w:type="paragraph" w:customStyle="1" w:styleId="CharCharCharChar12">
    <w:name w:val="Char Char Char Char12"/>
    <w:basedOn w:val="a0"/>
    <w:qFormat/>
    <w:rPr>
      <w:szCs w:val="20"/>
    </w:rPr>
  </w:style>
  <w:style w:type="character" w:customStyle="1" w:styleId="Char11">
    <w:name w:val="批注文字 Char1"/>
    <w:basedOn w:val="a1"/>
    <w:semiHidden/>
    <w:qFormat/>
    <w:locked/>
    <w:rPr>
      <w:rFonts w:ascii="Times New Roman" w:eastAsia="宋体" w:hAnsi="Times New Roman" w:cs="Times New Roman"/>
      <w:szCs w:val="20"/>
    </w:rPr>
  </w:style>
  <w:style w:type="paragraph" w:customStyle="1" w:styleId="zhangjiep">
    <w:name w:val="zhangjie_p"/>
    <w:basedOn w:val="a0"/>
    <w:qFormat/>
    <w:pPr>
      <w:widowControl/>
      <w:autoSpaceDE w:val="0"/>
      <w:autoSpaceDN w:val="0"/>
      <w:adjustRightInd w:val="0"/>
      <w:spacing w:before="30" w:line="288" w:lineRule="auto"/>
      <w:ind w:left="15"/>
      <w:jc w:val="left"/>
      <w:outlineLvl w:val="1"/>
    </w:pPr>
    <w:rPr>
      <w:rFonts w:ascii="宋体" w:hAnsi="宋体" w:cs="宋体"/>
      <w:kern w:val="0"/>
      <w:sz w:val="24"/>
    </w:rPr>
  </w:style>
  <w:style w:type="paragraph" w:customStyle="1" w:styleId="biaogeleft">
    <w:name w:val="biaoge_left"/>
    <w:basedOn w:val="a0"/>
    <w:qFormat/>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biaogecenter">
    <w:name w:val="biaoge_center"/>
    <w:basedOn w:val="a0"/>
    <w:qFormat/>
    <w:pPr>
      <w:widowControl/>
      <w:autoSpaceDE w:val="0"/>
      <w:autoSpaceDN w:val="0"/>
      <w:adjustRightInd w:val="0"/>
      <w:spacing w:before="29" w:line="288" w:lineRule="auto"/>
      <w:ind w:left="15"/>
      <w:jc w:val="center"/>
    </w:pPr>
    <w:rPr>
      <w:rFonts w:ascii="宋体" w:hAnsi="宋体" w:cs="宋体"/>
      <w:kern w:val="0"/>
      <w:sz w:val="24"/>
    </w:rPr>
  </w:style>
  <w:style w:type="paragraph" w:customStyle="1" w:styleId="biaogeright">
    <w:name w:val="biaoge_right"/>
    <w:basedOn w:val="a0"/>
    <w:qFormat/>
    <w:pPr>
      <w:widowControl/>
      <w:autoSpaceDE w:val="0"/>
      <w:autoSpaceDN w:val="0"/>
      <w:adjustRightInd w:val="0"/>
      <w:spacing w:before="29" w:line="288" w:lineRule="auto"/>
      <w:ind w:left="15"/>
      <w:jc w:val="right"/>
    </w:pPr>
    <w:rPr>
      <w:rFonts w:ascii="宋体" w:hAnsi="宋体" w:cs="宋体"/>
      <w:kern w:val="0"/>
      <w:sz w:val="24"/>
    </w:rPr>
  </w:style>
  <w:style w:type="paragraph" w:customStyle="1" w:styleId="neirong">
    <w:name w:val="neirong"/>
    <w:basedOn w:val="a0"/>
    <w:qFormat/>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zhangjiep2">
    <w:name w:val="zhangjie_p2"/>
    <w:basedOn w:val="a0"/>
    <w:qFormat/>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dazhangjie">
    <w:name w:val="dazhangjie"/>
    <w:basedOn w:val="a0"/>
    <w:qFormat/>
    <w:pPr>
      <w:widowControl/>
      <w:autoSpaceDE w:val="0"/>
      <w:autoSpaceDN w:val="0"/>
      <w:adjustRightInd w:val="0"/>
      <w:spacing w:before="30" w:line="288" w:lineRule="auto"/>
      <w:ind w:left="15"/>
      <w:jc w:val="center"/>
      <w:outlineLvl w:val="0"/>
    </w:pPr>
    <w:rPr>
      <w:rFonts w:ascii="宋体" w:hAnsi="宋体" w:cs="宋体"/>
      <w:kern w:val="0"/>
      <w:sz w:val="24"/>
    </w:rPr>
  </w:style>
  <w:style w:type="character" w:customStyle="1" w:styleId="apple-converted-space">
    <w:name w:val="apple-converted-space"/>
    <w:basedOn w:val="a1"/>
    <w:qFormat/>
  </w:style>
  <w:style w:type="paragraph" w:customStyle="1" w:styleId="25">
    <w:name w:val="修订2"/>
    <w:hidden/>
    <w:uiPriority w:val="99"/>
    <w:semiHidden/>
    <w:qFormat/>
    <w:rPr>
      <w:rFonts w:ascii="Times New Roman" w:hAnsi="Times New Roman"/>
      <w:kern w:val="2"/>
      <w:sz w:val="21"/>
      <w:szCs w:val="24"/>
    </w:rPr>
  </w:style>
  <w:style w:type="paragraph" w:customStyle="1" w:styleId="32">
    <w:name w:val="修订3"/>
    <w:hidden/>
    <w:uiPriority w:val="99"/>
    <w:unhideWhenUsed/>
    <w:rPr>
      <w:rFonts w:ascii="Times New Roman" w:hAnsi="Times New Roman"/>
      <w:kern w:val="2"/>
      <w:sz w:val="21"/>
      <w:szCs w:val="24"/>
    </w:rPr>
  </w:style>
  <w:style w:type="paragraph" w:styleId="aff3">
    <w:name w:val="Revision"/>
    <w:hidden/>
    <w:uiPriority w:val="99"/>
    <w:unhideWhenUsed/>
    <w:rsid w:val="00A70152"/>
    <w:rPr>
      <w:rFonts w:ascii="Times New Roman" w:hAnsi="Times New Roman"/>
      <w:kern w:val="2"/>
      <w:sz w:val="21"/>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267">
    <w:lsdException w:name="Normal" w:uiPriority="0" w:qFormat="1"/>
    <w:lsdException w:name="heading 1" w:uiPriority="0" w:qFormat="1"/>
    <w:lsdException w:name="heading 2" w:uiPriority="9"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lsdException w:name="toc 2" w:uiPriority="0"/>
    <w:lsdException w:name="toc 3" w:uiPriority="0" w:qFormat="1"/>
    <w:lsdException w:name="toc 4" w:uiPriority="0"/>
    <w:lsdException w:name="toc 5" w:uiPriority="0"/>
    <w:lsdException w:name="toc 6" w:uiPriority="0"/>
    <w:lsdException w:name="toc 7" w:uiPriority="0"/>
    <w:lsdException w:name="toc 8" w:uiPriority="0"/>
    <w:lsdException w:name="toc 9" w:uiPriority="0"/>
    <w:lsdException w:name="Normal Indent" w:uiPriority="0" w:qFormat="1"/>
    <w:lsdException w:name="footnote text" w:uiPriority="0" w:qFormat="1"/>
    <w:lsdException w:name="annotation text" w:qFormat="1"/>
    <w:lsdException w:name="header" w:qFormat="1"/>
    <w:lsdException w:name="index heading" w:semiHidden="1" w:unhideWhenUsed="1"/>
    <w:lsdException w:name="caption" w:uiPriority="0" w:unhideWhenUsed="1" w:qFormat="1"/>
    <w:lsdException w:name="table of figures" w:semiHidden="1" w:unhideWhenUsed="1"/>
    <w:lsdException w:name="envelope address" w:semiHidden="1" w:unhideWhenUsed="1"/>
    <w:lsdException w:name="envelope return" w:semiHidden="1" w:unhideWhenUsed="1"/>
    <w:lsdException w:name="footnote reference" w:uiPriority="0"/>
    <w:lsdException w:name="line number" w:semiHidden="1" w:unhideWhenUsed="1"/>
    <w:lsdException w:name="page number" w:uiPriority="0" w:qFormat="1"/>
    <w:lsdException w:name="endnote reference" w:uiPriority="0" w:qFormat="1"/>
    <w:lsdException w:name="endnote text" w:uiPriority="0"/>
    <w:lsdException w:name="table of authorities" w:semiHidden="1" w:unhideWhenUsed="1"/>
    <w:lsdException w:name="macro" w:semiHidden="1" w:unhideWhenUsed="1"/>
    <w:lsdException w:name="toa heading" w:semiHidden="1" w:unhideWhenUsed="1"/>
    <w:lsdException w:name="List" w:semiHidden="1" w:unhideWhenUsed="1"/>
    <w:lsdException w:name="List Bullet" w:uiPriority="0"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qFormat="1"/>
    <w:lsdException w:name="Body Text First Indent" w:uiPriority="0"/>
    <w:lsdException w:name="Body Text First Indent 2" w:semiHidden="1" w:unhideWhenUsed="1"/>
    <w:lsdException w:name="Note Heading" w:semiHidden="1" w:unhideWhenUsed="1"/>
    <w:lsdException w:name="Body Text 2" w:uiPriority="0" w:qFormat="1"/>
    <w:lsdException w:name="Body Text 3" w:semiHidden="1" w:unhideWhenUsed="1"/>
    <w:lsdException w:name="Body Text Indent 2" w:uiPriority="0"/>
    <w:lsdException w:name="Body Text Indent 3" w:uiPriority="0" w:qFormat="1"/>
    <w:lsdException w:name="Block Text" w:semiHidden="1" w:unhideWhenUsed="1"/>
    <w:lsdException w:name="Hyperlink" w:qFormat="1"/>
    <w:lsdException w:name="FollowedHyperlink" w:uiPriority="0"/>
    <w:lsdException w:name="Strong" w:uiPriority="22" w:qFormat="1"/>
    <w:lsdException w:name="Emphasis" w:uiPriority="20" w:qFormat="1"/>
    <w:lsdException w:name="Document Map" w:uiPriority="0"/>
    <w:lsdException w:name="Plain Text" w:uiPriority="0" w:qFormat="1"/>
    <w:lsdException w:name="E-mail Signature" w:semiHidden="1" w:unhideWhenUsed="1"/>
    <w:lsdException w:name="HTML Top of Form" w:semiHidden="1" w:unhideWhenUsed="1"/>
    <w:lsdException w:name="HTML Bottom of Form"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uiPriority="0"/>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uiPriority="0" w:qFormat="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lsdException w:name="Table Grid" w:uiPriority="0" w:qFormat="1"/>
    <w:lsdException w:name="Table Theme" w:uiPriority="0"/>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0">
    <w:name w:val="Normal"/>
    <w:qFormat/>
    <w:pPr>
      <w:widowControl w:val="0"/>
      <w:jc w:val="both"/>
    </w:pPr>
    <w:rPr>
      <w:rFonts w:ascii="Times New Roman" w:hAnsi="Times New Roman"/>
      <w:kern w:val="2"/>
      <w:sz w:val="21"/>
      <w:szCs w:val="24"/>
    </w:rPr>
  </w:style>
  <w:style w:type="paragraph" w:styleId="11">
    <w:name w:val="heading 1"/>
    <w:basedOn w:val="a0"/>
    <w:next w:val="a0"/>
    <w:link w:val="1Char"/>
    <w:qFormat/>
    <w:pPr>
      <w:keepNext/>
      <w:keepLines/>
      <w:autoSpaceDE w:val="0"/>
      <w:autoSpaceDN w:val="0"/>
      <w:adjustRightInd w:val="0"/>
      <w:spacing w:before="360" w:after="360"/>
      <w:jc w:val="center"/>
      <w:textAlignment w:val="baseline"/>
      <w:outlineLvl w:val="0"/>
    </w:pPr>
    <w:rPr>
      <w:rFonts w:ascii="宋体" w:eastAsia="黑体"/>
      <w:kern w:val="0"/>
      <w:sz w:val="24"/>
      <w:szCs w:val="20"/>
      <w:lang w:val="zh-CN"/>
    </w:rPr>
  </w:style>
  <w:style w:type="paragraph" w:styleId="20">
    <w:name w:val="heading 2"/>
    <w:basedOn w:val="a0"/>
    <w:next w:val="a0"/>
    <w:link w:val="2Char"/>
    <w:uiPriority w:val="9"/>
    <w:qFormat/>
    <w:pPr>
      <w:keepNext/>
      <w:keepLines/>
      <w:autoSpaceDE w:val="0"/>
      <w:autoSpaceDN w:val="0"/>
      <w:adjustRightInd w:val="0"/>
      <w:spacing w:before="240" w:after="240" w:line="360" w:lineRule="auto"/>
      <w:jc w:val="left"/>
      <w:textAlignment w:val="baseline"/>
      <w:outlineLvl w:val="1"/>
    </w:pPr>
    <w:rPr>
      <w:rFonts w:ascii="Arial" w:eastAsia="黑体" w:hAnsi="Arial"/>
      <w:b/>
      <w:kern w:val="0"/>
      <w:sz w:val="32"/>
      <w:szCs w:val="20"/>
      <w:lang w:val="zh-CN"/>
    </w:rPr>
  </w:style>
  <w:style w:type="paragraph" w:styleId="3">
    <w:name w:val="heading 3"/>
    <w:basedOn w:val="a0"/>
    <w:next w:val="a0"/>
    <w:link w:val="3Char"/>
    <w:qFormat/>
    <w:pPr>
      <w:keepNext/>
      <w:keepLines/>
      <w:spacing w:before="260" w:after="260" w:line="416" w:lineRule="auto"/>
      <w:outlineLvl w:val="2"/>
    </w:pPr>
    <w:rPr>
      <w:b/>
      <w:bCs/>
      <w:kern w:val="0"/>
      <w:sz w:val="20"/>
      <w:szCs w:val="32"/>
      <w:lang w:val="zh-CN"/>
    </w:rPr>
  </w:style>
  <w:style w:type="paragraph" w:styleId="4">
    <w:name w:val="heading 4"/>
    <w:basedOn w:val="a0"/>
    <w:next w:val="a0"/>
    <w:link w:val="4Char"/>
    <w:qFormat/>
    <w:pPr>
      <w:keepNext/>
      <w:keepLines/>
      <w:autoSpaceDE w:val="0"/>
      <w:autoSpaceDN w:val="0"/>
      <w:adjustRightInd w:val="0"/>
      <w:spacing w:before="280" w:after="290" w:line="376" w:lineRule="auto"/>
      <w:textAlignment w:val="baseline"/>
      <w:outlineLvl w:val="3"/>
    </w:pPr>
    <w:rPr>
      <w:rFonts w:ascii="Arial" w:eastAsia="黑体" w:hAnsi="Arial"/>
      <w:b/>
      <w:kern w:val="0"/>
      <w:sz w:val="28"/>
      <w:szCs w:val="20"/>
      <w:lang w:val="zh-CN"/>
    </w:rPr>
  </w:style>
  <w:style w:type="paragraph" w:styleId="5">
    <w:name w:val="heading 5"/>
    <w:basedOn w:val="a0"/>
    <w:next w:val="a0"/>
    <w:link w:val="5Char"/>
    <w:qFormat/>
    <w:pPr>
      <w:keepNext/>
      <w:keepLines/>
      <w:autoSpaceDE w:val="0"/>
      <w:autoSpaceDN w:val="0"/>
      <w:adjustRightInd w:val="0"/>
      <w:spacing w:before="280" w:after="290" w:line="376" w:lineRule="auto"/>
      <w:textAlignment w:val="baseline"/>
      <w:outlineLvl w:val="4"/>
    </w:pPr>
    <w:rPr>
      <w:rFonts w:ascii="宋体"/>
      <w:b/>
      <w:kern w:val="0"/>
      <w:sz w:val="28"/>
      <w:szCs w:val="20"/>
      <w:lang w:val="zh-CN"/>
    </w:rPr>
  </w:style>
  <w:style w:type="paragraph" w:styleId="6">
    <w:name w:val="heading 6"/>
    <w:basedOn w:val="a0"/>
    <w:next w:val="a0"/>
    <w:link w:val="6Char"/>
    <w:qFormat/>
    <w:pPr>
      <w:keepNext/>
      <w:keepLines/>
      <w:autoSpaceDE w:val="0"/>
      <w:autoSpaceDN w:val="0"/>
      <w:adjustRightInd w:val="0"/>
      <w:spacing w:before="240" w:after="64" w:line="320" w:lineRule="auto"/>
      <w:textAlignment w:val="baseline"/>
      <w:outlineLvl w:val="5"/>
    </w:pPr>
    <w:rPr>
      <w:rFonts w:ascii="Arial" w:eastAsia="黑体" w:hAnsi="Arial"/>
      <w:b/>
      <w:kern w:val="0"/>
      <w:sz w:val="24"/>
      <w:szCs w:val="20"/>
      <w:lang w:val="zh-CN"/>
    </w:rPr>
  </w:style>
  <w:style w:type="paragraph" w:styleId="7">
    <w:name w:val="heading 7"/>
    <w:basedOn w:val="a0"/>
    <w:next w:val="a0"/>
    <w:link w:val="7Char"/>
    <w:qFormat/>
    <w:pPr>
      <w:keepNext/>
      <w:keepLines/>
      <w:autoSpaceDE w:val="0"/>
      <w:autoSpaceDN w:val="0"/>
      <w:adjustRightInd w:val="0"/>
      <w:spacing w:before="240" w:after="64" w:line="320" w:lineRule="auto"/>
      <w:textAlignment w:val="baseline"/>
      <w:outlineLvl w:val="6"/>
    </w:pPr>
    <w:rPr>
      <w:rFonts w:ascii="宋体"/>
      <w:b/>
      <w:kern w:val="0"/>
      <w:sz w:val="24"/>
      <w:szCs w:val="20"/>
      <w:lang w:val="zh-CN"/>
    </w:rPr>
  </w:style>
  <w:style w:type="paragraph" w:styleId="8">
    <w:name w:val="heading 8"/>
    <w:basedOn w:val="a0"/>
    <w:next w:val="a0"/>
    <w:link w:val="8Char"/>
    <w:qFormat/>
    <w:pPr>
      <w:keepNext/>
      <w:keepLines/>
      <w:autoSpaceDE w:val="0"/>
      <w:autoSpaceDN w:val="0"/>
      <w:adjustRightInd w:val="0"/>
      <w:spacing w:before="240" w:after="64" w:line="320" w:lineRule="auto"/>
      <w:textAlignment w:val="baseline"/>
      <w:outlineLvl w:val="7"/>
    </w:pPr>
    <w:rPr>
      <w:rFonts w:ascii="Arial" w:eastAsia="黑体" w:hAnsi="Arial"/>
      <w:kern w:val="0"/>
      <w:sz w:val="24"/>
      <w:szCs w:val="20"/>
      <w:lang w:val="zh-CN"/>
    </w:rPr>
  </w:style>
  <w:style w:type="paragraph" w:styleId="9">
    <w:name w:val="heading 9"/>
    <w:basedOn w:val="a0"/>
    <w:next w:val="a0"/>
    <w:link w:val="9Char"/>
    <w:qFormat/>
    <w:pPr>
      <w:keepNext/>
      <w:keepLines/>
      <w:autoSpaceDE w:val="0"/>
      <w:autoSpaceDN w:val="0"/>
      <w:adjustRightInd w:val="0"/>
      <w:spacing w:before="240" w:after="64" w:line="320" w:lineRule="auto"/>
      <w:textAlignment w:val="baseline"/>
      <w:outlineLvl w:val="8"/>
    </w:pPr>
    <w:rPr>
      <w:rFonts w:ascii="Arial" w:eastAsia="黑体" w:hAnsi="Arial"/>
      <w:kern w:val="0"/>
      <w:sz w:val="20"/>
      <w:szCs w:val="20"/>
      <w:lang w:val="zh-CN"/>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annotation subject"/>
    <w:basedOn w:val="a5"/>
    <w:next w:val="a5"/>
    <w:link w:val="Char"/>
    <w:rPr>
      <w:b/>
      <w:bCs/>
    </w:rPr>
  </w:style>
  <w:style w:type="paragraph" w:styleId="a5">
    <w:name w:val="annotation text"/>
    <w:basedOn w:val="a0"/>
    <w:link w:val="Char0"/>
    <w:uiPriority w:val="99"/>
    <w:qFormat/>
    <w:pPr>
      <w:jc w:val="left"/>
    </w:pPr>
    <w:rPr>
      <w:kern w:val="0"/>
      <w:sz w:val="20"/>
      <w:lang w:val="zh-CN"/>
    </w:rPr>
  </w:style>
  <w:style w:type="paragraph" w:styleId="70">
    <w:name w:val="toc 7"/>
    <w:basedOn w:val="a0"/>
    <w:next w:val="a0"/>
    <w:pPr>
      <w:spacing w:after="120" w:line="360" w:lineRule="auto"/>
      <w:ind w:left="2520" w:firstLine="480"/>
    </w:pPr>
    <w:rPr>
      <w:rFonts w:ascii="宋体" w:hAnsi="宋体" w:cs="Arial"/>
      <w:bCs/>
      <w:color w:val="000000"/>
      <w:kern w:val="0"/>
      <w:szCs w:val="21"/>
      <w:lang w:val="zh-CN"/>
    </w:rPr>
  </w:style>
  <w:style w:type="paragraph" w:styleId="a6">
    <w:name w:val="Body Text First Indent"/>
    <w:basedOn w:val="a7"/>
    <w:link w:val="Char1"/>
    <w:pPr>
      <w:spacing w:after="120"/>
      <w:ind w:firstLineChars="100" w:firstLine="420"/>
    </w:pPr>
    <w:rPr>
      <w:rFonts w:ascii="Times New Roman" w:hAnsi="Times New Roman"/>
      <w:szCs w:val="24"/>
    </w:rPr>
  </w:style>
  <w:style w:type="paragraph" w:styleId="a7">
    <w:name w:val="Body Text"/>
    <w:basedOn w:val="a0"/>
    <w:link w:val="Char2"/>
    <w:qFormat/>
    <w:rPr>
      <w:rFonts w:ascii="宋体" w:hAnsi="宋体"/>
      <w:kern w:val="0"/>
      <w:sz w:val="24"/>
      <w:szCs w:val="21"/>
      <w:lang w:val="zh-CN"/>
    </w:rPr>
  </w:style>
  <w:style w:type="paragraph" w:styleId="a8">
    <w:name w:val="Normal Indent"/>
    <w:basedOn w:val="a0"/>
    <w:qFormat/>
    <w:pPr>
      <w:ind w:firstLine="420"/>
    </w:pPr>
    <w:rPr>
      <w:szCs w:val="20"/>
    </w:rPr>
  </w:style>
  <w:style w:type="paragraph" w:styleId="a9">
    <w:name w:val="caption"/>
    <w:basedOn w:val="a0"/>
    <w:next w:val="a0"/>
    <w:unhideWhenUsed/>
    <w:qFormat/>
    <w:pPr>
      <w:spacing w:line="360" w:lineRule="auto"/>
      <w:ind w:firstLineChars="200" w:firstLine="200"/>
    </w:pPr>
    <w:rPr>
      <w:rFonts w:ascii="Cambria" w:eastAsia="黑体" w:hAnsi="Cambria"/>
      <w:sz w:val="20"/>
      <w:szCs w:val="20"/>
    </w:rPr>
  </w:style>
  <w:style w:type="paragraph" w:styleId="aa">
    <w:name w:val="List Bullet"/>
    <w:basedOn w:val="a0"/>
    <w:qFormat/>
    <w:pPr>
      <w:tabs>
        <w:tab w:val="left" w:pos="360"/>
      </w:tabs>
      <w:autoSpaceDE w:val="0"/>
      <w:autoSpaceDN w:val="0"/>
      <w:adjustRightInd w:val="0"/>
      <w:spacing w:after="120"/>
      <w:ind w:left="360" w:hangingChars="200" w:hanging="360"/>
      <w:textAlignment w:val="baseline"/>
    </w:pPr>
    <w:rPr>
      <w:rFonts w:ascii="宋体"/>
      <w:kern w:val="0"/>
      <w:sz w:val="28"/>
      <w:szCs w:val="20"/>
    </w:rPr>
  </w:style>
  <w:style w:type="paragraph" w:styleId="ab">
    <w:name w:val="Document Map"/>
    <w:basedOn w:val="a0"/>
    <w:link w:val="Char3"/>
    <w:pPr>
      <w:shd w:val="clear" w:color="auto" w:fill="000080"/>
      <w:spacing w:after="120" w:line="360" w:lineRule="auto"/>
      <w:ind w:firstLine="480"/>
    </w:pPr>
    <w:rPr>
      <w:rFonts w:ascii="宋体" w:hAnsi="宋体"/>
      <w:bCs/>
      <w:color w:val="000000"/>
      <w:kern w:val="0"/>
      <w:sz w:val="20"/>
      <w:szCs w:val="21"/>
      <w:lang w:val="zh-CN"/>
    </w:rPr>
  </w:style>
  <w:style w:type="paragraph" w:styleId="ac">
    <w:name w:val="Body Text Indent"/>
    <w:basedOn w:val="a0"/>
    <w:link w:val="Char4"/>
    <w:qFormat/>
    <w:pPr>
      <w:ind w:firstLine="540"/>
    </w:pPr>
    <w:rPr>
      <w:kern w:val="0"/>
      <w:sz w:val="24"/>
      <w:szCs w:val="20"/>
      <w:lang w:val="zh-CN"/>
    </w:rPr>
  </w:style>
  <w:style w:type="paragraph" w:styleId="50">
    <w:name w:val="toc 5"/>
    <w:basedOn w:val="a0"/>
    <w:next w:val="a0"/>
    <w:pPr>
      <w:spacing w:after="120" w:line="360" w:lineRule="auto"/>
      <w:ind w:left="1680" w:firstLine="480"/>
    </w:pPr>
    <w:rPr>
      <w:rFonts w:ascii="宋体" w:hAnsi="宋体" w:cs="Arial"/>
      <w:bCs/>
      <w:color w:val="000000"/>
      <w:kern w:val="0"/>
      <w:szCs w:val="21"/>
      <w:lang w:val="zh-CN"/>
    </w:rPr>
  </w:style>
  <w:style w:type="paragraph" w:styleId="30">
    <w:name w:val="toc 3"/>
    <w:basedOn w:val="a0"/>
    <w:next w:val="a0"/>
    <w:qFormat/>
    <w:pPr>
      <w:spacing w:after="120" w:line="360" w:lineRule="auto"/>
      <w:ind w:left="840" w:firstLine="480"/>
    </w:pPr>
    <w:rPr>
      <w:rFonts w:ascii="宋体" w:hAnsi="宋体" w:cs="Arial"/>
      <w:bCs/>
      <w:color w:val="000000"/>
      <w:kern w:val="0"/>
      <w:szCs w:val="21"/>
      <w:lang w:val="zh-CN"/>
    </w:rPr>
  </w:style>
  <w:style w:type="paragraph" w:styleId="ad">
    <w:name w:val="Plain Text"/>
    <w:basedOn w:val="a0"/>
    <w:link w:val="Char5"/>
    <w:qFormat/>
    <w:pPr>
      <w:widowControl/>
      <w:spacing w:before="100" w:beforeAutospacing="1" w:after="100" w:afterAutospacing="1"/>
      <w:jc w:val="left"/>
    </w:pPr>
    <w:rPr>
      <w:rFonts w:ascii="Arial Unicode MS" w:eastAsia="Arial Unicode MS" w:hAnsi="Arial Unicode MS"/>
      <w:kern w:val="0"/>
      <w:sz w:val="24"/>
      <w:lang w:val="zh-CN"/>
    </w:rPr>
  </w:style>
  <w:style w:type="paragraph" w:styleId="80">
    <w:name w:val="toc 8"/>
    <w:basedOn w:val="a0"/>
    <w:next w:val="a0"/>
    <w:pPr>
      <w:spacing w:after="120" w:line="360" w:lineRule="auto"/>
      <w:ind w:left="2940" w:firstLine="480"/>
    </w:pPr>
    <w:rPr>
      <w:rFonts w:ascii="宋体" w:hAnsi="宋体" w:cs="Arial"/>
      <w:bCs/>
      <w:color w:val="000000"/>
      <w:kern w:val="0"/>
      <w:szCs w:val="21"/>
      <w:lang w:val="zh-CN"/>
    </w:rPr>
  </w:style>
  <w:style w:type="paragraph" w:styleId="ae">
    <w:name w:val="Date"/>
    <w:basedOn w:val="a0"/>
    <w:next w:val="a0"/>
    <w:link w:val="Char6"/>
    <w:qFormat/>
    <w:pPr>
      <w:ind w:leftChars="2500" w:left="100"/>
    </w:pPr>
    <w:rPr>
      <w:rFonts w:ascii="宋体" w:hAnsi="宋体"/>
      <w:kern w:val="0"/>
      <w:sz w:val="24"/>
      <w:szCs w:val="21"/>
      <w:lang w:val="zh-CN"/>
    </w:rPr>
  </w:style>
  <w:style w:type="paragraph" w:styleId="21">
    <w:name w:val="Body Text Indent 2"/>
    <w:basedOn w:val="a0"/>
    <w:link w:val="2Char0"/>
    <w:pPr>
      <w:tabs>
        <w:tab w:val="left" w:pos="1110"/>
      </w:tabs>
      <w:spacing w:line="360" w:lineRule="auto"/>
      <w:ind w:firstLineChars="200" w:firstLine="420"/>
    </w:pPr>
    <w:rPr>
      <w:rFonts w:ascii="宋体" w:hAnsi="宋体"/>
      <w:color w:val="FF0000"/>
      <w:kern w:val="0"/>
      <w:sz w:val="20"/>
      <w:lang w:val="zh-CN"/>
    </w:rPr>
  </w:style>
  <w:style w:type="paragraph" w:styleId="af">
    <w:name w:val="endnote text"/>
    <w:basedOn w:val="a0"/>
    <w:link w:val="Char7"/>
    <w:pPr>
      <w:snapToGrid w:val="0"/>
      <w:jc w:val="left"/>
    </w:pPr>
    <w:rPr>
      <w:kern w:val="0"/>
      <w:sz w:val="20"/>
      <w:szCs w:val="20"/>
      <w:lang w:val="zh-CN"/>
    </w:rPr>
  </w:style>
  <w:style w:type="paragraph" w:styleId="af0">
    <w:name w:val="Balloon Text"/>
    <w:basedOn w:val="a0"/>
    <w:link w:val="Char8"/>
    <w:semiHidden/>
    <w:rPr>
      <w:kern w:val="0"/>
      <w:sz w:val="18"/>
      <w:szCs w:val="18"/>
      <w:lang w:val="zh-CN"/>
    </w:rPr>
  </w:style>
  <w:style w:type="paragraph" w:styleId="af1">
    <w:name w:val="footer"/>
    <w:basedOn w:val="a0"/>
    <w:link w:val="Char9"/>
    <w:uiPriority w:val="99"/>
    <w:pPr>
      <w:tabs>
        <w:tab w:val="center" w:pos="4153"/>
        <w:tab w:val="right" w:pos="8306"/>
      </w:tabs>
      <w:snapToGrid w:val="0"/>
      <w:jc w:val="left"/>
    </w:pPr>
    <w:rPr>
      <w:kern w:val="0"/>
      <w:sz w:val="18"/>
      <w:szCs w:val="18"/>
      <w:lang w:val="zh-CN"/>
    </w:rPr>
  </w:style>
  <w:style w:type="paragraph" w:styleId="af2">
    <w:name w:val="header"/>
    <w:basedOn w:val="a0"/>
    <w:link w:val="Chara"/>
    <w:uiPriority w:val="99"/>
    <w:qFormat/>
    <w:pPr>
      <w:pBdr>
        <w:bottom w:val="single" w:sz="6" w:space="1" w:color="auto"/>
      </w:pBdr>
      <w:tabs>
        <w:tab w:val="center" w:pos="4153"/>
        <w:tab w:val="right" w:pos="8306"/>
      </w:tabs>
      <w:snapToGrid w:val="0"/>
      <w:jc w:val="center"/>
    </w:pPr>
    <w:rPr>
      <w:kern w:val="0"/>
      <w:sz w:val="18"/>
      <w:szCs w:val="18"/>
      <w:lang w:val="zh-CN"/>
    </w:rPr>
  </w:style>
  <w:style w:type="paragraph" w:styleId="12">
    <w:name w:val="toc 1"/>
    <w:basedOn w:val="a0"/>
    <w:next w:val="a0"/>
    <w:uiPriority w:val="39"/>
    <w:pPr>
      <w:tabs>
        <w:tab w:val="right" w:leader="dot" w:pos="8295"/>
      </w:tabs>
      <w:snapToGrid w:val="0"/>
      <w:spacing w:line="360" w:lineRule="auto"/>
    </w:pPr>
    <w:rPr>
      <w:rFonts w:ascii="宋体" w:hAnsi="宋体"/>
      <w:caps/>
      <w:sz w:val="24"/>
    </w:rPr>
  </w:style>
  <w:style w:type="paragraph" w:styleId="40">
    <w:name w:val="toc 4"/>
    <w:basedOn w:val="a0"/>
    <w:next w:val="a0"/>
    <w:pPr>
      <w:spacing w:after="120" w:line="360" w:lineRule="auto"/>
      <w:ind w:left="1260" w:firstLine="480"/>
    </w:pPr>
    <w:rPr>
      <w:rFonts w:ascii="宋体" w:hAnsi="宋体" w:cs="Arial"/>
      <w:bCs/>
      <w:color w:val="000000"/>
      <w:kern w:val="0"/>
      <w:szCs w:val="21"/>
      <w:lang w:val="zh-CN"/>
    </w:rPr>
  </w:style>
  <w:style w:type="paragraph" w:styleId="af3">
    <w:name w:val="footnote text"/>
    <w:basedOn w:val="a0"/>
    <w:link w:val="Charb"/>
    <w:qFormat/>
    <w:pPr>
      <w:snapToGrid w:val="0"/>
      <w:jc w:val="left"/>
    </w:pPr>
    <w:rPr>
      <w:kern w:val="0"/>
      <w:sz w:val="18"/>
      <w:szCs w:val="18"/>
      <w:lang w:val="zh-CN"/>
    </w:rPr>
  </w:style>
  <w:style w:type="paragraph" w:styleId="60">
    <w:name w:val="toc 6"/>
    <w:basedOn w:val="a0"/>
    <w:next w:val="a0"/>
    <w:pPr>
      <w:spacing w:after="120" w:line="360" w:lineRule="auto"/>
      <w:ind w:left="2100" w:firstLine="480"/>
    </w:pPr>
    <w:rPr>
      <w:rFonts w:ascii="宋体" w:hAnsi="宋体" w:cs="Arial"/>
      <w:bCs/>
      <w:color w:val="000000"/>
      <w:kern w:val="0"/>
      <w:szCs w:val="21"/>
      <w:lang w:val="zh-CN"/>
    </w:rPr>
  </w:style>
  <w:style w:type="paragraph" w:styleId="31">
    <w:name w:val="Body Text Indent 3"/>
    <w:basedOn w:val="a0"/>
    <w:link w:val="3Char0"/>
    <w:qFormat/>
    <w:pPr>
      <w:spacing w:line="360" w:lineRule="auto"/>
      <w:ind w:firstLine="425"/>
    </w:pPr>
    <w:rPr>
      <w:rFonts w:ascii="宋体"/>
      <w:kern w:val="0"/>
      <w:sz w:val="20"/>
      <w:lang w:val="zh-CN"/>
    </w:rPr>
  </w:style>
  <w:style w:type="paragraph" w:styleId="22">
    <w:name w:val="toc 2"/>
    <w:basedOn w:val="a0"/>
    <w:next w:val="a0"/>
    <w:pPr>
      <w:spacing w:after="120" w:line="360" w:lineRule="auto"/>
      <w:ind w:left="420" w:firstLine="480"/>
    </w:pPr>
    <w:rPr>
      <w:rFonts w:ascii="宋体" w:hAnsi="宋体" w:cs="Arial"/>
      <w:bCs/>
      <w:color w:val="000000"/>
      <w:kern w:val="0"/>
      <w:szCs w:val="21"/>
      <w:lang w:val="zh-CN"/>
    </w:rPr>
  </w:style>
  <w:style w:type="paragraph" w:styleId="90">
    <w:name w:val="toc 9"/>
    <w:basedOn w:val="a0"/>
    <w:next w:val="a0"/>
    <w:pPr>
      <w:spacing w:after="120" w:line="360" w:lineRule="auto"/>
      <w:ind w:left="3360" w:firstLine="480"/>
    </w:pPr>
    <w:rPr>
      <w:rFonts w:ascii="宋体" w:hAnsi="宋体" w:cs="Arial"/>
      <w:bCs/>
      <w:color w:val="000000"/>
      <w:kern w:val="0"/>
      <w:szCs w:val="21"/>
      <w:lang w:val="zh-CN"/>
    </w:rPr>
  </w:style>
  <w:style w:type="paragraph" w:styleId="23">
    <w:name w:val="Body Text 2"/>
    <w:basedOn w:val="a0"/>
    <w:link w:val="2Char1"/>
    <w:qFormat/>
    <w:rPr>
      <w:kern w:val="0"/>
      <w:sz w:val="28"/>
      <w:szCs w:val="20"/>
      <w:lang w:val="zh-CN"/>
    </w:rPr>
  </w:style>
  <w:style w:type="paragraph" w:styleId="af4">
    <w:name w:val="Normal (Web)"/>
    <w:basedOn w:val="a0"/>
    <w:uiPriority w:val="99"/>
    <w:pPr>
      <w:widowControl/>
      <w:spacing w:before="100" w:beforeAutospacing="1" w:after="100" w:afterAutospacing="1"/>
      <w:jc w:val="left"/>
    </w:pPr>
    <w:rPr>
      <w:rFonts w:ascii="宋体" w:hAnsi="宋体"/>
      <w:kern w:val="0"/>
      <w:sz w:val="24"/>
    </w:rPr>
  </w:style>
  <w:style w:type="paragraph" w:styleId="af5">
    <w:name w:val="Title"/>
    <w:basedOn w:val="a0"/>
    <w:link w:val="Charc"/>
    <w:qFormat/>
    <w:pPr>
      <w:autoSpaceDE w:val="0"/>
      <w:autoSpaceDN w:val="0"/>
      <w:adjustRightInd w:val="0"/>
      <w:spacing w:before="240" w:after="60"/>
      <w:jc w:val="center"/>
      <w:textAlignment w:val="baseline"/>
      <w:outlineLvl w:val="0"/>
    </w:pPr>
    <w:rPr>
      <w:rFonts w:ascii="Arial" w:hAnsi="Arial"/>
      <w:b/>
      <w:bCs/>
      <w:kern w:val="0"/>
      <w:sz w:val="32"/>
      <w:szCs w:val="32"/>
      <w:lang w:val="zh-CN"/>
    </w:rPr>
  </w:style>
  <w:style w:type="character" w:styleId="af6">
    <w:name w:val="Strong"/>
    <w:uiPriority w:val="22"/>
    <w:qFormat/>
    <w:rPr>
      <w:b/>
      <w:bCs/>
    </w:rPr>
  </w:style>
  <w:style w:type="character" w:styleId="af7">
    <w:name w:val="endnote reference"/>
    <w:qFormat/>
    <w:rPr>
      <w:vertAlign w:val="superscript"/>
    </w:rPr>
  </w:style>
  <w:style w:type="character" w:styleId="af8">
    <w:name w:val="page number"/>
    <w:basedOn w:val="a1"/>
    <w:qFormat/>
  </w:style>
  <w:style w:type="character" w:styleId="af9">
    <w:name w:val="FollowedHyperlink"/>
    <w:rPr>
      <w:color w:val="800080"/>
      <w:u w:val="single"/>
    </w:rPr>
  </w:style>
  <w:style w:type="character" w:styleId="afa">
    <w:name w:val="Emphasis"/>
    <w:uiPriority w:val="20"/>
    <w:qFormat/>
    <w:rPr>
      <w:i/>
      <w:iCs/>
    </w:rPr>
  </w:style>
  <w:style w:type="character" w:styleId="afb">
    <w:name w:val="Hyperlink"/>
    <w:uiPriority w:val="99"/>
    <w:qFormat/>
    <w:rPr>
      <w:color w:val="0000FF"/>
      <w:u w:val="single"/>
    </w:rPr>
  </w:style>
  <w:style w:type="character" w:styleId="afc">
    <w:name w:val="annotation reference"/>
    <w:uiPriority w:val="99"/>
    <w:rPr>
      <w:sz w:val="21"/>
      <w:szCs w:val="21"/>
    </w:rPr>
  </w:style>
  <w:style w:type="character" w:styleId="afd">
    <w:name w:val="footnote reference"/>
    <w:rPr>
      <w:vertAlign w:val="superscript"/>
    </w:rPr>
  </w:style>
  <w:style w:type="table" w:styleId="afe">
    <w:name w:val="Table Grid"/>
    <w:basedOn w:val="a2"/>
    <w:qFormat/>
    <w:rPr>
      <w:rFonts w:ascii="Times New Roman" w:hAnsi="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aff">
    <w:name w:val="Table Theme"/>
    <w:basedOn w:val="a2"/>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3">
    <w:name w:val="Table Colorful 1"/>
    <w:basedOn w:val="a2"/>
    <w:qFormat/>
    <w:pPr>
      <w:widowControl w:val="0"/>
      <w:jc w:val="both"/>
    </w:pPr>
    <w:rPr>
      <w:rFonts w:ascii="Times New Roman" w:hAnsi="Times New Roman"/>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character" w:customStyle="1" w:styleId="1Char">
    <w:name w:val="标题 1 Char"/>
    <w:link w:val="11"/>
    <w:rPr>
      <w:rFonts w:ascii="宋体" w:eastAsia="黑体" w:hAnsi="Times New Roman" w:cs="Times New Roman"/>
      <w:kern w:val="0"/>
      <w:sz w:val="24"/>
      <w:szCs w:val="20"/>
    </w:rPr>
  </w:style>
  <w:style w:type="character" w:customStyle="1" w:styleId="2Char">
    <w:name w:val="标题 2 Char"/>
    <w:link w:val="20"/>
    <w:uiPriority w:val="9"/>
    <w:rPr>
      <w:rFonts w:ascii="Arial" w:eastAsia="黑体" w:hAnsi="Arial" w:cs="Times New Roman"/>
      <w:b/>
      <w:kern w:val="0"/>
      <w:sz w:val="32"/>
      <w:szCs w:val="20"/>
    </w:rPr>
  </w:style>
  <w:style w:type="character" w:customStyle="1" w:styleId="3Char">
    <w:name w:val="标题 3 Char"/>
    <w:link w:val="3"/>
    <w:qFormat/>
    <w:rPr>
      <w:rFonts w:ascii="Times New Roman" w:hAnsi="Times New Roman"/>
      <w:b/>
      <w:bCs/>
      <w:szCs w:val="32"/>
      <w:lang w:val="zh-CN" w:eastAsia="zh-CN"/>
    </w:rPr>
  </w:style>
  <w:style w:type="character" w:customStyle="1" w:styleId="4Char">
    <w:name w:val="标题 4 Char"/>
    <w:link w:val="4"/>
    <w:rPr>
      <w:rFonts w:ascii="Arial" w:eastAsia="黑体" w:hAnsi="Arial" w:cs="Times New Roman"/>
      <w:b/>
      <w:kern w:val="0"/>
      <w:sz w:val="28"/>
      <w:szCs w:val="20"/>
    </w:rPr>
  </w:style>
  <w:style w:type="character" w:customStyle="1" w:styleId="5Char">
    <w:name w:val="标题 5 Char"/>
    <w:link w:val="5"/>
    <w:rPr>
      <w:rFonts w:ascii="宋体" w:eastAsia="宋体" w:hAnsi="Times New Roman" w:cs="Times New Roman"/>
      <w:b/>
      <w:kern w:val="0"/>
      <w:sz w:val="28"/>
      <w:szCs w:val="20"/>
    </w:rPr>
  </w:style>
  <w:style w:type="character" w:customStyle="1" w:styleId="6Char">
    <w:name w:val="标题 6 Char"/>
    <w:link w:val="6"/>
    <w:qFormat/>
    <w:rPr>
      <w:rFonts w:ascii="Arial" w:eastAsia="黑体" w:hAnsi="Arial" w:cs="Times New Roman"/>
      <w:b/>
      <w:kern w:val="0"/>
      <w:sz w:val="24"/>
      <w:szCs w:val="20"/>
    </w:rPr>
  </w:style>
  <w:style w:type="character" w:customStyle="1" w:styleId="7Char">
    <w:name w:val="标题 7 Char"/>
    <w:link w:val="7"/>
    <w:qFormat/>
    <w:rPr>
      <w:rFonts w:ascii="宋体" w:eastAsia="宋体" w:hAnsi="Times New Roman" w:cs="Times New Roman"/>
      <w:b/>
      <w:kern w:val="0"/>
      <w:sz w:val="24"/>
      <w:szCs w:val="20"/>
    </w:rPr>
  </w:style>
  <w:style w:type="character" w:customStyle="1" w:styleId="8Char">
    <w:name w:val="标题 8 Char"/>
    <w:link w:val="8"/>
    <w:qFormat/>
    <w:rPr>
      <w:rFonts w:ascii="Arial" w:eastAsia="黑体" w:hAnsi="Arial" w:cs="Times New Roman"/>
      <w:kern w:val="0"/>
      <w:sz w:val="24"/>
      <w:szCs w:val="20"/>
    </w:rPr>
  </w:style>
  <w:style w:type="character" w:customStyle="1" w:styleId="9Char">
    <w:name w:val="标题 9 Char"/>
    <w:link w:val="9"/>
    <w:rPr>
      <w:rFonts w:ascii="Arial" w:eastAsia="黑体" w:hAnsi="Arial"/>
      <w:lang w:val="zh-CN" w:eastAsia="zh-CN"/>
    </w:rPr>
  </w:style>
  <w:style w:type="paragraph" w:customStyle="1" w:styleId="Chard">
    <w:name w:val="Char"/>
    <w:basedOn w:val="a0"/>
    <w:pPr>
      <w:widowControl/>
      <w:spacing w:after="160" w:line="240" w:lineRule="exact"/>
      <w:jc w:val="left"/>
    </w:pPr>
    <w:rPr>
      <w:rFonts w:ascii="Verdana" w:hAnsi="Verdana"/>
      <w:kern w:val="0"/>
      <w:sz w:val="20"/>
      <w:szCs w:val="20"/>
      <w:lang w:eastAsia="en-US"/>
    </w:rPr>
  </w:style>
  <w:style w:type="character" w:customStyle="1" w:styleId="Chara">
    <w:name w:val="页眉 Char"/>
    <w:link w:val="af2"/>
    <w:uiPriority w:val="99"/>
    <w:qFormat/>
    <w:rPr>
      <w:rFonts w:ascii="Times New Roman" w:hAnsi="Times New Roman"/>
      <w:sz w:val="18"/>
      <w:szCs w:val="18"/>
      <w:lang w:val="zh-CN" w:eastAsia="zh-CN"/>
    </w:rPr>
  </w:style>
  <w:style w:type="character" w:customStyle="1" w:styleId="Char9">
    <w:name w:val="页脚 Char"/>
    <w:link w:val="af1"/>
    <w:uiPriority w:val="99"/>
    <w:qFormat/>
    <w:rPr>
      <w:rFonts w:ascii="Times New Roman" w:hAnsi="Times New Roman"/>
      <w:sz w:val="18"/>
      <w:szCs w:val="18"/>
      <w:lang w:val="zh-CN" w:eastAsia="zh-CN"/>
    </w:rPr>
  </w:style>
  <w:style w:type="character" w:customStyle="1" w:styleId="Char6">
    <w:name w:val="日期 Char"/>
    <w:link w:val="ae"/>
    <w:qFormat/>
    <w:rPr>
      <w:rFonts w:ascii="宋体" w:eastAsia="宋体" w:hAnsi="宋体" w:cs="Times New Roman"/>
      <w:kern w:val="0"/>
      <w:sz w:val="24"/>
      <w:szCs w:val="21"/>
    </w:rPr>
  </w:style>
  <w:style w:type="character" w:customStyle="1" w:styleId="Char2">
    <w:name w:val="正文文本 Char"/>
    <w:link w:val="a7"/>
    <w:qFormat/>
    <w:rPr>
      <w:rFonts w:ascii="宋体" w:eastAsia="宋体" w:hAnsi="宋体" w:cs="Times New Roman"/>
      <w:kern w:val="0"/>
      <w:sz w:val="24"/>
      <w:szCs w:val="21"/>
    </w:rPr>
  </w:style>
  <w:style w:type="character" w:customStyle="1" w:styleId="Char4">
    <w:name w:val="正文文本缩进 Char"/>
    <w:link w:val="ac"/>
    <w:qFormat/>
    <w:rPr>
      <w:rFonts w:ascii="Times New Roman" w:hAnsi="Times New Roman"/>
      <w:sz w:val="24"/>
      <w:lang w:val="zh-CN" w:eastAsia="zh-CN"/>
    </w:rPr>
  </w:style>
  <w:style w:type="character" w:customStyle="1" w:styleId="2Char1">
    <w:name w:val="正文文本 2 Char"/>
    <w:link w:val="23"/>
    <w:rPr>
      <w:rFonts w:ascii="Times New Roman" w:hAnsi="Times New Roman"/>
      <w:sz w:val="28"/>
      <w:lang w:val="zh-CN" w:eastAsia="zh-CN"/>
    </w:rPr>
  </w:style>
  <w:style w:type="character" w:customStyle="1" w:styleId="tt11">
    <w:name w:val="tt11"/>
    <w:qFormat/>
    <w:rPr>
      <w:spacing w:val="400"/>
      <w:sz w:val="22"/>
      <w:szCs w:val="22"/>
    </w:rPr>
  </w:style>
  <w:style w:type="character" w:customStyle="1" w:styleId="2Char0">
    <w:name w:val="正文文本缩进 2 Char"/>
    <w:link w:val="21"/>
    <w:qFormat/>
    <w:rPr>
      <w:rFonts w:ascii="宋体" w:hAnsi="宋体"/>
      <w:color w:val="FF0000"/>
      <w:szCs w:val="24"/>
      <w:lang w:val="zh-CN" w:eastAsia="zh-CN"/>
    </w:rPr>
  </w:style>
  <w:style w:type="character" w:customStyle="1" w:styleId="c">
    <w:name w:val="c"/>
    <w:basedOn w:val="a1"/>
    <w:qFormat/>
  </w:style>
  <w:style w:type="character" w:customStyle="1" w:styleId="3Char0">
    <w:name w:val="正文文本缩进 3 Char"/>
    <w:link w:val="31"/>
    <w:rPr>
      <w:rFonts w:ascii="宋体" w:hAnsi="Times New Roman"/>
      <w:szCs w:val="24"/>
      <w:lang w:val="zh-CN" w:eastAsia="zh-CN"/>
    </w:rPr>
  </w:style>
  <w:style w:type="character" w:customStyle="1" w:styleId="read">
    <w:name w:val="read"/>
    <w:basedOn w:val="a1"/>
    <w:qFormat/>
  </w:style>
  <w:style w:type="character" w:customStyle="1" w:styleId="read1">
    <w:name w:val="read1"/>
    <w:rPr>
      <w:rFonts w:hint="default"/>
      <w:color w:val="000000"/>
      <w:spacing w:val="450"/>
      <w:u w:val="none"/>
    </w:rPr>
  </w:style>
  <w:style w:type="paragraph" w:customStyle="1" w:styleId="2">
    <w:name w:val="列表2"/>
    <w:basedOn w:val="a0"/>
    <w:next w:val="af5"/>
    <w:qFormat/>
    <w:pPr>
      <w:numPr>
        <w:numId w:val="1"/>
      </w:numPr>
      <w:spacing w:line="360" w:lineRule="auto"/>
    </w:pPr>
    <w:rPr>
      <w:rFonts w:ascii="宋体"/>
      <w:szCs w:val="20"/>
    </w:rPr>
  </w:style>
  <w:style w:type="character" w:customStyle="1" w:styleId="Charc">
    <w:name w:val="标题 Char"/>
    <w:link w:val="af5"/>
    <w:rPr>
      <w:rFonts w:ascii="Arial" w:eastAsia="宋体" w:hAnsi="Arial" w:cs="Arial"/>
      <w:b/>
      <w:bCs/>
      <w:kern w:val="0"/>
      <w:sz w:val="32"/>
      <w:szCs w:val="32"/>
    </w:rPr>
  </w:style>
  <w:style w:type="paragraph" w:customStyle="1" w:styleId="1">
    <w:name w:val="列表1"/>
    <w:basedOn w:val="a0"/>
    <w:next w:val="a0"/>
    <w:qFormat/>
    <w:pPr>
      <w:numPr>
        <w:numId w:val="2"/>
      </w:numPr>
      <w:spacing w:line="360" w:lineRule="auto"/>
    </w:pPr>
    <w:rPr>
      <w:szCs w:val="20"/>
    </w:rPr>
  </w:style>
  <w:style w:type="paragraph" w:customStyle="1" w:styleId="Default">
    <w:name w:val="Default"/>
    <w:qFormat/>
    <w:pPr>
      <w:widowControl w:val="0"/>
      <w:autoSpaceDE w:val="0"/>
      <w:autoSpaceDN w:val="0"/>
      <w:adjustRightInd w:val="0"/>
    </w:pPr>
    <w:rPr>
      <w:rFonts w:ascii="宋体" w:hAnsi="Times New Roman"/>
      <w:color w:val="000000"/>
      <w:sz w:val="24"/>
      <w:szCs w:val="24"/>
    </w:rPr>
  </w:style>
  <w:style w:type="character" w:customStyle="1" w:styleId="font21">
    <w:name w:val="font21"/>
    <w:rPr>
      <w:color w:val="CC6600"/>
      <w:sz w:val="20"/>
      <w:szCs w:val="20"/>
    </w:rPr>
  </w:style>
  <w:style w:type="character" w:customStyle="1" w:styleId="big1">
    <w:name w:val="big1"/>
    <w:qFormat/>
    <w:rPr>
      <w:spacing w:val="360"/>
      <w:sz w:val="25"/>
      <w:szCs w:val="25"/>
    </w:rPr>
  </w:style>
  <w:style w:type="paragraph" w:customStyle="1" w:styleId="content">
    <w:name w:val="content"/>
    <w:basedOn w:val="a0"/>
    <w:qFormat/>
    <w:pPr>
      <w:widowControl/>
      <w:spacing w:before="100" w:beforeAutospacing="1" w:after="100" w:afterAutospacing="1" w:line="270" w:lineRule="atLeast"/>
      <w:jc w:val="left"/>
    </w:pPr>
    <w:rPr>
      <w:rFonts w:ascii="Arial Unicode MS" w:eastAsia="Arial Unicode MS" w:hAnsi="Arial Unicode MS" w:cs="Arial Unicode MS"/>
      <w:kern w:val="0"/>
      <w:sz w:val="18"/>
      <w:szCs w:val="18"/>
    </w:rPr>
  </w:style>
  <w:style w:type="paragraph" w:customStyle="1" w:styleId="41">
    <w:name w:val="标题4"/>
    <w:basedOn w:val="ac"/>
    <w:qFormat/>
    <w:pPr>
      <w:spacing w:line="360" w:lineRule="auto"/>
      <w:ind w:firstLine="0"/>
    </w:pPr>
    <w:rPr>
      <w:szCs w:val="24"/>
    </w:rPr>
  </w:style>
  <w:style w:type="character" w:customStyle="1" w:styleId="Char5">
    <w:name w:val="纯文本 Char"/>
    <w:link w:val="ad"/>
    <w:rPr>
      <w:rFonts w:ascii="Arial Unicode MS" w:eastAsia="Arial Unicode MS" w:hAnsi="Arial Unicode MS" w:cs="Arial Unicode MS"/>
      <w:kern w:val="0"/>
      <w:sz w:val="24"/>
      <w:szCs w:val="24"/>
    </w:rPr>
  </w:style>
  <w:style w:type="paragraph" w:customStyle="1" w:styleId="2211">
    <w:name w:val="样式 标题 2 + 首行缩进:  2 字符 段前: 1 行 段后: 1 行"/>
    <w:basedOn w:val="20"/>
    <w:qFormat/>
    <w:pPr>
      <w:tabs>
        <w:tab w:val="left" w:pos="1276"/>
      </w:tabs>
      <w:autoSpaceDE/>
      <w:autoSpaceDN/>
      <w:adjustRightInd/>
      <w:spacing w:before="100" w:after="100" w:line="240" w:lineRule="auto"/>
      <w:ind w:left="851"/>
      <w:jc w:val="both"/>
      <w:textAlignment w:val="auto"/>
    </w:pPr>
    <w:rPr>
      <w:rFonts w:eastAsia="宋体"/>
      <w:kern w:val="2"/>
      <w:sz w:val="28"/>
    </w:rPr>
  </w:style>
  <w:style w:type="paragraph" w:customStyle="1" w:styleId="10">
    <w:name w:val="1"/>
    <w:basedOn w:val="a0"/>
    <w:qFormat/>
    <w:pPr>
      <w:numPr>
        <w:numId w:val="3"/>
      </w:numPr>
      <w:tabs>
        <w:tab w:val="clear" w:pos="3243"/>
      </w:tabs>
      <w:spacing w:before="100" w:beforeAutospacing="1" w:after="120" w:afterAutospacing="1" w:line="360" w:lineRule="auto"/>
      <w:ind w:leftChars="200" w:left="420" w:firstLine="0"/>
    </w:pPr>
  </w:style>
  <w:style w:type="paragraph" w:customStyle="1" w:styleId="15">
    <w:name w:val="样式 宋体 四号 行距: 1.5 倍行距"/>
    <w:basedOn w:val="a0"/>
    <w:qFormat/>
    <w:pPr>
      <w:spacing w:line="360" w:lineRule="auto"/>
    </w:pPr>
    <w:rPr>
      <w:rFonts w:ascii="宋体" w:hAnsi="宋体"/>
      <w:sz w:val="24"/>
      <w:szCs w:val="20"/>
    </w:rPr>
  </w:style>
  <w:style w:type="paragraph" w:customStyle="1" w:styleId="aff0">
    <w:name w:val="正文所"/>
    <w:basedOn w:val="a0"/>
    <w:pPr>
      <w:spacing w:line="360" w:lineRule="auto"/>
      <w:ind w:firstLineChars="200" w:firstLine="420"/>
    </w:pPr>
    <w:rPr>
      <w:rFonts w:ascii="宋体"/>
      <w:szCs w:val="20"/>
    </w:rPr>
  </w:style>
  <w:style w:type="paragraph" w:customStyle="1" w:styleId="aff1">
    <w:name w:val="正文正文"/>
    <w:basedOn w:val="a0"/>
    <w:qFormat/>
    <w:pPr>
      <w:spacing w:afterLines="25" w:line="360" w:lineRule="auto"/>
      <w:ind w:firstLineChars="200" w:firstLine="200"/>
    </w:pPr>
    <w:rPr>
      <w:sz w:val="24"/>
    </w:rPr>
  </w:style>
  <w:style w:type="paragraph" w:customStyle="1" w:styleId="CharCharCharChar">
    <w:name w:val="Char Char Char Char"/>
    <w:basedOn w:val="a0"/>
    <w:qFormat/>
    <w:pPr>
      <w:tabs>
        <w:tab w:val="left" w:pos="360"/>
      </w:tabs>
    </w:pPr>
    <w:rPr>
      <w:sz w:val="24"/>
    </w:rPr>
  </w:style>
  <w:style w:type="character" w:customStyle="1" w:styleId="Charb">
    <w:name w:val="脚注文本 Char"/>
    <w:link w:val="af3"/>
    <w:qFormat/>
    <w:rPr>
      <w:rFonts w:ascii="Times New Roman" w:hAnsi="Times New Roman"/>
      <w:sz w:val="18"/>
      <w:szCs w:val="18"/>
      <w:lang w:val="zh-CN" w:eastAsia="zh-CN"/>
    </w:rPr>
  </w:style>
  <w:style w:type="paragraph" w:customStyle="1" w:styleId="Char20">
    <w:name w:val="Char2"/>
    <w:basedOn w:val="a0"/>
    <w:qFormat/>
  </w:style>
  <w:style w:type="paragraph" w:customStyle="1" w:styleId="Char1CharCharCharChar">
    <w:name w:val="Char1 Char Char Char Char"/>
    <w:basedOn w:val="a0"/>
    <w:pPr>
      <w:widowControl/>
      <w:spacing w:after="160" w:line="240" w:lineRule="exact"/>
      <w:jc w:val="left"/>
    </w:pPr>
    <w:rPr>
      <w:rFonts w:ascii="Verdana" w:hAnsi="Verdana" w:cs="Verdana"/>
      <w:kern w:val="0"/>
      <w:sz w:val="20"/>
      <w:szCs w:val="20"/>
      <w:lang w:eastAsia="en-US"/>
    </w:rPr>
  </w:style>
  <w:style w:type="character" w:customStyle="1" w:styleId="Char8">
    <w:name w:val="批注框文本 Char"/>
    <w:link w:val="af0"/>
    <w:semiHidden/>
    <w:rPr>
      <w:rFonts w:ascii="Times New Roman" w:hAnsi="Times New Roman"/>
      <w:sz w:val="18"/>
      <w:szCs w:val="18"/>
      <w:lang w:val="zh-CN" w:eastAsia="zh-CN"/>
    </w:rPr>
  </w:style>
  <w:style w:type="paragraph" w:customStyle="1" w:styleId="ParaChar">
    <w:name w:val="默认段落字体 Para Char"/>
    <w:basedOn w:val="a0"/>
    <w:pPr>
      <w:tabs>
        <w:tab w:val="left" w:pos="757"/>
      </w:tabs>
      <w:ind w:firstLine="397"/>
    </w:pPr>
    <w:rPr>
      <w:sz w:val="24"/>
    </w:rPr>
  </w:style>
  <w:style w:type="character" w:customStyle="1" w:styleId="msoins0">
    <w:name w:val="msoins"/>
    <w:basedOn w:val="a1"/>
  </w:style>
  <w:style w:type="character" w:customStyle="1" w:styleId="Char0">
    <w:name w:val="批注文字 Char"/>
    <w:link w:val="a5"/>
    <w:uiPriority w:val="99"/>
    <w:rPr>
      <w:rFonts w:ascii="Times New Roman" w:hAnsi="Times New Roman"/>
      <w:szCs w:val="24"/>
      <w:lang w:val="zh-CN" w:eastAsia="zh-CN"/>
    </w:rPr>
  </w:style>
  <w:style w:type="character" w:customStyle="1" w:styleId="Char">
    <w:name w:val="批注主题 Char"/>
    <w:link w:val="a4"/>
    <w:qFormat/>
    <w:rPr>
      <w:rFonts w:ascii="Times New Roman" w:hAnsi="Times New Roman"/>
      <w:b/>
      <w:bCs/>
      <w:szCs w:val="24"/>
      <w:lang w:val="zh-CN" w:eastAsia="zh-CN"/>
    </w:rPr>
  </w:style>
  <w:style w:type="character" w:customStyle="1" w:styleId="unnamed11">
    <w:name w:val="unnamed11"/>
    <w:rPr>
      <w:rFonts w:ascii="宋体" w:eastAsia="宋体" w:hAnsi="宋体" w:hint="eastAsia"/>
      <w:sz w:val="18"/>
      <w:szCs w:val="18"/>
    </w:rPr>
  </w:style>
  <w:style w:type="character" w:customStyle="1" w:styleId="Char1">
    <w:name w:val="正文首行缩进 Char"/>
    <w:link w:val="a6"/>
    <w:rPr>
      <w:rFonts w:ascii="Times New Roman" w:hAnsi="Times New Roman"/>
      <w:sz w:val="24"/>
      <w:szCs w:val="24"/>
      <w:lang w:val="zh-CN" w:eastAsia="zh-CN"/>
    </w:rPr>
  </w:style>
  <w:style w:type="paragraph" w:customStyle="1" w:styleId="BS8">
    <w:name w:val="BS标题8"/>
    <w:basedOn w:val="20"/>
    <w:link w:val="BS8Char"/>
    <w:pPr>
      <w:keepNext w:val="0"/>
      <w:keepLines w:val="0"/>
      <w:autoSpaceDE/>
      <w:autoSpaceDN/>
      <w:adjustRightInd/>
      <w:spacing w:before="120" w:after="120" w:line="240" w:lineRule="auto"/>
      <w:ind w:left="737" w:hanging="425"/>
      <w:textAlignment w:val="auto"/>
    </w:pPr>
    <w:rPr>
      <w:rFonts w:ascii="Times New Roman" w:eastAsia="宋体" w:hAnsi="Times New Roman"/>
      <w:b w:val="0"/>
      <w:sz w:val="20"/>
      <w:szCs w:val="32"/>
    </w:rPr>
  </w:style>
  <w:style w:type="character" w:customStyle="1" w:styleId="BS8Char">
    <w:name w:val="BS标题8 Char"/>
    <w:link w:val="BS8"/>
    <w:rPr>
      <w:rFonts w:ascii="Times New Roman" w:hAnsi="Times New Roman"/>
      <w:szCs w:val="32"/>
      <w:lang w:val="zh-CN" w:eastAsia="zh-CN"/>
    </w:rPr>
  </w:style>
  <w:style w:type="paragraph" w:customStyle="1" w:styleId="14">
    <w:name w:val="修订1"/>
    <w:hidden/>
    <w:uiPriority w:val="99"/>
    <w:semiHidden/>
    <w:rPr>
      <w:rFonts w:ascii="Times New Roman" w:hAnsi="Times New Roman"/>
      <w:kern w:val="2"/>
      <w:sz w:val="21"/>
      <w:szCs w:val="24"/>
    </w:rPr>
  </w:style>
  <w:style w:type="character" w:customStyle="1" w:styleId="Char3">
    <w:name w:val="文档结构图 Char"/>
    <w:link w:val="ab"/>
    <w:rPr>
      <w:rFonts w:ascii="宋体" w:hAnsi="宋体"/>
      <w:bCs/>
      <w:color w:val="000000"/>
      <w:szCs w:val="21"/>
      <w:shd w:val="clear" w:color="auto" w:fill="000080"/>
      <w:lang w:val="zh-CN" w:eastAsia="zh-CN"/>
    </w:rPr>
  </w:style>
  <w:style w:type="paragraph" w:customStyle="1" w:styleId="24">
    <w:name w:val="编号正文2"/>
    <w:basedOn w:val="a0"/>
    <w:pPr>
      <w:autoSpaceDE w:val="0"/>
      <w:autoSpaceDN w:val="0"/>
      <w:adjustRightInd w:val="0"/>
      <w:spacing w:after="120" w:line="300" w:lineRule="auto"/>
      <w:ind w:firstLine="480"/>
      <w:textAlignment w:val="baseline"/>
    </w:pPr>
    <w:rPr>
      <w:rFonts w:ascii="宋体"/>
      <w:color w:val="000000"/>
      <w:kern w:val="0"/>
      <w:szCs w:val="21"/>
      <w:lang w:val="zh-CN"/>
    </w:rPr>
  </w:style>
  <w:style w:type="paragraph" w:customStyle="1" w:styleId="a">
    <w:name w:val="项目"/>
    <w:basedOn w:val="4"/>
    <w:pPr>
      <w:numPr>
        <w:ilvl w:val="3"/>
        <w:numId w:val="4"/>
      </w:numPr>
      <w:autoSpaceDE/>
      <w:autoSpaceDN/>
      <w:adjustRightInd/>
      <w:snapToGrid w:val="0"/>
      <w:spacing w:before="120" w:after="120" w:line="360" w:lineRule="auto"/>
      <w:textAlignment w:val="auto"/>
    </w:pPr>
    <w:rPr>
      <w:rFonts w:ascii="Times New Roman" w:eastAsia="楷体_GB2312" w:hAnsi="Times New Roman"/>
      <w:b w:val="0"/>
      <w:bCs/>
      <w:kern w:val="2"/>
      <w:sz w:val="24"/>
    </w:rPr>
  </w:style>
  <w:style w:type="character" w:customStyle="1" w:styleId="txtcontent11">
    <w:name w:val="txtcontent11"/>
    <w:qFormat/>
    <w:rPr>
      <w:rFonts w:ascii="ˎ̥" w:hAnsi="ˎ̥" w:hint="default"/>
      <w:color w:val="000000"/>
      <w:sz w:val="21"/>
      <w:szCs w:val="21"/>
    </w:rPr>
  </w:style>
  <w:style w:type="paragraph" w:styleId="aff2">
    <w:name w:val="List Paragraph"/>
    <w:basedOn w:val="a0"/>
    <w:uiPriority w:val="34"/>
    <w:qFormat/>
    <w:pPr>
      <w:spacing w:after="120" w:line="360" w:lineRule="auto"/>
      <w:ind w:firstLineChars="200" w:firstLine="420"/>
    </w:pPr>
    <w:rPr>
      <w:rFonts w:ascii="宋体" w:hAnsi="宋体" w:cs="Arial"/>
      <w:bCs/>
      <w:color w:val="000000"/>
      <w:kern w:val="0"/>
      <w:szCs w:val="21"/>
      <w:lang w:val="zh-CN"/>
    </w:rPr>
  </w:style>
  <w:style w:type="character" w:customStyle="1" w:styleId="c1">
    <w:name w:val="c1"/>
    <w:qFormat/>
    <w:rPr>
      <w:color w:val="000000"/>
      <w:spacing w:val="257"/>
      <w:sz w:val="15"/>
      <w:szCs w:val="15"/>
    </w:rPr>
  </w:style>
  <w:style w:type="character" w:customStyle="1" w:styleId="Char7">
    <w:name w:val="尾注文本 Char"/>
    <w:link w:val="af"/>
    <w:qFormat/>
    <w:rPr>
      <w:rFonts w:ascii="Times New Roman" w:hAnsi="Times New Roman"/>
      <w:lang w:val="zh-CN" w:eastAsia="zh-CN"/>
    </w:rPr>
  </w:style>
  <w:style w:type="paragraph" w:customStyle="1" w:styleId="CharCharCharCharChar1Char">
    <w:name w:val="Char Char Char Char Char1 Char"/>
    <w:basedOn w:val="a0"/>
    <w:qFormat/>
  </w:style>
  <w:style w:type="paragraph" w:customStyle="1" w:styleId="CharCharCharChar1">
    <w:name w:val="Char Char Char Char1"/>
    <w:basedOn w:val="a0"/>
    <w:qFormat/>
    <w:pPr>
      <w:tabs>
        <w:tab w:val="left" w:pos="360"/>
      </w:tabs>
      <w:spacing w:before="312" w:after="312" w:line="360" w:lineRule="auto"/>
    </w:pPr>
    <w:rPr>
      <w:sz w:val="24"/>
    </w:rPr>
  </w:style>
  <w:style w:type="paragraph" w:customStyle="1" w:styleId="16">
    <w:name w:val="列出段落1"/>
    <w:basedOn w:val="a0"/>
    <w:qFormat/>
    <w:pPr>
      <w:ind w:firstLineChars="200" w:firstLine="420"/>
    </w:pPr>
    <w:rPr>
      <w:rFonts w:ascii="Calibri" w:hAnsi="Calibri"/>
      <w:szCs w:val="22"/>
    </w:rPr>
  </w:style>
  <w:style w:type="paragraph" w:customStyle="1" w:styleId="Char10">
    <w:name w:val="Char1"/>
    <w:basedOn w:val="a0"/>
    <w:qFormat/>
    <w:pPr>
      <w:tabs>
        <w:tab w:val="left" w:pos="360"/>
      </w:tabs>
    </w:pPr>
    <w:rPr>
      <w:sz w:val="24"/>
    </w:rPr>
  </w:style>
  <w:style w:type="paragraph" w:customStyle="1" w:styleId="ParaCharCharCharCharCharCharChar">
    <w:name w:val="默认段落字体 Para Char Char Char Char Char Char Char"/>
    <w:basedOn w:val="a0"/>
    <w:pPr>
      <w:widowControl/>
      <w:jc w:val="left"/>
    </w:pPr>
    <w:rPr>
      <w:sz w:val="24"/>
    </w:rPr>
  </w:style>
  <w:style w:type="paragraph" w:customStyle="1" w:styleId="CharCharCharChar11">
    <w:name w:val="Char Char Char Char11"/>
    <w:basedOn w:val="a0"/>
    <w:qFormat/>
    <w:rPr>
      <w:szCs w:val="20"/>
    </w:rPr>
  </w:style>
  <w:style w:type="character" w:customStyle="1" w:styleId="apple-style-span">
    <w:name w:val="apple-style-span"/>
    <w:basedOn w:val="a1"/>
    <w:qFormat/>
  </w:style>
  <w:style w:type="paragraph" w:customStyle="1" w:styleId="Char30">
    <w:name w:val="Char3"/>
    <w:basedOn w:val="a0"/>
    <w:pPr>
      <w:tabs>
        <w:tab w:val="left" w:pos="360"/>
      </w:tabs>
    </w:pPr>
    <w:rPr>
      <w:sz w:val="24"/>
    </w:rPr>
  </w:style>
  <w:style w:type="paragraph" w:customStyle="1" w:styleId="CharCharCharChar12">
    <w:name w:val="Char Char Char Char12"/>
    <w:basedOn w:val="a0"/>
    <w:qFormat/>
    <w:rPr>
      <w:szCs w:val="20"/>
    </w:rPr>
  </w:style>
  <w:style w:type="character" w:customStyle="1" w:styleId="Char11">
    <w:name w:val="批注文字 Char1"/>
    <w:basedOn w:val="a1"/>
    <w:semiHidden/>
    <w:qFormat/>
    <w:locked/>
    <w:rPr>
      <w:rFonts w:ascii="Times New Roman" w:eastAsia="宋体" w:hAnsi="Times New Roman" w:cs="Times New Roman"/>
      <w:szCs w:val="20"/>
    </w:rPr>
  </w:style>
  <w:style w:type="paragraph" w:customStyle="1" w:styleId="zhangjiep">
    <w:name w:val="zhangjie_p"/>
    <w:basedOn w:val="a0"/>
    <w:qFormat/>
    <w:pPr>
      <w:widowControl/>
      <w:autoSpaceDE w:val="0"/>
      <w:autoSpaceDN w:val="0"/>
      <w:adjustRightInd w:val="0"/>
      <w:spacing w:before="30" w:line="288" w:lineRule="auto"/>
      <w:ind w:left="15"/>
      <w:jc w:val="left"/>
      <w:outlineLvl w:val="1"/>
    </w:pPr>
    <w:rPr>
      <w:rFonts w:ascii="宋体" w:hAnsi="宋体" w:cs="宋体"/>
      <w:kern w:val="0"/>
      <w:sz w:val="24"/>
    </w:rPr>
  </w:style>
  <w:style w:type="paragraph" w:customStyle="1" w:styleId="biaogeleft">
    <w:name w:val="biaoge_left"/>
    <w:basedOn w:val="a0"/>
    <w:qFormat/>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biaogecenter">
    <w:name w:val="biaoge_center"/>
    <w:basedOn w:val="a0"/>
    <w:qFormat/>
    <w:pPr>
      <w:widowControl/>
      <w:autoSpaceDE w:val="0"/>
      <w:autoSpaceDN w:val="0"/>
      <w:adjustRightInd w:val="0"/>
      <w:spacing w:before="29" w:line="288" w:lineRule="auto"/>
      <w:ind w:left="15"/>
      <w:jc w:val="center"/>
    </w:pPr>
    <w:rPr>
      <w:rFonts w:ascii="宋体" w:hAnsi="宋体" w:cs="宋体"/>
      <w:kern w:val="0"/>
      <w:sz w:val="24"/>
    </w:rPr>
  </w:style>
  <w:style w:type="paragraph" w:customStyle="1" w:styleId="biaogeright">
    <w:name w:val="biaoge_right"/>
    <w:basedOn w:val="a0"/>
    <w:qFormat/>
    <w:pPr>
      <w:widowControl/>
      <w:autoSpaceDE w:val="0"/>
      <w:autoSpaceDN w:val="0"/>
      <w:adjustRightInd w:val="0"/>
      <w:spacing w:before="29" w:line="288" w:lineRule="auto"/>
      <w:ind w:left="15"/>
      <w:jc w:val="right"/>
    </w:pPr>
    <w:rPr>
      <w:rFonts w:ascii="宋体" w:hAnsi="宋体" w:cs="宋体"/>
      <w:kern w:val="0"/>
      <w:sz w:val="24"/>
    </w:rPr>
  </w:style>
  <w:style w:type="paragraph" w:customStyle="1" w:styleId="neirong">
    <w:name w:val="neirong"/>
    <w:basedOn w:val="a0"/>
    <w:qFormat/>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zhangjiep2">
    <w:name w:val="zhangjie_p2"/>
    <w:basedOn w:val="a0"/>
    <w:qFormat/>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dazhangjie">
    <w:name w:val="dazhangjie"/>
    <w:basedOn w:val="a0"/>
    <w:qFormat/>
    <w:pPr>
      <w:widowControl/>
      <w:autoSpaceDE w:val="0"/>
      <w:autoSpaceDN w:val="0"/>
      <w:adjustRightInd w:val="0"/>
      <w:spacing w:before="30" w:line="288" w:lineRule="auto"/>
      <w:ind w:left="15"/>
      <w:jc w:val="center"/>
      <w:outlineLvl w:val="0"/>
    </w:pPr>
    <w:rPr>
      <w:rFonts w:ascii="宋体" w:hAnsi="宋体" w:cs="宋体"/>
      <w:kern w:val="0"/>
      <w:sz w:val="24"/>
    </w:rPr>
  </w:style>
  <w:style w:type="character" w:customStyle="1" w:styleId="apple-converted-space">
    <w:name w:val="apple-converted-space"/>
    <w:basedOn w:val="a1"/>
    <w:qFormat/>
  </w:style>
  <w:style w:type="paragraph" w:customStyle="1" w:styleId="25">
    <w:name w:val="修订2"/>
    <w:hidden/>
    <w:uiPriority w:val="99"/>
    <w:semiHidden/>
    <w:qFormat/>
    <w:rPr>
      <w:rFonts w:ascii="Times New Roman" w:hAnsi="Times New Roman"/>
      <w:kern w:val="2"/>
      <w:sz w:val="21"/>
      <w:szCs w:val="24"/>
    </w:rPr>
  </w:style>
  <w:style w:type="paragraph" w:customStyle="1" w:styleId="32">
    <w:name w:val="修订3"/>
    <w:hidden/>
    <w:uiPriority w:val="99"/>
    <w:unhideWhenUsed/>
    <w:rPr>
      <w:rFonts w:ascii="Times New Roman" w:hAnsi="Times New Roman"/>
      <w:kern w:val="2"/>
      <w:sz w:val="21"/>
      <w:szCs w:val="24"/>
    </w:rPr>
  </w:style>
  <w:style w:type="paragraph" w:styleId="aff3">
    <w:name w:val="Revision"/>
    <w:hidden/>
    <w:uiPriority w:val="99"/>
    <w:unhideWhenUsed/>
    <w:rsid w:val="00A70152"/>
    <w:rPr>
      <w:rFonts w:ascii="Times New Roman" w:hAnsi="Times New Roman"/>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footer" Target="footer5.xml"/><Relationship Id="rId26" Type="http://schemas.openxmlformats.org/officeDocument/2006/relationships/header" Target="header4.xml"/><Relationship Id="rId3" Type="http://schemas.openxmlformats.org/officeDocument/2006/relationships/customXml" Target="../customXml/item3.xml"/><Relationship Id="rId21" Type="http://schemas.openxmlformats.org/officeDocument/2006/relationships/hyperlink" Target="http://www.zhixin-inv.com" TargetMode="External"/><Relationship Id="rId34"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oter" Target="footer4.xml"/><Relationship Id="rId25" Type="http://schemas.openxmlformats.org/officeDocument/2006/relationships/hyperlink" Target="http://www.snjijin" TargetMode="External"/><Relationship Id="rId33" Type="http://schemas.openxmlformats.org/officeDocument/2006/relationships/footer" Target="footer9.xml"/><Relationship Id="rId38" Type="http://schemas.microsoft.com/office/2011/relationships/commentsExtended" Target="commentsExtended.xm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hyperlink" Target="http://www.jiyufund.com.cn/" TargetMode="External"/><Relationship Id="rId29" Type="http://schemas.openxmlformats.org/officeDocument/2006/relationships/image" Target="media/image2.jpeg"/><Relationship Id="rId1" Type="http://schemas.openxmlformats.org/officeDocument/2006/relationships/customXml" Target="../customXml/item1.xml"/><Relationship Id="rId6" Type="http://schemas.microsoft.com/office/2007/relationships/stylesWithEffects" Target="stylesWithEffects.xml"/><Relationship Id="rId11" Type="http://schemas.openxmlformats.org/officeDocument/2006/relationships/header" Target="header1.xml"/><Relationship Id="rId24" Type="http://schemas.openxmlformats.org/officeDocument/2006/relationships/hyperlink" Target="http://www.wacaijijin.com" TargetMode="External"/><Relationship Id="rId32" Type="http://schemas.openxmlformats.org/officeDocument/2006/relationships/footer" Target="footer8.xml"/><Relationship Id="rId37" Type="http://schemas.microsoft.com/office/2011/relationships/people" Target="people.xml"/><Relationship Id="rId5" Type="http://schemas.openxmlformats.org/officeDocument/2006/relationships/styles" Target="styles.xml"/><Relationship Id="rId15" Type="http://schemas.openxmlformats.org/officeDocument/2006/relationships/header" Target="header3.xml"/><Relationship Id="rId23" Type="http://schemas.openxmlformats.org/officeDocument/2006/relationships/hyperlink" Target="http://www.jjmmw.com" TargetMode="External"/><Relationship Id="rId28" Type="http://schemas.openxmlformats.org/officeDocument/2006/relationships/image" Target="media/image1.jpeg"/><Relationship Id="rId10" Type="http://schemas.openxmlformats.org/officeDocument/2006/relationships/endnotes" Target="endnotes.xml"/><Relationship Id="rId19" Type="http://schemas.openxmlformats.org/officeDocument/2006/relationships/hyperlink" Target="http://www.bsb.com.cn" TargetMode="External"/><Relationship Id="rId31" Type="http://schemas.openxmlformats.org/officeDocument/2006/relationships/header" Target="header5.xml"/><Relationship Id="rId4" Type="http://schemas.openxmlformats.org/officeDocument/2006/relationships/numbering" Target="numbering.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hyperlink" Target="http://www.zlfund.cn" TargetMode="External"/><Relationship Id="rId27" Type="http://schemas.openxmlformats.org/officeDocument/2006/relationships/footer" Target="footer6.xml"/><Relationship Id="rId30" Type="http://schemas.openxmlformats.org/officeDocument/2006/relationships/footer" Target="footer7.xml"/><Relationship Id="rId35"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7D1F0F4-29B1-4837-82FD-5A1CD1B375BD}">
  <ds:schemaRefs>
    <ds:schemaRef ds:uri="http://schemas.openxmlformats.org/officeDocument/2006/bibliography"/>
  </ds:schemaRefs>
</ds:datastoreItem>
</file>

<file path=customXml/itemProps3.xml><?xml version="1.0" encoding="utf-8"?>
<ds:datastoreItem xmlns:ds="http://schemas.openxmlformats.org/officeDocument/2006/customXml" ds:itemID="{B64B17E6-C2B5-4EE2-8CFC-F352CEFDF0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117</Pages>
  <Words>13817</Words>
  <Characters>78757</Characters>
  <Application>Microsoft Office Word</Application>
  <DocSecurity>0</DocSecurity>
  <Lines>656</Lines>
  <Paragraphs>184</Paragraphs>
  <ScaleCrop>false</ScaleCrop>
  <Company>Microsoft</Company>
  <LinksUpToDate>false</LinksUpToDate>
  <CharactersWithSpaces>92390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liush;haop@bosera.com</dc:creator>
  <cp:lastModifiedBy>徐铮</cp:lastModifiedBy>
  <cp:revision>18</cp:revision>
  <cp:lastPrinted>2019-02-19T02:21:00Z</cp:lastPrinted>
  <dcterms:created xsi:type="dcterms:W3CDTF">2020-05-18T02:10:00Z</dcterms:created>
  <dcterms:modified xsi:type="dcterms:W3CDTF">2020-05-19T02:11:00Z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2052-10.8.2.6870</vt:lpwstr>
  </property>
</Properties>
</file>