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179E" w:rsidRDefault="0090179E" w:rsidP="0090179E">
      <w:pPr>
        <w:adjustRightInd w:val="0"/>
        <w:snapToGrid w:val="0"/>
        <w:spacing w:line="360" w:lineRule="auto"/>
        <w:jc w:val="center"/>
        <w:rPr>
          <w:rFonts w:ascii="宋体" w:eastAsia="宋体" w:hAnsi="宋体" w:cs="宋体"/>
          <w:b/>
          <w:bCs/>
          <w:color w:val="000000" w:themeColor="text1"/>
          <w:kern w:val="0"/>
          <w:sz w:val="30"/>
          <w:szCs w:val="30"/>
        </w:rPr>
      </w:pPr>
      <w:r>
        <w:rPr>
          <w:rFonts w:ascii="宋体" w:eastAsia="宋体" w:hAnsi="宋体" w:cs="宋体" w:hint="eastAsia"/>
          <w:b/>
          <w:bCs/>
          <w:color w:val="000000" w:themeColor="text1"/>
          <w:kern w:val="0"/>
          <w:sz w:val="30"/>
          <w:szCs w:val="30"/>
        </w:rPr>
        <w:t>富荣福安灵活配置混合</w:t>
      </w:r>
      <w:r w:rsidR="00602F69" w:rsidRPr="00602F69">
        <w:rPr>
          <w:rFonts w:ascii="宋体" w:eastAsia="宋体" w:hAnsi="宋体" w:cs="宋体" w:hint="eastAsia"/>
          <w:b/>
          <w:bCs/>
          <w:color w:val="000000" w:themeColor="text1"/>
          <w:kern w:val="0"/>
          <w:sz w:val="30"/>
          <w:szCs w:val="30"/>
        </w:rPr>
        <w:t>型证券投资</w:t>
      </w:r>
      <w:proofErr w:type="gramStart"/>
      <w:r w:rsidR="00602F69" w:rsidRPr="00602F69">
        <w:rPr>
          <w:rFonts w:ascii="宋体" w:eastAsia="宋体" w:hAnsi="宋体" w:cs="宋体" w:hint="eastAsia"/>
          <w:b/>
          <w:bCs/>
          <w:color w:val="000000" w:themeColor="text1"/>
          <w:kern w:val="0"/>
          <w:sz w:val="30"/>
          <w:szCs w:val="30"/>
        </w:rPr>
        <w:t>基金</w:t>
      </w:r>
      <w:r w:rsidR="00D74598" w:rsidRPr="00FA09AA">
        <w:rPr>
          <w:rFonts w:ascii="宋体" w:eastAsia="宋体" w:hAnsi="宋体" w:cs="宋体"/>
          <w:b/>
          <w:bCs/>
          <w:color w:val="000000" w:themeColor="text1"/>
          <w:kern w:val="0"/>
          <w:sz w:val="30"/>
          <w:szCs w:val="30"/>
        </w:rPr>
        <w:t>基金</w:t>
      </w:r>
      <w:proofErr w:type="gramEnd"/>
      <w:r w:rsidR="00D74598" w:rsidRPr="00FA09AA">
        <w:rPr>
          <w:rFonts w:ascii="宋体" w:eastAsia="宋体" w:hAnsi="宋体" w:cs="宋体"/>
          <w:b/>
          <w:bCs/>
          <w:color w:val="000000" w:themeColor="text1"/>
          <w:kern w:val="0"/>
          <w:sz w:val="30"/>
          <w:szCs w:val="30"/>
        </w:rPr>
        <w:t>份额持有人大会</w:t>
      </w:r>
    </w:p>
    <w:p w:rsidR="004C4648" w:rsidRPr="00FA09AA" w:rsidRDefault="00B90A8A" w:rsidP="0090179E">
      <w:pPr>
        <w:adjustRightInd w:val="0"/>
        <w:snapToGrid w:val="0"/>
        <w:spacing w:line="360" w:lineRule="auto"/>
        <w:jc w:val="center"/>
        <w:rPr>
          <w:rFonts w:ascii="宋体" w:eastAsia="宋体" w:hAnsi="宋体" w:cs="宋体"/>
          <w:b/>
          <w:bCs/>
          <w:color w:val="000000" w:themeColor="text1"/>
          <w:kern w:val="0"/>
          <w:sz w:val="30"/>
          <w:szCs w:val="30"/>
        </w:rPr>
      </w:pPr>
      <w:r w:rsidRPr="00FA09AA">
        <w:rPr>
          <w:rFonts w:ascii="宋体" w:eastAsia="宋体" w:hAnsi="宋体" w:cs="宋体" w:hint="eastAsia"/>
          <w:b/>
          <w:bCs/>
          <w:color w:val="000000" w:themeColor="text1"/>
          <w:kern w:val="0"/>
          <w:sz w:val="30"/>
          <w:szCs w:val="30"/>
        </w:rPr>
        <w:t>表决结果</w:t>
      </w:r>
      <w:proofErr w:type="gramStart"/>
      <w:r w:rsidRPr="00FA09AA">
        <w:rPr>
          <w:rFonts w:ascii="宋体" w:eastAsia="宋体" w:hAnsi="宋体" w:cs="宋体" w:hint="eastAsia"/>
          <w:b/>
          <w:bCs/>
          <w:color w:val="000000" w:themeColor="text1"/>
          <w:kern w:val="0"/>
          <w:sz w:val="30"/>
          <w:szCs w:val="30"/>
        </w:rPr>
        <w:t>暨</w:t>
      </w:r>
      <w:r w:rsidR="00D74598" w:rsidRPr="00FA09AA">
        <w:rPr>
          <w:rFonts w:ascii="宋体" w:eastAsia="宋体" w:hAnsi="宋体" w:cs="宋体"/>
          <w:b/>
          <w:bCs/>
          <w:color w:val="000000" w:themeColor="text1"/>
          <w:kern w:val="0"/>
          <w:sz w:val="30"/>
          <w:szCs w:val="30"/>
        </w:rPr>
        <w:t>决议</w:t>
      </w:r>
      <w:proofErr w:type="gramEnd"/>
      <w:r w:rsidR="00D74598" w:rsidRPr="00FA09AA">
        <w:rPr>
          <w:rFonts w:ascii="宋体" w:eastAsia="宋体" w:hAnsi="宋体" w:cs="宋体"/>
          <w:b/>
          <w:bCs/>
          <w:color w:val="000000" w:themeColor="text1"/>
          <w:kern w:val="0"/>
          <w:sz w:val="30"/>
          <w:szCs w:val="30"/>
        </w:rPr>
        <w:t>生效的公告</w:t>
      </w:r>
    </w:p>
    <w:p w:rsidR="00CE166C" w:rsidRDefault="00CE166C"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8B52F3"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根</w:t>
      </w:r>
      <w:r w:rsidRPr="008B52F3">
        <w:rPr>
          <w:rFonts w:ascii="宋体" w:eastAsia="宋体" w:hAnsi="宋体" w:cs="宋体"/>
          <w:kern w:val="0"/>
          <w:szCs w:val="21"/>
        </w:rPr>
        <w:t>据</w:t>
      </w:r>
      <w:r w:rsidR="00D74598" w:rsidRPr="008B52F3">
        <w:rPr>
          <w:rFonts w:ascii="宋体" w:eastAsia="宋体" w:hAnsi="宋体" w:cs="宋体"/>
          <w:kern w:val="0"/>
          <w:szCs w:val="21"/>
        </w:rPr>
        <w:t>《中华人民共和国证券投资基金法》</w:t>
      </w:r>
      <w:r w:rsidR="00CE166C">
        <w:rPr>
          <w:rFonts w:ascii="宋体" w:eastAsia="宋体" w:hAnsi="宋体" w:cs="宋体" w:hint="eastAsia"/>
          <w:kern w:val="0"/>
          <w:szCs w:val="21"/>
        </w:rPr>
        <w:t>（以下简称“</w:t>
      </w:r>
      <w:r w:rsidR="006E6EC2">
        <w:rPr>
          <w:rFonts w:ascii="宋体" w:eastAsia="宋体" w:hAnsi="宋体" w:cs="宋体" w:hint="eastAsia"/>
          <w:kern w:val="0"/>
          <w:szCs w:val="21"/>
        </w:rPr>
        <w:t>《</w:t>
      </w:r>
      <w:r w:rsidR="00CE166C">
        <w:rPr>
          <w:rFonts w:ascii="宋体" w:eastAsia="宋体" w:hAnsi="宋体" w:cs="宋体" w:hint="eastAsia"/>
          <w:kern w:val="0"/>
          <w:szCs w:val="21"/>
        </w:rPr>
        <w:t>基金法</w:t>
      </w:r>
      <w:r w:rsidR="006E6EC2">
        <w:rPr>
          <w:rFonts w:ascii="宋体" w:eastAsia="宋体" w:hAnsi="宋体" w:cs="宋体" w:hint="eastAsia"/>
          <w:kern w:val="0"/>
          <w:szCs w:val="21"/>
        </w:rPr>
        <w:t>》</w:t>
      </w:r>
      <w:r w:rsidR="00CE166C">
        <w:rPr>
          <w:rFonts w:ascii="宋体" w:eastAsia="宋体" w:hAnsi="宋体" w:cs="宋体" w:hint="eastAsia"/>
          <w:kern w:val="0"/>
          <w:szCs w:val="21"/>
        </w:rPr>
        <w:t>”）</w:t>
      </w:r>
      <w:r w:rsidR="00D74598" w:rsidRPr="008B52F3">
        <w:rPr>
          <w:rFonts w:ascii="宋体" w:eastAsia="宋体" w:hAnsi="宋体" w:cs="宋体"/>
          <w:kern w:val="0"/>
          <w:szCs w:val="21"/>
        </w:rPr>
        <w:t>、《公开募集证券投资基金运作管理办法》</w:t>
      </w:r>
      <w:r w:rsidR="00843D62">
        <w:rPr>
          <w:rFonts w:ascii="宋体" w:eastAsia="宋体" w:hAnsi="宋体" w:cs="宋体" w:hint="eastAsia"/>
          <w:kern w:val="0"/>
          <w:szCs w:val="21"/>
        </w:rPr>
        <w:t>（以下简称“</w:t>
      </w:r>
      <w:r w:rsidR="006E6EC2">
        <w:rPr>
          <w:rFonts w:ascii="宋体" w:eastAsia="宋体" w:hAnsi="宋体" w:cs="宋体" w:hint="eastAsia"/>
          <w:kern w:val="0"/>
          <w:szCs w:val="21"/>
        </w:rPr>
        <w:t>《</w:t>
      </w:r>
      <w:r w:rsidR="00843D62">
        <w:rPr>
          <w:rFonts w:ascii="宋体" w:eastAsia="宋体" w:hAnsi="宋体" w:cs="宋体" w:hint="eastAsia"/>
          <w:kern w:val="0"/>
          <w:szCs w:val="21"/>
        </w:rPr>
        <w:t>运作管理办法</w:t>
      </w:r>
      <w:r w:rsidR="006E6EC2">
        <w:rPr>
          <w:rFonts w:ascii="宋体" w:eastAsia="宋体" w:hAnsi="宋体" w:cs="宋体" w:hint="eastAsia"/>
          <w:kern w:val="0"/>
          <w:szCs w:val="21"/>
        </w:rPr>
        <w:t>》</w:t>
      </w:r>
      <w:r w:rsidR="00843D62">
        <w:rPr>
          <w:rFonts w:ascii="宋体" w:eastAsia="宋体" w:hAnsi="宋体" w:cs="宋体" w:hint="eastAsia"/>
          <w:kern w:val="0"/>
          <w:szCs w:val="21"/>
        </w:rPr>
        <w:t>”）</w:t>
      </w:r>
      <w:r>
        <w:rPr>
          <w:rFonts w:ascii="宋体" w:eastAsia="宋体" w:hAnsi="宋体" w:cs="宋体" w:hint="eastAsia"/>
          <w:kern w:val="0"/>
          <w:szCs w:val="21"/>
        </w:rPr>
        <w:t>等法律法规的规定及</w:t>
      </w:r>
      <w:r w:rsidR="00D74598" w:rsidRPr="008B52F3">
        <w:rPr>
          <w:rFonts w:ascii="宋体" w:eastAsia="宋体" w:hAnsi="宋体" w:cs="宋体"/>
          <w:kern w:val="0"/>
          <w:szCs w:val="21"/>
        </w:rPr>
        <w:t>《</w:t>
      </w:r>
      <w:r w:rsidR="0090179E" w:rsidRPr="0090179E">
        <w:rPr>
          <w:rFonts w:ascii="宋体" w:eastAsia="宋体" w:hAnsi="宋体" w:cs="宋体" w:hint="eastAsia"/>
          <w:kern w:val="0"/>
          <w:szCs w:val="21"/>
        </w:rPr>
        <w:t>富荣福安灵活配置混合型证券投资基金</w:t>
      </w:r>
      <w:r w:rsidR="00D74598" w:rsidRPr="008B52F3">
        <w:rPr>
          <w:rFonts w:ascii="宋体" w:eastAsia="宋体" w:hAnsi="宋体" w:cs="宋体"/>
          <w:kern w:val="0"/>
          <w:szCs w:val="21"/>
        </w:rPr>
        <w:t>基金合同》的有关</w:t>
      </w:r>
      <w:r>
        <w:rPr>
          <w:rFonts w:ascii="宋体" w:eastAsia="宋体" w:hAnsi="宋体" w:cs="宋体" w:hint="eastAsia"/>
          <w:kern w:val="0"/>
          <w:szCs w:val="21"/>
        </w:rPr>
        <w:t>约</w:t>
      </w:r>
      <w:r w:rsidRPr="008B52F3">
        <w:rPr>
          <w:rFonts w:ascii="宋体" w:eastAsia="宋体" w:hAnsi="宋体" w:cs="宋体"/>
          <w:kern w:val="0"/>
          <w:szCs w:val="21"/>
        </w:rPr>
        <w:t>定</w:t>
      </w:r>
      <w:r w:rsidR="00D74598" w:rsidRPr="008B52F3">
        <w:rPr>
          <w:rFonts w:ascii="宋体" w:eastAsia="宋体" w:hAnsi="宋体" w:cs="宋体"/>
          <w:kern w:val="0"/>
          <w:szCs w:val="21"/>
        </w:rPr>
        <w:t>，现将</w:t>
      </w:r>
      <w:r w:rsidR="0090179E" w:rsidRPr="0090179E">
        <w:rPr>
          <w:rFonts w:ascii="宋体" w:eastAsia="宋体" w:hAnsi="宋体" w:cs="宋体" w:hint="eastAsia"/>
          <w:kern w:val="0"/>
          <w:szCs w:val="21"/>
        </w:rPr>
        <w:t>富荣福安灵活配置混合型证券投资基金</w:t>
      </w:r>
      <w:r w:rsidR="00D74598" w:rsidRPr="008B52F3">
        <w:rPr>
          <w:rFonts w:ascii="宋体" w:eastAsia="宋体" w:hAnsi="宋体" w:cs="宋体"/>
          <w:kern w:val="0"/>
          <w:szCs w:val="21"/>
        </w:rPr>
        <w:t>（以下简称“本基金”）基金份额持有人大会的决议及相关事项公告如下：</w:t>
      </w: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一、基金份额持有人大会会议情况</w:t>
      </w:r>
    </w:p>
    <w:p w:rsidR="0097286F" w:rsidRPr="008E210D" w:rsidRDefault="0090179E"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8B52F3">
        <w:rPr>
          <w:rFonts w:ascii="宋体" w:eastAsia="宋体" w:hAnsi="宋体" w:cs="宋体" w:hint="eastAsia"/>
          <w:kern w:val="0"/>
          <w:szCs w:val="21"/>
        </w:rPr>
        <w:t>基金</w:t>
      </w:r>
      <w:proofErr w:type="gramEnd"/>
      <w:r w:rsidR="008B52F3">
        <w:rPr>
          <w:rFonts w:ascii="宋体" w:eastAsia="宋体" w:hAnsi="宋体" w:cs="宋体" w:hint="eastAsia"/>
          <w:kern w:val="0"/>
          <w:szCs w:val="21"/>
        </w:rPr>
        <w:t>管理有限公司（以下简称“基金管理人”或“本公司”）以通讯方式组织召开了</w:t>
      </w:r>
      <w:r w:rsidRPr="0090179E">
        <w:rPr>
          <w:rFonts w:ascii="宋体" w:eastAsia="宋体" w:hAnsi="宋体" w:cs="宋体" w:hint="eastAsia"/>
          <w:kern w:val="0"/>
          <w:szCs w:val="21"/>
        </w:rPr>
        <w:t>富荣福安灵活配置混合型证券投资</w:t>
      </w:r>
      <w:proofErr w:type="gramStart"/>
      <w:r w:rsidRPr="0090179E">
        <w:rPr>
          <w:rFonts w:ascii="宋体" w:eastAsia="宋体" w:hAnsi="宋体" w:cs="宋体" w:hint="eastAsia"/>
          <w:kern w:val="0"/>
          <w:szCs w:val="21"/>
        </w:rPr>
        <w:t>基金</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份额持有人大会</w:t>
      </w:r>
      <w:r w:rsidR="008B52F3">
        <w:rPr>
          <w:rFonts w:ascii="宋体" w:eastAsia="宋体" w:hAnsi="宋体" w:cs="宋体" w:hint="eastAsia"/>
          <w:kern w:val="0"/>
          <w:szCs w:val="21"/>
        </w:rPr>
        <w:t>，会议投票时间</w:t>
      </w:r>
      <w:r w:rsidR="00B90A8A" w:rsidRPr="00B90A8A">
        <w:rPr>
          <w:rFonts w:ascii="宋体" w:eastAsia="宋体" w:hAnsi="宋体" w:cs="宋体" w:hint="eastAsia"/>
          <w:kern w:val="0"/>
          <w:szCs w:val="21"/>
        </w:rPr>
        <w:t>自</w:t>
      </w:r>
      <w:r w:rsidR="008E210D" w:rsidRPr="008E210D">
        <w:rPr>
          <w:rFonts w:ascii="宋体" w:eastAsia="宋体" w:hAnsi="宋体" w:cs="宋体" w:hint="eastAsia"/>
          <w:kern w:val="0"/>
          <w:szCs w:val="21"/>
        </w:rPr>
        <w:t>2018年11月9日起，至2018年12月9日17:00止</w:t>
      </w:r>
      <w:r w:rsidR="008B52F3" w:rsidRPr="008E210D">
        <w:rPr>
          <w:rFonts w:ascii="宋体" w:eastAsia="宋体" w:hAnsi="宋体" w:cs="宋体" w:hint="eastAsia"/>
          <w:kern w:val="0"/>
          <w:szCs w:val="21"/>
        </w:rPr>
        <w:t>。</w:t>
      </w:r>
    </w:p>
    <w:p w:rsidR="00D74598" w:rsidRPr="008E210D" w:rsidRDefault="008E210D" w:rsidP="008B52F3">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hint="eastAsia"/>
          <w:kern w:val="0"/>
          <w:szCs w:val="21"/>
        </w:rPr>
        <w:t>2018年12</w:t>
      </w:r>
      <w:r w:rsidR="0097286F" w:rsidRPr="008E210D">
        <w:rPr>
          <w:rFonts w:ascii="宋体" w:eastAsia="宋体" w:hAnsi="宋体" w:cs="宋体" w:hint="eastAsia"/>
          <w:kern w:val="0"/>
          <w:szCs w:val="21"/>
        </w:rPr>
        <w:t>月</w:t>
      </w:r>
      <w:r w:rsidRPr="008E210D">
        <w:rPr>
          <w:rFonts w:ascii="宋体" w:eastAsia="宋体" w:hAnsi="宋体" w:cs="宋体" w:hint="eastAsia"/>
          <w:kern w:val="0"/>
          <w:szCs w:val="21"/>
        </w:rPr>
        <w:t>10</w:t>
      </w:r>
      <w:r w:rsidR="0097286F" w:rsidRPr="008E210D">
        <w:rPr>
          <w:rFonts w:ascii="宋体" w:eastAsia="宋体" w:hAnsi="宋体" w:cs="宋体" w:hint="eastAsia"/>
          <w:kern w:val="0"/>
          <w:szCs w:val="21"/>
        </w:rPr>
        <w:t>日</w:t>
      </w:r>
      <w:r w:rsidR="00881BC3" w:rsidRPr="008E210D">
        <w:rPr>
          <w:rFonts w:ascii="宋体" w:eastAsia="宋体" w:hAnsi="宋体" w:cs="宋体" w:hint="eastAsia"/>
          <w:kern w:val="0"/>
          <w:szCs w:val="21"/>
        </w:rPr>
        <w:t>，由基金管理人授权代表在基金托管人</w:t>
      </w:r>
      <w:r w:rsidR="0090179E" w:rsidRPr="008E210D">
        <w:rPr>
          <w:rFonts w:ascii="宋体" w:eastAsia="宋体" w:hAnsi="宋体" w:cs="宋体" w:hint="eastAsia"/>
          <w:kern w:val="0"/>
          <w:szCs w:val="21"/>
        </w:rPr>
        <w:t>招商</w:t>
      </w:r>
      <w:r w:rsidR="00602F69" w:rsidRPr="008E210D">
        <w:rPr>
          <w:rFonts w:ascii="宋体" w:eastAsia="宋体" w:hAnsi="宋体" w:cs="宋体" w:hint="eastAsia"/>
          <w:kern w:val="0"/>
          <w:szCs w:val="21"/>
        </w:rPr>
        <w:t>银行股份有限公司</w:t>
      </w:r>
      <w:r w:rsidR="00881BC3" w:rsidRPr="008E210D">
        <w:rPr>
          <w:rFonts w:ascii="宋体" w:eastAsia="宋体" w:hAnsi="宋体" w:cs="宋体" w:hint="eastAsia"/>
          <w:kern w:val="0"/>
          <w:szCs w:val="21"/>
        </w:rPr>
        <w:t>授权代表的监督下进行计票，并由公证机关北京市</w:t>
      </w:r>
      <w:r w:rsidR="0090179E" w:rsidRPr="008E210D">
        <w:rPr>
          <w:rFonts w:ascii="宋体" w:eastAsia="宋体" w:hAnsi="宋体" w:cs="宋体" w:hint="eastAsia"/>
          <w:kern w:val="0"/>
          <w:szCs w:val="21"/>
        </w:rPr>
        <w:t>长安</w:t>
      </w:r>
      <w:r w:rsidR="00881BC3" w:rsidRPr="008E210D">
        <w:rPr>
          <w:rFonts w:ascii="宋体" w:eastAsia="宋体" w:hAnsi="宋体" w:cs="宋体" w:hint="eastAsia"/>
          <w:kern w:val="0"/>
          <w:szCs w:val="21"/>
        </w:rPr>
        <w:t>公证处对其计票过程及结果予以公证，</w:t>
      </w:r>
      <w:r w:rsidR="00602F69" w:rsidRPr="008E210D">
        <w:rPr>
          <w:rFonts w:ascii="宋体" w:eastAsia="宋体" w:hAnsi="宋体" w:cs="宋体" w:hint="eastAsia"/>
          <w:kern w:val="0"/>
          <w:szCs w:val="21"/>
        </w:rPr>
        <w:t>上海市通力律师事务所</w:t>
      </w:r>
      <w:r w:rsidR="00881BC3" w:rsidRPr="008E210D">
        <w:rPr>
          <w:rFonts w:ascii="宋体" w:eastAsia="宋体" w:hAnsi="宋体" w:cs="宋体" w:hint="eastAsia"/>
          <w:kern w:val="0"/>
          <w:szCs w:val="21"/>
        </w:rPr>
        <w:t>对计票结果</w:t>
      </w:r>
      <w:r w:rsidR="00307C7D" w:rsidRPr="008E210D">
        <w:rPr>
          <w:rFonts w:ascii="宋体" w:eastAsia="宋体" w:hAnsi="宋体" w:cs="宋体" w:hint="eastAsia"/>
          <w:kern w:val="0"/>
          <w:szCs w:val="21"/>
        </w:rPr>
        <w:t>出具法律意见书</w:t>
      </w:r>
      <w:r w:rsidR="00881BC3" w:rsidRPr="008E210D">
        <w:rPr>
          <w:rFonts w:ascii="宋体" w:eastAsia="宋体" w:hAnsi="宋体" w:cs="宋体" w:hint="eastAsia"/>
          <w:kern w:val="0"/>
          <w:szCs w:val="21"/>
        </w:rPr>
        <w:t>。</w:t>
      </w:r>
      <w:r w:rsidR="00D74598" w:rsidRPr="008E210D">
        <w:rPr>
          <w:rFonts w:ascii="宋体" w:eastAsia="宋体" w:hAnsi="宋体" w:cs="宋体"/>
          <w:kern w:val="0"/>
          <w:szCs w:val="21"/>
        </w:rPr>
        <w:t>出席本次大会的基金份额持有人及代理人所持份额共计</w:t>
      </w:r>
      <w:r w:rsidRPr="008E210D">
        <w:rPr>
          <w:rFonts w:ascii="宋体" w:hAnsi="宋体" w:cs="Arial"/>
          <w:color w:val="000000"/>
          <w:kern w:val="0"/>
        </w:rPr>
        <w:t>14,000,000.00</w:t>
      </w:r>
      <w:r w:rsidR="00D74598" w:rsidRPr="008E210D">
        <w:rPr>
          <w:rFonts w:ascii="宋体" w:eastAsia="宋体" w:hAnsi="宋体" w:cs="宋体"/>
          <w:kern w:val="0"/>
          <w:szCs w:val="21"/>
        </w:rPr>
        <w:t>份，占权益登记日本基金总份额</w:t>
      </w:r>
      <w:r w:rsidRPr="008E210D">
        <w:rPr>
          <w:rFonts w:ascii="宋体" w:eastAsia="宋体" w:hAnsi="宋体" w:cs="宋体"/>
          <w:kern w:val="0"/>
          <w:szCs w:val="21"/>
        </w:rPr>
        <w:t>14</w:t>
      </w:r>
      <w:r w:rsidRPr="008E210D">
        <w:rPr>
          <w:rFonts w:ascii="宋体" w:eastAsia="宋体" w:hAnsi="宋体" w:cs="宋体" w:hint="eastAsia"/>
          <w:kern w:val="0"/>
          <w:szCs w:val="21"/>
        </w:rPr>
        <w:t>,</w:t>
      </w:r>
      <w:r w:rsidRPr="008E210D">
        <w:rPr>
          <w:rFonts w:ascii="宋体" w:eastAsia="宋体" w:hAnsi="宋体" w:cs="宋体"/>
          <w:kern w:val="0"/>
          <w:szCs w:val="21"/>
        </w:rPr>
        <w:t>169</w:t>
      </w:r>
      <w:r w:rsidRPr="008E210D">
        <w:rPr>
          <w:rFonts w:ascii="宋体" w:eastAsia="宋体" w:hAnsi="宋体" w:cs="宋体" w:hint="eastAsia"/>
          <w:kern w:val="0"/>
          <w:szCs w:val="21"/>
        </w:rPr>
        <w:t>,</w:t>
      </w:r>
      <w:r w:rsidRPr="008E210D">
        <w:rPr>
          <w:rFonts w:ascii="宋体" w:eastAsia="宋体" w:hAnsi="宋体" w:cs="宋体"/>
          <w:kern w:val="0"/>
          <w:szCs w:val="21"/>
        </w:rPr>
        <w:t>229.55</w:t>
      </w:r>
      <w:r w:rsidR="00D74598" w:rsidRPr="008E210D">
        <w:rPr>
          <w:rFonts w:ascii="宋体" w:eastAsia="宋体" w:hAnsi="宋体" w:cs="宋体"/>
          <w:kern w:val="0"/>
          <w:szCs w:val="21"/>
        </w:rPr>
        <w:t>份的</w:t>
      </w:r>
      <w:r w:rsidRPr="008E210D">
        <w:rPr>
          <w:rFonts w:ascii="宋体" w:eastAsia="宋体" w:hAnsi="宋体" w:cs="宋体"/>
          <w:kern w:val="0"/>
          <w:szCs w:val="21"/>
        </w:rPr>
        <w:t>98.81%</w:t>
      </w:r>
      <w:r w:rsidR="00D74598" w:rsidRPr="008E210D">
        <w:rPr>
          <w:rFonts w:ascii="宋体" w:eastAsia="宋体" w:hAnsi="宋体" w:cs="宋体"/>
          <w:kern w:val="0"/>
          <w:szCs w:val="21"/>
        </w:rPr>
        <w:t>，达到法定开会条件，符合《基金法》</w:t>
      </w:r>
      <w:r w:rsidR="00CD1FB7" w:rsidRPr="008E210D">
        <w:rPr>
          <w:rFonts w:ascii="宋体" w:eastAsia="宋体" w:hAnsi="宋体" w:cs="宋体" w:hint="eastAsia"/>
          <w:kern w:val="0"/>
          <w:szCs w:val="21"/>
        </w:rPr>
        <w:t>、《运作管理办法》</w:t>
      </w:r>
      <w:r w:rsidR="00D74598" w:rsidRPr="008E210D">
        <w:rPr>
          <w:rFonts w:ascii="宋体" w:eastAsia="宋体" w:hAnsi="宋体" w:cs="宋体"/>
          <w:kern w:val="0"/>
          <w:szCs w:val="21"/>
        </w:rPr>
        <w:t>和《</w:t>
      </w:r>
      <w:r w:rsidR="0090179E" w:rsidRPr="008E210D">
        <w:rPr>
          <w:rFonts w:ascii="宋体" w:eastAsia="宋体" w:hAnsi="宋体" w:cs="宋体" w:hint="eastAsia"/>
          <w:kern w:val="0"/>
          <w:szCs w:val="21"/>
        </w:rPr>
        <w:t>富荣福安灵活配置混合型证券投资基金</w:t>
      </w:r>
      <w:r w:rsidR="00D74598" w:rsidRPr="008E210D">
        <w:rPr>
          <w:rFonts w:ascii="宋体" w:eastAsia="宋体" w:hAnsi="宋体" w:cs="宋体"/>
          <w:kern w:val="0"/>
          <w:szCs w:val="21"/>
        </w:rPr>
        <w:t>基金合同》的有关规定。</w:t>
      </w:r>
    </w:p>
    <w:p w:rsidR="00D74598" w:rsidRPr="008B52F3"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E210D">
        <w:rPr>
          <w:rFonts w:ascii="宋体" w:eastAsia="宋体" w:hAnsi="宋体" w:cs="宋体"/>
          <w:kern w:val="0"/>
          <w:szCs w:val="21"/>
        </w:rPr>
        <w:t>会议审议了《</w:t>
      </w:r>
      <w:r w:rsidR="00D72384" w:rsidRPr="008E210D">
        <w:rPr>
          <w:rFonts w:ascii="宋体" w:eastAsia="宋体" w:hAnsi="宋体" w:cs="宋体" w:hint="eastAsia"/>
          <w:kern w:val="0"/>
          <w:szCs w:val="21"/>
        </w:rPr>
        <w:t>富荣福安灵活配置混合型证券投资基金转型有关事项的议案</w:t>
      </w:r>
      <w:r w:rsidRPr="008E210D">
        <w:rPr>
          <w:rFonts w:ascii="宋体" w:eastAsia="宋体" w:hAnsi="宋体" w:cs="宋体"/>
          <w:kern w:val="0"/>
          <w:szCs w:val="21"/>
        </w:rPr>
        <w:t>》（以下简称“本次会议议案”），并由出席本次大会的基金份额持有人及代理人对本次会议议案进行表决，表决结果为：</w:t>
      </w:r>
      <w:r w:rsidR="008E210D" w:rsidRPr="008E210D">
        <w:rPr>
          <w:rFonts w:ascii="宋体" w:eastAsia="宋体" w:hAnsi="宋体" w:cs="宋体"/>
          <w:kern w:val="0"/>
          <w:szCs w:val="21"/>
        </w:rPr>
        <w:t>14,000,000.00</w:t>
      </w:r>
      <w:r w:rsidRPr="008E210D">
        <w:rPr>
          <w:rFonts w:ascii="宋体" w:eastAsia="宋体" w:hAnsi="宋体" w:cs="宋体"/>
          <w:kern w:val="0"/>
          <w:szCs w:val="21"/>
        </w:rPr>
        <w:t>份基金份额同意；</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份基金份额反对；</w:t>
      </w:r>
      <w:r w:rsidR="00B90A8A" w:rsidRPr="008E210D">
        <w:rPr>
          <w:rFonts w:ascii="宋体" w:eastAsia="宋体" w:hAnsi="宋体" w:cs="宋体" w:hint="eastAsia"/>
          <w:kern w:val="0"/>
          <w:szCs w:val="21"/>
        </w:rPr>
        <w:t>0</w:t>
      </w:r>
      <w:r w:rsidRPr="008E210D">
        <w:rPr>
          <w:rFonts w:ascii="宋体" w:eastAsia="宋体" w:hAnsi="宋体" w:cs="宋体"/>
          <w:kern w:val="0"/>
          <w:szCs w:val="21"/>
        </w:rPr>
        <w:t>份基金份额弃权</w:t>
      </w:r>
      <w:r w:rsidRPr="008B52F3">
        <w:rPr>
          <w:rFonts w:ascii="宋体" w:eastAsia="宋体" w:hAnsi="宋体" w:cs="宋体"/>
          <w:kern w:val="0"/>
          <w:szCs w:val="21"/>
        </w:rPr>
        <w:t>。同意本次会议议案的基金份额占参加本次会议表决的基金份额持有人及代理人所持份额的</w:t>
      </w:r>
      <w:r w:rsidR="00693BCA">
        <w:rPr>
          <w:rFonts w:ascii="宋体" w:eastAsia="宋体" w:hAnsi="宋体" w:cs="宋体" w:hint="eastAsia"/>
          <w:kern w:val="0"/>
          <w:szCs w:val="21"/>
        </w:rPr>
        <w:t>100</w:t>
      </w:r>
      <w:r w:rsidR="00693BCA" w:rsidRPr="008B52F3">
        <w:rPr>
          <w:rFonts w:ascii="宋体" w:eastAsia="宋体" w:hAnsi="宋体" w:cs="宋体"/>
          <w:kern w:val="0"/>
          <w:szCs w:val="21"/>
        </w:rPr>
        <w:t>%</w:t>
      </w:r>
      <w:r w:rsidRPr="008B52F3">
        <w:rPr>
          <w:rFonts w:ascii="宋体" w:eastAsia="宋体" w:hAnsi="宋体" w:cs="宋体"/>
          <w:kern w:val="0"/>
          <w:szCs w:val="21"/>
        </w:rPr>
        <w:t>，符合《基金法》</w:t>
      </w:r>
      <w:r w:rsidR="00CD1FB7">
        <w:rPr>
          <w:rFonts w:ascii="宋体" w:eastAsia="宋体" w:hAnsi="宋体" w:cs="宋体" w:hint="eastAsia"/>
          <w:kern w:val="0"/>
          <w:szCs w:val="21"/>
        </w:rPr>
        <w:t>、</w:t>
      </w:r>
      <w:r w:rsidR="00CD1FB7" w:rsidRPr="00FE1239">
        <w:rPr>
          <w:rFonts w:ascii="宋体" w:eastAsia="宋体" w:hAnsi="宋体" w:cs="宋体" w:hint="eastAsia"/>
          <w:kern w:val="0"/>
          <w:szCs w:val="21"/>
        </w:rPr>
        <w:t>《运作管理办法》</w:t>
      </w:r>
      <w:r w:rsidRPr="008B52F3">
        <w:rPr>
          <w:rFonts w:ascii="宋体" w:eastAsia="宋体" w:hAnsi="宋体" w:cs="宋体"/>
          <w:kern w:val="0"/>
          <w:szCs w:val="21"/>
        </w:rPr>
        <w:t>和《</w:t>
      </w:r>
      <w:r w:rsidR="0090179E" w:rsidRPr="0090179E">
        <w:rPr>
          <w:rFonts w:ascii="宋体" w:eastAsia="宋体" w:hAnsi="宋体" w:cs="宋体" w:hint="eastAsia"/>
          <w:kern w:val="0"/>
          <w:szCs w:val="21"/>
        </w:rPr>
        <w:t>富荣福安灵活配置混合型证券投资基金</w:t>
      </w:r>
      <w:r w:rsidRPr="008B52F3">
        <w:rPr>
          <w:rFonts w:ascii="宋体" w:eastAsia="宋体" w:hAnsi="宋体" w:cs="宋体"/>
          <w:kern w:val="0"/>
          <w:szCs w:val="21"/>
        </w:rPr>
        <w:t>基金合同》的有关规定，本次会议议案获得通过。</w:t>
      </w:r>
    </w:p>
    <w:p w:rsidR="00D74598" w:rsidRPr="008B52F3" w:rsidRDefault="00D74598" w:rsidP="008B52F3">
      <w:pPr>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根据《运作管理办法》、《</w:t>
      </w:r>
      <w:r w:rsidR="0090179E" w:rsidRPr="0090179E">
        <w:rPr>
          <w:rFonts w:ascii="宋体" w:eastAsia="宋体" w:hAnsi="宋体" w:cs="宋体" w:hint="eastAsia"/>
          <w:kern w:val="0"/>
          <w:szCs w:val="21"/>
        </w:rPr>
        <w:t>富荣福安灵活配置混合型证券投资基金</w:t>
      </w:r>
      <w:r w:rsidRPr="008B52F3">
        <w:rPr>
          <w:rFonts w:ascii="宋体" w:eastAsia="宋体" w:hAnsi="宋体" w:cs="宋体"/>
          <w:kern w:val="0"/>
          <w:szCs w:val="21"/>
        </w:rPr>
        <w:t>基金合同》的有关规定，经本基金托管人</w:t>
      </w:r>
      <w:r w:rsidR="0090179E">
        <w:rPr>
          <w:rFonts w:ascii="宋体" w:eastAsia="宋体" w:hAnsi="宋体" w:cs="宋体" w:hint="eastAsia"/>
          <w:kern w:val="0"/>
          <w:szCs w:val="21"/>
        </w:rPr>
        <w:t>招商</w:t>
      </w:r>
      <w:r w:rsidR="00A2589E" w:rsidRPr="00A2589E">
        <w:rPr>
          <w:rFonts w:ascii="宋体" w:eastAsia="宋体" w:hAnsi="宋体" w:cs="宋体" w:hint="eastAsia"/>
          <w:kern w:val="0"/>
          <w:szCs w:val="21"/>
        </w:rPr>
        <w:t>银行股份有限公司</w:t>
      </w:r>
      <w:r w:rsidRPr="008B52F3">
        <w:rPr>
          <w:rFonts w:ascii="宋体" w:eastAsia="宋体" w:hAnsi="宋体" w:cs="宋体"/>
          <w:kern w:val="0"/>
          <w:szCs w:val="21"/>
        </w:rPr>
        <w:t>确认，本次基金份额持有人大会费用由基金资产列支，本次会议费用如下表：</w:t>
      </w:r>
    </w:p>
    <w:tbl>
      <w:tblPr>
        <w:tblStyle w:val="a8"/>
        <w:tblW w:w="5287" w:type="dxa"/>
        <w:jc w:val="center"/>
        <w:tblLook w:val="04A0"/>
      </w:tblPr>
      <w:tblGrid>
        <w:gridCol w:w="2235"/>
        <w:gridCol w:w="3052"/>
      </w:tblGrid>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项目</w:t>
            </w:r>
          </w:p>
        </w:tc>
        <w:tc>
          <w:tcPr>
            <w:tcW w:w="3052"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金额（单位：元）</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律师费</w:t>
            </w:r>
          </w:p>
        </w:tc>
        <w:tc>
          <w:tcPr>
            <w:tcW w:w="3052" w:type="dxa"/>
            <w:vAlign w:val="center"/>
          </w:tcPr>
          <w:p w:rsidR="00843D62" w:rsidRPr="00B90288" w:rsidRDefault="00A327B9"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hint="eastAsia"/>
                <w:kern w:val="0"/>
                <w:szCs w:val="21"/>
              </w:rPr>
              <w:t>40</w:t>
            </w:r>
            <w:r w:rsidR="009F1553" w:rsidRPr="00B90288">
              <w:rPr>
                <w:rFonts w:ascii="宋体" w:eastAsia="宋体" w:hAnsi="宋体" w:cs="宋体" w:hint="eastAsia"/>
                <w:kern w:val="0"/>
                <w:szCs w:val="21"/>
              </w:rPr>
              <w:t>,000</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公证费</w:t>
            </w:r>
          </w:p>
        </w:tc>
        <w:tc>
          <w:tcPr>
            <w:tcW w:w="3052" w:type="dxa"/>
            <w:vAlign w:val="center"/>
          </w:tcPr>
          <w:p w:rsidR="00843D62" w:rsidRPr="00B90288" w:rsidRDefault="00B90288" w:rsidP="00B9028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hint="eastAsia"/>
                <w:kern w:val="0"/>
                <w:szCs w:val="21"/>
              </w:rPr>
              <w:t>10</w:t>
            </w:r>
            <w:r w:rsidR="009F1553" w:rsidRPr="00B90288">
              <w:rPr>
                <w:rFonts w:ascii="宋体" w:eastAsia="宋体" w:hAnsi="宋体" w:cs="宋体" w:hint="eastAsia"/>
                <w:kern w:val="0"/>
                <w:szCs w:val="21"/>
              </w:rPr>
              <w:t>,000</w:t>
            </w:r>
          </w:p>
        </w:tc>
      </w:tr>
      <w:tr w:rsidR="00843D62" w:rsidTr="00AF6310">
        <w:trPr>
          <w:jc w:val="center"/>
        </w:trPr>
        <w:tc>
          <w:tcPr>
            <w:tcW w:w="2235" w:type="dxa"/>
            <w:vAlign w:val="center"/>
          </w:tcPr>
          <w:p w:rsidR="00843D62" w:rsidRPr="00B90288" w:rsidRDefault="00843D62" w:rsidP="00AF6310">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kern w:val="0"/>
                <w:szCs w:val="21"/>
              </w:rPr>
              <w:t>合计</w:t>
            </w:r>
          </w:p>
        </w:tc>
        <w:tc>
          <w:tcPr>
            <w:tcW w:w="3052" w:type="dxa"/>
            <w:vAlign w:val="center"/>
          </w:tcPr>
          <w:p w:rsidR="00843D62" w:rsidRPr="00B90288" w:rsidRDefault="00B90288" w:rsidP="00B90288">
            <w:pPr>
              <w:widowControl/>
              <w:adjustRightInd w:val="0"/>
              <w:snapToGrid w:val="0"/>
              <w:spacing w:line="360" w:lineRule="auto"/>
              <w:jc w:val="center"/>
              <w:rPr>
                <w:rFonts w:ascii="宋体" w:eastAsia="宋体" w:hAnsi="宋体" w:cs="宋体"/>
                <w:kern w:val="0"/>
                <w:szCs w:val="21"/>
              </w:rPr>
            </w:pPr>
            <w:r w:rsidRPr="00B90288">
              <w:rPr>
                <w:rFonts w:ascii="宋体" w:eastAsia="宋体" w:hAnsi="宋体" w:cs="宋体" w:hint="eastAsia"/>
                <w:kern w:val="0"/>
                <w:szCs w:val="21"/>
              </w:rPr>
              <w:t>50</w:t>
            </w:r>
            <w:r w:rsidR="009F1553" w:rsidRPr="00B90288">
              <w:rPr>
                <w:rFonts w:ascii="宋体" w:eastAsia="宋体" w:hAnsi="宋体" w:cs="宋体" w:hint="eastAsia"/>
                <w:kern w:val="0"/>
                <w:szCs w:val="21"/>
              </w:rPr>
              <w:t>,000</w:t>
            </w:r>
          </w:p>
        </w:tc>
      </w:tr>
    </w:tbl>
    <w:p w:rsidR="00843D62" w:rsidRPr="008B52F3" w:rsidRDefault="00843D62"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二、基金份额持有人大会决议生效情况</w:t>
      </w:r>
    </w:p>
    <w:p w:rsidR="00D74598" w:rsidRDefault="00D74598" w:rsidP="00A2589E">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lastRenderedPageBreak/>
        <w:t>根据《运作管理办法》</w:t>
      </w:r>
      <w:r w:rsidR="009D2791">
        <w:rPr>
          <w:rFonts w:ascii="宋体" w:eastAsia="宋体" w:hAnsi="宋体" w:cs="宋体" w:hint="eastAsia"/>
          <w:kern w:val="0"/>
          <w:szCs w:val="21"/>
        </w:rPr>
        <w:t>的规定</w:t>
      </w:r>
      <w:r w:rsidRPr="008B52F3">
        <w:rPr>
          <w:rFonts w:ascii="宋体" w:eastAsia="宋体" w:hAnsi="宋体" w:cs="宋体"/>
          <w:kern w:val="0"/>
          <w:szCs w:val="21"/>
        </w:rPr>
        <w:t>，基金份额持有人大会决定的事项自表决通过之日起生效。本次基金份额持有人大会</w:t>
      </w:r>
      <w:r w:rsidR="00884D6B">
        <w:rPr>
          <w:rFonts w:ascii="宋体" w:eastAsia="宋体" w:hAnsi="宋体" w:cs="宋体" w:hint="eastAsia"/>
          <w:kern w:val="0"/>
          <w:szCs w:val="21"/>
        </w:rPr>
        <w:t>于</w:t>
      </w:r>
      <w:r w:rsidR="008E210D" w:rsidRPr="009E6EC9">
        <w:rPr>
          <w:rFonts w:ascii="宋体" w:eastAsia="宋体" w:hAnsi="宋体" w:cs="宋体"/>
          <w:kern w:val="0"/>
          <w:szCs w:val="21"/>
        </w:rPr>
        <w:t>201</w:t>
      </w:r>
      <w:r w:rsidR="008E210D" w:rsidRPr="009E6EC9">
        <w:rPr>
          <w:rFonts w:ascii="宋体" w:eastAsia="宋体" w:hAnsi="宋体" w:cs="宋体" w:hint="eastAsia"/>
          <w:kern w:val="0"/>
          <w:szCs w:val="21"/>
        </w:rPr>
        <w:t>8</w:t>
      </w:r>
      <w:r w:rsidR="008E210D" w:rsidRPr="009E6EC9">
        <w:rPr>
          <w:rFonts w:ascii="宋体" w:eastAsia="宋体" w:hAnsi="宋体" w:cs="宋体"/>
          <w:kern w:val="0"/>
          <w:szCs w:val="21"/>
        </w:rPr>
        <w:t>年</w:t>
      </w:r>
      <w:r w:rsidR="008E210D" w:rsidRPr="009E6EC9">
        <w:rPr>
          <w:rFonts w:ascii="宋体" w:eastAsia="宋体" w:hAnsi="宋体" w:cs="宋体" w:hint="eastAsia"/>
          <w:kern w:val="0"/>
          <w:szCs w:val="21"/>
        </w:rPr>
        <w:t>12</w:t>
      </w:r>
      <w:r w:rsidR="00884D6B" w:rsidRPr="009E6EC9">
        <w:rPr>
          <w:rFonts w:ascii="宋体" w:eastAsia="宋体" w:hAnsi="宋体" w:cs="宋体"/>
          <w:kern w:val="0"/>
          <w:szCs w:val="21"/>
        </w:rPr>
        <w:t>月</w:t>
      </w:r>
      <w:r w:rsidR="008E210D" w:rsidRPr="009E6EC9">
        <w:rPr>
          <w:rFonts w:ascii="宋体" w:eastAsia="宋体" w:hAnsi="宋体" w:cs="宋体" w:hint="eastAsia"/>
          <w:kern w:val="0"/>
          <w:szCs w:val="21"/>
        </w:rPr>
        <w:t>10</w:t>
      </w:r>
      <w:r w:rsidR="00884D6B" w:rsidRPr="009E6EC9">
        <w:rPr>
          <w:rFonts w:ascii="宋体" w:eastAsia="宋体" w:hAnsi="宋体" w:cs="宋体"/>
          <w:kern w:val="0"/>
          <w:szCs w:val="21"/>
        </w:rPr>
        <w:t>日</w:t>
      </w:r>
      <w:r w:rsidR="00884D6B" w:rsidRPr="009E6EC9">
        <w:rPr>
          <w:rFonts w:ascii="宋体" w:eastAsia="宋体" w:hAnsi="宋体" w:cs="宋体" w:hint="eastAsia"/>
          <w:kern w:val="0"/>
          <w:szCs w:val="21"/>
        </w:rPr>
        <w:t>表决通过了《</w:t>
      </w:r>
      <w:r w:rsidR="008E210D" w:rsidRPr="008E210D">
        <w:rPr>
          <w:rFonts w:ascii="宋体" w:eastAsia="宋体" w:hAnsi="宋体" w:cs="宋体" w:hint="eastAsia"/>
          <w:kern w:val="0"/>
          <w:szCs w:val="21"/>
        </w:rPr>
        <w:t>富荣福安灵活配置混合型证券投资基金转型有关事项的议案</w:t>
      </w:r>
      <w:r w:rsidR="00884D6B">
        <w:rPr>
          <w:rFonts w:ascii="宋体" w:eastAsia="宋体" w:hAnsi="宋体" w:cs="宋体" w:hint="eastAsia"/>
          <w:kern w:val="0"/>
          <w:szCs w:val="21"/>
        </w:rPr>
        <w:t>》，本次大会</w:t>
      </w:r>
      <w:r w:rsidRPr="008B52F3">
        <w:rPr>
          <w:rFonts w:ascii="宋体" w:eastAsia="宋体" w:hAnsi="宋体" w:cs="宋体"/>
          <w:kern w:val="0"/>
          <w:szCs w:val="21"/>
        </w:rPr>
        <w:t>决议</w:t>
      </w:r>
      <w:r w:rsidR="00884D6B">
        <w:rPr>
          <w:rFonts w:ascii="宋体" w:eastAsia="宋体" w:hAnsi="宋体" w:cs="宋体" w:hint="eastAsia"/>
          <w:kern w:val="0"/>
          <w:szCs w:val="21"/>
        </w:rPr>
        <w:t>自该日起</w:t>
      </w:r>
      <w:r w:rsidRPr="008B52F3">
        <w:rPr>
          <w:rFonts w:ascii="宋体" w:eastAsia="宋体" w:hAnsi="宋体" w:cs="宋体"/>
          <w:kern w:val="0"/>
          <w:szCs w:val="21"/>
        </w:rPr>
        <w:t>生效</w:t>
      </w:r>
      <w:r w:rsidR="00884D6B">
        <w:rPr>
          <w:rFonts w:ascii="宋体" w:eastAsia="宋体" w:hAnsi="宋体" w:cs="宋体" w:hint="eastAsia"/>
          <w:kern w:val="0"/>
          <w:szCs w:val="21"/>
        </w:rPr>
        <w:t>。</w:t>
      </w:r>
      <w:r w:rsidR="00884D6B" w:rsidRPr="008B52F3">
        <w:rPr>
          <w:rFonts w:ascii="宋体" w:eastAsia="宋体" w:hAnsi="宋体" w:cs="宋体"/>
          <w:kern w:val="0"/>
          <w:szCs w:val="21"/>
        </w:rPr>
        <w:t>基金管理人将于表决通过之日起5日内</w:t>
      </w:r>
      <w:r w:rsidR="00884D6B">
        <w:rPr>
          <w:rFonts w:ascii="宋体" w:eastAsia="宋体" w:hAnsi="宋体" w:cs="宋体" w:hint="eastAsia"/>
          <w:kern w:val="0"/>
          <w:szCs w:val="21"/>
        </w:rPr>
        <w:t>将表决通过的事项</w:t>
      </w:r>
      <w:r w:rsidR="00884D6B" w:rsidRPr="008B52F3">
        <w:rPr>
          <w:rFonts w:ascii="宋体" w:eastAsia="宋体" w:hAnsi="宋体" w:cs="宋体"/>
          <w:kern w:val="0"/>
          <w:szCs w:val="21"/>
        </w:rPr>
        <w:t>报中国证监会备案。</w:t>
      </w:r>
    </w:p>
    <w:p w:rsidR="00E42C0A" w:rsidRPr="002A5B6C" w:rsidRDefault="00E42C0A"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三、</w:t>
      </w:r>
      <w:r w:rsidR="00C8218A" w:rsidRPr="00C8218A">
        <w:rPr>
          <w:rFonts w:ascii="宋体" w:eastAsia="宋体" w:hAnsi="宋体" w:cs="宋体" w:hint="eastAsia"/>
          <w:b/>
          <w:bCs/>
          <w:kern w:val="0"/>
          <w:szCs w:val="21"/>
        </w:rPr>
        <w:t>基金份额持有人大会决议相关事项</w:t>
      </w:r>
      <w:r w:rsidR="0022536E">
        <w:rPr>
          <w:rFonts w:ascii="宋体" w:eastAsia="宋体" w:hAnsi="宋体" w:cs="宋体" w:hint="eastAsia"/>
          <w:b/>
          <w:bCs/>
          <w:kern w:val="0"/>
          <w:szCs w:val="21"/>
        </w:rPr>
        <w:t>的</w:t>
      </w:r>
      <w:r w:rsidR="00C8218A" w:rsidRPr="00C8218A">
        <w:rPr>
          <w:rFonts w:ascii="宋体" w:eastAsia="宋体" w:hAnsi="宋体" w:cs="宋体" w:hint="eastAsia"/>
          <w:b/>
          <w:bCs/>
          <w:kern w:val="0"/>
          <w:szCs w:val="21"/>
        </w:rPr>
        <w:t>实施</w:t>
      </w:r>
    </w:p>
    <w:p w:rsidR="00A2589E" w:rsidRPr="00A2589E" w:rsidRDefault="00A2589E" w:rsidP="00A2589E">
      <w:pPr>
        <w:adjustRightInd w:val="0"/>
        <w:spacing w:line="360" w:lineRule="auto"/>
        <w:ind w:firstLine="480"/>
        <w:textAlignment w:val="baseline"/>
        <w:rPr>
          <w:rFonts w:ascii="宋体" w:eastAsia="宋体" w:hAnsi="宋体" w:cs="宋体"/>
          <w:kern w:val="0"/>
          <w:szCs w:val="21"/>
        </w:rPr>
      </w:pPr>
      <w:r w:rsidRPr="00A2589E">
        <w:rPr>
          <w:rFonts w:ascii="宋体" w:eastAsia="宋体" w:hAnsi="宋体" w:cs="宋体" w:hint="eastAsia"/>
          <w:kern w:val="0"/>
          <w:szCs w:val="21"/>
        </w:rPr>
        <w:t>1、根据《运作管理办法》的规定，本次基金份额持有人大会决议生效后、</w:t>
      </w:r>
      <w:r w:rsidR="008E210D" w:rsidRPr="00A2589E">
        <w:rPr>
          <w:rFonts w:ascii="宋体" w:eastAsia="宋体" w:hAnsi="宋体" w:cs="宋体" w:hint="eastAsia"/>
          <w:kern w:val="0"/>
          <w:szCs w:val="21"/>
        </w:rPr>
        <w:t>《</w:t>
      </w:r>
      <w:r w:rsidR="008E210D">
        <w:rPr>
          <w:rFonts w:ascii="宋体" w:eastAsia="宋体" w:hAnsi="宋体" w:cs="宋体" w:hint="eastAsia"/>
          <w:kern w:val="0"/>
          <w:szCs w:val="21"/>
        </w:rPr>
        <w:t>富荣中证500指数增强型证券投资基金</w:t>
      </w:r>
      <w:r w:rsidR="008E210D" w:rsidRPr="00A2589E">
        <w:rPr>
          <w:rFonts w:ascii="宋体" w:eastAsia="宋体" w:hAnsi="宋体" w:cs="宋体" w:hint="eastAsia"/>
          <w:kern w:val="0"/>
          <w:szCs w:val="21"/>
        </w:rPr>
        <w:t>基金合同》</w:t>
      </w:r>
      <w:r w:rsidRPr="00A2589E">
        <w:rPr>
          <w:rFonts w:ascii="宋体" w:eastAsia="宋体" w:hAnsi="宋体" w:cs="宋体" w:hint="eastAsia"/>
          <w:kern w:val="0"/>
          <w:szCs w:val="21"/>
        </w:rPr>
        <w:t>生效前，将有至少二十个开放日的选择</w:t>
      </w:r>
      <w:proofErr w:type="gramStart"/>
      <w:r w:rsidRPr="00A2589E">
        <w:rPr>
          <w:rFonts w:ascii="宋体" w:eastAsia="宋体" w:hAnsi="宋体" w:cs="宋体" w:hint="eastAsia"/>
          <w:kern w:val="0"/>
          <w:szCs w:val="21"/>
        </w:rPr>
        <w:t>期供基金</w:t>
      </w:r>
      <w:proofErr w:type="gramEnd"/>
      <w:r w:rsidRPr="00A2589E">
        <w:rPr>
          <w:rFonts w:ascii="宋体" w:eastAsia="宋体" w:hAnsi="宋体" w:cs="宋体" w:hint="eastAsia"/>
          <w:kern w:val="0"/>
          <w:szCs w:val="21"/>
        </w:rPr>
        <w:t>份额持有人做出选择。本基金管理人决定，自</w:t>
      </w:r>
      <w:r w:rsidR="008E210D" w:rsidRPr="009E6EC9">
        <w:rPr>
          <w:rFonts w:ascii="宋体" w:eastAsia="宋体" w:hAnsi="宋体" w:cs="宋体" w:hint="eastAsia"/>
          <w:kern w:val="0"/>
          <w:szCs w:val="21"/>
        </w:rPr>
        <w:t>2018年12</w:t>
      </w:r>
      <w:r w:rsidRPr="009E6EC9">
        <w:rPr>
          <w:rFonts w:ascii="宋体" w:eastAsia="宋体" w:hAnsi="宋体" w:cs="宋体" w:hint="eastAsia"/>
          <w:kern w:val="0"/>
          <w:szCs w:val="21"/>
        </w:rPr>
        <w:t>月</w:t>
      </w:r>
      <w:r w:rsidR="008E210D" w:rsidRPr="009E6EC9">
        <w:rPr>
          <w:rFonts w:ascii="宋体" w:eastAsia="宋体" w:hAnsi="宋体" w:cs="宋体" w:hint="eastAsia"/>
          <w:kern w:val="0"/>
          <w:szCs w:val="21"/>
        </w:rPr>
        <w:t>11</w:t>
      </w:r>
      <w:r w:rsidRPr="009E6EC9">
        <w:rPr>
          <w:rFonts w:ascii="宋体" w:eastAsia="宋体" w:hAnsi="宋体" w:cs="宋体" w:hint="eastAsia"/>
          <w:kern w:val="0"/>
          <w:szCs w:val="21"/>
        </w:rPr>
        <w:t>日至</w:t>
      </w:r>
      <w:r w:rsidR="00143478" w:rsidRPr="009E6EC9">
        <w:rPr>
          <w:rFonts w:ascii="宋体" w:eastAsia="宋体" w:hAnsi="宋体" w:cs="宋体" w:hint="eastAsia"/>
          <w:kern w:val="0"/>
          <w:szCs w:val="21"/>
        </w:rPr>
        <w:t>2019年1月</w:t>
      </w:r>
      <w:r w:rsidR="00143478">
        <w:rPr>
          <w:rFonts w:ascii="宋体" w:eastAsia="宋体" w:hAnsi="宋体" w:cs="宋体" w:hint="eastAsia"/>
          <w:kern w:val="0"/>
          <w:szCs w:val="21"/>
        </w:rPr>
        <w:t>9</w:t>
      </w:r>
      <w:r w:rsidRPr="009E6EC9">
        <w:rPr>
          <w:rFonts w:ascii="宋体" w:eastAsia="宋体" w:hAnsi="宋体" w:cs="宋体" w:hint="eastAsia"/>
          <w:kern w:val="0"/>
          <w:szCs w:val="21"/>
        </w:rPr>
        <w:t>日</w:t>
      </w:r>
      <w:r w:rsidRPr="00A2589E">
        <w:rPr>
          <w:rFonts w:ascii="宋体" w:eastAsia="宋体" w:hAnsi="宋体" w:cs="宋体" w:hint="eastAsia"/>
          <w:kern w:val="0"/>
          <w:szCs w:val="21"/>
        </w:rPr>
        <w:t>，本基金将预留二十个交易日供投资者赎回或转出。在此选择期期间，本基金将</w:t>
      </w:r>
      <w:r w:rsidR="00884A7C">
        <w:rPr>
          <w:rFonts w:ascii="宋体" w:eastAsia="宋体" w:hAnsi="宋体" w:cs="宋体" w:hint="eastAsia"/>
          <w:kern w:val="0"/>
          <w:szCs w:val="21"/>
        </w:rPr>
        <w:t>开放</w:t>
      </w:r>
      <w:r w:rsidRPr="00A2589E">
        <w:rPr>
          <w:rFonts w:ascii="宋体" w:eastAsia="宋体" w:hAnsi="宋体" w:cs="宋体" w:hint="eastAsia"/>
          <w:kern w:val="0"/>
          <w:szCs w:val="21"/>
        </w:rPr>
        <w:t>日常申购、</w:t>
      </w:r>
      <w:r w:rsidR="00884A7C">
        <w:rPr>
          <w:rFonts w:ascii="宋体" w:eastAsia="宋体" w:hAnsi="宋体" w:cs="宋体" w:hint="eastAsia"/>
          <w:kern w:val="0"/>
          <w:szCs w:val="21"/>
        </w:rPr>
        <w:t>赎回、</w:t>
      </w:r>
      <w:r w:rsidRPr="00A2589E">
        <w:rPr>
          <w:rFonts w:ascii="宋体" w:eastAsia="宋体" w:hAnsi="宋体" w:cs="宋体" w:hint="eastAsia"/>
          <w:kern w:val="0"/>
          <w:szCs w:val="21"/>
        </w:rPr>
        <w:t>转换转入</w:t>
      </w:r>
      <w:r w:rsidR="00884A7C">
        <w:rPr>
          <w:rFonts w:ascii="宋体" w:eastAsia="宋体" w:hAnsi="宋体" w:cs="宋体" w:hint="eastAsia"/>
          <w:kern w:val="0"/>
          <w:szCs w:val="21"/>
        </w:rPr>
        <w:t>和转换转出</w:t>
      </w:r>
      <w:r w:rsidRPr="00A2589E">
        <w:rPr>
          <w:rFonts w:ascii="宋体" w:eastAsia="宋体" w:hAnsi="宋体" w:cs="宋体" w:hint="eastAsia"/>
          <w:kern w:val="0"/>
          <w:szCs w:val="21"/>
        </w:rPr>
        <w:t>业务。</w:t>
      </w:r>
    </w:p>
    <w:p w:rsidR="00A2589E" w:rsidRPr="00A2589E" w:rsidRDefault="00A2589E" w:rsidP="00A2589E">
      <w:pPr>
        <w:adjustRightInd w:val="0"/>
        <w:spacing w:line="360" w:lineRule="auto"/>
        <w:ind w:firstLine="480"/>
        <w:textAlignment w:val="baseline"/>
        <w:rPr>
          <w:rFonts w:ascii="宋体" w:eastAsia="宋体" w:hAnsi="宋体" w:cs="宋体"/>
          <w:kern w:val="0"/>
          <w:szCs w:val="21"/>
        </w:rPr>
      </w:pPr>
      <w:r w:rsidRPr="00A2589E">
        <w:rPr>
          <w:rFonts w:ascii="宋体" w:eastAsia="宋体" w:hAnsi="宋体" w:cs="宋体" w:hint="eastAsia"/>
          <w:kern w:val="0"/>
          <w:szCs w:val="21"/>
        </w:rPr>
        <w:t>2、选择期期间的相关费用安排</w:t>
      </w:r>
    </w:p>
    <w:p w:rsidR="00A2589E" w:rsidRPr="00A2589E" w:rsidRDefault="00A2589E" w:rsidP="00A2589E">
      <w:pPr>
        <w:adjustRightInd w:val="0"/>
        <w:spacing w:line="360" w:lineRule="auto"/>
        <w:ind w:firstLine="480"/>
        <w:textAlignment w:val="baseline"/>
        <w:rPr>
          <w:rFonts w:ascii="宋体" w:eastAsia="宋体" w:hAnsi="宋体" w:cs="宋体"/>
          <w:kern w:val="0"/>
          <w:szCs w:val="21"/>
        </w:rPr>
      </w:pPr>
      <w:r w:rsidRPr="00A2589E">
        <w:rPr>
          <w:rFonts w:ascii="宋体" w:eastAsia="宋体" w:hAnsi="宋体" w:cs="宋体" w:hint="eastAsia"/>
          <w:kern w:val="0"/>
          <w:szCs w:val="21"/>
        </w:rPr>
        <w:t>（1）在选择期期间，本基金开放申购及转换转入业务，</w:t>
      </w:r>
      <w:r w:rsidR="004471AB">
        <w:rPr>
          <w:rFonts w:ascii="宋体" w:eastAsia="宋体" w:hAnsi="宋体" w:cs="宋体" w:hint="eastAsia"/>
          <w:kern w:val="0"/>
          <w:szCs w:val="21"/>
        </w:rPr>
        <w:t>但不接受个人投资者的申购及转换转入。</w:t>
      </w:r>
      <w:r w:rsidRPr="00A2589E">
        <w:rPr>
          <w:rFonts w:ascii="宋体" w:eastAsia="宋体" w:hAnsi="宋体" w:cs="宋体" w:hint="eastAsia"/>
          <w:kern w:val="0"/>
          <w:szCs w:val="21"/>
        </w:rPr>
        <w:t>相关费用安排详见</w:t>
      </w:r>
      <w:r w:rsidR="008E210D" w:rsidRPr="00A2589E">
        <w:rPr>
          <w:rFonts w:ascii="宋体" w:eastAsia="宋体" w:hAnsi="宋体" w:cs="宋体" w:hint="eastAsia"/>
          <w:kern w:val="0"/>
          <w:szCs w:val="21"/>
        </w:rPr>
        <w:t>《</w:t>
      </w:r>
      <w:r w:rsidR="008E210D">
        <w:rPr>
          <w:rFonts w:ascii="宋体" w:eastAsia="宋体" w:hAnsi="宋体" w:cs="宋体" w:hint="eastAsia"/>
          <w:kern w:val="0"/>
          <w:szCs w:val="21"/>
        </w:rPr>
        <w:t>富荣福安灵活配置混合型证券投资</w:t>
      </w:r>
      <w:r w:rsidR="008E210D" w:rsidRPr="00A2589E">
        <w:rPr>
          <w:rFonts w:ascii="宋体" w:eastAsia="宋体" w:hAnsi="宋体" w:cs="宋体" w:hint="eastAsia"/>
          <w:kern w:val="0"/>
          <w:szCs w:val="21"/>
        </w:rPr>
        <w:t>基金招募说明书》</w:t>
      </w:r>
      <w:r w:rsidRPr="00A2589E">
        <w:rPr>
          <w:rFonts w:ascii="宋体" w:eastAsia="宋体" w:hAnsi="宋体" w:cs="宋体" w:hint="eastAsia"/>
          <w:kern w:val="0"/>
          <w:szCs w:val="21"/>
        </w:rPr>
        <w:t>及相关公告。</w:t>
      </w:r>
    </w:p>
    <w:p w:rsidR="00A2589E" w:rsidRPr="00A2589E" w:rsidRDefault="00A2589E" w:rsidP="00A2589E">
      <w:pPr>
        <w:adjustRightInd w:val="0"/>
        <w:spacing w:line="360" w:lineRule="auto"/>
        <w:ind w:firstLine="480"/>
        <w:textAlignment w:val="baseline"/>
        <w:rPr>
          <w:rFonts w:ascii="宋体" w:eastAsia="宋体" w:hAnsi="宋体" w:cs="宋体"/>
          <w:kern w:val="0"/>
          <w:szCs w:val="21"/>
        </w:rPr>
      </w:pPr>
      <w:r w:rsidRPr="00A2589E">
        <w:rPr>
          <w:rFonts w:ascii="宋体" w:eastAsia="宋体" w:hAnsi="宋体" w:cs="宋体" w:hint="eastAsia"/>
          <w:kern w:val="0"/>
          <w:szCs w:val="21"/>
        </w:rPr>
        <w:t>（2）在选择期期间，基金份额持有人选择赎回时，按照下述费用收取方式进行费用支付：</w:t>
      </w:r>
    </w:p>
    <w:p w:rsidR="0090179E" w:rsidRDefault="0090179E" w:rsidP="0090179E">
      <w:pPr>
        <w:adjustRightInd w:val="0"/>
        <w:snapToGrid w:val="0"/>
        <w:spacing w:line="360" w:lineRule="auto"/>
        <w:ind w:firstLineChars="200" w:firstLine="480"/>
        <w:rPr>
          <w:rFonts w:asciiTheme="minorEastAsia" w:hAnsiTheme="minorEastAsia" w:cs="Arial"/>
          <w:sz w:val="24"/>
          <w:szCs w:val="24"/>
        </w:rPr>
      </w:pPr>
    </w:p>
    <w:tbl>
      <w:tblPr>
        <w:tblW w:w="66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01"/>
        <w:gridCol w:w="2024"/>
        <w:gridCol w:w="2024"/>
      </w:tblGrid>
      <w:tr w:rsidR="0090179E" w:rsidTr="0090179E">
        <w:trPr>
          <w:trHeight w:val="113"/>
          <w:jc w:val="center"/>
        </w:trPr>
        <w:tc>
          <w:tcPr>
            <w:tcW w:w="2601"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jc w:val="center"/>
              <w:rPr>
                <w:rFonts w:asciiTheme="minorEastAsia" w:hAnsiTheme="minorEastAsia" w:cs="Arial"/>
                <w:color w:val="000000"/>
                <w:szCs w:val="21"/>
              </w:rPr>
            </w:pPr>
            <w:r w:rsidRPr="0090179E">
              <w:rPr>
                <w:rFonts w:asciiTheme="minorEastAsia" w:hAnsiTheme="minorEastAsia" w:cs="Arial" w:hint="eastAsia"/>
                <w:color w:val="000000"/>
                <w:szCs w:val="21"/>
              </w:rPr>
              <w:t>持有基金份额期限（Y）</w:t>
            </w:r>
          </w:p>
        </w:tc>
        <w:tc>
          <w:tcPr>
            <w:tcW w:w="2024"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jc w:val="center"/>
              <w:rPr>
                <w:rFonts w:asciiTheme="minorEastAsia" w:hAnsiTheme="minorEastAsia" w:cs="Arial"/>
                <w:color w:val="000000"/>
                <w:szCs w:val="21"/>
              </w:rPr>
            </w:pPr>
            <w:r w:rsidRPr="0090179E">
              <w:rPr>
                <w:rFonts w:asciiTheme="minorEastAsia" w:hAnsiTheme="minorEastAsia" w:cs="Arial" w:hint="eastAsia"/>
                <w:color w:val="000000"/>
                <w:szCs w:val="21"/>
              </w:rPr>
              <w:t>A类份额赎回费率</w:t>
            </w:r>
          </w:p>
        </w:tc>
        <w:tc>
          <w:tcPr>
            <w:tcW w:w="2024"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jc w:val="center"/>
              <w:rPr>
                <w:rFonts w:asciiTheme="minorEastAsia" w:hAnsiTheme="minorEastAsia" w:cs="Arial"/>
                <w:color w:val="000000"/>
                <w:szCs w:val="21"/>
              </w:rPr>
            </w:pPr>
            <w:r w:rsidRPr="0090179E">
              <w:rPr>
                <w:rFonts w:asciiTheme="minorEastAsia" w:hAnsiTheme="minorEastAsia" w:cs="Arial" w:hint="eastAsia"/>
                <w:color w:val="000000"/>
                <w:szCs w:val="21"/>
              </w:rPr>
              <w:t>C类份额赎回费率</w:t>
            </w:r>
          </w:p>
        </w:tc>
      </w:tr>
      <w:tr w:rsidR="0090179E" w:rsidTr="0090179E">
        <w:trPr>
          <w:trHeight w:val="113"/>
          <w:jc w:val="center"/>
        </w:trPr>
        <w:tc>
          <w:tcPr>
            <w:tcW w:w="2601"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widowControl/>
              <w:spacing w:line="336" w:lineRule="auto"/>
              <w:jc w:val="center"/>
              <w:rPr>
                <w:rFonts w:asciiTheme="minorEastAsia" w:hAnsiTheme="minorEastAsia" w:cs="Arial"/>
                <w:bCs/>
                <w:kern w:val="0"/>
                <w:szCs w:val="21"/>
              </w:rPr>
            </w:pPr>
            <w:r w:rsidRPr="0090179E">
              <w:rPr>
                <w:rFonts w:asciiTheme="minorEastAsia" w:hAnsiTheme="minorEastAsia" w:cs="Arial" w:hint="eastAsia"/>
                <w:bCs/>
                <w:kern w:val="0"/>
                <w:szCs w:val="21"/>
              </w:rPr>
              <w:t>Y＜7日</w:t>
            </w:r>
          </w:p>
        </w:tc>
        <w:tc>
          <w:tcPr>
            <w:tcW w:w="2024"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widowControl/>
              <w:spacing w:line="336" w:lineRule="auto"/>
              <w:jc w:val="center"/>
              <w:rPr>
                <w:rFonts w:asciiTheme="minorEastAsia" w:hAnsiTheme="minorEastAsia" w:cs="Arial"/>
                <w:bCs/>
                <w:kern w:val="0"/>
                <w:szCs w:val="21"/>
              </w:rPr>
            </w:pPr>
            <w:r w:rsidRPr="0090179E">
              <w:rPr>
                <w:rFonts w:asciiTheme="minorEastAsia" w:hAnsiTheme="minorEastAsia" w:cs="Arial" w:hint="eastAsia"/>
                <w:bCs/>
                <w:kern w:val="0"/>
                <w:szCs w:val="21"/>
              </w:rPr>
              <w:t>1.50%</w:t>
            </w:r>
          </w:p>
        </w:tc>
        <w:tc>
          <w:tcPr>
            <w:tcW w:w="2024"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jc w:val="center"/>
              <w:rPr>
                <w:rFonts w:asciiTheme="minorEastAsia" w:hAnsiTheme="minorEastAsia" w:cs="Arial"/>
                <w:bCs/>
                <w:kern w:val="0"/>
                <w:szCs w:val="21"/>
              </w:rPr>
            </w:pPr>
            <w:r w:rsidRPr="0090179E">
              <w:rPr>
                <w:rFonts w:asciiTheme="minorEastAsia" w:hAnsiTheme="minorEastAsia" w:cs="Arial" w:hint="eastAsia"/>
                <w:bCs/>
                <w:kern w:val="0"/>
                <w:szCs w:val="21"/>
              </w:rPr>
              <w:t>1.50%</w:t>
            </w:r>
          </w:p>
        </w:tc>
      </w:tr>
      <w:tr w:rsidR="0090179E" w:rsidTr="0090179E">
        <w:trPr>
          <w:trHeight w:val="113"/>
          <w:jc w:val="center"/>
        </w:trPr>
        <w:tc>
          <w:tcPr>
            <w:tcW w:w="2601"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widowControl/>
              <w:spacing w:line="336" w:lineRule="auto"/>
              <w:jc w:val="center"/>
              <w:rPr>
                <w:rFonts w:asciiTheme="minorEastAsia" w:hAnsiTheme="minorEastAsia" w:cs="Arial"/>
                <w:bCs/>
                <w:kern w:val="0"/>
                <w:szCs w:val="21"/>
              </w:rPr>
            </w:pPr>
            <w:r w:rsidRPr="0090179E">
              <w:rPr>
                <w:rFonts w:asciiTheme="minorEastAsia" w:hAnsiTheme="minorEastAsia" w:cs="Arial" w:hint="eastAsia"/>
                <w:bCs/>
                <w:kern w:val="0"/>
                <w:szCs w:val="21"/>
              </w:rPr>
              <w:t>7日 ≤ Y ＜ 30日</w:t>
            </w:r>
          </w:p>
        </w:tc>
        <w:tc>
          <w:tcPr>
            <w:tcW w:w="2024"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widowControl/>
              <w:spacing w:line="336" w:lineRule="auto"/>
              <w:jc w:val="center"/>
              <w:rPr>
                <w:rFonts w:asciiTheme="minorEastAsia" w:hAnsiTheme="minorEastAsia" w:cs="Arial"/>
                <w:bCs/>
                <w:kern w:val="0"/>
                <w:szCs w:val="21"/>
              </w:rPr>
            </w:pPr>
            <w:r w:rsidRPr="0090179E">
              <w:rPr>
                <w:rFonts w:asciiTheme="minorEastAsia" w:hAnsiTheme="minorEastAsia" w:cs="Arial" w:hint="eastAsia"/>
                <w:bCs/>
                <w:kern w:val="0"/>
                <w:szCs w:val="21"/>
              </w:rPr>
              <w:t>0.75%</w:t>
            </w:r>
          </w:p>
        </w:tc>
        <w:tc>
          <w:tcPr>
            <w:tcW w:w="2024"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jc w:val="center"/>
              <w:rPr>
                <w:rFonts w:asciiTheme="minorEastAsia" w:hAnsiTheme="minorEastAsia" w:cs="Arial"/>
                <w:bCs/>
                <w:kern w:val="0"/>
                <w:szCs w:val="21"/>
              </w:rPr>
            </w:pPr>
            <w:r w:rsidRPr="0090179E">
              <w:rPr>
                <w:rFonts w:asciiTheme="minorEastAsia" w:hAnsiTheme="minorEastAsia" w:cs="Arial" w:hint="eastAsia"/>
                <w:bCs/>
                <w:kern w:val="0"/>
                <w:szCs w:val="21"/>
              </w:rPr>
              <w:t>0.50%</w:t>
            </w:r>
          </w:p>
        </w:tc>
      </w:tr>
      <w:tr w:rsidR="0090179E" w:rsidTr="0090179E">
        <w:trPr>
          <w:trHeight w:val="113"/>
          <w:jc w:val="center"/>
        </w:trPr>
        <w:tc>
          <w:tcPr>
            <w:tcW w:w="2601"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widowControl/>
              <w:spacing w:line="336" w:lineRule="auto"/>
              <w:jc w:val="center"/>
              <w:rPr>
                <w:rFonts w:asciiTheme="minorEastAsia" w:hAnsiTheme="minorEastAsia" w:cs="Arial"/>
                <w:bCs/>
                <w:kern w:val="0"/>
                <w:szCs w:val="21"/>
              </w:rPr>
            </w:pPr>
            <w:r w:rsidRPr="0090179E">
              <w:rPr>
                <w:rFonts w:asciiTheme="minorEastAsia" w:hAnsiTheme="minorEastAsia" w:cs="Arial" w:hint="eastAsia"/>
                <w:bCs/>
                <w:kern w:val="0"/>
                <w:szCs w:val="21"/>
              </w:rPr>
              <w:t>30日 ≤ Y ＜ 6个月</w:t>
            </w:r>
          </w:p>
        </w:tc>
        <w:tc>
          <w:tcPr>
            <w:tcW w:w="2024"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widowControl/>
              <w:spacing w:line="336" w:lineRule="auto"/>
              <w:jc w:val="center"/>
              <w:rPr>
                <w:rFonts w:asciiTheme="minorEastAsia" w:hAnsiTheme="minorEastAsia" w:cs="Arial"/>
                <w:bCs/>
                <w:kern w:val="0"/>
                <w:szCs w:val="21"/>
              </w:rPr>
            </w:pPr>
            <w:r w:rsidRPr="0090179E">
              <w:rPr>
                <w:rFonts w:asciiTheme="minorEastAsia" w:hAnsiTheme="minorEastAsia" w:cs="Arial" w:hint="eastAsia"/>
                <w:bCs/>
                <w:kern w:val="0"/>
                <w:szCs w:val="21"/>
              </w:rPr>
              <w:t>0.50%</w:t>
            </w:r>
          </w:p>
        </w:tc>
        <w:tc>
          <w:tcPr>
            <w:tcW w:w="2024"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jc w:val="center"/>
              <w:rPr>
                <w:rFonts w:asciiTheme="minorEastAsia" w:hAnsiTheme="minorEastAsia" w:cs="Arial"/>
                <w:bCs/>
                <w:kern w:val="0"/>
                <w:szCs w:val="21"/>
              </w:rPr>
            </w:pPr>
            <w:r w:rsidRPr="0090179E">
              <w:rPr>
                <w:rFonts w:asciiTheme="minorEastAsia" w:hAnsiTheme="minorEastAsia" w:cs="Arial" w:hint="eastAsia"/>
                <w:bCs/>
                <w:kern w:val="0"/>
                <w:szCs w:val="21"/>
              </w:rPr>
              <w:t>0</w:t>
            </w:r>
          </w:p>
        </w:tc>
      </w:tr>
      <w:tr w:rsidR="0090179E" w:rsidTr="0090179E">
        <w:trPr>
          <w:trHeight w:val="113"/>
          <w:jc w:val="center"/>
        </w:trPr>
        <w:tc>
          <w:tcPr>
            <w:tcW w:w="2601"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widowControl/>
              <w:spacing w:line="336" w:lineRule="auto"/>
              <w:jc w:val="center"/>
              <w:rPr>
                <w:rFonts w:asciiTheme="minorEastAsia" w:hAnsiTheme="minorEastAsia" w:cs="Arial"/>
                <w:bCs/>
                <w:kern w:val="0"/>
                <w:szCs w:val="21"/>
              </w:rPr>
            </w:pPr>
            <w:r w:rsidRPr="0090179E">
              <w:rPr>
                <w:rFonts w:asciiTheme="minorEastAsia" w:hAnsiTheme="minorEastAsia" w:cs="Arial" w:hint="eastAsia"/>
                <w:bCs/>
                <w:kern w:val="0"/>
                <w:szCs w:val="21"/>
              </w:rPr>
              <w:t>Y≥6个月</w:t>
            </w:r>
          </w:p>
        </w:tc>
        <w:tc>
          <w:tcPr>
            <w:tcW w:w="2024"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widowControl/>
              <w:spacing w:line="336" w:lineRule="auto"/>
              <w:jc w:val="center"/>
              <w:rPr>
                <w:rFonts w:asciiTheme="minorEastAsia" w:hAnsiTheme="minorEastAsia" w:cs="Arial"/>
                <w:bCs/>
                <w:kern w:val="0"/>
                <w:szCs w:val="21"/>
              </w:rPr>
            </w:pPr>
            <w:r w:rsidRPr="0090179E">
              <w:rPr>
                <w:rFonts w:asciiTheme="minorEastAsia" w:hAnsiTheme="minorEastAsia" w:cs="Arial" w:hint="eastAsia"/>
                <w:bCs/>
                <w:kern w:val="0"/>
                <w:szCs w:val="21"/>
              </w:rPr>
              <w:t>0</w:t>
            </w:r>
          </w:p>
        </w:tc>
        <w:tc>
          <w:tcPr>
            <w:tcW w:w="2024" w:type="dxa"/>
            <w:tcBorders>
              <w:top w:val="single" w:sz="4" w:space="0" w:color="auto"/>
              <w:left w:val="single" w:sz="4" w:space="0" w:color="auto"/>
              <w:bottom w:val="single" w:sz="4" w:space="0" w:color="auto"/>
              <w:right w:val="single" w:sz="4" w:space="0" w:color="auto"/>
            </w:tcBorders>
          </w:tcPr>
          <w:p w:rsidR="0090179E" w:rsidRPr="0090179E" w:rsidRDefault="0090179E" w:rsidP="00B90288">
            <w:pPr>
              <w:jc w:val="center"/>
              <w:rPr>
                <w:rFonts w:asciiTheme="minorEastAsia" w:hAnsiTheme="minorEastAsia" w:cs="Arial"/>
                <w:bCs/>
                <w:kern w:val="0"/>
                <w:szCs w:val="21"/>
              </w:rPr>
            </w:pPr>
            <w:r w:rsidRPr="0090179E">
              <w:rPr>
                <w:rFonts w:asciiTheme="minorEastAsia" w:hAnsiTheme="minorEastAsia" w:cs="Arial" w:hint="eastAsia"/>
                <w:bCs/>
                <w:kern w:val="0"/>
                <w:szCs w:val="21"/>
              </w:rPr>
              <w:t>0</w:t>
            </w:r>
          </w:p>
        </w:tc>
      </w:tr>
    </w:tbl>
    <w:p w:rsidR="00A2589E" w:rsidRPr="00A2589E" w:rsidRDefault="00A2589E" w:rsidP="0090179E">
      <w:pPr>
        <w:adjustRightInd w:val="0"/>
        <w:spacing w:line="360" w:lineRule="auto"/>
        <w:ind w:firstLine="480"/>
        <w:textAlignment w:val="baseline"/>
        <w:rPr>
          <w:rFonts w:ascii="宋体" w:eastAsia="宋体" w:hAnsi="宋体" w:cs="宋体"/>
          <w:kern w:val="0"/>
          <w:szCs w:val="21"/>
        </w:rPr>
      </w:pPr>
      <w:r w:rsidRPr="00A2589E">
        <w:rPr>
          <w:rFonts w:ascii="宋体" w:eastAsia="宋体" w:hAnsi="宋体" w:cs="宋体" w:hint="eastAsia"/>
          <w:kern w:val="0"/>
          <w:szCs w:val="21"/>
        </w:rPr>
        <w:t>投资者可将其持有的全部或部分A类或C类基金份额赎回。赎回费由赎回基金份额的基金份额持有人承担，在基金份额持有人赎回基金份额时收取。</w:t>
      </w:r>
      <w:r w:rsidR="008E210D" w:rsidRPr="008E210D">
        <w:rPr>
          <w:rFonts w:ascii="宋体" w:eastAsia="宋体" w:hAnsi="宋体" w:cs="宋体" w:hint="eastAsia"/>
          <w:kern w:val="0"/>
          <w:szCs w:val="21"/>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rsidR="00A2589E" w:rsidRPr="00A2589E" w:rsidRDefault="00A2589E" w:rsidP="00A2589E">
      <w:pPr>
        <w:widowControl/>
        <w:adjustRightInd w:val="0"/>
        <w:snapToGrid w:val="0"/>
        <w:spacing w:line="360" w:lineRule="auto"/>
        <w:ind w:firstLineChars="200" w:firstLine="420"/>
        <w:rPr>
          <w:rFonts w:ascii="宋体" w:eastAsia="宋体" w:hAnsi="宋体" w:cs="宋体"/>
          <w:kern w:val="0"/>
          <w:szCs w:val="21"/>
        </w:rPr>
      </w:pPr>
      <w:r w:rsidRPr="00A2589E">
        <w:rPr>
          <w:rFonts w:ascii="宋体" w:eastAsia="宋体" w:hAnsi="宋体" w:cs="宋体" w:hint="eastAsia"/>
          <w:kern w:val="0"/>
          <w:szCs w:val="21"/>
        </w:rPr>
        <w:t>（3）在选择期期间，基金份额持有人选择转换为基金管理人管理的其他基金时需按照上述赎回费用收取方式</w:t>
      </w:r>
      <w:bookmarkStart w:id="0" w:name="_GoBack"/>
      <w:bookmarkEnd w:id="0"/>
      <w:r w:rsidRPr="00A2589E">
        <w:rPr>
          <w:rFonts w:ascii="宋体" w:eastAsia="宋体" w:hAnsi="宋体" w:cs="宋体" w:hint="eastAsia"/>
          <w:kern w:val="0"/>
          <w:szCs w:val="21"/>
        </w:rPr>
        <w:t>支付赎回费用，并支付申购补差费用。</w:t>
      </w:r>
    </w:p>
    <w:p w:rsidR="00A2589E" w:rsidRDefault="00A2589E" w:rsidP="00A2589E">
      <w:pPr>
        <w:widowControl/>
        <w:adjustRightInd w:val="0"/>
        <w:snapToGrid w:val="0"/>
        <w:spacing w:line="360" w:lineRule="auto"/>
        <w:ind w:firstLineChars="200" w:firstLine="420"/>
        <w:rPr>
          <w:rFonts w:ascii="宋体" w:eastAsia="宋体" w:hAnsi="宋体" w:cs="宋体"/>
          <w:kern w:val="0"/>
          <w:szCs w:val="21"/>
        </w:rPr>
      </w:pPr>
      <w:r w:rsidRPr="00A2589E">
        <w:rPr>
          <w:rFonts w:ascii="宋体" w:eastAsia="宋体" w:hAnsi="宋体" w:cs="宋体" w:hint="eastAsia"/>
          <w:kern w:val="0"/>
          <w:szCs w:val="21"/>
        </w:rPr>
        <w:lastRenderedPageBreak/>
        <w:t>（4）在选择期期间，基金份额持有人选择继续持有变更后的</w:t>
      </w:r>
      <w:r w:rsidR="00B90288" w:rsidRPr="00B90288">
        <w:rPr>
          <w:rFonts w:ascii="宋体" w:eastAsia="宋体" w:hAnsi="宋体" w:cs="宋体" w:hint="eastAsia"/>
          <w:kern w:val="0"/>
          <w:szCs w:val="21"/>
        </w:rPr>
        <w:t>富荣中证500指数增强型证券投资基金</w:t>
      </w:r>
      <w:r w:rsidRPr="00A2589E">
        <w:rPr>
          <w:rFonts w:ascii="宋体" w:eastAsia="宋体" w:hAnsi="宋体" w:cs="宋体" w:hint="eastAsia"/>
          <w:kern w:val="0"/>
          <w:szCs w:val="21"/>
        </w:rPr>
        <w:t>的，无需支付赎回费用和申购费用，其因本次变更而持有的</w:t>
      </w:r>
      <w:r w:rsidR="00B90288" w:rsidRPr="00B90288">
        <w:rPr>
          <w:rFonts w:ascii="宋体" w:eastAsia="宋体" w:hAnsi="宋体" w:cs="宋体" w:hint="eastAsia"/>
          <w:kern w:val="0"/>
          <w:szCs w:val="21"/>
        </w:rPr>
        <w:t>富荣中证500指数增强型证券投资</w:t>
      </w:r>
      <w:proofErr w:type="gramStart"/>
      <w:r w:rsidR="00B90288" w:rsidRPr="00B90288">
        <w:rPr>
          <w:rFonts w:ascii="宋体" w:eastAsia="宋体" w:hAnsi="宋体" w:cs="宋体" w:hint="eastAsia"/>
          <w:kern w:val="0"/>
          <w:szCs w:val="21"/>
        </w:rPr>
        <w:t>基金</w:t>
      </w:r>
      <w:r w:rsidRPr="00A2589E">
        <w:rPr>
          <w:rFonts w:ascii="宋体" w:eastAsia="宋体" w:hAnsi="宋体" w:cs="宋体" w:hint="eastAsia"/>
          <w:kern w:val="0"/>
          <w:szCs w:val="21"/>
        </w:rPr>
        <w:t>基金</w:t>
      </w:r>
      <w:proofErr w:type="gramEnd"/>
      <w:r w:rsidRPr="00A2589E">
        <w:rPr>
          <w:rFonts w:ascii="宋体" w:eastAsia="宋体" w:hAnsi="宋体" w:cs="宋体" w:hint="eastAsia"/>
          <w:kern w:val="0"/>
          <w:szCs w:val="21"/>
        </w:rPr>
        <w:t>份额的持有期将从其持有</w:t>
      </w:r>
      <w:r w:rsidR="006060B5" w:rsidRPr="0090179E">
        <w:rPr>
          <w:rFonts w:ascii="宋体" w:eastAsia="宋体" w:hAnsi="宋体" w:cs="宋体" w:hint="eastAsia"/>
          <w:kern w:val="0"/>
          <w:szCs w:val="21"/>
        </w:rPr>
        <w:t>富荣福安灵活配置混合型证券投资基金</w:t>
      </w:r>
      <w:r w:rsidRPr="00A2589E">
        <w:rPr>
          <w:rFonts w:ascii="宋体" w:eastAsia="宋体" w:hAnsi="宋体" w:cs="宋体" w:hint="eastAsia"/>
          <w:kern w:val="0"/>
          <w:szCs w:val="21"/>
        </w:rPr>
        <w:t>之日起连续计算。</w:t>
      </w:r>
    </w:p>
    <w:p w:rsidR="00884A7C" w:rsidRPr="009E6EC9" w:rsidRDefault="00884A7C" w:rsidP="00884A7C">
      <w:pPr>
        <w:widowControl/>
        <w:adjustRightInd w:val="0"/>
        <w:snapToGrid w:val="0"/>
        <w:spacing w:line="360" w:lineRule="auto"/>
        <w:ind w:firstLineChars="200" w:firstLine="420"/>
        <w:rPr>
          <w:rFonts w:ascii="宋体" w:eastAsia="宋体" w:hAnsi="宋体" w:cs="宋体"/>
          <w:kern w:val="0"/>
          <w:szCs w:val="21"/>
        </w:rPr>
      </w:pPr>
      <w:r w:rsidRPr="00884A7C">
        <w:rPr>
          <w:rFonts w:ascii="宋体" w:eastAsia="宋体" w:hAnsi="宋体" w:cs="宋体" w:hint="eastAsia"/>
          <w:kern w:val="0"/>
          <w:szCs w:val="21"/>
        </w:rPr>
        <w:t>3、本基金将</w:t>
      </w:r>
      <w:r w:rsidRPr="009E6EC9">
        <w:rPr>
          <w:rFonts w:ascii="宋体" w:eastAsia="宋体" w:hAnsi="宋体" w:cs="宋体" w:hint="eastAsia"/>
          <w:kern w:val="0"/>
          <w:szCs w:val="21"/>
        </w:rPr>
        <w:t>自</w:t>
      </w:r>
      <w:r w:rsidR="00143478" w:rsidRPr="009E6EC9">
        <w:rPr>
          <w:rFonts w:ascii="宋体" w:eastAsia="宋体" w:hAnsi="宋体" w:cs="宋体" w:hint="eastAsia"/>
          <w:kern w:val="0"/>
          <w:szCs w:val="21"/>
        </w:rPr>
        <w:t>2019年1月</w:t>
      </w:r>
      <w:r w:rsidR="00143478">
        <w:rPr>
          <w:rFonts w:ascii="宋体" w:eastAsia="宋体" w:hAnsi="宋体" w:cs="宋体" w:hint="eastAsia"/>
          <w:kern w:val="0"/>
          <w:szCs w:val="21"/>
        </w:rPr>
        <w:t>10</w:t>
      </w:r>
      <w:r w:rsidRPr="009E6EC9">
        <w:rPr>
          <w:rFonts w:ascii="宋体" w:eastAsia="宋体" w:hAnsi="宋体" w:cs="宋体" w:hint="eastAsia"/>
          <w:kern w:val="0"/>
          <w:szCs w:val="21"/>
        </w:rPr>
        <w:t>日起</w:t>
      </w:r>
      <w:r w:rsidRPr="00884A7C">
        <w:rPr>
          <w:rFonts w:ascii="宋体" w:eastAsia="宋体" w:hAnsi="宋体" w:cs="宋体" w:hint="eastAsia"/>
          <w:kern w:val="0"/>
          <w:szCs w:val="21"/>
        </w:rPr>
        <w:t>正式实施转型，经与基金托管人</w:t>
      </w:r>
      <w:r w:rsidR="00A10BEE">
        <w:rPr>
          <w:rFonts w:ascii="宋体" w:eastAsia="宋体" w:hAnsi="宋体" w:cs="宋体" w:hint="eastAsia"/>
          <w:kern w:val="0"/>
          <w:szCs w:val="21"/>
        </w:rPr>
        <w:t>招商</w:t>
      </w:r>
      <w:r w:rsidRPr="00884A7C">
        <w:rPr>
          <w:rFonts w:ascii="宋体" w:eastAsia="宋体" w:hAnsi="宋体" w:cs="宋体" w:hint="eastAsia"/>
          <w:kern w:val="0"/>
          <w:szCs w:val="21"/>
        </w:rPr>
        <w:t>银行股份有限公司协商一致，本基金管理人已将《</w:t>
      </w:r>
      <w:r w:rsidR="00A10BEE" w:rsidRPr="0090179E">
        <w:rPr>
          <w:rFonts w:ascii="宋体" w:eastAsia="宋体" w:hAnsi="宋体" w:cs="宋体" w:hint="eastAsia"/>
          <w:kern w:val="0"/>
          <w:szCs w:val="21"/>
        </w:rPr>
        <w:t>富荣福安灵活配置混合型证券投资基金</w:t>
      </w:r>
      <w:r w:rsidRPr="00884A7C">
        <w:rPr>
          <w:rFonts w:ascii="宋体" w:eastAsia="宋体" w:hAnsi="宋体" w:cs="宋体" w:hint="eastAsia"/>
          <w:kern w:val="0"/>
          <w:szCs w:val="21"/>
        </w:rPr>
        <w:t>基金合同》、《</w:t>
      </w:r>
      <w:r w:rsidR="00A10BEE" w:rsidRPr="0090179E">
        <w:rPr>
          <w:rFonts w:ascii="宋体" w:eastAsia="宋体" w:hAnsi="宋体" w:cs="宋体" w:hint="eastAsia"/>
          <w:kern w:val="0"/>
          <w:szCs w:val="21"/>
        </w:rPr>
        <w:t>富荣福安灵活配置混合型证券投资基金</w:t>
      </w:r>
      <w:r w:rsidRPr="00884A7C">
        <w:rPr>
          <w:rFonts w:ascii="宋体" w:eastAsia="宋体" w:hAnsi="宋体" w:cs="宋体" w:hint="eastAsia"/>
          <w:kern w:val="0"/>
          <w:szCs w:val="21"/>
        </w:rPr>
        <w:t>托管协议》修订为</w:t>
      </w:r>
      <w:r w:rsidR="00A10BEE" w:rsidRPr="00884A7C">
        <w:rPr>
          <w:rFonts w:ascii="宋体" w:eastAsia="宋体" w:hAnsi="宋体" w:cs="宋体" w:hint="eastAsia"/>
          <w:kern w:val="0"/>
          <w:szCs w:val="21"/>
        </w:rPr>
        <w:t>《</w:t>
      </w:r>
      <w:r w:rsidR="00A10BEE">
        <w:rPr>
          <w:rFonts w:ascii="宋体" w:eastAsia="宋体" w:hAnsi="宋体" w:cs="宋体" w:hint="eastAsia"/>
          <w:kern w:val="0"/>
          <w:szCs w:val="21"/>
        </w:rPr>
        <w:t>富荣中证500指数增强型证券投资</w:t>
      </w:r>
      <w:r w:rsidR="00A10BEE" w:rsidRPr="00884A7C">
        <w:rPr>
          <w:rFonts w:ascii="宋体" w:eastAsia="宋体" w:hAnsi="宋体" w:cs="宋体" w:hint="eastAsia"/>
          <w:kern w:val="0"/>
          <w:szCs w:val="21"/>
        </w:rPr>
        <w:t>基金</w:t>
      </w:r>
      <w:r w:rsidR="00A10BEE">
        <w:rPr>
          <w:rFonts w:ascii="宋体" w:eastAsia="宋体" w:hAnsi="宋体" w:cs="宋体" w:hint="eastAsia"/>
          <w:kern w:val="0"/>
          <w:szCs w:val="21"/>
        </w:rPr>
        <w:t>基金</w:t>
      </w:r>
      <w:r w:rsidR="00A10BEE" w:rsidRPr="00884A7C">
        <w:rPr>
          <w:rFonts w:ascii="宋体" w:eastAsia="宋体" w:hAnsi="宋体" w:cs="宋体" w:hint="eastAsia"/>
          <w:kern w:val="0"/>
          <w:szCs w:val="21"/>
        </w:rPr>
        <w:t>合同》</w:t>
      </w:r>
      <w:r w:rsidRPr="00884A7C">
        <w:rPr>
          <w:rFonts w:ascii="宋体" w:eastAsia="宋体" w:hAnsi="宋体" w:cs="宋体" w:hint="eastAsia"/>
          <w:kern w:val="0"/>
          <w:szCs w:val="21"/>
        </w:rPr>
        <w:t>、《</w:t>
      </w:r>
      <w:r w:rsidR="00A10BEE">
        <w:rPr>
          <w:rFonts w:ascii="宋体" w:eastAsia="宋体" w:hAnsi="宋体" w:cs="宋体" w:hint="eastAsia"/>
          <w:kern w:val="0"/>
          <w:szCs w:val="21"/>
        </w:rPr>
        <w:t>富荣中证500指数增强型证券投资</w:t>
      </w:r>
      <w:r w:rsidR="00A10BEE" w:rsidRPr="00884A7C">
        <w:rPr>
          <w:rFonts w:ascii="宋体" w:eastAsia="宋体" w:hAnsi="宋体" w:cs="宋体" w:hint="eastAsia"/>
          <w:kern w:val="0"/>
          <w:szCs w:val="21"/>
        </w:rPr>
        <w:t>基金</w:t>
      </w:r>
      <w:r w:rsidRPr="00884A7C">
        <w:rPr>
          <w:rFonts w:ascii="宋体" w:eastAsia="宋体" w:hAnsi="宋体" w:cs="宋体" w:hint="eastAsia"/>
          <w:kern w:val="0"/>
          <w:szCs w:val="21"/>
        </w:rPr>
        <w:t>托管协议》，并据此拟定了《</w:t>
      </w:r>
      <w:r w:rsidR="00A10BEE">
        <w:rPr>
          <w:rFonts w:ascii="宋体" w:eastAsia="宋体" w:hAnsi="宋体" w:cs="宋体" w:hint="eastAsia"/>
          <w:kern w:val="0"/>
          <w:szCs w:val="21"/>
        </w:rPr>
        <w:t>富荣中证500指数增强型证券投资</w:t>
      </w:r>
      <w:r w:rsidR="00A10BEE" w:rsidRPr="00884A7C">
        <w:rPr>
          <w:rFonts w:ascii="宋体" w:eastAsia="宋体" w:hAnsi="宋体" w:cs="宋体" w:hint="eastAsia"/>
          <w:kern w:val="0"/>
          <w:szCs w:val="21"/>
        </w:rPr>
        <w:t>基金</w:t>
      </w:r>
      <w:r w:rsidRPr="00884A7C">
        <w:rPr>
          <w:rFonts w:ascii="宋体" w:eastAsia="宋体" w:hAnsi="宋体" w:cs="宋体" w:hint="eastAsia"/>
          <w:kern w:val="0"/>
          <w:szCs w:val="21"/>
        </w:rPr>
        <w:t>招募说明书》。上述文件已报中国证监会进行变更注册，修订和更新后的文件将于</w:t>
      </w:r>
      <w:r w:rsidR="00143478" w:rsidRPr="009E6EC9">
        <w:rPr>
          <w:rFonts w:ascii="宋体" w:eastAsia="宋体" w:hAnsi="宋体" w:cs="宋体" w:hint="eastAsia"/>
          <w:kern w:val="0"/>
          <w:szCs w:val="21"/>
        </w:rPr>
        <w:t>2019年1月</w:t>
      </w:r>
      <w:r w:rsidR="00143478">
        <w:rPr>
          <w:rFonts w:ascii="宋体" w:eastAsia="宋体" w:hAnsi="宋体" w:cs="宋体" w:hint="eastAsia"/>
          <w:kern w:val="0"/>
          <w:szCs w:val="21"/>
        </w:rPr>
        <w:t>10</w:t>
      </w:r>
      <w:r w:rsidRPr="009E6EC9">
        <w:rPr>
          <w:rFonts w:ascii="宋体" w:eastAsia="宋体" w:hAnsi="宋体" w:cs="宋体" w:hint="eastAsia"/>
          <w:kern w:val="0"/>
          <w:szCs w:val="21"/>
        </w:rPr>
        <w:t>日生效，即自该日起，《</w:t>
      </w:r>
      <w:r w:rsidR="00A10BEE" w:rsidRPr="009E6EC9">
        <w:rPr>
          <w:rFonts w:ascii="宋体" w:eastAsia="宋体" w:hAnsi="宋体" w:cs="宋体" w:hint="eastAsia"/>
          <w:kern w:val="0"/>
          <w:szCs w:val="21"/>
        </w:rPr>
        <w:t>富荣福安灵活配置混合型证券投资基金</w:t>
      </w:r>
      <w:r w:rsidR="00F675FF" w:rsidRPr="009E6EC9">
        <w:rPr>
          <w:rFonts w:ascii="宋体" w:eastAsia="宋体" w:hAnsi="宋体" w:cs="宋体" w:hint="eastAsia"/>
          <w:kern w:val="0"/>
          <w:szCs w:val="21"/>
        </w:rPr>
        <w:t>基金合同</w:t>
      </w:r>
      <w:r w:rsidRPr="009E6EC9">
        <w:rPr>
          <w:rFonts w:ascii="宋体" w:eastAsia="宋体" w:hAnsi="宋体" w:cs="宋体" w:hint="eastAsia"/>
          <w:kern w:val="0"/>
          <w:szCs w:val="21"/>
        </w:rPr>
        <w:t>》失效，《</w:t>
      </w:r>
      <w:r w:rsidR="00A10BEE" w:rsidRPr="009E6EC9">
        <w:rPr>
          <w:rFonts w:ascii="宋体" w:eastAsia="宋体" w:hAnsi="宋体" w:cs="宋体" w:hint="eastAsia"/>
          <w:kern w:val="0"/>
          <w:szCs w:val="21"/>
        </w:rPr>
        <w:t>富荣中证500指数增强型证券投资基金</w:t>
      </w:r>
      <w:r w:rsidR="00F675FF" w:rsidRPr="009E6EC9">
        <w:rPr>
          <w:rFonts w:ascii="宋体" w:eastAsia="宋体" w:hAnsi="宋体" w:cs="宋体" w:hint="eastAsia"/>
          <w:kern w:val="0"/>
          <w:szCs w:val="21"/>
        </w:rPr>
        <w:t>基金合同</w:t>
      </w:r>
      <w:r w:rsidRPr="009E6EC9">
        <w:rPr>
          <w:rFonts w:ascii="宋体" w:eastAsia="宋体" w:hAnsi="宋体" w:cs="宋体" w:hint="eastAsia"/>
          <w:kern w:val="0"/>
          <w:szCs w:val="21"/>
        </w:rPr>
        <w:t>》生效。</w:t>
      </w:r>
    </w:p>
    <w:p w:rsidR="00884A7C" w:rsidRPr="00A2589E" w:rsidRDefault="00884A7C" w:rsidP="00884A7C">
      <w:pPr>
        <w:widowControl/>
        <w:adjustRightInd w:val="0"/>
        <w:snapToGrid w:val="0"/>
        <w:spacing w:line="360" w:lineRule="auto"/>
        <w:ind w:firstLineChars="200" w:firstLine="420"/>
        <w:rPr>
          <w:rFonts w:ascii="宋体" w:eastAsia="宋体" w:hAnsi="宋体" w:cs="宋体"/>
          <w:kern w:val="0"/>
          <w:szCs w:val="21"/>
        </w:rPr>
      </w:pPr>
      <w:r w:rsidRPr="009E6EC9">
        <w:rPr>
          <w:rFonts w:ascii="宋体" w:eastAsia="宋体" w:hAnsi="宋体" w:cs="宋体" w:hint="eastAsia"/>
          <w:kern w:val="0"/>
          <w:szCs w:val="21"/>
        </w:rPr>
        <w:t>自</w:t>
      </w:r>
      <w:r w:rsidR="00D94BE0" w:rsidRPr="009E6EC9">
        <w:rPr>
          <w:rFonts w:ascii="宋体" w:eastAsia="宋体" w:hAnsi="宋体" w:cs="宋体" w:hint="eastAsia"/>
          <w:kern w:val="0"/>
          <w:szCs w:val="21"/>
        </w:rPr>
        <w:t>201</w:t>
      </w:r>
      <w:r w:rsidR="00D94BE0">
        <w:rPr>
          <w:rFonts w:ascii="宋体" w:eastAsia="宋体" w:hAnsi="宋体" w:cs="宋体" w:hint="eastAsia"/>
          <w:kern w:val="0"/>
          <w:szCs w:val="21"/>
        </w:rPr>
        <w:t>9</w:t>
      </w:r>
      <w:r w:rsidR="00143478" w:rsidRPr="009E6EC9">
        <w:rPr>
          <w:rFonts w:ascii="宋体" w:eastAsia="宋体" w:hAnsi="宋体" w:cs="宋体" w:hint="eastAsia"/>
          <w:kern w:val="0"/>
          <w:szCs w:val="21"/>
        </w:rPr>
        <w:t>年1月</w:t>
      </w:r>
      <w:r w:rsidR="00143478">
        <w:rPr>
          <w:rFonts w:ascii="宋体" w:eastAsia="宋体" w:hAnsi="宋体" w:cs="宋体" w:hint="eastAsia"/>
          <w:kern w:val="0"/>
          <w:szCs w:val="21"/>
        </w:rPr>
        <w:t>10</w:t>
      </w:r>
      <w:r w:rsidR="00F675FF" w:rsidRPr="009E6EC9">
        <w:rPr>
          <w:rFonts w:ascii="宋体" w:eastAsia="宋体" w:hAnsi="宋体" w:cs="宋体" w:hint="eastAsia"/>
          <w:kern w:val="0"/>
          <w:szCs w:val="21"/>
        </w:rPr>
        <w:t>日</w:t>
      </w:r>
      <w:r w:rsidRPr="00884A7C">
        <w:rPr>
          <w:rFonts w:ascii="宋体" w:eastAsia="宋体" w:hAnsi="宋体" w:cs="宋体" w:hint="eastAsia"/>
          <w:kern w:val="0"/>
          <w:szCs w:val="21"/>
        </w:rPr>
        <w:t>起，本基金管理人将按照《</w:t>
      </w:r>
      <w:r w:rsidR="00A10BEE">
        <w:rPr>
          <w:rFonts w:ascii="宋体" w:eastAsia="宋体" w:hAnsi="宋体" w:cs="宋体" w:hint="eastAsia"/>
          <w:kern w:val="0"/>
          <w:szCs w:val="21"/>
        </w:rPr>
        <w:t>富荣中证500指数增强型证券投资</w:t>
      </w:r>
      <w:r w:rsidR="00A10BEE" w:rsidRPr="00884A7C">
        <w:rPr>
          <w:rFonts w:ascii="宋体" w:eastAsia="宋体" w:hAnsi="宋体" w:cs="宋体" w:hint="eastAsia"/>
          <w:kern w:val="0"/>
          <w:szCs w:val="21"/>
        </w:rPr>
        <w:t>基金</w:t>
      </w:r>
      <w:r w:rsidR="00F675FF" w:rsidRPr="00F675FF">
        <w:rPr>
          <w:rFonts w:ascii="宋体" w:eastAsia="宋体" w:hAnsi="宋体" w:cs="宋体" w:hint="eastAsia"/>
          <w:kern w:val="0"/>
          <w:szCs w:val="21"/>
        </w:rPr>
        <w:t>基金合同</w:t>
      </w:r>
      <w:r w:rsidRPr="00884A7C">
        <w:rPr>
          <w:rFonts w:ascii="宋体" w:eastAsia="宋体" w:hAnsi="宋体" w:cs="宋体" w:hint="eastAsia"/>
          <w:kern w:val="0"/>
          <w:szCs w:val="21"/>
        </w:rPr>
        <w:t>》的相关约定，开放日常放申购、赎回、转换</w:t>
      </w:r>
      <w:proofErr w:type="gramStart"/>
      <w:r w:rsidRPr="00884A7C">
        <w:rPr>
          <w:rFonts w:ascii="宋体" w:eastAsia="宋体" w:hAnsi="宋体" w:cs="宋体" w:hint="eastAsia"/>
          <w:kern w:val="0"/>
          <w:szCs w:val="21"/>
        </w:rPr>
        <w:t>及定投业务</w:t>
      </w:r>
      <w:proofErr w:type="gramEnd"/>
      <w:r w:rsidRPr="00884A7C">
        <w:rPr>
          <w:rFonts w:ascii="宋体" w:eastAsia="宋体" w:hAnsi="宋体" w:cs="宋体" w:hint="eastAsia"/>
          <w:kern w:val="0"/>
          <w:szCs w:val="21"/>
        </w:rPr>
        <w:t>。</w:t>
      </w:r>
    </w:p>
    <w:p w:rsidR="00D74598" w:rsidRPr="007D4F60" w:rsidRDefault="00D74598"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D74598" w:rsidP="008B52F3">
      <w:pPr>
        <w:widowControl/>
        <w:adjustRightInd w:val="0"/>
        <w:snapToGrid w:val="0"/>
        <w:spacing w:line="360" w:lineRule="auto"/>
        <w:ind w:firstLineChars="200" w:firstLine="422"/>
        <w:rPr>
          <w:rFonts w:ascii="宋体" w:eastAsia="宋体" w:hAnsi="宋体" w:cs="宋体"/>
          <w:kern w:val="0"/>
          <w:szCs w:val="21"/>
        </w:rPr>
      </w:pPr>
      <w:r w:rsidRPr="008B52F3">
        <w:rPr>
          <w:rFonts w:ascii="宋体" w:eastAsia="宋体" w:hAnsi="宋体" w:cs="宋体"/>
          <w:b/>
          <w:bCs/>
          <w:kern w:val="0"/>
          <w:szCs w:val="21"/>
        </w:rPr>
        <w:t>四、备查文件</w:t>
      </w:r>
    </w:p>
    <w:p w:rsidR="00964AC0" w:rsidRDefault="00D74598" w:rsidP="00964AC0">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1、</w:t>
      </w:r>
      <w:r w:rsidR="00964AC0" w:rsidRPr="00964AC0">
        <w:rPr>
          <w:rFonts w:ascii="宋体" w:eastAsia="宋体" w:hAnsi="宋体" w:cs="宋体" w:hint="eastAsia"/>
          <w:kern w:val="0"/>
          <w:szCs w:val="21"/>
        </w:rPr>
        <w:t>中国证监会证监许可[</w:t>
      </w:r>
      <w:r w:rsidR="00A10BEE" w:rsidRPr="00964AC0">
        <w:rPr>
          <w:rFonts w:ascii="宋体" w:eastAsia="宋体" w:hAnsi="宋体" w:cs="宋体" w:hint="eastAsia"/>
          <w:kern w:val="0"/>
          <w:szCs w:val="21"/>
        </w:rPr>
        <w:t>201</w:t>
      </w:r>
      <w:r w:rsidR="00A10BEE">
        <w:rPr>
          <w:rFonts w:ascii="宋体" w:eastAsia="宋体" w:hAnsi="宋体" w:cs="宋体" w:hint="eastAsia"/>
          <w:kern w:val="0"/>
          <w:szCs w:val="21"/>
        </w:rPr>
        <w:t>8</w:t>
      </w:r>
      <w:r w:rsidR="00964AC0" w:rsidRPr="00964AC0">
        <w:rPr>
          <w:rFonts w:ascii="宋体" w:eastAsia="宋体" w:hAnsi="宋体" w:cs="宋体" w:hint="eastAsia"/>
          <w:kern w:val="0"/>
          <w:szCs w:val="21"/>
        </w:rPr>
        <w:t>]</w:t>
      </w:r>
      <w:r w:rsidR="00A10BEE">
        <w:rPr>
          <w:rFonts w:ascii="宋体" w:eastAsia="宋体" w:hAnsi="宋体" w:cs="宋体" w:hint="eastAsia"/>
          <w:kern w:val="0"/>
          <w:szCs w:val="21"/>
        </w:rPr>
        <w:t>1655</w:t>
      </w:r>
      <w:r w:rsidR="00964AC0" w:rsidRPr="00964AC0">
        <w:rPr>
          <w:rFonts w:ascii="宋体" w:eastAsia="宋体" w:hAnsi="宋体" w:cs="宋体" w:hint="eastAsia"/>
          <w:kern w:val="0"/>
          <w:szCs w:val="21"/>
        </w:rPr>
        <w:t>号《关于准予</w:t>
      </w:r>
      <w:r w:rsidR="00A10BEE" w:rsidRPr="0090179E">
        <w:rPr>
          <w:rFonts w:ascii="宋体" w:eastAsia="宋体" w:hAnsi="宋体" w:cs="宋体" w:hint="eastAsia"/>
          <w:kern w:val="0"/>
          <w:szCs w:val="21"/>
        </w:rPr>
        <w:t>富荣福安灵活配置混合型证券投资基金</w:t>
      </w:r>
      <w:r w:rsidR="00964AC0" w:rsidRPr="00964AC0">
        <w:rPr>
          <w:rFonts w:ascii="宋体" w:eastAsia="宋体" w:hAnsi="宋体" w:cs="宋体" w:hint="eastAsia"/>
          <w:kern w:val="0"/>
          <w:szCs w:val="21"/>
        </w:rPr>
        <w:t>变更注册的批复》</w:t>
      </w:r>
    </w:p>
    <w:p w:rsidR="00D74598" w:rsidRPr="008B52F3" w:rsidRDefault="00964AC0"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2、</w:t>
      </w:r>
      <w:r w:rsidR="00D74598" w:rsidRPr="008B52F3">
        <w:rPr>
          <w:rFonts w:ascii="宋体" w:eastAsia="宋体" w:hAnsi="宋体" w:cs="宋体"/>
          <w:kern w:val="0"/>
          <w:szCs w:val="21"/>
        </w:rPr>
        <w:t>《</w:t>
      </w:r>
      <w:r w:rsidR="00C8218A" w:rsidRPr="00C8218A">
        <w:rPr>
          <w:rFonts w:ascii="宋体" w:eastAsia="宋体" w:hAnsi="宋体" w:cs="宋体" w:hint="eastAsia"/>
          <w:kern w:val="0"/>
          <w:szCs w:val="21"/>
        </w:rPr>
        <w:t>关于以通讯方式召开</w:t>
      </w:r>
      <w:r w:rsidR="00A10BEE" w:rsidRPr="0090179E">
        <w:rPr>
          <w:rFonts w:ascii="宋体" w:eastAsia="宋体" w:hAnsi="宋体" w:cs="宋体" w:hint="eastAsia"/>
          <w:kern w:val="0"/>
          <w:szCs w:val="21"/>
        </w:rPr>
        <w:t>富荣福安灵活配置混合型证券投资基金</w:t>
      </w:r>
      <w:r w:rsidR="00C8218A" w:rsidRPr="00C8218A">
        <w:rPr>
          <w:rFonts w:ascii="宋体" w:eastAsia="宋体" w:hAnsi="宋体" w:cs="宋体" w:hint="eastAsia"/>
          <w:kern w:val="0"/>
          <w:szCs w:val="21"/>
        </w:rPr>
        <w:t>基金份额持有人大会的公告</w:t>
      </w:r>
      <w:r w:rsidR="00D74598" w:rsidRPr="008B52F3">
        <w:rPr>
          <w:rFonts w:ascii="宋体" w:eastAsia="宋体" w:hAnsi="宋体" w:cs="宋体"/>
          <w:kern w:val="0"/>
          <w:szCs w:val="21"/>
        </w:rPr>
        <w:t>》</w:t>
      </w:r>
    </w:p>
    <w:p w:rsidR="008B52F3" w:rsidRPr="008B52F3" w:rsidRDefault="00964AC0"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3</w:t>
      </w:r>
      <w:r w:rsidR="008B52F3" w:rsidRPr="008B52F3">
        <w:rPr>
          <w:rFonts w:ascii="宋体" w:eastAsia="宋体" w:hAnsi="宋体" w:cs="宋体" w:hint="eastAsia"/>
          <w:kern w:val="0"/>
          <w:szCs w:val="21"/>
        </w:rPr>
        <w:t>、《关于以通讯方式召开</w:t>
      </w:r>
      <w:r w:rsidR="00A10BEE" w:rsidRPr="0090179E">
        <w:rPr>
          <w:rFonts w:ascii="宋体" w:eastAsia="宋体" w:hAnsi="宋体" w:cs="宋体" w:hint="eastAsia"/>
          <w:kern w:val="0"/>
          <w:szCs w:val="21"/>
        </w:rPr>
        <w:t>富荣福安灵活配置混合型证券投资基金</w:t>
      </w:r>
      <w:r w:rsidR="008B52F3" w:rsidRPr="008B52F3">
        <w:rPr>
          <w:rFonts w:ascii="宋体" w:eastAsia="宋体" w:hAnsi="宋体" w:cs="宋体" w:hint="eastAsia"/>
          <w:kern w:val="0"/>
          <w:szCs w:val="21"/>
        </w:rPr>
        <w:t>基金份额持有人大会的第一次提示性公告》</w:t>
      </w:r>
    </w:p>
    <w:p w:rsidR="008B52F3" w:rsidRPr="008B52F3" w:rsidRDefault="00964AC0"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4</w:t>
      </w:r>
      <w:r w:rsidR="008B52F3" w:rsidRPr="008B52F3">
        <w:rPr>
          <w:rFonts w:ascii="宋体" w:eastAsia="宋体" w:hAnsi="宋体" w:cs="宋体" w:hint="eastAsia"/>
          <w:kern w:val="0"/>
          <w:szCs w:val="21"/>
        </w:rPr>
        <w:t>、《关于以通讯方式召</w:t>
      </w:r>
      <w:r w:rsidR="00A10BEE" w:rsidRPr="0090179E">
        <w:rPr>
          <w:rFonts w:ascii="宋体" w:eastAsia="宋体" w:hAnsi="宋体" w:cs="宋体" w:hint="eastAsia"/>
          <w:kern w:val="0"/>
          <w:szCs w:val="21"/>
        </w:rPr>
        <w:t>富荣福安灵活配置混合型证券投资基金</w:t>
      </w:r>
      <w:r w:rsidR="008B52F3" w:rsidRPr="008B52F3">
        <w:rPr>
          <w:rFonts w:ascii="宋体" w:eastAsia="宋体" w:hAnsi="宋体" w:cs="宋体" w:hint="eastAsia"/>
          <w:kern w:val="0"/>
          <w:szCs w:val="21"/>
        </w:rPr>
        <w:t>基金份额持有人大会的第二次提示性公告》</w:t>
      </w:r>
    </w:p>
    <w:p w:rsidR="008B52F3" w:rsidRPr="008B52F3" w:rsidRDefault="00964AC0" w:rsidP="008B52F3">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5</w:t>
      </w:r>
      <w:r w:rsidR="008B52F3" w:rsidRPr="008B52F3">
        <w:rPr>
          <w:rFonts w:ascii="宋体" w:eastAsia="宋体" w:hAnsi="宋体" w:cs="宋体" w:hint="eastAsia"/>
          <w:kern w:val="0"/>
          <w:szCs w:val="21"/>
        </w:rPr>
        <w:t>、</w:t>
      </w:r>
      <w:r w:rsidR="0022536E">
        <w:rPr>
          <w:rFonts w:ascii="宋体" w:eastAsia="宋体" w:hAnsi="宋体" w:cs="宋体" w:hint="eastAsia"/>
          <w:kern w:val="0"/>
          <w:szCs w:val="21"/>
        </w:rPr>
        <w:t>上海市通力律师事务所</w:t>
      </w:r>
      <w:r w:rsidR="008B52F3" w:rsidRPr="008B52F3">
        <w:rPr>
          <w:rFonts w:ascii="宋体" w:eastAsia="宋体" w:hAnsi="宋体" w:cs="宋体" w:hint="eastAsia"/>
          <w:kern w:val="0"/>
          <w:szCs w:val="21"/>
        </w:rPr>
        <w:t>出具的法律意见书</w:t>
      </w:r>
    </w:p>
    <w:p w:rsidR="00D74598" w:rsidRDefault="00964AC0" w:rsidP="00964AC0">
      <w:pPr>
        <w:widowControl/>
        <w:adjustRightInd w:val="0"/>
        <w:snapToGrid w:val="0"/>
        <w:spacing w:line="360" w:lineRule="auto"/>
        <w:ind w:firstLineChars="200" w:firstLine="420"/>
        <w:rPr>
          <w:rFonts w:ascii="宋体" w:eastAsia="宋体" w:hAnsi="宋体" w:cs="宋体"/>
          <w:kern w:val="0"/>
          <w:szCs w:val="21"/>
        </w:rPr>
      </w:pPr>
      <w:r>
        <w:rPr>
          <w:rFonts w:ascii="宋体" w:eastAsia="宋体" w:hAnsi="宋体" w:cs="宋体" w:hint="eastAsia"/>
          <w:kern w:val="0"/>
          <w:szCs w:val="21"/>
        </w:rPr>
        <w:t>6</w:t>
      </w:r>
      <w:r w:rsidR="008B52F3" w:rsidRPr="008B52F3">
        <w:rPr>
          <w:rFonts w:ascii="宋体" w:eastAsia="宋体" w:hAnsi="宋体" w:cs="宋体" w:hint="eastAsia"/>
          <w:kern w:val="0"/>
          <w:szCs w:val="21"/>
        </w:rPr>
        <w:t>、北京市</w:t>
      </w:r>
      <w:r w:rsidR="00A10BEE">
        <w:rPr>
          <w:rFonts w:ascii="宋体" w:eastAsia="宋体" w:hAnsi="宋体" w:cs="宋体" w:hint="eastAsia"/>
          <w:kern w:val="0"/>
          <w:szCs w:val="21"/>
        </w:rPr>
        <w:t>长安</w:t>
      </w:r>
      <w:r w:rsidR="008B52F3" w:rsidRPr="008B52F3">
        <w:rPr>
          <w:rFonts w:ascii="宋体" w:eastAsia="宋体" w:hAnsi="宋体" w:cs="宋体" w:hint="eastAsia"/>
          <w:kern w:val="0"/>
          <w:szCs w:val="21"/>
        </w:rPr>
        <w:t>公证处出具的公证书</w:t>
      </w:r>
    </w:p>
    <w:p w:rsidR="00EF70B7" w:rsidRPr="008B52F3" w:rsidRDefault="00EF70B7" w:rsidP="00964AC0">
      <w:pPr>
        <w:widowControl/>
        <w:adjustRightInd w:val="0"/>
        <w:snapToGrid w:val="0"/>
        <w:spacing w:line="360" w:lineRule="auto"/>
        <w:ind w:firstLineChars="200" w:firstLine="420"/>
        <w:rPr>
          <w:rFonts w:ascii="宋体" w:eastAsia="宋体" w:hAnsi="宋体" w:cs="宋体"/>
          <w:kern w:val="0"/>
          <w:szCs w:val="21"/>
        </w:rPr>
      </w:pPr>
    </w:p>
    <w:p w:rsidR="00D74598" w:rsidRDefault="00D74598" w:rsidP="008B52F3">
      <w:pPr>
        <w:widowControl/>
        <w:adjustRightInd w:val="0"/>
        <w:snapToGrid w:val="0"/>
        <w:spacing w:line="360" w:lineRule="auto"/>
        <w:ind w:firstLineChars="200" w:firstLine="420"/>
        <w:rPr>
          <w:rFonts w:ascii="宋体" w:eastAsia="宋体" w:hAnsi="宋体" w:cs="宋体"/>
          <w:kern w:val="0"/>
          <w:szCs w:val="21"/>
        </w:rPr>
      </w:pPr>
      <w:r w:rsidRPr="008B52F3">
        <w:rPr>
          <w:rFonts w:ascii="宋体" w:eastAsia="宋体" w:hAnsi="宋体" w:cs="宋体"/>
          <w:kern w:val="0"/>
          <w:szCs w:val="21"/>
        </w:rPr>
        <w:t>特此公告</w:t>
      </w:r>
    </w:p>
    <w:p w:rsidR="00EF70B7" w:rsidRDefault="00EF70B7" w:rsidP="008B52F3">
      <w:pPr>
        <w:widowControl/>
        <w:adjustRightInd w:val="0"/>
        <w:snapToGrid w:val="0"/>
        <w:spacing w:line="360" w:lineRule="auto"/>
        <w:ind w:firstLineChars="200" w:firstLine="420"/>
        <w:rPr>
          <w:rFonts w:ascii="宋体" w:eastAsia="宋体" w:hAnsi="宋体" w:cs="宋体"/>
          <w:kern w:val="0"/>
          <w:szCs w:val="21"/>
        </w:rPr>
      </w:pPr>
    </w:p>
    <w:p w:rsidR="00D74598" w:rsidRPr="008B52F3" w:rsidRDefault="00A10BEE" w:rsidP="008B52F3">
      <w:pPr>
        <w:widowControl/>
        <w:adjustRightInd w:val="0"/>
        <w:snapToGrid w:val="0"/>
        <w:spacing w:line="360" w:lineRule="auto"/>
        <w:ind w:firstLineChars="200" w:firstLine="420"/>
        <w:jc w:val="right"/>
        <w:rPr>
          <w:rFonts w:ascii="宋体" w:eastAsia="宋体" w:hAnsi="宋体" w:cs="宋体"/>
          <w:kern w:val="0"/>
          <w:szCs w:val="21"/>
        </w:rPr>
      </w:pPr>
      <w:r>
        <w:rPr>
          <w:rFonts w:ascii="宋体" w:eastAsia="宋体" w:hAnsi="宋体" w:cs="宋体" w:hint="eastAsia"/>
          <w:kern w:val="0"/>
          <w:szCs w:val="21"/>
        </w:rPr>
        <w:t>富</w:t>
      </w:r>
      <w:proofErr w:type="gramStart"/>
      <w:r>
        <w:rPr>
          <w:rFonts w:ascii="宋体" w:eastAsia="宋体" w:hAnsi="宋体" w:cs="宋体" w:hint="eastAsia"/>
          <w:kern w:val="0"/>
          <w:szCs w:val="21"/>
        </w:rPr>
        <w:t>荣</w:t>
      </w:r>
      <w:r w:rsidR="00D74598" w:rsidRPr="008B52F3">
        <w:rPr>
          <w:rFonts w:ascii="宋体" w:eastAsia="宋体" w:hAnsi="宋体" w:cs="宋体"/>
          <w:kern w:val="0"/>
          <w:szCs w:val="21"/>
        </w:rPr>
        <w:t>基金</w:t>
      </w:r>
      <w:proofErr w:type="gramEnd"/>
      <w:r w:rsidR="00D74598" w:rsidRPr="008B52F3">
        <w:rPr>
          <w:rFonts w:ascii="宋体" w:eastAsia="宋体" w:hAnsi="宋体" w:cs="宋体"/>
          <w:kern w:val="0"/>
          <w:szCs w:val="21"/>
        </w:rPr>
        <w:t>管理有限公司</w:t>
      </w:r>
    </w:p>
    <w:p w:rsidR="00307C7D" w:rsidRDefault="008E210D" w:rsidP="008B52F3">
      <w:pPr>
        <w:adjustRightInd w:val="0"/>
        <w:snapToGrid w:val="0"/>
        <w:spacing w:line="360" w:lineRule="auto"/>
        <w:ind w:firstLineChars="200" w:firstLine="420"/>
        <w:jc w:val="right"/>
        <w:rPr>
          <w:rFonts w:ascii="宋体" w:eastAsia="宋体" w:hAnsi="宋体" w:cs="宋体"/>
          <w:kern w:val="0"/>
          <w:szCs w:val="21"/>
        </w:rPr>
      </w:pPr>
      <w:r w:rsidRPr="009E6EC9">
        <w:rPr>
          <w:rFonts w:ascii="宋体" w:eastAsia="宋体" w:hAnsi="宋体" w:cs="宋体"/>
          <w:kern w:val="0"/>
          <w:szCs w:val="21"/>
        </w:rPr>
        <w:t>201</w:t>
      </w:r>
      <w:r w:rsidRPr="009E6EC9">
        <w:rPr>
          <w:rFonts w:ascii="宋体" w:eastAsia="宋体" w:hAnsi="宋体" w:cs="宋体" w:hint="eastAsia"/>
          <w:kern w:val="0"/>
          <w:szCs w:val="21"/>
        </w:rPr>
        <w:t>8</w:t>
      </w:r>
      <w:r w:rsidRPr="009E6EC9">
        <w:rPr>
          <w:rFonts w:ascii="宋体" w:eastAsia="宋体" w:hAnsi="宋体" w:cs="宋体"/>
          <w:kern w:val="0"/>
          <w:szCs w:val="21"/>
        </w:rPr>
        <w:t>年</w:t>
      </w:r>
      <w:r w:rsidRPr="009E6EC9">
        <w:rPr>
          <w:rFonts w:ascii="宋体" w:eastAsia="宋体" w:hAnsi="宋体" w:cs="宋体" w:hint="eastAsia"/>
          <w:kern w:val="0"/>
          <w:szCs w:val="21"/>
        </w:rPr>
        <w:t>12</w:t>
      </w:r>
      <w:r w:rsidR="00D74598" w:rsidRPr="009E6EC9">
        <w:rPr>
          <w:rFonts w:ascii="宋体" w:eastAsia="宋体" w:hAnsi="宋体" w:cs="宋体"/>
          <w:kern w:val="0"/>
          <w:szCs w:val="21"/>
        </w:rPr>
        <w:t>月</w:t>
      </w:r>
      <w:r w:rsidRPr="009E6EC9">
        <w:rPr>
          <w:rFonts w:ascii="宋体" w:eastAsia="宋体" w:hAnsi="宋体" w:cs="宋体" w:hint="eastAsia"/>
          <w:kern w:val="0"/>
          <w:szCs w:val="21"/>
        </w:rPr>
        <w:t>11</w:t>
      </w:r>
      <w:r w:rsidR="00D74598" w:rsidRPr="009E6EC9">
        <w:rPr>
          <w:rFonts w:ascii="宋体" w:eastAsia="宋体" w:hAnsi="宋体" w:cs="宋体"/>
          <w:kern w:val="0"/>
          <w:szCs w:val="21"/>
        </w:rPr>
        <w:t>日</w:t>
      </w:r>
    </w:p>
    <w:p w:rsidR="00D74598" w:rsidRDefault="00D74598" w:rsidP="00FC6105">
      <w:pPr>
        <w:widowControl/>
        <w:jc w:val="left"/>
        <w:rPr>
          <w:rFonts w:ascii="宋体" w:eastAsia="宋体" w:hAnsi="宋体"/>
          <w:szCs w:val="21"/>
        </w:rPr>
      </w:pPr>
    </w:p>
    <w:p w:rsidR="007F60B0" w:rsidRPr="008B52F3" w:rsidRDefault="007F60B0" w:rsidP="00FC6105">
      <w:pPr>
        <w:widowControl/>
        <w:jc w:val="left"/>
        <w:rPr>
          <w:rFonts w:ascii="宋体" w:eastAsia="宋体" w:hAnsi="宋体"/>
          <w:szCs w:val="21"/>
        </w:rPr>
      </w:pPr>
    </w:p>
    <w:sectPr w:rsidR="007F60B0" w:rsidRPr="008B52F3" w:rsidSect="00D74598">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2BAD" w:rsidRDefault="00452BAD" w:rsidP="00D74598">
      <w:r>
        <w:separator/>
      </w:r>
    </w:p>
  </w:endnote>
  <w:endnote w:type="continuationSeparator" w:id="1">
    <w:p w:rsidR="00452BAD" w:rsidRDefault="00452BAD" w:rsidP="00D7459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2BAD" w:rsidRDefault="00452BAD" w:rsidP="00D74598">
      <w:r>
        <w:separator/>
      </w:r>
    </w:p>
  </w:footnote>
  <w:footnote w:type="continuationSeparator" w:id="1">
    <w:p w:rsidR="00452BAD" w:rsidRDefault="00452BAD" w:rsidP="00D7459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2BAD" w:rsidRDefault="00452BAD" w:rsidP="007F60B0">
    <w:pPr>
      <w:pStyle w:val="a3"/>
      <w:pBdr>
        <w:bottom w:val="none" w:sz="0" w:space="0"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removePersonalInformation/>
  <w:removeDateAndTime/>
  <w:bordersDoNotSurroundHeader/>
  <w:bordersDoNotSurroundFooter/>
  <w:proofState w:spelling="clean" w:grammar="clean"/>
  <w:trackRevisions/>
  <w:doNotTrackFormatting/>
  <w:defaultTabStop w:val="420"/>
  <w:drawingGridHorizontalSpacing w:val="105"/>
  <w:drawingGridVerticalSpacing w:val="156"/>
  <w:displayHorizontalDrawingGridEvery w:val="0"/>
  <w:displayVerticalDrawingGridEvery w:val="2"/>
  <w:characterSpacingControl w:val="compressPunctuation"/>
  <w:hdrShapeDefaults>
    <o:shapedefaults v:ext="edit" spidmax="1843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76ABF"/>
    <w:rsid w:val="000139D6"/>
    <w:rsid w:val="00093DF2"/>
    <w:rsid w:val="000B4269"/>
    <w:rsid w:val="000F1183"/>
    <w:rsid w:val="00125E0A"/>
    <w:rsid w:val="00137884"/>
    <w:rsid w:val="00143478"/>
    <w:rsid w:val="00146278"/>
    <w:rsid w:val="0016218D"/>
    <w:rsid w:val="00173E65"/>
    <w:rsid w:val="001B6876"/>
    <w:rsid w:val="001C6751"/>
    <w:rsid w:val="0022536E"/>
    <w:rsid w:val="00294E31"/>
    <w:rsid w:val="002A5B6C"/>
    <w:rsid w:val="002B747F"/>
    <w:rsid w:val="002F1E2F"/>
    <w:rsid w:val="00307C7D"/>
    <w:rsid w:val="00344807"/>
    <w:rsid w:val="003573BE"/>
    <w:rsid w:val="00372022"/>
    <w:rsid w:val="003A3DAF"/>
    <w:rsid w:val="003E480A"/>
    <w:rsid w:val="004273EC"/>
    <w:rsid w:val="00432BBD"/>
    <w:rsid w:val="004337D7"/>
    <w:rsid w:val="00445BFD"/>
    <w:rsid w:val="004471AB"/>
    <w:rsid w:val="00452BAD"/>
    <w:rsid w:val="00462D2E"/>
    <w:rsid w:val="00463FD6"/>
    <w:rsid w:val="0049281F"/>
    <w:rsid w:val="004A1B61"/>
    <w:rsid w:val="004B7FF8"/>
    <w:rsid w:val="004C4648"/>
    <w:rsid w:val="004F6021"/>
    <w:rsid w:val="00524189"/>
    <w:rsid w:val="005744F1"/>
    <w:rsid w:val="00582E81"/>
    <w:rsid w:val="0059626C"/>
    <w:rsid w:val="005A16B7"/>
    <w:rsid w:val="005A6CE2"/>
    <w:rsid w:val="005C6306"/>
    <w:rsid w:val="00602F69"/>
    <w:rsid w:val="006060B5"/>
    <w:rsid w:val="00650FC9"/>
    <w:rsid w:val="00676ABF"/>
    <w:rsid w:val="0068742D"/>
    <w:rsid w:val="00693BCA"/>
    <w:rsid w:val="006B44B0"/>
    <w:rsid w:val="006E6EC2"/>
    <w:rsid w:val="006E7C9E"/>
    <w:rsid w:val="00711E49"/>
    <w:rsid w:val="00713C76"/>
    <w:rsid w:val="00743452"/>
    <w:rsid w:val="0078358C"/>
    <w:rsid w:val="00796497"/>
    <w:rsid w:val="007D4F60"/>
    <w:rsid w:val="007F60B0"/>
    <w:rsid w:val="00815882"/>
    <w:rsid w:val="00823FA3"/>
    <w:rsid w:val="00827C1E"/>
    <w:rsid w:val="008306A7"/>
    <w:rsid w:val="00843D62"/>
    <w:rsid w:val="00873B8C"/>
    <w:rsid w:val="00876984"/>
    <w:rsid w:val="00881BC3"/>
    <w:rsid w:val="00884A7C"/>
    <w:rsid w:val="00884D6B"/>
    <w:rsid w:val="00893487"/>
    <w:rsid w:val="008B52F3"/>
    <w:rsid w:val="008C6647"/>
    <w:rsid w:val="008E210D"/>
    <w:rsid w:val="008E447D"/>
    <w:rsid w:val="0090179E"/>
    <w:rsid w:val="00910144"/>
    <w:rsid w:val="009219D8"/>
    <w:rsid w:val="00955863"/>
    <w:rsid w:val="00957438"/>
    <w:rsid w:val="00964AC0"/>
    <w:rsid w:val="00965BCB"/>
    <w:rsid w:val="0097286F"/>
    <w:rsid w:val="00972FD4"/>
    <w:rsid w:val="00984907"/>
    <w:rsid w:val="009C5803"/>
    <w:rsid w:val="009D2791"/>
    <w:rsid w:val="009D409E"/>
    <w:rsid w:val="009E6EC9"/>
    <w:rsid w:val="009F1553"/>
    <w:rsid w:val="009F7951"/>
    <w:rsid w:val="00A10BEE"/>
    <w:rsid w:val="00A2589E"/>
    <w:rsid w:val="00A327B9"/>
    <w:rsid w:val="00A6746F"/>
    <w:rsid w:val="00A767D4"/>
    <w:rsid w:val="00A82466"/>
    <w:rsid w:val="00AA75F3"/>
    <w:rsid w:val="00AB0379"/>
    <w:rsid w:val="00AB559A"/>
    <w:rsid w:val="00AE6438"/>
    <w:rsid w:val="00AF6310"/>
    <w:rsid w:val="00AF76C3"/>
    <w:rsid w:val="00AF7733"/>
    <w:rsid w:val="00B15102"/>
    <w:rsid w:val="00B22D2E"/>
    <w:rsid w:val="00B26523"/>
    <w:rsid w:val="00B7050A"/>
    <w:rsid w:val="00B87947"/>
    <w:rsid w:val="00B90288"/>
    <w:rsid w:val="00B90A8A"/>
    <w:rsid w:val="00B90F30"/>
    <w:rsid w:val="00BB7FBA"/>
    <w:rsid w:val="00BC095A"/>
    <w:rsid w:val="00BD5FA4"/>
    <w:rsid w:val="00BE656D"/>
    <w:rsid w:val="00BE797A"/>
    <w:rsid w:val="00C310D3"/>
    <w:rsid w:val="00C8218A"/>
    <w:rsid w:val="00C96022"/>
    <w:rsid w:val="00CA01EE"/>
    <w:rsid w:val="00CB243C"/>
    <w:rsid w:val="00CD1FB7"/>
    <w:rsid w:val="00CE166C"/>
    <w:rsid w:val="00CF7F87"/>
    <w:rsid w:val="00D019C8"/>
    <w:rsid w:val="00D150C2"/>
    <w:rsid w:val="00D261D1"/>
    <w:rsid w:val="00D32540"/>
    <w:rsid w:val="00D51770"/>
    <w:rsid w:val="00D53B77"/>
    <w:rsid w:val="00D64766"/>
    <w:rsid w:val="00D67420"/>
    <w:rsid w:val="00D72384"/>
    <w:rsid w:val="00D74598"/>
    <w:rsid w:val="00D84C79"/>
    <w:rsid w:val="00D934DB"/>
    <w:rsid w:val="00D94BE0"/>
    <w:rsid w:val="00E312EB"/>
    <w:rsid w:val="00E31B25"/>
    <w:rsid w:val="00E42C0A"/>
    <w:rsid w:val="00E42E59"/>
    <w:rsid w:val="00E65E97"/>
    <w:rsid w:val="00E750D1"/>
    <w:rsid w:val="00EA1E9A"/>
    <w:rsid w:val="00EF70B7"/>
    <w:rsid w:val="00F20871"/>
    <w:rsid w:val="00F22B72"/>
    <w:rsid w:val="00F53164"/>
    <w:rsid w:val="00F675FF"/>
    <w:rsid w:val="00F854EB"/>
    <w:rsid w:val="00FA09AA"/>
    <w:rsid w:val="00FB1319"/>
    <w:rsid w:val="00FB3B69"/>
    <w:rsid w:val="00FC61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2F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626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7459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74598"/>
    <w:rPr>
      <w:sz w:val="18"/>
      <w:szCs w:val="18"/>
    </w:rPr>
  </w:style>
  <w:style w:type="paragraph" w:styleId="a4">
    <w:name w:val="footer"/>
    <w:basedOn w:val="a"/>
    <w:link w:val="Char0"/>
    <w:uiPriority w:val="99"/>
    <w:unhideWhenUsed/>
    <w:rsid w:val="00D74598"/>
    <w:pPr>
      <w:tabs>
        <w:tab w:val="center" w:pos="4153"/>
        <w:tab w:val="right" w:pos="8306"/>
      </w:tabs>
      <w:snapToGrid w:val="0"/>
      <w:jc w:val="left"/>
    </w:pPr>
    <w:rPr>
      <w:sz w:val="18"/>
      <w:szCs w:val="18"/>
    </w:rPr>
  </w:style>
  <w:style w:type="character" w:customStyle="1" w:styleId="Char0">
    <w:name w:val="页脚 Char"/>
    <w:basedOn w:val="a0"/>
    <w:link w:val="a4"/>
    <w:uiPriority w:val="99"/>
    <w:rsid w:val="00D74598"/>
    <w:rPr>
      <w:sz w:val="18"/>
      <w:szCs w:val="18"/>
    </w:rPr>
  </w:style>
  <w:style w:type="character" w:styleId="a5">
    <w:name w:val="Hyperlink"/>
    <w:basedOn w:val="a0"/>
    <w:uiPriority w:val="99"/>
    <w:semiHidden/>
    <w:unhideWhenUsed/>
    <w:rsid w:val="00D74598"/>
    <w:rPr>
      <w:strike w:val="0"/>
      <w:dstrike w:val="0"/>
      <w:color w:val="333333"/>
      <w:u w:val="none"/>
      <w:effect w:val="none"/>
    </w:rPr>
  </w:style>
  <w:style w:type="paragraph" w:styleId="a6">
    <w:name w:val="Normal (Web)"/>
    <w:basedOn w:val="a"/>
    <w:uiPriority w:val="99"/>
    <w:unhideWhenUsed/>
    <w:rsid w:val="00D74598"/>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74598"/>
    <w:rPr>
      <w:sz w:val="18"/>
      <w:szCs w:val="18"/>
    </w:rPr>
  </w:style>
  <w:style w:type="character" w:customStyle="1" w:styleId="Char1">
    <w:name w:val="批注框文本 Char"/>
    <w:basedOn w:val="a0"/>
    <w:link w:val="a7"/>
    <w:uiPriority w:val="99"/>
    <w:semiHidden/>
    <w:rsid w:val="00D74598"/>
    <w:rPr>
      <w:sz w:val="18"/>
      <w:szCs w:val="18"/>
    </w:rPr>
  </w:style>
  <w:style w:type="table" w:styleId="a8">
    <w:name w:val="Table Grid"/>
    <w:basedOn w:val="a1"/>
    <w:uiPriority w:val="59"/>
    <w:rsid w:val="00843D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sid w:val="00693BCA"/>
    <w:rPr>
      <w:sz w:val="21"/>
      <w:szCs w:val="21"/>
    </w:rPr>
  </w:style>
  <w:style w:type="paragraph" w:styleId="aa">
    <w:name w:val="annotation text"/>
    <w:basedOn w:val="a"/>
    <w:link w:val="Char2"/>
    <w:uiPriority w:val="99"/>
    <w:semiHidden/>
    <w:unhideWhenUsed/>
    <w:rsid w:val="00693BCA"/>
    <w:pPr>
      <w:jc w:val="left"/>
    </w:pPr>
  </w:style>
  <w:style w:type="character" w:customStyle="1" w:styleId="Char2">
    <w:name w:val="批注文字 Char"/>
    <w:basedOn w:val="a0"/>
    <w:link w:val="aa"/>
    <w:uiPriority w:val="99"/>
    <w:semiHidden/>
    <w:rsid w:val="00693BCA"/>
  </w:style>
  <w:style w:type="paragraph" w:styleId="ab">
    <w:name w:val="annotation subject"/>
    <w:basedOn w:val="aa"/>
    <w:next w:val="aa"/>
    <w:link w:val="Char3"/>
    <w:uiPriority w:val="99"/>
    <w:semiHidden/>
    <w:unhideWhenUsed/>
    <w:rsid w:val="00693BCA"/>
    <w:rPr>
      <w:b/>
      <w:bCs/>
    </w:rPr>
  </w:style>
  <w:style w:type="character" w:customStyle="1" w:styleId="Char3">
    <w:name w:val="批注主题 Char"/>
    <w:basedOn w:val="Char2"/>
    <w:link w:val="ab"/>
    <w:uiPriority w:val="99"/>
    <w:semiHidden/>
    <w:rsid w:val="00693BCA"/>
    <w:rPr>
      <w:b/>
      <w:bCs/>
    </w:rPr>
  </w:style>
  <w:style w:type="paragraph" w:styleId="ac">
    <w:name w:val="Revision"/>
    <w:hidden/>
    <w:uiPriority w:val="99"/>
    <w:semiHidden/>
    <w:rsid w:val="0059626C"/>
  </w:style>
</w:styles>
</file>

<file path=word/webSettings.xml><?xml version="1.0" encoding="utf-8"?>
<w:webSettings xmlns:r="http://schemas.openxmlformats.org/officeDocument/2006/relationships" xmlns:w="http://schemas.openxmlformats.org/wordprocessingml/2006/main">
  <w:divs>
    <w:div w:id="131220998">
      <w:bodyDiv w:val="1"/>
      <w:marLeft w:val="0"/>
      <w:marRight w:val="0"/>
      <w:marTop w:val="0"/>
      <w:marBottom w:val="0"/>
      <w:divBdr>
        <w:top w:val="none" w:sz="0" w:space="0" w:color="auto"/>
        <w:left w:val="none" w:sz="0" w:space="0" w:color="auto"/>
        <w:bottom w:val="none" w:sz="0" w:space="0" w:color="auto"/>
        <w:right w:val="none" w:sz="0" w:space="0" w:color="auto"/>
      </w:divBdr>
    </w:div>
    <w:div w:id="285165615">
      <w:bodyDiv w:val="1"/>
      <w:marLeft w:val="0"/>
      <w:marRight w:val="0"/>
      <w:marTop w:val="0"/>
      <w:marBottom w:val="0"/>
      <w:divBdr>
        <w:top w:val="none" w:sz="0" w:space="0" w:color="auto"/>
        <w:left w:val="none" w:sz="0" w:space="0" w:color="auto"/>
        <w:bottom w:val="none" w:sz="0" w:space="0" w:color="auto"/>
        <w:right w:val="none" w:sz="0" w:space="0" w:color="auto"/>
      </w:divBdr>
    </w:div>
    <w:div w:id="472526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6315D3-EE7E-4781-BDAF-A4A339AF11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386</Words>
  <Characters>2205</Characters>
  <Application>Microsoft Office Word</Application>
  <DocSecurity>0</DocSecurity>
  <Lines>18</Lines>
  <Paragraphs>5</Paragraphs>
  <ScaleCrop>false</ScaleCrop>
  <LinksUpToDate>false</LinksUpToDate>
  <CharactersWithSpaces>2586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2018-12-05T02:57:00Z</dcterms:created>
  <dcterms:modified xsi:type="dcterms:W3CDTF">2018-12-11T05:51:00Z</dcterms:modified>
</cp:coreProperties>
</file>