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4AE0" w:rsidRDefault="002462AE">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Pr>
          <w:rFonts w:ascii="Verdana" w:eastAsia="宋体" w:hAnsi="Verdana" w:cs="宋体" w:hint="eastAsia"/>
          <w:b/>
          <w:bCs/>
          <w:kern w:val="36"/>
          <w:sz w:val="39"/>
          <w:szCs w:val="39"/>
        </w:rPr>
        <w:t>扬州国信嘉利基金销售有限公司</w:t>
      </w:r>
      <w:r>
        <w:rPr>
          <w:rFonts w:ascii="Verdana" w:eastAsia="宋体" w:hAnsi="Verdana" w:cs="宋体"/>
          <w:b/>
          <w:bCs/>
          <w:kern w:val="36"/>
          <w:sz w:val="39"/>
          <w:szCs w:val="39"/>
        </w:rPr>
        <w:t>为销售机构并开通基金转换业务</w:t>
      </w:r>
      <w:r>
        <w:rPr>
          <w:rFonts w:ascii="Verdana" w:eastAsia="宋体" w:hAnsi="Verdana" w:cs="宋体" w:hint="eastAsia"/>
          <w:b/>
          <w:bCs/>
          <w:kern w:val="36"/>
          <w:sz w:val="39"/>
          <w:szCs w:val="39"/>
        </w:rPr>
        <w:t>的公告</w:t>
      </w:r>
    </w:p>
    <w:p w:rsidR="00EB4AE0" w:rsidRDefault="002462AE">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为更好地满足广大投资者的理财需求，根据富荣基金管理有限公司（以下简称“本公司”）与扬州国信嘉利基金销售有限公司（以下简称“国信嘉利”）签署的委托销售协议，自</w:t>
      </w:r>
      <w:r>
        <w:rPr>
          <w:rFonts w:ascii="宋体" w:eastAsia="宋体" w:hAnsi="宋体" w:cs="Calibri"/>
          <w:color w:val="000000"/>
          <w:kern w:val="0"/>
          <w:szCs w:val="21"/>
        </w:rPr>
        <w:t>2018</w:t>
      </w:r>
      <w:r>
        <w:rPr>
          <w:rFonts w:ascii="宋体" w:eastAsia="宋体" w:hAnsi="宋体" w:cs="Calibri" w:hint="eastAsia"/>
          <w:color w:val="000000"/>
          <w:kern w:val="0"/>
          <w:szCs w:val="21"/>
        </w:rPr>
        <w:t>年12月1</w:t>
      </w:r>
      <w:r w:rsidR="003A68EE">
        <w:rPr>
          <w:rFonts w:ascii="宋体" w:eastAsia="宋体" w:hAnsi="宋体" w:cs="Calibri" w:hint="eastAsia"/>
          <w:color w:val="000000"/>
          <w:kern w:val="0"/>
          <w:szCs w:val="21"/>
        </w:rPr>
        <w:t>2</w:t>
      </w:r>
      <w:r>
        <w:rPr>
          <w:rFonts w:ascii="宋体" w:eastAsia="宋体" w:hAnsi="宋体" w:cs="Calibri" w:hint="eastAsia"/>
          <w:color w:val="000000"/>
          <w:kern w:val="0"/>
          <w:szCs w:val="21"/>
        </w:rPr>
        <w:t>日起新增委托国信嘉利销售本公司旗下部分基金并开通基金转换业务，具体的业务流程、办理时间和办理方式以国信嘉利的规定为准。现将相关事项公告如下：</w:t>
      </w:r>
    </w:p>
    <w:p w:rsidR="00EB4AE0" w:rsidRDefault="002462AE">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 </w:t>
      </w:r>
    </w:p>
    <w:p w:rsidR="00EB4AE0" w:rsidRDefault="002462AE">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一、新增国信嘉利为销售机构</w:t>
      </w:r>
    </w:p>
    <w:p w:rsidR="00EB4AE0" w:rsidRDefault="002462AE">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1</w:t>
      </w:r>
      <w:r>
        <w:rPr>
          <w:rFonts w:ascii="宋体" w:eastAsia="宋体" w:hAnsi="宋体" w:cs="Calibri" w:hint="eastAsia"/>
          <w:color w:val="000000"/>
          <w:kern w:val="0"/>
          <w:szCs w:val="21"/>
        </w:rPr>
        <w:t>、适用基金</w:t>
      </w:r>
    </w:p>
    <w:p w:rsidR="00EB4AE0" w:rsidRDefault="002462AE">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EB4AE0" w:rsidRDefault="002462AE">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EB4AE0" w:rsidRDefault="002462AE">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EB4AE0" w:rsidRDefault="002462AE">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 富荣福安灵活配置混合型证券投资基金（基金代码：A类004790、C类004791）；</w:t>
      </w:r>
    </w:p>
    <w:p w:rsidR="00EB4AE0" w:rsidRDefault="002462AE">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 富荣福泰灵活配置混合型证券投资基金（基金代码：A类004788、C类004789）；</w:t>
      </w:r>
    </w:p>
    <w:p w:rsidR="00EB4AE0" w:rsidRDefault="002462AE">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EB4AE0" w:rsidRDefault="002462AE">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EB4AE0" w:rsidRDefault="002462AE">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EB4AE0" w:rsidRDefault="002462AE">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EB4AE0" w:rsidRDefault="002462AE">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EB4AE0" w:rsidRDefault="002462AE">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p>
    <w:p w:rsidR="00EB4AE0" w:rsidRDefault="002462AE">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2</w:t>
      </w:r>
      <w:r>
        <w:rPr>
          <w:rFonts w:ascii="宋体" w:eastAsia="宋体" w:hAnsi="宋体" w:cs="Calibri" w:hint="eastAsia"/>
          <w:color w:val="000000"/>
          <w:kern w:val="0"/>
          <w:szCs w:val="21"/>
        </w:rPr>
        <w:t>、销售机构信息</w:t>
      </w:r>
    </w:p>
    <w:p w:rsidR="00EB4AE0" w:rsidRDefault="002462AE">
      <w:pPr>
        <w:widowControl/>
        <w:spacing w:line="360" w:lineRule="auto"/>
        <w:ind w:leftChars="200" w:left="420"/>
        <w:jc w:val="left"/>
        <w:rPr>
          <w:rFonts w:ascii="Arial" w:hAnsi="Arial" w:cs="Arial"/>
          <w:color w:val="000000"/>
          <w:kern w:val="0"/>
          <w:szCs w:val="21"/>
        </w:rPr>
      </w:pPr>
      <w:r>
        <w:rPr>
          <w:rFonts w:ascii="Arial" w:hAnsi="Arial" w:cs="Arial" w:hint="eastAsia"/>
          <w:color w:val="000000"/>
          <w:szCs w:val="21"/>
        </w:rPr>
        <w:t>销售机构名称：扬州国信嘉利基金销售有限公司</w:t>
      </w:r>
      <w:r>
        <w:rPr>
          <w:rFonts w:ascii="宋体" w:eastAsia="宋体" w:hAnsi="宋体" w:cs="Calibri" w:hint="eastAsia"/>
          <w:color w:val="000000"/>
          <w:kern w:val="0"/>
          <w:szCs w:val="21"/>
        </w:rPr>
        <w:t xml:space="preserve"> </w:t>
      </w:r>
    </w:p>
    <w:p w:rsidR="00EB4AE0" w:rsidRDefault="002462AE">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地址：扬州市广陵新城信息产业基地</w:t>
      </w:r>
      <w:r>
        <w:rPr>
          <w:rFonts w:ascii="Arial" w:hAnsi="Arial" w:cs="Arial" w:hint="eastAsia"/>
          <w:color w:val="000000"/>
          <w:kern w:val="0"/>
          <w:szCs w:val="21"/>
        </w:rPr>
        <w:t>3</w:t>
      </w:r>
      <w:r>
        <w:rPr>
          <w:rFonts w:ascii="Arial" w:hAnsi="Arial" w:cs="Arial" w:hint="eastAsia"/>
          <w:color w:val="000000"/>
          <w:kern w:val="0"/>
          <w:szCs w:val="21"/>
        </w:rPr>
        <w:t>期</w:t>
      </w:r>
      <w:r>
        <w:rPr>
          <w:rFonts w:ascii="Arial" w:hAnsi="Arial" w:cs="Arial" w:hint="eastAsia"/>
          <w:color w:val="000000"/>
          <w:kern w:val="0"/>
          <w:szCs w:val="21"/>
        </w:rPr>
        <w:t>20B</w:t>
      </w:r>
      <w:r>
        <w:rPr>
          <w:rFonts w:ascii="Arial" w:hAnsi="Arial" w:cs="Arial" w:hint="eastAsia"/>
          <w:color w:val="000000"/>
          <w:kern w:val="0"/>
          <w:szCs w:val="21"/>
        </w:rPr>
        <w:t>栋</w:t>
      </w:r>
      <w:r>
        <w:rPr>
          <w:rFonts w:ascii="Arial" w:hAnsi="Arial" w:cs="Arial" w:hint="eastAsia"/>
          <w:color w:val="000000"/>
          <w:kern w:val="0"/>
          <w:szCs w:val="21"/>
        </w:rPr>
        <w:t xml:space="preserve"> </w:t>
      </w:r>
    </w:p>
    <w:p w:rsidR="00EB4AE0" w:rsidRDefault="002462AE">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法定代表人：刘晓光</w:t>
      </w:r>
    </w:p>
    <w:p w:rsidR="00EB4AE0" w:rsidRDefault="002462AE">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联系人：苏曦</w:t>
      </w:r>
      <w:r>
        <w:rPr>
          <w:rFonts w:ascii="Arial" w:hAnsi="Arial" w:cs="Arial" w:hint="eastAsia"/>
          <w:color w:val="000000"/>
          <w:kern w:val="0"/>
          <w:szCs w:val="21"/>
        </w:rPr>
        <w:t xml:space="preserve"> </w:t>
      </w:r>
    </w:p>
    <w:p w:rsidR="00EB4AE0" w:rsidRDefault="002462AE">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电话：</w:t>
      </w:r>
      <w:r>
        <w:rPr>
          <w:rFonts w:ascii="Arial" w:hAnsi="Arial" w:cs="Arial" w:hint="eastAsia"/>
          <w:color w:val="000000"/>
          <w:kern w:val="0"/>
          <w:szCs w:val="21"/>
        </w:rPr>
        <w:t>0514-82099618</w:t>
      </w:r>
    </w:p>
    <w:p w:rsidR="00EB4AE0" w:rsidRDefault="002462AE">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lastRenderedPageBreak/>
        <w:t>传真：</w:t>
      </w:r>
      <w:r>
        <w:rPr>
          <w:rFonts w:ascii="Arial" w:hAnsi="Arial" w:cs="Arial" w:hint="eastAsia"/>
          <w:color w:val="000000"/>
          <w:kern w:val="0"/>
          <w:szCs w:val="21"/>
        </w:rPr>
        <w:t>021-68811007</w:t>
      </w:r>
    </w:p>
    <w:p w:rsidR="00EB4AE0" w:rsidRDefault="002462AE">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400 021 6088</w:t>
      </w:r>
    </w:p>
    <w:p w:rsidR="00EB4AE0" w:rsidRDefault="002462AE">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网址：</w:t>
      </w:r>
      <w:r>
        <w:rPr>
          <w:rFonts w:ascii="Arial" w:hAnsi="Arial" w:cs="Arial" w:hint="eastAsia"/>
          <w:color w:val="000000"/>
          <w:kern w:val="0"/>
          <w:szCs w:val="21"/>
        </w:rPr>
        <w:t>www.gxjlcn.com</w:t>
      </w:r>
      <w:r>
        <w:rPr>
          <w:rFonts w:ascii="Arial" w:hAnsi="Arial" w:cs="Arial"/>
          <w:color w:val="000000"/>
          <w:kern w:val="0"/>
          <w:szCs w:val="21"/>
        </w:rPr>
        <w:t xml:space="preserve"> </w:t>
      </w:r>
    </w:p>
    <w:p w:rsidR="00EB4AE0" w:rsidRDefault="00EB4AE0" w:rsidP="00CA11A2">
      <w:pPr>
        <w:pStyle w:val="a9"/>
        <w:shd w:val="clear" w:color="auto" w:fill="FFFFFF"/>
        <w:spacing w:before="0" w:beforeAutospacing="0" w:after="0" w:afterAutospacing="0" w:line="360" w:lineRule="auto"/>
        <w:rPr>
          <w:rFonts w:cs="Calibri"/>
          <w:color w:val="000000"/>
          <w:sz w:val="21"/>
          <w:szCs w:val="21"/>
        </w:rPr>
      </w:pPr>
    </w:p>
    <w:p w:rsidR="00EB4AE0" w:rsidRDefault="002462AE">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二、通过国信嘉利开通基金转换业务</w:t>
      </w:r>
    </w:p>
    <w:p w:rsidR="00EB4AE0" w:rsidRDefault="002462AE">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2018</w:t>
      </w:r>
      <w:r>
        <w:rPr>
          <w:rFonts w:cs="Calibri" w:hint="eastAsia"/>
          <w:color w:val="000000"/>
          <w:sz w:val="21"/>
          <w:szCs w:val="21"/>
        </w:rPr>
        <w:t>年</w:t>
      </w:r>
      <w:r>
        <w:rPr>
          <w:rFonts w:cs="Calibri"/>
          <w:color w:val="000000"/>
          <w:sz w:val="21"/>
          <w:szCs w:val="21"/>
        </w:rPr>
        <w:t>1</w:t>
      </w:r>
      <w:r>
        <w:rPr>
          <w:rFonts w:cs="Calibri" w:hint="eastAsia"/>
          <w:color w:val="000000"/>
          <w:sz w:val="21"/>
          <w:szCs w:val="21"/>
        </w:rPr>
        <w:t>2月1</w:t>
      </w:r>
      <w:r w:rsidR="003A68EE">
        <w:rPr>
          <w:rFonts w:cs="Calibri" w:hint="eastAsia"/>
          <w:color w:val="000000"/>
          <w:sz w:val="21"/>
          <w:szCs w:val="21"/>
        </w:rPr>
        <w:t>2</w:t>
      </w:r>
      <w:r>
        <w:rPr>
          <w:rFonts w:cs="Calibri" w:hint="eastAsia"/>
          <w:color w:val="000000"/>
          <w:sz w:val="21"/>
          <w:szCs w:val="21"/>
        </w:rPr>
        <w:t>日起在国信嘉利开通上述基金之间的转换业务。</w:t>
      </w:r>
    </w:p>
    <w:p w:rsidR="00EB4AE0" w:rsidRDefault="002462AE">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EB4AE0" w:rsidRDefault="002462AE">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投资者申请基金转换时应遵循国信嘉利的规定提交业务申请。</w:t>
      </w:r>
    </w:p>
    <w:p w:rsidR="00EB4AE0" w:rsidRDefault="002462AE">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EB4AE0" w:rsidRDefault="002462AE">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关于基金转换业务的费率计算及规则请另行参见本公司信息披露文件及官网刊登的业务规则。</w:t>
      </w:r>
    </w:p>
    <w:p w:rsidR="00EB4AE0" w:rsidRDefault="00EB4AE0">
      <w:pPr>
        <w:widowControl/>
        <w:shd w:val="clear" w:color="auto" w:fill="FFFFFF"/>
        <w:spacing w:line="360" w:lineRule="auto"/>
        <w:ind w:firstLine="480"/>
        <w:jc w:val="left"/>
        <w:rPr>
          <w:rFonts w:ascii="宋体" w:eastAsia="宋体" w:hAnsi="宋体" w:cs="Calibri"/>
          <w:color w:val="000000"/>
          <w:kern w:val="0"/>
          <w:szCs w:val="21"/>
        </w:rPr>
      </w:pPr>
    </w:p>
    <w:p w:rsidR="00EB4AE0" w:rsidRDefault="002462AE">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三、业务咨询</w:t>
      </w:r>
    </w:p>
    <w:p w:rsidR="00EB4AE0" w:rsidRDefault="002462AE">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1</w:t>
      </w:r>
      <w:r>
        <w:rPr>
          <w:rFonts w:ascii="宋体" w:eastAsia="宋体" w:hAnsi="宋体" w:cs="Calibri" w:hint="eastAsia"/>
          <w:color w:val="000000"/>
          <w:kern w:val="0"/>
          <w:szCs w:val="21"/>
        </w:rPr>
        <w:t>、富荣基金管理有限公司</w:t>
      </w:r>
    </w:p>
    <w:p w:rsidR="00EB4AE0" w:rsidRDefault="002462AE">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客户服务电话：</w:t>
      </w:r>
      <w:r>
        <w:rPr>
          <w:rFonts w:ascii="Arial" w:eastAsia="宋体" w:hAnsi="Arial" w:cs="Arial"/>
          <w:color w:val="000000"/>
          <w:kern w:val="0"/>
          <w:szCs w:val="21"/>
        </w:rPr>
        <w:t xml:space="preserve">400 </w:t>
      </w:r>
      <w:r>
        <w:rPr>
          <w:rFonts w:ascii="Arial" w:eastAsia="宋体" w:hAnsi="Arial" w:cs="Arial" w:hint="eastAsia"/>
          <w:color w:val="000000"/>
          <w:kern w:val="0"/>
          <w:szCs w:val="21"/>
        </w:rPr>
        <w:t>685</w:t>
      </w:r>
      <w:r>
        <w:rPr>
          <w:rFonts w:ascii="Arial" w:eastAsia="宋体" w:hAnsi="Arial" w:cs="Arial"/>
          <w:color w:val="000000"/>
          <w:kern w:val="0"/>
          <w:szCs w:val="21"/>
        </w:rPr>
        <w:t xml:space="preserve"> </w:t>
      </w:r>
      <w:r>
        <w:rPr>
          <w:rFonts w:ascii="Arial" w:eastAsia="宋体" w:hAnsi="Arial" w:cs="Arial" w:hint="eastAsia"/>
          <w:color w:val="000000"/>
          <w:kern w:val="0"/>
          <w:szCs w:val="21"/>
        </w:rPr>
        <w:t>5</w:t>
      </w:r>
      <w:r>
        <w:rPr>
          <w:rFonts w:ascii="Arial" w:eastAsia="宋体" w:hAnsi="Arial" w:cs="Arial"/>
          <w:color w:val="000000"/>
          <w:kern w:val="0"/>
          <w:szCs w:val="21"/>
        </w:rPr>
        <w:t>60</w:t>
      </w:r>
      <w:r>
        <w:rPr>
          <w:rFonts w:ascii="Arial" w:eastAsia="宋体" w:hAnsi="Arial" w:cs="Arial" w:hint="eastAsia"/>
          <w:color w:val="000000"/>
          <w:kern w:val="0"/>
          <w:szCs w:val="21"/>
        </w:rPr>
        <w:t>0</w:t>
      </w:r>
    </w:p>
    <w:p w:rsidR="00EB4AE0" w:rsidRDefault="002462AE">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网址：</w:t>
      </w:r>
      <w:r>
        <w:rPr>
          <w:rFonts w:ascii="Arial" w:eastAsia="宋体" w:hAnsi="Arial" w:cs="Arial"/>
          <w:color w:val="000000"/>
          <w:kern w:val="0"/>
          <w:szCs w:val="21"/>
        </w:rPr>
        <w:t>www.</w:t>
      </w:r>
      <w:r>
        <w:rPr>
          <w:rFonts w:ascii="Arial" w:eastAsia="宋体" w:hAnsi="Arial" w:cs="Arial" w:hint="eastAsia"/>
          <w:color w:val="000000"/>
          <w:kern w:val="0"/>
          <w:szCs w:val="21"/>
        </w:rPr>
        <w:t>furamc</w:t>
      </w:r>
      <w:r>
        <w:rPr>
          <w:rFonts w:ascii="Arial" w:eastAsia="宋体" w:hAnsi="Arial" w:cs="Arial"/>
          <w:color w:val="000000"/>
          <w:kern w:val="0"/>
          <w:szCs w:val="21"/>
        </w:rPr>
        <w:t>.com</w:t>
      </w:r>
      <w:r>
        <w:rPr>
          <w:rFonts w:ascii="Arial" w:eastAsia="宋体" w:hAnsi="Arial" w:cs="Arial" w:hint="eastAsia"/>
          <w:color w:val="000000"/>
          <w:kern w:val="0"/>
          <w:szCs w:val="21"/>
        </w:rPr>
        <w:t>.cn</w:t>
      </w:r>
    </w:p>
    <w:p w:rsidR="00EB4AE0" w:rsidRDefault="002462AE">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2</w:t>
      </w:r>
      <w:r>
        <w:rPr>
          <w:rFonts w:ascii="宋体" w:eastAsia="宋体" w:hAnsi="宋体" w:cs="Calibri" w:hint="eastAsia"/>
          <w:color w:val="000000"/>
          <w:kern w:val="0"/>
          <w:szCs w:val="21"/>
        </w:rPr>
        <w:t>、扬州国信嘉利基金销售有限公司</w:t>
      </w:r>
    </w:p>
    <w:p w:rsidR="00EB4AE0" w:rsidRDefault="002462AE">
      <w:pPr>
        <w:widowControl/>
        <w:shd w:val="clear" w:color="auto" w:fill="FFFFFF"/>
        <w:spacing w:line="360" w:lineRule="auto"/>
        <w:ind w:firstLine="420"/>
        <w:jc w:val="left"/>
        <w:rPr>
          <w:rFonts w:ascii="Arial" w:hAnsi="Arial" w:cs="Arial"/>
          <w:color w:val="000000"/>
          <w:kern w:val="0"/>
          <w:szCs w:val="21"/>
        </w:rPr>
      </w:pPr>
      <w:r>
        <w:rPr>
          <w:rFonts w:ascii="Arial" w:hAnsi="Arial" w:cs="Arial" w:hint="eastAsia"/>
          <w:szCs w:val="21"/>
        </w:rPr>
        <w:t>客服电话：</w:t>
      </w:r>
      <w:r>
        <w:rPr>
          <w:rFonts w:ascii="Arial" w:hAnsi="Arial" w:cs="Arial" w:hint="eastAsia"/>
          <w:color w:val="000000"/>
          <w:kern w:val="0"/>
          <w:szCs w:val="21"/>
        </w:rPr>
        <w:t>400 021 6088</w:t>
      </w:r>
    </w:p>
    <w:p w:rsidR="00EB4AE0" w:rsidRDefault="002462AE">
      <w:pPr>
        <w:widowControl/>
        <w:shd w:val="clear" w:color="auto" w:fill="FFFFFF"/>
        <w:spacing w:line="360" w:lineRule="auto"/>
        <w:ind w:firstLine="420"/>
        <w:jc w:val="left"/>
        <w:rPr>
          <w:rFonts w:ascii="Arial" w:eastAsia="宋体" w:hAnsi="Arial" w:cs="Arial"/>
          <w:color w:val="000000"/>
          <w:kern w:val="0"/>
          <w:szCs w:val="21"/>
        </w:rPr>
      </w:pPr>
      <w:r>
        <w:rPr>
          <w:rFonts w:ascii="Arial" w:eastAsia="宋体" w:hAnsi="Arial" w:cs="Arial" w:hint="eastAsia"/>
          <w:color w:val="000000"/>
          <w:kern w:val="0"/>
          <w:szCs w:val="21"/>
        </w:rPr>
        <w:t>公司网站：</w:t>
      </w:r>
      <w:r>
        <w:rPr>
          <w:rFonts w:ascii="Arial" w:hAnsi="Arial" w:cs="Arial" w:hint="eastAsia"/>
          <w:color w:val="000000"/>
          <w:kern w:val="0"/>
          <w:szCs w:val="21"/>
        </w:rPr>
        <w:t>www.gxjlcn.com</w:t>
      </w:r>
    </w:p>
    <w:p w:rsidR="00EB4AE0" w:rsidRDefault="00EB4AE0">
      <w:pPr>
        <w:widowControl/>
        <w:shd w:val="clear" w:color="auto" w:fill="FFFFFF"/>
        <w:spacing w:line="360" w:lineRule="auto"/>
        <w:jc w:val="left"/>
        <w:rPr>
          <w:rFonts w:ascii="宋体" w:eastAsia="宋体" w:hAnsi="宋体" w:cs="Calibri"/>
          <w:color w:val="000000"/>
          <w:kern w:val="0"/>
          <w:szCs w:val="21"/>
        </w:rPr>
      </w:pPr>
    </w:p>
    <w:p w:rsidR="00EB4AE0" w:rsidRDefault="002462AE" w:rsidP="00CA11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EB4AE0" w:rsidRDefault="002462AE">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EB4AE0" w:rsidRDefault="002462AE">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特此公告。</w:t>
      </w:r>
    </w:p>
    <w:p w:rsidR="00EB4AE0" w:rsidRDefault="002462AE">
      <w:pPr>
        <w:widowControl/>
        <w:shd w:val="clear" w:color="auto" w:fill="FFFFFF"/>
        <w:spacing w:line="360" w:lineRule="auto"/>
        <w:jc w:val="left"/>
        <w:rPr>
          <w:rFonts w:ascii="Calibri" w:eastAsia="宋体" w:hAnsi="Calibri" w:cs="Calibri"/>
          <w:color w:val="303030"/>
          <w:kern w:val="0"/>
          <w:szCs w:val="21"/>
        </w:rPr>
      </w:pPr>
      <w:r>
        <w:rPr>
          <w:rFonts w:ascii="Arial" w:eastAsia="宋体" w:hAnsi="Arial" w:cs="Arial"/>
          <w:color w:val="000000"/>
          <w:kern w:val="0"/>
          <w:szCs w:val="21"/>
        </w:rPr>
        <w:t> </w:t>
      </w:r>
    </w:p>
    <w:p w:rsidR="00EB4AE0" w:rsidRDefault="002462AE">
      <w:pPr>
        <w:widowControl/>
        <w:shd w:val="clear" w:color="auto" w:fill="FFFFFF"/>
        <w:spacing w:line="360" w:lineRule="auto"/>
        <w:jc w:val="left"/>
        <w:rPr>
          <w:rFonts w:ascii="Calibri" w:eastAsia="宋体" w:hAnsi="Calibri" w:cs="Calibri"/>
          <w:color w:val="303030"/>
          <w:kern w:val="0"/>
          <w:szCs w:val="21"/>
        </w:rPr>
      </w:pPr>
      <w:r>
        <w:rPr>
          <w:rFonts w:ascii="Arial" w:eastAsia="宋体" w:hAnsi="Arial" w:cs="Arial"/>
          <w:color w:val="000000"/>
          <w:kern w:val="0"/>
          <w:szCs w:val="21"/>
        </w:rPr>
        <w:t> </w:t>
      </w:r>
    </w:p>
    <w:p w:rsidR="00EB4AE0" w:rsidRDefault="002462AE">
      <w:pPr>
        <w:widowControl/>
        <w:shd w:val="clear" w:color="auto" w:fill="FFFFFF"/>
        <w:spacing w:line="360" w:lineRule="auto"/>
        <w:ind w:firstLine="420"/>
        <w:jc w:val="right"/>
        <w:rPr>
          <w:rFonts w:ascii="Calibri" w:eastAsia="宋体" w:hAnsi="Calibri" w:cs="Calibri"/>
          <w:color w:val="303030"/>
          <w:kern w:val="0"/>
          <w:szCs w:val="21"/>
        </w:rPr>
      </w:pPr>
      <w:r>
        <w:rPr>
          <w:rFonts w:ascii="宋体" w:eastAsia="宋体" w:hAnsi="宋体" w:cs="Calibri" w:hint="eastAsia"/>
          <w:color w:val="000000"/>
          <w:kern w:val="0"/>
          <w:szCs w:val="21"/>
        </w:rPr>
        <w:t>富荣基金管理有限公司</w:t>
      </w:r>
    </w:p>
    <w:p w:rsidR="00EB4AE0" w:rsidRDefault="002462AE">
      <w:pPr>
        <w:widowControl/>
        <w:shd w:val="clear" w:color="auto" w:fill="FFFFFF"/>
        <w:spacing w:line="360" w:lineRule="auto"/>
        <w:jc w:val="right"/>
      </w:pPr>
      <w:r>
        <w:rPr>
          <w:rFonts w:ascii="宋体" w:eastAsia="宋体" w:hAnsi="宋体" w:cs="Calibri" w:hint="eastAsia"/>
          <w:color w:val="000000"/>
          <w:kern w:val="0"/>
          <w:szCs w:val="21"/>
        </w:rPr>
        <w:t>二○一八年十二月</w:t>
      </w:r>
      <w:r w:rsidR="003A68EE">
        <w:rPr>
          <w:rFonts w:ascii="宋体" w:eastAsia="宋体" w:hAnsi="宋体" w:cs="Calibri" w:hint="eastAsia"/>
          <w:color w:val="000000"/>
          <w:kern w:val="0"/>
          <w:szCs w:val="21"/>
        </w:rPr>
        <w:t>十</w:t>
      </w:r>
      <w:r w:rsidR="006A625B">
        <w:rPr>
          <w:rFonts w:ascii="宋体" w:eastAsia="宋体" w:hAnsi="宋体" w:cs="Calibri" w:hint="eastAsia"/>
          <w:color w:val="000000"/>
          <w:kern w:val="0"/>
          <w:szCs w:val="21"/>
        </w:rPr>
        <w:t>一</w:t>
      </w:r>
      <w:r>
        <w:rPr>
          <w:rFonts w:ascii="宋体" w:eastAsia="宋体" w:hAnsi="宋体" w:cs="Calibri" w:hint="eastAsia"/>
          <w:color w:val="000000"/>
          <w:kern w:val="0"/>
          <w:szCs w:val="21"/>
        </w:rPr>
        <w:t>日</w:t>
      </w:r>
      <w:bookmarkStart w:id="0" w:name="_GoBack"/>
      <w:bookmarkEnd w:id="0"/>
    </w:p>
    <w:sectPr w:rsidR="00EB4AE0" w:rsidSect="00EB4AE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4E8E" w:rsidRDefault="00C34E8E" w:rsidP="00CA11A2">
      <w:r>
        <w:separator/>
      </w:r>
    </w:p>
  </w:endnote>
  <w:endnote w:type="continuationSeparator" w:id="0">
    <w:p w:rsidR="00C34E8E" w:rsidRDefault="00C34E8E" w:rsidP="00CA11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4E8E" w:rsidRDefault="00C34E8E" w:rsidP="00CA11A2">
      <w:r>
        <w:separator/>
      </w:r>
    </w:p>
  </w:footnote>
  <w:footnote w:type="continuationSeparator" w:id="0">
    <w:p w:rsidR="00C34E8E" w:rsidRDefault="00C34E8E" w:rsidP="00CA11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F0FF9"/>
    <w:rsid w:val="000063A6"/>
    <w:rsid w:val="00036567"/>
    <w:rsid w:val="0005325C"/>
    <w:rsid w:val="00053447"/>
    <w:rsid w:val="000C2998"/>
    <w:rsid w:val="000D3390"/>
    <w:rsid w:val="000D435D"/>
    <w:rsid w:val="000F55D3"/>
    <w:rsid w:val="001012B4"/>
    <w:rsid w:val="001128C8"/>
    <w:rsid w:val="00147917"/>
    <w:rsid w:val="00153B98"/>
    <w:rsid w:val="00153D29"/>
    <w:rsid w:val="00161C3C"/>
    <w:rsid w:val="0016440B"/>
    <w:rsid w:val="00185799"/>
    <w:rsid w:val="00192984"/>
    <w:rsid w:val="001A08E9"/>
    <w:rsid w:val="001F5024"/>
    <w:rsid w:val="001F7AF7"/>
    <w:rsid w:val="00211961"/>
    <w:rsid w:val="00222108"/>
    <w:rsid w:val="002462AE"/>
    <w:rsid w:val="00273DA4"/>
    <w:rsid w:val="003157F5"/>
    <w:rsid w:val="003158A0"/>
    <w:rsid w:val="0032369D"/>
    <w:rsid w:val="00382A5D"/>
    <w:rsid w:val="003A68EE"/>
    <w:rsid w:val="0041332B"/>
    <w:rsid w:val="00431B29"/>
    <w:rsid w:val="00432895"/>
    <w:rsid w:val="00493B0F"/>
    <w:rsid w:val="004E6304"/>
    <w:rsid w:val="00506369"/>
    <w:rsid w:val="00510AEC"/>
    <w:rsid w:val="00540EA3"/>
    <w:rsid w:val="00564E78"/>
    <w:rsid w:val="00595635"/>
    <w:rsid w:val="005A2A8F"/>
    <w:rsid w:val="005B4903"/>
    <w:rsid w:val="005F0FF9"/>
    <w:rsid w:val="00605673"/>
    <w:rsid w:val="00626DF6"/>
    <w:rsid w:val="0065319A"/>
    <w:rsid w:val="00692B3F"/>
    <w:rsid w:val="006A0E1E"/>
    <w:rsid w:val="006A625B"/>
    <w:rsid w:val="006A79EC"/>
    <w:rsid w:val="00782179"/>
    <w:rsid w:val="007A64F1"/>
    <w:rsid w:val="007C6EB5"/>
    <w:rsid w:val="007E429E"/>
    <w:rsid w:val="007F0B92"/>
    <w:rsid w:val="007F1B88"/>
    <w:rsid w:val="00850F93"/>
    <w:rsid w:val="00862A8E"/>
    <w:rsid w:val="00881E6A"/>
    <w:rsid w:val="008C71A2"/>
    <w:rsid w:val="008F297F"/>
    <w:rsid w:val="00917F6C"/>
    <w:rsid w:val="0092733B"/>
    <w:rsid w:val="00A066C7"/>
    <w:rsid w:val="00A1468E"/>
    <w:rsid w:val="00A4467A"/>
    <w:rsid w:val="00A47EEB"/>
    <w:rsid w:val="00A76ED2"/>
    <w:rsid w:val="00A81542"/>
    <w:rsid w:val="00AA7BAC"/>
    <w:rsid w:val="00AB09DE"/>
    <w:rsid w:val="00AB46EA"/>
    <w:rsid w:val="00AC0F9B"/>
    <w:rsid w:val="00AF5292"/>
    <w:rsid w:val="00B013AF"/>
    <w:rsid w:val="00B103C3"/>
    <w:rsid w:val="00B4754E"/>
    <w:rsid w:val="00BA101F"/>
    <w:rsid w:val="00BB2B6F"/>
    <w:rsid w:val="00BC14D6"/>
    <w:rsid w:val="00BD2690"/>
    <w:rsid w:val="00BF0517"/>
    <w:rsid w:val="00C34E8E"/>
    <w:rsid w:val="00C4239D"/>
    <w:rsid w:val="00C62665"/>
    <w:rsid w:val="00C92118"/>
    <w:rsid w:val="00CA11A2"/>
    <w:rsid w:val="00CA4CFA"/>
    <w:rsid w:val="00CA6C4F"/>
    <w:rsid w:val="00CB23F9"/>
    <w:rsid w:val="00CF041F"/>
    <w:rsid w:val="00D129AB"/>
    <w:rsid w:val="00D203DF"/>
    <w:rsid w:val="00D275D5"/>
    <w:rsid w:val="00D33650"/>
    <w:rsid w:val="00D77088"/>
    <w:rsid w:val="00D80774"/>
    <w:rsid w:val="00D969DF"/>
    <w:rsid w:val="00DC2D68"/>
    <w:rsid w:val="00DE5CC1"/>
    <w:rsid w:val="00DE77B3"/>
    <w:rsid w:val="00E12E40"/>
    <w:rsid w:val="00E4200A"/>
    <w:rsid w:val="00E83C85"/>
    <w:rsid w:val="00EB4AE0"/>
    <w:rsid w:val="00ED38AD"/>
    <w:rsid w:val="00F5032A"/>
    <w:rsid w:val="00F534D8"/>
    <w:rsid w:val="00F76845"/>
    <w:rsid w:val="00F86927"/>
    <w:rsid w:val="00FD0E25"/>
    <w:rsid w:val="00FD3084"/>
    <w:rsid w:val="00FE2B44"/>
    <w:rsid w:val="3F672502"/>
    <w:rsid w:val="42E46BA5"/>
    <w:rsid w:val="47A938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7D080EB-B6A2-47BC-BE88-81122155E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B4AE0"/>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sid w:val="00EB4AE0"/>
    <w:rPr>
      <w:b/>
      <w:bCs/>
    </w:rPr>
  </w:style>
  <w:style w:type="paragraph" w:styleId="a4">
    <w:name w:val="annotation text"/>
    <w:basedOn w:val="a"/>
    <w:link w:val="Char0"/>
    <w:uiPriority w:val="99"/>
    <w:semiHidden/>
    <w:unhideWhenUsed/>
    <w:qFormat/>
    <w:rsid w:val="00EB4AE0"/>
    <w:pPr>
      <w:jc w:val="left"/>
    </w:pPr>
  </w:style>
  <w:style w:type="paragraph" w:styleId="a5">
    <w:name w:val="Document Map"/>
    <w:basedOn w:val="a"/>
    <w:link w:val="Char1"/>
    <w:uiPriority w:val="99"/>
    <w:semiHidden/>
    <w:unhideWhenUsed/>
    <w:qFormat/>
    <w:rsid w:val="00EB4AE0"/>
    <w:rPr>
      <w:rFonts w:ascii="宋体" w:eastAsia="宋体"/>
      <w:sz w:val="18"/>
      <w:szCs w:val="18"/>
    </w:rPr>
  </w:style>
  <w:style w:type="paragraph" w:styleId="a6">
    <w:name w:val="Balloon Text"/>
    <w:basedOn w:val="a"/>
    <w:link w:val="Char2"/>
    <w:uiPriority w:val="99"/>
    <w:semiHidden/>
    <w:unhideWhenUsed/>
    <w:qFormat/>
    <w:rsid w:val="00EB4AE0"/>
    <w:rPr>
      <w:sz w:val="18"/>
      <w:szCs w:val="18"/>
    </w:rPr>
  </w:style>
  <w:style w:type="paragraph" w:styleId="a7">
    <w:name w:val="footer"/>
    <w:basedOn w:val="a"/>
    <w:link w:val="Char3"/>
    <w:uiPriority w:val="99"/>
    <w:unhideWhenUsed/>
    <w:qFormat/>
    <w:rsid w:val="00EB4AE0"/>
    <w:pPr>
      <w:tabs>
        <w:tab w:val="center" w:pos="4153"/>
        <w:tab w:val="right" w:pos="8306"/>
      </w:tabs>
      <w:snapToGrid w:val="0"/>
      <w:jc w:val="left"/>
    </w:pPr>
    <w:rPr>
      <w:sz w:val="18"/>
      <w:szCs w:val="18"/>
    </w:rPr>
  </w:style>
  <w:style w:type="paragraph" w:styleId="a8">
    <w:name w:val="header"/>
    <w:basedOn w:val="a"/>
    <w:link w:val="Char4"/>
    <w:uiPriority w:val="99"/>
    <w:unhideWhenUsed/>
    <w:qFormat/>
    <w:rsid w:val="00EB4AE0"/>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EB4AE0"/>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EB4AE0"/>
    <w:rPr>
      <w:color w:val="0000FF"/>
      <w:u w:val="single"/>
    </w:rPr>
  </w:style>
  <w:style w:type="character" w:styleId="ab">
    <w:name w:val="annotation reference"/>
    <w:basedOn w:val="a0"/>
    <w:uiPriority w:val="99"/>
    <w:semiHidden/>
    <w:unhideWhenUsed/>
    <w:rsid w:val="00EB4AE0"/>
    <w:rPr>
      <w:sz w:val="21"/>
      <w:szCs w:val="21"/>
    </w:rPr>
  </w:style>
  <w:style w:type="paragraph" w:customStyle="1" w:styleId="source-date1">
    <w:name w:val="source-date1"/>
    <w:basedOn w:val="a"/>
    <w:rsid w:val="00EB4AE0"/>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EB4AE0"/>
  </w:style>
  <w:style w:type="character" w:customStyle="1" w:styleId="Char">
    <w:name w:val="批注主题 Char"/>
    <w:basedOn w:val="Char0"/>
    <w:link w:val="a3"/>
    <w:uiPriority w:val="99"/>
    <w:semiHidden/>
    <w:rsid w:val="00EB4AE0"/>
    <w:rPr>
      <w:b/>
      <w:bCs/>
    </w:rPr>
  </w:style>
  <w:style w:type="character" w:customStyle="1" w:styleId="Char2">
    <w:name w:val="批注框文本 Char"/>
    <w:basedOn w:val="a0"/>
    <w:link w:val="a6"/>
    <w:uiPriority w:val="99"/>
    <w:semiHidden/>
    <w:rsid w:val="00EB4AE0"/>
    <w:rPr>
      <w:sz w:val="18"/>
      <w:szCs w:val="18"/>
    </w:rPr>
  </w:style>
  <w:style w:type="character" w:customStyle="1" w:styleId="Char4">
    <w:name w:val="页眉 Char"/>
    <w:basedOn w:val="a0"/>
    <w:link w:val="a8"/>
    <w:uiPriority w:val="99"/>
    <w:rsid w:val="00EB4AE0"/>
    <w:rPr>
      <w:sz w:val="18"/>
      <w:szCs w:val="18"/>
    </w:rPr>
  </w:style>
  <w:style w:type="character" w:customStyle="1" w:styleId="Char3">
    <w:name w:val="页脚 Char"/>
    <w:basedOn w:val="a0"/>
    <w:link w:val="a7"/>
    <w:uiPriority w:val="99"/>
    <w:rsid w:val="00EB4AE0"/>
    <w:rPr>
      <w:sz w:val="18"/>
      <w:szCs w:val="18"/>
    </w:rPr>
  </w:style>
  <w:style w:type="character" w:customStyle="1" w:styleId="Char1">
    <w:name w:val="文档结构图 Char"/>
    <w:basedOn w:val="a0"/>
    <w:link w:val="a5"/>
    <w:uiPriority w:val="99"/>
    <w:semiHidden/>
    <w:qFormat/>
    <w:rsid w:val="00EB4AE0"/>
    <w:rPr>
      <w:rFonts w:ascii="宋体" w:eastAsia="宋体"/>
      <w:sz w:val="18"/>
      <w:szCs w:val="18"/>
    </w:rPr>
  </w:style>
  <w:style w:type="paragraph" w:customStyle="1" w:styleId="1">
    <w:name w:val="修订1"/>
    <w:hidden/>
    <w:uiPriority w:val="99"/>
    <w:unhideWhenUsed/>
    <w:rsid w:val="00EB4AE0"/>
    <w:rPr>
      <w:rFonts w:asciiTheme="minorHAnsi" w:eastAsiaTheme="minorEastAsia" w:hAnsiTheme="minorHAnsi" w:cstheme="minorBidi"/>
      <w:kern w:val="2"/>
      <w:sz w:val="21"/>
      <w:szCs w:val="22"/>
    </w:rPr>
  </w:style>
  <w:style w:type="character" w:customStyle="1" w:styleId="10">
    <w:name w:val="不明显强调1"/>
    <w:basedOn w:val="a0"/>
    <w:uiPriority w:val="19"/>
    <w:qFormat/>
    <w:rsid w:val="00EB4AE0"/>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A82DD4-B13C-49D4-BB74-8D2AE273F7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207</Words>
  <Characters>1183</Characters>
  <Application>Microsoft Office Word</Application>
  <DocSecurity>0</DocSecurity>
  <Lines>9</Lines>
  <Paragraphs>2</Paragraphs>
  <ScaleCrop>false</ScaleCrop>
  <Company>Microsoft</Company>
  <LinksUpToDate>false</LinksUpToDate>
  <CharactersWithSpaces>1388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luoqin</cp:lastModifiedBy>
  <cp:revision>52</cp:revision>
  <dcterms:created xsi:type="dcterms:W3CDTF">2018-04-27T06:01:00Z</dcterms:created>
  <dcterms:modified xsi:type="dcterms:W3CDTF">2018-12-10T08:58:00Z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