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ECF" w:rsidRDefault="00572ECF">
      <w:pPr>
        <w:tabs>
          <w:tab w:val="left" w:pos="6660"/>
        </w:tabs>
        <w:spacing w:line="360" w:lineRule="auto"/>
        <w:jc w:val="center"/>
        <w:rPr>
          <w:bCs/>
          <w:sz w:val="44"/>
        </w:rPr>
      </w:pPr>
    </w:p>
    <w:p w:rsidR="00572ECF" w:rsidRDefault="00572ECF">
      <w:pPr>
        <w:spacing w:line="360" w:lineRule="auto"/>
        <w:jc w:val="center"/>
        <w:rPr>
          <w:bCs/>
          <w:sz w:val="24"/>
        </w:rPr>
      </w:pPr>
    </w:p>
    <w:p w:rsidR="00572ECF" w:rsidRDefault="00572ECF">
      <w:pPr>
        <w:jc w:val="center"/>
        <w:rPr>
          <w:b/>
          <w:sz w:val="52"/>
        </w:rPr>
      </w:pPr>
      <w:bookmarkStart w:id="0" w:name="_GoBack"/>
      <w:bookmarkEnd w:id="0"/>
    </w:p>
    <w:p w:rsidR="00572ECF" w:rsidRDefault="00572ECF">
      <w:pPr>
        <w:rPr>
          <w:b/>
        </w:rPr>
      </w:pPr>
    </w:p>
    <w:p w:rsidR="00572ECF" w:rsidRDefault="00572ECF">
      <w:pPr>
        <w:jc w:val="center"/>
        <w:rPr>
          <w:b/>
          <w:sz w:val="52"/>
        </w:rPr>
      </w:pPr>
    </w:p>
    <w:p w:rsidR="00572ECF" w:rsidRDefault="00915AEA">
      <w:pPr>
        <w:snapToGrid w:val="0"/>
        <w:spacing w:line="360" w:lineRule="auto"/>
        <w:jc w:val="center"/>
        <w:rPr>
          <w:rFonts w:ascii="Arial" w:hAnsi="Arial" w:cs="Arial"/>
          <w:b/>
          <w:sz w:val="48"/>
          <w:szCs w:val="48"/>
        </w:rPr>
      </w:pPr>
      <w:bookmarkStart w:id="1" w:name="_Toc139992299"/>
      <w:bookmarkStart w:id="2" w:name="_Toc123701381"/>
      <w:bookmarkStart w:id="3" w:name="_Toc123112261"/>
      <w:bookmarkStart w:id="4" w:name="_Toc139991724"/>
      <w:bookmarkStart w:id="5" w:name="_Toc123112222"/>
      <w:r>
        <w:rPr>
          <w:rFonts w:ascii="Arial" w:hAnsi="Arial" w:cs="Arial" w:hint="eastAsia"/>
          <w:b/>
          <w:sz w:val="48"/>
          <w:szCs w:val="48"/>
        </w:rPr>
        <w:t>富荣富安债券型证券投资基金</w:t>
      </w:r>
      <w:bookmarkStart w:id="6" w:name="_Toc123701382"/>
      <w:bookmarkStart w:id="7" w:name="_Toc123112223"/>
      <w:bookmarkStart w:id="8" w:name="_Toc139991725"/>
      <w:bookmarkStart w:id="9" w:name="_Toc139992300"/>
      <w:bookmarkStart w:id="10" w:name="_Toc123112262"/>
      <w:bookmarkEnd w:id="1"/>
      <w:bookmarkEnd w:id="2"/>
      <w:bookmarkEnd w:id="3"/>
      <w:bookmarkEnd w:id="4"/>
      <w:bookmarkEnd w:id="5"/>
    </w:p>
    <w:bookmarkEnd w:id="6"/>
    <w:bookmarkEnd w:id="7"/>
    <w:bookmarkEnd w:id="8"/>
    <w:bookmarkEnd w:id="9"/>
    <w:bookmarkEnd w:id="10"/>
    <w:p w:rsidR="00572ECF" w:rsidRDefault="006B2E64">
      <w:pPr>
        <w:spacing w:line="360" w:lineRule="auto"/>
        <w:jc w:val="center"/>
        <w:rPr>
          <w:rFonts w:ascii="Arial Unicode MS" w:hAnsi="Arial Unicode MS" w:cs="Arial"/>
          <w:b/>
          <w:sz w:val="48"/>
          <w:szCs w:val="48"/>
        </w:rPr>
      </w:pPr>
      <w:r w:rsidRPr="00B2071A">
        <w:rPr>
          <w:rFonts w:ascii="Arial" w:hAnsi="Arial" w:cs="Arial" w:hint="eastAsia"/>
          <w:b/>
          <w:color w:val="000000" w:themeColor="text1"/>
          <w:sz w:val="48"/>
          <w:szCs w:val="48"/>
        </w:rPr>
        <w:t>更新的</w:t>
      </w:r>
      <w:r w:rsidR="00915AEA">
        <w:rPr>
          <w:rFonts w:ascii="Arial Unicode MS" w:hAnsi="Arial Unicode MS" w:cs="Arial"/>
          <w:b/>
          <w:sz w:val="48"/>
          <w:szCs w:val="48"/>
        </w:rPr>
        <w:t>招募说明书</w:t>
      </w:r>
    </w:p>
    <w:p w:rsidR="00572ECF" w:rsidRDefault="006B2E64">
      <w:pPr>
        <w:spacing w:line="360" w:lineRule="auto"/>
        <w:jc w:val="center"/>
        <w:rPr>
          <w:rFonts w:ascii="Arial Unicode MS" w:hAnsi="Arial Unicode MS" w:cs="Arial"/>
          <w:b/>
          <w:sz w:val="48"/>
          <w:szCs w:val="48"/>
        </w:rPr>
      </w:pPr>
      <w:r>
        <w:rPr>
          <w:rFonts w:ascii="Arial Unicode MS" w:hAnsi="Arial Unicode MS" w:cs="Arial" w:hint="eastAsia"/>
          <w:b/>
          <w:sz w:val="48"/>
          <w:szCs w:val="48"/>
        </w:rPr>
        <w:t>（</w:t>
      </w:r>
      <w:r w:rsidRPr="00B2071A">
        <w:rPr>
          <w:rFonts w:ascii="宋体" w:hAnsi="宋体" w:cs="Arial" w:hint="eastAsia"/>
          <w:b/>
          <w:sz w:val="48"/>
          <w:szCs w:val="48"/>
        </w:rPr>
        <w:t>2018年第1号</w:t>
      </w:r>
      <w:r>
        <w:rPr>
          <w:rFonts w:ascii="Arial Unicode MS" w:hAnsi="Arial Unicode MS" w:cs="Arial" w:hint="eastAsia"/>
          <w:b/>
          <w:sz w:val="48"/>
          <w:szCs w:val="48"/>
        </w:rPr>
        <w:t>）</w:t>
      </w:r>
    </w:p>
    <w:p w:rsidR="00572ECF" w:rsidRDefault="00572ECF">
      <w:pPr>
        <w:jc w:val="center"/>
        <w:rPr>
          <w:b/>
          <w:sz w:val="52"/>
        </w:rPr>
      </w:pPr>
    </w:p>
    <w:p w:rsidR="00572ECF" w:rsidRDefault="00572ECF">
      <w:pPr>
        <w:jc w:val="center"/>
        <w:rPr>
          <w:b/>
          <w:sz w:val="52"/>
        </w:rPr>
      </w:pPr>
    </w:p>
    <w:p w:rsidR="00572ECF" w:rsidRDefault="00572ECF">
      <w:pPr>
        <w:jc w:val="center"/>
        <w:rPr>
          <w:b/>
          <w:sz w:val="52"/>
        </w:rPr>
      </w:pPr>
    </w:p>
    <w:p w:rsidR="00572ECF" w:rsidRDefault="00572ECF">
      <w:pPr>
        <w:jc w:val="center"/>
        <w:rPr>
          <w:b/>
          <w:sz w:val="52"/>
        </w:rPr>
      </w:pPr>
    </w:p>
    <w:p w:rsidR="00572ECF" w:rsidRDefault="00572ECF">
      <w:pPr>
        <w:rPr>
          <w:b/>
        </w:rPr>
      </w:pPr>
    </w:p>
    <w:p w:rsidR="00572ECF" w:rsidRDefault="00915AEA" w:rsidP="00B2071A">
      <w:pPr>
        <w:ind w:firstLineChars="150" w:firstLine="542"/>
        <w:rPr>
          <w:b/>
          <w:sz w:val="36"/>
        </w:rPr>
      </w:pPr>
      <w:bookmarkStart w:id="11" w:name="_Toc139992301"/>
      <w:bookmarkStart w:id="12" w:name="_Toc123112263"/>
      <w:bookmarkStart w:id="13" w:name="_Toc139991726"/>
      <w:bookmarkStart w:id="14" w:name="_Toc123112224"/>
      <w:bookmarkStart w:id="15" w:name="_Toc123701383"/>
      <w:r>
        <w:rPr>
          <w:b/>
          <w:sz w:val="36"/>
        </w:rPr>
        <w:t>基金管理人：</w:t>
      </w:r>
      <w:bookmarkEnd w:id="11"/>
      <w:bookmarkEnd w:id="12"/>
      <w:bookmarkEnd w:id="13"/>
      <w:bookmarkEnd w:id="14"/>
      <w:bookmarkEnd w:id="15"/>
      <w:r>
        <w:rPr>
          <w:rFonts w:hint="eastAsia"/>
          <w:b/>
          <w:sz w:val="36"/>
        </w:rPr>
        <w:t>富荣基金管理有限公司</w:t>
      </w:r>
      <w:r>
        <w:rPr>
          <w:b/>
          <w:sz w:val="36"/>
        </w:rPr>
        <w:t xml:space="preserve">    </w:t>
      </w:r>
    </w:p>
    <w:p w:rsidR="00572ECF" w:rsidRDefault="006B2E64">
      <w:pPr>
        <w:jc w:val="center"/>
        <w:rPr>
          <w:b/>
          <w:sz w:val="36"/>
        </w:rPr>
      </w:pPr>
      <w:bookmarkStart w:id="16" w:name="_Toc123112225"/>
      <w:bookmarkStart w:id="17" w:name="_Toc123701384"/>
      <w:bookmarkStart w:id="18" w:name="_Toc123112264"/>
      <w:bookmarkStart w:id="19" w:name="_Toc139991727"/>
      <w:bookmarkStart w:id="20" w:name="_Toc139992302"/>
      <w:r>
        <w:rPr>
          <w:rFonts w:hint="eastAsia"/>
          <w:b/>
          <w:sz w:val="36"/>
        </w:rPr>
        <w:t xml:space="preserve"> </w:t>
      </w:r>
      <w:r w:rsidR="00915AEA">
        <w:rPr>
          <w:b/>
          <w:sz w:val="36"/>
        </w:rPr>
        <w:t>基金托管人：</w:t>
      </w:r>
      <w:r w:rsidR="00915AEA">
        <w:rPr>
          <w:rFonts w:hint="eastAsia"/>
          <w:b/>
          <w:sz w:val="36"/>
        </w:rPr>
        <w:t>广州农村商业银行股份有限公司</w:t>
      </w:r>
      <w:r w:rsidR="00915AEA">
        <w:rPr>
          <w:b/>
          <w:sz w:val="36"/>
        </w:rPr>
        <w:t xml:space="preserve">          </w:t>
      </w:r>
      <w:bookmarkEnd w:id="16"/>
      <w:bookmarkEnd w:id="17"/>
      <w:bookmarkEnd w:id="18"/>
      <w:bookmarkEnd w:id="19"/>
      <w:bookmarkEnd w:id="20"/>
      <w:r w:rsidR="00915AEA">
        <w:rPr>
          <w:b/>
          <w:sz w:val="36"/>
        </w:rPr>
        <w:t xml:space="preserve"> </w:t>
      </w:r>
    </w:p>
    <w:p w:rsidR="00572ECF" w:rsidRDefault="00572ECF">
      <w:pPr>
        <w:jc w:val="center"/>
        <w:rPr>
          <w:bCs/>
          <w:sz w:val="32"/>
        </w:rPr>
      </w:pPr>
    </w:p>
    <w:p w:rsidR="00572ECF" w:rsidRPr="006B2E64" w:rsidRDefault="00572ECF">
      <w:pPr>
        <w:jc w:val="center"/>
        <w:rPr>
          <w:bCs/>
          <w:sz w:val="28"/>
        </w:rPr>
      </w:pPr>
    </w:p>
    <w:p w:rsidR="00572ECF" w:rsidRDefault="00572ECF">
      <w:pPr>
        <w:jc w:val="center"/>
        <w:rPr>
          <w:rFonts w:ascii="宋体"/>
          <w:b/>
          <w:bCs/>
          <w:sz w:val="30"/>
        </w:rPr>
      </w:pPr>
    </w:p>
    <w:p w:rsidR="00B2071A" w:rsidRDefault="00B2071A">
      <w:pPr>
        <w:jc w:val="center"/>
        <w:rPr>
          <w:rFonts w:ascii="宋体"/>
          <w:b/>
          <w:bCs/>
          <w:sz w:val="30"/>
        </w:rPr>
      </w:pPr>
    </w:p>
    <w:p w:rsidR="00B2071A" w:rsidRDefault="00B2071A">
      <w:pPr>
        <w:jc w:val="center"/>
        <w:rPr>
          <w:rFonts w:ascii="宋体"/>
          <w:b/>
          <w:bCs/>
          <w:sz w:val="30"/>
        </w:rPr>
      </w:pPr>
    </w:p>
    <w:p w:rsidR="00B2071A" w:rsidRDefault="00B2071A">
      <w:pPr>
        <w:jc w:val="center"/>
        <w:rPr>
          <w:rFonts w:ascii="宋体"/>
          <w:b/>
          <w:bCs/>
          <w:sz w:val="30"/>
        </w:rPr>
      </w:pPr>
    </w:p>
    <w:p w:rsidR="00B2071A" w:rsidRDefault="00B2071A">
      <w:pPr>
        <w:jc w:val="center"/>
        <w:rPr>
          <w:rFonts w:ascii="宋体"/>
          <w:b/>
          <w:bCs/>
          <w:sz w:val="30"/>
        </w:rPr>
      </w:pPr>
    </w:p>
    <w:p w:rsidR="00B2071A" w:rsidRDefault="00B2071A">
      <w:pPr>
        <w:jc w:val="center"/>
        <w:rPr>
          <w:rFonts w:ascii="宋体"/>
          <w:b/>
          <w:bCs/>
          <w:sz w:val="30"/>
        </w:rPr>
      </w:pPr>
    </w:p>
    <w:p w:rsidR="00B2071A" w:rsidRDefault="00B2071A">
      <w:pPr>
        <w:jc w:val="center"/>
        <w:rPr>
          <w:rFonts w:ascii="宋体"/>
          <w:b/>
          <w:bCs/>
          <w:sz w:val="30"/>
        </w:rPr>
      </w:pPr>
    </w:p>
    <w:p w:rsidR="00B2071A" w:rsidRDefault="00B2071A">
      <w:pPr>
        <w:jc w:val="center"/>
        <w:rPr>
          <w:rFonts w:ascii="宋体"/>
          <w:b/>
          <w:bCs/>
          <w:sz w:val="30"/>
        </w:rPr>
      </w:pPr>
    </w:p>
    <w:p w:rsidR="00B2071A" w:rsidRDefault="00B2071A">
      <w:pPr>
        <w:jc w:val="center"/>
        <w:rPr>
          <w:rFonts w:ascii="宋体"/>
          <w:b/>
          <w:bCs/>
          <w:sz w:val="30"/>
        </w:rPr>
      </w:pPr>
    </w:p>
    <w:p w:rsidR="00B2071A" w:rsidRDefault="00B2071A">
      <w:pPr>
        <w:jc w:val="center"/>
        <w:rPr>
          <w:rFonts w:ascii="宋体"/>
          <w:b/>
          <w:bCs/>
          <w:sz w:val="30"/>
        </w:rPr>
      </w:pPr>
    </w:p>
    <w:p w:rsidR="00572ECF" w:rsidRDefault="00572ECF">
      <w:pPr>
        <w:jc w:val="center"/>
        <w:rPr>
          <w:rFonts w:ascii="宋体"/>
          <w:b/>
          <w:bCs/>
          <w:sz w:val="30"/>
        </w:rPr>
      </w:pPr>
    </w:p>
    <w:p w:rsidR="00572ECF" w:rsidRDefault="00915AEA" w:rsidP="00B2071A">
      <w:pPr>
        <w:pStyle w:val="1"/>
        <w:snapToGrid w:val="0"/>
        <w:spacing w:before="0" w:after="0" w:line="360" w:lineRule="auto"/>
        <w:rPr>
          <w:rFonts w:ascii="Arial Unicode MS" w:eastAsia="宋体" w:hAnsi="Arial Unicode MS" w:cs="Arial"/>
          <w:b/>
          <w:bCs/>
          <w:sz w:val="30"/>
          <w:szCs w:val="30"/>
        </w:rPr>
      </w:pPr>
      <w:bookmarkStart w:id="21" w:name="_Toc471910197"/>
      <w:bookmarkStart w:id="22" w:name="_Toc527465189"/>
      <w:bookmarkStart w:id="23" w:name="_Toc527465991"/>
      <w:r>
        <w:rPr>
          <w:rFonts w:ascii="Arial Unicode MS" w:eastAsia="宋体" w:hAnsi="Arial Unicode MS" w:cs="Arial" w:hint="eastAsia"/>
          <w:b/>
          <w:bCs/>
          <w:sz w:val="30"/>
          <w:szCs w:val="30"/>
        </w:rPr>
        <w:lastRenderedPageBreak/>
        <w:t>【重要提示】</w:t>
      </w:r>
      <w:bookmarkEnd w:id="21"/>
      <w:bookmarkEnd w:id="22"/>
      <w:bookmarkEnd w:id="23"/>
    </w:p>
    <w:p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1、本基金根据2017年</w:t>
      </w:r>
      <w:r>
        <w:rPr>
          <w:rFonts w:asciiTheme="minorEastAsia" w:eastAsiaTheme="minorEastAsia" w:hAnsiTheme="minorEastAsia" w:cs="Arial" w:hint="eastAsia"/>
          <w:sz w:val="24"/>
          <w:szCs w:val="24"/>
        </w:rPr>
        <w:t>7</w:t>
      </w:r>
      <w:r>
        <w:rPr>
          <w:rFonts w:asciiTheme="minorEastAsia" w:eastAsiaTheme="minorEastAsia" w:hAnsiTheme="minorEastAsia" w:cs="Arial"/>
          <w:sz w:val="24"/>
          <w:szCs w:val="24"/>
        </w:rPr>
        <w:t>月5日中国证券监督管理委员会（以下简称</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中国证监会</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）《关于</w:t>
      </w:r>
      <w:r>
        <w:rPr>
          <w:rFonts w:asciiTheme="minorEastAsia" w:eastAsiaTheme="minorEastAsia" w:hAnsiTheme="minorEastAsia" w:cs="Arial" w:hint="eastAsia"/>
          <w:sz w:val="24"/>
          <w:szCs w:val="24"/>
        </w:rPr>
        <w:t>准予</w:t>
      </w:r>
      <w:r>
        <w:rPr>
          <w:rFonts w:asciiTheme="minorEastAsia" w:eastAsiaTheme="minorEastAsia" w:hAnsiTheme="minorEastAsia" w:cs="Arial"/>
          <w:sz w:val="24"/>
          <w:szCs w:val="24"/>
        </w:rPr>
        <w:t>富荣富</w:t>
      </w:r>
      <w:r>
        <w:rPr>
          <w:rFonts w:asciiTheme="minorEastAsia" w:eastAsiaTheme="minorEastAsia" w:hAnsiTheme="minorEastAsia" w:cs="Arial" w:hint="eastAsia"/>
          <w:sz w:val="24"/>
          <w:szCs w:val="24"/>
        </w:rPr>
        <w:t>安</w:t>
      </w:r>
      <w:r>
        <w:rPr>
          <w:rFonts w:asciiTheme="minorEastAsia" w:eastAsiaTheme="minorEastAsia" w:hAnsiTheme="minorEastAsia" w:cs="Arial"/>
          <w:sz w:val="24"/>
          <w:szCs w:val="24"/>
        </w:rPr>
        <w:t>债券型证券投资基金</w:t>
      </w:r>
      <w:r>
        <w:rPr>
          <w:rFonts w:asciiTheme="minorEastAsia" w:eastAsiaTheme="minorEastAsia" w:hAnsiTheme="minorEastAsia" w:cs="Arial" w:hint="eastAsia"/>
          <w:sz w:val="24"/>
          <w:szCs w:val="24"/>
        </w:rPr>
        <w:t>注册</w:t>
      </w:r>
      <w:r>
        <w:rPr>
          <w:rFonts w:asciiTheme="minorEastAsia" w:eastAsiaTheme="minorEastAsia" w:hAnsiTheme="minorEastAsia" w:cs="Arial"/>
          <w:sz w:val="24"/>
          <w:szCs w:val="24"/>
        </w:rPr>
        <w:t>的批复》（证监许可[2017]1142</w:t>
      </w:r>
      <w:r>
        <w:rPr>
          <w:rFonts w:asciiTheme="minorEastAsia" w:eastAsiaTheme="minorEastAsia" w:hAnsiTheme="minorEastAsia" w:cs="Arial" w:hint="eastAsia"/>
          <w:sz w:val="24"/>
          <w:szCs w:val="24"/>
        </w:rPr>
        <w:t>号</w:t>
      </w:r>
      <w:r>
        <w:rPr>
          <w:rFonts w:asciiTheme="minorEastAsia" w:eastAsiaTheme="minorEastAsia" w:hAnsiTheme="minorEastAsia" w:cs="Arial"/>
          <w:sz w:val="24"/>
          <w:szCs w:val="24"/>
        </w:rPr>
        <w:t>）进行募集。</w:t>
      </w:r>
      <w:r w:rsidR="001072F0">
        <w:rPr>
          <w:rFonts w:asciiTheme="minorEastAsia" w:eastAsiaTheme="minorEastAsia" w:hAnsiTheme="minorEastAsia" w:cs="Arial"/>
          <w:sz w:val="24"/>
          <w:szCs w:val="24"/>
        </w:rPr>
        <w:t>本基金于2018年4月3日正式生效。</w:t>
      </w:r>
    </w:p>
    <w:p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2、基金管理人保证招募说明书的内容真实、准确、完整。本招募说明书经中国证监会注册，但中国证监会对本基金募集的注册，并不表明其对本基金的</w:t>
      </w:r>
      <w:r>
        <w:rPr>
          <w:rFonts w:asciiTheme="minorEastAsia" w:eastAsiaTheme="minorEastAsia" w:hAnsiTheme="minorEastAsia" w:cs="Arial" w:hint="eastAsia"/>
          <w:sz w:val="24"/>
          <w:szCs w:val="24"/>
        </w:rPr>
        <w:t>收益、</w:t>
      </w:r>
      <w:r>
        <w:rPr>
          <w:rFonts w:asciiTheme="minorEastAsia" w:eastAsiaTheme="minorEastAsia" w:hAnsiTheme="minorEastAsia" w:cs="Arial"/>
          <w:sz w:val="24"/>
          <w:szCs w:val="24"/>
        </w:rPr>
        <w:t>投资价值和市场前景</w:t>
      </w:r>
      <w:proofErr w:type="gramStart"/>
      <w:r>
        <w:rPr>
          <w:rFonts w:asciiTheme="minorEastAsia" w:eastAsiaTheme="minorEastAsia" w:hAnsiTheme="minorEastAsia" w:cs="Arial"/>
          <w:sz w:val="24"/>
          <w:szCs w:val="24"/>
        </w:rPr>
        <w:t>作出</w:t>
      </w:r>
      <w:proofErr w:type="gramEnd"/>
      <w:r>
        <w:rPr>
          <w:rFonts w:asciiTheme="minorEastAsia" w:eastAsiaTheme="minorEastAsia" w:hAnsiTheme="minorEastAsia" w:cs="Arial"/>
          <w:sz w:val="24"/>
          <w:szCs w:val="24"/>
        </w:rPr>
        <w:t>实质性判断或保证，也不表明投资于本基金没有风险。</w:t>
      </w:r>
    </w:p>
    <w:p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asciiTheme="minorEastAsia" w:eastAsiaTheme="minorEastAsia" w:hAnsiTheme="minorEastAsia" w:cs="Arial"/>
          <w:sz w:val="24"/>
          <w:szCs w:val="24"/>
        </w:rPr>
        <w:t>作出</w:t>
      </w:r>
      <w:proofErr w:type="gramEnd"/>
      <w:r>
        <w:rPr>
          <w:rFonts w:asciiTheme="minorEastAsia" w:eastAsiaTheme="minorEastAsia" w:hAnsiTheme="minorEastAsia" w:cs="Arial"/>
          <w:sz w:val="24"/>
          <w:szCs w:val="24"/>
        </w:rPr>
        <w:t>独立决策。基金管理人提醒投资者基金投资的</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买者自负</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原则，在投资者</w:t>
      </w:r>
      <w:proofErr w:type="gramStart"/>
      <w:r>
        <w:rPr>
          <w:rFonts w:asciiTheme="minorEastAsia" w:eastAsiaTheme="minorEastAsia" w:hAnsiTheme="minorEastAsia" w:cs="Arial"/>
          <w:sz w:val="24"/>
          <w:szCs w:val="24"/>
        </w:rPr>
        <w:t>作出</w:t>
      </w:r>
      <w:proofErr w:type="gramEnd"/>
      <w:r>
        <w:rPr>
          <w:rFonts w:asciiTheme="minorEastAsia" w:eastAsiaTheme="minorEastAsia" w:hAnsiTheme="minorEastAsia" w:cs="Arial"/>
          <w:sz w:val="24"/>
          <w:szCs w:val="24"/>
        </w:rPr>
        <w:t>投资决策后，基金运营状况与基金净值变化导致的投资风险，由投资者自行负担。</w:t>
      </w:r>
    </w:p>
    <w:p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572ECF" w:rsidRDefault="00915AEA">
      <w:pPr>
        <w:autoSpaceDE w:val="0"/>
        <w:autoSpaceDN w:val="0"/>
        <w:adjustRightInd w:val="0"/>
        <w:snapToGrid w:val="0"/>
        <w:spacing w:line="360" w:lineRule="auto"/>
        <w:ind w:firstLineChars="250" w:firstLine="600"/>
        <w:rPr>
          <w:rFonts w:asciiTheme="minorEastAsia" w:eastAsiaTheme="minorEastAsia" w:hAnsiTheme="minorEastAsia" w:cs="Arial"/>
          <w:sz w:val="24"/>
          <w:szCs w:val="24"/>
        </w:rPr>
      </w:pPr>
      <w:r>
        <w:rPr>
          <w:rFonts w:asciiTheme="minorEastAsia" w:eastAsiaTheme="minorEastAsia" w:hAnsiTheme="minorEastAsia" w:cs="Arial"/>
          <w:sz w:val="24"/>
          <w:szCs w:val="24"/>
        </w:rPr>
        <w:t>本基金投资中小企业私募债</w:t>
      </w:r>
      <w:r>
        <w:rPr>
          <w:rFonts w:asciiTheme="minorEastAsia" w:eastAsiaTheme="minorEastAsia" w:hAnsiTheme="minorEastAsia" w:cs="Arial" w:hint="eastAsia"/>
          <w:sz w:val="24"/>
          <w:szCs w:val="24"/>
        </w:rPr>
        <w:t>券</w:t>
      </w:r>
      <w:r>
        <w:rPr>
          <w:rFonts w:asciiTheme="minorEastAsia" w:eastAsiaTheme="minorEastAsia" w:hAnsiTheme="minorEastAsia" w:cs="Arial"/>
          <w:sz w:val="24"/>
          <w:szCs w:val="24"/>
        </w:rPr>
        <w:t>，中小企业私募债</w:t>
      </w:r>
      <w:r>
        <w:rPr>
          <w:rFonts w:asciiTheme="minorEastAsia" w:eastAsiaTheme="minorEastAsia" w:hAnsiTheme="minorEastAsia" w:cs="Arial" w:hint="eastAsia"/>
          <w:sz w:val="24"/>
          <w:szCs w:val="24"/>
        </w:rPr>
        <w:t>券</w:t>
      </w:r>
      <w:r>
        <w:rPr>
          <w:rFonts w:asciiTheme="minorEastAsia" w:eastAsiaTheme="minorEastAsia" w:hAnsiTheme="minorEastAsia" w:cs="Arial"/>
          <w:sz w:val="24"/>
          <w:szCs w:val="24"/>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Pr>
          <w:rFonts w:asciiTheme="minorEastAsia" w:eastAsiaTheme="minorEastAsia" w:hAnsiTheme="minorEastAsia" w:cs="Arial" w:hint="eastAsia"/>
          <w:sz w:val="24"/>
          <w:szCs w:val="24"/>
        </w:rPr>
        <w:t>券</w:t>
      </w:r>
      <w:r>
        <w:rPr>
          <w:rFonts w:asciiTheme="minorEastAsia" w:eastAsiaTheme="minorEastAsia" w:hAnsiTheme="minorEastAsia" w:cs="Arial"/>
          <w:sz w:val="24"/>
          <w:szCs w:val="24"/>
        </w:rPr>
        <w:t>，由此可能给基金净值带来更大的负面影响和损失。</w:t>
      </w:r>
    </w:p>
    <w:p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bCs/>
          <w:sz w:val="24"/>
          <w:szCs w:val="24"/>
        </w:rPr>
        <w:t>本基金为债券型基金，预期收益和预期风险高于货币市场基金，但低于混合型基金、股票型基金，属于中低风险</w:t>
      </w:r>
      <w:r>
        <w:rPr>
          <w:rFonts w:asciiTheme="minorEastAsia" w:eastAsiaTheme="minorEastAsia" w:hAnsiTheme="minorEastAsia" w:cs="Arial"/>
          <w:bCs/>
          <w:sz w:val="24"/>
          <w:szCs w:val="24"/>
        </w:rPr>
        <w:t>/收益的产品。</w:t>
      </w:r>
    </w:p>
    <w:p w:rsidR="00572ECF" w:rsidRDefault="00915AEA">
      <w:pPr>
        <w:adjustRightInd w:val="0"/>
        <w:snapToGrid w:val="0"/>
        <w:spacing w:line="360" w:lineRule="auto"/>
        <w:ind w:firstLineChars="200" w:firstLine="480"/>
        <w:rPr>
          <w:bCs/>
          <w:sz w:val="24"/>
          <w:szCs w:val="21"/>
        </w:rPr>
      </w:pPr>
      <w:r>
        <w:rPr>
          <w:rFonts w:asciiTheme="minorEastAsia" w:eastAsiaTheme="minorEastAsia" w:hAnsiTheme="minorEastAsia" w:cs="Arial"/>
          <w:sz w:val="24"/>
          <w:szCs w:val="24"/>
        </w:rPr>
        <w:t>6、</w:t>
      </w:r>
      <w:r>
        <w:rPr>
          <w:rFonts w:hint="eastAsia"/>
          <w:bCs/>
          <w:sz w:val="24"/>
          <w:szCs w:val="21"/>
        </w:rPr>
        <w:t>本基金的投资范围为具有良好流动性的金融</w:t>
      </w:r>
      <w:r>
        <w:rPr>
          <w:bCs/>
          <w:sz w:val="24"/>
          <w:szCs w:val="21"/>
        </w:rPr>
        <w:t>工具</w:t>
      </w:r>
      <w:r>
        <w:rPr>
          <w:rFonts w:hint="eastAsia"/>
          <w:bCs/>
          <w:sz w:val="24"/>
          <w:szCs w:val="21"/>
        </w:rPr>
        <w:t>，包括国内依法发行上市的国债、央行票据、地方政府债、金融债、次级债、企业债、短期融资</w:t>
      </w:r>
      <w:proofErr w:type="gramStart"/>
      <w:r>
        <w:rPr>
          <w:rFonts w:hint="eastAsia"/>
          <w:bCs/>
          <w:sz w:val="24"/>
          <w:szCs w:val="21"/>
        </w:rPr>
        <w:t>券</w:t>
      </w:r>
      <w:proofErr w:type="gramEnd"/>
      <w:r>
        <w:rPr>
          <w:rFonts w:hint="eastAsia"/>
          <w:bCs/>
          <w:sz w:val="24"/>
          <w:szCs w:val="21"/>
        </w:rPr>
        <w:t>、中期票据、公司债、可转换债券（</w:t>
      </w:r>
      <w:proofErr w:type="gramStart"/>
      <w:r>
        <w:rPr>
          <w:rFonts w:hint="eastAsia"/>
          <w:bCs/>
          <w:sz w:val="24"/>
          <w:szCs w:val="21"/>
        </w:rPr>
        <w:t>含可分离</w:t>
      </w:r>
      <w:proofErr w:type="gramEnd"/>
      <w:r>
        <w:rPr>
          <w:rFonts w:hint="eastAsia"/>
          <w:bCs/>
          <w:sz w:val="24"/>
          <w:szCs w:val="21"/>
        </w:rPr>
        <w:t>型可转换债券）、可交换债券、证券公</w:t>
      </w:r>
      <w:r>
        <w:rPr>
          <w:rFonts w:hint="eastAsia"/>
          <w:bCs/>
          <w:sz w:val="24"/>
          <w:szCs w:val="21"/>
        </w:rPr>
        <w:lastRenderedPageBreak/>
        <w:t>司短期公司债券、中小企业私募债、资产支持证券、债券回购、银行存款、同业存单、股票（包括创业板、中小板以及其他依法发行上市的股票）、权证、国债期货以及法律法规或中国证监会允许基金投资的其他金融工具。</w:t>
      </w:r>
    </w:p>
    <w:p w:rsidR="00572ECF" w:rsidRDefault="00915AEA">
      <w:pPr>
        <w:adjustRightInd w:val="0"/>
        <w:snapToGrid w:val="0"/>
        <w:spacing w:line="360" w:lineRule="auto"/>
        <w:ind w:firstLineChars="200" w:firstLine="480"/>
        <w:rPr>
          <w:bCs/>
          <w:sz w:val="24"/>
          <w:szCs w:val="21"/>
        </w:rPr>
      </w:pP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基金的投资组合比例为：</w:t>
      </w:r>
    </w:p>
    <w:p w:rsidR="00572ECF" w:rsidRDefault="00915AEA">
      <w:pPr>
        <w:adjustRightInd w:val="0"/>
        <w:snapToGrid w:val="0"/>
        <w:spacing w:line="360" w:lineRule="auto"/>
        <w:ind w:firstLineChars="200" w:firstLine="480"/>
        <w:rPr>
          <w:bCs/>
          <w:sz w:val="24"/>
          <w:szCs w:val="21"/>
        </w:rPr>
      </w:pPr>
      <w:r>
        <w:rPr>
          <w:rFonts w:hint="eastAsia"/>
          <w:bCs/>
          <w:sz w:val="24"/>
          <w:szCs w:val="21"/>
        </w:rPr>
        <w:t>本基金的投资组合比例为：本基金投资债券的比例不低于基金资产的</w:t>
      </w:r>
      <w:r>
        <w:rPr>
          <w:rFonts w:hint="eastAsia"/>
          <w:bCs/>
          <w:sz w:val="24"/>
          <w:szCs w:val="21"/>
        </w:rPr>
        <w:t>80%</w:t>
      </w:r>
      <w:r>
        <w:rPr>
          <w:rFonts w:hint="eastAsia"/>
          <w:bCs/>
          <w:sz w:val="24"/>
          <w:szCs w:val="21"/>
        </w:rPr>
        <w:t>；投资股票、权证的</w:t>
      </w:r>
      <w:r>
        <w:rPr>
          <w:bCs/>
          <w:sz w:val="24"/>
          <w:szCs w:val="21"/>
        </w:rPr>
        <w:t>比例</w:t>
      </w:r>
      <w:r>
        <w:rPr>
          <w:rFonts w:hint="eastAsia"/>
          <w:bCs/>
          <w:sz w:val="24"/>
          <w:szCs w:val="21"/>
        </w:rPr>
        <w:t>不高于基金资产的</w:t>
      </w:r>
      <w:r>
        <w:rPr>
          <w:rFonts w:hint="eastAsia"/>
          <w:bCs/>
          <w:sz w:val="24"/>
          <w:szCs w:val="21"/>
        </w:rPr>
        <w:t>20%</w:t>
      </w:r>
      <w:r>
        <w:rPr>
          <w:rFonts w:hint="eastAsia"/>
          <w:bCs/>
          <w:sz w:val="24"/>
          <w:szCs w:val="21"/>
        </w:rPr>
        <w:t>；每个交易日日终在扣除国债期货合约需缴纳的交易保证金后，持有现金或者到期日在一年以内的政府债券比例不低于基金资产净值的</w:t>
      </w:r>
      <w:r>
        <w:rPr>
          <w:rFonts w:hint="eastAsia"/>
          <w:bCs/>
          <w:sz w:val="24"/>
          <w:szCs w:val="21"/>
        </w:rPr>
        <w:t>5%</w:t>
      </w:r>
      <w:r>
        <w:rPr>
          <w:rFonts w:hint="eastAsia"/>
          <w:bCs/>
          <w:sz w:val="24"/>
          <w:szCs w:val="21"/>
        </w:rPr>
        <w:t>，其中现金不包括结算备付金、存出保证金、应收申购款等。</w:t>
      </w:r>
    </w:p>
    <w:p w:rsidR="00572ECF" w:rsidRDefault="00915AEA">
      <w:pPr>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8、本基金初始</w:t>
      </w:r>
      <w:r>
        <w:rPr>
          <w:rFonts w:asciiTheme="minorEastAsia" w:eastAsiaTheme="minorEastAsia" w:hAnsiTheme="minorEastAsia" w:cs="Arial" w:hint="eastAsia"/>
          <w:sz w:val="24"/>
          <w:szCs w:val="24"/>
        </w:rPr>
        <w:t>发售</w:t>
      </w:r>
      <w:r>
        <w:rPr>
          <w:rFonts w:asciiTheme="minorEastAsia" w:eastAsiaTheme="minorEastAsia" w:hAnsiTheme="minorEastAsia" w:cs="Arial"/>
          <w:sz w:val="24"/>
          <w:szCs w:val="24"/>
        </w:rPr>
        <w:t>面值为人民币1.00元。在市场波动因素影响下，本基金净值可能低于初始</w:t>
      </w:r>
      <w:r>
        <w:rPr>
          <w:rFonts w:asciiTheme="minorEastAsia" w:eastAsiaTheme="minorEastAsia" w:hAnsiTheme="minorEastAsia" w:cs="Arial" w:hint="eastAsia"/>
          <w:sz w:val="24"/>
          <w:szCs w:val="24"/>
        </w:rPr>
        <w:t>发售</w:t>
      </w:r>
      <w:r>
        <w:rPr>
          <w:rFonts w:asciiTheme="minorEastAsia" w:eastAsiaTheme="minorEastAsia" w:hAnsiTheme="minorEastAsia" w:cs="Arial"/>
          <w:sz w:val="24"/>
          <w:szCs w:val="24"/>
        </w:rPr>
        <w:t>面值，本基金投资者有可能出现亏损。</w:t>
      </w:r>
    </w:p>
    <w:p w:rsidR="00572ECF" w:rsidRDefault="00915AEA">
      <w:pPr>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9、基金的过往业绩并不预示其未来表现，基金管理人管理的其他基金的业绩也不构成对本基金业绩表现的保证。</w:t>
      </w:r>
    </w:p>
    <w:p w:rsidR="00572ECF" w:rsidRDefault="00915AEA">
      <w:pPr>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10、基金管理人依照恪尽职守、诚实信用、谨慎勤勉的原则管理和运用基金财产，但不保证基金一定盈利，也不保证最低收益。</w:t>
      </w:r>
    </w:p>
    <w:p w:rsidR="00572ECF" w:rsidRPr="001072F0" w:rsidRDefault="001072F0" w:rsidP="001072F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本招募说明书所载内容截止日为2018年10月3日，有关财务数据截止日为2018年</w:t>
      </w:r>
      <w:r w:rsidR="00A05C84">
        <w:rPr>
          <w:rFonts w:asciiTheme="minorEastAsia" w:hAnsiTheme="minorEastAsia" w:cs="Arial" w:hint="eastAsia"/>
          <w:sz w:val="24"/>
          <w:szCs w:val="24"/>
        </w:rPr>
        <w:t>6</w:t>
      </w:r>
      <w:r>
        <w:rPr>
          <w:rFonts w:asciiTheme="minorEastAsia" w:hAnsiTheme="minorEastAsia" w:cs="Arial" w:hint="eastAsia"/>
          <w:sz w:val="24"/>
          <w:szCs w:val="24"/>
        </w:rPr>
        <w:t>月3</w:t>
      </w:r>
      <w:r w:rsidR="00A05C84">
        <w:rPr>
          <w:rFonts w:asciiTheme="minorEastAsia" w:hAnsiTheme="minorEastAsia" w:cs="Arial" w:hint="eastAsia"/>
          <w:sz w:val="24"/>
          <w:szCs w:val="24"/>
        </w:rPr>
        <w:t>0</w:t>
      </w:r>
      <w:r>
        <w:rPr>
          <w:rFonts w:asciiTheme="minorEastAsia" w:hAnsiTheme="minorEastAsia" w:cs="Arial" w:hint="eastAsia"/>
          <w:sz w:val="24"/>
          <w:szCs w:val="24"/>
        </w:rPr>
        <w:t>日，净值表现截止日为201</w:t>
      </w:r>
      <w:r>
        <w:rPr>
          <w:rFonts w:asciiTheme="minorEastAsia" w:hAnsiTheme="minorEastAsia" w:cs="Arial"/>
          <w:sz w:val="24"/>
          <w:szCs w:val="24"/>
        </w:rPr>
        <w:t>8</w:t>
      </w:r>
      <w:r>
        <w:rPr>
          <w:rFonts w:asciiTheme="minorEastAsia" w:hAnsiTheme="minorEastAsia" w:cs="Arial" w:hint="eastAsia"/>
          <w:sz w:val="24"/>
          <w:szCs w:val="24"/>
        </w:rPr>
        <w:t>年</w:t>
      </w:r>
      <w:r w:rsidR="00A05C84">
        <w:rPr>
          <w:rFonts w:asciiTheme="minorEastAsia" w:hAnsiTheme="minorEastAsia" w:cs="Arial" w:hint="eastAsia"/>
          <w:sz w:val="24"/>
          <w:szCs w:val="24"/>
        </w:rPr>
        <w:t>6</w:t>
      </w:r>
      <w:r>
        <w:rPr>
          <w:rFonts w:asciiTheme="minorEastAsia" w:hAnsiTheme="minorEastAsia" w:cs="Arial" w:hint="eastAsia"/>
          <w:sz w:val="24"/>
          <w:szCs w:val="24"/>
        </w:rPr>
        <w:t>月3</w:t>
      </w:r>
      <w:r w:rsidR="00A05C84">
        <w:rPr>
          <w:rFonts w:asciiTheme="minorEastAsia" w:hAnsiTheme="minorEastAsia" w:cs="Arial" w:hint="eastAsia"/>
          <w:sz w:val="24"/>
          <w:szCs w:val="24"/>
        </w:rPr>
        <w:t>0</w:t>
      </w:r>
      <w:r>
        <w:rPr>
          <w:rFonts w:asciiTheme="minorEastAsia" w:hAnsiTheme="minorEastAsia" w:cs="Arial" w:hint="eastAsia"/>
          <w:sz w:val="24"/>
          <w:szCs w:val="24"/>
        </w:rPr>
        <w:t>日，本报告中所列财务数据未经审计。</w:t>
      </w:r>
    </w:p>
    <w:p w:rsidR="00CA1E03" w:rsidRDefault="001072F0" w:rsidP="00CA1E0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本基金托管人广州农村商业银行股份有限公司已于2018年</w:t>
      </w:r>
      <w:r w:rsidR="00B6337C">
        <w:rPr>
          <w:rFonts w:asciiTheme="minorEastAsia" w:hAnsiTheme="minorEastAsia" w:cs="Arial" w:hint="eastAsia"/>
          <w:sz w:val="24"/>
          <w:szCs w:val="24"/>
        </w:rPr>
        <w:t>10</w:t>
      </w:r>
      <w:r>
        <w:rPr>
          <w:rFonts w:asciiTheme="minorEastAsia" w:hAnsiTheme="minorEastAsia" w:cs="Arial" w:hint="eastAsia"/>
          <w:sz w:val="24"/>
          <w:szCs w:val="24"/>
        </w:rPr>
        <w:t>月</w:t>
      </w:r>
      <w:r w:rsidR="00B6337C">
        <w:rPr>
          <w:rFonts w:asciiTheme="minorEastAsia" w:hAnsiTheme="minorEastAsia" w:cs="Arial" w:hint="eastAsia"/>
          <w:sz w:val="24"/>
          <w:szCs w:val="24"/>
        </w:rPr>
        <w:t>25</w:t>
      </w:r>
      <w:r>
        <w:rPr>
          <w:rFonts w:asciiTheme="minorEastAsia" w:hAnsiTheme="minorEastAsia" w:cs="Arial" w:hint="eastAsia"/>
          <w:sz w:val="24"/>
          <w:szCs w:val="24"/>
        </w:rPr>
        <w:t>日复核了本次更新的招募说明书。</w:t>
      </w:r>
    </w:p>
    <w:p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rsidR="00EF6923" w:rsidRDefault="00EF6923" w:rsidP="00CA1E03">
      <w:pPr>
        <w:autoSpaceDE w:val="0"/>
        <w:autoSpaceDN w:val="0"/>
        <w:adjustRightInd w:val="0"/>
        <w:snapToGrid w:val="0"/>
        <w:spacing w:line="360" w:lineRule="auto"/>
        <w:ind w:firstLineChars="200" w:firstLine="480"/>
        <w:rPr>
          <w:rFonts w:asciiTheme="minorEastAsia" w:hAnsiTheme="minorEastAsia" w:cs="Arial"/>
          <w:sz w:val="24"/>
          <w:szCs w:val="24"/>
        </w:rPr>
      </w:pPr>
    </w:p>
    <w:p w:rsidR="00EF6923" w:rsidRPr="005471A2" w:rsidRDefault="00EF6923" w:rsidP="00EF6923">
      <w:pPr>
        <w:jc w:val="center"/>
        <w:rPr>
          <w:b/>
          <w:bCs/>
          <w:sz w:val="30"/>
          <w:szCs w:val="30"/>
        </w:rPr>
      </w:pPr>
      <w:r w:rsidRPr="005471A2">
        <w:rPr>
          <w:b/>
          <w:bCs/>
          <w:sz w:val="30"/>
          <w:szCs w:val="30"/>
        </w:rPr>
        <w:lastRenderedPageBreak/>
        <w:t>目</w:t>
      </w:r>
      <w:r w:rsidRPr="005471A2">
        <w:rPr>
          <w:b/>
          <w:bCs/>
          <w:sz w:val="30"/>
          <w:szCs w:val="30"/>
        </w:rPr>
        <w:t xml:space="preserve">    </w:t>
      </w:r>
      <w:r w:rsidRPr="005471A2">
        <w:rPr>
          <w:b/>
          <w:bCs/>
          <w:sz w:val="30"/>
          <w:szCs w:val="30"/>
        </w:rPr>
        <w:t>录</w:t>
      </w:r>
    </w:p>
    <w:p w:rsidR="001107B2" w:rsidRDefault="00EF6923">
      <w:pPr>
        <w:pStyle w:val="10"/>
        <w:rPr>
          <w:rFonts w:asciiTheme="minorHAnsi" w:eastAsiaTheme="minorEastAsia" w:hAnsiTheme="minorHAnsi" w:cstheme="minorBidi"/>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527465992" w:history="1">
        <w:r w:rsidR="001107B2" w:rsidRPr="00B84E01">
          <w:rPr>
            <w:rStyle w:val="a9"/>
            <w:rFonts w:ascii="Arial Unicode MS" w:hAnsi="Arial Unicode MS" w:cs="Arial" w:hint="eastAsia"/>
            <w:b/>
            <w:bCs/>
            <w:noProof/>
          </w:rPr>
          <w:t>第一部分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绪言</w:t>
        </w:r>
        <w:r w:rsidR="001107B2">
          <w:rPr>
            <w:noProof/>
            <w:webHidden/>
          </w:rPr>
          <w:tab/>
        </w:r>
        <w:r w:rsidR="001107B2">
          <w:rPr>
            <w:noProof/>
            <w:webHidden/>
          </w:rPr>
          <w:fldChar w:fldCharType="begin"/>
        </w:r>
        <w:r w:rsidR="001107B2">
          <w:rPr>
            <w:noProof/>
            <w:webHidden/>
          </w:rPr>
          <w:instrText xml:space="preserve"> PAGEREF _Toc527465992 \h </w:instrText>
        </w:r>
        <w:r w:rsidR="001107B2">
          <w:rPr>
            <w:noProof/>
            <w:webHidden/>
          </w:rPr>
        </w:r>
        <w:r w:rsidR="001107B2">
          <w:rPr>
            <w:noProof/>
            <w:webHidden/>
          </w:rPr>
          <w:fldChar w:fldCharType="separate"/>
        </w:r>
        <w:r w:rsidR="0090517B">
          <w:rPr>
            <w:noProof/>
            <w:webHidden/>
          </w:rPr>
          <w:t>1</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5993" w:history="1">
        <w:r w:rsidR="001107B2" w:rsidRPr="00B84E01">
          <w:rPr>
            <w:rStyle w:val="a9"/>
            <w:rFonts w:ascii="Arial Unicode MS" w:hAnsi="Arial Unicode MS" w:cs="Arial" w:hint="eastAsia"/>
            <w:b/>
            <w:bCs/>
            <w:noProof/>
          </w:rPr>
          <w:t>第二部分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释义</w:t>
        </w:r>
        <w:r w:rsidR="001107B2">
          <w:rPr>
            <w:noProof/>
            <w:webHidden/>
          </w:rPr>
          <w:tab/>
        </w:r>
        <w:r w:rsidR="001107B2">
          <w:rPr>
            <w:noProof/>
            <w:webHidden/>
          </w:rPr>
          <w:fldChar w:fldCharType="begin"/>
        </w:r>
        <w:r w:rsidR="001107B2">
          <w:rPr>
            <w:noProof/>
            <w:webHidden/>
          </w:rPr>
          <w:instrText xml:space="preserve"> PAGEREF _Toc527465993 \h </w:instrText>
        </w:r>
        <w:r w:rsidR="001107B2">
          <w:rPr>
            <w:noProof/>
            <w:webHidden/>
          </w:rPr>
        </w:r>
        <w:r w:rsidR="001107B2">
          <w:rPr>
            <w:noProof/>
            <w:webHidden/>
          </w:rPr>
          <w:fldChar w:fldCharType="separate"/>
        </w:r>
        <w:r w:rsidR="0090517B">
          <w:rPr>
            <w:noProof/>
            <w:webHidden/>
          </w:rPr>
          <w:t>2</w:t>
        </w:r>
        <w:r w:rsidR="001107B2">
          <w:rPr>
            <w:noProof/>
            <w:webHidden/>
          </w:rPr>
          <w:fldChar w:fldCharType="end"/>
        </w:r>
      </w:hyperlink>
    </w:p>
    <w:p w:rsidR="001107B2" w:rsidRDefault="00496BC4">
      <w:pPr>
        <w:pStyle w:val="10"/>
        <w:rPr>
          <w:rStyle w:val="a9"/>
          <w:noProof/>
        </w:rPr>
      </w:pPr>
      <w:hyperlink w:anchor="_Toc527465994" w:history="1">
        <w:r w:rsidR="001107B2" w:rsidRPr="00B84E01">
          <w:rPr>
            <w:rStyle w:val="a9"/>
            <w:rFonts w:ascii="Arial Unicode MS" w:hAnsi="Arial Unicode MS" w:cs="Arial" w:hint="eastAsia"/>
            <w:b/>
            <w:bCs/>
            <w:noProof/>
          </w:rPr>
          <w:t>第三部分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基金管理人</w:t>
        </w:r>
        <w:r w:rsidR="001107B2">
          <w:rPr>
            <w:noProof/>
            <w:webHidden/>
          </w:rPr>
          <w:tab/>
        </w:r>
        <w:r w:rsidR="001107B2">
          <w:rPr>
            <w:noProof/>
            <w:webHidden/>
          </w:rPr>
          <w:fldChar w:fldCharType="begin"/>
        </w:r>
        <w:r w:rsidR="001107B2">
          <w:rPr>
            <w:noProof/>
            <w:webHidden/>
          </w:rPr>
          <w:instrText xml:space="preserve"> PAGEREF _Toc527465994 \h </w:instrText>
        </w:r>
        <w:r w:rsidR="001107B2">
          <w:rPr>
            <w:noProof/>
            <w:webHidden/>
          </w:rPr>
        </w:r>
        <w:r w:rsidR="001107B2">
          <w:rPr>
            <w:noProof/>
            <w:webHidden/>
          </w:rPr>
          <w:fldChar w:fldCharType="separate"/>
        </w:r>
        <w:r w:rsidR="0090517B">
          <w:rPr>
            <w:noProof/>
            <w:webHidden/>
          </w:rPr>
          <w:t>7</w:t>
        </w:r>
        <w:r w:rsidR="001107B2">
          <w:rPr>
            <w:noProof/>
            <w:webHidden/>
          </w:rPr>
          <w:fldChar w:fldCharType="end"/>
        </w:r>
      </w:hyperlink>
    </w:p>
    <w:p w:rsidR="001107B2" w:rsidRPr="001107B2" w:rsidRDefault="00496BC4" w:rsidP="001107B2">
      <w:pPr>
        <w:pStyle w:val="10"/>
        <w:rPr>
          <w:noProof/>
          <w:color w:val="0563C1" w:themeColor="hyperlink"/>
          <w:u w:val="single"/>
        </w:rPr>
      </w:pPr>
      <w:hyperlink w:anchor="_Toc527465994" w:history="1">
        <w:r w:rsidR="001107B2" w:rsidRPr="00B84E01">
          <w:rPr>
            <w:rStyle w:val="a9"/>
            <w:rFonts w:ascii="Arial Unicode MS" w:hAnsi="Arial Unicode MS" w:cs="Arial" w:hint="eastAsia"/>
            <w:b/>
            <w:bCs/>
            <w:noProof/>
          </w:rPr>
          <w:t>第</w:t>
        </w:r>
        <w:r w:rsidR="001107B2">
          <w:rPr>
            <w:rStyle w:val="a9"/>
            <w:rFonts w:ascii="Arial Unicode MS" w:hAnsi="Arial Unicode MS" w:cs="Arial" w:hint="eastAsia"/>
            <w:b/>
            <w:bCs/>
            <w:noProof/>
          </w:rPr>
          <w:t>四</w:t>
        </w:r>
        <w:r w:rsidR="001107B2" w:rsidRPr="00B84E01">
          <w:rPr>
            <w:rStyle w:val="a9"/>
            <w:rFonts w:ascii="Arial Unicode MS" w:hAnsi="Arial Unicode MS" w:cs="Arial" w:hint="eastAsia"/>
            <w:b/>
            <w:bCs/>
            <w:noProof/>
          </w:rPr>
          <w:t>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w:t>
        </w:r>
        <w:r w:rsidR="001107B2">
          <w:rPr>
            <w:rStyle w:val="a9"/>
            <w:rFonts w:ascii="Arial Unicode MS" w:hAnsi="Arial Unicode MS" w:cs="Arial" w:hint="eastAsia"/>
            <w:b/>
            <w:bCs/>
            <w:noProof/>
          </w:rPr>
          <w:t>托管</w:t>
        </w:r>
        <w:r w:rsidR="001107B2" w:rsidRPr="00B84E01">
          <w:rPr>
            <w:rStyle w:val="a9"/>
            <w:rFonts w:ascii="Arial Unicode MS" w:hAnsi="Arial Unicode MS" w:cs="Arial" w:hint="eastAsia"/>
            <w:b/>
            <w:bCs/>
            <w:noProof/>
          </w:rPr>
          <w:t>人</w:t>
        </w:r>
        <w:r w:rsidR="001107B2">
          <w:rPr>
            <w:noProof/>
            <w:webHidden/>
          </w:rPr>
          <w:tab/>
        </w:r>
        <w:r w:rsidR="00576FE9">
          <w:rPr>
            <w:rFonts w:hint="eastAsia"/>
            <w:noProof/>
            <w:webHidden/>
          </w:rPr>
          <w:t>1</w:t>
        </w:r>
        <w:r w:rsidR="001107B2">
          <w:rPr>
            <w:noProof/>
            <w:webHidden/>
          </w:rPr>
          <w:fldChar w:fldCharType="begin"/>
        </w:r>
        <w:r w:rsidR="001107B2">
          <w:rPr>
            <w:noProof/>
            <w:webHidden/>
          </w:rPr>
          <w:instrText xml:space="preserve"> PAGEREF _Toc527465994 \h </w:instrText>
        </w:r>
        <w:r w:rsidR="001107B2">
          <w:rPr>
            <w:noProof/>
            <w:webHidden/>
          </w:rPr>
        </w:r>
        <w:r w:rsidR="001107B2">
          <w:rPr>
            <w:noProof/>
            <w:webHidden/>
          </w:rPr>
          <w:fldChar w:fldCharType="separate"/>
        </w:r>
        <w:r w:rsidR="0090517B">
          <w:rPr>
            <w:noProof/>
            <w:webHidden/>
          </w:rPr>
          <w:t>7</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5995" w:history="1">
        <w:r w:rsidR="001107B2" w:rsidRPr="00B84E01">
          <w:rPr>
            <w:rStyle w:val="a9"/>
            <w:rFonts w:ascii="Arial Unicode MS" w:hAnsi="Arial Unicode MS" w:cs="Arial" w:hint="eastAsia"/>
            <w:b/>
            <w:bCs/>
            <w:noProof/>
          </w:rPr>
          <w:t>第五部分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相关服务机构</w:t>
        </w:r>
        <w:r w:rsidR="001107B2">
          <w:rPr>
            <w:noProof/>
            <w:webHidden/>
          </w:rPr>
          <w:tab/>
        </w:r>
        <w:r w:rsidR="001107B2">
          <w:rPr>
            <w:noProof/>
            <w:webHidden/>
          </w:rPr>
          <w:fldChar w:fldCharType="begin"/>
        </w:r>
        <w:r w:rsidR="001107B2">
          <w:rPr>
            <w:noProof/>
            <w:webHidden/>
          </w:rPr>
          <w:instrText xml:space="preserve"> PAGEREF _Toc527465995 \h </w:instrText>
        </w:r>
        <w:r w:rsidR="001107B2">
          <w:rPr>
            <w:noProof/>
            <w:webHidden/>
          </w:rPr>
        </w:r>
        <w:r w:rsidR="001107B2">
          <w:rPr>
            <w:noProof/>
            <w:webHidden/>
          </w:rPr>
          <w:fldChar w:fldCharType="separate"/>
        </w:r>
        <w:r w:rsidR="0090517B">
          <w:rPr>
            <w:noProof/>
            <w:webHidden/>
          </w:rPr>
          <w:t>20</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5996" w:history="1">
        <w:r w:rsidR="001107B2" w:rsidRPr="00B84E01">
          <w:rPr>
            <w:rStyle w:val="a9"/>
            <w:rFonts w:ascii="Arial Unicode MS" w:hAnsi="Arial Unicode MS" w:cs="Arial" w:hint="eastAsia"/>
            <w:b/>
            <w:bCs/>
            <w:noProof/>
          </w:rPr>
          <w:t>第六部分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基金份额的发售</w:t>
        </w:r>
        <w:r w:rsidR="001107B2">
          <w:rPr>
            <w:noProof/>
            <w:webHidden/>
          </w:rPr>
          <w:tab/>
        </w:r>
        <w:r w:rsidR="001107B2">
          <w:rPr>
            <w:noProof/>
            <w:webHidden/>
          </w:rPr>
          <w:fldChar w:fldCharType="begin"/>
        </w:r>
        <w:r w:rsidR="001107B2">
          <w:rPr>
            <w:noProof/>
            <w:webHidden/>
          </w:rPr>
          <w:instrText xml:space="preserve"> PAGEREF _Toc527465996 \h </w:instrText>
        </w:r>
        <w:r w:rsidR="001107B2">
          <w:rPr>
            <w:noProof/>
            <w:webHidden/>
          </w:rPr>
        </w:r>
        <w:r w:rsidR="001107B2">
          <w:rPr>
            <w:noProof/>
            <w:webHidden/>
          </w:rPr>
          <w:fldChar w:fldCharType="separate"/>
        </w:r>
        <w:r w:rsidR="0090517B">
          <w:rPr>
            <w:noProof/>
            <w:webHidden/>
          </w:rPr>
          <w:t>24</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5997" w:history="1">
        <w:r w:rsidR="001107B2" w:rsidRPr="00B84E01">
          <w:rPr>
            <w:rStyle w:val="a9"/>
            <w:rFonts w:ascii="Arial Unicode MS" w:hAnsi="Arial Unicode MS" w:cs="Arial" w:hint="eastAsia"/>
            <w:b/>
            <w:bCs/>
            <w:noProof/>
          </w:rPr>
          <w:t>第七部分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基金合同的生效</w:t>
        </w:r>
        <w:r w:rsidR="001107B2">
          <w:rPr>
            <w:noProof/>
            <w:webHidden/>
          </w:rPr>
          <w:tab/>
        </w:r>
        <w:r w:rsidR="001107B2">
          <w:rPr>
            <w:noProof/>
            <w:webHidden/>
          </w:rPr>
          <w:fldChar w:fldCharType="begin"/>
        </w:r>
        <w:r w:rsidR="001107B2">
          <w:rPr>
            <w:noProof/>
            <w:webHidden/>
          </w:rPr>
          <w:instrText xml:space="preserve"> PAGEREF _Toc527465997 \h </w:instrText>
        </w:r>
        <w:r w:rsidR="001107B2">
          <w:rPr>
            <w:noProof/>
            <w:webHidden/>
          </w:rPr>
        </w:r>
        <w:r w:rsidR="001107B2">
          <w:rPr>
            <w:noProof/>
            <w:webHidden/>
          </w:rPr>
          <w:fldChar w:fldCharType="separate"/>
        </w:r>
        <w:r w:rsidR="0090517B">
          <w:rPr>
            <w:noProof/>
            <w:webHidden/>
          </w:rPr>
          <w:t>25</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5998" w:history="1">
        <w:r w:rsidR="001107B2" w:rsidRPr="00B84E01">
          <w:rPr>
            <w:rStyle w:val="a9"/>
            <w:rFonts w:ascii="Arial Unicode MS" w:hAnsi="Arial Unicode MS" w:cs="Arial" w:hint="eastAsia"/>
            <w:b/>
            <w:bCs/>
            <w:noProof/>
          </w:rPr>
          <w:t>第八部分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基金份额的申购与赎回</w:t>
        </w:r>
        <w:r w:rsidR="001107B2">
          <w:rPr>
            <w:noProof/>
            <w:webHidden/>
          </w:rPr>
          <w:tab/>
        </w:r>
        <w:r w:rsidR="001107B2">
          <w:rPr>
            <w:noProof/>
            <w:webHidden/>
          </w:rPr>
          <w:fldChar w:fldCharType="begin"/>
        </w:r>
        <w:r w:rsidR="001107B2">
          <w:rPr>
            <w:noProof/>
            <w:webHidden/>
          </w:rPr>
          <w:instrText xml:space="preserve"> PAGEREF _Toc527465998 \h </w:instrText>
        </w:r>
        <w:r w:rsidR="001107B2">
          <w:rPr>
            <w:noProof/>
            <w:webHidden/>
          </w:rPr>
        </w:r>
        <w:r w:rsidR="001107B2">
          <w:rPr>
            <w:noProof/>
            <w:webHidden/>
          </w:rPr>
          <w:fldChar w:fldCharType="separate"/>
        </w:r>
        <w:r w:rsidR="0090517B">
          <w:rPr>
            <w:noProof/>
            <w:webHidden/>
          </w:rPr>
          <w:t>26</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5999" w:history="1">
        <w:r w:rsidR="001107B2" w:rsidRPr="00B84E01">
          <w:rPr>
            <w:rStyle w:val="a9"/>
            <w:rFonts w:ascii="Arial Unicode MS" w:hAnsi="Arial Unicode MS" w:cs="Arial" w:hint="eastAsia"/>
            <w:b/>
            <w:bCs/>
            <w:noProof/>
          </w:rPr>
          <w:t>第九部分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基金的投资</w:t>
        </w:r>
        <w:r w:rsidR="001107B2">
          <w:rPr>
            <w:noProof/>
            <w:webHidden/>
          </w:rPr>
          <w:tab/>
        </w:r>
        <w:r w:rsidR="001107B2">
          <w:rPr>
            <w:noProof/>
            <w:webHidden/>
          </w:rPr>
          <w:fldChar w:fldCharType="begin"/>
        </w:r>
        <w:r w:rsidR="001107B2">
          <w:rPr>
            <w:noProof/>
            <w:webHidden/>
          </w:rPr>
          <w:instrText xml:space="preserve"> PAGEREF _Toc527465999 \h </w:instrText>
        </w:r>
        <w:r w:rsidR="001107B2">
          <w:rPr>
            <w:noProof/>
            <w:webHidden/>
          </w:rPr>
        </w:r>
        <w:r w:rsidR="001107B2">
          <w:rPr>
            <w:noProof/>
            <w:webHidden/>
          </w:rPr>
          <w:fldChar w:fldCharType="separate"/>
        </w:r>
        <w:r w:rsidR="0090517B">
          <w:rPr>
            <w:noProof/>
            <w:webHidden/>
          </w:rPr>
          <w:t>37</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6000" w:history="1">
        <w:r w:rsidR="001107B2" w:rsidRPr="00B84E01">
          <w:rPr>
            <w:rStyle w:val="a9"/>
            <w:rFonts w:ascii="Arial Unicode MS" w:hAnsi="Arial Unicode MS" w:cs="Arial" w:hint="eastAsia"/>
            <w:b/>
            <w:bCs/>
            <w:noProof/>
          </w:rPr>
          <w:t>第十部分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基金的财产</w:t>
        </w:r>
        <w:r w:rsidR="001107B2">
          <w:rPr>
            <w:noProof/>
            <w:webHidden/>
          </w:rPr>
          <w:tab/>
        </w:r>
        <w:r w:rsidR="001107B2">
          <w:rPr>
            <w:noProof/>
            <w:webHidden/>
          </w:rPr>
          <w:fldChar w:fldCharType="begin"/>
        </w:r>
        <w:r w:rsidR="001107B2">
          <w:rPr>
            <w:noProof/>
            <w:webHidden/>
          </w:rPr>
          <w:instrText xml:space="preserve"> PAGEREF _Toc527466000 \h </w:instrText>
        </w:r>
        <w:r w:rsidR="001107B2">
          <w:rPr>
            <w:noProof/>
            <w:webHidden/>
          </w:rPr>
        </w:r>
        <w:r w:rsidR="001107B2">
          <w:rPr>
            <w:noProof/>
            <w:webHidden/>
          </w:rPr>
          <w:fldChar w:fldCharType="separate"/>
        </w:r>
        <w:r w:rsidR="0090517B">
          <w:rPr>
            <w:noProof/>
            <w:webHidden/>
          </w:rPr>
          <w:t>50</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6001" w:history="1">
        <w:r w:rsidR="001107B2" w:rsidRPr="00B84E01">
          <w:rPr>
            <w:rStyle w:val="a9"/>
            <w:rFonts w:ascii="Arial Unicode MS" w:hAnsi="Arial Unicode MS" w:cs="Arial" w:hint="eastAsia"/>
            <w:b/>
            <w:bCs/>
            <w:noProof/>
          </w:rPr>
          <w:t>第十一部分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基金资产的估值</w:t>
        </w:r>
        <w:r w:rsidR="001107B2">
          <w:rPr>
            <w:noProof/>
            <w:webHidden/>
          </w:rPr>
          <w:tab/>
        </w:r>
        <w:r w:rsidR="001107B2">
          <w:rPr>
            <w:noProof/>
            <w:webHidden/>
          </w:rPr>
          <w:fldChar w:fldCharType="begin"/>
        </w:r>
        <w:r w:rsidR="001107B2">
          <w:rPr>
            <w:noProof/>
            <w:webHidden/>
          </w:rPr>
          <w:instrText xml:space="preserve"> PAGEREF _Toc527466001 \h </w:instrText>
        </w:r>
        <w:r w:rsidR="001107B2">
          <w:rPr>
            <w:noProof/>
            <w:webHidden/>
          </w:rPr>
        </w:r>
        <w:r w:rsidR="001107B2">
          <w:rPr>
            <w:noProof/>
            <w:webHidden/>
          </w:rPr>
          <w:fldChar w:fldCharType="separate"/>
        </w:r>
        <w:r w:rsidR="0090517B">
          <w:rPr>
            <w:noProof/>
            <w:webHidden/>
          </w:rPr>
          <w:t>51</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6002" w:history="1">
        <w:r w:rsidR="001107B2" w:rsidRPr="00B84E01">
          <w:rPr>
            <w:rStyle w:val="a9"/>
            <w:rFonts w:ascii="Arial Unicode MS" w:hAnsi="Arial Unicode MS" w:cs="Arial" w:hint="eastAsia"/>
            <w:b/>
            <w:bCs/>
            <w:noProof/>
          </w:rPr>
          <w:t>第十二部分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基金的收益与分配</w:t>
        </w:r>
        <w:r w:rsidR="001107B2">
          <w:rPr>
            <w:noProof/>
            <w:webHidden/>
          </w:rPr>
          <w:tab/>
        </w:r>
        <w:r w:rsidR="001107B2">
          <w:rPr>
            <w:noProof/>
            <w:webHidden/>
          </w:rPr>
          <w:fldChar w:fldCharType="begin"/>
        </w:r>
        <w:r w:rsidR="001107B2">
          <w:rPr>
            <w:noProof/>
            <w:webHidden/>
          </w:rPr>
          <w:instrText xml:space="preserve"> PAGEREF _Toc527466002 \h </w:instrText>
        </w:r>
        <w:r w:rsidR="001107B2">
          <w:rPr>
            <w:noProof/>
            <w:webHidden/>
          </w:rPr>
        </w:r>
        <w:r w:rsidR="001107B2">
          <w:rPr>
            <w:noProof/>
            <w:webHidden/>
          </w:rPr>
          <w:fldChar w:fldCharType="separate"/>
        </w:r>
        <w:r w:rsidR="0090517B">
          <w:rPr>
            <w:noProof/>
            <w:webHidden/>
          </w:rPr>
          <w:t>56</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6003" w:history="1">
        <w:r w:rsidR="001107B2" w:rsidRPr="00B84E01">
          <w:rPr>
            <w:rStyle w:val="a9"/>
            <w:rFonts w:ascii="Arial Unicode MS" w:hAnsi="Arial Unicode MS" w:cs="Arial" w:hint="eastAsia"/>
            <w:b/>
            <w:bCs/>
            <w:noProof/>
          </w:rPr>
          <w:t>第十三部分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基金费用与税收</w:t>
        </w:r>
        <w:r w:rsidR="001107B2">
          <w:rPr>
            <w:noProof/>
            <w:webHidden/>
          </w:rPr>
          <w:tab/>
        </w:r>
        <w:r w:rsidR="001107B2">
          <w:rPr>
            <w:noProof/>
            <w:webHidden/>
          </w:rPr>
          <w:fldChar w:fldCharType="begin"/>
        </w:r>
        <w:r w:rsidR="001107B2">
          <w:rPr>
            <w:noProof/>
            <w:webHidden/>
          </w:rPr>
          <w:instrText xml:space="preserve"> PAGEREF _Toc527466003 \h </w:instrText>
        </w:r>
        <w:r w:rsidR="001107B2">
          <w:rPr>
            <w:noProof/>
            <w:webHidden/>
          </w:rPr>
        </w:r>
        <w:r w:rsidR="001107B2">
          <w:rPr>
            <w:noProof/>
            <w:webHidden/>
          </w:rPr>
          <w:fldChar w:fldCharType="separate"/>
        </w:r>
        <w:r w:rsidR="0090517B">
          <w:rPr>
            <w:noProof/>
            <w:webHidden/>
          </w:rPr>
          <w:t>58</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6004" w:history="1">
        <w:r w:rsidR="001107B2" w:rsidRPr="00B84E01">
          <w:rPr>
            <w:rStyle w:val="a9"/>
            <w:rFonts w:ascii="Arial Unicode MS" w:hAnsi="Arial Unicode MS" w:cs="Arial" w:hint="eastAsia"/>
            <w:b/>
            <w:bCs/>
            <w:noProof/>
          </w:rPr>
          <w:t>第十四部分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基金的会计与审计</w:t>
        </w:r>
        <w:r w:rsidR="001107B2">
          <w:rPr>
            <w:noProof/>
            <w:webHidden/>
          </w:rPr>
          <w:tab/>
        </w:r>
        <w:r w:rsidR="001107B2">
          <w:rPr>
            <w:noProof/>
            <w:webHidden/>
          </w:rPr>
          <w:fldChar w:fldCharType="begin"/>
        </w:r>
        <w:r w:rsidR="001107B2">
          <w:rPr>
            <w:noProof/>
            <w:webHidden/>
          </w:rPr>
          <w:instrText xml:space="preserve"> PAGEREF _Toc527466004 \h </w:instrText>
        </w:r>
        <w:r w:rsidR="001107B2">
          <w:rPr>
            <w:noProof/>
            <w:webHidden/>
          </w:rPr>
        </w:r>
        <w:r w:rsidR="001107B2">
          <w:rPr>
            <w:noProof/>
            <w:webHidden/>
          </w:rPr>
          <w:fldChar w:fldCharType="separate"/>
        </w:r>
        <w:r w:rsidR="0090517B">
          <w:rPr>
            <w:noProof/>
            <w:webHidden/>
          </w:rPr>
          <w:t>61</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6005" w:history="1">
        <w:r w:rsidR="001107B2" w:rsidRPr="00B84E01">
          <w:rPr>
            <w:rStyle w:val="a9"/>
            <w:rFonts w:ascii="Arial Unicode MS" w:hAnsi="Arial Unicode MS" w:hint="eastAsia"/>
            <w:b/>
            <w:noProof/>
          </w:rPr>
          <w:t>第十五部分</w:t>
        </w:r>
        <w:r w:rsidR="001107B2" w:rsidRPr="00B84E01">
          <w:rPr>
            <w:rStyle w:val="a9"/>
            <w:rFonts w:ascii="Arial Unicode MS" w:hAnsi="Arial Unicode MS"/>
            <w:b/>
            <w:noProof/>
          </w:rPr>
          <w:t xml:space="preserve">  </w:t>
        </w:r>
        <w:r w:rsidR="001107B2" w:rsidRPr="00B84E01">
          <w:rPr>
            <w:rStyle w:val="a9"/>
            <w:rFonts w:ascii="Arial Unicode MS" w:hAnsi="Arial Unicode MS" w:hint="eastAsia"/>
            <w:b/>
            <w:noProof/>
          </w:rPr>
          <w:t>基金的信息披露</w:t>
        </w:r>
        <w:r w:rsidR="001107B2">
          <w:rPr>
            <w:noProof/>
            <w:webHidden/>
          </w:rPr>
          <w:tab/>
        </w:r>
        <w:r w:rsidR="001107B2">
          <w:rPr>
            <w:noProof/>
            <w:webHidden/>
          </w:rPr>
          <w:fldChar w:fldCharType="begin"/>
        </w:r>
        <w:r w:rsidR="001107B2">
          <w:rPr>
            <w:noProof/>
            <w:webHidden/>
          </w:rPr>
          <w:instrText xml:space="preserve"> PAGEREF _Toc527466005 \h </w:instrText>
        </w:r>
        <w:r w:rsidR="001107B2">
          <w:rPr>
            <w:noProof/>
            <w:webHidden/>
          </w:rPr>
        </w:r>
        <w:r w:rsidR="001107B2">
          <w:rPr>
            <w:noProof/>
            <w:webHidden/>
          </w:rPr>
          <w:fldChar w:fldCharType="separate"/>
        </w:r>
        <w:r w:rsidR="0090517B">
          <w:rPr>
            <w:noProof/>
            <w:webHidden/>
          </w:rPr>
          <w:t>62</w:t>
        </w:r>
        <w:r w:rsidR="001107B2">
          <w:rPr>
            <w:noProof/>
            <w:webHidden/>
          </w:rPr>
          <w:fldChar w:fldCharType="end"/>
        </w:r>
      </w:hyperlink>
    </w:p>
    <w:p w:rsidR="001107B2" w:rsidRDefault="00496BC4">
      <w:pPr>
        <w:pStyle w:val="10"/>
        <w:rPr>
          <w:rStyle w:val="a9"/>
          <w:noProof/>
        </w:rPr>
      </w:pPr>
      <w:hyperlink w:anchor="_Toc527466006" w:history="1">
        <w:r w:rsidR="001107B2" w:rsidRPr="00B84E01">
          <w:rPr>
            <w:rStyle w:val="a9"/>
            <w:rFonts w:ascii="Arial Unicode MS" w:hAnsi="Arial Unicode MS" w:cs="Arial" w:hint="eastAsia"/>
            <w:b/>
            <w:bCs/>
            <w:noProof/>
          </w:rPr>
          <w:t>第十六部分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风险揭示</w:t>
        </w:r>
        <w:r w:rsidR="001107B2">
          <w:rPr>
            <w:noProof/>
            <w:webHidden/>
          </w:rPr>
          <w:tab/>
        </w:r>
        <w:r w:rsidR="001107B2">
          <w:rPr>
            <w:noProof/>
            <w:webHidden/>
          </w:rPr>
          <w:fldChar w:fldCharType="begin"/>
        </w:r>
        <w:r w:rsidR="001107B2">
          <w:rPr>
            <w:noProof/>
            <w:webHidden/>
          </w:rPr>
          <w:instrText xml:space="preserve"> PAGEREF _Toc527466006 \h </w:instrText>
        </w:r>
        <w:r w:rsidR="001107B2">
          <w:rPr>
            <w:noProof/>
            <w:webHidden/>
          </w:rPr>
        </w:r>
        <w:r w:rsidR="001107B2">
          <w:rPr>
            <w:noProof/>
            <w:webHidden/>
          </w:rPr>
          <w:fldChar w:fldCharType="separate"/>
        </w:r>
        <w:r w:rsidR="0090517B">
          <w:rPr>
            <w:noProof/>
            <w:webHidden/>
          </w:rPr>
          <w:t>68</w:t>
        </w:r>
        <w:r w:rsidR="001107B2">
          <w:rPr>
            <w:noProof/>
            <w:webHidden/>
          </w:rPr>
          <w:fldChar w:fldCharType="end"/>
        </w:r>
      </w:hyperlink>
    </w:p>
    <w:p w:rsidR="00B57813" w:rsidRPr="00B57813" w:rsidRDefault="00B57813" w:rsidP="00B57813">
      <w:pPr>
        <w:pStyle w:val="10"/>
        <w:rPr>
          <w:noProof/>
          <w:color w:val="000000" w:themeColor="text1"/>
        </w:rPr>
      </w:pPr>
      <w:r w:rsidRPr="00B57813">
        <w:rPr>
          <w:rStyle w:val="a9"/>
          <w:rFonts w:ascii="Arial Unicode MS" w:hAnsi="Arial Unicode MS" w:cs="Arial" w:hint="eastAsia"/>
          <w:b/>
          <w:bCs/>
          <w:noProof/>
          <w:color w:val="000000" w:themeColor="text1"/>
          <w:u w:val="none"/>
        </w:rPr>
        <w:t>第十七部分</w:t>
      </w:r>
      <w:r w:rsidRPr="00B57813">
        <w:rPr>
          <w:rStyle w:val="a9"/>
          <w:rFonts w:ascii="Arial Unicode MS" w:hAnsi="Arial Unicode MS" w:cs="Arial"/>
          <w:b/>
          <w:bCs/>
          <w:noProof/>
          <w:color w:val="000000" w:themeColor="text1"/>
          <w:u w:val="none"/>
        </w:rPr>
        <w:t xml:space="preserve">  </w:t>
      </w:r>
      <w:r w:rsidRPr="00B57813">
        <w:rPr>
          <w:rStyle w:val="a9"/>
          <w:rFonts w:ascii="Arial Unicode MS" w:hAnsi="Arial Unicode MS" w:cs="Arial" w:hint="eastAsia"/>
          <w:b/>
          <w:bCs/>
          <w:noProof/>
          <w:color w:val="000000" w:themeColor="text1"/>
          <w:u w:val="none"/>
        </w:rPr>
        <w:t>基金合同的变更、终止与基金财产的清算</w:t>
      </w:r>
      <w:r w:rsidRPr="00B57813">
        <w:rPr>
          <w:noProof/>
          <w:webHidden/>
          <w:color w:val="000000" w:themeColor="text1"/>
        </w:rPr>
        <w:tab/>
      </w:r>
      <w:r w:rsidR="00576FE9">
        <w:rPr>
          <w:rFonts w:hint="eastAsia"/>
          <w:noProof/>
          <w:webHidden/>
          <w:color w:val="000000" w:themeColor="text1"/>
        </w:rPr>
        <w:t>70</w:t>
      </w:r>
    </w:p>
    <w:p w:rsidR="001107B2" w:rsidRDefault="00496BC4">
      <w:pPr>
        <w:pStyle w:val="10"/>
        <w:rPr>
          <w:rFonts w:asciiTheme="minorHAnsi" w:eastAsiaTheme="minorEastAsia" w:hAnsiTheme="minorHAnsi" w:cstheme="minorBidi"/>
          <w:noProof/>
          <w:szCs w:val="22"/>
        </w:rPr>
      </w:pPr>
      <w:hyperlink w:anchor="_Toc527466007" w:history="1">
        <w:r w:rsidR="001107B2" w:rsidRPr="00B84E01">
          <w:rPr>
            <w:rStyle w:val="a9"/>
            <w:rFonts w:ascii="Arial Unicode MS" w:hAnsi="Arial Unicode MS" w:cs="Arial" w:hint="eastAsia"/>
            <w:b/>
            <w:bCs/>
            <w:noProof/>
          </w:rPr>
          <w:t>第十八部分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基金合同的内容摘要</w:t>
        </w:r>
        <w:r w:rsidR="001107B2">
          <w:rPr>
            <w:noProof/>
            <w:webHidden/>
          </w:rPr>
          <w:tab/>
        </w:r>
        <w:r w:rsidR="001107B2">
          <w:rPr>
            <w:noProof/>
            <w:webHidden/>
          </w:rPr>
          <w:fldChar w:fldCharType="begin"/>
        </w:r>
        <w:r w:rsidR="001107B2">
          <w:rPr>
            <w:noProof/>
            <w:webHidden/>
          </w:rPr>
          <w:instrText xml:space="preserve"> PAGEREF _Toc527466007 \h </w:instrText>
        </w:r>
        <w:r w:rsidR="001107B2">
          <w:rPr>
            <w:noProof/>
            <w:webHidden/>
          </w:rPr>
        </w:r>
        <w:r w:rsidR="001107B2">
          <w:rPr>
            <w:noProof/>
            <w:webHidden/>
          </w:rPr>
          <w:fldChar w:fldCharType="separate"/>
        </w:r>
        <w:r w:rsidR="0090517B">
          <w:rPr>
            <w:noProof/>
            <w:webHidden/>
          </w:rPr>
          <w:t>75</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6008" w:history="1">
        <w:r w:rsidR="001107B2" w:rsidRPr="00B84E01">
          <w:rPr>
            <w:rStyle w:val="a9"/>
            <w:rFonts w:ascii="Arial Unicode MS" w:hAnsi="Arial Unicode MS" w:cs="Arial" w:hint="eastAsia"/>
            <w:b/>
            <w:bCs/>
            <w:noProof/>
          </w:rPr>
          <w:t>第十九部分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基金托管协议的内容摘要</w:t>
        </w:r>
        <w:r w:rsidR="001107B2">
          <w:rPr>
            <w:noProof/>
            <w:webHidden/>
          </w:rPr>
          <w:tab/>
        </w:r>
        <w:r w:rsidR="001107B2">
          <w:rPr>
            <w:noProof/>
            <w:webHidden/>
          </w:rPr>
          <w:fldChar w:fldCharType="begin"/>
        </w:r>
        <w:r w:rsidR="001107B2">
          <w:rPr>
            <w:noProof/>
            <w:webHidden/>
          </w:rPr>
          <w:instrText xml:space="preserve"> PAGEREF _Toc527466008 \h </w:instrText>
        </w:r>
        <w:r w:rsidR="001107B2">
          <w:rPr>
            <w:noProof/>
            <w:webHidden/>
          </w:rPr>
        </w:r>
        <w:r w:rsidR="001107B2">
          <w:rPr>
            <w:noProof/>
            <w:webHidden/>
          </w:rPr>
          <w:fldChar w:fldCharType="separate"/>
        </w:r>
        <w:r w:rsidR="0090517B">
          <w:rPr>
            <w:noProof/>
            <w:webHidden/>
          </w:rPr>
          <w:t>91</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6009" w:history="1">
        <w:r w:rsidR="001107B2" w:rsidRPr="00B84E01">
          <w:rPr>
            <w:rStyle w:val="a9"/>
            <w:rFonts w:ascii="Arial Unicode MS" w:hAnsi="Arial Unicode MS" w:cs="Arial" w:hint="eastAsia"/>
            <w:b/>
            <w:bCs/>
            <w:noProof/>
          </w:rPr>
          <w:t>第二十部分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对基金份额持有人的服务</w:t>
        </w:r>
        <w:r w:rsidR="001107B2">
          <w:rPr>
            <w:noProof/>
            <w:webHidden/>
          </w:rPr>
          <w:tab/>
        </w:r>
        <w:r w:rsidR="001107B2">
          <w:rPr>
            <w:noProof/>
            <w:webHidden/>
          </w:rPr>
          <w:fldChar w:fldCharType="begin"/>
        </w:r>
        <w:r w:rsidR="001107B2">
          <w:rPr>
            <w:noProof/>
            <w:webHidden/>
          </w:rPr>
          <w:instrText xml:space="preserve"> PAGEREF _Toc527466009 \h </w:instrText>
        </w:r>
        <w:r w:rsidR="001107B2">
          <w:rPr>
            <w:noProof/>
            <w:webHidden/>
          </w:rPr>
        </w:r>
        <w:r w:rsidR="001107B2">
          <w:rPr>
            <w:noProof/>
            <w:webHidden/>
          </w:rPr>
          <w:fldChar w:fldCharType="separate"/>
        </w:r>
        <w:r w:rsidR="0090517B">
          <w:rPr>
            <w:noProof/>
            <w:webHidden/>
          </w:rPr>
          <w:t>112</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6010" w:history="1">
        <w:r w:rsidR="001107B2" w:rsidRPr="00B84E01">
          <w:rPr>
            <w:rStyle w:val="a9"/>
            <w:rFonts w:ascii="Arial Unicode MS" w:hAnsi="Arial Unicode MS" w:cs="Arial" w:hint="eastAsia"/>
            <w:b/>
            <w:bCs/>
            <w:noProof/>
          </w:rPr>
          <w:t>第二十一部分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其他应披露事项</w:t>
        </w:r>
        <w:r w:rsidR="001107B2">
          <w:rPr>
            <w:noProof/>
            <w:webHidden/>
          </w:rPr>
          <w:tab/>
        </w:r>
        <w:r w:rsidR="001107B2">
          <w:rPr>
            <w:noProof/>
            <w:webHidden/>
          </w:rPr>
          <w:fldChar w:fldCharType="begin"/>
        </w:r>
        <w:r w:rsidR="001107B2">
          <w:rPr>
            <w:noProof/>
            <w:webHidden/>
          </w:rPr>
          <w:instrText xml:space="preserve"> PAGEREF _Toc527466010 \h </w:instrText>
        </w:r>
        <w:r w:rsidR="001107B2">
          <w:rPr>
            <w:noProof/>
            <w:webHidden/>
          </w:rPr>
        </w:r>
        <w:r w:rsidR="001107B2">
          <w:rPr>
            <w:noProof/>
            <w:webHidden/>
          </w:rPr>
          <w:fldChar w:fldCharType="separate"/>
        </w:r>
        <w:r w:rsidR="0090517B">
          <w:rPr>
            <w:noProof/>
            <w:webHidden/>
          </w:rPr>
          <w:t>114</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6011" w:history="1">
        <w:r w:rsidR="001107B2" w:rsidRPr="00B84E01">
          <w:rPr>
            <w:rStyle w:val="a9"/>
            <w:rFonts w:ascii="Arial Unicode MS" w:hAnsi="Arial Unicode MS" w:cs="Arial" w:hint="eastAsia"/>
            <w:b/>
            <w:bCs/>
            <w:noProof/>
          </w:rPr>
          <w:t>第二十二部分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招募说明书的存放及查阅方式</w:t>
        </w:r>
        <w:r w:rsidR="001107B2">
          <w:rPr>
            <w:noProof/>
            <w:webHidden/>
          </w:rPr>
          <w:tab/>
        </w:r>
        <w:r w:rsidR="001107B2">
          <w:rPr>
            <w:noProof/>
            <w:webHidden/>
          </w:rPr>
          <w:fldChar w:fldCharType="begin"/>
        </w:r>
        <w:r w:rsidR="001107B2">
          <w:rPr>
            <w:noProof/>
            <w:webHidden/>
          </w:rPr>
          <w:instrText xml:space="preserve"> PAGEREF _Toc527466011 \h </w:instrText>
        </w:r>
        <w:r w:rsidR="001107B2">
          <w:rPr>
            <w:noProof/>
            <w:webHidden/>
          </w:rPr>
        </w:r>
        <w:r w:rsidR="001107B2">
          <w:rPr>
            <w:noProof/>
            <w:webHidden/>
          </w:rPr>
          <w:fldChar w:fldCharType="separate"/>
        </w:r>
        <w:r w:rsidR="0090517B">
          <w:rPr>
            <w:noProof/>
            <w:webHidden/>
          </w:rPr>
          <w:t>117</w:t>
        </w:r>
        <w:r w:rsidR="001107B2">
          <w:rPr>
            <w:noProof/>
            <w:webHidden/>
          </w:rPr>
          <w:fldChar w:fldCharType="end"/>
        </w:r>
      </w:hyperlink>
    </w:p>
    <w:p w:rsidR="001107B2" w:rsidRDefault="00496BC4">
      <w:pPr>
        <w:pStyle w:val="10"/>
        <w:rPr>
          <w:rFonts w:asciiTheme="minorHAnsi" w:eastAsiaTheme="minorEastAsia" w:hAnsiTheme="minorHAnsi" w:cstheme="minorBidi"/>
          <w:noProof/>
          <w:szCs w:val="22"/>
        </w:rPr>
      </w:pPr>
      <w:hyperlink w:anchor="_Toc527466012" w:history="1">
        <w:r w:rsidR="001107B2" w:rsidRPr="00B84E01">
          <w:rPr>
            <w:rStyle w:val="a9"/>
            <w:rFonts w:ascii="Arial Unicode MS" w:hAnsi="Arial Unicode MS" w:cs="Arial" w:hint="eastAsia"/>
            <w:b/>
            <w:bCs/>
            <w:noProof/>
          </w:rPr>
          <w:t>第二十三部分</w:t>
        </w:r>
        <w:r w:rsidR="001107B2" w:rsidRPr="00B84E01">
          <w:rPr>
            <w:rStyle w:val="a9"/>
            <w:rFonts w:ascii="Arial Unicode MS" w:hAnsi="Arial Unicode MS" w:cs="Arial"/>
            <w:b/>
            <w:bCs/>
            <w:noProof/>
          </w:rPr>
          <w:t xml:space="preserve">  </w:t>
        </w:r>
        <w:r w:rsidR="001107B2" w:rsidRPr="00B84E01">
          <w:rPr>
            <w:rStyle w:val="a9"/>
            <w:rFonts w:ascii="Arial Unicode MS" w:hAnsi="Arial Unicode MS" w:cs="Arial" w:hint="eastAsia"/>
            <w:b/>
            <w:bCs/>
            <w:noProof/>
          </w:rPr>
          <w:t>备查文件</w:t>
        </w:r>
        <w:r w:rsidR="001107B2">
          <w:rPr>
            <w:noProof/>
            <w:webHidden/>
          </w:rPr>
          <w:tab/>
        </w:r>
        <w:r w:rsidR="001107B2">
          <w:rPr>
            <w:noProof/>
            <w:webHidden/>
          </w:rPr>
          <w:fldChar w:fldCharType="begin"/>
        </w:r>
        <w:r w:rsidR="001107B2">
          <w:rPr>
            <w:noProof/>
            <w:webHidden/>
          </w:rPr>
          <w:instrText xml:space="preserve"> PAGEREF _Toc527466012 \h </w:instrText>
        </w:r>
        <w:r w:rsidR="001107B2">
          <w:rPr>
            <w:noProof/>
            <w:webHidden/>
          </w:rPr>
        </w:r>
        <w:r w:rsidR="001107B2">
          <w:rPr>
            <w:noProof/>
            <w:webHidden/>
          </w:rPr>
          <w:fldChar w:fldCharType="separate"/>
        </w:r>
        <w:r w:rsidR="0090517B">
          <w:rPr>
            <w:noProof/>
            <w:webHidden/>
          </w:rPr>
          <w:t>118</w:t>
        </w:r>
        <w:r w:rsidR="001107B2">
          <w:rPr>
            <w:noProof/>
            <w:webHidden/>
          </w:rPr>
          <w:fldChar w:fldCharType="end"/>
        </w:r>
      </w:hyperlink>
    </w:p>
    <w:p w:rsidR="00EF6923" w:rsidRDefault="00EF6923" w:rsidP="00EF6923">
      <w:pPr>
        <w:autoSpaceDE w:val="0"/>
        <w:autoSpaceDN w:val="0"/>
        <w:adjustRightInd w:val="0"/>
        <w:snapToGrid w:val="0"/>
        <w:spacing w:line="360" w:lineRule="auto"/>
        <w:ind w:firstLineChars="200" w:firstLine="420"/>
        <w:rPr>
          <w:rFonts w:asciiTheme="minorEastAsia" w:hAnsiTheme="minorEastAsia" w:cs="Arial"/>
          <w:sz w:val="24"/>
          <w:szCs w:val="24"/>
        </w:rPr>
      </w:pPr>
      <w:r w:rsidRPr="00907ECE">
        <w:fldChar w:fldCharType="end"/>
      </w:r>
    </w:p>
    <w:p w:rsidR="00EF6923" w:rsidRPr="00B2071A" w:rsidRDefault="00EF6923" w:rsidP="005634A9">
      <w:pPr>
        <w:autoSpaceDE w:val="0"/>
        <w:autoSpaceDN w:val="0"/>
        <w:adjustRightInd w:val="0"/>
        <w:snapToGrid w:val="0"/>
        <w:spacing w:line="360" w:lineRule="auto"/>
        <w:rPr>
          <w:rFonts w:asciiTheme="minorEastAsia" w:hAnsiTheme="minorEastAsia" w:cs="Arial"/>
          <w:sz w:val="24"/>
          <w:szCs w:val="24"/>
        </w:rPr>
        <w:sectPr w:rsidR="00EF6923" w:rsidRPr="00B2071A">
          <w:headerReference w:type="default" r:id="rId10"/>
          <w:footerReference w:type="default" r:id="rId11"/>
          <w:headerReference w:type="first" r:id="rId12"/>
          <w:footerReference w:type="first" r:id="rId13"/>
          <w:pgSz w:w="11906" w:h="16838"/>
          <w:pgMar w:top="1440" w:right="1800" w:bottom="1440" w:left="1800" w:header="851" w:footer="992" w:gutter="0"/>
          <w:pgNumType w:start="0"/>
          <w:cols w:space="720"/>
          <w:titlePg/>
          <w:docGrid w:linePitch="312"/>
        </w:sectPr>
      </w:pPr>
    </w:p>
    <w:p w:rsidR="00572ECF" w:rsidRDefault="00915AEA" w:rsidP="005634A9">
      <w:pPr>
        <w:pStyle w:val="1"/>
        <w:snapToGrid w:val="0"/>
        <w:spacing w:before="0" w:after="0" w:line="360" w:lineRule="auto"/>
        <w:rPr>
          <w:rFonts w:ascii="Arial Unicode MS" w:eastAsia="宋体" w:hAnsi="Arial Unicode MS" w:cs="Arial"/>
          <w:b/>
          <w:bCs/>
          <w:sz w:val="30"/>
          <w:szCs w:val="30"/>
        </w:rPr>
      </w:pPr>
      <w:bookmarkStart w:id="24" w:name="_Toc335232691"/>
      <w:bookmarkStart w:id="25" w:name="_Toc386115298"/>
      <w:bookmarkStart w:id="26" w:name="_Toc527465992"/>
      <w:bookmarkStart w:id="27" w:name="_Toc214873591"/>
      <w:bookmarkStart w:id="28" w:name="_Toc335232692"/>
      <w:bookmarkStart w:id="29" w:name="_Toc386115299"/>
      <w:r>
        <w:rPr>
          <w:rFonts w:ascii="Arial Unicode MS" w:eastAsia="宋体" w:hAnsi="Arial Unicode MS" w:cs="Arial" w:hint="eastAsia"/>
          <w:b/>
          <w:bCs/>
          <w:sz w:val="30"/>
          <w:szCs w:val="30"/>
        </w:rPr>
        <w:lastRenderedPageBreak/>
        <w:t>第一部分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绪言</w:t>
      </w:r>
      <w:bookmarkEnd w:id="24"/>
      <w:bookmarkEnd w:id="25"/>
      <w:bookmarkEnd w:id="26"/>
    </w:p>
    <w:p w:rsidR="005634A9" w:rsidRPr="005634A9" w:rsidRDefault="005634A9" w:rsidP="005634A9">
      <w:pPr>
        <w:rPr>
          <w:lang w:val="zh-CN"/>
        </w:rPr>
      </w:pPr>
    </w:p>
    <w:p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富荣富安债券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公开募集开放式证券投资基金流动性风险管理规定》（以下简称“《管理规定》”）</w:t>
      </w:r>
      <w:r>
        <w:rPr>
          <w:rFonts w:ascii="Arial Unicode MS" w:hAnsi="Arial Unicode MS" w:cs="Arial" w:hint="eastAsia"/>
          <w:bCs/>
          <w:sz w:val="24"/>
          <w:szCs w:val="24"/>
        </w:rPr>
        <w:t>和其他有关法律法规</w:t>
      </w:r>
      <w:r>
        <w:rPr>
          <w:rFonts w:ascii="Arial Unicode MS" w:hAnsi="Arial Unicode MS" w:cs="Arial" w:hint="eastAsia"/>
          <w:sz w:val="24"/>
          <w:szCs w:val="24"/>
        </w:rPr>
        <w:t>以及《富荣富安债券型证券投资基金基金合同》（以下简称“基金合同”）编写。</w:t>
      </w:r>
    </w:p>
    <w:p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本招募说明书阐述了富荣富安债券型证券投资基金的投资目标、策略、风险、费率等与投资人投资决策有关的必要事项，投资人在</w:t>
      </w:r>
      <w:proofErr w:type="gramStart"/>
      <w:r>
        <w:rPr>
          <w:rFonts w:ascii="Arial Unicode MS" w:hAnsi="Arial Unicode MS" w:cs="Arial" w:hint="eastAsia"/>
          <w:sz w:val="24"/>
          <w:szCs w:val="24"/>
        </w:rPr>
        <w:t>作出</w:t>
      </w:r>
      <w:proofErr w:type="gramEnd"/>
      <w:r>
        <w:rPr>
          <w:rFonts w:ascii="Arial Unicode MS" w:hAnsi="Arial Unicode MS" w:cs="Arial" w:hint="eastAsia"/>
          <w:sz w:val="24"/>
          <w:szCs w:val="24"/>
        </w:rPr>
        <w:t>投资决策前应仔细阅读本招募说明书。</w:t>
      </w:r>
    </w:p>
    <w:p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基金管理人承诺本招募说明书不存在任何虚假记载、误导性陈述或重大遗漏，并对其真实性、准确性、完整性承担法律责任。</w:t>
      </w:r>
    </w:p>
    <w:p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富荣富安债券型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572ECF" w:rsidRDefault="00915AEA">
      <w:pPr>
        <w:adjustRightInd w:val="0"/>
        <w:snapToGrid w:val="0"/>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本招募说明书根据本基金的基金合同编写，并经中国证监会注册。基金合同是约定基金合同当事人之间权利、义务的法律文件。基金</w:t>
      </w:r>
      <w:proofErr w:type="gramStart"/>
      <w:r>
        <w:rPr>
          <w:rFonts w:ascii="Arial Unicode MS" w:hAnsi="Arial Unicode MS" w:cs="Arial" w:hint="eastAsia"/>
          <w:sz w:val="24"/>
          <w:szCs w:val="24"/>
        </w:rPr>
        <w:t>投资者自依基金</w:t>
      </w:r>
      <w:proofErr w:type="gramEnd"/>
      <w:r>
        <w:rPr>
          <w:rFonts w:ascii="Arial Unicode MS" w:hAnsi="Arial Unicode MS"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rsidR="00572ECF" w:rsidRDefault="00915AEA">
      <w:pPr>
        <w:widowControl/>
        <w:jc w:val="left"/>
        <w:rPr>
          <w:rFonts w:ascii="Arial Unicode MS" w:eastAsia="黑体" w:hAnsi="Arial Unicode MS" w:cs="Arial"/>
          <w:bCs/>
          <w:spacing w:val="120"/>
          <w:kern w:val="0"/>
          <w:sz w:val="24"/>
          <w:szCs w:val="24"/>
          <w:lang w:val="zh-CN"/>
        </w:rPr>
      </w:pPr>
      <w:r>
        <w:rPr>
          <w:rFonts w:ascii="Arial Unicode MS" w:hAnsi="Arial Unicode MS" w:cs="Arial"/>
          <w:sz w:val="24"/>
          <w:szCs w:val="24"/>
        </w:rPr>
        <w:br w:type="page"/>
      </w:r>
    </w:p>
    <w:p w:rsidR="00572ECF" w:rsidRDefault="00915AEA">
      <w:pPr>
        <w:pStyle w:val="1"/>
        <w:snapToGrid w:val="0"/>
        <w:spacing w:before="0" w:after="0" w:line="360" w:lineRule="auto"/>
        <w:ind w:firstLineChars="50" w:firstLine="151"/>
        <w:rPr>
          <w:rFonts w:ascii="Arial Unicode MS" w:eastAsia="宋体" w:hAnsi="Arial Unicode MS" w:cs="Arial"/>
          <w:b/>
          <w:bCs/>
          <w:sz w:val="30"/>
          <w:szCs w:val="30"/>
        </w:rPr>
      </w:pPr>
      <w:bookmarkStart w:id="30" w:name="_Toc527465993"/>
      <w:r>
        <w:rPr>
          <w:rFonts w:ascii="Arial Unicode MS" w:eastAsia="宋体" w:hAnsi="Arial Unicode MS" w:cs="Arial" w:hint="eastAsia"/>
          <w:b/>
          <w:bCs/>
          <w:sz w:val="30"/>
          <w:szCs w:val="30"/>
        </w:rPr>
        <w:lastRenderedPageBreak/>
        <w:t>第二部分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释义</w:t>
      </w:r>
      <w:bookmarkEnd w:id="27"/>
      <w:bookmarkEnd w:id="28"/>
      <w:bookmarkEnd w:id="29"/>
      <w:bookmarkEnd w:id="30"/>
    </w:p>
    <w:p w:rsidR="00572ECF" w:rsidRDefault="00572ECF">
      <w:pPr>
        <w:rPr>
          <w:rFonts w:ascii="Arial Unicode MS" w:hAnsi="Arial Unicode MS"/>
          <w:lang w:val="zh-CN"/>
        </w:rPr>
      </w:pP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在本招募说明书中，除非文义另有所指，下列词语具有以下含义：</w:t>
      </w:r>
    </w:p>
    <w:p w:rsidR="00572ECF" w:rsidRDefault="00915AEA">
      <w:pPr>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、基金或本基金：</w:t>
      </w:r>
      <w:proofErr w:type="gramStart"/>
      <w:r>
        <w:rPr>
          <w:rFonts w:asciiTheme="minorEastAsia" w:eastAsiaTheme="minorEastAsia" w:hAnsiTheme="minorEastAsia" w:cs="Arial" w:hint="eastAsia"/>
          <w:sz w:val="24"/>
          <w:szCs w:val="24"/>
        </w:rPr>
        <w:t>指富荣</w:t>
      </w:r>
      <w:proofErr w:type="gramEnd"/>
      <w:r>
        <w:rPr>
          <w:rFonts w:asciiTheme="minorEastAsia" w:eastAsiaTheme="minorEastAsia" w:hAnsiTheme="minorEastAsia" w:cs="Arial" w:hint="eastAsia"/>
          <w:sz w:val="24"/>
          <w:szCs w:val="24"/>
        </w:rPr>
        <w:t>富安债券型证券投资基金</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、基金管理人：</w:t>
      </w:r>
      <w:proofErr w:type="gramStart"/>
      <w:r>
        <w:rPr>
          <w:rFonts w:asciiTheme="minorEastAsia" w:eastAsiaTheme="minorEastAsia" w:hAnsiTheme="minorEastAsia" w:cs="Arial" w:hint="eastAsia"/>
          <w:sz w:val="24"/>
          <w:szCs w:val="24"/>
        </w:rPr>
        <w:t>指富荣基金</w:t>
      </w:r>
      <w:proofErr w:type="gramEnd"/>
      <w:r>
        <w:rPr>
          <w:rFonts w:asciiTheme="minorEastAsia" w:eastAsiaTheme="minorEastAsia" w:hAnsiTheme="minorEastAsia" w:cs="Arial" w:hint="eastAsia"/>
          <w:sz w:val="24"/>
          <w:szCs w:val="24"/>
        </w:rPr>
        <w:t>管理有限公司</w:t>
      </w:r>
      <w:r>
        <w:rPr>
          <w:rFonts w:asciiTheme="minorEastAsia" w:eastAsiaTheme="minorEastAsia" w:hAnsiTheme="minorEastAsia" w:cs="Arial"/>
          <w:sz w:val="24"/>
          <w:szCs w:val="24"/>
        </w:rPr>
        <w:t xml:space="preserve">      </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、基金托管人：指广州农村商业银行股份有限公司</w:t>
      </w:r>
      <w:r>
        <w:rPr>
          <w:rFonts w:asciiTheme="minorEastAsia" w:eastAsiaTheme="minorEastAsia" w:hAnsiTheme="minorEastAsia" w:cs="Arial"/>
          <w:sz w:val="24"/>
          <w:szCs w:val="24"/>
        </w:rPr>
        <w:t xml:space="preserve">    </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、基金合同：指《富荣富安债券型证券投资基金基金合同》及对基金合同的任何有效修订和补充</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、托管协议：指基金管理人与基金托管人就本基金签订之《富荣富安债券型证券投资基金托管协议》及对该托管协议的任何有效修订和补充</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、招募说明书或本招募说明书：指《富荣富安债券型证券投资基金招募说明书》及其定期的更新</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、基金份额发售公告：指《富荣富安债券型证券投资基金基金份额发售公告》</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、法律法规：指中国现行有效并公布实施的法律、行政法规、规范性文件、司法解释、行政规章以及其他对基金合同当事人有约束力的决定、决议、通知等</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9</w:t>
      </w:r>
      <w:r>
        <w:rPr>
          <w:rFonts w:asciiTheme="minorEastAsia" w:eastAsiaTheme="minorEastAsia" w:hAnsiTheme="minorEastAsia" w:cs="Arial" w:hint="eastAsia"/>
          <w:sz w:val="24"/>
          <w:szCs w:val="24"/>
        </w:rPr>
        <w:t>、《基金法》：指</w:t>
      </w:r>
      <w:r>
        <w:rPr>
          <w:rFonts w:asciiTheme="minorEastAsia" w:eastAsiaTheme="minorEastAsia" w:hAnsiTheme="minorEastAsia" w:cs="Arial"/>
          <w:sz w:val="24"/>
          <w:szCs w:val="24"/>
        </w:rPr>
        <w:t>2003</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10</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28</w:t>
      </w:r>
      <w:r>
        <w:rPr>
          <w:rFonts w:asciiTheme="minorEastAsia" w:eastAsiaTheme="minorEastAsia" w:hAnsiTheme="minorEastAsia" w:cs="Arial" w:hint="eastAsia"/>
          <w:sz w:val="24"/>
          <w:szCs w:val="24"/>
        </w:rPr>
        <w:t>日经第十届全国人民代表大会常务委员会第五次会议通过，经</w:t>
      </w:r>
      <w:r>
        <w:rPr>
          <w:rFonts w:asciiTheme="minorEastAsia" w:eastAsiaTheme="minorEastAsia" w:hAnsiTheme="minorEastAsia" w:cs="Arial"/>
          <w:sz w:val="24"/>
          <w:szCs w:val="24"/>
        </w:rPr>
        <w:t>2012</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12</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28</w:t>
      </w:r>
      <w:r>
        <w:rPr>
          <w:rFonts w:asciiTheme="minorEastAsia" w:eastAsiaTheme="minorEastAsia" w:hAnsiTheme="minorEastAsia" w:cs="Arial" w:hint="eastAsia"/>
          <w:sz w:val="24"/>
          <w:szCs w:val="24"/>
        </w:rPr>
        <w:t>日第十一届全国人民代表大会常务委员会第三十次会议修订，自</w:t>
      </w:r>
      <w:r>
        <w:rPr>
          <w:rFonts w:asciiTheme="minorEastAsia" w:eastAsiaTheme="minorEastAsia" w:hAnsiTheme="minorEastAsia" w:cs="Arial"/>
          <w:sz w:val="24"/>
          <w:szCs w:val="24"/>
        </w:rPr>
        <w:t>2013</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日起实施，并经</w:t>
      </w:r>
      <w:r>
        <w:rPr>
          <w:rFonts w:asciiTheme="minorEastAsia" w:eastAsiaTheme="minorEastAsia" w:hAnsiTheme="minorEastAsia" w:cs="Arial"/>
          <w:sz w:val="24"/>
          <w:szCs w:val="24"/>
        </w:rPr>
        <w:t>2015</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24</w:t>
      </w:r>
      <w:r>
        <w:rPr>
          <w:rFonts w:asciiTheme="minorEastAsia" w:eastAsiaTheme="minorEastAsia" w:hAnsiTheme="minorEastAsia" w:cs="Arial" w:hint="eastAsia"/>
          <w:sz w:val="24"/>
          <w:szCs w:val="24"/>
        </w:rPr>
        <w:t>日第十二届全国人民代表大会常务委员会第十四次会议《全国人民代表大会常务委员会关于修改</w:t>
      </w:r>
      <w:r>
        <w:rPr>
          <w:rFonts w:asciiTheme="minorEastAsia" w:eastAsiaTheme="minorEastAsia" w:hAnsiTheme="minorEastAsia" w:cs="Arial"/>
          <w:sz w:val="24"/>
          <w:szCs w:val="24"/>
        </w:rPr>
        <w:t>&lt;</w:t>
      </w:r>
      <w:r>
        <w:rPr>
          <w:rFonts w:asciiTheme="minorEastAsia" w:eastAsiaTheme="minorEastAsia" w:hAnsiTheme="minorEastAsia" w:cs="Arial" w:hint="eastAsia"/>
          <w:sz w:val="24"/>
          <w:szCs w:val="24"/>
        </w:rPr>
        <w:t>中华人民共和国港口法</w:t>
      </w:r>
      <w:r>
        <w:rPr>
          <w:rFonts w:asciiTheme="minorEastAsia" w:eastAsiaTheme="minorEastAsia" w:hAnsiTheme="minorEastAsia" w:cs="Arial"/>
          <w:sz w:val="24"/>
          <w:szCs w:val="24"/>
        </w:rPr>
        <w:t>&gt;</w:t>
      </w:r>
      <w:r>
        <w:rPr>
          <w:rFonts w:asciiTheme="minorEastAsia" w:eastAsiaTheme="minorEastAsia" w:hAnsiTheme="minorEastAsia" w:cs="Arial" w:hint="eastAsia"/>
          <w:sz w:val="24"/>
          <w:szCs w:val="24"/>
        </w:rPr>
        <w:t>等七部法律的决定》修改的《中华人民共和国证券投资基金法》及颁布机关对其不时做出的修订</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10</w:t>
      </w:r>
      <w:r>
        <w:rPr>
          <w:rFonts w:asciiTheme="minorEastAsia" w:eastAsiaTheme="minorEastAsia" w:hAnsiTheme="minorEastAsia" w:cs="Arial" w:hint="eastAsia"/>
          <w:sz w:val="24"/>
          <w:szCs w:val="24"/>
        </w:rPr>
        <w:t>、《销售办法》：指中国证监会</w:t>
      </w:r>
      <w:r>
        <w:rPr>
          <w:rFonts w:asciiTheme="minorEastAsia" w:eastAsiaTheme="minorEastAsia" w:hAnsiTheme="minorEastAsia" w:cs="Arial"/>
          <w:sz w:val="24"/>
          <w:szCs w:val="24"/>
        </w:rPr>
        <w:t>2013</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15</w:t>
      </w:r>
      <w:r>
        <w:rPr>
          <w:rFonts w:asciiTheme="minorEastAsia" w:eastAsiaTheme="minorEastAsia" w:hAnsiTheme="minorEastAsia" w:cs="Arial" w:hint="eastAsia"/>
          <w:sz w:val="24"/>
          <w:szCs w:val="24"/>
        </w:rPr>
        <w:t>日颁布、同年</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日实施的《证券投资基金销售管理办法》及颁布机关对其不时做出的修订</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11</w:t>
      </w:r>
      <w:r>
        <w:rPr>
          <w:rFonts w:asciiTheme="minorEastAsia" w:eastAsiaTheme="minorEastAsia" w:hAnsiTheme="minorEastAsia" w:cs="Arial" w:hint="eastAsia"/>
          <w:sz w:val="24"/>
          <w:szCs w:val="24"/>
        </w:rPr>
        <w:t>、《信息披露办法》：指中国证监会</w:t>
      </w:r>
      <w:r>
        <w:rPr>
          <w:rFonts w:asciiTheme="minorEastAsia" w:eastAsiaTheme="minorEastAsia" w:hAnsiTheme="minorEastAsia" w:cs="Arial"/>
          <w:sz w:val="24"/>
          <w:szCs w:val="24"/>
        </w:rPr>
        <w:t>2004</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日颁布、同年</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日实施的《证券投资基金信息披露管理办法》及颁布机关对其不时做出的修订</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12</w:t>
      </w:r>
      <w:r>
        <w:rPr>
          <w:rFonts w:asciiTheme="minorEastAsia" w:eastAsiaTheme="minorEastAsia" w:hAnsiTheme="minorEastAsia" w:cs="Arial" w:hint="eastAsia"/>
          <w:sz w:val="24"/>
          <w:szCs w:val="24"/>
        </w:rPr>
        <w:t>、《运作办法》：指中国证监会</w:t>
      </w:r>
      <w:r>
        <w:rPr>
          <w:rFonts w:asciiTheme="minorEastAsia" w:eastAsiaTheme="minorEastAsia" w:hAnsiTheme="minorEastAsia" w:cs="Arial"/>
          <w:sz w:val="24"/>
          <w:szCs w:val="24"/>
        </w:rPr>
        <w:t>2014</w:t>
      </w:r>
      <w:r>
        <w:rPr>
          <w:rFonts w:asciiTheme="minorEastAsia" w:eastAsiaTheme="minorEastAsia" w:hAnsiTheme="minorEastAsia" w:cs="Arial" w:hint="eastAsia"/>
          <w:sz w:val="24"/>
          <w:szCs w:val="24"/>
        </w:rPr>
        <w:t>年</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日颁布、同年</w:t>
      </w: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月</w:t>
      </w: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日实施的《公开募集证券投资基金运作管理办法》及颁布机关对其不时做出的修订</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13、《管理规定》：指中国证监会2017年8月31日颁布、同年10月1日实施的《公开募集开放式证券投资基金流动性风险管理规定》及颁布机关对其不</w:t>
      </w:r>
      <w:r>
        <w:rPr>
          <w:rFonts w:asciiTheme="minorEastAsia" w:eastAsiaTheme="minorEastAsia" w:hAnsiTheme="minorEastAsia" w:cs="Arial" w:hint="eastAsia"/>
          <w:sz w:val="24"/>
          <w:szCs w:val="24"/>
        </w:rPr>
        <w:lastRenderedPageBreak/>
        <w:t>时做出的修订</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4、中国证监会：指中国证券监督管理委员会</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5、银行业监督管理机构：指中国人民银行和/或中国银行业监督管理委员会</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6、基金合同当事人：指受基金合同约束，根据基金合同享有权利并承担义务的法律主体，包括基金管理人、基金托管人和基金份额持有人</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7、个人投资者：指依据有关法律法规规定可投资于证券投资基金的自然人</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8、机构投资者：指依法可以投资证券投资基金的、在中华人民共和国境内合法登记并存续或经有关政府部门批准设立并存续的企业法人、事业法人、社会团体或其他组织</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9、合格境外机构投资者：指符合相关法律法规规定可以投资于在中国境内依法募集的证券投资基金的中国境外的机构投资者</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20、投资人：指个人投资者、机构投资者和合格境外机构投资者以及法律法规或中国证监会允许购买证券投资基金的其他投资人的合称</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1、基金份额持有人：指依基金合同和招募说明书合法取得基金份额的投资人</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2、基金销售业务：指基金管理人或销售机构宣传推介基金，发售基金份额，办理基金份额的申购、赎回、转换、转托管及定期定额投资等业务</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3、销售机构：</w:t>
      </w:r>
      <w:proofErr w:type="gramStart"/>
      <w:r>
        <w:rPr>
          <w:rFonts w:asciiTheme="minorEastAsia" w:eastAsiaTheme="minorEastAsia" w:hAnsiTheme="minorEastAsia" w:cs="Arial" w:hint="eastAsia"/>
          <w:sz w:val="24"/>
          <w:szCs w:val="24"/>
        </w:rPr>
        <w:t>指富荣基金</w:t>
      </w:r>
      <w:proofErr w:type="gramEnd"/>
      <w:r>
        <w:rPr>
          <w:rFonts w:asciiTheme="minorEastAsia" w:eastAsiaTheme="minorEastAsia" w:hAnsiTheme="minorEastAsia" w:cs="Arial" w:hint="eastAsia"/>
          <w:sz w:val="24"/>
          <w:szCs w:val="24"/>
        </w:rPr>
        <w:t>管理有限公司以及符合《销售办法》和中国证监会规定的其他条件，取得基金销售业务资格并与基金管理人签订了基金销售服务协议，办理基金销售业务的机构</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4、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eastAsiaTheme="minorEastAsia" w:hAnsiTheme="minorEastAsia" w:cs="Arial" w:hint="eastAsia"/>
          <w:sz w:val="24"/>
          <w:szCs w:val="24"/>
        </w:rPr>
        <w:t>非交易</w:t>
      </w:r>
      <w:proofErr w:type="gramEnd"/>
      <w:r>
        <w:rPr>
          <w:rFonts w:asciiTheme="minorEastAsia" w:eastAsiaTheme="minorEastAsia" w:hAnsiTheme="minorEastAsia" w:cs="Arial" w:hint="eastAsia"/>
          <w:sz w:val="24"/>
          <w:szCs w:val="24"/>
        </w:rPr>
        <w:t>过户等</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5、登记机构：</w:t>
      </w:r>
      <w:proofErr w:type="gramStart"/>
      <w:r>
        <w:rPr>
          <w:rFonts w:asciiTheme="minorEastAsia" w:eastAsiaTheme="minorEastAsia" w:hAnsiTheme="minorEastAsia" w:cs="Arial" w:hint="eastAsia"/>
          <w:sz w:val="24"/>
          <w:szCs w:val="24"/>
        </w:rPr>
        <w:t>指办理</w:t>
      </w:r>
      <w:proofErr w:type="gramEnd"/>
      <w:r>
        <w:rPr>
          <w:rFonts w:asciiTheme="minorEastAsia" w:eastAsiaTheme="minorEastAsia" w:hAnsiTheme="minorEastAsia" w:cs="Arial" w:hint="eastAsia"/>
          <w:sz w:val="24"/>
          <w:szCs w:val="24"/>
        </w:rPr>
        <w:t>登记业务的机构。基金的登记机构为富</w:t>
      </w:r>
      <w:proofErr w:type="gramStart"/>
      <w:r>
        <w:rPr>
          <w:rFonts w:asciiTheme="minorEastAsia" w:eastAsiaTheme="minorEastAsia" w:hAnsiTheme="minorEastAsia" w:cs="Arial" w:hint="eastAsia"/>
          <w:sz w:val="24"/>
          <w:szCs w:val="24"/>
        </w:rPr>
        <w:t>荣基金</w:t>
      </w:r>
      <w:proofErr w:type="gramEnd"/>
      <w:r>
        <w:rPr>
          <w:rFonts w:asciiTheme="minorEastAsia" w:eastAsiaTheme="minorEastAsia" w:hAnsiTheme="minorEastAsia" w:cs="Arial" w:hint="eastAsia"/>
          <w:sz w:val="24"/>
          <w:szCs w:val="24"/>
        </w:rPr>
        <w:t>管理有限公司或接受富</w:t>
      </w:r>
      <w:proofErr w:type="gramStart"/>
      <w:r>
        <w:rPr>
          <w:rFonts w:asciiTheme="minorEastAsia" w:eastAsiaTheme="minorEastAsia" w:hAnsiTheme="minorEastAsia" w:cs="Arial" w:hint="eastAsia"/>
          <w:sz w:val="24"/>
          <w:szCs w:val="24"/>
        </w:rPr>
        <w:t>荣基金</w:t>
      </w:r>
      <w:proofErr w:type="gramEnd"/>
      <w:r>
        <w:rPr>
          <w:rFonts w:asciiTheme="minorEastAsia" w:eastAsiaTheme="minorEastAsia" w:hAnsiTheme="minorEastAsia" w:cs="Arial" w:hint="eastAsia"/>
          <w:sz w:val="24"/>
          <w:szCs w:val="24"/>
        </w:rPr>
        <w:t>管理有限公司委托代为办理登记业务的机构，本基金的登记机构为富</w:t>
      </w:r>
      <w:proofErr w:type="gramStart"/>
      <w:r>
        <w:rPr>
          <w:rFonts w:asciiTheme="minorEastAsia" w:eastAsiaTheme="minorEastAsia" w:hAnsiTheme="minorEastAsia" w:cs="Arial" w:hint="eastAsia"/>
          <w:sz w:val="24"/>
          <w:szCs w:val="24"/>
        </w:rPr>
        <w:t>荣基金</w:t>
      </w:r>
      <w:proofErr w:type="gramEnd"/>
      <w:r>
        <w:rPr>
          <w:rFonts w:asciiTheme="minorEastAsia" w:eastAsiaTheme="minorEastAsia" w:hAnsiTheme="minorEastAsia" w:cs="Arial" w:hint="eastAsia"/>
          <w:sz w:val="24"/>
          <w:szCs w:val="24"/>
        </w:rPr>
        <w:t>管理有限公司</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6、基金账户：指登记机构为投资人开立的、记录其持有的、基金管理人所管理的基金份额余额及其变动情况的账户</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7、基金交易账户：指销售机构为投资人开立的、记录投资人通过该销售机</w:t>
      </w:r>
      <w:r>
        <w:rPr>
          <w:rFonts w:asciiTheme="minorEastAsia" w:eastAsiaTheme="minorEastAsia" w:hAnsiTheme="minorEastAsia" w:cs="Arial" w:hint="eastAsia"/>
          <w:sz w:val="24"/>
          <w:szCs w:val="24"/>
        </w:rPr>
        <w:lastRenderedPageBreak/>
        <w:t>构办理认购、申购、赎回、转换、转托管</w:t>
      </w:r>
      <w:r>
        <w:rPr>
          <w:rFonts w:asciiTheme="minorEastAsia" w:eastAsiaTheme="minorEastAsia" w:hAnsiTheme="minorEastAsia" w:cs="Arial" w:hint="eastAsia"/>
          <w:bCs/>
          <w:sz w:val="24"/>
          <w:szCs w:val="24"/>
        </w:rPr>
        <w:t>及定期定额投资</w:t>
      </w:r>
      <w:r>
        <w:rPr>
          <w:rFonts w:asciiTheme="minorEastAsia" w:eastAsiaTheme="minorEastAsia" w:hAnsiTheme="minorEastAsia" w:cs="Arial" w:hint="eastAsia"/>
          <w:sz w:val="24"/>
          <w:szCs w:val="24"/>
        </w:rPr>
        <w:t>等业务而引起的基金份额变动及结余情况的账户</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28、基金合同生效日：指基金募集达到法律法规规定及基金合同规定的条件，基金管理人向中国证监会办理基金备案手续完毕，并获得中国证监会书面确认的日期</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9、基金合同终止日：指基金合同规定的基金合同终止事由出现后，基金财产清算完毕，清算结果报中国证监会备案并予以公告的日期</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30、基金募集期：指自基金份额发售之日起至发售结束之日止的期间，最长不得超过</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个月</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1、存续期：指基金合同生效至终止之间的不定期期限</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2、工作日：指上海证券交易所、深圳证券交易所的正常交易日</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3、</w:t>
      </w:r>
      <w:r>
        <w:rPr>
          <w:rFonts w:asciiTheme="minorEastAsia" w:eastAsiaTheme="minorEastAsia" w:hAnsiTheme="minorEastAsia" w:cs="Arial"/>
          <w:sz w:val="24"/>
          <w:szCs w:val="24"/>
        </w:rPr>
        <w:t>T</w:t>
      </w:r>
      <w:r>
        <w:rPr>
          <w:rFonts w:asciiTheme="minorEastAsia" w:eastAsiaTheme="minorEastAsia" w:hAnsiTheme="minorEastAsia" w:cs="Arial" w:hint="eastAsia"/>
          <w:sz w:val="24"/>
          <w:szCs w:val="24"/>
        </w:rPr>
        <w:t>日：指销售机构在规定时间受理投资人申购、赎回或其他业务申请的开放日</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4、</w:t>
      </w:r>
      <w:r>
        <w:rPr>
          <w:rFonts w:asciiTheme="minorEastAsia" w:eastAsiaTheme="minorEastAsia" w:hAnsiTheme="minorEastAsia" w:cs="Arial"/>
          <w:sz w:val="24"/>
          <w:szCs w:val="24"/>
        </w:rPr>
        <w:t>T+n</w:t>
      </w:r>
      <w:r>
        <w:rPr>
          <w:rFonts w:asciiTheme="minorEastAsia" w:eastAsiaTheme="minorEastAsia" w:hAnsiTheme="minorEastAsia" w:cs="Arial" w:hint="eastAsia"/>
          <w:sz w:val="24"/>
          <w:szCs w:val="24"/>
        </w:rPr>
        <w:t>日：指自</w:t>
      </w:r>
      <w:r>
        <w:rPr>
          <w:rFonts w:asciiTheme="minorEastAsia" w:eastAsiaTheme="minorEastAsia" w:hAnsiTheme="minorEastAsia" w:cs="Arial"/>
          <w:sz w:val="24"/>
          <w:szCs w:val="24"/>
        </w:rPr>
        <w:t>T</w:t>
      </w:r>
      <w:r>
        <w:rPr>
          <w:rFonts w:asciiTheme="minorEastAsia" w:eastAsiaTheme="minorEastAsia" w:hAnsiTheme="minorEastAsia" w:cs="Arial" w:hint="eastAsia"/>
          <w:sz w:val="24"/>
          <w:szCs w:val="24"/>
        </w:rPr>
        <w:t>日起第</w:t>
      </w:r>
      <w:r>
        <w:rPr>
          <w:rFonts w:asciiTheme="minorEastAsia" w:eastAsiaTheme="minorEastAsia" w:hAnsiTheme="minorEastAsia" w:cs="Arial"/>
          <w:sz w:val="24"/>
          <w:szCs w:val="24"/>
        </w:rPr>
        <w:t>n</w:t>
      </w:r>
      <w:proofErr w:type="gramStart"/>
      <w:r>
        <w:rPr>
          <w:rFonts w:asciiTheme="minorEastAsia" w:eastAsiaTheme="minorEastAsia" w:hAnsiTheme="minorEastAsia" w:cs="Arial" w:hint="eastAsia"/>
          <w:sz w:val="24"/>
          <w:szCs w:val="24"/>
        </w:rPr>
        <w:t>个</w:t>
      </w:r>
      <w:proofErr w:type="gramEnd"/>
      <w:r>
        <w:rPr>
          <w:rFonts w:asciiTheme="minorEastAsia" w:eastAsiaTheme="minorEastAsia" w:hAnsiTheme="minorEastAsia" w:cs="Arial" w:hint="eastAsia"/>
          <w:sz w:val="24"/>
          <w:szCs w:val="24"/>
        </w:rPr>
        <w:t>工作日</w:t>
      </w:r>
      <w:r>
        <w:rPr>
          <w:rFonts w:asciiTheme="minorEastAsia" w:eastAsiaTheme="minorEastAsia" w:hAnsiTheme="minorEastAsia" w:cs="Arial"/>
          <w:sz w:val="24"/>
          <w:szCs w:val="24"/>
        </w:rPr>
        <w:t>(</w:t>
      </w:r>
      <w:r>
        <w:rPr>
          <w:rFonts w:asciiTheme="minorEastAsia" w:eastAsiaTheme="minorEastAsia" w:hAnsiTheme="minorEastAsia" w:cs="Arial" w:hint="eastAsia"/>
          <w:sz w:val="24"/>
          <w:szCs w:val="24"/>
        </w:rPr>
        <w:t>不包含</w:t>
      </w:r>
      <w:r>
        <w:rPr>
          <w:rFonts w:asciiTheme="minorEastAsia" w:eastAsiaTheme="minorEastAsia" w:hAnsiTheme="minorEastAsia" w:cs="Arial"/>
          <w:sz w:val="24"/>
          <w:szCs w:val="24"/>
        </w:rPr>
        <w:t>T</w:t>
      </w:r>
      <w:r>
        <w:rPr>
          <w:rFonts w:asciiTheme="minorEastAsia" w:eastAsiaTheme="minorEastAsia" w:hAnsiTheme="minorEastAsia" w:cs="Arial" w:hint="eastAsia"/>
          <w:sz w:val="24"/>
          <w:szCs w:val="24"/>
        </w:rPr>
        <w:t>日</w:t>
      </w:r>
      <w:r>
        <w:rPr>
          <w:rFonts w:asciiTheme="minorEastAsia" w:eastAsiaTheme="minorEastAsia" w:hAnsiTheme="minorEastAsia" w:cs="Arial"/>
          <w:sz w:val="24"/>
          <w:szCs w:val="24"/>
        </w:rPr>
        <w:t>)</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5、开放日：指为投资人办理基金份额申购、赎回或其他业务的工作日</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6、开放时间：指开放日基金接受申购、赎回或其他交易的时间段</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7、《业务规则》：指《富荣基金管理有限公司开放式基金业务规则》，是规范基金管理人所管理的开放式证券投资基金登记方面的业务规则，由基金管理人和投资人共同遵守</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8、认购：指在基金募集期内，投资人根据基金合同和招募说明书的规定申请购买基金份额的行为</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9、申购：指基金合同生效后，投资人根据基金合同和招募说明书的规定申请购买基金份额的行为</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40、赎回：指基金合同生效后，基金份额持有人按基金合同和招募说明书规定的条件要求将基金份额兑换为现金的行为</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1、基金转换：指基金份额持有人按照基金合同和基金管理人届时有效公告规定的条件，申请将其持有基金管理人管理的、某一基金的基金份额转换为基金管理人管理的其他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eastAsiaTheme="minorEastAsia" w:hAnsiTheme="minorEastAsia" w:cs="Arial" w:hint="eastAsia"/>
          <w:sz w:val="24"/>
          <w:szCs w:val="24"/>
        </w:rPr>
        <w:t>基金基金</w:t>
      </w:r>
      <w:proofErr w:type="gramEnd"/>
      <w:r>
        <w:rPr>
          <w:rFonts w:asciiTheme="minorEastAsia" w:eastAsiaTheme="minorEastAsia" w:hAnsiTheme="minorEastAsia" w:cs="Arial" w:hint="eastAsia"/>
          <w:sz w:val="24"/>
          <w:szCs w:val="24"/>
        </w:rPr>
        <w:t>份额的行为</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2、转托管：指基金份额持有人在本基金的不同销售机构之间实施的变更所持基金份额销售机构的操作</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lastRenderedPageBreak/>
        <w:t>4</w:t>
      </w:r>
      <w:r>
        <w:rPr>
          <w:rFonts w:asciiTheme="minorEastAsia" w:eastAsiaTheme="minorEastAsia" w:hAnsiTheme="minorEastAsia" w:cs="Arial" w:hint="eastAsia"/>
          <w:sz w:val="24"/>
          <w:szCs w:val="24"/>
        </w:rPr>
        <w:t>3、定期定额投资计划：指投资人通过有关销售机构提出申请，约定每期申购日、扣款金额及扣款方式，由销售机构于每期约定扣款日在投资人指定银行账户内自动完成扣款及受理基金申购申请的一种投资方式</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4、巨额赎回：指本基金单个开放日，基金净赎回申请</w:t>
      </w:r>
      <w:r>
        <w:rPr>
          <w:rFonts w:asciiTheme="minorEastAsia" w:eastAsiaTheme="minorEastAsia" w:hAnsiTheme="minorEastAsia" w:cs="Arial"/>
          <w:sz w:val="24"/>
          <w:szCs w:val="24"/>
        </w:rPr>
        <w:t>(</w:t>
      </w:r>
      <w:r>
        <w:rPr>
          <w:rFonts w:asciiTheme="minorEastAsia" w:eastAsiaTheme="minorEastAsia" w:hAnsiTheme="minorEastAsia" w:cs="Arial" w:hint="eastAsia"/>
          <w:sz w:val="24"/>
          <w:szCs w:val="24"/>
        </w:rPr>
        <w:t>赎回申请份额总数加上基金转换中转出申请份额总数后扣除申购申请份额总数及基金转换中转入申请份额总数后的余额</w:t>
      </w:r>
      <w:r>
        <w:rPr>
          <w:rFonts w:asciiTheme="minorEastAsia" w:eastAsiaTheme="minorEastAsia" w:hAnsiTheme="minorEastAsia" w:cs="Arial"/>
          <w:sz w:val="24"/>
          <w:szCs w:val="24"/>
        </w:rPr>
        <w:t>)</w:t>
      </w:r>
      <w:r>
        <w:rPr>
          <w:rFonts w:asciiTheme="minorEastAsia" w:eastAsiaTheme="minorEastAsia" w:hAnsiTheme="minorEastAsia" w:cs="Arial" w:hint="eastAsia"/>
          <w:sz w:val="24"/>
          <w:szCs w:val="24"/>
        </w:rPr>
        <w:t>超过上一开放日基金总份额的</w:t>
      </w:r>
      <w:r>
        <w:rPr>
          <w:rFonts w:asciiTheme="minorEastAsia" w:eastAsiaTheme="minorEastAsia" w:hAnsiTheme="minorEastAsia" w:cs="Arial"/>
          <w:sz w:val="24"/>
          <w:szCs w:val="24"/>
        </w:rPr>
        <w:t>10%</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5、元：指人民币元</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6、基金收益：指基金投资所得红利、股息、债券利息、买卖证券价差、银行存款利息、已实现的其他合法收入及因运用基金财产带来的成本和费用的节约</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7、基金资产总值：指基金拥有的各类有价证券、银行存款本息、基金应收款项及其他资产的价值总和</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8、基金资产净值：指基金资产总值减去基金负债后的价值</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9、基金份额净值：指计算日基金资产净值除以计算日基金份额总数</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50、基金资产估值：指计算评估基金资产和负债的价值，以确定基金资产净值和基金份额净值的过程</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1、指定媒介：指中国证监会指定的用以进行信息披露的报刊、互联网网站及其他媒介</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2、基金份额的类别：本基金根据是否收取销售服务费以及认购、申购费用的差异，将基金份额分为不同的类别</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3、</w:t>
      </w:r>
      <w:r>
        <w:rPr>
          <w:rFonts w:asciiTheme="minorEastAsia" w:eastAsiaTheme="minorEastAsia" w:hAnsiTheme="minorEastAsia" w:cs="Arial"/>
          <w:sz w:val="24"/>
          <w:szCs w:val="24"/>
        </w:rPr>
        <w:t>A</w:t>
      </w:r>
      <w:r>
        <w:rPr>
          <w:rFonts w:asciiTheme="minorEastAsia" w:eastAsiaTheme="minorEastAsia" w:hAnsiTheme="minorEastAsia" w:cs="Arial" w:hint="eastAsia"/>
          <w:sz w:val="24"/>
          <w:szCs w:val="24"/>
        </w:rPr>
        <w:t>类基金份额：指在投资者认购、申购时收取认购、申购费用，不从本类别基金资产中计</w:t>
      </w:r>
      <w:proofErr w:type="gramStart"/>
      <w:r>
        <w:rPr>
          <w:rFonts w:asciiTheme="minorEastAsia" w:eastAsiaTheme="minorEastAsia" w:hAnsiTheme="minorEastAsia" w:cs="Arial" w:hint="eastAsia"/>
          <w:sz w:val="24"/>
          <w:szCs w:val="24"/>
        </w:rPr>
        <w:t>提销售</w:t>
      </w:r>
      <w:proofErr w:type="gramEnd"/>
      <w:r>
        <w:rPr>
          <w:rFonts w:asciiTheme="minorEastAsia" w:eastAsiaTheme="minorEastAsia" w:hAnsiTheme="minorEastAsia" w:cs="Arial" w:hint="eastAsia"/>
          <w:sz w:val="24"/>
          <w:szCs w:val="24"/>
        </w:rPr>
        <w:t>服务费的基金份额，称为</w:t>
      </w:r>
      <w:r>
        <w:rPr>
          <w:rFonts w:asciiTheme="minorEastAsia" w:eastAsiaTheme="minorEastAsia" w:hAnsiTheme="minorEastAsia" w:cs="Arial"/>
          <w:sz w:val="24"/>
          <w:szCs w:val="24"/>
        </w:rPr>
        <w:t>A</w:t>
      </w:r>
      <w:r>
        <w:rPr>
          <w:rFonts w:asciiTheme="minorEastAsia" w:eastAsiaTheme="minorEastAsia" w:hAnsiTheme="minorEastAsia" w:cs="Arial" w:hint="eastAsia"/>
          <w:sz w:val="24"/>
          <w:szCs w:val="24"/>
        </w:rPr>
        <w:t>类基金份额</w:t>
      </w:r>
    </w:p>
    <w:p w:rsidR="00572ECF" w:rsidRDefault="00915AEA">
      <w:pPr>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4、</w:t>
      </w:r>
      <w:r>
        <w:rPr>
          <w:rFonts w:asciiTheme="minorEastAsia" w:eastAsiaTheme="minorEastAsia" w:hAnsiTheme="minorEastAsia" w:cs="Arial"/>
          <w:sz w:val="24"/>
          <w:szCs w:val="24"/>
        </w:rPr>
        <w:t>C</w:t>
      </w:r>
      <w:r>
        <w:rPr>
          <w:rFonts w:asciiTheme="minorEastAsia" w:eastAsiaTheme="minorEastAsia" w:hAnsiTheme="minorEastAsia" w:cs="Arial" w:hint="eastAsia"/>
          <w:sz w:val="24"/>
          <w:szCs w:val="24"/>
        </w:rPr>
        <w:t>类基金份额：指在投资者认购、申购时不收取认购、申购费用，但从本类别基金资产中计</w:t>
      </w:r>
      <w:proofErr w:type="gramStart"/>
      <w:r>
        <w:rPr>
          <w:rFonts w:asciiTheme="minorEastAsia" w:eastAsiaTheme="minorEastAsia" w:hAnsiTheme="minorEastAsia" w:cs="Arial" w:hint="eastAsia"/>
          <w:sz w:val="24"/>
          <w:szCs w:val="24"/>
        </w:rPr>
        <w:t>提销售</w:t>
      </w:r>
      <w:proofErr w:type="gramEnd"/>
      <w:r>
        <w:rPr>
          <w:rFonts w:asciiTheme="minorEastAsia" w:eastAsiaTheme="minorEastAsia" w:hAnsiTheme="minorEastAsia" w:cs="Arial" w:hint="eastAsia"/>
          <w:sz w:val="24"/>
          <w:szCs w:val="24"/>
        </w:rPr>
        <w:t>服务费的基金份额，称为</w:t>
      </w:r>
      <w:r>
        <w:rPr>
          <w:rFonts w:asciiTheme="minorEastAsia" w:eastAsiaTheme="minorEastAsia" w:hAnsiTheme="minorEastAsia" w:cs="Arial"/>
          <w:sz w:val="24"/>
          <w:szCs w:val="24"/>
        </w:rPr>
        <w:t>C</w:t>
      </w:r>
      <w:r>
        <w:rPr>
          <w:rFonts w:asciiTheme="minorEastAsia" w:eastAsiaTheme="minorEastAsia" w:hAnsiTheme="minorEastAsia" w:cs="Arial" w:hint="eastAsia"/>
          <w:sz w:val="24"/>
          <w:szCs w:val="24"/>
        </w:rPr>
        <w:t>类基金份额</w:t>
      </w:r>
    </w:p>
    <w:p w:rsidR="00572ECF" w:rsidRDefault="00915AEA">
      <w:pPr>
        <w:spacing w:line="360" w:lineRule="auto"/>
        <w:ind w:firstLineChars="200" w:firstLine="480"/>
        <w:rPr>
          <w:bCs/>
          <w:sz w:val="24"/>
          <w:szCs w:val="24"/>
        </w:rPr>
      </w:pPr>
      <w:r>
        <w:rPr>
          <w:rFonts w:hint="eastAsia"/>
          <w:bCs/>
          <w:sz w:val="24"/>
          <w:szCs w:val="24"/>
        </w:rPr>
        <w:t>55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约定有条件提前支取的银行存款）、停牌股票、流通受限的新股及非公开发行股票、资产支持证券、因发行人债务违约无法进行转让或交易的债券等</w:t>
      </w:r>
    </w:p>
    <w:p w:rsidR="00572ECF" w:rsidRDefault="00915AEA">
      <w:pPr>
        <w:spacing w:line="360" w:lineRule="auto"/>
        <w:ind w:firstLineChars="200" w:firstLine="480"/>
        <w:rPr>
          <w:bCs/>
          <w:sz w:val="24"/>
          <w:szCs w:val="24"/>
        </w:rPr>
      </w:pPr>
      <w:r>
        <w:rPr>
          <w:rFonts w:hint="eastAsia"/>
          <w:bCs/>
          <w:sz w:val="24"/>
          <w:szCs w:val="24"/>
        </w:rPr>
        <w:t>56</w:t>
      </w:r>
      <w:r>
        <w:rPr>
          <w:rFonts w:hint="eastAsia"/>
          <w:bCs/>
          <w:sz w:val="24"/>
          <w:szCs w:val="24"/>
        </w:rPr>
        <w:t>、摆动定价机制：是指当开放式基金遭遇大额申购赎回时，通过调整基金份额净值的方式，将基金调整投资组合的市场冲击成本分配给实际申购、赎回的</w:t>
      </w:r>
      <w:r>
        <w:rPr>
          <w:rFonts w:hint="eastAsia"/>
          <w:bCs/>
          <w:sz w:val="24"/>
          <w:szCs w:val="24"/>
        </w:rPr>
        <w:lastRenderedPageBreak/>
        <w:t>投资者，从而减少对存量基金份额持有人利益的不利影响，确保投资者的合法权益不受损害并得到公平对待</w:t>
      </w:r>
    </w:p>
    <w:p w:rsidR="00572ECF" w:rsidRDefault="00915AEA">
      <w:pPr>
        <w:spacing w:line="360" w:lineRule="auto"/>
        <w:ind w:firstLineChars="200" w:firstLine="480"/>
        <w:rPr>
          <w:bCs/>
          <w:sz w:val="24"/>
        </w:rPr>
      </w:pPr>
      <w:r>
        <w:rPr>
          <w:bCs/>
          <w:sz w:val="24"/>
        </w:rPr>
        <w:t>57</w:t>
      </w:r>
      <w:r>
        <w:rPr>
          <w:rFonts w:hint="eastAsia"/>
          <w:bCs/>
          <w:sz w:val="24"/>
        </w:rPr>
        <w:t>、不可抗力：指本基金合同当事人不能预见、不能避免且不能克服的客观事件</w:t>
      </w: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1072F0" w:rsidRDefault="001072F0">
      <w:pPr>
        <w:spacing w:line="360" w:lineRule="auto"/>
        <w:ind w:firstLineChars="200" w:firstLine="480"/>
        <w:rPr>
          <w:bCs/>
          <w:sz w:val="24"/>
        </w:rPr>
      </w:pPr>
    </w:p>
    <w:p w:rsidR="00572ECF" w:rsidRDefault="00915AEA" w:rsidP="00B2071A">
      <w:pPr>
        <w:pStyle w:val="1"/>
        <w:snapToGrid w:val="0"/>
        <w:spacing w:before="0" w:after="0" w:line="360" w:lineRule="auto"/>
        <w:ind w:firstLine="452"/>
        <w:rPr>
          <w:rFonts w:ascii="Arial Unicode MS" w:eastAsia="宋体" w:hAnsi="Arial Unicode MS" w:cs="Arial"/>
          <w:b/>
          <w:bCs/>
          <w:sz w:val="30"/>
          <w:szCs w:val="30"/>
        </w:rPr>
      </w:pPr>
      <w:bookmarkStart w:id="31" w:name="_Toc147463120"/>
      <w:bookmarkStart w:id="32" w:name="_Toc21073393"/>
      <w:bookmarkStart w:id="33" w:name="_Toc12357173"/>
      <w:bookmarkStart w:id="34" w:name="_Toc386115300"/>
      <w:bookmarkStart w:id="35" w:name="_Toc214873592"/>
      <w:bookmarkStart w:id="36" w:name="_Toc527465994"/>
      <w:r>
        <w:rPr>
          <w:rFonts w:ascii="Arial Unicode MS" w:eastAsia="宋体" w:hAnsi="Arial Unicode MS" w:cs="Arial" w:hint="eastAsia"/>
          <w:b/>
          <w:bCs/>
          <w:sz w:val="30"/>
          <w:szCs w:val="30"/>
        </w:rPr>
        <w:lastRenderedPageBreak/>
        <w:t>第三部分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基金管理人</w:t>
      </w:r>
      <w:bookmarkEnd w:id="31"/>
      <w:bookmarkEnd w:id="32"/>
      <w:bookmarkEnd w:id="33"/>
      <w:bookmarkEnd w:id="34"/>
      <w:bookmarkEnd w:id="35"/>
      <w:bookmarkEnd w:id="36"/>
    </w:p>
    <w:p w:rsidR="00572ECF" w:rsidRDefault="00572ECF">
      <w:pPr>
        <w:rPr>
          <w:rFonts w:ascii="Arial Unicode MS" w:hAnsi="Arial Unicode MS"/>
          <w:sz w:val="24"/>
          <w:szCs w:val="24"/>
          <w:lang w:val="zh-CN"/>
        </w:rPr>
      </w:pPr>
    </w:p>
    <w:p w:rsidR="00572ECF" w:rsidRDefault="00915AEA">
      <w:pPr>
        <w:tabs>
          <w:tab w:val="left" w:pos="1110"/>
        </w:tabs>
        <w:adjustRightInd w:val="0"/>
        <w:snapToGrid w:val="0"/>
        <w:spacing w:line="360" w:lineRule="auto"/>
        <w:ind w:firstLineChars="200" w:firstLine="482"/>
        <w:rPr>
          <w:rFonts w:ascii="Arial Unicode MS" w:hAnsi="Arial Unicode MS" w:cs="Arial"/>
          <w:b/>
          <w:bCs/>
          <w:sz w:val="24"/>
          <w:szCs w:val="24"/>
        </w:rPr>
      </w:pPr>
      <w:bookmarkStart w:id="37" w:name="_Toc238013747"/>
      <w:bookmarkStart w:id="38" w:name="_Hlt88897298"/>
      <w:bookmarkEnd w:id="37"/>
      <w:bookmarkEnd w:id="38"/>
      <w:r>
        <w:rPr>
          <w:rFonts w:ascii="Arial Unicode MS" w:hAnsi="Arial Unicode MS" w:cs="Arial" w:hint="eastAsia"/>
          <w:b/>
          <w:bCs/>
          <w:sz w:val="24"/>
          <w:szCs w:val="24"/>
        </w:rPr>
        <w:t>一、基金管理人概况</w:t>
      </w:r>
    </w:p>
    <w:p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名称：富</w:t>
      </w:r>
      <w:proofErr w:type="gramStart"/>
      <w:r w:rsidRPr="00F11DF6">
        <w:rPr>
          <w:rFonts w:ascii="宋体" w:hAnsi="宋体" w:cs="Arial" w:hint="eastAsia"/>
          <w:kern w:val="0"/>
          <w:sz w:val="24"/>
          <w:szCs w:val="24"/>
        </w:rPr>
        <w:t>荣基金</w:t>
      </w:r>
      <w:proofErr w:type="gramEnd"/>
      <w:r w:rsidRPr="00F11DF6">
        <w:rPr>
          <w:rFonts w:ascii="宋体" w:hAnsi="宋体" w:cs="Arial" w:hint="eastAsia"/>
          <w:kern w:val="0"/>
          <w:sz w:val="24"/>
          <w:szCs w:val="24"/>
        </w:rPr>
        <w:t>管理有限公司</w:t>
      </w:r>
    </w:p>
    <w:p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 xml:space="preserve">注册地址：广州市南沙区海滨路171号南沙金融大厦11楼1101之一J20室 </w:t>
      </w:r>
    </w:p>
    <w:p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办公地址：深圳市福田区深南大道2012号深圳证券交易所广场3501室</w:t>
      </w:r>
    </w:p>
    <w:p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 xml:space="preserve">法定代表人：刘志军 </w:t>
      </w:r>
    </w:p>
    <w:p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设立日期：2016年1月25日</w:t>
      </w:r>
    </w:p>
    <w:p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 xml:space="preserve">批准设立机关：中国证监会 </w:t>
      </w:r>
    </w:p>
    <w:p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 xml:space="preserve">批准设立文号：证监许可【2015】3118号 </w:t>
      </w:r>
    </w:p>
    <w:p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组织形式：有限责任公司</w:t>
      </w:r>
    </w:p>
    <w:p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注册资本：2亿元人民币</w:t>
      </w:r>
    </w:p>
    <w:p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存续期限：永续经营</w:t>
      </w:r>
    </w:p>
    <w:p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联系人：</w:t>
      </w:r>
      <w:r w:rsidRPr="00F11DF6">
        <w:rPr>
          <w:rFonts w:ascii="宋体" w:hAnsi="宋体" w:hint="eastAsia"/>
          <w:kern w:val="0"/>
          <w:sz w:val="24"/>
          <w:szCs w:val="24"/>
        </w:rPr>
        <w:t>毛志华</w:t>
      </w:r>
    </w:p>
    <w:p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联系电话：0755-</w:t>
      </w:r>
      <w:r w:rsidRPr="00F11DF6">
        <w:rPr>
          <w:rFonts w:ascii="宋体" w:hAnsi="宋体" w:cs="Arial"/>
          <w:kern w:val="0"/>
          <w:sz w:val="24"/>
          <w:szCs w:val="24"/>
        </w:rPr>
        <w:t>8435663</w:t>
      </w:r>
      <w:r w:rsidRPr="00F11DF6">
        <w:rPr>
          <w:rFonts w:ascii="宋体" w:hAnsi="宋体" w:cs="Arial" w:hint="eastAsia"/>
          <w:kern w:val="0"/>
          <w:sz w:val="24"/>
          <w:szCs w:val="24"/>
        </w:rPr>
        <w:t>6</w:t>
      </w:r>
    </w:p>
    <w:p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传    真：0755-83230787</w:t>
      </w:r>
    </w:p>
    <w:p w:rsidR="00572ECF" w:rsidRPr="00F11DF6" w:rsidRDefault="00915AEA">
      <w:pPr>
        <w:adjustRightInd w:val="0"/>
        <w:snapToGrid w:val="0"/>
        <w:spacing w:line="360" w:lineRule="auto"/>
        <w:ind w:firstLineChars="200" w:firstLine="480"/>
        <w:rPr>
          <w:rFonts w:ascii="宋体" w:hAnsi="宋体" w:cs="Arial"/>
          <w:kern w:val="0"/>
          <w:sz w:val="24"/>
          <w:szCs w:val="24"/>
        </w:rPr>
      </w:pPr>
      <w:r w:rsidRPr="00F11DF6">
        <w:rPr>
          <w:rFonts w:ascii="宋体" w:hAnsi="宋体" w:cs="Arial" w:hint="eastAsia"/>
          <w:kern w:val="0"/>
          <w:sz w:val="24"/>
          <w:szCs w:val="24"/>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72ECF">
        <w:trPr>
          <w:jc w:val="center"/>
        </w:trPr>
        <w:tc>
          <w:tcPr>
            <w:tcW w:w="4250" w:type="dxa"/>
            <w:vAlign w:val="center"/>
          </w:tcPr>
          <w:p w:rsidR="00572ECF" w:rsidRDefault="00915AEA">
            <w:pPr>
              <w:spacing w:line="360" w:lineRule="auto"/>
              <w:jc w:val="center"/>
              <w:rPr>
                <w:rFonts w:ascii="宋体" w:hAnsi="宋体"/>
                <w:b/>
                <w:color w:val="000000"/>
                <w:kern w:val="0"/>
                <w:sz w:val="24"/>
                <w:szCs w:val="24"/>
              </w:rPr>
            </w:pPr>
            <w:r>
              <w:rPr>
                <w:rFonts w:ascii="宋体" w:hAnsi="宋体" w:hint="eastAsia"/>
                <w:b/>
                <w:color w:val="000000"/>
                <w:kern w:val="0"/>
                <w:sz w:val="24"/>
                <w:szCs w:val="24"/>
              </w:rPr>
              <w:t>股东名称</w:t>
            </w:r>
          </w:p>
        </w:tc>
        <w:tc>
          <w:tcPr>
            <w:tcW w:w="1275" w:type="dxa"/>
            <w:vAlign w:val="center"/>
          </w:tcPr>
          <w:p w:rsidR="00572ECF" w:rsidRDefault="00915AEA">
            <w:pPr>
              <w:spacing w:line="360" w:lineRule="auto"/>
              <w:jc w:val="center"/>
              <w:rPr>
                <w:rFonts w:ascii="宋体" w:hAnsi="宋体"/>
                <w:b/>
                <w:color w:val="000000"/>
                <w:kern w:val="0"/>
                <w:sz w:val="24"/>
                <w:szCs w:val="24"/>
              </w:rPr>
            </w:pPr>
            <w:r>
              <w:rPr>
                <w:rFonts w:ascii="宋体" w:hAnsi="宋体" w:hint="eastAsia"/>
                <w:b/>
                <w:color w:val="000000"/>
                <w:kern w:val="0"/>
                <w:sz w:val="24"/>
                <w:szCs w:val="24"/>
              </w:rPr>
              <w:t>出资比例</w:t>
            </w:r>
          </w:p>
        </w:tc>
      </w:tr>
      <w:tr w:rsidR="00572ECF">
        <w:trPr>
          <w:jc w:val="center"/>
        </w:trPr>
        <w:tc>
          <w:tcPr>
            <w:tcW w:w="4250" w:type="dxa"/>
            <w:vAlign w:val="center"/>
          </w:tcPr>
          <w:p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广州科技金融创新投资控股有限公司</w:t>
            </w:r>
          </w:p>
        </w:tc>
        <w:tc>
          <w:tcPr>
            <w:tcW w:w="1275" w:type="dxa"/>
            <w:vAlign w:val="center"/>
          </w:tcPr>
          <w:p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50%</w:t>
            </w:r>
          </w:p>
        </w:tc>
      </w:tr>
      <w:tr w:rsidR="00572ECF">
        <w:trPr>
          <w:jc w:val="center"/>
        </w:trPr>
        <w:tc>
          <w:tcPr>
            <w:tcW w:w="4250" w:type="dxa"/>
            <w:vAlign w:val="center"/>
          </w:tcPr>
          <w:p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深圳嘉年实业股份有限公司</w:t>
            </w:r>
          </w:p>
        </w:tc>
        <w:tc>
          <w:tcPr>
            <w:tcW w:w="1275" w:type="dxa"/>
            <w:vAlign w:val="center"/>
          </w:tcPr>
          <w:p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45.1%</w:t>
            </w:r>
          </w:p>
        </w:tc>
      </w:tr>
      <w:tr w:rsidR="00572ECF">
        <w:trPr>
          <w:jc w:val="center"/>
        </w:trPr>
        <w:tc>
          <w:tcPr>
            <w:tcW w:w="4250" w:type="dxa"/>
            <w:vAlign w:val="center"/>
          </w:tcPr>
          <w:p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湖南典勤投资开发有限公司</w:t>
            </w:r>
          </w:p>
        </w:tc>
        <w:tc>
          <w:tcPr>
            <w:tcW w:w="1275" w:type="dxa"/>
            <w:vAlign w:val="center"/>
          </w:tcPr>
          <w:p w:rsidR="00572ECF" w:rsidRDefault="00915AEA">
            <w:pPr>
              <w:spacing w:line="360" w:lineRule="auto"/>
              <w:jc w:val="center"/>
              <w:rPr>
                <w:rFonts w:ascii="宋体" w:hAnsi="宋体"/>
                <w:color w:val="000000"/>
                <w:kern w:val="0"/>
                <w:sz w:val="24"/>
                <w:szCs w:val="24"/>
              </w:rPr>
            </w:pPr>
            <w:r>
              <w:rPr>
                <w:rFonts w:ascii="宋体" w:hAnsi="宋体" w:hint="eastAsia"/>
                <w:color w:val="000000"/>
                <w:kern w:val="0"/>
                <w:sz w:val="24"/>
                <w:szCs w:val="24"/>
              </w:rPr>
              <w:t>4.9%</w:t>
            </w:r>
          </w:p>
        </w:tc>
      </w:tr>
    </w:tbl>
    <w:p w:rsidR="00572ECF" w:rsidRDefault="00572ECF">
      <w:pPr>
        <w:adjustRightInd w:val="0"/>
        <w:snapToGrid w:val="0"/>
        <w:spacing w:line="360" w:lineRule="auto"/>
        <w:ind w:firstLineChars="200" w:firstLine="480"/>
        <w:rPr>
          <w:rFonts w:ascii="Arial Unicode MS" w:hAnsi="Arial Unicode MS" w:cs="Arial"/>
          <w:kern w:val="0"/>
          <w:sz w:val="24"/>
          <w:szCs w:val="24"/>
        </w:rPr>
      </w:pPr>
    </w:p>
    <w:p w:rsidR="00572ECF" w:rsidRDefault="00915AEA">
      <w:pPr>
        <w:spacing w:line="360" w:lineRule="auto"/>
        <w:ind w:firstLine="422"/>
        <w:rPr>
          <w:rFonts w:ascii="宋体" w:hAnsi="宋体"/>
          <w:b/>
          <w:kern w:val="0"/>
          <w:sz w:val="24"/>
          <w:szCs w:val="24"/>
        </w:rPr>
      </w:pPr>
      <w:r>
        <w:rPr>
          <w:rFonts w:ascii="宋体" w:hAnsi="宋体" w:hint="eastAsia"/>
          <w:b/>
          <w:kern w:val="0"/>
          <w:sz w:val="24"/>
          <w:szCs w:val="24"/>
        </w:rPr>
        <w:t>二、主要成员情况</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、董事会成员</w:t>
      </w:r>
    </w:p>
    <w:p w:rsidR="00572ECF" w:rsidRDefault="00915AEA">
      <w:pPr>
        <w:adjustRightInd w:val="0"/>
        <w:snapToGrid w:val="0"/>
        <w:spacing w:line="360" w:lineRule="auto"/>
        <w:ind w:firstLineChars="200" w:firstLine="480"/>
        <w:rPr>
          <w:color w:val="000000"/>
          <w:sz w:val="24"/>
          <w:szCs w:val="24"/>
          <w:shd w:val="clear" w:color="auto" w:fill="FFFFFF"/>
        </w:rPr>
      </w:pPr>
      <w:r>
        <w:rPr>
          <w:rFonts w:ascii="Arial Unicode MS" w:hAnsi="Arial Unicode MS" w:cs="Arial" w:hint="eastAsia"/>
          <w:kern w:val="0"/>
          <w:sz w:val="24"/>
          <w:szCs w:val="24"/>
        </w:rPr>
        <w:t>刘志军先生，董事长。</w:t>
      </w:r>
      <w:r>
        <w:rPr>
          <w:rFonts w:hint="eastAsia"/>
          <w:color w:val="000000"/>
          <w:sz w:val="24"/>
          <w:szCs w:val="24"/>
          <w:shd w:val="clear" w:color="auto" w:fill="FFFFFF"/>
        </w:rPr>
        <w:t>中国科学院博士，现任广州产业投资基金管理有限公司副总经理、广州科技金融创新投资控股有限公司董事长、富荣基金管理有限公司董事长。</w:t>
      </w:r>
    </w:p>
    <w:p w:rsidR="00572ECF" w:rsidRDefault="00915AEA">
      <w:pPr>
        <w:adjustRightInd w:val="0"/>
        <w:snapToGrid w:val="0"/>
        <w:spacing w:line="360" w:lineRule="auto"/>
        <w:ind w:firstLineChars="200" w:firstLine="480"/>
        <w:rPr>
          <w:color w:val="000000"/>
          <w:sz w:val="24"/>
          <w:szCs w:val="24"/>
          <w:shd w:val="clear" w:color="auto" w:fill="FFFFFF"/>
        </w:rPr>
      </w:pPr>
      <w:r>
        <w:rPr>
          <w:rFonts w:ascii="Arial Unicode MS" w:hAnsi="Arial Unicode MS" w:cs="Arial" w:hint="eastAsia"/>
          <w:kern w:val="0"/>
          <w:sz w:val="24"/>
          <w:szCs w:val="24"/>
        </w:rPr>
        <w:t>郭容辰女士，董事，总经理，</w:t>
      </w:r>
      <w:r>
        <w:rPr>
          <w:rFonts w:hint="eastAsia"/>
          <w:color w:val="000000"/>
          <w:sz w:val="24"/>
          <w:szCs w:val="24"/>
          <w:shd w:val="clear" w:color="auto" w:fill="FFFFFF"/>
        </w:rPr>
        <w:t>北京大学法学硕士，历任交通银行深圳福田支</w:t>
      </w:r>
      <w:r>
        <w:rPr>
          <w:rFonts w:hint="eastAsia"/>
          <w:color w:val="000000"/>
          <w:sz w:val="24"/>
          <w:szCs w:val="24"/>
          <w:shd w:val="clear" w:color="auto" w:fill="FFFFFF"/>
        </w:rPr>
        <w:lastRenderedPageBreak/>
        <w:t>行行长、深圳分行零售信贷部总经理、个人金融部总经理、华夏银行深圳分行个人金融部总经理、金鹰基金管理有限公司副总经理，现任富荣基金管理有限公司总经理。</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罗劲先生，董事，湖南大学工商管理硕士。曾任广州农村商业银行股份有限公司华夏支行集团客户事业部副总经理。</w:t>
      </w:r>
      <w:r>
        <w:rPr>
          <w:rFonts w:asciiTheme="minorEastAsia" w:hAnsiTheme="minorEastAsia" w:cs="Arial" w:hint="eastAsia"/>
          <w:kern w:val="0"/>
          <w:sz w:val="24"/>
          <w:szCs w:val="24"/>
        </w:rPr>
        <w:t>现任广州汇</w:t>
      </w:r>
      <w:proofErr w:type="gramStart"/>
      <w:r>
        <w:rPr>
          <w:rFonts w:asciiTheme="minorEastAsia" w:hAnsiTheme="minorEastAsia" w:cs="Arial" w:hint="eastAsia"/>
          <w:kern w:val="0"/>
          <w:sz w:val="24"/>
          <w:szCs w:val="24"/>
        </w:rPr>
        <w:t>垠澳丰</w:t>
      </w:r>
      <w:proofErr w:type="gramEnd"/>
      <w:r>
        <w:rPr>
          <w:rFonts w:asciiTheme="minorEastAsia" w:hAnsiTheme="minorEastAsia" w:cs="Arial" w:hint="eastAsia"/>
          <w:kern w:val="0"/>
          <w:sz w:val="24"/>
          <w:szCs w:val="24"/>
        </w:rPr>
        <w:t>股权投资基金管理有限公司常务副总经理、四川汇源光通信股份有限公司董事长、</w:t>
      </w:r>
      <w:r>
        <w:rPr>
          <w:rFonts w:ascii="Arial Unicode MS" w:hAnsi="Arial Unicode MS" w:cs="Arial" w:hint="eastAsia"/>
          <w:kern w:val="0"/>
          <w:sz w:val="24"/>
          <w:szCs w:val="24"/>
        </w:rPr>
        <w:t>富荣基金管理有限公司董事。</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郭涛先生，董事，上海高级金融学院研究生（在读）。</w:t>
      </w:r>
      <w:r>
        <w:rPr>
          <w:rFonts w:asciiTheme="minorEastAsia" w:hAnsiTheme="minorEastAsia" w:cs="Arial" w:hint="eastAsia"/>
          <w:kern w:val="0"/>
          <w:sz w:val="24"/>
          <w:szCs w:val="24"/>
        </w:rPr>
        <w:t>现任深圳市益德置业有限公司总经理、深圳福元德租赁有限公司董事长兼总经理、</w:t>
      </w:r>
      <w:proofErr w:type="gramStart"/>
      <w:r>
        <w:rPr>
          <w:rFonts w:asciiTheme="minorEastAsia" w:hAnsiTheme="minorEastAsia" w:cs="Arial" w:hint="eastAsia"/>
          <w:kern w:val="0"/>
          <w:sz w:val="24"/>
          <w:szCs w:val="24"/>
        </w:rPr>
        <w:t>深圳融博融资租赁</w:t>
      </w:r>
      <w:proofErr w:type="gramEnd"/>
      <w:r>
        <w:rPr>
          <w:rFonts w:asciiTheme="minorEastAsia" w:hAnsiTheme="minorEastAsia" w:cs="Arial" w:hint="eastAsia"/>
          <w:kern w:val="0"/>
          <w:sz w:val="24"/>
          <w:szCs w:val="24"/>
        </w:rPr>
        <w:t>有限公司董事长兼总经理、深圳市天汇</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达担保有限公司总经理、</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投资有限公司法人、嘉年实业股份有限公司董事、</w:t>
      </w:r>
      <w:r>
        <w:rPr>
          <w:rFonts w:ascii="Arial Unicode MS" w:hAnsi="Arial Unicode MS" w:cs="Arial" w:hint="eastAsia"/>
          <w:kern w:val="0"/>
          <w:sz w:val="24"/>
          <w:szCs w:val="24"/>
        </w:rPr>
        <w:t>富荣基金管理有限公司董事。</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李峰先生，独立董事，芝加哥大学会计学博士。现任职美国密歇根大学</w:t>
      </w:r>
      <w:r>
        <w:rPr>
          <w:rFonts w:ascii="Arial Unicode MS" w:hAnsi="Arial Unicode MS" w:cs="Arial" w:hint="eastAsia"/>
          <w:kern w:val="0"/>
          <w:sz w:val="24"/>
          <w:szCs w:val="24"/>
        </w:rPr>
        <w:t>Ross</w:t>
      </w:r>
      <w:r>
        <w:rPr>
          <w:rFonts w:ascii="Arial Unicode MS" w:hAnsi="Arial Unicode MS" w:cs="Arial" w:hint="eastAsia"/>
          <w:kern w:val="0"/>
          <w:sz w:val="24"/>
          <w:szCs w:val="24"/>
        </w:rPr>
        <w:t>商学院终身教授、上海交通大学上海金融学院访问教授、上海宏力达信息技术股份有限公司独立董事、银科投资控股有限公司独立董事、富荣基金管理有限公司独立董事。</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林斌先生，独立董事，厦门大学经济学博士。现任中山大学管理学院会计学系教授、富荣基金管理有限公司独立董事。</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余</w:t>
      </w:r>
      <w:proofErr w:type="gramStart"/>
      <w:r>
        <w:rPr>
          <w:rFonts w:ascii="Arial Unicode MS" w:hAnsi="Arial Unicode MS" w:cs="Arial" w:hint="eastAsia"/>
          <w:kern w:val="0"/>
          <w:sz w:val="24"/>
          <w:szCs w:val="24"/>
        </w:rPr>
        <w:t>关健</w:t>
      </w:r>
      <w:proofErr w:type="gramEnd"/>
      <w:r>
        <w:rPr>
          <w:rFonts w:ascii="Arial Unicode MS" w:hAnsi="Arial Unicode MS"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 w:val="24"/>
          <w:szCs w:val="24"/>
        </w:rPr>
        <w:t>邦</w:t>
      </w:r>
      <w:proofErr w:type="gramEnd"/>
      <w:r>
        <w:rPr>
          <w:rFonts w:ascii="Arial Unicode MS" w:hAnsi="Arial Unicode MS"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、监事会成员</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基金管理人不设监事会，设监事两名，其中一名为职工监事。</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卢伟女士，监事，大专。</w:t>
      </w:r>
      <w:proofErr w:type="gramStart"/>
      <w:r>
        <w:rPr>
          <w:rFonts w:asciiTheme="minorEastAsia" w:hAnsiTheme="minorEastAsia" w:cs="Arial" w:hint="eastAsia"/>
          <w:kern w:val="0"/>
          <w:sz w:val="24"/>
          <w:szCs w:val="24"/>
        </w:rPr>
        <w:t>在盈投控股</w:t>
      </w:r>
      <w:proofErr w:type="gramEnd"/>
      <w:r>
        <w:rPr>
          <w:rFonts w:asciiTheme="minorEastAsia" w:hAnsiTheme="minorEastAsia" w:cs="Arial" w:hint="eastAsia"/>
          <w:kern w:val="0"/>
          <w:sz w:val="24"/>
          <w:szCs w:val="24"/>
        </w:rPr>
        <w:t>有限公司任职，现任富荣基金管理有限公司监事。</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毛志华先生，职工监事，本科。现任富荣基金管理有限公司监事。</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3</w:t>
      </w:r>
      <w:r>
        <w:rPr>
          <w:rFonts w:ascii="Arial Unicode MS" w:hAnsi="Arial Unicode MS" w:cs="Arial" w:hint="eastAsia"/>
          <w:kern w:val="0"/>
          <w:sz w:val="24"/>
          <w:szCs w:val="24"/>
        </w:rPr>
        <w:t>、高级管理人员</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刘志军先生，董事长。中国科学院博士，现任广州产业投资基金管理有限公</w:t>
      </w:r>
      <w:r>
        <w:rPr>
          <w:rFonts w:ascii="Arial Unicode MS" w:hAnsi="Arial Unicode MS" w:cs="Arial" w:hint="eastAsia"/>
          <w:kern w:val="0"/>
          <w:sz w:val="24"/>
          <w:szCs w:val="24"/>
        </w:rPr>
        <w:lastRenderedPageBreak/>
        <w:t>司副总经理、广州科技金融创新投资控股有限公司董事长、富荣基金管理有限公司董事长。</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572ECF" w:rsidRDefault="00915AE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胡长虹先生，副总经理，北京工商大学经济学学士，北大光华管理学院MBA，曾任湖北省粮食局财务副科长、中国远东国际贸易公司财务经理、深圳市飞亚达（集团）股份有限公司</w:t>
      </w:r>
      <w:proofErr w:type="gramStart"/>
      <w:r>
        <w:rPr>
          <w:rFonts w:asciiTheme="minorEastAsia" w:hAnsiTheme="minorEastAsia" w:cs="Arial" w:hint="eastAsia"/>
          <w:kern w:val="0"/>
          <w:sz w:val="24"/>
          <w:szCs w:val="24"/>
        </w:rPr>
        <w:t>亨</w:t>
      </w:r>
      <w:proofErr w:type="gramEnd"/>
      <w:r>
        <w:rPr>
          <w:rFonts w:asciiTheme="minorEastAsia" w:hAnsiTheme="minorEastAsia" w:cs="Arial" w:hint="eastAsia"/>
          <w:kern w:val="0"/>
          <w:sz w:val="24"/>
          <w:szCs w:val="24"/>
        </w:rPr>
        <w:t>吉利公司财务经理、深圳市北大高科技股份有限公司副总经理、太平财产保险有限公司投资管理部总经理，现任富荣基金管理有限公司副总经理。</w:t>
      </w:r>
    </w:p>
    <w:p w:rsidR="00572ECF" w:rsidRDefault="00915AE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Pr>
          <w:rFonts w:asciiTheme="minorEastAsia" w:hAnsiTheme="minorEastAsia" w:cs="Arial" w:hint="eastAsia"/>
          <w:kern w:val="0"/>
          <w:sz w:val="24"/>
          <w:szCs w:val="24"/>
        </w:rPr>
        <w:t>线业务</w:t>
      </w:r>
      <w:proofErr w:type="gramEnd"/>
      <w:r>
        <w:rPr>
          <w:rFonts w:asciiTheme="minorEastAsia" w:hAnsiTheme="minorEastAsia" w:cs="Arial" w:hint="eastAsia"/>
          <w:kern w:val="0"/>
          <w:sz w:val="24"/>
          <w:szCs w:val="24"/>
        </w:rPr>
        <w:t>总监、总行副行长，现任富荣基金管理有限公司副总经理、首席投资官。</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滕大江先生，督察长，中南大学工学学士，先后供职于平安证券、</w:t>
      </w:r>
      <w:proofErr w:type="gramStart"/>
      <w:r>
        <w:rPr>
          <w:rFonts w:ascii="Arial Unicode MS" w:hAnsi="Arial Unicode MS" w:cs="Arial" w:hint="eastAsia"/>
          <w:kern w:val="0"/>
          <w:sz w:val="24"/>
          <w:szCs w:val="24"/>
        </w:rPr>
        <w:t>平安大</w:t>
      </w:r>
      <w:proofErr w:type="gramEnd"/>
      <w:r>
        <w:rPr>
          <w:rFonts w:ascii="Arial Unicode MS" w:hAnsi="Arial Unicode MS" w:cs="Arial" w:hint="eastAsia"/>
          <w:kern w:val="0"/>
          <w:sz w:val="24"/>
          <w:szCs w:val="24"/>
        </w:rPr>
        <w:t>华基金管理有限公司、前海开源基金管理有限公司</w:t>
      </w:r>
      <w:r>
        <w:rPr>
          <w:rFonts w:ascii="Arial Unicode MS" w:hAnsi="Arial Unicode MS" w:cs="Arial"/>
          <w:kern w:val="0"/>
          <w:sz w:val="24"/>
          <w:szCs w:val="24"/>
        </w:rPr>
        <w:t>监察稽核</w:t>
      </w:r>
      <w:r>
        <w:rPr>
          <w:rFonts w:ascii="Arial Unicode MS" w:hAnsi="Arial Unicode MS" w:cs="Arial" w:hint="eastAsia"/>
          <w:kern w:val="0"/>
          <w:sz w:val="24"/>
          <w:szCs w:val="24"/>
        </w:rPr>
        <w:t>部门。现任富荣基金管理有限公司督察长。</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Pr>
          <w:rFonts w:ascii="Arial Unicode MS" w:hAnsi="Arial Unicode MS" w:cs="Arial" w:hint="eastAsia"/>
          <w:kern w:val="0"/>
          <w:sz w:val="24"/>
          <w:szCs w:val="24"/>
        </w:rPr>
        <w:t>4</w:t>
      </w:r>
      <w:r>
        <w:rPr>
          <w:rFonts w:ascii="Arial Unicode MS" w:hAnsi="Arial Unicode MS" w:cs="Arial" w:hint="eastAsia"/>
          <w:kern w:val="0"/>
          <w:sz w:val="24"/>
          <w:szCs w:val="24"/>
        </w:rPr>
        <w:t>、本</w:t>
      </w:r>
      <w:proofErr w:type="gramStart"/>
      <w:r>
        <w:rPr>
          <w:rFonts w:ascii="Arial Unicode MS" w:hAnsi="Arial Unicode MS" w:cs="Arial" w:hint="eastAsia"/>
          <w:kern w:val="0"/>
          <w:sz w:val="24"/>
          <w:szCs w:val="24"/>
        </w:rPr>
        <w:t>基金基金</w:t>
      </w:r>
      <w:proofErr w:type="gramEnd"/>
      <w:r>
        <w:rPr>
          <w:rFonts w:ascii="Arial Unicode MS" w:hAnsi="Arial Unicode MS" w:cs="Arial" w:hint="eastAsia"/>
          <w:kern w:val="0"/>
          <w:sz w:val="24"/>
          <w:szCs w:val="24"/>
        </w:rPr>
        <w:t>经理</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Pr>
          <w:rFonts w:ascii="Arial Unicode MS" w:hAnsi="Arial Unicode MS" w:cs="Arial" w:hint="eastAsia"/>
          <w:kern w:val="0"/>
          <w:sz w:val="24"/>
          <w:szCs w:val="24"/>
        </w:rPr>
        <w:t>吕晓蓉女士，清华大学工商管理硕士，曾任普华永道中天会计师事务所审计师、嘉</w:t>
      </w:r>
      <w:proofErr w:type="gramStart"/>
      <w:r>
        <w:rPr>
          <w:rFonts w:ascii="Arial Unicode MS" w:hAnsi="Arial Unicode MS" w:cs="Arial" w:hint="eastAsia"/>
          <w:kern w:val="0"/>
          <w:sz w:val="24"/>
          <w:szCs w:val="24"/>
        </w:rPr>
        <w:t>实基金</w:t>
      </w:r>
      <w:proofErr w:type="gramEnd"/>
      <w:r>
        <w:rPr>
          <w:rFonts w:ascii="Arial Unicode MS" w:hAnsi="Arial Unicode MS" w:cs="Arial" w:hint="eastAsia"/>
          <w:kern w:val="0"/>
          <w:sz w:val="24"/>
          <w:szCs w:val="24"/>
        </w:rPr>
        <w:t>管理有限公司组合头寸管理、新股、信用债、转债研究员，现任富荣基金管理有限公司基金经理。</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kern w:val="0"/>
          <w:sz w:val="24"/>
          <w:szCs w:val="24"/>
        </w:rPr>
      </w:pPr>
      <w:r>
        <w:rPr>
          <w:rFonts w:ascii="Arial Unicode MS" w:hAnsi="Arial Unicode MS" w:cs="Arial" w:hint="eastAsia"/>
          <w:kern w:val="0"/>
          <w:sz w:val="24"/>
          <w:szCs w:val="24"/>
        </w:rPr>
        <w:t>5</w:t>
      </w:r>
      <w:r>
        <w:rPr>
          <w:rFonts w:ascii="Arial Unicode MS" w:hAnsi="Arial Unicode MS" w:cs="Arial" w:hint="eastAsia"/>
          <w:kern w:val="0"/>
          <w:sz w:val="24"/>
          <w:szCs w:val="24"/>
        </w:rPr>
        <w:t>、投资决策委员会成员的姓名、职务</w:t>
      </w:r>
    </w:p>
    <w:p w:rsidR="00572ECF" w:rsidRDefault="00915AE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苏春华，投资决策委员会主任委员、副总经理、首席投资官 </w:t>
      </w:r>
    </w:p>
    <w:p w:rsidR="00572ECF" w:rsidRDefault="00915AE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胡长虹，投资决策委员会委员、副总经理、基金经理</w:t>
      </w:r>
    </w:p>
    <w:p w:rsidR="00572ECF" w:rsidRDefault="00915AE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吕晓蓉，投资决策委员会委员、基金经理</w:t>
      </w:r>
    </w:p>
    <w:p w:rsidR="00572ECF" w:rsidRDefault="00915AE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邓宇翔，投资决策委员会委员、权益投资部总监、研究部总监、基金经理</w:t>
      </w:r>
    </w:p>
    <w:p w:rsidR="00572ECF" w:rsidRDefault="00915AEA">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cs="Arial" w:hint="eastAsia"/>
          <w:kern w:val="0"/>
          <w:sz w:val="24"/>
          <w:szCs w:val="24"/>
        </w:rPr>
        <w:t>王刚建，投资决策委员会委员、固定收益部总监</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Arial Unicode MS" w:hAnsi="Arial Unicode MS" w:cs="Arial"/>
          <w:bCs/>
          <w:sz w:val="24"/>
          <w:szCs w:val="24"/>
        </w:rPr>
      </w:pPr>
      <w:r>
        <w:rPr>
          <w:rFonts w:ascii="Arial Unicode MS" w:hAnsi="Arial Unicode MS" w:cs="Arial" w:hint="eastAsia"/>
          <w:kern w:val="0"/>
          <w:sz w:val="24"/>
          <w:szCs w:val="24"/>
        </w:rPr>
        <w:t>6</w:t>
      </w:r>
      <w:r>
        <w:rPr>
          <w:rFonts w:ascii="Arial Unicode MS" w:hAnsi="Arial Unicode MS" w:cs="Arial" w:hint="eastAsia"/>
          <w:kern w:val="0"/>
          <w:sz w:val="24"/>
          <w:szCs w:val="24"/>
        </w:rPr>
        <w:t>、上述人员之间不存在近亲属关系。</w:t>
      </w:r>
    </w:p>
    <w:p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lastRenderedPageBreak/>
        <w:t>三、基金管理人的职责</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w:t>
      </w:r>
      <w:r>
        <w:rPr>
          <w:rFonts w:asciiTheme="minorEastAsia" w:eastAsiaTheme="minorEastAsia" w:hAnsiTheme="minorEastAsia" w:cs="Arial" w:hint="eastAsia"/>
          <w:bCs/>
          <w:sz w:val="24"/>
          <w:szCs w:val="24"/>
        </w:rPr>
        <w:t>、依法募集资金，办理或者委托经中国证监会认定的其他机构代为办理基金份额的发售、申购、赎回和登记事宜；</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w:t>
      </w:r>
      <w:r>
        <w:rPr>
          <w:rFonts w:asciiTheme="minorEastAsia" w:eastAsiaTheme="minorEastAsia" w:hAnsiTheme="minorEastAsia" w:cs="Arial" w:hint="eastAsia"/>
          <w:bCs/>
          <w:sz w:val="24"/>
          <w:szCs w:val="24"/>
        </w:rPr>
        <w:t>、办理基金备案手续；</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3</w:t>
      </w:r>
      <w:r>
        <w:rPr>
          <w:rFonts w:asciiTheme="minorEastAsia" w:eastAsiaTheme="minorEastAsia" w:hAnsiTheme="minorEastAsia" w:cs="Arial" w:hint="eastAsia"/>
          <w:bCs/>
          <w:sz w:val="24"/>
          <w:szCs w:val="24"/>
        </w:rPr>
        <w:t>、自《基金合同》生效之日起，以诚实信用、谨慎勤勉的原则管理和运用基金财产；</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4</w:t>
      </w:r>
      <w:r>
        <w:rPr>
          <w:rFonts w:asciiTheme="minorEastAsia" w:eastAsiaTheme="minorEastAsia" w:hAnsiTheme="minorEastAsia" w:cs="Arial" w:hint="eastAsia"/>
          <w:bCs/>
          <w:sz w:val="24"/>
          <w:szCs w:val="24"/>
        </w:rPr>
        <w:t>、配备足够的具有专业资格的人员进行基金投资分析、决策，以专业化的经营方式管理和运作基金财产；</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5</w:t>
      </w:r>
      <w:r>
        <w:rPr>
          <w:rFonts w:asciiTheme="minorEastAsia" w:eastAsiaTheme="minorEastAsia" w:hAnsiTheme="minorEastAsia" w:cs="Arial"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6</w:t>
      </w:r>
      <w:r>
        <w:rPr>
          <w:rFonts w:asciiTheme="minorEastAsia" w:eastAsiaTheme="minorEastAsia" w:hAnsiTheme="minorEastAsia" w:cs="Arial" w:hint="eastAsia"/>
          <w:bCs/>
          <w:sz w:val="24"/>
          <w:szCs w:val="24"/>
        </w:rPr>
        <w:t>、除依据《基金法》、《基金合同》及其他有关规定外，不得利用基金财产为自己及任何第三人谋取利益，不得委托第三人运作基金财产；</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7</w:t>
      </w:r>
      <w:r>
        <w:rPr>
          <w:rFonts w:asciiTheme="minorEastAsia" w:eastAsiaTheme="minorEastAsia" w:hAnsiTheme="minorEastAsia" w:cs="Arial" w:hint="eastAsia"/>
          <w:bCs/>
          <w:sz w:val="24"/>
          <w:szCs w:val="24"/>
        </w:rPr>
        <w:t>、依法接受基金托管人的监督；</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8</w:t>
      </w:r>
      <w:r>
        <w:rPr>
          <w:rFonts w:asciiTheme="minorEastAsia" w:eastAsiaTheme="minorEastAsia" w:hAnsiTheme="minorEastAsia" w:cs="Arial" w:hint="eastAsia"/>
          <w:bCs/>
          <w:sz w:val="24"/>
          <w:szCs w:val="24"/>
        </w:rPr>
        <w:t>、采取适当合理的措施使计算基金份额认购、申购、赎回和注销价格的方法符合《基金合同》等法律文件的规定，按有关规定计算并公告基金资产净值，确定基金份额申购、赎回的价格；</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9</w:t>
      </w:r>
      <w:r>
        <w:rPr>
          <w:rFonts w:asciiTheme="minorEastAsia" w:eastAsiaTheme="minorEastAsia" w:hAnsiTheme="minorEastAsia" w:cs="Arial" w:hint="eastAsia"/>
          <w:bCs/>
          <w:sz w:val="24"/>
          <w:szCs w:val="24"/>
        </w:rPr>
        <w:t>、进行基金会计核算并编制基金财务会计报告；</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10</w:t>
      </w:r>
      <w:r>
        <w:rPr>
          <w:rFonts w:asciiTheme="minorEastAsia" w:eastAsiaTheme="minorEastAsia" w:hAnsiTheme="minorEastAsia" w:cs="Arial" w:hint="eastAsia"/>
          <w:bCs/>
          <w:sz w:val="24"/>
          <w:szCs w:val="24"/>
        </w:rPr>
        <w:t>、编制季度、半年度和年度基金报告；</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11</w:t>
      </w:r>
      <w:r>
        <w:rPr>
          <w:rFonts w:asciiTheme="minorEastAsia" w:eastAsiaTheme="minorEastAsia" w:hAnsiTheme="minorEastAsia" w:cs="Arial" w:hint="eastAsia"/>
          <w:bCs/>
          <w:sz w:val="24"/>
          <w:szCs w:val="24"/>
        </w:rPr>
        <w:t>、严格按照《基金法》、《基金合同》及其他有关规定，履行信息披露及报告义务；</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12</w:t>
      </w:r>
      <w:r>
        <w:rPr>
          <w:rFonts w:asciiTheme="minorEastAsia" w:eastAsiaTheme="minorEastAsia" w:hAnsiTheme="minorEastAsia" w:cs="Arial" w:hint="eastAsia"/>
          <w:bCs/>
          <w:sz w:val="24"/>
          <w:szCs w:val="24"/>
        </w:rPr>
        <w:t>、保守基金商业秘密，不泄露基金投资计划、投资意向等。除《基金法》、《基金合同》及其他有关规定另有规定外，在基金信息公开披露前应予保密，不向他人泄露；</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13</w:t>
      </w:r>
      <w:r>
        <w:rPr>
          <w:rFonts w:asciiTheme="minorEastAsia" w:eastAsiaTheme="minorEastAsia" w:hAnsiTheme="minorEastAsia" w:cs="Arial" w:hint="eastAsia"/>
          <w:bCs/>
          <w:sz w:val="24"/>
          <w:szCs w:val="24"/>
        </w:rPr>
        <w:t>、按《基金合同》的约定确定基金收益分配方案，及时向基金份额持有人分配基金收益；</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14</w:t>
      </w:r>
      <w:r>
        <w:rPr>
          <w:rFonts w:asciiTheme="minorEastAsia" w:eastAsiaTheme="minorEastAsia" w:hAnsiTheme="minorEastAsia" w:cs="Arial" w:hint="eastAsia"/>
          <w:bCs/>
          <w:sz w:val="24"/>
          <w:szCs w:val="24"/>
        </w:rPr>
        <w:t>、按规定受理申购与赎回申请，及时、足额支付赎回款项；</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15</w:t>
      </w:r>
      <w:r>
        <w:rPr>
          <w:rFonts w:asciiTheme="minorEastAsia" w:eastAsiaTheme="minorEastAsia" w:hAnsiTheme="minorEastAsia" w:cs="Arial" w:hint="eastAsia"/>
          <w:bCs/>
          <w:sz w:val="24"/>
          <w:szCs w:val="24"/>
        </w:rPr>
        <w:t>、依据《基金法》、《基金合同》及其他有关规定召集基金份额持有人大会或配合基金托管人、基金份额持有人依法召集基金份额持有人大会；</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16</w:t>
      </w:r>
      <w:r>
        <w:rPr>
          <w:rFonts w:asciiTheme="minorEastAsia" w:eastAsiaTheme="minorEastAsia" w:hAnsiTheme="minorEastAsia" w:cs="Arial" w:hint="eastAsia"/>
          <w:bCs/>
          <w:sz w:val="24"/>
          <w:szCs w:val="24"/>
        </w:rPr>
        <w:t>、按规定保存基金财产管理业务活动的会计账册、报表、记录和其他相关</w:t>
      </w:r>
      <w:r>
        <w:rPr>
          <w:rFonts w:asciiTheme="minorEastAsia" w:eastAsiaTheme="minorEastAsia" w:hAnsiTheme="minorEastAsia" w:cs="Arial" w:hint="eastAsia"/>
          <w:bCs/>
          <w:sz w:val="24"/>
          <w:szCs w:val="24"/>
        </w:rPr>
        <w:lastRenderedPageBreak/>
        <w:t>资料</w:t>
      </w:r>
      <w:r>
        <w:rPr>
          <w:rFonts w:asciiTheme="minorEastAsia" w:eastAsiaTheme="minorEastAsia" w:hAnsiTheme="minorEastAsia" w:cs="Arial"/>
          <w:bCs/>
          <w:sz w:val="24"/>
          <w:szCs w:val="24"/>
        </w:rPr>
        <w:t>15</w:t>
      </w:r>
      <w:r>
        <w:rPr>
          <w:rFonts w:asciiTheme="minorEastAsia" w:eastAsiaTheme="minorEastAsia" w:hAnsiTheme="minorEastAsia" w:cs="Arial" w:hint="eastAsia"/>
          <w:bCs/>
          <w:sz w:val="24"/>
          <w:szCs w:val="24"/>
        </w:rPr>
        <w:t>年以上；</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17</w:t>
      </w:r>
      <w:r>
        <w:rPr>
          <w:rFonts w:asciiTheme="minorEastAsia" w:eastAsiaTheme="minorEastAsia" w:hAnsiTheme="minorEastAsia" w:cs="Arial"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18</w:t>
      </w:r>
      <w:r>
        <w:rPr>
          <w:rFonts w:asciiTheme="minorEastAsia" w:eastAsiaTheme="minorEastAsia" w:hAnsiTheme="minorEastAsia" w:cs="Arial" w:hint="eastAsia"/>
          <w:bCs/>
          <w:sz w:val="24"/>
          <w:szCs w:val="24"/>
        </w:rPr>
        <w:t>、组织并参加基金财产清算小组，参与基金财产的保管、清理、估价、变现和分配；</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19</w:t>
      </w:r>
      <w:r>
        <w:rPr>
          <w:rFonts w:asciiTheme="minorEastAsia" w:eastAsiaTheme="minorEastAsia" w:hAnsiTheme="minorEastAsia" w:cs="Arial" w:hint="eastAsia"/>
          <w:bCs/>
          <w:sz w:val="24"/>
          <w:szCs w:val="24"/>
        </w:rPr>
        <w:t>、面临解散、依法被撤销或者被依法宣告破产时，及时报告中国证监会并通知基金托管人；</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20</w:t>
      </w:r>
      <w:r>
        <w:rPr>
          <w:rFonts w:asciiTheme="minorEastAsia" w:eastAsiaTheme="minorEastAsia" w:hAnsiTheme="minorEastAsia" w:cs="Arial" w:hint="eastAsia"/>
          <w:bCs/>
          <w:sz w:val="24"/>
          <w:szCs w:val="24"/>
        </w:rPr>
        <w:t>、因违反《基金合同》导致基金财产的损失或损害基金份额持有人合法权益时，应当承担赔偿责任，其赔偿责任不因其退任而免除；</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21</w:t>
      </w:r>
      <w:r>
        <w:rPr>
          <w:rFonts w:asciiTheme="minorEastAsia" w:eastAsiaTheme="minorEastAsia" w:hAnsiTheme="minorEastAsia" w:cs="Arial" w:hint="eastAsia"/>
          <w:bCs/>
          <w:sz w:val="24"/>
          <w:szCs w:val="24"/>
        </w:rPr>
        <w:t>、监督基金托管人按法律法规和《基金合同》规定履行自己的义务，基金托管人违反《基金合同》造成基金财产损失时，基金管理人应为基金份额持有人利益向基金托管人追偿；</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22</w:t>
      </w:r>
      <w:r>
        <w:rPr>
          <w:rFonts w:asciiTheme="minorEastAsia" w:eastAsiaTheme="minorEastAsia" w:hAnsiTheme="minorEastAsia" w:cs="Arial" w:hint="eastAsia"/>
          <w:bCs/>
          <w:sz w:val="24"/>
          <w:szCs w:val="24"/>
        </w:rPr>
        <w:t>、当基金管理人将其义务委托第三方处理时，应当对第三方处理有关基金事务的行为承担责任；</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23</w:t>
      </w:r>
      <w:r>
        <w:rPr>
          <w:rFonts w:asciiTheme="minorEastAsia" w:eastAsiaTheme="minorEastAsia" w:hAnsiTheme="minorEastAsia" w:cs="Arial" w:hint="eastAsia"/>
          <w:bCs/>
          <w:sz w:val="24"/>
          <w:szCs w:val="24"/>
        </w:rPr>
        <w:t>、以基金管理人名义，代表基金份额持有人利益行使诉讼权利或实施其他法律行为；</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24</w:t>
      </w:r>
      <w:r>
        <w:rPr>
          <w:rFonts w:asciiTheme="minorEastAsia" w:eastAsiaTheme="minorEastAsia" w:hAnsiTheme="minorEastAsia" w:cs="Arial" w:hint="eastAsia"/>
          <w:bCs/>
          <w:sz w:val="24"/>
          <w:szCs w:val="24"/>
        </w:rPr>
        <w:t>、基金管理人在募集期间未能达到基金的备案条件，《基金合同》不能生效，基金管理人承担全部募集费用，将已募集资金并加计银行同期活期存款利息在基金募集期结束后</w:t>
      </w:r>
      <w:r>
        <w:rPr>
          <w:rFonts w:asciiTheme="minorEastAsia" w:eastAsiaTheme="minorEastAsia" w:hAnsiTheme="minorEastAsia" w:cs="Arial"/>
          <w:bCs/>
          <w:sz w:val="24"/>
          <w:szCs w:val="24"/>
        </w:rPr>
        <w:t>30</w:t>
      </w:r>
      <w:r>
        <w:rPr>
          <w:rFonts w:asciiTheme="minorEastAsia" w:eastAsiaTheme="minorEastAsia" w:hAnsiTheme="minorEastAsia" w:cs="Arial" w:hint="eastAsia"/>
          <w:bCs/>
          <w:sz w:val="24"/>
          <w:szCs w:val="24"/>
        </w:rPr>
        <w:t>日内退还基金认购人；</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25</w:t>
      </w:r>
      <w:r>
        <w:rPr>
          <w:rFonts w:asciiTheme="minorEastAsia" w:eastAsiaTheme="minorEastAsia" w:hAnsiTheme="minorEastAsia" w:cs="Arial" w:hint="eastAsia"/>
          <w:bCs/>
          <w:sz w:val="24"/>
          <w:szCs w:val="24"/>
        </w:rPr>
        <w:t>、执行生效的基金份额持有人大会的决议；</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26</w:t>
      </w:r>
      <w:r>
        <w:rPr>
          <w:rFonts w:asciiTheme="minorEastAsia" w:eastAsiaTheme="minorEastAsia" w:hAnsiTheme="minorEastAsia" w:cs="Arial" w:hint="eastAsia"/>
          <w:bCs/>
          <w:sz w:val="24"/>
          <w:szCs w:val="24"/>
        </w:rPr>
        <w:t>、建立并保存基金份额持有人名册；</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27</w:t>
      </w:r>
      <w:r>
        <w:rPr>
          <w:rFonts w:asciiTheme="minorEastAsia" w:eastAsiaTheme="minorEastAsia" w:hAnsiTheme="minorEastAsia" w:cs="Arial" w:hint="eastAsia"/>
          <w:bCs/>
          <w:sz w:val="24"/>
          <w:szCs w:val="24"/>
        </w:rPr>
        <w:t>、法律法规及中国证监会规定的和《基金合同》约定的其他义务。</w:t>
      </w:r>
    </w:p>
    <w:p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四、基金管理人的承诺</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、基金管理人承诺不从事违反《中华人民共和国证券法》的行为，并承诺建立健全内部控制制度，采取有效措施，防止违反《中华人民共和国证券法》行为的发生；</w:t>
      </w:r>
      <w:r>
        <w:rPr>
          <w:rFonts w:asciiTheme="minorEastAsia" w:eastAsiaTheme="minorEastAsia" w:hAnsiTheme="minorEastAsia" w:cs="Arial"/>
          <w:sz w:val="24"/>
          <w:szCs w:val="24"/>
        </w:rPr>
        <w:t xml:space="preserve"> </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、基金管理人承诺不从事违反《基金法》的行为，并承诺建立健全内部风险控制制度，采取有效措施，防止下列行为的发生：</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）将基金管理人固有财产或者他人财产混同于基金财产从事证券投资；</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lastRenderedPageBreak/>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）不公平地对待管理的不同基金财产；</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）利用基金财产或者职务之便为基金份额持有人以外的第三人牟取利益；</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）向基金份额持有人违规承诺收益或者承担损失；</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）侵占、挪用基金财产；</w:t>
      </w:r>
      <w:r>
        <w:rPr>
          <w:rFonts w:asciiTheme="minorEastAsia" w:eastAsiaTheme="minorEastAsia" w:hAnsiTheme="minorEastAsia" w:cs="Arial"/>
          <w:sz w:val="24"/>
          <w:szCs w:val="24"/>
        </w:rPr>
        <w:tab/>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）泄露因职务便利获取的未公开信息、利用该信息从事或者明示、暗示他人从事相关的交易活动；</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）玩忽职守，不按照规定履行职责；</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8</w:t>
      </w:r>
      <w:r>
        <w:rPr>
          <w:rFonts w:asciiTheme="minorEastAsia" w:eastAsiaTheme="minorEastAsia" w:hAnsiTheme="minorEastAsia" w:cs="Arial" w:hint="eastAsia"/>
          <w:sz w:val="24"/>
          <w:szCs w:val="24"/>
        </w:rPr>
        <w:t>）法律、行政法规和中国证监会规定禁止的其他行为。</w:t>
      </w:r>
      <w:r>
        <w:rPr>
          <w:rFonts w:asciiTheme="minorEastAsia" w:eastAsiaTheme="minorEastAsia" w:hAnsiTheme="minorEastAsia" w:cs="Arial"/>
          <w:sz w:val="24"/>
          <w:szCs w:val="24"/>
        </w:rPr>
        <w:t xml:space="preserve"> </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、基金管理人承诺严格遵守基金合同，并承诺建立健全内部控制制度，采取有效措施，防止违反基金合同行为的发生；</w:t>
      </w:r>
      <w:r>
        <w:rPr>
          <w:rFonts w:asciiTheme="minorEastAsia" w:eastAsiaTheme="minorEastAsia" w:hAnsiTheme="minorEastAsia" w:cs="Arial"/>
          <w:sz w:val="24"/>
          <w:szCs w:val="24"/>
        </w:rPr>
        <w:t xml:space="preserve"> </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、基金管理人承诺加强人员管理，强化职业操守，督促和约束员工遵守国家有关法律法规及行业规范，诚实信用、勤勉尽责；</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、基金管理人承诺不从事其他法规规定禁止从事的行为。</w:t>
      </w:r>
      <w:r>
        <w:rPr>
          <w:rFonts w:asciiTheme="minorEastAsia" w:eastAsiaTheme="minorEastAsia" w:hAnsiTheme="minorEastAsia" w:cs="Arial"/>
          <w:sz w:val="24"/>
          <w:szCs w:val="24"/>
        </w:rPr>
        <w:t xml:space="preserve">  </w:t>
      </w:r>
    </w:p>
    <w:p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五、基金经理承诺</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、依照有关法律法规和基金合同的规定，本着谨慎的原则为基金份额持有人谋取最大利益；</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、不利用职务之便为自己、受雇人或任何第三者牟取利益；</w:t>
      </w:r>
      <w:r>
        <w:rPr>
          <w:rFonts w:asciiTheme="minorEastAsia" w:eastAsiaTheme="minorEastAsia" w:hAnsiTheme="minorEastAsia" w:cs="Arial"/>
          <w:sz w:val="24"/>
          <w:szCs w:val="24"/>
        </w:rPr>
        <w:t xml:space="preserve"> </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、不泄露在任职期间知悉的有关证券、基金的商业秘密，尚未依法公开的基金投资内容、基金投资计划等信息，或利用该信息从事或者明示、暗示他人从事相关的交易活动；</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、不以任何形式为其他组织或个人进行证券交易。</w:t>
      </w:r>
    </w:p>
    <w:p w:rsidR="00572ECF" w:rsidRDefault="00915AEA">
      <w:pPr>
        <w:tabs>
          <w:tab w:val="left" w:pos="3780"/>
        </w:tabs>
        <w:autoSpaceDE w:val="0"/>
        <w:autoSpaceDN w:val="0"/>
        <w:adjustRightInd w:val="0"/>
        <w:snapToGrid w:val="0"/>
        <w:spacing w:line="360" w:lineRule="auto"/>
        <w:ind w:firstLineChars="200" w:firstLine="482"/>
        <w:textAlignment w:val="bottom"/>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六、基金管理人的内部控制制度</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、风险控制目标</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）在有效控制风险的前提下，实现基金份额持有人利益最大化；</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）确保国家有关法律法规、行业规章和公司各项规章制度的贯彻执行；</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）建立符合现代企业制度要求的法人治理结构，形成科学合理的决策机制、执行机制和监督机制；</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）将各种风险控制在合理的范围内，保障公司发展战略和经营目标的全面实施，维护基金份额持有人、公司及公司股东的合法权益；</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）建立行之有效的风险控制系统，保障业务稳健运行，减轻或规避各种</w:t>
      </w:r>
      <w:r>
        <w:rPr>
          <w:rFonts w:asciiTheme="minorEastAsia" w:eastAsiaTheme="minorEastAsia" w:hAnsiTheme="minorEastAsia" w:cs="Arial" w:hint="eastAsia"/>
          <w:sz w:val="24"/>
          <w:szCs w:val="24"/>
        </w:rPr>
        <w:lastRenderedPageBreak/>
        <w:t>风险对公司发展战略和经营目标的干扰。</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、建立风险控制制度应遵循的原则</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）全面性原则：风险控制制度应覆盖公司的各项业务、各个部门和各级人员，并渗透到决策、执行、监督、反馈等各个经营环节；</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）审慎性原则：内部风险控制的核心是有效防范各种风险，公司组织体系的构成、内部管理制度的建立都要以防范风险、审慎经营为出发点；</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）独立性原则：公司风险控制的检查、评价部门应当独立于风险控制的建立和执行部门；风险控制委员会、督察长和监察稽核部应保持高度的独立性和权威性，负责对公司各部门风险控制工作进行评价和检查；</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 xml:space="preserve"> </w:t>
      </w: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）适时性原则：内部风险控制应随着公司经营战略、经营方针、经营理念等内部环境的变化和国家法律、法规、政策制度等外部环境的改变及时进行相应的修改和完善。</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、风险控制体系</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）风险控制制度体系</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）风险控制组织体系</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风险控制组织体系包括两个层次：</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②督察</w:t>
      </w:r>
      <w:proofErr w:type="gramStart"/>
      <w:r>
        <w:rPr>
          <w:rFonts w:asciiTheme="minorEastAsia" w:eastAsiaTheme="minorEastAsia" w:hAnsiTheme="minorEastAsia" w:cs="Arial" w:hint="eastAsia"/>
          <w:sz w:val="24"/>
          <w:szCs w:val="24"/>
        </w:rPr>
        <w:t>长履行</w:t>
      </w:r>
      <w:proofErr w:type="gramEnd"/>
      <w:r>
        <w:rPr>
          <w:rFonts w:asciiTheme="minorEastAsia" w:eastAsiaTheme="minorEastAsia" w:hAnsiTheme="minorEastAsia" w:cs="Arial" w:hint="eastAsia"/>
          <w:sz w:val="24"/>
          <w:szCs w:val="24"/>
        </w:rPr>
        <w:t>的职责包括对基金运作、内部管理、制度执行及遵规守法情况进行内部监察、稽核；就以上监察、稽核中发现的问题向公司经营管理层通报并</w:t>
      </w:r>
      <w:r>
        <w:rPr>
          <w:rFonts w:asciiTheme="minorEastAsia" w:eastAsiaTheme="minorEastAsia" w:hAnsiTheme="minorEastAsia" w:cs="Arial" w:hint="eastAsia"/>
          <w:sz w:val="24"/>
          <w:szCs w:val="24"/>
        </w:rPr>
        <w:lastRenderedPageBreak/>
        <w:t>提出整改和处理意见；定期向风险管理委员会提交工作报告；发现公司的违规行为，应立即向董事长和中国证监会报告。</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第二层次：公司经营管理层包括风险管理委员会、监察稽核部及各职能部门对经营风险的预防和控制。</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咨询、合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培训、离任审查等工作。</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、关于授权、研究、投资、交易等方面的控制点</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）授权制度</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）研究业务</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研究工作应保持独立、客观，不受任何部门及个人的不正当影响；建立严密</w:t>
      </w:r>
      <w:r>
        <w:rPr>
          <w:rFonts w:asciiTheme="minorEastAsia" w:eastAsiaTheme="minorEastAsia" w:hAnsiTheme="minorEastAsia" w:cs="Arial" w:hint="eastAsia"/>
          <w:sz w:val="24"/>
          <w:szCs w:val="24"/>
        </w:rPr>
        <w:lastRenderedPageBreak/>
        <w:t>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）基金投资业务</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eastAsiaTheme="minorEastAsia" w:hAnsiTheme="minorEastAsia" w:cs="Arial" w:hint="eastAsia"/>
          <w:sz w:val="24"/>
          <w:szCs w:val="24"/>
        </w:rPr>
        <w:t>限相应</w:t>
      </w:r>
      <w:proofErr w:type="gramEnd"/>
      <w:r>
        <w:rPr>
          <w:rFonts w:asciiTheme="minorEastAsia" w:eastAsiaTheme="minorEastAsia" w:hAnsiTheme="minorEastAsia" w:cs="Arial" w:hint="eastAsia"/>
          <w:sz w:val="24"/>
          <w:szCs w:val="24"/>
        </w:rPr>
        <w:t>的约束制度和考核制度；建立严格的投资禁止和投资限制制度，保证基金投资的合法合</w:t>
      </w:r>
      <w:proofErr w:type="gramStart"/>
      <w:r>
        <w:rPr>
          <w:rFonts w:asciiTheme="minorEastAsia" w:eastAsiaTheme="minorEastAsia" w:hAnsiTheme="minorEastAsia" w:cs="Arial" w:hint="eastAsia"/>
          <w:sz w:val="24"/>
          <w:szCs w:val="24"/>
        </w:rPr>
        <w:t>规</w:t>
      </w:r>
      <w:proofErr w:type="gramEnd"/>
      <w:r>
        <w:rPr>
          <w:rFonts w:asciiTheme="minorEastAsia" w:eastAsiaTheme="minorEastAsia" w:hAnsiTheme="minorEastAsia" w:cs="Arial" w:hint="eastAsia"/>
          <w:sz w:val="24"/>
          <w:szCs w:val="24"/>
        </w:rPr>
        <w:t>性；建立投资风险评估与管理制度，将重点投资限制在一定的风险权限额度内；对于投资结果建立科学的投资管理业绩评价体系。</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）交易业务</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）基金会计核算</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）信息披露</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）监察稽核</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eastAsiaTheme="minorEastAsia" w:hAnsiTheme="minorEastAsia" w:cs="Arial" w:hint="eastAsia"/>
          <w:sz w:val="24"/>
          <w:szCs w:val="24"/>
        </w:rPr>
        <w:t>长依据</w:t>
      </w:r>
      <w:proofErr w:type="gramEnd"/>
      <w:r>
        <w:rPr>
          <w:rFonts w:asciiTheme="minorEastAsia" w:eastAsia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w:t>
      </w:r>
      <w:r>
        <w:rPr>
          <w:rFonts w:asciiTheme="minorEastAsia" w:eastAsiaTheme="minorEastAsia" w:hAnsiTheme="minorEastAsia" w:cs="Arial" w:hint="eastAsia"/>
          <w:sz w:val="24"/>
          <w:szCs w:val="24"/>
        </w:rPr>
        <w:lastRenderedPageBreak/>
        <w:t>告权和监督权。</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、风险管理和内部控制的措施</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1</w:t>
      </w:r>
      <w:r>
        <w:rPr>
          <w:rFonts w:asciiTheme="minorEastAsia" w:eastAsiaTheme="minorEastAsia" w:hAnsiTheme="minorEastAsia" w:cs="Arial" w:hint="eastAsia"/>
          <w:sz w:val="24"/>
          <w:szCs w:val="24"/>
        </w:rPr>
        <w:t>）建立内控结构，完善内控制度：公司建立、健全了内控结构，高管人员具有明确的内控分工，确保各项业务活动有恰当的组织和授权，确保监察活动的独立进行，并得到高管人员的支持。</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2</w:t>
      </w:r>
      <w:r>
        <w:rPr>
          <w:rFonts w:asciiTheme="minorEastAsia" w:eastAsiaTheme="minorEastAsia" w:hAnsiTheme="minorEastAsia" w:cs="Arial" w:hint="eastAsia"/>
          <w:sz w:val="24"/>
          <w:szCs w:val="24"/>
        </w:rPr>
        <w:t>）建立相互分离、相互制衡的内控机制：建立、健全了各项制度，做到基金经理、投资经理分开，研究、决策分开，基金交易集中，形成不同部门、不同岗位之间的制衡机制，从制度上减少和防范风险。</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3</w:t>
      </w:r>
      <w:r>
        <w:rPr>
          <w:rFonts w:asciiTheme="minorEastAsia" w:eastAsiaTheme="minorEastAsia" w:hAnsiTheme="minorEastAsia" w:cs="Arial" w:hint="eastAsia"/>
          <w:sz w:val="24"/>
          <w:szCs w:val="24"/>
        </w:rPr>
        <w:t>）建立、健全岗位责任制：建立、健全了岗位责任制，使每个员工都明确自己的任务、职责，并及时将各自工作领域中的风险隐患上报，以防范和减少风险。</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4</w:t>
      </w:r>
      <w:r>
        <w:rPr>
          <w:rFonts w:asciiTheme="minorEastAsia" w:eastAsiaTheme="minorEastAsia" w:hAnsiTheme="minorEastAsia" w:cs="Arial" w:hint="eastAsia"/>
          <w:sz w:val="24"/>
          <w:szCs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5</w:t>
      </w:r>
      <w:r>
        <w:rPr>
          <w:rFonts w:asciiTheme="minorEastAsia" w:eastAsiaTheme="minorEastAsia" w:hAnsiTheme="minorEastAsia" w:cs="Arial" w:hint="eastAsia"/>
          <w:sz w:val="24"/>
          <w:szCs w:val="24"/>
        </w:rPr>
        <w:t>）建立有效的内部监控系统：建立了足够、有效的内部监控系统，如计算机预警系统、投资监控系统，能对可能出现的各种风险进行全面和实时的监控。</w:t>
      </w:r>
    </w:p>
    <w:p w:rsidR="00572ECF" w:rsidRDefault="00915AEA">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6</w:t>
      </w:r>
      <w:r>
        <w:rPr>
          <w:rFonts w:asciiTheme="minorEastAsia" w:eastAsiaTheme="minorEastAsia" w:hAnsiTheme="minorEastAsia" w:cs="Arial" w:hint="eastAsia"/>
          <w:sz w:val="24"/>
          <w:szCs w:val="24"/>
        </w:rPr>
        <w:t>）使用数量化的风险管理手段：采取数量化、技术化的风险控制手段，建立数量化的风险管理模型，用以提示市场风险，以便公司及时采取有效的措施，对风险进行分散、控制和规避，尽可能地减少损失。</w:t>
      </w:r>
    </w:p>
    <w:p w:rsidR="00490EC4" w:rsidRDefault="00915AEA" w:rsidP="00490EC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w:t>
      </w:r>
      <w:r>
        <w:rPr>
          <w:rFonts w:asciiTheme="minorEastAsia" w:eastAsiaTheme="minorEastAsia" w:hAnsiTheme="minorEastAsia" w:cs="Arial"/>
          <w:sz w:val="24"/>
          <w:szCs w:val="24"/>
        </w:rPr>
        <w:t>7</w:t>
      </w:r>
      <w:r>
        <w:rPr>
          <w:rFonts w:asciiTheme="minorEastAsia" w:eastAsiaTheme="minorEastAsia" w:hAnsiTheme="minorEastAsia" w:cs="Arial" w:hint="eastAsia"/>
          <w:sz w:val="24"/>
          <w:szCs w:val="24"/>
        </w:rPr>
        <w:t>）提供足够的培训：制定了完整的培训计划，为所有员工提供足够和适当的培训，使员工明确其职责所在，控制风险。</w:t>
      </w:r>
    </w:p>
    <w:p w:rsidR="00E32FAF" w:rsidRDefault="00E32FAF" w:rsidP="00490EC4">
      <w:pPr>
        <w:tabs>
          <w:tab w:val="left" w:pos="3780"/>
        </w:tabs>
        <w:autoSpaceDE w:val="0"/>
        <w:autoSpaceDN w:val="0"/>
        <w:adjustRightInd w:val="0"/>
        <w:snapToGrid w:val="0"/>
        <w:spacing w:line="360" w:lineRule="auto"/>
        <w:ind w:firstLineChars="200" w:firstLine="480"/>
        <w:textAlignment w:val="bottom"/>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6、</w:t>
      </w:r>
      <w:r w:rsidRPr="00490EC4">
        <w:rPr>
          <w:rFonts w:asciiTheme="minorEastAsia" w:eastAsiaTheme="minorEastAsia" w:hAnsiTheme="minorEastAsia" w:cs="Arial" w:hint="eastAsia"/>
          <w:sz w:val="24"/>
          <w:szCs w:val="24"/>
        </w:rPr>
        <w:t>基金管理人承诺上述关于内部控制的披露真实、准确，并承诺将根据市</w:t>
      </w:r>
    </w:p>
    <w:p w:rsidR="001107B2" w:rsidRDefault="00E32FAF" w:rsidP="001107B2">
      <w:pPr>
        <w:tabs>
          <w:tab w:val="left" w:pos="3780"/>
        </w:tabs>
        <w:autoSpaceDE w:val="0"/>
        <w:autoSpaceDN w:val="0"/>
        <w:adjustRightInd w:val="0"/>
        <w:snapToGrid w:val="0"/>
        <w:spacing w:line="360" w:lineRule="auto"/>
        <w:textAlignment w:val="bottom"/>
      </w:pPr>
      <w:r w:rsidRPr="00490EC4">
        <w:rPr>
          <w:rFonts w:asciiTheme="minorEastAsia" w:eastAsiaTheme="minorEastAsia" w:hAnsiTheme="minorEastAsia" w:cs="Arial" w:hint="eastAsia"/>
          <w:sz w:val="24"/>
          <w:szCs w:val="24"/>
        </w:rPr>
        <w:t>场环境的变化及公司的发展不断完善合</w:t>
      </w:r>
      <w:proofErr w:type="gramStart"/>
      <w:r w:rsidRPr="00490EC4">
        <w:rPr>
          <w:rFonts w:asciiTheme="minorEastAsia" w:eastAsiaTheme="minorEastAsia" w:hAnsiTheme="minorEastAsia" w:cs="Arial" w:hint="eastAsia"/>
          <w:sz w:val="24"/>
          <w:szCs w:val="24"/>
        </w:rPr>
        <w:t>规</w:t>
      </w:r>
      <w:proofErr w:type="gramEnd"/>
      <w:r w:rsidRPr="00490EC4">
        <w:rPr>
          <w:rFonts w:asciiTheme="minorEastAsia" w:eastAsiaTheme="minorEastAsia" w:hAnsiTheme="minorEastAsia" w:cs="Arial" w:hint="eastAsia"/>
          <w:sz w:val="24"/>
          <w:szCs w:val="24"/>
        </w:rPr>
        <w:t>控制。</w:t>
      </w:r>
      <w:bookmarkStart w:id="39" w:name="_Toc238027832"/>
      <w:bookmarkStart w:id="40" w:name="_Toc238013745"/>
      <w:bookmarkStart w:id="41" w:name="_Toc386115301"/>
      <w:bookmarkEnd w:id="39"/>
      <w:bookmarkEnd w:id="40"/>
    </w:p>
    <w:p w:rsidR="00E32FAF" w:rsidRPr="00F1216D" w:rsidRDefault="00915AEA" w:rsidP="00F1216D">
      <w:pPr>
        <w:pStyle w:val="1"/>
        <w:snapToGrid w:val="0"/>
        <w:spacing w:before="0" w:after="0" w:line="360" w:lineRule="auto"/>
        <w:ind w:firstLine="452"/>
        <w:rPr>
          <w:rFonts w:ascii="Arial Unicode MS" w:eastAsia="宋体" w:hAnsi="Arial Unicode MS" w:cs="Arial"/>
          <w:b/>
          <w:bCs/>
          <w:sz w:val="30"/>
          <w:szCs w:val="30"/>
        </w:rPr>
      </w:pPr>
      <w:r w:rsidRPr="00F1216D">
        <w:rPr>
          <w:rFonts w:ascii="Arial Unicode MS" w:eastAsia="宋体" w:hAnsi="Arial Unicode MS" w:cs="Arial" w:hint="eastAsia"/>
          <w:b/>
          <w:bCs/>
          <w:sz w:val="30"/>
          <w:szCs w:val="30"/>
        </w:rPr>
        <w:lastRenderedPageBreak/>
        <w:t>第四部分</w:t>
      </w:r>
      <w:r w:rsidRPr="00F1216D">
        <w:rPr>
          <w:rFonts w:ascii="Arial Unicode MS" w:eastAsia="宋体" w:hAnsi="Arial Unicode MS" w:cs="Arial"/>
          <w:b/>
          <w:bCs/>
          <w:sz w:val="30"/>
          <w:szCs w:val="30"/>
        </w:rPr>
        <w:t xml:space="preserve">  </w:t>
      </w:r>
      <w:r w:rsidRPr="00F1216D">
        <w:rPr>
          <w:rFonts w:ascii="Arial Unicode MS" w:eastAsia="宋体" w:hAnsi="Arial Unicode MS" w:cs="Arial" w:hint="eastAsia"/>
          <w:b/>
          <w:bCs/>
          <w:sz w:val="30"/>
          <w:szCs w:val="30"/>
        </w:rPr>
        <w:t>基金托管人</w:t>
      </w:r>
      <w:bookmarkEnd w:id="41"/>
    </w:p>
    <w:p w:rsidR="001107B2" w:rsidRDefault="001107B2" w:rsidP="001107B2">
      <w:pPr>
        <w:tabs>
          <w:tab w:val="left" w:pos="3780"/>
        </w:tabs>
        <w:autoSpaceDE w:val="0"/>
        <w:autoSpaceDN w:val="0"/>
        <w:adjustRightInd w:val="0"/>
        <w:snapToGrid w:val="0"/>
        <w:spacing w:line="360" w:lineRule="auto"/>
        <w:ind w:firstLine="602"/>
        <w:jc w:val="center"/>
        <w:textAlignment w:val="bottom"/>
        <w:rPr>
          <w:rFonts w:ascii="Arial Unicode MS" w:hAnsi="Arial Unicode MS" w:cs="Arial"/>
          <w:sz w:val="24"/>
        </w:rPr>
      </w:pPr>
    </w:p>
    <w:p w:rsidR="00572ECF" w:rsidRDefault="00915AEA">
      <w:pPr>
        <w:tabs>
          <w:tab w:val="left" w:pos="1110"/>
        </w:tabs>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一、基金托管人基本情况</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cs="宋体" w:hint="eastAsia"/>
          <w:color w:val="000000"/>
          <w:kern w:val="0"/>
          <w:sz w:val="24"/>
          <w:szCs w:val="24"/>
        </w:rPr>
        <w:t>（</w:t>
      </w:r>
      <w:r>
        <w:rPr>
          <w:rFonts w:asciiTheme="minorEastAsia" w:eastAsiaTheme="minorEastAsia" w:hAnsiTheme="minorEastAsia" w:hint="eastAsia"/>
          <w:sz w:val="24"/>
          <w:szCs w:val="24"/>
        </w:rPr>
        <w:t>一）基本情况</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名称：广州农村商业银行股份有限公司（简称：广州农村商业银行）</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住所: </w:t>
      </w:r>
      <w:r w:rsidR="003D2D76" w:rsidRPr="00A640E2">
        <w:rPr>
          <w:rFonts w:ascii="宋体" w:hAnsi="宋体" w:hint="eastAsia"/>
          <w:kern w:val="0"/>
          <w:sz w:val="24"/>
        </w:rPr>
        <w:t>广州市</w:t>
      </w:r>
      <w:r w:rsidR="003D2D76">
        <w:rPr>
          <w:rFonts w:ascii="宋体" w:hAnsi="宋体" w:hint="eastAsia"/>
          <w:kern w:val="0"/>
          <w:sz w:val="24"/>
        </w:rPr>
        <w:t>黄埔</w:t>
      </w:r>
      <w:proofErr w:type="gramStart"/>
      <w:r w:rsidR="003D2D76">
        <w:rPr>
          <w:rFonts w:ascii="宋体" w:hAnsi="宋体" w:hint="eastAsia"/>
          <w:kern w:val="0"/>
          <w:sz w:val="24"/>
        </w:rPr>
        <w:t>区映日路</w:t>
      </w:r>
      <w:proofErr w:type="gramEnd"/>
      <w:r w:rsidR="003D2D76">
        <w:rPr>
          <w:rFonts w:ascii="宋体" w:hAnsi="宋体" w:hint="eastAsia"/>
          <w:kern w:val="0"/>
          <w:sz w:val="24"/>
        </w:rPr>
        <w:t>9号</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办公地址：广州市天河区珠江新城华夏路1号</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成立时间：2006年10月27日</w:t>
      </w:r>
    </w:p>
    <w:p w:rsidR="00490EC4" w:rsidRDefault="00915AEA">
      <w:pPr>
        <w:adjustRightInd w:val="0"/>
        <w:snapToGrid w:val="0"/>
        <w:spacing w:line="360" w:lineRule="auto"/>
        <w:ind w:firstLineChars="200" w:firstLine="480"/>
        <w:rPr>
          <w:rFonts w:ascii="宋体" w:hAnsi="宋体"/>
          <w:kern w:val="0"/>
          <w:sz w:val="24"/>
        </w:rPr>
      </w:pPr>
      <w:r>
        <w:rPr>
          <w:rFonts w:asciiTheme="minorEastAsia" w:eastAsiaTheme="minorEastAsia" w:hAnsiTheme="minorEastAsia" w:hint="eastAsia"/>
          <w:sz w:val="24"/>
          <w:szCs w:val="24"/>
        </w:rPr>
        <w:t>注册资本：</w:t>
      </w:r>
      <w:r w:rsidR="003D2D76">
        <w:rPr>
          <w:rFonts w:ascii="宋体" w:hAnsi="宋体" w:hint="eastAsia"/>
          <w:kern w:val="0"/>
          <w:sz w:val="24"/>
        </w:rPr>
        <w:t>98.08</w:t>
      </w:r>
      <w:r w:rsidR="003D2D76" w:rsidRPr="00A640E2">
        <w:rPr>
          <w:rFonts w:ascii="宋体" w:hAnsi="宋体" w:hint="eastAsia"/>
          <w:kern w:val="0"/>
          <w:sz w:val="24"/>
        </w:rPr>
        <w:t>亿元人民币</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存续期间：持续经营</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法定代表人：王继康</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批准设立文号：</w:t>
      </w:r>
      <w:proofErr w:type="gramStart"/>
      <w:r>
        <w:rPr>
          <w:rFonts w:asciiTheme="minorEastAsia" w:eastAsiaTheme="minorEastAsia" w:hAnsiTheme="minorEastAsia" w:hint="eastAsia"/>
          <w:sz w:val="24"/>
          <w:szCs w:val="24"/>
        </w:rPr>
        <w:t>银监复</w:t>
      </w:r>
      <w:proofErr w:type="gramEnd"/>
      <w:r>
        <w:rPr>
          <w:rFonts w:asciiTheme="minorEastAsia" w:eastAsiaTheme="minorEastAsia" w:hAnsiTheme="minorEastAsia" w:hint="eastAsia"/>
          <w:sz w:val="24"/>
          <w:szCs w:val="24"/>
        </w:rPr>
        <w:t>[2009]484号</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基金托管业务资格批准文号：证监许可[2014]83号</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联系人：</w:t>
      </w:r>
      <w:r w:rsidR="003D2D76">
        <w:rPr>
          <w:rFonts w:ascii="宋体" w:hAnsi="宋体" w:hint="eastAsia"/>
          <w:kern w:val="0"/>
          <w:sz w:val="24"/>
        </w:rPr>
        <w:t>李庆</w:t>
      </w:r>
    </w:p>
    <w:p w:rsidR="00490EC4" w:rsidRDefault="00915AEA">
      <w:pPr>
        <w:adjustRightInd w:val="0"/>
        <w:snapToGrid w:val="0"/>
        <w:spacing w:line="360" w:lineRule="auto"/>
        <w:ind w:firstLineChars="200" w:firstLine="480"/>
        <w:rPr>
          <w:rFonts w:ascii="宋体" w:hAnsi="宋体"/>
          <w:color w:val="000000"/>
          <w:kern w:val="0"/>
          <w:sz w:val="24"/>
        </w:rPr>
      </w:pPr>
      <w:r>
        <w:rPr>
          <w:rFonts w:asciiTheme="minorEastAsia" w:eastAsiaTheme="minorEastAsia" w:hAnsiTheme="minorEastAsia" w:hint="eastAsia"/>
          <w:sz w:val="24"/>
          <w:szCs w:val="24"/>
        </w:rPr>
        <w:t>电话：020-</w:t>
      </w:r>
      <w:r w:rsidR="003D2D76">
        <w:rPr>
          <w:rFonts w:ascii="宋体" w:hAnsi="宋体" w:hint="eastAsia"/>
          <w:color w:val="000000"/>
          <w:kern w:val="0"/>
          <w:sz w:val="24"/>
        </w:rPr>
        <w:t>28852543</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传真：020-28019340</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（二）主要人员情况</w:t>
      </w:r>
    </w:p>
    <w:p w:rsidR="003D2D76" w:rsidRPr="003D2D76" w:rsidRDefault="00915AEA" w:rsidP="003D2D76">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广州农村商业银行总行</w:t>
      </w:r>
      <w:proofErr w:type="gramStart"/>
      <w:r>
        <w:rPr>
          <w:rFonts w:asciiTheme="minorEastAsia" w:eastAsiaTheme="minorEastAsia" w:hAnsiTheme="minorEastAsia"/>
          <w:sz w:val="24"/>
          <w:szCs w:val="24"/>
        </w:rPr>
        <w:t>设资产</w:t>
      </w:r>
      <w:proofErr w:type="gramEnd"/>
      <w:r>
        <w:rPr>
          <w:rFonts w:asciiTheme="minorEastAsia" w:eastAsiaTheme="minorEastAsia" w:hAnsiTheme="minorEastAsia"/>
          <w:sz w:val="24"/>
          <w:szCs w:val="24"/>
        </w:rPr>
        <w:t>托管部，是从事资产托管业务的职能部门，内设业务运营室、监督稽核室、产品营销室、系统管理室，部门全体人员均具备本科以上学历及相关从业经验。</w:t>
      </w:r>
    </w:p>
    <w:p w:rsidR="003D2D76" w:rsidRPr="003D2D76" w:rsidRDefault="00915AEA" w:rsidP="003D2D76">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黄镇辉先生，经济学硕士。曾任广州市商业银行股份有限公司会计计划资金业务交易员、广发基金管理有限公司货币基金经理、广州市信用合作联社资金业务部交易科经理、副总经理、广州农村商业银行总行金融市场部副总经理、金融同业中心总经理、大连业务中心总经理。2016年2月起，担任广州农村商业银行总行资产托管部总经理。</w:t>
      </w:r>
    </w:p>
    <w:p w:rsidR="003D2D76" w:rsidRPr="00A31FBC" w:rsidRDefault="003D2D76" w:rsidP="003D2D76">
      <w:pPr>
        <w:spacing w:line="360" w:lineRule="auto"/>
        <w:ind w:firstLine="420"/>
        <w:rPr>
          <w:rFonts w:ascii="宋体" w:hAnsi="宋体"/>
          <w:kern w:val="0"/>
          <w:sz w:val="24"/>
        </w:rPr>
      </w:pPr>
      <w:r w:rsidRPr="00A31FBC">
        <w:rPr>
          <w:rFonts w:ascii="宋体" w:hAnsi="宋体" w:hint="eastAsia"/>
          <w:kern w:val="0"/>
          <w:sz w:val="24"/>
        </w:rPr>
        <w:t>汪大伟先生，法学学士，经济师。曾任广州农商行总行合</w:t>
      </w:r>
      <w:proofErr w:type="gramStart"/>
      <w:r w:rsidRPr="00A31FBC">
        <w:rPr>
          <w:rFonts w:ascii="宋体" w:hAnsi="宋体" w:hint="eastAsia"/>
          <w:kern w:val="0"/>
          <w:sz w:val="24"/>
        </w:rPr>
        <w:t>规</w:t>
      </w:r>
      <w:proofErr w:type="gramEnd"/>
      <w:r w:rsidRPr="00A31FBC">
        <w:rPr>
          <w:rFonts w:ascii="宋体" w:hAnsi="宋体" w:hint="eastAsia"/>
          <w:kern w:val="0"/>
          <w:sz w:val="24"/>
        </w:rPr>
        <w:t>风险部科员、支行公司业务部经理、珠江村镇银行营销管理部负责人、总行金融市场管理部总经理助理、金融同业部总经理助理等职务。</w:t>
      </w:r>
      <w:r w:rsidRPr="00A31FBC">
        <w:rPr>
          <w:rFonts w:ascii="宋体" w:hAnsi="宋体"/>
          <w:kern w:val="0"/>
          <w:sz w:val="24"/>
        </w:rPr>
        <w:t>2018</w:t>
      </w:r>
      <w:r w:rsidRPr="00A31FBC">
        <w:rPr>
          <w:rFonts w:ascii="宋体" w:hAnsi="宋体" w:hint="eastAsia"/>
          <w:kern w:val="0"/>
          <w:sz w:val="24"/>
        </w:rPr>
        <w:t>年</w:t>
      </w:r>
      <w:r w:rsidRPr="00A31FBC">
        <w:rPr>
          <w:rFonts w:ascii="宋体" w:hAnsi="宋体"/>
          <w:kern w:val="0"/>
          <w:sz w:val="24"/>
        </w:rPr>
        <w:t>4</w:t>
      </w:r>
      <w:r w:rsidRPr="00A31FBC">
        <w:rPr>
          <w:rFonts w:ascii="宋体" w:hAnsi="宋体" w:hint="eastAsia"/>
          <w:kern w:val="0"/>
          <w:sz w:val="24"/>
        </w:rPr>
        <w:t>月起，担任广州农村商业银行总行资产托管部总经理助理。</w:t>
      </w:r>
    </w:p>
    <w:p w:rsidR="00572ECF" w:rsidRDefault="00915AEA" w:rsidP="00B2071A">
      <w:pPr>
        <w:adjustRightInd w:val="0"/>
        <w:snapToGrid w:val="0"/>
        <w:spacing w:line="360" w:lineRule="auto"/>
        <w:ind w:firstLineChars="100" w:firstLine="240"/>
        <w:rPr>
          <w:rFonts w:asciiTheme="minorEastAsia" w:eastAsiaTheme="minorEastAsia" w:hAnsiTheme="minorEastAsia"/>
          <w:sz w:val="24"/>
          <w:szCs w:val="24"/>
        </w:rPr>
      </w:pPr>
      <w:r>
        <w:rPr>
          <w:rFonts w:asciiTheme="minorEastAsia" w:eastAsiaTheme="minorEastAsia" w:hAnsiTheme="minorEastAsia"/>
          <w:sz w:val="24"/>
          <w:szCs w:val="24"/>
        </w:rPr>
        <w:lastRenderedPageBreak/>
        <w:t>（三）基金托管业务经营情况</w:t>
      </w:r>
    </w:p>
    <w:p w:rsidR="00572ECF" w:rsidRDefault="00915AEA" w:rsidP="00490EC4">
      <w:pPr>
        <w:spacing w:line="360" w:lineRule="auto"/>
        <w:ind w:firstLine="420"/>
        <w:rPr>
          <w:rFonts w:asciiTheme="minorEastAsia" w:eastAsiaTheme="minorEastAsia" w:hAnsiTheme="minorEastAsia"/>
          <w:sz w:val="24"/>
          <w:szCs w:val="24"/>
        </w:rPr>
      </w:pPr>
      <w:r>
        <w:rPr>
          <w:rFonts w:asciiTheme="minorEastAsia" w:eastAsiaTheme="minorEastAsia" w:hAnsiTheme="minorEastAsia" w:hint="eastAsia"/>
          <w:sz w:val="24"/>
          <w:szCs w:val="24"/>
        </w:rPr>
        <w:t>广州农村商业银行于2014年1月9日经中国证监会和中国银监会共同核准，获得证券投资基金托管资格。2015年10月24日，经中国保险监督管理委员会批准，广州农村商业银行获得保险资产托管业务资格。广州农村商业银行资产托管部秉承“诚实信用、勤勉尽责”的宗旨，依托严格的内控管理、先进的营运系统、专业的服务团队和丰富的业务经验，严格履行资产托管人职责，为</w:t>
      </w:r>
      <w:proofErr w:type="gramStart"/>
      <w:r>
        <w:rPr>
          <w:rFonts w:asciiTheme="minorEastAsia" w:eastAsiaTheme="minorEastAsia" w:hAnsiTheme="minorEastAsia" w:hint="eastAsia"/>
          <w:sz w:val="24"/>
          <w:szCs w:val="24"/>
        </w:rPr>
        <w:t>广大基金</w:t>
      </w:r>
      <w:proofErr w:type="gramEnd"/>
      <w:r>
        <w:rPr>
          <w:rFonts w:asciiTheme="minorEastAsia" w:eastAsiaTheme="minorEastAsia" w:hAnsiTheme="minorEastAsia" w:hint="eastAsia"/>
          <w:sz w:val="24"/>
          <w:szCs w:val="24"/>
        </w:rPr>
        <w:t>份额持有人和资产管理机构提供安全、高效、专业的托管服务。目前托管产品涵盖公募基金、基金专户、银行理财、券商资管、信托计划、股权投资基金等，</w:t>
      </w:r>
      <w:r w:rsidR="003D2D76" w:rsidRPr="00A31FBC">
        <w:rPr>
          <w:rFonts w:ascii="宋体" w:hAnsi="宋体" w:hint="eastAsia"/>
          <w:kern w:val="0"/>
          <w:sz w:val="24"/>
        </w:rPr>
        <w:t>截至2018年6月末，托管证券投资基金17只，托管资产规模达5553亿元。</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（四）基金托管人的内部控制制度</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1、内部控制目标</w:t>
      </w:r>
    </w:p>
    <w:p w:rsidR="003D2D76" w:rsidRPr="003D2D76" w:rsidRDefault="00915AEA" w:rsidP="003D2D76">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严格遵守国家有关托管业务的法律、法规、规章、行政性规定、行业准则和行内有关管理规定，守法经营、规范运作，确保业务的安全、稳健运行，保证基金资产的安全完整，确保有关信息的真实、准确、完整、及时，保护基金份额持有人的合法权益。</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2、内部控制组织结构</w:t>
      </w:r>
    </w:p>
    <w:p w:rsidR="003D2D76" w:rsidRPr="003D2D76"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广州农商银行资产托管业务内部控制组织结构由广州农商银行风险管理部、内部审计部、资产托管部内设监督</w:t>
      </w:r>
      <w:proofErr w:type="gramStart"/>
      <w:r>
        <w:rPr>
          <w:rFonts w:asciiTheme="minorEastAsia" w:eastAsiaTheme="minorEastAsia" w:hAnsiTheme="minorEastAsia"/>
          <w:sz w:val="24"/>
          <w:szCs w:val="24"/>
        </w:rPr>
        <w:t>稽核室</w:t>
      </w:r>
      <w:proofErr w:type="gramEnd"/>
      <w:r>
        <w:rPr>
          <w:rFonts w:asciiTheme="minorEastAsia" w:eastAsiaTheme="minorEastAsia" w:hAnsiTheme="minorEastAsia"/>
          <w:sz w:val="24"/>
          <w:szCs w:val="24"/>
        </w:rPr>
        <w:t>及资产托管部各业务科室共同组成。总行风险管理部负责制定全行风险管理政策，对各业务部</w:t>
      </w:r>
      <w:proofErr w:type="gramStart"/>
      <w:r>
        <w:rPr>
          <w:rFonts w:asciiTheme="minorEastAsia" w:eastAsiaTheme="minorEastAsia" w:hAnsiTheme="minorEastAsia"/>
          <w:sz w:val="24"/>
          <w:szCs w:val="24"/>
        </w:rPr>
        <w:t>门风险</w:t>
      </w:r>
      <w:proofErr w:type="gramEnd"/>
      <w:r>
        <w:rPr>
          <w:rFonts w:asciiTheme="minorEastAsia" w:eastAsiaTheme="minorEastAsia" w:hAnsiTheme="minorEastAsia"/>
          <w:sz w:val="24"/>
          <w:szCs w:val="24"/>
        </w:rPr>
        <w:t>控制工作进行指导、监督。资产托管部内设监督稽核室，配备专职稽核监察人员，依照有关法律规章，对业务的运行独立行使稽核监察职权。各业务科室在各自职责范围内实施具体的风险控制措施。</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3、内部控制原则</w:t>
      </w:r>
    </w:p>
    <w:p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（1）合法性原则。内控制度应当符合国家法律法规及监管机构的监管要求，并贯穿于托管业务经营管理活动的始终。</w:t>
      </w:r>
    </w:p>
    <w:p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（2）完整性原则。托管业务的各项经营管理活动都必须有相应的规范程序和监督制约；监督制约应渗透到托管业务的全过程和各个操作环节，覆盖所有的部门、岗位和人员。</w:t>
      </w:r>
    </w:p>
    <w:p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（3）及时性原则。托管业务经营活动必须在发生时能准确及时地记录；按照“内控优先”的原则，新设科室或新增业务品种时，必须做到已建立相关的规</w:t>
      </w:r>
      <w:r>
        <w:rPr>
          <w:rFonts w:asciiTheme="minorEastAsia" w:eastAsiaTheme="minorEastAsia" w:hAnsiTheme="minorEastAsia"/>
          <w:sz w:val="24"/>
          <w:szCs w:val="24"/>
        </w:rPr>
        <w:lastRenderedPageBreak/>
        <w:t>章制度。</w:t>
      </w:r>
    </w:p>
    <w:p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（4）审慎性原则。各项业务经营活动必须防范风险，审慎经营，保证基金资产和其他委托资产的安全与完整。</w:t>
      </w:r>
    </w:p>
    <w:p w:rsid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（5）有效性原则。内控制度应根据国家政策、法律及经营管理的需要适时修改完善，并保证得到全面落实执行，不得有任何空间、时限及人员的例外。</w:t>
      </w:r>
      <w:r>
        <w:rPr>
          <w:rFonts w:asciiTheme="minorEastAsia" w:eastAsiaTheme="minorEastAsia" w:hAnsiTheme="minorEastAsia" w:hint="eastAsia"/>
          <w:sz w:val="24"/>
          <w:szCs w:val="24"/>
        </w:rPr>
        <w:t>（6）独立性原则。设立专门履行托管人职责的管理部门；直接操作人员和控制人员必须相对独立，适当分离；内控制度的检查、评价部门必须独立于内控制度的制定和执行部门。</w:t>
      </w:r>
    </w:p>
    <w:p w:rsidR="00572ECF"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（五）基金托管人对基金管理人运作基金进行监督的方法和程序</w:t>
      </w:r>
    </w:p>
    <w:p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托管人根据《基金法》、《运作办法》、其他相关法律法规及基金合同的规定，对基金投资范围、投资对象、投资比例、融资比例、基金投资禁止行为、基金资产净值计算、费用的计提和支付、基金收益分配、信息披露以及其他有关基金投资和运作的事项等进行监督。</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 1、基金托管人发现基金管理人有违反《基金法》、《运作办法》、其他相关法律法规及基金合同规定的行为，应及时通知基金管理人限期纠正，基金管理人收到通知后应及时核对确认。在限期内，基金托管人有权随时对通知事项进行复查，督促基金管理人改正。基金管理人对基金托管人通知的违规事项未能在限期内纠正的，基金托管人应报告中国证监会。</w:t>
      </w:r>
    </w:p>
    <w:p w:rsidR="003C0043" w:rsidRPr="003C0043" w:rsidRDefault="00915AEA" w:rsidP="003C0043">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2、对基金托管人按照法规要求需向中国证监会报送基金监督报告的事项，基金管理人应积极配合提供相关数据资料和制度等。</w:t>
      </w:r>
    </w:p>
    <w:p w:rsidR="00572ECF" w:rsidRDefault="00915AEA">
      <w:pPr>
        <w:adjustRightInd w:val="0"/>
        <w:snapToGrid w:val="0"/>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3、基金托管人发现基金管理人有重大违规行为，应及时报告中国证监会，同时通知基金管理人限期纠正，并将纠正结果报告中国证监会。</w:t>
      </w:r>
    </w:p>
    <w:p w:rsidR="003C0043" w:rsidRDefault="003C0043">
      <w:pPr>
        <w:adjustRightInd w:val="0"/>
        <w:snapToGrid w:val="0"/>
        <w:spacing w:line="360" w:lineRule="auto"/>
        <w:ind w:firstLineChars="200" w:firstLine="480"/>
        <w:rPr>
          <w:rFonts w:asciiTheme="minorEastAsia" w:eastAsiaTheme="minorEastAsia" w:hAnsiTheme="minorEastAsia"/>
          <w:sz w:val="24"/>
          <w:szCs w:val="24"/>
        </w:rPr>
      </w:pPr>
    </w:p>
    <w:p w:rsidR="00490EC4" w:rsidRDefault="00490EC4">
      <w:pPr>
        <w:adjustRightInd w:val="0"/>
        <w:snapToGrid w:val="0"/>
        <w:spacing w:line="360" w:lineRule="auto"/>
        <w:ind w:firstLineChars="200" w:firstLine="480"/>
        <w:rPr>
          <w:rFonts w:asciiTheme="minorEastAsia" w:eastAsiaTheme="minorEastAsia" w:hAnsiTheme="minorEastAsia"/>
          <w:sz w:val="24"/>
          <w:szCs w:val="24"/>
        </w:rPr>
      </w:pPr>
    </w:p>
    <w:p w:rsidR="00490EC4" w:rsidRDefault="00490EC4">
      <w:pPr>
        <w:adjustRightInd w:val="0"/>
        <w:snapToGrid w:val="0"/>
        <w:spacing w:line="360" w:lineRule="auto"/>
        <w:ind w:firstLineChars="200" w:firstLine="480"/>
        <w:rPr>
          <w:rFonts w:asciiTheme="minorEastAsia" w:eastAsiaTheme="minorEastAsia" w:hAnsiTheme="minorEastAsia"/>
          <w:sz w:val="24"/>
          <w:szCs w:val="24"/>
        </w:rPr>
      </w:pPr>
    </w:p>
    <w:p w:rsidR="00490EC4" w:rsidRDefault="00490EC4">
      <w:pPr>
        <w:adjustRightInd w:val="0"/>
        <w:snapToGrid w:val="0"/>
        <w:spacing w:line="360" w:lineRule="auto"/>
        <w:ind w:firstLineChars="200" w:firstLine="480"/>
        <w:rPr>
          <w:rFonts w:asciiTheme="minorEastAsia" w:eastAsiaTheme="minorEastAsia" w:hAnsiTheme="minorEastAsia"/>
          <w:sz w:val="24"/>
          <w:szCs w:val="24"/>
        </w:rPr>
      </w:pPr>
    </w:p>
    <w:p w:rsidR="00490EC4" w:rsidRDefault="00490EC4">
      <w:pPr>
        <w:adjustRightInd w:val="0"/>
        <w:snapToGrid w:val="0"/>
        <w:spacing w:line="360" w:lineRule="auto"/>
        <w:ind w:firstLineChars="200" w:firstLine="480"/>
        <w:rPr>
          <w:rFonts w:asciiTheme="minorEastAsia" w:eastAsiaTheme="minorEastAsia" w:hAnsiTheme="minorEastAsia"/>
          <w:sz w:val="24"/>
          <w:szCs w:val="24"/>
        </w:rPr>
      </w:pPr>
    </w:p>
    <w:p w:rsidR="00490EC4" w:rsidRPr="003C0043" w:rsidRDefault="00490EC4">
      <w:pPr>
        <w:adjustRightInd w:val="0"/>
        <w:snapToGrid w:val="0"/>
        <w:spacing w:line="360" w:lineRule="auto"/>
        <w:ind w:firstLineChars="200" w:firstLine="480"/>
        <w:rPr>
          <w:rFonts w:asciiTheme="minorEastAsia" w:eastAsiaTheme="minorEastAsia" w:hAnsiTheme="minorEastAsia"/>
          <w:sz w:val="24"/>
          <w:szCs w:val="24"/>
        </w:rPr>
      </w:pPr>
    </w:p>
    <w:p w:rsidR="00572ECF" w:rsidRDefault="00915AEA" w:rsidP="00B2071A">
      <w:pPr>
        <w:pStyle w:val="1"/>
        <w:snapToGrid w:val="0"/>
        <w:spacing w:before="0" w:after="0" w:line="360" w:lineRule="auto"/>
        <w:ind w:firstLine="452"/>
        <w:rPr>
          <w:rFonts w:ascii="Arial Unicode MS" w:eastAsia="宋体" w:hAnsi="Arial Unicode MS" w:cs="Arial"/>
          <w:b/>
          <w:bCs/>
          <w:sz w:val="30"/>
          <w:szCs w:val="30"/>
        </w:rPr>
      </w:pPr>
      <w:bookmarkStart w:id="42" w:name="_Toc317088539"/>
      <w:bookmarkStart w:id="43" w:name="_Toc317088142"/>
      <w:bookmarkStart w:id="44" w:name="_Toc320887644"/>
      <w:bookmarkStart w:id="45" w:name="_Toc214873594"/>
      <w:bookmarkStart w:id="46" w:name="_Toc386115302"/>
      <w:bookmarkStart w:id="47" w:name="_Toc335232693"/>
      <w:bookmarkStart w:id="48" w:name="_Toc527465995"/>
      <w:r>
        <w:rPr>
          <w:rFonts w:ascii="Arial Unicode MS" w:eastAsia="宋体" w:hAnsi="Arial Unicode MS" w:cs="Arial" w:hint="eastAsia"/>
          <w:b/>
          <w:bCs/>
          <w:sz w:val="30"/>
          <w:szCs w:val="30"/>
        </w:rPr>
        <w:lastRenderedPageBreak/>
        <w:t>第五部分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相关服务机构</w:t>
      </w:r>
      <w:bookmarkEnd w:id="42"/>
      <w:bookmarkEnd w:id="43"/>
      <w:bookmarkEnd w:id="44"/>
      <w:bookmarkEnd w:id="45"/>
      <w:bookmarkEnd w:id="46"/>
      <w:bookmarkEnd w:id="47"/>
      <w:bookmarkEnd w:id="48"/>
    </w:p>
    <w:p w:rsidR="00572ECF" w:rsidRDefault="00572ECF">
      <w:pPr>
        <w:rPr>
          <w:rFonts w:ascii="Arial Unicode MS" w:hAnsi="Arial Unicode MS"/>
          <w:lang w:val="zh-CN"/>
        </w:rPr>
      </w:pPr>
    </w:p>
    <w:p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一、基金份额发售机构</w:t>
      </w:r>
    </w:p>
    <w:p w:rsidR="00572ECF" w:rsidRDefault="00915AEA">
      <w:pPr>
        <w:snapToGrid w:val="0"/>
        <w:spacing w:line="360" w:lineRule="auto"/>
        <w:ind w:firstLineChars="200" w:firstLine="480"/>
        <w:rPr>
          <w:rFonts w:asciiTheme="minorEastAsia" w:eastAsiaTheme="minorEastAsia" w:hAnsiTheme="minorEastAsia" w:cs="Arial"/>
          <w:color w:val="000000"/>
          <w:sz w:val="24"/>
          <w:szCs w:val="24"/>
        </w:rPr>
      </w:pPr>
      <w:r>
        <w:rPr>
          <w:rFonts w:asciiTheme="minorEastAsia" w:eastAsiaTheme="minorEastAsia" w:hAnsiTheme="minorEastAsia" w:cs="Arial"/>
          <w:color w:val="000000"/>
          <w:sz w:val="24"/>
          <w:szCs w:val="24"/>
        </w:rPr>
        <w:t>1</w:t>
      </w:r>
      <w:r>
        <w:rPr>
          <w:rFonts w:asciiTheme="minorEastAsia" w:eastAsiaTheme="minorEastAsia" w:hAnsiTheme="minorEastAsia" w:cs="Arial" w:hint="eastAsia"/>
          <w:color w:val="000000"/>
          <w:sz w:val="24"/>
          <w:szCs w:val="24"/>
        </w:rPr>
        <w:t>、直销机构</w:t>
      </w:r>
    </w:p>
    <w:p w:rsidR="00490EC4" w:rsidRDefault="00490EC4">
      <w:pPr>
        <w:snapToGrid w:val="0"/>
        <w:spacing w:line="360" w:lineRule="auto"/>
        <w:ind w:firstLineChars="200" w:firstLine="48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名称：富荣基金管理有限公司总公司</w:t>
      </w:r>
    </w:p>
    <w:p w:rsidR="00490EC4" w:rsidRDefault="00490EC4"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注册地址：广州市南沙区海滨路</w:t>
      </w:r>
      <w:r>
        <w:rPr>
          <w:rFonts w:asciiTheme="minorEastAsia" w:eastAsiaTheme="minorEastAsia" w:hAnsiTheme="minorEastAsia" w:cs="Arial"/>
          <w:color w:val="000000"/>
          <w:sz w:val="24"/>
          <w:szCs w:val="24"/>
        </w:rPr>
        <w:t>171</w:t>
      </w:r>
      <w:r>
        <w:rPr>
          <w:rFonts w:asciiTheme="minorEastAsia" w:eastAsiaTheme="minorEastAsia" w:hAnsiTheme="minorEastAsia" w:cs="Arial" w:hint="eastAsia"/>
          <w:color w:val="000000"/>
          <w:sz w:val="24"/>
          <w:szCs w:val="24"/>
        </w:rPr>
        <w:t>号南沙金融大厦</w:t>
      </w:r>
      <w:r>
        <w:rPr>
          <w:rFonts w:asciiTheme="minorEastAsia" w:eastAsiaTheme="minorEastAsia" w:hAnsiTheme="minorEastAsia" w:cs="Arial"/>
          <w:color w:val="000000"/>
          <w:sz w:val="24"/>
          <w:szCs w:val="24"/>
        </w:rPr>
        <w:t>11</w:t>
      </w:r>
      <w:r>
        <w:rPr>
          <w:rFonts w:asciiTheme="minorEastAsia" w:eastAsiaTheme="minorEastAsia" w:hAnsiTheme="minorEastAsia" w:cs="Arial" w:hint="eastAsia"/>
          <w:color w:val="000000"/>
          <w:sz w:val="24"/>
          <w:szCs w:val="24"/>
        </w:rPr>
        <w:t>楼</w:t>
      </w:r>
      <w:r>
        <w:rPr>
          <w:rFonts w:asciiTheme="minorEastAsia" w:eastAsiaTheme="minorEastAsia" w:hAnsiTheme="minorEastAsia" w:cs="Arial"/>
          <w:color w:val="000000"/>
          <w:sz w:val="24"/>
          <w:szCs w:val="24"/>
        </w:rPr>
        <w:t>1101</w:t>
      </w:r>
      <w:r>
        <w:rPr>
          <w:rFonts w:asciiTheme="minorEastAsia" w:eastAsiaTheme="minorEastAsia" w:hAnsiTheme="minorEastAsia" w:cs="Arial" w:hint="eastAsia"/>
          <w:color w:val="000000"/>
          <w:sz w:val="24"/>
          <w:szCs w:val="24"/>
        </w:rPr>
        <w:t>之一</w:t>
      </w:r>
      <w:r>
        <w:rPr>
          <w:rFonts w:asciiTheme="minorEastAsia" w:eastAsiaTheme="minorEastAsia" w:hAnsiTheme="minorEastAsia" w:cs="Arial"/>
          <w:color w:val="000000"/>
          <w:sz w:val="24"/>
          <w:szCs w:val="24"/>
        </w:rPr>
        <w:t>J20</w:t>
      </w:r>
      <w:r>
        <w:rPr>
          <w:rFonts w:asciiTheme="minorEastAsia" w:eastAsiaTheme="minorEastAsia" w:hAnsiTheme="minorEastAsia" w:cs="Arial" w:hint="eastAsia"/>
          <w:color w:val="000000"/>
          <w:sz w:val="24"/>
          <w:szCs w:val="24"/>
        </w:rPr>
        <w:t>室</w:t>
      </w:r>
    </w:p>
    <w:p w:rsid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办公地址：深圳市福田区深南大道</w:t>
      </w:r>
      <w:r>
        <w:rPr>
          <w:rFonts w:asciiTheme="minorEastAsia" w:eastAsiaTheme="minorEastAsia" w:hAnsiTheme="minorEastAsia" w:cs="Arial"/>
          <w:color w:val="000000"/>
          <w:sz w:val="24"/>
          <w:szCs w:val="24"/>
        </w:rPr>
        <w:t>2012</w:t>
      </w:r>
      <w:r>
        <w:rPr>
          <w:rFonts w:asciiTheme="minorEastAsia" w:eastAsiaTheme="minorEastAsia" w:hAnsiTheme="minorEastAsia" w:cs="Arial" w:hint="eastAsia"/>
          <w:color w:val="000000"/>
          <w:sz w:val="24"/>
          <w:szCs w:val="24"/>
        </w:rPr>
        <w:t>号深圳证券交易所广场</w:t>
      </w:r>
      <w:r>
        <w:rPr>
          <w:rFonts w:asciiTheme="minorEastAsia" w:eastAsiaTheme="minorEastAsia" w:hAnsiTheme="minorEastAsia" w:cs="Arial"/>
          <w:color w:val="000000"/>
          <w:sz w:val="24"/>
          <w:szCs w:val="24"/>
        </w:rPr>
        <w:t>3501</w:t>
      </w:r>
      <w:r>
        <w:rPr>
          <w:rFonts w:asciiTheme="minorEastAsia" w:eastAsiaTheme="minorEastAsia" w:hAnsiTheme="minorEastAsia" w:cs="Arial" w:hint="eastAsia"/>
          <w:color w:val="000000"/>
          <w:sz w:val="24"/>
          <w:szCs w:val="24"/>
        </w:rPr>
        <w:t>室</w:t>
      </w:r>
    </w:p>
    <w:p w:rsidR="00AA26FB" w:rsidRDefault="00AA26FB" w:rsidP="00AA26FB">
      <w:pPr>
        <w:snapToGrid w:val="0"/>
        <w:spacing w:line="360" w:lineRule="auto"/>
        <w:ind w:leftChars="50" w:left="105" w:firstLineChars="150" w:firstLine="360"/>
        <w:rPr>
          <w:rFonts w:asciiTheme="minorEastAsia" w:hAnsiTheme="minorEastAsia" w:cs="Arial"/>
          <w:sz w:val="24"/>
          <w:szCs w:val="24"/>
        </w:rPr>
      </w:pPr>
      <w:r>
        <w:rPr>
          <w:rFonts w:asciiTheme="minorEastAsia" w:eastAsiaTheme="minorEastAsia" w:hAnsiTheme="minorEastAsia" w:cs="Arial" w:hint="eastAsia"/>
          <w:color w:val="000000"/>
          <w:sz w:val="24"/>
          <w:szCs w:val="24"/>
        </w:rPr>
        <w:t>电话：</w:t>
      </w:r>
      <w:r>
        <w:rPr>
          <w:rFonts w:asciiTheme="minorEastAsia" w:eastAsiaTheme="minorEastAsia" w:hAnsiTheme="minorEastAsia" w:cs="Arial"/>
          <w:color w:val="000000"/>
          <w:sz w:val="24"/>
          <w:szCs w:val="24"/>
        </w:rPr>
        <w:t>0755-</w:t>
      </w:r>
      <w:r>
        <w:rPr>
          <w:rFonts w:asciiTheme="minorEastAsia" w:hAnsiTheme="minorEastAsia" w:cs="Arial" w:hint="eastAsia"/>
          <w:sz w:val="24"/>
          <w:szCs w:val="24"/>
        </w:rPr>
        <w:t>84356629</w:t>
      </w:r>
    </w:p>
    <w:p w:rsidR="00AA26FB" w:rsidRDefault="00AA26FB" w:rsidP="00AA26FB">
      <w:pPr>
        <w:snapToGrid w:val="0"/>
        <w:spacing w:line="360" w:lineRule="auto"/>
        <w:ind w:leftChars="50" w:left="105" w:firstLineChars="150" w:firstLine="360"/>
        <w:rPr>
          <w:rFonts w:asciiTheme="minorEastAsia" w:hAnsiTheme="minorEastAsia" w:cs="Arial"/>
          <w:sz w:val="24"/>
          <w:szCs w:val="24"/>
        </w:rPr>
      </w:pPr>
      <w:r>
        <w:rPr>
          <w:rFonts w:asciiTheme="minorEastAsia" w:eastAsiaTheme="minorEastAsia" w:hAnsiTheme="minorEastAsia" w:cs="Arial" w:hint="eastAsia"/>
          <w:color w:val="000000"/>
          <w:sz w:val="24"/>
          <w:szCs w:val="24"/>
        </w:rPr>
        <w:t>传真：</w:t>
      </w:r>
      <w:r>
        <w:rPr>
          <w:rFonts w:asciiTheme="minorEastAsia" w:eastAsiaTheme="minorEastAsia" w:hAnsiTheme="minorEastAsia" w:cs="Arial"/>
          <w:color w:val="000000"/>
          <w:sz w:val="24"/>
          <w:szCs w:val="24"/>
        </w:rPr>
        <w:t>0755-</w:t>
      </w:r>
      <w:r>
        <w:rPr>
          <w:rFonts w:asciiTheme="minorEastAsia" w:hAnsiTheme="minorEastAsia" w:cs="Arial" w:hint="eastAsia"/>
          <w:sz w:val="24"/>
          <w:szCs w:val="24"/>
        </w:rPr>
        <w:t>83230902</w:t>
      </w:r>
    </w:p>
    <w:p w:rsid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Pr>
          <w:rFonts w:asciiTheme="minorEastAsia" w:eastAsiaTheme="minorEastAsia" w:hAnsiTheme="minorEastAsia" w:cs="Arial" w:hint="eastAsia"/>
          <w:color w:val="000000"/>
          <w:sz w:val="24"/>
          <w:szCs w:val="24"/>
        </w:rPr>
        <w:t>客服电话：</w:t>
      </w:r>
      <w:r>
        <w:rPr>
          <w:rFonts w:asciiTheme="minorEastAsia" w:eastAsiaTheme="minorEastAsia" w:hAnsiTheme="minorEastAsia" w:cs="Arial"/>
          <w:color w:val="000000"/>
          <w:sz w:val="24"/>
          <w:szCs w:val="24"/>
        </w:rPr>
        <w:t>4006855600</w:t>
      </w:r>
    </w:p>
    <w:p w:rsid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themeColor="text1"/>
          <w:sz w:val="24"/>
          <w:szCs w:val="24"/>
        </w:rPr>
      </w:pPr>
      <w:r>
        <w:rPr>
          <w:rFonts w:asciiTheme="minorEastAsia" w:eastAsiaTheme="minorEastAsia" w:hAnsiTheme="minorEastAsia" w:cs="Arial" w:hint="eastAsia"/>
          <w:color w:val="000000"/>
          <w:sz w:val="24"/>
          <w:szCs w:val="24"/>
        </w:rPr>
        <w:t>网站：</w:t>
      </w:r>
      <w:hyperlink r:id="rId14" w:history="1">
        <w:r w:rsidRPr="00490EC4">
          <w:rPr>
            <w:rStyle w:val="a9"/>
            <w:rFonts w:asciiTheme="minorEastAsia" w:eastAsiaTheme="minorEastAsia" w:hAnsiTheme="minorEastAsia" w:cs="Arial"/>
            <w:color w:val="000000" w:themeColor="text1"/>
            <w:sz w:val="24"/>
            <w:szCs w:val="24"/>
            <w:u w:val="none"/>
          </w:rPr>
          <w:t>www.furamc.com.cn</w:t>
        </w:r>
      </w:hyperlink>
    </w:p>
    <w:p w:rsidR="00AA26FB" w:rsidRPr="00AA26FB" w:rsidRDefault="00AA26FB" w:rsidP="00AA26FB">
      <w:pPr>
        <w:snapToGrid w:val="0"/>
        <w:spacing w:line="360" w:lineRule="auto"/>
        <w:ind w:leftChars="50" w:left="105" w:firstLineChars="150" w:firstLine="360"/>
        <w:rPr>
          <w:rFonts w:asciiTheme="minorEastAsia" w:eastAsiaTheme="minorEastAsia" w:hAnsiTheme="minorEastAsia" w:cs="Arial"/>
          <w:color w:val="000000"/>
          <w:sz w:val="24"/>
          <w:szCs w:val="24"/>
        </w:rPr>
      </w:pPr>
      <w:r w:rsidRPr="00490EC4">
        <w:rPr>
          <w:rFonts w:asciiTheme="minorEastAsia" w:eastAsiaTheme="minorEastAsia" w:hAnsiTheme="minorEastAsia" w:cs="Arial"/>
          <w:color w:val="000000"/>
          <w:sz w:val="24"/>
          <w:szCs w:val="24"/>
        </w:rPr>
        <w:t>2</w:t>
      </w:r>
      <w:r w:rsidRPr="00490EC4">
        <w:rPr>
          <w:rFonts w:asciiTheme="minorEastAsia" w:eastAsiaTheme="minorEastAsia" w:hAnsiTheme="minorEastAsia" w:cs="Arial" w:hint="eastAsia"/>
          <w:color w:val="000000"/>
          <w:sz w:val="24"/>
          <w:szCs w:val="24"/>
        </w:rPr>
        <w:t>、其他销售机构：</w:t>
      </w:r>
    </w:p>
    <w:tbl>
      <w:tblPr>
        <w:tblStyle w:val="ab"/>
        <w:tblW w:w="8295" w:type="dxa"/>
        <w:tblLayout w:type="fixed"/>
        <w:tblLook w:val="04A0" w:firstRow="1" w:lastRow="0" w:firstColumn="1" w:lastColumn="0" w:noHBand="0" w:noVBand="1"/>
      </w:tblPr>
      <w:tblGrid>
        <w:gridCol w:w="817"/>
        <w:gridCol w:w="2439"/>
        <w:gridCol w:w="5039"/>
      </w:tblGrid>
      <w:tr w:rsidR="003C0043" w:rsidRPr="00787A97" w:rsidTr="00787A97">
        <w:tc>
          <w:tcPr>
            <w:tcW w:w="817" w:type="dxa"/>
            <w:tcBorders>
              <w:top w:val="single" w:sz="4" w:space="0" w:color="auto"/>
              <w:left w:val="single" w:sz="4" w:space="0" w:color="auto"/>
              <w:bottom w:val="single" w:sz="4" w:space="0" w:color="auto"/>
              <w:right w:val="single" w:sz="4" w:space="0" w:color="auto"/>
            </w:tcBorders>
            <w:hideMark/>
          </w:tcPr>
          <w:p w:rsidR="003C0043" w:rsidRPr="00787A97" w:rsidRDefault="003C0043" w:rsidP="00CA1E03">
            <w:pPr>
              <w:jc w:val="center"/>
              <w:rPr>
                <w:rFonts w:ascii="宋体" w:hAnsi="宋体"/>
                <w:bCs/>
                <w:sz w:val="24"/>
                <w:szCs w:val="24"/>
              </w:rPr>
            </w:pPr>
            <w:r w:rsidRPr="00787A97">
              <w:rPr>
                <w:rFonts w:ascii="宋体" w:hAnsi="宋体" w:hint="eastAsia"/>
                <w:bCs/>
                <w:sz w:val="24"/>
                <w:szCs w:val="24"/>
              </w:rPr>
              <w:t>序号</w:t>
            </w:r>
          </w:p>
        </w:tc>
        <w:tc>
          <w:tcPr>
            <w:tcW w:w="2439" w:type="dxa"/>
            <w:tcBorders>
              <w:top w:val="single" w:sz="4" w:space="0" w:color="auto"/>
              <w:left w:val="single" w:sz="4" w:space="0" w:color="auto"/>
              <w:bottom w:val="single" w:sz="4" w:space="0" w:color="auto"/>
              <w:right w:val="single" w:sz="4" w:space="0" w:color="auto"/>
            </w:tcBorders>
            <w:hideMark/>
          </w:tcPr>
          <w:p w:rsidR="003C0043" w:rsidRPr="00787A97" w:rsidRDefault="003C0043" w:rsidP="00CA1E03">
            <w:pPr>
              <w:jc w:val="center"/>
              <w:rPr>
                <w:rFonts w:ascii="宋体" w:hAnsi="宋体"/>
                <w:bCs/>
                <w:sz w:val="24"/>
                <w:szCs w:val="24"/>
              </w:rPr>
            </w:pPr>
            <w:r w:rsidRPr="00787A97">
              <w:rPr>
                <w:rFonts w:ascii="宋体" w:hAnsi="宋体" w:hint="eastAsia"/>
                <w:bCs/>
                <w:sz w:val="24"/>
                <w:szCs w:val="24"/>
              </w:rPr>
              <w:t>代销机构名称</w:t>
            </w:r>
          </w:p>
        </w:tc>
        <w:tc>
          <w:tcPr>
            <w:tcW w:w="5039" w:type="dxa"/>
            <w:tcBorders>
              <w:top w:val="single" w:sz="4" w:space="0" w:color="auto"/>
              <w:left w:val="single" w:sz="4" w:space="0" w:color="auto"/>
              <w:bottom w:val="single" w:sz="4" w:space="0" w:color="auto"/>
              <w:right w:val="single" w:sz="4" w:space="0" w:color="auto"/>
            </w:tcBorders>
            <w:hideMark/>
          </w:tcPr>
          <w:p w:rsidR="003C0043" w:rsidRPr="00787A97" w:rsidRDefault="003C0043" w:rsidP="00CA1E03">
            <w:pPr>
              <w:jc w:val="center"/>
              <w:rPr>
                <w:rFonts w:ascii="宋体" w:hAnsi="宋体"/>
                <w:bCs/>
                <w:sz w:val="24"/>
                <w:szCs w:val="24"/>
              </w:rPr>
            </w:pPr>
            <w:r w:rsidRPr="00787A97">
              <w:rPr>
                <w:rFonts w:ascii="宋体" w:hAnsi="宋体" w:hint="eastAsia"/>
                <w:bCs/>
                <w:sz w:val="24"/>
                <w:szCs w:val="24"/>
              </w:rPr>
              <w:t>代销机构信息</w:t>
            </w:r>
          </w:p>
        </w:tc>
      </w:tr>
      <w:tr w:rsidR="003C0043" w:rsidRPr="00787A97" w:rsidTr="00787A97">
        <w:tc>
          <w:tcPr>
            <w:tcW w:w="817" w:type="dxa"/>
            <w:tcBorders>
              <w:top w:val="single" w:sz="4" w:space="0" w:color="auto"/>
              <w:left w:val="single" w:sz="4" w:space="0" w:color="auto"/>
              <w:bottom w:val="single" w:sz="4" w:space="0" w:color="auto"/>
              <w:right w:val="single" w:sz="4" w:space="0" w:color="auto"/>
            </w:tcBorders>
            <w:hideMark/>
          </w:tcPr>
          <w:p w:rsidR="003C0043" w:rsidRPr="00787A97" w:rsidRDefault="003C0043" w:rsidP="00CA1E03">
            <w:pPr>
              <w:rPr>
                <w:rFonts w:ascii="宋体" w:hAnsi="宋体"/>
                <w:bCs/>
                <w:sz w:val="24"/>
                <w:szCs w:val="24"/>
              </w:rPr>
            </w:pPr>
            <w:r w:rsidRPr="00787A97">
              <w:rPr>
                <w:rFonts w:ascii="宋体" w:hAnsi="宋体"/>
                <w:bCs/>
                <w:sz w:val="24"/>
                <w:szCs w:val="24"/>
              </w:rPr>
              <w:t>1</w:t>
            </w:r>
          </w:p>
        </w:tc>
        <w:tc>
          <w:tcPr>
            <w:tcW w:w="2439" w:type="dxa"/>
            <w:tcBorders>
              <w:top w:val="single" w:sz="4" w:space="0" w:color="auto"/>
              <w:left w:val="single" w:sz="4" w:space="0" w:color="auto"/>
              <w:bottom w:val="single" w:sz="4" w:space="0" w:color="auto"/>
              <w:right w:val="single" w:sz="4" w:space="0" w:color="auto"/>
            </w:tcBorders>
            <w:hideMark/>
          </w:tcPr>
          <w:p w:rsidR="003C0043" w:rsidRPr="00787A97" w:rsidRDefault="00EF7285" w:rsidP="00CA1E03">
            <w:pPr>
              <w:rPr>
                <w:rFonts w:ascii="宋体" w:hAnsi="宋体"/>
                <w:bCs/>
                <w:sz w:val="24"/>
                <w:szCs w:val="24"/>
              </w:rPr>
            </w:pPr>
            <w:r w:rsidRPr="00787A97">
              <w:rPr>
                <w:rFonts w:ascii="宋体" w:hAnsi="宋体" w:cs="Arial" w:hint="eastAsia"/>
                <w:sz w:val="24"/>
                <w:szCs w:val="24"/>
              </w:rPr>
              <w:t>包商银行股份有限公司</w:t>
            </w:r>
          </w:p>
          <w:p w:rsidR="00EF7285" w:rsidRPr="00787A97" w:rsidRDefault="00EF7285" w:rsidP="00CA1E03">
            <w:pPr>
              <w:rPr>
                <w:rFonts w:ascii="宋体" w:hAnsi="宋体"/>
                <w:bCs/>
                <w:sz w:val="24"/>
                <w:szCs w:val="24"/>
              </w:rPr>
            </w:pPr>
          </w:p>
        </w:tc>
        <w:tc>
          <w:tcPr>
            <w:tcW w:w="5039" w:type="dxa"/>
            <w:tcBorders>
              <w:top w:val="single" w:sz="4" w:space="0" w:color="auto"/>
              <w:left w:val="single" w:sz="4" w:space="0" w:color="auto"/>
              <w:bottom w:val="single" w:sz="4" w:space="0" w:color="auto"/>
              <w:right w:val="single" w:sz="4" w:space="0" w:color="auto"/>
            </w:tcBorders>
            <w:hideMark/>
          </w:tcPr>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注册（办公）地址：内蒙古包头市钢铁大街6号</w:t>
            </w:r>
          </w:p>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客服电话：</w:t>
            </w:r>
            <w:r w:rsidRPr="00787A97">
              <w:rPr>
                <w:rFonts w:ascii="宋体" w:hAnsi="宋体" w:cs="Arial"/>
                <w:color w:val="000000"/>
                <w:sz w:val="24"/>
                <w:szCs w:val="24"/>
              </w:rPr>
              <w:t xml:space="preserve"> 95352</w:t>
            </w:r>
          </w:p>
          <w:p w:rsidR="00EF7285" w:rsidRPr="00787A97" w:rsidRDefault="00EF7285" w:rsidP="00CA1E03">
            <w:pPr>
              <w:spacing w:line="400" w:lineRule="exact"/>
              <w:jc w:val="left"/>
              <w:rPr>
                <w:rFonts w:ascii="宋体" w:hAnsi="宋体" w:cs="Arial"/>
                <w:sz w:val="24"/>
                <w:szCs w:val="24"/>
              </w:rPr>
            </w:pPr>
            <w:r w:rsidRPr="00787A97">
              <w:rPr>
                <w:rFonts w:ascii="宋体" w:hAnsi="宋体" w:cs="Arial" w:hint="eastAsia"/>
                <w:sz w:val="24"/>
                <w:szCs w:val="24"/>
              </w:rPr>
              <w:t>网站：</w:t>
            </w:r>
            <w:hyperlink r:id="rId15" w:history="1">
              <w:r w:rsidRPr="00787A97">
                <w:rPr>
                  <w:rFonts w:ascii="宋体" w:hAnsi="宋体" w:cs="Arial" w:hint="eastAsia"/>
                  <w:sz w:val="24"/>
                  <w:szCs w:val="24"/>
                </w:rPr>
                <w:t>www.bsb.com.cn</w:t>
              </w:r>
            </w:hyperlink>
          </w:p>
        </w:tc>
      </w:tr>
      <w:tr w:rsidR="003C0043" w:rsidRPr="00787A97" w:rsidTr="00787A97">
        <w:tc>
          <w:tcPr>
            <w:tcW w:w="817" w:type="dxa"/>
            <w:tcBorders>
              <w:top w:val="single" w:sz="4" w:space="0" w:color="auto"/>
              <w:left w:val="single" w:sz="4" w:space="0" w:color="auto"/>
              <w:bottom w:val="single" w:sz="4" w:space="0" w:color="auto"/>
              <w:right w:val="single" w:sz="4" w:space="0" w:color="auto"/>
            </w:tcBorders>
          </w:tcPr>
          <w:p w:rsidR="003C0043" w:rsidRPr="00787A97" w:rsidRDefault="00EF7285" w:rsidP="00CA1E03">
            <w:pPr>
              <w:rPr>
                <w:rFonts w:ascii="宋体" w:hAnsi="宋体"/>
                <w:bCs/>
                <w:sz w:val="24"/>
                <w:szCs w:val="24"/>
              </w:rPr>
            </w:pPr>
            <w:r w:rsidRPr="00787A97">
              <w:rPr>
                <w:rFonts w:ascii="宋体" w:hAnsi="宋体" w:hint="eastAsia"/>
                <w:bCs/>
                <w:sz w:val="24"/>
                <w:szCs w:val="24"/>
              </w:rPr>
              <w:t>2</w:t>
            </w:r>
          </w:p>
        </w:tc>
        <w:tc>
          <w:tcPr>
            <w:tcW w:w="2439" w:type="dxa"/>
            <w:tcBorders>
              <w:top w:val="single" w:sz="4" w:space="0" w:color="auto"/>
              <w:left w:val="single" w:sz="4" w:space="0" w:color="auto"/>
              <w:bottom w:val="single" w:sz="4" w:space="0" w:color="auto"/>
              <w:right w:val="single" w:sz="4" w:space="0" w:color="auto"/>
            </w:tcBorders>
          </w:tcPr>
          <w:p w:rsidR="003C0043" w:rsidRPr="00787A97" w:rsidRDefault="00EF7285" w:rsidP="00CA1E03">
            <w:pPr>
              <w:rPr>
                <w:rFonts w:ascii="宋体" w:hAnsi="宋体"/>
                <w:bCs/>
                <w:sz w:val="24"/>
                <w:szCs w:val="24"/>
              </w:rPr>
            </w:pPr>
            <w:r w:rsidRPr="00787A97">
              <w:rPr>
                <w:rFonts w:ascii="宋体" w:hAnsi="宋体" w:cs="Arial" w:hint="eastAsia"/>
                <w:sz w:val="24"/>
                <w:szCs w:val="24"/>
              </w:rPr>
              <w:t>平安证券股份有限公司</w:t>
            </w:r>
          </w:p>
        </w:tc>
        <w:tc>
          <w:tcPr>
            <w:tcW w:w="5039" w:type="dxa"/>
            <w:tcBorders>
              <w:top w:val="single" w:sz="4" w:space="0" w:color="auto"/>
              <w:left w:val="single" w:sz="4" w:space="0" w:color="auto"/>
              <w:bottom w:val="single" w:sz="4" w:space="0" w:color="auto"/>
              <w:right w:val="single" w:sz="4" w:space="0" w:color="auto"/>
            </w:tcBorders>
          </w:tcPr>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注册（办公）地址：深圳市福田中心区金田路4036号荣</w:t>
            </w:r>
            <w:proofErr w:type="gramStart"/>
            <w:r w:rsidRPr="00787A97">
              <w:rPr>
                <w:rFonts w:ascii="宋体" w:hAnsi="宋体" w:cs="Arial" w:hint="eastAsia"/>
                <w:sz w:val="24"/>
                <w:szCs w:val="24"/>
              </w:rPr>
              <w:t>超大厦</w:t>
            </w:r>
            <w:proofErr w:type="gramEnd"/>
            <w:r w:rsidRPr="00787A97">
              <w:rPr>
                <w:rFonts w:ascii="宋体" w:hAnsi="宋体" w:cs="Arial" w:hint="eastAsia"/>
                <w:sz w:val="24"/>
                <w:szCs w:val="24"/>
              </w:rPr>
              <w:t xml:space="preserve">16-20层 </w:t>
            </w:r>
          </w:p>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客户服务电话：</w:t>
            </w:r>
            <w:r w:rsidRPr="00787A97">
              <w:rPr>
                <w:rFonts w:ascii="宋体" w:hAnsi="宋体" w:cs="Arial"/>
                <w:sz w:val="24"/>
                <w:szCs w:val="24"/>
              </w:rPr>
              <w:t xml:space="preserve">95511-8 </w:t>
            </w:r>
          </w:p>
          <w:p w:rsidR="003C0043" w:rsidRPr="00787A97" w:rsidRDefault="00EF7285" w:rsidP="00CA1E03">
            <w:pPr>
              <w:spacing w:line="400" w:lineRule="exact"/>
              <w:jc w:val="left"/>
              <w:rPr>
                <w:rFonts w:ascii="宋体" w:hAnsi="宋体" w:cs="Arial"/>
                <w:sz w:val="24"/>
                <w:szCs w:val="24"/>
              </w:rPr>
            </w:pPr>
            <w:r w:rsidRPr="00787A97">
              <w:rPr>
                <w:rFonts w:ascii="宋体" w:hAnsi="宋体" w:cs="Arial" w:hint="eastAsia"/>
                <w:sz w:val="24"/>
                <w:szCs w:val="24"/>
              </w:rPr>
              <w:t>网址：</w:t>
            </w:r>
            <w:r w:rsidRPr="00787A97">
              <w:rPr>
                <w:rFonts w:ascii="宋体" w:hAnsi="宋体" w:cs="Arial"/>
                <w:sz w:val="24"/>
                <w:szCs w:val="24"/>
              </w:rPr>
              <w:t>stock.pingan.com</w:t>
            </w:r>
          </w:p>
        </w:tc>
      </w:tr>
      <w:tr w:rsidR="003C0043" w:rsidRPr="00787A97" w:rsidTr="00787A97">
        <w:tc>
          <w:tcPr>
            <w:tcW w:w="817" w:type="dxa"/>
            <w:tcBorders>
              <w:top w:val="single" w:sz="4" w:space="0" w:color="auto"/>
              <w:left w:val="single" w:sz="4" w:space="0" w:color="auto"/>
              <w:bottom w:val="single" w:sz="4" w:space="0" w:color="auto"/>
              <w:right w:val="single" w:sz="4" w:space="0" w:color="auto"/>
            </w:tcBorders>
          </w:tcPr>
          <w:p w:rsidR="003C0043" w:rsidRPr="00787A97" w:rsidRDefault="00EF7285" w:rsidP="00CA1E03">
            <w:pPr>
              <w:rPr>
                <w:rFonts w:ascii="宋体" w:hAnsi="宋体"/>
                <w:bCs/>
                <w:sz w:val="24"/>
                <w:szCs w:val="24"/>
              </w:rPr>
            </w:pPr>
            <w:r w:rsidRPr="00787A97">
              <w:rPr>
                <w:rFonts w:ascii="宋体" w:hAnsi="宋体" w:hint="eastAsia"/>
                <w:bCs/>
                <w:sz w:val="24"/>
                <w:szCs w:val="24"/>
              </w:rPr>
              <w:t>3</w:t>
            </w:r>
          </w:p>
        </w:tc>
        <w:tc>
          <w:tcPr>
            <w:tcW w:w="2439" w:type="dxa"/>
            <w:tcBorders>
              <w:top w:val="single" w:sz="4" w:space="0" w:color="auto"/>
              <w:left w:val="single" w:sz="4" w:space="0" w:color="auto"/>
              <w:bottom w:val="single" w:sz="4" w:space="0" w:color="auto"/>
              <w:right w:val="single" w:sz="4" w:space="0" w:color="auto"/>
            </w:tcBorders>
          </w:tcPr>
          <w:p w:rsidR="003C0043" w:rsidRPr="00787A97" w:rsidRDefault="00EF7285" w:rsidP="00CA1E03">
            <w:pPr>
              <w:rPr>
                <w:rFonts w:ascii="宋体" w:hAnsi="宋体"/>
                <w:bCs/>
                <w:sz w:val="24"/>
                <w:szCs w:val="24"/>
              </w:rPr>
            </w:pPr>
            <w:r w:rsidRPr="00787A97">
              <w:rPr>
                <w:rFonts w:ascii="宋体" w:hAnsi="宋体" w:cs="Arial" w:hint="eastAsia"/>
                <w:color w:val="000000"/>
                <w:kern w:val="0"/>
                <w:sz w:val="24"/>
                <w:szCs w:val="24"/>
              </w:rPr>
              <w:t>世纪证券有限责任公司</w:t>
            </w:r>
          </w:p>
        </w:tc>
        <w:tc>
          <w:tcPr>
            <w:tcW w:w="5039" w:type="dxa"/>
            <w:tcBorders>
              <w:top w:val="single" w:sz="4" w:space="0" w:color="auto"/>
              <w:left w:val="single" w:sz="4" w:space="0" w:color="auto"/>
              <w:bottom w:val="single" w:sz="4" w:space="0" w:color="auto"/>
              <w:right w:val="single" w:sz="4" w:space="0" w:color="auto"/>
            </w:tcBorders>
          </w:tcPr>
          <w:p w:rsidR="00EF7285" w:rsidRPr="00787A97" w:rsidRDefault="00EF7285" w:rsidP="00787A97">
            <w:pPr>
              <w:spacing w:line="400" w:lineRule="exact"/>
              <w:jc w:val="left"/>
              <w:rPr>
                <w:rFonts w:ascii="宋体" w:hAnsi="宋体" w:cs="Arial"/>
                <w:sz w:val="24"/>
                <w:szCs w:val="24"/>
              </w:rPr>
            </w:pPr>
            <w:r w:rsidRPr="00787A97">
              <w:rPr>
                <w:rFonts w:ascii="宋体" w:hAnsi="宋体" w:cs="Arial" w:hint="eastAsia"/>
                <w:sz w:val="24"/>
                <w:szCs w:val="24"/>
              </w:rPr>
              <w:t>注册（办公）地址：深圳市福田区深南大道招商银行大厦40</w:t>
            </w:r>
            <w:r w:rsidRPr="00787A97">
              <w:rPr>
                <w:rFonts w:ascii="宋体" w:hAnsi="宋体" w:cs="Arial"/>
                <w:sz w:val="24"/>
                <w:szCs w:val="24"/>
              </w:rPr>
              <w:t>-42</w:t>
            </w:r>
            <w:r w:rsidRPr="00787A97">
              <w:rPr>
                <w:rFonts w:ascii="宋体" w:hAnsi="宋体" w:cs="Arial" w:hint="eastAsia"/>
                <w:sz w:val="24"/>
                <w:szCs w:val="24"/>
              </w:rPr>
              <w:t>层</w:t>
            </w:r>
          </w:p>
          <w:p w:rsidR="00EF7285" w:rsidRPr="00787A97" w:rsidRDefault="00EF7285" w:rsidP="00787A97">
            <w:pPr>
              <w:spacing w:line="400" w:lineRule="exact"/>
              <w:jc w:val="left"/>
              <w:rPr>
                <w:rFonts w:ascii="宋体" w:hAnsi="宋体" w:cs="Arial"/>
                <w:sz w:val="24"/>
                <w:szCs w:val="24"/>
              </w:rPr>
            </w:pPr>
            <w:r w:rsidRPr="00787A97">
              <w:rPr>
                <w:rFonts w:ascii="宋体" w:hAnsi="宋体" w:cs="Arial" w:hint="eastAsia"/>
                <w:sz w:val="24"/>
                <w:szCs w:val="24"/>
              </w:rPr>
              <w:t>客服电话：4008323000</w:t>
            </w:r>
          </w:p>
          <w:p w:rsidR="003C0043" w:rsidRPr="00787A97" w:rsidRDefault="00EF7285" w:rsidP="00EF7285">
            <w:pPr>
              <w:spacing w:line="400" w:lineRule="exact"/>
              <w:jc w:val="left"/>
              <w:rPr>
                <w:rFonts w:ascii="宋体" w:hAnsi="宋体"/>
                <w:sz w:val="24"/>
                <w:szCs w:val="24"/>
              </w:rPr>
            </w:pPr>
            <w:r w:rsidRPr="00787A97">
              <w:rPr>
                <w:rFonts w:ascii="宋体" w:hAnsi="宋体" w:cs="Arial" w:hint="eastAsia"/>
                <w:sz w:val="24"/>
                <w:szCs w:val="24"/>
              </w:rPr>
              <w:t>网站：</w:t>
            </w:r>
            <w:r w:rsidRPr="00787A97" w:rsidDel="009A50FB">
              <w:rPr>
                <w:rFonts w:ascii="宋体" w:hAnsi="宋体" w:cs="Arial"/>
                <w:sz w:val="24"/>
                <w:szCs w:val="24"/>
              </w:rPr>
              <w:t xml:space="preserve"> </w:t>
            </w:r>
            <w:hyperlink r:id="rId16" w:history="1">
              <w:r w:rsidRPr="00787A97">
                <w:rPr>
                  <w:rFonts w:ascii="宋体" w:hAnsi="宋体" w:cs="Arial"/>
                  <w:sz w:val="24"/>
                  <w:szCs w:val="24"/>
                </w:rPr>
                <w:t>http://www.csco.com.cn</w:t>
              </w:r>
            </w:hyperlink>
          </w:p>
        </w:tc>
      </w:tr>
      <w:tr w:rsidR="003C0043" w:rsidRPr="00787A97" w:rsidTr="00AA26FB">
        <w:tc>
          <w:tcPr>
            <w:tcW w:w="817" w:type="dxa"/>
            <w:tcBorders>
              <w:top w:val="single" w:sz="4" w:space="0" w:color="auto"/>
              <w:left w:val="single" w:sz="4" w:space="0" w:color="auto"/>
              <w:bottom w:val="single" w:sz="4" w:space="0" w:color="auto"/>
              <w:right w:val="single" w:sz="4" w:space="0" w:color="auto"/>
            </w:tcBorders>
          </w:tcPr>
          <w:p w:rsidR="003C0043" w:rsidRPr="00787A97" w:rsidRDefault="00EF7285" w:rsidP="00CA1E03">
            <w:pPr>
              <w:rPr>
                <w:rFonts w:ascii="宋体" w:hAnsi="宋体"/>
                <w:bCs/>
                <w:sz w:val="24"/>
                <w:szCs w:val="24"/>
              </w:rPr>
            </w:pPr>
            <w:r w:rsidRPr="00787A97">
              <w:rPr>
                <w:rFonts w:ascii="宋体" w:hAnsi="宋体" w:hint="eastAsia"/>
                <w:bCs/>
                <w:sz w:val="24"/>
                <w:szCs w:val="24"/>
              </w:rPr>
              <w:t>4</w:t>
            </w:r>
          </w:p>
        </w:tc>
        <w:tc>
          <w:tcPr>
            <w:tcW w:w="2439" w:type="dxa"/>
            <w:tcBorders>
              <w:top w:val="single" w:sz="4" w:space="0" w:color="auto"/>
              <w:left w:val="single" w:sz="4" w:space="0" w:color="auto"/>
              <w:bottom w:val="single" w:sz="4" w:space="0" w:color="auto"/>
              <w:right w:val="single" w:sz="4" w:space="0" w:color="auto"/>
            </w:tcBorders>
          </w:tcPr>
          <w:p w:rsidR="003C0043" w:rsidRPr="00787A97" w:rsidRDefault="00EF7285" w:rsidP="00CA1E03">
            <w:pPr>
              <w:rPr>
                <w:rFonts w:ascii="宋体" w:hAnsi="宋体"/>
                <w:bCs/>
                <w:sz w:val="24"/>
                <w:szCs w:val="24"/>
              </w:rPr>
            </w:pPr>
            <w:r w:rsidRPr="00787A97">
              <w:rPr>
                <w:rFonts w:ascii="宋体" w:hAnsi="宋体" w:cs="Arial" w:hint="eastAsia"/>
                <w:sz w:val="24"/>
                <w:szCs w:val="24"/>
              </w:rPr>
              <w:t>上海联泰资产管理有限公司</w:t>
            </w:r>
          </w:p>
        </w:tc>
        <w:tc>
          <w:tcPr>
            <w:tcW w:w="5039" w:type="dxa"/>
            <w:tcBorders>
              <w:top w:val="single" w:sz="4" w:space="0" w:color="auto"/>
              <w:left w:val="single" w:sz="4" w:space="0" w:color="auto"/>
              <w:bottom w:val="single" w:sz="4" w:space="0" w:color="auto"/>
              <w:right w:val="single" w:sz="4" w:space="0" w:color="auto"/>
            </w:tcBorders>
          </w:tcPr>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注册地址：上海自由贸易区富特北路277号3层310室</w:t>
            </w:r>
          </w:p>
          <w:p w:rsidR="00AA26FB"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办公地址：上海市长宁区金钟路658号2号楼B座6楼</w:t>
            </w:r>
          </w:p>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客户服务电话：400-046-6788</w:t>
            </w:r>
          </w:p>
          <w:p w:rsidR="003C0043" w:rsidRPr="00787A97" w:rsidRDefault="00EF7285" w:rsidP="00CA1E03">
            <w:pPr>
              <w:spacing w:line="400" w:lineRule="exact"/>
              <w:jc w:val="left"/>
              <w:rPr>
                <w:rFonts w:ascii="宋体" w:hAnsi="宋体" w:cs="Arial"/>
                <w:sz w:val="24"/>
                <w:szCs w:val="24"/>
              </w:rPr>
            </w:pPr>
            <w:r w:rsidRPr="00787A97">
              <w:rPr>
                <w:rFonts w:ascii="宋体" w:hAnsi="宋体" w:cs="Arial" w:hint="eastAsia"/>
                <w:sz w:val="24"/>
                <w:szCs w:val="24"/>
              </w:rPr>
              <w:t>网址：</w:t>
            </w:r>
            <w:hyperlink r:id="rId17" w:history="1">
              <w:r w:rsidRPr="00787A97">
                <w:rPr>
                  <w:rFonts w:ascii="宋体" w:hAnsi="宋体" w:cs="Arial" w:hint="eastAsia"/>
                  <w:sz w:val="24"/>
                  <w:szCs w:val="24"/>
                </w:rPr>
                <w:t>www.66zichan.com</w:t>
              </w:r>
            </w:hyperlink>
          </w:p>
        </w:tc>
      </w:tr>
      <w:tr w:rsidR="003C0043" w:rsidRPr="00787A97" w:rsidTr="00AA26FB">
        <w:tc>
          <w:tcPr>
            <w:tcW w:w="817" w:type="dxa"/>
            <w:tcBorders>
              <w:top w:val="single" w:sz="4" w:space="0" w:color="auto"/>
              <w:left w:val="single" w:sz="4" w:space="0" w:color="auto"/>
              <w:bottom w:val="single" w:sz="4" w:space="0" w:color="auto"/>
              <w:right w:val="single" w:sz="4" w:space="0" w:color="auto"/>
            </w:tcBorders>
          </w:tcPr>
          <w:p w:rsidR="003C0043" w:rsidRPr="00787A97" w:rsidRDefault="00EF7285" w:rsidP="00CA1E03">
            <w:pPr>
              <w:rPr>
                <w:rFonts w:ascii="宋体" w:hAnsi="宋体"/>
                <w:bCs/>
                <w:sz w:val="24"/>
                <w:szCs w:val="24"/>
              </w:rPr>
            </w:pPr>
            <w:r w:rsidRPr="00787A97">
              <w:rPr>
                <w:rFonts w:ascii="宋体" w:hAnsi="宋体" w:hint="eastAsia"/>
                <w:bCs/>
                <w:sz w:val="24"/>
                <w:szCs w:val="24"/>
              </w:rPr>
              <w:t>5</w:t>
            </w:r>
          </w:p>
        </w:tc>
        <w:tc>
          <w:tcPr>
            <w:tcW w:w="2439" w:type="dxa"/>
            <w:tcBorders>
              <w:top w:val="single" w:sz="4" w:space="0" w:color="auto"/>
              <w:left w:val="single" w:sz="4" w:space="0" w:color="auto"/>
              <w:bottom w:val="single" w:sz="4" w:space="0" w:color="auto"/>
              <w:right w:val="single" w:sz="4" w:space="0" w:color="auto"/>
            </w:tcBorders>
          </w:tcPr>
          <w:p w:rsidR="003C0043" w:rsidRPr="00787A97" w:rsidRDefault="00EF7285" w:rsidP="00787A97">
            <w:pPr>
              <w:spacing w:line="400" w:lineRule="exact"/>
              <w:jc w:val="left"/>
              <w:rPr>
                <w:rFonts w:ascii="宋体" w:hAnsi="宋体" w:cs="Arial"/>
                <w:sz w:val="24"/>
                <w:szCs w:val="24"/>
              </w:rPr>
            </w:pPr>
            <w:r w:rsidRPr="00787A97">
              <w:rPr>
                <w:rFonts w:ascii="宋体" w:hAnsi="宋体" w:cs="Arial" w:hint="eastAsia"/>
                <w:sz w:val="24"/>
                <w:szCs w:val="24"/>
              </w:rPr>
              <w:t>上海天天基金销售有</w:t>
            </w:r>
            <w:r w:rsidRPr="00787A97">
              <w:rPr>
                <w:rFonts w:ascii="宋体" w:hAnsi="宋体" w:cs="Arial" w:hint="eastAsia"/>
                <w:sz w:val="24"/>
                <w:szCs w:val="24"/>
              </w:rPr>
              <w:lastRenderedPageBreak/>
              <w:t>限公司</w:t>
            </w:r>
          </w:p>
        </w:tc>
        <w:tc>
          <w:tcPr>
            <w:tcW w:w="5039" w:type="dxa"/>
            <w:tcBorders>
              <w:top w:val="single" w:sz="4" w:space="0" w:color="auto"/>
              <w:left w:val="single" w:sz="4" w:space="0" w:color="auto"/>
              <w:bottom w:val="single" w:sz="4" w:space="0" w:color="auto"/>
              <w:right w:val="single" w:sz="4" w:space="0" w:color="auto"/>
            </w:tcBorders>
          </w:tcPr>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lastRenderedPageBreak/>
              <w:t>注册地址：上海市徐汇区龙田路190号二号楼</w:t>
            </w:r>
            <w:r w:rsidRPr="00787A97">
              <w:rPr>
                <w:rFonts w:ascii="宋体" w:hAnsi="宋体" w:cs="Arial" w:hint="eastAsia"/>
                <w:sz w:val="24"/>
                <w:szCs w:val="24"/>
              </w:rPr>
              <w:lastRenderedPageBreak/>
              <w:t>2层</w:t>
            </w:r>
          </w:p>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办公地址：上海市徐汇区龙田路190号二号楼2层</w:t>
            </w:r>
          </w:p>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客服电话：400-1818-188</w:t>
            </w:r>
          </w:p>
          <w:p w:rsidR="003C0043" w:rsidRPr="00787A97" w:rsidRDefault="00EF7285" w:rsidP="00CA1E03">
            <w:pPr>
              <w:spacing w:line="400" w:lineRule="exact"/>
              <w:jc w:val="left"/>
              <w:rPr>
                <w:rFonts w:ascii="宋体" w:hAnsi="宋体" w:cs="Arial"/>
                <w:sz w:val="24"/>
                <w:szCs w:val="24"/>
              </w:rPr>
            </w:pPr>
            <w:r w:rsidRPr="00787A97">
              <w:rPr>
                <w:rFonts w:ascii="宋体" w:hAnsi="宋体" w:cs="Arial" w:hint="eastAsia"/>
                <w:sz w:val="24"/>
                <w:szCs w:val="24"/>
              </w:rPr>
              <w:t>网址：http://www.1234567.com.cn</w:t>
            </w:r>
          </w:p>
        </w:tc>
      </w:tr>
      <w:tr w:rsidR="003C0043" w:rsidRPr="00787A97" w:rsidTr="00AA26FB">
        <w:tc>
          <w:tcPr>
            <w:tcW w:w="817" w:type="dxa"/>
            <w:tcBorders>
              <w:top w:val="single" w:sz="4" w:space="0" w:color="auto"/>
              <w:left w:val="single" w:sz="4" w:space="0" w:color="auto"/>
              <w:bottom w:val="single" w:sz="4" w:space="0" w:color="auto"/>
              <w:right w:val="single" w:sz="4" w:space="0" w:color="auto"/>
            </w:tcBorders>
          </w:tcPr>
          <w:p w:rsidR="003C0043" w:rsidRPr="00787A97" w:rsidRDefault="00EF7285" w:rsidP="00CA1E03">
            <w:pPr>
              <w:rPr>
                <w:rFonts w:ascii="宋体" w:hAnsi="宋体"/>
                <w:bCs/>
                <w:sz w:val="24"/>
                <w:szCs w:val="24"/>
              </w:rPr>
            </w:pPr>
            <w:r w:rsidRPr="00787A97">
              <w:rPr>
                <w:rFonts w:ascii="宋体" w:hAnsi="宋体" w:hint="eastAsia"/>
                <w:bCs/>
                <w:sz w:val="24"/>
                <w:szCs w:val="24"/>
              </w:rPr>
              <w:lastRenderedPageBreak/>
              <w:t>6</w:t>
            </w:r>
          </w:p>
        </w:tc>
        <w:tc>
          <w:tcPr>
            <w:tcW w:w="2439" w:type="dxa"/>
            <w:tcBorders>
              <w:top w:val="single" w:sz="4" w:space="0" w:color="auto"/>
              <w:left w:val="single" w:sz="4" w:space="0" w:color="auto"/>
              <w:bottom w:val="single" w:sz="4" w:space="0" w:color="auto"/>
              <w:right w:val="single" w:sz="4" w:space="0" w:color="auto"/>
            </w:tcBorders>
          </w:tcPr>
          <w:p w:rsidR="00EF7285" w:rsidRPr="00787A97" w:rsidRDefault="00EF7285" w:rsidP="00EF7285">
            <w:pPr>
              <w:spacing w:line="400" w:lineRule="exact"/>
              <w:jc w:val="left"/>
              <w:rPr>
                <w:rFonts w:ascii="宋体" w:hAnsi="宋体" w:cs="Arial"/>
                <w:color w:val="000000"/>
                <w:sz w:val="24"/>
                <w:szCs w:val="24"/>
              </w:rPr>
            </w:pPr>
            <w:r w:rsidRPr="00787A97">
              <w:rPr>
                <w:rFonts w:ascii="宋体" w:hAnsi="宋体" w:cs="Arial" w:hint="eastAsia"/>
                <w:color w:val="000000"/>
                <w:sz w:val="24"/>
                <w:szCs w:val="24"/>
              </w:rPr>
              <w:t>珠海盈米财富管理有限公司</w:t>
            </w:r>
          </w:p>
          <w:p w:rsidR="003C0043" w:rsidRPr="00787A97" w:rsidRDefault="003C0043" w:rsidP="00CA1E03">
            <w:pPr>
              <w:rPr>
                <w:rFonts w:ascii="宋体" w:hAnsi="宋体"/>
                <w:bCs/>
                <w:sz w:val="24"/>
                <w:szCs w:val="24"/>
              </w:rPr>
            </w:pPr>
          </w:p>
        </w:tc>
        <w:tc>
          <w:tcPr>
            <w:tcW w:w="5039" w:type="dxa"/>
            <w:tcBorders>
              <w:top w:val="single" w:sz="4" w:space="0" w:color="auto"/>
              <w:left w:val="single" w:sz="4" w:space="0" w:color="auto"/>
              <w:bottom w:val="single" w:sz="4" w:space="0" w:color="auto"/>
              <w:right w:val="single" w:sz="4" w:space="0" w:color="auto"/>
            </w:tcBorders>
          </w:tcPr>
          <w:p w:rsidR="00EF7285" w:rsidRPr="00787A97" w:rsidRDefault="00EF7285" w:rsidP="00EF7285">
            <w:pPr>
              <w:spacing w:line="400" w:lineRule="exact"/>
              <w:jc w:val="left"/>
              <w:rPr>
                <w:rFonts w:ascii="宋体" w:hAnsi="宋体" w:cs="Arial"/>
                <w:color w:val="000000"/>
                <w:sz w:val="24"/>
                <w:szCs w:val="24"/>
              </w:rPr>
            </w:pPr>
            <w:r w:rsidRPr="00787A97">
              <w:rPr>
                <w:rFonts w:ascii="宋体" w:hAnsi="宋体" w:cs="Arial" w:hint="eastAsia"/>
                <w:color w:val="000000"/>
                <w:sz w:val="24"/>
                <w:szCs w:val="24"/>
              </w:rPr>
              <w:t>注册地址：珠海市横琴新区宝华路6号105室-3491</w:t>
            </w:r>
          </w:p>
          <w:p w:rsidR="00EF7285" w:rsidRPr="00787A97" w:rsidRDefault="00EF7285" w:rsidP="00EF7285">
            <w:pPr>
              <w:spacing w:line="400" w:lineRule="exact"/>
              <w:jc w:val="left"/>
              <w:rPr>
                <w:rFonts w:ascii="宋体" w:hAnsi="宋体" w:cs="Arial"/>
                <w:color w:val="000000"/>
                <w:sz w:val="24"/>
                <w:szCs w:val="24"/>
              </w:rPr>
            </w:pPr>
            <w:r w:rsidRPr="00787A97">
              <w:rPr>
                <w:rFonts w:ascii="宋体" w:hAnsi="宋体" w:cs="Arial" w:hint="eastAsia"/>
                <w:color w:val="000000"/>
                <w:sz w:val="24"/>
                <w:szCs w:val="24"/>
              </w:rPr>
              <w:t>办公地址：广州市海珠区</w:t>
            </w:r>
            <w:proofErr w:type="gramStart"/>
            <w:r w:rsidRPr="00787A97">
              <w:rPr>
                <w:rFonts w:ascii="宋体" w:hAnsi="宋体" w:cs="Arial" w:hint="eastAsia"/>
                <w:color w:val="000000"/>
                <w:sz w:val="24"/>
                <w:szCs w:val="24"/>
              </w:rPr>
              <w:t>琶</w:t>
            </w:r>
            <w:proofErr w:type="gramEnd"/>
            <w:r w:rsidRPr="00787A97">
              <w:rPr>
                <w:rFonts w:ascii="宋体" w:hAnsi="宋体" w:cs="Arial" w:hint="eastAsia"/>
                <w:color w:val="000000"/>
                <w:sz w:val="24"/>
                <w:szCs w:val="24"/>
              </w:rPr>
              <w:t>洲大道东1号保利国际广场南塔12楼B1201-1203</w:t>
            </w:r>
          </w:p>
          <w:p w:rsidR="00EF7285" w:rsidRPr="00787A97" w:rsidRDefault="00EF7285" w:rsidP="00EF7285">
            <w:pPr>
              <w:spacing w:line="400" w:lineRule="exact"/>
              <w:jc w:val="left"/>
              <w:rPr>
                <w:rFonts w:ascii="宋体" w:hAnsi="宋体" w:cs="Arial"/>
                <w:color w:val="000000"/>
                <w:sz w:val="24"/>
                <w:szCs w:val="24"/>
              </w:rPr>
            </w:pPr>
            <w:r w:rsidRPr="00787A97">
              <w:rPr>
                <w:rFonts w:ascii="宋体" w:hAnsi="宋体" w:cs="Arial" w:hint="eastAsia"/>
                <w:color w:val="000000"/>
                <w:sz w:val="24"/>
                <w:szCs w:val="24"/>
              </w:rPr>
              <w:t>客户服务电话：020-89629066</w:t>
            </w:r>
          </w:p>
          <w:p w:rsidR="003C0043" w:rsidRPr="00787A97" w:rsidRDefault="00EF7285" w:rsidP="00CA1E03">
            <w:pPr>
              <w:spacing w:line="400" w:lineRule="exact"/>
              <w:jc w:val="left"/>
              <w:rPr>
                <w:rFonts w:ascii="宋体" w:hAnsi="宋体" w:cs="Arial"/>
                <w:sz w:val="24"/>
                <w:szCs w:val="24"/>
              </w:rPr>
            </w:pPr>
            <w:r w:rsidRPr="00787A97">
              <w:rPr>
                <w:rFonts w:ascii="宋体" w:hAnsi="宋体" w:cs="Arial" w:hint="eastAsia"/>
                <w:color w:val="000000"/>
                <w:sz w:val="24"/>
                <w:szCs w:val="24"/>
              </w:rPr>
              <w:t>网址</w:t>
            </w:r>
            <w:r w:rsidRPr="00787A97">
              <w:rPr>
                <w:rFonts w:ascii="宋体" w:hAnsi="宋体" w:cs="Arial" w:hint="eastAsia"/>
                <w:sz w:val="24"/>
                <w:szCs w:val="24"/>
              </w:rPr>
              <w:t>：</w:t>
            </w:r>
            <w:hyperlink r:id="rId18" w:history="1">
              <w:r w:rsidRPr="00787A97">
                <w:rPr>
                  <w:rFonts w:ascii="宋体" w:hAnsi="宋体" w:cs="Arial" w:hint="eastAsia"/>
                  <w:sz w:val="24"/>
                  <w:szCs w:val="24"/>
                </w:rPr>
                <w:t>www.yingmi.cn</w:t>
              </w:r>
            </w:hyperlink>
          </w:p>
        </w:tc>
      </w:tr>
      <w:tr w:rsidR="003C0043" w:rsidRPr="00787A97" w:rsidTr="00AA26FB">
        <w:tc>
          <w:tcPr>
            <w:tcW w:w="817" w:type="dxa"/>
            <w:tcBorders>
              <w:top w:val="single" w:sz="4" w:space="0" w:color="auto"/>
              <w:left w:val="single" w:sz="4" w:space="0" w:color="auto"/>
              <w:bottom w:val="single" w:sz="4" w:space="0" w:color="auto"/>
              <w:right w:val="single" w:sz="4" w:space="0" w:color="auto"/>
            </w:tcBorders>
          </w:tcPr>
          <w:p w:rsidR="003C0043" w:rsidRPr="00787A97" w:rsidRDefault="00EF7285" w:rsidP="00CA1E03">
            <w:pPr>
              <w:rPr>
                <w:rFonts w:ascii="宋体" w:hAnsi="宋体"/>
                <w:bCs/>
                <w:sz w:val="24"/>
                <w:szCs w:val="24"/>
              </w:rPr>
            </w:pPr>
            <w:r w:rsidRPr="00787A97">
              <w:rPr>
                <w:rFonts w:ascii="宋体" w:hAnsi="宋体" w:hint="eastAsia"/>
                <w:bCs/>
                <w:sz w:val="24"/>
                <w:szCs w:val="24"/>
              </w:rPr>
              <w:t>7</w:t>
            </w:r>
          </w:p>
        </w:tc>
        <w:tc>
          <w:tcPr>
            <w:tcW w:w="2439" w:type="dxa"/>
            <w:tcBorders>
              <w:top w:val="single" w:sz="4" w:space="0" w:color="auto"/>
              <w:left w:val="single" w:sz="4" w:space="0" w:color="auto"/>
              <w:bottom w:val="single" w:sz="4" w:space="0" w:color="auto"/>
              <w:right w:val="single" w:sz="4" w:space="0" w:color="auto"/>
            </w:tcBorders>
          </w:tcPr>
          <w:p w:rsidR="003C0043" w:rsidRPr="00787A97" w:rsidRDefault="00EF7285" w:rsidP="00CA1E03">
            <w:pPr>
              <w:rPr>
                <w:rFonts w:ascii="宋体" w:hAnsi="宋体"/>
                <w:bCs/>
                <w:sz w:val="24"/>
                <w:szCs w:val="24"/>
              </w:rPr>
            </w:pPr>
            <w:r w:rsidRPr="00787A97">
              <w:rPr>
                <w:rFonts w:ascii="宋体" w:hAnsi="宋体" w:cs="Arial" w:hint="eastAsia"/>
                <w:sz w:val="24"/>
                <w:szCs w:val="24"/>
              </w:rPr>
              <w:t>上海长</w:t>
            </w:r>
            <w:proofErr w:type="gramStart"/>
            <w:r w:rsidRPr="00787A97">
              <w:rPr>
                <w:rFonts w:ascii="宋体" w:hAnsi="宋体" w:cs="Arial" w:hint="eastAsia"/>
                <w:sz w:val="24"/>
                <w:szCs w:val="24"/>
              </w:rPr>
              <w:t>量基金</w:t>
            </w:r>
            <w:proofErr w:type="gramEnd"/>
            <w:r w:rsidRPr="00787A97">
              <w:rPr>
                <w:rFonts w:ascii="宋体" w:hAnsi="宋体" w:cs="Arial" w:hint="eastAsia"/>
                <w:sz w:val="24"/>
                <w:szCs w:val="24"/>
              </w:rPr>
              <w:t>销售投资顾问有限公司</w:t>
            </w:r>
          </w:p>
        </w:tc>
        <w:tc>
          <w:tcPr>
            <w:tcW w:w="5039" w:type="dxa"/>
            <w:tcBorders>
              <w:top w:val="single" w:sz="4" w:space="0" w:color="auto"/>
              <w:left w:val="single" w:sz="4" w:space="0" w:color="auto"/>
              <w:bottom w:val="single" w:sz="4" w:space="0" w:color="auto"/>
              <w:right w:val="single" w:sz="4" w:space="0" w:color="auto"/>
            </w:tcBorders>
          </w:tcPr>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注册地址：上海市浦东新区高翔路526号2幢220室</w:t>
            </w:r>
          </w:p>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办公地址：上海市浦东新区东方路1267号11层</w:t>
            </w:r>
          </w:p>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客服电话：400-820-2899</w:t>
            </w:r>
          </w:p>
          <w:p w:rsidR="003C0043" w:rsidRPr="00787A97" w:rsidRDefault="00EF7285" w:rsidP="00CA1E03">
            <w:pPr>
              <w:spacing w:line="400" w:lineRule="exact"/>
              <w:jc w:val="left"/>
              <w:rPr>
                <w:rFonts w:ascii="宋体" w:hAnsi="宋体" w:cs="Arial"/>
                <w:sz w:val="24"/>
                <w:szCs w:val="24"/>
              </w:rPr>
            </w:pPr>
            <w:r w:rsidRPr="00787A97">
              <w:rPr>
                <w:rFonts w:ascii="宋体" w:hAnsi="宋体" w:cs="Arial" w:hint="eastAsia"/>
                <w:sz w:val="24"/>
                <w:szCs w:val="24"/>
              </w:rPr>
              <w:t>公司网站： www.erichfund.com</w:t>
            </w:r>
          </w:p>
        </w:tc>
      </w:tr>
      <w:tr w:rsidR="00EF7285" w:rsidRPr="00787A97" w:rsidTr="00AA26FB">
        <w:tc>
          <w:tcPr>
            <w:tcW w:w="817" w:type="dxa"/>
            <w:tcBorders>
              <w:top w:val="single" w:sz="4" w:space="0" w:color="auto"/>
              <w:left w:val="single" w:sz="4" w:space="0" w:color="auto"/>
              <w:bottom w:val="single" w:sz="4" w:space="0" w:color="auto"/>
              <w:right w:val="single" w:sz="4" w:space="0" w:color="auto"/>
            </w:tcBorders>
          </w:tcPr>
          <w:p w:rsidR="00EF7285" w:rsidRPr="00787A97" w:rsidRDefault="00EF7285" w:rsidP="00CA1E03">
            <w:pPr>
              <w:rPr>
                <w:rFonts w:ascii="宋体" w:hAnsi="宋体"/>
                <w:bCs/>
                <w:sz w:val="24"/>
                <w:szCs w:val="24"/>
              </w:rPr>
            </w:pPr>
            <w:r w:rsidRPr="00787A97">
              <w:rPr>
                <w:rFonts w:ascii="宋体" w:hAnsi="宋体" w:hint="eastAsia"/>
                <w:bCs/>
                <w:sz w:val="24"/>
                <w:szCs w:val="24"/>
              </w:rPr>
              <w:t>8</w:t>
            </w:r>
          </w:p>
        </w:tc>
        <w:tc>
          <w:tcPr>
            <w:tcW w:w="2439" w:type="dxa"/>
            <w:tcBorders>
              <w:top w:val="single" w:sz="4" w:space="0" w:color="auto"/>
              <w:left w:val="single" w:sz="4" w:space="0" w:color="auto"/>
              <w:bottom w:val="single" w:sz="4" w:space="0" w:color="auto"/>
              <w:right w:val="single" w:sz="4" w:space="0" w:color="auto"/>
            </w:tcBorders>
          </w:tcPr>
          <w:p w:rsidR="00EF7285" w:rsidRPr="00787A97" w:rsidRDefault="00EF7285" w:rsidP="00CA1E03">
            <w:pPr>
              <w:rPr>
                <w:rFonts w:ascii="宋体" w:hAnsi="宋体"/>
                <w:bCs/>
                <w:sz w:val="24"/>
                <w:szCs w:val="24"/>
              </w:rPr>
            </w:pPr>
            <w:r w:rsidRPr="00787A97">
              <w:rPr>
                <w:rFonts w:ascii="宋体" w:hAnsi="宋体" w:cs="Arial" w:hint="eastAsia"/>
                <w:sz w:val="24"/>
                <w:szCs w:val="24"/>
              </w:rPr>
              <w:t>深圳市新兰德证券投资咨询有限公司</w:t>
            </w:r>
          </w:p>
        </w:tc>
        <w:tc>
          <w:tcPr>
            <w:tcW w:w="5039" w:type="dxa"/>
            <w:tcBorders>
              <w:top w:val="single" w:sz="4" w:space="0" w:color="auto"/>
              <w:left w:val="single" w:sz="4" w:space="0" w:color="auto"/>
              <w:bottom w:val="single" w:sz="4" w:space="0" w:color="auto"/>
              <w:right w:val="single" w:sz="4" w:space="0" w:color="auto"/>
            </w:tcBorders>
          </w:tcPr>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注册地址：深圳市福田区华强北路赛格科技园</w:t>
            </w:r>
            <w:r w:rsidRPr="00787A97">
              <w:rPr>
                <w:rFonts w:ascii="宋体" w:hAnsi="宋体" w:cs="Arial"/>
                <w:sz w:val="24"/>
                <w:szCs w:val="24"/>
              </w:rPr>
              <w:t>4</w:t>
            </w:r>
            <w:r w:rsidRPr="00787A97">
              <w:rPr>
                <w:rFonts w:ascii="宋体" w:hAnsi="宋体" w:cs="Arial" w:hint="eastAsia"/>
                <w:sz w:val="24"/>
                <w:szCs w:val="24"/>
              </w:rPr>
              <w:t>栋</w:t>
            </w:r>
            <w:r w:rsidRPr="00787A97">
              <w:rPr>
                <w:rFonts w:ascii="宋体" w:hAnsi="宋体" w:cs="Arial"/>
                <w:sz w:val="24"/>
                <w:szCs w:val="24"/>
              </w:rPr>
              <w:t>10</w:t>
            </w:r>
            <w:r w:rsidRPr="00787A97">
              <w:rPr>
                <w:rFonts w:ascii="宋体" w:hAnsi="宋体" w:cs="Arial" w:hint="eastAsia"/>
                <w:sz w:val="24"/>
                <w:szCs w:val="24"/>
              </w:rPr>
              <w:t>层</w:t>
            </w:r>
            <w:r w:rsidRPr="00787A97">
              <w:rPr>
                <w:rFonts w:ascii="宋体" w:hAnsi="宋体" w:cs="Arial"/>
                <w:sz w:val="24"/>
                <w:szCs w:val="24"/>
              </w:rPr>
              <w:t>1006#</w:t>
            </w:r>
          </w:p>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办公地址：北京市西城区宣武门外大街</w:t>
            </w:r>
            <w:r w:rsidRPr="00787A97">
              <w:rPr>
                <w:rFonts w:ascii="宋体" w:hAnsi="宋体" w:cs="Arial"/>
                <w:sz w:val="24"/>
                <w:szCs w:val="24"/>
              </w:rPr>
              <w:t>10</w:t>
            </w:r>
            <w:r w:rsidRPr="00787A97">
              <w:rPr>
                <w:rFonts w:ascii="宋体" w:hAnsi="宋体" w:cs="Arial" w:hint="eastAsia"/>
                <w:sz w:val="24"/>
                <w:szCs w:val="24"/>
              </w:rPr>
              <w:t>号</w:t>
            </w:r>
            <w:proofErr w:type="gramStart"/>
            <w:r w:rsidRPr="00787A97">
              <w:rPr>
                <w:rFonts w:ascii="宋体" w:hAnsi="宋体" w:cs="Arial" w:hint="eastAsia"/>
                <w:sz w:val="24"/>
                <w:szCs w:val="24"/>
              </w:rPr>
              <w:t>庄胜广场</w:t>
            </w:r>
            <w:proofErr w:type="gramEnd"/>
            <w:r w:rsidRPr="00787A97">
              <w:rPr>
                <w:rFonts w:ascii="宋体" w:hAnsi="宋体" w:cs="Arial" w:hint="eastAsia"/>
                <w:sz w:val="24"/>
                <w:szCs w:val="24"/>
              </w:rPr>
              <w:t>中央办公楼东翼</w:t>
            </w:r>
            <w:r w:rsidRPr="00787A97">
              <w:rPr>
                <w:rFonts w:ascii="宋体" w:hAnsi="宋体" w:cs="Arial"/>
                <w:sz w:val="24"/>
                <w:szCs w:val="24"/>
              </w:rPr>
              <w:t>7</w:t>
            </w:r>
            <w:r w:rsidRPr="00787A97">
              <w:rPr>
                <w:rFonts w:ascii="宋体" w:hAnsi="宋体" w:cs="Arial" w:hint="eastAsia"/>
                <w:sz w:val="24"/>
                <w:szCs w:val="24"/>
              </w:rPr>
              <w:t>层</w:t>
            </w:r>
          </w:p>
          <w:p w:rsidR="00EF7285" w:rsidRPr="00787A97" w:rsidRDefault="00EF7285" w:rsidP="00EF7285">
            <w:pPr>
              <w:spacing w:line="400" w:lineRule="exact"/>
              <w:jc w:val="left"/>
              <w:rPr>
                <w:rFonts w:ascii="宋体" w:hAnsi="宋体" w:cs="Arial"/>
                <w:sz w:val="24"/>
                <w:szCs w:val="24"/>
              </w:rPr>
            </w:pPr>
            <w:r w:rsidRPr="00787A97">
              <w:rPr>
                <w:rFonts w:ascii="宋体" w:hAnsi="宋体" w:cs="Arial" w:hint="eastAsia"/>
                <w:sz w:val="24"/>
                <w:szCs w:val="24"/>
              </w:rPr>
              <w:t>客户服务电话：</w:t>
            </w:r>
            <w:r w:rsidRPr="00787A97">
              <w:rPr>
                <w:rFonts w:ascii="宋体" w:hAnsi="宋体" w:cs="Arial"/>
                <w:sz w:val="24"/>
                <w:szCs w:val="24"/>
              </w:rPr>
              <w:t>400-166-1188</w:t>
            </w:r>
          </w:p>
          <w:p w:rsidR="00EF7285" w:rsidRPr="00787A97" w:rsidRDefault="00EF7285" w:rsidP="00CA1E03">
            <w:pPr>
              <w:spacing w:line="400" w:lineRule="exact"/>
              <w:jc w:val="left"/>
              <w:rPr>
                <w:rFonts w:ascii="宋体" w:hAnsi="宋体" w:cs="Arial"/>
                <w:sz w:val="24"/>
                <w:szCs w:val="24"/>
              </w:rPr>
            </w:pPr>
            <w:r w:rsidRPr="00787A97">
              <w:rPr>
                <w:rFonts w:ascii="宋体" w:hAnsi="宋体" w:cs="Arial" w:hint="eastAsia"/>
                <w:sz w:val="24"/>
                <w:szCs w:val="24"/>
              </w:rPr>
              <w:t>网址：</w:t>
            </w:r>
            <w:r w:rsidRPr="00787A97">
              <w:rPr>
                <w:rFonts w:ascii="宋体" w:hAnsi="宋体" w:cs="Arial"/>
                <w:sz w:val="24"/>
                <w:szCs w:val="24"/>
              </w:rPr>
              <w:t>http://8.jrj.com.cn/</w:t>
            </w:r>
          </w:p>
        </w:tc>
      </w:tr>
      <w:tr w:rsidR="00EF7285" w:rsidRPr="00787A97" w:rsidTr="00AA26FB">
        <w:tc>
          <w:tcPr>
            <w:tcW w:w="817" w:type="dxa"/>
            <w:tcBorders>
              <w:top w:val="single" w:sz="4" w:space="0" w:color="auto"/>
              <w:left w:val="single" w:sz="4" w:space="0" w:color="auto"/>
              <w:bottom w:val="single" w:sz="4" w:space="0" w:color="auto"/>
              <w:right w:val="single" w:sz="4" w:space="0" w:color="auto"/>
            </w:tcBorders>
          </w:tcPr>
          <w:p w:rsidR="00EF7285" w:rsidRPr="00787A97" w:rsidRDefault="00EF7285" w:rsidP="00CA1E03">
            <w:pPr>
              <w:rPr>
                <w:rFonts w:ascii="宋体" w:hAnsi="宋体"/>
                <w:bCs/>
                <w:sz w:val="24"/>
                <w:szCs w:val="24"/>
              </w:rPr>
            </w:pPr>
            <w:r w:rsidRPr="00787A97">
              <w:rPr>
                <w:rFonts w:ascii="宋体" w:hAnsi="宋体" w:hint="eastAsia"/>
                <w:bCs/>
                <w:sz w:val="24"/>
                <w:szCs w:val="24"/>
              </w:rPr>
              <w:t>9</w:t>
            </w:r>
          </w:p>
        </w:tc>
        <w:tc>
          <w:tcPr>
            <w:tcW w:w="2439" w:type="dxa"/>
            <w:tcBorders>
              <w:top w:val="single" w:sz="4" w:space="0" w:color="auto"/>
              <w:left w:val="single" w:sz="4" w:space="0" w:color="auto"/>
              <w:bottom w:val="single" w:sz="4" w:space="0" w:color="auto"/>
              <w:right w:val="single" w:sz="4" w:space="0" w:color="auto"/>
            </w:tcBorders>
          </w:tcPr>
          <w:p w:rsidR="00EF7285" w:rsidRPr="00787A97" w:rsidRDefault="00EF7285" w:rsidP="00EF7285">
            <w:pPr>
              <w:spacing w:line="400" w:lineRule="exact"/>
              <w:jc w:val="left"/>
              <w:rPr>
                <w:rFonts w:ascii="宋体" w:hAnsi="宋体"/>
                <w:color w:val="000000"/>
                <w:sz w:val="24"/>
                <w:szCs w:val="24"/>
              </w:rPr>
            </w:pPr>
            <w:proofErr w:type="gramStart"/>
            <w:r w:rsidRPr="00787A97">
              <w:rPr>
                <w:rFonts w:ascii="宋体" w:hAnsi="宋体" w:hint="eastAsia"/>
                <w:color w:val="000000"/>
                <w:sz w:val="24"/>
                <w:szCs w:val="24"/>
              </w:rPr>
              <w:t>泰诚财富</w:t>
            </w:r>
            <w:proofErr w:type="gramEnd"/>
            <w:r w:rsidRPr="00787A97">
              <w:rPr>
                <w:rFonts w:ascii="宋体" w:hAnsi="宋体" w:hint="eastAsia"/>
                <w:color w:val="000000"/>
                <w:sz w:val="24"/>
                <w:szCs w:val="24"/>
              </w:rPr>
              <w:t>基金销售（大连）有限公司</w:t>
            </w:r>
          </w:p>
          <w:p w:rsidR="00EF7285" w:rsidRPr="00787A97" w:rsidRDefault="00EF7285" w:rsidP="00CA1E03">
            <w:pPr>
              <w:rPr>
                <w:rFonts w:ascii="宋体" w:hAnsi="宋体"/>
                <w:bCs/>
                <w:sz w:val="24"/>
                <w:szCs w:val="24"/>
              </w:rPr>
            </w:pPr>
          </w:p>
        </w:tc>
        <w:tc>
          <w:tcPr>
            <w:tcW w:w="5039" w:type="dxa"/>
            <w:tcBorders>
              <w:top w:val="single" w:sz="4" w:space="0" w:color="auto"/>
              <w:left w:val="single" w:sz="4" w:space="0" w:color="auto"/>
              <w:bottom w:val="single" w:sz="4" w:space="0" w:color="auto"/>
              <w:right w:val="single" w:sz="4" w:space="0" w:color="auto"/>
            </w:tcBorders>
          </w:tcPr>
          <w:p w:rsidR="00EF7285" w:rsidRPr="00787A97" w:rsidRDefault="00EF7285" w:rsidP="00EF7285">
            <w:pPr>
              <w:spacing w:line="400" w:lineRule="exact"/>
              <w:jc w:val="left"/>
              <w:rPr>
                <w:rFonts w:ascii="宋体" w:hAnsi="宋体"/>
                <w:color w:val="000000"/>
                <w:sz w:val="24"/>
                <w:szCs w:val="24"/>
              </w:rPr>
            </w:pPr>
            <w:r w:rsidRPr="00787A97">
              <w:rPr>
                <w:rFonts w:ascii="宋体" w:hAnsi="宋体" w:hint="eastAsia"/>
                <w:color w:val="000000"/>
                <w:sz w:val="24"/>
                <w:szCs w:val="24"/>
              </w:rPr>
              <w:t>注册（办公）地址：辽宁省大连市沙河口区星海中龙园3号</w:t>
            </w:r>
          </w:p>
          <w:p w:rsidR="00EF7285" w:rsidRPr="00787A97" w:rsidRDefault="00EF7285" w:rsidP="00EF7285">
            <w:pPr>
              <w:spacing w:line="400" w:lineRule="exact"/>
              <w:jc w:val="left"/>
              <w:rPr>
                <w:rFonts w:ascii="宋体" w:hAnsi="宋体"/>
                <w:color w:val="000000"/>
                <w:sz w:val="24"/>
                <w:szCs w:val="24"/>
              </w:rPr>
            </w:pPr>
            <w:r w:rsidRPr="00787A97">
              <w:rPr>
                <w:rFonts w:ascii="宋体" w:hAnsi="宋体" w:hint="eastAsia"/>
                <w:color w:val="000000"/>
                <w:sz w:val="24"/>
                <w:szCs w:val="24"/>
              </w:rPr>
              <w:t>客户服务电话：4006411999</w:t>
            </w:r>
          </w:p>
          <w:p w:rsidR="00EF7285" w:rsidRPr="00787A97" w:rsidRDefault="00EF7285" w:rsidP="00CA1E03">
            <w:pPr>
              <w:spacing w:line="400" w:lineRule="exact"/>
              <w:jc w:val="left"/>
              <w:rPr>
                <w:rFonts w:ascii="宋体" w:hAnsi="宋体"/>
                <w:color w:val="000000"/>
                <w:sz w:val="24"/>
                <w:szCs w:val="24"/>
              </w:rPr>
            </w:pPr>
            <w:r w:rsidRPr="00787A97">
              <w:rPr>
                <w:rFonts w:ascii="宋体" w:hAnsi="宋体" w:hint="eastAsia"/>
                <w:color w:val="000000"/>
                <w:sz w:val="24"/>
                <w:szCs w:val="24"/>
              </w:rPr>
              <w:t>网址：</w:t>
            </w:r>
            <w:hyperlink r:id="rId19" w:history="1">
              <w:r w:rsidRPr="00787A97">
                <w:rPr>
                  <w:rFonts w:ascii="宋体" w:hAnsi="宋体" w:cs="Arial" w:hint="eastAsia"/>
                  <w:sz w:val="24"/>
                  <w:szCs w:val="24"/>
                </w:rPr>
                <w:t>www.taichengcaifu.com</w:t>
              </w:r>
            </w:hyperlink>
          </w:p>
        </w:tc>
      </w:tr>
      <w:tr w:rsidR="00EF7285" w:rsidRPr="00787A97" w:rsidTr="00AA26FB">
        <w:tc>
          <w:tcPr>
            <w:tcW w:w="817" w:type="dxa"/>
            <w:tcBorders>
              <w:top w:val="single" w:sz="4" w:space="0" w:color="auto"/>
              <w:left w:val="single" w:sz="4" w:space="0" w:color="auto"/>
              <w:bottom w:val="single" w:sz="4" w:space="0" w:color="auto"/>
              <w:right w:val="single" w:sz="4" w:space="0" w:color="auto"/>
            </w:tcBorders>
          </w:tcPr>
          <w:p w:rsidR="00EF7285" w:rsidRPr="00B2071A" w:rsidRDefault="00EF7285" w:rsidP="00CA1E03">
            <w:pPr>
              <w:rPr>
                <w:rFonts w:ascii="宋体" w:hAnsi="宋体"/>
                <w:bCs/>
                <w:sz w:val="24"/>
                <w:szCs w:val="24"/>
              </w:rPr>
            </w:pPr>
            <w:r w:rsidRPr="00B2071A">
              <w:rPr>
                <w:rFonts w:ascii="宋体" w:hAnsi="宋体"/>
                <w:bCs/>
                <w:sz w:val="24"/>
                <w:szCs w:val="24"/>
              </w:rPr>
              <w:t>10</w:t>
            </w:r>
          </w:p>
        </w:tc>
        <w:tc>
          <w:tcPr>
            <w:tcW w:w="2439" w:type="dxa"/>
            <w:tcBorders>
              <w:top w:val="single" w:sz="4" w:space="0" w:color="auto"/>
              <w:left w:val="single" w:sz="4" w:space="0" w:color="auto"/>
              <w:bottom w:val="single" w:sz="4" w:space="0" w:color="auto"/>
              <w:right w:val="single" w:sz="4" w:space="0" w:color="auto"/>
            </w:tcBorders>
          </w:tcPr>
          <w:p w:rsidR="00EF7285" w:rsidRPr="00B2071A" w:rsidRDefault="00EF7285" w:rsidP="00EF7285">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济安财富（北京）基金销售有限公司</w:t>
            </w:r>
            <w:r w:rsidRPr="00B2071A" w:rsidDel="001D4C69">
              <w:rPr>
                <w:rFonts w:ascii="宋体" w:hAnsi="宋体" w:cs="Arial"/>
                <w:color w:val="000000"/>
                <w:kern w:val="0"/>
                <w:sz w:val="24"/>
                <w:szCs w:val="24"/>
              </w:rPr>
              <w:t xml:space="preserve"> </w:t>
            </w:r>
          </w:p>
          <w:p w:rsidR="00EF7285" w:rsidRPr="00B2071A" w:rsidRDefault="00EF7285" w:rsidP="00CA1E03">
            <w:pPr>
              <w:rPr>
                <w:rFonts w:ascii="宋体" w:hAnsi="宋体"/>
                <w:bCs/>
                <w:sz w:val="24"/>
                <w:szCs w:val="24"/>
              </w:rPr>
            </w:pPr>
          </w:p>
        </w:tc>
        <w:tc>
          <w:tcPr>
            <w:tcW w:w="5039" w:type="dxa"/>
            <w:tcBorders>
              <w:top w:val="single" w:sz="4" w:space="0" w:color="auto"/>
              <w:left w:val="single" w:sz="4" w:space="0" w:color="auto"/>
              <w:bottom w:val="single" w:sz="4" w:space="0" w:color="auto"/>
              <w:right w:val="single" w:sz="4" w:space="0" w:color="auto"/>
            </w:tcBorders>
          </w:tcPr>
          <w:p w:rsidR="00EF7285" w:rsidRPr="00B2071A" w:rsidRDefault="00EF7285" w:rsidP="00EF7285">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注册地址：北京市朝阳区东三环中路7号4号楼40层4601室</w:t>
            </w:r>
            <w:r w:rsidRPr="00B2071A" w:rsidDel="001D4C69">
              <w:rPr>
                <w:rFonts w:ascii="宋体" w:hAnsi="宋体" w:cs="Arial"/>
                <w:color w:val="000000"/>
                <w:kern w:val="0"/>
                <w:sz w:val="24"/>
                <w:szCs w:val="24"/>
              </w:rPr>
              <w:t xml:space="preserve"> </w:t>
            </w:r>
          </w:p>
          <w:p w:rsidR="00EF7285" w:rsidRPr="00B2071A" w:rsidRDefault="00EF7285" w:rsidP="00EF7285">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办公地址：北京市朝阳区东三环中路7号北京财富中心A座46层</w:t>
            </w:r>
            <w:r w:rsidRPr="00B2071A" w:rsidDel="00E15C1D">
              <w:rPr>
                <w:rFonts w:ascii="宋体" w:hAnsi="宋体" w:cs="Arial"/>
                <w:color w:val="000000"/>
                <w:kern w:val="0"/>
                <w:sz w:val="24"/>
                <w:szCs w:val="24"/>
              </w:rPr>
              <w:t xml:space="preserve"> </w:t>
            </w:r>
          </w:p>
          <w:p w:rsidR="00EF7285" w:rsidRPr="00B2071A" w:rsidRDefault="00EF7285" w:rsidP="00EF7285">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客户服务电话：</w:t>
            </w:r>
            <w:r w:rsidRPr="00B2071A">
              <w:rPr>
                <w:rFonts w:ascii="宋体" w:hAnsi="宋体" w:cs="Arial"/>
                <w:color w:val="000000"/>
                <w:kern w:val="0"/>
                <w:sz w:val="24"/>
                <w:szCs w:val="24"/>
              </w:rPr>
              <w:t>400-673-7010</w:t>
            </w:r>
          </w:p>
          <w:p w:rsidR="00EF7285" w:rsidRPr="00787A97" w:rsidRDefault="00EF7285" w:rsidP="00787A97">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网址：</w:t>
            </w:r>
            <w:hyperlink r:id="rId20" w:history="1">
              <w:r w:rsidRPr="00AA26FB">
                <w:rPr>
                  <w:rStyle w:val="a9"/>
                  <w:rFonts w:ascii="宋体" w:hAnsi="宋体" w:cs="Arial"/>
                  <w:color w:val="000000" w:themeColor="text1"/>
                  <w:sz w:val="24"/>
                  <w:szCs w:val="24"/>
                  <w:u w:val="none"/>
                </w:rPr>
                <w:t>www.jianfortune.com</w:t>
              </w:r>
            </w:hyperlink>
          </w:p>
        </w:tc>
      </w:tr>
      <w:tr w:rsidR="00EF7285" w:rsidRPr="00787A97" w:rsidTr="00AA26FB">
        <w:tc>
          <w:tcPr>
            <w:tcW w:w="817" w:type="dxa"/>
            <w:tcBorders>
              <w:top w:val="single" w:sz="4" w:space="0" w:color="auto"/>
              <w:left w:val="single" w:sz="4" w:space="0" w:color="auto"/>
              <w:bottom w:val="single" w:sz="4" w:space="0" w:color="auto"/>
              <w:right w:val="single" w:sz="4" w:space="0" w:color="auto"/>
            </w:tcBorders>
          </w:tcPr>
          <w:p w:rsidR="00EF7285" w:rsidRPr="00B2071A" w:rsidRDefault="00AA26FB" w:rsidP="00CA1E03">
            <w:pPr>
              <w:rPr>
                <w:rFonts w:ascii="宋体" w:hAnsi="宋体"/>
                <w:bCs/>
                <w:sz w:val="24"/>
                <w:szCs w:val="24"/>
              </w:rPr>
            </w:pPr>
            <w:r>
              <w:rPr>
                <w:rFonts w:ascii="宋体" w:hAnsi="宋体" w:hint="eastAsia"/>
                <w:bCs/>
                <w:sz w:val="24"/>
                <w:szCs w:val="24"/>
              </w:rPr>
              <w:lastRenderedPageBreak/>
              <w:t>11</w:t>
            </w:r>
          </w:p>
        </w:tc>
        <w:tc>
          <w:tcPr>
            <w:tcW w:w="2439" w:type="dxa"/>
            <w:tcBorders>
              <w:top w:val="single" w:sz="4" w:space="0" w:color="auto"/>
              <w:left w:val="single" w:sz="4" w:space="0" w:color="auto"/>
              <w:bottom w:val="single" w:sz="4" w:space="0" w:color="auto"/>
              <w:right w:val="single" w:sz="4" w:space="0" w:color="auto"/>
            </w:tcBorders>
          </w:tcPr>
          <w:p w:rsidR="00EF7285" w:rsidRPr="00B2071A" w:rsidRDefault="00AA26FB" w:rsidP="00AA26FB">
            <w:pPr>
              <w:widowControl/>
              <w:spacing w:line="360" w:lineRule="auto"/>
              <w:jc w:val="left"/>
              <w:rPr>
                <w:rFonts w:ascii="宋体" w:hAnsi="宋体"/>
                <w:bCs/>
                <w:sz w:val="24"/>
                <w:szCs w:val="24"/>
              </w:rPr>
            </w:pPr>
            <w:r w:rsidRPr="00AA26FB">
              <w:rPr>
                <w:rFonts w:ascii="宋体" w:hAnsi="宋体" w:cs="Arial" w:hint="eastAsia"/>
                <w:color w:val="000000"/>
                <w:kern w:val="0"/>
                <w:sz w:val="24"/>
                <w:szCs w:val="24"/>
              </w:rPr>
              <w:t>金惠家保险代理有限公司</w:t>
            </w:r>
          </w:p>
        </w:tc>
        <w:tc>
          <w:tcPr>
            <w:tcW w:w="5039" w:type="dxa"/>
            <w:tcBorders>
              <w:top w:val="single" w:sz="4" w:space="0" w:color="auto"/>
              <w:left w:val="single" w:sz="4" w:space="0" w:color="auto"/>
              <w:bottom w:val="single" w:sz="4" w:space="0" w:color="auto"/>
              <w:right w:val="single" w:sz="4" w:space="0" w:color="auto"/>
            </w:tcBorders>
          </w:tcPr>
          <w:p w:rsidR="00EF7285" w:rsidRPr="00B2071A" w:rsidRDefault="00EF7285" w:rsidP="00EF7285">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注册(办公)地址：</w:t>
            </w:r>
            <w:r w:rsidRPr="00B2071A">
              <w:rPr>
                <w:rFonts w:ascii="宋体" w:hAnsi="宋体" w:cs="Arial"/>
                <w:color w:val="000000"/>
                <w:kern w:val="0"/>
                <w:sz w:val="24"/>
                <w:szCs w:val="24"/>
              </w:rPr>
              <w:t xml:space="preserve"> </w:t>
            </w:r>
            <w:r w:rsidRPr="00B2071A">
              <w:rPr>
                <w:rFonts w:ascii="宋体" w:hAnsi="宋体" w:cs="Arial" w:hint="eastAsia"/>
                <w:color w:val="000000"/>
                <w:kern w:val="0"/>
                <w:sz w:val="24"/>
                <w:szCs w:val="24"/>
              </w:rPr>
              <w:t>北京市西城区阜成门外大街2号19层A2017</w:t>
            </w:r>
          </w:p>
          <w:p w:rsidR="00EF7285" w:rsidRPr="00B2071A" w:rsidRDefault="00EF7285" w:rsidP="00EF7285">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客户服务电话：400-1060101</w:t>
            </w:r>
          </w:p>
          <w:p w:rsidR="00EF7285" w:rsidRPr="00787A97" w:rsidRDefault="00EF7285" w:rsidP="00787A97">
            <w:pPr>
              <w:widowControl/>
              <w:spacing w:line="360" w:lineRule="auto"/>
              <w:jc w:val="left"/>
              <w:rPr>
                <w:rFonts w:ascii="宋体" w:hAnsi="宋体" w:cs="Arial"/>
                <w:color w:val="000000"/>
                <w:kern w:val="0"/>
                <w:sz w:val="24"/>
                <w:szCs w:val="24"/>
              </w:rPr>
            </w:pPr>
            <w:r w:rsidRPr="00B2071A">
              <w:rPr>
                <w:rFonts w:ascii="宋体" w:hAnsi="宋体" w:cs="Arial" w:hint="eastAsia"/>
                <w:color w:val="000000"/>
                <w:kern w:val="0"/>
                <w:sz w:val="24"/>
                <w:szCs w:val="24"/>
              </w:rPr>
              <w:t>网址：</w:t>
            </w:r>
            <w:r w:rsidRPr="00B2071A">
              <w:rPr>
                <w:rFonts w:ascii="宋体" w:hAnsi="宋体"/>
                <w:sz w:val="24"/>
                <w:szCs w:val="24"/>
              </w:rPr>
              <w:t xml:space="preserve"> www.jhjfund.com</w:t>
            </w:r>
          </w:p>
        </w:tc>
      </w:tr>
      <w:tr w:rsidR="00B6337C" w:rsidRPr="00787A97" w:rsidTr="00AA26FB">
        <w:tc>
          <w:tcPr>
            <w:tcW w:w="817" w:type="dxa"/>
            <w:tcBorders>
              <w:top w:val="single" w:sz="4" w:space="0" w:color="auto"/>
              <w:left w:val="single" w:sz="4" w:space="0" w:color="auto"/>
              <w:bottom w:val="single" w:sz="4" w:space="0" w:color="auto"/>
              <w:right w:val="single" w:sz="4" w:space="0" w:color="auto"/>
            </w:tcBorders>
          </w:tcPr>
          <w:p w:rsidR="00B6337C" w:rsidRDefault="00B6337C" w:rsidP="00CA1E03">
            <w:pPr>
              <w:rPr>
                <w:rFonts w:ascii="宋体" w:hAnsi="宋体"/>
                <w:bCs/>
                <w:sz w:val="24"/>
                <w:szCs w:val="24"/>
              </w:rPr>
            </w:pPr>
            <w:r>
              <w:rPr>
                <w:rFonts w:ascii="宋体" w:hAnsi="宋体" w:hint="eastAsia"/>
                <w:bCs/>
                <w:sz w:val="24"/>
                <w:szCs w:val="24"/>
              </w:rPr>
              <w:t>12</w:t>
            </w:r>
          </w:p>
        </w:tc>
        <w:tc>
          <w:tcPr>
            <w:tcW w:w="2439" w:type="dxa"/>
            <w:tcBorders>
              <w:top w:val="single" w:sz="4" w:space="0" w:color="auto"/>
              <w:left w:val="single" w:sz="4" w:space="0" w:color="auto"/>
              <w:bottom w:val="single" w:sz="4" w:space="0" w:color="auto"/>
              <w:right w:val="single" w:sz="4" w:space="0" w:color="auto"/>
            </w:tcBorders>
          </w:tcPr>
          <w:p w:rsidR="00B6337C" w:rsidRPr="00B6337C" w:rsidRDefault="00B6337C" w:rsidP="00AA26FB">
            <w:pPr>
              <w:widowControl/>
              <w:spacing w:line="360" w:lineRule="auto"/>
              <w:jc w:val="left"/>
              <w:rPr>
                <w:rFonts w:ascii="宋体" w:hAnsi="宋体"/>
                <w:bCs/>
                <w:sz w:val="24"/>
                <w:szCs w:val="24"/>
              </w:rPr>
            </w:pPr>
            <w:r w:rsidRPr="00B6337C">
              <w:rPr>
                <w:rFonts w:ascii="宋体" w:hAnsi="宋体" w:hint="eastAsia"/>
                <w:bCs/>
                <w:sz w:val="24"/>
                <w:szCs w:val="24"/>
              </w:rPr>
              <w:t>民</w:t>
            </w:r>
            <w:proofErr w:type="gramStart"/>
            <w:r w:rsidRPr="00B6337C">
              <w:rPr>
                <w:rFonts w:ascii="宋体" w:hAnsi="宋体" w:hint="eastAsia"/>
                <w:bCs/>
                <w:sz w:val="24"/>
                <w:szCs w:val="24"/>
              </w:rPr>
              <w:t>商基金</w:t>
            </w:r>
            <w:proofErr w:type="gramEnd"/>
            <w:r w:rsidRPr="00B6337C">
              <w:rPr>
                <w:rFonts w:ascii="宋体" w:hAnsi="宋体" w:hint="eastAsia"/>
                <w:bCs/>
                <w:sz w:val="24"/>
                <w:szCs w:val="24"/>
              </w:rPr>
              <w:t>销售(上海)有限公司</w:t>
            </w:r>
          </w:p>
        </w:tc>
        <w:tc>
          <w:tcPr>
            <w:tcW w:w="5039" w:type="dxa"/>
            <w:tcBorders>
              <w:top w:val="single" w:sz="4" w:space="0" w:color="auto"/>
              <w:left w:val="single" w:sz="4" w:space="0" w:color="auto"/>
              <w:bottom w:val="single" w:sz="4" w:space="0" w:color="auto"/>
              <w:right w:val="single" w:sz="4" w:space="0" w:color="auto"/>
            </w:tcBorders>
          </w:tcPr>
          <w:p w:rsidR="00B6337C" w:rsidRPr="00B6337C" w:rsidRDefault="00B6337C" w:rsidP="00B6337C">
            <w:pPr>
              <w:widowControl/>
              <w:spacing w:line="360" w:lineRule="auto"/>
              <w:jc w:val="left"/>
              <w:rPr>
                <w:rFonts w:ascii="宋体" w:hAnsi="宋体"/>
                <w:bCs/>
                <w:sz w:val="24"/>
                <w:szCs w:val="24"/>
              </w:rPr>
            </w:pPr>
            <w:r w:rsidRPr="00B6337C">
              <w:rPr>
                <w:rFonts w:ascii="宋体" w:hAnsi="宋体" w:hint="eastAsia"/>
                <w:bCs/>
                <w:sz w:val="24"/>
                <w:szCs w:val="24"/>
              </w:rPr>
              <w:t>注册(办公)地址：上海黄浦区北京东路666号H区（东座）6楼A31室</w:t>
            </w:r>
          </w:p>
          <w:p w:rsidR="00B6337C" w:rsidRPr="00B6337C" w:rsidRDefault="00B6337C" w:rsidP="00B6337C">
            <w:pPr>
              <w:widowControl/>
              <w:spacing w:line="360" w:lineRule="auto"/>
              <w:jc w:val="left"/>
              <w:rPr>
                <w:rFonts w:ascii="宋体" w:hAnsi="宋体"/>
                <w:bCs/>
                <w:sz w:val="24"/>
                <w:szCs w:val="24"/>
              </w:rPr>
            </w:pPr>
            <w:r w:rsidRPr="00B6337C">
              <w:rPr>
                <w:rFonts w:ascii="宋体" w:hAnsi="宋体" w:hint="eastAsia"/>
                <w:bCs/>
                <w:sz w:val="24"/>
                <w:szCs w:val="24"/>
              </w:rPr>
              <w:t>客户服务电话：021-50206003</w:t>
            </w:r>
          </w:p>
          <w:p w:rsidR="00B6337C" w:rsidRPr="00B6337C" w:rsidRDefault="00B6337C" w:rsidP="00B6337C">
            <w:pPr>
              <w:widowControl/>
              <w:spacing w:line="360" w:lineRule="auto"/>
              <w:jc w:val="left"/>
              <w:rPr>
                <w:rFonts w:ascii="宋体" w:hAnsi="宋体"/>
                <w:bCs/>
                <w:sz w:val="24"/>
                <w:szCs w:val="24"/>
              </w:rPr>
            </w:pPr>
            <w:r w:rsidRPr="00B6337C">
              <w:rPr>
                <w:rFonts w:ascii="宋体" w:hAnsi="宋体" w:hint="eastAsia"/>
                <w:bCs/>
                <w:sz w:val="24"/>
                <w:szCs w:val="24"/>
              </w:rPr>
              <w:t>网址：http://www.msftec.com</w:t>
            </w:r>
          </w:p>
        </w:tc>
      </w:tr>
    </w:tbl>
    <w:p w:rsidR="00572ECF" w:rsidRDefault="00915AEA" w:rsidP="00AA26FB">
      <w:pPr>
        <w:snapToGrid w:val="0"/>
        <w:spacing w:line="360" w:lineRule="auto"/>
        <w:ind w:firstLineChars="200" w:firstLine="482"/>
        <w:rPr>
          <w:rFonts w:asciiTheme="minorEastAsia" w:eastAsiaTheme="minorEastAsia" w:hAnsiTheme="minorEastAsia" w:cs="Arial"/>
          <w:b/>
          <w:color w:val="000000"/>
          <w:sz w:val="24"/>
          <w:szCs w:val="24"/>
        </w:rPr>
      </w:pPr>
      <w:r>
        <w:rPr>
          <w:rFonts w:asciiTheme="minorEastAsia" w:eastAsiaTheme="minorEastAsia" w:hAnsiTheme="minorEastAsia" w:cs="Arial" w:hint="eastAsia"/>
          <w:b/>
          <w:color w:val="000000"/>
          <w:sz w:val="24"/>
          <w:szCs w:val="24"/>
        </w:rPr>
        <w:t>二、登记机构</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名称：富荣基金管理有限公司</w:t>
      </w:r>
      <w:r>
        <w:rPr>
          <w:rFonts w:asciiTheme="minorEastAsia" w:eastAsiaTheme="minorEastAsia" w:hAnsiTheme="minorEastAsia" w:cs="Arial"/>
          <w:kern w:val="0"/>
          <w:sz w:val="24"/>
          <w:szCs w:val="24"/>
        </w:rPr>
        <w:t xml:space="preserve"> </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住所：广东省广州市南沙区海滨路</w:t>
      </w:r>
      <w:r>
        <w:rPr>
          <w:rFonts w:asciiTheme="minorEastAsia" w:eastAsiaTheme="minorEastAsia" w:hAnsiTheme="minorEastAsia" w:cs="Arial"/>
          <w:kern w:val="0"/>
          <w:sz w:val="24"/>
          <w:szCs w:val="24"/>
        </w:rPr>
        <w:t>171</w:t>
      </w:r>
      <w:r>
        <w:rPr>
          <w:rFonts w:asciiTheme="minorEastAsia" w:eastAsiaTheme="minorEastAsia" w:hAnsiTheme="minorEastAsia" w:cs="Arial" w:hint="eastAsia"/>
          <w:kern w:val="0"/>
          <w:sz w:val="24"/>
          <w:szCs w:val="24"/>
        </w:rPr>
        <w:t>号南沙金融大厦</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楼</w:t>
      </w:r>
      <w:r>
        <w:rPr>
          <w:rFonts w:asciiTheme="minorEastAsia" w:eastAsiaTheme="minorEastAsia" w:hAnsiTheme="minorEastAsia" w:cs="Arial"/>
          <w:kern w:val="0"/>
          <w:sz w:val="24"/>
          <w:szCs w:val="24"/>
        </w:rPr>
        <w:t>1101</w:t>
      </w:r>
      <w:r>
        <w:rPr>
          <w:rFonts w:asciiTheme="minorEastAsia" w:eastAsiaTheme="minorEastAsia" w:hAnsiTheme="minorEastAsia" w:cs="Arial" w:hint="eastAsia"/>
          <w:kern w:val="0"/>
          <w:sz w:val="24"/>
          <w:szCs w:val="24"/>
        </w:rPr>
        <w:t>之一</w:t>
      </w:r>
      <w:r>
        <w:rPr>
          <w:rFonts w:asciiTheme="minorEastAsia" w:eastAsiaTheme="minorEastAsia" w:hAnsiTheme="minorEastAsia" w:cs="Arial"/>
          <w:kern w:val="0"/>
          <w:sz w:val="24"/>
          <w:szCs w:val="24"/>
        </w:rPr>
        <w:t xml:space="preserve">J20 </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办公地址：深圳市福田区深南大道</w:t>
      </w:r>
      <w:r>
        <w:rPr>
          <w:rFonts w:asciiTheme="minorEastAsia" w:eastAsiaTheme="minorEastAsia" w:hAnsiTheme="minorEastAsia" w:cs="Arial"/>
          <w:kern w:val="0"/>
          <w:sz w:val="24"/>
          <w:szCs w:val="24"/>
        </w:rPr>
        <w:t>2012</w:t>
      </w:r>
      <w:r>
        <w:rPr>
          <w:rFonts w:asciiTheme="minorEastAsia" w:eastAsiaTheme="minorEastAsia" w:hAnsiTheme="minorEastAsia" w:cs="Arial" w:hint="eastAsia"/>
          <w:kern w:val="0"/>
          <w:sz w:val="24"/>
          <w:szCs w:val="24"/>
        </w:rPr>
        <w:t>号深圳证券交易所广场</w:t>
      </w:r>
      <w:r>
        <w:rPr>
          <w:rFonts w:asciiTheme="minorEastAsia" w:eastAsiaTheme="minorEastAsia" w:hAnsiTheme="minorEastAsia" w:cs="Arial"/>
          <w:kern w:val="0"/>
          <w:sz w:val="24"/>
          <w:szCs w:val="24"/>
        </w:rPr>
        <w:t>3501</w:t>
      </w:r>
      <w:r>
        <w:rPr>
          <w:rFonts w:asciiTheme="minorEastAsia" w:eastAsiaTheme="minorEastAsia" w:hAnsiTheme="minorEastAsia" w:cs="Arial" w:hint="eastAsia"/>
          <w:kern w:val="0"/>
          <w:sz w:val="24"/>
          <w:szCs w:val="24"/>
        </w:rPr>
        <w:t>室</w:t>
      </w:r>
      <w:r>
        <w:rPr>
          <w:rFonts w:asciiTheme="minorEastAsia" w:eastAsiaTheme="minorEastAsia" w:hAnsiTheme="minorEastAsia" w:cs="Arial"/>
          <w:kern w:val="0"/>
          <w:sz w:val="24"/>
          <w:szCs w:val="24"/>
        </w:rPr>
        <w:t xml:space="preserve"> </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法定代表人：刘志军</w:t>
      </w:r>
      <w:r>
        <w:rPr>
          <w:rFonts w:asciiTheme="minorEastAsia" w:eastAsiaTheme="minorEastAsia" w:hAnsiTheme="minorEastAsia" w:cs="Arial"/>
          <w:kern w:val="0"/>
          <w:sz w:val="24"/>
          <w:szCs w:val="24"/>
        </w:rPr>
        <w:t xml:space="preserve"> </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联系人：黄文飞</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电话：</w:t>
      </w:r>
      <w:r>
        <w:rPr>
          <w:rFonts w:asciiTheme="minorEastAsia" w:eastAsiaTheme="minorEastAsia" w:hAnsiTheme="minorEastAsia" w:cs="Arial"/>
          <w:kern w:val="0"/>
          <w:sz w:val="24"/>
          <w:szCs w:val="24"/>
        </w:rPr>
        <w:t xml:space="preserve"> 0755-84356604</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传真：</w:t>
      </w:r>
      <w:r>
        <w:rPr>
          <w:rFonts w:asciiTheme="minorEastAsia" w:eastAsiaTheme="minorEastAsia" w:hAnsiTheme="minorEastAsia" w:cs="Arial"/>
          <w:kern w:val="0"/>
          <w:sz w:val="24"/>
          <w:szCs w:val="24"/>
        </w:rPr>
        <w:t xml:space="preserve"> 0755-83230787</w:t>
      </w:r>
    </w:p>
    <w:p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三、</w:t>
      </w:r>
      <w:r>
        <w:rPr>
          <w:rFonts w:asciiTheme="minorEastAsia" w:eastAsiaTheme="minorEastAsia" w:hAnsiTheme="minorEastAsia" w:hint="eastAsia"/>
          <w:b/>
          <w:bCs/>
          <w:sz w:val="24"/>
          <w:szCs w:val="24"/>
        </w:rPr>
        <w:t>出具法律意见书的律师事务所</w:t>
      </w:r>
    </w:p>
    <w:p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名称：上海市通力律师事务所</w:t>
      </w:r>
    </w:p>
    <w:p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住所：上海市银城中路</w:t>
      </w:r>
      <w:r>
        <w:rPr>
          <w:rFonts w:asciiTheme="minorEastAsia" w:eastAsiaTheme="minorEastAsia" w:hAnsiTheme="minorEastAsia" w:cs="Arial"/>
          <w:color w:val="000000"/>
          <w:kern w:val="0"/>
          <w:sz w:val="24"/>
          <w:szCs w:val="24"/>
        </w:rPr>
        <w:t>68</w:t>
      </w:r>
      <w:r>
        <w:rPr>
          <w:rFonts w:asciiTheme="minorEastAsia" w:eastAsiaTheme="minorEastAsia" w:hAnsiTheme="minorEastAsia" w:cs="Arial" w:hint="eastAsia"/>
          <w:color w:val="000000"/>
          <w:kern w:val="0"/>
          <w:sz w:val="24"/>
          <w:szCs w:val="24"/>
        </w:rPr>
        <w:t>号时代金融中心</w:t>
      </w:r>
      <w:r>
        <w:rPr>
          <w:rFonts w:asciiTheme="minorEastAsia" w:eastAsiaTheme="minorEastAsia" w:hAnsiTheme="minorEastAsia" w:cs="Arial"/>
          <w:color w:val="000000"/>
          <w:kern w:val="0"/>
          <w:sz w:val="24"/>
          <w:szCs w:val="24"/>
        </w:rPr>
        <w:t>19</w:t>
      </w:r>
      <w:r>
        <w:rPr>
          <w:rFonts w:asciiTheme="minorEastAsia" w:eastAsiaTheme="minorEastAsia" w:hAnsiTheme="minorEastAsia" w:cs="Arial" w:hint="eastAsia"/>
          <w:color w:val="000000"/>
          <w:kern w:val="0"/>
          <w:sz w:val="24"/>
          <w:szCs w:val="24"/>
        </w:rPr>
        <w:t>楼</w:t>
      </w:r>
    </w:p>
    <w:p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办公地址：上海市银城中路</w:t>
      </w:r>
      <w:r>
        <w:rPr>
          <w:rFonts w:asciiTheme="minorEastAsia" w:eastAsiaTheme="minorEastAsia" w:hAnsiTheme="minorEastAsia" w:cs="Arial"/>
          <w:color w:val="000000"/>
          <w:kern w:val="0"/>
          <w:sz w:val="24"/>
          <w:szCs w:val="24"/>
        </w:rPr>
        <w:t>68</w:t>
      </w:r>
      <w:r>
        <w:rPr>
          <w:rFonts w:asciiTheme="minorEastAsia" w:eastAsiaTheme="minorEastAsia" w:hAnsiTheme="minorEastAsia" w:cs="Arial" w:hint="eastAsia"/>
          <w:color w:val="000000"/>
          <w:kern w:val="0"/>
          <w:sz w:val="24"/>
          <w:szCs w:val="24"/>
        </w:rPr>
        <w:t>号时代金融中心</w:t>
      </w:r>
      <w:r>
        <w:rPr>
          <w:rFonts w:asciiTheme="minorEastAsia" w:eastAsiaTheme="minorEastAsia" w:hAnsiTheme="minorEastAsia" w:cs="Arial"/>
          <w:color w:val="000000"/>
          <w:kern w:val="0"/>
          <w:sz w:val="24"/>
          <w:szCs w:val="24"/>
        </w:rPr>
        <w:t>19</w:t>
      </w:r>
      <w:r>
        <w:rPr>
          <w:rFonts w:asciiTheme="minorEastAsia" w:eastAsiaTheme="minorEastAsia" w:hAnsiTheme="minorEastAsia" w:cs="Arial" w:hint="eastAsia"/>
          <w:color w:val="000000"/>
          <w:kern w:val="0"/>
          <w:sz w:val="24"/>
          <w:szCs w:val="24"/>
        </w:rPr>
        <w:t>楼</w:t>
      </w:r>
    </w:p>
    <w:p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负责人：俞卫锋</w:t>
      </w:r>
    </w:p>
    <w:p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电话：</w:t>
      </w:r>
      <w:r>
        <w:rPr>
          <w:rFonts w:asciiTheme="minorEastAsia" w:eastAsiaTheme="minorEastAsia" w:hAnsiTheme="minorEastAsia" w:cs="Arial"/>
          <w:color w:val="000000"/>
          <w:kern w:val="0"/>
          <w:sz w:val="24"/>
          <w:szCs w:val="24"/>
        </w:rPr>
        <w:t>021-31358666</w:t>
      </w:r>
    </w:p>
    <w:p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传真：</w:t>
      </w:r>
      <w:r>
        <w:rPr>
          <w:rFonts w:asciiTheme="minorEastAsia" w:eastAsiaTheme="minorEastAsia" w:hAnsiTheme="minorEastAsia" w:cs="Arial"/>
          <w:color w:val="000000"/>
          <w:kern w:val="0"/>
          <w:sz w:val="24"/>
          <w:szCs w:val="24"/>
        </w:rPr>
        <w:t>021-31358600</w:t>
      </w:r>
    </w:p>
    <w:p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经办律师：安冬</w:t>
      </w:r>
      <w:r>
        <w:rPr>
          <w:rFonts w:asciiTheme="minorEastAsia" w:eastAsiaTheme="minorEastAsia" w:hAnsiTheme="minorEastAsia" w:cs="Arial"/>
          <w:color w:val="000000"/>
          <w:kern w:val="0"/>
          <w:sz w:val="24"/>
          <w:szCs w:val="24"/>
        </w:rPr>
        <w:t xml:space="preserve"> </w:t>
      </w:r>
      <w:r>
        <w:rPr>
          <w:rFonts w:asciiTheme="minorEastAsia" w:eastAsiaTheme="minorEastAsia" w:hAnsiTheme="minorEastAsia" w:cs="Arial" w:hint="eastAsia"/>
          <w:color w:val="000000"/>
          <w:kern w:val="0"/>
          <w:sz w:val="24"/>
          <w:szCs w:val="24"/>
        </w:rPr>
        <w:t>陆奇</w:t>
      </w:r>
    </w:p>
    <w:p w:rsidR="00572ECF" w:rsidRDefault="00915AEA">
      <w:pPr>
        <w:adjustRightInd w:val="0"/>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联系人：安冬</w:t>
      </w:r>
    </w:p>
    <w:p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四、</w:t>
      </w:r>
      <w:r>
        <w:rPr>
          <w:rFonts w:asciiTheme="minorEastAsia" w:eastAsiaTheme="minorEastAsia" w:hAnsiTheme="minorEastAsia" w:hint="eastAsia"/>
          <w:b/>
          <w:bCs/>
          <w:sz w:val="24"/>
          <w:szCs w:val="24"/>
        </w:rPr>
        <w:t>审计基金财产的会计师事务所</w:t>
      </w:r>
    </w:p>
    <w:p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名称：普华永道中天会计师事务所（特殊普通合伙）</w:t>
      </w:r>
    </w:p>
    <w:p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住所：上海市浦东新区陆家嘴环路</w:t>
      </w:r>
      <w:r>
        <w:rPr>
          <w:rFonts w:asciiTheme="minorEastAsia" w:eastAsiaTheme="minorEastAsia" w:hAnsiTheme="minorEastAsia" w:cs="Arial"/>
          <w:color w:val="000000"/>
          <w:kern w:val="0"/>
          <w:sz w:val="24"/>
          <w:szCs w:val="24"/>
        </w:rPr>
        <w:t>1318</w:t>
      </w:r>
      <w:r>
        <w:rPr>
          <w:rFonts w:asciiTheme="minorEastAsia" w:eastAsiaTheme="minorEastAsia" w:hAnsiTheme="minorEastAsia" w:cs="Arial" w:hint="eastAsia"/>
          <w:color w:val="000000"/>
          <w:kern w:val="0"/>
          <w:sz w:val="24"/>
          <w:szCs w:val="24"/>
        </w:rPr>
        <w:t>号</w:t>
      </w:r>
      <w:proofErr w:type="gramStart"/>
      <w:r>
        <w:rPr>
          <w:rFonts w:asciiTheme="minorEastAsia" w:eastAsiaTheme="minorEastAsia" w:hAnsiTheme="minorEastAsia" w:cs="Arial" w:hint="eastAsia"/>
          <w:color w:val="000000"/>
          <w:kern w:val="0"/>
          <w:sz w:val="24"/>
          <w:szCs w:val="24"/>
        </w:rPr>
        <w:t>星展银行</w:t>
      </w:r>
      <w:proofErr w:type="gramEnd"/>
      <w:r>
        <w:rPr>
          <w:rFonts w:asciiTheme="minorEastAsia" w:eastAsiaTheme="minorEastAsia" w:hAnsiTheme="minorEastAsia" w:cs="Arial" w:hint="eastAsia"/>
          <w:color w:val="000000"/>
          <w:kern w:val="0"/>
          <w:sz w:val="24"/>
          <w:szCs w:val="24"/>
        </w:rPr>
        <w:t>大厦</w:t>
      </w:r>
      <w:r>
        <w:rPr>
          <w:rFonts w:asciiTheme="minorEastAsia" w:eastAsiaTheme="minorEastAsia" w:hAnsiTheme="minorEastAsia" w:cs="Arial"/>
          <w:color w:val="000000"/>
          <w:kern w:val="0"/>
          <w:sz w:val="24"/>
          <w:szCs w:val="24"/>
        </w:rPr>
        <w:t>6</w:t>
      </w:r>
      <w:r>
        <w:rPr>
          <w:rFonts w:asciiTheme="minorEastAsia" w:eastAsiaTheme="minorEastAsia" w:hAnsiTheme="minorEastAsia" w:cs="Arial" w:hint="eastAsia"/>
          <w:color w:val="000000"/>
          <w:kern w:val="0"/>
          <w:sz w:val="24"/>
          <w:szCs w:val="24"/>
        </w:rPr>
        <w:t>楼</w:t>
      </w:r>
    </w:p>
    <w:p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办公地址：上海市黄浦区湖滨路</w:t>
      </w:r>
      <w:r>
        <w:rPr>
          <w:rFonts w:asciiTheme="minorEastAsia" w:eastAsiaTheme="minorEastAsia" w:hAnsiTheme="minorEastAsia" w:cs="Arial"/>
          <w:color w:val="000000"/>
          <w:kern w:val="0"/>
          <w:sz w:val="24"/>
          <w:szCs w:val="24"/>
        </w:rPr>
        <w:t>202</w:t>
      </w:r>
      <w:r>
        <w:rPr>
          <w:rFonts w:asciiTheme="minorEastAsia" w:eastAsiaTheme="minorEastAsia" w:hAnsiTheme="minorEastAsia" w:cs="Arial" w:hint="eastAsia"/>
          <w:color w:val="000000"/>
          <w:kern w:val="0"/>
          <w:sz w:val="24"/>
          <w:szCs w:val="24"/>
        </w:rPr>
        <w:t>号普华永道中心</w:t>
      </w:r>
      <w:r>
        <w:rPr>
          <w:rFonts w:asciiTheme="minorEastAsia" w:eastAsiaTheme="minorEastAsia" w:hAnsiTheme="minorEastAsia" w:cs="Arial"/>
          <w:color w:val="000000"/>
          <w:kern w:val="0"/>
          <w:sz w:val="24"/>
          <w:szCs w:val="24"/>
        </w:rPr>
        <w:t>11</w:t>
      </w:r>
      <w:r>
        <w:rPr>
          <w:rFonts w:asciiTheme="minorEastAsia" w:eastAsiaTheme="minorEastAsia" w:hAnsiTheme="minorEastAsia" w:cs="Arial" w:hint="eastAsia"/>
          <w:color w:val="000000"/>
          <w:kern w:val="0"/>
          <w:sz w:val="24"/>
          <w:szCs w:val="24"/>
        </w:rPr>
        <w:t>楼</w:t>
      </w:r>
    </w:p>
    <w:p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法定代表人：李丹</w:t>
      </w:r>
    </w:p>
    <w:p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lastRenderedPageBreak/>
        <w:t>电话：（</w:t>
      </w:r>
      <w:r>
        <w:rPr>
          <w:rFonts w:asciiTheme="minorEastAsia" w:eastAsiaTheme="minorEastAsia" w:hAnsiTheme="minorEastAsia" w:cs="Arial"/>
          <w:color w:val="000000"/>
          <w:kern w:val="0"/>
          <w:sz w:val="24"/>
          <w:szCs w:val="24"/>
        </w:rPr>
        <w:t>021</w:t>
      </w:r>
      <w:r>
        <w:rPr>
          <w:rFonts w:asciiTheme="minorEastAsia" w:eastAsiaTheme="minorEastAsia" w:hAnsiTheme="minorEastAsia" w:cs="Arial" w:hint="eastAsia"/>
          <w:color w:val="000000"/>
          <w:kern w:val="0"/>
          <w:sz w:val="24"/>
          <w:szCs w:val="24"/>
        </w:rPr>
        <w:t>）</w:t>
      </w:r>
      <w:r>
        <w:rPr>
          <w:rFonts w:asciiTheme="minorEastAsia" w:eastAsiaTheme="minorEastAsia" w:hAnsiTheme="minorEastAsia" w:cs="Arial"/>
          <w:color w:val="000000"/>
          <w:kern w:val="0"/>
          <w:sz w:val="24"/>
          <w:szCs w:val="24"/>
        </w:rPr>
        <w:t>2323 8888</w:t>
      </w:r>
    </w:p>
    <w:p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传真：（</w:t>
      </w:r>
      <w:r>
        <w:rPr>
          <w:rFonts w:asciiTheme="minorEastAsia" w:eastAsiaTheme="minorEastAsia" w:hAnsiTheme="minorEastAsia" w:cs="Arial"/>
          <w:color w:val="000000"/>
          <w:kern w:val="0"/>
          <w:sz w:val="24"/>
          <w:szCs w:val="24"/>
        </w:rPr>
        <w:t>021</w:t>
      </w:r>
      <w:r>
        <w:rPr>
          <w:rFonts w:asciiTheme="minorEastAsia" w:eastAsiaTheme="minorEastAsia" w:hAnsiTheme="minorEastAsia" w:cs="Arial" w:hint="eastAsia"/>
          <w:color w:val="000000"/>
          <w:kern w:val="0"/>
          <w:sz w:val="24"/>
          <w:szCs w:val="24"/>
        </w:rPr>
        <w:t>）</w:t>
      </w:r>
      <w:r>
        <w:rPr>
          <w:rFonts w:asciiTheme="minorEastAsia" w:eastAsiaTheme="minorEastAsia" w:hAnsiTheme="minorEastAsia" w:cs="Arial"/>
          <w:color w:val="000000"/>
          <w:kern w:val="0"/>
          <w:sz w:val="24"/>
          <w:szCs w:val="24"/>
        </w:rPr>
        <w:t>2323 8800</w:t>
      </w:r>
    </w:p>
    <w:p w:rsidR="00572ECF" w:rsidRDefault="00915AEA">
      <w:pPr>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签字注册会计师：曹翠丽、</w:t>
      </w:r>
      <w:proofErr w:type="gramStart"/>
      <w:r>
        <w:rPr>
          <w:rFonts w:asciiTheme="minorEastAsia" w:eastAsiaTheme="minorEastAsia" w:hAnsiTheme="minorEastAsia" w:cs="Arial" w:hint="eastAsia"/>
          <w:color w:val="000000"/>
          <w:kern w:val="0"/>
          <w:sz w:val="24"/>
          <w:szCs w:val="24"/>
        </w:rPr>
        <w:t>边晓红</w:t>
      </w:r>
      <w:proofErr w:type="gramEnd"/>
    </w:p>
    <w:p w:rsidR="00572ECF" w:rsidRDefault="00915AEA">
      <w:pPr>
        <w:adjustRightInd w:val="0"/>
        <w:snapToGrid w:val="0"/>
        <w:spacing w:line="360" w:lineRule="auto"/>
        <w:ind w:firstLineChars="200" w:firstLine="480"/>
        <w:rPr>
          <w:rFonts w:asciiTheme="minorEastAsia" w:eastAsiaTheme="minorEastAsia" w:hAnsiTheme="minorEastAsia" w:cs="Arial"/>
          <w:color w:val="000000"/>
          <w:kern w:val="0"/>
          <w:sz w:val="24"/>
          <w:szCs w:val="24"/>
        </w:rPr>
      </w:pPr>
      <w:r>
        <w:rPr>
          <w:rFonts w:asciiTheme="minorEastAsia" w:eastAsiaTheme="minorEastAsia" w:hAnsiTheme="minorEastAsia" w:cs="Arial" w:hint="eastAsia"/>
          <w:color w:val="000000"/>
          <w:kern w:val="0"/>
          <w:sz w:val="24"/>
          <w:szCs w:val="24"/>
        </w:rPr>
        <w:t>联系人：</w:t>
      </w:r>
      <w:proofErr w:type="gramStart"/>
      <w:r>
        <w:rPr>
          <w:rFonts w:asciiTheme="minorEastAsia" w:eastAsiaTheme="minorEastAsia" w:hAnsiTheme="minorEastAsia" w:cs="Arial" w:hint="eastAsia"/>
          <w:color w:val="000000"/>
          <w:kern w:val="0"/>
          <w:sz w:val="24"/>
          <w:szCs w:val="24"/>
        </w:rPr>
        <w:t>边晓红</w:t>
      </w:r>
      <w:proofErr w:type="gramEnd"/>
    </w:p>
    <w:p w:rsidR="00572ECF" w:rsidRDefault="00572ECF">
      <w:pPr>
        <w:adjustRightInd w:val="0"/>
        <w:snapToGrid w:val="0"/>
        <w:spacing w:line="360" w:lineRule="auto"/>
        <w:ind w:firstLineChars="200" w:firstLine="480"/>
        <w:rPr>
          <w:rFonts w:asciiTheme="minorEastAsia" w:eastAsiaTheme="minorEastAsia" w:hAnsiTheme="minorEastAsia" w:cs="Arial"/>
          <w:kern w:val="0"/>
          <w:sz w:val="24"/>
          <w:szCs w:val="24"/>
        </w:rPr>
        <w:sectPr w:rsidR="00572ECF">
          <w:footerReference w:type="default" r:id="rId21"/>
          <w:pgSz w:w="11906" w:h="16838"/>
          <w:pgMar w:top="1440" w:right="1800" w:bottom="1440" w:left="1800" w:header="851" w:footer="992" w:gutter="0"/>
          <w:pgNumType w:start="1"/>
          <w:cols w:space="720"/>
          <w:titlePg/>
          <w:docGrid w:linePitch="312"/>
        </w:sectPr>
      </w:pPr>
    </w:p>
    <w:p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49" w:name="_Toc147463116"/>
      <w:bookmarkStart w:id="50" w:name="_Toc12357169"/>
      <w:bookmarkStart w:id="51" w:name="_Toc21073389"/>
      <w:bookmarkStart w:id="52" w:name="_Toc317088540"/>
      <w:bookmarkStart w:id="53" w:name="_Toc317088143"/>
      <w:bookmarkStart w:id="54" w:name="_Toc386115303"/>
      <w:bookmarkStart w:id="55" w:name="_Toc320887645"/>
      <w:bookmarkStart w:id="56" w:name="_Toc335232694"/>
      <w:bookmarkStart w:id="57" w:name="_Toc214873595"/>
      <w:bookmarkStart w:id="58" w:name="_Toc527465996"/>
      <w:r>
        <w:rPr>
          <w:rFonts w:ascii="Arial Unicode MS" w:eastAsia="宋体" w:hAnsi="Arial Unicode MS" w:cs="Arial" w:hint="eastAsia"/>
          <w:b/>
          <w:bCs/>
          <w:sz w:val="30"/>
          <w:szCs w:val="30"/>
        </w:rPr>
        <w:lastRenderedPageBreak/>
        <w:t>第六部分</w:t>
      </w:r>
      <w:r>
        <w:rPr>
          <w:rFonts w:ascii="Arial Unicode MS" w:eastAsia="宋体" w:hAnsi="Arial Unicode MS" w:cs="Arial"/>
          <w:b/>
          <w:bCs/>
          <w:sz w:val="30"/>
          <w:szCs w:val="30"/>
        </w:rPr>
        <w:t xml:space="preserve">  </w:t>
      </w:r>
      <w:bookmarkEnd w:id="49"/>
      <w:bookmarkEnd w:id="50"/>
      <w:bookmarkEnd w:id="51"/>
      <w:r>
        <w:rPr>
          <w:rFonts w:ascii="Arial Unicode MS" w:eastAsia="宋体" w:hAnsi="Arial Unicode MS" w:cs="Arial" w:hint="eastAsia"/>
          <w:b/>
          <w:bCs/>
          <w:sz w:val="30"/>
          <w:szCs w:val="30"/>
        </w:rPr>
        <w:t>基金份额的发售</w:t>
      </w:r>
      <w:bookmarkEnd w:id="52"/>
      <w:bookmarkEnd w:id="53"/>
      <w:bookmarkEnd w:id="54"/>
      <w:bookmarkEnd w:id="55"/>
      <w:bookmarkEnd w:id="56"/>
      <w:bookmarkEnd w:id="57"/>
      <w:bookmarkEnd w:id="58"/>
    </w:p>
    <w:p w:rsidR="00572ECF" w:rsidRDefault="00572ECF">
      <w:pPr>
        <w:rPr>
          <w:rFonts w:ascii="Arial Unicode MS" w:hAnsi="Arial Unicode MS"/>
          <w:lang w:val="zh-CN"/>
        </w:rPr>
      </w:pPr>
    </w:p>
    <w:p w:rsidR="00572ECF" w:rsidRDefault="00915AEA">
      <w:pPr>
        <w:autoSpaceDE w:val="0"/>
        <w:autoSpaceDN w:val="0"/>
        <w:adjustRightInd w:val="0"/>
        <w:snapToGrid w:val="0"/>
        <w:spacing w:line="360" w:lineRule="auto"/>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基金管理人按照《基金法》、《运作办法》、《销售办法》、基金合同及其他有关规定募集本基金，并于2017</w:t>
      </w:r>
      <w:r>
        <w:rPr>
          <w:rFonts w:asciiTheme="minorEastAsia" w:hAnsiTheme="minorEastAsia" w:cs="Arial" w:hint="eastAsia"/>
          <w:sz w:val="24"/>
          <w:szCs w:val="24"/>
        </w:rPr>
        <w:t>年【7】月【5】日</w:t>
      </w:r>
      <w:r>
        <w:rPr>
          <w:rFonts w:asciiTheme="minorEastAsia" w:eastAsiaTheme="minorEastAsia" w:hAnsiTheme="minorEastAsia" w:cs="Arial" w:hint="eastAsia"/>
          <w:sz w:val="24"/>
          <w:szCs w:val="24"/>
        </w:rPr>
        <w:t>经</w:t>
      </w:r>
      <w:r>
        <w:rPr>
          <w:rFonts w:asciiTheme="minorEastAsia" w:eastAsiaTheme="minorEastAsia" w:hAnsiTheme="minorEastAsia" w:cs="Arial" w:hint="eastAsia"/>
          <w:kern w:val="0"/>
          <w:sz w:val="24"/>
          <w:szCs w:val="24"/>
        </w:rPr>
        <w:t>中国证监会证监许可</w:t>
      </w:r>
      <w:r>
        <w:rPr>
          <w:rFonts w:asciiTheme="minorEastAsia" w:eastAsiaTheme="minorEastAsia" w:hAnsiTheme="minorEastAsia" w:cs="Arial"/>
          <w:kern w:val="0"/>
          <w:sz w:val="24"/>
          <w:szCs w:val="24"/>
        </w:rPr>
        <w:t>[2017]1142</w:t>
      </w:r>
      <w:r>
        <w:rPr>
          <w:rFonts w:asciiTheme="minorEastAsia" w:eastAsiaTheme="minorEastAsia" w:hAnsiTheme="minorEastAsia" w:cs="Arial" w:hint="eastAsia"/>
          <w:kern w:val="0"/>
          <w:sz w:val="24"/>
          <w:szCs w:val="24"/>
        </w:rPr>
        <w:t>号文</w:t>
      </w:r>
      <w:r>
        <w:rPr>
          <w:rFonts w:asciiTheme="minorEastAsia" w:eastAsiaTheme="minorEastAsia" w:hAnsiTheme="minorEastAsia" w:cs="Arial" w:hint="eastAsia"/>
          <w:sz w:val="24"/>
          <w:szCs w:val="24"/>
        </w:rPr>
        <w:t>准予募集注册。</w:t>
      </w:r>
      <w:r>
        <w:rPr>
          <w:rFonts w:asciiTheme="minorEastAsia" w:hAnsiTheme="minorEastAsia" w:cs="Arial" w:hint="eastAsia"/>
          <w:sz w:val="24"/>
          <w:szCs w:val="24"/>
        </w:rPr>
        <w:t>本基金于2018年1月5日起通过各销售机构向社会公开募集，截至2018年3月30日，基金募集工作已顺利结束。</w:t>
      </w:r>
    </w:p>
    <w:p w:rsidR="00572ECF" w:rsidRDefault="00572ECF">
      <w:pPr>
        <w:snapToGrid w:val="0"/>
        <w:spacing w:line="360" w:lineRule="auto"/>
        <w:ind w:firstLineChars="200" w:firstLine="482"/>
        <w:rPr>
          <w:rFonts w:asciiTheme="minorEastAsia" w:eastAsiaTheme="minorEastAsia" w:hAnsiTheme="minorEastAsia" w:cs="Arial"/>
          <w:b/>
          <w:sz w:val="24"/>
          <w:szCs w:val="24"/>
        </w:rPr>
      </w:pPr>
    </w:p>
    <w:p w:rsidR="00572ECF" w:rsidRDefault="00915AEA">
      <w:pPr>
        <w:widowControl/>
        <w:jc w:val="left"/>
      </w:pPr>
      <w:r>
        <w:br w:type="page"/>
      </w:r>
    </w:p>
    <w:p w:rsidR="00572ECF" w:rsidRPr="001C7A78" w:rsidRDefault="00915AEA">
      <w:pPr>
        <w:pStyle w:val="1"/>
        <w:snapToGrid w:val="0"/>
        <w:spacing w:before="0" w:after="0" w:line="360" w:lineRule="auto"/>
        <w:ind w:firstLineChars="150" w:firstLine="452"/>
        <w:rPr>
          <w:rFonts w:ascii="Arial Unicode MS" w:eastAsia="宋体" w:hAnsi="Arial Unicode MS" w:cs="Arial"/>
          <w:b/>
          <w:bCs/>
          <w:sz w:val="30"/>
          <w:szCs w:val="30"/>
          <w:lang w:val="en-US"/>
        </w:rPr>
      </w:pPr>
      <w:bookmarkStart w:id="59" w:name="_Toc317088144"/>
      <w:bookmarkStart w:id="60" w:name="_Toc317088541"/>
      <w:bookmarkStart w:id="61" w:name="_Toc320887646"/>
      <w:bookmarkStart w:id="62" w:name="_Toc335232695"/>
      <w:bookmarkStart w:id="63" w:name="_Toc386115304"/>
      <w:bookmarkStart w:id="64" w:name="_Toc527465997"/>
      <w:r>
        <w:rPr>
          <w:rFonts w:ascii="Arial Unicode MS" w:eastAsia="宋体" w:hAnsi="Arial Unicode MS" w:cs="Arial" w:hint="eastAsia"/>
          <w:b/>
          <w:bCs/>
          <w:sz w:val="30"/>
          <w:szCs w:val="30"/>
        </w:rPr>
        <w:lastRenderedPageBreak/>
        <w:t>第七部分</w:t>
      </w:r>
      <w:r w:rsidRPr="00B2071A">
        <w:rPr>
          <w:rFonts w:ascii="Arial Unicode MS" w:eastAsia="宋体" w:hAnsi="Arial Unicode MS" w:cs="Arial"/>
          <w:b/>
          <w:bCs/>
          <w:sz w:val="30"/>
          <w:szCs w:val="30"/>
          <w:lang w:val="en-US"/>
        </w:rPr>
        <w:t xml:space="preserve">  </w:t>
      </w:r>
      <w:r>
        <w:rPr>
          <w:rFonts w:ascii="Arial Unicode MS" w:eastAsia="宋体" w:hAnsi="Arial Unicode MS" w:cs="Arial" w:hint="eastAsia"/>
          <w:b/>
          <w:bCs/>
          <w:sz w:val="30"/>
          <w:szCs w:val="30"/>
        </w:rPr>
        <w:t>基金</w:t>
      </w:r>
      <w:bookmarkEnd w:id="59"/>
      <w:bookmarkEnd w:id="60"/>
      <w:r>
        <w:rPr>
          <w:rFonts w:ascii="Arial Unicode MS" w:eastAsia="宋体" w:hAnsi="Arial Unicode MS" w:cs="Arial" w:hint="eastAsia"/>
          <w:b/>
          <w:bCs/>
          <w:sz w:val="30"/>
          <w:szCs w:val="30"/>
        </w:rPr>
        <w:t>合同的生效</w:t>
      </w:r>
      <w:bookmarkEnd w:id="61"/>
      <w:bookmarkEnd w:id="62"/>
      <w:bookmarkEnd w:id="63"/>
      <w:bookmarkEnd w:id="64"/>
    </w:p>
    <w:p w:rsidR="00C930DC" w:rsidRPr="001C7A78" w:rsidRDefault="00C930DC" w:rsidP="00C930DC">
      <w:pPr>
        <w:ind w:firstLine="360"/>
      </w:pPr>
    </w:p>
    <w:p w:rsidR="00572ECF" w:rsidRPr="00B2071A" w:rsidRDefault="00915AEA" w:rsidP="00B2071A">
      <w:pPr>
        <w:adjustRightInd w:val="0"/>
        <w:snapToGrid w:val="0"/>
        <w:spacing w:line="360" w:lineRule="auto"/>
        <w:ind w:firstLineChars="200" w:firstLine="480"/>
        <w:rPr>
          <w:rFonts w:asciiTheme="minorEastAsia" w:eastAsiaTheme="minorEastAsia" w:hAnsiTheme="minorEastAsia" w:cs="Arial"/>
          <w:kern w:val="0"/>
          <w:sz w:val="24"/>
          <w:szCs w:val="24"/>
          <w:lang w:val="zh-CN"/>
        </w:rPr>
      </w:pPr>
      <w:r w:rsidRPr="00B2071A">
        <w:rPr>
          <w:rFonts w:asciiTheme="minorEastAsia" w:eastAsiaTheme="minorEastAsia" w:hAnsiTheme="minorEastAsia" w:cs="Arial" w:hint="eastAsia"/>
          <w:kern w:val="0"/>
          <w:sz w:val="24"/>
          <w:szCs w:val="24"/>
        </w:rPr>
        <w:t>根据《基金法》、《运作办法》以及基金合同、招募说明书、基金份额发售公告的有关规定，本基金募集结果符合有关条件，本基金管理人于</w:t>
      </w:r>
      <w:r w:rsidRPr="00B2071A">
        <w:rPr>
          <w:rFonts w:asciiTheme="minorEastAsia" w:eastAsiaTheme="minorEastAsia" w:hAnsiTheme="minorEastAsia" w:cs="Arial"/>
          <w:kern w:val="0"/>
          <w:sz w:val="24"/>
          <w:szCs w:val="24"/>
        </w:rPr>
        <w:t>2018年4</w:t>
      </w:r>
      <w:r w:rsidRPr="00B2071A">
        <w:rPr>
          <w:rFonts w:asciiTheme="minorEastAsia" w:eastAsiaTheme="minorEastAsia" w:hAnsiTheme="minorEastAsia" w:cs="Arial" w:hint="eastAsia"/>
          <w:kern w:val="0"/>
          <w:sz w:val="24"/>
          <w:szCs w:val="24"/>
        </w:rPr>
        <w:t>月</w:t>
      </w:r>
      <w:r w:rsidRPr="00B2071A">
        <w:rPr>
          <w:rFonts w:asciiTheme="minorEastAsia" w:eastAsiaTheme="minorEastAsia" w:hAnsiTheme="minorEastAsia" w:cs="Arial"/>
          <w:kern w:val="0"/>
          <w:sz w:val="24"/>
          <w:szCs w:val="24"/>
        </w:rPr>
        <w:t>3</w:t>
      </w:r>
      <w:r w:rsidRPr="00B2071A">
        <w:rPr>
          <w:rFonts w:asciiTheme="minorEastAsia" w:eastAsiaTheme="minorEastAsia" w:hAnsiTheme="minorEastAsia" w:cs="Arial" w:hint="eastAsia"/>
          <w:kern w:val="0"/>
          <w:sz w:val="24"/>
          <w:szCs w:val="24"/>
        </w:rPr>
        <w:t>日向中国证监会办理完毕基金备案手续并已获书面确认，基金合同自该日期正式生效。自基金合同生效之日起，本基金管理人正式开始管理本基金。</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基金合同生效后，连续二十个工作日出现基金份额持有人数量</w:t>
      </w:r>
      <w:proofErr w:type="gramStart"/>
      <w:r>
        <w:rPr>
          <w:rFonts w:asciiTheme="minorEastAsia" w:eastAsiaTheme="minorEastAsia" w:hAnsiTheme="minorEastAsia" w:cs="Arial" w:hint="eastAsia"/>
          <w:kern w:val="0"/>
          <w:sz w:val="24"/>
          <w:szCs w:val="24"/>
        </w:rPr>
        <w:t>不满二百</w:t>
      </w:r>
      <w:proofErr w:type="gramEnd"/>
      <w:r>
        <w:rPr>
          <w:rFonts w:asciiTheme="minorEastAsia" w:eastAsiaTheme="minorEastAsia" w:hAnsiTheme="minorEastAsia" w:cs="Arial" w:hint="eastAsia"/>
          <w:kern w:val="0"/>
          <w:sz w:val="24"/>
          <w:szCs w:val="24"/>
        </w:rPr>
        <w:t>人或者基金资产净值低于五千万元情形的，基金管理人应当在定期报告中予以披露；连续六十个工作日出现前述情形的，本基金将根据《基金合同》约定进入清算程序并终止，无需召开基金份额持有人大会审议。</w:t>
      </w:r>
      <w:r>
        <w:rPr>
          <w:rFonts w:asciiTheme="minorEastAsia" w:eastAsiaTheme="minorEastAsia" w:hAnsiTheme="minorEastAsia" w:cs="Arial"/>
          <w:kern w:val="0"/>
          <w:sz w:val="24"/>
          <w:szCs w:val="24"/>
        </w:rPr>
        <w:t xml:space="preserve"> </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法律法规或监管机构另有规定时，从其规定。</w:t>
      </w:r>
    </w:p>
    <w:p w:rsidR="00572ECF" w:rsidRDefault="00915AEA">
      <w:pPr>
        <w:rPr>
          <w:rFonts w:asciiTheme="minorEastAsia" w:eastAsiaTheme="minorEastAsia" w:hAnsiTheme="minorEastAsia" w:cs="Arial"/>
          <w:sz w:val="24"/>
          <w:szCs w:val="24"/>
        </w:rPr>
      </w:pPr>
      <w:r>
        <w:rPr>
          <w:rFonts w:asciiTheme="minorEastAsia" w:eastAsiaTheme="minorEastAsia" w:hAnsiTheme="minorEastAsia" w:cs="Arial"/>
          <w:sz w:val="24"/>
          <w:szCs w:val="24"/>
        </w:rPr>
        <w:br w:type="page"/>
      </w:r>
    </w:p>
    <w:p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65" w:name="_Toc320887647"/>
      <w:bookmarkStart w:id="66" w:name="_Toc386115305"/>
      <w:bookmarkStart w:id="67" w:name="_Toc317088145"/>
      <w:bookmarkStart w:id="68" w:name="_Toc317088542"/>
      <w:bookmarkStart w:id="69" w:name="_Toc335232696"/>
      <w:bookmarkStart w:id="70" w:name="_Toc527465998"/>
      <w:r>
        <w:rPr>
          <w:rFonts w:ascii="Arial Unicode MS" w:eastAsia="宋体" w:hAnsi="Arial Unicode MS" w:cs="Arial" w:hint="eastAsia"/>
          <w:b/>
          <w:bCs/>
          <w:sz w:val="30"/>
          <w:szCs w:val="30"/>
        </w:rPr>
        <w:lastRenderedPageBreak/>
        <w:t>第八部分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基金份额的申购与赎回</w:t>
      </w:r>
      <w:bookmarkEnd w:id="65"/>
      <w:bookmarkEnd w:id="66"/>
      <w:bookmarkEnd w:id="67"/>
      <w:bookmarkEnd w:id="68"/>
      <w:bookmarkEnd w:id="69"/>
      <w:bookmarkEnd w:id="70"/>
    </w:p>
    <w:p w:rsidR="00572ECF" w:rsidRDefault="00572ECF">
      <w:pPr>
        <w:rPr>
          <w:rFonts w:ascii="Arial Unicode MS" w:hAnsi="Arial Unicode MS"/>
          <w:lang w:val="zh-CN"/>
        </w:rPr>
      </w:pPr>
    </w:p>
    <w:p w:rsidR="00572ECF" w:rsidRDefault="00915AEA">
      <w:pPr>
        <w:adjustRightInd w:val="0"/>
        <w:snapToGrid w:val="0"/>
        <w:spacing w:line="360" w:lineRule="auto"/>
        <w:ind w:firstLineChars="200" w:firstLine="482"/>
        <w:rPr>
          <w:rFonts w:ascii="Arial Unicode MS" w:hAnsi="Arial Unicode MS" w:cs="Arial"/>
          <w:b/>
          <w:bCs/>
          <w:kern w:val="0"/>
          <w:sz w:val="24"/>
          <w:szCs w:val="24"/>
        </w:rPr>
      </w:pPr>
      <w:r>
        <w:rPr>
          <w:rFonts w:ascii="Arial Unicode MS" w:hAnsi="Arial Unicode MS" w:cs="Arial" w:hint="eastAsia"/>
          <w:b/>
          <w:bCs/>
          <w:kern w:val="0"/>
          <w:sz w:val="24"/>
          <w:szCs w:val="24"/>
        </w:rPr>
        <w:t>一、申购与赎回的场所</w:t>
      </w:r>
    </w:p>
    <w:p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本基金的申购与赎回将通过销售机构进行。本基金的销售机构包括基金管理人和基金管理人委托的其他销售机构，具体的销售机构将由基金管理人在相关公告中列明。</w:t>
      </w:r>
    </w:p>
    <w:p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基金管理人可根据情况变更或增减销售机构，并予以公告。基金投资者应当在销售机构办理基金销售业务的营业场所或按销售机构提供的其他方式办理基金份额的申购与赎回。</w:t>
      </w:r>
    </w:p>
    <w:p w:rsidR="00572ECF" w:rsidRDefault="00915AEA">
      <w:pPr>
        <w:spacing w:line="360" w:lineRule="auto"/>
        <w:ind w:firstLineChars="200" w:firstLine="482"/>
        <w:rPr>
          <w:rFonts w:ascii="Arial Unicode MS" w:hAnsi="Arial Unicode MS" w:cs="Arial"/>
          <w:b/>
          <w:bCs/>
          <w:sz w:val="24"/>
          <w:szCs w:val="24"/>
        </w:rPr>
      </w:pPr>
      <w:r>
        <w:rPr>
          <w:rFonts w:ascii="Arial Unicode MS" w:hAnsi="Arial Unicode MS" w:cs="Arial" w:hint="eastAsia"/>
          <w:b/>
          <w:bCs/>
          <w:sz w:val="24"/>
          <w:szCs w:val="24"/>
        </w:rPr>
        <w:t>二、</w:t>
      </w:r>
      <w:r>
        <w:rPr>
          <w:rFonts w:ascii="Arial Unicode MS" w:hAnsi="Arial Unicode MS" w:cs="Arial" w:hint="eastAsia"/>
          <w:b/>
          <w:kern w:val="0"/>
          <w:sz w:val="24"/>
          <w:szCs w:val="24"/>
        </w:rPr>
        <w:t>申购与赎回办理的开放日及时间</w:t>
      </w:r>
    </w:p>
    <w:p w:rsidR="00572ECF" w:rsidRDefault="00915AEA">
      <w:pPr>
        <w:adjustRightInd w:val="0"/>
        <w:snapToGrid w:val="0"/>
        <w:spacing w:line="360" w:lineRule="auto"/>
        <w:ind w:firstLineChars="200" w:firstLine="480"/>
        <w:rPr>
          <w:rFonts w:ascii="Arial Unicode MS" w:hAnsi="Arial Unicode MS" w:cs="Arial"/>
          <w:kern w:val="0"/>
          <w:sz w:val="24"/>
          <w:szCs w:val="24"/>
        </w:rPr>
      </w:pPr>
      <w:bookmarkStart w:id="71" w:name="_Toc510842719"/>
      <w:r>
        <w:rPr>
          <w:rFonts w:ascii="Arial Unicode MS" w:hAnsi="Arial Unicode MS" w:cs="Arial"/>
          <w:kern w:val="0"/>
          <w:sz w:val="24"/>
          <w:szCs w:val="24"/>
        </w:rPr>
        <w:t>1</w:t>
      </w:r>
      <w:r>
        <w:rPr>
          <w:rFonts w:ascii="Arial Unicode MS" w:hAnsi="Arial Unicode MS" w:cs="Arial" w:hint="eastAsia"/>
          <w:kern w:val="0"/>
          <w:sz w:val="24"/>
          <w:szCs w:val="24"/>
        </w:rPr>
        <w:t>、开放日及开放时间</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开放日的具体业务办理时间在招募说明书或相关公告中载明。</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、申购、赎回开始日及业务办理时间</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2018年</w:t>
      </w:r>
      <w:r>
        <w:rPr>
          <w:rFonts w:asciiTheme="minorEastAsia" w:hAnsiTheme="minorEastAsia" w:cs="Arial" w:hint="eastAsia"/>
          <w:sz w:val="24"/>
          <w:szCs w:val="24"/>
        </w:rPr>
        <w:t>4月17日开始办理申购、赎回业务。</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Arial Unicode MS" w:hAnsi="Arial Unicode MS" w:cs="Arial" w:hint="eastAsia"/>
          <w:kern w:val="0"/>
          <w:sz w:val="24"/>
          <w:szCs w:val="24"/>
        </w:rPr>
        <w:t>且登记</w:t>
      </w:r>
      <w:proofErr w:type="gramEnd"/>
      <w:r>
        <w:rPr>
          <w:rFonts w:ascii="Arial Unicode MS" w:hAnsi="Arial Unicode MS" w:cs="Arial" w:hint="eastAsia"/>
          <w:kern w:val="0"/>
          <w:sz w:val="24"/>
          <w:szCs w:val="24"/>
        </w:rPr>
        <w:t>机构确认接受的，其基金份额申购、赎回价格为下一开放日基金份额申购、赎回的价格。</w:t>
      </w:r>
    </w:p>
    <w:bookmarkEnd w:id="71"/>
    <w:p w:rsidR="00572ECF" w:rsidRDefault="00915AEA">
      <w:pPr>
        <w:autoSpaceDE w:val="0"/>
        <w:autoSpaceDN w:val="0"/>
        <w:adjustRightInd w:val="0"/>
        <w:snapToGrid w:val="0"/>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三</w:t>
      </w:r>
      <w:r>
        <w:rPr>
          <w:rFonts w:ascii="Arial Unicode MS" w:hAnsi="Arial Unicode MS" w:cs="Arial"/>
          <w:b/>
          <w:sz w:val="24"/>
          <w:szCs w:val="24"/>
        </w:rPr>
        <w:t>、申购与赎回的原则</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、“未知价”原则，即申购、赎回价格以申请当日收市后计算的基金份额净值为基准进行计算；</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、“金额申购、份额赎回”原则，即申购以金额申请，赎回以份额申请；</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lastRenderedPageBreak/>
        <w:t>3</w:t>
      </w:r>
      <w:r>
        <w:rPr>
          <w:rFonts w:ascii="Arial Unicode MS" w:hAnsi="Arial Unicode MS" w:cs="Arial" w:hint="eastAsia"/>
          <w:kern w:val="0"/>
          <w:sz w:val="24"/>
          <w:szCs w:val="24"/>
        </w:rPr>
        <w:t>、当日的申购与赎回申请可以在基金管理人规定的时间以内撤销；</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4</w:t>
      </w:r>
      <w:r>
        <w:rPr>
          <w:rFonts w:ascii="Arial Unicode MS" w:hAnsi="Arial Unicode MS" w:cs="Arial" w:hint="eastAsia"/>
          <w:kern w:val="0"/>
          <w:sz w:val="24"/>
          <w:szCs w:val="24"/>
        </w:rPr>
        <w:t>、赎回遵循“先进先出”原则，即按照投资人认购、申购的先后次序进行顺序赎回；</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5</w:t>
      </w:r>
      <w:r>
        <w:rPr>
          <w:rFonts w:ascii="Arial Unicode MS" w:hAnsi="Arial Unicode MS" w:cs="Arial" w:hint="eastAsia"/>
          <w:kern w:val="0"/>
          <w:sz w:val="24"/>
          <w:szCs w:val="24"/>
        </w:rPr>
        <w:t>、投资者办理申购、赎回等业务时应提交的文件和办理手续、办理时间、处理规则等在遵守基金合同和招募说明书规定的前提下，以各销售机构的具体规定为准。</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基金管理人可在法律法规允许的情况下，对上述原则进行调整。基金管理人必须在新规则开始实施前依照《信息披露办法》的有关规定在指定媒介上公告。</w:t>
      </w:r>
    </w:p>
    <w:p w:rsidR="00572ECF" w:rsidRDefault="00915AEA">
      <w:pPr>
        <w:autoSpaceDE w:val="0"/>
        <w:autoSpaceDN w:val="0"/>
        <w:adjustRightInd w:val="0"/>
        <w:snapToGrid w:val="0"/>
        <w:spacing w:line="360" w:lineRule="auto"/>
        <w:ind w:firstLineChars="200" w:firstLine="482"/>
        <w:rPr>
          <w:rFonts w:ascii="Arial Unicode MS" w:hAnsi="Arial Unicode MS" w:cs="Arial"/>
          <w:b/>
          <w:bCs/>
          <w:sz w:val="24"/>
          <w:szCs w:val="24"/>
        </w:rPr>
      </w:pPr>
      <w:r>
        <w:rPr>
          <w:rFonts w:ascii="Arial Unicode MS" w:hAnsi="Arial Unicode MS" w:cs="Arial" w:hint="eastAsia"/>
          <w:b/>
          <w:bCs/>
          <w:sz w:val="24"/>
          <w:szCs w:val="24"/>
        </w:rPr>
        <w:t>四、申购与赎回的数额限制</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、首次申购本基金</w:t>
      </w:r>
      <w:r>
        <w:rPr>
          <w:rFonts w:ascii="Arial" w:hAnsi="Arial" w:cs="Arial" w:hint="eastAsia"/>
          <w:sz w:val="24"/>
          <w:szCs w:val="24"/>
        </w:rPr>
        <w:t>A</w:t>
      </w:r>
      <w:r>
        <w:rPr>
          <w:rFonts w:ascii="Arial" w:hAnsi="Arial" w:cs="Arial" w:hint="eastAsia"/>
          <w:sz w:val="24"/>
          <w:szCs w:val="24"/>
        </w:rPr>
        <w:t>类基金份额或</w:t>
      </w:r>
      <w:r>
        <w:rPr>
          <w:rFonts w:ascii="Arial" w:hAnsi="Arial" w:cs="Arial" w:hint="eastAsia"/>
          <w:sz w:val="24"/>
          <w:szCs w:val="24"/>
        </w:rPr>
        <w:t>C</w:t>
      </w:r>
      <w:r>
        <w:rPr>
          <w:rFonts w:ascii="Arial" w:hAnsi="Arial" w:cs="Arial" w:hint="eastAsia"/>
          <w:sz w:val="24"/>
          <w:szCs w:val="24"/>
        </w:rPr>
        <w:t>类基金份额</w:t>
      </w:r>
      <w:r>
        <w:rPr>
          <w:rFonts w:ascii="Arial Unicode MS" w:hAnsi="Arial Unicode MS" w:cs="Arial" w:hint="eastAsia"/>
          <w:kern w:val="0"/>
          <w:sz w:val="24"/>
          <w:szCs w:val="24"/>
        </w:rPr>
        <w:t>的最低金额为</w:t>
      </w:r>
      <w:r>
        <w:rPr>
          <w:rFonts w:ascii="Arial Unicode MS" w:hAnsi="Arial Unicode MS" w:cs="Arial"/>
          <w:kern w:val="0"/>
          <w:sz w:val="24"/>
          <w:szCs w:val="24"/>
        </w:rPr>
        <w:t>1.00</w:t>
      </w:r>
      <w:r>
        <w:rPr>
          <w:rFonts w:ascii="Arial Unicode MS" w:hAnsi="Arial Unicode MS" w:cs="Arial" w:hint="eastAsia"/>
          <w:kern w:val="0"/>
          <w:sz w:val="24"/>
          <w:szCs w:val="24"/>
        </w:rPr>
        <w:t>元，追加单笔申购的最低金额为</w:t>
      </w:r>
      <w:r>
        <w:rPr>
          <w:rFonts w:ascii="Arial Unicode MS" w:hAnsi="Arial Unicode MS" w:cs="Arial" w:hint="eastAsia"/>
          <w:kern w:val="0"/>
          <w:sz w:val="24"/>
          <w:szCs w:val="24"/>
        </w:rPr>
        <w:t>1.00</w:t>
      </w:r>
      <w:r>
        <w:rPr>
          <w:rFonts w:ascii="Arial Unicode MS" w:hAnsi="Arial Unicode MS" w:cs="Arial" w:hint="eastAsia"/>
          <w:kern w:val="0"/>
          <w:sz w:val="24"/>
          <w:szCs w:val="24"/>
        </w:rPr>
        <w:t>元，</w:t>
      </w:r>
      <w:r>
        <w:rPr>
          <w:rFonts w:ascii="Arial Unicode MS" w:hAnsi="Arial Unicode MS" w:cs="Arial"/>
          <w:kern w:val="0"/>
          <w:sz w:val="24"/>
          <w:szCs w:val="24"/>
        </w:rPr>
        <w:t>详情请见当地销售机构公告</w:t>
      </w:r>
      <w:r>
        <w:rPr>
          <w:rFonts w:ascii="Arial Unicode MS" w:hAnsi="Arial Unicode MS" w:cs="Arial" w:hint="eastAsia"/>
          <w:kern w:val="0"/>
          <w:sz w:val="24"/>
          <w:szCs w:val="24"/>
        </w:rPr>
        <w:t>；</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、每个交易账户最低持有基金份额余额为</w:t>
      </w:r>
      <w:r>
        <w:rPr>
          <w:rFonts w:ascii="Arial Unicode MS" w:hAnsi="Arial Unicode MS" w:cs="Arial" w:hint="eastAsia"/>
          <w:kern w:val="0"/>
          <w:sz w:val="24"/>
          <w:szCs w:val="24"/>
        </w:rPr>
        <w:t>1</w:t>
      </w:r>
      <w:r>
        <w:rPr>
          <w:rFonts w:ascii="Arial Unicode MS" w:hAnsi="Arial Unicode MS" w:cs="Arial" w:hint="eastAsia"/>
          <w:kern w:val="0"/>
          <w:sz w:val="24"/>
          <w:szCs w:val="24"/>
        </w:rPr>
        <w:t>份，若某笔赎回导致单个交易账户的基金份额余额少于</w:t>
      </w:r>
      <w:r>
        <w:rPr>
          <w:rFonts w:ascii="Arial Unicode MS" w:hAnsi="Arial Unicode MS" w:cs="Arial" w:hint="eastAsia"/>
          <w:kern w:val="0"/>
          <w:sz w:val="24"/>
          <w:szCs w:val="24"/>
        </w:rPr>
        <w:t>1</w:t>
      </w:r>
      <w:r>
        <w:rPr>
          <w:rFonts w:ascii="Arial Unicode MS" w:hAnsi="Arial Unicode MS" w:cs="Arial" w:hint="eastAsia"/>
          <w:kern w:val="0"/>
          <w:sz w:val="24"/>
          <w:szCs w:val="24"/>
        </w:rPr>
        <w:t>份时，余额部分基金份额必须一同赎回；</w:t>
      </w:r>
      <w:r>
        <w:rPr>
          <w:rFonts w:ascii="Arial Unicode MS" w:hAnsi="Arial Unicode MS" w:cs="Arial" w:hint="eastAsia"/>
          <w:kern w:val="0"/>
          <w:sz w:val="24"/>
          <w:szCs w:val="24"/>
        </w:rPr>
        <w:t xml:space="preserve"> </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3</w:t>
      </w:r>
      <w:r>
        <w:rPr>
          <w:rFonts w:ascii="Arial Unicode MS" w:hAnsi="Arial Unicode MS" w:cs="Arial" w:hint="eastAsia"/>
          <w:kern w:val="0"/>
          <w:sz w:val="24"/>
          <w:szCs w:val="24"/>
        </w:rPr>
        <w:t>、本基金目前对单个投资人累计持有基金份额不设上限限制，将来基金管理人可以规定单个投资者累计持有的基金份额数量限制，具体规定请参见定期更新的招募说明书或相关公告；</w:t>
      </w:r>
    </w:p>
    <w:p w:rsidR="00572ECF" w:rsidRDefault="00915AEA">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572ECF" w:rsidRDefault="00915AEA">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rsidR="00572ECF" w:rsidRDefault="00915AEA">
      <w:pPr>
        <w:autoSpaceDE w:val="0"/>
        <w:autoSpaceDN w:val="0"/>
        <w:adjustRightInd w:val="0"/>
        <w:snapToGrid w:val="0"/>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五</w:t>
      </w:r>
      <w:r>
        <w:rPr>
          <w:rFonts w:ascii="Arial Unicode MS" w:hAnsi="Arial Unicode MS" w:cs="Arial"/>
          <w:b/>
          <w:sz w:val="24"/>
          <w:szCs w:val="24"/>
        </w:rPr>
        <w:t>、申购与赎回的程序</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w:t>
      </w:r>
      <w:r>
        <w:rPr>
          <w:rFonts w:ascii="Arial Unicode MS" w:hAnsi="Arial Unicode MS" w:cs="Arial"/>
          <w:kern w:val="0"/>
          <w:sz w:val="24"/>
          <w:szCs w:val="24"/>
        </w:rPr>
        <w:t>申购和赎回的申请方式</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投资人必须根据销售机构规定的程序，在开放日的具体业务办理时间内提出申购或赎回的申请。</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lastRenderedPageBreak/>
        <w:t>2</w:t>
      </w:r>
      <w:r>
        <w:rPr>
          <w:rFonts w:ascii="Arial Unicode MS" w:hAnsi="Arial Unicode MS" w:cs="Arial" w:hint="eastAsia"/>
          <w:kern w:val="0"/>
          <w:sz w:val="24"/>
          <w:szCs w:val="24"/>
        </w:rPr>
        <w:t>、</w:t>
      </w:r>
      <w:r>
        <w:rPr>
          <w:rFonts w:ascii="Arial Unicode MS" w:hAnsi="Arial Unicode MS" w:cs="Arial"/>
          <w:kern w:val="0"/>
          <w:sz w:val="24"/>
          <w:szCs w:val="24"/>
        </w:rPr>
        <w:t>申购和赎回的款项支付</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投资人申购基金份额时，必须全额交付申购款项，投资人交付</w:t>
      </w:r>
      <w:r>
        <w:rPr>
          <w:rFonts w:ascii="Arial Unicode MS" w:hAnsi="Arial Unicode MS" w:cs="Arial" w:hint="eastAsia"/>
          <w:kern w:val="0"/>
          <w:sz w:val="24"/>
          <w:szCs w:val="24"/>
        </w:rPr>
        <w:t>申购</w:t>
      </w:r>
      <w:r>
        <w:rPr>
          <w:rFonts w:ascii="Arial Unicode MS" w:hAnsi="Arial Unicode MS" w:cs="Arial"/>
          <w:kern w:val="0"/>
          <w:sz w:val="24"/>
          <w:szCs w:val="24"/>
        </w:rPr>
        <w:t>款项，申购</w:t>
      </w:r>
      <w:r>
        <w:rPr>
          <w:rFonts w:ascii="Arial Unicode MS" w:hAnsi="Arial Unicode MS" w:cs="Arial" w:hint="eastAsia"/>
          <w:kern w:val="0"/>
          <w:sz w:val="24"/>
          <w:szCs w:val="24"/>
        </w:rPr>
        <w:t>成立；基金份额登记机构确认基金份额时，</w:t>
      </w:r>
      <w:r>
        <w:rPr>
          <w:rFonts w:ascii="Arial Unicode MS" w:hAnsi="Arial Unicode MS" w:cs="Arial"/>
          <w:kern w:val="0"/>
          <w:sz w:val="24"/>
          <w:szCs w:val="24"/>
        </w:rPr>
        <w:t>申购</w:t>
      </w:r>
      <w:r>
        <w:rPr>
          <w:rFonts w:ascii="Arial Unicode MS" w:hAnsi="Arial Unicode MS" w:cs="Arial" w:hint="eastAsia"/>
          <w:kern w:val="0"/>
          <w:sz w:val="24"/>
          <w:szCs w:val="24"/>
        </w:rPr>
        <w:t>生</w:t>
      </w:r>
      <w:r>
        <w:rPr>
          <w:rFonts w:ascii="Arial Unicode MS" w:hAnsi="Arial Unicode MS" w:cs="Arial"/>
          <w:kern w:val="0"/>
          <w:sz w:val="24"/>
          <w:szCs w:val="24"/>
        </w:rPr>
        <w:t>效。</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基金份额持有人递交赎回申请，赎回成立；基金份额登记机构确认赎回时，赎回生效。</w:t>
      </w:r>
      <w:r>
        <w:rPr>
          <w:rFonts w:ascii="Arial Unicode MS" w:hAnsi="Arial Unicode MS" w:cs="Arial"/>
          <w:kern w:val="0"/>
          <w:sz w:val="24"/>
          <w:szCs w:val="24"/>
        </w:rPr>
        <w:t>投资人赎回申请</w:t>
      </w:r>
      <w:r>
        <w:rPr>
          <w:rFonts w:ascii="Arial Unicode MS" w:hAnsi="Arial Unicode MS" w:cs="Arial" w:hint="eastAsia"/>
          <w:kern w:val="0"/>
          <w:sz w:val="24"/>
          <w:szCs w:val="24"/>
        </w:rPr>
        <w:t>生效</w:t>
      </w:r>
      <w:r>
        <w:rPr>
          <w:rFonts w:ascii="Arial Unicode MS" w:hAnsi="Arial Unicode MS" w:cs="Arial"/>
          <w:kern w:val="0"/>
          <w:sz w:val="24"/>
          <w:szCs w:val="24"/>
        </w:rPr>
        <w:t>后，基金管理人将在</w:t>
      </w:r>
      <w:r>
        <w:rPr>
          <w:rFonts w:ascii="Arial Unicode MS" w:hAnsi="Arial Unicode MS" w:cs="Arial"/>
          <w:kern w:val="0"/>
          <w:sz w:val="24"/>
          <w:szCs w:val="24"/>
        </w:rPr>
        <w:t>T</w:t>
      </w:r>
      <w:r>
        <w:rPr>
          <w:rFonts w:ascii="Arial Unicode MS" w:hAnsi="Arial Unicode MS" w:cs="Arial"/>
          <w:kern w:val="0"/>
          <w:sz w:val="24"/>
          <w:szCs w:val="24"/>
        </w:rPr>
        <w:t>＋</w:t>
      </w:r>
      <w:r>
        <w:rPr>
          <w:rFonts w:ascii="Arial Unicode MS" w:hAnsi="Arial Unicode MS" w:cs="Arial" w:hint="eastAsia"/>
          <w:kern w:val="0"/>
          <w:sz w:val="24"/>
          <w:szCs w:val="24"/>
        </w:rPr>
        <w:t>7</w:t>
      </w:r>
      <w:r>
        <w:rPr>
          <w:rFonts w:ascii="Arial Unicode MS" w:hAnsi="Arial Unicode MS" w:cs="Arial"/>
          <w:kern w:val="0"/>
          <w:sz w:val="24"/>
          <w:szCs w:val="24"/>
        </w:rPr>
        <w:t>日</w:t>
      </w:r>
      <w:r>
        <w:rPr>
          <w:rFonts w:ascii="Arial Unicode MS" w:hAnsi="Arial Unicode MS" w:cs="Arial"/>
          <w:kern w:val="0"/>
          <w:sz w:val="24"/>
          <w:szCs w:val="24"/>
        </w:rPr>
        <w:t>(</w:t>
      </w:r>
      <w:r>
        <w:rPr>
          <w:rFonts w:ascii="Arial Unicode MS" w:hAnsi="Arial Unicode MS" w:cs="Arial"/>
          <w:kern w:val="0"/>
          <w:sz w:val="24"/>
          <w:szCs w:val="24"/>
        </w:rPr>
        <w:t>包括该日</w:t>
      </w:r>
      <w:r>
        <w:rPr>
          <w:rFonts w:ascii="Arial Unicode MS" w:hAnsi="Arial Unicode MS" w:cs="Arial"/>
          <w:kern w:val="0"/>
          <w:sz w:val="24"/>
          <w:szCs w:val="24"/>
        </w:rPr>
        <w:t>)</w:t>
      </w:r>
      <w:r>
        <w:rPr>
          <w:rFonts w:ascii="Arial Unicode MS" w:hAnsi="Arial Unicode MS" w:cs="Arial"/>
          <w:kern w:val="0"/>
          <w:sz w:val="24"/>
          <w:szCs w:val="24"/>
        </w:rPr>
        <w:t>内支付赎回款项。在发生巨额赎回</w:t>
      </w:r>
      <w:r>
        <w:rPr>
          <w:rFonts w:ascii="Arial Unicode MS" w:hAnsi="Arial Unicode MS" w:cs="Arial" w:hint="eastAsia"/>
          <w:kern w:val="0"/>
          <w:sz w:val="24"/>
          <w:szCs w:val="24"/>
        </w:rPr>
        <w:t>或基金合同约定的其他暂停赎回或延缓支付赎回款项的情形</w:t>
      </w:r>
      <w:r>
        <w:rPr>
          <w:rFonts w:ascii="Arial Unicode MS" w:hAnsi="Arial Unicode MS" w:cs="Arial"/>
          <w:kern w:val="0"/>
          <w:sz w:val="24"/>
          <w:szCs w:val="24"/>
        </w:rPr>
        <w:t>时，款项的支付办法参照基金合同有关条款处理。</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遇交易所或交易市场数据传输延迟、通讯系统故障、银行数据交换系统故障或其他</w:t>
      </w:r>
      <w:proofErr w:type="gramStart"/>
      <w:r>
        <w:rPr>
          <w:rFonts w:ascii="Arial Unicode MS" w:hAnsi="Arial Unicode MS" w:cs="Arial" w:hint="eastAsia"/>
          <w:kern w:val="0"/>
          <w:sz w:val="24"/>
          <w:szCs w:val="24"/>
        </w:rPr>
        <w:t>非基金</w:t>
      </w:r>
      <w:proofErr w:type="gramEnd"/>
      <w:r>
        <w:rPr>
          <w:rFonts w:ascii="Arial Unicode MS" w:hAnsi="Arial Unicode MS" w:cs="Arial" w:hint="eastAsia"/>
          <w:kern w:val="0"/>
          <w:sz w:val="24"/>
          <w:szCs w:val="24"/>
        </w:rPr>
        <w:t>管理人及基金托管人所能控制的因素影响业务处理流程，则赎回款项划付时间相应顺延。</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w:t>
      </w:r>
      <w:r>
        <w:rPr>
          <w:rFonts w:ascii="Arial Unicode MS" w:hAnsi="Arial Unicode MS" w:cs="Arial"/>
          <w:kern w:val="0"/>
          <w:sz w:val="24"/>
          <w:szCs w:val="24"/>
        </w:rPr>
        <w:t>申购和赎回申请的确认</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基金管理人应以交易时间结束前受理</w:t>
      </w:r>
      <w:r>
        <w:rPr>
          <w:rFonts w:ascii="Arial Unicode MS" w:hAnsi="Arial Unicode MS" w:cs="Arial" w:hint="eastAsia"/>
          <w:kern w:val="0"/>
          <w:sz w:val="24"/>
          <w:szCs w:val="24"/>
        </w:rPr>
        <w:t>有效</w:t>
      </w:r>
      <w:r>
        <w:rPr>
          <w:rFonts w:ascii="Arial Unicode MS" w:hAnsi="Arial Unicode MS" w:cs="Arial"/>
          <w:kern w:val="0"/>
          <w:sz w:val="24"/>
          <w:szCs w:val="24"/>
        </w:rPr>
        <w:t>申购和赎回申请的当天作为申购或赎回申请日</w:t>
      </w:r>
      <w:r>
        <w:rPr>
          <w:rFonts w:ascii="Arial Unicode MS" w:hAnsi="Arial Unicode MS" w:cs="Arial"/>
          <w:kern w:val="0"/>
          <w:sz w:val="24"/>
          <w:szCs w:val="24"/>
        </w:rPr>
        <w:t>(T</w:t>
      </w:r>
      <w:r>
        <w:rPr>
          <w:rFonts w:ascii="Arial Unicode MS" w:hAnsi="Arial Unicode MS" w:cs="Arial"/>
          <w:kern w:val="0"/>
          <w:sz w:val="24"/>
          <w:szCs w:val="24"/>
        </w:rPr>
        <w:t>日</w:t>
      </w:r>
      <w:r>
        <w:rPr>
          <w:rFonts w:ascii="Arial Unicode MS" w:hAnsi="Arial Unicode MS" w:cs="Arial"/>
          <w:kern w:val="0"/>
          <w:sz w:val="24"/>
          <w:szCs w:val="24"/>
        </w:rPr>
        <w:t>)</w:t>
      </w:r>
      <w:r>
        <w:rPr>
          <w:rFonts w:ascii="Arial Unicode MS" w:hAnsi="Arial Unicode MS" w:cs="Arial"/>
          <w:kern w:val="0"/>
          <w:sz w:val="24"/>
          <w:szCs w:val="24"/>
        </w:rPr>
        <w:t>，在正常情况下，本基金登记机构在</w:t>
      </w:r>
      <w:r>
        <w:rPr>
          <w:rFonts w:ascii="Arial Unicode MS" w:hAnsi="Arial Unicode MS" w:cs="Arial"/>
          <w:kern w:val="0"/>
          <w:sz w:val="24"/>
          <w:szCs w:val="24"/>
        </w:rPr>
        <w:t>T+</w:t>
      </w:r>
      <w:r>
        <w:rPr>
          <w:rFonts w:ascii="Arial Unicode MS" w:hAnsi="Arial Unicode MS" w:cs="Arial" w:hint="eastAsia"/>
          <w:kern w:val="0"/>
          <w:sz w:val="24"/>
          <w:szCs w:val="24"/>
        </w:rPr>
        <w:t>1</w:t>
      </w:r>
      <w:r>
        <w:rPr>
          <w:rFonts w:ascii="Arial Unicode MS" w:hAnsi="Arial Unicode MS" w:cs="Arial"/>
          <w:kern w:val="0"/>
          <w:sz w:val="24"/>
          <w:szCs w:val="24"/>
        </w:rPr>
        <w:t>日</w:t>
      </w:r>
      <w:r>
        <w:rPr>
          <w:rFonts w:ascii="Arial Unicode MS" w:hAnsi="Arial Unicode MS" w:cs="Arial" w:hint="eastAsia"/>
          <w:kern w:val="0"/>
          <w:sz w:val="24"/>
          <w:szCs w:val="24"/>
        </w:rPr>
        <w:t>（</w:t>
      </w:r>
      <w:r>
        <w:rPr>
          <w:rFonts w:ascii="Arial Unicode MS" w:hAnsi="Arial Unicode MS" w:cs="Arial"/>
          <w:kern w:val="0"/>
          <w:sz w:val="24"/>
          <w:szCs w:val="24"/>
        </w:rPr>
        <w:t>包括</w:t>
      </w:r>
      <w:r>
        <w:rPr>
          <w:rFonts w:ascii="Arial Unicode MS" w:hAnsi="Arial Unicode MS" w:cs="Arial" w:hint="eastAsia"/>
          <w:kern w:val="0"/>
          <w:sz w:val="24"/>
          <w:szCs w:val="24"/>
        </w:rPr>
        <w:t>该日</w:t>
      </w:r>
      <w:r>
        <w:rPr>
          <w:rFonts w:ascii="Arial Unicode MS" w:hAnsi="Arial Unicode MS" w:cs="Arial"/>
          <w:kern w:val="0"/>
          <w:sz w:val="24"/>
          <w:szCs w:val="24"/>
        </w:rPr>
        <w:t>）内对该交易的有效性进行确认。</w:t>
      </w:r>
      <w:r>
        <w:rPr>
          <w:rFonts w:ascii="Arial Unicode MS" w:hAnsi="Arial Unicode MS" w:cs="Arial"/>
          <w:kern w:val="0"/>
          <w:sz w:val="24"/>
          <w:szCs w:val="24"/>
        </w:rPr>
        <w:t>T</w:t>
      </w:r>
      <w:r>
        <w:rPr>
          <w:rFonts w:ascii="Arial Unicode MS" w:hAnsi="Arial Unicode MS" w:cs="Arial"/>
          <w:kern w:val="0"/>
          <w:sz w:val="24"/>
          <w:szCs w:val="24"/>
        </w:rPr>
        <w:t>日提交的有效申请，投资人</w:t>
      </w:r>
      <w:r>
        <w:rPr>
          <w:rFonts w:ascii="Arial Unicode MS" w:hAnsi="Arial Unicode MS" w:cs="Arial" w:hint="eastAsia"/>
          <w:kern w:val="0"/>
          <w:sz w:val="24"/>
          <w:szCs w:val="24"/>
        </w:rPr>
        <w:t>应</w:t>
      </w:r>
      <w:r>
        <w:rPr>
          <w:rFonts w:ascii="Arial Unicode MS" w:hAnsi="Arial Unicode MS" w:cs="Arial"/>
          <w:kern w:val="0"/>
          <w:sz w:val="24"/>
          <w:szCs w:val="24"/>
        </w:rPr>
        <w:t>在</w:t>
      </w:r>
      <w:r>
        <w:rPr>
          <w:rFonts w:ascii="Arial Unicode MS" w:hAnsi="Arial Unicode MS" w:cs="Arial"/>
          <w:kern w:val="0"/>
          <w:sz w:val="24"/>
          <w:szCs w:val="24"/>
        </w:rPr>
        <w:t>T+</w:t>
      </w:r>
      <w:r>
        <w:rPr>
          <w:rFonts w:ascii="Arial Unicode MS" w:hAnsi="Arial Unicode MS" w:cs="Arial" w:hint="eastAsia"/>
          <w:kern w:val="0"/>
          <w:sz w:val="24"/>
          <w:szCs w:val="24"/>
        </w:rPr>
        <w:t>2</w:t>
      </w:r>
      <w:r>
        <w:rPr>
          <w:rFonts w:ascii="Arial Unicode MS" w:hAnsi="Arial Unicode MS" w:cs="Arial"/>
          <w:kern w:val="0"/>
          <w:sz w:val="24"/>
          <w:szCs w:val="24"/>
        </w:rPr>
        <w:t>日后</w:t>
      </w:r>
      <w:r>
        <w:rPr>
          <w:rFonts w:ascii="Arial Unicode MS" w:hAnsi="Arial Unicode MS" w:cs="Arial"/>
          <w:kern w:val="0"/>
          <w:sz w:val="24"/>
          <w:szCs w:val="24"/>
        </w:rPr>
        <w:t>(</w:t>
      </w:r>
      <w:r>
        <w:rPr>
          <w:rFonts w:ascii="Arial Unicode MS" w:hAnsi="Arial Unicode MS" w:cs="Arial"/>
          <w:kern w:val="0"/>
          <w:sz w:val="24"/>
          <w:szCs w:val="24"/>
        </w:rPr>
        <w:t>包括该日</w:t>
      </w:r>
      <w:r>
        <w:rPr>
          <w:rFonts w:ascii="Arial Unicode MS" w:hAnsi="Arial Unicode MS" w:cs="Arial"/>
          <w:kern w:val="0"/>
          <w:sz w:val="24"/>
          <w:szCs w:val="24"/>
        </w:rPr>
        <w:t>)</w:t>
      </w:r>
      <w:r>
        <w:rPr>
          <w:rFonts w:ascii="Arial Unicode MS" w:hAnsi="Arial Unicode MS" w:cs="Arial" w:hint="eastAsia"/>
          <w:kern w:val="0"/>
          <w:sz w:val="24"/>
          <w:szCs w:val="24"/>
        </w:rPr>
        <w:t>及时</w:t>
      </w:r>
      <w:r>
        <w:rPr>
          <w:rFonts w:ascii="Arial Unicode MS" w:hAnsi="Arial Unicode MS" w:cs="Arial"/>
          <w:kern w:val="0"/>
          <w:sz w:val="24"/>
          <w:szCs w:val="24"/>
        </w:rPr>
        <w:t>到销售网点柜台或以销售机构规定的其他方式查询申请的确认情况。若申购不成功</w:t>
      </w:r>
      <w:r>
        <w:rPr>
          <w:rFonts w:ascii="Arial Unicode MS" w:hAnsi="Arial Unicode MS" w:cs="Arial" w:hint="eastAsia"/>
          <w:kern w:val="0"/>
          <w:sz w:val="24"/>
          <w:szCs w:val="24"/>
        </w:rPr>
        <w:t>或</w:t>
      </w:r>
      <w:r>
        <w:rPr>
          <w:rFonts w:ascii="Arial Unicode MS" w:hAnsi="Arial Unicode MS" w:cs="Arial"/>
          <w:kern w:val="0"/>
          <w:sz w:val="24"/>
          <w:szCs w:val="24"/>
        </w:rPr>
        <w:t>无效，则申购款项</w:t>
      </w:r>
      <w:r>
        <w:rPr>
          <w:rFonts w:ascii="Arial Unicode MS" w:hAnsi="Arial Unicode MS" w:cs="Arial" w:hint="eastAsia"/>
          <w:kern w:val="0"/>
          <w:sz w:val="24"/>
          <w:szCs w:val="24"/>
        </w:rPr>
        <w:t>本金</w:t>
      </w:r>
      <w:r>
        <w:rPr>
          <w:rFonts w:ascii="Arial Unicode MS" w:hAnsi="Arial Unicode MS" w:cs="Arial"/>
          <w:kern w:val="0"/>
          <w:sz w:val="24"/>
          <w:szCs w:val="24"/>
        </w:rPr>
        <w:t>退还给投资人。</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基金管理人可以在法律法规和基金合同允许的范围内，对上述业务办理时间进行调整，并在调整实施前依照《信息披露办法》的有关规定在指定媒介上公告。</w:t>
      </w:r>
    </w:p>
    <w:p w:rsidR="00572ECF" w:rsidRDefault="00915AEA">
      <w:pPr>
        <w:autoSpaceDE w:val="0"/>
        <w:autoSpaceDN w:val="0"/>
        <w:adjustRightInd w:val="0"/>
        <w:snapToGrid w:val="0"/>
        <w:spacing w:line="360" w:lineRule="auto"/>
        <w:ind w:firstLineChars="200" w:firstLine="482"/>
        <w:rPr>
          <w:rFonts w:ascii="Arial Unicode MS" w:hAnsi="Arial Unicode MS" w:cs="Arial"/>
          <w:b/>
          <w:bCs/>
          <w:sz w:val="24"/>
          <w:szCs w:val="24"/>
        </w:rPr>
      </w:pPr>
      <w:r>
        <w:rPr>
          <w:rFonts w:ascii="Arial Unicode MS" w:hAnsi="Arial Unicode MS" w:cs="Arial" w:hint="eastAsia"/>
          <w:b/>
          <w:kern w:val="0"/>
          <w:sz w:val="24"/>
          <w:szCs w:val="24"/>
        </w:rPr>
        <w:t>六</w:t>
      </w:r>
      <w:r>
        <w:rPr>
          <w:rFonts w:ascii="Arial Unicode MS" w:hAnsi="Arial Unicode MS" w:cs="Arial"/>
          <w:b/>
          <w:bCs/>
          <w:sz w:val="24"/>
          <w:szCs w:val="24"/>
        </w:rPr>
        <w:t>、申购费率、赎回费率</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kern w:val="0"/>
          <w:sz w:val="24"/>
          <w:szCs w:val="24"/>
        </w:rPr>
        <w:t>、投资</w:t>
      </w:r>
      <w:r>
        <w:rPr>
          <w:rFonts w:ascii="Arial Unicode MS" w:hAnsi="Arial Unicode MS" w:cs="Arial" w:hint="eastAsia"/>
          <w:kern w:val="0"/>
          <w:sz w:val="24"/>
          <w:szCs w:val="24"/>
        </w:rPr>
        <w:t>者</w:t>
      </w:r>
      <w:r>
        <w:rPr>
          <w:rFonts w:ascii="Arial Unicode MS" w:hAnsi="Arial Unicode MS" w:cs="Arial"/>
          <w:kern w:val="0"/>
          <w:sz w:val="24"/>
          <w:szCs w:val="24"/>
        </w:rPr>
        <w:t>可以多次申购本基金，申购费率按每笔申购申请单独计算。</w:t>
      </w:r>
    </w:p>
    <w:p w:rsidR="00572ECF" w:rsidRDefault="00915AEA">
      <w:pPr>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本基金</w:t>
      </w:r>
      <w:r>
        <w:rPr>
          <w:rFonts w:ascii="Arial Unicode MS" w:hAnsi="Arial Unicode MS" w:cs="Arial" w:hint="eastAsia"/>
          <w:kern w:val="0"/>
          <w:sz w:val="24"/>
          <w:szCs w:val="24"/>
        </w:rPr>
        <w:t>A</w:t>
      </w:r>
      <w:r>
        <w:rPr>
          <w:rFonts w:ascii="Arial Unicode MS" w:hAnsi="Arial Unicode MS" w:cs="Arial" w:hint="eastAsia"/>
          <w:kern w:val="0"/>
          <w:sz w:val="24"/>
          <w:szCs w:val="24"/>
        </w:rPr>
        <w:t>类基金份额在申购时收取申购费用，</w:t>
      </w:r>
      <w:r>
        <w:rPr>
          <w:rFonts w:ascii="Arial Unicode MS" w:hAnsi="Arial Unicode MS" w:cs="Arial" w:hint="eastAsia"/>
          <w:kern w:val="0"/>
          <w:sz w:val="24"/>
          <w:szCs w:val="24"/>
        </w:rPr>
        <w:t>C</w:t>
      </w:r>
      <w:r>
        <w:rPr>
          <w:rFonts w:ascii="Arial Unicode MS" w:hAnsi="Arial Unicode MS" w:cs="Arial" w:hint="eastAsia"/>
          <w:kern w:val="0"/>
          <w:sz w:val="24"/>
          <w:szCs w:val="24"/>
        </w:rPr>
        <w:t>类基金份额不收取申购费用。</w:t>
      </w:r>
      <w:r>
        <w:rPr>
          <w:rFonts w:ascii="Arial Unicode MS" w:hAnsi="Arial Unicode MS" w:cs="Arial" w:hint="eastAsia"/>
          <w:kern w:val="0"/>
          <w:sz w:val="24"/>
          <w:szCs w:val="24"/>
        </w:rPr>
        <w:t>A</w:t>
      </w:r>
      <w:r>
        <w:rPr>
          <w:rFonts w:ascii="Arial Unicode MS" w:hAnsi="Arial Unicode MS" w:cs="Arial" w:hint="eastAsia"/>
          <w:kern w:val="0"/>
          <w:sz w:val="24"/>
          <w:szCs w:val="24"/>
        </w:rPr>
        <w:t>类基金份额申</w:t>
      </w:r>
      <w:r>
        <w:rPr>
          <w:rFonts w:ascii="Arial Unicode MS" w:hAnsi="Arial Unicode MS" w:cs="Arial"/>
          <w:kern w:val="0"/>
          <w:sz w:val="24"/>
          <w:szCs w:val="24"/>
        </w:rPr>
        <w:t>购费率随</w:t>
      </w:r>
      <w:r>
        <w:rPr>
          <w:rFonts w:ascii="Arial Unicode MS" w:hAnsi="Arial Unicode MS" w:cs="Arial" w:hint="eastAsia"/>
          <w:kern w:val="0"/>
          <w:sz w:val="24"/>
          <w:szCs w:val="24"/>
        </w:rPr>
        <w:t>申</w:t>
      </w:r>
      <w:r>
        <w:rPr>
          <w:rFonts w:ascii="Arial Unicode MS" w:hAnsi="Arial Unicode MS" w:cs="Arial"/>
          <w:kern w:val="0"/>
          <w:sz w:val="24"/>
          <w:szCs w:val="24"/>
        </w:rPr>
        <w:t>购金额的增加而递减，如下表所</w:t>
      </w:r>
      <w:r>
        <w:rPr>
          <w:rFonts w:ascii="Arial Unicode MS" w:hAnsi="Arial Unicode MS" w:cs="Arial" w:hint="eastAsia"/>
          <w:kern w:val="0"/>
          <w:sz w:val="24"/>
          <w:szCs w:val="24"/>
        </w:rPr>
        <w:t>示：</w:t>
      </w:r>
    </w:p>
    <w:p w:rsidR="00572ECF" w:rsidRDefault="00572ECF">
      <w:pPr>
        <w:ind w:firstLineChars="200" w:firstLine="480"/>
        <w:rPr>
          <w:rFonts w:ascii="Arial Unicode MS" w:hAnsi="Arial Unicode MS" w:cs="Arial"/>
          <w:sz w:val="24"/>
          <w:szCs w:val="24"/>
        </w:rPr>
      </w:pPr>
    </w:p>
    <w:tbl>
      <w:tblPr>
        <w:tblW w:w="5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572ECF">
        <w:trPr>
          <w:trHeight w:val="190"/>
          <w:jc w:val="center"/>
        </w:trPr>
        <w:tc>
          <w:tcPr>
            <w:tcW w:w="2691" w:type="dxa"/>
            <w:shd w:val="clear" w:color="auto" w:fill="auto"/>
          </w:tcPr>
          <w:p w:rsidR="00572ECF" w:rsidRDefault="00915AEA">
            <w:pPr>
              <w:widowControl/>
              <w:spacing w:line="336" w:lineRule="auto"/>
              <w:jc w:val="center"/>
              <w:rPr>
                <w:rFonts w:ascii="Arial Unicode MS" w:hAnsi="Arial Unicode MS"/>
                <w:bCs/>
                <w:kern w:val="0"/>
                <w:sz w:val="24"/>
                <w:szCs w:val="24"/>
              </w:rPr>
            </w:pPr>
            <w:r>
              <w:rPr>
                <w:rFonts w:ascii="Arial Unicode MS" w:hAnsi="Arial Unicode MS" w:hint="eastAsia"/>
                <w:bCs/>
                <w:kern w:val="0"/>
                <w:sz w:val="24"/>
                <w:szCs w:val="24"/>
              </w:rPr>
              <w:t>申购金额（</w:t>
            </w:r>
            <w:r>
              <w:rPr>
                <w:rFonts w:ascii="Arial Unicode MS" w:hAnsi="Arial Unicode MS"/>
                <w:bCs/>
                <w:kern w:val="0"/>
                <w:sz w:val="24"/>
                <w:szCs w:val="24"/>
              </w:rPr>
              <w:t>M</w:t>
            </w:r>
            <w:r>
              <w:rPr>
                <w:rFonts w:ascii="Arial Unicode MS" w:hAnsi="Arial Unicode MS" w:hint="eastAsia"/>
                <w:bCs/>
                <w:kern w:val="0"/>
                <w:sz w:val="24"/>
                <w:szCs w:val="24"/>
              </w:rPr>
              <w:t>）</w:t>
            </w:r>
          </w:p>
        </w:tc>
        <w:tc>
          <w:tcPr>
            <w:tcW w:w="2916" w:type="dxa"/>
            <w:shd w:val="clear" w:color="auto" w:fill="auto"/>
          </w:tcPr>
          <w:p w:rsidR="00572ECF" w:rsidRDefault="00915AEA">
            <w:pPr>
              <w:widowControl/>
              <w:spacing w:line="336" w:lineRule="auto"/>
              <w:jc w:val="center"/>
              <w:rPr>
                <w:rFonts w:ascii="Arial Unicode MS" w:hAnsi="Arial Unicode MS"/>
                <w:bCs/>
                <w:kern w:val="0"/>
                <w:sz w:val="24"/>
                <w:szCs w:val="24"/>
              </w:rPr>
            </w:pPr>
            <w:r>
              <w:rPr>
                <w:rFonts w:ascii="Arial Unicode MS" w:hAnsi="Arial Unicode MS" w:cs="Arial" w:hint="eastAsia"/>
                <w:kern w:val="0"/>
                <w:sz w:val="24"/>
                <w:szCs w:val="24"/>
              </w:rPr>
              <w:t>A</w:t>
            </w:r>
            <w:r>
              <w:rPr>
                <w:rFonts w:ascii="Arial Unicode MS" w:hAnsi="Arial Unicode MS" w:cs="Arial" w:hint="eastAsia"/>
                <w:kern w:val="0"/>
                <w:sz w:val="24"/>
                <w:szCs w:val="24"/>
              </w:rPr>
              <w:t>类基金份额</w:t>
            </w:r>
            <w:r>
              <w:rPr>
                <w:rFonts w:ascii="Arial Unicode MS" w:hAnsi="Arial Unicode MS" w:hint="eastAsia"/>
                <w:bCs/>
                <w:kern w:val="0"/>
                <w:sz w:val="24"/>
                <w:szCs w:val="24"/>
              </w:rPr>
              <w:t>申购费率</w:t>
            </w:r>
          </w:p>
        </w:tc>
      </w:tr>
      <w:tr w:rsidR="00572ECF">
        <w:trPr>
          <w:trHeight w:val="190"/>
          <w:jc w:val="center"/>
        </w:trPr>
        <w:tc>
          <w:tcPr>
            <w:tcW w:w="2691" w:type="dxa"/>
            <w:shd w:val="clear" w:color="auto" w:fill="auto"/>
          </w:tcPr>
          <w:p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lastRenderedPageBreak/>
              <w:t>M</w:t>
            </w:r>
            <w:r>
              <w:rPr>
                <w:rFonts w:ascii="Arial Unicode MS" w:hAnsi="Arial Unicode MS" w:hint="eastAsia"/>
                <w:bCs/>
                <w:kern w:val="0"/>
                <w:sz w:val="24"/>
                <w:szCs w:val="24"/>
              </w:rPr>
              <w:t>＜</w:t>
            </w:r>
            <w:r>
              <w:rPr>
                <w:rFonts w:ascii="Arial Unicode MS" w:hAnsi="Arial Unicode MS"/>
                <w:bCs/>
                <w:kern w:val="0"/>
                <w:sz w:val="24"/>
                <w:szCs w:val="24"/>
              </w:rPr>
              <w:t>100</w:t>
            </w:r>
            <w:r>
              <w:rPr>
                <w:rFonts w:ascii="Arial Unicode MS" w:hAnsi="Arial Unicode MS" w:hint="eastAsia"/>
                <w:bCs/>
                <w:kern w:val="0"/>
                <w:sz w:val="24"/>
                <w:szCs w:val="24"/>
              </w:rPr>
              <w:t>万</w:t>
            </w:r>
          </w:p>
        </w:tc>
        <w:tc>
          <w:tcPr>
            <w:tcW w:w="2916" w:type="dxa"/>
            <w:shd w:val="clear" w:color="auto" w:fill="auto"/>
          </w:tcPr>
          <w:p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0.80%</w:t>
            </w:r>
          </w:p>
        </w:tc>
      </w:tr>
      <w:tr w:rsidR="00572ECF">
        <w:trPr>
          <w:trHeight w:val="190"/>
          <w:jc w:val="center"/>
        </w:trPr>
        <w:tc>
          <w:tcPr>
            <w:tcW w:w="2691" w:type="dxa"/>
            <w:shd w:val="clear" w:color="auto" w:fill="auto"/>
          </w:tcPr>
          <w:p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100</w:t>
            </w:r>
            <w:r>
              <w:rPr>
                <w:rFonts w:ascii="Arial Unicode MS" w:hAnsi="Arial Unicode MS" w:hint="eastAsia"/>
                <w:bCs/>
                <w:kern w:val="0"/>
                <w:sz w:val="24"/>
                <w:szCs w:val="24"/>
              </w:rPr>
              <w:t>万≤</w:t>
            </w:r>
            <w:r>
              <w:rPr>
                <w:rFonts w:ascii="Arial Unicode MS" w:hAnsi="Arial Unicode MS"/>
                <w:bCs/>
                <w:kern w:val="0"/>
                <w:sz w:val="24"/>
                <w:szCs w:val="24"/>
              </w:rPr>
              <w:t>M</w:t>
            </w:r>
            <w:r>
              <w:rPr>
                <w:rFonts w:ascii="Arial Unicode MS" w:hAnsi="Arial Unicode MS" w:hint="eastAsia"/>
                <w:bCs/>
                <w:kern w:val="0"/>
                <w:sz w:val="24"/>
                <w:szCs w:val="24"/>
              </w:rPr>
              <w:t>＜</w:t>
            </w:r>
            <w:r>
              <w:rPr>
                <w:rFonts w:ascii="Arial Unicode MS" w:hAnsi="Arial Unicode MS"/>
                <w:bCs/>
                <w:kern w:val="0"/>
                <w:sz w:val="24"/>
                <w:szCs w:val="24"/>
              </w:rPr>
              <w:t>300</w:t>
            </w:r>
            <w:r>
              <w:rPr>
                <w:rFonts w:ascii="Arial Unicode MS" w:hAnsi="Arial Unicode MS" w:hint="eastAsia"/>
                <w:bCs/>
                <w:kern w:val="0"/>
                <w:sz w:val="24"/>
                <w:szCs w:val="24"/>
              </w:rPr>
              <w:t>万</w:t>
            </w:r>
          </w:p>
        </w:tc>
        <w:tc>
          <w:tcPr>
            <w:tcW w:w="2916" w:type="dxa"/>
            <w:shd w:val="clear" w:color="auto" w:fill="auto"/>
          </w:tcPr>
          <w:p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0.50%</w:t>
            </w:r>
          </w:p>
        </w:tc>
      </w:tr>
      <w:tr w:rsidR="00572ECF">
        <w:trPr>
          <w:trHeight w:val="190"/>
          <w:jc w:val="center"/>
        </w:trPr>
        <w:tc>
          <w:tcPr>
            <w:tcW w:w="2691" w:type="dxa"/>
            <w:shd w:val="clear" w:color="auto" w:fill="auto"/>
          </w:tcPr>
          <w:p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300</w:t>
            </w:r>
            <w:r>
              <w:rPr>
                <w:rFonts w:ascii="Arial Unicode MS" w:hAnsi="Arial Unicode MS" w:hint="eastAsia"/>
                <w:bCs/>
                <w:kern w:val="0"/>
                <w:sz w:val="24"/>
                <w:szCs w:val="24"/>
              </w:rPr>
              <w:t>万≤</w:t>
            </w:r>
            <w:r>
              <w:rPr>
                <w:rFonts w:ascii="Arial Unicode MS" w:hAnsi="Arial Unicode MS"/>
                <w:bCs/>
                <w:kern w:val="0"/>
                <w:sz w:val="24"/>
                <w:szCs w:val="24"/>
              </w:rPr>
              <w:t>M</w:t>
            </w:r>
            <w:r>
              <w:rPr>
                <w:rFonts w:ascii="Arial Unicode MS" w:hAnsi="Arial Unicode MS" w:hint="eastAsia"/>
                <w:bCs/>
                <w:kern w:val="0"/>
                <w:sz w:val="24"/>
                <w:szCs w:val="24"/>
              </w:rPr>
              <w:t>＜</w:t>
            </w:r>
            <w:r>
              <w:rPr>
                <w:rFonts w:ascii="Arial Unicode MS" w:hAnsi="Arial Unicode MS"/>
                <w:bCs/>
                <w:kern w:val="0"/>
                <w:sz w:val="24"/>
                <w:szCs w:val="24"/>
              </w:rPr>
              <w:t>500</w:t>
            </w:r>
            <w:r>
              <w:rPr>
                <w:rFonts w:ascii="Arial Unicode MS" w:hAnsi="Arial Unicode MS" w:hint="eastAsia"/>
                <w:bCs/>
                <w:kern w:val="0"/>
                <w:sz w:val="24"/>
                <w:szCs w:val="24"/>
              </w:rPr>
              <w:t>万</w:t>
            </w:r>
          </w:p>
        </w:tc>
        <w:tc>
          <w:tcPr>
            <w:tcW w:w="2916" w:type="dxa"/>
            <w:shd w:val="clear" w:color="auto" w:fill="auto"/>
          </w:tcPr>
          <w:p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0.30%</w:t>
            </w:r>
          </w:p>
        </w:tc>
      </w:tr>
      <w:tr w:rsidR="00572ECF">
        <w:trPr>
          <w:trHeight w:val="190"/>
          <w:jc w:val="center"/>
        </w:trPr>
        <w:tc>
          <w:tcPr>
            <w:tcW w:w="2691" w:type="dxa"/>
            <w:shd w:val="clear" w:color="auto" w:fill="auto"/>
          </w:tcPr>
          <w:p w:rsidR="00572ECF" w:rsidRDefault="00915AEA">
            <w:pPr>
              <w:widowControl/>
              <w:spacing w:line="336" w:lineRule="auto"/>
              <w:jc w:val="center"/>
              <w:rPr>
                <w:rFonts w:ascii="Arial Unicode MS" w:hAnsi="Arial Unicode MS"/>
                <w:bCs/>
                <w:kern w:val="0"/>
                <w:sz w:val="24"/>
                <w:szCs w:val="24"/>
              </w:rPr>
            </w:pPr>
            <w:r>
              <w:rPr>
                <w:rFonts w:ascii="Arial Unicode MS" w:hAnsi="Arial Unicode MS"/>
                <w:bCs/>
                <w:kern w:val="0"/>
                <w:sz w:val="24"/>
                <w:szCs w:val="24"/>
              </w:rPr>
              <w:t>M</w:t>
            </w:r>
            <w:r>
              <w:rPr>
                <w:rFonts w:ascii="Arial Unicode MS" w:hAnsi="Arial Unicode MS" w:hint="eastAsia"/>
                <w:bCs/>
                <w:kern w:val="0"/>
                <w:sz w:val="24"/>
                <w:szCs w:val="24"/>
              </w:rPr>
              <w:t>≥</w:t>
            </w:r>
            <w:r>
              <w:rPr>
                <w:rFonts w:ascii="Arial Unicode MS" w:hAnsi="Arial Unicode MS"/>
                <w:bCs/>
                <w:kern w:val="0"/>
                <w:sz w:val="24"/>
                <w:szCs w:val="24"/>
              </w:rPr>
              <w:t>500</w:t>
            </w:r>
            <w:r>
              <w:rPr>
                <w:rFonts w:ascii="Arial Unicode MS" w:hAnsi="Arial Unicode MS" w:hint="eastAsia"/>
                <w:bCs/>
                <w:kern w:val="0"/>
                <w:sz w:val="24"/>
                <w:szCs w:val="24"/>
              </w:rPr>
              <w:t>万</w:t>
            </w:r>
          </w:p>
        </w:tc>
        <w:tc>
          <w:tcPr>
            <w:tcW w:w="2916" w:type="dxa"/>
            <w:shd w:val="clear" w:color="auto" w:fill="auto"/>
          </w:tcPr>
          <w:p w:rsidR="00572ECF" w:rsidRDefault="00915AEA">
            <w:pPr>
              <w:widowControl/>
              <w:spacing w:line="336" w:lineRule="auto"/>
              <w:jc w:val="center"/>
              <w:rPr>
                <w:rFonts w:ascii="Arial Unicode MS" w:hAnsi="Arial Unicode MS"/>
                <w:bCs/>
                <w:kern w:val="0"/>
                <w:sz w:val="24"/>
                <w:szCs w:val="24"/>
              </w:rPr>
            </w:pPr>
            <w:r>
              <w:rPr>
                <w:rFonts w:ascii="Arial Unicode MS" w:hAnsi="Arial Unicode MS" w:hint="eastAsia"/>
                <w:bCs/>
                <w:kern w:val="0"/>
                <w:sz w:val="24"/>
                <w:szCs w:val="24"/>
              </w:rPr>
              <w:t>每笔</w:t>
            </w:r>
            <w:r>
              <w:rPr>
                <w:rFonts w:ascii="Arial Unicode MS" w:hAnsi="Arial Unicode MS"/>
                <w:bCs/>
                <w:kern w:val="0"/>
                <w:sz w:val="24"/>
                <w:szCs w:val="24"/>
              </w:rPr>
              <w:t>1000</w:t>
            </w:r>
            <w:r>
              <w:rPr>
                <w:rFonts w:ascii="Arial Unicode MS" w:hAnsi="Arial Unicode MS" w:hint="eastAsia"/>
                <w:bCs/>
                <w:kern w:val="0"/>
                <w:sz w:val="24"/>
                <w:szCs w:val="24"/>
              </w:rPr>
              <w:t>元</w:t>
            </w:r>
          </w:p>
        </w:tc>
      </w:tr>
    </w:tbl>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本基金的申购费用由申购本基金</w:t>
      </w:r>
      <w:r>
        <w:rPr>
          <w:rFonts w:ascii="Arial Unicode MS" w:hAnsi="Arial Unicode MS" w:cs="Arial"/>
          <w:kern w:val="0"/>
          <w:sz w:val="24"/>
          <w:szCs w:val="24"/>
        </w:rPr>
        <w:t>A</w:t>
      </w:r>
      <w:r>
        <w:rPr>
          <w:rFonts w:ascii="Arial Unicode MS" w:hAnsi="Arial Unicode MS" w:cs="Arial" w:hint="eastAsia"/>
          <w:kern w:val="0"/>
          <w:sz w:val="24"/>
          <w:szCs w:val="24"/>
        </w:rPr>
        <w:t>类基金份额的投资人承担，主要用于本基金的市场推广、销售、登记等各项费用，不列入基金财产。</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、赎回费率见下表：</w:t>
      </w:r>
    </w:p>
    <w:tbl>
      <w:tblPr>
        <w:tblW w:w="69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10"/>
        <w:gridCol w:w="2115"/>
        <w:gridCol w:w="2115"/>
      </w:tblGrid>
      <w:tr w:rsidR="00572ECF">
        <w:trPr>
          <w:trHeight w:val="670"/>
          <w:jc w:val="center"/>
        </w:trPr>
        <w:tc>
          <w:tcPr>
            <w:tcW w:w="2710" w:type="dxa"/>
            <w:vAlign w:val="center"/>
          </w:tcPr>
          <w:p w:rsidR="00572ECF" w:rsidRDefault="00915AEA">
            <w:pPr>
              <w:adjustRightInd w:val="0"/>
              <w:snapToGrid w:val="0"/>
              <w:jc w:val="center"/>
              <w:rPr>
                <w:rFonts w:ascii="Arial" w:hAnsi="Arial" w:cs="Arial"/>
                <w:sz w:val="24"/>
                <w:szCs w:val="24"/>
              </w:rPr>
            </w:pPr>
            <w:r>
              <w:rPr>
                <w:rFonts w:ascii="Arial" w:hAnsi="Arial" w:cs="Arial" w:hint="eastAsia"/>
                <w:sz w:val="24"/>
                <w:szCs w:val="24"/>
              </w:rPr>
              <w:t>持有期限（</w:t>
            </w:r>
            <w:r>
              <w:rPr>
                <w:rFonts w:ascii="Arial" w:hAnsi="Arial" w:cs="Arial"/>
                <w:sz w:val="24"/>
                <w:szCs w:val="24"/>
              </w:rPr>
              <w:t>Y</w:t>
            </w:r>
            <w:r>
              <w:rPr>
                <w:rFonts w:ascii="Arial" w:hAnsi="Arial" w:cs="Arial" w:hint="eastAsia"/>
                <w:sz w:val="24"/>
                <w:szCs w:val="24"/>
              </w:rPr>
              <w:t>）</w:t>
            </w:r>
          </w:p>
        </w:tc>
        <w:tc>
          <w:tcPr>
            <w:tcW w:w="2115" w:type="dxa"/>
            <w:vAlign w:val="center"/>
          </w:tcPr>
          <w:p w:rsidR="00572ECF" w:rsidRDefault="00915AEA">
            <w:pPr>
              <w:adjustRightInd w:val="0"/>
              <w:snapToGrid w:val="0"/>
              <w:jc w:val="center"/>
              <w:rPr>
                <w:rFonts w:ascii="Arial" w:hAnsi="Arial" w:cs="Arial"/>
                <w:sz w:val="24"/>
                <w:szCs w:val="24"/>
              </w:rPr>
            </w:pPr>
            <w:r>
              <w:rPr>
                <w:rFonts w:ascii="Arial" w:hAnsi="Arial" w:cs="Arial"/>
                <w:sz w:val="24"/>
                <w:szCs w:val="24"/>
              </w:rPr>
              <w:t>A</w:t>
            </w:r>
            <w:r>
              <w:rPr>
                <w:rFonts w:ascii="Arial" w:hAnsi="Arial" w:cs="Arial" w:hint="eastAsia"/>
                <w:sz w:val="24"/>
                <w:szCs w:val="24"/>
              </w:rPr>
              <w:t>类基金份额赎回费率</w:t>
            </w:r>
          </w:p>
        </w:tc>
        <w:tc>
          <w:tcPr>
            <w:tcW w:w="2115" w:type="dxa"/>
          </w:tcPr>
          <w:p w:rsidR="00572ECF" w:rsidRDefault="00915AEA">
            <w:pPr>
              <w:adjustRightInd w:val="0"/>
              <w:snapToGrid w:val="0"/>
              <w:jc w:val="center"/>
              <w:rPr>
                <w:rFonts w:ascii="Arial" w:hAnsi="Arial" w:cs="Arial"/>
                <w:sz w:val="24"/>
                <w:szCs w:val="24"/>
              </w:rPr>
            </w:pPr>
            <w:r>
              <w:rPr>
                <w:rFonts w:ascii="Arial" w:hAnsi="Arial" w:cs="Arial"/>
                <w:sz w:val="24"/>
                <w:szCs w:val="24"/>
              </w:rPr>
              <w:t>C</w:t>
            </w:r>
            <w:r>
              <w:rPr>
                <w:rFonts w:ascii="Arial" w:hAnsi="Arial" w:cs="Arial" w:hint="eastAsia"/>
                <w:sz w:val="24"/>
                <w:szCs w:val="24"/>
              </w:rPr>
              <w:t>类基金份额赎回费</w:t>
            </w:r>
          </w:p>
        </w:tc>
      </w:tr>
      <w:tr w:rsidR="00572ECF">
        <w:trPr>
          <w:trHeight w:val="394"/>
          <w:jc w:val="center"/>
        </w:trPr>
        <w:tc>
          <w:tcPr>
            <w:tcW w:w="2710" w:type="dxa"/>
            <w:vAlign w:val="center"/>
          </w:tcPr>
          <w:p w:rsidR="00572ECF" w:rsidRDefault="00915AEA">
            <w:pPr>
              <w:adjustRightInd w:val="0"/>
              <w:snapToGrid w:val="0"/>
              <w:jc w:val="center"/>
              <w:rPr>
                <w:rFonts w:ascii="Arial" w:hAnsi="Arial" w:cs="Arial"/>
                <w:sz w:val="24"/>
                <w:szCs w:val="24"/>
              </w:rPr>
            </w:pPr>
            <w:r>
              <w:rPr>
                <w:rFonts w:ascii="Arial" w:hAnsi="Arial" w:cs="Arial" w:hint="eastAsia"/>
                <w:sz w:val="24"/>
                <w:szCs w:val="24"/>
              </w:rPr>
              <w:t>Y</w:t>
            </w:r>
            <w:r>
              <w:rPr>
                <w:rFonts w:ascii="Arial" w:hAnsi="Arial" w:cs="Arial" w:hint="eastAsia"/>
                <w:sz w:val="24"/>
                <w:szCs w:val="24"/>
              </w:rPr>
              <w:t>＜</w:t>
            </w:r>
            <w:r>
              <w:rPr>
                <w:rFonts w:ascii="Arial" w:hAnsi="Arial" w:cs="Arial" w:hint="eastAsia"/>
                <w:sz w:val="24"/>
                <w:szCs w:val="24"/>
              </w:rPr>
              <w:t>7</w:t>
            </w:r>
            <w:r>
              <w:rPr>
                <w:rFonts w:ascii="Arial" w:hAnsi="Arial" w:cs="Arial" w:hint="eastAsia"/>
                <w:sz w:val="24"/>
                <w:szCs w:val="24"/>
              </w:rPr>
              <w:t>日</w:t>
            </w:r>
          </w:p>
        </w:tc>
        <w:tc>
          <w:tcPr>
            <w:tcW w:w="2115" w:type="dxa"/>
            <w:vAlign w:val="center"/>
          </w:tcPr>
          <w:p w:rsidR="00572ECF" w:rsidRDefault="00915AEA">
            <w:pPr>
              <w:adjustRightInd w:val="0"/>
              <w:snapToGrid w:val="0"/>
              <w:jc w:val="center"/>
              <w:rPr>
                <w:rFonts w:ascii="Arial" w:hAnsi="Arial" w:cs="Arial"/>
                <w:sz w:val="24"/>
                <w:szCs w:val="24"/>
              </w:rPr>
            </w:pPr>
            <w:r>
              <w:rPr>
                <w:rFonts w:ascii="Arial" w:hAnsi="Arial" w:cs="Arial"/>
                <w:sz w:val="24"/>
                <w:szCs w:val="24"/>
              </w:rPr>
              <w:t>1.50%</w:t>
            </w:r>
          </w:p>
        </w:tc>
        <w:tc>
          <w:tcPr>
            <w:tcW w:w="2115" w:type="dxa"/>
            <w:vAlign w:val="center"/>
          </w:tcPr>
          <w:p w:rsidR="00572ECF" w:rsidRDefault="00915AEA">
            <w:pPr>
              <w:adjustRightInd w:val="0"/>
              <w:snapToGrid w:val="0"/>
              <w:jc w:val="center"/>
              <w:rPr>
                <w:rFonts w:ascii="Arial" w:hAnsi="Arial" w:cs="Arial"/>
                <w:sz w:val="24"/>
                <w:szCs w:val="24"/>
              </w:rPr>
            </w:pPr>
            <w:r>
              <w:rPr>
                <w:rFonts w:ascii="Arial" w:hAnsi="Arial" w:cs="Arial"/>
                <w:sz w:val="24"/>
                <w:szCs w:val="24"/>
              </w:rPr>
              <w:t>1.50%</w:t>
            </w:r>
          </w:p>
        </w:tc>
      </w:tr>
      <w:tr w:rsidR="00572ECF">
        <w:trPr>
          <w:trHeight w:val="394"/>
          <w:jc w:val="center"/>
        </w:trPr>
        <w:tc>
          <w:tcPr>
            <w:tcW w:w="2710" w:type="dxa"/>
            <w:vAlign w:val="center"/>
          </w:tcPr>
          <w:p w:rsidR="00572ECF" w:rsidRDefault="00915AEA">
            <w:pPr>
              <w:adjustRightInd w:val="0"/>
              <w:snapToGrid w:val="0"/>
              <w:jc w:val="center"/>
              <w:rPr>
                <w:rFonts w:ascii="Arial" w:hAnsi="Arial" w:cs="Arial"/>
                <w:sz w:val="24"/>
                <w:szCs w:val="24"/>
              </w:rPr>
            </w:pPr>
            <w:r>
              <w:rPr>
                <w:rFonts w:ascii="Arial" w:hAnsi="Arial" w:cs="Arial" w:hint="eastAsia"/>
                <w:sz w:val="24"/>
                <w:szCs w:val="24"/>
              </w:rPr>
              <w:t>7</w:t>
            </w:r>
            <w:r>
              <w:rPr>
                <w:rFonts w:ascii="Arial" w:hAnsi="Arial" w:cs="Arial" w:hint="eastAsia"/>
                <w:sz w:val="24"/>
                <w:szCs w:val="24"/>
              </w:rPr>
              <w:t>日</w:t>
            </w:r>
            <w:r>
              <w:rPr>
                <w:rFonts w:ascii="Arial" w:hAnsi="Arial" w:cs="Arial" w:hint="eastAsia"/>
                <w:sz w:val="24"/>
                <w:szCs w:val="24"/>
              </w:rPr>
              <w:t xml:space="preserve"> </w:t>
            </w:r>
            <w:r>
              <w:rPr>
                <w:rFonts w:ascii="Arial" w:hAnsi="Arial" w:cs="Arial" w:hint="eastAsia"/>
                <w:sz w:val="24"/>
                <w:szCs w:val="24"/>
              </w:rPr>
              <w:t>≤</w:t>
            </w:r>
            <w:r>
              <w:rPr>
                <w:rFonts w:ascii="Arial" w:hAnsi="Arial" w:cs="Arial"/>
                <w:sz w:val="24"/>
                <w:szCs w:val="24"/>
              </w:rPr>
              <w:t>Y</w:t>
            </w:r>
            <w:r>
              <w:rPr>
                <w:rFonts w:ascii="Arial" w:hAnsi="Arial" w:cs="Arial" w:hint="eastAsia"/>
                <w:sz w:val="24"/>
                <w:szCs w:val="24"/>
              </w:rPr>
              <w:t>＜</w:t>
            </w:r>
            <w:r>
              <w:rPr>
                <w:rFonts w:ascii="Arial" w:hAnsi="Arial" w:cs="Arial"/>
                <w:sz w:val="24"/>
                <w:szCs w:val="24"/>
              </w:rPr>
              <w:t>30</w:t>
            </w:r>
            <w:r>
              <w:rPr>
                <w:rFonts w:ascii="Arial" w:hAnsi="Arial" w:cs="Arial" w:hint="eastAsia"/>
                <w:sz w:val="24"/>
                <w:szCs w:val="24"/>
              </w:rPr>
              <w:t>日</w:t>
            </w:r>
          </w:p>
        </w:tc>
        <w:tc>
          <w:tcPr>
            <w:tcW w:w="2115" w:type="dxa"/>
            <w:vAlign w:val="center"/>
          </w:tcPr>
          <w:p w:rsidR="00572ECF" w:rsidRDefault="00915AEA">
            <w:pPr>
              <w:adjustRightInd w:val="0"/>
              <w:snapToGrid w:val="0"/>
              <w:jc w:val="center"/>
              <w:rPr>
                <w:rFonts w:ascii="Arial" w:hAnsi="Arial" w:cs="Arial"/>
                <w:sz w:val="24"/>
                <w:szCs w:val="24"/>
              </w:rPr>
            </w:pPr>
            <w:r>
              <w:rPr>
                <w:rFonts w:ascii="Arial" w:hAnsi="Arial" w:cs="Arial"/>
                <w:sz w:val="24"/>
                <w:szCs w:val="24"/>
              </w:rPr>
              <w:t>0.75%</w:t>
            </w:r>
          </w:p>
        </w:tc>
        <w:tc>
          <w:tcPr>
            <w:tcW w:w="2115" w:type="dxa"/>
            <w:vAlign w:val="center"/>
          </w:tcPr>
          <w:p w:rsidR="00572ECF" w:rsidRDefault="00915AEA">
            <w:pPr>
              <w:adjustRightInd w:val="0"/>
              <w:snapToGrid w:val="0"/>
              <w:jc w:val="center"/>
              <w:rPr>
                <w:rFonts w:ascii="Arial" w:hAnsi="Arial" w:cs="Arial"/>
                <w:sz w:val="24"/>
                <w:szCs w:val="24"/>
              </w:rPr>
            </w:pPr>
            <w:r>
              <w:rPr>
                <w:rFonts w:ascii="Arial" w:hAnsi="Arial" w:cs="Arial"/>
                <w:sz w:val="24"/>
                <w:szCs w:val="24"/>
              </w:rPr>
              <w:t>0.50%</w:t>
            </w:r>
          </w:p>
        </w:tc>
      </w:tr>
      <w:tr w:rsidR="00572ECF">
        <w:trPr>
          <w:trHeight w:val="394"/>
          <w:jc w:val="center"/>
        </w:trPr>
        <w:tc>
          <w:tcPr>
            <w:tcW w:w="2710" w:type="dxa"/>
            <w:vAlign w:val="center"/>
          </w:tcPr>
          <w:p w:rsidR="00572ECF" w:rsidRDefault="00915AEA">
            <w:pPr>
              <w:adjustRightInd w:val="0"/>
              <w:snapToGrid w:val="0"/>
              <w:jc w:val="center"/>
              <w:rPr>
                <w:rFonts w:ascii="Arial" w:hAnsi="Arial" w:cs="Arial"/>
                <w:sz w:val="24"/>
                <w:szCs w:val="24"/>
              </w:rPr>
            </w:pPr>
            <w:r>
              <w:rPr>
                <w:rFonts w:ascii="Arial" w:hAnsi="Arial" w:cs="Arial"/>
                <w:sz w:val="24"/>
                <w:szCs w:val="24"/>
              </w:rPr>
              <w:t>30</w:t>
            </w:r>
            <w:r>
              <w:rPr>
                <w:rFonts w:ascii="Arial" w:hAnsi="Arial" w:cs="Arial" w:hint="eastAsia"/>
                <w:sz w:val="24"/>
                <w:szCs w:val="24"/>
              </w:rPr>
              <w:t>日≤</w:t>
            </w:r>
            <w:r>
              <w:rPr>
                <w:rFonts w:ascii="Arial" w:hAnsi="Arial" w:cs="Arial"/>
                <w:sz w:val="24"/>
                <w:szCs w:val="24"/>
              </w:rPr>
              <w:t xml:space="preserve"> Y&lt;6</w:t>
            </w:r>
            <w:r>
              <w:rPr>
                <w:rFonts w:ascii="Arial" w:hAnsi="Arial" w:cs="Arial" w:hint="eastAsia"/>
                <w:sz w:val="24"/>
                <w:szCs w:val="24"/>
              </w:rPr>
              <w:t>个月</w:t>
            </w:r>
          </w:p>
        </w:tc>
        <w:tc>
          <w:tcPr>
            <w:tcW w:w="2115" w:type="dxa"/>
            <w:vAlign w:val="center"/>
          </w:tcPr>
          <w:p w:rsidR="00572ECF" w:rsidRDefault="00915AEA">
            <w:pPr>
              <w:adjustRightInd w:val="0"/>
              <w:snapToGrid w:val="0"/>
              <w:jc w:val="center"/>
              <w:rPr>
                <w:rFonts w:ascii="Arial" w:hAnsi="Arial" w:cs="Arial"/>
                <w:sz w:val="24"/>
                <w:szCs w:val="24"/>
              </w:rPr>
            </w:pPr>
            <w:r>
              <w:rPr>
                <w:rFonts w:ascii="Arial" w:hAnsi="Arial" w:cs="Arial"/>
                <w:sz w:val="24"/>
                <w:szCs w:val="24"/>
              </w:rPr>
              <w:t>0.50%</w:t>
            </w:r>
          </w:p>
        </w:tc>
        <w:tc>
          <w:tcPr>
            <w:tcW w:w="2115" w:type="dxa"/>
            <w:vAlign w:val="center"/>
          </w:tcPr>
          <w:p w:rsidR="00572ECF" w:rsidRDefault="00915AEA">
            <w:pPr>
              <w:adjustRightInd w:val="0"/>
              <w:snapToGrid w:val="0"/>
              <w:jc w:val="center"/>
              <w:rPr>
                <w:rFonts w:ascii="Arial" w:hAnsi="Arial" w:cs="Arial"/>
                <w:sz w:val="24"/>
                <w:szCs w:val="24"/>
              </w:rPr>
            </w:pPr>
            <w:r>
              <w:rPr>
                <w:rFonts w:ascii="Arial" w:hAnsi="Arial" w:cs="Arial"/>
                <w:sz w:val="24"/>
                <w:szCs w:val="24"/>
              </w:rPr>
              <w:t>0</w:t>
            </w:r>
          </w:p>
        </w:tc>
      </w:tr>
      <w:tr w:rsidR="00572ECF">
        <w:trPr>
          <w:trHeight w:val="421"/>
          <w:jc w:val="center"/>
        </w:trPr>
        <w:tc>
          <w:tcPr>
            <w:tcW w:w="2710" w:type="dxa"/>
            <w:vAlign w:val="center"/>
          </w:tcPr>
          <w:p w:rsidR="00572ECF" w:rsidRDefault="00915AEA">
            <w:pPr>
              <w:adjustRightInd w:val="0"/>
              <w:snapToGrid w:val="0"/>
              <w:jc w:val="center"/>
              <w:rPr>
                <w:rFonts w:ascii="Arial" w:hAnsi="Arial" w:cs="Arial"/>
                <w:sz w:val="24"/>
                <w:szCs w:val="24"/>
              </w:rPr>
            </w:pPr>
            <w:r>
              <w:rPr>
                <w:rFonts w:ascii="Arial" w:hAnsi="Arial" w:cs="Arial"/>
                <w:sz w:val="24"/>
                <w:szCs w:val="24"/>
              </w:rPr>
              <w:t>Y</w:t>
            </w:r>
            <w:r>
              <w:rPr>
                <w:rFonts w:ascii="Arial" w:hAnsi="Arial" w:cs="Arial" w:hint="eastAsia"/>
                <w:sz w:val="24"/>
                <w:szCs w:val="24"/>
              </w:rPr>
              <w:t>≥</w:t>
            </w:r>
            <w:r>
              <w:rPr>
                <w:rFonts w:ascii="Arial" w:hAnsi="Arial" w:cs="Arial"/>
                <w:sz w:val="24"/>
                <w:szCs w:val="24"/>
              </w:rPr>
              <w:t xml:space="preserve"> 6</w:t>
            </w:r>
            <w:r>
              <w:rPr>
                <w:rFonts w:ascii="Arial" w:hAnsi="Arial" w:cs="Arial" w:hint="eastAsia"/>
                <w:sz w:val="24"/>
                <w:szCs w:val="24"/>
              </w:rPr>
              <w:t>个月</w:t>
            </w:r>
          </w:p>
        </w:tc>
        <w:tc>
          <w:tcPr>
            <w:tcW w:w="2115" w:type="dxa"/>
            <w:vAlign w:val="center"/>
          </w:tcPr>
          <w:p w:rsidR="00572ECF" w:rsidRDefault="00915AEA">
            <w:pPr>
              <w:adjustRightInd w:val="0"/>
              <w:snapToGrid w:val="0"/>
              <w:jc w:val="center"/>
              <w:rPr>
                <w:rFonts w:ascii="Arial" w:hAnsi="Arial" w:cs="Arial"/>
                <w:sz w:val="24"/>
                <w:szCs w:val="24"/>
              </w:rPr>
            </w:pPr>
            <w:r>
              <w:rPr>
                <w:rFonts w:ascii="Arial" w:hAnsi="Arial" w:cs="Arial"/>
                <w:sz w:val="24"/>
                <w:szCs w:val="24"/>
              </w:rPr>
              <w:t>0</w:t>
            </w:r>
          </w:p>
        </w:tc>
        <w:tc>
          <w:tcPr>
            <w:tcW w:w="2115" w:type="dxa"/>
            <w:vAlign w:val="center"/>
          </w:tcPr>
          <w:p w:rsidR="00572ECF" w:rsidRDefault="00915AEA">
            <w:pPr>
              <w:adjustRightInd w:val="0"/>
              <w:snapToGrid w:val="0"/>
              <w:jc w:val="center"/>
              <w:rPr>
                <w:rFonts w:ascii="Arial" w:hAnsi="Arial" w:cs="Arial"/>
                <w:sz w:val="24"/>
                <w:szCs w:val="24"/>
              </w:rPr>
            </w:pPr>
            <w:r>
              <w:rPr>
                <w:rFonts w:ascii="Arial" w:hAnsi="Arial" w:cs="Arial"/>
                <w:sz w:val="24"/>
                <w:szCs w:val="24"/>
              </w:rPr>
              <w:t>0</w:t>
            </w:r>
          </w:p>
        </w:tc>
      </w:tr>
    </w:tbl>
    <w:p w:rsidR="00572ECF" w:rsidRDefault="00915AEA">
      <w:pPr>
        <w:pStyle w:val="a5"/>
        <w:autoSpaceDE w:val="0"/>
        <w:autoSpaceDN w:val="0"/>
        <w:adjustRightInd w:val="0"/>
        <w:snapToGrid w:val="0"/>
        <w:spacing w:line="360" w:lineRule="auto"/>
        <w:ind w:firstLineChars="200" w:firstLine="512"/>
        <w:jc w:val="left"/>
        <w:rPr>
          <w:rFonts w:ascii="Arial" w:hAnsi="Arial"/>
          <w:spacing w:val="8"/>
          <w:sz w:val="24"/>
          <w:szCs w:val="24"/>
        </w:rPr>
      </w:pPr>
      <w:r>
        <w:rPr>
          <w:rFonts w:ascii="Arial" w:hAnsi="Arial" w:hint="eastAsia"/>
          <w:spacing w:val="8"/>
          <w:sz w:val="24"/>
          <w:szCs w:val="24"/>
        </w:rPr>
        <w:t>本基金的赎回费用由赎回基金份额的基金份额持有人承担，在基金份额持有人赎回基金份额时收取。本基金对持续持有期少于</w:t>
      </w:r>
      <w:r>
        <w:rPr>
          <w:rFonts w:ascii="Arial" w:hAnsi="Arial" w:hint="eastAsia"/>
          <w:spacing w:val="8"/>
          <w:sz w:val="24"/>
          <w:szCs w:val="24"/>
        </w:rPr>
        <w:t>7</w:t>
      </w:r>
      <w:r>
        <w:rPr>
          <w:rFonts w:ascii="Arial" w:hAnsi="Arial" w:hint="eastAsia"/>
          <w:spacing w:val="8"/>
          <w:sz w:val="24"/>
          <w:szCs w:val="24"/>
        </w:rPr>
        <w:t>日的投资人收取的赎回费全额计入基金财产，大于等于</w:t>
      </w:r>
      <w:r>
        <w:rPr>
          <w:rFonts w:ascii="Arial" w:hAnsi="Arial" w:hint="eastAsia"/>
          <w:spacing w:val="8"/>
          <w:sz w:val="24"/>
          <w:szCs w:val="24"/>
        </w:rPr>
        <w:t>7</w:t>
      </w:r>
      <w:r>
        <w:rPr>
          <w:rFonts w:ascii="Arial" w:hAnsi="Arial" w:hint="eastAsia"/>
          <w:spacing w:val="8"/>
          <w:sz w:val="24"/>
          <w:szCs w:val="24"/>
        </w:rPr>
        <w:t>日的将不低于赎回费总额的</w:t>
      </w:r>
      <w:r>
        <w:rPr>
          <w:rFonts w:ascii="Arial" w:hAnsi="Arial"/>
          <w:spacing w:val="8"/>
          <w:sz w:val="24"/>
          <w:szCs w:val="24"/>
        </w:rPr>
        <w:t>25%</w:t>
      </w:r>
      <w:r>
        <w:rPr>
          <w:rFonts w:ascii="Arial" w:hAnsi="Arial" w:hint="eastAsia"/>
          <w:spacing w:val="8"/>
          <w:sz w:val="24"/>
          <w:szCs w:val="24"/>
        </w:rPr>
        <w:t>计入基金财产，其余用于支付登记费和其他必要的手续费。</w:t>
      </w:r>
    </w:p>
    <w:p w:rsidR="00572ECF" w:rsidRDefault="00915AEA">
      <w:pPr>
        <w:adjustRightInd w:val="0"/>
        <w:snapToGrid w:val="0"/>
        <w:spacing w:line="360" w:lineRule="auto"/>
        <w:ind w:firstLineChars="200" w:firstLine="480"/>
        <w:jc w:val="left"/>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w:t>
      </w:r>
      <w:r>
        <w:rPr>
          <w:rFonts w:ascii="Arial Unicode MS" w:hAnsi="Arial Unicode MS" w:cs="Arial" w:hint="eastAsia"/>
          <w:bCs/>
          <w:kern w:val="0"/>
          <w:sz w:val="24"/>
          <w:szCs w:val="24"/>
        </w:rPr>
        <w:t>基金管理人可以在基金合同约定的范围内调整费率或收费方式，并最迟应于新的费率或收费方式实施日前依照《信息披露办法》的有关规定在指定媒介上公告。</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spacing w:val="8"/>
          <w:sz w:val="24"/>
          <w:szCs w:val="24"/>
        </w:rPr>
        <w:t>4</w:t>
      </w:r>
      <w:r>
        <w:rPr>
          <w:rFonts w:ascii="Arial" w:hAnsi="Arial" w:hint="eastAsia"/>
          <w:spacing w:val="8"/>
          <w:sz w:val="24"/>
          <w:szCs w:val="24"/>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w:t>
      </w:r>
    </w:p>
    <w:p w:rsidR="00572ECF" w:rsidRDefault="00915AEA">
      <w:pPr>
        <w:tabs>
          <w:tab w:val="left" w:pos="1110"/>
        </w:tabs>
        <w:adjustRightInd w:val="0"/>
        <w:snapToGrid w:val="0"/>
        <w:spacing w:line="360" w:lineRule="auto"/>
        <w:ind w:firstLineChars="200" w:firstLine="482"/>
        <w:rPr>
          <w:rFonts w:ascii="Arial Unicode MS" w:hAnsi="Arial Unicode MS" w:cs="Arial"/>
          <w:b/>
          <w:bCs/>
          <w:sz w:val="24"/>
          <w:szCs w:val="24"/>
        </w:rPr>
      </w:pPr>
      <w:r>
        <w:rPr>
          <w:rFonts w:ascii="Arial Unicode MS" w:hAnsi="Arial Unicode MS" w:cs="Arial" w:hint="eastAsia"/>
          <w:b/>
          <w:bCs/>
          <w:sz w:val="24"/>
          <w:szCs w:val="24"/>
        </w:rPr>
        <w:t>七、申购份额与赎回金额的计算方式</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spacing w:val="8"/>
          <w:sz w:val="24"/>
          <w:szCs w:val="24"/>
        </w:rPr>
        <w:t>1</w:t>
      </w:r>
      <w:r>
        <w:rPr>
          <w:rFonts w:ascii="Arial" w:hAnsi="Arial" w:hint="eastAsia"/>
          <w:spacing w:val="8"/>
          <w:sz w:val="24"/>
          <w:szCs w:val="24"/>
        </w:rPr>
        <w:t>、本基金申购份额的计算方式</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w:t>
      </w:r>
      <w:r>
        <w:rPr>
          <w:rFonts w:ascii="Arial" w:hAnsi="Arial"/>
          <w:spacing w:val="8"/>
          <w:sz w:val="24"/>
          <w:szCs w:val="24"/>
        </w:rPr>
        <w:t>1</w:t>
      </w:r>
      <w:r>
        <w:rPr>
          <w:rFonts w:ascii="Arial" w:hAnsi="Arial" w:hint="eastAsia"/>
          <w:spacing w:val="8"/>
          <w:sz w:val="24"/>
          <w:szCs w:val="24"/>
        </w:rPr>
        <w:t>）</w:t>
      </w:r>
      <w:r>
        <w:rPr>
          <w:rFonts w:ascii="Arial" w:hAnsi="Arial"/>
          <w:spacing w:val="8"/>
          <w:sz w:val="24"/>
          <w:szCs w:val="24"/>
        </w:rPr>
        <w:t>A</w:t>
      </w:r>
      <w:r>
        <w:rPr>
          <w:rFonts w:ascii="Arial" w:hAnsi="Arial" w:hint="eastAsia"/>
          <w:spacing w:val="8"/>
          <w:sz w:val="24"/>
          <w:szCs w:val="24"/>
        </w:rPr>
        <w:t>类基金份额</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申购费用适用比例费率时：</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净申购金额＝申购金额</w:t>
      </w:r>
      <w:r>
        <w:rPr>
          <w:rFonts w:ascii="Arial" w:hAnsi="Arial"/>
          <w:spacing w:val="8"/>
          <w:sz w:val="24"/>
          <w:szCs w:val="24"/>
        </w:rPr>
        <w:t>/</w:t>
      </w:r>
      <w:r>
        <w:rPr>
          <w:rFonts w:ascii="Arial" w:hAnsi="Arial" w:hint="eastAsia"/>
          <w:spacing w:val="8"/>
          <w:sz w:val="24"/>
          <w:szCs w:val="24"/>
        </w:rPr>
        <w:t>（</w:t>
      </w:r>
      <w:r>
        <w:rPr>
          <w:rFonts w:ascii="Arial" w:hAnsi="Arial"/>
          <w:spacing w:val="8"/>
          <w:sz w:val="24"/>
          <w:szCs w:val="24"/>
        </w:rPr>
        <w:t>1</w:t>
      </w:r>
      <w:r>
        <w:rPr>
          <w:rFonts w:ascii="Arial" w:hAnsi="Arial" w:hint="eastAsia"/>
          <w:spacing w:val="8"/>
          <w:sz w:val="24"/>
          <w:szCs w:val="24"/>
        </w:rPr>
        <w:t>＋申购费率）</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lastRenderedPageBreak/>
        <w:t>申购费用＝申购金额－净申购金额</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申购份额＝净申购金额</w:t>
      </w:r>
      <w:r>
        <w:rPr>
          <w:rFonts w:ascii="Arial" w:hAnsi="Arial"/>
          <w:spacing w:val="8"/>
          <w:sz w:val="24"/>
          <w:szCs w:val="24"/>
        </w:rPr>
        <w:t>/</w:t>
      </w:r>
      <w:r>
        <w:rPr>
          <w:rFonts w:ascii="Arial" w:hAnsi="Arial" w:hint="eastAsia"/>
          <w:spacing w:val="8"/>
          <w:sz w:val="24"/>
          <w:szCs w:val="24"/>
        </w:rPr>
        <w:t>申购当日</w:t>
      </w:r>
      <w:r>
        <w:rPr>
          <w:rFonts w:ascii="Arial" w:hAnsi="Arial"/>
          <w:spacing w:val="8"/>
          <w:sz w:val="24"/>
          <w:szCs w:val="24"/>
        </w:rPr>
        <w:t>A</w:t>
      </w:r>
      <w:r>
        <w:rPr>
          <w:rFonts w:ascii="Arial" w:hAnsi="Arial" w:hint="eastAsia"/>
          <w:spacing w:val="8"/>
          <w:sz w:val="24"/>
          <w:szCs w:val="24"/>
        </w:rPr>
        <w:t>类基金份额净值</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申购费用适用固定金额时：</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申购费用＝固定金额</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净申购金额＝申购金额－申购费用</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申购份额＝净申购金额</w:t>
      </w:r>
      <w:r>
        <w:rPr>
          <w:rFonts w:ascii="Arial" w:hAnsi="Arial"/>
          <w:spacing w:val="8"/>
          <w:sz w:val="24"/>
          <w:szCs w:val="24"/>
        </w:rPr>
        <w:t>/</w:t>
      </w:r>
      <w:r>
        <w:rPr>
          <w:rFonts w:ascii="Arial" w:hAnsi="Arial" w:hint="eastAsia"/>
          <w:spacing w:val="8"/>
          <w:sz w:val="24"/>
          <w:szCs w:val="24"/>
        </w:rPr>
        <w:t>申购当日</w:t>
      </w:r>
      <w:r>
        <w:rPr>
          <w:rFonts w:ascii="Arial" w:hAnsi="Arial"/>
          <w:spacing w:val="8"/>
          <w:sz w:val="24"/>
          <w:szCs w:val="24"/>
        </w:rPr>
        <w:t>A</w:t>
      </w:r>
      <w:r>
        <w:rPr>
          <w:rFonts w:ascii="Arial" w:hAnsi="Arial" w:hint="eastAsia"/>
          <w:spacing w:val="8"/>
          <w:sz w:val="24"/>
          <w:szCs w:val="24"/>
        </w:rPr>
        <w:t>类基金份额净值</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w:t>
      </w:r>
      <w:r>
        <w:rPr>
          <w:rFonts w:ascii="Arial" w:hAnsi="Arial"/>
          <w:spacing w:val="8"/>
          <w:sz w:val="24"/>
          <w:szCs w:val="24"/>
        </w:rPr>
        <w:t>2</w:t>
      </w:r>
      <w:r>
        <w:rPr>
          <w:rFonts w:ascii="Arial" w:hAnsi="Arial" w:hint="eastAsia"/>
          <w:spacing w:val="8"/>
          <w:sz w:val="24"/>
          <w:szCs w:val="24"/>
        </w:rPr>
        <w:t>）</w:t>
      </w:r>
      <w:r>
        <w:rPr>
          <w:rFonts w:ascii="Arial" w:hAnsi="Arial"/>
          <w:spacing w:val="8"/>
          <w:sz w:val="24"/>
          <w:szCs w:val="24"/>
        </w:rPr>
        <w:t>C</w:t>
      </w:r>
      <w:r>
        <w:rPr>
          <w:rFonts w:ascii="Arial" w:hAnsi="Arial" w:hint="eastAsia"/>
          <w:spacing w:val="8"/>
          <w:sz w:val="24"/>
          <w:szCs w:val="24"/>
        </w:rPr>
        <w:t>类基金份额</w:t>
      </w:r>
      <w:r>
        <w:rPr>
          <w:rFonts w:ascii="Arial" w:hAnsi="Arial"/>
          <w:spacing w:val="8"/>
          <w:sz w:val="24"/>
          <w:szCs w:val="24"/>
        </w:rPr>
        <w:t xml:space="preserve"> </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w:t>
      </w:r>
      <w:r>
        <w:rPr>
          <w:rFonts w:ascii="Arial" w:hAnsi="Arial"/>
          <w:spacing w:val="8"/>
          <w:sz w:val="24"/>
          <w:szCs w:val="24"/>
        </w:rPr>
        <w:t>=</w:t>
      </w:r>
      <w:r>
        <w:rPr>
          <w:rFonts w:ascii="Arial" w:hAnsi="Arial" w:hint="eastAsia"/>
          <w:spacing w:val="8"/>
          <w:sz w:val="24"/>
          <w:szCs w:val="24"/>
        </w:rPr>
        <w:t>申购金额</w:t>
      </w:r>
      <w:r>
        <w:rPr>
          <w:rFonts w:ascii="Arial" w:hAnsi="Arial"/>
          <w:spacing w:val="8"/>
          <w:sz w:val="24"/>
          <w:szCs w:val="24"/>
        </w:rPr>
        <w:t>/</w:t>
      </w:r>
      <w:r>
        <w:rPr>
          <w:rFonts w:ascii="Arial" w:hAnsi="Arial" w:hint="eastAsia"/>
          <w:spacing w:val="8"/>
          <w:sz w:val="24"/>
          <w:szCs w:val="24"/>
        </w:rPr>
        <w:t>申购当日</w:t>
      </w:r>
      <w:r>
        <w:rPr>
          <w:rFonts w:ascii="Arial" w:hAnsi="Arial"/>
          <w:spacing w:val="8"/>
          <w:sz w:val="24"/>
          <w:szCs w:val="24"/>
        </w:rPr>
        <w:t>C</w:t>
      </w:r>
      <w:r>
        <w:rPr>
          <w:rFonts w:ascii="Arial" w:hAnsi="Arial" w:hint="eastAsia"/>
          <w:spacing w:val="8"/>
          <w:sz w:val="24"/>
          <w:szCs w:val="24"/>
        </w:rPr>
        <w:t>类基金份额净值</w:t>
      </w:r>
      <w:r>
        <w:rPr>
          <w:rFonts w:ascii="Arial" w:hAnsi="Arial"/>
          <w:spacing w:val="8"/>
          <w:sz w:val="24"/>
          <w:szCs w:val="24"/>
        </w:rPr>
        <w:t xml:space="preserve"> </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上述计算结果均按照四舍五入方法，保留到小数点后两位，由此误差产生的损失由基金财产承担，产生的收益或损失由基金财产承担。</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例</w:t>
      </w:r>
      <w:r>
        <w:rPr>
          <w:rFonts w:ascii="Arial" w:hAnsi="Arial"/>
          <w:spacing w:val="8"/>
          <w:sz w:val="24"/>
          <w:szCs w:val="24"/>
        </w:rPr>
        <w:t>1</w:t>
      </w:r>
      <w:r>
        <w:rPr>
          <w:rFonts w:ascii="Arial" w:hAnsi="Arial" w:hint="eastAsia"/>
          <w:spacing w:val="8"/>
          <w:sz w:val="24"/>
          <w:szCs w:val="24"/>
        </w:rPr>
        <w:t>：假定</w:t>
      </w:r>
      <w:r>
        <w:rPr>
          <w:rFonts w:ascii="Arial" w:hAnsi="Arial"/>
          <w:spacing w:val="8"/>
          <w:sz w:val="24"/>
          <w:szCs w:val="24"/>
        </w:rPr>
        <w:t>T</w:t>
      </w:r>
      <w:r>
        <w:rPr>
          <w:rFonts w:ascii="Arial" w:hAnsi="Arial" w:hint="eastAsia"/>
          <w:spacing w:val="8"/>
          <w:sz w:val="24"/>
          <w:szCs w:val="24"/>
        </w:rPr>
        <w:t>日</w:t>
      </w:r>
      <w:r>
        <w:rPr>
          <w:rFonts w:ascii="Arial" w:hAnsi="Arial"/>
          <w:spacing w:val="8"/>
          <w:sz w:val="24"/>
          <w:szCs w:val="24"/>
        </w:rPr>
        <w:t>A</w:t>
      </w:r>
      <w:r>
        <w:rPr>
          <w:rFonts w:ascii="Arial" w:hAnsi="Arial" w:hint="eastAsia"/>
          <w:spacing w:val="8"/>
          <w:sz w:val="24"/>
          <w:szCs w:val="24"/>
        </w:rPr>
        <w:t>类基金份额净值为</w:t>
      </w:r>
      <w:r>
        <w:rPr>
          <w:rFonts w:ascii="Arial" w:hAnsi="Arial"/>
          <w:spacing w:val="8"/>
          <w:sz w:val="24"/>
          <w:szCs w:val="24"/>
        </w:rPr>
        <w:t>1.016</w:t>
      </w:r>
      <w:r>
        <w:rPr>
          <w:rFonts w:ascii="Arial" w:hAnsi="Arial" w:hint="eastAsia"/>
          <w:spacing w:val="8"/>
          <w:sz w:val="24"/>
          <w:szCs w:val="24"/>
        </w:rPr>
        <w:t>元，某投资人本次通过申购本基金</w:t>
      </w:r>
      <w:r>
        <w:rPr>
          <w:rFonts w:ascii="Arial" w:hAnsi="Arial"/>
          <w:spacing w:val="8"/>
          <w:sz w:val="24"/>
          <w:szCs w:val="24"/>
        </w:rPr>
        <w:t>A</w:t>
      </w:r>
      <w:r>
        <w:rPr>
          <w:rFonts w:ascii="Arial" w:hAnsi="Arial" w:hint="eastAsia"/>
          <w:spacing w:val="8"/>
          <w:sz w:val="24"/>
          <w:szCs w:val="24"/>
        </w:rPr>
        <w:t>类基金份额</w:t>
      </w:r>
      <w:r>
        <w:rPr>
          <w:rFonts w:ascii="Arial" w:hAnsi="Arial"/>
          <w:spacing w:val="8"/>
          <w:sz w:val="24"/>
          <w:szCs w:val="24"/>
        </w:rPr>
        <w:t>10</w:t>
      </w:r>
      <w:r>
        <w:rPr>
          <w:rFonts w:ascii="Arial" w:hAnsi="Arial" w:hint="eastAsia"/>
          <w:spacing w:val="8"/>
          <w:sz w:val="24"/>
          <w:szCs w:val="24"/>
        </w:rPr>
        <w:t>万元，对应的本次申购费率为</w:t>
      </w:r>
      <w:r>
        <w:rPr>
          <w:rFonts w:ascii="Arial" w:hAnsi="Arial"/>
          <w:spacing w:val="8"/>
          <w:sz w:val="24"/>
          <w:szCs w:val="24"/>
        </w:rPr>
        <w:t>0.80%</w:t>
      </w:r>
      <w:r>
        <w:rPr>
          <w:rFonts w:ascii="Arial" w:hAnsi="Arial" w:hint="eastAsia"/>
          <w:spacing w:val="8"/>
          <w:sz w:val="24"/>
          <w:szCs w:val="24"/>
        </w:rPr>
        <w:t>，该投资人可得到的</w:t>
      </w:r>
      <w:r>
        <w:rPr>
          <w:rFonts w:ascii="Arial" w:hAnsi="Arial"/>
          <w:spacing w:val="8"/>
          <w:sz w:val="24"/>
          <w:szCs w:val="24"/>
        </w:rPr>
        <w:t>A</w:t>
      </w:r>
      <w:r>
        <w:rPr>
          <w:rFonts w:ascii="Arial" w:hAnsi="Arial" w:hint="eastAsia"/>
          <w:spacing w:val="8"/>
          <w:sz w:val="24"/>
          <w:szCs w:val="24"/>
        </w:rPr>
        <w:t>类基金份额为：</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净申购金额＝</w:t>
      </w:r>
      <w:r>
        <w:rPr>
          <w:rFonts w:ascii="Arial" w:hAnsi="Arial"/>
          <w:spacing w:val="8"/>
          <w:sz w:val="24"/>
          <w:szCs w:val="24"/>
        </w:rPr>
        <w:t>100,000/ (1</w:t>
      </w:r>
      <w:r>
        <w:rPr>
          <w:rFonts w:ascii="Arial" w:hAnsi="Arial" w:hint="eastAsia"/>
          <w:spacing w:val="8"/>
          <w:sz w:val="24"/>
          <w:szCs w:val="24"/>
        </w:rPr>
        <w:t>＋</w:t>
      </w:r>
      <w:r>
        <w:rPr>
          <w:rFonts w:ascii="Arial" w:hAnsi="Arial"/>
          <w:spacing w:val="8"/>
          <w:sz w:val="24"/>
          <w:szCs w:val="24"/>
        </w:rPr>
        <w:t>0.80%)</w:t>
      </w:r>
      <w:r>
        <w:rPr>
          <w:rFonts w:ascii="Arial" w:hAnsi="Arial" w:hint="eastAsia"/>
          <w:spacing w:val="8"/>
          <w:sz w:val="24"/>
          <w:szCs w:val="24"/>
        </w:rPr>
        <w:t>＝</w:t>
      </w:r>
      <w:r>
        <w:rPr>
          <w:rFonts w:ascii="Arial" w:hAnsi="Arial"/>
          <w:spacing w:val="8"/>
          <w:sz w:val="24"/>
          <w:szCs w:val="24"/>
        </w:rPr>
        <w:t>99,206.35</w:t>
      </w:r>
      <w:r>
        <w:rPr>
          <w:rFonts w:ascii="Arial" w:hAnsi="Arial" w:hint="eastAsia"/>
          <w:spacing w:val="8"/>
          <w:sz w:val="24"/>
          <w:szCs w:val="24"/>
        </w:rPr>
        <w:t>元</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申购费用＝</w:t>
      </w:r>
      <w:r>
        <w:rPr>
          <w:rFonts w:ascii="Arial" w:hAnsi="Arial"/>
          <w:spacing w:val="8"/>
          <w:sz w:val="24"/>
          <w:szCs w:val="24"/>
        </w:rPr>
        <w:t>100,000</w:t>
      </w:r>
      <w:r>
        <w:rPr>
          <w:rFonts w:ascii="Arial" w:hAnsi="Arial" w:hint="eastAsia"/>
          <w:spacing w:val="8"/>
          <w:sz w:val="24"/>
          <w:szCs w:val="24"/>
        </w:rPr>
        <w:t>－</w:t>
      </w:r>
      <w:r>
        <w:rPr>
          <w:rFonts w:ascii="Arial" w:hAnsi="Arial"/>
          <w:spacing w:val="8"/>
          <w:sz w:val="24"/>
          <w:szCs w:val="24"/>
        </w:rPr>
        <w:t>99,206.35</w:t>
      </w:r>
      <w:r>
        <w:rPr>
          <w:rFonts w:ascii="Arial" w:hAnsi="Arial" w:hint="eastAsia"/>
          <w:spacing w:val="8"/>
          <w:sz w:val="24"/>
          <w:szCs w:val="24"/>
        </w:rPr>
        <w:t>＝</w:t>
      </w:r>
      <w:r>
        <w:rPr>
          <w:rFonts w:ascii="Arial" w:hAnsi="Arial"/>
          <w:spacing w:val="8"/>
          <w:sz w:val="24"/>
          <w:szCs w:val="24"/>
        </w:rPr>
        <w:t>793.65</w:t>
      </w:r>
      <w:r>
        <w:rPr>
          <w:rFonts w:ascii="Arial" w:hAnsi="Arial" w:hint="eastAsia"/>
          <w:spacing w:val="8"/>
          <w:sz w:val="24"/>
          <w:szCs w:val="24"/>
        </w:rPr>
        <w:t>元</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w:t>
      </w:r>
      <w:r>
        <w:rPr>
          <w:rFonts w:ascii="Arial" w:hAnsi="Arial"/>
          <w:spacing w:val="8"/>
          <w:sz w:val="24"/>
          <w:szCs w:val="24"/>
        </w:rPr>
        <w:t xml:space="preserve">99,206.35/1.016 </w:t>
      </w:r>
      <w:r>
        <w:rPr>
          <w:rFonts w:ascii="Arial" w:hAnsi="Arial" w:hint="eastAsia"/>
          <w:spacing w:val="8"/>
          <w:sz w:val="24"/>
          <w:szCs w:val="24"/>
        </w:rPr>
        <w:t>＝</w:t>
      </w:r>
      <w:r>
        <w:rPr>
          <w:rFonts w:ascii="Arial" w:hAnsi="Arial"/>
          <w:spacing w:val="8"/>
          <w:sz w:val="24"/>
          <w:szCs w:val="24"/>
        </w:rPr>
        <w:t>97,644.0</w:t>
      </w:r>
      <w:r>
        <w:rPr>
          <w:rFonts w:ascii="Arial" w:hAnsi="Arial" w:hint="eastAsia"/>
          <w:spacing w:val="8"/>
          <w:sz w:val="24"/>
          <w:szCs w:val="24"/>
        </w:rPr>
        <w:t>5</w:t>
      </w:r>
      <w:r>
        <w:rPr>
          <w:rFonts w:ascii="Arial" w:hAnsi="Arial" w:hint="eastAsia"/>
          <w:spacing w:val="8"/>
          <w:sz w:val="24"/>
          <w:szCs w:val="24"/>
        </w:rPr>
        <w:t>份</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即：投资者投资</w:t>
      </w:r>
      <w:r>
        <w:rPr>
          <w:rFonts w:ascii="Arial" w:hAnsi="Arial"/>
          <w:spacing w:val="8"/>
          <w:sz w:val="24"/>
          <w:szCs w:val="24"/>
        </w:rPr>
        <w:t>10</w:t>
      </w:r>
      <w:r>
        <w:rPr>
          <w:rFonts w:ascii="Arial" w:hAnsi="Arial" w:hint="eastAsia"/>
          <w:spacing w:val="8"/>
          <w:sz w:val="24"/>
          <w:szCs w:val="24"/>
        </w:rPr>
        <w:t>万元申购本基金</w:t>
      </w:r>
      <w:r>
        <w:rPr>
          <w:rFonts w:ascii="Arial" w:hAnsi="Arial"/>
          <w:spacing w:val="8"/>
          <w:sz w:val="24"/>
          <w:szCs w:val="24"/>
        </w:rPr>
        <w:t>A</w:t>
      </w:r>
      <w:r>
        <w:rPr>
          <w:rFonts w:ascii="Arial" w:hAnsi="Arial" w:hint="eastAsia"/>
          <w:spacing w:val="8"/>
          <w:sz w:val="24"/>
          <w:szCs w:val="24"/>
        </w:rPr>
        <w:t>类基金份额，假定申购当日</w:t>
      </w:r>
      <w:r>
        <w:rPr>
          <w:rFonts w:ascii="Arial" w:hAnsi="Arial"/>
          <w:spacing w:val="8"/>
          <w:sz w:val="24"/>
          <w:szCs w:val="24"/>
        </w:rPr>
        <w:t>A</w:t>
      </w:r>
      <w:r>
        <w:rPr>
          <w:rFonts w:ascii="Arial" w:hAnsi="Arial" w:hint="eastAsia"/>
          <w:spacing w:val="8"/>
          <w:sz w:val="24"/>
          <w:szCs w:val="24"/>
        </w:rPr>
        <w:t>类基金份额净值为</w:t>
      </w:r>
      <w:r>
        <w:rPr>
          <w:rFonts w:ascii="Arial" w:hAnsi="Arial"/>
          <w:spacing w:val="8"/>
          <w:sz w:val="24"/>
          <w:szCs w:val="24"/>
        </w:rPr>
        <w:t>1.016</w:t>
      </w:r>
      <w:r>
        <w:rPr>
          <w:rFonts w:ascii="Arial" w:hAnsi="Arial" w:hint="eastAsia"/>
          <w:spacing w:val="8"/>
          <w:sz w:val="24"/>
          <w:szCs w:val="24"/>
        </w:rPr>
        <w:t>元，则其可得到</w:t>
      </w:r>
      <w:r>
        <w:rPr>
          <w:rFonts w:ascii="Arial" w:hAnsi="Arial"/>
          <w:spacing w:val="8"/>
          <w:sz w:val="24"/>
          <w:szCs w:val="24"/>
        </w:rPr>
        <w:t>97,644.0</w:t>
      </w:r>
      <w:r>
        <w:rPr>
          <w:rFonts w:ascii="Arial" w:hAnsi="Arial" w:hint="eastAsia"/>
          <w:spacing w:val="8"/>
          <w:sz w:val="24"/>
          <w:szCs w:val="24"/>
        </w:rPr>
        <w:t>5</w:t>
      </w:r>
      <w:r>
        <w:rPr>
          <w:rFonts w:ascii="Arial" w:hAnsi="Arial" w:hint="eastAsia"/>
          <w:spacing w:val="8"/>
          <w:sz w:val="24"/>
          <w:szCs w:val="24"/>
        </w:rPr>
        <w:t>份</w:t>
      </w:r>
      <w:r>
        <w:rPr>
          <w:rFonts w:ascii="Arial" w:hAnsi="Arial"/>
          <w:spacing w:val="8"/>
          <w:sz w:val="24"/>
          <w:szCs w:val="24"/>
        </w:rPr>
        <w:t>A</w:t>
      </w:r>
      <w:r>
        <w:rPr>
          <w:rFonts w:ascii="Arial" w:hAnsi="Arial" w:hint="eastAsia"/>
          <w:spacing w:val="8"/>
          <w:sz w:val="24"/>
          <w:szCs w:val="24"/>
        </w:rPr>
        <w:t>类基金份额。</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例</w:t>
      </w:r>
      <w:r>
        <w:rPr>
          <w:rFonts w:ascii="Arial" w:hAnsi="Arial"/>
          <w:spacing w:val="8"/>
          <w:sz w:val="24"/>
          <w:szCs w:val="24"/>
        </w:rPr>
        <w:t>2</w:t>
      </w:r>
      <w:r>
        <w:rPr>
          <w:rFonts w:ascii="Arial" w:hAnsi="Arial" w:hint="eastAsia"/>
          <w:spacing w:val="8"/>
          <w:sz w:val="24"/>
          <w:szCs w:val="24"/>
        </w:rPr>
        <w:t>：假设某投资者投资</w:t>
      </w:r>
      <w:r>
        <w:rPr>
          <w:rFonts w:ascii="Arial" w:hAnsi="Arial"/>
          <w:spacing w:val="8"/>
          <w:sz w:val="24"/>
          <w:szCs w:val="24"/>
        </w:rPr>
        <w:t>10</w:t>
      </w:r>
      <w:r>
        <w:rPr>
          <w:rFonts w:ascii="Arial" w:hAnsi="Arial" w:hint="eastAsia"/>
          <w:spacing w:val="8"/>
          <w:sz w:val="24"/>
          <w:szCs w:val="24"/>
        </w:rPr>
        <w:t>万元申购本基金</w:t>
      </w:r>
      <w:r>
        <w:rPr>
          <w:rFonts w:ascii="Arial" w:hAnsi="Arial"/>
          <w:spacing w:val="8"/>
          <w:sz w:val="24"/>
          <w:szCs w:val="24"/>
        </w:rPr>
        <w:t>C</w:t>
      </w:r>
      <w:r>
        <w:rPr>
          <w:rFonts w:ascii="Arial" w:hAnsi="Arial" w:hint="eastAsia"/>
          <w:spacing w:val="8"/>
          <w:sz w:val="24"/>
          <w:szCs w:val="24"/>
        </w:rPr>
        <w:t>类基金份额，申购当日本基金</w:t>
      </w:r>
      <w:r>
        <w:rPr>
          <w:rFonts w:ascii="Arial" w:hAnsi="Arial"/>
          <w:spacing w:val="8"/>
          <w:sz w:val="24"/>
          <w:szCs w:val="24"/>
        </w:rPr>
        <w:t>C</w:t>
      </w:r>
      <w:r>
        <w:rPr>
          <w:rFonts w:ascii="Arial" w:hAnsi="Arial" w:hint="eastAsia"/>
          <w:spacing w:val="8"/>
          <w:sz w:val="24"/>
          <w:szCs w:val="24"/>
        </w:rPr>
        <w:t>类基金份额净值为</w:t>
      </w:r>
      <w:r>
        <w:rPr>
          <w:rFonts w:ascii="Arial" w:hAnsi="Arial"/>
          <w:spacing w:val="8"/>
          <w:sz w:val="24"/>
          <w:szCs w:val="24"/>
        </w:rPr>
        <w:t xml:space="preserve">1.060 </w:t>
      </w:r>
      <w:r>
        <w:rPr>
          <w:rFonts w:ascii="Arial" w:hAnsi="Arial" w:hint="eastAsia"/>
          <w:spacing w:val="8"/>
          <w:sz w:val="24"/>
          <w:szCs w:val="24"/>
        </w:rPr>
        <w:t>元，则可得到的申购份额为：</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申购份额＝</w:t>
      </w:r>
      <w:r>
        <w:rPr>
          <w:rFonts w:ascii="Arial" w:hAnsi="Arial"/>
          <w:spacing w:val="8"/>
          <w:sz w:val="24"/>
          <w:szCs w:val="24"/>
        </w:rPr>
        <w:t>100,000/1.060</w:t>
      </w:r>
      <w:r>
        <w:rPr>
          <w:rFonts w:ascii="Arial" w:hAnsi="Arial" w:hint="eastAsia"/>
          <w:spacing w:val="8"/>
          <w:sz w:val="24"/>
          <w:szCs w:val="24"/>
        </w:rPr>
        <w:t>＝</w:t>
      </w:r>
      <w:r>
        <w:rPr>
          <w:rFonts w:ascii="Arial" w:hAnsi="Arial"/>
          <w:spacing w:val="8"/>
          <w:sz w:val="24"/>
          <w:szCs w:val="24"/>
        </w:rPr>
        <w:t>94,339.62</w:t>
      </w:r>
      <w:r>
        <w:rPr>
          <w:rFonts w:ascii="Arial" w:hAnsi="Arial" w:hint="eastAsia"/>
          <w:spacing w:val="8"/>
          <w:sz w:val="24"/>
          <w:szCs w:val="24"/>
        </w:rPr>
        <w:t>份</w:t>
      </w:r>
    </w:p>
    <w:p w:rsidR="00572ECF" w:rsidRDefault="00915AEA">
      <w:pPr>
        <w:pStyle w:val="a5"/>
        <w:autoSpaceDE w:val="0"/>
        <w:autoSpaceDN w:val="0"/>
        <w:adjustRightInd w:val="0"/>
        <w:snapToGrid w:val="0"/>
        <w:spacing w:line="360" w:lineRule="auto"/>
        <w:ind w:firstLineChars="200" w:firstLine="512"/>
        <w:rPr>
          <w:rFonts w:ascii="Arial" w:hAnsi="Arial"/>
          <w:spacing w:val="8"/>
          <w:sz w:val="24"/>
          <w:szCs w:val="24"/>
        </w:rPr>
      </w:pPr>
      <w:r>
        <w:rPr>
          <w:rFonts w:ascii="Arial" w:hAnsi="Arial" w:hint="eastAsia"/>
          <w:spacing w:val="8"/>
          <w:sz w:val="24"/>
          <w:szCs w:val="24"/>
        </w:rPr>
        <w:t>即：投资者投资</w:t>
      </w:r>
      <w:r>
        <w:rPr>
          <w:rFonts w:ascii="Arial" w:hAnsi="Arial"/>
          <w:spacing w:val="8"/>
          <w:sz w:val="24"/>
          <w:szCs w:val="24"/>
        </w:rPr>
        <w:t>10</w:t>
      </w:r>
      <w:r>
        <w:rPr>
          <w:rFonts w:ascii="Arial" w:hAnsi="Arial" w:hint="eastAsia"/>
          <w:spacing w:val="8"/>
          <w:sz w:val="24"/>
          <w:szCs w:val="24"/>
        </w:rPr>
        <w:t>万元申购本基金</w:t>
      </w:r>
      <w:r>
        <w:rPr>
          <w:rFonts w:ascii="Arial" w:hAnsi="Arial"/>
          <w:spacing w:val="8"/>
          <w:sz w:val="24"/>
          <w:szCs w:val="24"/>
        </w:rPr>
        <w:t>C</w:t>
      </w:r>
      <w:r>
        <w:rPr>
          <w:rFonts w:ascii="Arial" w:hAnsi="Arial" w:hint="eastAsia"/>
          <w:spacing w:val="8"/>
          <w:sz w:val="24"/>
          <w:szCs w:val="24"/>
        </w:rPr>
        <w:t>类基金份额，假设申购当日</w:t>
      </w:r>
      <w:r>
        <w:rPr>
          <w:rFonts w:ascii="Arial" w:hAnsi="Arial"/>
          <w:spacing w:val="8"/>
          <w:sz w:val="24"/>
          <w:szCs w:val="24"/>
        </w:rPr>
        <w:t>C</w:t>
      </w:r>
      <w:r>
        <w:rPr>
          <w:rFonts w:ascii="Arial" w:hAnsi="Arial" w:hint="eastAsia"/>
          <w:spacing w:val="8"/>
          <w:sz w:val="24"/>
          <w:szCs w:val="24"/>
        </w:rPr>
        <w:t>类基金份额净值为</w:t>
      </w:r>
      <w:r>
        <w:rPr>
          <w:rFonts w:ascii="Arial" w:hAnsi="Arial"/>
          <w:spacing w:val="8"/>
          <w:sz w:val="24"/>
          <w:szCs w:val="24"/>
        </w:rPr>
        <w:t>1.060</w:t>
      </w:r>
      <w:r>
        <w:rPr>
          <w:rFonts w:ascii="Arial" w:hAnsi="Arial" w:hint="eastAsia"/>
          <w:spacing w:val="8"/>
          <w:sz w:val="24"/>
          <w:szCs w:val="24"/>
        </w:rPr>
        <w:t>元，则其可得到</w:t>
      </w:r>
      <w:r>
        <w:rPr>
          <w:rFonts w:ascii="Arial" w:hAnsi="Arial"/>
          <w:spacing w:val="8"/>
          <w:sz w:val="24"/>
          <w:szCs w:val="24"/>
        </w:rPr>
        <w:t>94,339.62</w:t>
      </w:r>
      <w:r>
        <w:rPr>
          <w:rFonts w:ascii="Arial" w:hAnsi="Arial" w:hint="eastAsia"/>
          <w:spacing w:val="8"/>
          <w:sz w:val="24"/>
          <w:szCs w:val="24"/>
        </w:rPr>
        <w:t>份</w:t>
      </w:r>
      <w:r>
        <w:rPr>
          <w:rFonts w:ascii="Arial" w:hAnsi="Arial"/>
          <w:spacing w:val="8"/>
          <w:sz w:val="24"/>
          <w:szCs w:val="24"/>
        </w:rPr>
        <w:t>C</w:t>
      </w:r>
      <w:r>
        <w:rPr>
          <w:rFonts w:ascii="Arial" w:hAnsi="Arial" w:hint="eastAsia"/>
          <w:spacing w:val="8"/>
          <w:sz w:val="24"/>
          <w:szCs w:val="24"/>
        </w:rPr>
        <w:t>类基金份额。</w:t>
      </w:r>
    </w:p>
    <w:p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sz w:val="24"/>
          <w:szCs w:val="24"/>
        </w:rPr>
        <w:t>2</w:t>
      </w:r>
      <w:r>
        <w:rPr>
          <w:rFonts w:ascii="Arial" w:hAnsi="Arial" w:cs="Arial" w:hint="eastAsia"/>
          <w:sz w:val="24"/>
          <w:szCs w:val="24"/>
        </w:rPr>
        <w:t>、</w:t>
      </w:r>
      <w:r>
        <w:rPr>
          <w:rFonts w:ascii="Arial" w:hAnsi="Arial" w:cs="Arial"/>
          <w:sz w:val="24"/>
          <w:szCs w:val="24"/>
        </w:rPr>
        <w:t xml:space="preserve"> </w:t>
      </w:r>
      <w:r>
        <w:rPr>
          <w:rFonts w:ascii="Arial" w:hAnsi="Arial" w:cs="Arial" w:hint="eastAsia"/>
          <w:sz w:val="24"/>
          <w:szCs w:val="24"/>
        </w:rPr>
        <w:t>赎回金额的计算方式：</w:t>
      </w:r>
    </w:p>
    <w:p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赎回总额</w:t>
      </w:r>
      <w:r>
        <w:rPr>
          <w:rFonts w:ascii="Arial" w:hAnsi="Arial" w:cs="Arial"/>
          <w:sz w:val="24"/>
          <w:szCs w:val="24"/>
        </w:rPr>
        <w:t>=</w:t>
      </w:r>
      <w:r>
        <w:rPr>
          <w:rFonts w:ascii="Arial" w:hAnsi="Arial" w:cs="Arial" w:hint="eastAsia"/>
          <w:sz w:val="24"/>
          <w:szCs w:val="24"/>
        </w:rPr>
        <w:t>赎回份额×</w:t>
      </w:r>
      <w:r>
        <w:rPr>
          <w:rFonts w:ascii="Arial" w:hAnsi="Arial" w:cs="Arial"/>
          <w:sz w:val="24"/>
          <w:szCs w:val="24"/>
        </w:rPr>
        <w:t xml:space="preserve">T </w:t>
      </w:r>
      <w:r>
        <w:rPr>
          <w:rFonts w:ascii="Arial" w:hAnsi="Arial" w:cs="Arial" w:hint="eastAsia"/>
          <w:sz w:val="24"/>
          <w:szCs w:val="24"/>
        </w:rPr>
        <w:t>日该类基金份额净值</w:t>
      </w:r>
    </w:p>
    <w:p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赎回费用</w:t>
      </w:r>
      <w:r>
        <w:rPr>
          <w:rFonts w:ascii="Arial" w:hAnsi="Arial" w:cs="Arial"/>
          <w:sz w:val="24"/>
          <w:szCs w:val="24"/>
        </w:rPr>
        <w:t>=</w:t>
      </w:r>
      <w:r>
        <w:rPr>
          <w:rFonts w:ascii="Arial" w:hAnsi="Arial" w:cs="Arial" w:hint="eastAsia"/>
          <w:sz w:val="24"/>
          <w:szCs w:val="24"/>
        </w:rPr>
        <w:t>赎回总额×赎回费率</w:t>
      </w:r>
    </w:p>
    <w:p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赎回金额</w:t>
      </w:r>
      <w:r>
        <w:rPr>
          <w:rFonts w:ascii="Arial" w:hAnsi="Arial" w:cs="Arial"/>
          <w:sz w:val="24"/>
          <w:szCs w:val="24"/>
        </w:rPr>
        <w:t>=</w:t>
      </w:r>
      <w:r>
        <w:rPr>
          <w:rFonts w:ascii="Arial" w:hAnsi="Arial" w:cs="Arial" w:hint="eastAsia"/>
          <w:sz w:val="24"/>
          <w:szCs w:val="24"/>
        </w:rPr>
        <w:t>赎回总额－赎回费用</w:t>
      </w:r>
    </w:p>
    <w:p w:rsidR="00572ECF" w:rsidRPr="00FD64FB" w:rsidRDefault="00915AEA" w:rsidP="00FD64FB">
      <w:pPr>
        <w:adjustRightInd w:val="0"/>
        <w:snapToGrid w:val="0"/>
        <w:spacing w:line="360" w:lineRule="auto"/>
        <w:ind w:firstLineChars="200" w:firstLine="480"/>
        <w:rPr>
          <w:rFonts w:ascii="Arial" w:hAnsi="Arial" w:cs="Arial"/>
          <w:sz w:val="24"/>
          <w:szCs w:val="24"/>
        </w:rPr>
      </w:pPr>
      <w:r w:rsidRPr="00FD64FB">
        <w:rPr>
          <w:rFonts w:ascii="Arial" w:hAnsi="Arial" w:cs="Arial" w:hint="eastAsia"/>
          <w:sz w:val="24"/>
          <w:szCs w:val="24"/>
        </w:rPr>
        <w:t>上述计算结果均按四舍五入方法，保留到小数点后</w:t>
      </w:r>
      <w:r w:rsidRPr="00FD64FB">
        <w:rPr>
          <w:rFonts w:ascii="Arial" w:hAnsi="Arial" w:cs="Arial"/>
          <w:sz w:val="24"/>
          <w:szCs w:val="24"/>
        </w:rPr>
        <w:t>2</w:t>
      </w:r>
      <w:r w:rsidRPr="00FD64FB">
        <w:rPr>
          <w:rFonts w:ascii="Arial" w:hAnsi="Arial" w:cs="Arial" w:hint="eastAsia"/>
          <w:sz w:val="24"/>
          <w:szCs w:val="24"/>
        </w:rPr>
        <w:t>位，由此产生的收益或损失由基金财产承担。</w:t>
      </w:r>
    </w:p>
    <w:p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例：某投资者赎回</w:t>
      </w:r>
      <w:r>
        <w:rPr>
          <w:rFonts w:ascii="Arial" w:hAnsi="Arial" w:cs="Arial"/>
          <w:sz w:val="24"/>
          <w:szCs w:val="24"/>
        </w:rPr>
        <w:t xml:space="preserve">10,000 </w:t>
      </w:r>
      <w:r>
        <w:rPr>
          <w:rFonts w:ascii="Arial" w:hAnsi="Arial" w:cs="Arial" w:hint="eastAsia"/>
          <w:sz w:val="24"/>
          <w:szCs w:val="24"/>
        </w:rPr>
        <w:t>份</w:t>
      </w:r>
      <w:r>
        <w:rPr>
          <w:rFonts w:ascii="Arial" w:hAnsi="Arial" w:cs="Arial"/>
          <w:sz w:val="24"/>
          <w:szCs w:val="24"/>
        </w:rPr>
        <w:t>A</w:t>
      </w:r>
      <w:r>
        <w:rPr>
          <w:rFonts w:ascii="Arial" w:hAnsi="Arial" w:cs="Arial" w:hint="eastAsia"/>
          <w:sz w:val="24"/>
          <w:szCs w:val="24"/>
        </w:rPr>
        <w:t>类基金份额且持有时间不满</w:t>
      </w:r>
      <w:r>
        <w:rPr>
          <w:rFonts w:ascii="Arial" w:hAnsi="Arial" w:cs="Arial"/>
          <w:sz w:val="24"/>
          <w:szCs w:val="24"/>
        </w:rPr>
        <w:t>30</w:t>
      </w:r>
      <w:r>
        <w:rPr>
          <w:rFonts w:ascii="Arial" w:hAnsi="Arial" w:cs="Arial" w:hint="eastAsia"/>
          <w:sz w:val="24"/>
          <w:szCs w:val="24"/>
        </w:rPr>
        <w:t>日，假设赎</w:t>
      </w:r>
      <w:r>
        <w:rPr>
          <w:rFonts w:ascii="Arial" w:hAnsi="Arial" w:cs="Arial" w:hint="eastAsia"/>
          <w:sz w:val="24"/>
          <w:szCs w:val="24"/>
        </w:rPr>
        <w:lastRenderedPageBreak/>
        <w:t>回申请当日</w:t>
      </w:r>
      <w:r>
        <w:rPr>
          <w:rFonts w:ascii="Arial" w:hAnsi="Arial" w:cs="Arial"/>
          <w:sz w:val="24"/>
          <w:szCs w:val="24"/>
        </w:rPr>
        <w:t>A</w:t>
      </w:r>
      <w:r>
        <w:rPr>
          <w:rFonts w:ascii="Arial" w:hAnsi="Arial" w:cs="Arial" w:hint="eastAsia"/>
          <w:sz w:val="24"/>
          <w:szCs w:val="24"/>
        </w:rPr>
        <w:t>类基金份额净值是</w:t>
      </w:r>
      <w:r>
        <w:rPr>
          <w:rFonts w:ascii="Arial" w:hAnsi="Arial" w:cs="Arial"/>
          <w:sz w:val="24"/>
          <w:szCs w:val="24"/>
        </w:rPr>
        <w:t xml:space="preserve">1.068 </w:t>
      </w:r>
      <w:r>
        <w:rPr>
          <w:rFonts w:ascii="Arial" w:hAnsi="Arial" w:cs="Arial" w:hint="eastAsia"/>
          <w:sz w:val="24"/>
          <w:szCs w:val="24"/>
        </w:rPr>
        <w:t>元，赎回费率为</w:t>
      </w:r>
      <w:r>
        <w:rPr>
          <w:rFonts w:ascii="Arial" w:hAnsi="Arial" w:cs="Arial"/>
          <w:sz w:val="24"/>
          <w:szCs w:val="24"/>
        </w:rPr>
        <w:t>0.75%</w:t>
      </w:r>
      <w:r>
        <w:rPr>
          <w:rFonts w:ascii="Arial" w:hAnsi="Arial" w:cs="Arial" w:hint="eastAsia"/>
          <w:sz w:val="24"/>
          <w:szCs w:val="24"/>
        </w:rPr>
        <w:t>，则可得到的赎回金额为：</w:t>
      </w:r>
    </w:p>
    <w:p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赎回总额</w:t>
      </w:r>
      <w:r>
        <w:rPr>
          <w:rFonts w:ascii="Arial" w:hAnsi="Arial" w:cs="Arial"/>
          <w:sz w:val="24"/>
          <w:szCs w:val="24"/>
        </w:rPr>
        <w:t xml:space="preserve"> = 10,000 </w:t>
      </w:r>
      <w:r>
        <w:rPr>
          <w:rFonts w:ascii="Arial" w:hAnsi="Arial" w:cs="Arial" w:hint="eastAsia"/>
          <w:sz w:val="24"/>
          <w:szCs w:val="24"/>
        </w:rPr>
        <w:t>×</w:t>
      </w:r>
      <w:r>
        <w:rPr>
          <w:rFonts w:ascii="Arial" w:hAnsi="Arial" w:cs="Arial"/>
          <w:sz w:val="24"/>
          <w:szCs w:val="24"/>
        </w:rPr>
        <w:t xml:space="preserve">1.068= 10,680.00 </w:t>
      </w:r>
      <w:r>
        <w:rPr>
          <w:rFonts w:ascii="Arial" w:hAnsi="Arial" w:cs="Arial" w:hint="eastAsia"/>
          <w:sz w:val="24"/>
          <w:szCs w:val="24"/>
        </w:rPr>
        <w:t>元</w:t>
      </w:r>
    </w:p>
    <w:p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赎回费用</w:t>
      </w:r>
      <w:r>
        <w:rPr>
          <w:rFonts w:ascii="Arial" w:hAnsi="Arial" w:cs="Arial"/>
          <w:sz w:val="24"/>
          <w:szCs w:val="24"/>
        </w:rPr>
        <w:t xml:space="preserve"> = 10,680.00 </w:t>
      </w:r>
      <w:r>
        <w:rPr>
          <w:rFonts w:ascii="Arial" w:hAnsi="Arial" w:cs="Arial" w:hint="eastAsia"/>
          <w:sz w:val="24"/>
          <w:szCs w:val="24"/>
        </w:rPr>
        <w:t>×</w:t>
      </w:r>
      <w:r>
        <w:rPr>
          <w:rFonts w:ascii="Arial" w:hAnsi="Arial" w:cs="Arial"/>
          <w:sz w:val="24"/>
          <w:szCs w:val="24"/>
        </w:rPr>
        <w:t>0.75% = 80.10</w:t>
      </w:r>
      <w:r>
        <w:rPr>
          <w:rFonts w:ascii="Arial" w:hAnsi="Arial" w:cs="Arial" w:hint="eastAsia"/>
          <w:sz w:val="24"/>
          <w:szCs w:val="24"/>
        </w:rPr>
        <w:t>元</w:t>
      </w:r>
    </w:p>
    <w:p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赎回金额</w:t>
      </w:r>
      <w:r>
        <w:rPr>
          <w:rFonts w:ascii="Arial" w:hAnsi="Arial" w:cs="Arial"/>
          <w:sz w:val="24"/>
          <w:szCs w:val="24"/>
        </w:rPr>
        <w:t xml:space="preserve"> = 10,680.00 – 80.10 = 10,599.90 </w:t>
      </w:r>
      <w:r>
        <w:rPr>
          <w:rFonts w:ascii="Arial" w:hAnsi="Arial" w:cs="Arial" w:hint="eastAsia"/>
          <w:sz w:val="24"/>
          <w:szCs w:val="24"/>
        </w:rPr>
        <w:t>元</w:t>
      </w:r>
    </w:p>
    <w:p w:rsidR="00572ECF" w:rsidRDefault="00915AEA">
      <w:pPr>
        <w:adjustRightInd w:val="0"/>
        <w:snapToGrid w:val="0"/>
        <w:spacing w:line="360" w:lineRule="auto"/>
        <w:ind w:firstLineChars="200" w:firstLine="480"/>
        <w:rPr>
          <w:rFonts w:ascii="Arial" w:hAnsi="Arial" w:cs="Arial"/>
          <w:sz w:val="24"/>
          <w:szCs w:val="24"/>
        </w:rPr>
      </w:pPr>
      <w:r>
        <w:rPr>
          <w:rFonts w:ascii="Arial" w:hAnsi="Arial" w:cs="Arial" w:hint="eastAsia"/>
          <w:sz w:val="24"/>
          <w:szCs w:val="24"/>
        </w:rPr>
        <w:t>即：投资者赎回</w:t>
      </w:r>
      <w:r>
        <w:rPr>
          <w:rFonts w:ascii="Arial" w:hAnsi="Arial" w:cs="Arial"/>
          <w:sz w:val="24"/>
          <w:szCs w:val="24"/>
        </w:rPr>
        <w:t xml:space="preserve"> 10,000 </w:t>
      </w:r>
      <w:r>
        <w:rPr>
          <w:rFonts w:ascii="Arial" w:hAnsi="Arial" w:cs="Arial" w:hint="eastAsia"/>
          <w:sz w:val="24"/>
          <w:szCs w:val="24"/>
        </w:rPr>
        <w:t>份</w:t>
      </w:r>
      <w:r>
        <w:rPr>
          <w:rFonts w:ascii="Arial" w:hAnsi="Arial" w:cs="Arial"/>
          <w:sz w:val="24"/>
          <w:szCs w:val="24"/>
        </w:rPr>
        <w:t>A</w:t>
      </w:r>
      <w:r>
        <w:rPr>
          <w:rFonts w:ascii="Arial" w:hAnsi="Arial" w:cs="Arial" w:hint="eastAsia"/>
          <w:sz w:val="24"/>
          <w:szCs w:val="24"/>
        </w:rPr>
        <w:t>类基金份额且持有时间不满</w:t>
      </w:r>
      <w:r>
        <w:rPr>
          <w:rFonts w:ascii="Arial" w:hAnsi="Arial" w:cs="Arial"/>
          <w:sz w:val="24"/>
          <w:szCs w:val="24"/>
        </w:rPr>
        <w:t>30</w:t>
      </w:r>
      <w:r>
        <w:rPr>
          <w:rFonts w:ascii="Arial" w:hAnsi="Arial" w:cs="Arial" w:hint="eastAsia"/>
          <w:sz w:val="24"/>
          <w:szCs w:val="24"/>
        </w:rPr>
        <w:t>日，假设赎回当日</w:t>
      </w:r>
      <w:r>
        <w:rPr>
          <w:rFonts w:ascii="Arial" w:hAnsi="Arial" w:cs="Arial"/>
          <w:sz w:val="24"/>
          <w:szCs w:val="24"/>
        </w:rPr>
        <w:t>A</w:t>
      </w:r>
      <w:r>
        <w:rPr>
          <w:rFonts w:ascii="Arial" w:hAnsi="Arial" w:cs="Arial" w:hint="eastAsia"/>
          <w:sz w:val="24"/>
          <w:szCs w:val="24"/>
        </w:rPr>
        <w:t>类基金份额的基金份额净值是</w:t>
      </w:r>
      <w:r>
        <w:rPr>
          <w:rFonts w:ascii="Arial" w:hAnsi="Arial" w:cs="Arial"/>
          <w:sz w:val="24"/>
          <w:szCs w:val="24"/>
        </w:rPr>
        <w:t xml:space="preserve">1.068 </w:t>
      </w:r>
      <w:r>
        <w:rPr>
          <w:rFonts w:ascii="Arial" w:hAnsi="Arial" w:cs="Arial" w:hint="eastAsia"/>
          <w:sz w:val="24"/>
          <w:szCs w:val="24"/>
        </w:rPr>
        <w:t>元，则其可得到的赎回金额为</w:t>
      </w:r>
      <w:r>
        <w:rPr>
          <w:rFonts w:ascii="Arial" w:hAnsi="Arial" w:cs="Arial"/>
          <w:sz w:val="24"/>
          <w:szCs w:val="24"/>
        </w:rPr>
        <w:t xml:space="preserve">10,599.90 </w:t>
      </w:r>
      <w:r>
        <w:rPr>
          <w:rFonts w:ascii="Arial" w:hAnsi="Arial" w:cs="Arial" w:hint="eastAsia"/>
          <w:sz w:val="24"/>
          <w:szCs w:val="24"/>
        </w:rPr>
        <w:t>元。</w:t>
      </w:r>
    </w:p>
    <w:p w:rsidR="00572ECF" w:rsidRDefault="00915AEA">
      <w:pPr>
        <w:adjustRightInd w:val="0"/>
        <w:snapToGrid w:val="0"/>
        <w:spacing w:line="360" w:lineRule="auto"/>
        <w:ind w:firstLineChars="200" w:firstLine="480"/>
        <w:rPr>
          <w:rFonts w:ascii="Arial" w:hAnsi="Arial"/>
          <w:sz w:val="24"/>
          <w:szCs w:val="24"/>
        </w:rPr>
      </w:pPr>
      <w:r>
        <w:rPr>
          <w:rFonts w:ascii="Arial" w:hAnsi="Arial" w:cs="Arial"/>
          <w:sz w:val="24"/>
          <w:szCs w:val="24"/>
        </w:rPr>
        <w:t>3</w:t>
      </w:r>
      <w:r>
        <w:rPr>
          <w:rFonts w:ascii="Arial" w:hAnsi="Arial" w:cs="Arial" w:hint="eastAsia"/>
          <w:sz w:val="24"/>
          <w:szCs w:val="24"/>
        </w:rPr>
        <w:t>、</w:t>
      </w:r>
      <w:r>
        <w:rPr>
          <w:rFonts w:ascii="Arial" w:hAnsi="Arial" w:cs="Arial" w:hint="eastAsia"/>
          <w:bCs/>
          <w:sz w:val="24"/>
          <w:szCs w:val="24"/>
        </w:rPr>
        <w:t>本基金</w:t>
      </w:r>
      <w:r>
        <w:rPr>
          <w:rFonts w:ascii="Arial" w:hAnsi="Arial" w:cs="Arial"/>
          <w:bCs/>
          <w:sz w:val="24"/>
          <w:szCs w:val="24"/>
        </w:rPr>
        <w:t>A</w:t>
      </w:r>
      <w:r>
        <w:rPr>
          <w:rFonts w:ascii="Arial" w:hAnsi="Arial" w:cs="Arial" w:hint="eastAsia"/>
          <w:bCs/>
          <w:sz w:val="24"/>
          <w:szCs w:val="24"/>
        </w:rPr>
        <w:t>类基金份额和</w:t>
      </w:r>
      <w:r>
        <w:rPr>
          <w:rFonts w:ascii="Arial" w:hAnsi="Arial" w:cs="Arial"/>
          <w:bCs/>
          <w:sz w:val="24"/>
          <w:szCs w:val="24"/>
        </w:rPr>
        <w:t>C</w:t>
      </w:r>
      <w:r>
        <w:rPr>
          <w:rFonts w:ascii="Arial" w:hAnsi="Arial" w:cs="Arial" w:hint="eastAsia"/>
          <w:bCs/>
          <w:sz w:val="24"/>
          <w:szCs w:val="24"/>
        </w:rPr>
        <w:t>类基金份额分别设置代码，分别计算和公告各类基金份额净值和各类基金份额累计净值。</w:t>
      </w:r>
      <w:r>
        <w:rPr>
          <w:rFonts w:ascii="Arial" w:hAnsi="Arial" w:hint="eastAsia"/>
          <w:sz w:val="24"/>
          <w:szCs w:val="24"/>
        </w:rPr>
        <w:t>本基金各类基金份额净值的计算，保留到小数点后</w:t>
      </w:r>
      <w:r>
        <w:rPr>
          <w:rFonts w:ascii="Arial" w:hAnsi="Arial"/>
          <w:sz w:val="24"/>
          <w:szCs w:val="24"/>
        </w:rPr>
        <w:t>4</w:t>
      </w:r>
      <w:r>
        <w:rPr>
          <w:rFonts w:ascii="Arial" w:hAnsi="Arial" w:hint="eastAsia"/>
          <w:sz w:val="24"/>
          <w:szCs w:val="24"/>
        </w:rPr>
        <w:t>位，小数点后第</w:t>
      </w:r>
      <w:r>
        <w:rPr>
          <w:rFonts w:ascii="Arial" w:hAnsi="Arial"/>
          <w:sz w:val="24"/>
          <w:szCs w:val="24"/>
        </w:rPr>
        <w:t>5</w:t>
      </w:r>
      <w:r>
        <w:rPr>
          <w:rFonts w:ascii="Arial" w:hAnsi="Arial" w:hint="eastAsia"/>
          <w:sz w:val="24"/>
          <w:szCs w:val="24"/>
        </w:rPr>
        <w:t>位四舍五入，由此产生的收益或损失由基金财产承担。</w:t>
      </w:r>
      <w:r>
        <w:rPr>
          <w:rFonts w:ascii="Arial" w:hAnsi="Arial"/>
          <w:sz w:val="24"/>
          <w:szCs w:val="24"/>
        </w:rPr>
        <w:t>T</w:t>
      </w:r>
      <w:r>
        <w:rPr>
          <w:rFonts w:ascii="Arial" w:hAnsi="Arial" w:hint="eastAsia"/>
          <w:sz w:val="24"/>
          <w:szCs w:val="24"/>
        </w:rPr>
        <w:t>日的基金份额净值在当天收市后计算，并在</w:t>
      </w:r>
      <w:r>
        <w:rPr>
          <w:rFonts w:ascii="Arial" w:hAnsi="Arial"/>
          <w:sz w:val="24"/>
          <w:szCs w:val="24"/>
        </w:rPr>
        <w:t>T+1</w:t>
      </w:r>
      <w:r>
        <w:rPr>
          <w:rFonts w:ascii="Arial" w:hAnsi="Arial" w:hint="eastAsia"/>
          <w:sz w:val="24"/>
          <w:szCs w:val="24"/>
        </w:rPr>
        <w:t>日内公告。遇特殊情况，经中国证监会同意，可以适当延迟计算或公告。</w:t>
      </w:r>
    </w:p>
    <w:p w:rsidR="00572ECF" w:rsidRDefault="00915AEA">
      <w:pPr>
        <w:autoSpaceDE w:val="0"/>
        <w:autoSpaceDN w:val="0"/>
        <w:adjustRightInd w:val="0"/>
        <w:snapToGrid w:val="0"/>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八、申购与赎回的登记</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、经基金销售机构同意，基金投资者提出的申购和赎回申请，在基金管理人规定的时间之前可以撤销。</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、投资者申购基金成功后，登记机构在</w:t>
      </w:r>
      <w:r>
        <w:rPr>
          <w:rFonts w:ascii="Arial Unicode MS" w:hAnsi="Arial Unicode MS" w:cs="Arial"/>
          <w:kern w:val="0"/>
          <w:sz w:val="24"/>
          <w:szCs w:val="24"/>
        </w:rPr>
        <w:t>T+1</w:t>
      </w:r>
      <w:r>
        <w:rPr>
          <w:rFonts w:ascii="Arial Unicode MS" w:hAnsi="Arial Unicode MS" w:cs="Arial" w:hint="eastAsia"/>
          <w:kern w:val="0"/>
          <w:sz w:val="24"/>
          <w:szCs w:val="24"/>
        </w:rPr>
        <w:t>日为投资者登记权益并办理登记手续，投资人自</w:t>
      </w:r>
      <w:r>
        <w:rPr>
          <w:rFonts w:ascii="Arial Unicode MS" w:hAnsi="Arial Unicode MS" w:cs="Arial"/>
          <w:kern w:val="0"/>
          <w:sz w:val="24"/>
          <w:szCs w:val="24"/>
        </w:rPr>
        <w:t>T+2</w:t>
      </w:r>
      <w:r>
        <w:rPr>
          <w:rFonts w:ascii="Arial Unicode MS" w:hAnsi="Arial Unicode MS" w:cs="Arial" w:hint="eastAsia"/>
          <w:kern w:val="0"/>
          <w:sz w:val="24"/>
          <w:szCs w:val="24"/>
        </w:rPr>
        <w:t>日（含该日）后有权赎回该部分基金份额。</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、投资人赎回基金成功后，登记机构在</w:t>
      </w:r>
      <w:r>
        <w:rPr>
          <w:rFonts w:ascii="Arial Unicode MS" w:hAnsi="Arial Unicode MS" w:cs="Arial"/>
          <w:kern w:val="0"/>
          <w:sz w:val="24"/>
          <w:szCs w:val="24"/>
        </w:rPr>
        <w:t>T+1</w:t>
      </w:r>
      <w:r>
        <w:rPr>
          <w:rFonts w:ascii="Arial Unicode MS" w:hAnsi="Arial Unicode MS" w:cs="Arial" w:hint="eastAsia"/>
          <w:kern w:val="0"/>
          <w:sz w:val="24"/>
          <w:szCs w:val="24"/>
        </w:rPr>
        <w:t>日为投资者办理扣除权益的登记手续。</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、基金管理人可以在法律法规允许的范围内，对上述登记办理时间进行调整，但不得实质影响投资者的合法权益，并最迟于开始实施前依照《信息披露办法》的有关规定进行公告。</w:t>
      </w:r>
    </w:p>
    <w:p w:rsidR="00572ECF" w:rsidRDefault="00915AEA">
      <w:pPr>
        <w:adjustRightInd w:val="0"/>
        <w:snapToGrid w:val="0"/>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九、拒绝或暂停申购的情形及处理</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发生下列情况时，基金管理人可拒绝或暂停接受投资人的申购申请：</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、因不可抗力导致基金无法正常运作。</w:t>
      </w:r>
    </w:p>
    <w:p w:rsidR="00572ECF" w:rsidRDefault="00915AE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lastRenderedPageBreak/>
        <w:t>3</w:t>
      </w:r>
      <w:r>
        <w:rPr>
          <w:rFonts w:ascii="Arial Unicode MS" w:hAnsi="Arial Unicode MS" w:cs="Arial" w:hint="eastAsia"/>
          <w:kern w:val="0"/>
          <w:sz w:val="24"/>
          <w:szCs w:val="24"/>
        </w:rPr>
        <w:t>、证券、</w:t>
      </w:r>
      <w:r>
        <w:rPr>
          <w:rFonts w:ascii="Arial Unicode MS" w:hAnsi="Arial Unicode MS" w:cs="Arial"/>
          <w:kern w:val="0"/>
          <w:sz w:val="24"/>
          <w:szCs w:val="24"/>
        </w:rPr>
        <w:t>期货</w:t>
      </w:r>
      <w:r>
        <w:rPr>
          <w:rFonts w:ascii="Arial Unicode MS" w:hAnsi="Arial Unicode MS" w:cs="Arial" w:hint="eastAsia"/>
          <w:kern w:val="0"/>
          <w:sz w:val="24"/>
          <w:szCs w:val="24"/>
        </w:rPr>
        <w:t>交易所交易时间非正常停市，导致基金管理人无法计算当日基金资产净值。</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、基金管理人认为接受某笔或某些申购申请可能会影响或损害现有基金份额持有人利益或对存量基金份额持有人利益构成潜在重大不利影响时。</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5</w:t>
      </w:r>
      <w:r>
        <w:rPr>
          <w:rFonts w:ascii="Arial Unicode MS" w:hAnsi="Arial Unicode MS" w:cs="Arial" w:hint="eastAsia"/>
          <w:kern w:val="0"/>
          <w:sz w:val="24"/>
          <w:szCs w:val="24"/>
        </w:rPr>
        <w:t>、基金资产规模过大，使基金管理人无法找到合适的投资品种，或其他可能对基金业绩产生负面影响，</w:t>
      </w:r>
      <w:r>
        <w:rPr>
          <w:rFonts w:hint="eastAsia"/>
          <w:bCs/>
          <w:sz w:val="24"/>
        </w:rPr>
        <w:t>或发生其他</w:t>
      </w:r>
      <w:r>
        <w:rPr>
          <w:rFonts w:ascii="Arial Unicode MS" w:hAnsi="Arial Unicode MS" w:cs="Arial" w:hint="eastAsia"/>
          <w:kern w:val="0"/>
          <w:sz w:val="24"/>
          <w:szCs w:val="24"/>
        </w:rPr>
        <w:t>损害现有基金份额持有人利益的情形。</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6</w:t>
      </w:r>
      <w:r>
        <w:rPr>
          <w:rFonts w:ascii="Arial Unicode MS" w:hAnsi="Arial Unicode MS" w:cs="Arial" w:hint="eastAsia"/>
          <w:kern w:val="0"/>
          <w:sz w:val="24"/>
          <w:szCs w:val="24"/>
        </w:rPr>
        <w:t>、基金管理人、基金托管人、基金份额登记机构、销售机构等因异常情况导致基金销售系统、基金登记系统或基金会计系统无法正常运行。</w:t>
      </w:r>
    </w:p>
    <w:p w:rsidR="00572ECF" w:rsidRDefault="00915AEA">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rsidR="00572ECF" w:rsidRDefault="00915AEA">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rsidR="00572ECF" w:rsidRDefault="00915AEA">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rsidR="00572ECF" w:rsidRDefault="00915AEA">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572ECF" w:rsidRDefault="00915AEA">
      <w:pPr>
        <w:adjustRightInd w:val="0"/>
        <w:snapToGrid w:val="0"/>
        <w:ind w:firstLineChars="200" w:firstLine="482"/>
        <w:rPr>
          <w:rFonts w:ascii="Arial Unicode MS" w:hAnsi="Arial Unicode MS" w:cs="Arial"/>
          <w:b/>
          <w:bCs/>
          <w:sz w:val="24"/>
          <w:szCs w:val="24"/>
          <w:lang w:val="zh-CN"/>
        </w:rPr>
      </w:pPr>
      <w:bookmarkStart w:id="72" w:name="_Hlt70481650"/>
      <w:bookmarkEnd w:id="72"/>
      <w:r>
        <w:rPr>
          <w:rFonts w:ascii="Arial Unicode MS" w:hAnsi="Arial Unicode MS" w:hint="eastAsia"/>
          <w:b/>
          <w:bCs/>
          <w:sz w:val="24"/>
          <w:szCs w:val="24"/>
        </w:rPr>
        <w:t>十、暂停赎回或延缓支付赎回款项的情形</w:t>
      </w:r>
      <w:r>
        <w:rPr>
          <w:rFonts w:ascii="Arial Unicode MS" w:hAnsi="Arial Unicode MS"/>
          <w:b/>
          <w:bCs/>
          <w:sz w:val="24"/>
          <w:szCs w:val="24"/>
        </w:rPr>
        <w:t xml:space="preserve"> </w:t>
      </w:r>
      <w:r>
        <w:rPr>
          <w:rFonts w:ascii="Arial Unicode MS" w:hAnsi="Arial Unicode MS" w:cs="Arial"/>
          <w:b/>
          <w:bCs/>
          <w:sz w:val="24"/>
          <w:szCs w:val="24"/>
        </w:rPr>
        <w:t xml:space="preserve"> </w:t>
      </w:r>
    </w:p>
    <w:p w:rsidR="00572ECF" w:rsidRDefault="00915AEA">
      <w:pPr>
        <w:adjustRightInd w:val="0"/>
        <w:snapToGrid w:val="0"/>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发生下列情形时，基金管理人可暂停接受投资人的赎回申请或延缓支付赎回款项：</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、因不可抗力导致基金管理人不能支付赎回款项。</w:t>
      </w:r>
    </w:p>
    <w:p w:rsidR="00572ECF" w:rsidRDefault="00915AEA">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、证券、</w:t>
      </w:r>
      <w:r>
        <w:rPr>
          <w:rFonts w:ascii="Arial Unicode MS" w:hAnsi="Arial Unicode MS" w:cs="Arial"/>
          <w:kern w:val="0"/>
          <w:sz w:val="24"/>
          <w:szCs w:val="24"/>
        </w:rPr>
        <w:t>期货</w:t>
      </w:r>
      <w:r>
        <w:rPr>
          <w:rFonts w:ascii="Arial Unicode MS" w:hAnsi="Arial Unicode MS" w:cs="Arial" w:hint="eastAsia"/>
          <w:kern w:val="0"/>
          <w:sz w:val="24"/>
          <w:szCs w:val="24"/>
        </w:rPr>
        <w:t>交易所交易时间非正常停市，导致基金管理人无法计算当日基金资产</w:t>
      </w:r>
      <w:bookmarkStart w:id="73" w:name="_Hlt152500890"/>
      <w:r>
        <w:rPr>
          <w:rFonts w:ascii="Arial Unicode MS" w:hAnsi="Arial Unicode MS" w:cs="Arial" w:hint="eastAsia"/>
          <w:kern w:val="0"/>
          <w:sz w:val="24"/>
          <w:szCs w:val="24"/>
        </w:rPr>
        <w:t>净值。</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、连续两个或两个以上开放日发生巨额赎回。</w:t>
      </w:r>
    </w:p>
    <w:bookmarkEnd w:id="73"/>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lastRenderedPageBreak/>
        <w:t>5</w:t>
      </w:r>
      <w:r>
        <w:rPr>
          <w:rFonts w:ascii="Arial Unicode MS" w:hAnsi="Arial Unicode MS" w:cs="Arial" w:hint="eastAsia"/>
          <w:kern w:val="0"/>
          <w:sz w:val="24"/>
          <w:szCs w:val="24"/>
        </w:rPr>
        <w:t>、发生继续接受赎回申请将损害现有基金份额持有人利益的情形时。</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6</w:t>
      </w:r>
      <w:r>
        <w:rPr>
          <w:rFonts w:ascii="Arial Unicode MS" w:hAnsi="Arial Unicode MS" w:cs="Arial" w:hint="eastAsia"/>
          <w:kern w:val="0"/>
          <w:sz w:val="24"/>
          <w:szCs w:val="24"/>
        </w:rPr>
        <w:t>、当前一估值日基金资产净值</w:t>
      </w:r>
      <w:r>
        <w:rPr>
          <w:rFonts w:ascii="Arial Unicode MS" w:hAnsi="Arial Unicode MS" w:cs="Arial" w:hint="eastAsia"/>
          <w:kern w:val="0"/>
          <w:sz w:val="24"/>
          <w:szCs w:val="24"/>
        </w:rPr>
        <w:t>50%</w:t>
      </w:r>
      <w:r>
        <w:rPr>
          <w:rFonts w:ascii="Arial Unicode MS" w:hAnsi="Arial Unicode MS" w:cs="Arial" w:hint="eastAsia"/>
          <w:kern w:val="0"/>
          <w:sz w:val="24"/>
          <w:szCs w:val="24"/>
        </w:rPr>
        <w:t>以上的资产出现无可参考的活跃市场价格且采用估值技术</w:t>
      </w:r>
      <w:proofErr w:type="gramStart"/>
      <w:r>
        <w:rPr>
          <w:rFonts w:ascii="Arial Unicode MS" w:hAnsi="Arial Unicode MS" w:cs="Arial" w:hint="eastAsia"/>
          <w:kern w:val="0"/>
          <w:sz w:val="24"/>
          <w:szCs w:val="24"/>
        </w:rPr>
        <w:t>仍导致</w:t>
      </w:r>
      <w:proofErr w:type="gramEnd"/>
      <w:r>
        <w:rPr>
          <w:rFonts w:ascii="Arial Unicode MS" w:hAnsi="Arial Unicode MS" w:cs="Arial" w:hint="eastAsia"/>
          <w:kern w:val="0"/>
          <w:sz w:val="24"/>
          <w:szCs w:val="24"/>
        </w:rPr>
        <w:t>公允价值存在重大不确定性时，经与基金托管人协商确认后，基金管理人暂停基金估值并采取延缓支付赎回款项或暂停接受基金赎回申请的措施。</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7</w:t>
      </w:r>
      <w:r>
        <w:rPr>
          <w:rFonts w:ascii="Arial Unicode MS" w:hAnsi="Arial Unicode MS" w:cs="Arial" w:hint="eastAsia"/>
          <w:kern w:val="0"/>
          <w:sz w:val="24"/>
          <w:szCs w:val="24"/>
        </w:rPr>
        <w:t>、法律法规规定或中国证监会认定的其他情形。</w:t>
      </w:r>
    </w:p>
    <w:p w:rsidR="00572ECF" w:rsidRDefault="00915AEA">
      <w:pPr>
        <w:spacing w:line="360" w:lineRule="auto"/>
        <w:ind w:firstLineChars="200" w:firstLine="480"/>
        <w:rPr>
          <w:bCs/>
          <w:sz w:val="24"/>
          <w:szCs w:val="24"/>
        </w:rPr>
      </w:pPr>
      <w:r>
        <w:rPr>
          <w:bCs/>
          <w:sz w:val="24"/>
          <w:szCs w:val="24"/>
        </w:rPr>
        <w:t>发生上述情形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十一、巨额赎回的情形及处理方式</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、巨额赎回的认定</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若本基金单个开放日内的基金份额净赎回申请</w:t>
      </w:r>
      <w:r>
        <w:rPr>
          <w:rFonts w:ascii="Arial Unicode MS" w:hAnsi="Arial Unicode MS" w:cs="Arial"/>
          <w:kern w:val="0"/>
          <w:sz w:val="24"/>
          <w:szCs w:val="24"/>
        </w:rPr>
        <w:t>(</w:t>
      </w:r>
      <w:r>
        <w:rPr>
          <w:rFonts w:ascii="Arial Unicode MS" w:hAnsi="Arial Unicode MS" w:cs="Arial" w:hint="eastAsia"/>
          <w:kern w:val="0"/>
          <w:sz w:val="24"/>
          <w:szCs w:val="24"/>
        </w:rPr>
        <w:t>赎回申请份额总数加上基金转换中转出申请份额总数后扣除申购申请份额总数及基金转换中转入申请份额总数后的余额</w:t>
      </w:r>
      <w:r>
        <w:rPr>
          <w:rFonts w:ascii="Arial Unicode MS" w:hAnsi="Arial Unicode MS" w:cs="Arial"/>
          <w:kern w:val="0"/>
          <w:sz w:val="24"/>
          <w:szCs w:val="24"/>
        </w:rPr>
        <w:t>)</w:t>
      </w:r>
      <w:r>
        <w:rPr>
          <w:rFonts w:ascii="Arial Unicode MS" w:hAnsi="Arial Unicode MS" w:cs="Arial" w:hint="eastAsia"/>
          <w:kern w:val="0"/>
          <w:sz w:val="24"/>
          <w:szCs w:val="24"/>
        </w:rPr>
        <w:t>超过前一开放日的基金总份额的</w:t>
      </w:r>
      <w:r>
        <w:rPr>
          <w:rFonts w:ascii="Arial Unicode MS" w:hAnsi="Arial Unicode MS" w:cs="Arial"/>
          <w:kern w:val="0"/>
          <w:sz w:val="24"/>
          <w:szCs w:val="24"/>
        </w:rPr>
        <w:t>10%</w:t>
      </w:r>
      <w:r>
        <w:rPr>
          <w:rFonts w:ascii="Arial Unicode MS" w:hAnsi="Arial Unicode MS" w:cs="Arial" w:hint="eastAsia"/>
          <w:kern w:val="0"/>
          <w:sz w:val="24"/>
          <w:szCs w:val="24"/>
        </w:rPr>
        <w:t>，即认为是发生了巨额赎回。</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、巨额赎回的处理方式</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当基金出现巨额赎回时，基金管理人可以根据基金当时的资产组合状况决定全额赎回或部分延期赎回。</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）全额赎回：当基金管理人认为有能力支付投资人的全部赎回申请时，按正常赎回程序执行。</w:t>
      </w:r>
      <w:r>
        <w:rPr>
          <w:rFonts w:ascii="Arial Unicode MS" w:hAnsi="Arial Unicode MS" w:cs="Arial"/>
          <w:kern w:val="0"/>
          <w:sz w:val="24"/>
          <w:szCs w:val="24"/>
        </w:rPr>
        <w:t xml:space="preserve"> </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Arial Unicode MS" w:hAnsi="Arial Unicode MS" w:cs="Arial"/>
          <w:kern w:val="0"/>
          <w:sz w:val="24"/>
          <w:szCs w:val="24"/>
        </w:rPr>
        <w:t>10%</w:t>
      </w:r>
      <w:r>
        <w:rPr>
          <w:rFonts w:ascii="Arial Unicode MS" w:hAnsi="Arial Unicode MS" w:cs="Arial" w:hint="eastAsia"/>
          <w:kern w:val="0"/>
          <w:sz w:val="24"/>
          <w:szCs w:val="24"/>
        </w:rPr>
        <w:lastRenderedPageBreak/>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w:t>
      </w:r>
      <w:r>
        <w:rPr>
          <w:rFonts w:ascii="Arial Unicode MS" w:hAnsi="Arial Unicode MS" w:cs="Arial" w:hint="eastAsia"/>
          <w:kern w:val="0"/>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Arial Unicode MS" w:hAnsi="Arial Unicode MS" w:cs="Arial" w:hint="eastAsia"/>
          <w:kern w:val="0"/>
          <w:sz w:val="24"/>
          <w:szCs w:val="24"/>
        </w:rPr>
        <w:t>并以下</w:t>
      </w:r>
      <w:proofErr w:type="gramEnd"/>
      <w:r>
        <w:rPr>
          <w:rFonts w:ascii="Arial Unicode MS" w:hAnsi="Arial Unicode MS" w:cs="Arial" w:hint="eastAsia"/>
          <w:kern w:val="0"/>
          <w:sz w:val="24"/>
          <w:szCs w:val="24"/>
        </w:rPr>
        <w:t>一开放日的该类基金份额净值为基础计算赎回金额，以此类推，直到全部赎回为止。如投资人在提交赎回申请时未作明确选择，投资人未能赎回部分作自动延期赎回处理。部分延期赎回不受单笔赎回最低份额的限制。</w:t>
      </w:r>
      <w:r>
        <w:rPr>
          <w:rFonts w:ascii="Arial Unicode MS" w:hAnsi="Arial Unicode MS" w:cs="Arial"/>
          <w:kern w:val="0"/>
          <w:sz w:val="24"/>
          <w:szCs w:val="24"/>
        </w:rPr>
        <w:t xml:space="preserve"> </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hint="eastAsia"/>
          <w:kern w:val="0"/>
          <w:sz w:val="24"/>
          <w:szCs w:val="24"/>
        </w:rPr>
        <w:t>3</w:t>
      </w:r>
      <w:r>
        <w:rPr>
          <w:rFonts w:ascii="Arial Unicode MS" w:hAnsi="Arial Unicode MS" w:cs="Arial" w:hint="eastAsia"/>
          <w:kern w:val="0"/>
          <w:sz w:val="24"/>
          <w:szCs w:val="24"/>
        </w:rPr>
        <w:t>）暂停赎回：连续</w:t>
      </w:r>
      <w:r>
        <w:rPr>
          <w:rFonts w:ascii="Arial Unicode MS" w:hAnsi="Arial Unicode MS" w:cs="Arial" w:hint="eastAsia"/>
          <w:kern w:val="0"/>
          <w:sz w:val="24"/>
          <w:szCs w:val="24"/>
        </w:rPr>
        <w:t>2</w:t>
      </w:r>
      <w:r>
        <w:rPr>
          <w:rFonts w:ascii="Arial Unicode MS" w:hAnsi="Arial Unicode MS" w:cs="Arial" w:hint="eastAsia"/>
          <w:kern w:val="0"/>
          <w:sz w:val="24"/>
          <w:szCs w:val="24"/>
        </w:rPr>
        <w:t>个开放日以上</w:t>
      </w:r>
      <w:r>
        <w:rPr>
          <w:rFonts w:ascii="Arial Unicode MS" w:hAnsi="Arial Unicode MS" w:cs="Arial" w:hint="eastAsia"/>
          <w:kern w:val="0"/>
          <w:sz w:val="24"/>
          <w:szCs w:val="24"/>
        </w:rPr>
        <w:t>(</w:t>
      </w:r>
      <w:r>
        <w:rPr>
          <w:rFonts w:ascii="Arial Unicode MS" w:hAnsi="Arial Unicode MS" w:cs="Arial" w:hint="eastAsia"/>
          <w:kern w:val="0"/>
          <w:sz w:val="24"/>
          <w:szCs w:val="24"/>
        </w:rPr>
        <w:t>含本数</w:t>
      </w:r>
      <w:r>
        <w:rPr>
          <w:rFonts w:ascii="Arial Unicode MS" w:hAnsi="Arial Unicode MS" w:cs="Arial" w:hint="eastAsia"/>
          <w:kern w:val="0"/>
          <w:sz w:val="24"/>
          <w:szCs w:val="24"/>
        </w:rPr>
        <w:t>)</w:t>
      </w:r>
      <w:r>
        <w:rPr>
          <w:rFonts w:ascii="Arial Unicode MS" w:hAnsi="Arial Unicode MS" w:cs="Arial" w:hint="eastAsia"/>
          <w:kern w:val="0"/>
          <w:sz w:val="24"/>
          <w:szCs w:val="24"/>
        </w:rPr>
        <w:t>发生巨额赎回，如基金管理人认为有必要，可暂停接受基金的赎回申请；已经接受的赎回申请可以延缓支付赎回款项，但不得超过</w:t>
      </w:r>
      <w:r>
        <w:rPr>
          <w:rFonts w:ascii="Arial Unicode MS" w:hAnsi="Arial Unicode MS" w:cs="Arial" w:hint="eastAsia"/>
          <w:kern w:val="0"/>
          <w:sz w:val="24"/>
          <w:szCs w:val="24"/>
        </w:rPr>
        <w:t>20</w:t>
      </w:r>
      <w:r>
        <w:rPr>
          <w:rFonts w:ascii="Arial Unicode MS" w:hAnsi="Arial Unicode MS" w:cs="Arial" w:hint="eastAsia"/>
          <w:kern w:val="0"/>
          <w:sz w:val="24"/>
          <w:szCs w:val="24"/>
        </w:rPr>
        <w:t>个工作日，并应当在指定媒介上进行公告。</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、巨额赎回的公告</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当发生上述巨额赎回并延期办理时，基金管理人应当通过邮寄、传真或者招募说明书规定的其他方式在</w:t>
      </w:r>
      <w:r>
        <w:rPr>
          <w:rFonts w:ascii="Arial Unicode MS" w:hAnsi="Arial Unicode MS" w:cs="Arial"/>
          <w:kern w:val="0"/>
          <w:sz w:val="24"/>
          <w:szCs w:val="24"/>
        </w:rPr>
        <w:t>3</w:t>
      </w:r>
      <w:r>
        <w:rPr>
          <w:rFonts w:ascii="Arial Unicode MS" w:hAnsi="Arial Unicode MS" w:cs="Arial" w:hint="eastAsia"/>
          <w:kern w:val="0"/>
          <w:sz w:val="24"/>
          <w:szCs w:val="24"/>
        </w:rPr>
        <w:t>个交易日内通知基金份额持有人，说明有关处理方法，同时在指定媒介上刊登公告。</w:t>
      </w:r>
    </w:p>
    <w:p w:rsidR="00572ECF" w:rsidRDefault="00915AEA">
      <w:pPr>
        <w:autoSpaceDE w:val="0"/>
        <w:autoSpaceDN w:val="0"/>
        <w:adjustRightInd w:val="0"/>
        <w:spacing w:line="360" w:lineRule="auto"/>
        <w:ind w:firstLine="420"/>
        <w:rPr>
          <w:rFonts w:ascii="Arial Unicode MS" w:hAnsi="Arial Unicode MS"/>
          <w:b/>
          <w:bCs/>
          <w:sz w:val="24"/>
          <w:szCs w:val="24"/>
        </w:rPr>
      </w:pPr>
      <w:r>
        <w:rPr>
          <w:rFonts w:ascii="Arial Unicode MS" w:hAnsi="Arial Unicode MS" w:hint="eastAsia"/>
          <w:b/>
          <w:bCs/>
          <w:sz w:val="24"/>
          <w:szCs w:val="24"/>
        </w:rPr>
        <w:t>十二、</w:t>
      </w:r>
      <w:r>
        <w:rPr>
          <w:rFonts w:ascii="Arial Unicode MS" w:hAnsi="Arial Unicode MS"/>
          <w:b/>
          <w:bCs/>
          <w:sz w:val="24"/>
          <w:szCs w:val="24"/>
        </w:rPr>
        <w:t>暂停申购或赎回的公告和重新开放申购或赎回的公告</w:t>
      </w:r>
    </w:p>
    <w:p w:rsidR="00572ECF" w:rsidRDefault="00915AEA">
      <w:pPr>
        <w:autoSpaceDE w:val="0"/>
        <w:autoSpaceDN w:val="0"/>
        <w:adjustRightInd w:val="0"/>
        <w:spacing w:line="360" w:lineRule="auto"/>
        <w:ind w:firstLine="420"/>
        <w:rPr>
          <w:rFonts w:ascii="Arial Unicode MS" w:hAnsi="Arial Unicode MS" w:cs="Arial"/>
          <w:kern w:val="0"/>
          <w:sz w:val="24"/>
          <w:szCs w:val="24"/>
        </w:rPr>
      </w:pPr>
      <w:r>
        <w:rPr>
          <w:rFonts w:ascii="Arial Unicode MS" w:hAnsi="Arial Unicode MS" w:cs="Arial" w:hint="eastAsia"/>
          <w:kern w:val="0"/>
          <w:sz w:val="24"/>
          <w:szCs w:val="24"/>
        </w:rPr>
        <w:t>1</w:t>
      </w:r>
      <w:r>
        <w:rPr>
          <w:rFonts w:ascii="Arial Unicode MS" w:hAnsi="Arial Unicode MS" w:cs="Arial" w:hint="eastAsia"/>
          <w:kern w:val="0"/>
          <w:sz w:val="24"/>
          <w:szCs w:val="24"/>
        </w:rPr>
        <w:t>、发生上述暂停申购或赎回情况的，基金管理人</w:t>
      </w:r>
      <w:proofErr w:type="gramStart"/>
      <w:r>
        <w:rPr>
          <w:rFonts w:ascii="Arial Unicode MS" w:hAnsi="Arial Unicode MS" w:cs="Arial" w:hint="eastAsia"/>
          <w:kern w:val="0"/>
          <w:sz w:val="24"/>
          <w:szCs w:val="24"/>
        </w:rPr>
        <w:t>当日应</w:t>
      </w:r>
      <w:proofErr w:type="gramEnd"/>
      <w:r>
        <w:rPr>
          <w:rFonts w:ascii="Arial Unicode MS" w:hAnsi="Arial Unicode MS" w:cs="Arial" w:hint="eastAsia"/>
          <w:kern w:val="0"/>
          <w:sz w:val="24"/>
          <w:szCs w:val="24"/>
        </w:rPr>
        <w:t>立即向中国证监会备案，并在规定期限内在指定媒介上刊登暂停公告。</w:t>
      </w:r>
    </w:p>
    <w:p w:rsidR="00572ECF" w:rsidRDefault="00915AEA">
      <w:pPr>
        <w:autoSpaceDE w:val="0"/>
        <w:autoSpaceDN w:val="0"/>
        <w:adjustRightInd w:val="0"/>
        <w:spacing w:line="360" w:lineRule="auto"/>
        <w:ind w:firstLine="420"/>
        <w:rPr>
          <w:rFonts w:ascii="Arial Unicode MS" w:hAnsi="Arial Unicode MS" w:cs="Arial"/>
          <w:kern w:val="0"/>
          <w:sz w:val="24"/>
          <w:szCs w:val="24"/>
        </w:rPr>
      </w:pPr>
      <w:r>
        <w:rPr>
          <w:rFonts w:ascii="Arial Unicode MS" w:hAnsi="Arial Unicode MS" w:cs="Arial" w:hint="eastAsia"/>
          <w:kern w:val="0"/>
          <w:sz w:val="24"/>
          <w:szCs w:val="24"/>
        </w:rPr>
        <w:t>2</w:t>
      </w:r>
      <w:r>
        <w:rPr>
          <w:rFonts w:ascii="Arial Unicode MS" w:hAnsi="Arial Unicode MS" w:cs="Arial" w:hint="eastAsia"/>
          <w:kern w:val="0"/>
          <w:sz w:val="24"/>
          <w:szCs w:val="24"/>
        </w:rPr>
        <w:t>、上述暂停申购或赎回情况消除的，基金管理人应于重新开放日公布最近</w:t>
      </w:r>
      <w:r>
        <w:rPr>
          <w:rFonts w:ascii="Arial Unicode MS" w:hAnsi="Arial Unicode MS" w:cs="Arial" w:hint="eastAsia"/>
          <w:kern w:val="0"/>
          <w:sz w:val="24"/>
          <w:szCs w:val="24"/>
        </w:rPr>
        <w:t>1</w:t>
      </w:r>
      <w:r>
        <w:rPr>
          <w:rFonts w:ascii="Arial Unicode MS" w:hAnsi="Arial Unicode MS" w:cs="Arial" w:hint="eastAsia"/>
          <w:kern w:val="0"/>
          <w:sz w:val="24"/>
          <w:szCs w:val="24"/>
        </w:rPr>
        <w:t>个开放日各类基金份额的基金份额净值。</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lastRenderedPageBreak/>
        <w:t>十三、基金转换</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rsidR="00572ECF" w:rsidRDefault="00915AEA">
      <w:pPr>
        <w:autoSpaceDE w:val="0"/>
        <w:autoSpaceDN w:val="0"/>
        <w:adjustRightInd w:val="0"/>
        <w:spacing w:line="360" w:lineRule="auto"/>
        <w:ind w:firstLine="422"/>
        <w:jc w:val="left"/>
        <w:rPr>
          <w:rFonts w:ascii="Arial Unicode MS" w:hAnsi="Arial Unicode MS"/>
          <w:b/>
          <w:bCs/>
          <w:sz w:val="24"/>
          <w:szCs w:val="24"/>
        </w:rPr>
      </w:pPr>
      <w:r>
        <w:rPr>
          <w:rFonts w:ascii="Arial Unicode MS" w:hAnsi="Arial Unicode MS" w:hint="eastAsia"/>
          <w:b/>
          <w:bCs/>
          <w:sz w:val="24"/>
          <w:szCs w:val="24"/>
        </w:rPr>
        <w:t>十四、基金的</w:t>
      </w:r>
      <w:proofErr w:type="gramStart"/>
      <w:r>
        <w:rPr>
          <w:rFonts w:ascii="Arial Unicode MS" w:hAnsi="Arial Unicode MS" w:hint="eastAsia"/>
          <w:b/>
          <w:bCs/>
          <w:sz w:val="24"/>
          <w:szCs w:val="24"/>
        </w:rPr>
        <w:t>非交易</w:t>
      </w:r>
      <w:proofErr w:type="gramEnd"/>
      <w:r>
        <w:rPr>
          <w:rFonts w:ascii="Arial Unicode MS" w:hAnsi="Arial Unicode MS" w:hint="eastAsia"/>
          <w:b/>
          <w:bCs/>
          <w:sz w:val="24"/>
          <w:szCs w:val="24"/>
        </w:rPr>
        <w:t>过户</w:t>
      </w:r>
    </w:p>
    <w:p w:rsidR="00572ECF" w:rsidRDefault="00915AEA">
      <w:pPr>
        <w:autoSpaceDE w:val="0"/>
        <w:autoSpaceDN w:val="0"/>
        <w:adjustRightInd w:val="0"/>
        <w:spacing w:line="360" w:lineRule="auto"/>
        <w:ind w:firstLine="422"/>
        <w:jc w:val="left"/>
        <w:rPr>
          <w:rFonts w:ascii="Arial Unicode MS" w:hAnsi="Arial Unicode MS"/>
          <w:bCs/>
          <w:sz w:val="24"/>
          <w:szCs w:val="24"/>
        </w:rPr>
      </w:pPr>
      <w:r>
        <w:rPr>
          <w:rFonts w:ascii="Arial Unicode MS" w:hAnsi="Arial Unicode MS" w:hint="eastAsia"/>
          <w:bCs/>
          <w:sz w:val="24"/>
          <w:szCs w:val="24"/>
        </w:rPr>
        <w:t>基金的</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过户是指基金登记机构受理继承、捐赠和司法强制执行等情形而产生的</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过户以及登记机构认可、符合法律法规的其它</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过户。无论在上述何种情况下，接受划转的主体必须是依法可以持有本</w:t>
      </w:r>
      <w:proofErr w:type="gramStart"/>
      <w:r>
        <w:rPr>
          <w:rFonts w:ascii="Arial Unicode MS" w:hAnsi="Arial Unicode MS" w:hint="eastAsia"/>
          <w:bCs/>
          <w:sz w:val="24"/>
          <w:szCs w:val="24"/>
        </w:rPr>
        <w:t>基金基金</w:t>
      </w:r>
      <w:proofErr w:type="gramEnd"/>
      <w:r>
        <w:rPr>
          <w:rFonts w:ascii="Arial Unicode MS" w:hAnsi="Arial Unicode MS" w:hint="eastAsia"/>
          <w:bCs/>
          <w:sz w:val="24"/>
          <w:szCs w:val="24"/>
        </w:rPr>
        <w:t>份额的投资人。</w:t>
      </w:r>
    </w:p>
    <w:p w:rsidR="00572ECF" w:rsidRDefault="00915AEA">
      <w:pPr>
        <w:autoSpaceDE w:val="0"/>
        <w:autoSpaceDN w:val="0"/>
        <w:adjustRightInd w:val="0"/>
        <w:spacing w:line="360" w:lineRule="auto"/>
        <w:ind w:firstLine="422"/>
        <w:jc w:val="left"/>
        <w:rPr>
          <w:rFonts w:ascii="Arial Unicode MS" w:hAnsi="Arial Unicode MS" w:cs="Arial"/>
          <w:kern w:val="0"/>
          <w:sz w:val="24"/>
          <w:szCs w:val="24"/>
        </w:rPr>
      </w:pPr>
      <w:r>
        <w:rPr>
          <w:rFonts w:ascii="Arial Unicode MS" w:hAnsi="Arial Unicode MS" w:hint="eastAsia"/>
          <w:bCs/>
          <w:sz w:val="24"/>
          <w:szCs w:val="24"/>
        </w:rPr>
        <w:t>继承是指基金份额持有人死亡，其持有的基金份额由其合法的继承人继承；</w:t>
      </w:r>
      <w:proofErr w:type="gramStart"/>
      <w:r>
        <w:rPr>
          <w:rFonts w:ascii="Arial Unicode MS" w:hAnsi="Arial Unicode MS" w:hint="eastAsia"/>
          <w:bCs/>
          <w:sz w:val="24"/>
          <w:szCs w:val="24"/>
        </w:rPr>
        <w:t>捐赠指</w:t>
      </w:r>
      <w:proofErr w:type="gramEnd"/>
      <w:r>
        <w:rPr>
          <w:rFonts w:ascii="Arial Unicode MS" w:hAnsi="Arial Unicode MS" w:hint="eastAsia"/>
          <w:bCs/>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过户必须提供基金登记机构要求提供的相关资料，对于符合条件的</w:t>
      </w:r>
      <w:proofErr w:type="gramStart"/>
      <w:r>
        <w:rPr>
          <w:rFonts w:ascii="Arial Unicode MS" w:hAnsi="Arial Unicode MS" w:hint="eastAsia"/>
          <w:bCs/>
          <w:sz w:val="24"/>
          <w:szCs w:val="24"/>
        </w:rPr>
        <w:t>非交易过户申请按</w:t>
      </w:r>
      <w:proofErr w:type="gramEnd"/>
      <w:r>
        <w:rPr>
          <w:rFonts w:ascii="Arial Unicode MS" w:hAnsi="Arial Unicode MS" w:hint="eastAsia"/>
          <w:bCs/>
          <w:sz w:val="24"/>
          <w:szCs w:val="24"/>
        </w:rPr>
        <w:t>基金登记机构的规定办理，并按基金登记机构规定的标准收费。</w:t>
      </w:r>
    </w:p>
    <w:p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十五、基金的转托管</w:t>
      </w:r>
    </w:p>
    <w:p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基金份额持有人可办理已持有基金份额在不同销售机构之间的转托管，基金销售机构可以按照规定的标准收取转托管费。</w:t>
      </w:r>
    </w:p>
    <w:p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十六、定期定额投资计划</w:t>
      </w:r>
    </w:p>
    <w:p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十七、基金份额的冻结、解冻与质押</w:t>
      </w:r>
    </w:p>
    <w:p w:rsidR="00572ECF" w:rsidRDefault="00915AEA">
      <w:pPr>
        <w:autoSpaceDE w:val="0"/>
        <w:autoSpaceDN w:val="0"/>
        <w:adjustRightInd w:val="0"/>
        <w:spacing w:line="360" w:lineRule="auto"/>
        <w:ind w:firstLine="420"/>
        <w:jc w:val="left"/>
        <w:rPr>
          <w:rFonts w:ascii="Arial Unicode MS" w:hAnsi="Arial Unicode MS"/>
          <w:bCs/>
          <w:sz w:val="24"/>
          <w:szCs w:val="24"/>
        </w:rPr>
      </w:pPr>
      <w:r>
        <w:rPr>
          <w:rFonts w:ascii="Arial Unicode MS" w:hAnsi="Arial Unicode MS" w:hint="eastAsia"/>
          <w:bCs/>
          <w:sz w:val="24"/>
          <w:szCs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如相关法律法规允许基金管理人办理基金份额的质押业务或其他基金业务，</w:t>
      </w:r>
      <w:r>
        <w:rPr>
          <w:rFonts w:ascii="Arial Unicode MS" w:hAnsi="Arial Unicode MS" w:hint="eastAsia"/>
          <w:bCs/>
          <w:sz w:val="24"/>
          <w:szCs w:val="24"/>
        </w:rPr>
        <w:lastRenderedPageBreak/>
        <w:t>基金管理人有权制定和实施相应的业务规则。</w:t>
      </w:r>
    </w:p>
    <w:p w:rsidR="00572ECF" w:rsidRDefault="00915AEA">
      <w:pPr>
        <w:autoSpaceDE w:val="0"/>
        <w:autoSpaceDN w:val="0"/>
        <w:adjustRightInd w:val="0"/>
        <w:spacing w:line="360" w:lineRule="auto"/>
        <w:ind w:firstLine="420"/>
        <w:jc w:val="left"/>
        <w:rPr>
          <w:rFonts w:ascii="Arial Unicode MS" w:hAnsi="Arial Unicode MS"/>
          <w:b/>
          <w:bCs/>
          <w:sz w:val="24"/>
          <w:szCs w:val="24"/>
        </w:rPr>
      </w:pPr>
      <w:r>
        <w:rPr>
          <w:rFonts w:ascii="Arial Unicode MS" w:hAnsi="Arial Unicode MS" w:hint="eastAsia"/>
          <w:b/>
          <w:bCs/>
          <w:sz w:val="24"/>
          <w:szCs w:val="24"/>
        </w:rPr>
        <w:t>十八、基金份额的转让</w:t>
      </w:r>
    </w:p>
    <w:p w:rsidR="00572ECF" w:rsidRDefault="00915AEA">
      <w:pPr>
        <w:autoSpaceDE w:val="0"/>
        <w:autoSpaceDN w:val="0"/>
        <w:adjustRightInd w:val="0"/>
        <w:spacing w:line="360" w:lineRule="auto"/>
        <w:ind w:firstLine="420"/>
        <w:jc w:val="left"/>
        <w:rPr>
          <w:rFonts w:ascii="Arial Unicode MS" w:hAnsi="Arial Unicode MS" w:cs="Arial"/>
          <w:kern w:val="0"/>
          <w:sz w:val="24"/>
          <w:szCs w:val="24"/>
        </w:rPr>
      </w:pPr>
      <w:r>
        <w:rPr>
          <w:rFonts w:ascii="Arial Unicode MS" w:hAnsi="Arial Unicode MS"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572ECF" w:rsidRDefault="00915AEA">
      <w:pPr>
        <w:widowControl/>
        <w:jc w:val="left"/>
        <w:rPr>
          <w:sz w:val="24"/>
          <w:szCs w:val="24"/>
        </w:rPr>
      </w:pPr>
      <w:r>
        <w:rPr>
          <w:sz w:val="24"/>
          <w:szCs w:val="24"/>
        </w:rPr>
        <w:br w:type="page"/>
      </w:r>
    </w:p>
    <w:p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74" w:name="_Toc386115306"/>
      <w:bookmarkStart w:id="75" w:name="_Toc317088543"/>
      <w:bookmarkStart w:id="76" w:name="_Toc320887648"/>
      <w:bookmarkStart w:id="77" w:name="_Toc335232697"/>
      <w:bookmarkStart w:id="78" w:name="_Toc317088146"/>
      <w:bookmarkStart w:id="79" w:name="_Toc214873598"/>
      <w:bookmarkStart w:id="80" w:name="_Toc527465999"/>
      <w:r>
        <w:rPr>
          <w:rFonts w:ascii="Arial Unicode MS" w:eastAsia="宋体" w:hAnsi="Arial Unicode MS" w:cs="Arial" w:hint="eastAsia"/>
          <w:b/>
          <w:bCs/>
          <w:sz w:val="30"/>
          <w:szCs w:val="30"/>
        </w:rPr>
        <w:lastRenderedPageBreak/>
        <w:t>第九部分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基金的投资</w:t>
      </w:r>
      <w:bookmarkEnd w:id="74"/>
      <w:bookmarkEnd w:id="75"/>
      <w:bookmarkEnd w:id="76"/>
      <w:bookmarkEnd w:id="77"/>
      <w:bookmarkEnd w:id="78"/>
      <w:bookmarkEnd w:id="79"/>
      <w:bookmarkEnd w:id="80"/>
    </w:p>
    <w:p w:rsidR="00572ECF" w:rsidRDefault="00572ECF">
      <w:pPr>
        <w:rPr>
          <w:rFonts w:ascii="Arial Unicode MS" w:hAnsi="Arial Unicode MS"/>
          <w:lang w:val="zh-CN"/>
        </w:rPr>
      </w:pPr>
    </w:p>
    <w:p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b/>
          <w:bCs/>
          <w:sz w:val="24"/>
          <w:szCs w:val="24"/>
        </w:rPr>
        <w:t>一、投资目标</w:t>
      </w:r>
    </w:p>
    <w:p w:rsidR="00572ECF" w:rsidRDefault="00915AEA">
      <w:pPr>
        <w:adjustRightInd w:val="0"/>
        <w:snapToGrid w:val="0"/>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本基金通过主要投资于债券品种，追求基金资产的长期稳健增值。</w:t>
      </w:r>
    </w:p>
    <w:p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b/>
          <w:bCs/>
          <w:sz w:val="24"/>
          <w:szCs w:val="24"/>
        </w:rPr>
        <w:t>二、投资范围</w:t>
      </w:r>
    </w:p>
    <w:p w:rsidR="00572ECF" w:rsidRDefault="00915AEA">
      <w:pPr>
        <w:adjustRightInd w:val="0"/>
        <w:snapToGrid w:val="0"/>
        <w:spacing w:line="360" w:lineRule="auto"/>
        <w:ind w:firstLineChars="200" w:firstLine="480"/>
        <w:rPr>
          <w:bCs/>
          <w:sz w:val="24"/>
          <w:szCs w:val="21"/>
        </w:rPr>
      </w:pPr>
      <w:r>
        <w:rPr>
          <w:rFonts w:hint="eastAsia"/>
          <w:bCs/>
          <w:sz w:val="24"/>
          <w:szCs w:val="21"/>
        </w:rPr>
        <w:t>本基金的投资范围为具有良好流动性的金融</w:t>
      </w:r>
      <w:r>
        <w:rPr>
          <w:bCs/>
          <w:sz w:val="24"/>
          <w:szCs w:val="21"/>
        </w:rPr>
        <w:t>工具</w:t>
      </w:r>
      <w:r>
        <w:rPr>
          <w:rFonts w:hint="eastAsia"/>
          <w:bCs/>
          <w:sz w:val="24"/>
          <w:szCs w:val="21"/>
        </w:rPr>
        <w:t>，包括国内依法发行上市的国债、央行票据、地方政府债、金融债、次级债、企业债、短期融资</w:t>
      </w:r>
      <w:proofErr w:type="gramStart"/>
      <w:r>
        <w:rPr>
          <w:rFonts w:hint="eastAsia"/>
          <w:bCs/>
          <w:sz w:val="24"/>
          <w:szCs w:val="21"/>
        </w:rPr>
        <w:t>券</w:t>
      </w:r>
      <w:proofErr w:type="gramEnd"/>
      <w:r>
        <w:rPr>
          <w:rFonts w:hint="eastAsia"/>
          <w:bCs/>
          <w:sz w:val="24"/>
          <w:szCs w:val="21"/>
        </w:rPr>
        <w:t>、中期票据、公司债、可转换债券（</w:t>
      </w:r>
      <w:proofErr w:type="gramStart"/>
      <w:r>
        <w:rPr>
          <w:rFonts w:hint="eastAsia"/>
          <w:bCs/>
          <w:sz w:val="24"/>
          <w:szCs w:val="21"/>
        </w:rPr>
        <w:t>含可分离</w:t>
      </w:r>
      <w:proofErr w:type="gramEnd"/>
      <w:r>
        <w:rPr>
          <w:rFonts w:hint="eastAsia"/>
          <w:bCs/>
          <w:sz w:val="24"/>
          <w:szCs w:val="21"/>
        </w:rPr>
        <w:t>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rsidR="00572ECF" w:rsidRDefault="00915AEA">
      <w:pPr>
        <w:adjustRightInd w:val="0"/>
        <w:snapToGrid w:val="0"/>
        <w:spacing w:line="360" w:lineRule="auto"/>
        <w:ind w:firstLineChars="200" w:firstLine="480"/>
        <w:rPr>
          <w:bCs/>
          <w:sz w:val="24"/>
          <w:szCs w:val="21"/>
        </w:rPr>
      </w:pPr>
      <w:r>
        <w:rPr>
          <w:rFonts w:hint="eastAsia"/>
          <w:bCs/>
          <w:sz w:val="24"/>
          <w:szCs w:val="21"/>
        </w:rPr>
        <w:t>如法律法规或监管机构以后允许基金投资其他品种，基金管理人在履行适当程序后，可以将其纳入投资范围。</w:t>
      </w:r>
    </w:p>
    <w:p w:rsidR="00572ECF" w:rsidRDefault="00915AEA">
      <w:pPr>
        <w:adjustRightInd w:val="0"/>
        <w:snapToGrid w:val="0"/>
        <w:spacing w:line="360" w:lineRule="auto"/>
        <w:ind w:firstLineChars="200" w:firstLine="480"/>
        <w:rPr>
          <w:bCs/>
          <w:sz w:val="24"/>
          <w:szCs w:val="21"/>
        </w:rPr>
      </w:pPr>
      <w:r>
        <w:rPr>
          <w:rFonts w:hint="eastAsia"/>
          <w:bCs/>
          <w:sz w:val="24"/>
          <w:szCs w:val="21"/>
        </w:rPr>
        <w:t>本基金的投资组合比例为：本基金投资债券的比例不低于基金资产的</w:t>
      </w:r>
      <w:r>
        <w:rPr>
          <w:rFonts w:hint="eastAsia"/>
          <w:bCs/>
          <w:sz w:val="24"/>
          <w:szCs w:val="21"/>
        </w:rPr>
        <w:t>80%</w:t>
      </w:r>
      <w:r>
        <w:rPr>
          <w:rFonts w:hint="eastAsia"/>
          <w:bCs/>
          <w:sz w:val="24"/>
          <w:szCs w:val="21"/>
        </w:rPr>
        <w:t>；投资股票、权证的比例不高于基金资产的</w:t>
      </w:r>
      <w:r>
        <w:rPr>
          <w:rFonts w:hint="eastAsia"/>
          <w:bCs/>
          <w:sz w:val="24"/>
          <w:szCs w:val="21"/>
        </w:rPr>
        <w:t>20%</w:t>
      </w:r>
      <w:r>
        <w:rPr>
          <w:rFonts w:hint="eastAsia"/>
          <w:bCs/>
          <w:sz w:val="24"/>
          <w:szCs w:val="21"/>
        </w:rPr>
        <w:t>；每个交易日日终在扣除国债期货合约需缴纳的交易保证金后，持有现金或者到期日在一年以内的政府债券比例不低于基金资产净值的</w:t>
      </w:r>
      <w:r>
        <w:rPr>
          <w:rFonts w:hint="eastAsia"/>
          <w:bCs/>
          <w:sz w:val="24"/>
          <w:szCs w:val="21"/>
        </w:rPr>
        <w:t>5%</w:t>
      </w:r>
      <w:r>
        <w:rPr>
          <w:rFonts w:hint="eastAsia"/>
          <w:bCs/>
          <w:sz w:val="24"/>
          <w:szCs w:val="21"/>
        </w:rPr>
        <w:t>，其中现金不包括结算备付金、存出保证金、应收申购款等。</w:t>
      </w:r>
    </w:p>
    <w:p w:rsidR="00572ECF" w:rsidRDefault="00915AEA">
      <w:pPr>
        <w:adjustRightInd w:val="0"/>
        <w:snapToGrid w:val="0"/>
        <w:spacing w:line="360" w:lineRule="auto"/>
        <w:ind w:firstLineChars="200" w:firstLine="482"/>
        <w:rPr>
          <w:b/>
          <w:bCs/>
          <w:sz w:val="24"/>
        </w:rPr>
      </w:pPr>
      <w:r>
        <w:rPr>
          <w:rFonts w:hint="eastAsia"/>
          <w:b/>
          <w:bCs/>
          <w:sz w:val="24"/>
        </w:rPr>
        <w:t>三、投资策略</w:t>
      </w:r>
    </w:p>
    <w:p w:rsidR="00572ECF" w:rsidRDefault="00915AEA">
      <w:pPr>
        <w:adjustRightInd w:val="0"/>
        <w:snapToGrid w:val="0"/>
        <w:spacing w:line="360" w:lineRule="auto"/>
        <w:ind w:firstLineChars="200" w:firstLine="480"/>
        <w:rPr>
          <w:bCs/>
          <w:sz w:val="24"/>
          <w:szCs w:val="21"/>
        </w:rPr>
      </w:pPr>
      <w:r>
        <w:rPr>
          <w:rFonts w:hint="eastAsia"/>
          <w:bCs/>
          <w:sz w:val="24"/>
          <w:szCs w:val="21"/>
        </w:rPr>
        <w:t>1</w:t>
      </w:r>
      <w:r>
        <w:rPr>
          <w:rFonts w:hint="eastAsia"/>
          <w:bCs/>
          <w:sz w:val="24"/>
          <w:szCs w:val="21"/>
        </w:rPr>
        <w:t>、资产配置策略</w:t>
      </w:r>
    </w:p>
    <w:p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本基金管理人基于对以下因素的判断，进行基金资产在固定收益品种、可转换债券、股票主动投资之间进行配置：</w:t>
      </w:r>
    </w:p>
    <w:p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1</w:t>
      </w:r>
      <w:r>
        <w:rPr>
          <w:rFonts w:hint="eastAsia"/>
          <w:bCs/>
          <w:sz w:val="24"/>
          <w:szCs w:val="21"/>
        </w:rPr>
        <w:t>）主要基于对利率走势、利率期限结构等因素的分析，预测固定收益品种的投资收益和风险；</w:t>
      </w:r>
    </w:p>
    <w:p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2</w:t>
      </w:r>
      <w:r>
        <w:rPr>
          <w:rFonts w:hint="eastAsia"/>
          <w:bCs/>
          <w:sz w:val="24"/>
          <w:szCs w:val="21"/>
        </w:rPr>
        <w:t>）股票市场走势的预测；</w:t>
      </w:r>
    </w:p>
    <w:p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3</w:t>
      </w:r>
      <w:r>
        <w:rPr>
          <w:rFonts w:hint="eastAsia"/>
          <w:bCs/>
          <w:sz w:val="24"/>
          <w:szCs w:val="21"/>
        </w:rPr>
        <w:t>）可转换债券发行公司的成长性和转</w:t>
      </w:r>
      <w:proofErr w:type="gramStart"/>
      <w:r>
        <w:rPr>
          <w:rFonts w:hint="eastAsia"/>
          <w:bCs/>
          <w:sz w:val="24"/>
          <w:szCs w:val="21"/>
        </w:rPr>
        <w:t>债价值</w:t>
      </w:r>
      <w:proofErr w:type="gramEnd"/>
      <w:r>
        <w:rPr>
          <w:rFonts w:hint="eastAsia"/>
          <w:bCs/>
          <w:sz w:val="24"/>
          <w:szCs w:val="21"/>
        </w:rPr>
        <w:t>的判断。</w:t>
      </w:r>
    </w:p>
    <w:p w:rsidR="00572ECF" w:rsidRDefault="00915AEA">
      <w:pPr>
        <w:adjustRightInd w:val="0"/>
        <w:snapToGrid w:val="0"/>
        <w:spacing w:line="360" w:lineRule="auto"/>
        <w:ind w:firstLineChars="200" w:firstLine="480"/>
        <w:rPr>
          <w:bCs/>
          <w:sz w:val="24"/>
          <w:szCs w:val="21"/>
        </w:rPr>
      </w:pPr>
      <w:r>
        <w:rPr>
          <w:rFonts w:hint="eastAsia"/>
          <w:bCs/>
          <w:sz w:val="24"/>
          <w:szCs w:val="21"/>
        </w:rPr>
        <w:t>2</w:t>
      </w:r>
      <w:r>
        <w:rPr>
          <w:rFonts w:hint="eastAsia"/>
          <w:bCs/>
          <w:sz w:val="24"/>
          <w:szCs w:val="21"/>
        </w:rPr>
        <w:t>、固定收益品种投资策略</w:t>
      </w:r>
    </w:p>
    <w:p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1</w:t>
      </w:r>
      <w:r>
        <w:rPr>
          <w:rFonts w:hint="eastAsia"/>
          <w:bCs/>
          <w:sz w:val="24"/>
          <w:szCs w:val="21"/>
        </w:rPr>
        <w:t>）固定收益品种的配置策略</w:t>
      </w:r>
    </w:p>
    <w:p w:rsidR="00572ECF" w:rsidRDefault="00915AEA">
      <w:pPr>
        <w:adjustRightInd w:val="0"/>
        <w:snapToGrid w:val="0"/>
        <w:spacing w:line="360" w:lineRule="auto"/>
        <w:ind w:firstLineChars="250" w:firstLine="600"/>
        <w:rPr>
          <w:bCs/>
          <w:sz w:val="24"/>
          <w:szCs w:val="21"/>
        </w:rPr>
      </w:pPr>
      <w:r>
        <w:rPr>
          <w:bCs/>
          <w:sz w:val="24"/>
          <w:szCs w:val="21"/>
        </w:rPr>
        <w:t>A</w:t>
      </w:r>
      <w:r>
        <w:rPr>
          <w:rFonts w:hint="eastAsia"/>
          <w:bCs/>
          <w:sz w:val="24"/>
          <w:szCs w:val="21"/>
        </w:rPr>
        <w:t>、</w:t>
      </w:r>
      <w:proofErr w:type="gramStart"/>
      <w:r>
        <w:rPr>
          <w:rFonts w:hint="eastAsia"/>
          <w:bCs/>
          <w:sz w:val="24"/>
          <w:szCs w:val="21"/>
        </w:rPr>
        <w:t>平均久期配置</w:t>
      </w:r>
      <w:proofErr w:type="gramEnd"/>
    </w:p>
    <w:p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本基金管理人通过对宏观经济变量（包括国内生产总值、工业增长、货币信</w:t>
      </w:r>
      <w:r>
        <w:rPr>
          <w:rFonts w:hint="eastAsia"/>
          <w:bCs/>
          <w:sz w:val="24"/>
          <w:szCs w:val="21"/>
        </w:rPr>
        <w:lastRenderedPageBreak/>
        <w:t>贷、固定资产投资、消费、外贸差额、财政收支、价格指数、汇率等）和宏观经济政策（包括货币政策、财政政策、产业政策、外贸和汇率政策等）进行分析，预测未来的利率趋势，判断债券市场对上述变量和政策的反应，并据此积极调整债券组合的平均久期，提高债券组合的总投资收益。</w:t>
      </w:r>
    </w:p>
    <w:p w:rsidR="00572ECF" w:rsidRDefault="00915AEA">
      <w:pPr>
        <w:adjustRightInd w:val="0"/>
        <w:snapToGrid w:val="0"/>
        <w:spacing w:line="360" w:lineRule="auto"/>
        <w:ind w:firstLineChars="200" w:firstLine="480"/>
        <w:rPr>
          <w:bCs/>
          <w:sz w:val="24"/>
          <w:szCs w:val="21"/>
        </w:rPr>
      </w:pPr>
      <w:r>
        <w:rPr>
          <w:bCs/>
          <w:sz w:val="24"/>
          <w:szCs w:val="21"/>
        </w:rPr>
        <w:t>B</w:t>
      </w:r>
      <w:r>
        <w:rPr>
          <w:rFonts w:hint="eastAsia"/>
          <w:bCs/>
          <w:sz w:val="24"/>
          <w:szCs w:val="21"/>
        </w:rPr>
        <w:t>、期限结构配置</w:t>
      </w:r>
    </w:p>
    <w:p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对债券市场收益率期限结构进行分析，运用统计和数量分析技术，预测收益率期限结构的变化方式，选择并确定期限结构配置策略，配置各期限固定收益品种的比例，以达到预期投资收益最大化的目的。</w:t>
      </w:r>
    </w:p>
    <w:p w:rsidR="00572ECF" w:rsidRDefault="00915AEA">
      <w:pPr>
        <w:adjustRightInd w:val="0"/>
        <w:snapToGrid w:val="0"/>
        <w:spacing w:line="360" w:lineRule="auto"/>
        <w:ind w:firstLineChars="200" w:firstLine="480"/>
        <w:rPr>
          <w:bCs/>
          <w:sz w:val="24"/>
          <w:szCs w:val="21"/>
        </w:rPr>
      </w:pPr>
      <w:r>
        <w:rPr>
          <w:bCs/>
          <w:sz w:val="24"/>
          <w:szCs w:val="21"/>
        </w:rPr>
        <w:t>C</w:t>
      </w:r>
      <w:r>
        <w:rPr>
          <w:rFonts w:hint="eastAsia"/>
          <w:bCs/>
          <w:sz w:val="24"/>
          <w:szCs w:val="21"/>
        </w:rPr>
        <w:t>、类属配置</w:t>
      </w:r>
    </w:p>
    <w:p w:rsidR="00572ECF" w:rsidRDefault="00915AEA">
      <w:pPr>
        <w:adjustRightInd w:val="0"/>
        <w:snapToGrid w:val="0"/>
        <w:spacing w:line="360" w:lineRule="auto"/>
        <w:ind w:firstLineChars="200" w:firstLine="480"/>
        <w:rPr>
          <w:bCs/>
          <w:sz w:val="24"/>
          <w:szCs w:val="21"/>
        </w:rPr>
      </w:pPr>
      <w:r>
        <w:rPr>
          <w:rFonts w:hint="eastAsia"/>
          <w:bCs/>
          <w:sz w:val="24"/>
          <w:szCs w:val="21"/>
        </w:rPr>
        <w:t>本基金管理人对不同类型固定收益品种的信用风险、税赋水平、市场流动性、市场风险等因素进行分析，研究同期限的国债、金融债、企业债以及交易所和银行间市场投资品种的利差和变化趋势，制定债券类属配置策略，以获取不同债券类属之间利差变化所带来的投资收益。</w:t>
      </w:r>
    </w:p>
    <w:p w:rsidR="00572ECF" w:rsidRDefault="00915AEA">
      <w:pPr>
        <w:adjustRightInd w:val="0"/>
        <w:snapToGrid w:val="0"/>
        <w:spacing w:line="360" w:lineRule="auto"/>
        <w:ind w:firstLineChars="200" w:firstLine="480"/>
        <w:rPr>
          <w:bCs/>
          <w:sz w:val="24"/>
          <w:szCs w:val="21"/>
        </w:rPr>
      </w:pPr>
      <w:r>
        <w:rPr>
          <w:bCs/>
          <w:sz w:val="24"/>
          <w:szCs w:val="21"/>
        </w:rPr>
        <w:t>D</w:t>
      </w:r>
      <w:r>
        <w:rPr>
          <w:rFonts w:hint="eastAsia"/>
          <w:bCs/>
          <w:sz w:val="24"/>
          <w:szCs w:val="21"/>
        </w:rPr>
        <w:t>、信用类债券投资</w:t>
      </w:r>
    </w:p>
    <w:p w:rsidR="00572ECF" w:rsidRDefault="00915AEA">
      <w:pPr>
        <w:adjustRightInd w:val="0"/>
        <w:snapToGrid w:val="0"/>
        <w:spacing w:line="360" w:lineRule="auto"/>
        <w:ind w:firstLineChars="200" w:firstLine="480"/>
        <w:rPr>
          <w:bCs/>
          <w:sz w:val="24"/>
          <w:szCs w:val="21"/>
        </w:rPr>
      </w:pPr>
      <w:r>
        <w:rPr>
          <w:rFonts w:hint="eastAsia"/>
          <w:bCs/>
          <w:sz w:val="24"/>
          <w:szCs w:val="21"/>
        </w:rPr>
        <w:t>本基金投资信用状况良好的信用类债券。在此基础上，分析各品种的信用溢价，选择信用风险较低和溢价较高的品种进行投资。</w:t>
      </w:r>
    </w:p>
    <w:p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2</w:t>
      </w:r>
      <w:r>
        <w:rPr>
          <w:rFonts w:hint="eastAsia"/>
          <w:bCs/>
          <w:sz w:val="24"/>
          <w:szCs w:val="21"/>
        </w:rPr>
        <w:t>）投资品种的选择</w:t>
      </w:r>
    </w:p>
    <w:p w:rsidR="00572ECF" w:rsidRDefault="00915AEA">
      <w:pPr>
        <w:adjustRightInd w:val="0"/>
        <w:snapToGrid w:val="0"/>
        <w:spacing w:line="360" w:lineRule="auto"/>
        <w:ind w:firstLineChars="200" w:firstLine="480"/>
        <w:rPr>
          <w:bCs/>
          <w:sz w:val="24"/>
          <w:szCs w:val="21"/>
        </w:rPr>
      </w:pPr>
      <w:r>
        <w:rPr>
          <w:rFonts w:hint="eastAsia"/>
          <w:bCs/>
          <w:sz w:val="24"/>
          <w:szCs w:val="21"/>
        </w:rPr>
        <w:t>在债券组合平均久期、期限结构、类属配置和信用风险管理的基础上，本基金对影响个别债券定价的主要因素，包括流动性、局部供求、信用风险、票息、税赋、含权等因素进行分析，选择具有良好投资价值的债券品种进行投资。</w:t>
      </w:r>
    </w:p>
    <w:p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3</w:t>
      </w:r>
      <w:r>
        <w:rPr>
          <w:rFonts w:hint="eastAsia"/>
          <w:bCs/>
          <w:sz w:val="24"/>
          <w:szCs w:val="21"/>
        </w:rPr>
        <w:t>）可转换债券的投资策略</w:t>
      </w:r>
    </w:p>
    <w:p w:rsidR="00572ECF" w:rsidRDefault="00915AEA">
      <w:pPr>
        <w:adjustRightInd w:val="0"/>
        <w:snapToGrid w:val="0"/>
        <w:spacing w:line="360" w:lineRule="auto"/>
        <w:ind w:firstLineChars="200" w:firstLine="480"/>
        <w:rPr>
          <w:bCs/>
          <w:sz w:val="24"/>
          <w:szCs w:val="21"/>
        </w:rPr>
      </w:pPr>
      <w:r>
        <w:rPr>
          <w:rFonts w:hint="eastAsia"/>
          <w:bCs/>
          <w:sz w:val="24"/>
          <w:szCs w:val="21"/>
        </w:rPr>
        <w:t>可转换债券的价值主要取决于其股权价值、债券价值和转换期权价值，本基金管理人将对可转换债券的价值进行评估，选择具有较高投资价值的可转换债券进行投资。</w:t>
      </w:r>
    </w:p>
    <w:p w:rsidR="00572ECF" w:rsidRDefault="00915AEA">
      <w:pPr>
        <w:adjustRightInd w:val="0"/>
        <w:snapToGrid w:val="0"/>
        <w:spacing w:line="360" w:lineRule="auto"/>
        <w:ind w:firstLineChars="200" w:firstLine="480"/>
        <w:rPr>
          <w:bCs/>
          <w:sz w:val="24"/>
          <w:szCs w:val="21"/>
        </w:rPr>
      </w:pPr>
      <w:r>
        <w:rPr>
          <w:rFonts w:hint="eastAsia"/>
          <w:bCs/>
          <w:sz w:val="24"/>
          <w:szCs w:val="21"/>
        </w:rPr>
        <w:t>基金管理人将对发行公司的基本面进行分析，包括所处行业的景气度、公司成长性、市场竞争力等，并参考同类公司的估值水平，判断可转换债券的股权投资价值；基于对利率水平、票息率及派息频率、信用风险等因素的分析，判断其债券投资价值；采用期权定价模型，估算可转换债券的转换期权价值。综合以上因素，对可转换债券进行定价分析，制定可转换债券的投资策略。</w:t>
      </w:r>
    </w:p>
    <w:p w:rsidR="00572ECF" w:rsidRDefault="00915AEA">
      <w:pPr>
        <w:adjustRightInd w:val="0"/>
        <w:snapToGrid w:val="0"/>
        <w:spacing w:line="360" w:lineRule="auto"/>
        <w:ind w:firstLineChars="200" w:firstLine="480"/>
        <w:rPr>
          <w:bCs/>
          <w:sz w:val="24"/>
          <w:szCs w:val="21"/>
        </w:rPr>
      </w:pPr>
      <w:r>
        <w:rPr>
          <w:rFonts w:hint="eastAsia"/>
          <w:bCs/>
          <w:sz w:val="24"/>
          <w:szCs w:val="21"/>
        </w:rPr>
        <w:t>此外，本基金还将根据新发可转换债券的预计中签率、模型定价结果，积极</w:t>
      </w:r>
      <w:r>
        <w:rPr>
          <w:rFonts w:hint="eastAsia"/>
          <w:bCs/>
          <w:sz w:val="24"/>
          <w:szCs w:val="21"/>
        </w:rPr>
        <w:lastRenderedPageBreak/>
        <w:t>参与可转换债券新券的申购。</w:t>
      </w:r>
    </w:p>
    <w:p w:rsidR="00572ECF" w:rsidRDefault="00915AEA">
      <w:pPr>
        <w:adjustRightInd w:val="0"/>
        <w:snapToGrid w:val="0"/>
        <w:spacing w:line="360" w:lineRule="auto"/>
        <w:ind w:firstLineChars="200" w:firstLine="480"/>
        <w:rPr>
          <w:bCs/>
          <w:sz w:val="24"/>
          <w:szCs w:val="21"/>
        </w:rPr>
      </w:pPr>
      <w:r>
        <w:rPr>
          <w:rFonts w:hint="eastAsia"/>
          <w:bCs/>
          <w:sz w:val="24"/>
          <w:szCs w:val="21"/>
        </w:rPr>
        <w:t>（</w:t>
      </w:r>
      <w:r>
        <w:rPr>
          <w:rFonts w:hint="eastAsia"/>
          <w:bCs/>
          <w:sz w:val="24"/>
          <w:szCs w:val="21"/>
        </w:rPr>
        <w:t>4</w:t>
      </w:r>
      <w:r>
        <w:rPr>
          <w:rFonts w:hint="eastAsia"/>
          <w:bCs/>
          <w:sz w:val="24"/>
          <w:szCs w:val="21"/>
        </w:rPr>
        <w:t>）资产支持证券投资</w:t>
      </w:r>
    </w:p>
    <w:p w:rsidR="00572ECF" w:rsidRDefault="00915AEA">
      <w:pPr>
        <w:adjustRightInd w:val="0"/>
        <w:snapToGrid w:val="0"/>
        <w:spacing w:line="360" w:lineRule="auto"/>
        <w:ind w:firstLineChars="200" w:firstLine="480"/>
        <w:rPr>
          <w:bCs/>
          <w:sz w:val="24"/>
          <w:szCs w:val="21"/>
        </w:rPr>
      </w:pPr>
      <w:r>
        <w:rPr>
          <w:rFonts w:hint="eastAsia"/>
          <w:bCs/>
          <w:sz w:val="24"/>
          <w:szCs w:val="21"/>
        </w:rPr>
        <w:t>本基金将分析资产支持证券的资产特征，估计违约率和提前偿付比率，并利用收益率曲线和期权定价模型</w:t>
      </w:r>
      <w:r>
        <w:rPr>
          <w:rFonts w:hint="eastAsia"/>
          <w:bCs/>
          <w:sz w:val="24"/>
          <w:szCs w:val="21"/>
        </w:rPr>
        <w:t>,</w:t>
      </w:r>
      <w:r>
        <w:rPr>
          <w:rFonts w:hint="eastAsia"/>
          <w:bCs/>
          <w:sz w:val="24"/>
          <w:szCs w:val="21"/>
        </w:rPr>
        <w:t>对资产支持证券进行估值。本基金将严格控制资产支持证券的总体投资规模并进行分散投资，以降低流动性风险。</w:t>
      </w:r>
    </w:p>
    <w:p w:rsidR="00572ECF" w:rsidRDefault="00915AEA">
      <w:pPr>
        <w:adjustRightInd w:val="0"/>
        <w:snapToGrid w:val="0"/>
        <w:spacing w:line="360" w:lineRule="auto"/>
        <w:ind w:firstLineChars="200" w:firstLine="480"/>
        <w:rPr>
          <w:bCs/>
          <w:sz w:val="24"/>
          <w:szCs w:val="21"/>
        </w:rPr>
      </w:pPr>
      <w:r>
        <w:rPr>
          <w:rFonts w:hint="eastAsia"/>
          <w:bCs/>
          <w:sz w:val="24"/>
          <w:szCs w:val="21"/>
        </w:rPr>
        <w:t>3</w:t>
      </w:r>
      <w:r>
        <w:rPr>
          <w:rFonts w:hint="eastAsia"/>
          <w:bCs/>
          <w:sz w:val="24"/>
          <w:szCs w:val="21"/>
        </w:rPr>
        <w:t>、股票投资策略</w:t>
      </w:r>
    </w:p>
    <w:p w:rsidR="00572ECF" w:rsidRDefault="00915AEA">
      <w:pPr>
        <w:adjustRightInd w:val="0"/>
        <w:snapToGrid w:val="0"/>
        <w:spacing w:line="360" w:lineRule="auto"/>
        <w:ind w:firstLineChars="200" w:firstLine="480"/>
        <w:rPr>
          <w:bCs/>
          <w:sz w:val="24"/>
          <w:szCs w:val="21"/>
        </w:rPr>
      </w:pPr>
      <w:r>
        <w:rPr>
          <w:rFonts w:hint="eastAsia"/>
          <w:bCs/>
          <w:sz w:val="24"/>
          <w:szCs w:val="21"/>
        </w:rPr>
        <w:t>在股票二级市场投资方面，本基金采取自下而上的投资策略，选择满足以下特征的公司进行投资：企业治理结构良好，管理层诚信尽职，重视股东利益，能根据市场环境的变化正确地制定和调整发展战略，经营管理能力能适应企业规模的需要；公司财务透明、清晰，资产质量及财务状况较好，拥有良好的历史盈利记录；企业的主营产品或服务具有良好的市场前景，企业在经营许可、规模、资源、技术、品牌、创新能力等方面拥有竞争对手在中长期时间内难以模仿的竞争优势。本基金将根据企业业绩的长期增长趋势以及同类企业的平均估值水平，应用本基金管理人设计的估值模型，选择价值被市场低估的企业进行投资。</w:t>
      </w:r>
    </w:p>
    <w:p w:rsidR="00572ECF" w:rsidRDefault="00915AEA">
      <w:pPr>
        <w:adjustRightInd w:val="0"/>
        <w:snapToGrid w:val="0"/>
        <w:spacing w:line="360" w:lineRule="auto"/>
        <w:ind w:firstLineChars="200" w:firstLine="480"/>
        <w:rPr>
          <w:bCs/>
          <w:sz w:val="24"/>
          <w:szCs w:val="21"/>
        </w:rPr>
      </w:pPr>
      <w:r>
        <w:rPr>
          <w:rFonts w:hint="eastAsia"/>
          <w:bCs/>
          <w:sz w:val="24"/>
          <w:szCs w:val="21"/>
        </w:rPr>
        <w:t>4</w:t>
      </w:r>
      <w:r>
        <w:rPr>
          <w:rFonts w:hint="eastAsia"/>
          <w:bCs/>
          <w:sz w:val="24"/>
          <w:szCs w:val="21"/>
        </w:rPr>
        <w:t>、国债期货投资策略</w:t>
      </w:r>
    </w:p>
    <w:p w:rsidR="00572ECF" w:rsidRDefault="00915AEA">
      <w:pPr>
        <w:adjustRightInd w:val="0"/>
        <w:snapToGrid w:val="0"/>
        <w:spacing w:line="360" w:lineRule="auto"/>
        <w:ind w:firstLineChars="200" w:firstLine="480"/>
        <w:rPr>
          <w:bCs/>
          <w:sz w:val="24"/>
          <w:szCs w:val="21"/>
        </w:rPr>
      </w:pPr>
      <w:r>
        <w:rPr>
          <w:rFonts w:hint="eastAsia"/>
          <w:bCs/>
          <w:sz w:val="24"/>
          <w:szCs w:val="21"/>
        </w:rPr>
        <w:t>本基金对国债期货的投资以套期保值为主要目的。本基金将结合国债交易市场和期货交易市场的收益型、流动性的情况，通过多头或空投套期保值等投资策略进行套期保值，以获取超额收益。</w:t>
      </w:r>
    </w:p>
    <w:p w:rsidR="00572ECF" w:rsidRDefault="00915AEA">
      <w:pPr>
        <w:adjustRightInd w:val="0"/>
        <w:snapToGrid w:val="0"/>
        <w:spacing w:line="360" w:lineRule="auto"/>
        <w:ind w:firstLineChars="200" w:firstLine="480"/>
        <w:rPr>
          <w:bCs/>
          <w:sz w:val="24"/>
          <w:szCs w:val="21"/>
        </w:rPr>
      </w:pPr>
      <w:r>
        <w:rPr>
          <w:rFonts w:hint="eastAsia"/>
          <w:bCs/>
          <w:sz w:val="24"/>
          <w:szCs w:val="21"/>
        </w:rPr>
        <w:t>5</w:t>
      </w:r>
      <w:r>
        <w:rPr>
          <w:rFonts w:hint="eastAsia"/>
          <w:bCs/>
          <w:sz w:val="24"/>
          <w:szCs w:val="21"/>
        </w:rPr>
        <w:t>、中小企业私募债券投资策略</w:t>
      </w:r>
    </w:p>
    <w:p w:rsidR="00572ECF" w:rsidRDefault="00915AEA">
      <w:pPr>
        <w:adjustRightInd w:val="0"/>
        <w:snapToGrid w:val="0"/>
        <w:spacing w:line="360" w:lineRule="auto"/>
        <w:ind w:firstLineChars="200" w:firstLine="480"/>
        <w:rPr>
          <w:bCs/>
          <w:sz w:val="24"/>
          <w:szCs w:val="21"/>
        </w:rPr>
      </w:pPr>
      <w:r>
        <w:rPr>
          <w:rFonts w:hint="eastAsia"/>
          <w:bCs/>
          <w:sz w:val="24"/>
          <w:szCs w:val="21"/>
        </w:rPr>
        <w:t>本基金以持有到期，获得本金和票息收入为中小企业私募债券主要投资策略，同时，密切关注债券的信用风险变化，力争在控制风险的前提下，获得较高收益。</w:t>
      </w:r>
    </w:p>
    <w:p w:rsidR="00572ECF" w:rsidRDefault="00915AEA">
      <w:pPr>
        <w:spacing w:line="360" w:lineRule="auto"/>
        <w:ind w:firstLineChars="200" w:firstLine="482"/>
        <w:rPr>
          <w:b/>
          <w:bCs/>
          <w:sz w:val="24"/>
        </w:rPr>
      </w:pPr>
      <w:r>
        <w:rPr>
          <w:rFonts w:hint="eastAsia"/>
          <w:b/>
          <w:bCs/>
          <w:sz w:val="24"/>
        </w:rPr>
        <w:t>四、投资限制</w:t>
      </w:r>
      <w:r>
        <w:rPr>
          <w:b/>
          <w:bCs/>
          <w:sz w:val="24"/>
        </w:rPr>
        <w:tab/>
      </w:r>
    </w:p>
    <w:p w:rsidR="00572ECF" w:rsidRDefault="00915AEA">
      <w:pPr>
        <w:spacing w:line="360" w:lineRule="auto"/>
        <w:ind w:firstLineChars="200" w:firstLine="480"/>
        <w:rPr>
          <w:bCs/>
          <w:sz w:val="24"/>
        </w:rPr>
      </w:pPr>
      <w:r>
        <w:rPr>
          <w:bCs/>
          <w:sz w:val="24"/>
        </w:rPr>
        <w:t>1</w:t>
      </w:r>
      <w:r>
        <w:rPr>
          <w:rFonts w:hint="eastAsia"/>
          <w:bCs/>
          <w:sz w:val="24"/>
        </w:rPr>
        <w:t>、组合限制</w:t>
      </w:r>
    </w:p>
    <w:p w:rsidR="00572ECF" w:rsidRDefault="00915AEA">
      <w:pPr>
        <w:spacing w:line="360" w:lineRule="auto"/>
        <w:ind w:firstLineChars="200" w:firstLine="480"/>
        <w:rPr>
          <w:bCs/>
          <w:sz w:val="24"/>
        </w:rPr>
      </w:pPr>
      <w:r>
        <w:rPr>
          <w:rFonts w:hint="eastAsia"/>
          <w:bCs/>
          <w:sz w:val="24"/>
        </w:rPr>
        <w:t>基金的投资组合应遵循以下限制：</w:t>
      </w:r>
    </w:p>
    <w:p w:rsidR="00572ECF" w:rsidRDefault="00915AEA">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）本基金对债券的投资占基金资产的比例不低于</w:t>
      </w:r>
      <w:r>
        <w:rPr>
          <w:rFonts w:hint="eastAsia"/>
          <w:bCs/>
          <w:sz w:val="24"/>
        </w:rPr>
        <w:t>80</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rFonts w:hint="eastAsia"/>
          <w:bCs/>
          <w:sz w:val="24"/>
        </w:rPr>
        <w:t>2</w:t>
      </w:r>
      <w:r>
        <w:rPr>
          <w:rFonts w:hint="eastAsia"/>
          <w:bCs/>
          <w:sz w:val="24"/>
        </w:rPr>
        <w:t>）</w:t>
      </w:r>
      <w:r>
        <w:rPr>
          <w:rFonts w:hint="eastAsia"/>
          <w:bCs/>
          <w:sz w:val="24"/>
        </w:rPr>
        <w:t xml:space="preserve"> </w:t>
      </w:r>
      <w:r>
        <w:rPr>
          <w:rFonts w:hint="eastAsia"/>
          <w:bCs/>
          <w:sz w:val="24"/>
        </w:rPr>
        <w:t>本基金投资于股票、权证等权益类资产的比例不高于基金资产的</w:t>
      </w:r>
      <w:r>
        <w:rPr>
          <w:rFonts w:hint="eastAsia"/>
          <w:bCs/>
          <w:sz w:val="24"/>
        </w:rPr>
        <w:t>20%</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rFonts w:hint="eastAsia"/>
          <w:bCs/>
          <w:sz w:val="24"/>
        </w:rPr>
        <w:t>3</w:t>
      </w:r>
      <w:r>
        <w:rPr>
          <w:rFonts w:hint="eastAsia"/>
          <w:bCs/>
          <w:sz w:val="24"/>
        </w:rPr>
        <w:t>）本基金每个交易日日终在扣除国债期货合约需缴纳的交易保证金后，持有现金或者到期日在一年以内的政府债券比例不低于基金资产净值的</w:t>
      </w:r>
      <w:r>
        <w:rPr>
          <w:rFonts w:hint="eastAsia"/>
          <w:bCs/>
          <w:sz w:val="24"/>
        </w:rPr>
        <w:t>5%</w:t>
      </w:r>
      <w:r>
        <w:rPr>
          <w:rFonts w:hint="eastAsia"/>
          <w:bCs/>
          <w:sz w:val="24"/>
        </w:rPr>
        <w:t>，其中现金不包括结算备付金、存出保证金、应收申购款等；</w:t>
      </w:r>
    </w:p>
    <w:p w:rsidR="00572ECF" w:rsidRDefault="00915AEA">
      <w:pPr>
        <w:spacing w:line="360" w:lineRule="auto"/>
        <w:ind w:firstLineChars="200" w:firstLine="480"/>
        <w:rPr>
          <w:bCs/>
          <w:sz w:val="24"/>
        </w:rPr>
      </w:pPr>
      <w:r>
        <w:rPr>
          <w:rFonts w:hint="eastAsia"/>
          <w:bCs/>
          <w:sz w:val="24"/>
        </w:rPr>
        <w:lastRenderedPageBreak/>
        <w:t>（</w:t>
      </w:r>
      <w:r>
        <w:rPr>
          <w:rFonts w:hint="eastAsia"/>
          <w:bCs/>
          <w:sz w:val="24"/>
        </w:rPr>
        <w:t>4</w:t>
      </w:r>
      <w:r>
        <w:rPr>
          <w:rFonts w:hint="eastAsia"/>
          <w:bCs/>
          <w:sz w:val="24"/>
        </w:rPr>
        <w:t>）</w:t>
      </w:r>
      <w:r>
        <w:rPr>
          <w:rFonts w:hint="eastAsia"/>
          <w:bCs/>
          <w:sz w:val="24"/>
        </w:rPr>
        <w:t xml:space="preserve"> </w:t>
      </w:r>
      <w:r>
        <w:rPr>
          <w:rFonts w:hint="eastAsia"/>
          <w:bCs/>
          <w:sz w:val="24"/>
        </w:rPr>
        <w:t>本基金持有一家公司发行的证券，其市值不超过基金资产净值的</w:t>
      </w:r>
      <w:r>
        <w:rPr>
          <w:rFonts w:hint="eastAsia"/>
          <w:bCs/>
          <w:sz w:val="24"/>
        </w:rPr>
        <w:t>10</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）本基金管理人管理的全部基金持有一家公司发行的证券，不超过该证券的</w:t>
      </w:r>
      <w:r>
        <w:rPr>
          <w:rFonts w:hint="eastAsia"/>
          <w:bCs/>
          <w:sz w:val="24"/>
        </w:rPr>
        <w:t>10</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）本基金持有的全部权证，其市值不得超过基金资产净值的</w:t>
      </w:r>
      <w:r>
        <w:rPr>
          <w:rFonts w:hint="eastAsia"/>
          <w:bCs/>
          <w:sz w:val="24"/>
        </w:rPr>
        <w:t>3</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）本基金管理人管理的全部基金持有的同一权证，不得超过该权证的</w:t>
      </w:r>
      <w:r>
        <w:rPr>
          <w:rFonts w:hint="eastAsia"/>
          <w:bCs/>
          <w:sz w:val="24"/>
        </w:rPr>
        <w:t xml:space="preserve">   10</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）本基金在任何交易日买入权证的总金额，不得超过上一交易日基金资产净值的</w:t>
      </w:r>
      <w:r>
        <w:rPr>
          <w:rFonts w:hint="eastAsia"/>
          <w:bCs/>
          <w:sz w:val="24"/>
        </w:rPr>
        <w:t>0.5</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）本基金投资于同一原始权益人的各类资产支持证券的比例，不得超过基金资产净值的</w:t>
      </w:r>
      <w:r>
        <w:rPr>
          <w:rFonts w:hint="eastAsia"/>
          <w:bCs/>
          <w:sz w:val="24"/>
        </w:rPr>
        <w:t>10</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）本基金持有的全部资产支持证券，其市值不得超过基金资产净值的</w:t>
      </w:r>
      <w:r>
        <w:rPr>
          <w:rFonts w:hint="eastAsia"/>
          <w:bCs/>
          <w:sz w:val="24"/>
        </w:rPr>
        <w:t>20</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）本基金持有的同一</w:t>
      </w:r>
      <w:r>
        <w:rPr>
          <w:rFonts w:hint="eastAsia"/>
          <w:bCs/>
          <w:sz w:val="24"/>
        </w:rPr>
        <w:t>(</w:t>
      </w:r>
      <w:r>
        <w:rPr>
          <w:rFonts w:hint="eastAsia"/>
          <w:bCs/>
          <w:sz w:val="24"/>
        </w:rPr>
        <w:t>指同一信用级别</w:t>
      </w:r>
      <w:r>
        <w:rPr>
          <w:rFonts w:hint="eastAsia"/>
          <w:bCs/>
          <w:sz w:val="24"/>
        </w:rPr>
        <w:t>)</w:t>
      </w:r>
      <w:r>
        <w:rPr>
          <w:rFonts w:hint="eastAsia"/>
          <w:bCs/>
          <w:sz w:val="24"/>
        </w:rPr>
        <w:t>资产支持证券的比例，不得超过该资产支持证券规模的</w:t>
      </w:r>
      <w:r>
        <w:rPr>
          <w:rFonts w:hint="eastAsia"/>
          <w:bCs/>
          <w:sz w:val="24"/>
        </w:rPr>
        <w:t>10</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）本基金管理人管理的全部基金投资于同一原始权益人的各类资产支持证券，不得超过其各类资产支持证券合计规模的</w:t>
      </w:r>
      <w:r>
        <w:rPr>
          <w:rFonts w:hint="eastAsia"/>
          <w:bCs/>
          <w:sz w:val="24"/>
        </w:rPr>
        <w:t>10</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）本基金持有的单只中小企业私募债券，其市值不得超过基金资产净值的</w:t>
      </w:r>
      <w:r>
        <w:rPr>
          <w:bCs/>
          <w:sz w:val="24"/>
        </w:rPr>
        <w:t>10%</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）本基金应投资于信用级别评级为</w:t>
      </w:r>
      <w:r>
        <w:rPr>
          <w:rFonts w:hint="eastAsia"/>
          <w:bCs/>
          <w:sz w:val="24"/>
        </w:rPr>
        <w:t>BBB</w:t>
      </w:r>
      <w:r>
        <w:rPr>
          <w:rFonts w:hint="eastAsia"/>
          <w:bCs/>
          <w:sz w:val="24"/>
        </w:rPr>
        <w:t>以上</w:t>
      </w:r>
      <w:r>
        <w:rPr>
          <w:rFonts w:hint="eastAsia"/>
          <w:bCs/>
          <w:sz w:val="24"/>
        </w:rPr>
        <w:t>(</w:t>
      </w:r>
      <w:r>
        <w:rPr>
          <w:rFonts w:hint="eastAsia"/>
          <w:bCs/>
          <w:sz w:val="24"/>
        </w:rPr>
        <w:t>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rsidR="00572ECF" w:rsidRDefault="00915AEA">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；债券回购最长期限为</w:t>
      </w:r>
      <w:r>
        <w:rPr>
          <w:rFonts w:hint="eastAsia"/>
          <w:bCs/>
          <w:sz w:val="24"/>
        </w:rPr>
        <w:t>1</w:t>
      </w:r>
      <w:r>
        <w:rPr>
          <w:rFonts w:hint="eastAsia"/>
          <w:bCs/>
          <w:sz w:val="24"/>
        </w:rPr>
        <w:t>年，债券回购到期后不得展期；</w:t>
      </w:r>
    </w:p>
    <w:p w:rsidR="00572ECF" w:rsidRDefault="00915AEA">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）本基金参与国债期货交易，需遵守下列投资比例限制：</w:t>
      </w:r>
    </w:p>
    <w:p w:rsidR="00572ECF" w:rsidRDefault="00915AEA">
      <w:pPr>
        <w:spacing w:line="360" w:lineRule="auto"/>
        <w:ind w:firstLineChars="250" w:firstLine="600"/>
        <w:rPr>
          <w:bCs/>
          <w:sz w:val="24"/>
        </w:rPr>
      </w:pPr>
      <w:r>
        <w:rPr>
          <w:bCs/>
          <w:sz w:val="24"/>
        </w:rPr>
        <w:t>1</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572ECF" w:rsidRDefault="00915AEA">
      <w:pPr>
        <w:spacing w:line="360" w:lineRule="auto"/>
        <w:ind w:firstLineChars="250" w:firstLine="600"/>
        <w:rPr>
          <w:bCs/>
          <w:sz w:val="24"/>
        </w:rPr>
      </w:pPr>
      <w:r>
        <w:rPr>
          <w:rFonts w:hint="eastAsia"/>
          <w:bCs/>
          <w:sz w:val="24"/>
        </w:rPr>
        <w:t>2</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；本基金管理人将按照中国金融期货交易所要求的内容、格式与时限向交易所报告所交易和持有的卖出期货合约情况、交易目的及对</w:t>
      </w:r>
      <w:r>
        <w:rPr>
          <w:rFonts w:hint="eastAsia"/>
          <w:bCs/>
          <w:sz w:val="24"/>
        </w:rPr>
        <w:lastRenderedPageBreak/>
        <w:t>应的证券资产情况等；</w:t>
      </w:r>
    </w:p>
    <w:p w:rsidR="00572ECF" w:rsidRDefault="00915AEA">
      <w:pPr>
        <w:spacing w:line="360" w:lineRule="auto"/>
        <w:ind w:firstLineChars="250" w:firstLine="600"/>
        <w:rPr>
          <w:bCs/>
          <w:sz w:val="24"/>
        </w:rPr>
      </w:pPr>
      <w:r>
        <w:rPr>
          <w:rFonts w:hint="eastAsia"/>
          <w:bCs/>
          <w:sz w:val="24"/>
        </w:rPr>
        <w:t>3</w:t>
      </w:r>
      <w:r>
        <w:rPr>
          <w:rFonts w:hint="eastAsia"/>
          <w:bCs/>
          <w:sz w:val="24"/>
        </w:rPr>
        <w:t>）本基金参与国债期货时，所持有的债券（不含到期日在一年以内的政府债券）市值和买入、卖出国债期货合约价值，合计（轧差计算）应当符合基金合同关于债券投资比例的有关约定；</w:t>
      </w:r>
    </w:p>
    <w:p w:rsidR="00572ECF" w:rsidRDefault="00915AEA">
      <w:pPr>
        <w:spacing w:line="360" w:lineRule="auto"/>
        <w:ind w:firstLineChars="250" w:firstLine="600"/>
        <w:rPr>
          <w:bCs/>
          <w:sz w:val="24"/>
        </w:rPr>
      </w:pPr>
      <w:r>
        <w:rPr>
          <w:rFonts w:hint="eastAsia"/>
          <w:bCs/>
          <w:sz w:val="24"/>
        </w:rPr>
        <w:t>4</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bCs/>
          <w:sz w:val="24"/>
        </w:rPr>
        <w:t>17</w:t>
      </w:r>
      <w:r>
        <w:rPr>
          <w:rFonts w:hint="eastAsia"/>
          <w:bCs/>
          <w:sz w:val="24"/>
        </w:rPr>
        <w:t>）本基金总资产不得超过基金净资产的</w:t>
      </w:r>
      <w:r>
        <w:rPr>
          <w:rFonts w:hint="eastAsia"/>
          <w:bCs/>
          <w:sz w:val="24"/>
        </w:rPr>
        <w:t>140%</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bCs/>
          <w:sz w:val="24"/>
        </w:rPr>
        <w:t>19</w:t>
      </w:r>
      <w:r>
        <w:rPr>
          <w:rFonts w:hint="eastAsia"/>
          <w:bCs/>
          <w:sz w:val="24"/>
        </w:rPr>
        <w:t>）本基金主动投资于流动性受限资产的市值合计不得超过该基金资产净值的</w:t>
      </w:r>
      <w:r>
        <w:rPr>
          <w:rFonts w:hint="eastAsia"/>
          <w:bCs/>
          <w:sz w:val="24"/>
        </w:rPr>
        <w:t>15%</w:t>
      </w:r>
      <w:r>
        <w:rPr>
          <w:rFonts w:hint="eastAsia"/>
          <w:bCs/>
          <w:sz w:val="24"/>
        </w:rPr>
        <w:t>；</w:t>
      </w:r>
    </w:p>
    <w:p w:rsidR="00572ECF" w:rsidRDefault="00915AEA">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572ECF" w:rsidRDefault="00915AEA">
      <w:pPr>
        <w:spacing w:line="360" w:lineRule="auto"/>
        <w:ind w:firstLineChars="200" w:firstLine="480"/>
        <w:rPr>
          <w:bCs/>
          <w:sz w:val="24"/>
        </w:rPr>
      </w:pPr>
      <w:r>
        <w:rPr>
          <w:rFonts w:hint="eastAsia"/>
          <w:bCs/>
          <w:sz w:val="24"/>
        </w:rPr>
        <w:t>（</w:t>
      </w:r>
      <w:r>
        <w:rPr>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rsidR="00572ECF" w:rsidRDefault="00915AEA">
      <w:pPr>
        <w:spacing w:line="360" w:lineRule="auto"/>
        <w:ind w:firstLineChars="200" w:firstLine="480"/>
        <w:rPr>
          <w:bCs/>
          <w:sz w:val="24"/>
        </w:rPr>
      </w:pPr>
      <w:r>
        <w:rPr>
          <w:rFonts w:hint="eastAsia"/>
          <w:bCs/>
          <w:sz w:val="24"/>
        </w:rPr>
        <w:t>（</w:t>
      </w:r>
      <w:r>
        <w:rPr>
          <w:rFonts w:hint="eastAsia"/>
          <w:bCs/>
          <w:sz w:val="24"/>
        </w:rPr>
        <w:t>2</w:t>
      </w:r>
      <w:r>
        <w:rPr>
          <w:bCs/>
          <w:sz w:val="24"/>
        </w:rPr>
        <w:t>1</w:t>
      </w:r>
      <w:r>
        <w:rPr>
          <w:rFonts w:hint="eastAsia"/>
          <w:bCs/>
          <w:sz w:val="24"/>
        </w:rPr>
        <w:t>）法律法规及中国证监会规定的和《基金合同》约定的其他投资限制。</w:t>
      </w:r>
    </w:p>
    <w:p w:rsidR="00572ECF" w:rsidRDefault="00915AEA">
      <w:pPr>
        <w:spacing w:line="360" w:lineRule="auto"/>
        <w:ind w:firstLineChars="200" w:firstLine="480"/>
        <w:rPr>
          <w:bCs/>
          <w:sz w:val="24"/>
        </w:rPr>
      </w:pPr>
      <w:r>
        <w:rPr>
          <w:rFonts w:hint="eastAsia"/>
          <w:bCs/>
          <w:sz w:val="24"/>
        </w:rPr>
        <w:t>除上述第（</w:t>
      </w:r>
      <w:r>
        <w:rPr>
          <w:rFonts w:hint="eastAsia"/>
          <w:bCs/>
          <w:sz w:val="24"/>
        </w:rPr>
        <w:t>3</w:t>
      </w:r>
      <w:r>
        <w:rPr>
          <w:rFonts w:hint="eastAsia"/>
          <w:bCs/>
          <w:sz w:val="24"/>
        </w:rPr>
        <w:t>）、（</w:t>
      </w:r>
      <w:r>
        <w:rPr>
          <w:rFonts w:hint="eastAsia"/>
          <w:bCs/>
          <w:sz w:val="24"/>
        </w:rPr>
        <w:t>14</w:t>
      </w:r>
      <w:r>
        <w:rPr>
          <w:rFonts w:hint="eastAsia"/>
          <w:bCs/>
          <w:sz w:val="24"/>
        </w:rPr>
        <w:t>）、（</w:t>
      </w:r>
      <w:r>
        <w:rPr>
          <w:rFonts w:hint="eastAsia"/>
          <w:bCs/>
          <w:sz w:val="24"/>
        </w:rPr>
        <w:t>1</w:t>
      </w:r>
      <w:r>
        <w:rPr>
          <w:bCs/>
          <w:sz w:val="24"/>
        </w:rPr>
        <w:t>9</w:t>
      </w:r>
      <w:r>
        <w:rPr>
          <w:rFonts w:hint="eastAsia"/>
          <w:bCs/>
          <w:sz w:val="24"/>
        </w:rPr>
        <w:t>）、（</w:t>
      </w:r>
      <w:r>
        <w:rPr>
          <w:bCs/>
          <w:sz w:val="24"/>
        </w:rPr>
        <w:t>20</w:t>
      </w:r>
      <w:r>
        <w:rPr>
          <w:rFonts w:hint="eastAsia"/>
          <w:bCs/>
          <w:sz w:val="24"/>
        </w:rPr>
        <w:t>）项外，因证券、期货市场波动、证券发行人合并、基金规模变动等基金管理人之外的因素致使基金投资比例不符合上述规定投资比例的，基金管理人应当在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个交易日内进行调整，但中国证监会规定的特殊情形除外。法律法规或监管机构另有规定的，从其规定。</w:t>
      </w:r>
    </w:p>
    <w:p w:rsidR="00572ECF" w:rsidRDefault="00915AEA">
      <w:pPr>
        <w:spacing w:line="360" w:lineRule="auto"/>
        <w:ind w:firstLineChars="200"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rsidR="00572ECF" w:rsidRDefault="00915AEA">
      <w:pPr>
        <w:spacing w:line="360" w:lineRule="auto"/>
        <w:ind w:firstLineChars="200" w:firstLine="480"/>
        <w:rPr>
          <w:bCs/>
          <w:sz w:val="24"/>
        </w:rPr>
      </w:pPr>
      <w:r>
        <w:rPr>
          <w:rFonts w:hint="eastAsia"/>
          <w:bCs/>
          <w:sz w:val="24"/>
        </w:rPr>
        <w:t>法律法规或监管部门取消上述限制，如适用于本基金，基金管理人在履行适当程序后，则本基金投资不再受相关限制，但须提前公告，不需要经基金份额持</w:t>
      </w:r>
      <w:r>
        <w:rPr>
          <w:rFonts w:hint="eastAsia"/>
          <w:bCs/>
          <w:sz w:val="24"/>
        </w:rPr>
        <w:lastRenderedPageBreak/>
        <w:t>有人大会审议。</w:t>
      </w:r>
    </w:p>
    <w:p w:rsidR="00572ECF" w:rsidRDefault="00915AEA">
      <w:pPr>
        <w:spacing w:line="360" w:lineRule="auto"/>
        <w:ind w:firstLineChars="200" w:firstLine="480"/>
        <w:rPr>
          <w:bCs/>
          <w:sz w:val="24"/>
        </w:rPr>
      </w:pPr>
      <w:r>
        <w:rPr>
          <w:bCs/>
          <w:sz w:val="24"/>
        </w:rPr>
        <w:t>2</w:t>
      </w:r>
      <w:r>
        <w:rPr>
          <w:rFonts w:hint="eastAsia"/>
          <w:bCs/>
          <w:sz w:val="24"/>
        </w:rPr>
        <w:t>、禁止行为</w:t>
      </w:r>
    </w:p>
    <w:p w:rsidR="00572ECF" w:rsidRDefault="00915AEA">
      <w:pPr>
        <w:spacing w:line="360" w:lineRule="auto"/>
        <w:ind w:firstLineChars="200" w:firstLine="480"/>
        <w:rPr>
          <w:bCs/>
          <w:sz w:val="24"/>
        </w:rPr>
      </w:pPr>
      <w:r>
        <w:rPr>
          <w:rFonts w:hint="eastAsia"/>
          <w:bCs/>
          <w:sz w:val="24"/>
        </w:rPr>
        <w:t>为维护基金份额持有人的合法权益，基金财产不得用于下列投资或者活动：</w:t>
      </w:r>
    </w:p>
    <w:p w:rsidR="00572ECF" w:rsidRDefault="00915AEA">
      <w:pPr>
        <w:spacing w:line="360" w:lineRule="auto"/>
        <w:ind w:firstLineChars="200" w:firstLine="480"/>
        <w:rPr>
          <w:bCs/>
          <w:sz w:val="24"/>
        </w:rPr>
      </w:pPr>
      <w:r>
        <w:rPr>
          <w:rFonts w:hint="eastAsia"/>
          <w:bCs/>
          <w:sz w:val="24"/>
        </w:rPr>
        <w:t>（</w:t>
      </w:r>
      <w:r>
        <w:rPr>
          <w:bCs/>
          <w:sz w:val="24"/>
        </w:rPr>
        <w:t>1</w:t>
      </w:r>
      <w:r>
        <w:rPr>
          <w:rFonts w:hint="eastAsia"/>
          <w:bCs/>
          <w:sz w:val="24"/>
        </w:rPr>
        <w:t>）承销证券；</w:t>
      </w:r>
    </w:p>
    <w:p w:rsidR="00572ECF" w:rsidRDefault="00915AEA">
      <w:pPr>
        <w:spacing w:line="360" w:lineRule="auto"/>
        <w:ind w:firstLineChars="200" w:firstLine="480"/>
        <w:rPr>
          <w:bCs/>
          <w:sz w:val="24"/>
        </w:rPr>
      </w:pPr>
      <w:r>
        <w:rPr>
          <w:rFonts w:hint="eastAsia"/>
          <w:bCs/>
          <w:sz w:val="24"/>
        </w:rPr>
        <w:t>（</w:t>
      </w:r>
      <w:r>
        <w:rPr>
          <w:bCs/>
          <w:sz w:val="24"/>
        </w:rPr>
        <w:t>2</w:t>
      </w:r>
      <w:r>
        <w:rPr>
          <w:rFonts w:hint="eastAsia"/>
          <w:bCs/>
          <w:sz w:val="24"/>
        </w:rPr>
        <w:t>）违反规定向他人贷款或者提供担保；</w:t>
      </w:r>
    </w:p>
    <w:p w:rsidR="00572ECF" w:rsidRDefault="00915AEA">
      <w:pPr>
        <w:spacing w:line="360" w:lineRule="auto"/>
        <w:ind w:firstLineChars="200" w:firstLine="480"/>
        <w:rPr>
          <w:bCs/>
          <w:sz w:val="24"/>
        </w:rPr>
      </w:pPr>
      <w:r>
        <w:rPr>
          <w:rFonts w:hint="eastAsia"/>
          <w:bCs/>
          <w:sz w:val="24"/>
        </w:rPr>
        <w:t>（</w:t>
      </w:r>
      <w:r>
        <w:rPr>
          <w:bCs/>
          <w:sz w:val="24"/>
        </w:rPr>
        <w:t>3</w:t>
      </w:r>
      <w:r>
        <w:rPr>
          <w:rFonts w:hint="eastAsia"/>
          <w:bCs/>
          <w:sz w:val="24"/>
        </w:rPr>
        <w:t>）从事承担无限责任的投资；</w:t>
      </w:r>
    </w:p>
    <w:p w:rsidR="00572ECF" w:rsidRDefault="00915AEA">
      <w:pPr>
        <w:spacing w:line="360" w:lineRule="auto"/>
        <w:ind w:firstLineChars="200" w:firstLine="480"/>
        <w:rPr>
          <w:bCs/>
          <w:sz w:val="24"/>
        </w:rPr>
      </w:pPr>
      <w:r>
        <w:rPr>
          <w:rFonts w:hint="eastAsia"/>
          <w:bCs/>
          <w:sz w:val="24"/>
        </w:rPr>
        <w:t>（</w:t>
      </w:r>
      <w:r>
        <w:rPr>
          <w:bCs/>
          <w:sz w:val="24"/>
        </w:rPr>
        <w:t>4</w:t>
      </w:r>
      <w:r>
        <w:rPr>
          <w:rFonts w:hint="eastAsia"/>
          <w:bCs/>
          <w:sz w:val="24"/>
        </w:rPr>
        <w:t>）买卖其他基金份额，但是中国证监会另有规定的除外；</w:t>
      </w:r>
    </w:p>
    <w:p w:rsidR="00572ECF" w:rsidRDefault="00915AEA">
      <w:pPr>
        <w:spacing w:line="360" w:lineRule="auto"/>
        <w:ind w:firstLineChars="200" w:firstLine="480"/>
        <w:rPr>
          <w:bCs/>
          <w:sz w:val="24"/>
        </w:rPr>
      </w:pPr>
      <w:r>
        <w:rPr>
          <w:rFonts w:hint="eastAsia"/>
          <w:bCs/>
          <w:sz w:val="24"/>
        </w:rPr>
        <w:t>（</w:t>
      </w:r>
      <w:r>
        <w:rPr>
          <w:bCs/>
          <w:sz w:val="24"/>
        </w:rPr>
        <w:t>5</w:t>
      </w:r>
      <w:r>
        <w:rPr>
          <w:rFonts w:hint="eastAsia"/>
          <w:bCs/>
          <w:sz w:val="24"/>
        </w:rPr>
        <w:t>）向其基金管理人、基金托管人出资；</w:t>
      </w:r>
    </w:p>
    <w:p w:rsidR="00572ECF" w:rsidRDefault="00915AEA">
      <w:pPr>
        <w:spacing w:line="360" w:lineRule="auto"/>
        <w:ind w:firstLineChars="200" w:firstLine="480"/>
        <w:rPr>
          <w:bCs/>
          <w:sz w:val="24"/>
        </w:rPr>
      </w:pPr>
      <w:r>
        <w:rPr>
          <w:rFonts w:hint="eastAsia"/>
          <w:bCs/>
          <w:sz w:val="24"/>
        </w:rPr>
        <w:t>（</w:t>
      </w:r>
      <w:r>
        <w:rPr>
          <w:bCs/>
          <w:sz w:val="24"/>
        </w:rPr>
        <w:t>6</w:t>
      </w:r>
      <w:r>
        <w:rPr>
          <w:rFonts w:hint="eastAsia"/>
          <w:bCs/>
          <w:sz w:val="24"/>
        </w:rPr>
        <w:t>）从事内幕交易、操纵证券交易价格及其他不正当的证券交易活动；</w:t>
      </w:r>
    </w:p>
    <w:p w:rsidR="00572ECF" w:rsidRDefault="00915AEA">
      <w:pPr>
        <w:spacing w:line="360" w:lineRule="auto"/>
        <w:ind w:firstLineChars="200" w:firstLine="480"/>
        <w:rPr>
          <w:bCs/>
          <w:sz w:val="24"/>
        </w:rPr>
      </w:pPr>
      <w:r>
        <w:rPr>
          <w:rFonts w:hint="eastAsia"/>
          <w:bCs/>
          <w:sz w:val="24"/>
        </w:rPr>
        <w:t>（</w:t>
      </w:r>
      <w:r>
        <w:rPr>
          <w:bCs/>
          <w:sz w:val="24"/>
        </w:rPr>
        <w:t>7</w:t>
      </w:r>
      <w:r>
        <w:rPr>
          <w:rFonts w:hint="eastAsia"/>
          <w:bCs/>
          <w:sz w:val="24"/>
        </w:rPr>
        <w:t>）法律、行政法规和中国证监会规定禁止的其他活动。</w:t>
      </w:r>
    </w:p>
    <w:p w:rsidR="00572ECF" w:rsidRDefault="00915AEA">
      <w:pPr>
        <w:spacing w:line="360" w:lineRule="auto"/>
        <w:ind w:firstLineChars="200" w:firstLine="480"/>
        <w:rPr>
          <w:bCs/>
          <w:sz w:val="24"/>
        </w:rPr>
      </w:pP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572ECF" w:rsidRDefault="00915AEA">
      <w:pPr>
        <w:spacing w:line="360" w:lineRule="auto"/>
        <w:ind w:firstLineChars="200" w:firstLine="480"/>
        <w:rPr>
          <w:bCs/>
          <w:sz w:val="24"/>
        </w:rPr>
      </w:pPr>
      <w:r>
        <w:rPr>
          <w:rFonts w:hint="eastAsia"/>
          <w:bCs/>
          <w:sz w:val="24"/>
        </w:rPr>
        <w:t>如法律、行政法规或监管部门取消或调整上述禁止性规定，则本基金可不受上述规定的限制或按调整后的规定执行。</w:t>
      </w:r>
    </w:p>
    <w:p w:rsidR="00572ECF" w:rsidRDefault="00915AEA">
      <w:pPr>
        <w:spacing w:line="360" w:lineRule="auto"/>
        <w:ind w:firstLineChars="200" w:firstLine="482"/>
        <w:rPr>
          <w:b/>
          <w:bCs/>
          <w:sz w:val="24"/>
        </w:rPr>
      </w:pPr>
      <w:r>
        <w:rPr>
          <w:rFonts w:hint="eastAsia"/>
          <w:b/>
          <w:bCs/>
          <w:sz w:val="24"/>
        </w:rPr>
        <w:t>五、业绩比较基准</w:t>
      </w:r>
    </w:p>
    <w:p w:rsidR="00572ECF" w:rsidRDefault="00915AEA">
      <w:pPr>
        <w:spacing w:before="62" w:line="360" w:lineRule="auto"/>
        <w:ind w:firstLineChars="200" w:firstLine="480"/>
        <w:jc w:val="left"/>
        <w:rPr>
          <w:bCs/>
          <w:sz w:val="24"/>
        </w:rPr>
      </w:pPr>
      <w:r>
        <w:rPr>
          <w:rFonts w:hint="eastAsia"/>
          <w:bCs/>
          <w:sz w:val="24"/>
        </w:rPr>
        <w:t>本基金的业绩比较基准为：中</w:t>
      </w:r>
      <w:proofErr w:type="gramStart"/>
      <w:r>
        <w:rPr>
          <w:rFonts w:hint="eastAsia"/>
          <w:bCs/>
          <w:sz w:val="24"/>
        </w:rPr>
        <w:t>债总全价指数</w:t>
      </w:r>
      <w:proofErr w:type="gramEnd"/>
      <w:r>
        <w:rPr>
          <w:rFonts w:hint="eastAsia"/>
          <w:bCs/>
          <w:sz w:val="24"/>
        </w:rPr>
        <w:t>收益率。</w:t>
      </w:r>
    </w:p>
    <w:p w:rsidR="00572ECF" w:rsidRDefault="00915AEA">
      <w:pPr>
        <w:spacing w:before="62" w:line="360" w:lineRule="auto"/>
        <w:ind w:firstLineChars="200" w:firstLine="480"/>
        <w:jc w:val="left"/>
        <w:rPr>
          <w:bCs/>
          <w:sz w:val="24"/>
        </w:rPr>
      </w:pPr>
      <w:r>
        <w:rPr>
          <w:rFonts w:ascii="Arial Unicode MS" w:hAnsi="Arial Unicode MS" w:cs="Arial" w:hint="eastAsia"/>
          <w:color w:val="000000"/>
          <w:kern w:val="0"/>
          <w:sz w:val="24"/>
          <w:szCs w:val="21"/>
        </w:rPr>
        <w:t>中</w:t>
      </w:r>
      <w:proofErr w:type="gramStart"/>
      <w:r>
        <w:rPr>
          <w:rFonts w:ascii="Arial Unicode MS" w:hAnsi="Arial Unicode MS" w:cs="Arial" w:hint="eastAsia"/>
          <w:color w:val="000000"/>
          <w:kern w:val="0"/>
          <w:sz w:val="24"/>
          <w:szCs w:val="21"/>
        </w:rPr>
        <w:t>债总全价指数</w:t>
      </w:r>
      <w:proofErr w:type="gramEnd"/>
      <w:r>
        <w:rPr>
          <w:rFonts w:ascii="Arial Unicode MS" w:hAnsi="Arial Unicode MS" w:cs="Arial" w:hint="eastAsia"/>
          <w:color w:val="000000"/>
          <w:kern w:val="0"/>
          <w:sz w:val="24"/>
          <w:szCs w:val="21"/>
        </w:rPr>
        <w:t>是中央国债登记结算有限责任公司编制的综合反映银行间债券市场、上海证券交易所债券市场、深圳证券交易所债券市场和柜台债券市场的跨市场债券指数。该指数样本</w:t>
      </w:r>
      <w:proofErr w:type="gramStart"/>
      <w:r>
        <w:rPr>
          <w:rFonts w:ascii="Arial Unicode MS" w:hAnsi="Arial Unicode MS" w:cs="Arial" w:hint="eastAsia"/>
          <w:color w:val="000000"/>
          <w:kern w:val="0"/>
          <w:sz w:val="24"/>
          <w:szCs w:val="21"/>
        </w:rPr>
        <w:t>券</w:t>
      </w:r>
      <w:proofErr w:type="gramEnd"/>
      <w:r>
        <w:rPr>
          <w:rFonts w:ascii="Arial Unicode MS" w:hAnsi="Arial Unicode MS" w:cs="Arial" w:hint="eastAsia"/>
          <w:color w:val="000000"/>
          <w:kern w:val="0"/>
          <w:sz w:val="24"/>
          <w:szCs w:val="21"/>
        </w:rPr>
        <w:t>涵盖央票、国债和政策性金融债，能较好地反映债券市场的整体收益情况</w:t>
      </w:r>
      <w:r>
        <w:rPr>
          <w:rFonts w:hint="eastAsia"/>
          <w:bCs/>
          <w:sz w:val="24"/>
        </w:rPr>
        <w:t>。</w:t>
      </w:r>
    </w:p>
    <w:p w:rsidR="00572ECF" w:rsidRDefault="00915AEA">
      <w:pPr>
        <w:adjustRightInd w:val="0"/>
        <w:snapToGrid w:val="0"/>
        <w:spacing w:line="360" w:lineRule="auto"/>
        <w:ind w:firstLineChars="200" w:firstLine="480"/>
        <w:rPr>
          <w:bCs/>
          <w:sz w:val="24"/>
        </w:rPr>
      </w:pPr>
      <w:r>
        <w:rPr>
          <w:rFonts w:hint="eastAsia"/>
          <w:bCs/>
          <w:sz w:val="24"/>
        </w:rPr>
        <w:t>如果今后法律法规发生变化，或者有更权威的、更能为市场普遍接受的业绩比较基准推出，或者是市场上出现更加适合用于本基金的业绩基准的指数，或者市场发生变化导致</w:t>
      </w:r>
      <w:proofErr w:type="gramStart"/>
      <w:r>
        <w:rPr>
          <w:rFonts w:hint="eastAsia"/>
          <w:bCs/>
          <w:sz w:val="24"/>
        </w:rPr>
        <w:t>本业绩</w:t>
      </w:r>
      <w:proofErr w:type="gramEnd"/>
      <w:r>
        <w:rPr>
          <w:rFonts w:hint="eastAsia"/>
          <w:bCs/>
          <w:sz w:val="24"/>
        </w:rPr>
        <w:t>比较基准不再适用或</w:t>
      </w:r>
      <w:proofErr w:type="gramStart"/>
      <w:r>
        <w:rPr>
          <w:rFonts w:hint="eastAsia"/>
          <w:bCs/>
          <w:sz w:val="24"/>
        </w:rPr>
        <w:t>本业绩</w:t>
      </w:r>
      <w:proofErr w:type="gramEnd"/>
      <w:r>
        <w:rPr>
          <w:rFonts w:hint="eastAsia"/>
          <w:bCs/>
          <w:sz w:val="24"/>
        </w:rPr>
        <w:t>比较基准停止发布时，本基金管理人在与基金托管人协商一致，可调整或变更业绩比较基准并及时公告，而</w:t>
      </w:r>
      <w:r>
        <w:rPr>
          <w:rFonts w:hint="eastAsia"/>
          <w:bCs/>
          <w:sz w:val="24"/>
        </w:rPr>
        <w:lastRenderedPageBreak/>
        <w:t>无需召开基金份额持有人大会。</w:t>
      </w:r>
    </w:p>
    <w:p w:rsidR="00572ECF" w:rsidRDefault="00915AEA">
      <w:pPr>
        <w:spacing w:line="360" w:lineRule="auto"/>
        <w:ind w:firstLineChars="200" w:firstLine="482"/>
        <w:rPr>
          <w:b/>
          <w:bCs/>
          <w:sz w:val="24"/>
        </w:rPr>
      </w:pPr>
      <w:r>
        <w:rPr>
          <w:rFonts w:hint="eastAsia"/>
          <w:b/>
          <w:bCs/>
          <w:sz w:val="24"/>
        </w:rPr>
        <w:t>六、风险收益特征</w:t>
      </w:r>
    </w:p>
    <w:p w:rsidR="00572ECF" w:rsidRDefault="00915AEA">
      <w:pPr>
        <w:adjustRightInd w:val="0"/>
        <w:snapToGrid w:val="0"/>
        <w:spacing w:line="360" w:lineRule="auto"/>
        <w:ind w:firstLineChars="200" w:firstLine="480"/>
        <w:rPr>
          <w:bCs/>
          <w:sz w:val="24"/>
        </w:rPr>
      </w:pPr>
      <w:r>
        <w:rPr>
          <w:rFonts w:hint="eastAsia"/>
          <w:bCs/>
          <w:sz w:val="24"/>
        </w:rPr>
        <w:t>本基金为债券型基金，预期收益和预期风险高于货币市场基金，但低于混合型基金、股票型基金，属于中低风险</w:t>
      </w:r>
      <w:r>
        <w:rPr>
          <w:rFonts w:hint="eastAsia"/>
          <w:bCs/>
          <w:sz w:val="24"/>
        </w:rPr>
        <w:t>/</w:t>
      </w:r>
      <w:r>
        <w:rPr>
          <w:rFonts w:hint="eastAsia"/>
          <w:bCs/>
          <w:sz w:val="24"/>
        </w:rPr>
        <w:t>收益的产品。</w:t>
      </w:r>
    </w:p>
    <w:p w:rsidR="00572ECF" w:rsidRDefault="00915AEA">
      <w:pPr>
        <w:adjustRightInd w:val="0"/>
        <w:snapToGrid w:val="0"/>
        <w:spacing w:line="360" w:lineRule="auto"/>
        <w:ind w:firstLineChars="200" w:firstLine="482"/>
        <w:rPr>
          <w:b/>
          <w:bCs/>
          <w:sz w:val="24"/>
        </w:rPr>
      </w:pPr>
      <w:r>
        <w:rPr>
          <w:rFonts w:hint="eastAsia"/>
          <w:b/>
          <w:bCs/>
          <w:sz w:val="24"/>
        </w:rPr>
        <w:t>七、基金管理人代表基金行使相关权利的处理原则及方法</w:t>
      </w:r>
    </w:p>
    <w:p w:rsidR="00572ECF" w:rsidRDefault="00915AEA">
      <w:pPr>
        <w:adjustRightInd w:val="0"/>
        <w:snapToGrid w:val="0"/>
        <w:spacing w:line="360" w:lineRule="auto"/>
        <w:ind w:firstLineChars="200" w:firstLine="480"/>
        <w:rPr>
          <w:bCs/>
          <w:sz w:val="24"/>
        </w:rPr>
      </w:pPr>
      <w:r>
        <w:rPr>
          <w:bCs/>
          <w:sz w:val="24"/>
        </w:rPr>
        <w:t>1</w:t>
      </w:r>
      <w:r>
        <w:rPr>
          <w:rFonts w:hint="eastAsia"/>
          <w:bCs/>
          <w:sz w:val="24"/>
        </w:rPr>
        <w:t>、基金管理人按照国家有关规定代表基金独立行使相关权利，保护基金份额持有人的利益；</w:t>
      </w:r>
    </w:p>
    <w:p w:rsidR="00572ECF" w:rsidRDefault="00915AEA">
      <w:pPr>
        <w:adjustRightInd w:val="0"/>
        <w:snapToGrid w:val="0"/>
        <w:spacing w:line="360" w:lineRule="auto"/>
        <w:ind w:firstLineChars="200" w:firstLine="480"/>
        <w:rPr>
          <w:bCs/>
          <w:sz w:val="24"/>
        </w:rPr>
      </w:pPr>
      <w:r>
        <w:rPr>
          <w:bCs/>
          <w:sz w:val="24"/>
        </w:rPr>
        <w:t>2</w:t>
      </w:r>
      <w:r>
        <w:rPr>
          <w:rFonts w:hint="eastAsia"/>
          <w:bCs/>
          <w:sz w:val="24"/>
        </w:rPr>
        <w:t>、有利于基金财产的安全与增值；</w:t>
      </w:r>
    </w:p>
    <w:p w:rsidR="00572ECF" w:rsidRDefault="00915AEA">
      <w:pPr>
        <w:adjustRightInd w:val="0"/>
        <w:snapToGrid w:val="0"/>
        <w:spacing w:line="360" w:lineRule="auto"/>
        <w:ind w:firstLineChars="200" w:firstLine="480"/>
        <w:rPr>
          <w:bCs/>
          <w:sz w:val="24"/>
        </w:rPr>
      </w:pPr>
      <w:r>
        <w:rPr>
          <w:bCs/>
          <w:sz w:val="24"/>
        </w:rPr>
        <w:t>3</w:t>
      </w:r>
      <w:r>
        <w:rPr>
          <w:rFonts w:hint="eastAsia"/>
          <w:bCs/>
          <w:sz w:val="24"/>
        </w:rPr>
        <w:t>、不通过关联交易为自身、雇员、授权代理人或任何存在利害关系的第三人牟取任何不当利益。</w:t>
      </w:r>
    </w:p>
    <w:p w:rsidR="00787A97" w:rsidRPr="004618EE" w:rsidRDefault="00787A97" w:rsidP="004618EE">
      <w:pPr>
        <w:adjustRightInd w:val="0"/>
        <w:snapToGrid w:val="0"/>
        <w:spacing w:line="360" w:lineRule="auto"/>
        <w:ind w:firstLineChars="200" w:firstLine="482"/>
        <w:rPr>
          <w:b/>
          <w:bCs/>
          <w:sz w:val="24"/>
        </w:rPr>
      </w:pPr>
      <w:r w:rsidRPr="004618EE">
        <w:rPr>
          <w:rFonts w:hint="eastAsia"/>
          <w:b/>
          <w:bCs/>
          <w:sz w:val="24"/>
        </w:rPr>
        <w:t>八、基金投资组合报告</w:t>
      </w:r>
    </w:p>
    <w:p w:rsidR="00787A97" w:rsidRPr="00FD64FB" w:rsidRDefault="00787A97" w:rsidP="00FD64FB">
      <w:pPr>
        <w:adjustRightInd w:val="0"/>
        <w:snapToGrid w:val="0"/>
        <w:spacing w:line="360" w:lineRule="auto"/>
        <w:ind w:firstLineChars="200" w:firstLine="480"/>
        <w:rPr>
          <w:bCs/>
          <w:sz w:val="24"/>
        </w:rPr>
      </w:pPr>
      <w:r w:rsidRPr="00FD64FB">
        <w:rPr>
          <w:rFonts w:hint="eastAsia"/>
          <w:bCs/>
          <w:sz w:val="24"/>
        </w:rPr>
        <w:t>基金管理人的董事会、董事保证本报告所载资料不存在虚假记载、误导性陈述或重大遗漏，并对其内容的真实性、准确性和完整性承担个别及连带的法律责任。</w:t>
      </w:r>
    </w:p>
    <w:p w:rsidR="00787A97" w:rsidRPr="00FD64FB" w:rsidRDefault="00787A97" w:rsidP="00FD64FB">
      <w:pPr>
        <w:adjustRightInd w:val="0"/>
        <w:snapToGrid w:val="0"/>
        <w:spacing w:line="360" w:lineRule="auto"/>
        <w:ind w:firstLineChars="200" w:firstLine="480"/>
        <w:rPr>
          <w:bCs/>
          <w:sz w:val="24"/>
        </w:rPr>
      </w:pPr>
      <w:r w:rsidRPr="00FD64FB">
        <w:rPr>
          <w:rFonts w:hint="eastAsia"/>
          <w:bCs/>
          <w:sz w:val="24"/>
        </w:rPr>
        <w:t>基金托管人广州农村商业银行股份有限公司根据本基金合同规定，于</w:t>
      </w:r>
      <w:r w:rsidRPr="00FD64FB">
        <w:rPr>
          <w:rFonts w:hint="eastAsia"/>
          <w:bCs/>
          <w:sz w:val="24"/>
        </w:rPr>
        <w:t>2018</w:t>
      </w:r>
      <w:r w:rsidRPr="00FD64FB">
        <w:rPr>
          <w:rFonts w:hint="eastAsia"/>
          <w:bCs/>
          <w:sz w:val="24"/>
        </w:rPr>
        <w:t>年</w:t>
      </w:r>
      <w:r w:rsidRPr="00FD64FB">
        <w:rPr>
          <w:rFonts w:hint="eastAsia"/>
          <w:bCs/>
          <w:sz w:val="24"/>
        </w:rPr>
        <w:t>8</w:t>
      </w:r>
      <w:r w:rsidRPr="00FD64FB">
        <w:rPr>
          <w:rFonts w:hint="eastAsia"/>
          <w:bCs/>
          <w:sz w:val="24"/>
        </w:rPr>
        <w:t>月</w:t>
      </w:r>
      <w:r w:rsidRPr="00FD64FB">
        <w:rPr>
          <w:rFonts w:hint="eastAsia"/>
          <w:bCs/>
          <w:sz w:val="24"/>
        </w:rPr>
        <w:t>21</w:t>
      </w:r>
      <w:r w:rsidRPr="00FD64FB">
        <w:rPr>
          <w:rFonts w:hint="eastAsia"/>
          <w:bCs/>
          <w:sz w:val="24"/>
        </w:rPr>
        <w:t>日复核了本报告中的财务指标、净值表现、利润分配情况、财务会计报告、投资组合报告等内容，保证复核内容不存在虚假记载、误导性陈述或者重大遗漏。</w:t>
      </w:r>
    </w:p>
    <w:p w:rsidR="00787A97" w:rsidRPr="00FD64FB" w:rsidRDefault="00787A97" w:rsidP="00FD64FB">
      <w:pPr>
        <w:adjustRightInd w:val="0"/>
        <w:snapToGrid w:val="0"/>
        <w:spacing w:line="360" w:lineRule="auto"/>
        <w:ind w:firstLineChars="200" w:firstLine="480"/>
        <w:rPr>
          <w:bCs/>
          <w:sz w:val="24"/>
        </w:rPr>
      </w:pPr>
      <w:r w:rsidRPr="00FD64FB">
        <w:rPr>
          <w:rFonts w:hint="eastAsia"/>
          <w:bCs/>
          <w:sz w:val="24"/>
        </w:rPr>
        <w:t>本投资组合报告所载数据截至</w:t>
      </w:r>
      <w:r w:rsidRPr="00FD64FB">
        <w:rPr>
          <w:rFonts w:hint="eastAsia"/>
          <w:bCs/>
          <w:sz w:val="24"/>
        </w:rPr>
        <w:t>2018</w:t>
      </w:r>
      <w:r w:rsidRPr="00FD64FB">
        <w:rPr>
          <w:rFonts w:hint="eastAsia"/>
          <w:bCs/>
          <w:sz w:val="24"/>
        </w:rPr>
        <w:t>年</w:t>
      </w:r>
      <w:r w:rsidRPr="00FD64FB">
        <w:rPr>
          <w:rFonts w:hint="eastAsia"/>
          <w:bCs/>
          <w:sz w:val="24"/>
        </w:rPr>
        <w:t>6</w:t>
      </w:r>
      <w:r w:rsidRPr="00FD64FB">
        <w:rPr>
          <w:rFonts w:hint="eastAsia"/>
          <w:bCs/>
          <w:sz w:val="24"/>
        </w:rPr>
        <w:t>月</w:t>
      </w:r>
      <w:r w:rsidRPr="00FD64FB">
        <w:rPr>
          <w:rFonts w:hint="eastAsia"/>
          <w:bCs/>
          <w:sz w:val="24"/>
        </w:rPr>
        <w:t>30</w:t>
      </w:r>
      <w:r w:rsidRPr="00FD64FB">
        <w:rPr>
          <w:rFonts w:hint="eastAsia"/>
          <w:bCs/>
          <w:sz w:val="24"/>
        </w:rPr>
        <w:t>日，本报告中所列财务数据未经审计。</w:t>
      </w:r>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1</w:t>
      </w:r>
      <w:r w:rsidRPr="00664CFC">
        <w:rPr>
          <w:rFonts w:hint="eastAsia"/>
          <w:bCs/>
          <w:sz w:val="24"/>
        </w:rPr>
        <w:t>、</w:t>
      </w:r>
      <w:r w:rsidRPr="00664CFC">
        <w:rPr>
          <w:rFonts w:hint="eastAsia"/>
          <w:bCs/>
          <w:sz w:val="24"/>
        </w:rPr>
        <w:t xml:space="preserve"> </w:t>
      </w:r>
      <w:r w:rsidRPr="00664CFC">
        <w:rPr>
          <w:rFonts w:hint="eastAsia"/>
          <w:bCs/>
          <w:sz w:val="24"/>
        </w:rPr>
        <w:t>期末基金资产组合情况</w:t>
      </w:r>
    </w:p>
    <w:p w:rsidR="00787A97" w:rsidRPr="00662A7D" w:rsidRDefault="00787A97" w:rsidP="00787A97">
      <w:pPr>
        <w:pStyle w:val="biaogeright"/>
      </w:pPr>
      <w:r w:rsidRPr="00662A7D">
        <w:rPr>
          <w:rFonts w:hint="eastAsia"/>
          <w:color w:val="000000"/>
        </w:rPr>
        <w:t>金额单位：人民币元</w:t>
      </w:r>
    </w:p>
    <w:tbl>
      <w:tblPr>
        <w:tblW w:w="0" w:type="auto"/>
        <w:tblInd w:w="108" w:type="dxa"/>
        <w:tblLook w:val="04A0" w:firstRow="1" w:lastRow="0" w:firstColumn="1" w:lastColumn="0" w:noHBand="0" w:noVBand="1"/>
      </w:tblPr>
      <w:tblGrid>
        <w:gridCol w:w="677"/>
        <w:gridCol w:w="3257"/>
        <w:gridCol w:w="2272"/>
        <w:gridCol w:w="1963"/>
      </w:tblGrid>
      <w:tr w:rsidR="00787A97" w:rsidRPr="00662A7D" w:rsidTr="00B2071A">
        <w:trPr>
          <w:trHeight w:val="776"/>
        </w:trPr>
        <w:tc>
          <w:tcPr>
            <w:tcW w:w="67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序号</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项目</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金额</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占基金总资产的比例(%)</w:t>
            </w:r>
          </w:p>
        </w:tc>
      </w:tr>
      <w:tr w:rsidR="00787A97" w:rsidRPr="00662A7D" w:rsidTr="00B2071A">
        <w:trPr>
          <w:trHeight w:val="388"/>
        </w:trPr>
        <w:tc>
          <w:tcPr>
            <w:tcW w:w="67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1</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权益投资</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w:t>
            </w:r>
          </w:p>
        </w:tc>
      </w:tr>
      <w:tr w:rsidR="00787A97" w:rsidRPr="00662A7D" w:rsidTr="00B2071A">
        <w:trPr>
          <w:trHeight w:val="399"/>
        </w:trPr>
        <w:tc>
          <w:tcPr>
            <w:tcW w:w="677" w:type="dxa"/>
            <w:tcBorders>
              <w:top w:val="single" w:sz="8" w:space="0" w:color="000000"/>
              <w:left w:val="single" w:sz="8" w:space="0" w:color="000000"/>
              <w:bottom w:val="single" w:sz="8" w:space="0" w:color="000000"/>
              <w:right w:val="single" w:sz="8" w:space="0" w:color="000000"/>
            </w:tcBorders>
            <w:vAlign w:val="center"/>
          </w:tcPr>
          <w:p w:rsidR="00787A97" w:rsidRPr="00662A7D" w:rsidRDefault="00787A97" w:rsidP="00CA1E03">
            <w:pPr>
              <w:pStyle w:val="biaogecenter"/>
              <w:wordWrap w:val="0"/>
              <w:rPr>
                <w:color w:val="000000"/>
              </w:rPr>
            </w:pP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其中：股票</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w:t>
            </w:r>
          </w:p>
        </w:tc>
      </w:tr>
      <w:tr w:rsidR="00787A97" w:rsidRPr="00662A7D" w:rsidTr="00B2071A">
        <w:trPr>
          <w:trHeight w:val="399"/>
        </w:trPr>
        <w:tc>
          <w:tcPr>
            <w:tcW w:w="67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2</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基金投资</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r>
      <w:tr w:rsidR="00787A97" w:rsidRPr="00662A7D" w:rsidTr="00B2071A">
        <w:trPr>
          <w:trHeight w:val="399"/>
        </w:trPr>
        <w:tc>
          <w:tcPr>
            <w:tcW w:w="67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3</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固定收益投资</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56,716,325.60</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53.31</w:t>
            </w:r>
          </w:p>
        </w:tc>
      </w:tr>
      <w:tr w:rsidR="00787A97" w:rsidRPr="00662A7D" w:rsidTr="00B2071A">
        <w:trPr>
          <w:trHeight w:val="399"/>
        </w:trPr>
        <w:tc>
          <w:tcPr>
            <w:tcW w:w="677" w:type="dxa"/>
            <w:tcBorders>
              <w:top w:val="single" w:sz="8" w:space="0" w:color="000000"/>
              <w:left w:val="single" w:sz="8" w:space="0" w:color="000000"/>
              <w:bottom w:val="single" w:sz="8" w:space="0" w:color="000000"/>
              <w:right w:val="single" w:sz="8" w:space="0" w:color="000000"/>
            </w:tcBorders>
            <w:vAlign w:val="center"/>
          </w:tcPr>
          <w:p w:rsidR="00787A97" w:rsidRPr="00662A7D" w:rsidRDefault="00787A97" w:rsidP="00CA1E03">
            <w:pPr>
              <w:pStyle w:val="biaogecenter"/>
              <w:wordWrap w:val="0"/>
              <w:rPr>
                <w:color w:val="000000"/>
              </w:rPr>
            </w:pP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其中：债券</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56,716,325.60</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53.31</w:t>
            </w:r>
          </w:p>
        </w:tc>
      </w:tr>
      <w:tr w:rsidR="00787A97" w:rsidRPr="00662A7D" w:rsidTr="00B2071A">
        <w:trPr>
          <w:trHeight w:val="399"/>
        </w:trPr>
        <w:tc>
          <w:tcPr>
            <w:tcW w:w="677" w:type="dxa"/>
            <w:tcBorders>
              <w:top w:val="single" w:sz="8" w:space="0" w:color="000000"/>
              <w:left w:val="single" w:sz="8" w:space="0" w:color="000000"/>
              <w:bottom w:val="single" w:sz="8" w:space="0" w:color="000000"/>
              <w:right w:val="single" w:sz="8" w:space="0" w:color="000000"/>
            </w:tcBorders>
            <w:vAlign w:val="center"/>
          </w:tcPr>
          <w:p w:rsidR="00787A97" w:rsidRPr="00662A7D" w:rsidRDefault="00787A97" w:rsidP="00CA1E03">
            <w:pPr>
              <w:pStyle w:val="biaogecenter"/>
              <w:wordWrap w:val="0"/>
              <w:rPr>
                <w:color w:val="000000"/>
              </w:rPr>
            </w:pP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ind w:left="356"/>
            </w:pPr>
            <w:r w:rsidRPr="00662A7D">
              <w:rPr>
                <w:rFonts w:hint="eastAsia"/>
                <w:color w:val="000000"/>
              </w:rPr>
              <w:t>资产支持证券</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w:t>
            </w:r>
          </w:p>
        </w:tc>
      </w:tr>
      <w:tr w:rsidR="00787A97" w:rsidRPr="00662A7D" w:rsidTr="00B2071A">
        <w:trPr>
          <w:trHeight w:val="399"/>
        </w:trPr>
        <w:tc>
          <w:tcPr>
            <w:tcW w:w="67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lastRenderedPageBreak/>
              <w:t>4</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贵金属投资</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w:t>
            </w:r>
          </w:p>
        </w:tc>
      </w:tr>
      <w:tr w:rsidR="00787A97" w:rsidRPr="00662A7D" w:rsidTr="00B2071A">
        <w:trPr>
          <w:trHeight w:val="388"/>
        </w:trPr>
        <w:tc>
          <w:tcPr>
            <w:tcW w:w="67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5</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金融衍生</w:t>
            </w:r>
            <w:proofErr w:type="gramStart"/>
            <w:r w:rsidRPr="00662A7D">
              <w:rPr>
                <w:rFonts w:hint="eastAsia"/>
                <w:color w:val="000000"/>
              </w:rPr>
              <w:t>品投资</w:t>
            </w:r>
            <w:proofErr w:type="gramEnd"/>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w:t>
            </w:r>
          </w:p>
        </w:tc>
      </w:tr>
      <w:tr w:rsidR="00787A97" w:rsidRPr="00662A7D" w:rsidTr="00B2071A">
        <w:trPr>
          <w:trHeight w:val="399"/>
        </w:trPr>
        <w:tc>
          <w:tcPr>
            <w:tcW w:w="67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6</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买入返售金融资产</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w:t>
            </w:r>
          </w:p>
        </w:tc>
      </w:tr>
      <w:tr w:rsidR="00787A97" w:rsidRPr="00662A7D" w:rsidTr="00B2071A">
        <w:trPr>
          <w:trHeight w:val="410"/>
        </w:trPr>
        <w:tc>
          <w:tcPr>
            <w:tcW w:w="677" w:type="dxa"/>
            <w:tcBorders>
              <w:top w:val="single" w:sz="8" w:space="0" w:color="000000"/>
              <w:left w:val="single" w:sz="8" w:space="0" w:color="000000"/>
              <w:bottom w:val="single" w:sz="8" w:space="0" w:color="000000"/>
              <w:right w:val="single" w:sz="8" w:space="0" w:color="000000"/>
            </w:tcBorders>
            <w:vAlign w:val="center"/>
          </w:tcPr>
          <w:p w:rsidR="00787A97" w:rsidRPr="00662A7D" w:rsidRDefault="00787A97" w:rsidP="00CA1E03">
            <w:pPr>
              <w:pStyle w:val="biaogecenter"/>
              <w:wordWrap w:val="0"/>
              <w:rPr>
                <w:color w:val="000000"/>
              </w:rPr>
            </w:pP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其中：买断式回购的买入返售金融资产</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w:t>
            </w:r>
          </w:p>
        </w:tc>
      </w:tr>
      <w:tr w:rsidR="00787A97" w:rsidRPr="00662A7D" w:rsidTr="00B2071A">
        <w:trPr>
          <w:trHeight w:val="143"/>
        </w:trPr>
        <w:tc>
          <w:tcPr>
            <w:tcW w:w="67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7</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银行存款和结算备付金合计</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47,912,770.24</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45.04</w:t>
            </w:r>
          </w:p>
        </w:tc>
      </w:tr>
      <w:tr w:rsidR="00787A97" w:rsidRPr="00662A7D" w:rsidTr="00B2071A">
        <w:trPr>
          <w:trHeight w:val="143"/>
        </w:trPr>
        <w:tc>
          <w:tcPr>
            <w:tcW w:w="67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8</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其他各项资产</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1,752,151.53</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1.65</w:t>
            </w:r>
          </w:p>
        </w:tc>
      </w:tr>
      <w:tr w:rsidR="00787A97" w:rsidRPr="00662A7D" w:rsidTr="00B2071A">
        <w:trPr>
          <w:trHeight w:val="143"/>
        </w:trPr>
        <w:tc>
          <w:tcPr>
            <w:tcW w:w="67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9</w:t>
            </w:r>
          </w:p>
        </w:tc>
        <w:tc>
          <w:tcPr>
            <w:tcW w:w="3257"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合计</w:t>
            </w:r>
          </w:p>
        </w:tc>
        <w:tc>
          <w:tcPr>
            <w:tcW w:w="227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106,381,247.37</w:t>
            </w:r>
          </w:p>
        </w:tc>
        <w:tc>
          <w:tcPr>
            <w:tcW w:w="19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100.00</w:t>
            </w:r>
          </w:p>
        </w:tc>
      </w:tr>
    </w:tbl>
    <w:p w:rsidR="00787A97" w:rsidRPr="00662A7D" w:rsidRDefault="00787A97" w:rsidP="00787A97">
      <w:pPr>
        <w:widowControl/>
        <w:jc w:val="left"/>
        <w:rPr>
          <w:rFonts w:ascii="宋体" w:hAnsi="宋体" w:cs="宋体"/>
          <w:kern w:val="0"/>
          <w:sz w:val="24"/>
          <w:szCs w:val="24"/>
        </w:rPr>
      </w:pPr>
    </w:p>
    <w:p w:rsidR="00787A97" w:rsidRPr="00664CFC" w:rsidRDefault="00787A97" w:rsidP="00664CFC">
      <w:pPr>
        <w:adjustRightInd w:val="0"/>
        <w:snapToGrid w:val="0"/>
        <w:spacing w:line="360" w:lineRule="auto"/>
        <w:ind w:firstLineChars="200" w:firstLine="480"/>
        <w:rPr>
          <w:bCs/>
          <w:sz w:val="24"/>
        </w:rPr>
      </w:pPr>
      <w:bookmarkStart w:id="81" w:name="_Toc522889947"/>
      <w:r w:rsidRPr="00664CFC">
        <w:rPr>
          <w:rFonts w:hint="eastAsia"/>
          <w:bCs/>
          <w:sz w:val="24"/>
        </w:rPr>
        <w:t>2</w:t>
      </w:r>
      <w:r w:rsidRPr="00664CFC">
        <w:rPr>
          <w:rFonts w:hint="eastAsia"/>
          <w:bCs/>
          <w:sz w:val="24"/>
        </w:rPr>
        <w:t>、报告期末按行业分类的股票投资组合</w:t>
      </w:r>
      <w:bookmarkEnd w:id="81"/>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1</w:t>
      </w:r>
      <w:r w:rsidRPr="00664CFC">
        <w:rPr>
          <w:rFonts w:hint="eastAsia"/>
          <w:bCs/>
          <w:sz w:val="24"/>
        </w:rPr>
        <w:t>）报告期末按行业分类的境内股票投资组合</w:t>
      </w:r>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本基金本报告期末未投资股票。</w:t>
      </w:r>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2</w:t>
      </w:r>
      <w:r w:rsidRPr="00664CFC">
        <w:rPr>
          <w:rFonts w:hint="eastAsia"/>
          <w:bCs/>
          <w:sz w:val="24"/>
        </w:rPr>
        <w:t>）报告期末按行业分类的港股通投资股票投资组合</w:t>
      </w:r>
    </w:p>
    <w:tbl>
      <w:tblPr>
        <w:tblW w:w="0" w:type="auto"/>
        <w:tblInd w:w="108" w:type="dxa"/>
        <w:tblLook w:val="04A0" w:firstRow="1" w:lastRow="0" w:firstColumn="1" w:lastColumn="0" w:noHBand="0" w:noVBand="1"/>
      </w:tblPr>
      <w:tblGrid>
        <w:gridCol w:w="222"/>
      </w:tblGrid>
      <w:tr w:rsidR="00787A97" w:rsidRPr="00664CFC" w:rsidTr="00CA1E03">
        <w:tc>
          <w:tcPr>
            <w:tcW w:w="0" w:type="auto"/>
            <w:vAlign w:val="center"/>
            <w:hideMark/>
          </w:tcPr>
          <w:p w:rsidR="00787A97" w:rsidRPr="00664CFC" w:rsidRDefault="00787A97" w:rsidP="00664CFC">
            <w:pPr>
              <w:adjustRightInd w:val="0"/>
              <w:snapToGrid w:val="0"/>
              <w:spacing w:line="360" w:lineRule="auto"/>
              <w:ind w:firstLineChars="200" w:firstLine="480"/>
              <w:rPr>
                <w:bCs/>
                <w:sz w:val="24"/>
              </w:rPr>
            </w:pPr>
          </w:p>
        </w:tc>
      </w:tr>
    </w:tbl>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本基金本报告期末未持有港股通投资股票。</w:t>
      </w:r>
    </w:p>
    <w:p w:rsidR="00787A97" w:rsidRPr="00664CFC" w:rsidRDefault="00787A97" w:rsidP="00664CFC">
      <w:pPr>
        <w:adjustRightInd w:val="0"/>
        <w:snapToGrid w:val="0"/>
        <w:spacing w:line="360" w:lineRule="auto"/>
        <w:ind w:firstLineChars="200" w:firstLine="480"/>
        <w:rPr>
          <w:bCs/>
          <w:sz w:val="24"/>
        </w:rPr>
      </w:pPr>
      <w:bookmarkStart w:id="82" w:name="_Toc522889948"/>
      <w:r w:rsidRPr="00664CFC">
        <w:rPr>
          <w:rFonts w:hint="eastAsia"/>
          <w:bCs/>
          <w:sz w:val="24"/>
        </w:rPr>
        <w:t>3</w:t>
      </w:r>
      <w:r w:rsidRPr="00664CFC">
        <w:rPr>
          <w:rFonts w:hint="eastAsia"/>
          <w:bCs/>
          <w:sz w:val="24"/>
        </w:rPr>
        <w:t>、期末按公允价值占基金资产净值比例大小排序的所有股票投资明细</w:t>
      </w:r>
      <w:bookmarkEnd w:id="82"/>
    </w:p>
    <w:tbl>
      <w:tblPr>
        <w:tblW w:w="0" w:type="auto"/>
        <w:tblInd w:w="108" w:type="dxa"/>
        <w:tblLook w:val="04A0" w:firstRow="1" w:lastRow="0" w:firstColumn="1" w:lastColumn="0" w:noHBand="0" w:noVBand="1"/>
      </w:tblPr>
      <w:tblGrid>
        <w:gridCol w:w="222"/>
      </w:tblGrid>
      <w:tr w:rsidR="00787A97" w:rsidRPr="00664CFC" w:rsidTr="00CA1E03">
        <w:tc>
          <w:tcPr>
            <w:tcW w:w="0" w:type="auto"/>
            <w:vAlign w:val="center"/>
            <w:hideMark/>
          </w:tcPr>
          <w:p w:rsidR="00787A97" w:rsidRPr="00664CFC" w:rsidRDefault="00787A97" w:rsidP="00664CFC">
            <w:pPr>
              <w:adjustRightInd w:val="0"/>
              <w:snapToGrid w:val="0"/>
              <w:spacing w:line="360" w:lineRule="auto"/>
              <w:ind w:firstLineChars="200" w:firstLine="480"/>
              <w:rPr>
                <w:bCs/>
                <w:sz w:val="24"/>
              </w:rPr>
            </w:pPr>
          </w:p>
        </w:tc>
      </w:tr>
    </w:tbl>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本基金本报告期末未持有股票。</w:t>
      </w:r>
    </w:p>
    <w:p w:rsidR="00787A97" w:rsidRPr="00664CFC" w:rsidRDefault="00787A97" w:rsidP="00664CFC">
      <w:pPr>
        <w:adjustRightInd w:val="0"/>
        <w:snapToGrid w:val="0"/>
        <w:spacing w:line="360" w:lineRule="auto"/>
        <w:ind w:firstLineChars="200" w:firstLine="480"/>
        <w:rPr>
          <w:bCs/>
          <w:sz w:val="24"/>
        </w:rPr>
      </w:pPr>
      <w:bookmarkStart w:id="83" w:name="_Toc522889949"/>
      <w:r w:rsidRPr="00664CFC">
        <w:rPr>
          <w:rFonts w:hint="eastAsia"/>
          <w:bCs/>
          <w:sz w:val="24"/>
        </w:rPr>
        <w:t>4</w:t>
      </w:r>
      <w:r w:rsidRPr="00664CFC">
        <w:rPr>
          <w:rFonts w:hint="eastAsia"/>
          <w:bCs/>
          <w:sz w:val="24"/>
        </w:rPr>
        <w:t>、报告期内股票投资组合的重大变动</w:t>
      </w:r>
      <w:bookmarkEnd w:id="83"/>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1</w:t>
      </w:r>
      <w:r w:rsidRPr="00664CFC">
        <w:rPr>
          <w:rFonts w:hint="eastAsia"/>
          <w:bCs/>
          <w:sz w:val="24"/>
        </w:rPr>
        <w:t>）累计买入金额超出期末基金资产净值</w:t>
      </w:r>
      <w:r w:rsidRPr="00664CFC">
        <w:rPr>
          <w:rFonts w:hint="eastAsia"/>
          <w:bCs/>
          <w:sz w:val="24"/>
        </w:rPr>
        <w:t>2%</w:t>
      </w:r>
      <w:r w:rsidRPr="00664CFC">
        <w:rPr>
          <w:rFonts w:hint="eastAsia"/>
          <w:bCs/>
          <w:sz w:val="24"/>
        </w:rPr>
        <w:t>或前</w:t>
      </w:r>
      <w:r w:rsidRPr="00664CFC">
        <w:rPr>
          <w:rFonts w:hint="eastAsia"/>
          <w:bCs/>
          <w:sz w:val="24"/>
        </w:rPr>
        <w:t>20</w:t>
      </w:r>
      <w:r w:rsidRPr="00664CFC">
        <w:rPr>
          <w:rFonts w:hint="eastAsia"/>
          <w:bCs/>
          <w:sz w:val="24"/>
        </w:rPr>
        <w:t>名的股票明细</w:t>
      </w:r>
    </w:p>
    <w:tbl>
      <w:tblPr>
        <w:tblW w:w="0" w:type="auto"/>
        <w:tblInd w:w="108" w:type="dxa"/>
        <w:tblLook w:val="04A0" w:firstRow="1" w:lastRow="0" w:firstColumn="1" w:lastColumn="0" w:noHBand="0" w:noVBand="1"/>
      </w:tblPr>
      <w:tblGrid>
        <w:gridCol w:w="222"/>
      </w:tblGrid>
      <w:tr w:rsidR="00787A97" w:rsidRPr="00664CFC" w:rsidTr="00CA1E03">
        <w:tc>
          <w:tcPr>
            <w:tcW w:w="0" w:type="auto"/>
            <w:vAlign w:val="center"/>
            <w:hideMark/>
          </w:tcPr>
          <w:p w:rsidR="00787A97" w:rsidRPr="00664CFC" w:rsidRDefault="00787A97" w:rsidP="00664CFC">
            <w:pPr>
              <w:adjustRightInd w:val="0"/>
              <w:snapToGrid w:val="0"/>
              <w:spacing w:line="360" w:lineRule="auto"/>
              <w:ind w:firstLineChars="200" w:firstLine="480"/>
              <w:rPr>
                <w:bCs/>
                <w:sz w:val="24"/>
              </w:rPr>
            </w:pPr>
          </w:p>
        </w:tc>
      </w:tr>
    </w:tbl>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本基金本报告期末未持有股票。</w:t>
      </w:r>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2</w:t>
      </w:r>
      <w:r w:rsidRPr="00664CFC">
        <w:rPr>
          <w:rFonts w:hint="eastAsia"/>
          <w:bCs/>
          <w:sz w:val="24"/>
        </w:rPr>
        <w:t>）累计卖出金额超出期末基金资产净值</w:t>
      </w:r>
      <w:r w:rsidRPr="00664CFC">
        <w:rPr>
          <w:rFonts w:hint="eastAsia"/>
          <w:bCs/>
          <w:sz w:val="24"/>
        </w:rPr>
        <w:t>2%</w:t>
      </w:r>
      <w:r w:rsidRPr="00664CFC">
        <w:rPr>
          <w:rFonts w:hint="eastAsia"/>
          <w:bCs/>
          <w:sz w:val="24"/>
        </w:rPr>
        <w:t>或前</w:t>
      </w:r>
      <w:r w:rsidRPr="00664CFC">
        <w:rPr>
          <w:rFonts w:hint="eastAsia"/>
          <w:bCs/>
          <w:sz w:val="24"/>
        </w:rPr>
        <w:t>20</w:t>
      </w:r>
      <w:r w:rsidRPr="00664CFC">
        <w:rPr>
          <w:rFonts w:hint="eastAsia"/>
          <w:bCs/>
          <w:sz w:val="24"/>
        </w:rPr>
        <w:t>名的股票明细</w:t>
      </w:r>
    </w:p>
    <w:tbl>
      <w:tblPr>
        <w:tblW w:w="0" w:type="auto"/>
        <w:tblInd w:w="108" w:type="dxa"/>
        <w:tblLook w:val="04A0" w:firstRow="1" w:lastRow="0" w:firstColumn="1" w:lastColumn="0" w:noHBand="0" w:noVBand="1"/>
      </w:tblPr>
      <w:tblGrid>
        <w:gridCol w:w="222"/>
      </w:tblGrid>
      <w:tr w:rsidR="00787A97" w:rsidRPr="00664CFC" w:rsidTr="00CA1E03">
        <w:tc>
          <w:tcPr>
            <w:tcW w:w="0" w:type="auto"/>
            <w:vAlign w:val="center"/>
            <w:hideMark/>
          </w:tcPr>
          <w:p w:rsidR="00787A97" w:rsidRPr="00664CFC" w:rsidRDefault="00787A97" w:rsidP="00664CFC">
            <w:pPr>
              <w:adjustRightInd w:val="0"/>
              <w:snapToGrid w:val="0"/>
              <w:spacing w:line="360" w:lineRule="auto"/>
              <w:ind w:firstLineChars="200" w:firstLine="480"/>
              <w:rPr>
                <w:bCs/>
                <w:sz w:val="24"/>
              </w:rPr>
            </w:pPr>
          </w:p>
        </w:tc>
      </w:tr>
    </w:tbl>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本基金本报告期末未持有股票。</w:t>
      </w:r>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3</w:t>
      </w:r>
      <w:r w:rsidRPr="00664CFC">
        <w:rPr>
          <w:rFonts w:hint="eastAsia"/>
          <w:bCs/>
          <w:sz w:val="24"/>
        </w:rPr>
        <w:t>）买入股票的成本总额及卖出股票的收入总额</w:t>
      </w:r>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本基金本报告期末未持有股票。</w:t>
      </w:r>
    </w:p>
    <w:p w:rsidR="00787A97" w:rsidRPr="00664CFC" w:rsidRDefault="00787A97" w:rsidP="00664CFC">
      <w:pPr>
        <w:adjustRightInd w:val="0"/>
        <w:snapToGrid w:val="0"/>
        <w:spacing w:line="360" w:lineRule="auto"/>
        <w:ind w:firstLineChars="200" w:firstLine="480"/>
        <w:rPr>
          <w:bCs/>
          <w:sz w:val="24"/>
        </w:rPr>
      </w:pPr>
      <w:bookmarkStart w:id="84" w:name="_Toc522889950"/>
      <w:r w:rsidRPr="00664CFC">
        <w:rPr>
          <w:rFonts w:hint="eastAsia"/>
          <w:bCs/>
          <w:sz w:val="24"/>
        </w:rPr>
        <w:t>5</w:t>
      </w:r>
      <w:r w:rsidRPr="00664CFC">
        <w:rPr>
          <w:rFonts w:hint="eastAsia"/>
          <w:bCs/>
          <w:sz w:val="24"/>
        </w:rPr>
        <w:t>、期末按债券品种分类的债券投资组合</w:t>
      </w:r>
      <w:bookmarkEnd w:id="84"/>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金额单位：人民币元</w:t>
      </w:r>
    </w:p>
    <w:tbl>
      <w:tblPr>
        <w:tblW w:w="0" w:type="auto"/>
        <w:tblInd w:w="108" w:type="dxa"/>
        <w:tblLook w:val="04A0" w:firstRow="1" w:lastRow="0" w:firstColumn="1" w:lastColumn="0" w:noHBand="0" w:noVBand="1"/>
      </w:tblPr>
      <w:tblGrid>
        <w:gridCol w:w="680"/>
        <w:gridCol w:w="2304"/>
        <w:gridCol w:w="2283"/>
        <w:gridCol w:w="2934"/>
      </w:tblGrid>
      <w:tr w:rsidR="00787A97" w:rsidRPr="00662A7D" w:rsidTr="00B2071A">
        <w:trPr>
          <w:trHeight w:val="778"/>
        </w:trPr>
        <w:tc>
          <w:tcPr>
            <w:tcW w:w="680"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序号</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债券品种</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公允价值</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占基金资产净值比例(%)</w:t>
            </w:r>
          </w:p>
        </w:tc>
      </w:tr>
      <w:tr w:rsidR="00787A97" w:rsidRPr="00662A7D" w:rsidTr="00B2071A">
        <w:trPr>
          <w:trHeight w:val="400"/>
        </w:trPr>
        <w:tc>
          <w:tcPr>
            <w:tcW w:w="680"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1</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国家债券</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5,006,501.20</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6.23</w:t>
            </w:r>
          </w:p>
        </w:tc>
      </w:tr>
      <w:tr w:rsidR="00787A97" w:rsidRPr="00662A7D" w:rsidTr="00B2071A">
        <w:trPr>
          <w:trHeight w:val="389"/>
        </w:trPr>
        <w:tc>
          <w:tcPr>
            <w:tcW w:w="680"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2</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央行票据</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r>
      <w:tr w:rsidR="00787A97" w:rsidRPr="00662A7D" w:rsidTr="00B2071A">
        <w:trPr>
          <w:trHeight w:val="400"/>
        </w:trPr>
        <w:tc>
          <w:tcPr>
            <w:tcW w:w="680"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3</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金融债券</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r>
      <w:tr w:rsidR="00787A97" w:rsidRPr="00662A7D" w:rsidTr="00B2071A">
        <w:trPr>
          <w:trHeight w:val="400"/>
        </w:trPr>
        <w:tc>
          <w:tcPr>
            <w:tcW w:w="680" w:type="dxa"/>
            <w:tcBorders>
              <w:top w:val="single" w:sz="8" w:space="0" w:color="000000"/>
              <w:left w:val="single" w:sz="8" w:space="0" w:color="000000"/>
              <w:bottom w:val="single" w:sz="8" w:space="0" w:color="000000"/>
              <w:right w:val="single" w:sz="8" w:space="0" w:color="000000"/>
            </w:tcBorders>
            <w:vAlign w:val="center"/>
          </w:tcPr>
          <w:p w:rsidR="00787A97" w:rsidRPr="00662A7D" w:rsidRDefault="00787A97" w:rsidP="00CA1E03">
            <w:pPr>
              <w:pStyle w:val="biaogecenter"/>
              <w:wordWrap w:val="0"/>
            </w:pP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其中：政策性金融债</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r>
      <w:tr w:rsidR="00787A97" w:rsidRPr="00662A7D" w:rsidTr="00B2071A">
        <w:trPr>
          <w:trHeight w:val="400"/>
        </w:trPr>
        <w:tc>
          <w:tcPr>
            <w:tcW w:w="680"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lastRenderedPageBreak/>
              <w:t>4</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企业债券</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30,648,924.40</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38.16</w:t>
            </w:r>
          </w:p>
        </w:tc>
      </w:tr>
      <w:tr w:rsidR="00787A97" w:rsidRPr="00662A7D" w:rsidTr="00B2071A">
        <w:trPr>
          <w:trHeight w:val="400"/>
        </w:trPr>
        <w:tc>
          <w:tcPr>
            <w:tcW w:w="680"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5</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企业短期融资</w:t>
            </w:r>
            <w:proofErr w:type="gramStart"/>
            <w:r w:rsidRPr="00662A7D">
              <w:rPr>
                <w:rFonts w:hint="eastAsia"/>
              </w:rPr>
              <w:t>券</w:t>
            </w:r>
            <w:proofErr w:type="gramEnd"/>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21,060,900.00</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26.22</w:t>
            </w:r>
          </w:p>
        </w:tc>
      </w:tr>
      <w:tr w:rsidR="00787A97" w:rsidRPr="00662A7D" w:rsidTr="00B2071A">
        <w:trPr>
          <w:trHeight w:val="400"/>
        </w:trPr>
        <w:tc>
          <w:tcPr>
            <w:tcW w:w="680"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6</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中期票据</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r>
      <w:tr w:rsidR="00787A97" w:rsidRPr="00662A7D" w:rsidTr="00B2071A">
        <w:trPr>
          <w:trHeight w:val="389"/>
        </w:trPr>
        <w:tc>
          <w:tcPr>
            <w:tcW w:w="680"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7</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可转债(可交换债)</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r>
      <w:tr w:rsidR="00787A97" w:rsidRPr="00662A7D" w:rsidTr="00B2071A">
        <w:trPr>
          <w:trHeight w:val="400"/>
        </w:trPr>
        <w:tc>
          <w:tcPr>
            <w:tcW w:w="680"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8</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同业存单</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r>
      <w:tr w:rsidR="00787A97" w:rsidRPr="00662A7D" w:rsidTr="00B2071A">
        <w:trPr>
          <w:trHeight w:val="400"/>
        </w:trPr>
        <w:tc>
          <w:tcPr>
            <w:tcW w:w="680"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9</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其他</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r>
      <w:tr w:rsidR="00787A97" w:rsidRPr="00662A7D" w:rsidTr="00B2071A">
        <w:trPr>
          <w:trHeight w:val="411"/>
        </w:trPr>
        <w:tc>
          <w:tcPr>
            <w:tcW w:w="680"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10</w:t>
            </w:r>
          </w:p>
        </w:tc>
        <w:tc>
          <w:tcPr>
            <w:tcW w:w="230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合计</w:t>
            </w:r>
          </w:p>
        </w:tc>
        <w:tc>
          <w:tcPr>
            <w:tcW w:w="2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56,716,325.60</w:t>
            </w:r>
          </w:p>
        </w:tc>
        <w:tc>
          <w:tcPr>
            <w:tcW w:w="2934"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70.61</w:t>
            </w:r>
          </w:p>
        </w:tc>
      </w:tr>
    </w:tbl>
    <w:p w:rsidR="00787A97" w:rsidRPr="00664CFC" w:rsidRDefault="00787A97" w:rsidP="00664CFC">
      <w:pPr>
        <w:adjustRightInd w:val="0"/>
        <w:snapToGrid w:val="0"/>
        <w:spacing w:line="360" w:lineRule="auto"/>
        <w:ind w:firstLineChars="200" w:firstLine="480"/>
        <w:rPr>
          <w:bCs/>
          <w:sz w:val="24"/>
        </w:rPr>
      </w:pPr>
      <w:bookmarkStart w:id="85" w:name="_Toc522889951"/>
      <w:r w:rsidRPr="00664CFC">
        <w:rPr>
          <w:rFonts w:hint="eastAsia"/>
          <w:bCs/>
          <w:sz w:val="24"/>
        </w:rPr>
        <w:t>6</w:t>
      </w:r>
      <w:r w:rsidR="000547F3" w:rsidRPr="00664CFC">
        <w:rPr>
          <w:rFonts w:hint="eastAsia"/>
          <w:bCs/>
          <w:sz w:val="24"/>
        </w:rPr>
        <w:t>、</w:t>
      </w:r>
      <w:r w:rsidRPr="00664CFC">
        <w:rPr>
          <w:rFonts w:hint="eastAsia"/>
          <w:bCs/>
          <w:sz w:val="24"/>
        </w:rPr>
        <w:t>期末按公允价值占基金资产净值比例大小排序的前五名债券投资明细</w:t>
      </w:r>
      <w:bookmarkEnd w:id="85"/>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金额单位：人民币元</w:t>
      </w:r>
    </w:p>
    <w:tbl>
      <w:tblPr>
        <w:tblW w:w="8219" w:type="dxa"/>
        <w:jc w:val="center"/>
        <w:tblLook w:val="04A0" w:firstRow="1" w:lastRow="0" w:firstColumn="1" w:lastColumn="0" w:noHBand="0" w:noVBand="1"/>
      </w:tblPr>
      <w:tblGrid>
        <w:gridCol w:w="701"/>
        <w:gridCol w:w="1266"/>
        <w:gridCol w:w="2063"/>
        <w:gridCol w:w="1283"/>
        <w:gridCol w:w="1643"/>
        <w:gridCol w:w="1263"/>
      </w:tblGrid>
      <w:tr w:rsidR="00787A97" w:rsidRPr="00662A7D" w:rsidTr="00B2071A">
        <w:trPr>
          <w:trHeight w:val="1085"/>
          <w:jc w:val="center"/>
        </w:trPr>
        <w:tc>
          <w:tcPr>
            <w:tcW w:w="701"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B2071A">
            <w:pPr>
              <w:pStyle w:val="biaogecenter"/>
              <w:jc w:val="left"/>
            </w:pPr>
            <w:r w:rsidRPr="00662A7D">
              <w:rPr>
                <w:rFonts w:hint="eastAsia"/>
                <w:color w:val="000000"/>
              </w:rPr>
              <w:t>序号</w:t>
            </w:r>
          </w:p>
        </w:tc>
        <w:tc>
          <w:tcPr>
            <w:tcW w:w="126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债券代码</w:t>
            </w:r>
          </w:p>
        </w:tc>
        <w:tc>
          <w:tcPr>
            <w:tcW w:w="20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债券名称</w:t>
            </w:r>
          </w:p>
        </w:tc>
        <w:tc>
          <w:tcPr>
            <w:tcW w:w="1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数量（张）</w:t>
            </w:r>
          </w:p>
        </w:tc>
        <w:tc>
          <w:tcPr>
            <w:tcW w:w="164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公允价值</w:t>
            </w:r>
          </w:p>
        </w:tc>
        <w:tc>
          <w:tcPr>
            <w:tcW w:w="12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占基金资产净值比例(%)</w:t>
            </w:r>
          </w:p>
        </w:tc>
      </w:tr>
      <w:tr w:rsidR="00787A97" w:rsidRPr="00662A7D" w:rsidTr="00B2071A">
        <w:trPr>
          <w:trHeight w:val="380"/>
          <w:jc w:val="center"/>
        </w:trPr>
        <w:tc>
          <w:tcPr>
            <w:tcW w:w="701"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1</w:t>
            </w:r>
          </w:p>
        </w:tc>
        <w:tc>
          <w:tcPr>
            <w:tcW w:w="126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112030</w:t>
            </w:r>
          </w:p>
        </w:tc>
        <w:tc>
          <w:tcPr>
            <w:tcW w:w="20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11鲁西债</w:t>
            </w:r>
          </w:p>
        </w:tc>
        <w:tc>
          <w:tcPr>
            <w:tcW w:w="1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71,002</w:t>
            </w:r>
          </w:p>
        </w:tc>
        <w:tc>
          <w:tcPr>
            <w:tcW w:w="164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7,100,200.00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8.84</w:t>
            </w:r>
          </w:p>
        </w:tc>
      </w:tr>
      <w:tr w:rsidR="00787A97" w:rsidRPr="00662A7D" w:rsidTr="00B2071A">
        <w:trPr>
          <w:trHeight w:val="380"/>
          <w:jc w:val="center"/>
        </w:trPr>
        <w:tc>
          <w:tcPr>
            <w:tcW w:w="701"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2</w:t>
            </w:r>
          </w:p>
        </w:tc>
        <w:tc>
          <w:tcPr>
            <w:tcW w:w="126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011800237</w:t>
            </w:r>
          </w:p>
        </w:tc>
        <w:tc>
          <w:tcPr>
            <w:tcW w:w="20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18厦国贸SCP003</w:t>
            </w:r>
          </w:p>
        </w:tc>
        <w:tc>
          <w:tcPr>
            <w:tcW w:w="1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70,000</w:t>
            </w:r>
          </w:p>
        </w:tc>
        <w:tc>
          <w:tcPr>
            <w:tcW w:w="164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7,037,100.00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8.76</w:t>
            </w:r>
          </w:p>
        </w:tc>
      </w:tr>
      <w:tr w:rsidR="00787A97" w:rsidRPr="00662A7D" w:rsidTr="00B2071A">
        <w:trPr>
          <w:trHeight w:val="380"/>
          <w:jc w:val="center"/>
        </w:trPr>
        <w:tc>
          <w:tcPr>
            <w:tcW w:w="701"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3</w:t>
            </w:r>
          </w:p>
        </w:tc>
        <w:tc>
          <w:tcPr>
            <w:tcW w:w="126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011801173</w:t>
            </w:r>
          </w:p>
        </w:tc>
        <w:tc>
          <w:tcPr>
            <w:tcW w:w="20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18兖州煤业SCP004</w:t>
            </w:r>
          </w:p>
        </w:tc>
        <w:tc>
          <w:tcPr>
            <w:tcW w:w="1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70,000</w:t>
            </w:r>
          </w:p>
        </w:tc>
        <w:tc>
          <w:tcPr>
            <w:tcW w:w="164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7,014,700.00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8.73</w:t>
            </w:r>
          </w:p>
        </w:tc>
      </w:tr>
      <w:tr w:rsidR="00787A97" w:rsidRPr="00662A7D" w:rsidTr="00B2071A">
        <w:trPr>
          <w:trHeight w:val="369"/>
          <w:jc w:val="center"/>
        </w:trPr>
        <w:tc>
          <w:tcPr>
            <w:tcW w:w="701"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4</w:t>
            </w:r>
          </w:p>
        </w:tc>
        <w:tc>
          <w:tcPr>
            <w:tcW w:w="126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011800747</w:t>
            </w:r>
          </w:p>
        </w:tc>
        <w:tc>
          <w:tcPr>
            <w:tcW w:w="20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18大同煤矿SCP004</w:t>
            </w:r>
          </w:p>
        </w:tc>
        <w:tc>
          <w:tcPr>
            <w:tcW w:w="1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70,000</w:t>
            </w:r>
          </w:p>
        </w:tc>
        <w:tc>
          <w:tcPr>
            <w:tcW w:w="164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7,009,100.00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8.73</w:t>
            </w:r>
          </w:p>
        </w:tc>
      </w:tr>
      <w:tr w:rsidR="00787A97" w:rsidRPr="00662A7D" w:rsidTr="00B2071A">
        <w:trPr>
          <w:trHeight w:val="389"/>
          <w:jc w:val="center"/>
        </w:trPr>
        <w:tc>
          <w:tcPr>
            <w:tcW w:w="701"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5</w:t>
            </w:r>
          </w:p>
        </w:tc>
        <w:tc>
          <w:tcPr>
            <w:tcW w:w="126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1180126</w:t>
            </w:r>
          </w:p>
        </w:tc>
        <w:tc>
          <w:tcPr>
            <w:tcW w:w="206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color w:val="000000"/>
              </w:rPr>
              <w:t>11邯郸</w:t>
            </w:r>
            <w:proofErr w:type="gramStart"/>
            <w:r w:rsidRPr="00662A7D">
              <w:rPr>
                <w:rFonts w:hint="eastAsia"/>
                <w:color w:val="000000"/>
              </w:rPr>
              <w:t>城投债</w:t>
            </w:r>
            <w:proofErr w:type="gramEnd"/>
          </w:p>
        </w:tc>
        <w:tc>
          <w:tcPr>
            <w:tcW w:w="128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60,000</w:t>
            </w:r>
          </w:p>
        </w:tc>
        <w:tc>
          <w:tcPr>
            <w:tcW w:w="1643"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6,082,200.00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color w:val="000000"/>
              </w:rPr>
              <w:t>7.57</w:t>
            </w:r>
          </w:p>
        </w:tc>
      </w:tr>
    </w:tbl>
    <w:p w:rsidR="00787A97" w:rsidRPr="00664CFC" w:rsidRDefault="00787A97" w:rsidP="00664CFC">
      <w:pPr>
        <w:adjustRightInd w:val="0"/>
        <w:snapToGrid w:val="0"/>
        <w:spacing w:line="360" w:lineRule="auto"/>
        <w:ind w:firstLineChars="200" w:firstLine="480"/>
        <w:rPr>
          <w:bCs/>
          <w:sz w:val="24"/>
        </w:rPr>
      </w:pPr>
      <w:bookmarkStart w:id="86" w:name="_Toc522889952"/>
      <w:r w:rsidRPr="00664CFC">
        <w:rPr>
          <w:rFonts w:hint="eastAsia"/>
          <w:bCs/>
          <w:sz w:val="24"/>
        </w:rPr>
        <w:t>7</w:t>
      </w:r>
      <w:r w:rsidRPr="00664CFC">
        <w:rPr>
          <w:rFonts w:hint="eastAsia"/>
          <w:bCs/>
          <w:sz w:val="24"/>
        </w:rPr>
        <w:t>、期末按公允价值占基金资产净值比例大小排序的所有资产支持证券投资明细</w:t>
      </w:r>
      <w:bookmarkEnd w:id="86"/>
    </w:p>
    <w:tbl>
      <w:tblPr>
        <w:tblW w:w="0" w:type="auto"/>
        <w:tblInd w:w="108" w:type="dxa"/>
        <w:tblLook w:val="04A0" w:firstRow="1" w:lastRow="0" w:firstColumn="1" w:lastColumn="0" w:noHBand="0" w:noVBand="1"/>
      </w:tblPr>
      <w:tblGrid>
        <w:gridCol w:w="222"/>
      </w:tblGrid>
      <w:tr w:rsidR="00787A97" w:rsidRPr="00664CFC" w:rsidTr="00CA1E03">
        <w:tc>
          <w:tcPr>
            <w:tcW w:w="0" w:type="auto"/>
            <w:vAlign w:val="center"/>
            <w:hideMark/>
          </w:tcPr>
          <w:p w:rsidR="00787A97" w:rsidRPr="00664CFC" w:rsidRDefault="00787A97" w:rsidP="00664CFC">
            <w:pPr>
              <w:adjustRightInd w:val="0"/>
              <w:snapToGrid w:val="0"/>
              <w:spacing w:line="360" w:lineRule="auto"/>
              <w:ind w:firstLineChars="200" w:firstLine="480"/>
              <w:rPr>
                <w:bCs/>
                <w:sz w:val="24"/>
              </w:rPr>
            </w:pPr>
          </w:p>
        </w:tc>
      </w:tr>
    </w:tbl>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本基金本报告期末未持有资产支持证券。</w:t>
      </w:r>
    </w:p>
    <w:p w:rsidR="00787A97" w:rsidRPr="00664CFC" w:rsidRDefault="00787A97" w:rsidP="00664CFC">
      <w:pPr>
        <w:adjustRightInd w:val="0"/>
        <w:snapToGrid w:val="0"/>
        <w:spacing w:line="360" w:lineRule="auto"/>
        <w:ind w:firstLineChars="200" w:firstLine="480"/>
        <w:rPr>
          <w:bCs/>
          <w:sz w:val="24"/>
        </w:rPr>
      </w:pPr>
      <w:bookmarkStart w:id="87" w:name="_Toc522889953"/>
      <w:r w:rsidRPr="00664CFC">
        <w:rPr>
          <w:rFonts w:hint="eastAsia"/>
          <w:bCs/>
          <w:sz w:val="24"/>
        </w:rPr>
        <w:t>8</w:t>
      </w:r>
      <w:r w:rsidRPr="00664CFC">
        <w:rPr>
          <w:rFonts w:hint="eastAsia"/>
          <w:bCs/>
          <w:sz w:val="24"/>
        </w:rPr>
        <w:t>、报告期末按公允价值占基金资产净值比例大小排序的前五名贵金属投资明细</w:t>
      </w:r>
      <w:bookmarkEnd w:id="87"/>
    </w:p>
    <w:tbl>
      <w:tblPr>
        <w:tblW w:w="0" w:type="auto"/>
        <w:tblInd w:w="108" w:type="dxa"/>
        <w:tblLook w:val="04A0" w:firstRow="1" w:lastRow="0" w:firstColumn="1" w:lastColumn="0" w:noHBand="0" w:noVBand="1"/>
      </w:tblPr>
      <w:tblGrid>
        <w:gridCol w:w="222"/>
      </w:tblGrid>
      <w:tr w:rsidR="00787A97" w:rsidRPr="00664CFC" w:rsidTr="00CA1E03">
        <w:tc>
          <w:tcPr>
            <w:tcW w:w="0" w:type="auto"/>
            <w:vAlign w:val="center"/>
            <w:hideMark/>
          </w:tcPr>
          <w:p w:rsidR="00787A97" w:rsidRPr="00664CFC" w:rsidRDefault="00787A97" w:rsidP="00664CFC">
            <w:pPr>
              <w:adjustRightInd w:val="0"/>
              <w:snapToGrid w:val="0"/>
              <w:spacing w:line="360" w:lineRule="auto"/>
              <w:ind w:firstLineChars="200" w:firstLine="480"/>
              <w:rPr>
                <w:bCs/>
                <w:sz w:val="24"/>
              </w:rPr>
            </w:pPr>
          </w:p>
        </w:tc>
      </w:tr>
    </w:tbl>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本基金本报告期末未持有贵金属。</w:t>
      </w:r>
    </w:p>
    <w:p w:rsidR="00787A97" w:rsidRPr="00664CFC" w:rsidRDefault="00787A97" w:rsidP="00664CFC">
      <w:pPr>
        <w:adjustRightInd w:val="0"/>
        <w:snapToGrid w:val="0"/>
        <w:spacing w:line="360" w:lineRule="auto"/>
        <w:ind w:firstLineChars="200" w:firstLine="480"/>
        <w:rPr>
          <w:bCs/>
          <w:sz w:val="24"/>
        </w:rPr>
      </w:pPr>
      <w:bookmarkStart w:id="88" w:name="_Toc522889954"/>
      <w:r w:rsidRPr="00664CFC">
        <w:rPr>
          <w:rFonts w:hint="eastAsia"/>
          <w:bCs/>
          <w:sz w:val="24"/>
        </w:rPr>
        <w:t>9</w:t>
      </w:r>
      <w:r w:rsidRPr="00664CFC">
        <w:rPr>
          <w:rFonts w:hint="eastAsia"/>
          <w:bCs/>
          <w:sz w:val="24"/>
        </w:rPr>
        <w:t>、期末按公允价值占基金资产净值比例大小排序的前五名权证投资明细</w:t>
      </w:r>
      <w:bookmarkEnd w:id="88"/>
    </w:p>
    <w:tbl>
      <w:tblPr>
        <w:tblW w:w="0" w:type="auto"/>
        <w:tblInd w:w="108" w:type="dxa"/>
        <w:tblLook w:val="04A0" w:firstRow="1" w:lastRow="0" w:firstColumn="1" w:lastColumn="0" w:noHBand="0" w:noVBand="1"/>
      </w:tblPr>
      <w:tblGrid>
        <w:gridCol w:w="222"/>
      </w:tblGrid>
      <w:tr w:rsidR="00787A97" w:rsidRPr="00664CFC" w:rsidTr="00CA1E03">
        <w:tc>
          <w:tcPr>
            <w:tcW w:w="0" w:type="auto"/>
            <w:vAlign w:val="center"/>
            <w:hideMark/>
          </w:tcPr>
          <w:p w:rsidR="00787A97" w:rsidRPr="00664CFC" w:rsidRDefault="00787A97" w:rsidP="00664CFC">
            <w:pPr>
              <w:adjustRightInd w:val="0"/>
              <w:snapToGrid w:val="0"/>
              <w:spacing w:line="360" w:lineRule="auto"/>
              <w:ind w:firstLineChars="200" w:firstLine="480"/>
              <w:rPr>
                <w:bCs/>
                <w:sz w:val="24"/>
              </w:rPr>
            </w:pPr>
          </w:p>
        </w:tc>
      </w:tr>
    </w:tbl>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本基金本报告期末未持有权证。</w:t>
      </w:r>
    </w:p>
    <w:p w:rsidR="00787A97" w:rsidRPr="00664CFC" w:rsidRDefault="00787A97" w:rsidP="00664CFC">
      <w:pPr>
        <w:adjustRightInd w:val="0"/>
        <w:snapToGrid w:val="0"/>
        <w:spacing w:line="360" w:lineRule="auto"/>
        <w:ind w:firstLineChars="200" w:firstLine="480"/>
        <w:rPr>
          <w:bCs/>
          <w:sz w:val="24"/>
        </w:rPr>
      </w:pPr>
      <w:bookmarkStart w:id="89" w:name="_Toc522889955"/>
      <w:r w:rsidRPr="00664CFC">
        <w:rPr>
          <w:rFonts w:hint="eastAsia"/>
          <w:bCs/>
          <w:sz w:val="24"/>
        </w:rPr>
        <w:t>10</w:t>
      </w:r>
      <w:r w:rsidRPr="00664CFC">
        <w:rPr>
          <w:rFonts w:hint="eastAsia"/>
          <w:bCs/>
          <w:sz w:val="24"/>
        </w:rPr>
        <w:t>、报告期末本基金投资的股指期货交易情况说明</w:t>
      </w:r>
      <w:bookmarkEnd w:id="89"/>
    </w:p>
    <w:tbl>
      <w:tblPr>
        <w:tblW w:w="0" w:type="auto"/>
        <w:tblInd w:w="108" w:type="dxa"/>
        <w:tblLook w:val="04A0" w:firstRow="1" w:lastRow="0" w:firstColumn="1" w:lastColumn="0" w:noHBand="0" w:noVBand="1"/>
      </w:tblPr>
      <w:tblGrid>
        <w:gridCol w:w="222"/>
      </w:tblGrid>
      <w:tr w:rsidR="00787A97" w:rsidRPr="00664CFC" w:rsidTr="00CA1E03">
        <w:tc>
          <w:tcPr>
            <w:tcW w:w="0" w:type="auto"/>
            <w:vAlign w:val="center"/>
            <w:hideMark/>
          </w:tcPr>
          <w:p w:rsidR="00787A97" w:rsidRPr="00664CFC" w:rsidRDefault="00787A97" w:rsidP="00664CFC">
            <w:pPr>
              <w:adjustRightInd w:val="0"/>
              <w:snapToGrid w:val="0"/>
              <w:spacing w:line="360" w:lineRule="auto"/>
              <w:ind w:firstLineChars="200" w:firstLine="480"/>
              <w:rPr>
                <w:bCs/>
                <w:sz w:val="24"/>
              </w:rPr>
            </w:pPr>
          </w:p>
        </w:tc>
      </w:tr>
    </w:tbl>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本基金本报告期末无股指期货投资。</w:t>
      </w:r>
    </w:p>
    <w:p w:rsidR="00787A97" w:rsidRPr="00664CFC" w:rsidRDefault="00787A97" w:rsidP="00664CFC">
      <w:pPr>
        <w:adjustRightInd w:val="0"/>
        <w:snapToGrid w:val="0"/>
        <w:spacing w:line="360" w:lineRule="auto"/>
        <w:ind w:firstLineChars="200" w:firstLine="480"/>
        <w:rPr>
          <w:bCs/>
          <w:sz w:val="24"/>
        </w:rPr>
      </w:pPr>
      <w:bookmarkStart w:id="90" w:name="_Toc522889956"/>
      <w:r w:rsidRPr="00664CFC">
        <w:rPr>
          <w:rFonts w:hint="eastAsia"/>
          <w:bCs/>
          <w:sz w:val="24"/>
        </w:rPr>
        <w:lastRenderedPageBreak/>
        <w:t>11</w:t>
      </w:r>
      <w:r w:rsidRPr="00664CFC">
        <w:rPr>
          <w:rFonts w:hint="eastAsia"/>
          <w:bCs/>
          <w:sz w:val="24"/>
        </w:rPr>
        <w:t>、报告期末本基金投资的国债期货交易情况说明</w:t>
      </w:r>
      <w:bookmarkEnd w:id="90"/>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本基金本报告期末无国债期货投资。</w:t>
      </w:r>
    </w:p>
    <w:tbl>
      <w:tblPr>
        <w:tblW w:w="0" w:type="auto"/>
        <w:tblInd w:w="108" w:type="dxa"/>
        <w:tblLook w:val="04A0" w:firstRow="1" w:lastRow="0" w:firstColumn="1" w:lastColumn="0" w:noHBand="0" w:noVBand="1"/>
      </w:tblPr>
      <w:tblGrid>
        <w:gridCol w:w="222"/>
      </w:tblGrid>
      <w:tr w:rsidR="00787A97" w:rsidRPr="00664CFC" w:rsidTr="00CA1E03">
        <w:tc>
          <w:tcPr>
            <w:tcW w:w="0" w:type="auto"/>
            <w:vAlign w:val="center"/>
            <w:hideMark/>
          </w:tcPr>
          <w:p w:rsidR="00787A97" w:rsidRPr="00664CFC" w:rsidRDefault="00787A97" w:rsidP="00664CFC">
            <w:pPr>
              <w:adjustRightInd w:val="0"/>
              <w:snapToGrid w:val="0"/>
              <w:spacing w:line="360" w:lineRule="auto"/>
              <w:ind w:firstLineChars="200" w:firstLine="480"/>
              <w:rPr>
                <w:bCs/>
                <w:sz w:val="24"/>
              </w:rPr>
            </w:pPr>
          </w:p>
        </w:tc>
      </w:tr>
    </w:tbl>
    <w:p w:rsidR="00787A97" w:rsidRPr="00664CFC" w:rsidRDefault="00787A97" w:rsidP="00664CFC">
      <w:pPr>
        <w:adjustRightInd w:val="0"/>
        <w:snapToGrid w:val="0"/>
        <w:spacing w:line="360" w:lineRule="auto"/>
        <w:ind w:firstLineChars="200" w:firstLine="480"/>
        <w:rPr>
          <w:bCs/>
          <w:sz w:val="24"/>
        </w:rPr>
      </w:pPr>
      <w:bookmarkStart w:id="91" w:name="_Toc522889957"/>
      <w:r w:rsidRPr="00664CFC">
        <w:rPr>
          <w:rFonts w:hint="eastAsia"/>
          <w:bCs/>
          <w:sz w:val="24"/>
        </w:rPr>
        <w:t>12</w:t>
      </w:r>
      <w:r w:rsidRPr="00664CFC">
        <w:rPr>
          <w:rFonts w:hint="eastAsia"/>
          <w:bCs/>
          <w:sz w:val="24"/>
        </w:rPr>
        <w:t>、投资组合报告附注</w:t>
      </w:r>
      <w:bookmarkEnd w:id="91"/>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1</w:t>
      </w:r>
      <w:r w:rsidRPr="00664CFC">
        <w:rPr>
          <w:rFonts w:hint="eastAsia"/>
          <w:bCs/>
          <w:sz w:val="24"/>
        </w:rPr>
        <w:t>）基金本报告期投资的前十名证券的发行主体</w:t>
      </w:r>
      <w:r w:rsidRPr="00664CFC">
        <w:rPr>
          <w:rFonts w:hint="eastAsia"/>
          <w:bCs/>
          <w:sz w:val="24"/>
        </w:rPr>
        <w:t>,</w:t>
      </w:r>
      <w:r w:rsidRPr="00664CFC">
        <w:rPr>
          <w:rFonts w:hint="eastAsia"/>
          <w:bCs/>
          <w:sz w:val="24"/>
        </w:rPr>
        <w:t>本报告期没有出现被监管部门立案调查的情形</w:t>
      </w:r>
      <w:r w:rsidRPr="00664CFC">
        <w:rPr>
          <w:rFonts w:hint="eastAsia"/>
          <w:bCs/>
          <w:sz w:val="24"/>
        </w:rPr>
        <w:t>,</w:t>
      </w:r>
      <w:r w:rsidRPr="00664CFC">
        <w:rPr>
          <w:rFonts w:hint="eastAsia"/>
          <w:bCs/>
          <w:sz w:val="24"/>
        </w:rPr>
        <w:t>也没有出现在报告编制日前一年内受到公开谴责、处罚的情形。</w:t>
      </w:r>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2</w:t>
      </w:r>
      <w:r w:rsidRPr="00664CFC">
        <w:rPr>
          <w:rFonts w:hint="eastAsia"/>
          <w:bCs/>
          <w:sz w:val="24"/>
        </w:rPr>
        <w:t>）本基金本报告期未投资股票。</w:t>
      </w:r>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3</w:t>
      </w:r>
      <w:r w:rsidRPr="00664CFC">
        <w:rPr>
          <w:rFonts w:hint="eastAsia"/>
          <w:bCs/>
          <w:sz w:val="24"/>
        </w:rPr>
        <w:t>）期末其他各项资产构成</w:t>
      </w:r>
    </w:p>
    <w:p w:rsidR="00787A97" w:rsidRPr="00662A7D" w:rsidRDefault="00787A97" w:rsidP="00787A97">
      <w:pPr>
        <w:pStyle w:val="biaogeright"/>
      </w:pPr>
      <w:r w:rsidRPr="00662A7D">
        <w:rPr>
          <w:rFonts w:hint="eastAsia"/>
          <w:color w:val="000000"/>
        </w:rPr>
        <w:t>单位：人民币元</w:t>
      </w:r>
    </w:p>
    <w:tbl>
      <w:tblPr>
        <w:tblW w:w="0" w:type="auto"/>
        <w:tblInd w:w="108" w:type="dxa"/>
        <w:tblLook w:val="04A0" w:firstRow="1" w:lastRow="0" w:firstColumn="1" w:lastColumn="0" w:noHBand="0" w:noVBand="1"/>
      </w:tblPr>
      <w:tblGrid>
        <w:gridCol w:w="679"/>
        <w:gridCol w:w="3256"/>
        <w:gridCol w:w="4222"/>
      </w:tblGrid>
      <w:tr w:rsidR="00787A97" w:rsidRPr="00662A7D" w:rsidTr="00B2071A">
        <w:trPr>
          <w:trHeight w:val="75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序号</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名称</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金额</w:t>
            </w:r>
          </w:p>
        </w:tc>
      </w:tr>
      <w:tr w:rsidR="00787A97" w:rsidRPr="00662A7D" w:rsidTr="00B2071A">
        <w:trPr>
          <w:trHeight w:val="40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1</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存出保证金</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7,561.62</w:t>
            </w:r>
          </w:p>
        </w:tc>
      </w:tr>
      <w:tr w:rsidR="00787A97" w:rsidRPr="00662A7D" w:rsidTr="00B2071A">
        <w:trPr>
          <w:trHeight w:val="39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2</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应收证券清算款</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r>
      <w:tr w:rsidR="00787A97" w:rsidRPr="00662A7D" w:rsidTr="00B2071A">
        <w:trPr>
          <w:trHeight w:val="39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3</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应收股利</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r>
      <w:tr w:rsidR="00787A97" w:rsidRPr="00662A7D" w:rsidTr="00B2071A">
        <w:trPr>
          <w:trHeight w:val="39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4</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应收利息</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1,744,589.91</w:t>
            </w:r>
          </w:p>
        </w:tc>
      </w:tr>
      <w:tr w:rsidR="00787A97" w:rsidRPr="00662A7D" w:rsidTr="00B2071A">
        <w:trPr>
          <w:trHeight w:val="383"/>
        </w:trPr>
        <w:tc>
          <w:tcPr>
            <w:tcW w:w="679"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5</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应收申购款</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r>
      <w:tr w:rsidR="00787A97" w:rsidRPr="00662A7D" w:rsidTr="00B2071A">
        <w:trPr>
          <w:trHeight w:val="39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6</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其他应收款</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r>
      <w:tr w:rsidR="00787A97" w:rsidRPr="00662A7D" w:rsidTr="00B2071A">
        <w:trPr>
          <w:trHeight w:val="39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7</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待摊费用</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r>
      <w:tr w:rsidR="00787A97" w:rsidRPr="00662A7D" w:rsidTr="00B2071A">
        <w:trPr>
          <w:trHeight w:val="39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8</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其他</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w:t>
            </w:r>
          </w:p>
        </w:tc>
      </w:tr>
      <w:tr w:rsidR="00787A97" w:rsidRPr="00662A7D" w:rsidTr="00B2071A">
        <w:trPr>
          <w:trHeight w:val="404"/>
        </w:trPr>
        <w:tc>
          <w:tcPr>
            <w:tcW w:w="679"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9</w:t>
            </w:r>
          </w:p>
        </w:tc>
        <w:tc>
          <w:tcPr>
            <w:tcW w:w="3256"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合计</w:t>
            </w:r>
          </w:p>
        </w:tc>
        <w:tc>
          <w:tcPr>
            <w:tcW w:w="4222" w:type="dxa"/>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right"/>
              <w:wordWrap w:val="0"/>
            </w:pPr>
            <w:r w:rsidRPr="00662A7D">
              <w:rPr>
                <w:rFonts w:hint="eastAsia"/>
              </w:rPr>
              <w:t>1,752,151.53</w:t>
            </w:r>
          </w:p>
        </w:tc>
      </w:tr>
    </w:tbl>
    <w:p w:rsidR="00787A97" w:rsidRPr="00662A7D" w:rsidRDefault="00787A97" w:rsidP="00787A97">
      <w:pPr>
        <w:widowControl/>
        <w:jc w:val="left"/>
        <w:rPr>
          <w:rFonts w:ascii="宋体" w:hAnsi="宋体" w:cs="宋体"/>
          <w:kern w:val="0"/>
          <w:sz w:val="24"/>
          <w:szCs w:val="24"/>
        </w:rPr>
      </w:pPr>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4</w:t>
      </w:r>
      <w:r w:rsidRPr="00664CFC">
        <w:rPr>
          <w:rFonts w:hint="eastAsia"/>
          <w:bCs/>
          <w:sz w:val="24"/>
        </w:rPr>
        <w:t>）期末持有的处于转股期的可转换债券明细</w:t>
      </w:r>
    </w:p>
    <w:tbl>
      <w:tblPr>
        <w:tblW w:w="0" w:type="auto"/>
        <w:tblInd w:w="108" w:type="dxa"/>
        <w:tblLook w:val="04A0" w:firstRow="1" w:lastRow="0" w:firstColumn="1" w:lastColumn="0" w:noHBand="0" w:noVBand="1"/>
      </w:tblPr>
      <w:tblGrid>
        <w:gridCol w:w="222"/>
      </w:tblGrid>
      <w:tr w:rsidR="00787A97" w:rsidRPr="00664CFC" w:rsidTr="00CA1E03">
        <w:tc>
          <w:tcPr>
            <w:tcW w:w="0" w:type="auto"/>
            <w:vAlign w:val="center"/>
            <w:hideMark/>
          </w:tcPr>
          <w:p w:rsidR="00787A97" w:rsidRPr="00664CFC" w:rsidRDefault="00787A97" w:rsidP="00664CFC">
            <w:pPr>
              <w:adjustRightInd w:val="0"/>
              <w:snapToGrid w:val="0"/>
              <w:spacing w:line="360" w:lineRule="auto"/>
              <w:ind w:firstLineChars="200" w:firstLine="480"/>
              <w:rPr>
                <w:bCs/>
                <w:sz w:val="24"/>
              </w:rPr>
            </w:pPr>
          </w:p>
        </w:tc>
      </w:tr>
    </w:tbl>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本基金本报告期末无可转换债券投资。</w:t>
      </w:r>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5</w:t>
      </w:r>
      <w:r w:rsidRPr="00664CFC">
        <w:rPr>
          <w:rFonts w:hint="eastAsia"/>
          <w:bCs/>
          <w:sz w:val="24"/>
        </w:rPr>
        <w:t>）</w:t>
      </w:r>
      <w:proofErr w:type="gramStart"/>
      <w:r w:rsidRPr="00664CFC">
        <w:rPr>
          <w:rFonts w:hint="eastAsia"/>
          <w:bCs/>
          <w:sz w:val="24"/>
        </w:rPr>
        <w:t>期末前</w:t>
      </w:r>
      <w:proofErr w:type="gramEnd"/>
      <w:r w:rsidRPr="00664CFC">
        <w:rPr>
          <w:rFonts w:hint="eastAsia"/>
          <w:bCs/>
          <w:sz w:val="24"/>
        </w:rPr>
        <w:t>十名股票中存在流通受限情况的说明</w:t>
      </w:r>
    </w:p>
    <w:tbl>
      <w:tblPr>
        <w:tblW w:w="0" w:type="auto"/>
        <w:tblInd w:w="108" w:type="dxa"/>
        <w:tblLook w:val="04A0" w:firstRow="1" w:lastRow="0" w:firstColumn="1" w:lastColumn="0" w:noHBand="0" w:noVBand="1"/>
      </w:tblPr>
      <w:tblGrid>
        <w:gridCol w:w="222"/>
      </w:tblGrid>
      <w:tr w:rsidR="00787A97" w:rsidRPr="00664CFC" w:rsidTr="00CA1E03">
        <w:tc>
          <w:tcPr>
            <w:tcW w:w="0" w:type="auto"/>
            <w:vAlign w:val="center"/>
            <w:hideMark/>
          </w:tcPr>
          <w:p w:rsidR="00787A97" w:rsidRPr="00664CFC" w:rsidRDefault="00787A97" w:rsidP="00664CFC">
            <w:pPr>
              <w:adjustRightInd w:val="0"/>
              <w:snapToGrid w:val="0"/>
              <w:spacing w:line="360" w:lineRule="auto"/>
              <w:ind w:firstLineChars="200" w:firstLine="480"/>
              <w:rPr>
                <w:bCs/>
                <w:sz w:val="24"/>
              </w:rPr>
            </w:pPr>
          </w:p>
        </w:tc>
      </w:tr>
    </w:tbl>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本基金本报告期末未持有股票。</w:t>
      </w:r>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w:t>
      </w:r>
      <w:r w:rsidRPr="00664CFC">
        <w:rPr>
          <w:rFonts w:hint="eastAsia"/>
          <w:bCs/>
          <w:sz w:val="24"/>
        </w:rPr>
        <w:t>6</w:t>
      </w:r>
      <w:r w:rsidRPr="00664CFC">
        <w:rPr>
          <w:rFonts w:hint="eastAsia"/>
          <w:bCs/>
          <w:sz w:val="24"/>
        </w:rPr>
        <w:t>）投资组合报告附注的其他文字描述部分</w:t>
      </w:r>
    </w:p>
    <w:p w:rsidR="00787A97" w:rsidRPr="00664CFC" w:rsidRDefault="00787A97" w:rsidP="00664CFC">
      <w:pPr>
        <w:adjustRightInd w:val="0"/>
        <w:snapToGrid w:val="0"/>
        <w:spacing w:line="360" w:lineRule="auto"/>
        <w:ind w:firstLineChars="200" w:firstLine="480"/>
        <w:rPr>
          <w:bCs/>
          <w:sz w:val="24"/>
        </w:rPr>
      </w:pPr>
      <w:r w:rsidRPr="00664CFC">
        <w:rPr>
          <w:rFonts w:hint="eastAsia"/>
          <w:bCs/>
          <w:sz w:val="24"/>
        </w:rPr>
        <w:t>由于四舍五入的原因，分项之和与合计项之间可能存在尾差。</w:t>
      </w:r>
    </w:p>
    <w:p w:rsidR="00787A97" w:rsidRPr="00B37540" w:rsidRDefault="00787A97" w:rsidP="00787A97">
      <w:pPr>
        <w:spacing w:line="360" w:lineRule="auto"/>
        <w:rPr>
          <w:rFonts w:ascii="宋体" w:hAnsi="宋体" w:cs="Arial"/>
          <w:b/>
          <w:bCs/>
          <w:sz w:val="24"/>
          <w:szCs w:val="24"/>
        </w:rPr>
      </w:pPr>
      <w:r w:rsidRPr="008B7B1A">
        <w:rPr>
          <w:rFonts w:ascii="宋体" w:hAnsi="宋体" w:hint="eastAsia"/>
          <w:b/>
          <w:sz w:val="24"/>
          <w:szCs w:val="24"/>
        </w:rPr>
        <w:t>九、</w:t>
      </w:r>
      <w:r w:rsidRPr="008B7B1A">
        <w:rPr>
          <w:rFonts w:ascii="宋体" w:hAnsi="宋体" w:cs="Arial" w:hint="eastAsia"/>
          <w:b/>
          <w:bCs/>
          <w:sz w:val="24"/>
          <w:szCs w:val="24"/>
        </w:rPr>
        <w:t>基金净值表现</w:t>
      </w:r>
    </w:p>
    <w:p w:rsidR="00787A97" w:rsidRPr="00662A7D" w:rsidRDefault="00787A97" w:rsidP="00787A97">
      <w:pPr>
        <w:spacing w:line="360" w:lineRule="auto"/>
        <w:ind w:firstLineChars="150" w:firstLine="360"/>
        <w:rPr>
          <w:rFonts w:ascii="宋体" w:hAnsi="宋体" w:cs="Arial"/>
          <w:sz w:val="24"/>
          <w:szCs w:val="24"/>
        </w:rPr>
      </w:pPr>
      <w:r w:rsidRPr="00662A7D">
        <w:rPr>
          <w:rFonts w:ascii="宋体" w:hAnsi="宋体" w:hint="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787A97" w:rsidRPr="00662A7D" w:rsidRDefault="00787A97" w:rsidP="00787A97">
      <w:pPr>
        <w:pStyle w:val="biaogeleft"/>
      </w:pPr>
      <w:r w:rsidRPr="00662A7D">
        <w:rPr>
          <w:rFonts w:hint="eastAsia"/>
          <w:color w:val="000000"/>
        </w:rPr>
        <w:lastRenderedPageBreak/>
        <w:t>富荣富安债券A</w:t>
      </w:r>
    </w:p>
    <w:tbl>
      <w:tblPr>
        <w:tblW w:w="8135" w:type="dxa"/>
        <w:jc w:val="center"/>
        <w:tblInd w:w="-1533" w:type="dxa"/>
        <w:tblLook w:val="04A0" w:firstRow="1" w:lastRow="0" w:firstColumn="1" w:lastColumn="0" w:noHBand="0" w:noVBand="1"/>
      </w:tblPr>
      <w:tblGrid>
        <w:gridCol w:w="1215"/>
        <w:gridCol w:w="1045"/>
        <w:gridCol w:w="1267"/>
        <w:gridCol w:w="1267"/>
        <w:gridCol w:w="1267"/>
        <w:gridCol w:w="1038"/>
        <w:gridCol w:w="1036"/>
      </w:tblGrid>
      <w:tr w:rsidR="00787A97" w:rsidRPr="00662A7D" w:rsidTr="00787A97">
        <w:trPr>
          <w:trHeight w:val="983"/>
          <w:jc w:val="center"/>
        </w:trPr>
        <w:tc>
          <w:tcPr>
            <w:tcW w:w="746"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阶段</w:t>
            </w:r>
          </w:p>
        </w:tc>
        <w:tc>
          <w:tcPr>
            <w:tcW w:w="642"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份额净值增长率①</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份额净值增长率标准差②</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业绩比较基准收益率③</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业绩比较基准收益率标准差④</w:t>
            </w:r>
          </w:p>
        </w:tc>
        <w:tc>
          <w:tcPr>
            <w:tcW w:w="638"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①-③</w:t>
            </w:r>
          </w:p>
        </w:tc>
        <w:tc>
          <w:tcPr>
            <w:tcW w:w="638"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②-④</w:t>
            </w:r>
          </w:p>
        </w:tc>
      </w:tr>
      <w:tr w:rsidR="00787A97" w:rsidRPr="00662A7D" w:rsidTr="00787A97">
        <w:trPr>
          <w:trHeight w:val="587"/>
          <w:jc w:val="center"/>
        </w:trPr>
        <w:tc>
          <w:tcPr>
            <w:tcW w:w="746"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Pr>
                <w:rFonts w:hint="eastAsia"/>
                <w:color w:val="000000"/>
                <w:sz w:val="21"/>
                <w:szCs w:val="21"/>
              </w:rPr>
              <w:t>2018.6.1</w:t>
            </w:r>
            <w:r w:rsidRPr="00557CBD">
              <w:rPr>
                <w:rFonts w:hint="eastAsia"/>
                <w:color w:val="000000"/>
                <w:sz w:val="21"/>
                <w:szCs w:val="21"/>
              </w:rPr>
              <w:t>~201</w:t>
            </w:r>
            <w:r>
              <w:rPr>
                <w:rFonts w:hint="eastAsia"/>
                <w:color w:val="000000"/>
                <w:sz w:val="21"/>
                <w:szCs w:val="21"/>
              </w:rPr>
              <w:t>8.6.30</w:t>
            </w:r>
          </w:p>
        </w:tc>
        <w:tc>
          <w:tcPr>
            <w:tcW w:w="642"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0.44%</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0.02%</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0.88%</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0.10%</w:t>
            </w:r>
          </w:p>
        </w:tc>
        <w:tc>
          <w:tcPr>
            <w:tcW w:w="638"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-0.44%</w:t>
            </w:r>
          </w:p>
        </w:tc>
        <w:tc>
          <w:tcPr>
            <w:tcW w:w="638"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-0.08%</w:t>
            </w:r>
          </w:p>
        </w:tc>
      </w:tr>
      <w:tr w:rsidR="00787A97" w:rsidRPr="00662A7D" w:rsidTr="00787A97">
        <w:trPr>
          <w:trHeight w:val="684"/>
          <w:jc w:val="center"/>
        </w:trPr>
        <w:tc>
          <w:tcPr>
            <w:tcW w:w="746"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自基金合同生效起至今</w:t>
            </w:r>
          </w:p>
        </w:tc>
        <w:tc>
          <w:tcPr>
            <w:tcW w:w="642"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0.51%</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0.03%</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1.71%</w:t>
            </w:r>
          </w:p>
        </w:tc>
        <w:tc>
          <w:tcPr>
            <w:tcW w:w="779"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0.15%</w:t>
            </w:r>
          </w:p>
        </w:tc>
        <w:tc>
          <w:tcPr>
            <w:tcW w:w="638"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-1.20%</w:t>
            </w:r>
          </w:p>
        </w:tc>
        <w:tc>
          <w:tcPr>
            <w:tcW w:w="638"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-0.12%</w:t>
            </w:r>
          </w:p>
        </w:tc>
      </w:tr>
    </w:tbl>
    <w:p w:rsidR="00787A97" w:rsidRPr="00662A7D" w:rsidRDefault="00787A97" w:rsidP="00787A97">
      <w:pPr>
        <w:widowControl/>
        <w:jc w:val="left"/>
        <w:rPr>
          <w:rFonts w:ascii="宋体" w:hAnsi="宋体" w:cs="宋体"/>
          <w:kern w:val="0"/>
          <w:sz w:val="24"/>
          <w:szCs w:val="24"/>
        </w:rPr>
      </w:pPr>
      <w:r w:rsidRPr="00662A7D">
        <w:rPr>
          <w:rFonts w:ascii="宋体" w:hAnsi="宋体" w:cs="宋体" w:hint="eastAsia"/>
          <w:kern w:val="0"/>
          <w:sz w:val="24"/>
          <w:szCs w:val="24"/>
        </w:rPr>
        <w:t>注：本基金的业绩比较基准为：中</w:t>
      </w:r>
      <w:proofErr w:type="gramStart"/>
      <w:r w:rsidRPr="00662A7D">
        <w:rPr>
          <w:rFonts w:ascii="宋体" w:hAnsi="宋体" w:cs="宋体" w:hint="eastAsia"/>
          <w:kern w:val="0"/>
          <w:sz w:val="24"/>
          <w:szCs w:val="24"/>
        </w:rPr>
        <w:t>债总全价指数</w:t>
      </w:r>
      <w:proofErr w:type="gramEnd"/>
      <w:r w:rsidRPr="00662A7D">
        <w:rPr>
          <w:rFonts w:ascii="宋体" w:hAnsi="宋体" w:cs="宋体" w:hint="eastAsia"/>
          <w:kern w:val="0"/>
          <w:sz w:val="24"/>
          <w:szCs w:val="24"/>
        </w:rPr>
        <w:t>收益率。</w:t>
      </w:r>
    </w:p>
    <w:p w:rsidR="00787A97" w:rsidRPr="00662A7D" w:rsidRDefault="00787A97" w:rsidP="00787A97">
      <w:pPr>
        <w:pStyle w:val="biaogeleft"/>
        <w:rPr>
          <w:color w:val="000000"/>
        </w:rPr>
      </w:pPr>
    </w:p>
    <w:p w:rsidR="00787A97" w:rsidRPr="00662A7D" w:rsidRDefault="00787A97" w:rsidP="00787A97">
      <w:pPr>
        <w:pStyle w:val="biaogeleft"/>
      </w:pPr>
      <w:r w:rsidRPr="00662A7D">
        <w:rPr>
          <w:rFonts w:hint="eastAsia"/>
          <w:color w:val="000000"/>
        </w:rPr>
        <w:t>富荣富安债券C</w:t>
      </w:r>
    </w:p>
    <w:tbl>
      <w:tblPr>
        <w:tblW w:w="8205" w:type="dxa"/>
        <w:jc w:val="center"/>
        <w:tblInd w:w="-1037" w:type="dxa"/>
        <w:tblLook w:val="04A0" w:firstRow="1" w:lastRow="0" w:firstColumn="1" w:lastColumn="0" w:noHBand="0" w:noVBand="1"/>
      </w:tblPr>
      <w:tblGrid>
        <w:gridCol w:w="1276"/>
        <w:gridCol w:w="1021"/>
        <w:gridCol w:w="1206"/>
        <w:gridCol w:w="1270"/>
        <w:gridCol w:w="1334"/>
        <w:gridCol w:w="1040"/>
        <w:gridCol w:w="1058"/>
      </w:tblGrid>
      <w:tr w:rsidR="00787A97" w:rsidRPr="00662A7D" w:rsidTr="00B2071A">
        <w:trPr>
          <w:trHeight w:val="722"/>
          <w:jc w:val="center"/>
        </w:trPr>
        <w:tc>
          <w:tcPr>
            <w:tcW w:w="777"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阶段</w:t>
            </w:r>
          </w:p>
        </w:tc>
        <w:tc>
          <w:tcPr>
            <w:tcW w:w="622"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份额净值增长率①</w:t>
            </w:r>
          </w:p>
        </w:tc>
        <w:tc>
          <w:tcPr>
            <w:tcW w:w="735"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份额净值增长率标准差②</w:t>
            </w:r>
          </w:p>
        </w:tc>
        <w:tc>
          <w:tcPr>
            <w:tcW w:w="774"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业绩比较基准收益率③</w:t>
            </w:r>
          </w:p>
        </w:tc>
        <w:tc>
          <w:tcPr>
            <w:tcW w:w="813"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业绩比较基准收益率标准差④</w:t>
            </w:r>
          </w:p>
        </w:tc>
        <w:tc>
          <w:tcPr>
            <w:tcW w:w="634"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①-③</w:t>
            </w:r>
          </w:p>
        </w:tc>
        <w:tc>
          <w:tcPr>
            <w:tcW w:w="645"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color w:val="000000"/>
              </w:rPr>
              <w:t>②-④</w:t>
            </w:r>
          </w:p>
        </w:tc>
      </w:tr>
      <w:tr w:rsidR="00787A97" w:rsidRPr="00662A7D" w:rsidTr="00B2071A">
        <w:trPr>
          <w:trHeight w:val="132"/>
          <w:jc w:val="center"/>
        </w:trPr>
        <w:tc>
          <w:tcPr>
            <w:tcW w:w="777"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Pr>
                <w:rFonts w:hint="eastAsia"/>
                <w:color w:val="000000"/>
                <w:sz w:val="21"/>
                <w:szCs w:val="21"/>
              </w:rPr>
              <w:t>2018.6.1</w:t>
            </w:r>
            <w:r w:rsidRPr="00557CBD">
              <w:rPr>
                <w:rFonts w:hint="eastAsia"/>
                <w:color w:val="000000"/>
                <w:sz w:val="21"/>
                <w:szCs w:val="21"/>
              </w:rPr>
              <w:t>~201</w:t>
            </w:r>
            <w:r>
              <w:rPr>
                <w:rFonts w:hint="eastAsia"/>
                <w:color w:val="000000"/>
                <w:sz w:val="21"/>
                <w:szCs w:val="21"/>
              </w:rPr>
              <w:t>8.6.30</w:t>
            </w:r>
          </w:p>
        </w:tc>
        <w:tc>
          <w:tcPr>
            <w:tcW w:w="622"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0.39%</w:t>
            </w:r>
          </w:p>
        </w:tc>
        <w:tc>
          <w:tcPr>
            <w:tcW w:w="735"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0.02%</w:t>
            </w:r>
          </w:p>
        </w:tc>
        <w:tc>
          <w:tcPr>
            <w:tcW w:w="774"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0.88%</w:t>
            </w:r>
          </w:p>
        </w:tc>
        <w:tc>
          <w:tcPr>
            <w:tcW w:w="813"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0.10%</w:t>
            </w:r>
          </w:p>
        </w:tc>
        <w:tc>
          <w:tcPr>
            <w:tcW w:w="634"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-0.49%</w:t>
            </w:r>
          </w:p>
        </w:tc>
        <w:tc>
          <w:tcPr>
            <w:tcW w:w="645"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-0.08%</w:t>
            </w:r>
          </w:p>
        </w:tc>
      </w:tr>
      <w:tr w:rsidR="00787A97" w:rsidRPr="00662A7D" w:rsidTr="00B2071A">
        <w:trPr>
          <w:trHeight w:val="132"/>
          <w:jc w:val="center"/>
        </w:trPr>
        <w:tc>
          <w:tcPr>
            <w:tcW w:w="777"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left"/>
              <w:wordWrap w:val="0"/>
            </w:pPr>
            <w:r w:rsidRPr="00662A7D">
              <w:rPr>
                <w:rFonts w:hint="eastAsia"/>
              </w:rPr>
              <w:t>自基金合同生效起至今</w:t>
            </w:r>
          </w:p>
        </w:tc>
        <w:tc>
          <w:tcPr>
            <w:tcW w:w="622"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0.38%</w:t>
            </w:r>
          </w:p>
        </w:tc>
        <w:tc>
          <w:tcPr>
            <w:tcW w:w="735"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0.03%</w:t>
            </w:r>
          </w:p>
        </w:tc>
        <w:tc>
          <w:tcPr>
            <w:tcW w:w="774"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1.71%</w:t>
            </w:r>
          </w:p>
        </w:tc>
        <w:tc>
          <w:tcPr>
            <w:tcW w:w="813"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0.15%</w:t>
            </w:r>
          </w:p>
        </w:tc>
        <w:tc>
          <w:tcPr>
            <w:tcW w:w="634"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-1.33%</w:t>
            </w:r>
          </w:p>
        </w:tc>
        <w:tc>
          <w:tcPr>
            <w:tcW w:w="645" w:type="pct"/>
            <w:tcBorders>
              <w:top w:val="single" w:sz="8" w:space="0" w:color="000000"/>
              <w:left w:val="single" w:sz="8" w:space="0" w:color="000000"/>
              <w:bottom w:val="single" w:sz="8" w:space="0" w:color="000000"/>
              <w:right w:val="single" w:sz="8" w:space="0" w:color="000000"/>
            </w:tcBorders>
            <w:vAlign w:val="center"/>
            <w:hideMark/>
          </w:tcPr>
          <w:p w:rsidR="00787A97" w:rsidRPr="00662A7D" w:rsidRDefault="00787A97" w:rsidP="00CA1E03">
            <w:pPr>
              <w:pStyle w:val="biaogecenter"/>
              <w:wordWrap w:val="0"/>
            </w:pPr>
            <w:r w:rsidRPr="00662A7D">
              <w:rPr>
                <w:rFonts w:hint="eastAsia"/>
              </w:rPr>
              <w:t>-0.12%</w:t>
            </w:r>
          </w:p>
        </w:tc>
      </w:tr>
    </w:tbl>
    <w:p w:rsidR="00787A97" w:rsidRPr="00662A7D" w:rsidRDefault="00787A97" w:rsidP="00787A97">
      <w:pPr>
        <w:widowControl/>
        <w:jc w:val="left"/>
        <w:rPr>
          <w:rFonts w:ascii="宋体" w:hAnsi="宋体" w:cs="宋体"/>
          <w:kern w:val="0"/>
          <w:sz w:val="24"/>
          <w:szCs w:val="24"/>
        </w:rPr>
      </w:pPr>
      <w:r w:rsidRPr="00662A7D">
        <w:rPr>
          <w:rFonts w:ascii="宋体" w:hAnsi="宋体" w:cs="宋体" w:hint="eastAsia"/>
          <w:kern w:val="0"/>
          <w:sz w:val="24"/>
          <w:szCs w:val="24"/>
        </w:rPr>
        <w:t>注：本基金的业绩比较基准为：中</w:t>
      </w:r>
      <w:proofErr w:type="gramStart"/>
      <w:r w:rsidRPr="00662A7D">
        <w:rPr>
          <w:rFonts w:ascii="宋体" w:hAnsi="宋体" w:cs="宋体" w:hint="eastAsia"/>
          <w:kern w:val="0"/>
          <w:sz w:val="24"/>
          <w:szCs w:val="24"/>
        </w:rPr>
        <w:t>债总全价指数</w:t>
      </w:r>
      <w:proofErr w:type="gramEnd"/>
      <w:r w:rsidRPr="00662A7D">
        <w:rPr>
          <w:rFonts w:ascii="宋体" w:hAnsi="宋体" w:cs="宋体" w:hint="eastAsia"/>
          <w:kern w:val="0"/>
          <w:sz w:val="24"/>
          <w:szCs w:val="24"/>
        </w:rPr>
        <w:t xml:space="preserve">收益率。 </w:t>
      </w:r>
    </w:p>
    <w:p w:rsidR="00787A97" w:rsidRPr="00662A7D" w:rsidRDefault="00787A97" w:rsidP="00787A97">
      <w:pPr>
        <w:pStyle w:val="zhangjiep2"/>
        <w:rPr>
          <w:bCs/>
        </w:rPr>
      </w:pPr>
    </w:p>
    <w:p w:rsidR="00787A97" w:rsidRPr="00662A7D" w:rsidRDefault="00787A97" w:rsidP="00787A97">
      <w:pPr>
        <w:pStyle w:val="zhangjiep2"/>
      </w:pPr>
      <w:r w:rsidRPr="00662A7D">
        <w:rPr>
          <w:rFonts w:hint="eastAsia"/>
          <w:bCs/>
        </w:rPr>
        <w:t>2、自基金合同生效以来基金份额累计净值增长率变动及其与同期业绩比较基准收益率变动的比较</w:t>
      </w:r>
    </w:p>
    <w:p w:rsidR="00787A97" w:rsidRPr="00662A7D" w:rsidRDefault="00787A97" w:rsidP="00787A97">
      <w:pPr>
        <w:pStyle w:val="biaogeleft"/>
      </w:pPr>
      <w:r w:rsidRPr="008B7B1A">
        <w:rPr>
          <w:noProof/>
          <w:color w:val="000000"/>
        </w:rPr>
        <w:lastRenderedPageBreak/>
        <w:drawing>
          <wp:inline distT="0" distB="0" distL="0" distR="0" wp14:anchorId="20B51E70" wp14:editId="5F5D7BF0">
            <wp:extent cx="5146158" cy="3637974"/>
            <wp:effectExtent l="0" t="0" r="0" b="635"/>
            <wp:docPr id="1" name="图片 1" descr="D:\FA_Client\Bin\MOD\TMP\CN_51130000_005173_FB020010_2018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5173_FB020010_20180002_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46972" cy="3638550"/>
                    </a:xfrm>
                    <a:prstGeom prst="rect">
                      <a:avLst/>
                    </a:prstGeom>
                    <a:noFill/>
                    <a:ln>
                      <a:noFill/>
                    </a:ln>
                  </pic:spPr>
                </pic:pic>
              </a:graphicData>
            </a:graphic>
          </wp:inline>
        </w:drawing>
      </w:r>
    </w:p>
    <w:p w:rsidR="00787A97" w:rsidRPr="00662A7D" w:rsidRDefault="00787A97" w:rsidP="00787A97">
      <w:pPr>
        <w:widowControl/>
        <w:jc w:val="left"/>
        <w:rPr>
          <w:rFonts w:ascii="宋体" w:hAnsi="宋体" w:cs="宋体"/>
          <w:kern w:val="0"/>
          <w:sz w:val="24"/>
          <w:szCs w:val="24"/>
        </w:rPr>
      </w:pPr>
      <w:r w:rsidRPr="00662A7D">
        <w:rPr>
          <w:rFonts w:ascii="宋体" w:hAnsi="宋体" w:cs="宋体" w:hint="eastAsia"/>
          <w:kern w:val="0"/>
          <w:sz w:val="24"/>
          <w:szCs w:val="24"/>
        </w:rPr>
        <w:t>注：①本</w:t>
      </w:r>
      <w:proofErr w:type="gramStart"/>
      <w:r w:rsidRPr="00662A7D">
        <w:rPr>
          <w:rFonts w:ascii="宋体" w:hAnsi="宋体" w:cs="宋体" w:hint="eastAsia"/>
          <w:kern w:val="0"/>
          <w:sz w:val="24"/>
          <w:szCs w:val="24"/>
        </w:rPr>
        <w:t>基金基金</w:t>
      </w:r>
      <w:proofErr w:type="gramEnd"/>
      <w:r w:rsidRPr="00662A7D">
        <w:rPr>
          <w:rFonts w:ascii="宋体" w:hAnsi="宋体" w:cs="宋体" w:hint="eastAsia"/>
          <w:kern w:val="0"/>
          <w:sz w:val="24"/>
          <w:szCs w:val="24"/>
        </w:rPr>
        <w:t>合同于2018年4月03日生效，截止2018年6月30日止，本基金成立未满一年；</w:t>
      </w:r>
      <w:r w:rsidRPr="00662A7D">
        <w:rPr>
          <w:rFonts w:ascii="宋体" w:hAnsi="宋体" w:cs="宋体" w:hint="eastAsia"/>
          <w:kern w:val="0"/>
          <w:sz w:val="24"/>
          <w:szCs w:val="24"/>
        </w:rPr>
        <w:br/>
        <w:t>  ②本基金建仓期为6个月，截止2018年6月30日止，本基金建仓期未满6个月。</w:t>
      </w:r>
    </w:p>
    <w:p w:rsidR="00787A97" w:rsidRDefault="00787A97" w:rsidP="00787A97">
      <w:pPr>
        <w:pStyle w:val="biaogeleft"/>
      </w:pPr>
      <w:r>
        <w:rPr>
          <w:rFonts w:hAnsi="Calibri"/>
          <w:noProof/>
          <w:color w:val="000000"/>
        </w:rPr>
        <w:drawing>
          <wp:inline distT="0" distB="0" distL="0" distR="0" wp14:anchorId="20688A72" wp14:editId="6593EC3D">
            <wp:extent cx="5188688" cy="3641118"/>
            <wp:effectExtent l="0" t="0" r="0" b="0"/>
            <wp:docPr id="2" name="图片 2" descr="D:\FA_Client\Bin\MOD\TMP\CN_51130000_005173_FB020010_2018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FA_Client\Bin\MOD\TMP\CN_51130000_005173_FB020010_20180002_3.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87744" cy="3640455"/>
                    </a:xfrm>
                    <a:prstGeom prst="rect">
                      <a:avLst/>
                    </a:prstGeom>
                    <a:noFill/>
                    <a:ln>
                      <a:noFill/>
                    </a:ln>
                  </pic:spPr>
                </pic:pic>
              </a:graphicData>
            </a:graphic>
          </wp:inline>
        </w:drawing>
      </w:r>
    </w:p>
    <w:p w:rsidR="00787A97" w:rsidRDefault="00787A97" w:rsidP="00787A97">
      <w:pPr>
        <w:widowControl/>
        <w:jc w:val="left"/>
        <w:rPr>
          <w:rFonts w:ascii="宋体" w:hAnsi="宋体" w:cs="宋体"/>
          <w:kern w:val="0"/>
          <w:sz w:val="24"/>
          <w:szCs w:val="24"/>
        </w:rPr>
      </w:pPr>
      <w:r>
        <w:rPr>
          <w:rFonts w:ascii="宋体" w:hAnsi="宋体" w:cs="宋体" w:hint="eastAsia"/>
          <w:kern w:val="0"/>
          <w:sz w:val="24"/>
          <w:szCs w:val="24"/>
        </w:rPr>
        <w:t>注：①本</w:t>
      </w:r>
      <w:proofErr w:type="gramStart"/>
      <w:r>
        <w:rPr>
          <w:rFonts w:ascii="宋体" w:hAnsi="宋体" w:cs="宋体" w:hint="eastAsia"/>
          <w:kern w:val="0"/>
          <w:sz w:val="24"/>
          <w:szCs w:val="24"/>
        </w:rPr>
        <w:t>基金基金</w:t>
      </w:r>
      <w:proofErr w:type="gramEnd"/>
      <w:r>
        <w:rPr>
          <w:rFonts w:ascii="宋体" w:hAnsi="宋体" w:cs="宋体" w:hint="eastAsia"/>
          <w:kern w:val="0"/>
          <w:sz w:val="24"/>
          <w:szCs w:val="24"/>
        </w:rPr>
        <w:t>合同于2018年4月03日生效，截止2018年6月30日止，本基金成立未满一年；</w:t>
      </w:r>
      <w:r>
        <w:rPr>
          <w:rFonts w:ascii="宋体" w:hAnsi="宋体" w:cs="宋体" w:hint="eastAsia"/>
          <w:kern w:val="0"/>
          <w:sz w:val="24"/>
          <w:szCs w:val="24"/>
        </w:rPr>
        <w:br/>
      </w:r>
      <w:r>
        <w:rPr>
          <w:rFonts w:ascii="宋体" w:hAnsi="宋体" w:cs="宋体" w:hint="eastAsia"/>
          <w:kern w:val="0"/>
          <w:sz w:val="24"/>
          <w:szCs w:val="24"/>
        </w:rPr>
        <w:lastRenderedPageBreak/>
        <w:t xml:space="preserve">  ②本基金建仓期为6个月，截止2018年6月30日止，本基金建仓期未满6个月。 </w:t>
      </w:r>
    </w:p>
    <w:p w:rsidR="00FD64FB" w:rsidRDefault="00FD64FB" w:rsidP="00787A97">
      <w:pPr>
        <w:adjustRightInd w:val="0"/>
        <w:snapToGrid w:val="0"/>
        <w:spacing w:line="360" w:lineRule="auto"/>
        <w:ind w:firstLineChars="200" w:firstLine="420"/>
        <w:rPr>
          <w:bCs/>
          <w:kern w:val="44"/>
        </w:rPr>
      </w:pPr>
      <w:r>
        <w:rPr>
          <w:bCs/>
          <w:kern w:val="44"/>
        </w:rPr>
        <w:br w:type="page"/>
      </w:r>
    </w:p>
    <w:p w:rsidR="00572ECF" w:rsidRDefault="00915AEA" w:rsidP="00787A97">
      <w:pPr>
        <w:pStyle w:val="1"/>
        <w:snapToGrid w:val="0"/>
        <w:spacing w:before="0" w:after="0" w:line="360" w:lineRule="auto"/>
        <w:ind w:firstLine="2861"/>
        <w:jc w:val="both"/>
        <w:rPr>
          <w:rFonts w:ascii="Arial Unicode MS" w:eastAsia="宋体" w:hAnsi="Arial Unicode MS" w:cs="Arial"/>
          <w:b/>
          <w:bCs/>
          <w:sz w:val="30"/>
          <w:szCs w:val="30"/>
        </w:rPr>
      </w:pPr>
      <w:bookmarkStart w:id="92" w:name="_Toc386115307"/>
      <w:bookmarkStart w:id="93" w:name="_Toc320887649"/>
      <w:bookmarkStart w:id="94" w:name="_Toc317088147"/>
      <w:bookmarkStart w:id="95" w:name="_Toc335232698"/>
      <w:bookmarkStart w:id="96" w:name="_Toc317088544"/>
      <w:bookmarkStart w:id="97" w:name="_Toc214873599"/>
      <w:bookmarkStart w:id="98" w:name="_Toc527466000"/>
      <w:r>
        <w:rPr>
          <w:rFonts w:ascii="Arial Unicode MS" w:eastAsia="宋体" w:hAnsi="Arial Unicode MS" w:cs="Arial" w:hint="eastAsia"/>
          <w:b/>
          <w:bCs/>
          <w:sz w:val="30"/>
          <w:szCs w:val="30"/>
        </w:rPr>
        <w:lastRenderedPageBreak/>
        <w:t>第十部分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基金的财产</w:t>
      </w:r>
      <w:bookmarkEnd w:id="92"/>
      <w:bookmarkEnd w:id="93"/>
      <w:bookmarkEnd w:id="94"/>
      <w:bookmarkEnd w:id="95"/>
      <w:bookmarkEnd w:id="96"/>
      <w:bookmarkEnd w:id="97"/>
      <w:bookmarkEnd w:id="98"/>
    </w:p>
    <w:p w:rsidR="00572ECF" w:rsidRDefault="00572ECF">
      <w:pPr>
        <w:rPr>
          <w:rFonts w:ascii="Arial Unicode MS" w:hAnsi="Arial Unicode MS"/>
          <w:lang w:val="zh-CN"/>
        </w:rPr>
      </w:pPr>
    </w:p>
    <w:p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一、基金资产总值</w:t>
      </w:r>
    </w:p>
    <w:p w:rsidR="00572ECF" w:rsidRDefault="00915AEA">
      <w:pPr>
        <w:spacing w:line="360" w:lineRule="auto"/>
        <w:ind w:firstLineChars="200" w:firstLine="480"/>
        <w:rPr>
          <w:rFonts w:ascii="Arial Unicode MS" w:hAnsi="Arial Unicode MS" w:cs="Arial"/>
          <w:bCs/>
          <w:sz w:val="24"/>
          <w:szCs w:val="24"/>
        </w:rPr>
      </w:pPr>
      <w:r>
        <w:rPr>
          <w:rFonts w:ascii="Arial Unicode MS" w:hAnsi="Arial Unicode MS" w:cs="Arial" w:hint="eastAsia"/>
          <w:bCs/>
          <w:sz w:val="24"/>
          <w:szCs w:val="24"/>
        </w:rPr>
        <w:t>基金资产总值是指基金拥有的各类有价证券、银行存款本息和基金应收款项以及其他资产的价值总和。</w:t>
      </w:r>
    </w:p>
    <w:p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二、基金资产净值</w:t>
      </w:r>
    </w:p>
    <w:p w:rsidR="00572ECF" w:rsidRDefault="00915AEA">
      <w:pPr>
        <w:spacing w:line="360" w:lineRule="auto"/>
        <w:ind w:firstLineChars="200" w:firstLine="480"/>
        <w:rPr>
          <w:rFonts w:ascii="Arial Unicode MS" w:hAnsi="Arial Unicode MS" w:cs="Arial"/>
          <w:sz w:val="24"/>
          <w:szCs w:val="24"/>
        </w:rPr>
      </w:pPr>
      <w:r>
        <w:rPr>
          <w:rFonts w:ascii="Arial Unicode MS" w:hAnsi="Arial Unicode MS" w:cs="Arial" w:hint="eastAsia"/>
          <w:sz w:val="24"/>
          <w:szCs w:val="24"/>
        </w:rPr>
        <w:t>基金资产净值是指基金资产总值减去基金负债后的价值。</w:t>
      </w:r>
    </w:p>
    <w:p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三、基金财产的账户</w:t>
      </w:r>
    </w:p>
    <w:p w:rsidR="00572ECF" w:rsidRDefault="00915AEA">
      <w:pPr>
        <w:spacing w:line="360" w:lineRule="auto"/>
        <w:ind w:firstLineChars="200" w:firstLine="480"/>
        <w:rPr>
          <w:rFonts w:ascii="Arial Unicode MS" w:hAnsi="Arial Unicode MS" w:cs="Arial"/>
          <w:bCs/>
          <w:sz w:val="24"/>
          <w:szCs w:val="24"/>
        </w:rPr>
      </w:pPr>
      <w:r>
        <w:rPr>
          <w:rFonts w:ascii="Arial Unicode MS" w:hAnsi="Arial Unicode MS" w:cs="Arial" w:hint="eastAsia"/>
          <w:bCs/>
          <w:sz w:val="24"/>
          <w:szCs w:val="24"/>
        </w:rPr>
        <w:t>基金托管人根据相关法律法规、规范性文件为本基金开立资金账户、证券账户、</w:t>
      </w:r>
      <w:r>
        <w:rPr>
          <w:rFonts w:ascii="Arial Unicode MS" w:hAnsi="Arial Unicode MS" w:cs="Arial"/>
          <w:bCs/>
          <w:sz w:val="24"/>
          <w:szCs w:val="24"/>
        </w:rPr>
        <w:t>期货账户</w:t>
      </w:r>
      <w:r>
        <w:rPr>
          <w:rFonts w:ascii="Arial Unicode MS" w:hAnsi="Arial Unicode MS" w:cs="Arial" w:hint="eastAsia"/>
          <w:bCs/>
          <w:sz w:val="24"/>
          <w:szCs w:val="24"/>
        </w:rPr>
        <w:t>以及投资所需的其他专用账户。开立的基金专用账户与基金管理人、基金托管人、基金销售机构和基金登记机构自有的财产账户以及其他基金财产账户相独立。</w:t>
      </w:r>
    </w:p>
    <w:p w:rsidR="00572ECF" w:rsidRDefault="00915AEA">
      <w:pPr>
        <w:spacing w:line="360" w:lineRule="auto"/>
        <w:ind w:firstLineChars="200" w:firstLine="482"/>
        <w:rPr>
          <w:rFonts w:ascii="Arial Unicode MS" w:hAnsi="Arial Unicode MS" w:cs="Arial"/>
          <w:b/>
          <w:sz w:val="24"/>
          <w:szCs w:val="24"/>
        </w:rPr>
      </w:pPr>
      <w:r>
        <w:rPr>
          <w:rFonts w:ascii="Arial Unicode MS" w:hAnsi="Arial Unicode MS" w:cs="Arial" w:hint="eastAsia"/>
          <w:b/>
          <w:sz w:val="24"/>
          <w:szCs w:val="24"/>
        </w:rPr>
        <w:t>四、基金财产的保管和处分</w:t>
      </w:r>
    </w:p>
    <w:p w:rsidR="00572ECF" w:rsidRDefault="00915AEA">
      <w:pPr>
        <w:spacing w:line="360" w:lineRule="auto"/>
        <w:ind w:firstLineChars="200" w:firstLine="480"/>
        <w:rPr>
          <w:rFonts w:ascii="Arial Unicode MS" w:hAnsi="Arial Unicode MS" w:cs="Arial"/>
          <w:bCs/>
          <w:sz w:val="24"/>
          <w:szCs w:val="24"/>
        </w:rPr>
      </w:pPr>
      <w:bookmarkStart w:id="99" w:name="_Hlt88900062"/>
      <w:bookmarkStart w:id="100" w:name="_Hlt88841837"/>
      <w:bookmarkEnd w:id="99"/>
      <w:bookmarkEnd w:id="100"/>
      <w:r>
        <w:rPr>
          <w:rFonts w:ascii="Arial Unicode MS" w:hAnsi="Arial Unicode MS" w:cs="Arial" w:hint="eastAsia"/>
          <w:bCs/>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Arial Unicode MS" w:hAnsi="Arial Unicode MS" w:cs="Arial" w:hint="eastAsia"/>
          <w:bCs/>
          <w:sz w:val="24"/>
          <w:szCs w:val="24"/>
        </w:rPr>
        <w:t>律法规</w:t>
      </w:r>
      <w:proofErr w:type="gramEnd"/>
      <w:r>
        <w:rPr>
          <w:rFonts w:ascii="Arial Unicode MS" w:hAnsi="Arial Unicode MS" w:cs="Arial" w:hint="eastAsia"/>
          <w:bCs/>
          <w:sz w:val="24"/>
          <w:szCs w:val="24"/>
        </w:rPr>
        <w:t>和《基金合同》的规定处分外，基金财产不得被处分。</w:t>
      </w:r>
    </w:p>
    <w:p w:rsidR="00572ECF" w:rsidRDefault="00915AEA">
      <w:pPr>
        <w:spacing w:line="360" w:lineRule="auto"/>
        <w:ind w:firstLineChars="200" w:firstLine="480"/>
        <w:rPr>
          <w:rFonts w:ascii="Arial Unicode MS" w:hAnsi="Arial Unicode MS" w:cs="Arial"/>
          <w:bCs/>
          <w:sz w:val="24"/>
          <w:szCs w:val="24"/>
        </w:rPr>
      </w:pPr>
      <w:r>
        <w:rPr>
          <w:rFonts w:ascii="Arial Unicode MS" w:hAnsi="Arial Unicode MS" w:cs="Arial" w:hint="eastAsia"/>
          <w:bCs/>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Arial Unicode MS" w:hAnsi="Arial Unicode MS" w:cs="Arial" w:hint="eastAsia"/>
          <w:bCs/>
          <w:sz w:val="24"/>
          <w:szCs w:val="24"/>
        </w:rPr>
        <w:t>抵销</w:t>
      </w:r>
      <w:proofErr w:type="gramEnd"/>
      <w:r>
        <w:rPr>
          <w:rFonts w:ascii="Arial Unicode MS" w:hAnsi="Arial Unicode MS" w:cs="Arial" w:hint="eastAsia"/>
          <w:bCs/>
          <w:sz w:val="24"/>
          <w:szCs w:val="24"/>
        </w:rPr>
        <w:t>；基金管理人管理运作不同基金的基金财产所产生的债权债务不得相互</w:t>
      </w:r>
      <w:proofErr w:type="gramStart"/>
      <w:r>
        <w:rPr>
          <w:rFonts w:ascii="Arial Unicode MS" w:hAnsi="Arial Unicode MS" w:cs="Arial" w:hint="eastAsia"/>
          <w:bCs/>
          <w:sz w:val="24"/>
          <w:szCs w:val="24"/>
        </w:rPr>
        <w:t>抵销</w:t>
      </w:r>
      <w:proofErr w:type="gramEnd"/>
      <w:r>
        <w:rPr>
          <w:rFonts w:ascii="Arial Unicode MS" w:hAnsi="Arial Unicode MS" w:cs="Arial" w:hint="eastAsia"/>
          <w:bCs/>
          <w:sz w:val="24"/>
          <w:szCs w:val="24"/>
        </w:rPr>
        <w:t>。</w:t>
      </w:r>
    </w:p>
    <w:p w:rsidR="00572ECF" w:rsidRDefault="00572ECF">
      <w:pPr>
        <w:spacing w:line="360" w:lineRule="auto"/>
        <w:ind w:firstLineChars="200" w:firstLine="480"/>
        <w:rPr>
          <w:rFonts w:ascii="Arial Unicode MS" w:hAnsi="Arial Unicode MS" w:cs="Arial"/>
          <w:sz w:val="24"/>
          <w:szCs w:val="24"/>
        </w:rPr>
        <w:sectPr w:rsidR="00572ECF">
          <w:footerReference w:type="default" r:id="rId24"/>
          <w:headerReference w:type="first" r:id="rId25"/>
          <w:footerReference w:type="first" r:id="rId26"/>
          <w:pgSz w:w="11906" w:h="16838"/>
          <w:pgMar w:top="1440" w:right="1800" w:bottom="1440" w:left="1800" w:header="851" w:footer="992" w:gutter="0"/>
          <w:cols w:space="720"/>
          <w:titlePg/>
          <w:docGrid w:linePitch="312"/>
        </w:sectPr>
      </w:pPr>
    </w:p>
    <w:p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101" w:name="_Toc214873600"/>
      <w:bookmarkStart w:id="102" w:name="_Toc386115308"/>
      <w:bookmarkStart w:id="103" w:name="_Toc320887650"/>
      <w:bookmarkStart w:id="104" w:name="_Toc317088545"/>
      <w:bookmarkStart w:id="105" w:name="_Toc335232699"/>
      <w:bookmarkStart w:id="106" w:name="_Toc317088148"/>
      <w:bookmarkStart w:id="107" w:name="_Toc527466001"/>
      <w:r>
        <w:rPr>
          <w:rFonts w:ascii="Arial Unicode MS" w:eastAsia="宋体" w:hAnsi="Arial Unicode MS" w:cs="Arial" w:hint="eastAsia"/>
          <w:b/>
          <w:bCs/>
          <w:sz w:val="30"/>
          <w:szCs w:val="30"/>
        </w:rPr>
        <w:lastRenderedPageBreak/>
        <w:t>第十一部分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基金资产的估值</w:t>
      </w:r>
      <w:bookmarkEnd w:id="101"/>
      <w:bookmarkEnd w:id="102"/>
      <w:bookmarkEnd w:id="103"/>
      <w:bookmarkEnd w:id="104"/>
      <w:bookmarkEnd w:id="105"/>
      <w:bookmarkEnd w:id="106"/>
      <w:bookmarkEnd w:id="107"/>
    </w:p>
    <w:p w:rsidR="00572ECF" w:rsidRDefault="00572ECF">
      <w:pPr>
        <w:rPr>
          <w:rFonts w:ascii="Arial Unicode MS" w:hAnsi="Arial Unicode MS"/>
          <w:lang w:val="zh-CN"/>
        </w:rPr>
      </w:pPr>
    </w:p>
    <w:p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一、估值日</w:t>
      </w:r>
    </w:p>
    <w:p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本基金的估值日为本基金相关的证券交易场所的交易日以及国家法律法规规定需要对外披露基金净值的</w:t>
      </w:r>
      <w:proofErr w:type="gramStart"/>
      <w:r>
        <w:rPr>
          <w:rFonts w:ascii="Arial Unicode MS" w:hAnsi="Arial Unicode MS" w:hint="eastAsia"/>
          <w:bCs/>
          <w:sz w:val="24"/>
          <w:szCs w:val="24"/>
        </w:rPr>
        <w:t>非交易</w:t>
      </w:r>
      <w:proofErr w:type="gramEnd"/>
      <w:r>
        <w:rPr>
          <w:rFonts w:ascii="Arial Unicode MS" w:hAnsi="Arial Unicode MS" w:hint="eastAsia"/>
          <w:bCs/>
          <w:sz w:val="24"/>
          <w:szCs w:val="24"/>
        </w:rPr>
        <w:t>日。</w:t>
      </w:r>
    </w:p>
    <w:p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二、估值对象</w:t>
      </w:r>
    </w:p>
    <w:p w:rsidR="00572ECF" w:rsidRDefault="00915AEA">
      <w:pPr>
        <w:spacing w:line="360" w:lineRule="auto"/>
        <w:ind w:firstLineChars="200" w:firstLine="480"/>
        <w:rPr>
          <w:rFonts w:ascii="Arial Unicode MS" w:hAnsi="Arial Unicode MS"/>
          <w:bCs/>
          <w:sz w:val="24"/>
          <w:szCs w:val="24"/>
        </w:rPr>
      </w:pPr>
      <w:r>
        <w:rPr>
          <w:rFonts w:ascii="Arial Unicode MS" w:hAnsi="Arial Unicode MS" w:hint="eastAsia"/>
          <w:bCs/>
          <w:sz w:val="24"/>
          <w:szCs w:val="24"/>
        </w:rPr>
        <w:t>基金所拥有的股票、权证、债券、国债期货合约和银行存款本息、应收款项、其它投资等资产及负债。</w:t>
      </w:r>
    </w:p>
    <w:p w:rsidR="00572ECF" w:rsidRDefault="00915AEA" w:rsidP="00C930DC">
      <w:pPr>
        <w:spacing w:line="360" w:lineRule="auto"/>
        <w:ind w:firstLineChars="200" w:firstLine="482"/>
        <w:rPr>
          <w:rFonts w:ascii="Arial Unicode MS" w:hAnsi="Arial Unicode MS"/>
          <w:bCs/>
          <w:sz w:val="24"/>
          <w:szCs w:val="24"/>
        </w:rPr>
      </w:pPr>
      <w:r>
        <w:rPr>
          <w:rFonts w:ascii="Arial Unicode MS" w:hAnsi="Arial Unicode MS" w:hint="eastAsia"/>
          <w:b/>
          <w:bCs/>
          <w:sz w:val="24"/>
          <w:szCs w:val="24"/>
        </w:rPr>
        <w:t>三、估值方法</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、证券交易所上市的有价证券的估值</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1</w:t>
      </w:r>
      <w:r>
        <w:rPr>
          <w:rFonts w:asciiTheme="minorEastAsia" w:eastAsiaTheme="minorEastAsia" w:hAnsiTheme="minorEastAsia"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572ECF" w:rsidRDefault="00915AEA">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2</w:t>
      </w:r>
      <w:r>
        <w:rPr>
          <w:rFonts w:asciiTheme="minorEastAsia" w:eastAsiaTheme="minorEastAsia" w:hAnsiTheme="minorEastAsia" w:hint="eastAsia"/>
          <w:bCs/>
          <w:sz w:val="24"/>
          <w:szCs w:val="24"/>
        </w:rPr>
        <w:t>）交易所上市交易或挂牌转让的固定收益品种（基金合同另有规定的除外），选取估值日第三方估值机构提供的相应品种对应的估值净价估值，具体估值机构由基金管理人与托管人另行协商约定；</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3</w:t>
      </w:r>
      <w:r>
        <w:rPr>
          <w:rFonts w:asciiTheme="minorEastAsia" w:eastAsiaTheme="minorEastAsia" w:hAnsiTheme="minorEastAsia"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4</w:t>
      </w:r>
      <w:r>
        <w:rPr>
          <w:rFonts w:asciiTheme="minorEastAsia" w:eastAsiaTheme="minorEastAsia" w:hAnsiTheme="minorEastAsia"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2</w:t>
      </w:r>
      <w:r>
        <w:rPr>
          <w:rFonts w:asciiTheme="minorEastAsia" w:eastAsiaTheme="minorEastAsia" w:hAnsiTheme="minorEastAsia" w:hint="eastAsia"/>
          <w:bCs/>
          <w:sz w:val="24"/>
          <w:szCs w:val="24"/>
        </w:rPr>
        <w:t>、首次公开发行未上市的债券，采用估值技术确定公允价值，在估值技术难以可靠计量公允价值的情况下，按成本估值。</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3</w:t>
      </w:r>
      <w:r>
        <w:rPr>
          <w:rFonts w:asciiTheme="minorEastAsia" w:eastAsiaTheme="minorEastAsia" w:hAnsiTheme="minorEastAsia" w:hint="eastAsia"/>
          <w:bCs/>
          <w:sz w:val="24"/>
          <w:szCs w:val="24"/>
        </w:rPr>
        <w:t>、全国银行间债券市场交易的债券、资产支持证券等固定收益品种，采用</w:t>
      </w:r>
      <w:r>
        <w:rPr>
          <w:rFonts w:asciiTheme="minorEastAsia" w:eastAsiaTheme="minorEastAsia" w:hAnsiTheme="minorEastAsia" w:hint="eastAsia"/>
          <w:bCs/>
          <w:sz w:val="24"/>
          <w:szCs w:val="24"/>
        </w:rPr>
        <w:lastRenderedPageBreak/>
        <w:t>估值技术确定公允价值。</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4</w:t>
      </w:r>
      <w:r>
        <w:rPr>
          <w:rFonts w:asciiTheme="minorEastAsia" w:eastAsiaTheme="minorEastAsia" w:hAnsiTheme="minorEastAsia" w:hint="eastAsia"/>
          <w:bCs/>
          <w:sz w:val="24"/>
          <w:szCs w:val="24"/>
        </w:rPr>
        <w:t>、同一债券同时在两个或两个以上市场交易的，按债券所处的市场分别估值。</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5</w:t>
      </w:r>
      <w:r>
        <w:rPr>
          <w:rFonts w:asciiTheme="minorEastAsia" w:eastAsiaTheme="minorEastAsia" w:hAnsiTheme="minorEastAsia" w:hint="eastAsia"/>
          <w:bCs/>
          <w:sz w:val="24"/>
          <w:szCs w:val="24"/>
        </w:rPr>
        <w:t>、国债期货合约按照结算价估值，如估值日无结算价且最近交易日后经济环境未发生重大变化，按最近交易日结算价估值。</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6</w:t>
      </w:r>
      <w:r>
        <w:rPr>
          <w:rFonts w:asciiTheme="minorEastAsia" w:eastAsiaTheme="minorEastAsia" w:hAnsiTheme="minorEastAsia" w:hint="eastAsia"/>
          <w:bCs/>
          <w:sz w:val="24"/>
          <w:szCs w:val="24"/>
        </w:rPr>
        <w:t>、中小企业私募债券，采用估值技术确定公允价值。在估值技术难以可靠计量公允价值的情况下，按成本估值。</w:t>
      </w:r>
    </w:p>
    <w:p w:rsidR="00572ECF" w:rsidRDefault="00915AEA">
      <w:pPr>
        <w:autoSpaceDE w:val="0"/>
        <w:autoSpaceDN w:val="0"/>
        <w:spacing w:line="360" w:lineRule="auto"/>
        <w:ind w:firstLineChars="200" w:firstLine="480"/>
        <w:textAlignment w:val="bottom"/>
        <w:rPr>
          <w:bCs/>
          <w:sz w:val="24"/>
        </w:rPr>
      </w:pPr>
      <w:r>
        <w:rPr>
          <w:bCs/>
          <w:sz w:val="24"/>
        </w:rPr>
        <w:t>7</w:t>
      </w:r>
      <w:r>
        <w:rPr>
          <w:rFonts w:hint="eastAsia"/>
          <w:bCs/>
          <w:sz w:val="24"/>
        </w:rPr>
        <w:t>、当本基金发生大额申购或赎回情形时，基金管理人可以对本基金采用摆动定价机制，以确保基金估值的公平性。</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8</w:t>
      </w:r>
      <w:r>
        <w:rPr>
          <w:rFonts w:asciiTheme="minorEastAsia" w:eastAsiaTheme="minorEastAsia" w:hAnsiTheme="minorEastAsia" w:hint="eastAsia"/>
          <w:bCs/>
          <w:sz w:val="24"/>
          <w:szCs w:val="24"/>
        </w:rPr>
        <w:t>、如有确凿证据表明按上述方法进行估值不能客观反映其公允价值的，基金管理人可根据具体情况与基金托管人商定后，按最能反映公允价值的价格估值。</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bCs/>
          <w:sz w:val="24"/>
          <w:szCs w:val="24"/>
        </w:rPr>
        <w:t>9</w:t>
      </w:r>
      <w:r>
        <w:rPr>
          <w:rFonts w:asciiTheme="minorEastAsia" w:eastAsiaTheme="minorEastAsia" w:hAnsiTheme="minorEastAsia" w:hint="eastAsia"/>
          <w:bCs/>
          <w:sz w:val="24"/>
          <w:szCs w:val="24"/>
        </w:rPr>
        <w:t>、相关法律法规以及监管部门有强制规定的，从其规定。如有新增事项，按国家最新规定估值。</w:t>
      </w:r>
    </w:p>
    <w:p w:rsidR="00572ECF" w:rsidRDefault="00915AEA">
      <w:pPr>
        <w:spacing w:line="360" w:lineRule="auto"/>
        <w:ind w:firstLineChars="200" w:firstLine="480"/>
        <w:rPr>
          <w:rStyle w:val="read"/>
          <w:rFonts w:asciiTheme="minorEastAsia" w:eastAsiaTheme="minorEastAsia" w:hAnsiTheme="minorEastAsia"/>
          <w:bCs/>
          <w:sz w:val="24"/>
          <w:szCs w:val="24"/>
        </w:rPr>
      </w:pPr>
      <w:r>
        <w:rPr>
          <w:rStyle w:val="read"/>
          <w:rFonts w:asciiTheme="minorEastAsia" w:eastAsiaTheme="minorEastAsia" w:hAnsiTheme="minorEastAsia"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四、估值程序</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、各类基金份额净值是按照每个工作日闭市后，基金资产净值除以当日该类基金份额的余额数量计算，精确到</w:t>
      </w:r>
      <w:r>
        <w:rPr>
          <w:rFonts w:ascii="Arial Unicode MS" w:hAnsi="Arial Unicode MS" w:cs="Arial"/>
          <w:kern w:val="0"/>
          <w:sz w:val="24"/>
          <w:szCs w:val="24"/>
        </w:rPr>
        <w:t>0.0001</w:t>
      </w:r>
      <w:r>
        <w:rPr>
          <w:rFonts w:ascii="Arial Unicode MS" w:hAnsi="Arial Unicode MS" w:cs="Arial" w:hint="eastAsia"/>
          <w:kern w:val="0"/>
          <w:sz w:val="24"/>
          <w:szCs w:val="24"/>
        </w:rPr>
        <w:t>元，小数点后第</w:t>
      </w:r>
      <w:r>
        <w:rPr>
          <w:rFonts w:ascii="Arial Unicode MS" w:hAnsi="Arial Unicode MS" w:cs="Arial"/>
          <w:kern w:val="0"/>
          <w:sz w:val="24"/>
          <w:szCs w:val="24"/>
        </w:rPr>
        <w:t>5</w:t>
      </w:r>
      <w:r>
        <w:rPr>
          <w:rFonts w:ascii="Arial Unicode MS" w:hAnsi="Arial Unicode MS" w:cs="Arial" w:hint="eastAsia"/>
          <w:kern w:val="0"/>
          <w:sz w:val="24"/>
          <w:szCs w:val="24"/>
        </w:rPr>
        <w:t>位四舍五入。法律法规另有规定的，从其规定。</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基金管理人每个工作日计算基金资产净值及各类基金份额净值，并按规定公告。</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、基金管理人</w:t>
      </w:r>
      <w:proofErr w:type="gramStart"/>
      <w:r>
        <w:rPr>
          <w:rFonts w:ascii="Arial Unicode MS" w:hAnsi="Arial Unicode MS" w:cs="Arial" w:hint="eastAsia"/>
          <w:kern w:val="0"/>
          <w:sz w:val="24"/>
          <w:szCs w:val="24"/>
        </w:rPr>
        <w:t>应每个</w:t>
      </w:r>
      <w:proofErr w:type="gramEnd"/>
      <w:r>
        <w:rPr>
          <w:rFonts w:ascii="Arial Unicode MS" w:hAnsi="Arial Unicode MS" w:cs="Arial" w:hint="eastAsia"/>
          <w:kern w:val="0"/>
          <w:sz w:val="24"/>
          <w:szCs w:val="24"/>
        </w:rPr>
        <w:t>工作日对基金资产估值。但基金管理人根据法律法规或基金合同的规定暂停估值时除外。基金管理人每个工作日对基金资产估值后，</w:t>
      </w:r>
      <w:r>
        <w:rPr>
          <w:rFonts w:ascii="Arial Unicode MS" w:hAnsi="Arial Unicode MS" w:cs="Arial" w:hint="eastAsia"/>
          <w:kern w:val="0"/>
          <w:sz w:val="24"/>
          <w:szCs w:val="24"/>
        </w:rPr>
        <w:lastRenderedPageBreak/>
        <w:t>将各类基金份额净值结果发送基金托管人，经基金托管人复核无误后，由基金管理人按规定对外公布。</w:t>
      </w:r>
    </w:p>
    <w:p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五、估值错误的处理</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基金管理人和基金托管人将采取必要、适当、合理的措施确保基金资产估值的准确性、及时性。当任一类基金份额净值小数点后</w:t>
      </w:r>
      <w:r>
        <w:rPr>
          <w:rFonts w:ascii="Arial Unicode MS" w:hAnsi="Arial Unicode MS" w:cs="Arial"/>
          <w:kern w:val="0"/>
          <w:sz w:val="24"/>
          <w:szCs w:val="24"/>
        </w:rPr>
        <w:t>4</w:t>
      </w:r>
      <w:r>
        <w:rPr>
          <w:rFonts w:ascii="Arial Unicode MS" w:hAnsi="Arial Unicode MS" w:cs="Arial" w:hint="eastAsia"/>
          <w:kern w:val="0"/>
          <w:sz w:val="24"/>
          <w:szCs w:val="24"/>
        </w:rPr>
        <w:t>位以内</w:t>
      </w:r>
      <w:r>
        <w:rPr>
          <w:rFonts w:ascii="Arial Unicode MS" w:hAnsi="Arial Unicode MS" w:cs="Arial"/>
          <w:kern w:val="0"/>
          <w:sz w:val="24"/>
          <w:szCs w:val="24"/>
        </w:rPr>
        <w:t>(</w:t>
      </w:r>
      <w:r>
        <w:rPr>
          <w:rFonts w:ascii="Arial Unicode MS" w:hAnsi="Arial Unicode MS" w:cs="Arial" w:hint="eastAsia"/>
          <w:kern w:val="0"/>
          <w:sz w:val="24"/>
          <w:szCs w:val="24"/>
        </w:rPr>
        <w:t>含第</w:t>
      </w:r>
      <w:r>
        <w:rPr>
          <w:rFonts w:ascii="Arial Unicode MS" w:hAnsi="Arial Unicode MS" w:cs="Arial"/>
          <w:kern w:val="0"/>
          <w:sz w:val="24"/>
          <w:szCs w:val="24"/>
        </w:rPr>
        <w:t>4</w:t>
      </w:r>
      <w:r>
        <w:rPr>
          <w:rFonts w:ascii="Arial Unicode MS" w:hAnsi="Arial Unicode MS" w:cs="Arial" w:hint="eastAsia"/>
          <w:kern w:val="0"/>
          <w:sz w:val="24"/>
          <w:szCs w:val="24"/>
        </w:rPr>
        <w:t>位</w:t>
      </w:r>
      <w:r>
        <w:rPr>
          <w:rFonts w:ascii="Arial Unicode MS" w:hAnsi="Arial Unicode MS" w:cs="Arial"/>
          <w:kern w:val="0"/>
          <w:sz w:val="24"/>
          <w:szCs w:val="24"/>
        </w:rPr>
        <w:t>)</w:t>
      </w:r>
      <w:r>
        <w:rPr>
          <w:rFonts w:ascii="Arial Unicode MS" w:hAnsi="Arial Unicode MS" w:cs="Arial" w:hint="eastAsia"/>
          <w:kern w:val="0"/>
          <w:sz w:val="24"/>
          <w:szCs w:val="24"/>
        </w:rPr>
        <w:t>发生估值错误时，视为该类基金份额净值错误。</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基金合同的当事人应按照以下约定处理：</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、估值错误类型</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cs="Arial"/>
          <w:kern w:val="0"/>
          <w:sz w:val="24"/>
          <w:szCs w:val="24"/>
        </w:rPr>
        <w:t>(</w:t>
      </w:r>
      <w:r>
        <w:rPr>
          <w:rFonts w:ascii="Arial Unicode MS" w:hAnsi="Arial Unicode MS" w:cs="Arial" w:hint="eastAsia"/>
          <w:kern w:val="0"/>
          <w:sz w:val="24"/>
          <w:szCs w:val="24"/>
        </w:rPr>
        <w:t>“受损方”</w:t>
      </w:r>
      <w:r>
        <w:rPr>
          <w:rFonts w:ascii="Arial Unicode MS" w:hAnsi="Arial Unicode MS" w:cs="Arial"/>
          <w:kern w:val="0"/>
          <w:sz w:val="24"/>
          <w:szCs w:val="24"/>
        </w:rPr>
        <w:t>)</w:t>
      </w:r>
      <w:r>
        <w:rPr>
          <w:rFonts w:ascii="Arial Unicode MS" w:hAnsi="Arial Unicode MS" w:cs="Arial" w:hint="eastAsia"/>
          <w:kern w:val="0"/>
          <w:sz w:val="24"/>
          <w:szCs w:val="24"/>
        </w:rPr>
        <w:t>的直接损失按下述“估值错误处理原则”给予赔偿，承担赔偿责任。</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上述估值错误的主要类型包括但不限于：资料申报差错、数据传输差错、数据计算差错、系统故障差错、下达指令差错等。</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、估值错误处理原则</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）估值错误的责任方对有关当事人的直接损失负责，不对间接损失负责，并且仅对估值错误的有关直接当事人负责，不对第三方负责。</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3</w:t>
      </w:r>
      <w:r>
        <w:rPr>
          <w:rFonts w:ascii="Arial Unicode MS" w:hAnsi="Arial Unicode MS" w:cs="Arial" w:hint="eastAsia"/>
          <w:kern w:val="0"/>
          <w:sz w:val="24"/>
          <w:szCs w:val="24"/>
        </w:rPr>
        <w:t>）因估值错误而获得不当得利的当事人负有及时返还不当得利的义务。但估值错误责任方仍应对估值错误负责。如果由于获得不当得利的当事人</w:t>
      </w:r>
      <w:proofErr w:type="gramStart"/>
      <w:r>
        <w:rPr>
          <w:rFonts w:ascii="Arial Unicode MS" w:hAnsi="Arial Unicode MS" w:cs="Arial" w:hint="eastAsia"/>
          <w:kern w:val="0"/>
          <w:sz w:val="24"/>
          <w:szCs w:val="24"/>
        </w:rPr>
        <w:t>不</w:t>
      </w:r>
      <w:proofErr w:type="gramEnd"/>
      <w:r>
        <w:rPr>
          <w:rFonts w:ascii="Arial Unicode MS" w:hAnsi="Arial Unicode MS" w:cs="Arial" w:hint="eastAsia"/>
          <w:kern w:val="0"/>
          <w:sz w:val="24"/>
          <w:szCs w:val="24"/>
        </w:rPr>
        <w:t>返还或不全部返还不当得利造成其他当事人的利益损失</w:t>
      </w:r>
      <w:r>
        <w:rPr>
          <w:rFonts w:ascii="Arial Unicode MS" w:hAnsi="Arial Unicode MS" w:cs="Arial"/>
          <w:kern w:val="0"/>
          <w:sz w:val="24"/>
          <w:szCs w:val="24"/>
        </w:rPr>
        <w:t>(</w:t>
      </w:r>
      <w:r>
        <w:rPr>
          <w:rFonts w:ascii="Arial Unicode MS" w:hAnsi="Arial Unicode MS" w:cs="Arial" w:hint="eastAsia"/>
          <w:kern w:val="0"/>
          <w:sz w:val="24"/>
          <w:szCs w:val="24"/>
        </w:rPr>
        <w:t>“受损方”</w:t>
      </w:r>
      <w:r>
        <w:rPr>
          <w:rFonts w:ascii="Arial Unicode MS" w:hAnsi="Arial Unicode MS" w:cs="Arial"/>
          <w:kern w:val="0"/>
          <w:sz w:val="24"/>
          <w:szCs w:val="24"/>
        </w:rPr>
        <w:t>)</w:t>
      </w:r>
      <w:r>
        <w:rPr>
          <w:rFonts w:ascii="Arial Unicode MS" w:hAnsi="Arial Unicode MS" w:cs="Arial" w:hint="eastAsia"/>
          <w:kern w:val="0"/>
          <w:sz w:val="24"/>
          <w:szCs w:val="24"/>
        </w:rPr>
        <w:t>，则估值错误责</w:t>
      </w:r>
      <w:r>
        <w:rPr>
          <w:rFonts w:ascii="Arial Unicode MS" w:hAnsi="Arial Unicode MS" w:cs="Arial" w:hint="eastAsia"/>
          <w:kern w:val="0"/>
          <w:sz w:val="24"/>
          <w:szCs w:val="24"/>
        </w:rPr>
        <w:lastRenderedPageBreak/>
        <w:t>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4</w:t>
      </w:r>
      <w:r>
        <w:rPr>
          <w:rFonts w:ascii="Arial Unicode MS" w:hAnsi="Arial Unicode MS" w:cs="Arial" w:hint="eastAsia"/>
          <w:kern w:val="0"/>
          <w:sz w:val="24"/>
          <w:szCs w:val="24"/>
        </w:rPr>
        <w:t>）估值错误调整采用尽量恢复至假设未发生估值错误的正确情形的方式。</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3</w:t>
      </w:r>
      <w:r>
        <w:rPr>
          <w:rFonts w:ascii="Arial Unicode MS" w:hAnsi="Arial Unicode MS" w:cs="Arial" w:hint="eastAsia"/>
          <w:kern w:val="0"/>
          <w:sz w:val="24"/>
          <w:szCs w:val="24"/>
        </w:rPr>
        <w:t>、估值错误处理程序</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估值错误被发现后，有关的当事人应当及时进行处理，处理的程序如下：</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）查明估值错误发生的原因，列明所有的当事人，并根据估值错误发生的原因确定估值错误的责任方；</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）根据估值错误处理原则或当事人协商的方法对因估值错误造成的损失进行评估；</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3</w:t>
      </w:r>
      <w:r>
        <w:rPr>
          <w:rFonts w:ascii="Arial Unicode MS" w:hAnsi="Arial Unicode MS" w:cs="Arial" w:hint="eastAsia"/>
          <w:kern w:val="0"/>
          <w:sz w:val="24"/>
          <w:szCs w:val="24"/>
        </w:rPr>
        <w:t>）根据估值错误处理原则或当事人协商的方法由估值错误的责任方进行更正和赔偿损失；</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4</w:t>
      </w:r>
      <w:r>
        <w:rPr>
          <w:rFonts w:ascii="Arial Unicode MS" w:hAnsi="Arial Unicode MS" w:cs="Arial" w:hint="eastAsia"/>
          <w:kern w:val="0"/>
          <w:sz w:val="24"/>
          <w:szCs w:val="24"/>
        </w:rPr>
        <w:t>）根据估值错误处理的方法，需要修改基金登记机构交易数据的，由基金登记机构进行更正，并就估值错误的更正向有关当事人进行确认。</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4</w:t>
      </w:r>
      <w:r>
        <w:rPr>
          <w:rFonts w:ascii="Arial Unicode MS" w:hAnsi="Arial Unicode MS" w:cs="Arial" w:hint="eastAsia"/>
          <w:kern w:val="0"/>
          <w:sz w:val="24"/>
          <w:szCs w:val="24"/>
        </w:rPr>
        <w:t>、基金份额净值估值错误处理的方法如下：</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1</w:t>
      </w:r>
      <w:r>
        <w:rPr>
          <w:rFonts w:ascii="Arial Unicode MS" w:hAnsi="Arial Unicode MS" w:cs="Arial" w:hint="eastAsia"/>
          <w:kern w:val="0"/>
          <w:sz w:val="24"/>
          <w:szCs w:val="24"/>
        </w:rPr>
        <w:t>）基金份额净值计算出现错误时，基金管理人应当立即予以纠正，通报基金托管人，并采取合理的措施防止损失进一步扩大。</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2</w:t>
      </w:r>
      <w:r>
        <w:rPr>
          <w:rFonts w:ascii="Arial Unicode MS" w:hAnsi="Arial Unicode MS" w:cs="Arial" w:hint="eastAsia"/>
          <w:kern w:val="0"/>
          <w:sz w:val="24"/>
          <w:szCs w:val="24"/>
        </w:rPr>
        <w:t>）错误偏差达到该类基金份额净值的</w:t>
      </w:r>
      <w:r>
        <w:rPr>
          <w:rFonts w:ascii="Arial Unicode MS" w:hAnsi="Arial Unicode MS" w:cs="Arial"/>
          <w:kern w:val="0"/>
          <w:sz w:val="24"/>
          <w:szCs w:val="24"/>
        </w:rPr>
        <w:t>0.25%</w:t>
      </w:r>
      <w:r>
        <w:rPr>
          <w:rFonts w:ascii="Arial Unicode MS" w:hAnsi="Arial Unicode MS" w:cs="Arial" w:hint="eastAsia"/>
          <w:kern w:val="0"/>
          <w:sz w:val="24"/>
          <w:szCs w:val="24"/>
        </w:rPr>
        <w:t>时，基金管理人应当通报基金托管人并报中国证监会备案；错误偏差达到该类基金份额净值的</w:t>
      </w:r>
      <w:r>
        <w:rPr>
          <w:rFonts w:ascii="Arial Unicode MS" w:hAnsi="Arial Unicode MS" w:cs="Arial"/>
          <w:kern w:val="0"/>
          <w:sz w:val="24"/>
          <w:szCs w:val="24"/>
        </w:rPr>
        <w:t>0.5%</w:t>
      </w:r>
      <w:r>
        <w:rPr>
          <w:rFonts w:ascii="Arial Unicode MS" w:hAnsi="Arial Unicode MS" w:cs="Arial" w:hint="eastAsia"/>
          <w:kern w:val="0"/>
          <w:sz w:val="24"/>
          <w:szCs w:val="24"/>
        </w:rPr>
        <w:t>时，基金管理人应当公告。</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w:t>
      </w:r>
      <w:r>
        <w:rPr>
          <w:rFonts w:ascii="Arial Unicode MS" w:hAnsi="Arial Unicode MS" w:cs="Arial"/>
          <w:kern w:val="0"/>
          <w:sz w:val="24"/>
          <w:szCs w:val="24"/>
        </w:rPr>
        <w:t>3</w:t>
      </w:r>
      <w:r>
        <w:rPr>
          <w:rFonts w:ascii="Arial Unicode MS" w:hAnsi="Arial Unicode MS" w:cs="Arial" w:hint="eastAsia"/>
          <w:kern w:val="0"/>
          <w:sz w:val="24"/>
          <w:szCs w:val="24"/>
        </w:rPr>
        <w:t>）前述内容如法律法规或监管机关另有规定的，从其规定处理。</w:t>
      </w:r>
    </w:p>
    <w:p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六、暂停估值的情形</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、基金投资所涉及的证券交易市场遇法定节假日或因其他原因暂停营业时；</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、因不可抗力致使基金管理人、基金托管人无法准确评估基金资产价值时；</w:t>
      </w:r>
    </w:p>
    <w:p w:rsidR="00572ECF" w:rsidRDefault="00915AEA">
      <w:pPr>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lastRenderedPageBreak/>
        <w:t>3</w:t>
      </w:r>
      <w:r>
        <w:rPr>
          <w:rFonts w:ascii="Arial Unicode MS" w:hAnsi="Arial Unicode MS" w:cs="Arial" w:hint="eastAsia"/>
          <w:kern w:val="0"/>
          <w:sz w:val="24"/>
          <w:szCs w:val="24"/>
        </w:rPr>
        <w:t>、当前一估值日基金资产净值</w:t>
      </w:r>
      <w:r>
        <w:rPr>
          <w:rFonts w:ascii="Arial Unicode MS" w:hAnsi="Arial Unicode MS" w:cs="Arial" w:hint="eastAsia"/>
          <w:kern w:val="0"/>
          <w:sz w:val="24"/>
          <w:szCs w:val="24"/>
        </w:rPr>
        <w:t xml:space="preserve"> 50%</w:t>
      </w:r>
      <w:r>
        <w:rPr>
          <w:rFonts w:ascii="Arial Unicode MS" w:hAnsi="Arial Unicode MS" w:cs="Arial" w:hint="eastAsia"/>
          <w:kern w:val="0"/>
          <w:sz w:val="24"/>
          <w:szCs w:val="24"/>
        </w:rPr>
        <w:t>以上的资产出现无可参考的活跃市场价格且采用估值技术</w:t>
      </w:r>
      <w:proofErr w:type="gramStart"/>
      <w:r>
        <w:rPr>
          <w:rFonts w:ascii="Arial Unicode MS" w:hAnsi="Arial Unicode MS" w:cs="Arial" w:hint="eastAsia"/>
          <w:kern w:val="0"/>
          <w:sz w:val="24"/>
          <w:szCs w:val="24"/>
        </w:rPr>
        <w:t>仍导致</w:t>
      </w:r>
      <w:proofErr w:type="gramEnd"/>
      <w:r>
        <w:rPr>
          <w:rFonts w:ascii="Arial Unicode MS" w:hAnsi="Arial Unicode MS" w:cs="Arial" w:hint="eastAsia"/>
          <w:kern w:val="0"/>
          <w:sz w:val="24"/>
          <w:szCs w:val="24"/>
        </w:rPr>
        <w:t>公允价值存在重大不确定性时，经与基金托管人协商一致的；</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4</w:t>
      </w:r>
      <w:r>
        <w:rPr>
          <w:rFonts w:ascii="Arial Unicode MS" w:hAnsi="Arial Unicode MS" w:cs="Arial" w:hint="eastAsia"/>
          <w:kern w:val="0"/>
          <w:sz w:val="24"/>
          <w:szCs w:val="24"/>
        </w:rPr>
        <w:t>、中国证监会和基金合同认定的其它情形。</w:t>
      </w:r>
    </w:p>
    <w:p w:rsidR="00572ECF" w:rsidRDefault="00915AEA">
      <w:pPr>
        <w:spacing w:line="360" w:lineRule="auto"/>
        <w:ind w:firstLineChars="200" w:firstLine="482"/>
        <w:rPr>
          <w:rFonts w:ascii="Arial Unicode MS" w:hAnsi="Arial Unicode MS"/>
          <w:b/>
          <w:bCs/>
          <w:sz w:val="24"/>
          <w:szCs w:val="24"/>
        </w:rPr>
      </w:pPr>
      <w:r>
        <w:rPr>
          <w:rFonts w:ascii="Arial Unicode MS" w:hAnsi="Arial Unicode MS" w:hint="eastAsia"/>
          <w:b/>
          <w:bCs/>
          <w:sz w:val="24"/>
          <w:szCs w:val="24"/>
        </w:rPr>
        <w:t>七、基金净值的确认</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rsidR="00572ECF" w:rsidRDefault="00915AEA">
      <w:pPr>
        <w:adjustRightInd w:val="0"/>
        <w:snapToGrid w:val="0"/>
        <w:spacing w:line="360" w:lineRule="auto"/>
        <w:ind w:firstLineChars="200" w:firstLine="482"/>
        <w:rPr>
          <w:rFonts w:ascii="Arial Unicode MS" w:hAnsi="Arial Unicode MS" w:cs="Arial"/>
          <w:b/>
          <w:kern w:val="0"/>
          <w:sz w:val="24"/>
          <w:szCs w:val="24"/>
        </w:rPr>
      </w:pPr>
      <w:r>
        <w:rPr>
          <w:rFonts w:ascii="Arial Unicode MS" w:hAnsi="Arial Unicode MS" w:cs="Arial" w:hint="eastAsia"/>
          <w:b/>
          <w:kern w:val="0"/>
          <w:sz w:val="24"/>
          <w:szCs w:val="24"/>
        </w:rPr>
        <w:t>八、特殊情况的处理</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1</w:t>
      </w:r>
      <w:r>
        <w:rPr>
          <w:rFonts w:ascii="Arial Unicode MS" w:hAnsi="Arial Unicode MS" w:cs="Arial" w:hint="eastAsia"/>
          <w:kern w:val="0"/>
          <w:sz w:val="24"/>
          <w:szCs w:val="24"/>
        </w:rPr>
        <w:t>、基金管理人或基金托管人按估值方法的第</w:t>
      </w:r>
      <w:r>
        <w:rPr>
          <w:rFonts w:ascii="Arial Unicode MS" w:hAnsi="Arial Unicode MS" w:cs="Arial" w:hint="eastAsia"/>
          <w:kern w:val="0"/>
          <w:sz w:val="24"/>
          <w:szCs w:val="24"/>
        </w:rPr>
        <w:t>8</w:t>
      </w:r>
      <w:r>
        <w:rPr>
          <w:rFonts w:ascii="Arial Unicode MS" w:hAnsi="Arial Unicode MS" w:cs="Arial" w:hint="eastAsia"/>
          <w:kern w:val="0"/>
          <w:sz w:val="24"/>
          <w:szCs w:val="24"/>
        </w:rPr>
        <w:t>项进行估值时，所造成的误差不作为基金资产估值错误处理。</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kern w:val="0"/>
          <w:sz w:val="24"/>
          <w:szCs w:val="24"/>
        </w:rPr>
        <w:t>2</w:t>
      </w:r>
      <w:r>
        <w:rPr>
          <w:rFonts w:ascii="Arial Unicode MS" w:hAnsi="Arial Unicode MS" w:cs="Arial" w:hint="eastAsia"/>
          <w:kern w:val="0"/>
          <w:sz w:val="24"/>
          <w:szCs w:val="24"/>
        </w:rPr>
        <w:t>、由于不可抗力原因，或由于证券、期货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rsidR="00787A97" w:rsidRDefault="00787A97">
      <w:pPr>
        <w:adjustRightInd w:val="0"/>
        <w:snapToGrid w:val="0"/>
        <w:spacing w:line="360" w:lineRule="auto"/>
        <w:ind w:firstLineChars="200" w:firstLine="480"/>
        <w:rPr>
          <w:rFonts w:ascii="Arial Unicode MS" w:hAnsi="Arial Unicode MS" w:cs="Arial"/>
          <w:kern w:val="0"/>
          <w:sz w:val="24"/>
          <w:szCs w:val="24"/>
        </w:rPr>
      </w:pPr>
    </w:p>
    <w:p w:rsidR="00787A97" w:rsidRDefault="00787A97">
      <w:pPr>
        <w:adjustRightInd w:val="0"/>
        <w:snapToGrid w:val="0"/>
        <w:spacing w:line="360" w:lineRule="auto"/>
        <w:ind w:firstLineChars="200" w:firstLine="480"/>
        <w:rPr>
          <w:rFonts w:ascii="Arial Unicode MS" w:hAnsi="Arial Unicode MS" w:cs="Arial"/>
          <w:kern w:val="0"/>
          <w:sz w:val="24"/>
          <w:szCs w:val="24"/>
        </w:rPr>
      </w:pPr>
    </w:p>
    <w:p w:rsidR="00787A97" w:rsidRDefault="00787A97">
      <w:pPr>
        <w:adjustRightInd w:val="0"/>
        <w:snapToGrid w:val="0"/>
        <w:spacing w:line="360" w:lineRule="auto"/>
        <w:ind w:firstLineChars="200" w:firstLine="480"/>
        <w:rPr>
          <w:rFonts w:ascii="Arial Unicode MS" w:hAnsi="Arial Unicode MS" w:cs="Arial"/>
          <w:kern w:val="0"/>
          <w:sz w:val="24"/>
          <w:szCs w:val="24"/>
        </w:rPr>
      </w:pPr>
    </w:p>
    <w:p w:rsidR="00787A97" w:rsidRDefault="00787A97">
      <w:pPr>
        <w:adjustRightInd w:val="0"/>
        <w:snapToGrid w:val="0"/>
        <w:spacing w:line="360" w:lineRule="auto"/>
        <w:ind w:firstLineChars="200" w:firstLine="480"/>
        <w:rPr>
          <w:rFonts w:ascii="Arial Unicode MS" w:hAnsi="Arial Unicode MS" w:cs="Arial"/>
          <w:kern w:val="0"/>
          <w:sz w:val="24"/>
          <w:szCs w:val="24"/>
        </w:rPr>
      </w:pPr>
    </w:p>
    <w:p w:rsidR="00787A97" w:rsidRDefault="00787A97">
      <w:pPr>
        <w:adjustRightInd w:val="0"/>
        <w:snapToGrid w:val="0"/>
        <w:spacing w:line="360" w:lineRule="auto"/>
        <w:ind w:firstLineChars="200" w:firstLine="480"/>
        <w:rPr>
          <w:rFonts w:ascii="Arial Unicode MS" w:hAnsi="Arial Unicode MS" w:cs="Arial"/>
          <w:kern w:val="0"/>
          <w:sz w:val="24"/>
          <w:szCs w:val="24"/>
        </w:rPr>
      </w:pPr>
    </w:p>
    <w:p w:rsidR="00787A97" w:rsidRDefault="00787A97">
      <w:pPr>
        <w:adjustRightInd w:val="0"/>
        <w:snapToGrid w:val="0"/>
        <w:spacing w:line="360" w:lineRule="auto"/>
        <w:ind w:firstLineChars="200" w:firstLine="480"/>
        <w:rPr>
          <w:rFonts w:ascii="Arial Unicode MS" w:hAnsi="Arial Unicode MS" w:cs="Arial"/>
          <w:kern w:val="0"/>
          <w:sz w:val="24"/>
          <w:szCs w:val="24"/>
        </w:rPr>
      </w:pPr>
    </w:p>
    <w:p w:rsidR="00787A97" w:rsidRDefault="00787A97">
      <w:pPr>
        <w:adjustRightInd w:val="0"/>
        <w:snapToGrid w:val="0"/>
        <w:spacing w:line="360" w:lineRule="auto"/>
        <w:ind w:firstLineChars="200" w:firstLine="480"/>
        <w:rPr>
          <w:rFonts w:ascii="Arial Unicode MS" w:hAnsi="Arial Unicode MS" w:cs="Arial"/>
          <w:kern w:val="0"/>
          <w:sz w:val="24"/>
          <w:szCs w:val="24"/>
        </w:rPr>
      </w:pPr>
    </w:p>
    <w:p w:rsidR="00787A97" w:rsidRDefault="00787A97">
      <w:pPr>
        <w:adjustRightInd w:val="0"/>
        <w:snapToGrid w:val="0"/>
        <w:spacing w:line="360" w:lineRule="auto"/>
        <w:ind w:firstLineChars="200" w:firstLine="480"/>
        <w:rPr>
          <w:rFonts w:ascii="Arial Unicode MS" w:hAnsi="Arial Unicode MS" w:cs="Arial"/>
          <w:kern w:val="0"/>
          <w:sz w:val="24"/>
          <w:szCs w:val="24"/>
        </w:rPr>
      </w:pPr>
    </w:p>
    <w:p w:rsidR="00572ECF" w:rsidRPr="001C7A78" w:rsidRDefault="00915AEA" w:rsidP="00C20617">
      <w:pPr>
        <w:pStyle w:val="1"/>
        <w:snapToGrid w:val="0"/>
        <w:spacing w:before="0" w:after="0" w:line="360" w:lineRule="auto"/>
        <w:ind w:firstLine="602"/>
        <w:rPr>
          <w:rFonts w:ascii="Arial Unicode MS" w:eastAsia="宋体" w:hAnsi="Arial Unicode MS" w:cs="Arial"/>
          <w:b/>
          <w:bCs/>
          <w:sz w:val="30"/>
          <w:szCs w:val="30"/>
          <w:lang w:val="en-US"/>
        </w:rPr>
      </w:pPr>
      <w:bookmarkStart w:id="108" w:name="_Toc527466002"/>
      <w:r>
        <w:rPr>
          <w:rFonts w:ascii="Arial Unicode MS" w:eastAsia="宋体" w:hAnsi="Arial Unicode MS" w:cs="Arial" w:hint="eastAsia"/>
          <w:b/>
          <w:bCs/>
          <w:sz w:val="30"/>
          <w:szCs w:val="30"/>
        </w:rPr>
        <w:lastRenderedPageBreak/>
        <w:t>第十二部分</w:t>
      </w:r>
      <w:r w:rsidRPr="003100C8">
        <w:rPr>
          <w:rFonts w:ascii="Arial Unicode MS" w:eastAsia="宋体" w:hAnsi="Arial Unicode MS" w:cs="Arial"/>
          <w:b/>
          <w:bCs/>
          <w:sz w:val="30"/>
          <w:szCs w:val="30"/>
          <w:lang w:val="en-US"/>
        </w:rPr>
        <w:t xml:space="preserve">  </w:t>
      </w:r>
      <w:r>
        <w:rPr>
          <w:rFonts w:ascii="Arial Unicode MS" w:eastAsia="宋体" w:hAnsi="Arial Unicode MS" w:cs="Arial" w:hint="eastAsia"/>
          <w:b/>
          <w:bCs/>
          <w:sz w:val="30"/>
          <w:szCs w:val="30"/>
        </w:rPr>
        <w:t>基金的收益与分配</w:t>
      </w:r>
      <w:bookmarkEnd w:id="108"/>
    </w:p>
    <w:p w:rsidR="00C20617" w:rsidRPr="001C7A78" w:rsidRDefault="00C20617" w:rsidP="00C20617"/>
    <w:p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一、基金利润的构成</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基金利润指基金利息收入、投资收益、公允价值变动收益和其他收入扣除相关费用后的余额，基金已实现收益指基金利润减去公允价值变动收益后的余额。</w:t>
      </w:r>
    </w:p>
    <w:p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二、基金可供分配利润</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基金可供分配利润指截至收益分配基准日基金未分配利润与未分配利润中已实现收益的孰低数。</w:t>
      </w:r>
    </w:p>
    <w:p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三</w:t>
      </w:r>
      <w:r>
        <w:rPr>
          <w:rFonts w:asciiTheme="minorEastAsia" w:eastAsiaTheme="minorEastAsia" w:hAnsiTheme="minorEastAsia"/>
          <w:b/>
          <w:bCs/>
          <w:sz w:val="24"/>
          <w:szCs w:val="24"/>
        </w:rPr>
        <w:t>、基金收益分配原则</w:t>
      </w:r>
    </w:p>
    <w:p w:rsidR="00572ECF" w:rsidRDefault="00915AEA">
      <w:pPr>
        <w:spacing w:line="360" w:lineRule="auto"/>
        <w:ind w:firstLineChars="225" w:firstLine="540"/>
        <w:rPr>
          <w:bCs/>
          <w:sz w:val="24"/>
        </w:rPr>
      </w:pPr>
      <w:r>
        <w:rPr>
          <w:rFonts w:hint="eastAsia"/>
          <w:bCs/>
          <w:sz w:val="24"/>
        </w:rPr>
        <w:t>1</w:t>
      </w:r>
      <w:r>
        <w:rPr>
          <w:rFonts w:hint="eastAsia"/>
          <w:bCs/>
          <w:sz w:val="24"/>
        </w:rPr>
        <w:t>、本基金收益分配方式分两种：现金分红与红利再投资，投资者可选择现金红利或将现金红利按除权日该类基金份额的基金份额净值自动转为该类基金的份额进行再投资，</w:t>
      </w:r>
      <w:proofErr w:type="gramStart"/>
      <w:r>
        <w:rPr>
          <w:rFonts w:hint="eastAsia"/>
          <w:bCs/>
          <w:sz w:val="24"/>
        </w:rPr>
        <w:t>且基金</w:t>
      </w:r>
      <w:proofErr w:type="gramEnd"/>
      <w:r>
        <w:rPr>
          <w:rFonts w:hint="eastAsia"/>
          <w:bCs/>
          <w:sz w:val="24"/>
        </w:rPr>
        <w:t>份额持有人可对</w:t>
      </w:r>
      <w:r>
        <w:rPr>
          <w:rFonts w:hint="eastAsia"/>
          <w:bCs/>
          <w:sz w:val="24"/>
        </w:rPr>
        <w:t>A</w:t>
      </w:r>
      <w:r>
        <w:rPr>
          <w:rFonts w:hint="eastAsia"/>
          <w:bCs/>
          <w:sz w:val="24"/>
        </w:rPr>
        <w:t>类、</w:t>
      </w:r>
      <w:r>
        <w:rPr>
          <w:rFonts w:hint="eastAsia"/>
          <w:bCs/>
          <w:sz w:val="24"/>
        </w:rPr>
        <w:t>C</w:t>
      </w:r>
      <w:r>
        <w:rPr>
          <w:rFonts w:hint="eastAsia"/>
          <w:bCs/>
          <w:sz w:val="24"/>
        </w:rPr>
        <w:t>类基金份额分别选择不同的分红方式；若投资者不选择，本基金默认的收益分配方式是现金分红；</w:t>
      </w:r>
    </w:p>
    <w:p w:rsidR="00572ECF" w:rsidRDefault="00915AEA">
      <w:pPr>
        <w:spacing w:line="360" w:lineRule="auto"/>
        <w:ind w:firstLineChars="225" w:firstLine="540"/>
        <w:rPr>
          <w:bCs/>
          <w:sz w:val="24"/>
        </w:rPr>
      </w:pPr>
      <w:r>
        <w:rPr>
          <w:rFonts w:hint="eastAsia"/>
          <w:bCs/>
          <w:sz w:val="24"/>
        </w:rPr>
        <w:t>2</w:t>
      </w:r>
      <w:r>
        <w:rPr>
          <w:rFonts w:hint="eastAsia"/>
          <w:bCs/>
          <w:sz w:val="24"/>
        </w:rPr>
        <w:t>、基金收益分配后基金份额净值不能低于面值，即基金收益分配基准日的基金份额净值减去每单位基金份额收益分配金额后不能低于面值。</w:t>
      </w:r>
    </w:p>
    <w:p w:rsidR="00572ECF" w:rsidRDefault="00915AEA">
      <w:pPr>
        <w:spacing w:line="360" w:lineRule="auto"/>
        <w:ind w:firstLineChars="225" w:firstLine="540"/>
        <w:rPr>
          <w:bCs/>
          <w:sz w:val="24"/>
        </w:rPr>
      </w:pPr>
      <w:r>
        <w:rPr>
          <w:rFonts w:hint="eastAsia"/>
          <w:bCs/>
          <w:sz w:val="24"/>
        </w:rPr>
        <w:t>3</w:t>
      </w:r>
      <w:r>
        <w:rPr>
          <w:rFonts w:hint="eastAsia"/>
          <w:bCs/>
          <w:sz w:val="24"/>
        </w:rPr>
        <w:t>、本基金各类基金份额在费用收取上不同，其对应的可分配收益可能有所不同。同一类别每一基金份额享有同等分配权。</w:t>
      </w:r>
    </w:p>
    <w:p w:rsidR="00572ECF" w:rsidRDefault="00915AEA">
      <w:pPr>
        <w:spacing w:line="360" w:lineRule="auto"/>
        <w:ind w:firstLineChars="225" w:firstLine="540"/>
        <w:rPr>
          <w:bCs/>
          <w:sz w:val="24"/>
        </w:rPr>
      </w:pPr>
      <w:r>
        <w:rPr>
          <w:rFonts w:hint="eastAsia"/>
          <w:bCs/>
          <w:sz w:val="24"/>
        </w:rPr>
        <w:t>4</w:t>
      </w:r>
      <w:r>
        <w:rPr>
          <w:rFonts w:hint="eastAsia"/>
          <w:bCs/>
          <w:sz w:val="24"/>
        </w:rPr>
        <w:t>、法律法规或监管机关另有规定的，从其规定。</w:t>
      </w:r>
    </w:p>
    <w:p w:rsidR="00572ECF" w:rsidRDefault="00915AEA">
      <w:pPr>
        <w:spacing w:line="360" w:lineRule="auto"/>
        <w:ind w:firstLineChars="225" w:firstLine="540"/>
        <w:rPr>
          <w:bCs/>
          <w:sz w:val="24"/>
        </w:rPr>
      </w:pPr>
      <w:r>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四</w:t>
      </w:r>
      <w:r>
        <w:rPr>
          <w:rFonts w:asciiTheme="minorEastAsia" w:eastAsiaTheme="minorEastAsia" w:hAnsiTheme="minorEastAsia"/>
          <w:b/>
          <w:bCs/>
          <w:sz w:val="24"/>
          <w:szCs w:val="24"/>
        </w:rPr>
        <w:t>、收益分配方案</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基金收益分配方案中应载明截止收益分配基准日的可供分配利润、基金收益分配对象、分配时间、分配数额及比例、分配方式等内容。</w:t>
      </w:r>
    </w:p>
    <w:p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五、收益分配方案的确定、公告与实施</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本基金收益分配方案由基金管理人拟定，并由基金托管人复核，在2日内在指定媒介公告并报中国证监会备案。</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基金红利发放</w:t>
      </w:r>
      <w:proofErr w:type="gramStart"/>
      <w:r>
        <w:rPr>
          <w:rFonts w:asciiTheme="minorEastAsia" w:eastAsiaTheme="minorEastAsia" w:hAnsiTheme="minorEastAsia" w:cs="Arial" w:hint="eastAsia"/>
          <w:kern w:val="0"/>
          <w:sz w:val="24"/>
          <w:szCs w:val="24"/>
        </w:rPr>
        <w:t>日距离</w:t>
      </w:r>
      <w:proofErr w:type="gramEnd"/>
      <w:r>
        <w:rPr>
          <w:rFonts w:asciiTheme="minorEastAsia" w:eastAsiaTheme="minorEastAsia" w:hAnsiTheme="minorEastAsia" w:cs="Arial" w:hint="eastAsia"/>
          <w:kern w:val="0"/>
          <w:sz w:val="24"/>
          <w:szCs w:val="24"/>
        </w:rPr>
        <w:t>收益分配基准日（即可供分配利润计算截止日）的时间不得超过15个工作日。</w:t>
      </w:r>
    </w:p>
    <w:p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六、基金收益分配中发生的费用</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lastRenderedPageBreak/>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执行。</w:t>
      </w: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787A97" w:rsidRDefault="00787A97">
      <w:pPr>
        <w:spacing w:line="360" w:lineRule="auto"/>
        <w:ind w:firstLineChars="200" w:firstLine="480"/>
        <w:rPr>
          <w:rFonts w:asciiTheme="minorEastAsia" w:eastAsiaTheme="minorEastAsia" w:hAnsiTheme="minorEastAsia"/>
          <w:bCs/>
          <w:sz w:val="24"/>
          <w:szCs w:val="24"/>
        </w:rPr>
      </w:pPr>
    </w:p>
    <w:p w:rsidR="00C20617" w:rsidRDefault="00C20617">
      <w:pPr>
        <w:spacing w:line="360" w:lineRule="auto"/>
        <w:ind w:firstLineChars="200" w:firstLine="480"/>
        <w:rPr>
          <w:rFonts w:asciiTheme="minorEastAsia" w:eastAsiaTheme="minorEastAsia" w:hAnsiTheme="minorEastAsia"/>
          <w:bCs/>
          <w:sz w:val="24"/>
          <w:szCs w:val="24"/>
        </w:rPr>
      </w:pPr>
    </w:p>
    <w:p w:rsidR="00C20617" w:rsidRDefault="00C20617">
      <w:pPr>
        <w:spacing w:line="360" w:lineRule="auto"/>
        <w:ind w:firstLineChars="200" w:firstLine="480"/>
        <w:rPr>
          <w:rFonts w:asciiTheme="minorEastAsia" w:eastAsiaTheme="minorEastAsia" w:hAnsiTheme="minorEastAsia"/>
          <w:bCs/>
          <w:sz w:val="24"/>
          <w:szCs w:val="24"/>
        </w:rPr>
      </w:pPr>
    </w:p>
    <w:p w:rsidR="00572ECF" w:rsidRDefault="00915AEA" w:rsidP="00C20617">
      <w:pPr>
        <w:pStyle w:val="1"/>
        <w:snapToGrid w:val="0"/>
        <w:spacing w:before="0" w:after="0" w:line="360" w:lineRule="auto"/>
        <w:ind w:firstLine="602"/>
        <w:rPr>
          <w:rFonts w:ascii="Arial Unicode MS" w:eastAsia="宋体" w:hAnsi="Arial Unicode MS" w:cs="Arial"/>
          <w:b/>
          <w:bCs/>
          <w:sz w:val="30"/>
          <w:szCs w:val="30"/>
        </w:rPr>
      </w:pPr>
      <w:bookmarkStart w:id="109" w:name="_Toc12357181"/>
      <w:bookmarkStart w:id="110" w:name="_Toc320887652"/>
      <w:bookmarkStart w:id="111" w:name="_Toc147463128"/>
      <w:bookmarkStart w:id="112" w:name="_Toc317088547"/>
      <w:bookmarkStart w:id="113" w:name="_Toc214873602"/>
      <w:bookmarkStart w:id="114" w:name="_Toc335232701"/>
      <w:bookmarkStart w:id="115" w:name="_Toc21073401"/>
      <w:bookmarkStart w:id="116" w:name="_Toc317088150"/>
      <w:bookmarkStart w:id="117" w:name="_Toc386115310"/>
      <w:bookmarkStart w:id="118" w:name="_Toc527466003"/>
      <w:r>
        <w:rPr>
          <w:rFonts w:ascii="Arial Unicode MS" w:eastAsia="宋体" w:hAnsi="Arial Unicode MS" w:cs="Arial" w:hint="eastAsia"/>
          <w:b/>
          <w:bCs/>
          <w:sz w:val="30"/>
          <w:szCs w:val="30"/>
        </w:rPr>
        <w:lastRenderedPageBreak/>
        <w:t>第十三部分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基金费用与税收</w:t>
      </w:r>
      <w:bookmarkEnd w:id="109"/>
      <w:bookmarkEnd w:id="110"/>
      <w:bookmarkEnd w:id="111"/>
      <w:bookmarkEnd w:id="112"/>
      <w:bookmarkEnd w:id="113"/>
      <w:bookmarkEnd w:id="114"/>
      <w:bookmarkEnd w:id="115"/>
      <w:bookmarkEnd w:id="116"/>
      <w:bookmarkEnd w:id="117"/>
      <w:bookmarkEnd w:id="118"/>
    </w:p>
    <w:p w:rsidR="00C20617" w:rsidRPr="00C20617" w:rsidRDefault="00C20617" w:rsidP="00C20617">
      <w:pPr>
        <w:ind w:firstLine="420"/>
        <w:rPr>
          <w:lang w:val="zh-CN"/>
        </w:rPr>
      </w:pPr>
    </w:p>
    <w:p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一、基金费用的种类</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1、基金管理人的管理费；</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2、基金托管人的托管费；</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3、C类基金份额的销售服务费；</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4、基金合同生效后与基金相关的信息披露费用；</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5、基金合同生效后与基金相关的会计师费、律师费、诉讼费和仲裁费；</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6、基金份额持有人大会费用；</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7、基金的证券、期货交易费用；</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8、基金的银行汇划费用；</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9、账户开户费用、账户维护费用；</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10、按照国家有关规定和基金合同约定，可以在基金财产中列支的其他费用。</w:t>
      </w:r>
    </w:p>
    <w:p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二、基金费用计提方法、计提标准和支付方式</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 xml:space="preserve">1、基金管理人的管理费 </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本基金的管理费按前一日基金资产净值的0.60%年费率计提。管理费的计算方法如下：</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H＝E×0.60%÷当年天数</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H为每日应计提的基金管理费</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E为前一日的基金资产净值</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基金管理费每日计算，逐日累计至每月月末，按月支付，由基金管理人与基金托管人核对一致后，基金托管人按照与基金管理人协商一致的方式在次月初3</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工作日内从基金财产中一次性支付给基金管理人。若遇法定节假日、公休假或不可抗力等，支付日期顺延。</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2、基金托管人的托管费</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本基金的托管费按前一日基金资产净值的0.10%的年费率计提。托管费的计算方法如下：</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H＝E×0.10%÷当年天数</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H为每日应计提的基金托管费</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E为前一日的基金资产净值</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基金托管费每日计算，逐日累计至每月月末，按月支付，由基金管理人与基金托管人核对一致后，基金托管人按照与基金管理人协商一致的方式于次月初3</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工作日内从基金财产中一次性支取。若遇法定节假日、公休假或不可抗力等，支付日期顺延。</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3、销售服务费</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本基金A类基金份额不收取销售服务费，C类基金份额的销售服务费年费率为0.40%。</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 xml:space="preserve">本基金销售服务费按前一日C类基金份额的基金资产净值的0.40%年费率计提。 计算方法如下： </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H=E×0.40%÷当年天数</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H为C类基金份额每日应计提的销售服务费</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E为C类基金份额前一日基金资产净值</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基金销售服务费每日计算，逐日累计至每月月末，按月支付，由基金管理人与基金托管人核对一致后，基金托管人按照与基金管理人协商一致的方式于次月初3</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工作日内从基金财产中一次性支付。若遇法定节假日、公休假或不可抗力等，支付日期顺延。</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销售服务费主要用于本基金持续销售以及基金份额持有人服务等各项费用。</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上述“一、基金费用的种类”中第4－10项费用，根据有关法规及相应协议规定，按费用实际支出金额列入当期费用，由基金托管人从基金财产中支付。</w:t>
      </w:r>
    </w:p>
    <w:p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三、不列入基金费用的项目</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下列费用不列入基金费用：</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1、基金管理人和基金托管人因未履行或未完全履行义务导致的费用支出或基金财产的损失；</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2、基金管理人和基金托管人处理与基金运作无关的事项发生的费用；</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3、《基金合同》生效前的相关费用；</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4、其他根据相关法律法规及中国证监会的有关规定不得列入基金费用的项目。</w:t>
      </w:r>
    </w:p>
    <w:p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四</w:t>
      </w:r>
      <w:r>
        <w:rPr>
          <w:rFonts w:asciiTheme="minorEastAsia" w:eastAsiaTheme="minorEastAsia" w:hAnsiTheme="minorEastAsia"/>
          <w:b/>
          <w:bCs/>
          <w:sz w:val="24"/>
          <w:szCs w:val="24"/>
        </w:rPr>
        <w:t>、基金税收</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本基金运作过程中涉及的各纳税主体，其纳税义务按国家税收法律、法规执行。</w:t>
      </w:r>
    </w:p>
    <w:p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r>
        <w:rPr>
          <w:rFonts w:asciiTheme="minorEastAsia" w:eastAsiaTheme="minorEastAsia" w:hAnsiTheme="minorEastAsia" w:cs="Arial" w:hint="eastAsia"/>
          <w:b/>
          <w:kern w:val="0"/>
          <w:sz w:val="24"/>
          <w:szCs w:val="24"/>
        </w:rPr>
        <w:lastRenderedPageBreak/>
        <w:t>五、销售服务费的调整</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基金管理人和基金托管人可根据基金规模等因素协商一致，酌情调低销售服务费率，无须召开基金份额持有人大会。</w:t>
      </w:r>
    </w:p>
    <w:p w:rsidR="00572ECF" w:rsidRDefault="00915AEA">
      <w:pPr>
        <w:widowControl/>
        <w:jc w:val="left"/>
      </w:pPr>
      <w:r>
        <w:br w:type="page"/>
      </w:r>
    </w:p>
    <w:p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119" w:name="_Toc386115311"/>
      <w:bookmarkStart w:id="120" w:name="_Toc317088151"/>
      <w:bookmarkStart w:id="121" w:name="_Toc320887653"/>
      <w:bookmarkStart w:id="122" w:name="_Toc214873603"/>
      <w:bookmarkStart w:id="123" w:name="_Toc317088548"/>
      <w:bookmarkStart w:id="124" w:name="_Toc335232702"/>
      <w:bookmarkStart w:id="125" w:name="_Toc527466004"/>
      <w:r>
        <w:rPr>
          <w:rFonts w:ascii="Arial Unicode MS" w:eastAsia="宋体" w:hAnsi="Arial Unicode MS" w:cs="Arial" w:hint="eastAsia"/>
          <w:b/>
          <w:bCs/>
          <w:sz w:val="30"/>
          <w:szCs w:val="30"/>
        </w:rPr>
        <w:lastRenderedPageBreak/>
        <w:t>第十四部分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基金的会计与审计</w:t>
      </w:r>
      <w:bookmarkEnd w:id="119"/>
      <w:bookmarkEnd w:id="120"/>
      <w:bookmarkEnd w:id="121"/>
      <w:bookmarkEnd w:id="122"/>
      <w:bookmarkEnd w:id="123"/>
      <w:bookmarkEnd w:id="124"/>
      <w:bookmarkEnd w:id="125"/>
    </w:p>
    <w:p w:rsidR="00572ECF" w:rsidRDefault="00572ECF">
      <w:pPr>
        <w:rPr>
          <w:rFonts w:ascii="Arial Unicode MS" w:hAnsi="Arial Unicode MS"/>
          <w:lang w:val="zh-CN"/>
        </w:rPr>
      </w:pPr>
    </w:p>
    <w:p w:rsidR="00572ECF" w:rsidRDefault="00915AEA">
      <w:pPr>
        <w:spacing w:line="360" w:lineRule="auto"/>
        <w:ind w:firstLineChars="200" w:firstLine="482"/>
        <w:rPr>
          <w:rFonts w:asciiTheme="minorEastAsia" w:eastAsiaTheme="minorEastAsia" w:hAnsiTheme="minorEastAsia"/>
          <w:b/>
          <w:bCs/>
          <w:sz w:val="24"/>
          <w:szCs w:val="24"/>
        </w:rPr>
      </w:pPr>
      <w:bookmarkStart w:id="126" w:name="_Toc79978642"/>
      <w:bookmarkStart w:id="127" w:name="_Toc214873604"/>
      <w:r>
        <w:rPr>
          <w:rFonts w:asciiTheme="minorEastAsia" w:eastAsiaTheme="minorEastAsia" w:hAnsiTheme="minorEastAsia"/>
          <w:b/>
          <w:bCs/>
          <w:sz w:val="24"/>
          <w:szCs w:val="24"/>
        </w:rPr>
        <w:t>一、基金会计政策</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1、基金管理人为本基金的基金会计责任方；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2、基金的会计年度为公历年度的1月1日至12月31日；基金首次募集的会计年度按如下原则：如果《基金合同》生效少于2个月，可以并入下一个会计年度</w:t>
      </w:r>
      <w:r>
        <w:rPr>
          <w:rFonts w:asciiTheme="minorEastAsia" w:eastAsiaTheme="minorEastAsia" w:hAnsiTheme="minorEastAsia" w:cs="Arial" w:hint="eastAsia"/>
          <w:kern w:val="0"/>
          <w:sz w:val="24"/>
          <w:szCs w:val="24"/>
        </w:rPr>
        <w:t>披露</w:t>
      </w:r>
      <w:r>
        <w:rPr>
          <w:rFonts w:asciiTheme="minorEastAsia" w:eastAsiaTheme="minorEastAsia" w:hAnsiTheme="minorEastAsia" w:cs="Arial"/>
          <w:kern w:val="0"/>
          <w:sz w:val="24"/>
          <w:szCs w:val="24"/>
        </w:rPr>
        <w:t>；</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3、基金核算以人民币为记账本位币，以人民币元为记账单位；</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4、会计制度执行国家有关会计制度；</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5、本基金独立建账、独立核算；</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6、基金管理人及基金托管人各自保留完整的会计账目、凭证并进行日常的会计核算，按照有关规定编制基金会计报表；</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7、基金托管人每月与基金管理人就基金的会计核算、报表编制等进行核对并以</w:t>
      </w:r>
      <w:r>
        <w:rPr>
          <w:rFonts w:asciiTheme="minorEastAsia" w:eastAsiaTheme="minorEastAsia" w:hAnsiTheme="minorEastAsia" w:cs="Arial" w:hint="eastAsia"/>
          <w:kern w:val="0"/>
          <w:sz w:val="24"/>
          <w:szCs w:val="24"/>
        </w:rPr>
        <w:t>书面方式</w:t>
      </w:r>
      <w:r>
        <w:rPr>
          <w:rFonts w:asciiTheme="minorEastAsia" w:eastAsiaTheme="minorEastAsia" w:hAnsiTheme="minorEastAsia" w:cs="Arial"/>
          <w:kern w:val="0"/>
          <w:sz w:val="24"/>
          <w:szCs w:val="24"/>
        </w:rPr>
        <w:t>确认。</w:t>
      </w:r>
    </w:p>
    <w:p w:rsidR="00572ECF" w:rsidRDefault="00915AEA">
      <w:pPr>
        <w:spacing w:line="360" w:lineRule="auto"/>
        <w:ind w:firstLineChars="200" w:firstLine="482"/>
        <w:rPr>
          <w:rFonts w:asciiTheme="minorEastAsia" w:eastAsiaTheme="minorEastAsia" w:hAnsiTheme="minorEastAsia"/>
          <w:b/>
          <w:bCs/>
          <w:sz w:val="24"/>
          <w:szCs w:val="24"/>
        </w:rPr>
      </w:pPr>
      <w:r>
        <w:rPr>
          <w:rFonts w:asciiTheme="minorEastAsia" w:eastAsiaTheme="minorEastAsia" w:hAnsiTheme="minorEastAsia"/>
          <w:b/>
          <w:bCs/>
          <w:sz w:val="24"/>
          <w:szCs w:val="24"/>
        </w:rPr>
        <w:t>二、基金的年度审计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1、基金管理人聘请与基金管理人、基金托管人相互独立的具有证券从业资格的会计师事务所及其注册会计师对本基金的年度财务报表进行审计。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2、会计师事务所更换经办注册会计师，应事先征得基金管理人同意。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bookmarkStart w:id="128" w:name="_Hlt4221115"/>
      <w:bookmarkEnd w:id="128"/>
      <w:r>
        <w:rPr>
          <w:rFonts w:asciiTheme="minorEastAsia" w:eastAsiaTheme="minorEastAsia" w:hAnsiTheme="minorEastAsia" w:cs="Arial"/>
          <w:kern w:val="0"/>
          <w:sz w:val="24"/>
          <w:szCs w:val="24"/>
        </w:rPr>
        <w:t>基金管理人认为有充足理由更换会计师事务所，须通报基金托管人。更换会计师事务所需在2日内在</w:t>
      </w:r>
      <w:r>
        <w:rPr>
          <w:rFonts w:asciiTheme="minorEastAsia" w:eastAsiaTheme="minorEastAsia" w:hAnsiTheme="minorEastAsia" w:cs="Arial" w:hint="eastAsia"/>
          <w:kern w:val="0"/>
          <w:sz w:val="24"/>
          <w:szCs w:val="24"/>
        </w:rPr>
        <w:t>指定媒介</w:t>
      </w:r>
      <w:r>
        <w:rPr>
          <w:rFonts w:asciiTheme="minorEastAsia" w:eastAsiaTheme="minorEastAsia" w:hAnsiTheme="minorEastAsia" w:cs="Arial"/>
          <w:kern w:val="0"/>
          <w:sz w:val="24"/>
          <w:szCs w:val="24"/>
        </w:rPr>
        <w:t>公告并报中国证监会备案。</w:t>
      </w:r>
    </w:p>
    <w:p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rsidR="00787A97" w:rsidRDefault="00787A97">
      <w:pPr>
        <w:adjustRightInd w:val="0"/>
        <w:snapToGrid w:val="0"/>
        <w:spacing w:line="360" w:lineRule="auto"/>
        <w:ind w:firstLineChars="200" w:firstLine="480"/>
        <w:rPr>
          <w:rFonts w:asciiTheme="minorEastAsia" w:eastAsiaTheme="minorEastAsia" w:hAnsiTheme="minorEastAsia" w:cs="Arial"/>
          <w:kern w:val="0"/>
          <w:sz w:val="24"/>
          <w:szCs w:val="24"/>
        </w:rPr>
      </w:pPr>
    </w:p>
    <w:p w:rsidR="00787A97" w:rsidRDefault="00787A97">
      <w:pPr>
        <w:adjustRightInd w:val="0"/>
        <w:snapToGrid w:val="0"/>
        <w:spacing w:line="360" w:lineRule="auto"/>
        <w:ind w:firstLineChars="200" w:firstLine="480"/>
        <w:rPr>
          <w:rFonts w:asciiTheme="minorEastAsia" w:eastAsiaTheme="minorEastAsia" w:hAnsiTheme="minorEastAsia"/>
          <w:bCs/>
          <w:sz w:val="24"/>
          <w:szCs w:val="24"/>
        </w:rPr>
      </w:pPr>
    </w:p>
    <w:p w:rsidR="00572ECF" w:rsidRPr="003100C8" w:rsidRDefault="00915AEA" w:rsidP="00B2071A">
      <w:pPr>
        <w:pStyle w:val="1"/>
        <w:snapToGrid w:val="0"/>
        <w:spacing w:before="0" w:after="0" w:line="360" w:lineRule="auto"/>
        <w:ind w:firstLine="452"/>
        <w:rPr>
          <w:rFonts w:ascii="Arial Unicode MS" w:eastAsia="宋体" w:hAnsi="Arial Unicode MS"/>
          <w:b/>
          <w:sz w:val="30"/>
          <w:szCs w:val="30"/>
          <w:lang w:val="en-US"/>
        </w:rPr>
      </w:pPr>
      <w:bookmarkStart w:id="129" w:name="_Toc320887654"/>
      <w:bookmarkStart w:id="130" w:name="_Toc386115312"/>
      <w:bookmarkStart w:id="131" w:name="_Toc317088549"/>
      <w:bookmarkStart w:id="132" w:name="_Toc335232703"/>
      <w:bookmarkStart w:id="133" w:name="_Toc317088152"/>
      <w:bookmarkStart w:id="134" w:name="_Toc527466005"/>
      <w:r>
        <w:rPr>
          <w:rFonts w:ascii="Arial Unicode MS" w:eastAsia="宋体" w:hAnsi="Arial Unicode MS" w:hint="eastAsia"/>
          <w:b/>
          <w:sz w:val="30"/>
          <w:szCs w:val="30"/>
        </w:rPr>
        <w:lastRenderedPageBreak/>
        <w:t>第十五部分</w:t>
      </w:r>
      <w:r w:rsidRPr="003100C8">
        <w:rPr>
          <w:rFonts w:ascii="Arial Unicode MS" w:eastAsia="宋体" w:hAnsi="Arial Unicode MS"/>
          <w:b/>
          <w:sz w:val="30"/>
          <w:szCs w:val="30"/>
          <w:lang w:val="en-US"/>
        </w:rPr>
        <w:t xml:space="preserve">  </w:t>
      </w:r>
      <w:r>
        <w:rPr>
          <w:rFonts w:ascii="Arial Unicode MS" w:eastAsia="宋体" w:hAnsi="Arial Unicode MS" w:hint="eastAsia"/>
          <w:b/>
          <w:sz w:val="30"/>
          <w:szCs w:val="30"/>
        </w:rPr>
        <w:t>基金的信息披露</w:t>
      </w:r>
      <w:bookmarkEnd w:id="129"/>
      <w:bookmarkEnd w:id="130"/>
      <w:bookmarkEnd w:id="131"/>
      <w:bookmarkEnd w:id="132"/>
      <w:bookmarkEnd w:id="133"/>
      <w:bookmarkEnd w:id="134"/>
    </w:p>
    <w:p w:rsidR="00572ECF" w:rsidRPr="003100C8" w:rsidRDefault="00572ECF">
      <w:pPr>
        <w:rPr>
          <w:rFonts w:ascii="Arial Unicode MS" w:hAnsi="Arial Unicode MS"/>
        </w:rPr>
      </w:pPr>
    </w:p>
    <w:p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一、本基金的信息披露应符合《基金法》、《运作办法》、《信息披露办法》、《基金合同》及其他有关规定。相关法律法规关于信息披露的规定发生变化时，本基金从其最新规定。</w:t>
      </w:r>
    </w:p>
    <w:p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二、信息披露义务人</w:t>
      </w:r>
    </w:p>
    <w:p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本基金信息披露义务人包括基金管理人、基金托管人、召集基金份额持有人大会的基金份额持有人等法律法规和中国证监会规定的自然人、法人和其他组织。</w:t>
      </w:r>
    </w:p>
    <w:p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本基金信息披露义务人按照法律法规和中国证监会的规定披露基金信息，并保证所披露信息的真实性、准确性和完整性。</w:t>
      </w:r>
    </w:p>
    <w:p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三、本基金信息披露义务人承诺公开披露的基金信息，不得有下列行为：</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1、虚假记载、误导性陈述或者重大遗漏；</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2、对证券投资业绩进行预测；</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3、违规承诺收益或者承担损失；</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4、诋毁其他基金管理人、基金托管人或者基金销售机构；</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5、登载任何自然人、法人或者其他组织的祝贺性、恭维性或推荐性的文字；</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6、中国证监会禁止的其他行为。</w:t>
      </w:r>
    </w:p>
    <w:p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四、本基金公开披露的信息应采用中文文本。如同时采用外文文本的，基金信息披露义务人应保证两种文本的内容一致。两种文本发生歧义的，以中文文本为准。</w:t>
      </w:r>
    </w:p>
    <w:p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本基金公开披露的信息采用阿拉伯数字；除特别说明外，货币单位为人民币元。</w:t>
      </w:r>
    </w:p>
    <w:p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五、公开披露的基金信息</w:t>
      </w:r>
    </w:p>
    <w:p w:rsidR="00572ECF" w:rsidRDefault="00915AEA">
      <w:pPr>
        <w:spacing w:line="360" w:lineRule="auto"/>
        <w:ind w:firstLineChars="200" w:firstLine="480"/>
        <w:rPr>
          <w:bCs/>
          <w:sz w:val="24"/>
        </w:rPr>
      </w:pPr>
      <w:r>
        <w:rPr>
          <w:rFonts w:hint="eastAsia"/>
          <w:bCs/>
          <w:sz w:val="24"/>
        </w:rPr>
        <w:t>公开披露的基金信息包括：</w:t>
      </w:r>
    </w:p>
    <w:p w:rsidR="00572ECF" w:rsidRDefault="00915AEA">
      <w:pPr>
        <w:spacing w:line="360" w:lineRule="auto"/>
        <w:ind w:firstLineChars="200" w:firstLine="480"/>
        <w:rPr>
          <w:bCs/>
          <w:sz w:val="24"/>
        </w:rPr>
      </w:pPr>
      <w:r>
        <w:rPr>
          <w:rFonts w:hint="eastAsia"/>
          <w:bCs/>
          <w:sz w:val="24"/>
        </w:rPr>
        <w:t>（一）基金招募说明书、《基金合同》、基金托管协议</w:t>
      </w:r>
    </w:p>
    <w:p w:rsidR="00572ECF" w:rsidRDefault="00915AEA">
      <w:pPr>
        <w:spacing w:line="360" w:lineRule="auto"/>
        <w:ind w:firstLineChars="200" w:firstLine="480"/>
        <w:rPr>
          <w:bCs/>
          <w:sz w:val="24"/>
        </w:rPr>
      </w:pPr>
      <w:r>
        <w:rPr>
          <w:bCs/>
          <w:sz w:val="24"/>
        </w:rPr>
        <w:lastRenderedPageBreak/>
        <w:t>1</w:t>
      </w:r>
      <w:r>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rsidR="00572ECF" w:rsidRDefault="00915AEA">
      <w:pPr>
        <w:spacing w:line="360" w:lineRule="auto"/>
        <w:ind w:firstLineChars="200" w:firstLine="480"/>
        <w:rPr>
          <w:bCs/>
          <w:sz w:val="24"/>
        </w:rPr>
      </w:pPr>
      <w:r>
        <w:rPr>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管理人在每</w:t>
      </w:r>
      <w:r>
        <w:rPr>
          <w:bCs/>
          <w:sz w:val="24"/>
        </w:rPr>
        <w:t>6</w:t>
      </w:r>
      <w:r>
        <w:rPr>
          <w:rFonts w:hint="eastAsia"/>
          <w:bCs/>
          <w:sz w:val="24"/>
        </w:rPr>
        <w:t>个月结束之日起</w:t>
      </w:r>
      <w:r>
        <w:rPr>
          <w:bCs/>
          <w:sz w:val="24"/>
        </w:rPr>
        <w:t>45</w:t>
      </w:r>
      <w:r>
        <w:rPr>
          <w:rFonts w:hint="eastAsia"/>
          <w:bCs/>
          <w:sz w:val="24"/>
        </w:rPr>
        <w:t>日内，更新招募说明书并登载在网站上，将更新后的招募说明书摘要登载在指定媒介上；基金管理人在公告的</w:t>
      </w:r>
      <w:r>
        <w:rPr>
          <w:bCs/>
          <w:sz w:val="24"/>
        </w:rPr>
        <w:t>15</w:t>
      </w:r>
      <w:r>
        <w:rPr>
          <w:rFonts w:hint="eastAsia"/>
          <w:bCs/>
          <w:sz w:val="24"/>
        </w:rPr>
        <w:t>日前向主要办公场所所在地的中国证监会派出机构报送更新的招募说明书，并就有关更新内容提供书面说明。</w:t>
      </w:r>
    </w:p>
    <w:p w:rsidR="00572ECF" w:rsidRDefault="00915AEA">
      <w:pPr>
        <w:spacing w:line="360" w:lineRule="auto"/>
        <w:ind w:firstLineChars="200" w:firstLine="480"/>
        <w:rPr>
          <w:bCs/>
          <w:sz w:val="24"/>
        </w:rPr>
      </w:pPr>
      <w:r>
        <w:rPr>
          <w:bCs/>
          <w:sz w:val="24"/>
        </w:rPr>
        <w:t>3</w:t>
      </w:r>
      <w:r>
        <w:rPr>
          <w:rFonts w:hint="eastAsia"/>
          <w:bCs/>
          <w:sz w:val="24"/>
        </w:rPr>
        <w:t>、基金托管协议是界定基金托管人和基金管理人在基金财产保管及基金运作监督等活动中的权利、义务关系的法律文件。</w:t>
      </w:r>
    </w:p>
    <w:p w:rsidR="00572ECF" w:rsidRDefault="00915AEA">
      <w:pPr>
        <w:spacing w:line="360" w:lineRule="auto"/>
        <w:ind w:firstLineChars="200" w:firstLine="480"/>
        <w:rPr>
          <w:bCs/>
          <w:sz w:val="24"/>
        </w:rPr>
      </w:pPr>
      <w:r>
        <w:rPr>
          <w:rFonts w:hint="eastAsia"/>
          <w:bCs/>
          <w:sz w:val="24"/>
        </w:rPr>
        <w:t>基金募集申请经中国证监会注册后，基金管理人在基金份额发售的</w:t>
      </w:r>
      <w:r>
        <w:rPr>
          <w:bCs/>
          <w:sz w:val="24"/>
        </w:rPr>
        <w:t>3</w:t>
      </w:r>
      <w:r>
        <w:rPr>
          <w:rFonts w:hint="eastAsia"/>
          <w:bCs/>
          <w:sz w:val="24"/>
        </w:rPr>
        <w:t>日前，将基金招募说明书、《基金合同》摘要登载在指定媒介上；基金管理人、基金托管人应当将《基金合同》、基金托管协议登载在网站上。</w:t>
      </w:r>
    </w:p>
    <w:p w:rsidR="00572ECF" w:rsidRDefault="00915AEA">
      <w:pPr>
        <w:spacing w:line="360" w:lineRule="auto"/>
        <w:ind w:firstLineChars="200" w:firstLine="480"/>
        <w:rPr>
          <w:bCs/>
          <w:sz w:val="24"/>
        </w:rPr>
      </w:pPr>
      <w:r>
        <w:rPr>
          <w:rFonts w:hint="eastAsia"/>
          <w:bCs/>
          <w:sz w:val="24"/>
        </w:rPr>
        <w:t>（二）基金份额发售公告</w:t>
      </w:r>
    </w:p>
    <w:p w:rsidR="00572ECF" w:rsidRDefault="00915AEA">
      <w:pPr>
        <w:spacing w:line="360" w:lineRule="auto"/>
        <w:ind w:firstLineChars="200" w:firstLine="480"/>
        <w:rPr>
          <w:bCs/>
          <w:sz w:val="24"/>
        </w:rPr>
      </w:pPr>
      <w:r>
        <w:rPr>
          <w:rFonts w:hint="eastAsia"/>
          <w:bCs/>
          <w:sz w:val="24"/>
        </w:rPr>
        <w:t>基金管理人应当就基金份额发售的具体事宜编制基金份额发售公告，并在披露招募说明书的当日登载于指定媒介上。</w:t>
      </w:r>
    </w:p>
    <w:p w:rsidR="00572ECF" w:rsidRDefault="00915AEA">
      <w:pPr>
        <w:spacing w:line="360" w:lineRule="auto"/>
        <w:ind w:firstLineChars="200" w:firstLine="480"/>
        <w:rPr>
          <w:bCs/>
          <w:sz w:val="24"/>
        </w:rPr>
      </w:pPr>
      <w:r>
        <w:rPr>
          <w:rFonts w:hint="eastAsia"/>
          <w:bCs/>
          <w:sz w:val="24"/>
        </w:rPr>
        <w:t>（三）《基金合同》生效公告</w:t>
      </w:r>
    </w:p>
    <w:p w:rsidR="00572ECF" w:rsidRDefault="00915AEA">
      <w:pPr>
        <w:spacing w:line="360" w:lineRule="auto"/>
        <w:ind w:firstLineChars="200" w:firstLine="480"/>
        <w:rPr>
          <w:bCs/>
          <w:sz w:val="24"/>
        </w:rPr>
      </w:pPr>
      <w:r>
        <w:rPr>
          <w:rFonts w:hint="eastAsia"/>
          <w:bCs/>
          <w:sz w:val="24"/>
        </w:rPr>
        <w:t>基金管理人应当在收到中国证监会确认文件的次日在指定媒介上登载《基金合同》生效公告。</w:t>
      </w:r>
    </w:p>
    <w:p w:rsidR="00572ECF" w:rsidRDefault="00915AEA">
      <w:pPr>
        <w:spacing w:line="360" w:lineRule="auto"/>
        <w:ind w:firstLineChars="200" w:firstLine="480"/>
        <w:rPr>
          <w:bCs/>
          <w:sz w:val="24"/>
        </w:rPr>
      </w:pPr>
      <w:r>
        <w:rPr>
          <w:rFonts w:hint="eastAsia"/>
          <w:bCs/>
          <w:sz w:val="24"/>
        </w:rPr>
        <w:t>（四）基金资产净值、基金份额净值</w:t>
      </w:r>
    </w:p>
    <w:p w:rsidR="00572ECF" w:rsidRDefault="00915AEA">
      <w:pPr>
        <w:spacing w:line="360" w:lineRule="auto"/>
        <w:ind w:firstLineChars="200" w:firstLine="480"/>
        <w:rPr>
          <w:bCs/>
          <w:sz w:val="24"/>
        </w:rPr>
      </w:pPr>
      <w:r>
        <w:rPr>
          <w:rFonts w:hint="eastAsia"/>
          <w:bCs/>
          <w:sz w:val="24"/>
        </w:rPr>
        <w:t>《基金合同》生效后，在开始办理基金份额申购或者赎回前，基金管理人应当至少每周公告一次基金资产净值和基金份额净值。</w:t>
      </w:r>
    </w:p>
    <w:p w:rsidR="00572ECF" w:rsidRDefault="00915AEA">
      <w:pPr>
        <w:spacing w:line="360" w:lineRule="auto"/>
        <w:ind w:firstLineChars="200" w:firstLine="480"/>
        <w:rPr>
          <w:bCs/>
          <w:sz w:val="24"/>
        </w:rPr>
      </w:pPr>
      <w:r>
        <w:rPr>
          <w:rFonts w:hint="eastAsia"/>
          <w:bCs/>
          <w:sz w:val="24"/>
        </w:rPr>
        <w:t>在开始办理基金份额申购或者赎回后，在基金每个开放日的次日，基金管理人应通过网站、基金份额发售网点以及其他媒介，披露开放日的各类基金份额净值和各类基金份额累计净值。</w:t>
      </w:r>
    </w:p>
    <w:p w:rsidR="00572ECF" w:rsidRDefault="00915AEA">
      <w:pPr>
        <w:spacing w:line="360" w:lineRule="auto"/>
        <w:ind w:firstLineChars="200" w:firstLine="480"/>
        <w:rPr>
          <w:bCs/>
          <w:sz w:val="24"/>
        </w:rPr>
      </w:pPr>
      <w:r>
        <w:rPr>
          <w:rFonts w:hint="eastAsia"/>
          <w:bCs/>
          <w:sz w:val="24"/>
        </w:rPr>
        <w:t>基金管理人应当公告半年度和年度最后一个市场交易日基金资产净值和各类基金份额净值。基金管理人应当在前款规定的市场交易日的次日，将基金资产净值、各类基金份额净值和各类基金份额累计净值登载在指定媒介上。</w:t>
      </w:r>
    </w:p>
    <w:p w:rsidR="00572ECF" w:rsidRDefault="00915AEA">
      <w:pPr>
        <w:spacing w:line="360" w:lineRule="auto"/>
        <w:ind w:firstLineChars="200" w:firstLine="480"/>
        <w:rPr>
          <w:bCs/>
          <w:sz w:val="24"/>
        </w:rPr>
      </w:pPr>
      <w:r>
        <w:rPr>
          <w:rFonts w:hint="eastAsia"/>
          <w:bCs/>
          <w:sz w:val="24"/>
        </w:rPr>
        <w:t>（五）基金份额申购、赎回价格</w:t>
      </w:r>
    </w:p>
    <w:p w:rsidR="00572ECF" w:rsidRDefault="00915AEA">
      <w:pPr>
        <w:spacing w:line="360" w:lineRule="auto"/>
        <w:ind w:firstLineChars="200" w:firstLine="480"/>
        <w:rPr>
          <w:bCs/>
          <w:sz w:val="24"/>
        </w:rPr>
      </w:pPr>
      <w:r>
        <w:rPr>
          <w:rFonts w:hint="eastAsia"/>
          <w:bCs/>
          <w:sz w:val="24"/>
        </w:rPr>
        <w:lastRenderedPageBreak/>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份额申购、赎回价格的计算方式及有关申购、赎回费率，并保证投资者能够在基金份额发售网点查阅或者复制前述信息资料。</w:t>
      </w:r>
    </w:p>
    <w:p w:rsidR="00572ECF" w:rsidRDefault="00915AEA">
      <w:pPr>
        <w:spacing w:line="360" w:lineRule="auto"/>
        <w:ind w:firstLineChars="200" w:firstLine="480"/>
        <w:rPr>
          <w:bCs/>
          <w:sz w:val="24"/>
        </w:rPr>
      </w:pPr>
      <w:r>
        <w:rPr>
          <w:rFonts w:hint="eastAsia"/>
          <w:bCs/>
          <w:sz w:val="24"/>
        </w:rPr>
        <w:t>（六）基金定期报告，包括基金年度报告、基金半年度报告和基金季度报告</w:t>
      </w:r>
    </w:p>
    <w:p w:rsidR="00572ECF" w:rsidRDefault="00915AEA">
      <w:pPr>
        <w:spacing w:line="360" w:lineRule="auto"/>
        <w:ind w:firstLineChars="200" w:firstLine="480"/>
        <w:rPr>
          <w:bCs/>
          <w:sz w:val="24"/>
        </w:rPr>
      </w:pPr>
      <w:r>
        <w:rPr>
          <w:rFonts w:hint="eastAsia"/>
          <w:bCs/>
          <w:sz w:val="24"/>
        </w:rPr>
        <w:t>基金管理人应当在每年结束之日起</w:t>
      </w:r>
      <w:r>
        <w:rPr>
          <w:bCs/>
          <w:sz w:val="24"/>
        </w:rPr>
        <w:t>90</w:t>
      </w:r>
      <w:r>
        <w:rPr>
          <w:rFonts w:hint="eastAsia"/>
          <w:bCs/>
          <w:sz w:val="24"/>
        </w:rPr>
        <w:t>日内，编制完成基金年度报告，并将年度报告正文登载于网站上，将年度报告摘要登载在指定媒介上。基金年度报告的财务会计报告应当经过审计。</w:t>
      </w:r>
    </w:p>
    <w:p w:rsidR="00572ECF" w:rsidRDefault="00915AEA">
      <w:pPr>
        <w:spacing w:line="360" w:lineRule="auto"/>
        <w:ind w:firstLineChars="200" w:firstLine="480"/>
        <w:rPr>
          <w:bCs/>
          <w:sz w:val="24"/>
        </w:rPr>
      </w:pPr>
      <w:r>
        <w:rPr>
          <w:rFonts w:hint="eastAsia"/>
          <w:bCs/>
          <w:sz w:val="24"/>
        </w:rPr>
        <w:t>基金管理人应当在上半年结束之日起</w:t>
      </w:r>
      <w:r>
        <w:rPr>
          <w:bCs/>
          <w:sz w:val="24"/>
        </w:rPr>
        <w:t>60</w:t>
      </w:r>
      <w:r>
        <w:rPr>
          <w:rFonts w:hint="eastAsia"/>
          <w:bCs/>
          <w:sz w:val="24"/>
        </w:rPr>
        <w:t>日内，编制完成基金半年度报告，并将半年度报告正文登载在网站上，将半年度报告摘要登载在指定媒介上。</w:t>
      </w:r>
    </w:p>
    <w:p w:rsidR="00572ECF" w:rsidRDefault="00915AEA">
      <w:pPr>
        <w:spacing w:line="360" w:lineRule="auto"/>
        <w:ind w:firstLineChars="200" w:firstLine="480"/>
        <w:rPr>
          <w:bCs/>
          <w:sz w:val="24"/>
        </w:rPr>
      </w:pPr>
      <w:r>
        <w:rPr>
          <w:rFonts w:hint="eastAsia"/>
          <w:bCs/>
          <w:sz w:val="24"/>
        </w:rPr>
        <w:t>基金管理人应当在每个季度结束之日起</w:t>
      </w:r>
      <w:r>
        <w:rPr>
          <w:bCs/>
          <w:sz w:val="24"/>
        </w:rPr>
        <w:t>15</w:t>
      </w:r>
      <w:r>
        <w:rPr>
          <w:rFonts w:hint="eastAsia"/>
          <w:bCs/>
          <w:sz w:val="24"/>
        </w:rPr>
        <w:t>个工作日内，编制完成基金季度报告，并将季度报告登载在指定媒介上。</w:t>
      </w:r>
    </w:p>
    <w:p w:rsidR="00572ECF" w:rsidRDefault="00915AEA">
      <w:pPr>
        <w:spacing w:line="360" w:lineRule="auto"/>
        <w:ind w:firstLineChars="200" w:firstLine="480"/>
        <w:rPr>
          <w:bCs/>
          <w:sz w:val="24"/>
        </w:rPr>
      </w:pPr>
      <w:r>
        <w:rPr>
          <w:rFonts w:hint="eastAsia"/>
          <w:bCs/>
          <w:sz w:val="24"/>
        </w:rPr>
        <w:t>《基金合同》生效不足</w:t>
      </w:r>
      <w:r>
        <w:rPr>
          <w:bCs/>
          <w:sz w:val="24"/>
        </w:rPr>
        <w:t>2</w:t>
      </w:r>
      <w:r>
        <w:rPr>
          <w:rFonts w:hint="eastAsia"/>
          <w:bCs/>
          <w:sz w:val="24"/>
        </w:rPr>
        <w:t>个月的，基金管理人可以不编制当期季度报告、半年度报告或者年度报告。</w:t>
      </w:r>
    </w:p>
    <w:p w:rsidR="00572ECF" w:rsidRDefault="00915AEA">
      <w:pPr>
        <w:spacing w:line="360" w:lineRule="auto"/>
        <w:ind w:firstLineChars="200" w:firstLine="480"/>
        <w:rPr>
          <w:bCs/>
          <w:sz w:val="24"/>
        </w:rPr>
      </w:pPr>
      <w:r>
        <w:rPr>
          <w:rFonts w:hint="eastAsia"/>
          <w:bCs/>
          <w:sz w:val="24"/>
        </w:rPr>
        <w:t>基金定期报告在公开披露的第</w:t>
      </w:r>
      <w:r>
        <w:rPr>
          <w:bCs/>
          <w:sz w:val="24"/>
        </w:rPr>
        <w:t>2</w:t>
      </w:r>
      <w:r>
        <w:rPr>
          <w:rFonts w:hint="eastAsia"/>
          <w:bCs/>
          <w:sz w:val="24"/>
        </w:rPr>
        <w:t>个工作日，分别报中国证监会和基金管理人主要办公场所所在地中国证监会派出机构备案。报备应当采用电子文本或书面报告方式。</w:t>
      </w:r>
    </w:p>
    <w:p w:rsidR="00572ECF" w:rsidRDefault="00915AEA">
      <w:pPr>
        <w:spacing w:line="360" w:lineRule="auto"/>
        <w:ind w:firstLineChars="200" w:firstLine="480"/>
        <w:rPr>
          <w:rFonts w:asciiTheme="minorEastAsia" w:eastAsiaTheme="minorEastAsia" w:hAnsiTheme="minorEastAsia"/>
          <w:bCs/>
          <w:color w:val="000000"/>
          <w:sz w:val="24"/>
          <w:szCs w:val="24"/>
          <w:shd w:val="clear" w:color="auto" w:fill="FFFFFF"/>
        </w:rPr>
      </w:pPr>
      <w:r>
        <w:rPr>
          <w:rFonts w:asciiTheme="minorEastAsia" w:eastAsiaTheme="minorEastAsia" w:hAnsiTheme="minorEastAsia" w:hint="eastAsia"/>
          <w:bCs/>
          <w:color w:val="000000"/>
          <w:sz w:val="24"/>
          <w:szCs w:val="24"/>
          <w:shd w:val="clear" w:color="auto" w:fill="FFFFFF"/>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rsidR="00572ECF" w:rsidRDefault="00915AEA">
      <w:pPr>
        <w:spacing w:line="360"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color w:val="000000"/>
          <w:sz w:val="24"/>
          <w:szCs w:val="24"/>
          <w:shd w:val="clear" w:color="auto" w:fill="FFFFFF"/>
        </w:rPr>
        <w:t>本基金持续运作过程中，应当在基金年度报告和半年度报告中披露基金组合资产情况及其流动性风险分析等</w:t>
      </w:r>
      <w:r>
        <w:rPr>
          <w:rFonts w:asciiTheme="minorEastAsia" w:eastAsiaTheme="minorEastAsia" w:hAnsiTheme="minorEastAsia"/>
          <w:bCs/>
          <w:color w:val="000000"/>
          <w:sz w:val="24"/>
          <w:szCs w:val="24"/>
          <w:shd w:val="clear" w:color="auto" w:fill="FFFFFF"/>
        </w:rPr>
        <w:t>。</w:t>
      </w:r>
    </w:p>
    <w:p w:rsidR="00572ECF" w:rsidRDefault="00915AEA">
      <w:pPr>
        <w:ind w:firstLineChars="200" w:firstLine="480"/>
        <w:rPr>
          <w:bCs/>
          <w:sz w:val="24"/>
        </w:rPr>
      </w:pPr>
      <w:r>
        <w:rPr>
          <w:rFonts w:hint="eastAsia"/>
          <w:bCs/>
          <w:sz w:val="24"/>
        </w:rPr>
        <w:t>（七）临时报告</w:t>
      </w:r>
    </w:p>
    <w:p w:rsidR="00572ECF" w:rsidRPr="00787A97" w:rsidRDefault="00915AEA" w:rsidP="00B2236E">
      <w:pPr>
        <w:spacing w:line="360" w:lineRule="auto"/>
        <w:ind w:firstLineChars="200" w:firstLine="480"/>
        <w:rPr>
          <w:rFonts w:asciiTheme="minorEastAsia" w:eastAsiaTheme="minorEastAsia" w:hAnsiTheme="minorEastAsia"/>
          <w:bCs/>
          <w:color w:val="000000"/>
          <w:sz w:val="24"/>
          <w:szCs w:val="24"/>
          <w:shd w:val="clear" w:color="auto" w:fill="FFFFFF"/>
        </w:rPr>
      </w:pPr>
      <w:r w:rsidRPr="00787A97">
        <w:rPr>
          <w:rFonts w:asciiTheme="minorEastAsia" w:eastAsiaTheme="minorEastAsia" w:hAnsiTheme="minorEastAsia" w:hint="eastAsia"/>
          <w:bCs/>
          <w:color w:val="000000"/>
          <w:sz w:val="24"/>
          <w:szCs w:val="24"/>
          <w:shd w:val="clear" w:color="auto" w:fill="FFFFFF"/>
        </w:rPr>
        <w:t>本基金发生重大事件，有关信息披露义务人应当在</w:t>
      </w:r>
      <w:r w:rsidRPr="00787A97">
        <w:rPr>
          <w:rFonts w:asciiTheme="minorEastAsia" w:eastAsiaTheme="minorEastAsia" w:hAnsiTheme="minorEastAsia"/>
          <w:bCs/>
          <w:color w:val="000000"/>
          <w:sz w:val="24"/>
          <w:szCs w:val="24"/>
          <w:shd w:val="clear" w:color="auto" w:fill="FFFFFF"/>
        </w:rPr>
        <w:t>2</w:t>
      </w:r>
      <w:r w:rsidRPr="00787A97">
        <w:rPr>
          <w:rFonts w:asciiTheme="minorEastAsia" w:eastAsiaTheme="minorEastAsia" w:hAnsiTheme="minorEastAsia" w:hint="eastAsia"/>
          <w:bCs/>
          <w:color w:val="000000"/>
          <w:sz w:val="24"/>
          <w:szCs w:val="24"/>
          <w:shd w:val="clear" w:color="auto" w:fill="FFFFFF"/>
        </w:rPr>
        <w:t>日内编制临时报告书，予以公告，并在公开披露日分别报中国证监会和基金管理人主要办公场所所在地的中国证监会派出机构备案。</w:t>
      </w:r>
    </w:p>
    <w:p w:rsidR="00572ECF" w:rsidRPr="00787A97" w:rsidRDefault="00915AEA" w:rsidP="00B2236E">
      <w:pPr>
        <w:spacing w:line="360" w:lineRule="auto"/>
        <w:ind w:firstLineChars="200" w:firstLine="480"/>
        <w:rPr>
          <w:rFonts w:asciiTheme="minorEastAsia" w:eastAsiaTheme="minorEastAsia" w:hAnsiTheme="minorEastAsia"/>
          <w:bCs/>
          <w:color w:val="000000"/>
          <w:sz w:val="24"/>
          <w:szCs w:val="24"/>
          <w:shd w:val="clear" w:color="auto" w:fill="FFFFFF"/>
        </w:rPr>
      </w:pPr>
      <w:r w:rsidRPr="00787A97">
        <w:rPr>
          <w:rFonts w:asciiTheme="minorEastAsia" w:eastAsiaTheme="minorEastAsia" w:hAnsiTheme="minorEastAsia" w:hint="eastAsia"/>
          <w:bCs/>
          <w:color w:val="000000"/>
          <w:sz w:val="24"/>
          <w:szCs w:val="24"/>
          <w:shd w:val="clear" w:color="auto" w:fill="FFFFFF"/>
        </w:rPr>
        <w:t>前款所称重大事件，是指可能对基金份额持有人权益或者基金份额的价格产生重大影响的下列事件：</w:t>
      </w:r>
    </w:p>
    <w:p w:rsidR="00572ECF" w:rsidRDefault="00915AEA">
      <w:pPr>
        <w:spacing w:line="360" w:lineRule="auto"/>
        <w:ind w:firstLineChars="200" w:firstLine="480"/>
        <w:rPr>
          <w:bCs/>
          <w:sz w:val="24"/>
        </w:rPr>
      </w:pPr>
      <w:r>
        <w:rPr>
          <w:bCs/>
          <w:sz w:val="24"/>
        </w:rPr>
        <w:t>1</w:t>
      </w:r>
      <w:r>
        <w:rPr>
          <w:rFonts w:hint="eastAsia"/>
          <w:bCs/>
          <w:sz w:val="24"/>
        </w:rPr>
        <w:t>、基金份额持有人大会的召开；</w:t>
      </w:r>
    </w:p>
    <w:p w:rsidR="00572ECF" w:rsidRDefault="00915AEA">
      <w:pPr>
        <w:spacing w:line="360" w:lineRule="auto"/>
        <w:ind w:firstLineChars="200" w:firstLine="480"/>
        <w:rPr>
          <w:bCs/>
          <w:sz w:val="24"/>
        </w:rPr>
      </w:pPr>
      <w:r>
        <w:rPr>
          <w:bCs/>
          <w:sz w:val="24"/>
        </w:rPr>
        <w:t>2</w:t>
      </w:r>
      <w:r>
        <w:rPr>
          <w:rFonts w:hint="eastAsia"/>
          <w:bCs/>
          <w:sz w:val="24"/>
        </w:rPr>
        <w:t>、终止《基金合同》；</w:t>
      </w:r>
    </w:p>
    <w:p w:rsidR="00572ECF" w:rsidRDefault="00915AEA">
      <w:pPr>
        <w:spacing w:line="360" w:lineRule="auto"/>
        <w:ind w:firstLineChars="200" w:firstLine="480"/>
        <w:rPr>
          <w:bCs/>
          <w:sz w:val="24"/>
        </w:rPr>
      </w:pPr>
      <w:r>
        <w:rPr>
          <w:bCs/>
          <w:sz w:val="24"/>
        </w:rPr>
        <w:lastRenderedPageBreak/>
        <w:t>3</w:t>
      </w:r>
      <w:r>
        <w:rPr>
          <w:rFonts w:hint="eastAsia"/>
          <w:bCs/>
          <w:sz w:val="24"/>
        </w:rPr>
        <w:t>、转换基金运作方式；</w:t>
      </w:r>
    </w:p>
    <w:p w:rsidR="00572ECF" w:rsidRDefault="00915AEA">
      <w:pPr>
        <w:spacing w:line="360" w:lineRule="auto"/>
        <w:ind w:firstLineChars="200" w:firstLine="480"/>
        <w:rPr>
          <w:bCs/>
          <w:sz w:val="24"/>
        </w:rPr>
      </w:pPr>
      <w:r>
        <w:rPr>
          <w:bCs/>
          <w:sz w:val="24"/>
        </w:rPr>
        <w:t>4</w:t>
      </w:r>
      <w:r>
        <w:rPr>
          <w:rFonts w:hint="eastAsia"/>
          <w:bCs/>
          <w:sz w:val="24"/>
        </w:rPr>
        <w:t>、更换基金管理人、基金托管人；</w:t>
      </w:r>
    </w:p>
    <w:p w:rsidR="00572ECF" w:rsidRDefault="00915AEA">
      <w:pPr>
        <w:spacing w:line="360" w:lineRule="auto"/>
        <w:ind w:firstLineChars="200" w:firstLine="480"/>
        <w:rPr>
          <w:bCs/>
          <w:sz w:val="24"/>
        </w:rPr>
      </w:pPr>
      <w:r>
        <w:rPr>
          <w:bCs/>
          <w:sz w:val="24"/>
        </w:rPr>
        <w:t>5</w:t>
      </w:r>
      <w:r>
        <w:rPr>
          <w:rFonts w:hint="eastAsia"/>
          <w:bCs/>
          <w:sz w:val="24"/>
        </w:rPr>
        <w:t>、基金管理人、基金托管人的法定名称、住所发生变更；</w:t>
      </w:r>
    </w:p>
    <w:p w:rsidR="00572ECF" w:rsidRDefault="00915AEA">
      <w:pPr>
        <w:spacing w:line="360" w:lineRule="auto"/>
        <w:ind w:firstLineChars="200" w:firstLine="480"/>
        <w:rPr>
          <w:bCs/>
          <w:sz w:val="24"/>
        </w:rPr>
      </w:pPr>
      <w:r>
        <w:rPr>
          <w:bCs/>
          <w:sz w:val="24"/>
        </w:rPr>
        <w:t>6</w:t>
      </w:r>
      <w:r>
        <w:rPr>
          <w:rFonts w:hint="eastAsia"/>
          <w:bCs/>
          <w:sz w:val="24"/>
        </w:rPr>
        <w:t>、基金管理</w:t>
      </w:r>
      <w:proofErr w:type="gramStart"/>
      <w:r>
        <w:rPr>
          <w:rFonts w:hint="eastAsia"/>
          <w:bCs/>
          <w:sz w:val="24"/>
        </w:rPr>
        <w:t>人股东</w:t>
      </w:r>
      <w:proofErr w:type="gramEnd"/>
      <w:r>
        <w:rPr>
          <w:rFonts w:hint="eastAsia"/>
          <w:bCs/>
          <w:sz w:val="24"/>
        </w:rPr>
        <w:t>及其出资比例发生变更；</w:t>
      </w:r>
    </w:p>
    <w:p w:rsidR="00572ECF" w:rsidRDefault="00915AEA">
      <w:pPr>
        <w:spacing w:line="360" w:lineRule="auto"/>
        <w:ind w:firstLineChars="200" w:firstLine="480"/>
        <w:rPr>
          <w:bCs/>
          <w:sz w:val="24"/>
        </w:rPr>
      </w:pPr>
      <w:r>
        <w:rPr>
          <w:bCs/>
          <w:sz w:val="24"/>
        </w:rPr>
        <w:t>7</w:t>
      </w:r>
      <w:r>
        <w:rPr>
          <w:rFonts w:hint="eastAsia"/>
          <w:bCs/>
          <w:sz w:val="24"/>
        </w:rPr>
        <w:t>、基金募集期延长；</w:t>
      </w:r>
    </w:p>
    <w:p w:rsidR="00572ECF" w:rsidRDefault="00915AEA">
      <w:pPr>
        <w:spacing w:line="360" w:lineRule="auto"/>
        <w:ind w:firstLineChars="200" w:firstLine="480"/>
        <w:rPr>
          <w:bCs/>
          <w:sz w:val="24"/>
        </w:rPr>
      </w:pPr>
      <w:r>
        <w:rPr>
          <w:bCs/>
          <w:sz w:val="24"/>
        </w:rPr>
        <w:t>8</w:t>
      </w:r>
      <w:r>
        <w:rPr>
          <w:rFonts w:hint="eastAsia"/>
          <w:bCs/>
          <w:sz w:val="24"/>
        </w:rPr>
        <w:t>、基金管理人的董事长、总经理及其他高级管理人员、基金经理和基金托管人基金托管部门负责人发生变动；</w:t>
      </w:r>
    </w:p>
    <w:p w:rsidR="00572ECF" w:rsidRDefault="00915AEA">
      <w:pPr>
        <w:spacing w:line="360" w:lineRule="auto"/>
        <w:ind w:firstLineChars="200" w:firstLine="480"/>
        <w:rPr>
          <w:bCs/>
          <w:sz w:val="24"/>
        </w:rPr>
      </w:pPr>
      <w:r>
        <w:rPr>
          <w:bCs/>
          <w:sz w:val="24"/>
        </w:rPr>
        <w:t>9</w:t>
      </w:r>
      <w:r>
        <w:rPr>
          <w:rFonts w:hint="eastAsia"/>
          <w:bCs/>
          <w:sz w:val="24"/>
        </w:rPr>
        <w:t>、基金管理人的董事在一年内变更超过百分之五十；</w:t>
      </w:r>
    </w:p>
    <w:p w:rsidR="00572ECF" w:rsidRDefault="00915AEA">
      <w:pPr>
        <w:spacing w:line="360" w:lineRule="auto"/>
        <w:ind w:firstLineChars="200" w:firstLine="480"/>
        <w:rPr>
          <w:bCs/>
          <w:sz w:val="24"/>
        </w:rPr>
      </w:pPr>
      <w:r>
        <w:rPr>
          <w:bCs/>
          <w:sz w:val="24"/>
        </w:rPr>
        <w:t>10</w:t>
      </w:r>
      <w:r>
        <w:rPr>
          <w:rFonts w:hint="eastAsia"/>
          <w:bCs/>
          <w:sz w:val="24"/>
        </w:rPr>
        <w:t>、基金管理人、基金托管人基金托管部门的主要业务人员在一年内变动超过百分之三十；</w:t>
      </w:r>
    </w:p>
    <w:p w:rsidR="00572ECF" w:rsidRDefault="00915AEA">
      <w:pPr>
        <w:spacing w:line="360" w:lineRule="auto"/>
        <w:ind w:firstLineChars="200" w:firstLine="480"/>
        <w:rPr>
          <w:bCs/>
          <w:sz w:val="24"/>
        </w:rPr>
      </w:pPr>
      <w:r>
        <w:rPr>
          <w:bCs/>
          <w:sz w:val="24"/>
        </w:rPr>
        <w:t>11</w:t>
      </w:r>
      <w:r>
        <w:rPr>
          <w:rFonts w:hint="eastAsia"/>
          <w:bCs/>
          <w:sz w:val="24"/>
        </w:rPr>
        <w:t>、涉及基金管理业务、基金财产、基金托管业务的诉讼或仲裁；</w:t>
      </w:r>
    </w:p>
    <w:p w:rsidR="00572ECF" w:rsidRDefault="00915AEA">
      <w:pPr>
        <w:spacing w:line="360" w:lineRule="auto"/>
        <w:ind w:firstLineChars="200" w:firstLine="480"/>
        <w:rPr>
          <w:bCs/>
          <w:sz w:val="24"/>
        </w:rPr>
      </w:pPr>
      <w:r>
        <w:rPr>
          <w:bCs/>
          <w:sz w:val="24"/>
        </w:rPr>
        <w:t>12</w:t>
      </w:r>
      <w:r>
        <w:rPr>
          <w:rFonts w:hint="eastAsia"/>
          <w:bCs/>
          <w:sz w:val="24"/>
        </w:rPr>
        <w:t>、基金管理人、基金托管人受到监管部门的调查；</w:t>
      </w:r>
    </w:p>
    <w:p w:rsidR="00572ECF" w:rsidRDefault="00915AEA">
      <w:pPr>
        <w:spacing w:line="360" w:lineRule="auto"/>
        <w:ind w:firstLineChars="200" w:firstLine="480"/>
        <w:rPr>
          <w:bCs/>
          <w:sz w:val="24"/>
        </w:rPr>
      </w:pPr>
      <w:r>
        <w:rPr>
          <w:bCs/>
          <w:sz w:val="24"/>
        </w:rPr>
        <w:t>13</w:t>
      </w:r>
      <w:r>
        <w:rPr>
          <w:rFonts w:hint="eastAsia"/>
          <w:bCs/>
          <w:sz w:val="24"/>
        </w:rPr>
        <w:t>、基金管理人及其董事、总经理及其他高级管理人员、基金经理受到严重行政处罚，基金托管人及其基金托管部门负责人受到严重行政处罚；</w:t>
      </w:r>
    </w:p>
    <w:p w:rsidR="00572ECF" w:rsidRDefault="00915AEA">
      <w:pPr>
        <w:spacing w:line="360" w:lineRule="auto"/>
        <w:ind w:firstLineChars="200" w:firstLine="480"/>
        <w:rPr>
          <w:bCs/>
          <w:sz w:val="24"/>
        </w:rPr>
      </w:pPr>
      <w:r>
        <w:rPr>
          <w:bCs/>
          <w:sz w:val="24"/>
        </w:rPr>
        <w:t>14</w:t>
      </w:r>
      <w:r>
        <w:rPr>
          <w:rFonts w:hint="eastAsia"/>
          <w:bCs/>
          <w:sz w:val="24"/>
        </w:rPr>
        <w:t>、重大关联交易事项；</w:t>
      </w:r>
    </w:p>
    <w:p w:rsidR="00572ECF" w:rsidRDefault="00915AEA">
      <w:pPr>
        <w:spacing w:line="360" w:lineRule="auto"/>
        <w:ind w:firstLineChars="200" w:firstLine="480"/>
        <w:rPr>
          <w:bCs/>
          <w:sz w:val="24"/>
        </w:rPr>
      </w:pPr>
      <w:r>
        <w:rPr>
          <w:bCs/>
          <w:sz w:val="24"/>
        </w:rPr>
        <w:t>15</w:t>
      </w:r>
      <w:r>
        <w:rPr>
          <w:rFonts w:hint="eastAsia"/>
          <w:bCs/>
          <w:sz w:val="24"/>
        </w:rPr>
        <w:t>、基金收益分配事项；</w:t>
      </w:r>
    </w:p>
    <w:p w:rsidR="00572ECF" w:rsidRDefault="00915AEA">
      <w:pPr>
        <w:spacing w:line="360" w:lineRule="auto"/>
        <w:ind w:firstLineChars="200" w:firstLine="480"/>
        <w:rPr>
          <w:bCs/>
          <w:sz w:val="24"/>
        </w:rPr>
      </w:pPr>
      <w:r>
        <w:rPr>
          <w:bCs/>
          <w:sz w:val="24"/>
        </w:rPr>
        <w:t>16</w:t>
      </w:r>
      <w:r>
        <w:rPr>
          <w:rFonts w:hint="eastAsia"/>
          <w:bCs/>
          <w:sz w:val="24"/>
        </w:rPr>
        <w:t>、管理费、托管费和销售服务费等费用计提标准、计提方式和费率发生变更；</w:t>
      </w:r>
    </w:p>
    <w:p w:rsidR="00572ECF" w:rsidRDefault="00915AEA">
      <w:pPr>
        <w:spacing w:line="360" w:lineRule="auto"/>
        <w:ind w:firstLineChars="200" w:firstLine="480"/>
        <w:rPr>
          <w:bCs/>
          <w:sz w:val="24"/>
        </w:rPr>
      </w:pPr>
      <w:r>
        <w:rPr>
          <w:bCs/>
          <w:sz w:val="24"/>
        </w:rPr>
        <w:t>17</w:t>
      </w:r>
      <w:r>
        <w:rPr>
          <w:rFonts w:hint="eastAsia"/>
          <w:bCs/>
          <w:sz w:val="24"/>
        </w:rPr>
        <w:t>、任一类基金份额净值计价错误达该类基金份额净值百分之零点五；</w:t>
      </w:r>
    </w:p>
    <w:p w:rsidR="00572ECF" w:rsidRDefault="00915AEA">
      <w:pPr>
        <w:spacing w:line="360" w:lineRule="auto"/>
        <w:ind w:firstLineChars="200" w:firstLine="480"/>
        <w:rPr>
          <w:bCs/>
          <w:sz w:val="24"/>
        </w:rPr>
      </w:pPr>
      <w:r>
        <w:rPr>
          <w:bCs/>
          <w:sz w:val="24"/>
        </w:rPr>
        <w:t>18</w:t>
      </w:r>
      <w:r>
        <w:rPr>
          <w:rFonts w:hint="eastAsia"/>
          <w:bCs/>
          <w:sz w:val="24"/>
        </w:rPr>
        <w:t>、基金改聘会计师事务所；</w:t>
      </w:r>
    </w:p>
    <w:p w:rsidR="00572ECF" w:rsidRDefault="00915AEA">
      <w:pPr>
        <w:spacing w:line="360" w:lineRule="auto"/>
        <w:ind w:firstLineChars="200" w:firstLine="480"/>
        <w:rPr>
          <w:bCs/>
          <w:sz w:val="24"/>
        </w:rPr>
      </w:pPr>
      <w:r>
        <w:rPr>
          <w:bCs/>
          <w:sz w:val="24"/>
        </w:rPr>
        <w:t>19</w:t>
      </w:r>
      <w:r>
        <w:rPr>
          <w:rFonts w:hint="eastAsia"/>
          <w:bCs/>
          <w:sz w:val="24"/>
        </w:rPr>
        <w:t>、变更基金销售机构；</w:t>
      </w:r>
    </w:p>
    <w:p w:rsidR="00572ECF" w:rsidRDefault="00915AEA">
      <w:pPr>
        <w:spacing w:line="360" w:lineRule="auto"/>
        <w:ind w:firstLineChars="200" w:firstLine="480"/>
        <w:rPr>
          <w:bCs/>
          <w:sz w:val="24"/>
        </w:rPr>
      </w:pPr>
      <w:r>
        <w:rPr>
          <w:bCs/>
          <w:sz w:val="24"/>
        </w:rPr>
        <w:t>20</w:t>
      </w:r>
      <w:r>
        <w:rPr>
          <w:rFonts w:hint="eastAsia"/>
          <w:bCs/>
          <w:sz w:val="24"/>
        </w:rPr>
        <w:t>、更换基金登记机构；</w:t>
      </w:r>
    </w:p>
    <w:p w:rsidR="00572ECF" w:rsidRDefault="00915AEA">
      <w:pPr>
        <w:spacing w:line="360" w:lineRule="auto"/>
        <w:ind w:firstLineChars="200" w:firstLine="480"/>
        <w:rPr>
          <w:bCs/>
          <w:sz w:val="24"/>
        </w:rPr>
      </w:pPr>
      <w:r>
        <w:rPr>
          <w:bCs/>
          <w:sz w:val="24"/>
        </w:rPr>
        <w:t>21</w:t>
      </w:r>
      <w:r>
        <w:rPr>
          <w:rFonts w:hint="eastAsia"/>
          <w:bCs/>
          <w:sz w:val="24"/>
        </w:rPr>
        <w:t>、本基金开始办理申购、赎回；</w:t>
      </w:r>
    </w:p>
    <w:p w:rsidR="00572ECF" w:rsidRDefault="00915AEA">
      <w:pPr>
        <w:spacing w:line="360" w:lineRule="auto"/>
        <w:ind w:firstLineChars="200" w:firstLine="480"/>
        <w:rPr>
          <w:bCs/>
          <w:sz w:val="24"/>
        </w:rPr>
      </w:pPr>
      <w:r>
        <w:rPr>
          <w:bCs/>
          <w:sz w:val="24"/>
        </w:rPr>
        <w:t>22</w:t>
      </w:r>
      <w:r>
        <w:rPr>
          <w:rFonts w:hint="eastAsia"/>
          <w:bCs/>
          <w:sz w:val="24"/>
        </w:rPr>
        <w:t>、本基金申购、赎回费率及其收费方式发生变更；</w:t>
      </w:r>
    </w:p>
    <w:p w:rsidR="00572ECF" w:rsidRDefault="00915AEA">
      <w:pPr>
        <w:spacing w:line="360" w:lineRule="auto"/>
        <w:ind w:firstLineChars="200" w:firstLine="480"/>
        <w:rPr>
          <w:bCs/>
          <w:sz w:val="24"/>
        </w:rPr>
      </w:pPr>
      <w:r>
        <w:rPr>
          <w:bCs/>
          <w:sz w:val="24"/>
        </w:rPr>
        <w:t>23</w:t>
      </w:r>
      <w:r>
        <w:rPr>
          <w:rFonts w:hint="eastAsia"/>
          <w:bCs/>
          <w:sz w:val="24"/>
        </w:rPr>
        <w:t>、本基金发生巨额赎回并延期办理；</w:t>
      </w:r>
    </w:p>
    <w:p w:rsidR="00572ECF" w:rsidRDefault="00915AEA">
      <w:pPr>
        <w:spacing w:line="360" w:lineRule="auto"/>
        <w:ind w:firstLineChars="200" w:firstLine="480"/>
        <w:rPr>
          <w:bCs/>
          <w:sz w:val="24"/>
        </w:rPr>
      </w:pPr>
      <w:r>
        <w:rPr>
          <w:bCs/>
          <w:sz w:val="24"/>
        </w:rPr>
        <w:t>24</w:t>
      </w:r>
      <w:r>
        <w:rPr>
          <w:rFonts w:hint="eastAsia"/>
          <w:bCs/>
          <w:sz w:val="24"/>
        </w:rPr>
        <w:t>、本基金连续发生巨额赎回并暂停接受申购、赎回申请；</w:t>
      </w:r>
    </w:p>
    <w:p w:rsidR="00572ECF" w:rsidRDefault="00915AEA">
      <w:pPr>
        <w:spacing w:line="360" w:lineRule="auto"/>
        <w:ind w:firstLineChars="200" w:firstLine="480"/>
        <w:rPr>
          <w:bCs/>
          <w:sz w:val="24"/>
        </w:rPr>
      </w:pPr>
      <w:r>
        <w:rPr>
          <w:bCs/>
          <w:sz w:val="24"/>
        </w:rPr>
        <w:t>25</w:t>
      </w:r>
      <w:r>
        <w:rPr>
          <w:rFonts w:hint="eastAsia"/>
          <w:bCs/>
          <w:sz w:val="24"/>
        </w:rPr>
        <w:t>、本基金暂停接受申购、赎回申请后重新接受申购、赎回；</w:t>
      </w:r>
    </w:p>
    <w:p w:rsidR="00572ECF" w:rsidRDefault="00915AEA">
      <w:pPr>
        <w:spacing w:line="360" w:lineRule="auto"/>
        <w:ind w:firstLineChars="200" w:firstLine="480"/>
        <w:rPr>
          <w:bCs/>
          <w:sz w:val="24"/>
        </w:rPr>
      </w:pPr>
      <w:r>
        <w:rPr>
          <w:rFonts w:hint="eastAsia"/>
          <w:bCs/>
          <w:sz w:val="24"/>
        </w:rPr>
        <w:t>26</w:t>
      </w:r>
      <w:r>
        <w:rPr>
          <w:rFonts w:hint="eastAsia"/>
          <w:bCs/>
          <w:sz w:val="24"/>
        </w:rPr>
        <w:t>、发生涉及本基金申购、赎回事项调整或潜在影响投资者赎回等重大事项时；</w:t>
      </w:r>
    </w:p>
    <w:p w:rsidR="00572ECF" w:rsidRDefault="00915AEA">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、基金管理人采用摆动定价机制进行估值；</w:t>
      </w:r>
    </w:p>
    <w:p w:rsidR="00572ECF" w:rsidRDefault="00915AEA">
      <w:pPr>
        <w:spacing w:line="360" w:lineRule="auto"/>
        <w:ind w:firstLineChars="200" w:firstLine="480"/>
        <w:rPr>
          <w:bCs/>
          <w:sz w:val="24"/>
        </w:rPr>
      </w:pPr>
      <w:r>
        <w:rPr>
          <w:bCs/>
          <w:sz w:val="24"/>
        </w:rPr>
        <w:lastRenderedPageBreak/>
        <w:t>28</w:t>
      </w:r>
      <w:r>
        <w:rPr>
          <w:rFonts w:hint="eastAsia"/>
          <w:bCs/>
          <w:sz w:val="24"/>
        </w:rPr>
        <w:t>、调整基金份额类别的设置；</w:t>
      </w:r>
    </w:p>
    <w:p w:rsidR="00572ECF" w:rsidRDefault="00915AEA">
      <w:pPr>
        <w:spacing w:line="360" w:lineRule="auto"/>
        <w:ind w:firstLineChars="200" w:firstLine="480"/>
        <w:rPr>
          <w:bCs/>
          <w:sz w:val="24"/>
        </w:rPr>
      </w:pPr>
      <w:r>
        <w:rPr>
          <w:bCs/>
          <w:sz w:val="24"/>
        </w:rPr>
        <w:t>29</w:t>
      </w:r>
      <w:r>
        <w:rPr>
          <w:rFonts w:hint="eastAsia"/>
          <w:bCs/>
          <w:sz w:val="24"/>
        </w:rPr>
        <w:t>、基金推出新业务或服务；</w:t>
      </w:r>
    </w:p>
    <w:p w:rsidR="00572ECF" w:rsidRDefault="00915AEA">
      <w:pPr>
        <w:spacing w:line="360" w:lineRule="auto"/>
        <w:ind w:firstLineChars="200" w:firstLine="480"/>
        <w:rPr>
          <w:bCs/>
          <w:sz w:val="24"/>
        </w:rPr>
      </w:pPr>
      <w:r>
        <w:rPr>
          <w:bCs/>
          <w:sz w:val="24"/>
        </w:rPr>
        <w:t>30</w:t>
      </w:r>
      <w:r>
        <w:rPr>
          <w:rFonts w:hint="eastAsia"/>
          <w:bCs/>
          <w:sz w:val="24"/>
        </w:rPr>
        <w:t>、中国证监会规定的其他事项。</w:t>
      </w:r>
    </w:p>
    <w:p w:rsidR="00572ECF" w:rsidRDefault="00915AEA">
      <w:pPr>
        <w:spacing w:line="360" w:lineRule="auto"/>
        <w:ind w:firstLineChars="200" w:firstLine="480"/>
        <w:rPr>
          <w:bCs/>
          <w:sz w:val="24"/>
        </w:rPr>
      </w:pPr>
      <w:r>
        <w:rPr>
          <w:rFonts w:hint="eastAsia"/>
          <w:bCs/>
          <w:sz w:val="24"/>
        </w:rPr>
        <w:t>（八）澄清公告</w:t>
      </w:r>
    </w:p>
    <w:p w:rsidR="00572ECF" w:rsidRDefault="00915AEA">
      <w:pPr>
        <w:spacing w:line="360" w:lineRule="auto"/>
        <w:ind w:firstLineChars="200" w:firstLine="480"/>
        <w:rPr>
          <w:bCs/>
          <w:sz w:val="24"/>
        </w:rPr>
      </w:pPr>
      <w:r>
        <w:rPr>
          <w:rFonts w:hint="eastAsia"/>
          <w:bCs/>
          <w:sz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rsidR="00572ECF" w:rsidRDefault="00915AEA">
      <w:pPr>
        <w:spacing w:line="360" w:lineRule="auto"/>
        <w:ind w:firstLineChars="200" w:firstLine="480"/>
        <w:rPr>
          <w:bCs/>
          <w:sz w:val="24"/>
        </w:rPr>
      </w:pPr>
      <w:r>
        <w:rPr>
          <w:rFonts w:hint="eastAsia"/>
          <w:bCs/>
          <w:sz w:val="24"/>
        </w:rPr>
        <w:t>（九）基金份额持有人大会决议</w:t>
      </w:r>
    </w:p>
    <w:p w:rsidR="00572ECF" w:rsidRDefault="00915AEA">
      <w:pPr>
        <w:spacing w:line="360" w:lineRule="auto"/>
        <w:ind w:firstLineChars="200" w:firstLine="480"/>
        <w:rPr>
          <w:bCs/>
          <w:sz w:val="24"/>
        </w:rPr>
      </w:pPr>
      <w:r>
        <w:rPr>
          <w:rFonts w:hint="eastAsia"/>
          <w:bCs/>
          <w:sz w:val="24"/>
        </w:rPr>
        <w:t>基金份额持有人大会决定的事项，应当依法报中国证监会备案，并予以公告。</w:t>
      </w:r>
    </w:p>
    <w:p w:rsidR="00572ECF" w:rsidRDefault="00915AEA">
      <w:pPr>
        <w:spacing w:line="360" w:lineRule="auto"/>
        <w:ind w:firstLineChars="200" w:firstLine="480"/>
        <w:rPr>
          <w:bCs/>
          <w:sz w:val="24"/>
        </w:rPr>
      </w:pPr>
      <w:r>
        <w:rPr>
          <w:rFonts w:hint="eastAsia"/>
          <w:bCs/>
          <w:sz w:val="24"/>
        </w:rPr>
        <w:t>（十）投资于资产支持证券的信息披露</w:t>
      </w:r>
    </w:p>
    <w:p w:rsidR="00572ECF" w:rsidRDefault="00915AEA">
      <w:pPr>
        <w:spacing w:line="360" w:lineRule="auto"/>
        <w:ind w:firstLineChars="200" w:firstLine="480"/>
        <w:rPr>
          <w:bCs/>
          <w:sz w:val="24"/>
        </w:rPr>
      </w:pPr>
      <w:r>
        <w:rPr>
          <w:rFonts w:hint="eastAsia"/>
          <w:bCs/>
          <w:sz w:val="24"/>
        </w:rPr>
        <w:t>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bCs/>
          <w:sz w:val="24"/>
        </w:rPr>
        <w:t>10</w:t>
      </w:r>
      <w:r>
        <w:rPr>
          <w:rFonts w:hint="eastAsia"/>
          <w:bCs/>
          <w:sz w:val="24"/>
        </w:rPr>
        <w:t>名资产支持证券明细。</w:t>
      </w:r>
    </w:p>
    <w:p w:rsidR="00572ECF" w:rsidRDefault="00915AEA">
      <w:pPr>
        <w:spacing w:line="360" w:lineRule="auto"/>
        <w:ind w:firstLineChars="200" w:firstLine="480"/>
        <w:rPr>
          <w:bCs/>
          <w:sz w:val="24"/>
        </w:rPr>
      </w:pPr>
      <w:r>
        <w:rPr>
          <w:rFonts w:hint="eastAsia"/>
          <w:bCs/>
          <w:sz w:val="24"/>
        </w:rPr>
        <w:t>（十一）投资于国债期货的信息披露</w:t>
      </w:r>
    </w:p>
    <w:p w:rsidR="00572ECF" w:rsidRDefault="00915AEA">
      <w:pPr>
        <w:spacing w:line="360" w:lineRule="auto"/>
        <w:ind w:firstLineChars="200" w:firstLine="480"/>
        <w:rPr>
          <w:bCs/>
          <w:sz w:val="24"/>
        </w:rPr>
      </w:pPr>
      <w:r>
        <w:rPr>
          <w:rFonts w:hint="eastAsia"/>
          <w:bCs/>
          <w:sz w:val="24"/>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rsidR="00572ECF" w:rsidRDefault="00915AEA">
      <w:pPr>
        <w:spacing w:line="360" w:lineRule="auto"/>
        <w:ind w:firstLineChars="200" w:firstLine="480"/>
        <w:rPr>
          <w:bCs/>
          <w:sz w:val="24"/>
        </w:rPr>
      </w:pPr>
      <w:r>
        <w:rPr>
          <w:rFonts w:hint="eastAsia"/>
          <w:bCs/>
          <w:sz w:val="24"/>
        </w:rPr>
        <w:t>（十二）投资于中小企业私募债券的信息披露</w:t>
      </w:r>
    </w:p>
    <w:p w:rsidR="00572ECF" w:rsidRDefault="00915AEA">
      <w:pPr>
        <w:spacing w:line="360" w:lineRule="auto"/>
        <w:ind w:firstLineChars="200" w:firstLine="480"/>
        <w:rPr>
          <w:bCs/>
          <w:sz w:val="24"/>
        </w:rPr>
      </w:pPr>
      <w:r>
        <w:rPr>
          <w:bCs/>
          <w:sz w:val="24"/>
        </w:rPr>
        <w:t>1</w:t>
      </w:r>
      <w:r>
        <w:rPr>
          <w:rFonts w:hint="eastAsia"/>
          <w:bCs/>
          <w:sz w:val="24"/>
        </w:rPr>
        <w:t>、基金管理人应当在基金投资中小企业私募债券后两个交易日内，在中国证监会指定媒介披露所投资中小企业私募债券的名称、数量、期限、收益率等信息。</w:t>
      </w:r>
    </w:p>
    <w:p w:rsidR="00572ECF" w:rsidRDefault="00915AEA">
      <w:pPr>
        <w:spacing w:line="360" w:lineRule="auto"/>
        <w:ind w:firstLineChars="200" w:firstLine="480"/>
        <w:rPr>
          <w:bCs/>
          <w:sz w:val="24"/>
        </w:rPr>
      </w:pPr>
      <w:r>
        <w:rPr>
          <w:bCs/>
          <w:sz w:val="24"/>
        </w:rPr>
        <w:t>2</w:t>
      </w:r>
      <w:r>
        <w:rPr>
          <w:rFonts w:hint="eastAsia"/>
          <w:bCs/>
          <w:sz w:val="24"/>
        </w:rPr>
        <w:t>、基金管理人应当在季度报告、半年度报告、年度报告等定期报告和招募说明书（更新）等文件中披露中小企业私募债券的投资情况。</w:t>
      </w:r>
    </w:p>
    <w:p w:rsidR="00572ECF" w:rsidRDefault="00915AEA">
      <w:pPr>
        <w:spacing w:line="360" w:lineRule="auto"/>
        <w:ind w:firstLineChars="200" w:firstLine="480"/>
        <w:rPr>
          <w:bCs/>
          <w:sz w:val="24"/>
        </w:rPr>
      </w:pPr>
      <w:r>
        <w:rPr>
          <w:rFonts w:hint="eastAsia"/>
          <w:bCs/>
          <w:sz w:val="24"/>
        </w:rPr>
        <w:t>（十三）中国证监会规定的其他信息</w:t>
      </w:r>
    </w:p>
    <w:p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六、信息披露事务管理</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基金管理人、基金托管人应当建立健全信息披露管理制度，指定专人负责管理信息披露事务。</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基金信息披露义务人公开披露基金信息，应当符合中国证监会相关基金信息披露内容与格式准则的规定。</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托管人应当按照相关法律法规、中国证监会的规定和《基金合同》的约定，对基金管理人编制的基金资产净值、各类基金份额净值、基金份额申购赎回价格、基金定期报告和定期更新的招募说明书等公开披露的相关基金信息进行复核、审查，并向基金管理人出具书面文件或者盖章确认。</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基金管理人、基金托管人应当在指定媒介中选择披露信息的报刊。</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为基金信息披露义务人公开披露的基金信息出具审计报告、法律意见书的专业机构，应当制作工作底稿，并将相关档案至少保存到《基金合同》终止后10年。</w:t>
      </w:r>
    </w:p>
    <w:p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七、信息披露文件的存放与查阅</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招募说明书公布后，应当分别置备于基金管理人、基金托管人和基金销售机构的住所，供公众查阅、复制。</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基金定期报告公布后，应当分别置备于基金管理人和基金托管人的住所，以供公众查阅、复制。</w:t>
      </w:r>
    </w:p>
    <w:p w:rsidR="00572ECF" w:rsidRDefault="00915AEA">
      <w:pPr>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八、当出现下述情况时，基金管理人和基金托管人可暂停或延迟披露基金相关信息：</w:t>
      </w:r>
    </w:p>
    <w:p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1</w:t>
      </w:r>
      <w:r>
        <w:rPr>
          <w:rFonts w:asciiTheme="minorEastAsia" w:eastAsiaTheme="minorEastAsia" w:hAnsiTheme="minorEastAsia" w:cs="Arial" w:hint="eastAsia"/>
          <w:bCs/>
          <w:sz w:val="24"/>
          <w:szCs w:val="24"/>
        </w:rPr>
        <w:t>、基金投资所涉及的证券交易所遇法定节假日或因其他原因暂停营业时；</w:t>
      </w:r>
    </w:p>
    <w:p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2</w:t>
      </w:r>
      <w:r>
        <w:rPr>
          <w:rFonts w:asciiTheme="minorEastAsia" w:eastAsiaTheme="minorEastAsia" w:hAnsiTheme="minorEastAsia" w:cs="Arial" w:hint="eastAsia"/>
          <w:bCs/>
          <w:sz w:val="24"/>
          <w:szCs w:val="24"/>
        </w:rPr>
        <w:t>、因不可抗力或其他情形致使基金管理人、基金托管人无法准确评估基金资产价值时；</w:t>
      </w:r>
    </w:p>
    <w:p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3</w:t>
      </w:r>
      <w:r>
        <w:rPr>
          <w:rFonts w:asciiTheme="minorEastAsia" w:eastAsiaTheme="minorEastAsia" w:hAnsiTheme="minorEastAsia" w:cs="Arial" w:hint="eastAsia"/>
          <w:bCs/>
          <w:sz w:val="24"/>
          <w:szCs w:val="24"/>
        </w:rPr>
        <w:t>、占基金相当比例的投资品种的估值出现重大转变，基金管理人为保障基金份额持有人的利益，决定延迟估值；</w:t>
      </w:r>
    </w:p>
    <w:p w:rsidR="00572ECF" w:rsidRDefault="00915AEA">
      <w:pPr>
        <w:snapToGrid w:val="0"/>
        <w:spacing w:line="360" w:lineRule="auto"/>
        <w:ind w:firstLineChars="200" w:firstLine="480"/>
        <w:rPr>
          <w:rFonts w:asciiTheme="minorEastAsia" w:eastAsiaTheme="minorEastAsia" w:hAnsiTheme="minorEastAsia" w:cs="Arial"/>
          <w:bCs/>
          <w:sz w:val="24"/>
          <w:szCs w:val="24"/>
        </w:rPr>
      </w:pPr>
      <w:r>
        <w:rPr>
          <w:rFonts w:asciiTheme="minorEastAsia" w:eastAsiaTheme="minorEastAsia" w:hAnsiTheme="minorEastAsia" w:cs="Arial"/>
          <w:bCs/>
          <w:sz w:val="24"/>
          <w:szCs w:val="24"/>
        </w:rPr>
        <w:t>4</w:t>
      </w:r>
      <w:r>
        <w:rPr>
          <w:rFonts w:asciiTheme="minorEastAsia" w:eastAsiaTheme="minorEastAsia" w:hAnsiTheme="minorEastAsia" w:cs="Arial" w:hint="eastAsia"/>
          <w:bCs/>
          <w:sz w:val="24"/>
          <w:szCs w:val="24"/>
        </w:rPr>
        <w:t>、法律法规、中国证监会或《基金合同》认定的其他情形。</w:t>
      </w:r>
    </w:p>
    <w:p w:rsidR="00B2236E" w:rsidRDefault="00B2236E">
      <w:pPr>
        <w:snapToGrid w:val="0"/>
        <w:spacing w:line="360" w:lineRule="auto"/>
        <w:ind w:firstLineChars="200" w:firstLine="480"/>
        <w:rPr>
          <w:rFonts w:asciiTheme="minorEastAsia" w:eastAsiaTheme="minorEastAsia" w:hAnsiTheme="minorEastAsia" w:cs="Arial"/>
          <w:bCs/>
          <w:sz w:val="24"/>
          <w:szCs w:val="24"/>
        </w:rPr>
      </w:pPr>
    </w:p>
    <w:p w:rsidR="00B2236E" w:rsidRDefault="00B2236E">
      <w:pPr>
        <w:snapToGrid w:val="0"/>
        <w:spacing w:line="360" w:lineRule="auto"/>
        <w:ind w:firstLineChars="200" w:firstLine="480"/>
        <w:rPr>
          <w:rFonts w:asciiTheme="minorEastAsia" w:eastAsiaTheme="minorEastAsia" w:hAnsiTheme="minorEastAsia" w:cs="Arial"/>
          <w:kern w:val="0"/>
          <w:sz w:val="24"/>
          <w:szCs w:val="24"/>
        </w:rPr>
      </w:pPr>
    </w:p>
    <w:p w:rsidR="00C930DC" w:rsidRDefault="00C930DC">
      <w:pPr>
        <w:snapToGrid w:val="0"/>
        <w:spacing w:line="360" w:lineRule="auto"/>
        <w:ind w:firstLineChars="200" w:firstLine="480"/>
        <w:rPr>
          <w:rFonts w:asciiTheme="minorEastAsia" w:eastAsiaTheme="minorEastAsia" w:hAnsiTheme="minorEastAsia" w:cs="Arial"/>
          <w:kern w:val="0"/>
          <w:sz w:val="24"/>
          <w:szCs w:val="24"/>
        </w:rPr>
      </w:pPr>
    </w:p>
    <w:p w:rsidR="00572ECF" w:rsidRDefault="00915AEA" w:rsidP="00C930DC">
      <w:pPr>
        <w:pStyle w:val="1"/>
        <w:snapToGrid w:val="0"/>
        <w:spacing w:before="0" w:after="0" w:line="360" w:lineRule="auto"/>
        <w:ind w:firstLine="452"/>
        <w:rPr>
          <w:rFonts w:ascii="Arial Unicode MS" w:eastAsia="宋体" w:hAnsi="Arial Unicode MS" w:cs="Arial"/>
          <w:b/>
          <w:bCs/>
          <w:sz w:val="30"/>
          <w:szCs w:val="30"/>
        </w:rPr>
      </w:pPr>
      <w:bookmarkStart w:id="135" w:name="_Toc386115313"/>
      <w:bookmarkStart w:id="136" w:name="_Toc320887655"/>
      <w:bookmarkStart w:id="137" w:name="_Toc147463125"/>
      <w:bookmarkStart w:id="138" w:name="_Toc317088550"/>
      <w:bookmarkStart w:id="139" w:name="_Toc214873605"/>
      <w:bookmarkStart w:id="140" w:name="_Toc317088153"/>
      <w:bookmarkStart w:id="141" w:name="_Toc21073398"/>
      <w:bookmarkStart w:id="142" w:name="_Toc12357178"/>
      <w:bookmarkStart w:id="143" w:name="_Toc335232704"/>
      <w:bookmarkStart w:id="144" w:name="_Toc527466006"/>
      <w:bookmarkEnd w:id="126"/>
      <w:bookmarkEnd w:id="127"/>
      <w:r>
        <w:rPr>
          <w:rFonts w:ascii="Arial Unicode MS" w:eastAsia="宋体" w:hAnsi="Arial Unicode MS" w:cs="Arial" w:hint="eastAsia"/>
          <w:b/>
          <w:bCs/>
          <w:sz w:val="30"/>
          <w:szCs w:val="30"/>
        </w:rPr>
        <w:lastRenderedPageBreak/>
        <w:t>第十六部分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风险揭示</w:t>
      </w:r>
      <w:bookmarkEnd w:id="135"/>
      <w:bookmarkEnd w:id="136"/>
      <w:bookmarkEnd w:id="137"/>
      <w:bookmarkEnd w:id="138"/>
      <w:bookmarkEnd w:id="139"/>
      <w:bookmarkEnd w:id="140"/>
      <w:bookmarkEnd w:id="141"/>
      <w:bookmarkEnd w:id="142"/>
      <w:bookmarkEnd w:id="143"/>
      <w:bookmarkEnd w:id="144"/>
    </w:p>
    <w:p w:rsidR="00C930DC" w:rsidRPr="00C930DC" w:rsidRDefault="00C930DC" w:rsidP="00C930DC">
      <w:pPr>
        <w:rPr>
          <w:lang w:val="zh-CN"/>
        </w:rPr>
      </w:pPr>
    </w:p>
    <w:p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一、投资于本基金的主要风险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投资于本基金的主要风险有：</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1、市场风险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证券市场价格受到各种因素的影响，导致基金收益水平变化而产生风险，主要包括：</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（1）政策风险。因国家宏观政策（如货币政策、财政政策、行业政策、地区发展政策等）发生变化，导致市场价格波动而产生风险。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（2）经济周期风险。随着经济运行的周期性变化，证券市场的收益水平也呈周期性变化。本基金主要投资于债券，收益水平也会随之变化，从而产生风险。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（3）利率风险。金融市场利率的波动会导致证券市场价格和收益率的变动。</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（4）通货膨胀风险。如果发生通货膨胀，基金投资于证券所获得的收益可能会被通货膨胀抵消，从而影响基金资产的保值增值。</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（5）再投资风险。再投资风险反映了利率下降对固定收益证券利息收入再投资收益的影响，这与利率上升所带来的价格风险（即利率风险）互为消长。</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2、信用风险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3、流动性风险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流动性风险是指因证券市场交易量不足，导致证券不能迅速、低成本地变现的风险。流动性风险还包括基金出现巨额赎回，致使没有足够的现金应付赎回支付所引致的风险。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（1）拟投资市场、行业及资产的流动性风险评估</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主要投资于债券、货币市场工具等具有良好流动性的金融工具，资本市场成交活跃程度、基金持仓资产的变现能力以及投资者的申购/赎回行为将对本基金所面临的流动性风险产生直接影响。资本市场成交量低迷、基金持仓集中度过高、基金资产变现能力下降、</w:t>
      </w:r>
      <w:proofErr w:type="gramStart"/>
      <w:r>
        <w:rPr>
          <w:rFonts w:asciiTheme="minorEastAsia" w:eastAsiaTheme="minorEastAsia" w:hAnsiTheme="minorEastAsia" w:cs="Arial" w:hint="eastAsia"/>
          <w:kern w:val="0"/>
          <w:sz w:val="24"/>
          <w:szCs w:val="24"/>
        </w:rPr>
        <w:t>单一基金</w:t>
      </w:r>
      <w:proofErr w:type="gramEnd"/>
      <w:r>
        <w:rPr>
          <w:rFonts w:asciiTheme="minorEastAsia" w:eastAsiaTheme="minorEastAsia" w:hAnsiTheme="minorEastAsia" w:cs="Arial" w:hint="eastAsia"/>
          <w:kern w:val="0"/>
          <w:sz w:val="24"/>
          <w:szCs w:val="24"/>
        </w:rPr>
        <w:t>份额持有人持有基金份额比例过高等因素，将使得本基金面临流动性风险在本基金的投资运作过程中，基金管理人将</w:t>
      </w:r>
      <w:r>
        <w:rPr>
          <w:rFonts w:asciiTheme="minorEastAsia" w:eastAsiaTheme="minorEastAsia" w:hAnsiTheme="minorEastAsia" w:cs="Arial" w:hint="eastAsia"/>
          <w:kern w:val="0"/>
          <w:sz w:val="24"/>
          <w:szCs w:val="24"/>
        </w:rPr>
        <w:lastRenderedPageBreak/>
        <w:t>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 xml:space="preserve">（2）巨额赎回情形下的流动性风险管理措施 </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上述各类流动性风险管理工具包括但不限于： 1、 延期办理巨额赎回申请； 2、暂停接受赎回申请；3、延缓支付赎回款项；4、收取短期赎回费；5、暂停基金估值；6、摆动定价；7、中国证监会认定的其他措施。</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在采用上述流动性风险管理工具时， 基金管理人严格遵守法律法规及基金合同的约定，确保相关工具实施的及时、有序、透明及公平。</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（3）实施备用的流动性风险管理工具的情形、程序及对投资者的潜在影响</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1）实施备用流动性风险管理工具的情形：在本基金发生巨额赎回的情形下，本基金管理人将实施备用流动性风险管理工具。</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3）实施备用流动性风险管理工具对投资者的影响：在实施备用流动性风险管理工具的情形下，可能会导致本基金份额持有人的部分或全部赎回申请被确认失败或者被收取短期赎回费。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4、操作风险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操作风险是指基金运作过程中，因内部控制存在缺陷或者人为因素造成操作失误或违反操作规程等引致的风险，例如，越权违规交易、会计部门欺诈、交易错误、IT系统故障等风险。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5、管理风险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6、合</w:t>
      </w:r>
      <w:proofErr w:type="gramStart"/>
      <w:r>
        <w:rPr>
          <w:rFonts w:asciiTheme="minorEastAsia" w:eastAsiaTheme="minorEastAsia" w:hAnsiTheme="minorEastAsia" w:cs="Arial" w:hint="eastAsia"/>
          <w:kern w:val="0"/>
          <w:sz w:val="24"/>
          <w:szCs w:val="24"/>
        </w:rPr>
        <w:t>规</w:t>
      </w:r>
      <w:proofErr w:type="gramEnd"/>
      <w:r>
        <w:rPr>
          <w:rFonts w:asciiTheme="minorEastAsia" w:eastAsiaTheme="minorEastAsia" w:hAnsiTheme="minorEastAsia" w:cs="Arial" w:hint="eastAsia"/>
          <w:kern w:val="0"/>
          <w:sz w:val="24"/>
          <w:szCs w:val="24"/>
        </w:rPr>
        <w:t>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合</w:t>
      </w:r>
      <w:proofErr w:type="gramStart"/>
      <w:r>
        <w:rPr>
          <w:rFonts w:asciiTheme="minorEastAsia" w:eastAsiaTheme="minorEastAsia" w:hAnsiTheme="minorEastAsia" w:cs="Arial" w:hint="eastAsia"/>
          <w:kern w:val="0"/>
          <w:sz w:val="24"/>
          <w:szCs w:val="24"/>
        </w:rPr>
        <w:t>规</w:t>
      </w:r>
      <w:proofErr w:type="gramEnd"/>
      <w:r>
        <w:rPr>
          <w:rFonts w:asciiTheme="minorEastAsia" w:eastAsiaTheme="minorEastAsia" w:hAnsiTheme="minorEastAsia" w:cs="Arial" w:hint="eastAsia"/>
          <w:kern w:val="0"/>
          <w:sz w:val="24"/>
          <w:szCs w:val="24"/>
        </w:rPr>
        <w:t>风险指基金管理或运作过程中，违反国家法律、法规的规定，或者违反《基金合同》有关规定的风险。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7、本基金的特有风险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为债券型基金，债券的投资比例不低于基金资产的80%，该类债券的特定风险即成为本基金及投资者主要面对的特定投资风险。债券的投资收益会受到宏观经济、政府产业政策、货币政策、市场需求变化、行业波动等因素的影响，可能存在所选投资标的</w:t>
      </w:r>
      <w:proofErr w:type="gramStart"/>
      <w:r>
        <w:rPr>
          <w:rFonts w:asciiTheme="minorEastAsia" w:eastAsiaTheme="minorEastAsia" w:hAnsiTheme="minorEastAsia" w:cs="Arial" w:hint="eastAsia"/>
          <w:kern w:val="0"/>
          <w:sz w:val="24"/>
          <w:szCs w:val="24"/>
        </w:rPr>
        <w:t>的</w:t>
      </w:r>
      <w:proofErr w:type="gramEnd"/>
      <w:r>
        <w:rPr>
          <w:rFonts w:asciiTheme="minorEastAsia" w:eastAsiaTheme="minorEastAsia" w:hAnsiTheme="minorEastAsia" w:cs="Arial" w:hint="eastAsia"/>
          <w:kern w:val="0"/>
          <w:sz w:val="24"/>
          <w:szCs w:val="24"/>
        </w:rPr>
        <w:t>成长性与市场一致预期不符而造成个</w:t>
      </w:r>
      <w:proofErr w:type="gramStart"/>
      <w:r>
        <w:rPr>
          <w:rFonts w:asciiTheme="minorEastAsia" w:eastAsiaTheme="minorEastAsia" w:hAnsiTheme="minorEastAsia" w:cs="Arial" w:hint="eastAsia"/>
          <w:kern w:val="0"/>
          <w:sz w:val="24"/>
          <w:szCs w:val="24"/>
        </w:rPr>
        <w:t>券</w:t>
      </w:r>
      <w:proofErr w:type="gramEnd"/>
      <w:r>
        <w:rPr>
          <w:rFonts w:asciiTheme="minorEastAsia" w:eastAsiaTheme="minorEastAsia" w:hAnsiTheme="minorEastAsia" w:cs="Arial" w:hint="eastAsia"/>
          <w:kern w:val="0"/>
          <w:sz w:val="24"/>
          <w:szCs w:val="24"/>
        </w:rPr>
        <w:t>价格表现低于预期的风险。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投资中小企业私募债券，中小企业私募债券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券，由此可能给基金净值带来更大的负面影响和损失。</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本基金投资资产支持证券，资产支持证券（ABS）是一种债券性质的金融工具，其向投资者支付的本息来自于基础资产</w:t>
      </w:r>
      <w:proofErr w:type="gramStart"/>
      <w:r>
        <w:rPr>
          <w:rFonts w:asciiTheme="minorEastAsia" w:eastAsiaTheme="minorEastAsia" w:hAnsiTheme="minorEastAsia" w:cs="Arial" w:hint="eastAsia"/>
          <w:kern w:val="0"/>
          <w:sz w:val="24"/>
          <w:szCs w:val="24"/>
        </w:rPr>
        <w:t>池产生</w:t>
      </w:r>
      <w:proofErr w:type="gramEnd"/>
      <w:r>
        <w:rPr>
          <w:rFonts w:asciiTheme="minorEastAsia" w:eastAsiaTheme="minorEastAsia" w:hAnsiTheme="minorEastAsia" w:cs="Arial" w:hint="eastAsia"/>
          <w:kern w:val="0"/>
          <w:sz w:val="24"/>
          <w:szCs w:val="24"/>
        </w:rPr>
        <w:t>的现金流或剩余权益。与股票和一般债券不同，资产支持证券不是对某一经营实体的利益要求权，而是对基础</w:t>
      </w:r>
      <w:proofErr w:type="gramStart"/>
      <w:r>
        <w:rPr>
          <w:rFonts w:asciiTheme="minorEastAsia" w:eastAsiaTheme="minorEastAsia" w:hAnsiTheme="minorEastAsia" w:cs="Arial" w:hint="eastAsia"/>
          <w:kern w:val="0"/>
          <w:sz w:val="24"/>
          <w:szCs w:val="24"/>
        </w:rPr>
        <w:t>资产池所产生</w:t>
      </w:r>
      <w:proofErr w:type="gramEnd"/>
      <w:r>
        <w:rPr>
          <w:rFonts w:asciiTheme="minorEastAsia" w:eastAsiaTheme="minorEastAsia" w:hAnsiTheme="minorEastAsia" w:cs="Arial" w:hint="eastAsia"/>
          <w:kern w:val="0"/>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基金可投资国债期货，国债期货采用保证金交易制度，由于保证金交易具有杠杆性，当相应期限国债收益率出现不利变动时，可能会导致投资人权益遭受较大损失。国债期货采用每日无负债结算制度，如果没有在规定的时间内补足保证金，按规定将被强制平仓，可能给投资带来重大损失。</w:t>
      </w:r>
    </w:p>
    <w:p w:rsidR="00572ECF" w:rsidRDefault="00915AEA">
      <w:pPr>
        <w:adjustRightInd w:val="0"/>
        <w:snapToGrid w:val="0"/>
        <w:spacing w:line="360" w:lineRule="auto"/>
        <w:ind w:firstLineChars="200" w:firstLine="482"/>
        <w:rPr>
          <w:rFonts w:asciiTheme="minorEastAsia" w:eastAsiaTheme="minorEastAsia" w:hAnsiTheme="minorEastAsia" w:cs="Arial"/>
          <w:b/>
          <w:bCs/>
          <w:sz w:val="24"/>
          <w:szCs w:val="24"/>
        </w:rPr>
      </w:pPr>
      <w:r>
        <w:rPr>
          <w:rFonts w:asciiTheme="minorEastAsia" w:eastAsiaTheme="minorEastAsia" w:hAnsiTheme="minorEastAsia" w:cs="Arial" w:hint="eastAsia"/>
          <w:b/>
          <w:bCs/>
          <w:sz w:val="24"/>
          <w:szCs w:val="24"/>
        </w:rPr>
        <w:t>二、声明</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1、投资者投资于本基金，须自行承担投资风险；</w:t>
      </w:r>
    </w:p>
    <w:p w:rsidR="00E20F01" w:rsidRDefault="00915AEA" w:rsidP="00FD64FB">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2、除基金管理人直接办理本基金的销售外，本基金还通过基金销售机构代</w:t>
      </w:r>
      <w:r>
        <w:rPr>
          <w:rFonts w:asciiTheme="minorEastAsia" w:eastAsiaTheme="minorEastAsia" w:hAnsiTheme="minorEastAsia" w:cs="Arial" w:hint="eastAsia"/>
          <w:kern w:val="0"/>
          <w:sz w:val="24"/>
          <w:szCs w:val="24"/>
        </w:rPr>
        <w:lastRenderedPageBreak/>
        <w:t>理销售，基金管理人与基金销售机构都不能保证其收益或本金安全。</w:t>
      </w:r>
    </w:p>
    <w:p w:rsidR="00E20F01" w:rsidRDefault="00915AEA" w:rsidP="00E20F01">
      <w:pPr>
        <w:adjustRightInd w:val="0"/>
        <w:snapToGrid w:val="0"/>
        <w:spacing w:line="360" w:lineRule="auto"/>
        <w:ind w:firstLineChars="200" w:firstLine="420"/>
        <w:jc w:val="center"/>
      </w:pPr>
      <w:r>
        <w:br w:type="page"/>
      </w:r>
      <w:bookmarkStart w:id="145" w:name="_Toc454717524"/>
      <w:bookmarkStart w:id="146" w:name="_Toc524923235"/>
      <w:bookmarkStart w:id="147" w:name="_Toc520693901"/>
      <w:bookmarkStart w:id="148" w:name="_Toc520693803"/>
      <w:bookmarkStart w:id="149" w:name="_Toc317088551"/>
      <w:bookmarkStart w:id="150" w:name="_Toc386115314"/>
      <w:bookmarkStart w:id="151" w:name="_Toc317088154"/>
      <w:bookmarkStart w:id="152" w:name="_Toc214873606"/>
      <w:bookmarkStart w:id="153" w:name="_Toc320887656"/>
      <w:bookmarkStart w:id="154" w:name="_Toc335232705"/>
    </w:p>
    <w:p w:rsidR="00572ECF" w:rsidRPr="00E20F01" w:rsidRDefault="00915AEA" w:rsidP="00E20F01">
      <w:pPr>
        <w:pStyle w:val="1"/>
        <w:snapToGrid w:val="0"/>
        <w:spacing w:before="0" w:after="0" w:line="360" w:lineRule="auto"/>
        <w:ind w:firstLine="452"/>
        <w:rPr>
          <w:rFonts w:ascii="Arial Unicode MS" w:eastAsia="宋体" w:hAnsi="Arial Unicode MS"/>
          <w:b/>
          <w:sz w:val="30"/>
          <w:szCs w:val="30"/>
        </w:rPr>
      </w:pPr>
      <w:r w:rsidRPr="00E20F01">
        <w:rPr>
          <w:rFonts w:ascii="Arial Unicode MS" w:eastAsia="宋体" w:hAnsi="Arial Unicode MS" w:hint="eastAsia"/>
          <w:b/>
          <w:sz w:val="30"/>
          <w:szCs w:val="30"/>
        </w:rPr>
        <w:lastRenderedPageBreak/>
        <w:t>第十七部分</w:t>
      </w:r>
      <w:r w:rsidRPr="00E20F01">
        <w:rPr>
          <w:rFonts w:ascii="Arial Unicode MS" w:eastAsia="宋体" w:hAnsi="Arial Unicode MS"/>
          <w:b/>
          <w:sz w:val="30"/>
          <w:szCs w:val="30"/>
        </w:rPr>
        <w:t xml:space="preserve">  </w:t>
      </w:r>
      <w:bookmarkEnd w:id="145"/>
      <w:bookmarkEnd w:id="146"/>
      <w:bookmarkEnd w:id="147"/>
      <w:bookmarkEnd w:id="148"/>
      <w:r w:rsidRPr="00E20F01">
        <w:rPr>
          <w:rFonts w:ascii="Arial Unicode MS" w:eastAsia="宋体" w:hAnsi="Arial Unicode MS" w:hint="eastAsia"/>
          <w:b/>
          <w:sz w:val="30"/>
          <w:szCs w:val="30"/>
        </w:rPr>
        <w:t>基金合同的变更、终止与基金财产的清算</w:t>
      </w:r>
      <w:bookmarkEnd w:id="149"/>
      <w:bookmarkEnd w:id="150"/>
      <w:bookmarkEnd w:id="151"/>
      <w:bookmarkEnd w:id="152"/>
      <w:bookmarkEnd w:id="153"/>
      <w:bookmarkEnd w:id="154"/>
    </w:p>
    <w:p w:rsidR="00572ECF" w:rsidRDefault="00572ECF">
      <w:pPr>
        <w:rPr>
          <w:rFonts w:ascii="Arial Unicode MS" w:hAnsi="Arial Unicode MS"/>
          <w:lang w:val="zh-CN"/>
        </w:rPr>
      </w:pPr>
    </w:p>
    <w:p w:rsidR="00572ECF" w:rsidRDefault="00915AEA">
      <w:pPr>
        <w:snapToGrid w:val="0"/>
        <w:spacing w:line="360" w:lineRule="auto"/>
        <w:ind w:firstLineChars="200" w:firstLine="482"/>
        <w:rPr>
          <w:rFonts w:asciiTheme="minorEastAsia" w:eastAsiaTheme="minorEastAsia" w:hAnsiTheme="minorEastAsia" w:cs="Arial"/>
          <w:b/>
          <w:sz w:val="24"/>
          <w:szCs w:val="24"/>
        </w:rPr>
      </w:pPr>
      <w:bookmarkStart w:id="155" w:name="_Toc79392639"/>
      <w:r>
        <w:rPr>
          <w:rFonts w:asciiTheme="minorEastAsia" w:eastAsiaTheme="minorEastAsia" w:hAnsiTheme="minorEastAsia" w:cs="Arial" w:hint="eastAsia"/>
          <w:b/>
          <w:sz w:val="24"/>
          <w:szCs w:val="24"/>
        </w:rPr>
        <w:t>一、《基金合同》的变更</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、变更基金合同涉及法律法规规定或基金合同约定应经基金份额持有人大会决议通过的事项的，应召</w:t>
      </w:r>
      <w:proofErr w:type="gramStart"/>
      <w:r>
        <w:rPr>
          <w:rFonts w:asciiTheme="minorEastAsia" w:eastAsiaTheme="minorEastAsia" w:hAnsiTheme="minorEastAsia" w:cs="Arial" w:hint="eastAsia"/>
          <w:kern w:val="0"/>
          <w:sz w:val="24"/>
          <w:szCs w:val="24"/>
        </w:rPr>
        <w:t>开基金</w:t>
      </w:r>
      <w:proofErr w:type="gramEnd"/>
      <w:r>
        <w:rPr>
          <w:rFonts w:asciiTheme="minorEastAsia" w:eastAsiaTheme="minorEastAsia" w:hAnsiTheme="minorEastAsia" w:cs="Arial" w:hint="eastAsia"/>
          <w:kern w:val="0"/>
          <w:sz w:val="24"/>
          <w:szCs w:val="24"/>
        </w:rPr>
        <w:t>份额持有人大会决议通过。对于法律法规规定和基金合同约定可不经基金份额持有人大会决议通过的事项，由基金管理人和基金托管人同意后变更并公告，并报中国证监会备案。</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、关于《基金合同》变更的基金份额持有人大会决议须报中国证监会备案，自表决通过之日起生效，并</w:t>
      </w:r>
      <w:proofErr w:type="gramStart"/>
      <w:r>
        <w:rPr>
          <w:rFonts w:asciiTheme="minorEastAsia" w:eastAsiaTheme="minorEastAsia" w:hAnsiTheme="minorEastAsia" w:cs="Arial" w:hint="eastAsia"/>
          <w:kern w:val="0"/>
          <w:sz w:val="24"/>
          <w:szCs w:val="24"/>
        </w:rPr>
        <w:t>自决议</w:t>
      </w:r>
      <w:proofErr w:type="gramEnd"/>
      <w:r>
        <w:rPr>
          <w:rFonts w:asciiTheme="minorEastAsia" w:eastAsiaTheme="minorEastAsia" w:hAnsiTheme="minorEastAsia" w:cs="Arial" w:hint="eastAsia"/>
          <w:kern w:val="0"/>
          <w:sz w:val="24"/>
          <w:szCs w:val="24"/>
        </w:rPr>
        <w:t>生效后两个工作日内在指定媒介公告。</w:t>
      </w:r>
    </w:p>
    <w:p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二、《基金合同》的终止事由</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有下列情形之一的，《基金合同》应当终止：</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、基金份额持有人大会决定终止的；</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、基金管理人、基金托管人职责终止，在</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个月内没有新基金管理人、新基金托管人承接的；</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、《基金合同》生效后，连续</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个工作日出现基金份额持有人数量不满</w:t>
      </w:r>
      <w:r>
        <w:rPr>
          <w:rFonts w:asciiTheme="minorEastAsia" w:eastAsiaTheme="minorEastAsia" w:hAnsiTheme="minorEastAsia" w:cs="Arial"/>
          <w:kern w:val="0"/>
          <w:sz w:val="24"/>
          <w:szCs w:val="24"/>
        </w:rPr>
        <w:t>200</w:t>
      </w:r>
      <w:r>
        <w:rPr>
          <w:rFonts w:asciiTheme="minorEastAsia" w:eastAsiaTheme="minorEastAsia" w:hAnsiTheme="minorEastAsia" w:cs="Arial" w:hint="eastAsia"/>
          <w:kern w:val="0"/>
          <w:sz w:val="24"/>
          <w:szCs w:val="24"/>
        </w:rPr>
        <w:t>人或者基金资产净值低于</w:t>
      </w:r>
      <w:r>
        <w:rPr>
          <w:rFonts w:asciiTheme="minorEastAsia" w:eastAsiaTheme="minorEastAsia" w:hAnsiTheme="minorEastAsia" w:cs="Arial"/>
          <w:kern w:val="0"/>
          <w:sz w:val="24"/>
          <w:szCs w:val="24"/>
        </w:rPr>
        <w:t>5000</w:t>
      </w:r>
      <w:r>
        <w:rPr>
          <w:rFonts w:asciiTheme="minorEastAsia" w:eastAsiaTheme="minorEastAsia" w:hAnsiTheme="minorEastAsia" w:cs="Arial" w:hint="eastAsia"/>
          <w:kern w:val="0"/>
          <w:sz w:val="24"/>
          <w:szCs w:val="24"/>
        </w:rPr>
        <w:t>万元情形的，本基金将根据《基金合同》约定进入清算程序并终止，无需召开基金份额持有人大会进行表决；</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、《基金合同》约定的其他情形；</w:t>
      </w:r>
    </w:p>
    <w:p w:rsidR="00572ECF" w:rsidRDefault="00915AEA">
      <w:pPr>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、相关法律法规和中国证监会规定的其他情况。</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基金合同终止后，基金管理人和基金托管人有权依照《基金法》、《运作办法》、《销售办法》、基金合同及其他有关法律法规的规定，行使请求给付报酬、从基金资产中获得补偿的权利。</w:t>
      </w:r>
    </w:p>
    <w:p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三、基金财产的清算</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、基金财产清算小组：自出现基金合同终止事由之日起</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个工作日内成立清算小组，基金管理人组织基金财产清算小组并在中国证监会的监督下进行基金清算。</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、基金财产清算小组职责：基金财产清算小组负责基金财产的保管、清理、</w:t>
      </w:r>
      <w:r>
        <w:rPr>
          <w:rFonts w:asciiTheme="minorEastAsia" w:eastAsiaTheme="minorEastAsia" w:hAnsiTheme="minorEastAsia" w:cs="Arial" w:hint="eastAsia"/>
          <w:kern w:val="0"/>
          <w:sz w:val="24"/>
          <w:szCs w:val="24"/>
        </w:rPr>
        <w:lastRenderedPageBreak/>
        <w:t>估价、变现和分配。基金财产清算小组可以依法进行必要的民事活动。</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、基金财产清算程序：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）《基金合同》终止情形出现时，由基金财产清算小组统一接管基金；</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）对基金财产和债权债务进行清理和确认；</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）对基金财产进行估值和变现；</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）制作清算报告；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）聘请会计师事务所对清算报告进行外部审计，聘请律师事务所对清算报告出具法律意见书；</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）将清算报告报中国证监会备案并公告；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）对基金剩余财产进行分配。</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、基金财产清算的期限为</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个月，但因本基金所持证券的流动性受到限制而不能及时变现的，清算期限相应顺延。</w:t>
      </w:r>
    </w:p>
    <w:p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四、清算费用</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清算费用是指基金财产清算小组在进行基金清算过程中发生的所有合理费用，清算费用由基金财产清算小组优先从基金剩余财产中支付。</w:t>
      </w:r>
    </w:p>
    <w:p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五、基金财产清算剩余资产的分配</w:t>
      </w:r>
    </w:p>
    <w:p w:rsidR="00572ECF" w:rsidRDefault="00915AEA" w:rsidP="00B2071A">
      <w:pPr>
        <w:spacing w:line="360" w:lineRule="auto"/>
        <w:ind w:firstLineChars="225" w:firstLine="54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依据基金财产清算的分配方案，将基金财产清算后的全部剩余资产扣除基金财产清算费用、交纳所欠税款并清偿基金债务后，按基金份额持有人持有的基金份额比例进行分配。</w:t>
      </w:r>
      <w:r>
        <w:rPr>
          <w:rFonts w:asciiTheme="minorEastAsia" w:eastAsiaTheme="minorEastAsia" w:hAnsiTheme="minorEastAsia"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Pr>
          <w:rFonts w:asciiTheme="minorEastAsia" w:eastAsiaTheme="minorEastAsia" w:hAnsiTheme="minorEastAsia"/>
          <w:sz w:val="24"/>
          <w:szCs w:val="24"/>
        </w:rPr>
        <w:t>2个月，保证金退款时间约为合同结束后7个月）方可清算。该笔清算资金在扣除相关费用</w:t>
      </w:r>
      <w:proofErr w:type="gramStart"/>
      <w:r>
        <w:rPr>
          <w:rFonts w:asciiTheme="minorEastAsia" w:eastAsiaTheme="minorEastAsia" w:hAnsiTheme="minorEastAsia"/>
          <w:sz w:val="24"/>
          <w:szCs w:val="24"/>
        </w:rPr>
        <w:t>后划往指定</w:t>
      </w:r>
      <w:proofErr w:type="gramEnd"/>
      <w:r>
        <w:rPr>
          <w:rFonts w:asciiTheme="minorEastAsia" w:eastAsiaTheme="minorEastAsia" w:hAnsiTheme="minorEastAsia"/>
          <w:sz w:val="24"/>
          <w:szCs w:val="24"/>
        </w:rPr>
        <w:t>账户。</w:t>
      </w:r>
    </w:p>
    <w:p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六、基金财产清算的公告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个工作日内由基金财产清算小组进行公告。</w:t>
      </w:r>
    </w:p>
    <w:p w:rsidR="00572ECF" w:rsidRDefault="00915AEA">
      <w:pPr>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七、基金财产清算账册及文件的保存</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基金财产清算账册及有关文件由基金托管人保存</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C20617" w:rsidRDefault="00C20617">
      <w:pPr>
        <w:adjustRightInd w:val="0"/>
        <w:snapToGrid w:val="0"/>
        <w:spacing w:line="360" w:lineRule="auto"/>
        <w:ind w:firstLineChars="200" w:firstLine="480"/>
        <w:rPr>
          <w:rFonts w:asciiTheme="minorEastAsia" w:eastAsiaTheme="minorEastAsia" w:hAnsiTheme="minorEastAsia" w:cs="Arial"/>
          <w:kern w:val="0"/>
          <w:sz w:val="24"/>
          <w:szCs w:val="24"/>
        </w:rPr>
      </w:pPr>
    </w:p>
    <w:p w:rsidR="00572ECF" w:rsidRDefault="00915AEA" w:rsidP="00C20617">
      <w:pPr>
        <w:pStyle w:val="1"/>
        <w:snapToGrid w:val="0"/>
        <w:spacing w:before="0" w:after="0" w:line="360" w:lineRule="auto"/>
        <w:ind w:firstLine="602"/>
        <w:rPr>
          <w:rFonts w:ascii="Arial Unicode MS" w:eastAsia="宋体" w:hAnsi="Arial Unicode MS" w:cs="Arial"/>
          <w:b/>
          <w:bCs/>
          <w:sz w:val="30"/>
          <w:szCs w:val="30"/>
        </w:rPr>
      </w:pPr>
      <w:bookmarkStart w:id="156" w:name="_Toc317088155"/>
      <w:bookmarkStart w:id="157" w:name="_Toc335232706"/>
      <w:bookmarkStart w:id="158" w:name="_Toc320887657"/>
      <w:bookmarkStart w:id="159" w:name="_Toc386115315"/>
      <w:bookmarkStart w:id="160" w:name="_Toc214873607"/>
      <w:bookmarkStart w:id="161" w:name="_Toc317088552"/>
      <w:bookmarkStart w:id="162" w:name="_Toc527466007"/>
      <w:bookmarkEnd w:id="155"/>
      <w:r>
        <w:rPr>
          <w:rFonts w:ascii="Arial Unicode MS" w:eastAsia="宋体" w:hAnsi="Arial Unicode MS" w:cs="Arial" w:hint="eastAsia"/>
          <w:b/>
          <w:bCs/>
          <w:sz w:val="30"/>
          <w:szCs w:val="30"/>
        </w:rPr>
        <w:lastRenderedPageBreak/>
        <w:t>第十八部分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基金合同的内容摘要</w:t>
      </w:r>
      <w:bookmarkEnd w:id="156"/>
      <w:bookmarkEnd w:id="157"/>
      <w:bookmarkEnd w:id="158"/>
      <w:bookmarkEnd w:id="159"/>
      <w:bookmarkEnd w:id="160"/>
      <w:bookmarkEnd w:id="161"/>
      <w:bookmarkEnd w:id="162"/>
    </w:p>
    <w:p w:rsidR="00C20617" w:rsidRPr="00C20617" w:rsidRDefault="00C20617" w:rsidP="00C20617">
      <w:pPr>
        <w:ind w:firstLine="420"/>
        <w:rPr>
          <w:lang w:val="zh-CN"/>
        </w:rPr>
      </w:pPr>
    </w:p>
    <w:p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一、基金份额持有人、基金管理人和基金托管人的权利、义务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（一）基金管理人的权利与义务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、根据《基金法》、《运作办法》及其他有关规定，基金管理人的权利包括但不限于：</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）依法募集资金；</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）自基金合同生效之日起，根据法律法规和基金合同独立运用并管理基金财产；</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）依照基金合同收取基金管理费以及法律法规规定或中国证监会批准的其他费用；</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）销售基金份额；</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）按照规定召集基金份额持有人大会；</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）依据基金合同及有关法律规定监督基金托管人，如认为基金托管人违反了基金合同及国家有关法律规定，应呈报中国证监会和其他监管部门，并采取必要措施保护基金投资者的利益；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）在基金托管人更换时，提名新的基金托管人；</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）选择、更换基金销售机构，对基金销售机构的相关行为进行监督和处理；</w:t>
      </w:r>
      <w:r>
        <w:rPr>
          <w:rFonts w:asciiTheme="minorEastAsia" w:eastAsiaTheme="minorEastAsia" w:hAnsiTheme="minorEastAsia" w:cs="Arial"/>
          <w:kern w:val="0"/>
          <w:sz w:val="24"/>
          <w:szCs w:val="24"/>
        </w:rPr>
        <w:t xml:space="preserve"> </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）担任或委托其他符合条件的机构担任基金登记机构办理基金登记业务并获得基金合同规定的费用；</w:t>
      </w:r>
      <w:r>
        <w:rPr>
          <w:rFonts w:asciiTheme="minorEastAsia" w:eastAsiaTheme="minorEastAsia" w:hAnsiTheme="minorEastAsia" w:cs="Arial"/>
          <w:kern w:val="0"/>
          <w:sz w:val="24"/>
          <w:szCs w:val="24"/>
        </w:rPr>
        <w:t xml:space="preserve"> </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）依据基金合同及有关法律规定决定基金收益的分配方案；</w:t>
      </w:r>
      <w:r>
        <w:rPr>
          <w:rFonts w:asciiTheme="minorEastAsia" w:eastAsiaTheme="minorEastAsia" w:hAnsiTheme="minorEastAsia" w:cs="Arial"/>
          <w:kern w:val="0"/>
          <w:sz w:val="24"/>
          <w:szCs w:val="24"/>
        </w:rPr>
        <w:tab/>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）在基金合同约定的范围内，拒绝或暂停受理申购、赎回与转换申请；</w:t>
      </w:r>
      <w:r>
        <w:rPr>
          <w:rFonts w:asciiTheme="minorEastAsia" w:eastAsiaTheme="minorEastAsia" w:hAnsiTheme="minorEastAsia" w:cs="Arial"/>
          <w:kern w:val="0"/>
          <w:sz w:val="24"/>
          <w:szCs w:val="24"/>
        </w:rPr>
        <w:t xml:space="preserve"> </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）依照法律法规为基金的利益对被投资公司行使股东权利，为基金的利益行使因基金财产投资于证券所产生的权利；</w:t>
      </w:r>
      <w:r>
        <w:rPr>
          <w:rFonts w:asciiTheme="minorEastAsia" w:eastAsiaTheme="minorEastAsia" w:hAnsiTheme="minorEastAsia" w:cs="Arial"/>
          <w:kern w:val="0"/>
          <w:sz w:val="24"/>
          <w:szCs w:val="24"/>
        </w:rPr>
        <w:tab/>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）以基金管理人的名义，代表基金份额持有人的利益行使诉讼权利或者实施其他法律行为；</w:t>
      </w:r>
      <w:r>
        <w:rPr>
          <w:rFonts w:asciiTheme="minorEastAsia" w:eastAsiaTheme="minorEastAsia" w:hAnsiTheme="minorEastAsia" w:cs="Arial"/>
          <w:kern w:val="0"/>
          <w:sz w:val="24"/>
          <w:szCs w:val="24"/>
        </w:rPr>
        <w:tab/>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14</w:t>
      </w:r>
      <w:r>
        <w:rPr>
          <w:rFonts w:asciiTheme="minorEastAsia" w:eastAsiaTheme="minorEastAsia" w:hAnsiTheme="minorEastAsia" w:cs="Arial" w:hint="eastAsia"/>
          <w:kern w:val="0"/>
          <w:sz w:val="24"/>
          <w:szCs w:val="24"/>
        </w:rPr>
        <w:t>）选择、更换律师事务所、会计师事务所、证券经纪商或其他为基金提供服务的外部机构；</w:t>
      </w:r>
      <w:r>
        <w:rPr>
          <w:rFonts w:asciiTheme="minorEastAsia" w:eastAsiaTheme="minorEastAsia" w:hAnsiTheme="minorEastAsia" w:cs="Arial"/>
          <w:kern w:val="0"/>
          <w:sz w:val="24"/>
          <w:szCs w:val="24"/>
        </w:rPr>
        <w:tab/>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）在符合有关法律、法规的前提下，制订和调整有关基金认购、申购、</w:t>
      </w:r>
      <w:r>
        <w:rPr>
          <w:rFonts w:asciiTheme="minorEastAsia" w:eastAsiaTheme="minorEastAsia" w:hAnsiTheme="minorEastAsia" w:cs="Arial" w:hint="eastAsia"/>
          <w:kern w:val="0"/>
          <w:sz w:val="24"/>
          <w:szCs w:val="24"/>
        </w:rPr>
        <w:lastRenderedPageBreak/>
        <w:t>赎回、转换、定期定额投资和</w:t>
      </w:r>
      <w:proofErr w:type="gramStart"/>
      <w:r>
        <w:rPr>
          <w:rFonts w:asciiTheme="minorEastAsia" w:eastAsiaTheme="minorEastAsia" w:hAnsiTheme="minorEastAsia" w:cs="Arial" w:hint="eastAsia"/>
          <w:kern w:val="0"/>
          <w:sz w:val="24"/>
          <w:szCs w:val="24"/>
        </w:rPr>
        <w:t>非交易</w:t>
      </w:r>
      <w:proofErr w:type="gramEnd"/>
      <w:r>
        <w:rPr>
          <w:rFonts w:asciiTheme="minorEastAsia" w:eastAsiaTheme="minorEastAsia" w:hAnsiTheme="minorEastAsia" w:cs="Arial" w:hint="eastAsia"/>
          <w:kern w:val="0"/>
          <w:sz w:val="24"/>
          <w:szCs w:val="24"/>
        </w:rPr>
        <w:t>过户等业务规则；</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r>
        <w:rPr>
          <w:rFonts w:asciiTheme="minorEastAsia" w:eastAsiaTheme="minorEastAsia" w:hAnsiTheme="minorEastAsia" w:cs="Arial" w:hint="eastAsia"/>
          <w:kern w:val="0"/>
          <w:sz w:val="24"/>
          <w:szCs w:val="24"/>
        </w:rPr>
        <w:t>）法律法规及中国证监会规定的和基金合同约定的其他权利。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、根据《基金法》、《运作办法》及其他有关规定，基金管理人的义务包括但不限于：</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）依法募集资金，办理或者委托经中国证监会认定的其他机构代为办理基金份额的发售、申购、赎回和登记事宜；</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）办理基金备案手续；</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）自基金合同生效之日起，以诚实信用、谨慎勤勉的原则管理和运用基金财产；</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）配备足够的具有专业资格的人员进行基金投资分析、决策，以专业化的经营方式管理和运作基金财产；</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）建立健全内部风险控制、监察与稽核、财务管理及人事管理等制度，保证所管理的基金财产和基金管理人的财产相互独立，对所管理的不同基金分别管理，分别记账，进行证券投资；</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）除依据《基金法》、基金合同及其他有关规定外，不得利用基金财产为自己及任何第三人谋取利益，不得委托第三人运作基金财产；</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）依法接受基金托管人的监督；</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）采取适当合理的措施使计算基金份额认购、申购、赎回和注销价格的方法符合基金合同等法律文件的规定，按有关规定计算并公告基金资产净值，确定基金份额申购、赎回的价格；</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）进行基金会计核算并编制基金财务会计报告；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）编制季度、半年度和年度基金报告；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）严格按照《基金法》、基金合同及其他有关规定，履行信息披露及报告义务；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）保守基金商业秘密，不泄露基金投资计划、投资意向等。除《基金法》、基金合同及其他有关规定另有规定外，在基金信息公开披露前应予保密，不向他人泄露；</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）按基金合同的约定确定基金收益分配方案，及时向基金份额持有人分配基金收益；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14</w:t>
      </w:r>
      <w:r>
        <w:rPr>
          <w:rFonts w:asciiTheme="minorEastAsia" w:eastAsiaTheme="minorEastAsia" w:hAnsiTheme="minorEastAsia" w:cs="Arial" w:hint="eastAsia"/>
          <w:kern w:val="0"/>
          <w:sz w:val="24"/>
          <w:szCs w:val="24"/>
        </w:rPr>
        <w:t>）按规定受理申购与赎回申请，及时、足额支付赎回款项；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）依据《基金法》、基金合同及其他有关规定召集基金份额持有人大会或配合基金托管人、基金份额持有人依法召集基金份额持有人大会；</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r>
        <w:rPr>
          <w:rFonts w:asciiTheme="minorEastAsia" w:eastAsiaTheme="minorEastAsia" w:hAnsiTheme="minorEastAsia" w:cs="Arial" w:hint="eastAsia"/>
          <w:kern w:val="0"/>
          <w:sz w:val="24"/>
          <w:szCs w:val="24"/>
        </w:rPr>
        <w:t>）按规定保存基金财产管理业务活动的会计账册、报表、记录和其他相关资料</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17</w:t>
      </w:r>
      <w:r>
        <w:rPr>
          <w:rFonts w:asciiTheme="minorEastAsia" w:eastAsiaTheme="minorEastAsia" w:hAnsiTheme="minorEastAsia" w:cs="Arial" w:hint="eastAsia"/>
          <w:kern w:val="0"/>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18</w:t>
      </w:r>
      <w:r>
        <w:rPr>
          <w:rFonts w:asciiTheme="minorEastAsia" w:eastAsiaTheme="minorEastAsia" w:hAnsiTheme="minorEastAsia" w:cs="Arial" w:hint="eastAsia"/>
          <w:kern w:val="0"/>
          <w:sz w:val="24"/>
          <w:szCs w:val="24"/>
        </w:rPr>
        <w:t>）组织并参加基金财产清算小组，参与基金财产的保管、清理、估价、变现和分配；</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19</w:t>
      </w:r>
      <w:r>
        <w:rPr>
          <w:rFonts w:asciiTheme="minorEastAsia" w:eastAsiaTheme="minorEastAsia" w:hAnsiTheme="minorEastAsia" w:cs="Arial" w:hint="eastAsia"/>
          <w:kern w:val="0"/>
          <w:sz w:val="24"/>
          <w:szCs w:val="24"/>
        </w:rPr>
        <w:t>）面临解散、依法被撤销或者被依法宣告破产时，及时报告中国证监会并通知基金托管人；</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20</w:t>
      </w:r>
      <w:r>
        <w:rPr>
          <w:rFonts w:asciiTheme="minorEastAsia" w:eastAsiaTheme="minorEastAsia" w:hAnsiTheme="minorEastAsia" w:cs="Arial" w:hint="eastAsia"/>
          <w:kern w:val="0"/>
          <w:sz w:val="24"/>
          <w:szCs w:val="24"/>
        </w:rPr>
        <w:t>）因违反基金合同导致基金财产的损失或损害基金份额持有人合法权益时，应当承担赔偿责任，其赔偿责任不因其退任而免除；</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21</w:t>
      </w:r>
      <w:r>
        <w:rPr>
          <w:rFonts w:asciiTheme="minorEastAsia" w:eastAsiaTheme="minorEastAsia" w:hAnsiTheme="minorEastAsia" w:cs="Arial" w:hint="eastAsia"/>
          <w:kern w:val="0"/>
          <w:sz w:val="24"/>
          <w:szCs w:val="24"/>
        </w:rPr>
        <w:t>）监督基金托管人按法律法规和基金合同规定履行自己的义务，基金托管人违反基金合同造成基金财产损失时，基金管理人应为基金份额持有人利益向基金托管人追偿；</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22</w:t>
      </w:r>
      <w:r>
        <w:rPr>
          <w:rFonts w:asciiTheme="minorEastAsia" w:eastAsiaTheme="minorEastAsia" w:hAnsiTheme="minorEastAsia" w:cs="Arial" w:hint="eastAsia"/>
          <w:kern w:val="0"/>
          <w:sz w:val="24"/>
          <w:szCs w:val="24"/>
        </w:rPr>
        <w:t>）当基金管理人将其义务委托第三方处理时，应当对第三方处理有关基金事务的行为承担责任；</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23</w:t>
      </w:r>
      <w:r>
        <w:rPr>
          <w:rFonts w:asciiTheme="minorEastAsia" w:eastAsiaTheme="minorEastAsia" w:hAnsiTheme="minorEastAsia" w:cs="Arial" w:hint="eastAsia"/>
          <w:kern w:val="0"/>
          <w:sz w:val="24"/>
          <w:szCs w:val="24"/>
        </w:rPr>
        <w:t>）以基金管理人名义，代表基金份额持有人利益行使诉讼权利或实施其他法律行为；</w:t>
      </w:r>
      <w:r>
        <w:rPr>
          <w:rFonts w:asciiTheme="minorEastAsia" w:eastAsiaTheme="minorEastAsia" w:hAnsiTheme="minorEastAsia" w:cs="Arial"/>
          <w:kern w:val="0"/>
          <w:sz w:val="24"/>
          <w:szCs w:val="24"/>
        </w:rPr>
        <w:tab/>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24</w:t>
      </w:r>
      <w:r>
        <w:rPr>
          <w:rFonts w:asciiTheme="minorEastAsia" w:eastAsiaTheme="minorEastAsia" w:hAnsiTheme="minorEastAsia" w:cs="Arial" w:hint="eastAsia"/>
          <w:kern w:val="0"/>
          <w:sz w:val="24"/>
          <w:szCs w:val="24"/>
        </w:rPr>
        <w:t>）基金管理人在募集期间未能达到基金的备案条件，基金合同不能生效，基金管理人承担全部募集费用，将已募集资金并加计银行同期活期存款利息在基金募集期结束后</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日内退还基金认购人；</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25</w:t>
      </w:r>
      <w:r>
        <w:rPr>
          <w:rFonts w:asciiTheme="minorEastAsia" w:eastAsiaTheme="minorEastAsia" w:hAnsiTheme="minorEastAsia" w:cs="Arial" w:hint="eastAsia"/>
          <w:kern w:val="0"/>
          <w:sz w:val="24"/>
          <w:szCs w:val="24"/>
        </w:rPr>
        <w:t>）执行生效的基金份额持有人大会的决议；</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26</w:t>
      </w:r>
      <w:r>
        <w:rPr>
          <w:rFonts w:asciiTheme="minorEastAsia" w:eastAsiaTheme="minorEastAsia" w:hAnsiTheme="minorEastAsia" w:cs="Arial" w:hint="eastAsia"/>
          <w:kern w:val="0"/>
          <w:sz w:val="24"/>
          <w:szCs w:val="24"/>
        </w:rPr>
        <w:t>）建立并保存基金份额持有人名册；</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27</w:t>
      </w:r>
      <w:r>
        <w:rPr>
          <w:rFonts w:asciiTheme="minorEastAsia" w:eastAsiaTheme="minorEastAsia" w:hAnsiTheme="minorEastAsia" w:cs="Arial" w:hint="eastAsia"/>
          <w:kern w:val="0"/>
          <w:sz w:val="24"/>
          <w:szCs w:val="24"/>
        </w:rPr>
        <w:t>）法律法规及中国证监会规定的和基金合同约定的其他义务。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w:t>
      </w:r>
      <w:r>
        <w:rPr>
          <w:rFonts w:asciiTheme="minorEastAsia" w:eastAsiaTheme="minorEastAsia" w:hAnsiTheme="minorEastAsia" w:cs="Arial"/>
          <w:kern w:val="0"/>
          <w:sz w:val="24"/>
          <w:szCs w:val="24"/>
        </w:rPr>
        <w:tab/>
      </w:r>
      <w:r>
        <w:rPr>
          <w:rFonts w:asciiTheme="minorEastAsia" w:eastAsiaTheme="minorEastAsia" w:hAnsiTheme="minorEastAsia" w:cs="Arial" w:hint="eastAsia"/>
          <w:kern w:val="0"/>
          <w:sz w:val="24"/>
          <w:szCs w:val="24"/>
        </w:rPr>
        <w:t>基金托管人的权利与义务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、根据《基金法》、《运作办法》及其他有关规定，基金托管人的权利包括但不限于：</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）自基金合同生效之日起，依法</w:t>
      </w:r>
      <w:proofErr w:type="gramStart"/>
      <w:r>
        <w:rPr>
          <w:rFonts w:asciiTheme="minorEastAsia" w:eastAsiaTheme="minorEastAsia" w:hAnsiTheme="minorEastAsia" w:cs="Arial" w:hint="eastAsia"/>
          <w:kern w:val="0"/>
          <w:sz w:val="24"/>
          <w:szCs w:val="24"/>
        </w:rPr>
        <w:t>律法规</w:t>
      </w:r>
      <w:proofErr w:type="gramEnd"/>
      <w:r>
        <w:rPr>
          <w:rFonts w:asciiTheme="minorEastAsia" w:eastAsiaTheme="minorEastAsia" w:hAnsiTheme="minorEastAsia" w:cs="Arial" w:hint="eastAsia"/>
          <w:kern w:val="0"/>
          <w:sz w:val="24"/>
          <w:szCs w:val="24"/>
        </w:rPr>
        <w:t>和基金合同的规定安全保管基金</w:t>
      </w:r>
      <w:r>
        <w:rPr>
          <w:rFonts w:asciiTheme="minorEastAsia" w:eastAsiaTheme="minorEastAsia" w:hAnsiTheme="minorEastAsia" w:cs="Arial" w:hint="eastAsia"/>
          <w:kern w:val="0"/>
          <w:sz w:val="24"/>
          <w:szCs w:val="24"/>
        </w:rPr>
        <w:lastRenderedPageBreak/>
        <w:t>财产；</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）依基金合同约定获得基金托管费以及法律法规规定或监管部门批准的其他费用；</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）根据相关市场规则，为基金开设资金账户、证券账户</w:t>
      </w:r>
      <w:r>
        <w:rPr>
          <w:rFonts w:asciiTheme="minorEastAsia" w:eastAsiaTheme="minorEastAsia" w:hAnsiTheme="minorEastAsia" w:cs="Arial"/>
          <w:kern w:val="0"/>
          <w:sz w:val="24"/>
          <w:szCs w:val="24"/>
        </w:rPr>
        <w:t>和</w:t>
      </w:r>
      <w:r>
        <w:rPr>
          <w:rFonts w:asciiTheme="minorEastAsia" w:eastAsiaTheme="minorEastAsia" w:hAnsiTheme="minorEastAsia" w:cs="Arial" w:hint="eastAsia"/>
          <w:kern w:val="0"/>
          <w:sz w:val="24"/>
          <w:szCs w:val="24"/>
        </w:rPr>
        <w:t>期货账户等投资所需账户，为基金办理证券、期货交易资金清算；</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）提议召开或召集基金份额持有人大会；</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）在基金管理人更换时，提名新的基金管理人；</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）法律法规及中国证监会规定的和基金合同约定的其他权利。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、根据《基金法》、《运作办法》及其他有关规定，基金托管人的义务包括但不限于：</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）以诚实信用、勤勉尽责的原则持有并安全保管基金财产；</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）设立专门的基金托管部门，具有符合要求的营业场所，配备足够的、合格的熟悉基金托管业务的专职人员，负责基金财产托管事宜；</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）除依据《基金法》、基金合同及其他有关规定外，不得利用基金财产为自己及任何第三人谋取利益，不得委托第三人托管基金财产；</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）保管由基金管理人代表基金签订的与基金有关的重大合同及有关凭证；</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）按规定开设基金财产的资金账户、证券账户、期货账户等投资所需账户，按照基金合同的约定，根据基金管理人的投资指令，及时办理清算、交割事宜；</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）保守基金商业秘密，除《基金法》、基金合同及其他有关规定另有规定外，在基金信息公开披露前予以保密，不得向他人泄露；</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（8）复核、审查基金管理人计算的基金资产净值、基金份额申购、赎回价格；</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）办理与基金托管业务活动有关的信息披露事项；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）保存基金托管业务活动的记录、账册、报表和其他相关资料</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）建立并保存基金份额持有人名册；</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）按规定制作相关账册并与基金管理人核对；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14</w:t>
      </w:r>
      <w:r>
        <w:rPr>
          <w:rFonts w:asciiTheme="minorEastAsia" w:eastAsiaTheme="minorEastAsia" w:hAnsiTheme="minorEastAsia" w:cs="Arial" w:hint="eastAsia"/>
          <w:kern w:val="0"/>
          <w:sz w:val="24"/>
          <w:szCs w:val="24"/>
        </w:rPr>
        <w:t>）依据基金管理人的指令或有关规定向基金份额持有人支付基金收益和赎回款项；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）依据《基金法》、基金合同及其他有关规定，召集基金份额持有人大会或配合基金管理人、基金份额持有人依法召集基金份额持有人大会；</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16</w:t>
      </w:r>
      <w:r>
        <w:rPr>
          <w:rFonts w:asciiTheme="minorEastAsia" w:eastAsiaTheme="minorEastAsia" w:hAnsiTheme="minorEastAsia" w:cs="Arial" w:hint="eastAsia"/>
          <w:kern w:val="0"/>
          <w:sz w:val="24"/>
          <w:szCs w:val="24"/>
        </w:rPr>
        <w:t>）按照法律法规和基金合同的规定监督基金管理人的投资运作；</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17</w:t>
      </w:r>
      <w:r>
        <w:rPr>
          <w:rFonts w:asciiTheme="minorEastAsia" w:eastAsiaTheme="minorEastAsia" w:hAnsiTheme="minorEastAsia" w:cs="Arial" w:hint="eastAsia"/>
          <w:kern w:val="0"/>
          <w:sz w:val="24"/>
          <w:szCs w:val="24"/>
        </w:rPr>
        <w:t>）参加基金财产清算小组，参与基金财产的保管、清理、估价、变现和分配；</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18</w:t>
      </w:r>
      <w:r>
        <w:rPr>
          <w:rFonts w:asciiTheme="minorEastAsia" w:eastAsiaTheme="minorEastAsia" w:hAnsiTheme="minorEastAsia" w:cs="Arial" w:hint="eastAsia"/>
          <w:kern w:val="0"/>
          <w:sz w:val="24"/>
          <w:szCs w:val="24"/>
        </w:rPr>
        <w:t>）面临解散、依法被撤销或者被依法宣告破产时，及时报告中国证监会和银行监管机构，并通知基金管理人；</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19</w:t>
      </w:r>
      <w:r>
        <w:rPr>
          <w:rFonts w:asciiTheme="minorEastAsia" w:eastAsiaTheme="minorEastAsia" w:hAnsiTheme="minorEastAsia" w:cs="Arial" w:hint="eastAsia"/>
          <w:kern w:val="0"/>
          <w:sz w:val="24"/>
          <w:szCs w:val="24"/>
        </w:rPr>
        <w:t>）因违反基金合同导致基金财产损失时，应承担赔偿责任，其赔偿责任不因其退任而免除；</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20</w:t>
      </w:r>
      <w:r>
        <w:rPr>
          <w:rFonts w:asciiTheme="minorEastAsia" w:eastAsiaTheme="minorEastAsia" w:hAnsiTheme="minorEastAsia" w:cs="Arial" w:hint="eastAsia"/>
          <w:kern w:val="0"/>
          <w:sz w:val="24"/>
          <w:szCs w:val="24"/>
        </w:rPr>
        <w:t>）按规定监督基金管理人按法律法规和基金合同规定履行自己的义务，基金管理人因违反基金合同造成基金财产损失时，应为基金份额持有人利益向基金管理人追偿；</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21</w:t>
      </w:r>
      <w:r>
        <w:rPr>
          <w:rFonts w:asciiTheme="minorEastAsia" w:eastAsiaTheme="minorEastAsia" w:hAnsiTheme="minorEastAsia" w:cs="Arial" w:hint="eastAsia"/>
          <w:kern w:val="0"/>
          <w:sz w:val="24"/>
          <w:szCs w:val="24"/>
        </w:rPr>
        <w:t>）执行生效的基金份额持有人大会的决议；</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22</w:t>
      </w:r>
      <w:r>
        <w:rPr>
          <w:rFonts w:asciiTheme="minorEastAsia" w:eastAsiaTheme="minorEastAsia" w:hAnsiTheme="minorEastAsia" w:cs="Arial" w:hint="eastAsia"/>
          <w:kern w:val="0"/>
          <w:sz w:val="24"/>
          <w:szCs w:val="24"/>
        </w:rPr>
        <w:t>）法律法规及中国证监会规定的和基金合同约定的其他义务。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（三）基金份额持有人的权利和义务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基金投资者持有本</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份额的行为即视为对基金合同的承认和接受，基金投资者</w:t>
      </w:r>
      <w:proofErr w:type="gramStart"/>
      <w:r>
        <w:rPr>
          <w:rFonts w:asciiTheme="minorEastAsia" w:eastAsiaTheme="minorEastAsia" w:hAnsiTheme="minorEastAsia" w:cs="Arial" w:hint="eastAsia"/>
          <w:kern w:val="0"/>
          <w:sz w:val="24"/>
          <w:szCs w:val="24"/>
        </w:rPr>
        <w:t>自依据</w:t>
      </w:r>
      <w:proofErr w:type="gramEnd"/>
      <w:r>
        <w:rPr>
          <w:rFonts w:asciiTheme="minorEastAsia" w:eastAsiaTheme="minorEastAsia" w:hAnsiTheme="minorEastAsia" w:cs="Arial" w:hint="eastAsia"/>
          <w:kern w:val="0"/>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同一类别每份基金份额具有同等的合法权益。本基金</w:t>
      </w:r>
      <w:r>
        <w:rPr>
          <w:rFonts w:asciiTheme="minorEastAsia" w:eastAsiaTheme="minorEastAsia" w:hAnsiTheme="minorEastAsia" w:cs="Arial"/>
          <w:kern w:val="0"/>
          <w:sz w:val="24"/>
          <w:szCs w:val="24"/>
        </w:rPr>
        <w:t>A</w:t>
      </w:r>
      <w:r>
        <w:rPr>
          <w:rFonts w:asciiTheme="minorEastAsia" w:eastAsiaTheme="minorEastAsia" w:hAnsiTheme="minorEastAsia" w:cs="Arial" w:hint="eastAsia"/>
          <w:kern w:val="0"/>
          <w:sz w:val="24"/>
          <w:szCs w:val="24"/>
        </w:rPr>
        <w:t>类基金份额与</w:t>
      </w:r>
      <w:r>
        <w:rPr>
          <w:rFonts w:asciiTheme="minorEastAsia" w:eastAsiaTheme="minorEastAsia" w:hAnsiTheme="minorEastAsia" w:cs="Arial"/>
          <w:kern w:val="0"/>
          <w:sz w:val="24"/>
          <w:szCs w:val="24"/>
        </w:rPr>
        <w:t>C</w:t>
      </w:r>
      <w:r>
        <w:rPr>
          <w:rFonts w:asciiTheme="minorEastAsia" w:eastAsiaTheme="minorEastAsia" w:hAnsiTheme="minorEastAsia" w:cs="Arial" w:hint="eastAsia"/>
          <w:kern w:val="0"/>
          <w:sz w:val="24"/>
          <w:szCs w:val="24"/>
        </w:rPr>
        <w:t>类基金份额由于基金份额净值的不同，基金收益分配的金额以及参与清算后的剩余基金财产分配的数量将可能有所不同。</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、根据《基金法》、《运作办法》及其他有关规定，基金份额持有人的权利包括但不限于：</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）分享基金财产收益；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）参与分配清算后的剩余基金财产；</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）根据基金合同的约定依法转让或申请赎回其持有的基金份额；</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）按照规定要求召开基金份额持有人大会或者召集基金份额持有人大会；</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）出席或者委派代表出席基金份额持有人大会，对基金份额持有人大会审议事项行使表决权；</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）查阅或者复制公开披露的基金信息资料；</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）监督基金管理人的投资运作；</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）对基金管理人、基金托管人、基金服务机构损害其合法权益的行为依法提起诉讼或仲裁；</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）法律法规及中国证监会规定的和基金合同约定的其他权利。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、根据《基金法》、《运作办法》及其他有关规定，基金份额持有人的义务包括但不限于：</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）认真阅读并遵守基金合同、招募说明书等信息披露文件；</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）了解所投资基金产品，了解自身风险承受能力，自主判断基金的投资价值，自主做出投资决策，自行承担投资风险；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）关注基金信息披露，及时行使权利和履行义务；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）缴纳基金认购、申购款项及法律法规和基金合同所规定的费用；</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）在其持有的基金份额范围内，承担基金亏损或者基金合同终止的有限责任；</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）不从事任何有损基金及其他基金合同当事人合法权益的活动；</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）执行生效的基金份额持有人大会的决议；</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）返还在基金交易过程中因任何原因获得的不当得利；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）法律法规及中国证监会规定的和基金合同约定的其他义务。</w:t>
      </w:r>
    </w:p>
    <w:p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bookmarkStart w:id="163" w:name="_Hlt88825574"/>
      <w:bookmarkEnd w:id="163"/>
      <w:r>
        <w:rPr>
          <w:rFonts w:asciiTheme="minorEastAsia" w:eastAsiaTheme="minorEastAsia" w:hAnsiTheme="minorEastAsia" w:hint="eastAsia"/>
          <w:b/>
          <w:bCs/>
          <w:sz w:val="24"/>
          <w:szCs w:val="24"/>
        </w:rPr>
        <w:t>二、基金份额持有人大会召集、议事及表决的程序和规则</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基金份额持有人大会由基金份额持有人组成，基金份额持有人的合法授权代表有权代表基金份额持有人出席会议并表决。基金份额持有人持有的同一类别每一基金份额拥有平等的投票权。</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本</w:t>
      </w:r>
      <w:proofErr w:type="gramStart"/>
      <w:r>
        <w:rPr>
          <w:rFonts w:asciiTheme="minorEastAsia" w:eastAsiaTheme="minorEastAsia" w:hAnsiTheme="minorEastAsia" w:cs="Arial" w:hint="eastAsia"/>
          <w:kern w:val="0"/>
          <w:sz w:val="24"/>
          <w:szCs w:val="24"/>
        </w:rPr>
        <w:t>基金基金</w:t>
      </w:r>
      <w:proofErr w:type="gramEnd"/>
      <w:r>
        <w:rPr>
          <w:rFonts w:asciiTheme="minorEastAsia" w:eastAsiaTheme="minorEastAsia" w:hAnsiTheme="minorEastAsia" w:cs="Arial" w:hint="eastAsia"/>
          <w:kern w:val="0"/>
          <w:sz w:val="24"/>
          <w:szCs w:val="24"/>
        </w:rPr>
        <w:t>份额持有人大会不设日常机构。</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（一）召开事由</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、除法律法规和中国证监会另有规定或《基金合同》另有约定外，当出现或需要决定下列事由之一的，应当召开基金份额持有人大会：</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）终止基金合同；</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）更换基金管理人；</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）更换基金托管人；</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）转换基金运作方式；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）调整基金管理人、基金托管人的报酬标准或调高销售服务费率；</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）变更基金类别；</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）本基金与其他基金的合并；</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）变更基金投资目标、范围或策略；</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）变更基金份额持有人大会程序；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）基金管理人或基金托管人要求召开基金份额持有人大会；</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11</w:t>
      </w:r>
      <w:r>
        <w:rPr>
          <w:rFonts w:asciiTheme="minorEastAsia" w:eastAsiaTheme="minorEastAsia" w:hAnsiTheme="minorEastAsia" w:cs="Arial" w:hint="eastAsia"/>
          <w:kern w:val="0"/>
          <w:sz w:val="24"/>
          <w:szCs w:val="24"/>
        </w:rPr>
        <w:t>）单独或合计持有本基金总份额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）基金份额的基金份额持有人（以基金管理人收到提议当日的基金份额计算，下同）就同一事项书面要求召开基金份额持有人大会；</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12</w:t>
      </w:r>
      <w:r>
        <w:rPr>
          <w:rFonts w:asciiTheme="minorEastAsia" w:eastAsiaTheme="minorEastAsia" w:hAnsiTheme="minorEastAsia" w:cs="Arial" w:hint="eastAsia"/>
          <w:kern w:val="0"/>
          <w:sz w:val="24"/>
          <w:szCs w:val="24"/>
        </w:rPr>
        <w:t>）对基金合同当事人权利和义务产生重大影响的其他事项；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13</w:t>
      </w:r>
      <w:r>
        <w:rPr>
          <w:rFonts w:asciiTheme="minorEastAsia" w:eastAsiaTheme="minorEastAsia" w:hAnsiTheme="minorEastAsia" w:cs="Arial" w:hint="eastAsia"/>
          <w:kern w:val="0"/>
          <w:sz w:val="24"/>
          <w:szCs w:val="24"/>
        </w:rPr>
        <w:t>）法律法规、基金合同或中国证监会规定的其他应当召开基金份额持有人大会的事项。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、以下情况可由基金管理人和基金托管人协商后修改，不需召开基金份额持有人大会：</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）调低销售服务费；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）法律法规要求增加的基金费用的收取；</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）在法律法规和基金合同规定的范围内且对现有基金份额持有人利益无实质性不利影响的前提下调整本基金的申购费率、调低赎回费率或变更收费方式；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w:t>
      </w:r>
      <w:proofErr w:type="gramStart"/>
      <w:r>
        <w:rPr>
          <w:rFonts w:asciiTheme="minorEastAsia" w:eastAsiaTheme="minorEastAsia" w:hAnsiTheme="minorEastAsia" w:cs="Arial" w:hint="eastAsia"/>
          <w:kern w:val="0"/>
          <w:sz w:val="24"/>
          <w:szCs w:val="24"/>
        </w:rPr>
        <w:t>因相应</w:t>
      </w:r>
      <w:proofErr w:type="gramEnd"/>
      <w:r>
        <w:rPr>
          <w:rFonts w:asciiTheme="minorEastAsia" w:eastAsiaTheme="minorEastAsia" w:hAnsiTheme="minorEastAsia" w:cs="Arial" w:hint="eastAsia"/>
          <w:kern w:val="0"/>
          <w:sz w:val="24"/>
          <w:szCs w:val="24"/>
        </w:rPr>
        <w:t>的法律法规发生变动而应当对基金合同进行修改；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）对基金合同的修改对基金份额持有人利益无实质性不利影响或修改不涉及基金合同当事人权利义务关系发生重大变化；</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）在不违反法律法规、基金合同以及在不损害已有基金份额持有人权益的前提下，基金管理人、登记机构、基金销售机构在法律法规规定或中国证监会许可的范围内调整有关认购、申购、赎回、转换、基金交易、</w:t>
      </w:r>
      <w:proofErr w:type="gramStart"/>
      <w:r>
        <w:rPr>
          <w:rFonts w:asciiTheme="minorEastAsia" w:eastAsiaTheme="minorEastAsia" w:hAnsiTheme="minorEastAsia" w:cs="Arial" w:hint="eastAsia"/>
          <w:kern w:val="0"/>
          <w:sz w:val="24"/>
          <w:szCs w:val="24"/>
        </w:rPr>
        <w:t>非交易</w:t>
      </w:r>
      <w:proofErr w:type="gramEnd"/>
      <w:r>
        <w:rPr>
          <w:rFonts w:asciiTheme="minorEastAsia" w:eastAsiaTheme="minorEastAsia" w:hAnsiTheme="minorEastAsia" w:cs="Arial" w:hint="eastAsia"/>
          <w:kern w:val="0"/>
          <w:sz w:val="24"/>
          <w:szCs w:val="24"/>
        </w:rPr>
        <w:t>过户、转托管等业务规则；</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8</w:t>
      </w:r>
      <w:r>
        <w:rPr>
          <w:rFonts w:asciiTheme="minorEastAsia" w:eastAsiaTheme="minorEastAsia" w:hAnsiTheme="minorEastAsia" w:cs="Arial" w:hint="eastAsia"/>
          <w:kern w:val="0"/>
          <w:sz w:val="24"/>
          <w:szCs w:val="24"/>
        </w:rPr>
        <w:t>）在不违反法律法规、基金合同以及在不损害已有基金份额持有人权益的前提下，基金推出新业务或服务；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9</w:t>
      </w:r>
      <w:r>
        <w:rPr>
          <w:rFonts w:asciiTheme="minorEastAsia" w:eastAsiaTheme="minorEastAsia" w:hAnsiTheme="minorEastAsia" w:cs="Arial" w:hint="eastAsia"/>
          <w:kern w:val="0"/>
          <w:sz w:val="24"/>
          <w:szCs w:val="24"/>
        </w:rPr>
        <w:t>）按照法律法规和基金合同规定不需召开基金份额持有人大会的其他情形。</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、《基金合同》生效后，连续</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个工作日出现基金份额持有人数量不满</w:t>
      </w:r>
      <w:r>
        <w:rPr>
          <w:rFonts w:asciiTheme="minorEastAsia" w:eastAsiaTheme="minorEastAsia" w:hAnsiTheme="minorEastAsia" w:cs="Arial"/>
          <w:kern w:val="0"/>
          <w:sz w:val="24"/>
          <w:szCs w:val="24"/>
        </w:rPr>
        <w:t>200</w:t>
      </w:r>
      <w:r>
        <w:rPr>
          <w:rFonts w:asciiTheme="minorEastAsia" w:eastAsiaTheme="minorEastAsia" w:hAnsiTheme="minorEastAsia" w:cs="Arial" w:hint="eastAsia"/>
          <w:kern w:val="0"/>
          <w:sz w:val="24"/>
          <w:szCs w:val="24"/>
        </w:rPr>
        <w:t>人或者基金资产净值低于</w:t>
      </w:r>
      <w:r>
        <w:rPr>
          <w:rFonts w:asciiTheme="minorEastAsia" w:eastAsiaTheme="minorEastAsia" w:hAnsiTheme="minorEastAsia" w:cs="Arial"/>
          <w:kern w:val="0"/>
          <w:sz w:val="24"/>
          <w:szCs w:val="24"/>
        </w:rPr>
        <w:t>5000</w:t>
      </w:r>
      <w:r>
        <w:rPr>
          <w:rFonts w:asciiTheme="minorEastAsia" w:eastAsiaTheme="minorEastAsia" w:hAnsiTheme="minorEastAsia" w:cs="Arial" w:hint="eastAsia"/>
          <w:kern w:val="0"/>
          <w:sz w:val="24"/>
          <w:szCs w:val="24"/>
        </w:rPr>
        <w:t>万元情形的，本基金将根据《基金合同》约定进入清算程序并终止，无需召开基金份额持有人大会进行表决。</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（二）会议召集人及召集方式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、除法律法规规定或基金合同另有约定外，基金份额持有人大会由基金管理人召集。</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、基金管理人未按规定召集或不能召开时，由基金托管人召集。</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、基金托管人认为有必要召开基金份额持有人大会的，应当向基金管理人提出书面提议。基金管理人应当自收到书面提议之日起</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日内决定是否召集，并书面告知基金托管人。基金管理人决定召集的，应当自出具书面决定之日起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日内召开；基金管理人决定不召集，基金托管人仍认为有必要召开的，应当由基金托管人自行召集，并自出具书面决定之日起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日内召开并告知基金管理人，基金管理人应当配合。</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）的基金份额持有人就同一事项书面要求召开基金份额持有人大会，应当向基金管理人提出书面提议。基金管理人应当自收到书面提议之日起10日内决定是否召集，并书面告知提出提议的基金份额持</w:t>
      </w:r>
      <w:r>
        <w:rPr>
          <w:rFonts w:asciiTheme="minorEastAsia" w:eastAsiaTheme="minorEastAsia" w:hAnsiTheme="minorEastAsia" w:cs="Arial" w:hint="eastAsia"/>
          <w:kern w:val="0"/>
          <w:sz w:val="24"/>
          <w:szCs w:val="24"/>
        </w:rPr>
        <w:lastRenderedPageBreak/>
        <w:t>有人代表和基金托管人。基金管理人决定召集的，应当自出具书面决定之日起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日内召开；基金管理人决定不召集，代表基金份额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）的基金份额持有人仍认为有必要召开的，应当向基金托管人提出书面提议。基金托管人应当自收到书面提议之日起</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日内决定是否召集，并书面告知提出提议的基金份额持有人代表和基金管理人；基金托管人决定召集的，应当自出具书面决定之日起</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日内召开并告知基金管理人，基金管理人应当配合。</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）的基金份额持有人就同一事项要求召开基金份额持有人大会，而基金管理人、基金托管人都不召集的，单独或合计代表基金份额</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以上（含</w:t>
      </w:r>
      <w:r>
        <w:rPr>
          <w:rFonts w:asciiTheme="minorEastAsia" w:eastAsiaTheme="minorEastAsia" w:hAnsiTheme="minorEastAsia" w:cs="Arial"/>
          <w:kern w:val="0"/>
          <w:sz w:val="24"/>
          <w:szCs w:val="24"/>
        </w:rPr>
        <w:t>10%</w:t>
      </w:r>
      <w:r>
        <w:rPr>
          <w:rFonts w:asciiTheme="minorEastAsia" w:eastAsiaTheme="minorEastAsia" w:hAnsiTheme="minorEastAsia" w:cs="Arial" w:hint="eastAsia"/>
          <w:kern w:val="0"/>
          <w:sz w:val="24"/>
          <w:szCs w:val="24"/>
        </w:rPr>
        <w:t>）的基金份额持有人有权自行召集，并至少提前</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日报中国证监会备案。基金份额持有人依法自行召集基金份额持有人大会的，基金管理人、基金托管人应当配合，不得阻碍、干扰。</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、基金份额持有人会议的召集人负责选择确定开会时间、地点、方式和权益登记日。</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（三）召开基金份额持有人大会的通知时间、通知内容、通知方式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、召开基金份额持有人大会，召集人应于会议召开前</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日在指定媒介公告。基金份额持有人大会通知应至少载明以下内容：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）会议召开的时间、地点和会议形式；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）会议</w:t>
      </w:r>
      <w:proofErr w:type="gramStart"/>
      <w:r>
        <w:rPr>
          <w:rFonts w:asciiTheme="minorEastAsia" w:eastAsiaTheme="minorEastAsia" w:hAnsiTheme="minorEastAsia" w:cs="Arial" w:hint="eastAsia"/>
          <w:kern w:val="0"/>
          <w:sz w:val="24"/>
          <w:szCs w:val="24"/>
        </w:rPr>
        <w:t>拟审议</w:t>
      </w:r>
      <w:proofErr w:type="gramEnd"/>
      <w:r>
        <w:rPr>
          <w:rFonts w:asciiTheme="minorEastAsia" w:eastAsiaTheme="minorEastAsia" w:hAnsiTheme="minorEastAsia" w:cs="Arial" w:hint="eastAsia"/>
          <w:kern w:val="0"/>
          <w:sz w:val="24"/>
          <w:szCs w:val="24"/>
        </w:rPr>
        <w:t>的事项、议事程序和表决方式；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）有权出席基金份额持有人大会的基金份额持有人的权益登记日；</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）授权委托证明的内容要求（包括但不限于代理人身份，代理权限和代理有效期限等）、授权方式、送达时间和地点；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）会务常设联系人姓名及联系电话；</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）出席会议者必须准备的文件和必须履行的手续；</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）召集人需要通知的其他事项。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w:t>
      </w:r>
      <w:r>
        <w:rPr>
          <w:rFonts w:asciiTheme="minorEastAsia" w:eastAsiaTheme="minorEastAsia" w:hAnsiTheme="minorEastAsia" w:cs="Arial" w:hint="eastAsia"/>
          <w:kern w:val="0"/>
          <w:sz w:val="24"/>
          <w:szCs w:val="24"/>
        </w:rPr>
        <w:lastRenderedPageBreak/>
        <w:t>书面通知基金管理人和基金托管人到指定地点对表决意见的计票进行监督。基金管理人或基金托管人</w:t>
      </w:r>
      <w:proofErr w:type="gramStart"/>
      <w:r>
        <w:rPr>
          <w:rFonts w:asciiTheme="minorEastAsia" w:eastAsiaTheme="minorEastAsia" w:hAnsiTheme="minorEastAsia" w:cs="Arial" w:hint="eastAsia"/>
          <w:kern w:val="0"/>
          <w:sz w:val="24"/>
          <w:szCs w:val="24"/>
        </w:rPr>
        <w:t>拒不派</w:t>
      </w:r>
      <w:proofErr w:type="gramEnd"/>
      <w:r>
        <w:rPr>
          <w:rFonts w:asciiTheme="minorEastAsia" w:eastAsiaTheme="minorEastAsia" w:hAnsiTheme="minorEastAsia" w:cs="Arial" w:hint="eastAsia"/>
          <w:kern w:val="0"/>
          <w:sz w:val="24"/>
          <w:szCs w:val="24"/>
        </w:rPr>
        <w:t>代表对表决意见的计票进行监督的，不影响表决意见的计票效力。</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（四）基金份额持有人出席会议的方式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基金份额持有人大会可通过现场开会方式、通讯开会方式或法律法规、监管机构允许的其他方式召开，会议的召开方式由会议召集人确定。</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个月以后、</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、通讯开会。通讯开会系指基金份额持有人将其对表决事项的投票以书面形式</w:t>
      </w:r>
      <w:proofErr w:type="gramStart"/>
      <w:r>
        <w:rPr>
          <w:rFonts w:asciiTheme="minorEastAsia" w:eastAsiaTheme="minorEastAsia" w:hAnsiTheme="minorEastAsia" w:cs="Arial" w:hint="eastAsia"/>
          <w:kern w:val="0"/>
          <w:sz w:val="24"/>
          <w:szCs w:val="24"/>
        </w:rPr>
        <w:t>或大会</w:t>
      </w:r>
      <w:proofErr w:type="gramEnd"/>
      <w:r>
        <w:rPr>
          <w:rFonts w:asciiTheme="minorEastAsia" w:eastAsiaTheme="minorEastAsia" w:hAnsiTheme="minorEastAsia" w:cs="Arial" w:hint="eastAsia"/>
          <w:kern w:val="0"/>
          <w:sz w:val="24"/>
          <w:szCs w:val="24"/>
        </w:rPr>
        <w:t>公告载明的其他方式在表决截至日以前送达至召集人指定的地址。通讯开会应以书面方式</w:t>
      </w:r>
      <w:proofErr w:type="gramStart"/>
      <w:r>
        <w:rPr>
          <w:rFonts w:asciiTheme="minorEastAsia" w:eastAsiaTheme="minorEastAsia" w:hAnsiTheme="minorEastAsia" w:cs="Arial" w:hint="eastAsia"/>
          <w:kern w:val="0"/>
          <w:sz w:val="24"/>
          <w:szCs w:val="24"/>
        </w:rPr>
        <w:t>或大会</w:t>
      </w:r>
      <w:proofErr w:type="gramEnd"/>
      <w:r>
        <w:rPr>
          <w:rFonts w:asciiTheme="minorEastAsia" w:eastAsiaTheme="minorEastAsia" w:hAnsiTheme="minorEastAsia" w:cs="Arial" w:hint="eastAsia"/>
          <w:kern w:val="0"/>
          <w:sz w:val="24"/>
          <w:szCs w:val="24"/>
        </w:rPr>
        <w:t>公告载明的其他方式进行表决。</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在同时符合以下条件时，通讯开会的方式视为有效：</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）会议召集人按基金合同约定公布会议通知后，在</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个工作日内连续公布相关提示性公告；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Pr>
          <w:rFonts w:asciiTheme="minorEastAsia" w:eastAsiaTheme="minorEastAsia" w:hAnsiTheme="minorEastAsia" w:cs="Arial" w:hint="eastAsia"/>
          <w:kern w:val="0"/>
          <w:sz w:val="24"/>
          <w:szCs w:val="24"/>
        </w:rPr>
        <w:lastRenderedPageBreak/>
        <w:t>议通知规定的方式收取基金份额持有人的表决意见；基金托管人或基金管理人经通知不参加收取表决意见的，不影响表决效力；</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个月以后、</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个月以内，就原定审议事项重新召集基金份额持有人大会。重新召集的基金份额持有人大会应当有代表三分之一以上（含三分之一）基金份额的持有人直接出具表决意见或授权他人代表出具表决意见；</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）上述第（</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（五）议事内容与程序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、议事内容及提案权</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基金份额持有人大会的召集人发出召集会议的通知后，对原有提案的修改应当在基金份额持有人大会召开前及时公告。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基金份额持有人大会不得对未事先公告的议事内容进行表决。</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、议事程序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）现场开会</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eastAsiaTheme="minorEastAsia" w:hAnsiTheme="minorEastAsia" w:cs="Arial" w:hint="eastAsia"/>
          <w:kern w:val="0"/>
          <w:sz w:val="24"/>
          <w:szCs w:val="24"/>
        </w:rPr>
        <w:t>作出</w:t>
      </w:r>
      <w:proofErr w:type="gramEnd"/>
      <w:r>
        <w:rPr>
          <w:rFonts w:asciiTheme="minorEastAsia" w:eastAsiaTheme="minorEastAsia" w:hAnsiTheme="minorEastAsia" w:cs="Arial" w:hint="eastAsia"/>
          <w:kern w:val="0"/>
          <w:sz w:val="24"/>
          <w:szCs w:val="24"/>
        </w:rPr>
        <w:t>的决议的效力。</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会议召集人应当制作出席会议人员的签名册。签名</w:t>
      </w:r>
      <w:proofErr w:type="gramStart"/>
      <w:r>
        <w:rPr>
          <w:rFonts w:asciiTheme="minorEastAsia" w:eastAsiaTheme="minorEastAsia" w:hAnsiTheme="minorEastAsia" w:cs="Arial" w:hint="eastAsia"/>
          <w:kern w:val="0"/>
          <w:sz w:val="24"/>
          <w:szCs w:val="24"/>
        </w:rPr>
        <w:t>册</w:t>
      </w:r>
      <w:proofErr w:type="gramEnd"/>
      <w:r>
        <w:rPr>
          <w:rFonts w:asciiTheme="minorEastAsia" w:eastAsiaTheme="minorEastAsia" w:hAnsiTheme="minorEastAsia" w:cs="Arial" w:hint="eastAsia"/>
          <w:kern w:val="0"/>
          <w:sz w:val="24"/>
          <w:szCs w:val="24"/>
        </w:rPr>
        <w:t>载明参加会议人员姓名（或单位名称）、身份证明文件号码、持有或代表有表决权的基金份额、委托人姓名（或单位名称）和联系方式等事项。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）通讯开会</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在通讯开会的情况下，首先由召集人提前</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日公布提案，在所通知的表决截止日期后</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个工作日内在公证机关监督下由召集人统计全部有效表决，在公证机关监督下形成决议。</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（六）表决</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基金份额持有人所持每份基金份额有一票表决权。</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基金份额持有人大会决议分为一般决议和特别决议：</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、一般决议，一般决议须经参加大会的基金份额持有人或其代理人所持表决权的二分之一以上（含二分之一）通过方为有效；除下列第</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项所规定的须以特别决议通过事项以外的其他事项均以一般决议的方式通过。</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基金份额持有人大会采取记名方式进行投票表决。</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采取通讯方式进行表决时，除非在计票时有充分的相反证据证明，否则提交</w:t>
      </w:r>
      <w:r>
        <w:rPr>
          <w:rFonts w:asciiTheme="minorEastAsia" w:eastAsiaTheme="minorEastAsia" w:hAnsiTheme="minorEastAsia" w:cs="Arial" w:hint="eastAsia"/>
          <w:kern w:val="0"/>
          <w:sz w:val="24"/>
          <w:szCs w:val="24"/>
        </w:rPr>
        <w:lastRenderedPageBreak/>
        <w:t>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基金份额持有人大会的各项提案或同一项提案内并列的各项议题应当分开审议、逐项表决。</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（七）计票</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、现场开会</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eastAsiaTheme="minorEastAsia" w:hAnsiTheme="minorEastAsia" w:cs="Arial" w:hint="eastAsia"/>
          <w:kern w:val="0"/>
          <w:sz w:val="24"/>
          <w:szCs w:val="24"/>
        </w:rPr>
        <w:t>或大会</w:t>
      </w:r>
      <w:proofErr w:type="gramEnd"/>
      <w:r>
        <w:rPr>
          <w:rFonts w:asciiTheme="minorEastAsia" w:eastAsiaTheme="minorEastAsia" w:hAnsiTheme="minorEastAsia" w:cs="Arial" w:hint="eastAsia"/>
          <w:kern w:val="0"/>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）监票人应当在基金份额持有人表决后立即进行清点并由大会主持人当场公布计票结果。</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）如果会议主持人或基金份额持有人或代理人对于提交的表决结果有怀疑，可以在宣布表决结果后立即对所投票</w:t>
      </w:r>
      <w:proofErr w:type="gramStart"/>
      <w:r>
        <w:rPr>
          <w:rFonts w:asciiTheme="minorEastAsia" w:eastAsiaTheme="minorEastAsia" w:hAnsiTheme="minorEastAsia" w:cs="Arial" w:hint="eastAsia"/>
          <w:kern w:val="0"/>
          <w:sz w:val="24"/>
          <w:szCs w:val="24"/>
        </w:rPr>
        <w:t>数要求</w:t>
      </w:r>
      <w:proofErr w:type="gramEnd"/>
      <w:r>
        <w:rPr>
          <w:rFonts w:asciiTheme="minorEastAsia" w:eastAsiaTheme="minorEastAsia" w:hAnsiTheme="minorEastAsia" w:cs="Arial" w:hint="eastAsia"/>
          <w:kern w:val="0"/>
          <w:sz w:val="24"/>
          <w:szCs w:val="24"/>
        </w:rPr>
        <w:t>进行重新清点。监票人应当进行重新清点，重新清点以一次为限。重新清点后，大会主持人应当当场公布重新清点结果。</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）计票过程应由公证机关予以公证，基金管理人或基金托管人拒不出席大会的，不影响计票的效力。</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、通讯开会</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eastAsiaTheme="minorEastAsia" w:hAnsiTheme="minorEastAsia" w:cs="Arial" w:hint="eastAsia"/>
          <w:kern w:val="0"/>
          <w:sz w:val="24"/>
          <w:szCs w:val="24"/>
        </w:rPr>
        <w:t>人拒派</w:t>
      </w:r>
      <w:proofErr w:type="gramEnd"/>
      <w:r>
        <w:rPr>
          <w:rFonts w:asciiTheme="minorEastAsia" w:eastAsiaTheme="minorEastAsia" w:hAnsiTheme="minorEastAsia" w:cs="Arial" w:hint="eastAsia"/>
          <w:kern w:val="0"/>
          <w:sz w:val="24"/>
          <w:szCs w:val="24"/>
        </w:rPr>
        <w:t>代表对表决意见的计票进行监督的，不影响计票和表决结果。</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（八）生效与公告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基金份额持有人大会的决议，召集人应当自通过之日起</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日内报中国证监会</w:t>
      </w:r>
      <w:r>
        <w:rPr>
          <w:rFonts w:asciiTheme="minorEastAsia" w:eastAsiaTheme="minorEastAsia" w:hAnsiTheme="minorEastAsia" w:cs="Arial" w:hint="eastAsia"/>
          <w:kern w:val="0"/>
          <w:sz w:val="24"/>
          <w:szCs w:val="24"/>
        </w:rPr>
        <w:lastRenderedPageBreak/>
        <w:t>备案。</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基金份额持有人大会的决议自表决通过之日起生效。</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基金份额持有人大会决议自生效之日起</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个工作日内在指定媒介上公告。如果采用通讯方式进行表决，在公告基金份额持有人大会决议时，必须将公证书全文、公证机构、公证员姓名等一同公告。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（九）本部</w:t>
      </w:r>
      <w:proofErr w:type="gramStart"/>
      <w:r>
        <w:rPr>
          <w:rFonts w:asciiTheme="minorEastAsia" w:eastAsiaTheme="minorEastAsia" w:hAnsiTheme="minorEastAsia" w:cs="Arial" w:hint="eastAsia"/>
          <w:kern w:val="0"/>
          <w:sz w:val="24"/>
          <w:szCs w:val="24"/>
        </w:rPr>
        <w:t>分关于</w:t>
      </w:r>
      <w:proofErr w:type="gramEnd"/>
      <w:r>
        <w:rPr>
          <w:rFonts w:asciiTheme="minorEastAsia" w:eastAsiaTheme="minorEastAsia" w:hAnsiTheme="minorEastAsia" w:cs="Arial" w:hint="eastAsia"/>
          <w:kern w:val="0"/>
          <w:sz w:val="24"/>
          <w:szCs w:val="24"/>
        </w:rPr>
        <w:t>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三、基金合同解除和终止的事由、程序以及基金财产清算方式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（一）《基金合同》的变更</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、变更基金合同涉及法律法规规定或本基金合同约定应经基金份额持有人大会决议通过的事项的，应召</w:t>
      </w:r>
      <w:proofErr w:type="gramStart"/>
      <w:r>
        <w:rPr>
          <w:rFonts w:asciiTheme="minorEastAsia" w:eastAsiaTheme="minorEastAsia" w:hAnsiTheme="minorEastAsia" w:cs="Arial" w:hint="eastAsia"/>
          <w:kern w:val="0"/>
          <w:sz w:val="24"/>
          <w:szCs w:val="24"/>
        </w:rPr>
        <w:t>开基金</w:t>
      </w:r>
      <w:proofErr w:type="gramEnd"/>
      <w:r>
        <w:rPr>
          <w:rFonts w:asciiTheme="minorEastAsia" w:eastAsiaTheme="minorEastAsia" w:hAnsiTheme="minorEastAsia" w:cs="Arial" w:hint="eastAsia"/>
          <w:kern w:val="0"/>
          <w:sz w:val="24"/>
          <w:szCs w:val="24"/>
        </w:rPr>
        <w:t>份额持有人大会决议通过。对于法律法规规定和基金合同约定可不经基金份额持有人大会决议通过的事项，由基金管理人和基金托管人同意后变更并公告，并报中国证监会备案。</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 xml:space="preserve"> 2</w:t>
      </w:r>
      <w:r>
        <w:rPr>
          <w:rFonts w:asciiTheme="minorEastAsia" w:eastAsiaTheme="minorEastAsia" w:hAnsiTheme="minorEastAsia" w:cs="Arial" w:hint="eastAsia"/>
          <w:kern w:val="0"/>
          <w:sz w:val="24"/>
          <w:szCs w:val="24"/>
        </w:rPr>
        <w:t>、关于《基金合同》变更的基金份额持有人大会决议须报中国证监会备案，自表决通过之日起生效，</w:t>
      </w:r>
      <w:proofErr w:type="gramStart"/>
      <w:r>
        <w:rPr>
          <w:rFonts w:asciiTheme="minorEastAsia" w:eastAsiaTheme="minorEastAsia" w:hAnsiTheme="minorEastAsia" w:cs="Arial" w:hint="eastAsia"/>
          <w:kern w:val="0"/>
          <w:sz w:val="24"/>
          <w:szCs w:val="24"/>
        </w:rPr>
        <w:t>自决议</w:t>
      </w:r>
      <w:proofErr w:type="gramEnd"/>
      <w:r>
        <w:rPr>
          <w:rFonts w:asciiTheme="minorEastAsia" w:eastAsiaTheme="minorEastAsia" w:hAnsiTheme="minorEastAsia" w:cs="Arial" w:hint="eastAsia"/>
          <w:kern w:val="0"/>
          <w:sz w:val="24"/>
          <w:szCs w:val="24"/>
        </w:rPr>
        <w:t>生效后两个工作日内在指定媒介公告。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（二）《基金合同》的终止事由</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有下列情形之一的，《基金合同》应当终止：</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、基金份额持有人大会决定终止的；</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、基金管理人、基金托管人职责终止，在</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个月内没有新基金管理人、新基金托管人承接的；</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、《基金合同》生效后，连续</w:t>
      </w:r>
      <w:r>
        <w:rPr>
          <w:rFonts w:asciiTheme="minorEastAsia" w:eastAsiaTheme="minorEastAsia" w:hAnsiTheme="minorEastAsia" w:cs="Arial"/>
          <w:kern w:val="0"/>
          <w:sz w:val="24"/>
          <w:szCs w:val="24"/>
        </w:rPr>
        <w:t>60</w:t>
      </w:r>
      <w:r>
        <w:rPr>
          <w:rFonts w:asciiTheme="minorEastAsia" w:eastAsiaTheme="minorEastAsia" w:hAnsiTheme="minorEastAsia" w:cs="Arial" w:hint="eastAsia"/>
          <w:kern w:val="0"/>
          <w:sz w:val="24"/>
          <w:szCs w:val="24"/>
        </w:rPr>
        <w:t>个工作日出现基金份额持有人数量不满</w:t>
      </w:r>
      <w:r>
        <w:rPr>
          <w:rFonts w:asciiTheme="minorEastAsia" w:eastAsiaTheme="minorEastAsia" w:hAnsiTheme="minorEastAsia" w:cs="Arial"/>
          <w:kern w:val="0"/>
          <w:sz w:val="24"/>
          <w:szCs w:val="24"/>
        </w:rPr>
        <w:t>200</w:t>
      </w:r>
      <w:r>
        <w:rPr>
          <w:rFonts w:asciiTheme="minorEastAsia" w:eastAsiaTheme="minorEastAsia" w:hAnsiTheme="minorEastAsia" w:cs="Arial" w:hint="eastAsia"/>
          <w:kern w:val="0"/>
          <w:sz w:val="24"/>
          <w:szCs w:val="24"/>
        </w:rPr>
        <w:t>人或者基金资产净值低于</w:t>
      </w:r>
      <w:r>
        <w:rPr>
          <w:rFonts w:asciiTheme="minorEastAsia" w:eastAsiaTheme="minorEastAsia" w:hAnsiTheme="minorEastAsia" w:cs="Arial"/>
          <w:kern w:val="0"/>
          <w:sz w:val="24"/>
          <w:szCs w:val="24"/>
        </w:rPr>
        <w:t>5000</w:t>
      </w:r>
      <w:r>
        <w:rPr>
          <w:rFonts w:asciiTheme="minorEastAsia" w:eastAsiaTheme="minorEastAsia" w:hAnsiTheme="minorEastAsia" w:cs="Arial" w:hint="eastAsia"/>
          <w:kern w:val="0"/>
          <w:sz w:val="24"/>
          <w:szCs w:val="24"/>
        </w:rPr>
        <w:t>万元情形的，本基金将根据《基金合同》约定进入清算程序并终止，无需召开基金份额持有人大会进行表决；</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、《基金合同》约定的其他情形；</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、相关法律法规和中国证监会规定的其他情况。</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lastRenderedPageBreak/>
        <w:t>基金合同终止后，基金管理人和基金托管人有权依照《基金法》、《运作办法》、《销售办法》、基金合同及其他有关法律法规的规定，行使请求给付报酬、从基金资产中获得补偿的权利。</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（三）基金财产的清算</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、基金财产清算小组：自出现《基金合同》终止事由之日起</w:t>
      </w:r>
      <w:r>
        <w:rPr>
          <w:rFonts w:asciiTheme="minorEastAsia" w:eastAsiaTheme="minorEastAsia" w:hAnsiTheme="minorEastAsia" w:cs="Arial"/>
          <w:kern w:val="0"/>
          <w:sz w:val="24"/>
          <w:szCs w:val="24"/>
        </w:rPr>
        <w:t>30</w:t>
      </w:r>
      <w:r>
        <w:rPr>
          <w:rFonts w:asciiTheme="minorEastAsia" w:eastAsiaTheme="minorEastAsia" w:hAnsiTheme="minorEastAsia" w:cs="Arial" w:hint="eastAsia"/>
          <w:kern w:val="0"/>
          <w:sz w:val="24"/>
          <w:szCs w:val="24"/>
        </w:rPr>
        <w:t>个工作日内成立清算小组，基金管理人组织基金财产清算小组并在中国证监会的监督下进行基金清算。</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、基金财产清算小组职责：基金财产清算小组负责基金财产的保管、清理、估价、变现和分配。基金财产清算小组可以依法进行必要的民事活动。</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、基金财产清算程序：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1</w:t>
      </w:r>
      <w:r>
        <w:rPr>
          <w:rFonts w:asciiTheme="minorEastAsia" w:eastAsiaTheme="minorEastAsia" w:hAnsiTheme="minorEastAsia" w:cs="Arial" w:hint="eastAsia"/>
          <w:kern w:val="0"/>
          <w:sz w:val="24"/>
          <w:szCs w:val="24"/>
        </w:rPr>
        <w:t>）《基金合同》终止情形出现时，由基金财产清算小组统一接管基金；</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2</w:t>
      </w:r>
      <w:r>
        <w:rPr>
          <w:rFonts w:asciiTheme="minorEastAsia" w:eastAsiaTheme="minorEastAsia" w:hAnsiTheme="minorEastAsia" w:cs="Arial" w:hint="eastAsia"/>
          <w:kern w:val="0"/>
          <w:sz w:val="24"/>
          <w:szCs w:val="24"/>
        </w:rPr>
        <w:t>）对基金财产和债权债务进行清理和确认；</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3</w:t>
      </w:r>
      <w:r>
        <w:rPr>
          <w:rFonts w:asciiTheme="minorEastAsia" w:eastAsiaTheme="minorEastAsia" w:hAnsiTheme="minorEastAsia" w:cs="Arial" w:hint="eastAsia"/>
          <w:kern w:val="0"/>
          <w:sz w:val="24"/>
          <w:szCs w:val="24"/>
        </w:rPr>
        <w:t>）对基金财产进行估值和变现；</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4</w:t>
      </w:r>
      <w:r>
        <w:rPr>
          <w:rFonts w:asciiTheme="minorEastAsia" w:eastAsiaTheme="minorEastAsia" w:hAnsiTheme="minorEastAsia" w:cs="Arial" w:hint="eastAsia"/>
          <w:kern w:val="0"/>
          <w:sz w:val="24"/>
          <w:szCs w:val="24"/>
        </w:rPr>
        <w:t>）制作清算报告；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）聘请会计师事务所对清算报告进行外部审计，聘请律师事务所对清算报告出具法律意见书；</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）将清算报告报中国证监会备案并公告；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w:t>
      </w:r>
      <w:r>
        <w:rPr>
          <w:rFonts w:asciiTheme="minorEastAsia" w:eastAsiaTheme="minorEastAsia" w:hAnsiTheme="minorEastAsia" w:cs="Arial"/>
          <w:kern w:val="0"/>
          <w:sz w:val="24"/>
          <w:szCs w:val="24"/>
        </w:rPr>
        <w:t>7</w:t>
      </w:r>
      <w:r>
        <w:rPr>
          <w:rFonts w:asciiTheme="minorEastAsia" w:eastAsiaTheme="minorEastAsia" w:hAnsiTheme="minorEastAsia" w:cs="Arial" w:hint="eastAsia"/>
          <w:kern w:val="0"/>
          <w:sz w:val="24"/>
          <w:szCs w:val="24"/>
        </w:rPr>
        <w:t>）对基金剩余财产进行分配。</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、基金财产清算的期限为</w:t>
      </w:r>
      <w:r>
        <w:rPr>
          <w:rFonts w:asciiTheme="minorEastAsia" w:eastAsiaTheme="minorEastAsia" w:hAnsiTheme="minorEastAsia" w:cs="Arial"/>
          <w:kern w:val="0"/>
          <w:sz w:val="24"/>
          <w:szCs w:val="24"/>
        </w:rPr>
        <w:t>6</w:t>
      </w:r>
      <w:r>
        <w:rPr>
          <w:rFonts w:asciiTheme="minorEastAsia" w:eastAsiaTheme="minorEastAsia" w:hAnsiTheme="minorEastAsia" w:cs="Arial" w:hint="eastAsia"/>
          <w:kern w:val="0"/>
          <w:sz w:val="24"/>
          <w:szCs w:val="24"/>
        </w:rPr>
        <w:t>个月，但因本基金所持证券的流动性受到限制而不能及时变现的，清算期限相应顺延。</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（四）清算费用</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清算费用是指基金财产清算小组在进行基金清算过程中发生的所有合理费用，清算费用由基金财产清算小组优先从基金剩余财产中支付。</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（五）基金财产清算剩余资产的分配</w:t>
      </w:r>
    </w:p>
    <w:p w:rsidR="00572ECF" w:rsidRDefault="00915AEA">
      <w:pPr>
        <w:spacing w:line="360" w:lineRule="auto"/>
        <w:ind w:firstLineChars="225" w:firstLine="540"/>
        <w:rPr>
          <w:rFonts w:asciiTheme="minorEastAsia" w:eastAsiaTheme="minorEastAsia" w:hAnsiTheme="minorEastAsia"/>
          <w:sz w:val="24"/>
          <w:szCs w:val="24"/>
        </w:rPr>
      </w:pPr>
      <w:r>
        <w:rPr>
          <w:rFonts w:asciiTheme="minorEastAsia" w:eastAsiaTheme="minorEastAsia" w:hAnsiTheme="minorEastAsia" w:cs="Arial" w:hint="eastAsia"/>
          <w:kern w:val="0"/>
          <w:sz w:val="24"/>
          <w:szCs w:val="24"/>
        </w:rPr>
        <w:t>依据基金财产清算的分配方案，将基金财产清算后的全部剩余资产扣除基金财产清算费用、交纳所欠税款并清偿基金债务后，按基金份额持有人持有的基金份额比例进行分配。</w:t>
      </w:r>
      <w:r>
        <w:rPr>
          <w:rFonts w:asciiTheme="minorEastAsia" w:eastAsiaTheme="minorEastAsia" w:hAnsiTheme="minorEastAsia" w:hint="eastAsia"/>
          <w:sz w:val="24"/>
          <w:szCs w:val="24"/>
        </w:rPr>
        <w:t>据中国证券登记结算有限责任公司的规定，清算备付金账</w:t>
      </w:r>
      <w:r>
        <w:rPr>
          <w:rFonts w:asciiTheme="minorEastAsia" w:eastAsiaTheme="minorEastAsia" w:hAnsiTheme="minorEastAsia" w:hint="eastAsia"/>
          <w:sz w:val="24"/>
          <w:szCs w:val="24"/>
        </w:rPr>
        <w:lastRenderedPageBreak/>
        <w:t>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Pr>
          <w:rFonts w:asciiTheme="minorEastAsia" w:eastAsiaTheme="minorEastAsia" w:hAnsiTheme="minorEastAsia"/>
          <w:sz w:val="24"/>
          <w:szCs w:val="24"/>
        </w:rPr>
        <w:t>2个月，保证金退款时间约为合同结束后7个月）方可清算。该笔清算资金在扣除相关费用</w:t>
      </w:r>
      <w:proofErr w:type="gramStart"/>
      <w:r>
        <w:rPr>
          <w:rFonts w:asciiTheme="minorEastAsia" w:eastAsiaTheme="minorEastAsia" w:hAnsiTheme="minorEastAsia"/>
          <w:sz w:val="24"/>
          <w:szCs w:val="24"/>
        </w:rPr>
        <w:t>后划往指定</w:t>
      </w:r>
      <w:proofErr w:type="gramEnd"/>
      <w:r>
        <w:rPr>
          <w:rFonts w:asciiTheme="minorEastAsia" w:eastAsiaTheme="minorEastAsia" w:hAnsiTheme="minorEastAsia"/>
          <w:sz w:val="24"/>
          <w:szCs w:val="24"/>
        </w:rPr>
        <w:t>账户。</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（六）基金财产清算的公告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cs="Arial"/>
          <w:kern w:val="0"/>
          <w:sz w:val="24"/>
          <w:szCs w:val="24"/>
        </w:rPr>
        <w:t>5</w:t>
      </w:r>
      <w:r>
        <w:rPr>
          <w:rFonts w:asciiTheme="minorEastAsia" w:eastAsiaTheme="minorEastAsia" w:hAnsiTheme="minorEastAsia" w:cs="Arial" w:hint="eastAsia"/>
          <w:kern w:val="0"/>
          <w:sz w:val="24"/>
          <w:szCs w:val="24"/>
        </w:rPr>
        <w:t>个工作日内由基金财产清算小组进行公告。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（七）基金财产清算账册及文件的保存</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基金财产清算账册及有关文件由基金托管人保存</w:t>
      </w:r>
      <w:r>
        <w:rPr>
          <w:rFonts w:asciiTheme="minorEastAsia" w:eastAsiaTheme="minorEastAsia" w:hAnsiTheme="minorEastAsia" w:cs="Arial"/>
          <w:kern w:val="0"/>
          <w:sz w:val="24"/>
          <w:szCs w:val="24"/>
        </w:rPr>
        <w:t>15</w:t>
      </w:r>
      <w:r>
        <w:rPr>
          <w:rFonts w:asciiTheme="minorEastAsia" w:eastAsiaTheme="minorEastAsia" w:hAnsiTheme="minorEastAsia" w:cs="Arial" w:hint="eastAsia"/>
          <w:kern w:val="0"/>
          <w:sz w:val="24"/>
          <w:szCs w:val="24"/>
        </w:rPr>
        <w:t>年以上。</w:t>
      </w:r>
    </w:p>
    <w:p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四、争议解决方式</w:t>
      </w:r>
    </w:p>
    <w:p w:rsidR="00572ECF" w:rsidRDefault="00915AEA">
      <w:pPr>
        <w:autoSpaceDE w:val="0"/>
        <w:autoSpaceDN w:val="0"/>
        <w:adjustRightInd w:val="0"/>
        <w:spacing w:line="360" w:lineRule="auto"/>
        <w:ind w:firstLineChars="200" w:firstLine="480"/>
        <w:jc w:val="left"/>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各方当事人同意，因《基金合同》而产生的或与《基金合同》有关的一切争议，如经友好协商未能解决的，应提交华南国际经济贸易仲裁委员会根据该会当时有效的仲裁规则进行仲裁，仲裁地点为深圳市，仲裁裁决是终局性的并对各方当事人具有约束力，仲裁费由败诉方承担。</w:t>
      </w:r>
    </w:p>
    <w:p w:rsidR="00572ECF" w:rsidRDefault="00915AEA">
      <w:pPr>
        <w:autoSpaceDE w:val="0"/>
        <w:autoSpaceDN w:val="0"/>
        <w:adjustRightInd w:val="0"/>
        <w:spacing w:line="360" w:lineRule="auto"/>
        <w:ind w:firstLineChars="200" w:firstLine="480"/>
        <w:jc w:val="left"/>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争议处理期间，基金合同当事人应恪守各自的职责，继续忠实、勤勉、尽责地履行基金合同和托管协议规定的义务，维护基金份额持有人的合法权益。</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《基金合同》（为本基金合同之目的，在此不包括香港、澳门特别行政区和台湾地区法律）受中国法律管辖。</w:t>
      </w:r>
    </w:p>
    <w:p w:rsidR="00572ECF" w:rsidRDefault="00915AEA">
      <w:pPr>
        <w:autoSpaceDE w:val="0"/>
        <w:autoSpaceDN w:val="0"/>
        <w:adjustRightInd w:val="0"/>
        <w:spacing w:line="360" w:lineRule="auto"/>
        <w:ind w:firstLineChars="200" w:firstLine="482"/>
        <w:jc w:val="lef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五、基金合同存放地和投资人取得基金合同的方式</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《基金合同》可印制成册，供投资者在基金管理人、基金托管人、销售机构的办公场所和营业场所查阅。</w:t>
      </w: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cs="Arial"/>
          <w:kern w:val="0"/>
          <w:sz w:val="24"/>
          <w:szCs w:val="24"/>
        </w:rPr>
      </w:pPr>
    </w:p>
    <w:p w:rsidR="00C20617" w:rsidRDefault="00C20617">
      <w:pPr>
        <w:adjustRightInd w:val="0"/>
        <w:snapToGrid w:val="0"/>
        <w:spacing w:line="360" w:lineRule="auto"/>
        <w:ind w:firstLineChars="200" w:firstLine="480"/>
        <w:rPr>
          <w:rFonts w:asciiTheme="minorEastAsia" w:eastAsiaTheme="minorEastAsia" w:hAnsiTheme="minorEastAsia" w:cs="Arial"/>
          <w:kern w:val="0"/>
          <w:sz w:val="24"/>
          <w:szCs w:val="24"/>
        </w:rPr>
      </w:pPr>
    </w:p>
    <w:p w:rsidR="00B2236E" w:rsidRDefault="00B2236E">
      <w:pPr>
        <w:adjustRightInd w:val="0"/>
        <w:snapToGrid w:val="0"/>
        <w:spacing w:line="360" w:lineRule="auto"/>
        <w:ind w:firstLineChars="200" w:firstLine="480"/>
        <w:rPr>
          <w:rFonts w:asciiTheme="minorEastAsia" w:eastAsiaTheme="minorEastAsia" w:hAnsiTheme="minorEastAsia"/>
          <w:bCs/>
          <w:sz w:val="24"/>
          <w:szCs w:val="24"/>
        </w:rPr>
      </w:pPr>
    </w:p>
    <w:p w:rsidR="00A50A65" w:rsidRDefault="00A50A65">
      <w:pPr>
        <w:adjustRightInd w:val="0"/>
        <w:snapToGrid w:val="0"/>
        <w:spacing w:line="360" w:lineRule="auto"/>
        <w:ind w:firstLineChars="200" w:firstLine="480"/>
        <w:rPr>
          <w:rFonts w:asciiTheme="minorEastAsia" w:eastAsiaTheme="minorEastAsia" w:hAnsiTheme="minorEastAsia"/>
          <w:bCs/>
          <w:sz w:val="24"/>
          <w:szCs w:val="24"/>
        </w:rPr>
      </w:pPr>
    </w:p>
    <w:p w:rsidR="00572ECF" w:rsidRDefault="00915AEA" w:rsidP="00A50A65">
      <w:pPr>
        <w:pStyle w:val="1"/>
        <w:snapToGrid w:val="0"/>
        <w:spacing w:before="0" w:after="0" w:line="360" w:lineRule="auto"/>
        <w:ind w:firstLine="602"/>
        <w:rPr>
          <w:rFonts w:ascii="Arial Unicode MS" w:eastAsia="宋体" w:hAnsi="Arial Unicode MS" w:cs="Arial"/>
          <w:b/>
          <w:bCs/>
          <w:sz w:val="30"/>
          <w:szCs w:val="30"/>
        </w:rPr>
      </w:pPr>
      <w:bookmarkStart w:id="164" w:name="_Toc214873614"/>
      <w:bookmarkStart w:id="165" w:name="_Toc317088156"/>
      <w:bookmarkStart w:id="166" w:name="_Toc320887658"/>
      <w:bookmarkStart w:id="167" w:name="_Toc335232707"/>
      <w:bookmarkStart w:id="168" w:name="_Toc386115316"/>
      <w:bookmarkStart w:id="169" w:name="_Toc317088553"/>
      <w:bookmarkStart w:id="170" w:name="_Toc527466008"/>
      <w:r>
        <w:rPr>
          <w:rFonts w:ascii="Arial Unicode MS" w:eastAsia="宋体" w:hAnsi="Arial Unicode MS" w:cs="Arial" w:hint="eastAsia"/>
          <w:b/>
          <w:bCs/>
          <w:sz w:val="30"/>
          <w:szCs w:val="30"/>
        </w:rPr>
        <w:lastRenderedPageBreak/>
        <w:t>第十九部分</w:t>
      </w:r>
      <w:r>
        <w:rPr>
          <w:rFonts w:ascii="Arial Unicode MS" w:eastAsia="宋体" w:hAnsi="Arial Unicode MS" w:cs="Arial"/>
          <w:b/>
          <w:bCs/>
          <w:sz w:val="30"/>
          <w:szCs w:val="30"/>
        </w:rPr>
        <w:t xml:space="preserve">  </w:t>
      </w:r>
      <w:r>
        <w:rPr>
          <w:rFonts w:ascii="Arial Unicode MS" w:eastAsia="宋体" w:hAnsi="Arial Unicode MS" w:cs="Arial" w:hint="eastAsia"/>
          <w:b/>
          <w:bCs/>
          <w:sz w:val="30"/>
          <w:szCs w:val="30"/>
        </w:rPr>
        <w:t>基金托管协议的内容摘要</w:t>
      </w:r>
      <w:bookmarkEnd w:id="164"/>
      <w:bookmarkEnd w:id="165"/>
      <w:bookmarkEnd w:id="166"/>
      <w:bookmarkEnd w:id="167"/>
      <w:bookmarkEnd w:id="168"/>
      <w:bookmarkEnd w:id="169"/>
      <w:bookmarkEnd w:id="170"/>
    </w:p>
    <w:p w:rsidR="00A50A65" w:rsidRPr="00A50A65" w:rsidRDefault="00A50A65" w:rsidP="00A50A65">
      <w:pPr>
        <w:ind w:firstLine="420"/>
        <w:rPr>
          <w:lang w:val="zh-CN"/>
        </w:rPr>
      </w:pPr>
    </w:p>
    <w:p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一、托管协议当事人</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bookmarkStart w:id="171" w:name="_Toc22454433"/>
      <w:bookmarkStart w:id="172" w:name="_Toc77662992"/>
      <w:r>
        <w:rPr>
          <w:rFonts w:asciiTheme="minorEastAsia" w:eastAsiaTheme="minorEastAsia" w:hAnsiTheme="minorEastAsia" w:cs="Arial" w:hint="eastAsia"/>
          <w:kern w:val="0"/>
          <w:sz w:val="24"/>
          <w:szCs w:val="24"/>
        </w:rPr>
        <w:t>（一）基金管理人</w:t>
      </w:r>
    </w:p>
    <w:p w:rsidR="00572ECF" w:rsidRDefault="00915AEA">
      <w:pPr>
        <w:spacing w:line="360" w:lineRule="auto"/>
        <w:ind w:firstLineChars="200" w:firstLine="480"/>
        <w:rPr>
          <w:rFonts w:ascii="宋体" w:hAnsi="宋体"/>
          <w:sz w:val="24"/>
        </w:rPr>
      </w:pPr>
      <w:r>
        <w:rPr>
          <w:rFonts w:ascii="宋体" w:hAnsi="宋体" w:hint="eastAsia"/>
          <w:sz w:val="24"/>
        </w:rPr>
        <w:t>名称：富荣基金管理有限公司</w:t>
      </w:r>
    </w:p>
    <w:p w:rsidR="00572ECF" w:rsidRDefault="00915AEA">
      <w:pPr>
        <w:spacing w:line="360" w:lineRule="auto"/>
        <w:ind w:firstLineChars="200" w:firstLine="480"/>
        <w:rPr>
          <w:rFonts w:ascii="宋体" w:hAnsi="宋体"/>
          <w:sz w:val="24"/>
        </w:rPr>
      </w:pPr>
      <w:r>
        <w:rPr>
          <w:rFonts w:ascii="宋体" w:hAnsi="宋体" w:hint="eastAsia"/>
          <w:sz w:val="24"/>
        </w:rPr>
        <w:t>注册地址：广州市南沙区海滨路171号南沙金融大厦11楼1101之一J20室</w:t>
      </w:r>
    </w:p>
    <w:p w:rsidR="00572ECF" w:rsidRDefault="00915AEA">
      <w:pPr>
        <w:spacing w:line="360" w:lineRule="auto"/>
        <w:ind w:firstLineChars="200" w:firstLine="480"/>
        <w:rPr>
          <w:rFonts w:ascii="宋体" w:hAnsi="宋体"/>
          <w:sz w:val="24"/>
        </w:rPr>
      </w:pPr>
      <w:r>
        <w:rPr>
          <w:rFonts w:ascii="宋体" w:hAnsi="宋体" w:hint="eastAsia"/>
          <w:sz w:val="24"/>
        </w:rPr>
        <w:t>办公地址：深圳市福田区深南大道2012号深圳证券交易所广场3501室</w:t>
      </w:r>
    </w:p>
    <w:p w:rsidR="00572ECF" w:rsidRDefault="00915AEA">
      <w:pPr>
        <w:spacing w:line="360" w:lineRule="auto"/>
        <w:ind w:firstLineChars="200" w:firstLine="480"/>
        <w:rPr>
          <w:rFonts w:ascii="宋体" w:hAnsi="宋体"/>
          <w:sz w:val="24"/>
        </w:rPr>
      </w:pPr>
      <w:r>
        <w:rPr>
          <w:rFonts w:ascii="宋体" w:hAnsi="宋体" w:hint="eastAsia"/>
          <w:sz w:val="24"/>
        </w:rPr>
        <w:t>法定代表人：刘志军</w:t>
      </w:r>
    </w:p>
    <w:p w:rsidR="00572ECF" w:rsidRDefault="00915AEA">
      <w:pPr>
        <w:spacing w:line="360" w:lineRule="auto"/>
        <w:ind w:firstLineChars="200" w:firstLine="480"/>
        <w:rPr>
          <w:rFonts w:ascii="宋体" w:hAnsi="宋体"/>
          <w:sz w:val="24"/>
        </w:rPr>
      </w:pPr>
      <w:r>
        <w:rPr>
          <w:rFonts w:ascii="宋体" w:hAnsi="宋体" w:hint="eastAsia"/>
          <w:sz w:val="24"/>
        </w:rPr>
        <w:t>成立日期：2016年1月25日</w:t>
      </w:r>
    </w:p>
    <w:p w:rsidR="00572ECF" w:rsidRDefault="00915AEA">
      <w:pPr>
        <w:spacing w:line="360" w:lineRule="auto"/>
        <w:ind w:firstLineChars="200" w:firstLine="480"/>
        <w:rPr>
          <w:rFonts w:ascii="宋体" w:hAnsi="宋体"/>
          <w:sz w:val="24"/>
        </w:rPr>
      </w:pPr>
      <w:r>
        <w:rPr>
          <w:rFonts w:ascii="宋体" w:hAnsi="宋体" w:hint="eastAsia"/>
          <w:sz w:val="24"/>
        </w:rPr>
        <w:t>批准设立机关及批准设立文号：中国证监会证监许可【2015】3118号</w:t>
      </w:r>
    </w:p>
    <w:p w:rsidR="00572ECF" w:rsidRDefault="00915AEA">
      <w:pPr>
        <w:spacing w:line="360" w:lineRule="auto"/>
        <w:ind w:firstLineChars="200" w:firstLine="480"/>
        <w:rPr>
          <w:rFonts w:ascii="宋体"/>
          <w:sz w:val="24"/>
        </w:rPr>
      </w:pPr>
      <w:r>
        <w:rPr>
          <w:rFonts w:ascii="宋体" w:hAnsi="宋体" w:hint="eastAsia"/>
          <w:sz w:val="24"/>
        </w:rPr>
        <w:t>注册资本：2亿元人民币</w:t>
      </w:r>
    </w:p>
    <w:p w:rsidR="00572ECF" w:rsidRDefault="00915AEA">
      <w:pPr>
        <w:spacing w:line="360" w:lineRule="auto"/>
        <w:ind w:firstLineChars="200" w:firstLine="480"/>
        <w:rPr>
          <w:rFonts w:ascii="宋体" w:hAnsi="宋体"/>
          <w:sz w:val="24"/>
        </w:rPr>
      </w:pPr>
      <w:r>
        <w:rPr>
          <w:rFonts w:ascii="宋体" w:hAnsi="宋体" w:hint="eastAsia"/>
          <w:sz w:val="24"/>
        </w:rPr>
        <w:t>存续期间：</w:t>
      </w:r>
      <w:r>
        <w:rPr>
          <w:rFonts w:hint="eastAsia"/>
          <w:bCs/>
          <w:sz w:val="24"/>
        </w:rPr>
        <w:t>永续经营</w:t>
      </w:r>
    </w:p>
    <w:p w:rsidR="00572ECF" w:rsidRDefault="00915AEA">
      <w:pPr>
        <w:spacing w:line="360" w:lineRule="auto"/>
        <w:ind w:firstLineChars="200" w:firstLine="480"/>
        <w:rPr>
          <w:rFonts w:ascii="宋体" w:hAnsi="宋体"/>
          <w:sz w:val="24"/>
        </w:rPr>
      </w:pPr>
      <w:r>
        <w:rPr>
          <w:rFonts w:ascii="宋体" w:hAnsi="宋体" w:hint="eastAsia"/>
          <w:sz w:val="24"/>
        </w:rPr>
        <w:t>经营范围：基金募集、基金销售、资产管理、特定客户资产管理和中国证监会许可的其他业务。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（二）基金托管人</w:t>
      </w:r>
    </w:p>
    <w:p w:rsidR="00572ECF" w:rsidRDefault="00915AEA">
      <w:pPr>
        <w:spacing w:line="360" w:lineRule="auto"/>
        <w:ind w:firstLineChars="200" w:firstLine="480"/>
        <w:rPr>
          <w:rFonts w:ascii="宋体" w:hAnsi="宋体"/>
          <w:sz w:val="24"/>
        </w:rPr>
      </w:pPr>
      <w:r>
        <w:rPr>
          <w:rFonts w:ascii="宋体" w:hAnsi="宋体" w:hint="eastAsia"/>
          <w:sz w:val="24"/>
        </w:rPr>
        <w:t>名称：广州农村商业银行股份有限公司</w:t>
      </w:r>
    </w:p>
    <w:p w:rsidR="00572ECF" w:rsidRDefault="00915AEA">
      <w:pPr>
        <w:spacing w:line="360" w:lineRule="auto"/>
        <w:ind w:firstLineChars="200" w:firstLine="480"/>
        <w:rPr>
          <w:rFonts w:ascii="宋体" w:hAnsi="宋体"/>
          <w:sz w:val="24"/>
        </w:rPr>
      </w:pPr>
      <w:r>
        <w:rPr>
          <w:rFonts w:ascii="宋体" w:hAnsi="宋体" w:hint="eastAsia"/>
          <w:sz w:val="24"/>
        </w:rPr>
        <w:t>注册地址：广州市天河区珠江新城华夏路1号</w:t>
      </w:r>
    </w:p>
    <w:p w:rsidR="00572ECF" w:rsidRDefault="00915AEA">
      <w:pPr>
        <w:spacing w:line="360" w:lineRule="auto"/>
        <w:ind w:firstLineChars="200" w:firstLine="480"/>
        <w:rPr>
          <w:rFonts w:ascii="宋体" w:hAnsi="宋体"/>
          <w:sz w:val="24"/>
        </w:rPr>
      </w:pPr>
      <w:r>
        <w:rPr>
          <w:rFonts w:ascii="宋体" w:hAnsi="宋体" w:hint="eastAsia"/>
          <w:sz w:val="24"/>
        </w:rPr>
        <w:t>法定代表人：王继康</w:t>
      </w:r>
    </w:p>
    <w:p w:rsidR="00572ECF" w:rsidRDefault="00915AEA">
      <w:pPr>
        <w:spacing w:line="360" w:lineRule="auto"/>
        <w:ind w:firstLineChars="200" w:firstLine="480"/>
        <w:rPr>
          <w:rFonts w:ascii="宋体" w:hAnsi="宋体"/>
          <w:sz w:val="24"/>
        </w:rPr>
      </w:pPr>
      <w:r>
        <w:rPr>
          <w:rFonts w:ascii="宋体" w:hAnsi="宋体" w:hint="eastAsia"/>
          <w:sz w:val="24"/>
        </w:rPr>
        <w:t xml:space="preserve">成立日期：2006年10月27日 </w:t>
      </w:r>
    </w:p>
    <w:p w:rsidR="00572ECF" w:rsidRDefault="00915AEA">
      <w:pPr>
        <w:spacing w:line="360" w:lineRule="auto"/>
        <w:ind w:firstLineChars="200" w:firstLine="480"/>
        <w:rPr>
          <w:rFonts w:ascii="宋体" w:hAnsi="宋体"/>
          <w:sz w:val="24"/>
        </w:rPr>
      </w:pPr>
      <w:r>
        <w:rPr>
          <w:rFonts w:ascii="宋体" w:hAnsi="宋体" w:hint="eastAsia"/>
          <w:sz w:val="24"/>
        </w:rPr>
        <w:t>批准设立机关和批准设立文号：</w:t>
      </w:r>
      <w:r>
        <w:rPr>
          <w:rFonts w:ascii="宋体" w:hAnsi="宋体" w:hint="eastAsia"/>
          <w:bCs/>
          <w:sz w:val="24"/>
        </w:rPr>
        <w:t>中国银行业监督管理委员会</w:t>
      </w:r>
      <w:proofErr w:type="gramStart"/>
      <w:r>
        <w:rPr>
          <w:rFonts w:ascii="宋体" w:hAnsi="宋体" w:hint="eastAsia"/>
          <w:bCs/>
          <w:sz w:val="24"/>
        </w:rPr>
        <w:t>银监复</w:t>
      </w:r>
      <w:proofErr w:type="gramEnd"/>
      <w:r>
        <w:rPr>
          <w:rFonts w:ascii="宋体" w:hAnsi="宋体" w:hint="eastAsia"/>
          <w:bCs/>
          <w:sz w:val="24"/>
        </w:rPr>
        <w:t>[2009]484 号</w:t>
      </w:r>
    </w:p>
    <w:p w:rsidR="00572ECF" w:rsidRDefault="00915AEA">
      <w:pPr>
        <w:spacing w:line="360" w:lineRule="auto"/>
        <w:ind w:firstLineChars="200" w:firstLine="480"/>
        <w:rPr>
          <w:rFonts w:ascii="宋体" w:hAnsi="宋体"/>
          <w:sz w:val="24"/>
        </w:rPr>
      </w:pPr>
      <w:r>
        <w:rPr>
          <w:rFonts w:ascii="宋体" w:hAnsi="宋体" w:hint="eastAsia"/>
          <w:sz w:val="24"/>
        </w:rPr>
        <w:t xml:space="preserve">注册资本：81.53亿元人民币 </w:t>
      </w:r>
    </w:p>
    <w:p w:rsidR="00572ECF" w:rsidRDefault="00915AEA">
      <w:pPr>
        <w:spacing w:line="360" w:lineRule="auto"/>
        <w:ind w:firstLineChars="200" w:firstLine="480"/>
        <w:rPr>
          <w:rFonts w:ascii="宋体" w:hAnsi="宋体"/>
          <w:sz w:val="24"/>
        </w:rPr>
      </w:pPr>
      <w:r>
        <w:rPr>
          <w:rFonts w:ascii="宋体" w:hAnsi="宋体" w:hint="eastAsia"/>
          <w:sz w:val="24"/>
        </w:rPr>
        <w:t xml:space="preserve">存续期间：持续经营 </w:t>
      </w:r>
    </w:p>
    <w:p w:rsidR="00572ECF" w:rsidRDefault="00915AEA">
      <w:pPr>
        <w:spacing w:line="360" w:lineRule="auto"/>
        <w:ind w:firstLineChars="200" w:firstLine="480"/>
        <w:rPr>
          <w:rFonts w:ascii="宋体" w:hAnsi="宋体"/>
          <w:sz w:val="24"/>
        </w:rPr>
      </w:pPr>
      <w:r>
        <w:rPr>
          <w:rFonts w:ascii="宋体" w:hAnsi="宋体" w:hint="eastAsia"/>
          <w:sz w:val="24"/>
        </w:rPr>
        <w:t>基金托管资格批文及文号：证监许可【2014】83号</w:t>
      </w:r>
    </w:p>
    <w:p w:rsidR="00572ECF" w:rsidRDefault="00915AEA">
      <w:pPr>
        <w:spacing w:line="360" w:lineRule="auto"/>
        <w:ind w:firstLineChars="200" w:firstLine="480"/>
        <w:rPr>
          <w:rFonts w:ascii="宋体" w:hAnsi="宋体"/>
          <w:sz w:val="24"/>
        </w:rPr>
      </w:pPr>
      <w:r>
        <w:rPr>
          <w:rFonts w:ascii="宋体" w:hAnsi="宋体" w:hint="eastAsia"/>
          <w:sz w:val="24"/>
        </w:rPr>
        <w:t>组织形式：其他股份有限公司（非上市）</w:t>
      </w:r>
    </w:p>
    <w:p w:rsidR="00572ECF" w:rsidRDefault="00915AEA">
      <w:pPr>
        <w:spacing w:line="360" w:lineRule="auto"/>
        <w:ind w:firstLineChars="200" w:firstLine="480"/>
        <w:rPr>
          <w:rFonts w:ascii="宋体" w:hAnsi="宋体"/>
          <w:sz w:val="24"/>
        </w:rPr>
      </w:pPr>
      <w:r>
        <w:rPr>
          <w:rFonts w:ascii="宋体" w:hAnsi="宋体" w:hint="eastAsia"/>
          <w:sz w:val="24"/>
        </w:rPr>
        <w:t>经营范围：货币金融服务（具体经营项目请登录广州市商</w:t>
      </w:r>
      <w:proofErr w:type="gramStart"/>
      <w:r>
        <w:rPr>
          <w:rFonts w:ascii="宋体" w:hAnsi="宋体" w:hint="eastAsia"/>
          <w:sz w:val="24"/>
        </w:rPr>
        <w:t>事主体</w:t>
      </w:r>
      <w:proofErr w:type="gramEnd"/>
      <w:r>
        <w:rPr>
          <w:rFonts w:ascii="宋体" w:hAnsi="宋体" w:hint="eastAsia"/>
          <w:sz w:val="24"/>
        </w:rPr>
        <w:t>信息公示平台查询。依法须经批准的项目，经相关部门批准后方可开展经营活动）。</w:t>
      </w:r>
    </w:p>
    <w:bookmarkEnd w:id="171"/>
    <w:bookmarkEnd w:id="172"/>
    <w:p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r>
        <w:rPr>
          <w:rFonts w:asciiTheme="minorEastAsia" w:eastAsiaTheme="minorEastAsia" w:hAnsiTheme="minorEastAsia" w:cs="Arial" w:hint="eastAsia"/>
          <w:b/>
          <w:kern w:val="0"/>
          <w:sz w:val="24"/>
          <w:szCs w:val="24"/>
        </w:rPr>
        <w:t>二、基金托管人与基金管理人之间的业务监督、核查</w:t>
      </w:r>
    </w:p>
    <w:p w:rsidR="00572ECF" w:rsidRDefault="00915AEA">
      <w:pPr>
        <w:numPr>
          <w:ilvl w:val="0"/>
          <w:numId w:val="1"/>
        </w:numPr>
        <w:spacing w:line="360" w:lineRule="auto"/>
        <w:ind w:firstLineChars="200" w:firstLine="480"/>
        <w:rPr>
          <w:rFonts w:ascii="宋体" w:hAnsi="宋体"/>
          <w:sz w:val="24"/>
        </w:rPr>
      </w:pPr>
      <w:r>
        <w:rPr>
          <w:rFonts w:ascii="宋体" w:hAnsi="宋体" w:hint="eastAsia"/>
          <w:sz w:val="24"/>
        </w:rPr>
        <w:t>基金托管人根据有关法律法规的规定及《基金合同》的约定，对基金</w:t>
      </w:r>
      <w:r>
        <w:rPr>
          <w:rFonts w:ascii="宋体" w:hAnsi="宋体" w:hint="eastAsia"/>
          <w:sz w:val="24"/>
        </w:rPr>
        <w:lastRenderedPageBreak/>
        <w:t>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rsidR="00572ECF" w:rsidRDefault="00915AEA">
      <w:pPr>
        <w:spacing w:line="360" w:lineRule="auto"/>
        <w:ind w:firstLineChars="200" w:firstLine="480"/>
        <w:rPr>
          <w:rFonts w:ascii="宋体" w:hAnsi="宋体"/>
          <w:sz w:val="24"/>
        </w:rPr>
      </w:pPr>
      <w:r>
        <w:rPr>
          <w:rFonts w:ascii="宋体" w:hAnsi="宋体" w:hint="eastAsia"/>
          <w:sz w:val="24"/>
        </w:rPr>
        <w:t>本基金将投资于以下金融工具：</w:t>
      </w:r>
    </w:p>
    <w:p w:rsidR="00572ECF" w:rsidRDefault="00915AEA">
      <w:pPr>
        <w:spacing w:line="360" w:lineRule="auto"/>
        <w:ind w:firstLineChars="200" w:firstLine="480"/>
        <w:rPr>
          <w:rFonts w:ascii="宋体" w:hAnsi="宋体"/>
          <w:bCs/>
          <w:sz w:val="24"/>
        </w:rPr>
      </w:pPr>
      <w:r>
        <w:rPr>
          <w:rFonts w:ascii="宋体" w:hAnsi="宋体" w:hint="eastAsia"/>
          <w:bCs/>
          <w:sz w:val="24"/>
        </w:rPr>
        <w:t>本基金的投资范围为具有良好流动性的金融工具，包括国内依法发行上市的国债、央行票据、地方政府债、金融债、次级债、企业债、短期融资</w:t>
      </w:r>
      <w:proofErr w:type="gramStart"/>
      <w:r>
        <w:rPr>
          <w:rFonts w:ascii="宋体" w:hAnsi="宋体" w:hint="eastAsia"/>
          <w:bCs/>
          <w:sz w:val="24"/>
        </w:rPr>
        <w:t>券</w:t>
      </w:r>
      <w:proofErr w:type="gramEnd"/>
      <w:r>
        <w:rPr>
          <w:rFonts w:ascii="宋体" w:hAnsi="宋体" w:hint="eastAsia"/>
          <w:bCs/>
          <w:sz w:val="24"/>
        </w:rPr>
        <w:t>、中期票据、公司债、可转换债券（</w:t>
      </w:r>
      <w:proofErr w:type="gramStart"/>
      <w:r>
        <w:rPr>
          <w:rFonts w:ascii="宋体" w:hAnsi="宋体" w:hint="eastAsia"/>
          <w:bCs/>
          <w:sz w:val="24"/>
        </w:rPr>
        <w:t>含可分离</w:t>
      </w:r>
      <w:proofErr w:type="gramEnd"/>
      <w:r>
        <w:rPr>
          <w:rFonts w:ascii="宋体" w:hAnsi="宋体" w:hint="eastAsia"/>
          <w:bCs/>
          <w:sz w:val="24"/>
        </w:rPr>
        <w:t>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rsidR="00572ECF" w:rsidRDefault="00915AEA">
      <w:pPr>
        <w:spacing w:line="360" w:lineRule="auto"/>
        <w:ind w:firstLineChars="200" w:firstLine="480"/>
        <w:rPr>
          <w:rFonts w:ascii="宋体" w:hAnsi="宋体"/>
          <w:bCs/>
          <w:sz w:val="24"/>
        </w:rPr>
      </w:pPr>
      <w:r>
        <w:rPr>
          <w:rFonts w:ascii="宋体" w:hAnsi="宋体" w:hint="eastAsia"/>
          <w:bCs/>
          <w:sz w:val="24"/>
        </w:rPr>
        <w:t>如法律法规或监管机构以后允许基金投资其他品种，基金管理人在履行适当程序后，可以将其纳入投资范围。</w:t>
      </w:r>
    </w:p>
    <w:p w:rsidR="00572ECF" w:rsidRDefault="00915AEA">
      <w:pPr>
        <w:spacing w:line="360" w:lineRule="auto"/>
        <w:ind w:firstLine="420"/>
        <w:rPr>
          <w:rFonts w:ascii="宋体" w:hAnsi="宋体"/>
          <w:bCs/>
          <w:sz w:val="24"/>
        </w:rPr>
      </w:pPr>
      <w:r>
        <w:rPr>
          <w:rFonts w:ascii="宋体" w:hAnsi="宋体" w:hint="eastAsia"/>
          <w:bCs/>
          <w:sz w:val="24"/>
        </w:rPr>
        <w:t>本基金的投资组合比例为：本基金投资债券的比例不低于基金资产的80%；投资股票、权证的比例不高于基金资产的20%；每个交易日日终在扣除国债期货合约需缴纳的交易保证金后，持有现金或者到期日在一年以内的政府债券比例不低于基金资产净值的5%，其中现金不包括结算备付金、存出保证金、应收申购款等。</w:t>
      </w:r>
    </w:p>
    <w:p w:rsidR="00572ECF" w:rsidRDefault="00915AEA">
      <w:pPr>
        <w:spacing w:line="360" w:lineRule="auto"/>
        <w:ind w:firstLineChars="200" w:firstLine="480"/>
        <w:rPr>
          <w:rFonts w:ascii="宋体" w:hAnsi="宋体"/>
          <w:sz w:val="24"/>
        </w:rPr>
      </w:pPr>
      <w:r>
        <w:rPr>
          <w:rFonts w:ascii="宋体" w:hAnsi="宋体" w:hint="eastAsia"/>
          <w:sz w:val="24"/>
        </w:rPr>
        <w:t>（二）基金托管人根据有关法律法规的规定及《基金合同》的约定，对基金投资、融资比例进行监督。基金托管人按下述比例和调整期限进行监督：</w:t>
      </w:r>
    </w:p>
    <w:p w:rsidR="00572ECF" w:rsidRDefault="00915AEA">
      <w:pPr>
        <w:spacing w:line="360" w:lineRule="auto"/>
        <w:ind w:firstLineChars="200" w:firstLine="480"/>
        <w:rPr>
          <w:rFonts w:ascii="宋体" w:hAnsi="宋体"/>
          <w:bCs/>
          <w:sz w:val="24"/>
        </w:rPr>
      </w:pPr>
      <w:r>
        <w:rPr>
          <w:rFonts w:ascii="宋体" w:hAnsi="宋体" w:hint="eastAsia"/>
          <w:bCs/>
          <w:sz w:val="24"/>
        </w:rPr>
        <w:t>基金的投资组合应遵循以下限制：</w:t>
      </w:r>
    </w:p>
    <w:p w:rsidR="00572ECF" w:rsidRDefault="00915AEA">
      <w:pPr>
        <w:spacing w:line="360" w:lineRule="auto"/>
        <w:ind w:firstLineChars="200" w:firstLine="480"/>
        <w:rPr>
          <w:rFonts w:ascii="宋体" w:hAnsi="宋体"/>
          <w:bCs/>
          <w:sz w:val="24"/>
        </w:rPr>
      </w:pPr>
      <w:r>
        <w:rPr>
          <w:rFonts w:ascii="宋体" w:hAnsi="宋体" w:hint="eastAsia"/>
          <w:bCs/>
          <w:sz w:val="24"/>
        </w:rPr>
        <w:t>（1）本基金对债券的投资占基金资产的比例不低于80％；</w:t>
      </w:r>
    </w:p>
    <w:p w:rsidR="00572ECF" w:rsidRDefault="00915AEA">
      <w:pPr>
        <w:spacing w:line="360" w:lineRule="auto"/>
        <w:ind w:firstLineChars="200" w:firstLine="480"/>
        <w:rPr>
          <w:rFonts w:ascii="宋体" w:hAnsi="宋体"/>
          <w:bCs/>
          <w:sz w:val="24"/>
        </w:rPr>
      </w:pPr>
      <w:r>
        <w:rPr>
          <w:rFonts w:ascii="宋体" w:hAnsi="宋体" w:hint="eastAsia"/>
          <w:bCs/>
          <w:sz w:val="24"/>
        </w:rPr>
        <w:t>（2）本基金投资于股票、权证等权益类资产的比例不高于基金资产的20%；</w:t>
      </w:r>
    </w:p>
    <w:p w:rsidR="00572ECF" w:rsidRDefault="00915AEA">
      <w:pPr>
        <w:spacing w:line="360" w:lineRule="auto"/>
        <w:ind w:firstLineChars="200" w:firstLine="480"/>
        <w:rPr>
          <w:rFonts w:ascii="宋体" w:hAnsi="宋体"/>
          <w:bCs/>
          <w:sz w:val="24"/>
        </w:rPr>
      </w:pPr>
      <w:r>
        <w:rPr>
          <w:rFonts w:ascii="宋体" w:hAnsi="宋体" w:hint="eastAsia"/>
          <w:bCs/>
          <w:sz w:val="24"/>
        </w:rPr>
        <w:t>（3）本基金每个交易日日终在扣除国债期货合约需缴纳的交易保证金后，持有现金或者到期日在一年以内的政府债券比例不低于基金资产净值的5%，其中现金不包括结算备付金、存出保证金、应收申购款等；</w:t>
      </w:r>
    </w:p>
    <w:p w:rsidR="00572ECF" w:rsidRDefault="00915AEA">
      <w:pPr>
        <w:spacing w:line="360" w:lineRule="auto"/>
        <w:ind w:firstLineChars="200" w:firstLine="480"/>
        <w:rPr>
          <w:rFonts w:ascii="宋体" w:hAnsi="宋体"/>
          <w:bCs/>
          <w:sz w:val="24"/>
        </w:rPr>
      </w:pPr>
      <w:r>
        <w:rPr>
          <w:rFonts w:ascii="宋体" w:hAnsi="宋体" w:hint="eastAsia"/>
          <w:bCs/>
          <w:sz w:val="24"/>
        </w:rPr>
        <w:t>（4）本基金持有一家公司发行的证券，其市值不超过基金资产净值的10％；</w:t>
      </w:r>
    </w:p>
    <w:p w:rsidR="00572ECF" w:rsidRDefault="00915AEA">
      <w:pPr>
        <w:spacing w:line="360" w:lineRule="auto"/>
        <w:ind w:firstLineChars="200" w:firstLine="480"/>
        <w:rPr>
          <w:rFonts w:ascii="宋体" w:hAnsi="宋体"/>
          <w:bCs/>
          <w:sz w:val="24"/>
        </w:rPr>
      </w:pPr>
      <w:r>
        <w:rPr>
          <w:rFonts w:ascii="宋体" w:hAnsi="宋体" w:hint="eastAsia"/>
          <w:bCs/>
          <w:sz w:val="24"/>
        </w:rPr>
        <w:t>（5）本基金管理人管理的全部基金持有一家公司发行的证券，不超过该证券的10％；</w:t>
      </w:r>
    </w:p>
    <w:p w:rsidR="00572ECF" w:rsidRDefault="00915AEA">
      <w:pPr>
        <w:spacing w:line="360" w:lineRule="auto"/>
        <w:ind w:firstLineChars="200" w:firstLine="480"/>
        <w:rPr>
          <w:rFonts w:ascii="宋体" w:hAnsi="宋体"/>
          <w:bCs/>
          <w:sz w:val="24"/>
        </w:rPr>
      </w:pPr>
      <w:r>
        <w:rPr>
          <w:rFonts w:ascii="宋体" w:hAnsi="宋体" w:hint="eastAsia"/>
          <w:bCs/>
          <w:sz w:val="24"/>
        </w:rPr>
        <w:t>（6）本基金持有的全部权证，其市值不得超过基金资产净值的3％；</w:t>
      </w:r>
    </w:p>
    <w:p w:rsidR="00572ECF" w:rsidRDefault="00915AEA">
      <w:pPr>
        <w:spacing w:line="360" w:lineRule="auto"/>
        <w:ind w:firstLineChars="200" w:firstLine="480"/>
        <w:rPr>
          <w:rFonts w:ascii="宋体" w:hAnsi="宋体"/>
          <w:bCs/>
          <w:sz w:val="24"/>
        </w:rPr>
      </w:pPr>
      <w:r>
        <w:rPr>
          <w:rFonts w:ascii="宋体" w:hAnsi="宋体" w:hint="eastAsia"/>
          <w:bCs/>
          <w:sz w:val="24"/>
        </w:rPr>
        <w:lastRenderedPageBreak/>
        <w:t>（7）本基金管理人管理的全部基金持有的同一权证，不得超过该权证的   10％；</w:t>
      </w:r>
    </w:p>
    <w:p w:rsidR="00572ECF" w:rsidRDefault="00915AEA">
      <w:pPr>
        <w:spacing w:line="360" w:lineRule="auto"/>
        <w:ind w:firstLineChars="200" w:firstLine="480"/>
        <w:rPr>
          <w:rFonts w:ascii="宋体" w:hAnsi="宋体"/>
          <w:bCs/>
          <w:sz w:val="24"/>
        </w:rPr>
      </w:pPr>
      <w:r>
        <w:rPr>
          <w:rFonts w:ascii="宋体" w:hAnsi="宋体" w:hint="eastAsia"/>
          <w:bCs/>
          <w:sz w:val="24"/>
        </w:rPr>
        <w:t>（8）本基金在任何交易日买入权证的总金额，不得超过上一交易日基金资产净值的0.5％；</w:t>
      </w:r>
    </w:p>
    <w:p w:rsidR="00572ECF" w:rsidRDefault="00915AEA">
      <w:pPr>
        <w:spacing w:line="360" w:lineRule="auto"/>
        <w:ind w:firstLineChars="200" w:firstLine="480"/>
        <w:rPr>
          <w:rFonts w:ascii="宋体" w:hAnsi="宋体"/>
          <w:bCs/>
          <w:sz w:val="24"/>
        </w:rPr>
      </w:pPr>
      <w:r>
        <w:rPr>
          <w:rFonts w:ascii="宋体" w:hAnsi="宋体" w:hint="eastAsia"/>
          <w:bCs/>
          <w:sz w:val="24"/>
        </w:rPr>
        <w:t>（9）本基金投资于同一原始权益人的各类资产支持证券的比例，不得超过基金资产净值的10％；</w:t>
      </w:r>
    </w:p>
    <w:p w:rsidR="00572ECF" w:rsidRDefault="00915AEA">
      <w:pPr>
        <w:spacing w:line="360" w:lineRule="auto"/>
        <w:ind w:firstLineChars="200" w:firstLine="480"/>
        <w:rPr>
          <w:rFonts w:ascii="宋体" w:hAnsi="宋体"/>
          <w:bCs/>
          <w:sz w:val="24"/>
        </w:rPr>
      </w:pPr>
      <w:r>
        <w:rPr>
          <w:rFonts w:ascii="宋体" w:hAnsi="宋体" w:hint="eastAsia"/>
          <w:bCs/>
          <w:sz w:val="24"/>
        </w:rPr>
        <w:t>（10）本基金持有的全部资产支持证券，其市值不得超过基金资产净值的20％；</w:t>
      </w:r>
    </w:p>
    <w:p w:rsidR="00572ECF" w:rsidRDefault="00915AEA">
      <w:pPr>
        <w:spacing w:line="360" w:lineRule="auto"/>
        <w:ind w:firstLineChars="200" w:firstLine="480"/>
        <w:rPr>
          <w:rFonts w:ascii="宋体" w:hAnsi="宋体"/>
          <w:bCs/>
          <w:sz w:val="24"/>
        </w:rPr>
      </w:pPr>
      <w:r>
        <w:rPr>
          <w:rFonts w:ascii="宋体" w:hAnsi="宋体" w:hint="eastAsia"/>
          <w:bCs/>
          <w:sz w:val="24"/>
        </w:rPr>
        <w:t>（11）本基金持有的同一(指同一信用级别)资产支持证券的比例，不得超过该资产支持证券规模的10％；</w:t>
      </w:r>
    </w:p>
    <w:p w:rsidR="00572ECF" w:rsidRDefault="00915AEA">
      <w:pPr>
        <w:spacing w:line="360" w:lineRule="auto"/>
        <w:ind w:firstLineChars="200" w:firstLine="480"/>
        <w:rPr>
          <w:rFonts w:ascii="宋体" w:hAnsi="宋体"/>
          <w:bCs/>
          <w:sz w:val="24"/>
        </w:rPr>
      </w:pPr>
      <w:r>
        <w:rPr>
          <w:rFonts w:ascii="宋体" w:hAnsi="宋体" w:hint="eastAsia"/>
          <w:bCs/>
          <w:sz w:val="24"/>
        </w:rPr>
        <w:t>（12）本基金管理人管理的全部基金投资于同一原始权益人的各类资产支持证券，不得超过其各类资产支持证券合计规模的10％；</w:t>
      </w:r>
    </w:p>
    <w:p w:rsidR="00572ECF" w:rsidRDefault="00915AEA">
      <w:pPr>
        <w:spacing w:line="360" w:lineRule="auto"/>
        <w:ind w:firstLineChars="200" w:firstLine="480"/>
        <w:rPr>
          <w:rFonts w:ascii="宋体" w:hAnsi="宋体"/>
          <w:bCs/>
          <w:sz w:val="24"/>
        </w:rPr>
      </w:pPr>
      <w:r>
        <w:rPr>
          <w:rFonts w:ascii="宋体" w:hAnsi="宋体" w:hint="eastAsia"/>
          <w:bCs/>
          <w:sz w:val="24"/>
        </w:rPr>
        <w:t>（13）</w:t>
      </w:r>
      <w:r>
        <w:rPr>
          <w:rFonts w:hint="eastAsia"/>
          <w:bCs/>
          <w:sz w:val="24"/>
        </w:rPr>
        <w:t>本基金持有的单只中小企业私募债券，其市值不得超过基金资产净值的</w:t>
      </w:r>
      <w:r>
        <w:rPr>
          <w:rFonts w:hint="eastAsia"/>
          <w:bCs/>
          <w:sz w:val="24"/>
        </w:rPr>
        <w:t>10%</w:t>
      </w:r>
      <w:r>
        <w:rPr>
          <w:rFonts w:ascii="宋体" w:hAnsi="宋体" w:hint="eastAsia"/>
          <w:bCs/>
          <w:sz w:val="24"/>
        </w:rPr>
        <w:t>；</w:t>
      </w:r>
    </w:p>
    <w:p w:rsidR="00572ECF" w:rsidRDefault="00915AEA">
      <w:pPr>
        <w:tabs>
          <w:tab w:val="left" w:pos="4253"/>
        </w:tabs>
        <w:spacing w:line="360" w:lineRule="auto"/>
        <w:ind w:firstLineChars="200" w:firstLine="480"/>
        <w:rPr>
          <w:rFonts w:ascii="宋体" w:hAnsi="宋体"/>
          <w:bCs/>
          <w:sz w:val="24"/>
        </w:rPr>
      </w:pPr>
      <w:r>
        <w:rPr>
          <w:rFonts w:ascii="宋体" w:hAnsi="宋体" w:hint="eastAsia"/>
          <w:bCs/>
          <w:sz w:val="24"/>
        </w:rPr>
        <w:t>（14）本基金应投资于信用级别评级为BBB以上(含BBB)的资产支持证券。基金持有资产支持证券期间，如果其信用等级下降、不再符合投资标准，应在评级报告发布之日起3个月内予以全部卖出；</w:t>
      </w:r>
    </w:p>
    <w:p w:rsidR="00572ECF" w:rsidRDefault="00915AEA">
      <w:pPr>
        <w:spacing w:line="360" w:lineRule="auto"/>
        <w:ind w:firstLineChars="200" w:firstLine="480"/>
        <w:rPr>
          <w:rFonts w:ascii="宋体" w:hAnsi="宋体"/>
          <w:bCs/>
          <w:sz w:val="24"/>
        </w:rPr>
      </w:pPr>
      <w:r>
        <w:rPr>
          <w:rFonts w:ascii="宋体" w:hAnsi="宋体" w:hint="eastAsia"/>
          <w:bCs/>
          <w:sz w:val="24"/>
        </w:rPr>
        <w:t>（15）本基金进入全国银行间同业市场进行债券回购的资金余额不得超过基金资产净值的40%；债券回购最长期限为1年，债券回购到期后不得展期；</w:t>
      </w:r>
    </w:p>
    <w:p w:rsidR="00572ECF" w:rsidRDefault="00915AEA">
      <w:pPr>
        <w:spacing w:line="360" w:lineRule="auto"/>
        <w:ind w:firstLineChars="200" w:firstLine="480"/>
        <w:rPr>
          <w:rFonts w:ascii="宋体" w:hAnsi="宋体"/>
          <w:bCs/>
          <w:sz w:val="24"/>
        </w:rPr>
      </w:pPr>
      <w:r>
        <w:rPr>
          <w:rFonts w:ascii="宋体" w:hAnsi="宋体" w:hint="eastAsia"/>
          <w:bCs/>
          <w:sz w:val="24"/>
        </w:rPr>
        <w:t>（16）本基金参与国债期货交易，需遵守下列投资比例限制：</w:t>
      </w:r>
    </w:p>
    <w:p w:rsidR="00572ECF" w:rsidRDefault="00915AEA">
      <w:pPr>
        <w:spacing w:line="360" w:lineRule="auto"/>
        <w:ind w:firstLineChars="200" w:firstLine="480"/>
        <w:rPr>
          <w:rFonts w:ascii="宋体" w:hAnsi="宋体"/>
          <w:bCs/>
          <w:sz w:val="24"/>
        </w:rPr>
      </w:pPr>
      <w:r>
        <w:rPr>
          <w:rFonts w:ascii="宋体" w:hAnsi="宋体" w:hint="eastAsia"/>
          <w:bCs/>
          <w:sz w:val="24"/>
        </w:rPr>
        <w:t>1）本基金在任何交易日日终，持有的买入国债期货合约价值，不得超过基金资产净值的15%；</w:t>
      </w:r>
    </w:p>
    <w:p w:rsidR="00572ECF" w:rsidRDefault="00915AEA">
      <w:pPr>
        <w:spacing w:line="360" w:lineRule="auto"/>
        <w:ind w:firstLineChars="200" w:firstLine="480"/>
        <w:rPr>
          <w:rFonts w:ascii="宋体" w:hAnsi="宋体"/>
          <w:bCs/>
          <w:sz w:val="24"/>
        </w:rPr>
      </w:pPr>
      <w:r>
        <w:rPr>
          <w:rFonts w:ascii="宋体" w:hAnsi="宋体" w:hint="eastAsia"/>
          <w:bCs/>
          <w:sz w:val="24"/>
        </w:rPr>
        <w:t>2）本基金在任何交易日日终，持有的卖出国债期货合约价值不得超过基金持有的债券总市值的30%；本基金管理人将按照中国金融期货交易所要求的内容、格式与时限向交易所报告所交易和持有的卖出期货合约情况、交易目的及对应的证券资产情况等；</w:t>
      </w:r>
    </w:p>
    <w:p w:rsidR="00572ECF" w:rsidRDefault="00915AEA">
      <w:pPr>
        <w:spacing w:line="360" w:lineRule="auto"/>
        <w:ind w:firstLineChars="200" w:firstLine="480"/>
        <w:rPr>
          <w:rFonts w:ascii="宋体" w:hAnsi="宋体"/>
          <w:bCs/>
          <w:sz w:val="24"/>
        </w:rPr>
      </w:pPr>
      <w:r>
        <w:rPr>
          <w:rFonts w:ascii="宋体" w:hAnsi="宋体" w:hint="eastAsia"/>
          <w:bCs/>
          <w:sz w:val="24"/>
        </w:rPr>
        <w:t>3）本基金参与国债期货时，所持有的债券（不含到期日在一年以内的政府债券）市值和买入、卖出国债期货合约价值，合计（轧差计算）应当符合基金合同关于债券投资比例的有关约定；</w:t>
      </w:r>
    </w:p>
    <w:p w:rsidR="00572ECF" w:rsidRDefault="00915AEA">
      <w:pPr>
        <w:spacing w:line="360" w:lineRule="auto"/>
        <w:ind w:firstLineChars="200" w:firstLine="480"/>
        <w:rPr>
          <w:rFonts w:ascii="宋体" w:hAnsi="宋体"/>
          <w:bCs/>
          <w:sz w:val="24"/>
        </w:rPr>
      </w:pPr>
      <w:r>
        <w:rPr>
          <w:rFonts w:ascii="宋体" w:hAnsi="宋体" w:hint="eastAsia"/>
          <w:bCs/>
          <w:sz w:val="24"/>
        </w:rPr>
        <w:t>4）本基金在任何交易日内交易（不包括平仓）的国债期货合约的成交金额</w:t>
      </w:r>
      <w:r>
        <w:rPr>
          <w:rFonts w:ascii="宋体" w:hAnsi="宋体" w:hint="eastAsia"/>
          <w:bCs/>
          <w:sz w:val="24"/>
        </w:rPr>
        <w:lastRenderedPageBreak/>
        <w:t>不得超过上一交易日基金资产净值的30%；</w:t>
      </w:r>
    </w:p>
    <w:p w:rsidR="00572ECF" w:rsidRDefault="00915AEA">
      <w:pPr>
        <w:spacing w:line="360" w:lineRule="auto"/>
        <w:ind w:firstLineChars="200" w:firstLine="480"/>
        <w:rPr>
          <w:rFonts w:ascii="宋体" w:hAnsi="宋体"/>
          <w:bCs/>
          <w:sz w:val="24"/>
        </w:rPr>
      </w:pPr>
      <w:r>
        <w:rPr>
          <w:rFonts w:ascii="宋体" w:hAnsi="宋体" w:hint="eastAsia"/>
          <w:bCs/>
          <w:sz w:val="24"/>
        </w:rPr>
        <w:t>（17）本基金总资产不得超过基金净资产的140%；</w:t>
      </w:r>
    </w:p>
    <w:p w:rsidR="00572ECF" w:rsidRDefault="00915AEA">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rsidR="00572ECF" w:rsidRDefault="00915AEA">
      <w:pPr>
        <w:spacing w:line="360" w:lineRule="auto"/>
        <w:ind w:firstLineChars="200" w:firstLine="480"/>
        <w:rPr>
          <w:bCs/>
          <w:sz w:val="24"/>
        </w:rPr>
      </w:pPr>
      <w:r>
        <w:rPr>
          <w:rFonts w:hint="eastAsia"/>
          <w:bCs/>
          <w:sz w:val="24"/>
        </w:rPr>
        <w:t>（</w:t>
      </w:r>
      <w:r>
        <w:rPr>
          <w:bCs/>
          <w:sz w:val="24"/>
        </w:rPr>
        <w:t>19</w:t>
      </w:r>
      <w:r>
        <w:rPr>
          <w:rFonts w:hint="eastAsia"/>
          <w:bCs/>
          <w:sz w:val="24"/>
        </w:rPr>
        <w:t>）本基金主动投资于流动性受限资产的市值合计不得超过该基金资产净值的</w:t>
      </w:r>
      <w:r>
        <w:rPr>
          <w:rFonts w:hint="eastAsia"/>
          <w:bCs/>
          <w:sz w:val="24"/>
        </w:rPr>
        <w:t>15%</w:t>
      </w:r>
      <w:r>
        <w:rPr>
          <w:rFonts w:hint="eastAsia"/>
          <w:bCs/>
          <w:sz w:val="24"/>
        </w:rPr>
        <w:t>；</w:t>
      </w:r>
    </w:p>
    <w:p w:rsidR="00572ECF" w:rsidRDefault="00915AEA">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572ECF" w:rsidRDefault="00915AEA">
      <w:pPr>
        <w:spacing w:line="360" w:lineRule="auto"/>
        <w:ind w:firstLineChars="200" w:firstLine="480"/>
        <w:rPr>
          <w:bCs/>
          <w:sz w:val="24"/>
        </w:rPr>
      </w:pPr>
      <w:r>
        <w:rPr>
          <w:rFonts w:hint="eastAsia"/>
          <w:bCs/>
          <w:sz w:val="24"/>
        </w:rPr>
        <w:t>（</w:t>
      </w:r>
      <w:r>
        <w:rPr>
          <w:bCs/>
          <w:sz w:val="24"/>
        </w:rPr>
        <w:t>20</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rsidR="00572ECF" w:rsidRDefault="00915AEA">
      <w:pPr>
        <w:spacing w:line="360" w:lineRule="auto"/>
        <w:ind w:firstLineChars="200" w:firstLine="480"/>
        <w:rPr>
          <w:bCs/>
          <w:sz w:val="24"/>
        </w:rPr>
      </w:pPr>
      <w:r>
        <w:rPr>
          <w:rFonts w:hint="eastAsia"/>
          <w:bCs/>
          <w:sz w:val="24"/>
        </w:rPr>
        <w:t>（</w:t>
      </w:r>
      <w:r>
        <w:rPr>
          <w:rFonts w:hint="eastAsia"/>
          <w:bCs/>
          <w:sz w:val="24"/>
        </w:rPr>
        <w:t>2</w:t>
      </w:r>
      <w:r>
        <w:rPr>
          <w:bCs/>
          <w:sz w:val="24"/>
        </w:rPr>
        <w:t>1</w:t>
      </w:r>
      <w:r>
        <w:rPr>
          <w:rFonts w:hint="eastAsia"/>
          <w:bCs/>
          <w:sz w:val="24"/>
        </w:rPr>
        <w:t>）法律法规及中国证监会规定的和《基金合同》约定的其他投资限制。</w:t>
      </w:r>
    </w:p>
    <w:p w:rsidR="00572ECF" w:rsidRDefault="00915AEA">
      <w:pPr>
        <w:spacing w:line="360" w:lineRule="auto"/>
        <w:ind w:firstLineChars="200" w:firstLine="480"/>
        <w:rPr>
          <w:bCs/>
          <w:sz w:val="24"/>
        </w:rPr>
      </w:pPr>
      <w:r>
        <w:rPr>
          <w:rFonts w:hint="eastAsia"/>
          <w:bCs/>
          <w:sz w:val="24"/>
        </w:rPr>
        <w:t>除上述第（</w:t>
      </w:r>
      <w:r>
        <w:rPr>
          <w:rFonts w:hint="eastAsia"/>
          <w:bCs/>
          <w:sz w:val="24"/>
        </w:rPr>
        <w:t>3</w:t>
      </w:r>
      <w:r>
        <w:rPr>
          <w:rFonts w:hint="eastAsia"/>
          <w:bCs/>
          <w:sz w:val="24"/>
        </w:rPr>
        <w:t>）、（</w:t>
      </w:r>
      <w:r>
        <w:rPr>
          <w:rFonts w:hint="eastAsia"/>
          <w:bCs/>
          <w:sz w:val="24"/>
        </w:rPr>
        <w:t>14</w:t>
      </w:r>
      <w:r>
        <w:rPr>
          <w:rFonts w:hint="eastAsia"/>
          <w:bCs/>
          <w:sz w:val="24"/>
        </w:rPr>
        <w:t>）、（</w:t>
      </w:r>
      <w:r>
        <w:rPr>
          <w:rFonts w:hint="eastAsia"/>
          <w:bCs/>
          <w:sz w:val="24"/>
        </w:rPr>
        <w:t>1</w:t>
      </w:r>
      <w:r>
        <w:rPr>
          <w:bCs/>
          <w:sz w:val="24"/>
        </w:rPr>
        <w:t>9</w:t>
      </w:r>
      <w:r>
        <w:rPr>
          <w:rFonts w:hint="eastAsia"/>
          <w:bCs/>
          <w:sz w:val="24"/>
        </w:rPr>
        <w:t>）、（</w:t>
      </w:r>
      <w:r>
        <w:rPr>
          <w:bCs/>
          <w:sz w:val="24"/>
        </w:rPr>
        <w:t>20</w:t>
      </w:r>
      <w:r>
        <w:rPr>
          <w:rFonts w:hint="eastAsia"/>
          <w:bCs/>
          <w:sz w:val="24"/>
        </w:rPr>
        <w:t>）项外，因证券、期货市场波动、证券发行人合并、基金规模变动等基金管理人之外的因素致使基金投资比例不符合上述规定投资比例的，基金管理人应当在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个交易日内进行调整，但中国证监会规定的特殊情形除外。法律法规或监管机构另有规定的，从其规定。</w:t>
      </w:r>
    </w:p>
    <w:p w:rsidR="00572ECF" w:rsidRDefault="00915AEA">
      <w:pPr>
        <w:spacing w:line="360" w:lineRule="auto"/>
        <w:ind w:firstLineChars="200" w:firstLine="480"/>
        <w:rPr>
          <w:rFonts w:ascii="宋体" w:hAnsi="宋体"/>
          <w:bCs/>
          <w:sz w:val="24"/>
        </w:rPr>
      </w:pPr>
      <w:r>
        <w:rPr>
          <w:rFonts w:ascii="宋体" w:hAnsi="宋体"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572ECF" w:rsidRDefault="00915AEA">
      <w:pPr>
        <w:spacing w:line="360" w:lineRule="auto"/>
        <w:ind w:firstLineChars="200" w:firstLine="480"/>
        <w:rPr>
          <w:rFonts w:ascii="宋体" w:hAnsi="宋体"/>
          <w:bCs/>
          <w:sz w:val="24"/>
        </w:rPr>
      </w:pPr>
      <w:r>
        <w:rPr>
          <w:rFonts w:ascii="宋体" w:hAnsi="宋体" w:hint="eastAsia"/>
          <w:bCs/>
          <w:sz w:val="24"/>
        </w:rPr>
        <w:t>法律法规或监管部门取消上述限制，如适用于本基金，基金管理人在履行适当程序后，则本基金投资不再受相关限制，但须提前公告，不需要经基金份额持有人大会审议。</w:t>
      </w:r>
    </w:p>
    <w:p w:rsidR="00572ECF" w:rsidRDefault="00915AEA">
      <w:pPr>
        <w:spacing w:line="360" w:lineRule="auto"/>
        <w:ind w:firstLineChars="200" w:firstLine="480"/>
        <w:rPr>
          <w:rFonts w:ascii="宋体" w:hAnsi="宋体"/>
          <w:sz w:val="24"/>
        </w:rPr>
      </w:pPr>
      <w:r>
        <w:rPr>
          <w:rFonts w:ascii="宋体" w:hAnsi="宋体" w:hint="eastAsia"/>
          <w:sz w:val="24"/>
        </w:rPr>
        <w:t>基金管理人运用基金财产投资证券衍生品种的，应当根据风险管理的原则，并制定严格的授权管理制度和投资决策流程。基金管理人运用基金财产投资证券衍生品种的具体比例，应当符合中国证监会的有关规定。</w:t>
      </w:r>
    </w:p>
    <w:p w:rsidR="00572ECF" w:rsidRDefault="00915AEA">
      <w:pPr>
        <w:spacing w:line="360" w:lineRule="auto"/>
        <w:ind w:firstLineChars="200" w:firstLine="480"/>
        <w:rPr>
          <w:rFonts w:ascii="宋体" w:hAnsi="宋体"/>
          <w:sz w:val="24"/>
        </w:rPr>
      </w:pPr>
      <w:r>
        <w:rPr>
          <w:rFonts w:ascii="宋体" w:hAnsi="宋体" w:hint="eastAsia"/>
          <w:sz w:val="24"/>
        </w:rPr>
        <w:t>（三）基金托管人</w:t>
      </w:r>
      <w:bookmarkStart w:id="173" w:name="OLE_LINK1"/>
      <w:r>
        <w:rPr>
          <w:rFonts w:ascii="宋体" w:hAnsi="宋体" w:hint="eastAsia"/>
          <w:sz w:val="24"/>
        </w:rPr>
        <w:t>根据有关法律法规的规定及《基金合同》的约定，</w:t>
      </w:r>
      <w:bookmarkEnd w:id="173"/>
      <w:r>
        <w:rPr>
          <w:rFonts w:ascii="宋体" w:hAnsi="宋体" w:hint="eastAsia"/>
          <w:sz w:val="24"/>
        </w:rPr>
        <w:t>对本托</w:t>
      </w:r>
      <w:r>
        <w:rPr>
          <w:rFonts w:ascii="宋体" w:hAnsi="宋体" w:hint="eastAsia"/>
          <w:sz w:val="24"/>
        </w:rPr>
        <w:lastRenderedPageBreak/>
        <w:t>管协议第15条第（九）项基金投资禁止行为进行监督。基金托管人通过事后监督方式对基金管理人基金投资禁止行为进行监督。</w:t>
      </w:r>
    </w:p>
    <w:p w:rsidR="00572ECF" w:rsidRDefault="00915AEA">
      <w:pPr>
        <w:spacing w:line="360" w:lineRule="auto"/>
        <w:ind w:firstLineChars="200" w:firstLine="480"/>
        <w:rPr>
          <w:rFonts w:ascii="宋体" w:hAnsi="宋体"/>
          <w:sz w:val="24"/>
        </w:rPr>
      </w:pPr>
      <w:r>
        <w:rPr>
          <w:rFonts w:ascii="宋体" w:hAnsi="宋体" w:hint="eastAsia"/>
          <w:sz w:val="24"/>
        </w:rPr>
        <w:t>为维护基金份额持有人的合法权益，基金财产不得用于下列投资或者活动：</w:t>
      </w:r>
    </w:p>
    <w:p w:rsidR="00572ECF" w:rsidRDefault="00915AEA">
      <w:pPr>
        <w:spacing w:line="360" w:lineRule="auto"/>
        <w:ind w:firstLineChars="200" w:firstLine="480"/>
        <w:rPr>
          <w:rFonts w:ascii="宋体" w:hAnsi="宋体"/>
          <w:sz w:val="24"/>
        </w:rPr>
      </w:pPr>
      <w:r>
        <w:rPr>
          <w:rFonts w:ascii="宋体" w:hAnsi="宋体" w:hint="eastAsia"/>
          <w:sz w:val="24"/>
        </w:rPr>
        <w:t>1、承销证券；</w:t>
      </w:r>
    </w:p>
    <w:p w:rsidR="00572ECF" w:rsidRDefault="00915AEA">
      <w:pPr>
        <w:spacing w:line="360" w:lineRule="auto"/>
        <w:ind w:firstLineChars="200" w:firstLine="480"/>
        <w:rPr>
          <w:rFonts w:ascii="宋体" w:hAnsi="宋体"/>
          <w:sz w:val="24"/>
        </w:rPr>
      </w:pPr>
      <w:r>
        <w:rPr>
          <w:rFonts w:ascii="宋体" w:hAnsi="宋体" w:hint="eastAsia"/>
          <w:sz w:val="24"/>
        </w:rPr>
        <w:t>2、违反规定向他人贷款或者提供担保；</w:t>
      </w:r>
    </w:p>
    <w:p w:rsidR="00572ECF" w:rsidRDefault="00915AEA">
      <w:pPr>
        <w:spacing w:line="360" w:lineRule="auto"/>
        <w:ind w:firstLineChars="200" w:firstLine="480"/>
        <w:rPr>
          <w:rFonts w:ascii="宋体" w:hAnsi="宋体"/>
          <w:sz w:val="24"/>
        </w:rPr>
      </w:pPr>
      <w:r>
        <w:rPr>
          <w:rFonts w:ascii="宋体" w:hAnsi="宋体" w:hint="eastAsia"/>
          <w:sz w:val="24"/>
        </w:rPr>
        <w:t>3、从事承担无限责任的投资；</w:t>
      </w:r>
    </w:p>
    <w:p w:rsidR="00572ECF" w:rsidRDefault="00915AEA">
      <w:pPr>
        <w:spacing w:line="360" w:lineRule="auto"/>
        <w:ind w:firstLineChars="200" w:firstLine="480"/>
        <w:rPr>
          <w:rFonts w:ascii="宋体" w:hAnsi="宋体"/>
          <w:sz w:val="24"/>
        </w:rPr>
      </w:pPr>
      <w:r>
        <w:rPr>
          <w:rFonts w:ascii="宋体" w:hAnsi="宋体" w:hint="eastAsia"/>
          <w:sz w:val="24"/>
        </w:rPr>
        <w:t>4、买卖其他基金份额，但是中国证监会另有规定的除外；</w:t>
      </w:r>
    </w:p>
    <w:p w:rsidR="00572ECF" w:rsidRDefault="00915AEA">
      <w:pPr>
        <w:spacing w:line="360" w:lineRule="auto"/>
        <w:ind w:firstLineChars="200" w:firstLine="480"/>
        <w:rPr>
          <w:rFonts w:ascii="宋体" w:hAnsi="宋体"/>
          <w:sz w:val="24"/>
        </w:rPr>
      </w:pPr>
      <w:r>
        <w:rPr>
          <w:rFonts w:ascii="宋体" w:hAnsi="宋体" w:hint="eastAsia"/>
          <w:sz w:val="24"/>
        </w:rPr>
        <w:t>5、向其基金管理人、基金托管人出资；</w:t>
      </w:r>
    </w:p>
    <w:p w:rsidR="00572ECF" w:rsidRDefault="00915AEA">
      <w:pPr>
        <w:spacing w:line="360" w:lineRule="auto"/>
        <w:ind w:firstLineChars="200" w:firstLine="480"/>
        <w:rPr>
          <w:rFonts w:ascii="宋体" w:hAnsi="宋体"/>
          <w:sz w:val="24"/>
        </w:rPr>
      </w:pPr>
      <w:r>
        <w:rPr>
          <w:rFonts w:ascii="宋体" w:hAnsi="宋体" w:hint="eastAsia"/>
          <w:sz w:val="24"/>
        </w:rPr>
        <w:t>6、从事内幕交易、操纵证券交易价格及其他不正当的证券交易活动；</w:t>
      </w:r>
    </w:p>
    <w:p w:rsidR="00572ECF" w:rsidRDefault="00915AEA">
      <w:pPr>
        <w:spacing w:line="360" w:lineRule="auto"/>
        <w:ind w:firstLineChars="200" w:firstLine="480"/>
        <w:rPr>
          <w:rFonts w:ascii="宋体" w:hAnsi="宋体"/>
          <w:sz w:val="24"/>
        </w:rPr>
      </w:pPr>
      <w:r>
        <w:rPr>
          <w:rFonts w:ascii="宋体" w:hAnsi="宋体" w:hint="eastAsia"/>
          <w:sz w:val="24"/>
        </w:rPr>
        <w:t>7、法律、行政法规和中国证监会规定禁止的其他活动。</w:t>
      </w:r>
    </w:p>
    <w:p w:rsidR="00572ECF" w:rsidRDefault="00915AEA">
      <w:pPr>
        <w:spacing w:line="360" w:lineRule="auto"/>
        <w:ind w:firstLineChars="200" w:firstLine="480"/>
        <w:rPr>
          <w:rFonts w:ascii="宋体" w:hAnsi="宋体"/>
          <w:sz w:val="24"/>
        </w:rPr>
      </w:pPr>
      <w:r>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572ECF" w:rsidRDefault="00915AEA">
      <w:pPr>
        <w:spacing w:line="360" w:lineRule="auto"/>
        <w:ind w:firstLineChars="200" w:firstLine="480"/>
        <w:rPr>
          <w:rFonts w:ascii="宋体" w:hAnsi="宋体"/>
          <w:sz w:val="24"/>
        </w:rPr>
      </w:pPr>
      <w:r>
        <w:rPr>
          <w:rFonts w:ascii="宋体" w:hAnsi="宋体" w:hint="eastAsia"/>
          <w:sz w:val="24"/>
        </w:rPr>
        <w:t>如法律、行政法规或监管部门取消或调整上述禁止性规定，则本基金可不受上述规定的限制或按调整后的规定执行。</w:t>
      </w:r>
    </w:p>
    <w:p w:rsidR="00572ECF" w:rsidRDefault="00915AEA">
      <w:pPr>
        <w:spacing w:line="360" w:lineRule="auto"/>
        <w:ind w:firstLineChars="200" w:firstLine="480"/>
        <w:rPr>
          <w:rFonts w:ascii="宋体" w:hAnsi="宋体"/>
          <w:sz w:val="24"/>
        </w:rPr>
      </w:pPr>
      <w:r>
        <w:rPr>
          <w:rFonts w:ascii="宋体" w:hAnsi="宋体" w:hint="eastAsia"/>
          <w:sz w:val="24"/>
        </w:rPr>
        <w:t>（四）基金托管人根据有关法律法规的规定及《基金合同》的约定，对基金管理人参与银行间债券市场进行监督。</w:t>
      </w:r>
    </w:p>
    <w:p w:rsidR="00572ECF" w:rsidRDefault="00915AEA">
      <w:pPr>
        <w:spacing w:line="360" w:lineRule="auto"/>
        <w:ind w:firstLineChars="200" w:firstLine="480"/>
        <w:rPr>
          <w:rFonts w:ascii="宋体" w:hAnsi="宋体"/>
          <w:sz w:val="24"/>
        </w:rPr>
      </w:pPr>
      <w:r>
        <w:rPr>
          <w:rFonts w:ascii="宋体" w:hAnsi="宋体" w:hint="eastAsia"/>
          <w:sz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和交易结算方式进行交易。基金管理人可以每半年对银行间债券市场交易对手名单及结算方式进行更新，新名单确定前已与本次剔除的交易对手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w:t>
      </w:r>
      <w:r>
        <w:rPr>
          <w:rFonts w:ascii="宋体" w:hAnsi="宋体" w:hint="eastAsia"/>
          <w:sz w:val="24"/>
        </w:rPr>
        <w:lastRenderedPageBreak/>
        <w:t>决。</w:t>
      </w:r>
    </w:p>
    <w:p w:rsidR="00572ECF" w:rsidRDefault="00915AEA">
      <w:pPr>
        <w:spacing w:line="360" w:lineRule="auto"/>
        <w:ind w:firstLineChars="200" w:firstLine="480"/>
        <w:rPr>
          <w:rFonts w:ascii="宋体" w:hAnsi="宋体"/>
          <w:sz w:val="24"/>
        </w:rPr>
      </w:pPr>
      <w:r>
        <w:rPr>
          <w:rFonts w:ascii="宋体" w:hAnsi="宋体" w:hint="eastAsia"/>
          <w:sz w:val="24"/>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但不承担交易对手不履行合同造成的损失。如基金托管人事后发现基金管理人没有按照事先约定的交易对手或交易结算方式进行交易时，基金托管人应及时提醒基金管理人，基金托管人不承担由此造成的任何损失和责任。</w:t>
      </w:r>
    </w:p>
    <w:p w:rsidR="00572ECF" w:rsidRDefault="00915AEA">
      <w:pPr>
        <w:spacing w:line="360" w:lineRule="auto"/>
        <w:ind w:firstLineChars="200" w:firstLine="480"/>
        <w:rPr>
          <w:rFonts w:ascii="宋体" w:hAnsi="宋体"/>
          <w:sz w:val="24"/>
        </w:rPr>
      </w:pPr>
      <w:r>
        <w:rPr>
          <w:rFonts w:ascii="宋体" w:hAnsi="宋体" w:hint="eastAsia"/>
          <w:sz w:val="24"/>
        </w:rPr>
        <w:t>（五）基金托管人根据有关法律法规的规定及《基金合同》的约定，对基金管理人投资流通受限证券进行监督。</w:t>
      </w:r>
    </w:p>
    <w:p w:rsidR="00572ECF" w:rsidRDefault="00915AEA">
      <w:pPr>
        <w:spacing w:line="360" w:lineRule="auto"/>
        <w:ind w:firstLineChars="200" w:firstLine="480"/>
        <w:rPr>
          <w:rFonts w:ascii="宋体" w:hAnsi="宋体"/>
          <w:sz w:val="24"/>
        </w:rPr>
      </w:pPr>
      <w:r>
        <w:rPr>
          <w:rFonts w:ascii="宋体" w:hAnsi="宋体" w:hint="eastAsia"/>
          <w:sz w:val="24"/>
        </w:rPr>
        <w:t>基金管理人投资流通受限证券，应遵守《关于规范基金投资非公开发行证券行为的紧急通知》《关于基金投资非公开发行股票等流通受限证券有关问题的通知》等有关法律法规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rsidR="00572ECF" w:rsidRDefault="00915AEA">
      <w:pPr>
        <w:spacing w:line="360" w:lineRule="auto"/>
        <w:ind w:firstLineChars="200" w:firstLine="480"/>
        <w:rPr>
          <w:rFonts w:ascii="宋体" w:hAnsi="宋体"/>
          <w:sz w:val="24"/>
        </w:rPr>
      </w:pPr>
      <w:r>
        <w:rPr>
          <w:rFonts w:ascii="宋体" w:hAnsi="宋体" w:hint="eastAsia"/>
          <w:sz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rPr>
        <w:t>券</w:t>
      </w:r>
      <w:proofErr w:type="gramEnd"/>
      <w:r>
        <w:rPr>
          <w:rFonts w:ascii="宋体" w:hAnsi="宋体" w:hint="eastAsia"/>
          <w:sz w:val="24"/>
        </w:rPr>
        <w:t>等流通受限证券。本基金不投资有</w:t>
      </w:r>
      <w:proofErr w:type="gramStart"/>
      <w:r>
        <w:rPr>
          <w:rFonts w:ascii="宋体" w:hAnsi="宋体" w:hint="eastAsia"/>
          <w:sz w:val="24"/>
        </w:rPr>
        <w:t>锁定期但锁定</w:t>
      </w:r>
      <w:proofErr w:type="gramEnd"/>
      <w:r>
        <w:rPr>
          <w:rFonts w:ascii="宋体" w:hAnsi="宋体" w:hint="eastAsia"/>
          <w:sz w:val="24"/>
        </w:rPr>
        <w:t>期不明确的证券。</w:t>
      </w:r>
    </w:p>
    <w:p w:rsidR="00572ECF" w:rsidRDefault="00915AEA">
      <w:pPr>
        <w:spacing w:line="360" w:lineRule="auto"/>
        <w:ind w:firstLineChars="200" w:firstLine="480"/>
        <w:rPr>
          <w:rFonts w:ascii="宋体" w:hAnsi="宋体"/>
          <w:sz w:val="24"/>
        </w:rPr>
      </w:pPr>
      <w:r>
        <w:rPr>
          <w:rFonts w:ascii="宋体" w:hAnsi="宋体" w:hint="eastAsia"/>
          <w:sz w:val="24"/>
        </w:rPr>
        <w:t>本基金投资的流通受限证券限于可由中国证券登记结算有限责任公司或中央国债登记结算有限责任公司负责登记和存管，并可在证券交易所或全国银行间债券市场交易的证券。</w:t>
      </w:r>
    </w:p>
    <w:p w:rsidR="00572ECF" w:rsidRDefault="00915AEA">
      <w:pPr>
        <w:spacing w:line="360" w:lineRule="auto"/>
        <w:ind w:firstLineChars="200" w:firstLine="480"/>
        <w:rPr>
          <w:rFonts w:ascii="宋体" w:hAnsi="宋体"/>
          <w:sz w:val="24"/>
        </w:rPr>
      </w:pPr>
      <w:r>
        <w:rPr>
          <w:rFonts w:ascii="宋体" w:hAnsi="宋体" w:hint="eastAsia"/>
          <w:sz w:val="24"/>
        </w:rPr>
        <w:t>本基金投资的流通受限证券应保证登记存管在本基金名下，基金管理人负责相关工作的落实和协调，并确保基金托管人能够正常查询。因基金管理</w:t>
      </w:r>
      <w:proofErr w:type="gramStart"/>
      <w:r>
        <w:rPr>
          <w:rFonts w:ascii="宋体" w:hAnsi="宋体" w:hint="eastAsia"/>
          <w:sz w:val="24"/>
        </w:rPr>
        <w:t>人原因</w:t>
      </w:r>
      <w:proofErr w:type="gramEnd"/>
      <w:r>
        <w:rPr>
          <w:rFonts w:ascii="宋体" w:hAnsi="宋体" w:hint="eastAsia"/>
          <w:sz w:val="24"/>
        </w:rPr>
        <w:t>产生的流通受限证券登记存管问题，造成基金托管人无法安全保管本基金资产的责任与损失，及因流通受限证券存管直接影响本基金安全的责任及损失，由基金管理人承担。</w:t>
      </w:r>
    </w:p>
    <w:p w:rsidR="00572ECF" w:rsidRDefault="00915AEA">
      <w:pPr>
        <w:spacing w:line="360" w:lineRule="auto"/>
        <w:ind w:firstLineChars="200" w:firstLine="480"/>
        <w:rPr>
          <w:rFonts w:ascii="宋体" w:hAnsi="宋体"/>
          <w:sz w:val="24"/>
        </w:rPr>
      </w:pPr>
      <w:r>
        <w:rPr>
          <w:rFonts w:ascii="宋体" w:hAnsi="宋体" w:hint="eastAsia"/>
          <w:sz w:val="24"/>
        </w:rPr>
        <w:lastRenderedPageBreak/>
        <w:t>2、基金管理人投资流通受限证券，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基金投资非公开发行股票相关流动性风险处置预案。</w:t>
      </w:r>
    </w:p>
    <w:p w:rsidR="00572ECF" w:rsidRDefault="00915AEA">
      <w:pPr>
        <w:spacing w:line="360" w:lineRule="auto"/>
        <w:ind w:firstLineChars="200" w:firstLine="480"/>
        <w:rPr>
          <w:rFonts w:ascii="宋体" w:hAnsi="宋体"/>
          <w:sz w:val="24"/>
        </w:rPr>
      </w:pPr>
      <w:r>
        <w:rPr>
          <w:rFonts w:ascii="宋体" w:hAnsi="宋体" w:hint="eastAsia"/>
          <w:sz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Pr>
          <w:rFonts w:ascii="宋体" w:hAnsi="宋体" w:hint="eastAsia"/>
          <w:sz w:val="24"/>
        </w:rPr>
        <w:t>人原因</w:t>
      </w:r>
      <w:proofErr w:type="gramEnd"/>
      <w:r>
        <w:rPr>
          <w:rFonts w:ascii="宋体" w:hAnsi="宋体" w:hint="eastAsia"/>
          <w:sz w:val="24"/>
        </w:rPr>
        <w:t>导致本基金出现损失致使基金托管人承担连带赔偿责任的，基金管理人应赔偿基金托管人由此遭受的损失。</w:t>
      </w:r>
    </w:p>
    <w:p w:rsidR="00572ECF" w:rsidRDefault="00915AEA">
      <w:pPr>
        <w:spacing w:line="360" w:lineRule="auto"/>
        <w:ind w:firstLineChars="200" w:firstLine="480"/>
        <w:rPr>
          <w:rFonts w:ascii="宋体" w:hAnsi="宋体"/>
          <w:sz w:val="24"/>
        </w:rPr>
      </w:pPr>
      <w:r>
        <w:rPr>
          <w:rFonts w:ascii="宋体" w:hAnsi="宋体" w:hint="eastAsia"/>
          <w:sz w:val="24"/>
        </w:rPr>
        <w:t>3、基金托管人根据有关规定有权对基金管理人进行以下事项监督：</w:t>
      </w:r>
    </w:p>
    <w:p w:rsidR="00572ECF" w:rsidRDefault="00915AEA">
      <w:pPr>
        <w:spacing w:line="360" w:lineRule="auto"/>
        <w:ind w:firstLineChars="200" w:firstLine="480"/>
        <w:rPr>
          <w:rFonts w:ascii="宋体" w:hAnsi="宋体"/>
          <w:sz w:val="24"/>
        </w:rPr>
      </w:pPr>
      <w:r>
        <w:rPr>
          <w:rFonts w:ascii="宋体" w:hAnsi="宋体" w:hint="eastAsia"/>
          <w:sz w:val="24"/>
        </w:rPr>
        <w:t>（1）本基金投资流通受限证券时的法律法规遵守情况。</w:t>
      </w:r>
    </w:p>
    <w:p w:rsidR="00572ECF" w:rsidRDefault="00915AEA">
      <w:pPr>
        <w:spacing w:line="360" w:lineRule="auto"/>
        <w:ind w:firstLineChars="200" w:firstLine="480"/>
        <w:rPr>
          <w:rFonts w:ascii="宋体" w:hAnsi="宋体"/>
          <w:sz w:val="24"/>
        </w:rPr>
      </w:pPr>
      <w:r>
        <w:rPr>
          <w:rFonts w:ascii="宋体" w:hAnsi="宋体" w:hint="eastAsia"/>
          <w:sz w:val="24"/>
        </w:rPr>
        <w:t>（2）在基金投资流通受限证券管理工作方面有关制度、流动性风险处置预案的建立与完善情况。</w:t>
      </w:r>
    </w:p>
    <w:p w:rsidR="00572ECF" w:rsidRDefault="00915AEA">
      <w:pPr>
        <w:spacing w:line="360" w:lineRule="auto"/>
        <w:ind w:firstLineChars="200" w:firstLine="480"/>
        <w:rPr>
          <w:rFonts w:ascii="宋体" w:hAnsi="宋体"/>
          <w:sz w:val="24"/>
        </w:rPr>
      </w:pPr>
      <w:r>
        <w:rPr>
          <w:rFonts w:ascii="宋体" w:hAnsi="宋体" w:hint="eastAsia"/>
          <w:sz w:val="24"/>
        </w:rPr>
        <w:t>（3）有关比例限制的执行情况。</w:t>
      </w:r>
    </w:p>
    <w:p w:rsidR="00572ECF" w:rsidRDefault="00915AEA">
      <w:pPr>
        <w:tabs>
          <w:tab w:val="left" w:pos="6375"/>
        </w:tabs>
        <w:spacing w:line="360" w:lineRule="auto"/>
        <w:ind w:firstLineChars="200" w:firstLine="480"/>
        <w:rPr>
          <w:rFonts w:ascii="宋体" w:hAnsi="宋体"/>
          <w:sz w:val="24"/>
        </w:rPr>
      </w:pPr>
      <w:r>
        <w:rPr>
          <w:rFonts w:ascii="宋体" w:hAnsi="宋体" w:hint="eastAsia"/>
          <w:sz w:val="24"/>
        </w:rPr>
        <w:t>（4）信息披露情况。</w:t>
      </w:r>
      <w:r>
        <w:rPr>
          <w:rFonts w:ascii="宋体" w:hAnsi="宋体"/>
          <w:sz w:val="24"/>
        </w:rPr>
        <w:tab/>
      </w:r>
    </w:p>
    <w:p w:rsidR="00572ECF" w:rsidRDefault="00915AEA">
      <w:pPr>
        <w:spacing w:line="360" w:lineRule="auto"/>
        <w:ind w:firstLineChars="200" w:firstLine="480"/>
        <w:rPr>
          <w:rFonts w:ascii="宋体" w:hAnsi="宋体"/>
          <w:sz w:val="24"/>
        </w:rPr>
      </w:pPr>
      <w:r>
        <w:rPr>
          <w:rFonts w:ascii="宋体" w:hAnsi="宋体" w:hint="eastAsia"/>
          <w:sz w:val="24"/>
        </w:rPr>
        <w:t>4、如果基金管理人未按照本协议的约定向基金托管人报送相关数据或者报送了虚假的数据，导致基金托管人不能履行托管人职责的，基金管理人应依法承担相应法律后果。除基金托管人未能依据法律法规、基金合同及本协议履行职责外，因投资流通受限证券产生的损失，基金托管人按照本协议履行监督职责后不承担上述损失。</w:t>
      </w:r>
    </w:p>
    <w:p w:rsidR="00572ECF" w:rsidRDefault="00915AEA">
      <w:pPr>
        <w:spacing w:line="360" w:lineRule="auto"/>
        <w:ind w:firstLineChars="200" w:firstLine="480"/>
        <w:rPr>
          <w:rFonts w:ascii="宋体" w:hAnsi="宋体"/>
          <w:sz w:val="24"/>
        </w:rPr>
      </w:pPr>
      <w:r>
        <w:rPr>
          <w:rFonts w:ascii="宋体" w:hAnsi="宋体" w:hint="eastAsia"/>
          <w:sz w:val="24"/>
        </w:rPr>
        <w:t>5、相关法律法规对基金投资流通受限证券有新规定的，从其规定。</w:t>
      </w:r>
    </w:p>
    <w:p w:rsidR="00572ECF" w:rsidRDefault="00915AEA">
      <w:pPr>
        <w:spacing w:line="360" w:lineRule="auto"/>
        <w:ind w:firstLineChars="200" w:firstLine="480"/>
        <w:rPr>
          <w:rFonts w:ascii="宋体" w:hAnsi="宋体"/>
          <w:sz w:val="24"/>
        </w:rPr>
      </w:pPr>
      <w:r>
        <w:rPr>
          <w:rFonts w:ascii="宋体" w:hAnsi="宋体" w:hint="eastAsia"/>
          <w:sz w:val="24"/>
        </w:rPr>
        <w:t>（六）基金托管人根据有关法律法规的规定及基金合同的约定，对基金投资中期票据进行监督。</w:t>
      </w:r>
    </w:p>
    <w:p w:rsidR="00572ECF" w:rsidRDefault="00915AEA">
      <w:pPr>
        <w:spacing w:line="360" w:lineRule="auto"/>
        <w:ind w:firstLineChars="200" w:firstLine="480"/>
        <w:rPr>
          <w:rFonts w:ascii="宋体" w:hAnsi="宋体"/>
          <w:sz w:val="24"/>
        </w:rPr>
      </w:pPr>
      <w:r>
        <w:rPr>
          <w:rFonts w:ascii="宋体" w:hAnsi="宋体" w:hint="eastAsia"/>
          <w:sz w:val="24"/>
        </w:rPr>
        <w:t>1、基金投资中期票据应遵守《关于证券投资基金投资中期票据有关问题的通知》等有关法律法规的规定，并与基金托管人签订《基金投资中期票据风险控制补充协议》。</w:t>
      </w:r>
    </w:p>
    <w:p w:rsidR="00572ECF" w:rsidRDefault="00915AEA">
      <w:pPr>
        <w:spacing w:line="360" w:lineRule="auto"/>
        <w:ind w:firstLineChars="200" w:firstLine="480"/>
        <w:rPr>
          <w:rFonts w:ascii="宋体" w:hAnsi="宋体"/>
          <w:sz w:val="24"/>
        </w:rPr>
      </w:pPr>
      <w:r>
        <w:rPr>
          <w:rFonts w:ascii="宋体" w:hAnsi="宋体" w:hint="eastAsia"/>
          <w:sz w:val="24"/>
        </w:rPr>
        <w:t>2、基金管理人应将经董事会批准的相关投资决策流程、风险控制制度以及</w:t>
      </w:r>
      <w:r>
        <w:rPr>
          <w:rFonts w:ascii="宋体" w:hAnsi="宋体" w:hint="eastAsia"/>
          <w:sz w:val="24"/>
        </w:rPr>
        <w:lastRenderedPageBreak/>
        <w:t>基金投资中期票据相关流动性风险处置预案提供给基金托管人，基金托管人对基金管理人是否遵守相关制度、流动性风险处置预案以及相关投资额度和比例的情况进行监督。</w:t>
      </w:r>
    </w:p>
    <w:p w:rsidR="00572ECF" w:rsidRDefault="00915AEA">
      <w:pPr>
        <w:spacing w:line="360" w:lineRule="auto"/>
        <w:ind w:firstLineChars="200" w:firstLine="480"/>
        <w:rPr>
          <w:rFonts w:ascii="宋体" w:hAnsi="宋体"/>
          <w:sz w:val="24"/>
        </w:rPr>
      </w:pPr>
      <w:r>
        <w:rPr>
          <w:rFonts w:ascii="宋体" w:hAnsi="宋体" w:hint="eastAsia"/>
          <w:sz w:val="24"/>
        </w:rPr>
        <w:t>基金管理人确定基金投资中期票据的，应根据《托管协议》及相关补充协议的约定向基金托管人提供其托管基金拟购买中期票据的数量和价格、应划付的金额等执行指令所需相关信息，并保证上述信息的真实、准确、完整。</w:t>
      </w:r>
    </w:p>
    <w:p w:rsidR="00572ECF" w:rsidRDefault="00915AEA">
      <w:pPr>
        <w:spacing w:line="360" w:lineRule="auto"/>
        <w:ind w:firstLineChars="200" w:firstLine="480"/>
        <w:rPr>
          <w:rFonts w:ascii="宋体" w:hAnsi="宋体"/>
          <w:sz w:val="24"/>
        </w:rPr>
      </w:pPr>
      <w:r>
        <w:rPr>
          <w:rFonts w:ascii="宋体" w:hAnsi="宋体" w:hint="eastAsia"/>
          <w:sz w:val="24"/>
        </w:rPr>
        <w:t>（七）基金托管人根据有关法律法规的规定及《基金合同》的约定，对基金资产净值计算、基金份额净值、应收资金到账、基金费用开支及收入确定、基金收益分配、相关信息披露、基金宣传推介材料中登载基金业绩表现数据等进行监督和核查。</w:t>
      </w:r>
    </w:p>
    <w:p w:rsidR="00572ECF" w:rsidRDefault="00915AEA">
      <w:pPr>
        <w:spacing w:line="360" w:lineRule="auto"/>
        <w:ind w:firstLineChars="200" w:firstLine="480"/>
        <w:rPr>
          <w:rFonts w:ascii="宋体" w:hAnsi="宋体"/>
          <w:sz w:val="24"/>
        </w:rPr>
      </w:pPr>
      <w:r>
        <w:rPr>
          <w:rFonts w:ascii="宋体" w:hAnsi="宋体" w:hint="eastAsia"/>
          <w:sz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572ECF" w:rsidRDefault="00915AEA">
      <w:pPr>
        <w:spacing w:line="360" w:lineRule="auto"/>
        <w:ind w:firstLineChars="200" w:firstLine="480"/>
        <w:rPr>
          <w:rFonts w:ascii="宋体" w:hAnsi="宋体"/>
          <w:sz w:val="24"/>
        </w:rPr>
      </w:pPr>
      <w:r>
        <w:rPr>
          <w:rFonts w:ascii="宋体" w:hAnsi="宋体" w:hint="eastAsia"/>
          <w:sz w:val="24"/>
        </w:rPr>
        <w:t>（九）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572ECF" w:rsidRDefault="00915AEA">
      <w:pPr>
        <w:spacing w:line="360" w:lineRule="auto"/>
        <w:ind w:firstLineChars="200" w:firstLine="480"/>
        <w:rPr>
          <w:rFonts w:ascii="宋体" w:hAnsi="宋体"/>
          <w:sz w:val="24"/>
        </w:rPr>
      </w:pPr>
      <w:r>
        <w:rPr>
          <w:rFonts w:ascii="宋体" w:hAnsi="宋体" w:hint="eastAsia"/>
          <w:sz w:val="24"/>
        </w:rPr>
        <w:t>（十）</w:t>
      </w:r>
      <w:proofErr w:type="gramStart"/>
      <w:r>
        <w:rPr>
          <w:rFonts w:ascii="宋体" w:hAnsi="宋体" w:hint="eastAsia"/>
          <w:sz w:val="24"/>
        </w:rPr>
        <w:t>若基金</w:t>
      </w:r>
      <w:proofErr w:type="gramEnd"/>
      <w:r>
        <w:rPr>
          <w:rFonts w:ascii="宋体" w:hAnsi="宋体" w:hint="eastAsia"/>
          <w:sz w:val="24"/>
        </w:rPr>
        <w:t>托管人发现基金管理人依据交易程序已经生效的指令违反法律、行政法规和其他有关规定，或者违反《基金合同》约定的，应当立即通知基金管理人，由此造成的损失由基金管理人承担。</w:t>
      </w:r>
    </w:p>
    <w:p w:rsidR="00572ECF" w:rsidRDefault="00915AEA">
      <w:pPr>
        <w:spacing w:line="360" w:lineRule="auto"/>
        <w:ind w:firstLineChars="200" w:firstLine="480"/>
        <w:rPr>
          <w:rFonts w:ascii="宋体" w:hAnsi="宋体"/>
          <w:sz w:val="24"/>
        </w:rPr>
      </w:pPr>
      <w:r>
        <w:rPr>
          <w:rFonts w:ascii="宋体" w:hAnsi="宋体" w:hint="eastAsia"/>
          <w:sz w:val="24"/>
        </w:rPr>
        <w:t>（十一）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w:t>
      </w:r>
      <w:r>
        <w:rPr>
          <w:rFonts w:ascii="宋体" w:hAnsi="宋体" w:hint="eastAsia"/>
          <w:sz w:val="24"/>
        </w:rPr>
        <w:lastRenderedPageBreak/>
        <w:t>的，基金托管人应报告中国证监会。</w:t>
      </w:r>
    </w:p>
    <w:p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bookmarkStart w:id="174" w:name="_Toc296541722"/>
      <w:r>
        <w:rPr>
          <w:rFonts w:asciiTheme="minorEastAsia" w:eastAsiaTheme="minorEastAsia" w:hAnsiTheme="minorEastAsia" w:cs="Arial" w:hint="eastAsia"/>
          <w:b/>
          <w:kern w:val="0"/>
          <w:sz w:val="24"/>
          <w:szCs w:val="24"/>
        </w:rPr>
        <w:t>三、基金管理人对基金托管人的业务核查</w:t>
      </w:r>
      <w:bookmarkEnd w:id="174"/>
    </w:p>
    <w:p w:rsidR="00572ECF" w:rsidRDefault="00915AEA">
      <w:pPr>
        <w:spacing w:line="360" w:lineRule="auto"/>
        <w:ind w:firstLineChars="200" w:firstLine="480"/>
        <w:rPr>
          <w:rFonts w:ascii="宋体" w:hAnsi="宋体"/>
          <w:sz w:val="24"/>
        </w:rPr>
      </w:pPr>
      <w:r>
        <w:rPr>
          <w:rFonts w:ascii="宋体" w:hAnsi="宋体" w:hint="eastAsia"/>
          <w:sz w:val="24"/>
        </w:rPr>
        <w:t>（一）基金管理人对基金托管人履行托管职责情况进行核查，核查事项包括基金托管人安全保管基金财产、开设基金财产的托管资金专门账户和证券账户等投资所需账户、复核基金管理人计算的基金资产净值、各类基金份额净值根据管理人指令办理清算交收、相关信息披露和监督基金投资运作等行为。</w:t>
      </w:r>
    </w:p>
    <w:p w:rsidR="00572ECF" w:rsidRDefault="00915AEA">
      <w:pPr>
        <w:spacing w:line="360" w:lineRule="auto"/>
        <w:ind w:firstLineChars="200" w:firstLine="480"/>
        <w:rPr>
          <w:rFonts w:ascii="宋体" w:hAnsi="宋体"/>
          <w:sz w:val="24"/>
        </w:rPr>
      </w:pPr>
      <w:r>
        <w:rPr>
          <w:rFonts w:ascii="宋体" w:hAnsi="宋体" w:hint="eastAsia"/>
          <w:sz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rPr>
        <w:t>供基金</w:t>
      </w:r>
      <w:proofErr w:type="gramEnd"/>
      <w:r>
        <w:rPr>
          <w:rFonts w:ascii="宋体" w:hAnsi="宋体" w:hint="eastAsia"/>
          <w:sz w:val="24"/>
        </w:rPr>
        <w:t>管理人核查托管财产的完整性和真实性，在规定时间内答复基金管理人并改正。</w:t>
      </w:r>
    </w:p>
    <w:p w:rsidR="00572ECF" w:rsidRDefault="00915AEA">
      <w:pPr>
        <w:spacing w:line="360" w:lineRule="auto"/>
        <w:ind w:firstLineChars="200" w:firstLine="480"/>
        <w:rPr>
          <w:rFonts w:ascii="宋体" w:hAnsi="宋体"/>
          <w:sz w:val="24"/>
        </w:rPr>
      </w:pPr>
      <w:r>
        <w:rPr>
          <w:rFonts w:ascii="宋体" w:hAnsi="宋体" w:hint="eastAsia"/>
          <w:sz w:val="24"/>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rsidR="00572ECF" w:rsidRDefault="00915AEA">
      <w:pPr>
        <w:adjustRightInd w:val="0"/>
        <w:snapToGrid w:val="0"/>
        <w:spacing w:line="360" w:lineRule="auto"/>
        <w:ind w:firstLineChars="200" w:firstLine="482"/>
        <w:rPr>
          <w:rFonts w:asciiTheme="minorEastAsia" w:eastAsiaTheme="minorEastAsia" w:hAnsiTheme="minorEastAsia" w:cs="Arial"/>
          <w:b/>
          <w:kern w:val="0"/>
          <w:sz w:val="24"/>
          <w:szCs w:val="24"/>
        </w:rPr>
      </w:pPr>
      <w:r>
        <w:rPr>
          <w:rFonts w:asciiTheme="minorEastAsia" w:eastAsiaTheme="minorEastAsia" w:hAnsiTheme="minorEastAsia" w:cs="Arial" w:hint="eastAsia"/>
          <w:b/>
          <w:kern w:val="0"/>
          <w:sz w:val="24"/>
          <w:szCs w:val="24"/>
        </w:rPr>
        <w:t>四、基金财产的保管</w:t>
      </w:r>
      <w:bookmarkStart w:id="175" w:name="_Toc77662997"/>
      <w:bookmarkStart w:id="176" w:name="_Toc37159173"/>
    </w:p>
    <w:p w:rsidR="00572ECF" w:rsidRDefault="00915AEA">
      <w:pPr>
        <w:spacing w:line="360" w:lineRule="auto"/>
        <w:ind w:firstLineChars="200" w:firstLine="480"/>
        <w:rPr>
          <w:rFonts w:ascii="宋体" w:hAnsi="宋体"/>
          <w:sz w:val="24"/>
        </w:rPr>
      </w:pPr>
      <w:r>
        <w:rPr>
          <w:rFonts w:ascii="宋体" w:hAnsi="宋体" w:hint="eastAsia"/>
          <w:sz w:val="24"/>
        </w:rPr>
        <w:t>（一）基金财产保管的原则</w:t>
      </w:r>
    </w:p>
    <w:p w:rsidR="00572ECF" w:rsidRDefault="00915AEA">
      <w:pPr>
        <w:spacing w:line="360" w:lineRule="auto"/>
        <w:ind w:firstLineChars="200" w:firstLine="480"/>
        <w:rPr>
          <w:rFonts w:ascii="宋体" w:hAnsi="宋体"/>
          <w:sz w:val="24"/>
        </w:rPr>
      </w:pPr>
      <w:r>
        <w:rPr>
          <w:rFonts w:ascii="宋体" w:hAnsi="宋体" w:hint="eastAsia"/>
          <w:sz w:val="24"/>
        </w:rPr>
        <w:t>1、基金财产应独立于基金管理人、基金托管人的固有财产。</w:t>
      </w:r>
    </w:p>
    <w:p w:rsidR="00572ECF" w:rsidRDefault="00915AEA">
      <w:pPr>
        <w:spacing w:line="360" w:lineRule="auto"/>
        <w:ind w:firstLineChars="200" w:firstLine="480"/>
        <w:rPr>
          <w:rFonts w:ascii="宋体" w:hAnsi="宋体"/>
          <w:sz w:val="24"/>
        </w:rPr>
      </w:pPr>
      <w:r>
        <w:rPr>
          <w:rFonts w:ascii="宋体" w:hAnsi="宋体" w:hint="eastAsia"/>
          <w:sz w:val="24"/>
        </w:rPr>
        <w:t>2、基金托管人应安全保管基金财产。</w:t>
      </w:r>
    </w:p>
    <w:p w:rsidR="00572ECF" w:rsidRDefault="00915AEA">
      <w:pPr>
        <w:spacing w:line="360" w:lineRule="auto"/>
        <w:ind w:firstLineChars="200" w:firstLine="480"/>
        <w:rPr>
          <w:rFonts w:ascii="宋体" w:hAnsi="宋体"/>
          <w:sz w:val="24"/>
        </w:rPr>
      </w:pPr>
      <w:r>
        <w:rPr>
          <w:rFonts w:ascii="宋体" w:hAnsi="宋体" w:hint="eastAsia"/>
          <w:sz w:val="24"/>
        </w:rPr>
        <w:t>3、基金托管人按照规定开设基金财产的托管资金专门账户、证券账户和期货账户等投资所需账户。</w:t>
      </w:r>
    </w:p>
    <w:p w:rsidR="00572ECF" w:rsidRDefault="00915AEA">
      <w:pPr>
        <w:spacing w:line="360" w:lineRule="auto"/>
        <w:ind w:firstLineChars="200" w:firstLine="480"/>
        <w:rPr>
          <w:rFonts w:ascii="宋体" w:hAnsi="宋体"/>
          <w:sz w:val="24"/>
        </w:rPr>
      </w:pPr>
      <w:r>
        <w:rPr>
          <w:rFonts w:ascii="宋体" w:hAnsi="宋体" w:hint="eastAsia"/>
          <w:sz w:val="24"/>
        </w:rPr>
        <w:t>4、基金托管人对所托管的不同基金财产分别设置账户，与基金托管人的其他业务和其他基金的托管业务实行严格的分账管理，确保基金财产的完整与独立。</w:t>
      </w:r>
    </w:p>
    <w:p w:rsidR="00572ECF" w:rsidRDefault="00915AEA">
      <w:pPr>
        <w:spacing w:line="360" w:lineRule="auto"/>
        <w:ind w:firstLineChars="200" w:firstLine="480"/>
        <w:rPr>
          <w:rFonts w:ascii="宋体" w:hAnsi="宋体"/>
          <w:sz w:val="24"/>
        </w:rPr>
      </w:pPr>
      <w:r>
        <w:rPr>
          <w:rFonts w:ascii="宋体" w:hAnsi="宋体" w:hint="eastAsia"/>
          <w:sz w:val="24"/>
        </w:rPr>
        <w:t>5、基金托管人按照《基金合同》和本协议的约定保管基金财产，如有特殊</w:t>
      </w:r>
      <w:r>
        <w:rPr>
          <w:rFonts w:ascii="宋体" w:hAnsi="宋体" w:hint="eastAsia"/>
          <w:sz w:val="24"/>
        </w:rPr>
        <w:lastRenderedPageBreak/>
        <w:t>情况双方可另行协商解决。基金托管人未经基金管理人的指令，不得自行运用、处分、分配本基金的任何资产（不包含基金托管人依据中国结算公司结算数据完成场内交易交收、托管资产开户银行扣收结算费和账户维护费等费用）。</w:t>
      </w:r>
    </w:p>
    <w:p w:rsidR="00572ECF" w:rsidRDefault="00915AEA">
      <w:pPr>
        <w:spacing w:line="360" w:lineRule="auto"/>
        <w:ind w:firstLineChars="200" w:firstLine="480"/>
        <w:rPr>
          <w:rFonts w:ascii="宋体" w:hAnsi="宋体"/>
          <w:sz w:val="24"/>
        </w:rPr>
      </w:pPr>
      <w:r>
        <w:rPr>
          <w:rFonts w:ascii="宋体" w:hAnsi="宋体" w:hint="eastAsia"/>
          <w:sz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rsidR="00572ECF" w:rsidRDefault="00915AEA">
      <w:pPr>
        <w:spacing w:line="360" w:lineRule="auto"/>
        <w:ind w:firstLineChars="200" w:firstLine="480"/>
        <w:rPr>
          <w:rFonts w:ascii="宋体" w:hAnsi="宋体"/>
          <w:sz w:val="24"/>
        </w:rPr>
      </w:pPr>
      <w:r>
        <w:rPr>
          <w:rFonts w:ascii="宋体" w:hAnsi="宋体" w:hint="eastAsia"/>
          <w:sz w:val="24"/>
        </w:rPr>
        <w:t>7、除依据法律法规和《基金合同》的规定外，基金托管人不得委托第三人托管基金财产。</w:t>
      </w:r>
    </w:p>
    <w:p w:rsidR="00572ECF" w:rsidRDefault="00915AEA">
      <w:pPr>
        <w:spacing w:line="360" w:lineRule="auto"/>
        <w:ind w:firstLineChars="200" w:firstLine="480"/>
        <w:rPr>
          <w:rFonts w:ascii="宋体" w:hAnsi="宋体"/>
          <w:sz w:val="24"/>
        </w:rPr>
      </w:pPr>
      <w:bookmarkStart w:id="177" w:name="_Toc37159174"/>
      <w:r>
        <w:rPr>
          <w:rFonts w:ascii="宋体" w:hAnsi="宋体" w:hint="eastAsia"/>
          <w:sz w:val="24"/>
        </w:rPr>
        <w:t>（二）募集资金的验证</w:t>
      </w:r>
      <w:bookmarkEnd w:id="177"/>
    </w:p>
    <w:p w:rsidR="00572ECF" w:rsidRDefault="00915AEA">
      <w:pPr>
        <w:spacing w:line="360" w:lineRule="auto"/>
        <w:ind w:firstLineChars="200" w:firstLine="480"/>
        <w:rPr>
          <w:rFonts w:ascii="宋体" w:hAnsi="宋体"/>
          <w:sz w:val="24"/>
        </w:rPr>
      </w:pPr>
      <w:r>
        <w:rPr>
          <w:rFonts w:ascii="宋体" w:hAnsi="宋体" w:hint="eastAsia"/>
          <w:sz w:val="24"/>
        </w:rPr>
        <w:t>1、基金募集期间募集的资金应存于基金募集专户。该账户由基金管理人或由接受基金管理人委托代为办理登记业务的机构开立并管理。</w:t>
      </w:r>
    </w:p>
    <w:p w:rsidR="00572ECF" w:rsidRDefault="00915AEA">
      <w:pPr>
        <w:spacing w:line="360" w:lineRule="auto"/>
        <w:ind w:firstLineChars="200" w:firstLine="480"/>
        <w:rPr>
          <w:rFonts w:ascii="宋体" w:hAnsi="宋体"/>
          <w:sz w:val="24"/>
        </w:rPr>
      </w:pPr>
      <w:r>
        <w:rPr>
          <w:rFonts w:ascii="宋体" w:hAnsi="宋体" w:hint="eastAsia"/>
          <w:sz w:val="24"/>
        </w:rPr>
        <w:t>2、 基金募集期满或基金停止募集时，募集的基金份额总额、基金募集金额、基金份额持有人人数符合《基金法》、《运作办法》等有关规定后，基金管理人应将属于基金财产的全部资金划入基金托管人为本基金开立的基金托管资金账户，同时在规定时间内，聘请具有从事证券相关业务资格的会计师事务所在基金募集专户进行验资，出具验资报告。出具的验资报告由参加验资的2名或2名以上中国注册会计师签字方为有效。</w:t>
      </w:r>
    </w:p>
    <w:p w:rsidR="00572ECF" w:rsidRDefault="00915AEA">
      <w:pPr>
        <w:spacing w:line="360" w:lineRule="auto"/>
        <w:ind w:firstLineChars="200" w:firstLine="480"/>
        <w:rPr>
          <w:rFonts w:ascii="宋体" w:hAnsi="宋体"/>
          <w:sz w:val="24"/>
        </w:rPr>
      </w:pPr>
      <w:r>
        <w:rPr>
          <w:rFonts w:ascii="宋体" w:hAnsi="宋体" w:hint="eastAsia"/>
          <w:sz w:val="24"/>
        </w:rPr>
        <w:t>3、</w:t>
      </w:r>
      <w:proofErr w:type="gramStart"/>
      <w:r>
        <w:rPr>
          <w:rFonts w:ascii="宋体" w:hAnsi="宋体" w:hint="eastAsia"/>
          <w:sz w:val="24"/>
        </w:rPr>
        <w:t>若基金</w:t>
      </w:r>
      <w:proofErr w:type="gramEnd"/>
      <w:r>
        <w:rPr>
          <w:rFonts w:ascii="宋体" w:hAnsi="宋体" w:hint="eastAsia"/>
          <w:sz w:val="24"/>
        </w:rPr>
        <w:t>募集期限届满，未能达到《基金合同》生效的条件，由基金管理人按规定办理退款等事宜。</w:t>
      </w:r>
    </w:p>
    <w:p w:rsidR="00572ECF" w:rsidRDefault="00915AEA">
      <w:pPr>
        <w:spacing w:line="360" w:lineRule="auto"/>
        <w:ind w:firstLineChars="200" w:firstLine="480"/>
        <w:rPr>
          <w:rFonts w:ascii="宋体" w:hAnsi="宋体"/>
          <w:sz w:val="24"/>
        </w:rPr>
      </w:pPr>
      <w:r>
        <w:rPr>
          <w:rFonts w:ascii="宋体" w:hAnsi="宋体" w:hint="eastAsia"/>
          <w:sz w:val="24"/>
        </w:rPr>
        <w:t>（三）基金的托管资金专门账户的开立和管理</w:t>
      </w:r>
    </w:p>
    <w:p w:rsidR="00572ECF" w:rsidRDefault="00915AEA">
      <w:pPr>
        <w:spacing w:line="360" w:lineRule="auto"/>
        <w:ind w:firstLineChars="200" w:firstLine="480"/>
        <w:rPr>
          <w:rFonts w:ascii="宋体" w:hAnsi="宋体"/>
          <w:sz w:val="24"/>
        </w:rPr>
      </w:pPr>
      <w:r>
        <w:rPr>
          <w:rFonts w:ascii="宋体" w:hAnsi="宋体" w:hint="eastAsia"/>
          <w:sz w:val="24"/>
        </w:rPr>
        <w:t>1、基金托管人以基金的名义在</w:t>
      </w:r>
      <w:r>
        <w:rPr>
          <w:rFonts w:ascii="宋体" w:hAnsi="宋体"/>
          <w:sz w:val="24"/>
        </w:rPr>
        <w:t>具有基金托管资格的商业银行</w:t>
      </w:r>
      <w:r>
        <w:rPr>
          <w:rFonts w:ascii="宋体" w:hAnsi="宋体" w:hint="eastAsia"/>
          <w:sz w:val="24"/>
        </w:rPr>
        <w:t>开设托管资金专门账户，并根据基金管理人合法合</w:t>
      </w:r>
      <w:proofErr w:type="gramStart"/>
      <w:r>
        <w:rPr>
          <w:rFonts w:ascii="宋体" w:hAnsi="宋体" w:hint="eastAsia"/>
          <w:sz w:val="24"/>
        </w:rPr>
        <w:t>规</w:t>
      </w:r>
      <w:proofErr w:type="gramEnd"/>
      <w:r>
        <w:rPr>
          <w:rFonts w:ascii="宋体" w:hAnsi="宋体" w:hint="eastAsia"/>
          <w:sz w:val="24"/>
        </w:rPr>
        <w:t>的指令办理资金收付。本基金的银行预留印鉴由基金托管人保管和使用。本基金的一切货币收支活动，包括但不限于投资、支付赎回金额、支付基金收益、收取申购款，均需通过本基金的资金账户进行。</w:t>
      </w:r>
    </w:p>
    <w:p w:rsidR="00572ECF" w:rsidRDefault="00915AEA">
      <w:pPr>
        <w:spacing w:line="360" w:lineRule="auto"/>
        <w:ind w:firstLineChars="200" w:firstLine="480"/>
        <w:rPr>
          <w:rFonts w:ascii="宋体" w:hAnsi="宋体"/>
          <w:sz w:val="24"/>
        </w:rPr>
      </w:pPr>
      <w:r>
        <w:rPr>
          <w:rFonts w:ascii="宋体" w:hAnsi="宋体" w:hint="eastAsia"/>
          <w:sz w:val="24"/>
        </w:rPr>
        <w:t>2、托管资金专门账户的开立和使用，限于满足开展本基金业务的需要。基金托管人和基金管理人不得假借本基金的名义开立其他任何银行账户；亦不得使用基金的任何银行账户进行本基金业务以外的活动。</w:t>
      </w:r>
    </w:p>
    <w:p w:rsidR="00572ECF" w:rsidRDefault="00915AEA">
      <w:pPr>
        <w:spacing w:line="360" w:lineRule="auto"/>
        <w:ind w:firstLineChars="200" w:firstLine="480"/>
        <w:rPr>
          <w:rFonts w:ascii="宋体" w:hAnsi="宋体"/>
          <w:sz w:val="24"/>
        </w:rPr>
      </w:pPr>
      <w:r>
        <w:rPr>
          <w:rFonts w:ascii="宋体" w:hAnsi="宋体" w:hint="eastAsia"/>
          <w:sz w:val="24"/>
        </w:rPr>
        <w:t>3、</w:t>
      </w:r>
      <w:r w:rsidR="00A50A65">
        <w:rPr>
          <w:rFonts w:ascii="宋体" w:hAnsi="宋体" w:hint="eastAsia"/>
          <w:sz w:val="24"/>
        </w:rPr>
        <w:t xml:space="preserve"> </w:t>
      </w:r>
      <w:r>
        <w:rPr>
          <w:rFonts w:ascii="宋体" w:hAnsi="宋体" w:hint="eastAsia"/>
          <w:sz w:val="24"/>
        </w:rPr>
        <w:t>托管资金专门账户的开立和管理应符合银行业监督管理机构的有关规</w:t>
      </w:r>
      <w:r>
        <w:rPr>
          <w:rFonts w:ascii="宋体" w:hAnsi="宋体" w:hint="eastAsia"/>
          <w:sz w:val="24"/>
        </w:rPr>
        <w:lastRenderedPageBreak/>
        <w:t>定。</w:t>
      </w:r>
    </w:p>
    <w:p w:rsidR="00572ECF" w:rsidRDefault="00915AEA">
      <w:pPr>
        <w:spacing w:line="360" w:lineRule="auto"/>
        <w:ind w:firstLineChars="200" w:firstLine="480"/>
        <w:rPr>
          <w:rFonts w:ascii="宋体" w:hAnsi="宋体"/>
          <w:sz w:val="24"/>
        </w:rPr>
      </w:pPr>
      <w:r>
        <w:rPr>
          <w:rFonts w:ascii="宋体" w:hAnsi="宋体" w:hint="eastAsia"/>
          <w:sz w:val="24"/>
        </w:rPr>
        <w:t>（四）基金证券账户与证券交易资金账户的开设和管理</w:t>
      </w:r>
    </w:p>
    <w:p w:rsidR="00572ECF" w:rsidRDefault="00915AEA">
      <w:pPr>
        <w:spacing w:line="360" w:lineRule="auto"/>
        <w:ind w:firstLineChars="200" w:firstLine="480"/>
        <w:rPr>
          <w:rFonts w:ascii="宋体" w:hAnsi="宋体"/>
          <w:sz w:val="24"/>
        </w:rPr>
      </w:pPr>
      <w:r>
        <w:rPr>
          <w:rFonts w:ascii="宋体" w:hAnsi="宋体" w:hint="eastAsia"/>
          <w:sz w:val="24"/>
        </w:rPr>
        <w:t>1、基金托管人在中国证券登记结算有限责任公司上海分公司、深圳分公司为基金开立基金托管人与基金联名的证券账户。</w:t>
      </w:r>
    </w:p>
    <w:p w:rsidR="00572ECF" w:rsidRDefault="00915AEA">
      <w:pPr>
        <w:spacing w:line="360" w:lineRule="auto"/>
        <w:ind w:firstLineChars="200" w:firstLine="480"/>
        <w:rPr>
          <w:rFonts w:ascii="宋体" w:hAnsi="宋体"/>
          <w:sz w:val="24"/>
        </w:rPr>
      </w:pPr>
      <w:r>
        <w:rPr>
          <w:rFonts w:ascii="宋体" w:hAnsi="宋体" w:hint="eastAsia"/>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rsidR="00572ECF" w:rsidRDefault="00915AEA">
      <w:pPr>
        <w:spacing w:line="360" w:lineRule="auto"/>
        <w:ind w:firstLineChars="200" w:firstLine="480"/>
        <w:rPr>
          <w:rFonts w:ascii="宋体" w:hAnsi="宋体"/>
          <w:sz w:val="24"/>
        </w:rPr>
      </w:pPr>
      <w:r>
        <w:rPr>
          <w:rFonts w:ascii="宋体" w:hAnsi="宋体" w:hint="eastAsia"/>
          <w:sz w:val="24"/>
        </w:rPr>
        <w:t>3、基金证券账户的开立和证券账户卡的保管由基金托管人负责，账户资产的管理和运用由基金管理人负责。</w:t>
      </w:r>
    </w:p>
    <w:p w:rsidR="00572ECF" w:rsidRDefault="00915AEA">
      <w:pPr>
        <w:spacing w:line="360" w:lineRule="auto"/>
        <w:ind w:firstLineChars="200" w:firstLine="480"/>
        <w:rPr>
          <w:rFonts w:ascii="宋体" w:hAnsi="宋体"/>
          <w:sz w:val="24"/>
        </w:rPr>
      </w:pPr>
      <w:r>
        <w:rPr>
          <w:rFonts w:ascii="宋体" w:hAnsi="宋体" w:hint="eastAsia"/>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互保基金、交收价差资金等的收取按照中国证券登记结算有限责任公司的规定执行。</w:t>
      </w:r>
    </w:p>
    <w:p w:rsidR="00572ECF" w:rsidRDefault="00915AEA">
      <w:pPr>
        <w:spacing w:line="360" w:lineRule="auto"/>
        <w:ind w:firstLineChars="200" w:firstLine="480"/>
        <w:rPr>
          <w:rFonts w:ascii="宋体" w:hAnsi="宋体"/>
          <w:sz w:val="24"/>
        </w:rPr>
      </w:pPr>
      <w:r>
        <w:rPr>
          <w:rFonts w:ascii="宋体" w:hAnsi="宋体" w:hint="eastAsia"/>
          <w:sz w:val="24"/>
        </w:rPr>
        <w:t>5、若中国证监会或其他监管机构在本托管协议生效日之后允许基金从事其他投资品种的投资业务，涉及相关账户的开立、使用的，若无相关规定，</w:t>
      </w:r>
      <w:proofErr w:type="gramStart"/>
      <w:r>
        <w:rPr>
          <w:rFonts w:ascii="宋体" w:hAnsi="宋体" w:hint="eastAsia"/>
          <w:sz w:val="24"/>
        </w:rPr>
        <w:t>则基金</w:t>
      </w:r>
      <w:proofErr w:type="gramEnd"/>
      <w:r>
        <w:rPr>
          <w:rFonts w:ascii="宋体" w:hAnsi="宋体" w:hint="eastAsia"/>
          <w:sz w:val="24"/>
        </w:rPr>
        <w:t>托管人比照上述关于账户开立、使用的规定执行。</w:t>
      </w:r>
    </w:p>
    <w:p w:rsidR="00572ECF" w:rsidRDefault="00915AEA">
      <w:pPr>
        <w:spacing w:line="360" w:lineRule="auto"/>
        <w:ind w:firstLineChars="200" w:firstLine="480"/>
        <w:rPr>
          <w:rFonts w:ascii="宋体" w:hAnsi="宋体"/>
          <w:sz w:val="24"/>
        </w:rPr>
      </w:pPr>
      <w:r>
        <w:rPr>
          <w:rFonts w:ascii="宋体" w:hAnsi="宋体" w:hint="eastAsia"/>
          <w:sz w:val="24"/>
        </w:rPr>
        <w:t>（五）债券托管账户的开立和管理</w:t>
      </w:r>
    </w:p>
    <w:p w:rsidR="00572ECF" w:rsidRDefault="00915AEA">
      <w:pPr>
        <w:spacing w:line="360" w:lineRule="auto"/>
        <w:ind w:firstLineChars="200" w:firstLine="480"/>
        <w:rPr>
          <w:rFonts w:ascii="宋体" w:hAnsi="宋体"/>
          <w:sz w:val="24"/>
        </w:rPr>
      </w:pPr>
      <w:r>
        <w:rPr>
          <w:rFonts w:ascii="宋体" w:hAnsi="宋体" w:hint="eastAsia"/>
          <w:sz w:val="24"/>
        </w:rPr>
        <w:t>《基金合同》生效后，基金管理人负责以基金的名义申请并取得进入全国银行间同业拆借市场的交易资格，并代表基金进行交易；基金</w:t>
      </w:r>
      <w:r>
        <w:rPr>
          <w:rFonts w:ascii="宋体" w:hAnsi="宋体"/>
          <w:sz w:val="24"/>
        </w:rPr>
        <w:t>管理人先向</w:t>
      </w:r>
      <w:r>
        <w:rPr>
          <w:rFonts w:ascii="宋体" w:hAnsi="宋体" w:hint="eastAsia"/>
          <w:sz w:val="24"/>
        </w:rPr>
        <w:t>中国</w:t>
      </w:r>
      <w:r>
        <w:rPr>
          <w:rFonts w:ascii="宋体" w:hAnsi="宋体"/>
          <w:sz w:val="24"/>
        </w:rPr>
        <w:t>人民银行进行备案后，</w:t>
      </w:r>
      <w:r>
        <w:rPr>
          <w:rFonts w:ascii="宋体" w:hAnsi="宋体" w:hint="eastAsia"/>
          <w:sz w:val="24"/>
        </w:rPr>
        <w:t>基金托管人负责以本基金的名义在中央国债登记结算有限责任公司开设银行间债券市场债券托管账户，并代表基金进行银行间市场债券的结算。基金管理人和基金托管人共同代表基金签订全国银行间债券市场债券投资相关的协议，基金管理人保存协议原件。</w:t>
      </w:r>
    </w:p>
    <w:p w:rsidR="00572ECF" w:rsidRDefault="00915AEA">
      <w:pPr>
        <w:spacing w:line="360" w:lineRule="auto"/>
        <w:ind w:firstLineChars="200" w:firstLine="480"/>
        <w:rPr>
          <w:rFonts w:ascii="宋体" w:hAnsi="宋体"/>
          <w:sz w:val="24"/>
        </w:rPr>
      </w:pPr>
      <w:r>
        <w:rPr>
          <w:rFonts w:ascii="宋体" w:hAnsi="宋体" w:hint="eastAsia"/>
          <w:sz w:val="24"/>
        </w:rPr>
        <w:t>（六）其他账户的开设和管理</w:t>
      </w:r>
    </w:p>
    <w:p w:rsidR="00572ECF" w:rsidRDefault="00915AEA">
      <w:pPr>
        <w:spacing w:line="360" w:lineRule="auto"/>
        <w:ind w:firstLineChars="200" w:firstLine="480"/>
        <w:rPr>
          <w:rFonts w:ascii="宋体" w:hAnsi="宋体"/>
          <w:sz w:val="24"/>
        </w:rPr>
      </w:pPr>
      <w:r>
        <w:rPr>
          <w:rFonts w:ascii="宋体" w:hAnsi="宋体" w:hint="eastAsia"/>
          <w:sz w:val="24"/>
        </w:rPr>
        <w:t>1、在本托管协议生效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572ECF" w:rsidRDefault="00915AEA">
      <w:pPr>
        <w:spacing w:line="360" w:lineRule="auto"/>
        <w:ind w:firstLineChars="200" w:firstLine="480"/>
        <w:rPr>
          <w:rFonts w:ascii="宋体" w:hAnsi="宋体"/>
          <w:sz w:val="24"/>
        </w:rPr>
      </w:pPr>
      <w:r>
        <w:rPr>
          <w:rFonts w:ascii="宋体" w:hAnsi="宋体" w:hint="eastAsia"/>
          <w:sz w:val="24"/>
        </w:rPr>
        <w:t>2、法律法规等有关规定对相关账户的开立和管理另有规定的，从其规定办理。</w:t>
      </w:r>
    </w:p>
    <w:p w:rsidR="00572ECF" w:rsidRDefault="00915AEA">
      <w:pPr>
        <w:spacing w:line="360" w:lineRule="auto"/>
        <w:ind w:firstLineChars="200" w:firstLine="480"/>
        <w:rPr>
          <w:rFonts w:ascii="宋体" w:hAnsi="宋体"/>
          <w:sz w:val="24"/>
        </w:rPr>
      </w:pPr>
      <w:r>
        <w:rPr>
          <w:rFonts w:ascii="宋体" w:hAnsi="宋体" w:hint="eastAsia"/>
          <w:sz w:val="24"/>
        </w:rPr>
        <w:lastRenderedPageBreak/>
        <w:t>（七）基金财产投资的有关有价凭证等的保管</w:t>
      </w:r>
    </w:p>
    <w:p w:rsidR="00572ECF" w:rsidRDefault="00915AEA">
      <w:pPr>
        <w:spacing w:line="360" w:lineRule="auto"/>
        <w:ind w:firstLineChars="200" w:firstLine="480"/>
        <w:rPr>
          <w:rFonts w:ascii="宋体" w:hAnsi="宋体"/>
          <w:sz w:val="24"/>
        </w:rPr>
      </w:pPr>
      <w:r>
        <w:rPr>
          <w:rFonts w:ascii="宋体" w:hAnsi="宋体"/>
          <w:sz w:val="24"/>
        </w:rPr>
        <w:t>基金财产投资的有关实物证券</w:t>
      </w:r>
      <w:r>
        <w:rPr>
          <w:rFonts w:ascii="宋体" w:hAnsi="宋体" w:hint="eastAsia"/>
          <w:sz w:val="24"/>
        </w:rPr>
        <w:t>、银行定期存款存单等有价凭证</w:t>
      </w:r>
      <w:r>
        <w:rPr>
          <w:rFonts w:ascii="宋体" w:hAnsi="宋体"/>
          <w:sz w:val="24"/>
        </w:rPr>
        <w:t>由</w:t>
      </w:r>
      <w:r>
        <w:rPr>
          <w:rFonts w:ascii="宋体" w:hAnsi="宋体" w:hint="eastAsia"/>
          <w:sz w:val="24"/>
        </w:rPr>
        <w:t>基金管理人或存款银行移交</w:t>
      </w:r>
      <w:r>
        <w:rPr>
          <w:rFonts w:ascii="宋体" w:hAnsi="宋体"/>
          <w:sz w:val="24"/>
        </w:rPr>
        <w:t>基金托管人</w:t>
      </w:r>
      <w:r>
        <w:rPr>
          <w:rFonts w:ascii="宋体" w:hAnsi="宋体" w:hint="eastAsia"/>
          <w:sz w:val="24"/>
        </w:rPr>
        <w:t>，由基金托管人妥善保管，保管凭证由基金托管人持有，其中实物证券由基金管理人移交基金托管人后，基金托管人存放于托管银行的保管箱；也可存入登记结算机构的代保管库</w:t>
      </w:r>
      <w:r>
        <w:rPr>
          <w:rFonts w:ascii="宋体" w:hAnsi="宋体"/>
          <w:sz w:val="24"/>
        </w:rPr>
        <w:t>。</w:t>
      </w:r>
      <w:r>
        <w:rPr>
          <w:rFonts w:ascii="宋体" w:hAnsi="宋体" w:hint="eastAsia"/>
          <w:sz w:val="24"/>
        </w:rPr>
        <w:t>银行定期存款存单的交接原则上采用存款行上门服务的方式，基金管理人应先行确认存款行授权送、取存单人员的身份信息，并提前3个工作日与基金托管人就银行定期存款存单的交接进行沟通。基金托管人只负责对银行定期存款存单进行保管，不负责对银行定期存款存单真伪的辨别，不承担银行定期存款存单对应存款的本金及收益的安全。实物证券的购买和转让，由基金托管人根据基金管理人的指令办理，需要移交的，基金托管人根据基金管理人的指令办理移交手续。</w:t>
      </w:r>
      <w:r>
        <w:rPr>
          <w:rFonts w:ascii="宋体" w:hAnsi="宋体"/>
          <w:sz w:val="24"/>
        </w:rPr>
        <w:t>属于基金托管人实际有效控制下的实物证券在基金托管人保管期间的损坏、灭失，由此产生的责任应由基金托管人承担</w:t>
      </w:r>
      <w:r>
        <w:rPr>
          <w:rFonts w:ascii="宋体" w:hAnsi="宋体" w:hint="eastAsia"/>
          <w:sz w:val="24"/>
        </w:rPr>
        <w:t>。基金</w:t>
      </w:r>
      <w:r>
        <w:rPr>
          <w:rFonts w:ascii="宋体" w:hAnsi="宋体"/>
          <w:sz w:val="24"/>
        </w:rPr>
        <w:t>托管人对</w:t>
      </w:r>
      <w:r>
        <w:rPr>
          <w:rFonts w:ascii="宋体" w:hAnsi="宋体" w:hint="eastAsia"/>
          <w:sz w:val="24"/>
        </w:rPr>
        <w:t>基金</w:t>
      </w:r>
      <w:r>
        <w:rPr>
          <w:rFonts w:ascii="宋体" w:hAnsi="宋体"/>
          <w:sz w:val="24"/>
        </w:rPr>
        <w:t>托管人以外机构实际有效控制的证券不承担保管责任。</w:t>
      </w:r>
    </w:p>
    <w:p w:rsidR="00572ECF" w:rsidRDefault="00915AEA">
      <w:pPr>
        <w:spacing w:line="360" w:lineRule="auto"/>
        <w:ind w:firstLineChars="200" w:firstLine="480"/>
        <w:rPr>
          <w:rFonts w:ascii="宋体" w:hAnsi="宋体"/>
          <w:sz w:val="24"/>
        </w:rPr>
      </w:pPr>
      <w:bookmarkStart w:id="178" w:name="_Toc37159180"/>
      <w:r>
        <w:rPr>
          <w:rFonts w:ascii="宋体" w:hAnsi="宋体" w:hint="eastAsia"/>
          <w:sz w:val="24"/>
        </w:rPr>
        <w:t>（八）与基金财产有关的重大合同的保管</w:t>
      </w:r>
      <w:bookmarkEnd w:id="178"/>
    </w:p>
    <w:p w:rsidR="00572ECF" w:rsidRDefault="00915AEA">
      <w:pPr>
        <w:spacing w:line="360" w:lineRule="auto"/>
        <w:ind w:firstLineChars="200" w:firstLine="480"/>
        <w:rPr>
          <w:rFonts w:ascii="宋体" w:hAnsi="宋体"/>
          <w:sz w:val="24"/>
        </w:rPr>
      </w:pPr>
      <w:r>
        <w:rPr>
          <w:rFonts w:ascii="宋体" w:hAnsi="宋体" w:hint="eastAsia"/>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为《基金合同》终止后15年。</w:t>
      </w:r>
    </w:p>
    <w:p w:rsidR="00572ECF" w:rsidRDefault="00915AEA">
      <w:pPr>
        <w:spacing w:line="360" w:lineRule="auto"/>
        <w:ind w:firstLineChars="200" w:firstLine="480"/>
        <w:rPr>
          <w:rFonts w:ascii="宋体" w:hAnsi="宋体"/>
          <w:sz w:val="24"/>
        </w:rPr>
      </w:pPr>
      <w:r>
        <w:rPr>
          <w:rFonts w:ascii="宋体" w:hAnsi="宋体" w:hint="eastAsia"/>
          <w:sz w:val="24"/>
        </w:rPr>
        <w:t>（九）基金托管人根据有关法律法规的规定及基金合同的约定，对基金管理人选择存款银行进行监督。</w:t>
      </w:r>
    </w:p>
    <w:p w:rsidR="00572ECF" w:rsidRDefault="00915AEA">
      <w:pPr>
        <w:spacing w:line="360" w:lineRule="auto"/>
        <w:ind w:firstLineChars="200" w:firstLine="480"/>
        <w:rPr>
          <w:rFonts w:ascii="宋体" w:hAnsi="宋体"/>
          <w:sz w:val="24"/>
        </w:rPr>
      </w:pPr>
      <w:r>
        <w:rPr>
          <w:rFonts w:ascii="宋体" w:hAnsi="宋体" w:hint="eastAsia"/>
          <w:sz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rsidR="00572ECF" w:rsidRDefault="00915AEA">
      <w:pPr>
        <w:spacing w:line="360" w:lineRule="auto"/>
        <w:ind w:firstLineChars="200" w:firstLine="480"/>
        <w:rPr>
          <w:rFonts w:ascii="宋体" w:hAnsi="宋体"/>
          <w:sz w:val="24"/>
        </w:rPr>
      </w:pPr>
      <w:r>
        <w:rPr>
          <w:rFonts w:ascii="宋体" w:hAnsi="宋体" w:hint="eastAsia"/>
          <w:sz w:val="24"/>
        </w:rPr>
        <w:t>本基金投资银行存款应符合如下规定：</w:t>
      </w:r>
    </w:p>
    <w:p w:rsidR="00572ECF" w:rsidRDefault="00915AEA">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、基金管理人、基金托管人应当与存款银行建立定期对账机制，确保基金银行存款业务账目及核算的真实、准确。</w:t>
      </w:r>
    </w:p>
    <w:p w:rsidR="00572ECF" w:rsidRDefault="00915AEA">
      <w:pPr>
        <w:spacing w:line="360" w:lineRule="auto"/>
        <w:ind w:firstLineChars="200" w:firstLine="480"/>
        <w:rPr>
          <w:rFonts w:ascii="宋体" w:hAnsi="宋体"/>
          <w:sz w:val="24"/>
        </w:rPr>
      </w:pPr>
      <w:r>
        <w:rPr>
          <w:rFonts w:ascii="宋体" w:hAnsi="宋体"/>
          <w:sz w:val="24"/>
        </w:rPr>
        <w:lastRenderedPageBreak/>
        <w:t>2</w:t>
      </w:r>
      <w:r>
        <w:rPr>
          <w:rFonts w:ascii="宋体" w:hAnsi="宋体" w:hint="eastAsia"/>
          <w:sz w:val="24"/>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rsidR="00572ECF" w:rsidRDefault="00915AEA">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、基金托管人应加强对基金银行存款业务的监督与核查，严格审查、复核相关协议、账户资料、投资指令、存款证实书等有关文件，切实履行托管职责。</w:t>
      </w:r>
    </w:p>
    <w:p w:rsidR="00572ECF" w:rsidRDefault="00915AEA">
      <w:pPr>
        <w:spacing w:line="360" w:lineRule="auto"/>
        <w:ind w:firstLineChars="200" w:firstLine="480"/>
        <w:rPr>
          <w:rFonts w:ascii="宋体" w:hAnsi="宋体"/>
          <w:sz w:val="24"/>
        </w:rPr>
      </w:pPr>
      <w:r>
        <w:rPr>
          <w:rFonts w:ascii="宋体" w:hAnsi="宋体"/>
          <w:sz w:val="24"/>
        </w:rPr>
        <w:t>4</w:t>
      </w:r>
      <w:r>
        <w:rPr>
          <w:rFonts w:ascii="宋体" w:hAnsi="宋体" w:hint="eastAsia"/>
          <w:sz w:val="24"/>
        </w:rPr>
        <w:t>、基金管理人与基金托管人在开展基金存款业务时，应严格遵守《基金法》、《运作办法》等有关法律法规，以及国家有关账户管理、利率管理、支付结算等的各项规定。</w:t>
      </w:r>
    </w:p>
    <w:p w:rsidR="00572ECF" w:rsidRDefault="00915AEA">
      <w:pPr>
        <w:adjustRightInd w:val="0"/>
        <w:snapToGrid w:val="0"/>
        <w:spacing w:line="360" w:lineRule="auto"/>
        <w:ind w:firstLineChars="200" w:firstLine="480"/>
        <w:rPr>
          <w:rFonts w:ascii="宋体" w:hAnsi="宋体"/>
          <w:sz w:val="24"/>
        </w:rPr>
      </w:pPr>
      <w:r>
        <w:rPr>
          <w:rFonts w:ascii="宋体" w:hAnsi="宋体" w:hint="eastAsia"/>
          <w:sz w:val="24"/>
        </w:rPr>
        <w:t>基金托管人发现基金管理人在选择存款银行时有违反有关法律法规的规定及基金合同的约定的行为，应及时以电话提示或书面形式通知基金管理人在</w:t>
      </w:r>
      <w:r>
        <w:rPr>
          <w:rFonts w:ascii="宋体" w:hAnsi="宋体"/>
          <w:sz w:val="24"/>
        </w:rPr>
        <w:t>10</w:t>
      </w:r>
      <w:r>
        <w:rPr>
          <w:rFonts w:ascii="宋体" w:hAnsi="宋体" w:hint="eastAsia"/>
          <w:sz w:val="24"/>
        </w:rPr>
        <w:t>个工作日内纠正。基金管理人对基金托管人通知的违规事项未能在</w:t>
      </w:r>
      <w:r>
        <w:rPr>
          <w:rFonts w:ascii="宋体" w:hAnsi="宋体"/>
          <w:sz w:val="24"/>
        </w:rPr>
        <w:t>10</w:t>
      </w:r>
      <w:r>
        <w:rPr>
          <w:rFonts w:ascii="宋体" w:hAnsi="宋体" w:hint="eastAsia"/>
          <w:sz w:val="24"/>
        </w:rPr>
        <w:t>个工作日内纠正的，基金托管人应报告中国证监会。基金托管人发现基金管理人有重大违规行为，应立即报告中国证监会，同时通知基金管理人在</w:t>
      </w:r>
      <w:r>
        <w:rPr>
          <w:rFonts w:ascii="宋体" w:hAnsi="宋体"/>
          <w:sz w:val="24"/>
        </w:rPr>
        <w:t>10</w:t>
      </w:r>
      <w:r>
        <w:rPr>
          <w:rFonts w:ascii="宋体" w:hAnsi="宋体" w:hint="eastAsia"/>
          <w:sz w:val="24"/>
        </w:rPr>
        <w:t>个工作日内纠正或拒绝结算，</w:t>
      </w:r>
      <w:proofErr w:type="gramStart"/>
      <w:r>
        <w:rPr>
          <w:rFonts w:ascii="宋体" w:hAnsi="宋体" w:hint="eastAsia"/>
          <w:sz w:val="24"/>
        </w:rPr>
        <w:t>若基金</w:t>
      </w:r>
      <w:proofErr w:type="gramEnd"/>
      <w:r>
        <w:rPr>
          <w:rFonts w:ascii="宋体" w:hAnsi="宋体" w:hint="eastAsia"/>
          <w:sz w:val="24"/>
        </w:rPr>
        <w:t>管理人拒不执行造成基金财产的损失，基金托管人不承担任何责任。</w:t>
      </w:r>
    </w:p>
    <w:bookmarkEnd w:id="175"/>
    <w:bookmarkEnd w:id="176"/>
    <w:p w:rsidR="00572ECF" w:rsidRDefault="00915AEA">
      <w:pPr>
        <w:adjustRightInd w:val="0"/>
        <w:snapToGrid w:val="0"/>
        <w:spacing w:line="360" w:lineRule="auto"/>
        <w:ind w:firstLineChars="200" w:firstLine="482"/>
        <w:rPr>
          <w:rFonts w:ascii="宋体" w:hAnsi="宋体"/>
          <w:sz w:val="24"/>
        </w:rPr>
      </w:pPr>
      <w:r>
        <w:rPr>
          <w:rFonts w:asciiTheme="minorEastAsia" w:eastAsiaTheme="minorEastAsia" w:hAnsiTheme="minorEastAsia" w:cs="Arial" w:hint="eastAsia"/>
          <w:b/>
          <w:sz w:val="24"/>
          <w:szCs w:val="24"/>
        </w:rPr>
        <w:t>五、基金资产净值计算和会计核算</w:t>
      </w:r>
    </w:p>
    <w:p w:rsidR="00572ECF" w:rsidRDefault="00915AEA">
      <w:pPr>
        <w:spacing w:line="360" w:lineRule="auto"/>
        <w:ind w:firstLineChars="200" w:firstLine="480"/>
        <w:rPr>
          <w:rFonts w:ascii="宋体" w:hAnsi="宋体"/>
          <w:sz w:val="24"/>
        </w:rPr>
      </w:pPr>
      <w:r>
        <w:rPr>
          <w:rFonts w:ascii="宋体" w:hAnsi="宋体" w:hint="eastAsia"/>
          <w:sz w:val="24"/>
        </w:rPr>
        <w:t>（一）基金资产净值、基金份额净值的计算、复核与完成的时间及程序</w:t>
      </w:r>
    </w:p>
    <w:p w:rsidR="00572ECF" w:rsidRDefault="00915AEA">
      <w:pPr>
        <w:spacing w:line="360" w:lineRule="auto"/>
        <w:ind w:firstLineChars="200" w:firstLine="480"/>
        <w:rPr>
          <w:rFonts w:ascii="宋体" w:hAnsi="宋体"/>
          <w:sz w:val="24"/>
        </w:rPr>
      </w:pPr>
      <w:r>
        <w:rPr>
          <w:rFonts w:ascii="宋体" w:hAnsi="宋体" w:hint="eastAsia"/>
          <w:sz w:val="24"/>
        </w:rPr>
        <w:t>1、基金资产净值是指基金资产总值减去负债后的金额。各类基金份额净值是按照每个工作日闭市后，基金资产净值除以当日该类别基金总份额余额数量计算。基金份额净值精确到0.0001元，小数点后第五位四舍五入。法律法规另有规定的，从其规定。</w:t>
      </w:r>
    </w:p>
    <w:p w:rsidR="00572ECF" w:rsidRDefault="00915AEA">
      <w:pPr>
        <w:spacing w:line="360" w:lineRule="auto"/>
        <w:ind w:firstLineChars="200" w:firstLine="480"/>
        <w:rPr>
          <w:rFonts w:ascii="宋体" w:hAnsi="宋体"/>
          <w:sz w:val="24"/>
        </w:rPr>
      </w:pPr>
      <w:r>
        <w:rPr>
          <w:rFonts w:ascii="宋体" w:hAnsi="宋体" w:hint="eastAsia"/>
          <w:sz w:val="24"/>
        </w:rPr>
        <w:t>基金管理人每个工作日计算基金资产净值、各类基金份额净值，并按规定公告。</w:t>
      </w:r>
    </w:p>
    <w:p w:rsidR="00572ECF" w:rsidRDefault="00915AEA">
      <w:pPr>
        <w:spacing w:line="360" w:lineRule="auto"/>
        <w:ind w:firstLineChars="200" w:firstLine="480"/>
        <w:rPr>
          <w:rFonts w:ascii="宋体" w:hAnsi="宋体"/>
          <w:sz w:val="24"/>
        </w:rPr>
      </w:pPr>
      <w:r>
        <w:rPr>
          <w:rFonts w:ascii="宋体" w:hAnsi="宋体" w:hint="eastAsia"/>
          <w:sz w:val="24"/>
        </w:rPr>
        <w:t>2、基金管理人</w:t>
      </w:r>
      <w:proofErr w:type="gramStart"/>
      <w:r>
        <w:rPr>
          <w:rFonts w:ascii="宋体" w:hAnsi="宋体" w:hint="eastAsia"/>
          <w:sz w:val="24"/>
        </w:rPr>
        <w:t>应每个</w:t>
      </w:r>
      <w:proofErr w:type="gramEnd"/>
      <w:r>
        <w:rPr>
          <w:rFonts w:ascii="宋体" w:hAnsi="宋体" w:hint="eastAsia"/>
          <w:sz w:val="24"/>
        </w:rPr>
        <w:t>工作日对基金资产估值。但基金管理人根据法律法规或《基金合同》的规定暂停估值时除外。基金管理人每个工作日对基金资产估值后，将各类基金份额净值发送基金托管人，经基金托管人复核无误后，由基金管理人按规定对外公布。</w:t>
      </w:r>
    </w:p>
    <w:p w:rsidR="00572ECF" w:rsidRDefault="00915AEA">
      <w:pPr>
        <w:spacing w:line="360" w:lineRule="auto"/>
        <w:ind w:firstLineChars="200" w:firstLine="480"/>
        <w:rPr>
          <w:rFonts w:ascii="宋体" w:hAnsi="宋体"/>
          <w:sz w:val="24"/>
        </w:rPr>
      </w:pPr>
      <w:r>
        <w:rPr>
          <w:rFonts w:ascii="宋体" w:hAnsi="宋体" w:hint="eastAsia"/>
          <w:sz w:val="24"/>
        </w:rPr>
        <w:t>（二）基金资产估值方法和特殊情形的处理</w:t>
      </w:r>
    </w:p>
    <w:p w:rsidR="00572ECF" w:rsidRDefault="00915AEA">
      <w:pPr>
        <w:spacing w:line="360" w:lineRule="auto"/>
        <w:ind w:firstLineChars="200" w:firstLine="480"/>
        <w:rPr>
          <w:rFonts w:ascii="宋体" w:hAnsi="宋体"/>
          <w:sz w:val="24"/>
        </w:rPr>
      </w:pPr>
      <w:r>
        <w:rPr>
          <w:rFonts w:ascii="宋体" w:hAnsi="宋体" w:hint="eastAsia"/>
          <w:sz w:val="24"/>
        </w:rPr>
        <w:lastRenderedPageBreak/>
        <w:t>1、估值对象</w:t>
      </w:r>
    </w:p>
    <w:p w:rsidR="00572ECF" w:rsidRDefault="00915AEA">
      <w:pPr>
        <w:spacing w:line="360" w:lineRule="auto"/>
        <w:ind w:firstLineChars="200" w:firstLine="480"/>
        <w:rPr>
          <w:rFonts w:ascii="宋体" w:hAnsi="宋体"/>
          <w:sz w:val="24"/>
        </w:rPr>
      </w:pPr>
      <w:r>
        <w:rPr>
          <w:rFonts w:ascii="宋体" w:hAnsi="宋体" w:hint="eastAsia"/>
          <w:sz w:val="24"/>
        </w:rPr>
        <w:t>基金所拥有的股票、权证、债券、</w:t>
      </w:r>
      <w:r>
        <w:rPr>
          <w:rFonts w:ascii="宋体" w:hAnsi="宋体"/>
          <w:sz w:val="24"/>
        </w:rPr>
        <w:t>国债</w:t>
      </w:r>
      <w:r>
        <w:rPr>
          <w:rFonts w:ascii="宋体" w:hAnsi="宋体" w:hint="eastAsia"/>
          <w:sz w:val="24"/>
        </w:rPr>
        <w:t>期货合约和银行存款本息、应收款项、其它投资等资产及负债。</w:t>
      </w:r>
    </w:p>
    <w:p w:rsidR="00572ECF" w:rsidRDefault="00915AEA">
      <w:pPr>
        <w:spacing w:line="360" w:lineRule="auto"/>
        <w:ind w:firstLineChars="200" w:firstLine="480"/>
        <w:rPr>
          <w:rFonts w:ascii="宋体" w:hAnsi="宋体"/>
          <w:sz w:val="24"/>
        </w:rPr>
      </w:pPr>
      <w:r>
        <w:rPr>
          <w:rFonts w:ascii="宋体" w:hAnsi="宋体" w:hint="eastAsia"/>
          <w:sz w:val="24"/>
        </w:rPr>
        <w:t>2、估值方法</w:t>
      </w:r>
    </w:p>
    <w:p w:rsidR="00572ECF" w:rsidRDefault="00915AEA">
      <w:pPr>
        <w:spacing w:line="360" w:lineRule="auto"/>
        <w:ind w:firstLineChars="200" w:firstLine="480"/>
        <w:rPr>
          <w:rFonts w:ascii="宋体" w:hAnsi="宋体"/>
          <w:sz w:val="24"/>
        </w:rPr>
      </w:pPr>
      <w:r>
        <w:rPr>
          <w:rFonts w:ascii="宋体" w:hAnsi="宋体" w:hint="eastAsia"/>
          <w:sz w:val="24"/>
        </w:rPr>
        <w:t>（1）证券交易所上市的有价证券的估值</w:t>
      </w:r>
    </w:p>
    <w:p w:rsidR="00572ECF" w:rsidRDefault="00915AEA">
      <w:pPr>
        <w:spacing w:line="360" w:lineRule="auto"/>
        <w:ind w:firstLineChars="200" w:firstLine="480"/>
        <w:rPr>
          <w:rFonts w:ascii="宋体" w:hAnsi="宋体"/>
          <w:sz w:val="24"/>
        </w:rPr>
      </w:pPr>
      <w:r>
        <w:rPr>
          <w:rFonts w:ascii="宋体" w:hAnsi="宋体" w:hint="eastAsia"/>
          <w:sz w:val="24"/>
        </w:rPr>
        <w:t>1）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572ECF" w:rsidRDefault="00915AEA">
      <w:pPr>
        <w:spacing w:line="360" w:lineRule="auto"/>
        <w:ind w:firstLineChars="200" w:firstLine="480"/>
        <w:rPr>
          <w:rFonts w:ascii="宋体" w:hAnsi="宋体"/>
          <w:sz w:val="24"/>
        </w:rPr>
      </w:pPr>
      <w:r>
        <w:rPr>
          <w:rFonts w:ascii="宋体" w:hAnsi="宋体" w:hint="eastAsia"/>
          <w:sz w:val="24"/>
        </w:rPr>
        <w:t>2）交易所上市交易或挂牌转让的固定收益品种（本基金合同另有规定的除外），选取估值日第三方估值机构提供的相应品种对应的估值净价估值，具体估值机构由基金管理人与托管人另行协商约定；</w:t>
      </w:r>
    </w:p>
    <w:p w:rsidR="00572ECF" w:rsidRDefault="00915AEA">
      <w:pPr>
        <w:spacing w:line="360" w:lineRule="auto"/>
        <w:ind w:firstLineChars="200" w:firstLine="480"/>
        <w:rPr>
          <w:rFonts w:ascii="宋体" w:hAnsi="宋体"/>
          <w:sz w:val="24"/>
        </w:rPr>
      </w:pPr>
      <w:r>
        <w:rPr>
          <w:rFonts w:ascii="宋体" w:hAnsi="宋体" w:hint="eastAsia"/>
          <w:sz w:val="24"/>
        </w:rPr>
        <w:t>3）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572ECF" w:rsidRDefault="00915AEA">
      <w:pPr>
        <w:spacing w:line="360" w:lineRule="auto"/>
        <w:ind w:firstLineChars="200" w:firstLine="480"/>
        <w:rPr>
          <w:rFonts w:ascii="宋体" w:hAnsi="宋体"/>
          <w:sz w:val="24"/>
        </w:rPr>
      </w:pPr>
      <w:r>
        <w:rPr>
          <w:rFonts w:ascii="宋体" w:hAnsi="宋体" w:hint="eastAsia"/>
          <w:sz w:val="24"/>
        </w:rPr>
        <w:t>4）交易所上市不存在活跃市场的有价证券，采用估值技术确定公允价值。交易所上市的资产支持证券，采用估值技术确定公允价值，在估值技术难以可靠计量公允价值的情况下，按成本估值。</w:t>
      </w:r>
    </w:p>
    <w:p w:rsidR="00572ECF" w:rsidRDefault="00915AEA">
      <w:pPr>
        <w:spacing w:line="360" w:lineRule="auto"/>
        <w:ind w:firstLineChars="200" w:firstLine="480"/>
        <w:rPr>
          <w:rFonts w:ascii="宋体" w:hAnsi="宋体"/>
          <w:sz w:val="24"/>
        </w:rPr>
      </w:pPr>
      <w:r>
        <w:rPr>
          <w:rFonts w:ascii="宋体" w:hAnsi="宋体" w:hint="eastAsia"/>
          <w:sz w:val="24"/>
        </w:rPr>
        <w:t>（2）首次公开发行未上市的债券，采用估值技术确定公允价值，在估值技术难以可靠计量公允价值的情况下，按成本估值。</w:t>
      </w:r>
    </w:p>
    <w:p w:rsidR="00572ECF" w:rsidRDefault="00915AEA">
      <w:pPr>
        <w:spacing w:line="360" w:lineRule="auto"/>
        <w:ind w:firstLineChars="200" w:firstLine="480"/>
        <w:rPr>
          <w:rFonts w:ascii="宋体" w:hAnsi="宋体"/>
          <w:sz w:val="24"/>
        </w:rPr>
      </w:pPr>
      <w:r>
        <w:rPr>
          <w:rFonts w:ascii="宋体" w:hAnsi="宋体" w:hint="eastAsia"/>
          <w:sz w:val="24"/>
        </w:rPr>
        <w:t>（3）全国银行间债券市场交易的债券、资产支持证券等固定收益品种，采用估值技术确定公允价值。</w:t>
      </w:r>
    </w:p>
    <w:p w:rsidR="00572ECF" w:rsidRDefault="00915AEA">
      <w:pPr>
        <w:spacing w:line="360" w:lineRule="auto"/>
        <w:ind w:firstLineChars="200" w:firstLine="480"/>
        <w:rPr>
          <w:rFonts w:ascii="宋体" w:hAnsi="宋体"/>
          <w:sz w:val="24"/>
        </w:rPr>
      </w:pPr>
      <w:r>
        <w:rPr>
          <w:rFonts w:ascii="宋体" w:hAnsi="宋体" w:hint="eastAsia"/>
          <w:bCs/>
          <w:sz w:val="24"/>
        </w:rPr>
        <w:t>（4）同一债券同时在两个或两个以上市场交易的，按债券所处的市场分别估值。</w:t>
      </w:r>
    </w:p>
    <w:p w:rsidR="00572ECF" w:rsidRDefault="00915AEA">
      <w:pPr>
        <w:spacing w:line="360" w:lineRule="auto"/>
        <w:ind w:firstLineChars="200" w:firstLine="480"/>
        <w:rPr>
          <w:rFonts w:ascii="宋体" w:hAnsi="宋体"/>
          <w:sz w:val="24"/>
        </w:rPr>
      </w:pPr>
      <w:r>
        <w:rPr>
          <w:rFonts w:ascii="宋体" w:hAnsi="宋体" w:hint="eastAsia"/>
          <w:sz w:val="24"/>
        </w:rPr>
        <w:t>(5)</w:t>
      </w:r>
      <w:r>
        <w:rPr>
          <w:rFonts w:hint="eastAsia"/>
        </w:rPr>
        <w:t xml:space="preserve"> </w:t>
      </w:r>
      <w:r>
        <w:rPr>
          <w:rFonts w:ascii="宋体" w:hAnsi="宋体" w:hint="eastAsia"/>
          <w:sz w:val="24"/>
        </w:rPr>
        <w:t>国债期货合约按照结算价估值，如估值日无结算价且最近交易日后经济环境未发生重大变化，按最近交易日结算价估值。</w:t>
      </w:r>
    </w:p>
    <w:p w:rsidR="00572ECF" w:rsidRDefault="00915AEA">
      <w:pPr>
        <w:spacing w:line="360" w:lineRule="auto"/>
        <w:ind w:firstLineChars="200" w:firstLine="480"/>
        <w:rPr>
          <w:bCs/>
          <w:sz w:val="24"/>
        </w:rPr>
      </w:pPr>
      <w:r>
        <w:rPr>
          <w:rFonts w:hint="eastAsia"/>
          <w:bCs/>
          <w:sz w:val="24"/>
        </w:rPr>
        <w:lastRenderedPageBreak/>
        <w:t>（</w:t>
      </w:r>
      <w:r>
        <w:rPr>
          <w:rFonts w:hint="eastAsia"/>
          <w:bCs/>
          <w:sz w:val="24"/>
        </w:rPr>
        <w:t>6</w:t>
      </w:r>
      <w:r>
        <w:rPr>
          <w:rFonts w:hint="eastAsia"/>
          <w:bCs/>
          <w:sz w:val="24"/>
        </w:rPr>
        <w:t>）中小企业私募债券，采用估值技术确定公允价值。在估值技术难以可靠计量公允价值的情况下，按成本估值。</w:t>
      </w:r>
    </w:p>
    <w:p w:rsidR="00572ECF" w:rsidRDefault="00915AEA">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）当本基金发生大额申购或赎回情形时，基金管理人可以对本基金采用摆动定价机制，以确保基金估值的公平性。</w:t>
      </w:r>
    </w:p>
    <w:p w:rsidR="00572ECF" w:rsidRDefault="00915AEA">
      <w:pPr>
        <w:spacing w:line="360" w:lineRule="auto"/>
        <w:ind w:firstLineChars="200" w:firstLine="480"/>
        <w:rPr>
          <w:rFonts w:ascii="宋体" w:hAnsi="宋体"/>
          <w:sz w:val="24"/>
        </w:rPr>
      </w:pPr>
      <w:r>
        <w:rPr>
          <w:rFonts w:ascii="宋体" w:hAnsi="宋体" w:hint="eastAsia"/>
          <w:sz w:val="24"/>
        </w:rPr>
        <w:t>（</w:t>
      </w:r>
      <w:r>
        <w:rPr>
          <w:rFonts w:ascii="宋体" w:hAnsi="宋体"/>
          <w:sz w:val="24"/>
        </w:rPr>
        <w:t>8</w:t>
      </w:r>
      <w:r>
        <w:rPr>
          <w:rFonts w:ascii="宋体" w:hAnsi="宋体" w:hint="eastAsia"/>
          <w:sz w:val="24"/>
        </w:rPr>
        <w:t>)</w:t>
      </w:r>
      <w:r>
        <w:rPr>
          <w:rFonts w:hint="eastAsia"/>
        </w:rPr>
        <w:t xml:space="preserve"> </w:t>
      </w:r>
      <w:r>
        <w:rPr>
          <w:rFonts w:ascii="宋体" w:hAnsi="宋体" w:hint="eastAsia"/>
          <w:sz w:val="24"/>
        </w:rPr>
        <w:t>如有确凿证据表明按上述方法进行估值不能客观反映其公允价值的，基金管理人可根据具体情况与基金托管人商定后，按最能反映公允价值的价格估值。</w:t>
      </w:r>
    </w:p>
    <w:p w:rsidR="00572ECF" w:rsidRDefault="00915AEA">
      <w:pPr>
        <w:spacing w:line="360" w:lineRule="auto"/>
        <w:ind w:firstLineChars="200" w:firstLine="480"/>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）相关法律法规以及监管部门有强制规定的，从其规定。如有新增事项，按国家最新规定估值。</w:t>
      </w:r>
    </w:p>
    <w:p w:rsidR="00572ECF" w:rsidRDefault="00915AEA">
      <w:pPr>
        <w:spacing w:line="360" w:lineRule="auto"/>
        <w:ind w:firstLineChars="200" w:firstLine="480"/>
        <w:rPr>
          <w:rFonts w:ascii="宋体" w:hAnsi="宋体"/>
          <w:sz w:val="24"/>
        </w:rPr>
      </w:pPr>
      <w:r>
        <w:rPr>
          <w:rFonts w:ascii="宋体" w:hAnsi="宋体"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rsidR="00572ECF" w:rsidRDefault="00915AEA">
      <w:pPr>
        <w:spacing w:line="360" w:lineRule="auto"/>
        <w:ind w:firstLineChars="200" w:firstLine="480"/>
        <w:rPr>
          <w:rFonts w:ascii="宋体" w:hAnsi="宋体"/>
          <w:sz w:val="24"/>
        </w:rPr>
      </w:pPr>
      <w:r>
        <w:rPr>
          <w:rFonts w:ascii="宋体" w:hAnsi="宋体"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572ECF" w:rsidRDefault="00915AEA">
      <w:pPr>
        <w:spacing w:line="360" w:lineRule="auto"/>
        <w:ind w:firstLineChars="200" w:firstLine="480"/>
        <w:rPr>
          <w:rFonts w:ascii="宋体"/>
          <w:sz w:val="24"/>
        </w:rPr>
      </w:pPr>
      <w:r>
        <w:rPr>
          <w:rFonts w:ascii="宋体" w:hint="eastAsia"/>
          <w:sz w:val="24"/>
        </w:rPr>
        <w:t>3、特殊情形的处理</w:t>
      </w:r>
    </w:p>
    <w:p w:rsidR="00572ECF" w:rsidRDefault="00915AEA">
      <w:pPr>
        <w:spacing w:line="360" w:lineRule="auto"/>
        <w:ind w:firstLineChars="200" w:firstLine="480"/>
        <w:rPr>
          <w:rFonts w:ascii="宋体"/>
          <w:sz w:val="24"/>
        </w:rPr>
      </w:pPr>
      <w:r>
        <w:rPr>
          <w:rFonts w:ascii="宋体" w:hint="eastAsia"/>
          <w:sz w:val="24"/>
        </w:rPr>
        <w:t>（1）基金管理人或基金托管人按估值方法的第7项进行估值时，所造成的误差不作为基金资产估值错误处理。</w:t>
      </w:r>
    </w:p>
    <w:p w:rsidR="00572ECF" w:rsidRDefault="00915AEA">
      <w:pPr>
        <w:spacing w:line="360" w:lineRule="auto"/>
        <w:ind w:firstLineChars="200" w:firstLine="480"/>
        <w:rPr>
          <w:rFonts w:ascii="宋体" w:hAnsi="宋体"/>
          <w:sz w:val="24"/>
        </w:rPr>
      </w:pPr>
      <w:r>
        <w:rPr>
          <w:rFonts w:ascii="宋体" w:hint="eastAsia"/>
          <w:sz w:val="24"/>
        </w:rPr>
        <w:t>（2）由于不可抗力原因，或由于证券、期货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rsidR="00572ECF" w:rsidRDefault="00915AEA">
      <w:pPr>
        <w:spacing w:line="360" w:lineRule="auto"/>
        <w:ind w:firstLineChars="200" w:firstLine="480"/>
        <w:rPr>
          <w:rFonts w:ascii="宋体" w:hAnsi="宋体"/>
          <w:sz w:val="24"/>
        </w:rPr>
      </w:pPr>
      <w:r>
        <w:rPr>
          <w:rFonts w:ascii="宋体" w:hAnsi="宋体" w:hint="eastAsia"/>
          <w:sz w:val="24"/>
        </w:rPr>
        <w:t>（三）估值错误的处理</w:t>
      </w:r>
    </w:p>
    <w:p w:rsidR="00572ECF" w:rsidRDefault="00915AEA">
      <w:pPr>
        <w:spacing w:line="360" w:lineRule="auto"/>
        <w:ind w:firstLineChars="200" w:firstLine="480"/>
        <w:rPr>
          <w:rFonts w:ascii="宋体" w:hAnsi="宋体"/>
          <w:sz w:val="24"/>
        </w:rPr>
      </w:pPr>
      <w:r>
        <w:rPr>
          <w:rFonts w:ascii="宋体" w:hAnsi="宋体" w:hint="eastAsia"/>
          <w:sz w:val="24"/>
        </w:rPr>
        <w:t>基金管理人和基金托管人将采取必要、适当、合理的措施确保基金资产估值的准确性、及时性。当任一类基金份额净值小数点后4位以内(含第4位)发生估值错误时，视为该类基金份额净值错误。</w:t>
      </w:r>
    </w:p>
    <w:p w:rsidR="00572ECF" w:rsidRDefault="00915AEA">
      <w:pPr>
        <w:spacing w:line="360" w:lineRule="auto"/>
        <w:ind w:firstLineChars="200" w:firstLine="480"/>
        <w:rPr>
          <w:rFonts w:ascii="宋体" w:hAnsi="宋体"/>
          <w:sz w:val="24"/>
        </w:rPr>
      </w:pPr>
      <w:r>
        <w:rPr>
          <w:rFonts w:ascii="宋体" w:hAnsi="宋体" w:hint="eastAsia"/>
          <w:sz w:val="24"/>
        </w:rPr>
        <w:t>基金合同的当事人应按照以下约定处理：</w:t>
      </w:r>
    </w:p>
    <w:p w:rsidR="00572ECF" w:rsidRDefault="00915AEA">
      <w:pPr>
        <w:spacing w:line="360" w:lineRule="auto"/>
        <w:ind w:firstLineChars="200" w:firstLine="480"/>
        <w:rPr>
          <w:rFonts w:ascii="宋体" w:hAnsi="宋体"/>
          <w:sz w:val="24"/>
        </w:rPr>
      </w:pPr>
      <w:r>
        <w:rPr>
          <w:rFonts w:ascii="宋体" w:hAnsi="宋体" w:hint="eastAsia"/>
          <w:sz w:val="24"/>
        </w:rPr>
        <w:t>1、估值错误类型</w:t>
      </w:r>
    </w:p>
    <w:p w:rsidR="00572ECF" w:rsidRDefault="00915AEA">
      <w:pPr>
        <w:spacing w:line="360" w:lineRule="auto"/>
        <w:ind w:firstLineChars="200" w:firstLine="480"/>
        <w:rPr>
          <w:rFonts w:ascii="宋体" w:hAnsi="宋体"/>
          <w:sz w:val="24"/>
        </w:rPr>
      </w:pPr>
      <w:r>
        <w:rPr>
          <w:rFonts w:ascii="宋体" w:hAnsi="宋体" w:hint="eastAsia"/>
          <w:sz w:val="24"/>
        </w:rPr>
        <w:lastRenderedPageBreak/>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rsidR="00572ECF" w:rsidRDefault="00915AEA">
      <w:pPr>
        <w:spacing w:line="360" w:lineRule="auto"/>
        <w:ind w:firstLineChars="200" w:firstLine="480"/>
        <w:rPr>
          <w:rFonts w:ascii="宋体" w:hAnsi="宋体"/>
          <w:sz w:val="24"/>
        </w:rPr>
      </w:pPr>
      <w:r>
        <w:rPr>
          <w:rFonts w:ascii="宋体" w:hAnsi="宋体" w:hint="eastAsia"/>
          <w:sz w:val="24"/>
        </w:rPr>
        <w:t>上述估值错误的主要类型包括但不限于：资料申报差错、数据传输差错、数据计算差错、系统故障差错、下达指令差错等。</w:t>
      </w:r>
    </w:p>
    <w:p w:rsidR="00572ECF" w:rsidRDefault="00915AEA">
      <w:pPr>
        <w:spacing w:line="360" w:lineRule="auto"/>
        <w:ind w:firstLineChars="200" w:firstLine="480"/>
        <w:rPr>
          <w:rFonts w:ascii="宋体" w:hAnsi="宋体"/>
          <w:sz w:val="24"/>
        </w:rPr>
      </w:pPr>
      <w:r>
        <w:rPr>
          <w:rFonts w:ascii="宋体" w:hAnsi="宋体" w:hint="eastAsia"/>
          <w:sz w:val="24"/>
        </w:rPr>
        <w:t>2、估值错误处理原则</w:t>
      </w:r>
    </w:p>
    <w:p w:rsidR="00572ECF" w:rsidRDefault="00915AEA">
      <w:pPr>
        <w:spacing w:line="360" w:lineRule="auto"/>
        <w:ind w:firstLineChars="200" w:firstLine="480"/>
        <w:rPr>
          <w:rFonts w:ascii="宋体" w:hAnsi="宋体"/>
          <w:sz w:val="24"/>
        </w:rPr>
      </w:pPr>
      <w:r>
        <w:rPr>
          <w:rFonts w:ascii="宋体" w:hAnsi="宋体" w:hint="eastAsia"/>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572ECF" w:rsidRDefault="00915AEA">
      <w:pPr>
        <w:spacing w:line="360" w:lineRule="auto"/>
        <w:ind w:firstLineChars="200" w:firstLine="480"/>
        <w:rPr>
          <w:rFonts w:ascii="宋体" w:hAnsi="宋体"/>
          <w:sz w:val="24"/>
        </w:rPr>
      </w:pPr>
      <w:r>
        <w:rPr>
          <w:rFonts w:ascii="宋体" w:hAnsi="宋体" w:hint="eastAsia"/>
          <w:sz w:val="24"/>
        </w:rPr>
        <w:t>（2）估值错误的责任方对有关当事人的直接损失负责，不对间接损失负责，并且仅对估值错误的有关直接当事人负责，不对第三方负责。</w:t>
      </w:r>
    </w:p>
    <w:p w:rsidR="00572ECF" w:rsidRDefault="00915AEA">
      <w:pPr>
        <w:spacing w:line="360" w:lineRule="auto"/>
        <w:ind w:firstLineChars="200" w:firstLine="480"/>
        <w:rPr>
          <w:rFonts w:ascii="宋体" w:hAnsi="宋体"/>
          <w:sz w:val="24"/>
        </w:rPr>
      </w:pPr>
      <w:r>
        <w:rPr>
          <w:rFonts w:ascii="宋体" w:hAnsi="宋体" w:hint="eastAsia"/>
          <w:sz w:val="24"/>
        </w:rPr>
        <w:t>（3）因估值错误而获得不当得利的当事人负有及时返还不当得利的义务。但估值错误责任方仍应对估值错误负责。如果由于获得不当得利的当事人</w:t>
      </w:r>
      <w:proofErr w:type="gramStart"/>
      <w:r>
        <w:rPr>
          <w:rFonts w:ascii="宋体" w:hAnsi="宋体" w:hint="eastAsia"/>
          <w:sz w:val="24"/>
        </w:rPr>
        <w:t>不</w:t>
      </w:r>
      <w:proofErr w:type="gramEnd"/>
      <w:r>
        <w:rPr>
          <w:rFonts w:ascii="宋体" w:hAnsi="宋体" w:hint="eastAsia"/>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572ECF" w:rsidRDefault="00915AEA">
      <w:pPr>
        <w:spacing w:line="360" w:lineRule="auto"/>
        <w:ind w:firstLineChars="200" w:firstLine="480"/>
        <w:rPr>
          <w:rFonts w:ascii="宋体" w:hAnsi="宋体"/>
          <w:sz w:val="24"/>
        </w:rPr>
      </w:pPr>
      <w:r>
        <w:rPr>
          <w:rFonts w:ascii="宋体" w:hAnsi="宋体" w:hint="eastAsia"/>
          <w:sz w:val="24"/>
        </w:rPr>
        <w:t>（4）估值错误调整采用尽量恢复至假设未发生估值错误的正确情形的方式。</w:t>
      </w:r>
    </w:p>
    <w:p w:rsidR="00572ECF" w:rsidRDefault="00915AEA">
      <w:pPr>
        <w:spacing w:line="360" w:lineRule="auto"/>
        <w:ind w:firstLineChars="200" w:firstLine="480"/>
        <w:rPr>
          <w:rFonts w:ascii="宋体" w:hAnsi="宋体"/>
          <w:sz w:val="24"/>
        </w:rPr>
      </w:pPr>
      <w:r>
        <w:rPr>
          <w:rFonts w:ascii="宋体" w:hAnsi="宋体" w:hint="eastAsia"/>
          <w:sz w:val="24"/>
        </w:rPr>
        <w:t>3、估值错误处理程序</w:t>
      </w:r>
    </w:p>
    <w:p w:rsidR="00572ECF" w:rsidRDefault="00915AEA">
      <w:pPr>
        <w:spacing w:line="360" w:lineRule="auto"/>
        <w:ind w:firstLineChars="200" w:firstLine="480"/>
        <w:rPr>
          <w:rFonts w:ascii="宋体" w:hAnsi="宋体"/>
          <w:sz w:val="24"/>
        </w:rPr>
      </w:pPr>
      <w:r>
        <w:rPr>
          <w:rFonts w:ascii="宋体" w:hAnsi="宋体" w:hint="eastAsia"/>
          <w:sz w:val="24"/>
        </w:rPr>
        <w:t>估值错误被发现后，有关的当事人应当及时进行处理，处理的程序如下：</w:t>
      </w:r>
    </w:p>
    <w:p w:rsidR="00572ECF" w:rsidRDefault="00915AEA">
      <w:pPr>
        <w:spacing w:line="360" w:lineRule="auto"/>
        <w:ind w:firstLineChars="200" w:firstLine="480"/>
        <w:rPr>
          <w:rFonts w:ascii="宋体" w:hAnsi="宋体"/>
          <w:sz w:val="24"/>
        </w:rPr>
      </w:pPr>
      <w:r>
        <w:rPr>
          <w:rFonts w:ascii="宋体" w:hAnsi="宋体" w:hint="eastAsia"/>
          <w:sz w:val="24"/>
        </w:rPr>
        <w:t>（1）查明估值错误发生的原因，列明所有的当事人，并根据估值错误发生的原因确定估值错误的责任方；</w:t>
      </w:r>
    </w:p>
    <w:p w:rsidR="00572ECF" w:rsidRDefault="00915AEA">
      <w:pPr>
        <w:spacing w:line="360" w:lineRule="auto"/>
        <w:ind w:firstLineChars="200" w:firstLine="480"/>
        <w:rPr>
          <w:rFonts w:ascii="宋体" w:hAnsi="宋体"/>
          <w:sz w:val="24"/>
        </w:rPr>
      </w:pPr>
      <w:r>
        <w:rPr>
          <w:rFonts w:ascii="宋体" w:hAnsi="宋体" w:hint="eastAsia"/>
          <w:sz w:val="24"/>
        </w:rPr>
        <w:t>（2）根据估值错误处理原则或当事人协商的方法对因估值错误造成的损失进行评估；</w:t>
      </w:r>
    </w:p>
    <w:p w:rsidR="00572ECF" w:rsidRDefault="00915AEA">
      <w:pPr>
        <w:spacing w:line="360" w:lineRule="auto"/>
        <w:ind w:firstLineChars="200" w:firstLine="480"/>
        <w:rPr>
          <w:rFonts w:ascii="宋体" w:hAnsi="宋体"/>
          <w:sz w:val="24"/>
        </w:rPr>
      </w:pPr>
      <w:r>
        <w:rPr>
          <w:rFonts w:ascii="宋体" w:hAnsi="宋体" w:hint="eastAsia"/>
          <w:sz w:val="24"/>
        </w:rPr>
        <w:lastRenderedPageBreak/>
        <w:t>（3）根据估值错误处理原则或当事人协商的方法由估值错误的责任方进行更正和赔偿损失；</w:t>
      </w:r>
    </w:p>
    <w:p w:rsidR="00572ECF" w:rsidRDefault="00915AEA">
      <w:pPr>
        <w:spacing w:line="360" w:lineRule="auto"/>
        <w:ind w:firstLineChars="200" w:firstLine="480"/>
        <w:rPr>
          <w:rFonts w:ascii="宋体" w:hAnsi="宋体"/>
          <w:sz w:val="24"/>
        </w:rPr>
      </w:pPr>
      <w:r>
        <w:rPr>
          <w:rFonts w:ascii="宋体" w:hAnsi="宋体" w:hint="eastAsia"/>
          <w:sz w:val="24"/>
        </w:rPr>
        <w:t>（4）根据估值错误处理的方法，需要修改基金登记机构交易数据的，由基金登记机构进行更正，并就估值错误的更正向有关当事人进行确认。</w:t>
      </w:r>
    </w:p>
    <w:p w:rsidR="00572ECF" w:rsidRDefault="00915AEA">
      <w:pPr>
        <w:spacing w:line="360" w:lineRule="auto"/>
        <w:ind w:firstLineChars="200" w:firstLine="480"/>
        <w:rPr>
          <w:rFonts w:ascii="宋体" w:hAnsi="宋体"/>
          <w:sz w:val="24"/>
        </w:rPr>
      </w:pPr>
      <w:r>
        <w:rPr>
          <w:rFonts w:ascii="宋体" w:hAnsi="宋体" w:hint="eastAsia"/>
          <w:sz w:val="24"/>
        </w:rPr>
        <w:t>4、基金份额净值估值错误处理的方法如下：</w:t>
      </w:r>
    </w:p>
    <w:p w:rsidR="00572ECF" w:rsidRDefault="00915AEA">
      <w:pPr>
        <w:spacing w:line="360" w:lineRule="auto"/>
        <w:ind w:firstLineChars="200" w:firstLine="480"/>
        <w:rPr>
          <w:rFonts w:ascii="宋体" w:hAnsi="宋体"/>
          <w:sz w:val="24"/>
        </w:rPr>
      </w:pPr>
      <w:r>
        <w:rPr>
          <w:rFonts w:ascii="宋体" w:hAnsi="宋体" w:hint="eastAsia"/>
          <w:sz w:val="24"/>
        </w:rPr>
        <w:t>（1）基金份额净值计算出现错误时，基金管理人应当立即予以纠正，通报基金托管人，并采取合理的措施防止损失进一步扩大。</w:t>
      </w:r>
    </w:p>
    <w:p w:rsidR="00572ECF" w:rsidRDefault="00915AEA">
      <w:pPr>
        <w:spacing w:line="360" w:lineRule="auto"/>
        <w:ind w:firstLineChars="200" w:firstLine="480"/>
        <w:rPr>
          <w:rFonts w:ascii="宋体" w:hAnsi="宋体"/>
          <w:sz w:val="24"/>
        </w:rPr>
      </w:pPr>
      <w:r>
        <w:rPr>
          <w:rFonts w:ascii="宋体" w:hAnsi="宋体" w:hint="eastAsia"/>
          <w:sz w:val="24"/>
        </w:rPr>
        <w:t>（2）错误偏差达到该类基金份额净值的0.25%时，基金管理人应当通报基金托管人并报中国证监会备案；错误偏差达到该类基金份额净值的0.5%时，基金管理人应当公告。</w:t>
      </w:r>
    </w:p>
    <w:p w:rsidR="00572ECF" w:rsidRDefault="00915AEA">
      <w:pPr>
        <w:spacing w:line="360" w:lineRule="auto"/>
        <w:ind w:firstLineChars="200" w:firstLine="480"/>
        <w:rPr>
          <w:rFonts w:ascii="宋体" w:hAnsi="宋体"/>
          <w:sz w:val="24"/>
        </w:rPr>
      </w:pPr>
      <w:r>
        <w:rPr>
          <w:rFonts w:ascii="宋体" w:hAnsi="宋体" w:hint="eastAsia"/>
          <w:sz w:val="24"/>
        </w:rPr>
        <w:t>（3）前述内容如法律法规或监管机关另有规定的，从其规定处理。</w:t>
      </w:r>
    </w:p>
    <w:p w:rsidR="00572ECF" w:rsidRDefault="00915AEA">
      <w:pPr>
        <w:spacing w:line="360" w:lineRule="auto"/>
        <w:ind w:firstLineChars="200" w:firstLine="480"/>
        <w:rPr>
          <w:rFonts w:ascii="宋体" w:hAnsi="宋体"/>
          <w:sz w:val="24"/>
        </w:rPr>
      </w:pPr>
      <w:r>
        <w:rPr>
          <w:rFonts w:ascii="宋体" w:hAnsi="宋体" w:hint="eastAsia"/>
          <w:sz w:val="24"/>
        </w:rPr>
        <w:t>（四）暂停估值的情形</w:t>
      </w:r>
    </w:p>
    <w:p w:rsidR="00572ECF" w:rsidRDefault="00915AEA">
      <w:pPr>
        <w:spacing w:line="360" w:lineRule="auto"/>
        <w:ind w:firstLineChars="200" w:firstLine="480"/>
        <w:rPr>
          <w:rFonts w:ascii="宋体" w:hAnsi="宋体"/>
          <w:sz w:val="24"/>
        </w:rPr>
      </w:pPr>
      <w:r>
        <w:rPr>
          <w:rFonts w:ascii="宋体" w:hAnsi="宋体" w:hint="eastAsia"/>
          <w:sz w:val="24"/>
        </w:rPr>
        <w:t>1、 基金投资所涉及的证券交易市场遇法定节假日或因其他原因暂停营业时；</w:t>
      </w:r>
    </w:p>
    <w:p w:rsidR="00572ECF" w:rsidRDefault="00915AEA">
      <w:pPr>
        <w:spacing w:line="360" w:lineRule="auto"/>
        <w:ind w:firstLineChars="200" w:firstLine="480"/>
        <w:rPr>
          <w:rFonts w:ascii="宋体" w:hAnsi="宋体"/>
          <w:sz w:val="24"/>
        </w:rPr>
      </w:pPr>
      <w:r>
        <w:rPr>
          <w:rFonts w:ascii="宋体" w:hAnsi="宋体" w:hint="eastAsia"/>
          <w:sz w:val="24"/>
        </w:rPr>
        <w:t>2、 因不可抗力致使基金管理人、基金托管人无法准确评估基金资产价值时；</w:t>
      </w:r>
    </w:p>
    <w:p w:rsidR="00572ECF" w:rsidRDefault="00915AEA">
      <w:pPr>
        <w:spacing w:line="360" w:lineRule="auto"/>
        <w:ind w:firstLineChars="200" w:firstLine="480"/>
        <w:rPr>
          <w:bCs/>
          <w:sz w:val="24"/>
        </w:rPr>
      </w:pPr>
      <w:r>
        <w:rPr>
          <w:bCs/>
          <w:sz w:val="24"/>
        </w:rPr>
        <w:t>3</w:t>
      </w:r>
      <w:r>
        <w:rPr>
          <w:rFonts w:hint="eastAsia"/>
          <w:bCs/>
          <w:sz w:val="24"/>
        </w:rPr>
        <w:t>、当前一估值日基金资产净值</w:t>
      </w:r>
      <w:r>
        <w:rPr>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rsidR="00572ECF" w:rsidRDefault="00915AEA">
      <w:pPr>
        <w:spacing w:line="360" w:lineRule="auto"/>
        <w:ind w:firstLineChars="200" w:firstLine="480"/>
        <w:rPr>
          <w:rFonts w:ascii="宋体" w:hAnsi="宋体"/>
          <w:sz w:val="24"/>
        </w:rPr>
      </w:pPr>
      <w:r>
        <w:rPr>
          <w:rFonts w:ascii="宋体" w:hAnsi="宋体"/>
          <w:sz w:val="24"/>
        </w:rPr>
        <w:t>4</w:t>
      </w:r>
      <w:r>
        <w:rPr>
          <w:rFonts w:ascii="宋体" w:hAnsi="宋体" w:hint="eastAsia"/>
          <w:sz w:val="24"/>
        </w:rPr>
        <w:t>、中国证监会和基金合同认定的其它情形。</w:t>
      </w:r>
    </w:p>
    <w:p w:rsidR="00572ECF" w:rsidRDefault="00915AEA">
      <w:pPr>
        <w:spacing w:line="360" w:lineRule="auto"/>
        <w:ind w:firstLineChars="200" w:firstLine="480"/>
        <w:rPr>
          <w:rFonts w:ascii="宋体" w:hAnsi="宋体"/>
          <w:sz w:val="24"/>
        </w:rPr>
      </w:pPr>
      <w:r>
        <w:rPr>
          <w:rFonts w:ascii="宋体" w:hAnsi="宋体" w:hint="eastAsia"/>
          <w:sz w:val="24"/>
        </w:rPr>
        <w:t>（五）基金会计制度</w:t>
      </w:r>
    </w:p>
    <w:p w:rsidR="00572ECF" w:rsidRDefault="00915AEA">
      <w:pPr>
        <w:spacing w:line="360" w:lineRule="auto"/>
        <w:ind w:firstLineChars="200" w:firstLine="480"/>
        <w:rPr>
          <w:rFonts w:ascii="宋体" w:hAnsi="宋体"/>
          <w:sz w:val="24"/>
        </w:rPr>
      </w:pPr>
      <w:r>
        <w:rPr>
          <w:rFonts w:ascii="宋体" w:hAnsi="宋体" w:hint="eastAsia"/>
          <w:sz w:val="24"/>
        </w:rPr>
        <w:t>按国家有关部门规定的会计制度执行。</w:t>
      </w:r>
    </w:p>
    <w:p w:rsidR="00572ECF" w:rsidRDefault="00915AEA">
      <w:pPr>
        <w:spacing w:line="360" w:lineRule="auto"/>
        <w:ind w:firstLineChars="200" w:firstLine="480"/>
        <w:rPr>
          <w:rFonts w:ascii="宋体" w:hAnsi="宋体"/>
          <w:sz w:val="24"/>
        </w:rPr>
      </w:pPr>
      <w:r>
        <w:rPr>
          <w:rFonts w:ascii="宋体" w:hAnsi="宋体" w:hint="eastAsia"/>
          <w:sz w:val="24"/>
        </w:rPr>
        <w:t>（六）基金账册的建立</w:t>
      </w:r>
    </w:p>
    <w:p w:rsidR="00572ECF" w:rsidRDefault="00915AEA">
      <w:pPr>
        <w:spacing w:line="360" w:lineRule="auto"/>
        <w:ind w:firstLineChars="200" w:firstLine="480"/>
        <w:rPr>
          <w:rFonts w:ascii="宋体" w:hAnsi="宋体"/>
          <w:sz w:val="24"/>
        </w:rPr>
      </w:pPr>
      <w:r>
        <w:rPr>
          <w:rFonts w:ascii="宋体" w:hAnsi="宋体" w:hint="eastAsia"/>
          <w:sz w:val="24"/>
        </w:rPr>
        <w:t>基金管理人进行基金会计核算并编制基金财务会计报告。基金管理人、基金托管人分别独立地设置、记录和保管本基金的全套账册。</w:t>
      </w:r>
      <w:proofErr w:type="gramStart"/>
      <w:r>
        <w:rPr>
          <w:rFonts w:ascii="宋体" w:hAnsi="宋体" w:hint="eastAsia"/>
          <w:sz w:val="24"/>
        </w:rPr>
        <w:t>若基金</w:t>
      </w:r>
      <w:proofErr w:type="gramEnd"/>
      <w:r>
        <w:rPr>
          <w:rFonts w:ascii="宋体" w:hAnsi="宋体" w:hint="eastAsia"/>
          <w:sz w:val="24"/>
        </w:rPr>
        <w:t>管理人和基金托管人对会计处理方法存在分歧，应以基金管理人的处理方法为准。若当日核对不符，暂时无法查找到错账的原因而影响到基金资产净值的计算和公告的，以基金管理人的账册为准。</w:t>
      </w:r>
    </w:p>
    <w:p w:rsidR="00572ECF" w:rsidRDefault="00915AEA">
      <w:pPr>
        <w:spacing w:line="360" w:lineRule="auto"/>
        <w:ind w:firstLineChars="200" w:firstLine="480"/>
        <w:rPr>
          <w:rFonts w:ascii="宋体" w:hAnsi="宋体"/>
          <w:sz w:val="24"/>
        </w:rPr>
      </w:pPr>
      <w:r>
        <w:rPr>
          <w:rFonts w:ascii="宋体" w:hAnsi="宋体" w:hint="eastAsia"/>
          <w:sz w:val="24"/>
        </w:rPr>
        <w:t>（七）基金财务报表与报告的编制和复核</w:t>
      </w:r>
    </w:p>
    <w:p w:rsidR="00572ECF" w:rsidRDefault="00915AEA">
      <w:pPr>
        <w:spacing w:line="360" w:lineRule="auto"/>
        <w:ind w:firstLineChars="200" w:firstLine="480"/>
        <w:rPr>
          <w:rFonts w:ascii="宋体" w:hAnsi="宋体"/>
          <w:sz w:val="24"/>
        </w:rPr>
      </w:pPr>
      <w:r>
        <w:rPr>
          <w:rFonts w:ascii="宋体" w:hAnsi="宋体" w:hint="eastAsia"/>
          <w:sz w:val="24"/>
        </w:rPr>
        <w:t>1、财务报表的编制</w:t>
      </w:r>
    </w:p>
    <w:p w:rsidR="00572ECF" w:rsidRDefault="00915AEA">
      <w:pPr>
        <w:spacing w:line="360" w:lineRule="auto"/>
        <w:ind w:firstLineChars="200" w:firstLine="480"/>
        <w:rPr>
          <w:rFonts w:ascii="宋体" w:hAnsi="宋体"/>
          <w:sz w:val="24"/>
        </w:rPr>
      </w:pPr>
      <w:r>
        <w:rPr>
          <w:rFonts w:ascii="宋体" w:hAnsi="宋体" w:hint="eastAsia"/>
          <w:sz w:val="24"/>
        </w:rPr>
        <w:t>基金财务报表由基金管理人编制，基金托管人复核。</w:t>
      </w:r>
    </w:p>
    <w:p w:rsidR="00572ECF" w:rsidRDefault="00915AEA">
      <w:pPr>
        <w:spacing w:line="360" w:lineRule="auto"/>
        <w:ind w:firstLineChars="200" w:firstLine="480"/>
        <w:rPr>
          <w:rFonts w:ascii="宋体" w:hAnsi="宋体"/>
          <w:sz w:val="24"/>
        </w:rPr>
      </w:pPr>
      <w:r>
        <w:rPr>
          <w:rFonts w:ascii="宋体" w:hAnsi="宋体" w:hint="eastAsia"/>
          <w:sz w:val="24"/>
        </w:rPr>
        <w:lastRenderedPageBreak/>
        <w:t>2、报表复核</w:t>
      </w:r>
    </w:p>
    <w:p w:rsidR="00572ECF" w:rsidRDefault="00915AEA">
      <w:pPr>
        <w:spacing w:line="360" w:lineRule="auto"/>
        <w:ind w:firstLineChars="200" w:firstLine="480"/>
        <w:rPr>
          <w:rFonts w:ascii="宋体" w:hAnsi="宋体"/>
          <w:sz w:val="24"/>
        </w:rPr>
      </w:pPr>
      <w:r>
        <w:rPr>
          <w:rFonts w:ascii="宋体" w:hAnsi="宋体" w:hint="eastAsia"/>
          <w:sz w:val="24"/>
        </w:rPr>
        <w:t>基金托管人在收到基金管理人编制的基金财务报表后，进行独立的复核。核对不符时，应及时通知基金管理人共同查出原因，进行调整，直至双方数据完全一致。</w:t>
      </w:r>
    </w:p>
    <w:p w:rsidR="00572ECF" w:rsidRDefault="00915AEA">
      <w:pPr>
        <w:spacing w:line="360" w:lineRule="auto"/>
        <w:ind w:firstLineChars="200" w:firstLine="480"/>
        <w:rPr>
          <w:rFonts w:ascii="宋体" w:hAnsi="宋体"/>
          <w:sz w:val="24"/>
        </w:rPr>
      </w:pPr>
      <w:r>
        <w:rPr>
          <w:rFonts w:ascii="宋体" w:hAnsi="宋体" w:hint="eastAsia"/>
          <w:sz w:val="24"/>
        </w:rPr>
        <w:t>3、财务报表的编制与复核时间安排</w:t>
      </w:r>
    </w:p>
    <w:p w:rsidR="00572ECF" w:rsidRDefault="00915AEA">
      <w:pPr>
        <w:spacing w:line="360" w:lineRule="auto"/>
        <w:ind w:firstLineChars="200" w:firstLine="480"/>
        <w:rPr>
          <w:rFonts w:ascii="宋体" w:hAnsi="宋体"/>
          <w:sz w:val="24"/>
        </w:rPr>
      </w:pPr>
      <w:r>
        <w:rPr>
          <w:rFonts w:ascii="宋体" w:hAnsi="宋体" w:hint="eastAsia"/>
          <w:sz w:val="24"/>
        </w:rPr>
        <w:t>(1)报表的编制</w:t>
      </w:r>
    </w:p>
    <w:p w:rsidR="00572ECF" w:rsidRDefault="00915AEA">
      <w:pPr>
        <w:spacing w:line="360" w:lineRule="auto"/>
        <w:ind w:firstLineChars="200" w:firstLine="480"/>
        <w:rPr>
          <w:rFonts w:ascii="宋体" w:hAnsi="宋体"/>
          <w:sz w:val="24"/>
        </w:rPr>
      </w:pPr>
      <w:r>
        <w:rPr>
          <w:rFonts w:ascii="宋体" w:hAnsi="宋体" w:hint="eastAsia"/>
          <w:sz w:val="24"/>
        </w:rPr>
        <w:t>基金管理人应当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rsidR="00572ECF" w:rsidRDefault="00915AEA">
      <w:pPr>
        <w:spacing w:line="360" w:lineRule="auto"/>
        <w:ind w:firstLineChars="200" w:firstLine="480"/>
        <w:rPr>
          <w:rFonts w:ascii="宋体" w:hAnsi="宋体"/>
          <w:sz w:val="24"/>
        </w:rPr>
      </w:pPr>
      <w:r>
        <w:rPr>
          <w:rFonts w:ascii="宋体" w:hAnsi="宋体" w:hint="eastAsia"/>
          <w:sz w:val="24"/>
        </w:rPr>
        <w:t>(2)报表的复核</w:t>
      </w:r>
    </w:p>
    <w:p w:rsidR="00572ECF" w:rsidRDefault="00915AEA">
      <w:pPr>
        <w:spacing w:line="360" w:lineRule="auto"/>
        <w:ind w:firstLineChars="200" w:firstLine="480"/>
        <w:rPr>
          <w:rFonts w:ascii="宋体" w:hAnsi="宋体"/>
          <w:sz w:val="24"/>
        </w:rPr>
      </w:pPr>
      <w:r>
        <w:rPr>
          <w:rFonts w:ascii="宋体" w:hAnsi="宋体" w:hint="eastAsia"/>
          <w:sz w:val="24"/>
        </w:rPr>
        <w:t>基金管理人在季度报告完成当日，将有关报告提供给基金托管人复核，基金托管人应在收到后7个工作日内完成复核，并将复核结果书面通知基金管理人。基金管理人在半年度报告完成当日，将有关报告提供给基金托管人复核，基金托管人应在收到后30日内完成复核，并将复核结果书面通知基金管理人。基金管理人在年度报告完成当日，将有关报告提供基金托管人复核，基金托管人应在收到后45日内完成复核，并将复核结果书面通知基金管理人。基金管理人和基金托管人之间的上述文件往来均以加密传真的方式或双方商定的其他方式进行。</w:t>
      </w:r>
    </w:p>
    <w:p w:rsidR="00572ECF" w:rsidRDefault="00915AEA">
      <w:pPr>
        <w:spacing w:line="360" w:lineRule="auto"/>
        <w:ind w:firstLineChars="200" w:firstLine="480"/>
        <w:rPr>
          <w:rFonts w:ascii="宋体" w:hAnsi="宋体"/>
          <w:sz w:val="24"/>
        </w:rPr>
      </w:pPr>
      <w:r>
        <w:rPr>
          <w:rFonts w:ascii="宋体" w:hAnsi="宋体" w:hint="eastAsia"/>
          <w:sz w:val="24"/>
        </w:rPr>
        <w:t>基金托管人在复核过程中，发现双方的报表存在不符时，基金管理人和基金托管人应共同查明原因，进行调整，调整以国家有关规定为准；若双方无法达成一致，以基金管理人的账务处理为准。如果基金管理人与基金托管人不能</w:t>
      </w:r>
      <w:proofErr w:type="gramStart"/>
      <w:r>
        <w:rPr>
          <w:rFonts w:ascii="宋体" w:hAnsi="宋体" w:hint="eastAsia"/>
          <w:sz w:val="24"/>
        </w:rPr>
        <w:t>于应当</w:t>
      </w:r>
      <w:proofErr w:type="gramEnd"/>
      <w:r>
        <w:rPr>
          <w:rFonts w:ascii="宋体" w:hAnsi="宋体" w:hint="eastAsia"/>
          <w:sz w:val="24"/>
        </w:rPr>
        <w:t>发布公告之日之前就相关报表达成一致，基金管理人有权按照其编制的报表对外发布公告。</w:t>
      </w:r>
    </w:p>
    <w:p w:rsidR="00572ECF" w:rsidRDefault="00915AEA">
      <w:pPr>
        <w:spacing w:line="360" w:lineRule="auto"/>
        <w:rPr>
          <w:rFonts w:ascii="宋体" w:hAnsi="宋体"/>
          <w:sz w:val="24"/>
        </w:rPr>
      </w:pPr>
      <w:r>
        <w:rPr>
          <w:rFonts w:ascii="宋体" w:hAnsi="宋体" w:hint="eastAsia"/>
          <w:sz w:val="24"/>
        </w:rPr>
        <w:t xml:space="preserve">   （八）基金管理人应在编制季度报告、半年度报告或者年度报告之前及时向基金托管人提供基金业绩比较基准的基础数据和编制结果。</w:t>
      </w:r>
    </w:p>
    <w:p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bookmarkStart w:id="179" w:name="_Hlt47837242"/>
      <w:bookmarkEnd w:id="179"/>
      <w:r>
        <w:rPr>
          <w:rFonts w:asciiTheme="minorEastAsia" w:eastAsiaTheme="minorEastAsia" w:hAnsiTheme="minorEastAsia" w:cs="Arial" w:hint="eastAsia"/>
          <w:b/>
          <w:sz w:val="24"/>
          <w:szCs w:val="24"/>
        </w:rPr>
        <w:t>六、基金份额持有人名册的保管</w:t>
      </w:r>
    </w:p>
    <w:p w:rsidR="00572ECF" w:rsidRDefault="00915AEA">
      <w:pPr>
        <w:spacing w:line="360" w:lineRule="auto"/>
        <w:ind w:firstLineChars="200" w:firstLine="480"/>
        <w:rPr>
          <w:rFonts w:ascii="宋体" w:hAnsi="宋体"/>
          <w:sz w:val="24"/>
        </w:rPr>
      </w:pPr>
      <w:r>
        <w:rPr>
          <w:rFonts w:ascii="宋体" w:hAnsi="宋体" w:hint="eastAsia"/>
          <w:sz w:val="24"/>
        </w:rPr>
        <w:t>本基金的基金管理人和基金托管人须分别妥善保管基金份额持有人名册，包括基金合同生效日、基金合同终止日、基金权益登记日、基金份额持有人大会权益登记日、每年6月30 日、12 月 31 日的基金份额持有人名册。基金份额持</w:t>
      </w:r>
      <w:r>
        <w:rPr>
          <w:rFonts w:ascii="宋体" w:hAnsi="宋体" w:hint="eastAsia"/>
          <w:sz w:val="24"/>
        </w:rPr>
        <w:lastRenderedPageBreak/>
        <w:t>有人名册至少应包括基金份额持有人的名称和持有的基金份额。基金份额持有人名册由基金登记机构编制和保管，保存期不少于20年。基金管理人和基金托管人应分别保管基金份额持有人名册，保存期不少于15年。如不能妥善保管，则按相关法规承担责任。</w:t>
      </w:r>
    </w:p>
    <w:p w:rsidR="00572ECF" w:rsidRDefault="00915AEA">
      <w:pPr>
        <w:spacing w:line="360" w:lineRule="auto"/>
        <w:ind w:firstLineChars="200" w:firstLine="480"/>
        <w:rPr>
          <w:rFonts w:ascii="宋体" w:hAnsi="宋体"/>
          <w:sz w:val="24"/>
        </w:rPr>
      </w:pPr>
      <w:r>
        <w:rPr>
          <w:rFonts w:ascii="宋体" w:hAnsi="宋体" w:hint="eastAsia"/>
          <w:sz w:val="24"/>
        </w:rPr>
        <w:t>基金托管人有权要求基金管理人提供任意一个交易日或全部交易日的基金份额持有人名册，基金管理人应及时提供，不得无故拒绝或延误提供，并保证其真实性、准确性和完整性。每年6月30日和12月31日的基金份额持有人名册应于下月前十个工作日内提交；基金合同生效日、基金合同终止日等涉及到基金重要事项日期的基金份额持有人名册应于发生日后十个工作日内提交。</w:t>
      </w:r>
    </w:p>
    <w:p w:rsidR="00572ECF" w:rsidRDefault="00915AEA">
      <w:pPr>
        <w:adjustRightInd w:val="0"/>
        <w:snapToGrid w:val="0"/>
        <w:spacing w:line="360" w:lineRule="auto"/>
        <w:rPr>
          <w:rFonts w:asciiTheme="minorEastAsia" w:eastAsiaTheme="minorEastAsia" w:hAnsiTheme="minorEastAsia" w:cs="Arial"/>
          <w:kern w:val="0"/>
          <w:sz w:val="24"/>
          <w:szCs w:val="24"/>
        </w:rPr>
      </w:pPr>
      <w:r>
        <w:rPr>
          <w:rFonts w:ascii="宋体" w:hAnsi="宋体" w:hint="eastAsia"/>
          <w:sz w:val="24"/>
        </w:rPr>
        <w:t>基金托管人不得将所保管的基金份额持有人名册用于基金托管业务以外的其他用途，并应遵守保密义务。</w:t>
      </w:r>
    </w:p>
    <w:p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七、争议解决方式</w:t>
      </w:r>
    </w:p>
    <w:p w:rsidR="00572ECF" w:rsidRDefault="00915AEA">
      <w:pPr>
        <w:spacing w:line="360" w:lineRule="auto"/>
        <w:ind w:firstLineChars="200" w:firstLine="480"/>
        <w:rPr>
          <w:rFonts w:ascii="宋体" w:hAnsi="宋体"/>
          <w:sz w:val="24"/>
        </w:rPr>
      </w:pPr>
      <w:r>
        <w:rPr>
          <w:rFonts w:ascii="宋体" w:hAnsi="宋体" w:hint="eastAsia"/>
          <w:sz w:val="24"/>
        </w:rPr>
        <w:t>双方当事人同意，因托管协议而产生的或与托管协议有关的一切争议，如经友好协商未能解决的，应提交华南国际经济贸易仲裁委员会根据该会当时有效的仲裁规则进行仲裁，仲裁地点为深圳市，仲裁裁决是终局性的并对双方当事人具有约束力，仲裁费由败诉方承担。</w:t>
      </w:r>
    </w:p>
    <w:p w:rsidR="00572ECF" w:rsidRDefault="00915AEA">
      <w:pPr>
        <w:spacing w:line="360" w:lineRule="auto"/>
        <w:ind w:firstLineChars="200" w:firstLine="480"/>
        <w:rPr>
          <w:rFonts w:ascii="宋体" w:hAnsi="宋体"/>
          <w:sz w:val="24"/>
        </w:rPr>
      </w:pPr>
      <w:r>
        <w:rPr>
          <w:rFonts w:ascii="宋体" w:hAnsi="宋体" w:hint="eastAsia"/>
          <w:sz w:val="24"/>
        </w:rPr>
        <w:t>争议处理期间，基金管理人和基金托管人应恪守各自的职责，继续忠实、勤勉、尽责地履行基金合同和托管协议规定的义务，维护基金份额持有人的合法权益。</w:t>
      </w:r>
    </w:p>
    <w:p w:rsidR="00572ECF" w:rsidRDefault="00915AEA">
      <w:pPr>
        <w:spacing w:line="360" w:lineRule="auto"/>
        <w:ind w:firstLineChars="200" w:firstLine="480"/>
        <w:rPr>
          <w:rFonts w:ascii="宋体" w:hAnsi="宋体"/>
          <w:sz w:val="24"/>
        </w:rPr>
      </w:pPr>
      <w:r>
        <w:rPr>
          <w:rFonts w:ascii="宋体" w:hAnsi="宋体" w:hint="eastAsia"/>
          <w:sz w:val="24"/>
        </w:rPr>
        <w:t>托管协议（为本协议之目的，在此不包括香港、澳门特别行政区和台湾地区法律）受中国法律管辖。</w:t>
      </w:r>
    </w:p>
    <w:p w:rsidR="00572ECF" w:rsidRDefault="00915AEA">
      <w:pPr>
        <w:adjustRightInd w:val="0"/>
        <w:snapToGrid w:val="0"/>
        <w:spacing w:line="360" w:lineRule="auto"/>
        <w:ind w:firstLineChars="200" w:firstLine="482"/>
        <w:rPr>
          <w:rFonts w:asciiTheme="minorEastAsia" w:eastAsiaTheme="minorEastAsia" w:hAnsiTheme="minorEastAsia" w:cs="Arial"/>
          <w:b/>
          <w:sz w:val="24"/>
          <w:szCs w:val="24"/>
        </w:rPr>
      </w:pPr>
      <w:r>
        <w:rPr>
          <w:rFonts w:asciiTheme="minorEastAsia" w:eastAsiaTheme="minorEastAsia" w:hAnsiTheme="minorEastAsia" w:cs="Arial" w:hint="eastAsia"/>
          <w:b/>
          <w:sz w:val="24"/>
          <w:szCs w:val="24"/>
        </w:rPr>
        <w:t>八、基金托管协议的变更、终止与基金财产的清算</w:t>
      </w:r>
    </w:p>
    <w:p w:rsidR="00572ECF" w:rsidRDefault="00915AEA">
      <w:pPr>
        <w:spacing w:line="360" w:lineRule="auto"/>
        <w:ind w:firstLineChars="200" w:firstLine="480"/>
        <w:rPr>
          <w:rFonts w:ascii="宋体" w:hAnsi="宋体"/>
          <w:sz w:val="24"/>
        </w:rPr>
      </w:pPr>
      <w:bookmarkStart w:id="180" w:name="_Toc510842757"/>
      <w:r>
        <w:rPr>
          <w:rFonts w:ascii="宋体" w:hAnsi="宋体" w:hint="eastAsia"/>
          <w:sz w:val="24"/>
        </w:rPr>
        <w:t>（一）托管协议的变更程序</w:t>
      </w:r>
    </w:p>
    <w:p w:rsidR="00572ECF" w:rsidRDefault="00915AEA">
      <w:pPr>
        <w:spacing w:line="360" w:lineRule="auto"/>
        <w:ind w:firstLineChars="200" w:firstLine="480"/>
        <w:rPr>
          <w:rFonts w:ascii="宋体" w:hAnsi="宋体"/>
          <w:sz w:val="24"/>
        </w:rPr>
      </w:pPr>
      <w:r>
        <w:rPr>
          <w:rFonts w:ascii="宋体" w:hAnsi="宋体" w:hint="eastAsia"/>
          <w:sz w:val="24"/>
        </w:rPr>
        <w:t>本协议双方当事人经协商一致，可以对协议进行修改。修改后的新协议，其内容不得与《基金合同》的规定有任何冲突。基金托管协议的变更报中国证监会备案。</w:t>
      </w:r>
    </w:p>
    <w:p w:rsidR="00572ECF" w:rsidRDefault="00915AEA">
      <w:pPr>
        <w:spacing w:line="360" w:lineRule="auto"/>
        <w:ind w:firstLineChars="200" w:firstLine="480"/>
        <w:rPr>
          <w:rFonts w:ascii="宋体" w:hAnsi="宋体"/>
          <w:sz w:val="24"/>
        </w:rPr>
      </w:pPr>
      <w:r>
        <w:rPr>
          <w:rFonts w:ascii="宋体" w:hAnsi="宋体" w:hint="eastAsia"/>
          <w:sz w:val="24"/>
        </w:rPr>
        <w:t>（二）基金托管协议终止出现的情形</w:t>
      </w:r>
    </w:p>
    <w:p w:rsidR="00572ECF" w:rsidRDefault="00915AEA">
      <w:pPr>
        <w:spacing w:line="360" w:lineRule="auto"/>
        <w:ind w:firstLineChars="200" w:firstLine="480"/>
        <w:rPr>
          <w:rFonts w:ascii="宋体" w:hAnsi="宋体"/>
          <w:sz w:val="24"/>
        </w:rPr>
      </w:pPr>
      <w:r>
        <w:rPr>
          <w:rFonts w:ascii="宋体" w:hAnsi="宋体" w:hint="eastAsia"/>
          <w:sz w:val="24"/>
        </w:rPr>
        <w:t>1、 《基金合同》终止；</w:t>
      </w:r>
    </w:p>
    <w:p w:rsidR="00572ECF" w:rsidRDefault="00915AEA">
      <w:pPr>
        <w:spacing w:line="360" w:lineRule="auto"/>
        <w:ind w:firstLineChars="200" w:firstLine="480"/>
        <w:rPr>
          <w:rFonts w:ascii="宋体" w:hAnsi="宋体"/>
          <w:sz w:val="24"/>
        </w:rPr>
      </w:pPr>
      <w:r>
        <w:rPr>
          <w:rFonts w:ascii="宋体" w:hAnsi="宋体" w:hint="eastAsia"/>
          <w:sz w:val="24"/>
        </w:rPr>
        <w:t>2、 基金托管人解散、依法被撤销、破产或由其他基金托管人接管基金资产；</w:t>
      </w:r>
    </w:p>
    <w:p w:rsidR="00572ECF" w:rsidRDefault="00915AEA">
      <w:pPr>
        <w:spacing w:line="360" w:lineRule="auto"/>
        <w:ind w:firstLineChars="200" w:firstLine="480"/>
        <w:rPr>
          <w:rFonts w:ascii="宋体" w:hAnsi="宋体"/>
          <w:sz w:val="24"/>
        </w:rPr>
      </w:pPr>
      <w:r>
        <w:rPr>
          <w:rFonts w:ascii="宋体" w:hAnsi="宋体" w:hint="eastAsia"/>
          <w:sz w:val="24"/>
        </w:rPr>
        <w:t>3、基金管理人解散、依法被撤销、破产或由其他基金管理人接管基金管理</w:t>
      </w:r>
      <w:r>
        <w:rPr>
          <w:rFonts w:ascii="宋体" w:hAnsi="宋体" w:hint="eastAsia"/>
          <w:sz w:val="24"/>
        </w:rPr>
        <w:lastRenderedPageBreak/>
        <w:t>权；</w:t>
      </w:r>
    </w:p>
    <w:p w:rsidR="00572ECF" w:rsidRDefault="00915AEA">
      <w:pPr>
        <w:spacing w:line="360" w:lineRule="auto"/>
        <w:ind w:firstLineChars="200" w:firstLine="480"/>
        <w:rPr>
          <w:rFonts w:ascii="宋体" w:hAnsi="宋体"/>
          <w:sz w:val="24"/>
        </w:rPr>
      </w:pPr>
      <w:r>
        <w:rPr>
          <w:rFonts w:ascii="宋体" w:hAnsi="宋体" w:hint="eastAsia"/>
          <w:sz w:val="24"/>
        </w:rPr>
        <w:t>4、发生法律法规或《基金合同》规定的终止事项。</w:t>
      </w:r>
    </w:p>
    <w:p w:rsidR="00572ECF" w:rsidRDefault="00915AEA">
      <w:pPr>
        <w:spacing w:line="360" w:lineRule="auto"/>
        <w:ind w:firstLineChars="200" w:firstLine="480"/>
        <w:rPr>
          <w:rFonts w:ascii="宋体" w:hAnsi="宋体"/>
          <w:sz w:val="24"/>
        </w:rPr>
      </w:pPr>
      <w:r>
        <w:rPr>
          <w:rFonts w:ascii="宋体" w:hAnsi="宋体" w:hint="eastAsia"/>
          <w:sz w:val="24"/>
        </w:rPr>
        <w:t>（三）基金财产的清算</w:t>
      </w:r>
    </w:p>
    <w:p w:rsidR="00572ECF" w:rsidRDefault="00915AEA">
      <w:pPr>
        <w:spacing w:line="360" w:lineRule="auto"/>
        <w:ind w:firstLineChars="200" w:firstLine="480"/>
        <w:rPr>
          <w:rFonts w:ascii="宋体" w:hAnsi="宋体"/>
          <w:sz w:val="24"/>
        </w:rPr>
      </w:pPr>
      <w:r>
        <w:rPr>
          <w:rFonts w:ascii="宋体" w:hAnsi="宋体" w:hint="eastAsia"/>
          <w:sz w:val="24"/>
        </w:rPr>
        <w:t>1、基金财产清算小组：自出现《基金合同》终止事由之日起30个工作日内成立清算小组，基金管理人组织基金财产清算小组并在中国证监会的监督下进行基金清算。</w:t>
      </w:r>
    </w:p>
    <w:p w:rsidR="00572ECF" w:rsidRDefault="00915AEA">
      <w:pPr>
        <w:spacing w:line="360" w:lineRule="auto"/>
        <w:ind w:firstLineChars="200" w:firstLine="480"/>
        <w:rPr>
          <w:rFonts w:ascii="宋体" w:hAnsi="宋体"/>
          <w:sz w:val="24"/>
        </w:rPr>
      </w:pPr>
      <w:r>
        <w:rPr>
          <w:rFonts w:ascii="宋体" w:hAnsi="宋体" w:hint="eastAsia"/>
          <w:sz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572ECF" w:rsidRDefault="00915AEA">
      <w:pPr>
        <w:spacing w:line="360" w:lineRule="auto"/>
        <w:ind w:firstLineChars="200" w:firstLine="480"/>
        <w:rPr>
          <w:rFonts w:ascii="宋体" w:hAnsi="宋体"/>
          <w:sz w:val="24"/>
        </w:rPr>
      </w:pPr>
      <w:r>
        <w:rPr>
          <w:rFonts w:ascii="宋体" w:hAnsi="宋体" w:hint="eastAsia"/>
          <w:sz w:val="24"/>
        </w:rPr>
        <w:t>3、 基金财产清算小组职责：基金财产清算小组负责基金财产的保管、清理、估价、变现和分配。基金财产清算小组可以依法进行必要的民事活动。</w:t>
      </w:r>
    </w:p>
    <w:p w:rsidR="00572ECF" w:rsidRDefault="00915AEA">
      <w:pPr>
        <w:spacing w:line="360" w:lineRule="auto"/>
        <w:ind w:firstLineChars="200" w:firstLine="480"/>
        <w:rPr>
          <w:rFonts w:ascii="宋体" w:hAnsi="宋体"/>
          <w:sz w:val="24"/>
        </w:rPr>
      </w:pPr>
      <w:r>
        <w:rPr>
          <w:rFonts w:ascii="宋体" w:hAnsi="宋体" w:hint="eastAsia"/>
          <w:sz w:val="24"/>
        </w:rPr>
        <w:t>4、基金财产清算程序：</w:t>
      </w:r>
    </w:p>
    <w:p w:rsidR="00572ECF" w:rsidRDefault="00915AEA">
      <w:pPr>
        <w:spacing w:line="360" w:lineRule="auto"/>
        <w:ind w:firstLineChars="200" w:firstLine="480"/>
        <w:rPr>
          <w:rFonts w:ascii="宋体" w:hAnsi="宋体"/>
          <w:sz w:val="24"/>
        </w:rPr>
      </w:pPr>
      <w:r>
        <w:rPr>
          <w:rFonts w:ascii="宋体" w:hAnsi="宋体" w:hint="eastAsia"/>
          <w:sz w:val="24"/>
        </w:rPr>
        <w:t>(1)《基金合同》终止情形出现时，由基金财产清算小组统一接管基金；</w:t>
      </w:r>
    </w:p>
    <w:p w:rsidR="00572ECF" w:rsidRDefault="00915AEA">
      <w:pPr>
        <w:spacing w:line="360" w:lineRule="auto"/>
        <w:ind w:firstLineChars="200" w:firstLine="480"/>
        <w:rPr>
          <w:rFonts w:ascii="宋体" w:hAnsi="宋体"/>
          <w:sz w:val="24"/>
        </w:rPr>
      </w:pPr>
      <w:r>
        <w:rPr>
          <w:rFonts w:ascii="宋体" w:hAnsi="宋体" w:hint="eastAsia"/>
          <w:sz w:val="24"/>
        </w:rPr>
        <w:t>(2)对基金财产和债权债务进行清理和确认；</w:t>
      </w:r>
    </w:p>
    <w:p w:rsidR="00572ECF" w:rsidRDefault="00915AEA">
      <w:pPr>
        <w:spacing w:line="360" w:lineRule="auto"/>
        <w:ind w:firstLineChars="200" w:firstLine="480"/>
        <w:rPr>
          <w:rFonts w:ascii="宋体" w:hAnsi="宋体"/>
          <w:sz w:val="24"/>
        </w:rPr>
      </w:pPr>
      <w:r>
        <w:rPr>
          <w:rFonts w:ascii="宋体" w:hAnsi="宋体" w:hint="eastAsia"/>
          <w:sz w:val="24"/>
        </w:rPr>
        <w:t>(3)对基金财产进行估值和变现；</w:t>
      </w:r>
    </w:p>
    <w:p w:rsidR="00572ECF" w:rsidRDefault="00915AEA">
      <w:pPr>
        <w:spacing w:line="360" w:lineRule="auto"/>
        <w:ind w:firstLineChars="200" w:firstLine="480"/>
        <w:rPr>
          <w:rFonts w:ascii="宋体" w:hAnsi="宋体"/>
          <w:sz w:val="24"/>
        </w:rPr>
      </w:pPr>
      <w:r>
        <w:rPr>
          <w:rFonts w:ascii="宋体" w:hAnsi="宋体" w:hint="eastAsia"/>
          <w:sz w:val="24"/>
        </w:rPr>
        <w:t>(4)制作清算报告；</w:t>
      </w:r>
    </w:p>
    <w:p w:rsidR="00572ECF" w:rsidRDefault="00915AEA">
      <w:pPr>
        <w:spacing w:line="360" w:lineRule="auto"/>
        <w:ind w:firstLineChars="200" w:firstLine="480"/>
        <w:rPr>
          <w:rFonts w:ascii="宋体" w:hAnsi="宋体"/>
          <w:sz w:val="24"/>
        </w:rPr>
      </w:pPr>
      <w:r>
        <w:rPr>
          <w:rFonts w:ascii="宋体" w:hAnsi="宋体" w:hint="eastAsia"/>
          <w:sz w:val="24"/>
        </w:rPr>
        <w:t>(5)</w:t>
      </w:r>
      <w:r>
        <w:rPr>
          <w:rFonts w:ascii="宋体" w:hAnsi="宋体"/>
          <w:sz w:val="24"/>
        </w:rPr>
        <w:t>聘请会计师事务所对清算报告进行</w:t>
      </w:r>
      <w:r>
        <w:rPr>
          <w:rFonts w:ascii="宋体" w:hAnsi="宋体" w:hint="eastAsia"/>
          <w:sz w:val="24"/>
        </w:rPr>
        <w:t>外部</w:t>
      </w:r>
      <w:r>
        <w:rPr>
          <w:rFonts w:ascii="宋体" w:hAnsi="宋体"/>
          <w:sz w:val="24"/>
        </w:rPr>
        <w:t>审计</w:t>
      </w:r>
      <w:r>
        <w:rPr>
          <w:rFonts w:ascii="宋体" w:hAnsi="宋体" w:hint="eastAsia"/>
          <w:sz w:val="24"/>
        </w:rPr>
        <w:t>，</w:t>
      </w:r>
      <w:r>
        <w:rPr>
          <w:rFonts w:ascii="宋体" w:hAnsi="宋体"/>
          <w:sz w:val="24"/>
        </w:rPr>
        <w:t>聘请律师事务所</w:t>
      </w:r>
      <w:r>
        <w:rPr>
          <w:rFonts w:ascii="宋体" w:hAnsi="宋体" w:hint="eastAsia"/>
          <w:sz w:val="24"/>
        </w:rPr>
        <w:t>对清算报告</w:t>
      </w:r>
      <w:r>
        <w:rPr>
          <w:rFonts w:ascii="宋体" w:hAnsi="宋体"/>
          <w:sz w:val="24"/>
        </w:rPr>
        <w:t>出具法律意见书</w:t>
      </w:r>
      <w:r>
        <w:rPr>
          <w:rFonts w:ascii="宋体" w:hAnsi="宋体" w:hint="eastAsia"/>
          <w:sz w:val="24"/>
        </w:rPr>
        <w:t>；</w:t>
      </w:r>
    </w:p>
    <w:p w:rsidR="00572ECF" w:rsidRDefault="00915AEA">
      <w:pPr>
        <w:spacing w:line="360" w:lineRule="auto"/>
        <w:ind w:firstLineChars="200" w:firstLine="480"/>
        <w:rPr>
          <w:rFonts w:ascii="宋体" w:hAnsi="宋体"/>
          <w:sz w:val="24"/>
        </w:rPr>
      </w:pPr>
      <w:r>
        <w:rPr>
          <w:rFonts w:ascii="宋体" w:hAnsi="宋体" w:hint="eastAsia"/>
          <w:sz w:val="24"/>
        </w:rPr>
        <w:t>(6)将清算结果报中国证监会备案确认并公告；</w:t>
      </w:r>
    </w:p>
    <w:p w:rsidR="00572ECF" w:rsidRDefault="00915AEA">
      <w:pPr>
        <w:spacing w:line="360" w:lineRule="auto"/>
        <w:ind w:firstLineChars="200" w:firstLine="480"/>
        <w:rPr>
          <w:rFonts w:ascii="宋体" w:hAnsi="宋体"/>
          <w:sz w:val="24"/>
        </w:rPr>
      </w:pPr>
      <w:r>
        <w:rPr>
          <w:rFonts w:ascii="宋体" w:hAnsi="宋体" w:hint="eastAsia"/>
          <w:sz w:val="24"/>
        </w:rPr>
        <w:t>(7)对基金剩余财产进行分配。</w:t>
      </w:r>
    </w:p>
    <w:p w:rsidR="00572ECF" w:rsidRDefault="00915AEA">
      <w:pPr>
        <w:spacing w:line="360" w:lineRule="auto"/>
        <w:ind w:firstLineChars="200" w:firstLine="480"/>
        <w:rPr>
          <w:rFonts w:ascii="宋体" w:hAnsi="宋体"/>
          <w:sz w:val="24"/>
        </w:rPr>
      </w:pPr>
      <w:r>
        <w:rPr>
          <w:rFonts w:ascii="宋体" w:hAnsi="宋体" w:hint="eastAsia"/>
          <w:sz w:val="24"/>
        </w:rPr>
        <w:t>5、基金财产清算的期限为6个月，</w:t>
      </w:r>
      <w:r>
        <w:rPr>
          <w:rFonts w:ascii="宋体" w:hAnsi="宋体" w:hint="eastAsia"/>
          <w:bCs/>
          <w:sz w:val="24"/>
        </w:rPr>
        <w:t>但因本基金所持证券的流动性受到限制而不能及时变现的，清算期限相应顺延</w:t>
      </w:r>
      <w:r>
        <w:rPr>
          <w:rFonts w:ascii="宋体" w:hAnsi="宋体" w:hint="eastAsia"/>
          <w:sz w:val="24"/>
        </w:rPr>
        <w:t>。</w:t>
      </w:r>
    </w:p>
    <w:p w:rsidR="00572ECF" w:rsidRDefault="00915AEA">
      <w:pPr>
        <w:spacing w:line="360" w:lineRule="auto"/>
        <w:ind w:firstLineChars="200" w:firstLine="480"/>
        <w:rPr>
          <w:rFonts w:ascii="宋体" w:hAnsi="宋体"/>
          <w:sz w:val="24"/>
        </w:rPr>
      </w:pPr>
      <w:r>
        <w:rPr>
          <w:rFonts w:ascii="宋体" w:hAnsi="宋体" w:hint="eastAsia"/>
          <w:sz w:val="24"/>
        </w:rPr>
        <w:t>6、清算费用</w:t>
      </w:r>
    </w:p>
    <w:p w:rsidR="00572ECF" w:rsidRDefault="00915AEA">
      <w:pPr>
        <w:spacing w:line="360" w:lineRule="auto"/>
        <w:ind w:firstLineChars="200" w:firstLine="480"/>
        <w:rPr>
          <w:rFonts w:ascii="宋体" w:hAnsi="宋体"/>
          <w:sz w:val="24"/>
        </w:rPr>
      </w:pPr>
      <w:r>
        <w:rPr>
          <w:rFonts w:ascii="宋体" w:hAnsi="宋体" w:hint="eastAsia"/>
          <w:sz w:val="24"/>
        </w:rPr>
        <w:t>清算费用是指基金财产清算小组在进行基金清算过程中发生的所有合理费用、清算费用由基金财产清算小组优先从基金财产中支付。</w:t>
      </w:r>
    </w:p>
    <w:p w:rsidR="00572ECF" w:rsidRDefault="00915AEA">
      <w:pPr>
        <w:spacing w:line="360" w:lineRule="auto"/>
        <w:ind w:firstLineChars="200" w:firstLine="480"/>
        <w:rPr>
          <w:rFonts w:ascii="宋体" w:hAnsi="宋体"/>
          <w:sz w:val="24"/>
        </w:rPr>
      </w:pPr>
      <w:r>
        <w:rPr>
          <w:rFonts w:ascii="宋体" w:hAnsi="宋体" w:hint="eastAsia"/>
          <w:sz w:val="24"/>
        </w:rPr>
        <w:t>7、基金财产清算剩余资产的分配</w:t>
      </w:r>
    </w:p>
    <w:p w:rsidR="00572ECF" w:rsidRDefault="00915AEA">
      <w:pPr>
        <w:spacing w:line="360" w:lineRule="auto"/>
        <w:ind w:firstLineChars="225" w:firstLine="540"/>
        <w:rPr>
          <w:rFonts w:ascii="宋体" w:hAnsi="宋体"/>
          <w:sz w:val="24"/>
        </w:rPr>
      </w:pPr>
      <w:r>
        <w:rPr>
          <w:rFonts w:ascii="宋体" w:hAnsi="宋体" w:hint="eastAsia"/>
          <w:sz w:val="24"/>
        </w:rPr>
        <w:t>依据基金财产清算的分配方案，将基金财产清算后的全部剩余资产扣除基金财产清算费用、交纳所欠税款并清偿基金债务后，按基金份额持有人持有的基金份额比例进行分配。据中国证券登记结算有限责任公司的规定，清算备付金账户内的资金按市场规则每月调整，交易保证金账户内的资金按市场规则每月调</w:t>
      </w:r>
      <w:r>
        <w:rPr>
          <w:rFonts w:ascii="宋体" w:hAnsi="宋体" w:hint="eastAsia"/>
          <w:sz w:val="24"/>
        </w:rPr>
        <w:lastRenderedPageBreak/>
        <w:t>整，因此清算备付金账户内的资金、利息以及交易保证金账户内的资金及利息需等中国证券登记结算有限责任公司退款后（备付金退款时间约为合同结束后</w:t>
      </w:r>
      <w:r>
        <w:rPr>
          <w:rFonts w:ascii="宋体" w:hAnsi="宋体"/>
          <w:sz w:val="24"/>
        </w:rPr>
        <w:t>2个月，保证金退款时间约为合同结束后7个月）方可清算。该笔清算资金在扣除相关费用</w:t>
      </w:r>
      <w:proofErr w:type="gramStart"/>
      <w:r>
        <w:rPr>
          <w:rFonts w:ascii="宋体" w:hAnsi="宋体"/>
          <w:sz w:val="24"/>
        </w:rPr>
        <w:t>后划往指定</w:t>
      </w:r>
      <w:proofErr w:type="gramEnd"/>
      <w:r>
        <w:rPr>
          <w:rFonts w:ascii="宋体" w:hAnsi="宋体"/>
          <w:sz w:val="24"/>
        </w:rPr>
        <w:t>账户。</w:t>
      </w:r>
    </w:p>
    <w:p w:rsidR="00572ECF" w:rsidRDefault="00915AEA">
      <w:pPr>
        <w:spacing w:line="360" w:lineRule="auto"/>
        <w:ind w:firstLineChars="200" w:firstLine="480"/>
        <w:rPr>
          <w:rFonts w:ascii="宋体" w:hAnsi="宋体"/>
          <w:sz w:val="24"/>
        </w:rPr>
      </w:pPr>
      <w:r>
        <w:rPr>
          <w:rFonts w:ascii="宋体" w:hAnsi="宋体" w:hint="eastAsia"/>
          <w:sz w:val="24"/>
        </w:rPr>
        <w:t>8、基金财产清算的公告</w:t>
      </w:r>
    </w:p>
    <w:p w:rsidR="00572ECF" w:rsidRDefault="00915AEA">
      <w:pPr>
        <w:spacing w:line="360" w:lineRule="auto"/>
        <w:ind w:firstLineChars="200" w:firstLine="480"/>
        <w:rPr>
          <w:rFonts w:ascii="宋体" w:hAnsi="宋体"/>
          <w:sz w:val="24"/>
        </w:rPr>
      </w:pPr>
      <w:r>
        <w:rPr>
          <w:rFonts w:ascii="宋体" w:hAnsi="宋体" w:hint="eastAsia"/>
          <w:sz w:val="24"/>
        </w:rPr>
        <w:t>清算过程中的有关重大事项须及时公告；基金财产清算报告经会计师事务所审计、并由律师事务所出具法律意见书后，报中国证监会备案并公告。</w:t>
      </w:r>
      <w:r>
        <w:rPr>
          <w:rFonts w:ascii="宋体" w:hAnsi="宋体"/>
          <w:sz w:val="24"/>
        </w:rPr>
        <w:t>基金财产清算公告于基金财产清算报告报中国证监会备案</w:t>
      </w:r>
      <w:r>
        <w:rPr>
          <w:rFonts w:ascii="宋体" w:hAnsi="宋体" w:hint="eastAsia"/>
          <w:sz w:val="24"/>
        </w:rPr>
        <w:t>确认</w:t>
      </w:r>
      <w:r>
        <w:rPr>
          <w:rFonts w:ascii="宋体" w:hAnsi="宋体"/>
          <w:sz w:val="24"/>
        </w:rPr>
        <w:t>后</w:t>
      </w:r>
      <w:r>
        <w:rPr>
          <w:rFonts w:ascii="宋体" w:hAnsi="宋体" w:hint="eastAsia"/>
          <w:sz w:val="24"/>
        </w:rPr>
        <w:t>5</w:t>
      </w:r>
      <w:r>
        <w:rPr>
          <w:rFonts w:ascii="宋体" w:hAnsi="宋体"/>
          <w:sz w:val="24"/>
        </w:rPr>
        <w:t>个工作日内由基金财产清算小组进行公告。</w:t>
      </w:r>
    </w:p>
    <w:p w:rsidR="00572ECF" w:rsidRDefault="00915AEA">
      <w:pPr>
        <w:spacing w:line="360" w:lineRule="auto"/>
        <w:ind w:firstLineChars="200" w:firstLine="480"/>
        <w:rPr>
          <w:rFonts w:ascii="宋体" w:hAnsi="宋体"/>
          <w:sz w:val="24"/>
        </w:rPr>
      </w:pPr>
      <w:r>
        <w:rPr>
          <w:rFonts w:ascii="宋体" w:hAnsi="宋体" w:hint="eastAsia"/>
          <w:sz w:val="24"/>
        </w:rPr>
        <w:t>9、基金财产清算账册及文件的保存</w:t>
      </w:r>
    </w:p>
    <w:p w:rsidR="00572ECF" w:rsidRDefault="00915AEA">
      <w:pPr>
        <w:spacing w:line="360" w:lineRule="auto"/>
        <w:ind w:firstLineChars="200" w:firstLine="480"/>
        <w:rPr>
          <w:rFonts w:ascii="宋体" w:hAnsi="宋体"/>
          <w:sz w:val="24"/>
        </w:rPr>
      </w:pPr>
      <w:r>
        <w:rPr>
          <w:rFonts w:ascii="宋体" w:hAnsi="宋体" w:hint="eastAsia"/>
          <w:sz w:val="24"/>
        </w:rPr>
        <w:t>基金财产清算账册及有关文件由基金托管人保存</w:t>
      </w:r>
      <w:r>
        <w:rPr>
          <w:rFonts w:ascii="宋体" w:hAnsi="宋体"/>
          <w:sz w:val="24"/>
        </w:rPr>
        <w:t>15</w:t>
      </w:r>
      <w:r>
        <w:rPr>
          <w:rFonts w:ascii="宋体" w:hAnsi="宋体" w:hint="eastAsia"/>
          <w:sz w:val="24"/>
        </w:rPr>
        <w:t>年以上。</w:t>
      </w: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B2236E" w:rsidRDefault="00B2236E">
      <w:pPr>
        <w:spacing w:line="360" w:lineRule="auto"/>
        <w:ind w:firstLineChars="200" w:firstLine="480"/>
        <w:rPr>
          <w:rFonts w:ascii="宋体" w:hAnsi="宋体"/>
          <w:sz w:val="24"/>
        </w:rPr>
      </w:pPr>
    </w:p>
    <w:p w:rsidR="00191C96" w:rsidRDefault="00191C96">
      <w:pPr>
        <w:spacing w:line="360" w:lineRule="auto"/>
        <w:ind w:firstLineChars="200" w:firstLine="480"/>
        <w:rPr>
          <w:rFonts w:ascii="宋体" w:hAnsi="宋体"/>
          <w:sz w:val="24"/>
        </w:rPr>
      </w:pPr>
    </w:p>
    <w:p w:rsidR="00572ECF" w:rsidRDefault="00915AEA" w:rsidP="00B2071A">
      <w:pPr>
        <w:pStyle w:val="1"/>
        <w:snapToGrid w:val="0"/>
        <w:spacing w:before="0" w:after="0" w:line="360" w:lineRule="auto"/>
        <w:ind w:firstLine="452"/>
        <w:rPr>
          <w:rFonts w:ascii="Arial Unicode MS" w:eastAsia="宋体" w:hAnsi="Arial Unicode MS" w:cs="Arial"/>
          <w:b/>
          <w:bCs/>
          <w:sz w:val="30"/>
          <w:szCs w:val="30"/>
        </w:rPr>
      </w:pPr>
      <w:bookmarkStart w:id="181" w:name="_Toc21073396"/>
      <w:bookmarkStart w:id="182" w:name="_Toc12357176"/>
      <w:bookmarkStart w:id="183" w:name="_Toc147463123"/>
      <w:bookmarkStart w:id="184" w:name="_Toc317088165"/>
      <w:bookmarkStart w:id="185" w:name="_Toc320887659"/>
      <w:bookmarkStart w:id="186" w:name="_Toc386115317"/>
      <w:bookmarkStart w:id="187" w:name="_Toc214873621"/>
      <w:bookmarkStart w:id="188" w:name="_Toc335232708"/>
      <w:bookmarkStart w:id="189" w:name="_Toc317088554"/>
      <w:bookmarkStart w:id="190" w:name="_Toc527466009"/>
      <w:bookmarkEnd w:id="180"/>
      <w:r>
        <w:rPr>
          <w:rFonts w:ascii="Arial Unicode MS" w:eastAsia="宋体" w:hAnsi="Arial Unicode MS" w:cs="Arial" w:hint="eastAsia"/>
          <w:b/>
          <w:bCs/>
          <w:sz w:val="30"/>
          <w:szCs w:val="30"/>
        </w:rPr>
        <w:lastRenderedPageBreak/>
        <w:t>第二十部分</w:t>
      </w:r>
      <w:r>
        <w:rPr>
          <w:rFonts w:ascii="Arial Unicode MS" w:eastAsia="宋体" w:hAnsi="Arial Unicode MS" w:cs="Arial"/>
          <w:b/>
          <w:bCs/>
          <w:sz w:val="30"/>
          <w:szCs w:val="30"/>
        </w:rPr>
        <w:t xml:space="preserve">  </w:t>
      </w:r>
      <w:bookmarkEnd w:id="181"/>
      <w:bookmarkEnd w:id="182"/>
      <w:bookmarkEnd w:id="183"/>
      <w:r>
        <w:rPr>
          <w:rFonts w:ascii="Arial Unicode MS" w:eastAsia="宋体" w:hAnsi="Arial Unicode MS" w:cs="Arial" w:hint="eastAsia"/>
          <w:b/>
          <w:bCs/>
          <w:sz w:val="30"/>
          <w:szCs w:val="30"/>
        </w:rPr>
        <w:t>对基金份额持有人的服务</w:t>
      </w:r>
      <w:bookmarkEnd w:id="184"/>
      <w:bookmarkEnd w:id="185"/>
      <w:bookmarkEnd w:id="186"/>
      <w:bookmarkEnd w:id="187"/>
      <w:bookmarkEnd w:id="188"/>
      <w:bookmarkEnd w:id="189"/>
      <w:bookmarkEnd w:id="190"/>
    </w:p>
    <w:p w:rsidR="00191C96" w:rsidRPr="00191C96" w:rsidRDefault="00191C96" w:rsidP="00191C96">
      <w:pPr>
        <w:rPr>
          <w:lang w:val="zh-CN"/>
        </w:rPr>
      </w:pP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基金管理人承诺为基金份额持有人提供一系列服务，基金管理人根据基金份额持有人的需要和市场的变化，有权增加或变更服务项目。主要服务内容如下：</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（一）电话人工咨询服务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投资者可以通过拨打基金管理人客服热线转人工坐席，进行基金业务的相关咨询，人工坐席服务时间为每周一至周五上午</w:t>
      </w:r>
      <w:r>
        <w:rPr>
          <w:rFonts w:asciiTheme="minorEastAsia" w:eastAsiaTheme="minorEastAsia" w:hAnsiTheme="minorEastAsia" w:cs="Arial"/>
          <w:kern w:val="0"/>
          <w:sz w:val="24"/>
          <w:szCs w:val="24"/>
        </w:rPr>
        <w:t>9:00-11:30</w:t>
      </w:r>
      <w:r>
        <w:rPr>
          <w:rFonts w:asciiTheme="minorEastAsia" w:eastAsiaTheme="minorEastAsia" w:hAnsiTheme="minorEastAsia" w:cs="Arial" w:hint="eastAsia"/>
          <w:kern w:val="0"/>
          <w:sz w:val="24"/>
          <w:szCs w:val="24"/>
        </w:rPr>
        <w:t>，下午</w:t>
      </w:r>
      <w:r>
        <w:rPr>
          <w:rFonts w:asciiTheme="minorEastAsia" w:eastAsiaTheme="minorEastAsia" w:hAnsiTheme="minorEastAsia" w:cs="Arial"/>
          <w:kern w:val="0"/>
          <w:sz w:val="24"/>
          <w:szCs w:val="24"/>
        </w:rPr>
        <w:t>13:00-17:00</w:t>
      </w:r>
      <w:r>
        <w:rPr>
          <w:rFonts w:asciiTheme="minorEastAsia" w:eastAsiaTheme="minorEastAsia" w:hAnsiTheme="minorEastAsia" w:cs="Arial" w:hint="eastAsia"/>
          <w:kern w:val="0"/>
          <w:sz w:val="24"/>
          <w:szCs w:val="24"/>
        </w:rPr>
        <w:t>（法定节假日及因此导致的证券交易所休市日除外）。针对非人工服务时间内的电话留言，基金管理人将设有专员进行及时回复。</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（二）自助查询服务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投资者可通过基金管理人呼叫中心自动语音系统、基金管理人网上账户查询系统进行账户余额、交易情况、基金净值等信息查询。</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（三）邮件咨询服务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投资者可通过电子邮件的形式向基金管理人提出疑问，针对投资者的问题，基金管理人将设有专员进行及时回复。</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（四）免费信息订阅服务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w:t>
      </w:r>
      <w:r>
        <w:rPr>
          <w:rFonts w:asciiTheme="minorEastAsia" w:eastAsiaTheme="minorEastAsia" w:hAnsiTheme="minorEastAsia" w:cs="Arial"/>
          <w:kern w:val="0"/>
          <w:sz w:val="24"/>
          <w:szCs w:val="24"/>
        </w:rPr>
        <w:t xml:space="preserve">E-MAIL </w:t>
      </w:r>
      <w:r>
        <w:rPr>
          <w:rFonts w:asciiTheme="minorEastAsia" w:eastAsiaTheme="minorEastAsia" w:hAnsiTheme="minorEastAsia" w:cs="Arial" w:hint="eastAsia"/>
          <w:kern w:val="0"/>
          <w:sz w:val="24"/>
          <w:szCs w:val="24"/>
        </w:rPr>
        <w:t>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（五）资料邮寄服务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基金管理人可免费为基金投资人提供基金持有证明和交易对账单邮寄服务。投资者可根据需要，通过基金管理人网站或客服热线定制、修改或取消该服务。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（六）客户投诉受理服务</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投资人可以通过客服热线、书信、电子邮件等渠道，对基金管理人和销售机构所提供的服务进行投诉。</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对于工作日期间受理的投诉，以“及时回复”为处理原则，对于不能及时回复的投诉，基金管理人承诺在</w:t>
      </w:r>
      <w:r>
        <w:rPr>
          <w:rFonts w:asciiTheme="minorEastAsia" w:eastAsiaTheme="minorEastAsia" w:hAnsiTheme="minorEastAsia" w:cs="Arial"/>
          <w:kern w:val="0"/>
          <w:sz w:val="24"/>
          <w:szCs w:val="24"/>
        </w:rPr>
        <w:t xml:space="preserve"> 3 </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工作日之内对基金投资人的投诉做出回复。</w:t>
      </w:r>
      <w:r>
        <w:rPr>
          <w:rFonts w:asciiTheme="minorEastAsia" w:eastAsiaTheme="minorEastAsia" w:hAnsiTheme="minorEastAsia" w:cs="Arial" w:hint="eastAsia"/>
          <w:kern w:val="0"/>
          <w:sz w:val="24"/>
          <w:szCs w:val="24"/>
        </w:rPr>
        <w:lastRenderedPageBreak/>
        <w:t>对于非工作日提出的投诉，基金管理人将在顺延到下</w:t>
      </w:r>
      <w:r>
        <w:rPr>
          <w:rFonts w:asciiTheme="minorEastAsia" w:eastAsiaTheme="minorEastAsia" w:hAnsiTheme="minorEastAsia" w:cs="Arial"/>
          <w:kern w:val="0"/>
          <w:sz w:val="24"/>
          <w:szCs w:val="24"/>
        </w:rPr>
        <w:t xml:space="preserve"> 1 </w:t>
      </w:r>
      <w:proofErr w:type="gramStart"/>
      <w:r>
        <w:rPr>
          <w:rFonts w:asciiTheme="minorEastAsia" w:eastAsiaTheme="minorEastAsia" w:hAnsiTheme="minorEastAsia" w:cs="Arial" w:hint="eastAsia"/>
          <w:kern w:val="0"/>
          <w:sz w:val="24"/>
          <w:szCs w:val="24"/>
        </w:rPr>
        <w:t>个</w:t>
      </w:r>
      <w:proofErr w:type="gramEnd"/>
      <w:r>
        <w:rPr>
          <w:rFonts w:asciiTheme="minorEastAsia" w:eastAsiaTheme="minorEastAsia" w:hAnsiTheme="minorEastAsia" w:cs="Arial" w:hint="eastAsia"/>
          <w:kern w:val="0"/>
          <w:sz w:val="24"/>
          <w:szCs w:val="24"/>
        </w:rPr>
        <w:t>工作日进行回复。</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（七）基金管理人联系方式</w:t>
      </w:r>
      <w:r>
        <w:rPr>
          <w:rFonts w:asciiTheme="minorEastAsia" w:eastAsiaTheme="minorEastAsia" w:hAnsiTheme="minorEastAsia" w:cs="Arial"/>
          <w:kern w:val="0"/>
          <w:sz w:val="24"/>
          <w:szCs w:val="24"/>
        </w:rPr>
        <w:t xml:space="preserve"> </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基金管理人</w:t>
      </w:r>
      <w:r>
        <w:rPr>
          <w:rFonts w:asciiTheme="minorEastAsia" w:eastAsiaTheme="minorEastAsia" w:hAnsiTheme="minorEastAsia" w:cs="Arial"/>
          <w:kern w:val="0"/>
          <w:sz w:val="24"/>
          <w:szCs w:val="24"/>
        </w:rPr>
        <w:t>网址： www.</w:t>
      </w:r>
      <w:r>
        <w:rPr>
          <w:rFonts w:asciiTheme="minorEastAsia" w:eastAsiaTheme="minorEastAsia" w:hAnsiTheme="minorEastAsia" w:cs="Arial" w:hint="eastAsia"/>
          <w:kern w:val="0"/>
          <w:sz w:val="24"/>
          <w:szCs w:val="24"/>
        </w:rPr>
        <w:t>furamc</w:t>
      </w:r>
      <w:r>
        <w:rPr>
          <w:rFonts w:asciiTheme="minorEastAsia" w:eastAsiaTheme="minorEastAsia" w:hAnsiTheme="minorEastAsia" w:cs="Arial"/>
          <w:kern w:val="0"/>
          <w:sz w:val="24"/>
          <w:szCs w:val="24"/>
        </w:rPr>
        <w:t>.com</w:t>
      </w:r>
      <w:r>
        <w:rPr>
          <w:rFonts w:asciiTheme="minorEastAsia" w:eastAsiaTheme="minorEastAsia" w:hAnsiTheme="minorEastAsia" w:cs="Arial" w:hint="eastAsia"/>
          <w:kern w:val="0"/>
          <w:sz w:val="24"/>
          <w:szCs w:val="24"/>
        </w:rPr>
        <w:t>.cn</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电子信箱：service@</w:t>
      </w:r>
      <w:r>
        <w:rPr>
          <w:rFonts w:asciiTheme="minorEastAsia" w:eastAsiaTheme="minorEastAsia" w:hAnsiTheme="minorEastAsia" w:cs="Arial" w:hint="eastAsia"/>
          <w:kern w:val="0"/>
          <w:sz w:val="24"/>
          <w:szCs w:val="24"/>
        </w:rPr>
        <w:t>furamc.com.cn</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客服热线：</w:t>
      </w:r>
      <w:r>
        <w:rPr>
          <w:rFonts w:asciiTheme="minorEastAsia" w:eastAsiaTheme="minorEastAsia" w:hAnsiTheme="minorEastAsia" w:cs="Arial"/>
          <w:kern w:val="0"/>
          <w:sz w:val="24"/>
          <w:szCs w:val="24"/>
        </w:rPr>
        <w:t>4006855600</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客户服务部地址：深圳市福田区深南大道</w:t>
      </w:r>
      <w:r>
        <w:rPr>
          <w:rFonts w:asciiTheme="minorEastAsia" w:eastAsiaTheme="minorEastAsia" w:hAnsiTheme="minorEastAsia" w:cs="Arial"/>
          <w:kern w:val="0"/>
          <w:sz w:val="24"/>
          <w:szCs w:val="24"/>
        </w:rPr>
        <w:t>2012</w:t>
      </w:r>
      <w:r>
        <w:rPr>
          <w:rFonts w:asciiTheme="minorEastAsia" w:eastAsiaTheme="minorEastAsia" w:hAnsiTheme="minorEastAsia" w:cs="Arial" w:hint="eastAsia"/>
          <w:kern w:val="0"/>
          <w:sz w:val="24"/>
          <w:szCs w:val="24"/>
        </w:rPr>
        <w:t>号深圳证券交易所广场</w:t>
      </w:r>
      <w:r>
        <w:rPr>
          <w:rFonts w:asciiTheme="minorEastAsia" w:eastAsiaTheme="minorEastAsia" w:hAnsiTheme="minorEastAsia" w:cs="Arial"/>
          <w:kern w:val="0"/>
          <w:sz w:val="24"/>
          <w:szCs w:val="24"/>
        </w:rPr>
        <w:t>3501</w:t>
      </w:r>
      <w:r>
        <w:rPr>
          <w:rFonts w:asciiTheme="minorEastAsia" w:eastAsiaTheme="minorEastAsia" w:hAnsiTheme="minorEastAsia" w:cs="Arial" w:hint="eastAsia"/>
          <w:kern w:val="0"/>
          <w:sz w:val="24"/>
          <w:szCs w:val="24"/>
        </w:rPr>
        <w:t>，富荣基金管理有限公司客户服务部（收）</w:t>
      </w:r>
    </w:p>
    <w:p w:rsidR="00572ECF" w:rsidRDefault="00915AEA">
      <w:pPr>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邮编：</w:t>
      </w:r>
      <w:r>
        <w:rPr>
          <w:rFonts w:asciiTheme="minorEastAsia" w:eastAsiaTheme="minorEastAsia" w:hAnsiTheme="minorEastAsia" w:cs="Arial"/>
          <w:kern w:val="0"/>
          <w:sz w:val="24"/>
          <w:szCs w:val="24"/>
        </w:rPr>
        <w:t>518038</w:t>
      </w:r>
    </w:p>
    <w:p w:rsidR="00572ECF" w:rsidRDefault="00915AEA">
      <w:pPr>
        <w:adjustRightInd w:val="0"/>
        <w:snapToGrid w:val="0"/>
        <w:spacing w:line="360" w:lineRule="auto"/>
        <w:ind w:firstLineChars="200" w:firstLine="480"/>
        <w:rPr>
          <w:rFonts w:asciiTheme="minorEastAsia" w:eastAsiaTheme="minorEastAsia" w:hAnsiTheme="minorEastAsia" w:cs="Arial"/>
          <w:b/>
          <w:bCs/>
          <w:sz w:val="24"/>
          <w:szCs w:val="24"/>
        </w:rPr>
      </w:pPr>
      <w:r>
        <w:rPr>
          <w:rFonts w:asciiTheme="minorEastAsia" w:eastAsiaTheme="minorEastAsia" w:hAnsiTheme="minorEastAsia" w:cs="Arial" w:hint="eastAsia"/>
          <w:kern w:val="0"/>
          <w:sz w:val="24"/>
          <w:szCs w:val="24"/>
        </w:rPr>
        <w:t>（八）如本招募说明书存在任何您</w:t>
      </w:r>
      <w:r>
        <w:rPr>
          <w:rFonts w:asciiTheme="minorEastAsia" w:eastAsiaTheme="minorEastAsia" w:hAnsiTheme="minorEastAsia" w:cs="Arial"/>
          <w:kern w:val="0"/>
          <w:sz w:val="24"/>
          <w:szCs w:val="24"/>
        </w:rPr>
        <w:t>/</w:t>
      </w:r>
      <w:proofErr w:type="gramStart"/>
      <w:r>
        <w:rPr>
          <w:rFonts w:asciiTheme="minorEastAsia" w:eastAsiaTheme="minorEastAsia" w:hAnsiTheme="minorEastAsia" w:cs="Arial" w:hint="eastAsia"/>
          <w:kern w:val="0"/>
          <w:sz w:val="24"/>
          <w:szCs w:val="24"/>
        </w:rPr>
        <w:t>贵机构</w:t>
      </w:r>
      <w:proofErr w:type="gramEnd"/>
      <w:r>
        <w:rPr>
          <w:rFonts w:asciiTheme="minorEastAsia" w:eastAsiaTheme="minorEastAsia" w:hAnsiTheme="minorEastAsia" w:cs="Arial" w:hint="eastAsia"/>
          <w:kern w:val="0"/>
          <w:sz w:val="24"/>
          <w:szCs w:val="24"/>
        </w:rPr>
        <w:t>无法理解的内容，请通过</w:t>
      </w:r>
      <w:proofErr w:type="gramStart"/>
      <w:r>
        <w:rPr>
          <w:rFonts w:asciiTheme="minorEastAsia" w:eastAsiaTheme="minorEastAsia" w:hAnsiTheme="minorEastAsia" w:cs="Arial" w:hint="eastAsia"/>
          <w:kern w:val="0"/>
          <w:sz w:val="24"/>
          <w:szCs w:val="24"/>
        </w:rPr>
        <w:t>上述联系</w:t>
      </w:r>
      <w:proofErr w:type="gramEnd"/>
      <w:r>
        <w:rPr>
          <w:rFonts w:asciiTheme="minorEastAsia" w:eastAsiaTheme="minorEastAsia" w:hAnsiTheme="minorEastAsia" w:cs="Arial" w:hint="eastAsia"/>
          <w:kern w:val="0"/>
          <w:sz w:val="24"/>
          <w:szCs w:val="24"/>
        </w:rPr>
        <w:t>方式联系基金管理人。</w:t>
      </w:r>
      <w:proofErr w:type="gramStart"/>
      <w:r>
        <w:rPr>
          <w:rFonts w:asciiTheme="minorEastAsia" w:eastAsiaTheme="minorEastAsia" w:hAnsiTheme="minorEastAsia" w:cs="Arial" w:hint="eastAsia"/>
          <w:kern w:val="0"/>
          <w:sz w:val="24"/>
          <w:szCs w:val="24"/>
        </w:rPr>
        <w:t>请确保</w:t>
      </w:r>
      <w:proofErr w:type="gramEnd"/>
      <w:r>
        <w:rPr>
          <w:rFonts w:asciiTheme="minorEastAsia" w:eastAsiaTheme="minorEastAsia" w:hAnsiTheme="minorEastAsia" w:cs="Arial" w:hint="eastAsia"/>
          <w:kern w:val="0"/>
          <w:sz w:val="24"/>
          <w:szCs w:val="24"/>
        </w:rPr>
        <w:t>投资前，您</w:t>
      </w:r>
      <w:r>
        <w:rPr>
          <w:rFonts w:asciiTheme="minorEastAsia" w:eastAsiaTheme="minorEastAsia" w:hAnsiTheme="minorEastAsia" w:cs="Arial"/>
          <w:kern w:val="0"/>
          <w:sz w:val="24"/>
          <w:szCs w:val="24"/>
        </w:rPr>
        <w:t>/</w:t>
      </w:r>
      <w:proofErr w:type="gramStart"/>
      <w:r>
        <w:rPr>
          <w:rFonts w:asciiTheme="minorEastAsia" w:eastAsiaTheme="minorEastAsia" w:hAnsiTheme="minorEastAsia" w:cs="Arial" w:hint="eastAsia"/>
          <w:kern w:val="0"/>
          <w:sz w:val="24"/>
          <w:szCs w:val="24"/>
        </w:rPr>
        <w:t>贵机构</w:t>
      </w:r>
      <w:proofErr w:type="gramEnd"/>
      <w:r>
        <w:rPr>
          <w:rFonts w:asciiTheme="minorEastAsia" w:eastAsiaTheme="minorEastAsia" w:hAnsiTheme="minorEastAsia" w:cs="Arial" w:hint="eastAsia"/>
          <w:kern w:val="0"/>
          <w:sz w:val="24"/>
          <w:szCs w:val="24"/>
        </w:rPr>
        <w:t>已经全面理解了本招募说明书。</w:t>
      </w:r>
    </w:p>
    <w:p w:rsidR="00572ECF" w:rsidRDefault="00572ECF">
      <w:pPr>
        <w:adjustRightInd w:val="0"/>
        <w:snapToGrid w:val="0"/>
        <w:spacing w:line="360" w:lineRule="auto"/>
        <w:ind w:firstLineChars="200" w:firstLine="482"/>
        <w:rPr>
          <w:rFonts w:asciiTheme="minorEastAsia" w:eastAsiaTheme="minorEastAsia" w:hAnsiTheme="minorEastAsia"/>
          <w:b/>
          <w:sz w:val="24"/>
          <w:szCs w:val="24"/>
        </w:rPr>
      </w:pPr>
    </w:p>
    <w:p w:rsidR="00572ECF" w:rsidRDefault="00572ECF">
      <w:pPr>
        <w:pStyle w:val="1"/>
        <w:snapToGrid w:val="0"/>
        <w:spacing w:before="0" w:after="0" w:line="360" w:lineRule="auto"/>
        <w:ind w:firstLineChars="150" w:firstLine="360"/>
        <w:rPr>
          <w:rFonts w:asciiTheme="minorEastAsia" w:eastAsiaTheme="minorEastAsia" w:hAnsiTheme="minorEastAsia" w:cs="Arial"/>
          <w:szCs w:val="24"/>
        </w:rPr>
        <w:sectPr w:rsidR="00572ECF">
          <w:pgSz w:w="11906" w:h="16838"/>
          <w:pgMar w:top="1440" w:right="1800" w:bottom="1440" w:left="1800" w:header="851" w:footer="992" w:gutter="0"/>
          <w:cols w:space="720"/>
          <w:titlePg/>
          <w:docGrid w:linePitch="312"/>
        </w:sectPr>
      </w:pPr>
    </w:p>
    <w:p w:rsidR="00572ECF" w:rsidRDefault="00915AEA">
      <w:pPr>
        <w:pStyle w:val="1"/>
        <w:snapToGrid w:val="0"/>
        <w:spacing w:before="0" w:after="0" w:line="360" w:lineRule="auto"/>
        <w:ind w:firstLineChars="150" w:firstLine="452"/>
        <w:rPr>
          <w:rFonts w:ascii="Arial Unicode MS" w:eastAsia="宋体" w:hAnsi="Arial Unicode MS" w:cs="Arial"/>
          <w:b/>
          <w:bCs/>
          <w:sz w:val="30"/>
          <w:szCs w:val="30"/>
        </w:rPr>
      </w:pPr>
      <w:bookmarkStart w:id="191" w:name="_Toc482624810"/>
      <w:bookmarkStart w:id="192" w:name="_Toc521338342"/>
      <w:bookmarkStart w:id="193" w:name="_Toc522629936"/>
      <w:bookmarkStart w:id="194" w:name="_Toc256666929"/>
      <w:bookmarkStart w:id="195" w:name="_Toc256666809"/>
      <w:bookmarkStart w:id="196" w:name="_Toc520207207"/>
      <w:bookmarkStart w:id="197" w:name="_Toc30359"/>
      <w:bookmarkStart w:id="198" w:name="_Toc527466010"/>
      <w:bookmarkStart w:id="199" w:name="_Toc214873622"/>
      <w:bookmarkStart w:id="200" w:name="_Toc320887660"/>
      <w:bookmarkStart w:id="201" w:name="_Toc530223198"/>
      <w:bookmarkStart w:id="202" w:name="_Toc317088555"/>
      <w:bookmarkStart w:id="203" w:name="_Toc386115318"/>
      <w:bookmarkStart w:id="204" w:name="_Toc317088166"/>
      <w:bookmarkStart w:id="205" w:name="_Toc335232709"/>
      <w:bookmarkStart w:id="206" w:name="_Toc484165614"/>
      <w:r>
        <w:rPr>
          <w:rFonts w:ascii="Arial Unicode MS" w:eastAsia="宋体" w:hAnsi="Arial Unicode MS" w:cs="Arial" w:hint="eastAsia"/>
          <w:b/>
          <w:bCs/>
          <w:sz w:val="30"/>
          <w:szCs w:val="30"/>
        </w:rPr>
        <w:lastRenderedPageBreak/>
        <w:t>第二十一部分</w:t>
      </w:r>
      <w:r>
        <w:rPr>
          <w:rFonts w:ascii="Arial Unicode MS" w:eastAsia="宋体" w:hAnsi="Arial Unicode MS" w:cs="Arial" w:hint="eastAsia"/>
          <w:b/>
          <w:bCs/>
          <w:sz w:val="30"/>
          <w:szCs w:val="30"/>
        </w:rPr>
        <w:t xml:space="preserve">  </w:t>
      </w:r>
      <w:r>
        <w:rPr>
          <w:rFonts w:ascii="Arial Unicode MS" w:eastAsia="宋体" w:hAnsi="Arial Unicode MS" w:cs="Arial" w:hint="eastAsia"/>
          <w:b/>
          <w:bCs/>
          <w:sz w:val="30"/>
          <w:szCs w:val="30"/>
        </w:rPr>
        <w:t>其他应披露事项</w:t>
      </w:r>
      <w:bookmarkEnd w:id="191"/>
      <w:bookmarkEnd w:id="192"/>
      <w:bookmarkEnd w:id="193"/>
      <w:bookmarkEnd w:id="194"/>
      <w:bookmarkEnd w:id="195"/>
      <w:bookmarkEnd w:id="196"/>
      <w:bookmarkEnd w:id="197"/>
      <w:bookmarkEnd w:id="198"/>
    </w:p>
    <w:tbl>
      <w:tblPr>
        <w:tblW w:w="7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4232"/>
        <w:gridCol w:w="2525"/>
      </w:tblGrid>
      <w:tr w:rsidR="00F16A98" w:rsidRPr="00A50A65" w:rsidTr="00F16A98">
        <w:trPr>
          <w:trHeight w:val="144"/>
        </w:trPr>
        <w:tc>
          <w:tcPr>
            <w:tcW w:w="817" w:type="dxa"/>
          </w:tcPr>
          <w:p w:rsidR="00F16A98" w:rsidRPr="00F16A98" w:rsidRDefault="00F16A98" w:rsidP="00F16A98">
            <w:pPr>
              <w:jc w:val="center"/>
              <w:rPr>
                <w:rFonts w:asciiTheme="minorEastAsia" w:eastAsiaTheme="minorEastAsia" w:hAnsiTheme="minorEastAsia" w:cs="Arial"/>
                <w:kern w:val="0"/>
                <w:sz w:val="24"/>
                <w:szCs w:val="24"/>
              </w:rPr>
            </w:pPr>
            <w:r w:rsidRPr="00F16A98">
              <w:rPr>
                <w:rFonts w:asciiTheme="minorEastAsia" w:eastAsiaTheme="minorEastAsia" w:hAnsiTheme="minorEastAsia" w:cs="Arial" w:hint="eastAsia"/>
                <w:kern w:val="0"/>
                <w:sz w:val="24"/>
                <w:szCs w:val="24"/>
              </w:rPr>
              <w:t>序号</w:t>
            </w:r>
          </w:p>
        </w:tc>
        <w:tc>
          <w:tcPr>
            <w:tcW w:w="4232" w:type="dxa"/>
          </w:tcPr>
          <w:p w:rsidR="00F16A98" w:rsidRPr="00F16A98" w:rsidRDefault="00F16A98" w:rsidP="00F16A98">
            <w:pPr>
              <w:jc w:val="center"/>
              <w:rPr>
                <w:rFonts w:asciiTheme="minorEastAsia" w:eastAsiaTheme="minorEastAsia" w:hAnsiTheme="minorEastAsia" w:cs="Arial"/>
                <w:kern w:val="0"/>
                <w:sz w:val="24"/>
                <w:szCs w:val="24"/>
              </w:rPr>
            </w:pPr>
            <w:r w:rsidRPr="00F16A98">
              <w:rPr>
                <w:rFonts w:asciiTheme="minorEastAsia" w:eastAsiaTheme="minorEastAsia" w:hAnsiTheme="minorEastAsia" w:cs="Arial" w:hint="eastAsia"/>
                <w:kern w:val="0"/>
                <w:sz w:val="24"/>
                <w:szCs w:val="24"/>
              </w:rPr>
              <w:t>公告事项</w:t>
            </w:r>
          </w:p>
        </w:tc>
        <w:tc>
          <w:tcPr>
            <w:tcW w:w="2525" w:type="dxa"/>
          </w:tcPr>
          <w:p w:rsidR="00F16A98" w:rsidRPr="00F16A98" w:rsidRDefault="00F16A98" w:rsidP="00F16A98">
            <w:pPr>
              <w:jc w:val="center"/>
              <w:rPr>
                <w:rFonts w:asciiTheme="minorEastAsia" w:eastAsiaTheme="minorEastAsia" w:hAnsiTheme="minorEastAsia" w:cs="Arial"/>
                <w:kern w:val="0"/>
                <w:sz w:val="24"/>
                <w:szCs w:val="24"/>
              </w:rPr>
            </w:pPr>
            <w:r w:rsidRPr="00F16A98">
              <w:rPr>
                <w:rFonts w:asciiTheme="minorEastAsia" w:eastAsiaTheme="minorEastAsia" w:hAnsiTheme="minorEastAsia" w:cs="Arial" w:hint="eastAsia"/>
                <w:kern w:val="0"/>
                <w:sz w:val="24"/>
                <w:szCs w:val="24"/>
              </w:rPr>
              <w:t>披露日期</w:t>
            </w:r>
          </w:p>
        </w:tc>
      </w:tr>
      <w:tr w:rsidR="000001C0" w:rsidRPr="00A50A65" w:rsidTr="00F16A98">
        <w:trPr>
          <w:trHeight w:val="144"/>
        </w:trPr>
        <w:tc>
          <w:tcPr>
            <w:tcW w:w="817" w:type="dxa"/>
          </w:tcPr>
          <w:p w:rsidR="000001C0" w:rsidRPr="00A50A65" w:rsidRDefault="000001C0"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1</w:t>
            </w:r>
          </w:p>
        </w:tc>
        <w:tc>
          <w:tcPr>
            <w:tcW w:w="4232" w:type="dxa"/>
          </w:tcPr>
          <w:p w:rsidR="000001C0" w:rsidRPr="00A50A65" w:rsidRDefault="000001C0">
            <w:pP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富荣基金管理有限公司关于旗下部分开放式基金增加天天基金为代销机构、参加天天基金申购费率优惠活动的公告</w:t>
            </w:r>
          </w:p>
        </w:tc>
        <w:tc>
          <w:tcPr>
            <w:tcW w:w="2525" w:type="dxa"/>
          </w:tcPr>
          <w:p w:rsidR="000001C0" w:rsidRPr="00A50A65" w:rsidRDefault="000001C0"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2018-02-06</w:t>
            </w:r>
          </w:p>
        </w:tc>
      </w:tr>
      <w:tr w:rsidR="000001C0" w:rsidRPr="00A50A65" w:rsidTr="00F16A98">
        <w:trPr>
          <w:trHeight w:val="144"/>
        </w:trPr>
        <w:tc>
          <w:tcPr>
            <w:tcW w:w="817" w:type="dxa"/>
          </w:tcPr>
          <w:p w:rsidR="000001C0" w:rsidRPr="00A50A65" w:rsidRDefault="000001C0"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w:t>
            </w:r>
          </w:p>
        </w:tc>
        <w:tc>
          <w:tcPr>
            <w:tcW w:w="4232" w:type="dxa"/>
          </w:tcPr>
          <w:p w:rsidR="000001C0" w:rsidRPr="00A50A65" w:rsidRDefault="00496BC4">
            <w:pPr>
              <w:rPr>
                <w:rFonts w:asciiTheme="minorEastAsia" w:eastAsiaTheme="minorEastAsia" w:hAnsiTheme="minorEastAsia" w:cs="Arial"/>
                <w:kern w:val="0"/>
                <w:sz w:val="24"/>
                <w:szCs w:val="24"/>
              </w:rPr>
            </w:pPr>
            <w:hyperlink r:id="rId27" w:tgtFrame="_blank" w:tooltip="富荣基金管理有限公司关于银联通渠道农行暂停申购（认购）以及定投业务的通知" w:history="1">
              <w:r w:rsidR="000001C0" w:rsidRPr="00A50A65">
                <w:rPr>
                  <w:rFonts w:asciiTheme="minorEastAsia" w:eastAsiaTheme="minorEastAsia" w:hAnsiTheme="minorEastAsia" w:cs="Arial" w:hint="eastAsia"/>
                  <w:kern w:val="0"/>
                  <w:sz w:val="24"/>
                  <w:szCs w:val="24"/>
                </w:rPr>
                <w:t>富</w:t>
              </w:r>
              <w:proofErr w:type="gramStart"/>
              <w:r w:rsidR="000001C0" w:rsidRPr="00A50A65">
                <w:rPr>
                  <w:rFonts w:asciiTheme="minorEastAsia" w:eastAsiaTheme="minorEastAsia" w:hAnsiTheme="minorEastAsia" w:cs="Arial" w:hint="eastAsia"/>
                  <w:kern w:val="0"/>
                  <w:sz w:val="24"/>
                  <w:szCs w:val="24"/>
                </w:rPr>
                <w:t>荣基金</w:t>
              </w:r>
              <w:proofErr w:type="gramEnd"/>
              <w:r w:rsidR="000001C0" w:rsidRPr="00A50A65">
                <w:rPr>
                  <w:rFonts w:asciiTheme="minorEastAsia" w:eastAsiaTheme="minorEastAsia" w:hAnsiTheme="minorEastAsia" w:cs="Arial" w:hint="eastAsia"/>
                  <w:kern w:val="0"/>
                  <w:sz w:val="24"/>
                  <w:szCs w:val="24"/>
                </w:rPr>
                <w:t>管理有限公司关于银联通渠道农行暂停申购（认购）以及</w:t>
              </w:r>
              <w:proofErr w:type="gramStart"/>
              <w:r w:rsidR="000001C0" w:rsidRPr="00A50A65">
                <w:rPr>
                  <w:rFonts w:asciiTheme="minorEastAsia" w:eastAsiaTheme="minorEastAsia" w:hAnsiTheme="minorEastAsia" w:cs="Arial" w:hint="eastAsia"/>
                  <w:kern w:val="0"/>
                  <w:sz w:val="24"/>
                  <w:szCs w:val="24"/>
                </w:rPr>
                <w:t>定投业务</w:t>
              </w:r>
              <w:proofErr w:type="gramEnd"/>
              <w:r w:rsidR="000001C0" w:rsidRPr="00A50A65">
                <w:rPr>
                  <w:rFonts w:asciiTheme="minorEastAsia" w:eastAsiaTheme="minorEastAsia" w:hAnsiTheme="minorEastAsia" w:cs="Arial" w:hint="eastAsia"/>
                  <w:kern w:val="0"/>
                  <w:sz w:val="24"/>
                  <w:szCs w:val="24"/>
                </w:rPr>
                <w:t>的通知</w:t>
              </w:r>
            </w:hyperlink>
          </w:p>
        </w:tc>
        <w:tc>
          <w:tcPr>
            <w:tcW w:w="2525" w:type="dxa"/>
          </w:tcPr>
          <w:p w:rsidR="000001C0" w:rsidRPr="00A50A65" w:rsidRDefault="000001C0"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2018-03-22</w:t>
            </w:r>
          </w:p>
        </w:tc>
      </w:tr>
      <w:tr w:rsidR="004B16A7" w:rsidRPr="00A50A65" w:rsidTr="00F16A98">
        <w:trPr>
          <w:trHeight w:val="144"/>
        </w:trPr>
        <w:tc>
          <w:tcPr>
            <w:tcW w:w="817"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3</w:t>
            </w:r>
          </w:p>
        </w:tc>
        <w:tc>
          <w:tcPr>
            <w:tcW w:w="4232" w:type="dxa"/>
          </w:tcPr>
          <w:p w:rsidR="004B16A7" w:rsidRPr="00A50A65" w:rsidRDefault="00496BC4">
            <w:pPr>
              <w:rPr>
                <w:rFonts w:asciiTheme="minorEastAsia" w:eastAsiaTheme="minorEastAsia" w:hAnsiTheme="minorEastAsia" w:cs="Arial"/>
                <w:kern w:val="0"/>
                <w:sz w:val="24"/>
                <w:szCs w:val="24"/>
              </w:rPr>
            </w:pPr>
            <w:hyperlink r:id="rId28" w:tgtFrame="http://www.furamc.com.cn/products/zhaiquan/005173/report/_blank" w:tooltip="关于富荣富安债券型证券投资基金新增联泰资产为代销机构的公告" w:history="1">
              <w:r w:rsidR="004B16A7" w:rsidRPr="00A50A65">
                <w:rPr>
                  <w:rFonts w:asciiTheme="minorEastAsia" w:eastAsiaTheme="minorEastAsia" w:hAnsiTheme="minorEastAsia" w:cs="Arial" w:hint="eastAsia"/>
                  <w:kern w:val="0"/>
                  <w:sz w:val="24"/>
                  <w:szCs w:val="24"/>
                </w:rPr>
                <w:t>关于富荣富安债券型证券投资基金新增联泰资产为代销机构的公告</w:t>
              </w:r>
            </w:hyperlink>
          </w:p>
        </w:tc>
        <w:tc>
          <w:tcPr>
            <w:tcW w:w="2525"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2018-03-29</w:t>
            </w:r>
          </w:p>
          <w:p w:rsidR="004B16A7" w:rsidRPr="00A50A65" w:rsidRDefault="004B16A7" w:rsidP="00A50A65">
            <w:pPr>
              <w:jc w:val="center"/>
              <w:rPr>
                <w:rFonts w:asciiTheme="minorEastAsia" w:eastAsiaTheme="minorEastAsia" w:hAnsiTheme="minorEastAsia" w:cs="Arial"/>
                <w:kern w:val="0"/>
                <w:sz w:val="24"/>
                <w:szCs w:val="24"/>
              </w:rPr>
            </w:pPr>
          </w:p>
        </w:tc>
      </w:tr>
      <w:tr w:rsidR="004B16A7" w:rsidRPr="00A50A65" w:rsidTr="00F16A98">
        <w:trPr>
          <w:trHeight w:val="144"/>
        </w:trPr>
        <w:tc>
          <w:tcPr>
            <w:tcW w:w="817"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4</w:t>
            </w:r>
          </w:p>
        </w:tc>
        <w:tc>
          <w:tcPr>
            <w:tcW w:w="4232" w:type="dxa"/>
          </w:tcPr>
          <w:p w:rsidR="004B16A7" w:rsidRPr="00A50A65" w:rsidRDefault="00496BC4">
            <w:pPr>
              <w:rPr>
                <w:rFonts w:asciiTheme="minorEastAsia" w:eastAsiaTheme="minorEastAsia" w:hAnsiTheme="minorEastAsia" w:cs="Arial"/>
                <w:kern w:val="0"/>
                <w:sz w:val="24"/>
                <w:szCs w:val="24"/>
              </w:rPr>
            </w:pPr>
            <w:hyperlink r:id="rId29" w:tgtFrame="_blank" w:tooltip="关于富荣富安债券型证券投资基金提前结束募集的公告" w:history="1">
              <w:r w:rsidR="004B16A7" w:rsidRPr="00A50A65">
                <w:rPr>
                  <w:rFonts w:asciiTheme="minorEastAsia" w:eastAsiaTheme="minorEastAsia" w:hAnsiTheme="minorEastAsia" w:cs="Arial" w:hint="eastAsia"/>
                  <w:kern w:val="0"/>
                  <w:sz w:val="24"/>
                  <w:szCs w:val="24"/>
                </w:rPr>
                <w:t>关于富荣富安债券型证券投资基金提前结束募集的公告</w:t>
              </w:r>
            </w:hyperlink>
          </w:p>
        </w:tc>
        <w:tc>
          <w:tcPr>
            <w:tcW w:w="2525"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2018-03-31</w:t>
            </w:r>
          </w:p>
        </w:tc>
      </w:tr>
      <w:tr w:rsidR="004B16A7" w:rsidRPr="00A50A65" w:rsidTr="00F16A98">
        <w:trPr>
          <w:trHeight w:val="144"/>
        </w:trPr>
        <w:tc>
          <w:tcPr>
            <w:tcW w:w="817"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5</w:t>
            </w:r>
          </w:p>
        </w:tc>
        <w:tc>
          <w:tcPr>
            <w:tcW w:w="4232" w:type="dxa"/>
          </w:tcPr>
          <w:p w:rsidR="004B16A7" w:rsidRPr="00A50A65" w:rsidRDefault="00496BC4">
            <w:pPr>
              <w:rPr>
                <w:rFonts w:asciiTheme="minorEastAsia" w:eastAsiaTheme="minorEastAsia" w:hAnsiTheme="minorEastAsia" w:cs="Arial"/>
                <w:kern w:val="0"/>
                <w:sz w:val="24"/>
                <w:szCs w:val="24"/>
              </w:rPr>
            </w:pPr>
            <w:hyperlink r:id="rId30" w:tgtFrame="_blank" w:tooltip="富荣富安债券型证券投资基金基金合同生效公告" w:history="1">
              <w:r w:rsidR="004B16A7" w:rsidRPr="00A50A65">
                <w:rPr>
                  <w:rFonts w:asciiTheme="minorEastAsia" w:eastAsiaTheme="minorEastAsia" w:hAnsiTheme="minorEastAsia" w:cs="Arial" w:hint="eastAsia"/>
                  <w:kern w:val="0"/>
                  <w:sz w:val="24"/>
                  <w:szCs w:val="24"/>
                </w:rPr>
                <w:t>富荣富安债券型证券投资</w:t>
              </w:r>
              <w:proofErr w:type="gramStart"/>
              <w:r w:rsidR="004B16A7" w:rsidRPr="00A50A65">
                <w:rPr>
                  <w:rFonts w:asciiTheme="minorEastAsia" w:eastAsiaTheme="minorEastAsia" w:hAnsiTheme="minorEastAsia" w:cs="Arial" w:hint="eastAsia"/>
                  <w:kern w:val="0"/>
                  <w:sz w:val="24"/>
                  <w:szCs w:val="24"/>
                </w:rPr>
                <w:t>基金基金</w:t>
              </w:r>
              <w:proofErr w:type="gramEnd"/>
              <w:r w:rsidR="004B16A7" w:rsidRPr="00A50A65">
                <w:rPr>
                  <w:rFonts w:asciiTheme="minorEastAsia" w:eastAsiaTheme="minorEastAsia" w:hAnsiTheme="minorEastAsia" w:cs="Arial" w:hint="eastAsia"/>
                  <w:kern w:val="0"/>
                  <w:sz w:val="24"/>
                  <w:szCs w:val="24"/>
                </w:rPr>
                <w:t>合同生效公告</w:t>
              </w:r>
            </w:hyperlink>
          </w:p>
        </w:tc>
        <w:tc>
          <w:tcPr>
            <w:tcW w:w="2525"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2018-04-04</w:t>
            </w:r>
          </w:p>
        </w:tc>
      </w:tr>
      <w:tr w:rsidR="004B16A7" w:rsidRPr="00A50A65" w:rsidTr="00F16A98">
        <w:trPr>
          <w:trHeight w:val="144"/>
        </w:trPr>
        <w:tc>
          <w:tcPr>
            <w:tcW w:w="817"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6</w:t>
            </w:r>
          </w:p>
        </w:tc>
        <w:tc>
          <w:tcPr>
            <w:tcW w:w="4232" w:type="dxa"/>
          </w:tcPr>
          <w:p w:rsidR="004B16A7" w:rsidRPr="00A50A65" w:rsidRDefault="004B16A7">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富荣富安债券型证券投资基金开放日常申购、赎回及</w:t>
            </w:r>
            <w:proofErr w:type="gramStart"/>
            <w:r w:rsidRPr="00A50A65">
              <w:rPr>
                <w:rFonts w:asciiTheme="minorEastAsia" w:eastAsiaTheme="minorEastAsia" w:hAnsiTheme="minorEastAsia" w:cs="Arial" w:hint="eastAsia"/>
                <w:kern w:val="0"/>
                <w:sz w:val="24"/>
                <w:szCs w:val="24"/>
              </w:rPr>
              <w:t>定投业务</w:t>
            </w:r>
            <w:proofErr w:type="gramEnd"/>
            <w:r w:rsidRPr="00A50A65">
              <w:rPr>
                <w:rFonts w:asciiTheme="minorEastAsia" w:eastAsiaTheme="minorEastAsia" w:hAnsiTheme="minorEastAsia" w:cs="Arial" w:hint="eastAsia"/>
                <w:kern w:val="0"/>
                <w:sz w:val="24"/>
                <w:szCs w:val="24"/>
              </w:rPr>
              <w:t>的公告</w:t>
            </w:r>
          </w:p>
        </w:tc>
        <w:tc>
          <w:tcPr>
            <w:tcW w:w="2525"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2018-04-16</w:t>
            </w:r>
          </w:p>
        </w:tc>
      </w:tr>
      <w:tr w:rsidR="004B16A7" w:rsidRPr="00A50A65" w:rsidTr="00F16A98">
        <w:trPr>
          <w:trHeight w:val="144"/>
        </w:trPr>
        <w:tc>
          <w:tcPr>
            <w:tcW w:w="817"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7</w:t>
            </w:r>
          </w:p>
        </w:tc>
        <w:tc>
          <w:tcPr>
            <w:tcW w:w="4232" w:type="dxa"/>
          </w:tcPr>
          <w:p w:rsidR="004B16A7" w:rsidRPr="00A50A65" w:rsidRDefault="004B16A7">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w:t>
            </w:r>
            <w:proofErr w:type="gramStart"/>
            <w:r w:rsidRPr="00A50A65">
              <w:rPr>
                <w:rFonts w:asciiTheme="minorEastAsia" w:eastAsiaTheme="minorEastAsia" w:hAnsiTheme="minorEastAsia" w:cs="Arial" w:hint="eastAsia"/>
                <w:kern w:val="0"/>
                <w:sz w:val="24"/>
                <w:szCs w:val="24"/>
              </w:rPr>
              <w:t>荣基金</w:t>
            </w:r>
            <w:proofErr w:type="gramEnd"/>
            <w:r w:rsidRPr="00A50A65">
              <w:rPr>
                <w:rFonts w:asciiTheme="minorEastAsia" w:eastAsiaTheme="minorEastAsia" w:hAnsiTheme="minorEastAsia" w:cs="Arial" w:hint="eastAsia"/>
                <w:kern w:val="0"/>
                <w:sz w:val="24"/>
                <w:szCs w:val="24"/>
              </w:rPr>
              <w:t>管理有限公司关于旗下部分基金参加上海长</w:t>
            </w:r>
            <w:proofErr w:type="gramStart"/>
            <w:r w:rsidRPr="00A50A65">
              <w:rPr>
                <w:rFonts w:asciiTheme="minorEastAsia" w:eastAsiaTheme="minorEastAsia" w:hAnsiTheme="minorEastAsia" w:cs="Arial" w:hint="eastAsia"/>
                <w:kern w:val="0"/>
                <w:sz w:val="24"/>
                <w:szCs w:val="24"/>
              </w:rPr>
              <w:t>量基金</w:t>
            </w:r>
            <w:proofErr w:type="gramEnd"/>
            <w:r w:rsidRPr="00A50A65">
              <w:rPr>
                <w:rFonts w:asciiTheme="minorEastAsia" w:eastAsiaTheme="minorEastAsia" w:hAnsiTheme="minorEastAsia" w:cs="Arial" w:hint="eastAsia"/>
                <w:kern w:val="0"/>
                <w:sz w:val="24"/>
                <w:szCs w:val="24"/>
              </w:rPr>
              <w:t>销售投资顾问有限公司基金申购及定期定额投资申购费率优惠活动的公告</w:t>
            </w:r>
          </w:p>
        </w:tc>
        <w:tc>
          <w:tcPr>
            <w:tcW w:w="2525"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2018-05-05</w:t>
            </w:r>
          </w:p>
        </w:tc>
      </w:tr>
      <w:tr w:rsidR="004B16A7" w:rsidRPr="00A50A65" w:rsidTr="00F16A98">
        <w:trPr>
          <w:trHeight w:val="144"/>
        </w:trPr>
        <w:tc>
          <w:tcPr>
            <w:tcW w:w="817"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8</w:t>
            </w:r>
          </w:p>
        </w:tc>
        <w:tc>
          <w:tcPr>
            <w:tcW w:w="4232" w:type="dxa"/>
          </w:tcPr>
          <w:p w:rsidR="004B16A7" w:rsidRPr="00A50A65" w:rsidRDefault="004B16A7">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w:t>
            </w:r>
            <w:proofErr w:type="gramStart"/>
            <w:r w:rsidRPr="00A50A65">
              <w:rPr>
                <w:rFonts w:asciiTheme="minorEastAsia" w:eastAsiaTheme="minorEastAsia" w:hAnsiTheme="minorEastAsia" w:cs="Arial" w:hint="eastAsia"/>
                <w:kern w:val="0"/>
                <w:sz w:val="24"/>
                <w:szCs w:val="24"/>
              </w:rPr>
              <w:t>荣基金</w:t>
            </w:r>
            <w:proofErr w:type="gramEnd"/>
            <w:r w:rsidRPr="00A50A65">
              <w:rPr>
                <w:rFonts w:asciiTheme="minorEastAsia" w:eastAsiaTheme="minorEastAsia" w:hAnsiTheme="minorEastAsia" w:cs="Arial" w:hint="eastAsia"/>
                <w:kern w:val="0"/>
                <w:sz w:val="24"/>
                <w:szCs w:val="24"/>
              </w:rPr>
              <w:t>管理有限公司关于旗下部分基金新增上海长</w:t>
            </w:r>
            <w:proofErr w:type="gramStart"/>
            <w:r w:rsidRPr="00A50A65">
              <w:rPr>
                <w:rFonts w:asciiTheme="minorEastAsia" w:eastAsiaTheme="minorEastAsia" w:hAnsiTheme="minorEastAsia" w:cs="Arial" w:hint="eastAsia"/>
                <w:kern w:val="0"/>
                <w:sz w:val="24"/>
                <w:szCs w:val="24"/>
              </w:rPr>
              <w:t>量基金</w:t>
            </w:r>
            <w:proofErr w:type="gramEnd"/>
            <w:r w:rsidRPr="00A50A65">
              <w:rPr>
                <w:rFonts w:asciiTheme="minorEastAsia" w:eastAsiaTheme="minorEastAsia" w:hAnsiTheme="minorEastAsia" w:cs="Arial" w:hint="eastAsia"/>
                <w:kern w:val="0"/>
                <w:sz w:val="24"/>
                <w:szCs w:val="24"/>
              </w:rPr>
              <w:t>销售投资顾问有限公司为销售机构并开通基金</w:t>
            </w:r>
            <w:proofErr w:type="gramStart"/>
            <w:r w:rsidRPr="00A50A65">
              <w:rPr>
                <w:rFonts w:asciiTheme="minorEastAsia" w:eastAsiaTheme="minorEastAsia" w:hAnsiTheme="minorEastAsia" w:cs="Arial" w:hint="eastAsia"/>
                <w:kern w:val="0"/>
                <w:sz w:val="24"/>
                <w:szCs w:val="24"/>
              </w:rPr>
              <w:t>定投业务</w:t>
            </w:r>
            <w:proofErr w:type="gramEnd"/>
            <w:r w:rsidRPr="00A50A65">
              <w:rPr>
                <w:rFonts w:asciiTheme="minorEastAsia" w:eastAsiaTheme="minorEastAsia" w:hAnsiTheme="minorEastAsia" w:cs="Arial" w:hint="eastAsia"/>
                <w:kern w:val="0"/>
                <w:sz w:val="24"/>
                <w:szCs w:val="24"/>
              </w:rPr>
              <w:t>的公告</w:t>
            </w:r>
          </w:p>
        </w:tc>
        <w:tc>
          <w:tcPr>
            <w:tcW w:w="2525"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2018-05-05</w:t>
            </w:r>
          </w:p>
        </w:tc>
      </w:tr>
      <w:tr w:rsidR="004B16A7" w:rsidRPr="00A50A65" w:rsidTr="00F16A98">
        <w:trPr>
          <w:trHeight w:val="144"/>
        </w:trPr>
        <w:tc>
          <w:tcPr>
            <w:tcW w:w="817"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9</w:t>
            </w:r>
          </w:p>
        </w:tc>
        <w:tc>
          <w:tcPr>
            <w:tcW w:w="4232" w:type="dxa"/>
          </w:tcPr>
          <w:p w:rsidR="004B16A7" w:rsidRPr="00A50A65" w:rsidRDefault="00496BC4">
            <w:pPr>
              <w:rPr>
                <w:rFonts w:asciiTheme="minorEastAsia" w:eastAsiaTheme="minorEastAsia" w:hAnsiTheme="minorEastAsia" w:cs="Arial"/>
                <w:kern w:val="0"/>
                <w:sz w:val="24"/>
                <w:szCs w:val="24"/>
              </w:rPr>
            </w:pPr>
            <w:hyperlink r:id="rId31" w:tgtFrame="_blank" w:tooltip="富荣基金管理有限公司关于旗下部分基金在公司直销渠道开展申购费率优惠活动的公告" w:history="1">
              <w:r w:rsidR="004B16A7" w:rsidRPr="00A50A65">
                <w:rPr>
                  <w:rFonts w:asciiTheme="minorEastAsia" w:eastAsiaTheme="minorEastAsia" w:hAnsiTheme="minorEastAsia" w:cs="Arial" w:hint="eastAsia"/>
                  <w:kern w:val="0"/>
                  <w:sz w:val="24"/>
                  <w:szCs w:val="24"/>
                </w:rPr>
                <w:t>富荣基金管理有限公司关于旗下部分基金在公司直销渠道开展申购费率优惠活动的公告</w:t>
              </w:r>
            </w:hyperlink>
          </w:p>
        </w:tc>
        <w:tc>
          <w:tcPr>
            <w:tcW w:w="2525"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2018-05-08</w:t>
            </w:r>
          </w:p>
        </w:tc>
      </w:tr>
      <w:tr w:rsidR="004B16A7" w:rsidRPr="00A50A65" w:rsidTr="00F16A98">
        <w:trPr>
          <w:trHeight w:val="144"/>
        </w:trPr>
        <w:tc>
          <w:tcPr>
            <w:tcW w:w="817"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10</w:t>
            </w:r>
          </w:p>
        </w:tc>
        <w:tc>
          <w:tcPr>
            <w:tcW w:w="4232" w:type="dxa"/>
          </w:tcPr>
          <w:p w:rsidR="004B16A7" w:rsidRPr="00A50A65" w:rsidRDefault="004B16A7">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富荣基金管理有限公司关于旗下部分基金参加珠海盈米财富管理有限公司基金申购及定期定额投资申购费率优惠活动的公告</w:t>
            </w:r>
          </w:p>
        </w:tc>
        <w:tc>
          <w:tcPr>
            <w:tcW w:w="2525"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2018-05-18</w:t>
            </w:r>
          </w:p>
        </w:tc>
      </w:tr>
      <w:tr w:rsidR="004B16A7" w:rsidRPr="00A50A65" w:rsidTr="00F16A98">
        <w:trPr>
          <w:trHeight w:val="144"/>
        </w:trPr>
        <w:tc>
          <w:tcPr>
            <w:tcW w:w="817"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11</w:t>
            </w:r>
          </w:p>
        </w:tc>
        <w:tc>
          <w:tcPr>
            <w:tcW w:w="4232" w:type="dxa"/>
          </w:tcPr>
          <w:p w:rsidR="004B16A7" w:rsidRPr="00A50A65" w:rsidRDefault="004B16A7">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w:t>
            </w:r>
            <w:proofErr w:type="gramStart"/>
            <w:r w:rsidRPr="00A50A65">
              <w:rPr>
                <w:rFonts w:asciiTheme="minorEastAsia" w:eastAsiaTheme="minorEastAsia" w:hAnsiTheme="minorEastAsia" w:cs="Arial" w:hint="eastAsia"/>
                <w:kern w:val="0"/>
                <w:sz w:val="24"/>
                <w:szCs w:val="24"/>
              </w:rPr>
              <w:t>荣基金</w:t>
            </w:r>
            <w:proofErr w:type="gramEnd"/>
            <w:r w:rsidRPr="00A50A65">
              <w:rPr>
                <w:rFonts w:asciiTheme="minorEastAsia" w:eastAsiaTheme="minorEastAsia" w:hAnsiTheme="minorEastAsia" w:cs="Arial" w:hint="eastAsia"/>
                <w:kern w:val="0"/>
                <w:sz w:val="24"/>
                <w:szCs w:val="24"/>
              </w:rPr>
              <w:t>管理有限公司关于旗下部分基金新增珠海盈米财富管理有限公司为销售机构并开通基金</w:t>
            </w:r>
            <w:proofErr w:type="gramStart"/>
            <w:r w:rsidRPr="00A50A65">
              <w:rPr>
                <w:rFonts w:asciiTheme="minorEastAsia" w:eastAsiaTheme="minorEastAsia" w:hAnsiTheme="minorEastAsia" w:cs="Arial" w:hint="eastAsia"/>
                <w:kern w:val="0"/>
                <w:sz w:val="24"/>
                <w:szCs w:val="24"/>
              </w:rPr>
              <w:t>定投业务</w:t>
            </w:r>
            <w:proofErr w:type="gramEnd"/>
            <w:r w:rsidRPr="00A50A65">
              <w:rPr>
                <w:rFonts w:asciiTheme="minorEastAsia" w:eastAsiaTheme="minorEastAsia" w:hAnsiTheme="minorEastAsia" w:cs="Arial" w:hint="eastAsia"/>
                <w:kern w:val="0"/>
                <w:sz w:val="24"/>
                <w:szCs w:val="24"/>
              </w:rPr>
              <w:t>的公告</w:t>
            </w:r>
          </w:p>
        </w:tc>
        <w:tc>
          <w:tcPr>
            <w:tcW w:w="2525"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2018-05-18</w:t>
            </w:r>
          </w:p>
        </w:tc>
      </w:tr>
      <w:tr w:rsidR="004B16A7" w:rsidRPr="00A50A65" w:rsidTr="00F16A98">
        <w:trPr>
          <w:trHeight w:val="144"/>
        </w:trPr>
        <w:tc>
          <w:tcPr>
            <w:tcW w:w="817"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12</w:t>
            </w:r>
          </w:p>
        </w:tc>
        <w:tc>
          <w:tcPr>
            <w:tcW w:w="4232" w:type="dxa"/>
          </w:tcPr>
          <w:p w:rsidR="004B16A7" w:rsidRPr="00A50A65" w:rsidRDefault="004B16A7">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富荣基金管理有限公司关于旗下部分基金参加平安证券基金申购及定期定额投资申购费率优惠活动的公告</w:t>
            </w:r>
          </w:p>
        </w:tc>
        <w:tc>
          <w:tcPr>
            <w:tcW w:w="2525"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2018-05-21</w:t>
            </w:r>
          </w:p>
        </w:tc>
      </w:tr>
      <w:tr w:rsidR="004B16A7" w:rsidRPr="00A50A65" w:rsidTr="00F16A98">
        <w:trPr>
          <w:trHeight w:val="144"/>
        </w:trPr>
        <w:tc>
          <w:tcPr>
            <w:tcW w:w="817"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13</w:t>
            </w:r>
          </w:p>
        </w:tc>
        <w:tc>
          <w:tcPr>
            <w:tcW w:w="4232" w:type="dxa"/>
          </w:tcPr>
          <w:p w:rsidR="004B16A7" w:rsidRPr="00A50A65" w:rsidRDefault="004B16A7">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富荣基金管理有限公司关于旗下部分基金新增包商银行为销售机构并开通基金定期定额投资业务的公告</w:t>
            </w:r>
          </w:p>
        </w:tc>
        <w:tc>
          <w:tcPr>
            <w:tcW w:w="2525"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2018-05-21</w:t>
            </w:r>
          </w:p>
        </w:tc>
      </w:tr>
      <w:tr w:rsidR="004B16A7" w:rsidRPr="00A50A65" w:rsidTr="00F16A98">
        <w:trPr>
          <w:trHeight w:val="144"/>
        </w:trPr>
        <w:tc>
          <w:tcPr>
            <w:tcW w:w="817"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kern w:val="0"/>
                <w:sz w:val="24"/>
                <w:szCs w:val="24"/>
              </w:rPr>
              <w:t>14</w:t>
            </w:r>
          </w:p>
        </w:tc>
        <w:tc>
          <w:tcPr>
            <w:tcW w:w="4232" w:type="dxa"/>
          </w:tcPr>
          <w:p w:rsidR="004B16A7" w:rsidRPr="00A50A65" w:rsidRDefault="004B16A7">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富荣基金管理有限公司关于旗下部分</w:t>
            </w:r>
            <w:r w:rsidRPr="00A50A65">
              <w:rPr>
                <w:rFonts w:asciiTheme="minorEastAsia" w:eastAsiaTheme="minorEastAsia" w:hAnsiTheme="minorEastAsia" w:cs="Arial" w:hint="eastAsia"/>
                <w:kern w:val="0"/>
                <w:sz w:val="24"/>
                <w:szCs w:val="24"/>
              </w:rPr>
              <w:lastRenderedPageBreak/>
              <w:t>基金新增平安证券为销售机构并开通基金定期定额投资业务的公告</w:t>
            </w:r>
          </w:p>
        </w:tc>
        <w:tc>
          <w:tcPr>
            <w:tcW w:w="2525" w:type="dxa"/>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lastRenderedPageBreak/>
              <w:t>2018-05-21</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lastRenderedPageBreak/>
              <w:t>15</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B16A7" w:rsidP="006B2E64">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富荣基金管理有限公司关于旗下部分基金新增世纪证券为销售机构并开通基金定期定额投资业务的公告</w:t>
            </w:r>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2018-05-21</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16</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B16A7" w:rsidP="006B2E64">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富荣基金管理有限公司关于旗下部分基金参加深圳市新兰德证券投资咨询有限公司基金申购及定期定额投资申购费率优惠活动的公告</w:t>
            </w:r>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2018-05-30</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17</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B16A7" w:rsidP="006B2E64">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w:t>
            </w:r>
            <w:proofErr w:type="gramStart"/>
            <w:r w:rsidRPr="00A50A65">
              <w:rPr>
                <w:rFonts w:asciiTheme="minorEastAsia" w:eastAsiaTheme="minorEastAsia" w:hAnsiTheme="minorEastAsia" w:cs="Arial" w:hint="eastAsia"/>
                <w:kern w:val="0"/>
                <w:sz w:val="24"/>
                <w:szCs w:val="24"/>
              </w:rPr>
              <w:t>荣基金</w:t>
            </w:r>
            <w:proofErr w:type="gramEnd"/>
            <w:r w:rsidRPr="00A50A65">
              <w:rPr>
                <w:rFonts w:asciiTheme="minorEastAsia" w:eastAsiaTheme="minorEastAsia" w:hAnsiTheme="minorEastAsia" w:cs="Arial" w:hint="eastAsia"/>
                <w:kern w:val="0"/>
                <w:sz w:val="24"/>
                <w:szCs w:val="24"/>
              </w:rPr>
              <w:t>管理有限公司关于旗下部分基金新增深圳市新兰德证券投资咨询有限公司为销售机构并开通基金</w:t>
            </w:r>
            <w:proofErr w:type="gramStart"/>
            <w:r w:rsidRPr="00A50A65">
              <w:rPr>
                <w:rFonts w:asciiTheme="minorEastAsia" w:eastAsiaTheme="minorEastAsia" w:hAnsiTheme="minorEastAsia" w:cs="Arial" w:hint="eastAsia"/>
                <w:kern w:val="0"/>
                <w:sz w:val="24"/>
                <w:szCs w:val="24"/>
              </w:rPr>
              <w:t>定投业务</w:t>
            </w:r>
            <w:proofErr w:type="gramEnd"/>
            <w:r w:rsidRPr="00A50A65">
              <w:rPr>
                <w:rFonts w:asciiTheme="minorEastAsia" w:eastAsiaTheme="minorEastAsia" w:hAnsiTheme="minorEastAsia" w:cs="Arial" w:hint="eastAsia"/>
                <w:kern w:val="0"/>
                <w:sz w:val="24"/>
                <w:szCs w:val="24"/>
              </w:rPr>
              <w:t>的公告</w:t>
            </w:r>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2018-05-30</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18</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B16A7" w:rsidP="006B2E64">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富荣基金管理有限公司旗下基金2018年半年度最后一个交易日基金资产净值、基金份额净值及份额累计净值公告</w:t>
            </w:r>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2018-06-30</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19</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B16A7" w:rsidP="006B2E64">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富荣基金管理有限公司旗下基金2018年半年度最后一个市场自然日基金资产净值、基金份额净值及份额累计净值公告</w:t>
            </w:r>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2018-07-02</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96BC4" w:rsidP="006B2E64">
            <w:pPr>
              <w:rPr>
                <w:rFonts w:asciiTheme="minorEastAsia" w:eastAsiaTheme="minorEastAsia" w:hAnsiTheme="minorEastAsia" w:cs="Arial"/>
                <w:kern w:val="0"/>
                <w:sz w:val="24"/>
                <w:szCs w:val="24"/>
              </w:rPr>
            </w:pPr>
            <w:hyperlink r:id="rId32" w:tgtFrame="_blank" w:tooltip="富荣富安债券型证券投资基金2018年第二季度报告" w:history="1">
              <w:r w:rsidR="004B16A7" w:rsidRPr="00A50A65">
                <w:rPr>
                  <w:rFonts w:asciiTheme="minorEastAsia" w:eastAsiaTheme="minorEastAsia" w:hAnsiTheme="minorEastAsia" w:cs="Arial" w:hint="eastAsia"/>
                  <w:kern w:val="0"/>
                  <w:sz w:val="24"/>
                  <w:szCs w:val="24"/>
                </w:rPr>
                <w:t>富荣富安债券型证券投资基金2018年第二季度报告</w:t>
              </w:r>
            </w:hyperlink>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2018-07-20</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21</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96BC4" w:rsidP="006B2E64">
            <w:pPr>
              <w:rPr>
                <w:rFonts w:asciiTheme="minorEastAsia" w:eastAsiaTheme="minorEastAsia" w:hAnsiTheme="minorEastAsia" w:cs="Arial"/>
                <w:kern w:val="0"/>
                <w:sz w:val="24"/>
                <w:szCs w:val="24"/>
              </w:rPr>
            </w:pPr>
            <w:hyperlink r:id="rId33" w:tgtFrame="_blank" w:tooltip="富荣基金关于副总经理变更的公告" w:history="1">
              <w:r w:rsidR="004B16A7" w:rsidRPr="00A50A65">
                <w:rPr>
                  <w:rFonts w:asciiTheme="minorEastAsia" w:eastAsiaTheme="minorEastAsia" w:hAnsiTheme="minorEastAsia" w:cs="Arial" w:hint="eastAsia"/>
                  <w:kern w:val="0"/>
                  <w:sz w:val="24"/>
                  <w:szCs w:val="24"/>
                </w:rPr>
                <w:t>富荣基金关于副总经理变更的公告</w:t>
              </w:r>
            </w:hyperlink>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2018-07-28</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22</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96BC4" w:rsidP="006B2E64">
            <w:pPr>
              <w:rPr>
                <w:rFonts w:asciiTheme="minorEastAsia" w:eastAsiaTheme="minorEastAsia" w:hAnsiTheme="minorEastAsia" w:cs="Arial"/>
                <w:kern w:val="0"/>
                <w:sz w:val="24"/>
                <w:szCs w:val="24"/>
              </w:rPr>
            </w:pPr>
            <w:hyperlink r:id="rId34" w:tgtFrame="_blank" w:tooltip="富荣基金关于副总经理变更的公告" w:history="1">
              <w:r w:rsidR="004B16A7" w:rsidRPr="00A50A65">
                <w:rPr>
                  <w:rFonts w:asciiTheme="minorEastAsia" w:eastAsiaTheme="minorEastAsia" w:hAnsiTheme="minorEastAsia" w:cs="Arial" w:hint="eastAsia"/>
                  <w:kern w:val="0"/>
                  <w:sz w:val="24"/>
                  <w:szCs w:val="24"/>
                </w:rPr>
                <w:t>富荣基金关于副总经理变更的公告</w:t>
              </w:r>
            </w:hyperlink>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2018-08-04</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23</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96BC4" w:rsidP="006B2E64">
            <w:pPr>
              <w:rPr>
                <w:rFonts w:asciiTheme="minorEastAsia" w:eastAsiaTheme="minorEastAsia" w:hAnsiTheme="minorEastAsia" w:cs="Arial"/>
                <w:kern w:val="0"/>
                <w:sz w:val="24"/>
                <w:szCs w:val="24"/>
              </w:rPr>
            </w:pPr>
            <w:hyperlink r:id="rId35" w:tgtFrame="_blank" w:tooltip="关于富荣富安债券型证券投资基金暂停接受个人投资者申购申请的公告" w:history="1">
              <w:r w:rsidR="004B16A7" w:rsidRPr="00A50A65">
                <w:rPr>
                  <w:rFonts w:asciiTheme="minorEastAsia" w:eastAsiaTheme="minorEastAsia" w:hAnsiTheme="minorEastAsia" w:cs="Arial" w:hint="eastAsia"/>
                  <w:kern w:val="0"/>
                  <w:sz w:val="24"/>
                  <w:szCs w:val="24"/>
                </w:rPr>
                <w:t>关于富荣富安债券型证券投资基金暂停接受个人投资者申购申请的公告</w:t>
              </w:r>
            </w:hyperlink>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2018-08-10</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24</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B16A7" w:rsidP="006B2E64">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w:t>
            </w:r>
            <w:proofErr w:type="gramStart"/>
            <w:r w:rsidRPr="00A50A65">
              <w:rPr>
                <w:rFonts w:asciiTheme="minorEastAsia" w:eastAsiaTheme="minorEastAsia" w:hAnsiTheme="minorEastAsia" w:cs="Arial" w:hint="eastAsia"/>
                <w:kern w:val="0"/>
                <w:sz w:val="24"/>
                <w:szCs w:val="24"/>
              </w:rPr>
              <w:t>荣基金</w:t>
            </w:r>
            <w:proofErr w:type="gramEnd"/>
            <w:r w:rsidRPr="00A50A65">
              <w:rPr>
                <w:rFonts w:asciiTheme="minorEastAsia" w:eastAsiaTheme="minorEastAsia" w:hAnsiTheme="minorEastAsia" w:cs="Arial" w:hint="eastAsia"/>
                <w:kern w:val="0"/>
                <w:sz w:val="24"/>
                <w:szCs w:val="24"/>
              </w:rPr>
              <w:t>管理有限公司关于旗下部分基金</w:t>
            </w:r>
            <w:proofErr w:type="gramStart"/>
            <w:r w:rsidRPr="00A50A65">
              <w:rPr>
                <w:rFonts w:asciiTheme="minorEastAsia" w:eastAsiaTheme="minorEastAsia" w:hAnsiTheme="minorEastAsia" w:cs="Arial" w:hint="eastAsia"/>
                <w:kern w:val="0"/>
                <w:sz w:val="24"/>
                <w:szCs w:val="24"/>
              </w:rPr>
              <w:t>新增泰诚财富</w:t>
            </w:r>
            <w:proofErr w:type="gramEnd"/>
            <w:r w:rsidRPr="00A50A65">
              <w:rPr>
                <w:rFonts w:asciiTheme="minorEastAsia" w:eastAsiaTheme="minorEastAsia" w:hAnsiTheme="minorEastAsia" w:cs="Arial" w:hint="eastAsia"/>
                <w:kern w:val="0"/>
                <w:sz w:val="24"/>
                <w:szCs w:val="24"/>
              </w:rPr>
              <w:t>基金销售（大连）有限公司为销售机构并开通基金</w:t>
            </w:r>
            <w:proofErr w:type="gramStart"/>
            <w:r w:rsidRPr="00A50A65">
              <w:rPr>
                <w:rFonts w:asciiTheme="minorEastAsia" w:eastAsiaTheme="minorEastAsia" w:hAnsiTheme="minorEastAsia" w:cs="Arial" w:hint="eastAsia"/>
                <w:kern w:val="0"/>
                <w:sz w:val="24"/>
                <w:szCs w:val="24"/>
              </w:rPr>
              <w:t>定投业务</w:t>
            </w:r>
            <w:proofErr w:type="gramEnd"/>
            <w:r w:rsidRPr="00A50A65">
              <w:rPr>
                <w:rFonts w:asciiTheme="minorEastAsia" w:eastAsiaTheme="minorEastAsia" w:hAnsiTheme="minorEastAsia" w:cs="Arial" w:hint="eastAsia"/>
                <w:kern w:val="0"/>
                <w:sz w:val="24"/>
                <w:szCs w:val="24"/>
              </w:rPr>
              <w:t>的公告</w:t>
            </w:r>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2018-08-16</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25</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B16A7" w:rsidP="006B2E64">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w:t>
            </w:r>
            <w:proofErr w:type="gramStart"/>
            <w:r w:rsidRPr="00A50A65">
              <w:rPr>
                <w:rFonts w:asciiTheme="minorEastAsia" w:eastAsiaTheme="minorEastAsia" w:hAnsiTheme="minorEastAsia" w:cs="Arial" w:hint="eastAsia"/>
                <w:kern w:val="0"/>
                <w:sz w:val="24"/>
                <w:szCs w:val="24"/>
              </w:rPr>
              <w:t>荣基金</w:t>
            </w:r>
            <w:proofErr w:type="gramEnd"/>
            <w:r w:rsidRPr="00A50A65">
              <w:rPr>
                <w:rFonts w:asciiTheme="minorEastAsia" w:eastAsiaTheme="minorEastAsia" w:hAnsiTheme="minorEastAsia" w:cs="Arial" w:hint="eastAsia"/>
                <w:kern w:val="0"/>
                <w:sz w:val="24"/>
                <w:szCs w:val="24"/>
              </w:rPr>
              <w:t>管理有限公司关于旗下部分基金</w:t>
            </w:r>
            <w:proofErr w:type="gramStart"/>
            <w:r w:rsidRPr="00A50A65">
              <w:rPr>
                <w:rFonts w:asciiTheme="minorEastAsia" w:eastAsiaTheme="minorEastAsia" w:hAnsiTheme="minorEastAsia" w:cs="Arial" w:hint="eastAsia"/>
                <w:kern w:val="0"/>
                <w:sz w:val="24"/>
                <w:szCs w:val="24"/>
              </w:rPr>
              <w:t>参加泰诚财富</w:t>
            </w:r>
            <w:proofErr w:type="gramEnd"/>
            <w:r w:rsidRPr="00A50A65">
              <w:rPr>
                <w:rFonts w:asciiTheme="minorEastAsia" w:eastAsiaTheme="minorEastAsia" w:hAnsiTheme="minorEastAsia" w:cs="Arial" w:hint="eastAsia"/>
                <w:kern w:val="0"/>
                <w:sz w:val="24"/>
                <w:szCs w:val="24"/>
              </w:rPr>
              <w:t>基金销售（大连）有限公司基金申购及定期定额投资申购费率优惠活动的公告</w:t>
            </w:r>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2018-08-16</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26</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96BC4" w:rsidP="006B2E64">
            <w:pPr>
              <w:rPr>
                <w:rFonts w:asciiTheme="minorEastAsia" w:eastAsiaTheme="minorEastAsia" w:hAnsiTheme="minorEastAsia" w:cs="Arial"/>
                <w:kern w:val="0"/>
                <w:sz w:val="24"/>
                <w:szCs w:val="24"/>
              </w:rPr>
            </w:pPr>
            <w:hyperlink r:id="rId36" w:tgtFrame="_blank" w:tooltip="富荣富安债券型证券投资基金2018年半年度报告" w:history="1">
              <w:r w:rsidR="004B16A7" w:rsidRPr="00A50A65">
                <w:rPr>
                  <w:rFonts w:asciiTheme="minorEastAsia" w:eastAsiaTheme="minorEastAsia" w:hAnsiTheme="minorEastAsia" w:cs="Arial" w:hint="eastAsia"/>
                  <w:kern w:val="0"/>
                  <w:sz w:val="24"/>
                  <w:szCs w:val="24"/>
                </w:rPr>
                <w:t>富荣富安债券型证券投资基金2018年半年度报告</w:t>
              </w:r>
            </w:hyperlink>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2018-08-29</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27</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96BC4" w:rsidP="006B2E64">
            <w:pPr>
              <w:rPr>
                <w:rFonts w:asciiTheme="minorEastAsia" w:eastAsiaTheme="minorEastAsia" w:hAnsiTheme="minorEastAsia" w:cs="Arial"/>
                <w:kern w:val="0"/>
                <w:sz w:val="24"/>
                <w:szCs w:val="24"/>
              </w:rPr>
            </w:pPr>
            <w:hyperlink r:id="rId37" w:tgtFrame="_blank" w:tooltip="富荣富安债券型证券投资基金2018年半年度报告摘要" w:history="1">
              <w:r w:rsidR="004B16A7" w:rsidRPr="00A50A65">
                <w:rPr>
                  <w:rFonts w:asciiTheme="minorEastAsia" w:eastAsiaTheme="minorEastAsia" w:hAnsiTheme="minorEastAsia" w:cs="Arial" w:hint="eastAsia"/>
                  <w:kern w:val="0"/>
                  <w:sz w:val="24"/>
                  <w:szCs w:val="24"/>
                </w:rPr>
                <w:t>富荣富安债券型证券投资基金2018年半年度报告摘要</w:t>
              </w:r>
            </w:hyperlink>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2018-08-29</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28</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96BC4" w:rsidP="006B2E64">
            <w:pPr>
              <w:rPr>
                <w:rFonts w:asciiTheme="minorEastAsia" w:eastAsiaTheme="minorEastAsia" w:hAnsiTheme="minorEastAsia" w:cs="Arial"/>
                <w:kern w:val="0"/>
                <w:sz w:val="24"/>
                <w:szCs w:val="24"/>
              </w:rPr>
            </w:pPr>
            <w:hyperlink r:id="rId38" w:tgtFrame="_blank" w:tooltip="富荣基金关于增聘副总经理的公告" w:history="1">
              <w:r w:rsidR="004B16A7" w:rsidRPr="00A50A65">
                <w:rPr>
                  <w:rFonts w:asciiTheme="minorEastAsia" w:eastAsiaTheme="minorEastAsia" w:hAnsiTheme="minorEastAsia" w:cs="Arial" w:hint="eastAsia"/>
                  <w:kern w:val="0"/>
                  <w:sz w:val="24"/>
                  <w:szCs w:val="24"/>
                </w:rPr>
                <w:t>富荣基金关于增聘副总经理的公告</w:t>
              </w:r>
            </w:hyperlink>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2018-09-10</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29</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B16A7" w:rsidP="006B2E64">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富荣基金管理有限公司关于旗下部分基金参加济安财富（北京）基金销售有限公司基金申购及定期定额投资申购费率优惠活动的公告</w:t>
            </w:r>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2018-09-11</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30</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B16A7" w:rsidP="006B2E64">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w:t>
            </w:r>
            <w:proofErr w:type="gramStart"/>
            <w:r w:rsidRPr="00A50A65">
              <w:rPr>
                <w:rFonts w:asciiTheme="minorEastAsia" w:eastAsiaTheme="minorEastAsia" w:hAnsiTheme="minorEastAsia" w:cs="Arial" w:hint="eastAsia"/>
                <w:kern w:val="0"/>
                <w:sz w:val="24"/>
                <w:szCs w:val="24"/>
              </w:rPr>
              <w:t>荣基金</w:t>
            </w:r>
            <w:proofErr w:type="gramEnd"/>
            <w:r w:rsidRPr="00A50A65">
              <w:rPr>
                <w:rFonts w:asciiTheme="minorEastAsia" w:eastAsiaTheme="minorEastAsia" w:hAnsiTheme="minorEastAsia" w:cs="Arial" w:hint="eastAsia"/>
                <w:kern w:val="0"/>
                <w:sz w:val="24"/>
                <w:szCs w:val="24"/>
              </w:rPr>
              <w:t>管理有限公司关于旗下部分</w:t>
            </w:r>
            <w:r w:rsidRPr="00A50A65">
              <w:rPr>
                <w:rFonts w:asciiTheme="minorEastAsia" w:eastAsiaTheme="minorEastAsia" w:hAnsiTheme="minorEastAsia" w:cs="Arial" w:hint="eastAsia"/>
                <w:kern w:val="0"/>
                <w:sz w:val="24"/>
                <w:szCs w:val="24"/>
              </w:rPr>
              <w:lastRenderedPageBreak/>
              <w:t>基金新增济安财富（北京）基金销售有限公司为销售机构并开通基金</w:t>
            </w:r>
            <w:proofErr w:type="gramStart"/>
            <w:r w:rsidRPr="00A50A65">
              <w:rPr>
                <w:rFonts w:asciiTheme="minorEastAsia" w:eastAsiaTheme="minorEastAsia" w:hAnsiTheme="minorEastAsia" w:cs="Arial" w:hint="eastAsia"/>
                <w:kern w:val="0"/>
                <w:sz w:val="24"/>
                <w:szCs w:val="24"/>
              </w:rPr>
              <w:t>定投业务</w:t>
            </w:r>
            <w:proofErr w:type="gramEnd"/>
            <w:r w:rsidRPr="00A50A65">
              <w:rPr>
                <w:rFonts w:asciiTheme="minorEastAsia" w:eastAsiaTheme="minorEastAsia" w:hAnsiTheme="minorEastAsia" w:cs="Arial" w:hint="eastAsia"/>
                <w:kern w:val="0"/>
                <w:sz w:val="24"/>
                <w:szCs w:val="24"/>
              </w:rPr>
              <w:t>的公告</w:t>
            </w:r>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lastRenderedPageBreak/>
              <w:t>2018-09-11</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lastRenderedPageBreak/>
              <w:t>31</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96BC4" w:rsidP="006B2E64">
            <w:pPr>
              <w:rPr>
                <w:rFonts w:asciiTheme="minorEastAsia" w:eastAsiaTheme="minorEastAsia" w:hAnsiTheme="minorEastAsia" w:cs="Arial"/>
                <w:kern w:val="0"/>
                <w:sz w:val="24"/>
                <w:szCs w:val="24"/>
              </w:rPr>
            </w:pPr>
            <w:hyperlink r:id="rId39" w:tgtFrame="_blank" w:tooltip="富荣基金管理有限公司关于旗下基金在直销平台开通基金转换业务的公告" w:history="1">
              <w:r w:rsidR="004B16A7" w:rsidRPr="00A50A65">
                <w:rPr>
                  <w:rFonts w:asciiTheme="minorEastAsia" w:eastAsiaTheme="minorEastAsia" w:hAnsiTheme="minorEastAsia" w:cs="Arial" w:hint="eastAsia"/>
                  <w:kern w:val="0"/>
                  <w:sz w:val="24"/>
                  <w:szCs w:val="24"/>
                </w:rPr>
                <w:t>富荣基金管理有限公司关于旗下基金在直销平台开通基金转换业务的公告</w:t>
              </w:r>
            </w:hyperlink>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2018-09-15</w:t>
            </w:r>
          </w:p>
        </w:tc>
      </w:tr>
      <w:tr w:rsidR="004B16A7" w:rsidRPr="00A50A65" w:rsidTr="00F16A98">
        <w:trPr>
          <w:trHeight w:val="144"/>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32</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B16A7" w:rsidP="006B2E64">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w:t>
            </w:r>
            <w:proofErr w:type="gramStart"/>
            <w:r w:rsidRPr="00A50A65">
              <w:rPr>
                <w:rFonts w:asciiTheme="minorEastAsia" w:eastAsiaTheme="minorEastAsia" w:hAnsiTheme="minorEastAsia" w:cs="Arial" w:hint="eastAsia"/>
                <w:kern w:val="0"/>
                <w:sz w:val="24"/>
                <w:szCs w:val="24"/>
              </w:rPr>
              <w:t>荣基金</w:t>
            </w:r>
            <w:proofErr w:type="gramEnd"/>
            <w:r w:rsidRPr="00A50A65">
              <w:rPr>
                <w:rFonts w:asciiTheme="minorEastAsia" w:eastAsiaTheme="minorEastAsia" w:hAnsiTheme="minorEastAsia" w:cs="Arial" w:hint="eastAsia"/>
                <w:kern w:val="0"/>
                <w:sz w:val="24"/>
                <w:szCs w:val="24"/>
              </w:rPr>
              <w:t>管理有限公司关于旗下部分基金新增金惠家保险代理有限公司为销售机构并开通基金</w:t>
            </w:r>
            <w:proofErr w:type="gramStart"/>
            <w:r w:rsidRPr="00A50A65">
              <w:rPr>
                <w:rFonts w:asciiTheme="minorEastAsia" w:eastAsiaTheme="minorEastAsia" w:hAnsiTheme="minorEastAsia" w:cs="Arial" w:hint="eastAsia"/>
                <w:kern w:val="0"/>
                <w:sz w:val="24"/>
                <w:szCs w:val="24"/>
              </w:rPr>
              <w:t>定投业务</w:t>
            </w:r>
            <w:proofErr w:type="gramEnd"/>
            <w:r w:rsidRPr="00A50A65">
              <w:rPr>
                <w:rFonts w:asciiTheme="minorEastAsia" w:eastAsiaTheme="minorEastAsia" w:hAnsiTheme="minorEastAsia" w:cs="Arial" w:hint="eastAsia"/>
                <w:kern w:val="0"/>
                <w:sz w:val="24"/>
                <w:szCs w:val="24"/>
              </w:rPr>
              <w:t>的公告</w:t>
            </w:r>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2018-09-20</w:t>
            </w:r>
          </w:p>
        </w:tc>
      </w:tr>
      <w:tr w:rsidR="004B16A7" w:rsidRPr="00A50A65" w:rsidTr="00F16A98">
        <w:trPr>
          <w:trHeight w:val="938"/>
        </w:trPr>
        <w:tc>
          <w:tcPr>
            <w:tcW w:w="817"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33</w:t>
            </w:r>
          </w:p>
        </w:tc>
        <w:tc>
          <w:tcPr>
            <w:tcW w:w="4232" w:type="dxa"/>
            <w:tcBorders>
              <w:top w:val="single" w:sz="4" w:space="0" w:color="auto"/>
              <w:left w:val="single" w:sz="4" w:space="0" w:color="auto"/>
              <w:bottom w:val="single" w:sz="4" w:space="0" w:color="auto"/>
              <w:right w:val="single" w:sz="4" w:space="0" w:color="auto"/>
            </w:tcBorders>
          </w:tcPr>
          <w:p w:rsidR="004B16A7" w:rsidRPr="00A50A65" w:rsidRDefault="004B16A7" w:rsidP="006B2E64">
            <w:pP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富荣基金管理有限公司关于旗下部分基金参加金惠家保险代理有限公司基金申购及定期定额投资申购费率优惠活动的公告</w:t>
            </w:r>
          </w:p>
        </w:tc>
        <w:tc>
          <w:tcPr>
            <w:tcW w:w="2525" w:type="dxa"/>
            <w:tcBorders>
              <w:top w:val="single" w:sz="4" w:space="0" w:color="auto"/>
              <w:left w:val="single" w:sz="4" w:space="0" w:color="auto"/>
              <w:bottom w:val="single" w:sz="4" w:space="0" w:color="auto"/>
              <w:right w:val="single" w:sz="4" w:space="0" w:color="auto"/>
            </w:tcBorders>
          </w:tcPr>
          <w:p w:rsidR="004B16A7" w:rsidRPr="00A50A65" w:rsidRDefault="004B16A7" w:rsidP="00A50A65">
            <w:pPr>
              <w:jc w:val="center"/>
              <w:rPr>
                <w:rFonts w:asciiTheme="minorEastAsia" w:eastAsiaTheme="minorEastAsia" w:hAnsiTheme="minorEastAsia" w:cs="Arial"/>
                <w:kern w:val="0"/>
                <w:sz w:val="24"/>
                <w:szCs w:val="24"/>
              </w:rPr>
            </w:pPr>
            <w:r w:rsidRPr="00A50A65">
              <w:rPr>
                <w:rFonts w:asciiTheme="minorEastAsia" w:eastAsiaTheme="minorEastAsia" w:hAnsiTheme="minorEastAsia" w:cs="Arial" w:hint="eastAsia"/>
                <w:kern w:val="0"/>
                <w:sz w:val="24"/>
                <w:szCs w:val="24"/>
              </w:rPr>
              <w:t>2018-09-20</w:t>
            </w:r>
          </w:p>
        </w:tc>
      </w:tr>
      <w:tr w:rsidR="00534887" w:rsidRPr="00A50A65" w:rsidTr="00F16A98">
        <w:trPr>
          <w:trHeight w:val="938"/>
        </w:trPr>
        <w:tc>
          <w:tcPr>
            <w:tcW w:w="817" w:type="dxa"/>
            <w:tcBorders>
              <w:top w:val="single" w:sz="4" w:space="0" w:color="auto"/>
              <w:left w:val="single" w:sz="4" w:space="0" w:color="auto"/>
              <w:bottom w:val="single" w:sz="4" w:space="0" w:color="auto"/>
              <w:right w:val="single" w:sz="4" w:space="0" w:color="auto"/>
            </w:tcBorders>
          </w:tcPr>
          <w:p w:rsidR="00534887" w:rsidRPr="00A50A65" w:rsidRDefault="00534887" w:rsidP="00A50A65">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34</w:t>
            </w:r>
          </w:p>
        </w:tc>
        <w:tc>
          <w:tcPr>
            <w:tcW w:w="4232" w:type="dxa"/>
            <w:tcBorders>
              <w:top w:val="single" w:sz="4" w:space="0" w:color="auto"/>
              <w:left w:val="single" w:sz="4" w:space="0" w:color="auto"/>
              <w:bottom w:val="single" w:sz="4" w:space="0" w:color="auto"/>
              <w:right w:val="single" w:sz="4" w:space="0" w:color="auto"/>
            </w:tcBorders>
          </w:tcPr>
          <w:p w:rsidR="00534887" w:rsidRPr="00A50A65" w:rsidRDefault="00534887" w:rsidP="006B2E64">
            <w:pPr>
              <w:rPr>
                <w:rFonts w:asciiTheme="minorEastAsia" w:eastAsiaTheme="minorEastAsia" w:hAnsiTheme="minorEastAsia" w:cs="Arial"/>
                <w:kern w:val="0"/>
                <w:sz w:val="24"/>
                <w:szCs w:val="24"/>
              </w:rPr>
            </w:pPr>
            <w:r w:rsidRPr="00534887">
              <w:rPr>
                <w:rFonts w:asciiTheme="minorEastAsia" w:eastAsiaTheme="minorEastAsia" w:hAnsiTheme="minorEastAsia" w:cs="Arial" w:hint="eastAsia"/>
                <w:kern w:val="0"/>
                <w:sz w:val="24"/>
                <w:szCs w:val="24"/>
              </w:rPr>
              <w:t>富</w:t>
            </w:r>
            <w:proofErr w:type="gramStart"/>
            <w:r w:rsidRPr="00534887">
              <w:rPr>
                <w:rFonts w:asciiTheme="minorEastAsia" w:eastAsiaTheme="minorEastAsia" w:hAnsiTheme="minorEastAsia" w:cs="Arial" w:hint="eastAsia"/>
                <w:kern w:val="0"/>
                <w:sz w:val="24"/>
                <w:szCs w:val="24"/>
              </w:rPr>
              <w:t>荣基金</w:t>
            </w:r>
            <w:proofErr w:type="gramEnd"/>
            <w:r w:rsidRPr="00534887">
              <w:rPr>
                <w:rFonts w:asciiTheme="minorEastAsia" w:eastAsiaTheme="minorEastAsia" w:hAnsiTheme="minorEastAsia" w:cs="Arial" w:hint="eastAsia"/>
                <w:kern w:val="0"/>
                <w:sz w:val="24"/>
                <w:szCs w:val="24"/>
              </w:rPr>
              <w:t>管理有限公司关于旗下部分基金参加民</w:t>
            </w:r>
            <w:proofErr w:type="gramStart"/>
            <w:r w:rsidRPr="00534887">
              <w:rPr>
                <w:rFonts w:asciiTheme="minorEastAsia" w:eastAsiaTheme="minorEastAsia" w:hAnsiTheme="minorEastAsia" w:cs="Arial" w:hint="eastAsia"/>
                <w:kern w:val="0"/>
                <w:sz w:val="24"/>
                <w:szCs w:val="24"/>
              </w:rPr>
              <w:t>商基金</w:t>
            </w:r>
            <w:proofErr w:type="gramEnd"/>
            <w:r w:rsidRPr="00534887">
              <w:rPr>
                <w:rFonts w:asciiTheme="minorEastAsia" w:eastAsiaTheme="minorEastAsia" w:hAnsiTheme="minorEastAsia" w:cs="Arial" w:hint="eastAsia"/>
                <w:kern w:val="0"/>
                <w:sz w:val="24"/>
                <w:szCs w:val="24"/>
              </w:rPr>
              <w:t>销售（上海）有限公司基金申购及定期定额投资申购费率优惠活动的公告</w:t>
            </w:r>
          </w:p>
        </w:tc>
        <w:tc>
          <w:tcPr>
            <w:tcW w:w="2525" w:type="dxa"/>
            <w:tcBorders>
              <w:top w:val="single" w:sz="4" w:space="0" w:color="auto"/>
              <w:left w:val="single" w:sz="4" w:space="0" w:color="auto"/>
              <w:bottom w:val="single" w:sz="4" w:space="0" w:color="auto"/>
              <w:right w:val="single" w:sz="4" w:space="0" w:color="auto"/>
            </w:tcBorders>
          </w:tcPr>
          <w:p w:rsidR="00534887" w:rsidRPr="00A50A65" w:rsidRDefault="00534887" w:rsidP="00A50A65">
            <w:pPr>
              <w:jc w:val="center"/>
              <w:rPr>
                <w:rFonts w:asciiTheme="minorEastAsia" w:eastAsiaTheme="minorEastAsia" w:hAnsiTheme="minorEastAsia" w:cs="Arial"/>
                <w:kern w:val="0"/>
                <w:sz w:val="24"/>
                <w:szCs w:val="24"/>
              </w:rPr>
            </w:pPr>
            <w:r w:rsidRPr="00534887">
              <w:rPr>
                <w:rFonts w:asciiTheme="minorEastAsia" w:eastAsiaTheme="minorEastAsia" w:hAnsiTheme="minorEastAsia" w:cs="Arial" w:hint="eastAsia"/>
                <w:kern w:val="0"/>
                <w:sz w:val="24"/>
                <w:szCs w:val="24"/>
              </w:rPr>
              <w:t>2018-10-24</w:t>
            </w:r>
          </w:p>
        </w:tc>
      </w:tr>
      <w:tr w:rsidR="00534887" w:rsidRPr="00A50A65" w:rsidTr="00F16A98">
        <w:trPr>
          <w:trHeight w:val="938"/>
        </w:trPr>
        <w:tc>
          <w:tcPr>
            <w:tcW w:w="817" w:type="dxa"/>
            <w:tcBorders>
              <w:top w:val="single" w:sz="4" w:space="0" w:color="auto"/>
              <w:left w:val="single" w:sz="4" w:space="0" w:color="auto"/>
              <w:bottom w:val="single" w:sz="4" w:space="0" w:color="auto"/>
              <w:right w:val="single" w:sz="4" w:space="0" w:color="auto"/>
            </w:tcBorders>
          </w:tcPr>
          <w:p w:rsidR="00534887" w:rsidRDefault="00534887" w:rsidP="00A50A65">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35</w:t>
            </w:r>
          </w:p>
        </w:tc>
        <w:tc>
          <w:tcPr>
            <w:tcW w:w="4232" w:type="dxa"/>
            <w:tcBorders>
              <w:top w:val="single" w:sz="4" w:space="0" w:color="auto"/>
              <w:left w:val="single" w:sz="4" w:space="0" w:color="auto"/>
              <w:bottom w:val="single" w:sz="4" w:space="0" w:color="auto"/>
              <w:right w:val="single" w:sz="4" w:space="0" w:color="auto"/>
            </w:tcBorders>
          </w:tcPr>
          <w:p w:rsidR="00534887" w:rsidRPr="00534887" w:rsidRDefault="00534887" w:rsidP="006B2E64">
            <w:pPr>
              <w:rPr>
                <w:rFonts w:asciiTheme="minorEastAsia" w:eastAsiaTheme="minorEastAsia" w:hAnsiTheme="minorEastAsia" w:cs="Arial"/>
                <w:kern w:val="0"/>
                <w:sz w:val="24"/>
                <w:szCs w:val="24"/>
              </w:rPr>
            </w:pPr>
            <w:r w:rsidRPr="00534887">
              <w:rPr>
                <w:rFonts w:asciiTheme="minorEastAsia" w:eastAsiaTheme="minorEastAsia" w:hAnsiTheme="minorEastAsia" w:cs="Arial" w:hint="eastAsia"/>
                <w:kern w:val="0"/>
                <w:sz w:val="24"/>
                <w:szCs w:val="24"/>
              </w:rPr>
              <w:t>富</w:t>
            </w:r>
            <w:proofErr w:type="gramStart"/>
            <w:r w:rsidRPr="00534887">
              <w:rPr>
                <w:rFonts w:asciiTheme="minorEastAsia" w:eastAsiaTheme="minorEastAsia" w:hAnsiTheme="minorEastAsia" w:cs="Arial" w:hint="eastAsia"/>
                <w:kern w:val="0"/>
                <w:sz w:val="24"/>
                <w:szCs w:val="24"/>
              </w:rPr>
              <w:t>荣基金</w:t>
            </w:r>
            <w:proofErr w:type="gramEnd"/>
            <w:r w:rsidRPr="00534887">
              <w:rPr>
                <w:rFonts w:asciiTheme="minorEastAsia" w:eastAsiaTheme="minorEastAsia" w:hAnsiTheme="minorEastAsia" w:cs="Arial" w:hint="eastAsia"/>
                <w:kern w:val="0"/>
                <w:sz w:val="24"/>
                <w:szCs w:val="24"/>
              </w:rPr>
              <w:t>管理有限公司关于旗下部分基金新增民</w:t>
            </w:r>
            <w:proofErr w:type="gramStart"/>
            <w:r w:rsidRPr="00534887">
              <w:rPr>
                <w:rFonts w:asciiTheme="minorEastAsia" w:eastAsiaTheme="minorEastAsia" w:hAnsiTheme="minorEastAsia" w:cs="Arial" w:hint="eastAsia"/>
                <w:kern w:val="0"/>
                <w:sz w:val="24"/>
                <w:szCs w:val="24"/>
              </w:rPr>
              <w:t>商基金</w:t>
            </w:r>
            <w:proofErr w:type="gramEnd"/>
            <w:r w:rsidRPr="00534887">
              <w:rPr>
                <w:rFonts w:asciiTheme="minorEastAsia" w:eastAsiaTheme="minorEastAsia" w:hAnsiTheme="minorEastAsia" w:cs="Arial" w:hint="eastAsia"/>
                <w:kern w:val="0"/>
                <w:sz w:val="24"/>
                <w:szCs w:val="24"/>
              </w:rPr>
              <w:t>销售（上海）有限公司为销售机构并开通</w:t>
            </w:r>
            <w:proofErr w:type="gramStart"/>
            <w:r w:rsidRPr="00534887">
              <w:rPr>
                <w:rFonts w:asciiTheme="minorEastAsia" w:eastAsiaTheme="minorEastAsia" w:hAnsiTheme="minorEastAsia" w:cs="Arial" w:hint="eastAsia"/>
                <w:kern w:val="0"/>
                <w:sz w:val="24"/>
                <w:szCs w:val="24"/>
              </w:rPr>
              <w:t>基金定投转换</w:t>
            </w:r>
            <w:proofErr w:type="gramEnd"/>
            <w:r w:rsidRPr="00534887">
              <w:rPr>
                <w:rFonts w:asciiTheme="minorEastAsia" w:eastAsiaTheme="minorEastAsia" w:hAnsiTheme="minorEastAsia" w:cs="Arial" w:hint="eastAsia"/>
                <w:kern w:val="0"/>
                <w:sz w:val="24"/>
                <w:szCs w:val="24"/>
              </w:rPr>
              <w:t>业务的公告</w:t>
            </w:r>
          </w:p>
        </w:tc>
        <w:tc>
          <w:tcPr>
            <w:tcW w:w="2525" w:type="dxa"/>
            <w:tcBorders>
              <w:top w:val="single" w:sz="4" w:space="0" w:color="auto"/>
              <w:left w:val="single" w:sz="4" w:space="0" w:color="auto"/>
              <w:bottom w:val="single" w:sz="4" w:space="0" w:color="auto"/>
              <w:right w:val="single" w:sz="4" w:space="0" w:color="auto"/>
            </w:tcBorders>
          </w:tcPr>
          <w:p w:rsidR="00534887" w:rsidRPr="00534887" w:rsidRDefault="00534887" w:rsidP="00A50A65">
            <w:pPr>
              <w:jc w:val="center"/>
              <w:rPr>
                <w:rFonts w:asciiTheme="minorEastAsia" w:eastAsiaTheme="minorEastAsia" w:hAnsiTheme="minorEastAsia" w:cs="Arial"/>
                <w:kern w:val="0"/>
                <w:sz w:val="24"/>
                <w:szCs w:val="24"/>
              </w:rPr>
            </w:pPr>
            <w:r w:rsidRPr="00534887">
              <w:rPr>
                <w:rFonts w:asciiTheme="minorEastAsia" w:eastAsiaTheme="minorEastAsia" w:hAnsiTheme="minorEastAsia" w:cs="Arial" w:hint="eastAsia"/>
                <w:kern w:val="0"/>
                <w:sz w:val="24"/>
                <w:szCs w:val="24"/>
              </w:rPr>
              <w:t>2018-10-24</w:t>
            </w:r>
          </w:p>
        </w:tc>
      </w:tr>
      <w:tr w:rsidR="00534887" w:rsidRPr="00A50A65" w:rsidTr="00F16A98">
        <w:trPr>
          <w:trHeight w:val="938"/>
        </w:trPr>
        <w:tc>
          <w:tcPr>
            <w:tcW w:w="817" w:type="dxa"/>
            <w:tcBorders>
              <w:top w:val="single" w:sz="4" w:space="0" w:color="auto"/>
              <w:left w:val="single" w:sz="4" w:space="0" w:color="auto"/>
              <w:bottom w:val="single" w:sz="4" w:space="0" w:color="auto"/>
              <w:right w:val="single" w:sz="4" w:space="0" w:color="auto"/>
            </w:tcBorders>
          </w:tcPr>
          <w:p w:rsidR="00534887" w:rsidRDefault="00534887" w:rsidP="00A50A65">
            <w:pPr>
              <w:jc w:val="center"/>
              <w:rPr>
                <w:rFonts w:asciiTheme="minorEastAsia" w:eastAsiaTheme="minorEastAsia" w:hAnsiTheme="minorEastAsia" w:cs="Arial"/>
                <w:kern w:val="0"/>
                <w:sz w:val="24"/>
                <w:szCs w:val="24"/>
              </w:rPr>
            </w:pPr>
            <w:r>
              <w:rPr>
                <w:rFonts w:asciiTheme="minorEastAsia" w:eastAsiaTheme="minorEastAsia" w:hAnsiTheme="minorEastAsia" w:cs="Arial" w:hint="eastAsia"/>
                <w:kern w:val="0"/>
                <w:sz w:val="24"/>
                <w:szCs w:val="24"/>
              </w:rPr>
              <w:t>36</w:t>
            </w:r>
          </w:p>
        </w:tc>
        <w:tc>
          <w:tcPr>
            <w:tcW w:w="4232" w:type="dxa"/>
            <w:tcBorders>
              <w:top w:val="single" w:sz="4" w:space="0" w:color="auto"/>
              <w:left w:val="single" w:sz="4" w:space="0" w:color="auto"/>
              <w:bottom w:val="single" w:sz="4" w:space="0" w:color="auto"/>
              <w:right w:val="single" w:sz="4" w:space="0" w:color="auto"/>
            </w:tcBorders>
          </w:tcPr>
          <w:p w:rsidR="00534887" w:rsidRPr="00534887" w:rsidRDefault="00534887" w:rsidP="006B2E64">
            <w:pPr>
              <w:rPr>
                <w:rFonts w:asciiTheme="minorEastAsia" w:eastAsiaTheme="minorEastAsia" w:hAnsiTheme="minorEastAsia" w:cs="Arial"/>
                <w:kern w:val="0"/>
                <w:sz w:val="24"/>
                <w:szCs w:val="24"/>
              </w:rPr>
            </w:pPr>
            <w:r w:rsidRPr="00534887">
              <w:rPr>
                <w:rFonts w:asciiTheme="minorEastAsia" w:eastAsiaTheme="minorEastAsia" w:hAnsiTheme="minorEastAsia" w:cs="Arial" w:hint="eastAsia"/>
                <w:kern w:val="0"/>
                <w:sz w:val="24"/>
                <w:szCs w:val="24"/>
              </w:rPr>
              <w:t>富荣富安债券型证券投资基金2018年第三季度报告</w:t>
            </w:r>
          </w:p>
        </w:tc>
        <w:tc>
          <w:tcPr>
            <w:tcW w:w="2525" w:type="dxa"/>
            <w:tcBorders>
              <w:top w:val="single" w:sz="4" w:space="0" w:color="auto"/>
              <w:left w:val="single" w:sz="4" w:space="0" w:color="auto"/>
              <w:bottom w:val="single" w:sz="4" w:space="0" w:color="auto"/>
              <w:right w:val="single" w:sz="4" w:space="0" w:color="auto"/>
            </w:tcBorders>
          </w:tcPr>
          <w:p w:rsidR="00534887" w:rsidRPr="00534887" w:rsidRDefault="00534887" w:rsidP="00A50A65">
            <w:pPr>
              <w:jc w:val="center"/>
              <w:rPr>
                <w:rFonts w:asciiTheme="minorEastAsia" w:eastAsiaTheme="minorEastAsia" w:hAnsiTheme="minorEastAsia" w:cs="Arial"/>
                <w:kern w:val="0"/>
                <w:sz w:val="24"/>
                <w:szCs w:val="24"/>
              </w:rPr>
            </w:pPr>
            <w:r w:rsidRPr="00534887">
              <w:rPr>
                <w:rFonts w:asciiTheme="minorEastAsia" w:eastAsiaTheme="minorEastAsia" w:hAnsiTheme="minorEastAsia" w:cs="Arial" w:hint="eastAsia"/>
                <w:kern w:val="0"/>
                <w:sz w:val="24"/>
                <w:szCs w:val="24"/>
              </w:rPr>
              <w:t>2018-10-25</w:t>
            </w:r>
          </w:p>
        </w:tc>
      </w:tr>
    </w:tbl>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Default="00A50A65" w:rsidP="00A50A65">
      <w:pPr>
        <w:rPr>
          <w:lang w:val="zh-CN"/>
        </w:rPr>
      </w:pPr>
    </w:p>
    <w:p w:rsidR="00A50A65" w:rsidRPr="00A50A65" w:rsidRDefault="00A50A65" w:rsidP="00A50A65">
      <w:pPr>
        <w:rPr>
          <w:lang w:val="zh-CN"/>
        </w:rPr>
      </w:pPr>
    </w:p>
    <w:p w:rsidR="00572ECF" w:rsidRDefault="00915AEA" w:rsidP="00B2071A">
      <w:pPr>
        <w:pStyle w:val="1"/>
        <w:snapToGrid w:val="0"/>
        <w:spacing w:before="0" w:after="0" w:line="360" w:lineRule="auto"/>
        <w:rPr>
          <w:rFonts w:ascii="Arial Unicode MS" w:eastAsia="宋体" w:hAnsi="Arial Unicode MS" w:cs="Arial"/>
          <w:b/>
          <w:bCs/>
          <w:sz w:val="30"/>
          <w:szCs w:val="30"/>
        </w:rPr>
      </w:pPr>
      <w:bookmarkStart w:id="207" w:name="_Toc527466011"/>
      <w:r w:rsidRPr="00A50A65">
        <w:rPr>
          <w:rFonts w:ascii="Arial Unicode MS" w:eastAsia="宋体" w:hAnsi="Arial Unicode MS" w:cs="Arial" w:hint="eastAsia"/>
          <w:b/>
          <w:bCs/>
          <w:sz w:val="30"/>
          <w:szCs w:val="30"/>
        </w:rPr>
        <w:lastRenderedPageBreak/>
        <w:t>第二十二部分</w:t>
      </w:r>
      <w:r w:rsidRPr="00A50A65">
        <w:rPr>
          <w:rFonts w:ascii="Arial Unicode MS" w:eastAsia="宋体" w:hAnsi="Arial Unicode MS" w:cs="Arial"/>
          <w:b/>
          <w:bCs/>
          <w:sz w:val="30"/>
          <w:szCs w:val="30"/>
        </w:rPr>
        <w:t xml:space="preserve">  </w:t>
      </w:r>
      <w:r w:rsidRPr="00A50A65">
        <w:rPr>
          <w:rFonts w:ascii="Arial Unicode MS" w:eastAsia="宋体" w:hAnsi="Arial Unicode MS" w:cs="Arial" w:hint="eastAsia"/>
          <w:b/>
          <w:bCs/>
          <w:sz w:val="30"/>
          <w:szCs w:val="30"/>
        </w:rPr>
        <w:t>招募说明书的存放及查阅方</w:t>
      </w:r>
      <w:r>
        <w:rPr>
          <w:rFonts w:ascii="Arial Unicode MS" w:eastAsia="宋体" w:hAnsi="Arial Unicode MS" w:cs="Arial" w:hint="eastAsia"/>
          <w:b/>
          <w:bCs/>
          <w:sz w:val="30"/>
          <w:szCs w:val="30"/>
        </w:rPr>
        <w:t>式</w:t>
      </w:r>
      <w:bookmarkEnd w:id="199"/>
      <w:bookmarkEnd w:id="200"/>
      <w:bookmarkEnd w:id="201"/>
      <w:bookmarkEnd w:id="202"/>
      <w:bookmarkEnd w:id="203"/>
      <w:bookmarkEnd w:id="204"/>
      <w:bookmarkEnd w:id="205"/>
      <w:bookmarkEnd w:id="207"/>
    </w:p>
    <w:p w:rsidR="00572ECF" w:rsidRDefault="00572ECF">
      <w:pPr>
        <w:rPr>
          <w:rFonts w:ascii="Arial Unicode MS" w:hAnsi="Arial Unicode MS"/>
          <w:lang w:val="zh-CN"/>
        </w:rPr>
      </w:pP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pPr>
      <w:r>
        <w:rPr>
          <w:rFonts w:asciiTheme="minorEastAsia" w:eastAsiaTheme="minorEastAsia" w:hAnsiTheme="minorEastAsia" w:cs="Arial"/>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rsidR="00572ECF" w:rsidRDefault="00915AEA">
      <w:pPr>
        <w:adjustRightInd w:val="0"/>
        <w:snapToGrid w:val="0"/>
        <w:spacing w:line="360" w:lineRule="auto"/>
        <w:ind w:firstLineChars="200" w:firstLine="480"/>
        <w:rPr>
          <w:rFonts w:asciiTheme="minorEastAsia" w:eastAsiaTheme="minorEastAsia" w:hAnsiTheme="minorEastAsia" w:cs="Arial"/>
          <w:kern w:val="0"/>
          <w:sz w:val="24"/>
          <w:szCs w:val="24"/>
        </w:rPr>
        <w:sectPr w:rsidR="00572ECF">
          <w:pgSz w:w="11906" w:h="16838"/>
          <w:pgMar w:top="1440" w:right="1800" w:bottom="1440" w:left="1800" w:header="851" w:footer="992" w:gutter="0"/>
          <w:cols w:space="720"/>
          <w:titlePg/>
          <w:docGrid w:linePitch="312"/>
        </w:sectPr>
      </w:pPr>
      <w:r>
        <w:rPr>
          <w:rFonts w:asciiTheme="minorEastAsia" w:eastAsiaTheme="minorEastAsia" w:hAnsiTheme="minorEastAsia" w:cs="Arial"/>
          <w:kern w:val="0"/>
          <w:sz w:val="24"/>
          <w:szCs w:val="24"/>
        </w:rPr>
        <w:t>投资人还可以直接登录基金管理人的网站（www.furamc.com.cn）查阅和下载招募说明书。</w:t>
      </w:r>
    </w:p>
    <w:p w:rsidR="00572ECF" w:rsidRDefault="00915AEA" w:rsidP="00A50A65">
      <w:pPr>
        <w:pStyle w:val="1"/>
        <w:snapToGrid w:val="0"/>
        <w:spacing w:before="0" w:after="0" w:line="360" w:lineRule="auto"/>
        <w:rPr>
          <w:rFonts w:ascii="Arial Unicode MS" w:eastAsia="宋体" w:hAnsi="Arial Unicode MS" w:cs="Arial"/>
          <w:b/>
          <w:bCs/>
          <w:sz w:val="30"/>
          <w:szCs w:val="30"/>
        </w:rPr>
      </w:pPr>
      <w:bookmarkStart w:id="208" w:name="_Toc525454771"/>
      <w:bookmarkStart w:id="209" w:name="_Toc317088167"/>
      <w:bookmarkStart w:id="210" w:name="_Toc335232710"/>
      <w:bookmarkStart w:id="211" w:name="_Toc317088556"/>
      <w:bookmarkStart w:id="212" w:name="_Toc320887661"/>
      <w:bookmarkStart w:id="213" w:name="_Toc214873623"/>
      <w:bookmarkStart w:id="214" w:name="_Toc386115319"/>
      <w:bookmarkStart w:id="215" w:name="_Toc530223199"/>
      <w:bookmarkStart w:id="216" w:name="_Toc527466012"/>
      <w:r>
        <w:rPr>
          <w:rFonts w:ascii="Arial Unicode MS" w:eastAsia="宋体" w:hAnsi="Arial Unicode MS" w:cs="Arial" w:hint="eastAsia"/>
          <w:b/>
          <w:bCs/>
          <w:sz w:val="30"/>
          <w:szCs w:val="30"/>
        </w:rPr>
        <w:lastRenderedPageBreak/>
        <w:t>第二十</w:t>
      </w:r>
      <w:r>
        <w:rPr>
          <w:rFonts w:ascii="Arial Unicode MS" w:eastAsia="宋体" w:hAnsi="Arial Unicode MS" w:cs="Arial" w:hint="eastAsia"/>
          <w:b/>
          <w:bCs/>
          <w:sz w:val="30"/>
          <w:szCs w:val="30"/>
          <w:lang w:val="en-US"/>
        </w:rPr>
        <w:t>三</w:t>
      </w:r>
      <w:r>
        <w:rPr>
          <w:rFonts w:ascii="Arial Unicode MS" w:eastAsia="宋体" w:hAnsi="Arial Unicode MS" w:cs="Arial" w:hint="eastAsia"/>
          <w:b/>
          <w:bCs/>
          <w:sz w:val="30"/>
          <w:szCs w:val="30"/>
        </w:rPr>
        <w:t>部分</w:t>
      </w:r>
      <w:r>
        <w:rPr>
          <w:rFonts w:ascii="Arial Unicode MS" w:eastAsia="宋体" w:hAnsi="Arial Unicode MS" w:cs="Arial"/>
          <w:b/>
          <w:bCs/>
          <w:sz w:val="30"/>
          <w:szCs w:val="30"/>
        </w:rPr>
        <w:t xml:space="preserve">  </w:t>
      </w:r>
      <w:bookmarkEnd w:id="206"/>
      <w:bookmarkEnd w:id="208"/>
      <w:r>
        <w:rPr>
          <w:rFonts w:ascii="Arial Unicode MS" w:eastAsia="宋体" w:hAnsi="Arial Unicode MS" w:cs="Arial" w:hint="eastAsia"/>
          <w:b/>
          <w:bCs/>
          <w:sz w:val="30"/>
          <w:szCs w:val="30"/>
        </w:rPr>
        <w:t>备查文件</w:t>
      </w:r>
      <w:bookmarkEnd w:id="209"/>
      <w:bookmarkEnd w:id="210"/>
      <w:bookmarkEnd w:id="211"/>
      <w:bookmarkEnd w:id="212"/>
      <w:bookmarkEnd w:id="213"/>
      <w:bookmarkEnd w:id="214"/>
      <w:bookmarkEnd w:id="215"/>
      <w:bookmarkEnd w:id="216"/>
    </w:p>
    <w:p w:rsidR="00A50A65" w:rsidRPr="00A50A65" w:rsidRDefault="00A50A65" w:rsidP="00A50A65">
      <w:pPr>
        <w:rPr>
          <w:lang w:val="zh-CN"/>
        </w:rPr>
      </w:pP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以下备查文件存放在基金管理人的办公场所，在办公时间可供免费查阅。</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（一）中国证监会准予富荣富安债券型证券投资基金注册的文件</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（二）《富荣富安债券型证券投资基金基金合同》</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（三）《富荣富安债券型证券投资基金托管协议》</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（四）基金管理人业务资格批件、营业执照</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（五）基金托管人业务资格批件、营业执照</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（六）关于申请募集注册富荣富安债券型证券投资基金之法律意见书</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（七）中国证监会要求的其他文件</w:t>
      </w:r>
    </w:p>
    <w:p w:rsidR="00572ECF" w:rsidRDefault="00915AEA">
      <w:pPr>
        <w:adjustRightInd w:val="0"/>
        <w:snapToGrid w:val="0"/>
        <w:spacing w:line="360" w:lineRule="auto"/>
        <w:ind w:firstLineChars="200" w:firstLine="480"/>
        <w:rPr>
          <w:rFonts w:ascii="Arial Unicode MS" w:hAnsi="Arial Unicode MS" w:cs="Arial"/>
          <w:kern w:val="0"/>
          <w:sz w:val="24"/>
          <w:szCs w:val="24"/>
        </w:rPr>
      </w:pPr>
      <w:r>
        <w:rPr>
          <w:rFonts w:ascii="Arial Unicode MS" w:hAnsi="Arial Unicode MS" w:cs="Arial" w:hint="eastAsia"/>
          <w:kern w:val="0"/>
          <w:sz w:val="24"/>
          <w:szCs w:val="24"/>
        </w:rPr>
        <w:t>查阅方式：投资者可在营业时间免费查阅，也可按工本费购买复印件。</w:t>
      </w:r>
    </w:p>
    <w:p w:rsidR="00572ECF" w:rsidRDefault="00572ECF">
      <w:pPr>
        <w:adjustRightInd w:val="0"/>
        <w:snapToGrid w:val="0"/>
        <w:spacing w:line="360" w:lineRule="auto"/>
        <w:ind w:firstLineChars="200" w:firstLine="480"/>
        <w:rPr>
          <w:rFonts w:ascii="Arial Unicode MS" w:hAnsi="Arial Unicode MS" w:cs="Arial"/>
          <w:kern w:val="0"/>
          <w:sz w:val="24"/>
          <w:szCs w:val="24"/>
        </w:rPr>
      </w:pPr>
    </w:p>
    <w:p w:rsidR="00572ECF" w:rsidRDefault="00572ECF">
      <w:pPr>
        <w:adjustRightInd w:val="0"/>
        <w:snapToGrid w:val="0"/>
        <w:spacing w:line="360" w:lineRule="auto"/>
        <w:ind w:firstLineChars="200" w:firstLine="480"/>
        <w:rPr>
          <w:rFonts w:ascii="Arial Unicode MS" w:hAnsi="Arial Unicode MS" w:cs="Arial"/>
          <w:kern w:val="0"/>
          <w:sz w:val="24"/>
          <w:szCs w:val="24"/>
        </w:rPr>
      </w:pPr>
    </w:p>
    <w:p w:rsidR="00572ECF" w:rsidRDefault="00572ECF">
      <w:pPr>
        <w:adjustRightInd w:val="0"/>
        <w:snapToGrid w:val="0"/>
        <w:spacing w:line="360" w:lineRule="auto"/>
        <w:ind w:firstLineChars="200" w:firstLine="480"/>
        <w:rPr>
          <w:rFonts w:ascii="Arial Unicode MS" w:hAnsi="Arial Unicode MS" w:cs="Arial"/>
          <w:kern w:val="0"/>
          <w:sz w:val="24"/>
          <w:szCs w:val="24"/>
        </w:rPr>
      </w:pPr>
    </w:p>
    <w:p w:rsidR="00572ECF" w:rsidRDefault="00572ECF">
      <w:pPr>
        <w:adjustRightInd w:val="0"/>
        <w:snapToGrid w:val="0"/>
        <w:spacing w:line="360" w:lineRule="auto"/>
        <w:ind w:firstLineChars="200" w:firstLine="480"/>
        <w:rPr>
          <w:rFonts w:ascii="Arial Unicode MS" w:hAnsi="Arial Unicode MS" w:cs="Arial"/>
          <w:kern w:val="0"/>
          <w:sz w:val="24"/>
          <w:szCs w:val="24"/>
        </w:rPr>
      </w:pPr>
    </w:p>
    <w:p w:rsidR="00572ECF" w:rsidRDefault="00572ECF">
      <w:pPr>
        <w:adjustRightInd w:val="0"/>
        <w:snapToGrid w:val="0"/>
        <w:spacing w:line="360" w:lineRule="auto"/>
        <w:ind w:firstLineChars="200" w:firstLine="480"/>
        <w:rPr>
          <w:rFonts w:ascii="Arial Unicode MS" w:hAnsi="Arial Unicode MS" w:cs="Arial"/>
          <w:kern w:val="0"/>
          <w:sz w:val="24"/>
          <w:szCs w:val="24"/>
        </w:rPr>
      </w:pPr>
    </w:p>
    <w:p w:rsidR="00572ECF" w:rsidRDefault="00572ECF">
      <w:pPr>
        <w:adjustRightInd w:val="0"/>
        <w:snapToGrid w:val="0"/>
        <w:spacing w:line="360" w:lineRule="auto"/>
        <w:ind w:firstLineChars="200" w:firstLine="480"/>
        <w:rPr>
          <w:rFonts w:ascii="Arial Unicode MS" w:hAnsi="Arial Unicode MS" w:cs="Arial"/>
          <w:kern w:val="0"/>
          <w:sz w:val="24"/>
          <w:szCs w:val="24"/>
        </w:rPr>
      </w:pPr>
    </w:p>
    <w:p w:rsidR="00572ECF" w:rsidRDefault="00572ECF">
      <w:pPr>
        <w:adjustRightInd w:val="0"/>
        <w:snapToGrid w:val="0"/>
        <w:spacing w:line="360" w:lineRule="auto"/>
        <w:ind w:firstLineChars="200" w:firstLine="480"/>
        <w:rPr>
          <w:rFonts w:ascii="Arial Unicode MS" w:hAnsi="Arial Unicode MS" w:cs="Arial"/>
          <w:kern w:val="0"/>
          <w:sz w:val="24"/>
          <w:szCs w:val="24"/>
        </w:rPr>
      </w:pPr>
    </w:p>
    <w:p w:rsidR="00572ECF" w:rsidRDefault="00572ECF">
      <w:pPr>
        <w:adjustRightInd w:val="0"/>
        <w:snapToGrid w:val="0"/>
        <w:spacing w:line="360" w:lineRule="auto"/>
        <w:ind w:firstLineChars="200" w:firstLine="480"/>
        <w:rPr>
          <w:rFonts w:ascii="Arial Unicode MS" w:hAnsi="Arial Unicode MS" w:cs="Arial"/>
          <w:kern w:val="0"/>
          <w:sz w:val="24"/>
          <w:szCs w:val="24"/>
        </w:rPr>
      </w:pPr>
    </w:p>
    <w:p w:rsidR="00572ECF" w:rsidRDefault="00572ECF">
      <w:pPr>
        <w:adjustRightInd w:val="0"/>
        <w:snapToGrid w:val="0"/>
        <w:spacing w:line="360" w:lineRule="auto"/>
        <w:ind w:firstLineChars="200" w:firstLine="480"/>
        <w:rPr>
          <w:rFonts w:ascii="Arial Unicode MS" w:hAnsi="Arial Unicode MS" w:cs="Arial"/>
          <w:kern w:val="0"/>
          <w:sz w:val="24"/>
          <w:szCs w:val="24"/>
        </w:rPr>
      </w:pPr>
    </w:p>
    <w:p w:rsidR="00572ECF" w:rsidRDefault="00915AEA">
      <w:pPr>
        <w:adjustRightInd w:val="0"/>
        <w:snapToGrid w:val="0"/>
        <w:spacing w:line="360" w:lineRule="auto"/>
        <w:jc w:val="right"/>
        <w:rPr>
          <w:rFonts w:asciiTheme="minorEastAsia" w:eastAsiaTheme="minorEastAsia" w:hAnsiTheme="minorEastAsia"/>
          <w:sz w:val="24"/>
          <w:szCs w:val="24"/>
        </w:rPr>
      </w:pPr>
      <w:r>
        <w:rPr>
          <w:rFonts w:asciiTheme="minorEastAsia" w:eastAsiaTheme="minorEastAsia" w:hAnsiTheme="minorEastAsia" w:hint="eastAsia"/>
          <w:sz w:val="24"/>
          <w:szCs w:val="24"/>
        </w:rPr>
        <w:t>富荣基金管理有限公司</w:t>
      </w:r>
    </w:p>
    <w:p w:rsidR="00572ECF" w:rsidRDefault="00572ECF">
      <w:pPr>
        <w:adjustRightInd w:val="0"/>
        <w:snapToGrid w:val="0"/>
        <w:spacing w:line="360" w:lineRule="auto"/>
        <w:ind w:firstLineChars="200" w:firstLine="480"/>
        <w:rPr>
          <w:rFonts w:asciiTheme="minorEastAsia" w:eastAsiaTheme="minorEastAsia" w:hAnsiTheme="minorEastAsia"/>
          <w:sz w:val="24"/>
          <w:szCs w:val="24"/>
        </w:rPr>
      </w:pPr>
    </w:p>
    <w:p w:rsidR="00572ECF" w:rsidRDefault="00915AEA" w:rsidP="00B2236E">
      <w:pPr>
        <w:adjustRightInd w:val="0"/>
        <w:snapToGrid w:val="0"/>
        <w:spacing w:line="360" w:lineRule="auto"/>
        <w:jc w:val="right"/>
        <w:rPr>
          <w:rFonts w:asciiTheme="minorEastAsia" w:eastAsiaTheme="minorEastAsia" w:hAnsiTheme="minorEastAsia"/>
          <w:sz w:val="24"/>
          <w:szCs w:val="24"/>
        </w:rPr>
      </w:pPr>
      <w:r>
        <w:rPr>
          <w:rFonts w:asciiTheme="minorEastAsia" w:eastAsiaTheme="minorEastAsia" w:hAnsiTheme="minorEastAsia" w:hint="eastAsia"/>
          <w:sz w:val="24"/>
          <w:szCs w:val="24"/>
        </w:rPr>
        <w:t>2018年</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11</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月</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1</w:t>
      </w:r>
      <w:r w:rsidR="00D35CC3">
        <w:rPr>
          <w:rFonts w:asciiTheme="minorEastAsia" w:eastAsiaTheme="minorEastAsia" w:hAnsiTheme="minorEastAsia" w:hint="eastAsia"/>
          <w:sz w:val="24"/>
          <w:szCs w:val="24"/>
        </w:rPr>
        <w:t>4</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日</w:t>
      </w:r>
    </w:p>
    <w:p w:rsidR="00572ECF" w:rsidRDefault="00572ECF">
      <w:pPr>
        <w:rPr>
          <w:rFonts w:asciiTheme="minorEastAsia" w:eastAsiaTheme="minorEastAsia" w:hAnsiTheme="minorEastAsia"/>
          <w:sz w:val="24"/>
          <w:szCs w:val="24"/>
        </w:rPr>
      </w:pPr>
    </w:p>
    <w:sectPr w:rsidR="00572ECF">
      <w:headerReference w:type="default" r:id="rId40"/>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4B22EF5" w15:done="0"/>
  <w15:commentEx w15:paraId="25784C40" w15:done="0"/>
  <w15:commentEx w15:paraId="5F7E2B9B" w15:done="0"/>
  <w15:commentEx w15:paraId="0DE83DDB" w15:done="0"/>
  <w15:commentEx w15:paraId="51BC10C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6BC4" w:rsidRDefault="00496BC4">
      <w:r>
        <w:separator/>
      </w:r>
    </w:p>
  </w:endnote>
  <w:endnote w:type="continuationSeparator" w:id="0">
    <w:p w:rsidR="00496BC4" w:rsidRDefault="00496B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216D" w:rsidRDefault="00F1216D">
    <w:pPr>
      <w:pStyle w:val="a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216D" w:rsidRDefault="00F1216D">
    <w:pPr>
      <w:pStyle w:val="a7"/>
      <w:jc w:val="center"/>
    </w:pPr>
    <w:r>
      <w:fldChar w:fldCharType="begin"/>
    </w:r>
    <w:r>
      <w:instrText>PAGE   \* MERGEFORMAT</w:instrText>
    </w:r>
    <w:r>
      <w:fldChar w:fldCharType="separate"/>
    </w:r>
    <w:r w:rsidR="00B45BE6" w:rsidRPr="00B45BE6">
      <w:rPr>
        <w:noProof/>
        <w:lang w:val="zh-CN"/>
      </w:rPr>
      <w:t>1</w:t>
    </w:r>
    <w:r>
      <w:fldChar w:fldCharType="end"/>
    </w:r>
  </w:p>
  <w:p w:rsidR="00F1216D" w:rsidRDefault="00F1216D">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4127814"/>
    </w:sdtPr>
    <w:sdtEndPr/>
    <w:sdtContent>
      <w:p w:rsidR="00F1216D" w:rsidRDefault="00F1216D">
        <w:pPr>
          <w:pStyle w:val="a7"/>
          <w:jc w:val="center"/>
        </w:pPr>
        <w:r>
          <w:fldChar w:fldCharType="begin"/>
        </w:r>
        <w:r>
          <w:instrText>PAGE   \* MERGEFORMAT</w:instrText>
        </w:r>
        <w:r>
          <w:fldChar w:fldCharType="separate"/>
        </w:r>
        <w:r w:rsidR="00B45BE6" w:rsidRPr="00B45BE6">
          <w:rPr>
            <w:noProof/>
            <w:lang w:val="zh-CN"/>
          </w:rPr>
          <w:t>23</w:t>
        </w:r>
        <w:r>
          <w:fldChar w:fldCharType="end"/>
        </w:r>
      </w:p>
    </w:sdtContent>
  </w:sdt>
  <w:p w:rsidR="00F1216D" w:rsidRDefault="00F1216D">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5477148"/>
    </w:sdtPr>
    <w:sdtEndPr/>
    <w:sdtContent>
      <w:p w:rsidR="00F1216D" w:rsidRDefault="00F1216D">
        <w:pPr>
          <w:pStyle w:val="a7"/>
          <w:jc w:val="center"/>
        </w:pPr>
        <w:r>
          <w:fldChar w:fldCharType="begin"/>
        </w:r>
        <w:r>
          <w:instrText>PAGE   \* MERGEFORMAT</w:instrText>
        </w:r>
        <w:r>
          <w:fldChar w:fldCharType="separate"/>
        </w:r>
        <w:r w:rsidR="00B45BE6" w:rsidRPr="00B45BE6">
          <w:rPr>
            <w:noProof/>
            <w:lang w:val="zh-CN"/>
          </w:rPr>
          <w:t>103</w:t>
        </w:r>
        <w:r>
          <w:fldChar w:fldCharType="end"/>
        </w:r>
      </w:p>
    </w:sdtContent>
  </w:sdt>
  <w:p w:rsidR="00F1216D" w:rsidRDefault="00F1216D">
    <w:pPr>
      <w:pStyle w:val="a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1642743"/>
    </w:sdtPr>
    <w:sdtEndPr/>
    <w:sdtContent>
      <w:p w:rsidR="00F1216D" w:rsidRDefault="00F1216D">
        <w:pPr>
          <w:pStyle w:val="a7"/>
          <w:jc w:val="center"/>
        </w:pPr>
        <w:r>
          <w:fldChar w:fldCharType="begin"/>
        </w:r>
        <w:r>
          <w:instrText>PAGE   \* MERGEFORMAT</w:instrText>
        </w:r>
        <w:r>
          <w:fldChar w:fldCharType="separate"/>
        </w:r>
        <w:r w:rsidR="00B45BE6" w:rsidRPr="00B45BE6">
          <w:rPr>
            <w:noProof/>
            <w:lang w:val="zh-CN"/>
          </w:rPr>
          <w:t>51</w:t>
        </w:r>
        <w:r>
          <w:fldChar w:fldCharType="end"/>
        </w:r>
      </w:p>
    </w:sdtContent>
  </w:sdt>
  <w:p w:rsidR="00F1216D" w:rsidRDefault="00F1216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6BC4" w:rsidRDefault="00496BC4">
      <w:r>
        <w:separator/>
      </w:r>
    </w:p>
  </w:footnote>
  <w:footnote w:type="continuationSeparator" w:id="0">
    <w:p w:rsidR="00496BC4" w:rsidRDefault="00496B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216D" w:rsidRPr="001072F0" w:rsidRDefault="00F1216D" w:rsidP="00B2071A">
    <w:pPr>
      <w:pStyle w:val="a8"/>
      <w:jc w:val="left"/>
    </w:pPr>
    <w:r>
      <w:rPr>
        <w:rFonts w:hint="eastAsia"/>
      </w:rPr>
      <w:t>富荣富安</w:t>
    </w:r>
    <w:r>
      <w:t>债券型</w:t>
    </w:r>
    <w:r>
      <w:rPr>
        <w:rFonts w:hint="eastAsia"/>
      </w:rPr>
      <w:t>证券投资基金更新的招募说明书（</w:t>
    </w:r>
    <w:r>
      <w:rPr>
        <w:rFonts w:hint="eastAsia"/>
      </w:rPr>
      <w:t>2018</w:t>
    </w:r>
    <w:r>
      <w:rPr>
        <w:rFonts w:hint="eastAsia"/>
      </w:rPr>
      <w:t>年第</w:t>
    </w:r>
    <w:r>
      <w:rPr>
        <w:rFonts w:hint="eastAsia"/>
      </w:rP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216D" w:rsidRDefault="00F1216D" w:rsidP="00B2071A">
    <w:pPr>
      <w:pStyle w:val="a8"/>
      <w:jc w:val="left"/>
    </w:pPr>
    <w:r>
      <w:rPr>
        <w:rFonts w:hint="eastAsia"/>
      </w:rPr>
      <w:t>富荣富安</w:t>
    </w:r>
    <w:r>
      <w:t>债券型</w:t>
    </w:r>
    <w:r>
      <w:rPr>
        <w:rFonts w:hint="eastAsia"/>
      </w:rPr>
      <w:t>证券投资基金更新的招募说明书（</w:t>
    </w:r>
    <w:r>
      <w:rPr>
        <w:rFonts w:hint="eastAsia"/>
      </w:rPr>
      <w:t>2018</w:t>
    </w:r>
    <w:r>
      <w:rPr>
        <w:rFonts w:hint="eastAsia"/>
      </w:rPr>
      <w:t>年第</w:t>
    </w:r>
    <w:r>
      <w:rPr>
        <w:rFonts w:hint="eastAsia"/>
      </w:rPr>
      <w:t>1</w:t>
    </w:r>
    <w:r>
      <w:rPr>
        <w:rFonts w:hint="eastAsia"/>
      </w:rPr>
      <w:t>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216D" w:rsidRDefault="00F1216D">
    <w:pPr>
      <w:pStyle w:val="a8"/>
      <w:jc w:val="left"/>
    </w:pPr>
    <w:r>
      <w:rPr>
        <w:rFonts w:hint="eastAsia"/>
      </w:rPr>
      <w:t>富荣富安</w:t>
    </w:r>
    <w:r>
      <w:t>债券型</w:t>
    </w:r>
    <w:r>
      <w:rPr>
        <w:rFonts w:hint="eastAsia"/>
      </w:rPr>
      <w:t>证券投资基金更新的招募说明书（</w:t>
    </w:r>
    <w:r>
      <w:rPr>
        <w:rFonts w:hint="eastAsia"/>
      </w:rPr>
      <w:t>2018</w:t>
    </w:r>
    <w:r>
      <w:rPr>
        <w:rFonts w:hint="eastAsia"/>
      </w:rPr>
      <w:t>年第</w:t>
    </w:r>
    <w:r>
      <w:rPr>
        <w:rFonts w:hint="eastAsia"/>
      </w:rPr>
      <w:t>1</w:t>
    </w:r>
    <w:r>
      <w:rPr>
        <w:rFonts w:hint="eastAsia"/>
      </w:rPr>
      <w:t>号）</w:t>
    </w:r>
  </w:p>
  <w:p w:rsidR="00F1216D" w:rsidRDefault="00F1216D"/>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216D" w:rsidRPr="00AD41CE" w:rsidRDefault="00F1216D" w:rsidP="00A50A65">
    <w:pPr>
      <w:pStyle w:val="a8"/>
      <w:jc w:val="left"/>
    </w:pPr>
    <w:r>
      <w:rPr>
        <w:rFonts w:hint="eastAsia"/>
      </w:rPr>
      <w:t>富荣富安</w:t>
    </w:r>
    <w:r>
      <w:t>债券型</w:t>
    </w:r>
    <w:r>
      <w:rPr>
        <w:rFonts w:hint="eastAsia"/>
      </w:rPr>
      <w:t>证券投资基金更新的招募说明书（</w:t>
    </w:r>
    <w:r>
      <w:rPr>
        <w:rFonts w:hint="eastAsia"/>
      </w:rPr>
      <w:t>2018</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A28AAF"/>
    <w:multiLevelType w:val="singleLevel"/>
    <w:tmpl w:val="53A28AAF"/>
    <w:lvl w:ilvl="0">
      <w:start w:val="1"/>
      <w:numFmt w:val="chineseCounting"/>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Kale.Zhou">
    <w15:presenceInfo w15:providerId="None" w15:userId="Kale.Zhou"/>
  </w15:person>
  <w15:person w15:author="山谷居民">
    <w15:presenceInfo w15:providerId="WPS Office" w15:userId="14136528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bordersDoNotSurroundHeader/>
  <w:bordersDoNotSurroundFooter/>
  <w:proofState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29F"/>
    <w:rsid w:val="000001C0"/>
    <w:rsid w:val="00000B62"/>
    <w:rsid w:val="00010A8D"/>
    <w:rsid w:val="00011C00"/>
    <w:rsid w:val="00025F91"/>
    <w:rsid w:val="00037C21"/>
    <w:rsid w:val="0004430D"/>
    <w:rsid w:val="000547F3"/>
    <w:rsid w:val="00065F6C"/>
    <w:rsid w:val="000811AA"/>
    <w:rsid w:val="00085D46"/>
    <w:rsid w:val="000903FE"/>
    <w:rsid w:val="000948B0"/>
    <w:rsid w:val="000A06D7"/>
    <w:rsid w:val="000E4F7C"/>
    <w:rsid w:val="0010305A"/>
    <w:rsid w:val="00104098"/>
    <w:rsid w:val="0010609F"/>
    <w:rsid w:val="001072F0"/>
    <w:rsid w:val="001107B2"/>
    <w:rsid w:val="00113FBF"/>
    <w:rsid w:val="00115251"/>
    <w:rsid w:val="00120C3E"/>
    <w:rsid w:val="00152511"/>
    <w:rsid w:val="001623C5"/>
    <w:rsid w:val="00162662"/>
    <w:rsid w:val="0017055B"/>
    <w:rsid w:val="00172A68"/>
    <w:rsid w:val="00172AFC"/>
    <w:rsid w:val="001745CD"/>
    <w:rsid w:val="001814EF"/>
    <w:rsid w:val="00191C96"/>
    <w:rsid w:val="001B0052"/>
    <w:rsid w:val="001B39C8"/>
    <w:rsid w:val="001B3C79"/>
    <w:rsid w:val="001C0EE4"/>
    <w:rsid w:val="001C66A5"/>
    <w:rsid w:val="001C7A78"/>
    <w:rsid w:val="001E08B1"/>
    <w:rsid w:val="001E4BB0"/>
    <w:rsid w:val="001E71B3"/>
    <w:rsid w:val="001F3210"/>
    <w:rsid w:val="0021646A"/>
    <w:rsid w:val="002346A8"/>
    <w:rsid w:val="002617D7"/>
    <w:rsid w:val="002651C4"/>
    <w:rsid w:val="00265C01"/>
    <w:rsid w:val="002765C1"/>
    <w:rsid w:val="002851CA"/>
    <w:rsid w:val="00290784"/>
    <w:rsid w:val="002B04E1"/>
    <w:rsid w:val="002B1E40"/>
    <w:rsid w:val="002B6C38"/>
    <w:rsid w:val="003100C8"/>
    <w:rsid w:val="00323232"/>
    <w:rsid w:val="00324388"/>
    <w:rsid w:val="0033087D"/>
    <w:rsid w:val="0034526C"/>
    <w:rsid w:val="00360AE4"/>
    <w:rsid w:val="00361E2C"/>
    <w:rsid w:val="00366237"/>
    <w:rsid w:val="00382E7C"/>
    <w:rsid w:val="00386AC4"/>
    <w:rsid w:val="003B267B"/>
    <w:rsid w:val="003C0043"/>
    <w:rsid w:val="003D01C4"/>
    <w:rsid w:val="003D2D76"/>
    <w:rsid w:val="003F07F5"/>
    <w:rsid w:val="003F268E"/>
    <w:rsid w:val="003F3BF9"/>
    <w:rsid w:val="004029D3"/>
    <w:rsid w:val="00440071"/>
    <w:rsid w:val="004419BE"/>
    <w:rsid w:val="00443969"/>
    <w:rsid w:val="00444A34"/>
    <w:rsid w:val="004576B4"/>
    <w:rsid w:val="004618EE"/>
    <w:rsid w:val="0046507E"/>
    <w:rsid w:val="00465B52"/>
    <w:rsid w:val="00466F1D"/>
    <w:rsid w:val="0047328E"/>
    <w:rsid w:val="00490EC4"/>
    <w:rsid w:val="00496BC4"/>
    <w:rsid w:val="00497DD9"/>
    <w:rsid w:val="004A0E7A"/>
    <w:rsid w:val="004A5BE0"/>
    <w:rsid w:val="004B0A1F"/>
    <w:rsid w:val="004B16A7"/>
    <w:rsid w:val="004C0C8F"/>
    <w:rsid w:val="004C28DD"/>
    <w:rsid w:val="004C33A8"/>
    <w:rsid w:val="004D5F0E"/>
    <w:rsid w:val="004D6897"/>
    <w:rsid w:val="004D702E"/>
    <w:rsid w:val="004E0D98"/>
    <w:rsid w:val="004E1D13"/>
    <w:rsid w:val="004E5F94"/>
    <w:rsid w:val="004F2EEC"/>
    <w:rsid w:val="004F6C75"/>
    <w:rsid w:val="005062A0"/>
    <w:rsid w:val="0051783E"/>
    <w:rsid w:val="005222C0"/>
    <w:rsid w:val="00526A56"/>
    <w:rsid w:val="00530F78"/>
    <w:rsid w:val="00530F88"/>
    <w:rsid w:val="00532CD5"/>
    <w:rsid w:val="00534887"/>
    <w:rsid w:val="00543006"/>
    <w:rsid w:val="005471A2"/>
    <w:rsid w:val="00562B69"/>
    <w:rsid w:val="005634A9"/>
    <w:rsid w:val="00572ECF"/>
    <w:rsid w:val="00576FE9"/>
    <w:rsid w:val="00581272"/>
    <w:rsid w:val="0058132D"/>
    <w:rsid w:val="00597E64"/>
    <w:rsid w:val="005A4E05"/>
    <w:rsid w:val="005D0C3A"/>
    <w:rsid w:val="005E5813"/>
    <w:rsid w:val="005F0F54"/>
    <w:rsid w:val="00606343"/>
    <w:rsid w:val="00606C35"/>
    <w:rsid w:val="00611D6E"/>
    <w:rsid w:val="00623550"/>
    <w:rsid w:val="00625DB4"/>
    <w:rsid w:val="00627091"/>
    <w:rsid w:val="006279F0"/>
    <w:rsid w:val="00634328"/>
    <w:rsid w:val="0063698A"/>
    <w:rsid w:val="0065368A"/>
    <w:rsid w:val="00654E30"/>
    <w:rsid w:val="006619D5"/>
    <w:rsid w:val="006623C2"/>
    <w:rsid w:val="00664CFC"/>
    <w:rsid w:val="00683E32"/>
    <w:rsid w:val="006860B9"/>
    <w:rsid w:val="0069469C"/>
    <w:rsid w:val="006B2E64"/>
    <w:rsid w:val="006B3FBD"/>
    <w:rsid w:val="006C1FF8"/>
    <w:rsid w:val="006E0712"/>
    <w:rsid w:val="006F2404"/>
    <w:rsid w:val="006F7050"/>
    <w:rsid w:val="00704DA8"/>
    <w:rsid w:val="007138C9"/>
    <w:rsid w:val="00721983"/>
    <w:rsid w:val="007716FB"/>
    <w:rsid w:val="007824A1"/>
    <w:rsid w:val="00787A97"/>
    <w:rsid w:val="007C7394"/>
    <w:rsid w:val="007D2A7C"/>
    <w:rsid w:val="007E5777"/>
    <w:rsid w:val="007F3996"/>
    <w:rsid w:val="0080139F"/>
    <w:rsid w:val="00816C97"/>
    <w:rsid w:val="00831B14"/>
    <w:rsid w:val="00843450"/>
    <w:rsid w:val="00844BBF"/>
    <w:rsid w:val="0085300D"/>
    <w:rsid w:val="00861C47"/>
    <w:rsid w:val="00877119"/>
    <w:rsid w:val="0089770A"/>
    <w:rsid w:val="008A5DA9"/>
    <w:rsid w:val="008B50DA"/>
    <w:rsid w:val="008B5793"/>
    <w:rsid w:val="008C2A49"/>
    <w:rsid w:val="008C5471"/>
    <w:rsid w:val="008D60E2"/>
    <w:rsid w:val="008E07E2"/>
    <w:rsid w:val="008F488A"/>
    <w:rsid w:val="00904F03"/>
    <w:rsid w:val="0090517B"/>
    <w:rsid w:val="00913954"/>
    <w:rsid w:val="00915AEA"/>
    <w:rsid w:val="00927F1E"/>
    <w:rsid w:val="00930AD9"/>
    <w:rsid w:val="0093399B"/>
    <w:rsid w:val="00936644"/>
    <w:rsid w:val="00943C85"/>
    <w:rsid w:val="009479C3"/>
    <w:rsid w:val="00972FA2"/>
    <w:rsid w:val="00977562"/>
    <w:rsid w:val="009B34D5"/>
    <w:rsid w:val="009C4A91"/>
    <w:rsid w:val="009C4F5B"/>
    <w:rsid w:val="009D129F"/>
    <w:rsid w:val="009D2888"/>
    <w:rsid w:val="009D28C1"/>
    <w:rsid w:val="009D2F8E"/>
    <w:rsid w:val="009E370E"/>
    <w:rsid w:val="00A036E4"/>
    <w:rsid w:val="00A0550B"/>
    <w:rsid w:val="00A05C84"/>
    <w:rsid w:val="00A07FE2"/>
    <w:rsid w:val="00A3287F"/>
    <w:rsid w:val="00A408FB"/>
    <w:rsid w:val="00A4257F"/>
    <w:rsid w:val="00A50A65"/>
    <w:rsid w:val="00A50AEB"/>
    <w:rsid w:val="00A56664"/>
    <w:rsid w:val="00A61450"/>
    <w:rsid w:val="00A66529"/>
    <w:rsid w:val="00A673F4"/>
    <w:rsid w:val="00A67AB8"/>
    <w:rsid w:val="00A71EEC"/>
    <w:rsid w:val="00A77C41"/>
    <w:rsid w:val="00A81143"/>
    <w:rsid w:val="00A83DAD"/>
    <w:rsid w:val="00A87189"/>
    <w:rsid w:val="00AA26FB"/>
    <w:rsid w:val="00AB6E69"/>
    <w:rsid w:val="00AC5659"/>
    <w:rsid w:val="00AD41CE"/>
    <w:rsid w:val="00AD514A"/>
    <w:rsid w:val="00AF1F3F"/>
    <w:rsid w:val="00AF3073"/>
    <w:rsid w:val="00AF6ABC"/>
    <w:rsid w:val="00B0505B"/>
    <w:rsid w:val="00B17434"/>
    <w:rsid w:val="00B2071A"/>
    <w:rsid w:val="00B2236E"/>
    <w:rsid w:val="00B23B92"/>
    <w:rsid w:val="00B42932"/>
    <w:rsid w:val="00B45BE6"/>
    <w:rsid w:val="00B47801"/>
    <w:rsid w:val="00B56D65"/>
    <w:rsid w:val="00B57813"/>
    <w:rsid w:val="00B602CC"/>
    <w:rsid w:val="00B6337C"/>
    <w:rsid w:val="00B72EF7"/>
    <w:rsid w:val="00B77FD4"/>
    <w:rsid w:val="00B82961"/>
    <w:rsid w:val="00B9380D"/>
    <w:rsid w:val="00B94DEA"/>
    <w:rsid w:val="00BC0D7A"/>
    <w:rsid w:val="00BE085D"/>
    <w:rsid w:val="00C02BAC"/>
    <w:rsid w:val="00C119F2"/>
    <w:rsid w:val="00C14847"/>
    <w:rsid w:val="00C20617"/>
    <w:rsid w:val="00C21DDD"/>
    <w:rsid w:val="00C311B9"/>
    <w:rsid w:val="00C3235F"/>
    <w:rsid w:val="00C3510C"/>
    <w:rsid w:val="00C35E57"/>
    <w:rsid w:val="00C37BBE"/>
    <w:rsid w:val="00C435B4"/>
    <w:rsid w:val="00C47BE0"/>
    <w:rsid w:val="00C53EA1"/>
    <w:rsid w:val="00C61743"/>
    <w:rsid w:val="00C71089"/>
    <w:rsid w:val="00C825D5"/>
    <w:rsid w:val="00C86F19"/>
    <w:rsid w:val="00C930DC"/>
    <w:rsid w:val="00CA1E03"/>
    <w:rsid w:val="00CA61EE"/>
    <w:rsid w:val="00CB2CC3"/>
    <w:rsid w:val="00CB3542"/>
    <w:rsid w:val="00CB39F9"/>
    <w:rsid w:val="00CB7A27"/>
    <w:rsid w:val="00CC2D65"/>
    <w:rsid w:val="00CC744A"/>
    <w:rsid w:val="00CE0864"/>
    <w:rsid w:val="00CE58AA"/>
    <w:rsid w:val="00D1187E"/>
    <w:rsid w:val="00D35CC3"/>
    <w:rsid w:val="00D43446"/>
    <w:rsid w:val="00D82E4C"/>
    <w:rsid w:val="00D93CDE"/>
    <w:rsid w:val="00DA3501"/>
    <w:rsid w:val="00DA57C1"/>
    <w:rsid w:val="00DB5E02"/>
    <w:rsid w:val="00DB6829"/>
    <w:rsid w:val="00DB7D5D"/>
    <w:rsid w:val="00DC038C"/>
    <w:rsid w:val="00DC49CE"/>
    <w:rsid w:val="00DE5D96"/>
    <w:rsid w:val="00DF25DA"/>
    <w:rsid w:val="00E07260"/>
    <w:rsid w:val="00E20F01"/>
    <w:rsid w:val="00E32557"/>
    <w:rsid w:val="00E32FAF"/>
    <w:rsid w:val="00E43AFC"/>
    <w:rsid w:val="00E56B72"/>
    <w:rsid w:val="00E626DC"/>
    <w:rsid w:val="00E62F34"/>
    <w:rsid w:val="00E71C1A"/>
    <w:rsid w:val="00E954BF"/>
    <w:rsid w:val="00EA44B9"/>
    <w:rsid w:val="00EB229A"/>
    <w:rsid w:val="00ED2FEC"/>
    <w:rsid w:val="00EF6923"/>
    <w:rsid w:val="00EF7285"/>
    <w:rsid w:val="00EF768E"/>
    <w:rsid w:val="00F02926"/>
    <w:rsid w:val="00F05BBE"/>
    <w:rsid w:val="00F07463"/>
    <w:rsid w:val="00F110BE"/>
    <w:rsid w:val="00F1190D"/>
    <w:rsid w:val="00F11DF6"/>
    <w:rsid w:val="00F1216D"/>
    <w:rsid w:val="00F16A98"/>
    <w:rsid w:val="00F204A2"/>
    <w:rsid w:val="00F23D41"/>
    <w:rsid w:val="00F27BF1"/>
    <w:rsid w:val="00F46AA2"/>
    <w:rsid w:val="00F835B6"/>
    <w:rsid w:val="00F91614"/>
    <w:rsid w:val="00F92434"/>
    <w:rsid w:val="00FA7F1B"/>
    <w:rsid w:val="00FB345D"/>
    <w:rsid w:val="00FC2F50"/>
    <w:rsid w:val="00FC5F04"/>
    <w:rsid w:val="00FD36A2"/>
    <w:rsid w:val="00FD64FB"/>
    <w:rsid w:val="00FF01C4"/>
    <w:rsid w:val="00FF7CEC"/>
    <w:rsid w:val="11701891"/>
    <w:rsid w:val="4068533A"/>
    <w:rsid w:val="4AB571CC"/>
    <w:rsid w:val="51F2020A"/>
    <w:rsid w:val="60B727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uiPriority="0" w:unhideWhenUsed="0" w:qFormat="1"/>
    <w:lsdException w:name="header" w:semiHidden="0" w:qFormat="1"/>
    <w:lsdException w:name="footer" w:semiHidden="0" w:qFormat="1"/>
    <w:lsdException w:name="caption" w:uiPriority="35" w:qFormat="1"/>
    <w:lsdException w:name="annotation reference" w:semiHidden="0" w:uiPriority="0" w:unhideWhenUsed="0"/>
    <w:lsdException w:name="Title" w:semiHidden="0" w:uiPriority="10" w:unhideWhenUsed="0" w:qFormat="1"/>
    <w:lsdException w:name="Default Paragraph Font" w:uiPriority="1"/>
    <w:lsdException w:name="Subtitle" w:semiHidden="0" w:uiPriority="11" w:unhideWhenUsed="0" w:qFormat="1"/>
    <w:lsdException w:name="Body Text Indent 2" w:semiHidden="0" w:qFormat="1"/>
    <w:lsdException w:name="Body Text Indent 3"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pPr>
      <w:keepNext/>
      <w:keepLines/>
      <w:autoSpaceDE w:val="0"/>
      <w:autoSpaceDN w:val="0"/>
      <w:adjustRightInd w:val="0"/>
      <w:spacing w:before="360" w:after="360"/>
      <w:jc w:val="center"/>
      <w:textAlignment w:val="baseline"/>
      <w:outlineLvl w:val="0"/>
    </w:pPr>
    <w:rPr>
      <w:rFonts w:ascii="宋体" w:eastAsia="黑体"/>
      <w:kern w:val="0"/>
      <w:sz w:val="2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qFormat/>
    <w:pPr>
      <w:jc w:val="left"/>
    </w:pPr>
  </w:style>
  <w:style w:type="paragraph" w:styleId="a5">
    <w:name w:val="Normal Indent"/>
    <w:basedOn w:val="a"/>
    <w:qFormat/>
    <w:pPr>
      <w:ind w:firstLine="420"/>
    </w:pPr>
  </w:style>
  <w:style w:type="paragraph" w:styleId="2">
    <w:name w:val="Body Text Indent 2"/>
    <w:basedOn w:val="a"/>
    <w:link w:val="2Char"/>
    <w:uiPriority w:val="99"/>
    <w:unhideWhenUsed/>
    <w:qFormat/>
    <w:pPr>
      <w:spacing w:after="120" w:line="480" w:lineRule="auto"/>
      <w:ind w:leftChars="200" w:left="420"/>
    </w:pPr>
  </w:style>
  <w:style w:type="paragraph" w:styleId="a6">
    <w:name w:val="Balloon Text"/>
    <w:basedOn w:val="a"/>
    <w:link w:val="Char1"/>
    <w:uiPriority w:val="99"/>
    <w:semiHidden/>
    <w:unhideWhenUsed/>
    <w:qFormat/>
    <w:rPr>
      <w:sz w:val="18"/>
      <w:szCs w:val="18"/>
    </w:rPr>
  </w:style>
  <w:style w:type="paragraph" w:styleId="a7">
    <w:name w:val="footer"/>
    <w:basedOn w:val="a"/>
    <w:link w:val="Char2"/>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0">
    <w:name w:val="toc 1"/>
    <w:basedOn w:val="a"/>
    <w:next w:val="a"/>
    <w:uiPriority w:val="39"/>
    <w:unhideWhenUsed/>
    <w:qFormat/>
    <w:pPr>
      <w:tabs>
        <w:tab w:val="right" w:leader="dot" w:pos="8296"/>
      </w:tabs>
      <w:spacing w:line="480" w:lineRule="auto"/>
    </w:pPr>
  </w:style>
  <w:style w:type="paragraph" w:styleId="3">
    <w:name w:val="Body Text Indent 3"/>
    <w:basedOn w:val="a"/>
    <w:link w:val="3Char"/>
    <w:qFormat/>
    <w:pPr>
      <w:spacing w:line="360" w:lineRule="auto"/>
      <w:ind w:firstLine="425"/>
    </w:pPr>
    <w:rPr>
      <w:rFonts w:ascii="宋体"/>
      <w:kern w:val="0"/>
      <w:sz w:val="20"/>
      <w:szCs w:val="24"/>
      <w:lang w:val="zh-CN"/>
    </w:rPr>
  </w:style>
  <w:style w:type="character" w:styleId="a9">
    <w:name w:val="Hyperlink"/>
    <w:basedOn w:val="a0"/>
    <w:uiPriority w:val="99"/>
    <w:unhideWhenUsed/>
    <w:qFormat/>
    <w:rPr>
      <w:color w:val="0563C1" w:themeColor="hyperlink"/>
      <w:u w:val="single"/>
    </w:rPr>
  </w:style>
  <w:style w:type="character" w:styleId="aa">
    <w:name w:val="annotation reference"/>
    <w:basedOn w:val="a0"/>
    <w:rPr>
      <w:sz w:val="21"/>
    </w:rPr>
  </w:style>
  <w:style w:type="table" w:styleId="ab">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页眉 Char"/>
    <w:basedOn w:val="a0"/>
    <w:link w:val="a8"/>
    <w:uiPriority w:val="99"/>
    <w:qFormat/>
    <w:rPr>
      <w:sz w:val="18"/>
      <w:szCs w:val="18"/>
    </w:rPr>
  </w:style>
  <w:style w:type="character" w:customStyle="1" w:styleId="Char2">
    <w:name w:val="页脚 Char"/>
    <w:basedOn w:val="a0"/>
    <w:link w:val="a7"/>
    <w:uiPriority w:val="99"/>
    <w:qFormat/>
    <w:rPr>
      <w:sz w:val="18"/>
      <w:szCs w:val="18"/>
    </w:rPr>
  </w:style>
  <w:style w:type="character" w:customStyle="1" w:styleId="1Char">
    <w:name w:val="标题 1 Char"/>
    <w:basedOn w:val="a0"/>
    <w:link w:val="1"/>
    <w:qFormat/>
    <w:rPr>
      <w:rFonts w:ascii="宋体" w:eastAsia="黑体" w:hAnsi="Times New Roman" w:cs="Times New Roman"/>
      <w:kern w:val="0"/>
      <w:sz w:val="24"/>
      <w:szCs w:val="20"/>
      <w:lang w:val="zh-CN" w:eastAsia="zh-CN"/>
    </w:rPr>
  </w:style>
  <w:style w:type="character" w:customStyle="1" w:styleId="3Char">
    <w:name w:val="正文文本缩进 3 Char"/>
    <w:basedOn w:val="a0"/>
    <w:link w:val="3"/>
    <w:qFormat/>
    <w:rPr>
      <w:rFonts w:ascii="宋体" w:eastAsia="宋体" w:hAnsi="Times New Roman" w:cs="Times New Roman"/>
      <w:kern w:val="0"/>
      <w:sz w:val="20"/>
      <w:szCs w:val="24"/>
      <w:lang w:val="zh-CN" w:eastAsia="zh-CN"/>
    </w:rPr>
  </w:style>
  <w:style w:type="paragraph" w:customStyle="1" w:styleId="TOC1">
    <w:name w:val="TOC 标题1"/>
    <w:basedOn w:val="1"/>
    <w:next w:val="a"/>
    <w:uiPriority w:val="39"/>
    <w:unhideWhenUsed/>
    <w:qFormat/>
    <w:pPr>
      <w:widowControl/>
      <w:autoSpaceDE/>
      <w:autoSpaceDN/>
      <w:adjustRightInd/>
      <w:spacing w:before="240" w:after="0" w:line="259" w:lineRule="auto"/>
      <w:jc w:val="left"/>
      <w:textAlignment w:val="auto"/>
      <w:outlineLvl w:val="9"/>
    </w:pPr>
    <w:rPr>
      <w:rFonts w:asciiTheme="majorHAnsi" w:eastAsiaTheme="majorEastAsia" w:hAnsiTheme="majorHAnsi" w:cstheme="majorBidi"/>
      <w:color w:val="2E74B5" w:themeColor="accent1" w:themeShade="BF"/>
      <w:sz w:val="32"/>
      <w:szCs w:val="32"/>
      <w:lang w:val="en-US"/>
    </w:rPr>
  </w:style>
  <w:style w:type="character" w:customStyle="1" w:styleId="Char1">
    <w:name w:val="批注框文本 Char"/>
    <w:basedOn w:val="a0"/>
    <w:link w:val="a6"/>
    <w:uiPriority w:val="99"/>
    <w:semiHidden/>
    <w:qFormat/>
    <w:rPr>
      <w:rFonts w:ascii="Times New Roman" w:eastAsia="宋体" w:hAnsi="Times New Roman" w:cs="Times New Roman"/>
      <w:sz w:val="18"/>
      <w:szCs w:val="18"/>
    </w:rPr>
  </w:style>
  <w:style w:type="character" w:customStyle="1" w:styleId="read">
    <w:name w:val="read"/>
    <w:basedOn w:val="a0"/>
    <w:qFormat/>
  </w:style>
  <w:style w:type="character" w:customStyle="1" w:styleId="2Char">
    <w:name w:val="正文文本缩进 2 Char"/>
    <w:basedOn w:val="a0"/>
    <w:link w:val="2"/>
    <w:uiPriority w:val="99"/>
    <w:qFormat/>
    <w:rPr>
      <w:rFonts w:ascii="Times New Roman" w:eastAsia="宋体" w:hAnsi="Times New Roman" w:cs="Times New Roman"/>
      <w:szCs w:val="20"/>
    </w:rPr>
  </w:style>
  <w:style w:type="character" w:customStyle="1" w:styleId="Char0">
    <w:name w:val="批注文字 Char"/>
    <w:basedOn w:val="a0"/>
    <w:link w:val="a4"/>
    <w:qFormat/>
    <w:rPr>
      <w:rFonts w:ascii="Times New Roman" w:eastAsia="宋体" w:hAnsi="Times New Roman" w:cs="Times New Roman"/>
      <w:szCs w:val="20"/>
    </w:rPr>
  </w:style>
  <w:style w:type="paragraph" w:customStyle="1" w:styleId="11">
    <w:name w:val="修订1"/>
    <w:hidden/>
    <w:uiPriority w:val="99"/>
    <w:semiHidden/>
    <w:qFormat/>
    <w:rPr>
      <w:kern w:val="2"/>
      <w:sz w:val="21"/>
    </w:rPr>
  </w:style>
  <w:style w:type="character" w:customStyle="1" w:styleId="Char">
    <w:name w:val="批注主题 Char"/>
    <w:basedOn w:val="Char0"/>
    <w:link w:val="a3"/>
    <w:uiPriority w:val="99"/>
    <w:semiHidden/>
    <w:qFormat/>
    <w:rPr>
      <w:rFonts w:ascii="Times New Roman" w:eastAsia="宋体" w:hAnsi="Times New Roman" w:cs="Times New Roman"/>
      <w:b/>
      <w:bCs/>
      <w:szCs w:val="20"/>
    </w:rPr>
  </w:style>
  <w:style w:type="character" w:customStyle="1" w:styleId="Char10">
    <w:name w:val="批注文字 Char1"/>
    <w:basedOn w:val="a0"/>
    <w:semiHidden/>
    <w:locked/>
    <w:rsid w:val="00627091"/>
    <w:rPr>
      <w:kern w:val="2"/>
      <w:sz w:val="21"/>
    </w:rPr>
  </w:style>
  <w:style w:type="paragraph" w:styleId="ac">
    <w:name w:val="List Paragraph"/>
    <w:basedOn w:val="a"/>
    <w:uiPriority w:val="99"/>
    <w:unhideWhenUsed/>
    <w:rsid w:val="003C0043"/>
    <w:pPr>
      <w:ind w:firstLineChars="200" w:firstLine="420"/>
    </w:pPr>
  </w:style>
  <w:style w:type="paragraph" w:customStyle="1" w:styleId="zhangjiep">
    <w:name w:val="zhangjie_p"/>
    <w:basedOn w:val="a"/>
    <w:rsid w:val="00787A97"/>
    <w:pPr>
      <w:widowControl/>
      <w:autoSpaceDE w:val="0"/>
      <w:autoSpaceDN w:val="0"/>
      <w:adjustRightInd w:val="0"/>
      <w:spacing w:before="30" w:line="288" w:lineRule="auto"/>
      <w:ind w:left="15"/>
      <w:jc w:val="left"/>
      <w:outlineLvl w:val="1"/>
    </w:pPr>
    <w:rPr>
      <w:rFonts w:ascii="宋体" w:hAnsi="宋体" w:cs="宋体"/>
      <w:kern w:val="0"/>
      <w:sz w:val="24"/>
      <w:szCs w:val="24"/>
    </w:rPr>
  </w:style>
  <w:style w:type="paragraph" w:customStyle="1" w:styleId="zhangjiep2">
    <w:name w:val="zhangjie_p2"/>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biaogeleft">
    <w:name w:val="biaoge_left"/>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biaogecenter">
    <w:name w:val="biaoge_center"/>
    <w:basedOn w:val="a"/>
    <w:rsid w:val="00787A9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biaogeright">
    <w:name w:val="biaoge_right"/>
    <w:basedOn w:val="a"/>
    <w:rsid w:val="00787A9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semiHidden="0" w:uiPriority="0" w:unhideWhenUsed="0" w:qFormat="1"/>
    <w:lsdException w:name="header" w:semiHidden="0" w:qFormat="1"/>
    <w:lsdException w:name="footer" w:semiHidden="0" w:qFormat="1"/>
    <w:lsdException w:name="caption" w:uiPriority="35" w:qFormat="1"/>
    <w:lsdException w:name="annotation reference" w:semiHidden="0" w:uiPriority="0" w:unhideWhenUsed="0"/>
    <w:lsdException w:name="Title" w:semiHidden="0" w:uiPriority="10" w:unhideWhenUsed="0" w:qFormat="1"/>
    <w:lsdException w:name="Default Paragraph Font" w:uiPriority="1"/>
    <w:lsdException w:name="Subtitle" w:semiHidden="0" w:uiPriority="11" w:unhideWhenUsed="0" w:qFormat="1"/>
    <w:lsdException w:name="Body Text Indent 2" w:semiHidden="0" w:qFormat="1"/>
    <w:lsdException w:name="Body Text Indent 3"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paragraph" w:styleId="1">
    <w:name w:val="heading 1"/>
    <w:basedOn w:val="a"/>
    <w:next w:val="a"/>
    <w:link w:val="1Char"/>
    <w:qFormat/>
    <w:pPr>
      <w:keepNext/>
      <w:keepLines/>
      <w:autoSpaceDE w:val="0"/>
      <w:autoSpaceDN w:val="0"/>
      <w:adjustRightInd w:val="0"/>
      <w:spacing w:before="360" w:after="360"/>
      <w:jc w:val="center"/>
      <w:textAlignment w:val="baseline"/>
      <w:outlineLvl w:val="0"/>
    </w:pPr>
    <w:rPr>
      <w:rFonts w:ascii="宋体" w:eastAsia="黑体"/>
      <w:kern w:val="0"/>
      <w:sz w:val="2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qFormat/>
    <w:pPr>
      <w:jc w:val="left"/>
    </w:pPr>
  </w:style>
  <w:style w:type="paragraph" w:styleId="a5">
    <w:name w:val="Normal Indent"/>
    <w:basedOn w:val="a"/>
    <w:qFormat/>
    <w:pPr>
      <w:ind w:firstLine="420"/>
    </w:pPr>
  </w:style>
  <w:style w:type="paragraph" w:styleId="2">
    <w:name w:val="Body Text Indent 2"/>
    <w:basedOn w:val="a"/>
    <w:link w:val="2Char"/>
    <w:uiPriority w:val="99"/>
    <w:unhideWhenUsed/>
    <w:qFormat/>
    <w:pPr>
      <w:spacing w:after="120" w:line="480" w:lineRule="auto"/>
      <w:ind w:leftChars="200" w:left="420"/>
    </w:pPr>
  </w:style>
  <w:style w:type="paragraph" w:styleId="a6">
    <w:name w:val="Balloon Text"/>
    <w:basedOn w:val="a"/>
    <w:link w:val="Char1"/>
    <w:uiPriority w:val="99"/>
    <w:semiHidden/>
    <w:unhideWhenUsed/>
    <w:qFormat/>
    <w:rPr>
      <w:sz w:val="18"/>
      <w:szCs w:val="18"/>
    </w:rPr>
  </w:style>
  <w:style w:type="paragraph" w:styleId="a7">
    <w:name w:val="footer"/>
    <w:basedOn w:val="a"/>
    <w:link w:val="Char2"/>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8">
    <w:name w:val="header"/>
    <w:basedOn w:val="a"/>
    <w:link w:val="Char3"/>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0">
    <w:name w:val="toc 1"/>
    <w:basedOn w:val="a"/>
    <w:next w:val="a"/>
    <w:uiPriority w:val="39"/>
    <w:unhideWhenUsed/>
    <w:qFormat/>
    <w:pPr>
      <w:tabs>
        <w:tab w:val="right" w:leader="dot" w:pos="8296"/>
      </w:tabs>
      <w:spacing w:line="480" w:lineRule="auto"/>
    </w:pPr>
  </w:style>
  <w:style w:type="paragraph" w:styleId="3">
    <w:name w:val="Body Text Indent 3"/>
    <w:basedOn w:val="a"/>
    <w:link w:val="3Char"/>
    <w:qFormat/>
    <w:pPr>
      <w:spacing w:line="360" w:lineRule="auto"/>
      <w:ind w:firstLine="425"/>
    </w:pPr>
    <w:rPr>
      <w:rFonts w:ascii="宋体"/>
      <w:kern w:val="0"/>
      <w:sz w:val="20"/>
      <w:szCs w:val="24"/>
      <w:lang w:val="zh-CN"/>
    </w:rPr>
  </w:style>
  <w:style w:type="character" w:styleId="a9">
    <w:name w:val="Hyperlink"/>
    <w:basedOn w:val="a0"/>
    <w:uiPriority w:val="99"/>
    <w:unhideWhenUsed/>
    <w:qFormat/>
    <w:rPr>
      <w:color w:val="0563C1" w:themeColor="hyperlink"/>
      <w:u w:val="single"/>
    </w:rPr>
  </w:style>
  <w:style w:type="character" w:styleId="aa">
    <w:name w:val="annotation reference"/>
    <w:basedOn w:val="a0"/>
    <w:rPr>
      <w:sz w:val="21"/>
    </w:rPr>
  </w:style>
  <w:style w:type="table" w:styleId="ab">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页眉 Char"/>
    <w:basedOn w:val="a0"/>
    <w:link w:val="a8"/>
    <w:uiPriority w:val="99"/>
    <w:qFormat/>
    <w:rPr>
      <w:sz w:val="18"/>
      <w:szCs w:val="18"/>
    </w:rPr>
  </w:style>
  <w:style w:type="character" w:customStyle="1" w:styleId="Char2">
    <w:name w:val="页脚 Char"/>
    <w:basedOn w:val="a0"/>
    <w:link w:val="a7"/>
    <w:uiPriority w:val="99"/>
    <w:qFormat/>
    <w:rPr>
      <w:sz w:val="18"/>
      <w:szCs w:val="18"/>
    </w:rPr>
  </w:style>
  <w:style w:type="character" w:customStyle="1" w:styleId="1Char">
    <w:name w:val="标题 1 Char"/>
    <w:basedOn w:val="a0"/>
    <w:link w:val="1"/>
    <w:qFormat/>
    <w:rPr>
      <w:rFonts w:ascii="宋体" w:eastAsia="黑体" w:hAnsi="Times New Roman" w:cs="Times New Roman"/>
      <w:kern w:val="0"/>
      <w:sz w:val="24"/>
      <w:szCs w:val="20"/>
      <w:lang w:val="zh-CN" w:eastAsia="zh-CN"/>
    </w:rPr>
  </w:style>
  <w:style w:type="character" w:customStyle="1" w:styleId="3Char">
    <w:name w:val="正文文本缩进 3 Char"/>
    <w:basedOn w:val="a0"/>
    <w:link w:val="3"/>
    <w:qFormat/>
    <w:rPr>
      <w:rFonts w:ascii="宋体" w:eastAsia="宋体" w:hAnsi="Times New Roman" w:cs="Times New Roman"/>
      <w:kern w:val="0"/>
      <w:sz w:val="20"/>
      <w:szCs w:val="24"/>
      <w:lang w:val="zh-CN" w:eastAsia="zh-CN"/>
    </w:rPr>
  </w:style>
  <w:style w:type="paragraph" w:customStyle="1" w:styleId="TOC1">
    <w:name w:val="TOC 标题1"/>
    <w:basedOn w:val="1"/>
    <w:next w:val="a"/>
    <w:uiPriority w:val="39"/>
    <w:unhideWhenUsed/>
    <w:qFormat/>
    <w:pPr>
      <w:widowControl/>
      <w:autoSpaceDE/>
      <w:autoSpaceDN/>
      <w:adjustRightInd/>
      <w:spacing w:before="240" w:after="0" w:line="259" w:lineRule="auto"/>
      <w:jc w:val="left"/>
      <w:textAlignment w:val="auto"/>
      <w:outlineLvl w:val="9"/>
    </w:pPr>
    <w:rPr>
      <w:rFonts w:asciiTheme="majorHAnsi" w:eastAsiaTheme="majorEastAsia" w:hAnsiTheme="majorHAnsi" w:cstheme="majorBidi"/>
      <w:color w:val="2E74B5" w:themeColor="accent1" w:themeShade="BF"/>
      <w:sz w:val="32"/>
      <w:szCs w:val="32"/>
      <w:lang w:val="en-US"/>
    </w:rPr>
  </w:style>
  <w:style w:type="character" w:customStyle="1" w:styleId="Char1">
    <w:name w:val="批注框文本 Char"/>
    <w:basedOn w:val="a0"/>
    <w:link w:val="a6"/>
    <w:uiPriority w:val="99"/>
    <w:semiHidden/>
    <w:qFormat/>
    <w:rPr>
      <w:rFonts w:ascii="Times New Roman" w:eastAsia="宋体" w:hAnsi="Times New Roman" w:cs="Times New Roman"/>
      <w:sz w:val="18"/>
      <w:szCs w:val="18"/>
    </w:rPr>
  </w:style>
  <w:style w:type="character" w:customStyle="1" w:styleId="read">
    <w:name w:val="read"/>
    <w:basedOn w:val="a0"/>
    <w:qFormat/>
  </w:style>
  <w:style w:type="character" w:customStyle="1" w:styleId="2Char">
    <w:name w:val="正文文本缩进 2 Char"/>
    <w:basedOn w:val="a0"/>
    <w:link w:val="2"/>
    <w:uiPriority w:val="99"/>
    <w:qFormat/>
    <w:rPr>
      <w:rFonts w:ascii="Times New Roman" w:eastAsia="宋体" w:hAnsi="Times New Roman" w:cs="Times New Roman"/>
      <w:szCs w:val="20"/>
    </w:rPr>
  </w:style>
  <w:style w:type="character" w:customStyle="1" w:styleId="Char0">
    <w:name w:val="批注文字 Char"/>
    <w:basedOn w:val="a0"/>
    <w:link w:val="a4"/>
    <w:qFormat/>
    <w:rPr>
      <w:rFonts w:ascii="Times New Roman" w:eastAsia="宋体" w:hAnsi="Times New Roman" w:cs="Times New Roman"/>
      <w:szCs w:val="20"/>
    </w:rPr>
  </w:style>
  <w:style w:type="paragraph" w:customStyle="1" w:styleId="11">
    <w:name w:val="修订1"/>
    <w:hidden/>
    <w:uiPriority w:val="99"/>
    <w:semiHidden/>
    <w:qFormat/>
    <w:rPr>
      <w:kern w:val="2"/>
      <w:sz w:val="21"/>
    </w:rPr>
  </w:style>
  <w:style w:type="character" w:customStyle="1" w:styleId="Char">
    <w:name w:val="批注主题 Char"/>
    <w:basedOn w:val="Char0"/>
    <w:link w:val="a3"/>
    <w:uiPriority w:val="99"/>
    <w:semiHidden/>
    <w:qFormat/>
    <w:rPr>
      <w:rFonts w:ascii="Times New Roman" w:eastAsia="宋体" w:hAnsi="Times New Roman" w:cs="Times New Roman"/>
      <w:b/>
      <w:bCs/>
      <w:szCs w:val="20"/>
    </w:rPr>
  </w:style>
  <w:style w:type="character" w:customStyle="1" w:styleId="Char10">
    <w:name w:val="批注文字 Char1"/>
    <w:basedOn w:val="a0"/>
    <w:semiHidden/>
    <w:locked/>
    <w:rsid w:val="00627091"/>
    <w:rPr>
      <w:kern w:val="2"/>
      <w:sz w:val="21"/>
    </w:rPr>
  </w:style>
  <w:style w:type="paragraph" w:styleId="ac">
    <w:name w:val="List Paragraph"/>
    <w:basedOn w:val="a"/>
    <w:uiPriority w:val="99"/>
    <w:unhideWhenUsed/>
    <w:rsid w:val="003C0043"/>
    <w:pPr>
      <w:ind w:firstLineChars="200" w:firstLine="420"/>
    </w:pPr>
  </w:style>
  <w:style w:type="paragraph" w:customStyle="1" w:styleId="zhangjiep">
    <w:name w:val="zhangjie_p"/>
    <w:basedOn w:val="a"/>
    <w:rsid w:val="00787A97"/>
    <w:pPr>
      <w:widowControl/>
      <w:autoSpaceDE w:val="0"/>
      <w:autoSpaceDN w:val="0"/>
      <w:adjustRightInd w:val="0"/>
      <w:spacing w:before="30" w:line="288" w:lineRule="auto"/>
      <w:ind w:left="15"/>
      <w:jc w:val="left"/>
      <w:outlineLvl w:val="1"/>
    </w:pPr>
    <w:rPr>
      <w:rFonts w:ascii="宋体" w:hAnsi="宋体" w:cs="宋体"/>
      <w:kern w:val="0"/>
      <w:sz w:val="24"/>
      <w:szCs w:val="24"/>
    </w:rPr>
  </w:style>
  <w:style w:type="paragraph" w:customStyle="1" w:styleId="zhangjiep2">
    <w:name w:val="zhangjie_p2"/>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biaogeleft">
    <w:name w:val="biaoge_left"/>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biaogecenter">
    <w:name w:val="biaoge_center"/>
    <w:basedOn w:val="a"/>
    <w:rsid w:val="00787A9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biaogeright">
    <w:name w:val="biaoge_right"/>
    <w:basedOn w:val="a"/>
    <w:rsid w:val="00787A9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rsid w:val="00787A97"/>
    <w:pPr>
      <w:widowControl/>
      <w:autoSpaceDE w:val="0"/>
      <w:autoSpaceDN w:val="0"/>
      <w:adjustRightInd w:val="0"/>
      <w:spacing w:before="29" w:line="288" w:lineRule="auto"/>
      <w:ind w:left="15"/>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83291">
      <w:bodyDiv w:val="1"/>
      <w:marLeft w:val="0"/>
      <w:marRight w:val="0"/>
      <w:marTop w:val="0"/>
      <w:marBottom w:val="0"/>
      <w:divBdr>
        <w:top w:val="none" w:sz="0" w:space="0" w:color="auto"/>
        <w:left w:val="none" w:sz="0" w:space="0" w:color="auto"/>
        <w:bottom w:val="none" w:sz="0" w:space="0" w:color="auto"/>
        <w:right w:val="none" w:sz="0" w:space="0" w:color="auto"/>
      </w:divBdr>
    </w:div>
    <w:div w:id="302735371">
      <w:bodyDiv w:val="1"/>
      <w:marLeft w:val="0"/>
      <w:marRight w:val="0"/>
      <w:marTop w:val="0"/>
      <w:marBottom w:val="0"/>
      <w:divBdr>
        <w:top w:val="none" w:sz="0" w:space="0" w:color="auto"/>
        <w:left w:val="none" w:sz="0" w:space="0" w:color="auto"/>
        <w:bottom w:val="none" w:sz="0" w:space="0" w:color="auto"/>
        <w:right w:val="none" w:sz="0" w:space="0" w:color="auto"/>
      </w:divBdr>
    </w:div>
    <w:div w:id="709690639">
      <w:bodyDiv w:val="1"/>
      <w:marLeft w:val="0"/>
      <w:marRight w:val="0"/>
      <w:marTop w:val="0"/>
      <w:marBottom w:val="0"/>
      <w:divBdr>
        <w:top w:val="none" w:sz="0" w:space="0" w:color="auto"/>
        <w:left w:val="none" w:sz="0" w:space="0" w:color="auto"/>
        <w:bottom w:val="none" w:sz="0" w:space="0" w:color="auto"/>
        <w:right w:val="none" w:sz="0" w:space="0" w:color="auto"/>
      </w:divBdr>
    </w:div>
    <w:div w:id="1049765834">
      <w:bodyDiv w:val="1"/>
      <w:marLeft w:val="0"/>
      <w:marRight w:val="0"/>
      <w:marTop w:val="0"/>
      <w:marBottom w:val="0"/>
      <w:divBdr>
        <w:top w:val="none" w:sz="0" w:space="0" w:color="auto"/>
        <w:left w:val="none" w:sz="0" w:space="0" w:color="auto"/>
        <w:bottom w:val="none" w:sz="0" w:space="0" w:color="auto"/>
        <w:right w:val="none" w:sz="0" w:space="0" w:color="auto"/>
      </w:divBdr>
    </w:div>
    <w:div w:id="1556116329">
      <w:bodyDiv w:val="1"/>
      <w:marLeft w:val="0"/>
      <w:marRight w:val="0"/>
      <w:marTop w:val="0"/>
      <w:marBottom w:val="0"/>
      <w:divBdr>
        <w:top w:val="none" w:sz="0" w:space="0" w:color="auto"/>
        <w:left w:val="none" w:sz="0" w:space="0" w:color="auto"/>
        <w:bottom w:val="none" w:sz="0" w:space="0" w:color="auto"/>
        <w:right w:val="none" w:sz="0" w:space="0" w:color="auto"/>
      </w:divBdr>
    </w:div>
    <w:div w:id="1922836397">
      <w:bodyDiv w:val="1"/>
      <w:marLeft w:val="0"/>
      <w:marRight w:val="0"/>
      <w:marTop w:val="0"/>
      <w:marBottom w:val="0"/>
      <w:divBdr>
        <w:top w:val="none" w:sz="0" w:space="0" w:color="auto"/>
        <w:left w:val="none" w:sz="0" w:space="0" w:color="auto"/>
        <w:bottom w:val="none" w:sz="0" w:space="0" w:color="auto"/>
        <w:right w:val="none" w:sz="0" w:space="0" w:color="auto"/>
      </w:divBdr>
    </w:div>
    <w:div w:id="21081843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www.yingmi.cn" TargetMode="External"/><Relationship Id="rId26" Type="http://schemas.openxmlformats.org/officeDocument/2006/relationships/footer" Target="footer5.xml"/><Relationship Id="rId39" Type="http://schemas.openxmlformats.org/officeDocument/2006/relationships/hyperlink" Target="http://www.furamc.com.cn/contents/2018/9/14-4b4424b32b2c48c4ace15c4c1c8dc170.html" TargetMode="External"/><Relationship Id="rId3" Type="http://schemas.openxmlformats.org/officeDocument/2006/relationships/numbering" Target="numbering.xml"/><Relationship Id="rId21" Type="http://schemas.openxmlformats.org/officeDocument/2006/relationships/footer" Target="footer3.xml"/><Relationship Id="rId34" Type="http://schemas.openxmlformats.org/officeDocument/2006/relationships/hyperlink" Target="http://www.furamc.com.cn/contents/2018/8/3-acd438b921604c13839bb539826c1145.html" TargetMode="External"/><Relationship Id="rId42"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yperlink" Target="http://www.66zichan.com/" TargetMode="External"/><Relationship Id="rId25" Type="http://schemas.openxmlformats.org/officeDocument/2006/relationships/header" Target="header3.xml"/><Relationship Id="rId33" Type="http://schemas.openxmlformats.org/officeDocument/2006/relationships/hyperlink" Target="http://www.furamc.com.cn/contents/2018/7/27-c9955ad784cb4bf886faa1bdaa2b3fe5.html" TargetMode="External"/><Relationship Id="rId38" Type="http://schemas.openxmlformats.org/officeDocument/2006/relationships/hyperlink" Target="http://www.furamc.com.cn/contents/2018/9/7-6465ccd1c29045f49fba36e0535078a0.html" TargetMode="External"/><Relationship Id="rId2" Type="http://schemas.openxmlformats.org/officeDocument/2006/relationships/customXml" Target="../customXml/item2.xml"/><Relationship Id="rId16" Type="http://schemas.openxmlformats.org/officeDocument/2006/relationships/hyperlink" Target="http://www.csco.com.cn" TargetMode="External"/><Relationship Id="rId20" Type="http://schemas.openxmlformats.org/officeDocument/2006/relationships/hyperlink" Target="http://www.jianfortune.com" TargetMode="External"/><Relationship Id="rId29" Type="http://schemas.openxmlformats.org/officeDocument/2006/relationships/hyperlink" Target="http://www.furamc.com.cn/contents/2018/3/30-6844b3d64f224cba885de4f43507221b.html"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footer" Target="footer4.xml"/><Relationship Id="rId32" Type="http://schemas.openxmlformats.org/officeDocument/2006/relationships/hyperlink" Target="http://www.furamc.com.cn/contents/2018/7/20-915aa714f157430e97e71095ee112c2d.html" TargetMode="External"/><Relationship Id="rId37" Type="http://schemas.openxmlformats.org/officeDocument/2006/relationships/hyperlink" Target="http://www.furamc.com.cn/contents/2018/8/29-b27ed247d9404424be3f377d8c99d328.html" TargetMode="External"/><Relationship Id="rId40" Type="http://schemas.openxmlformats.org/officeDocument/2006/relationships/header" Target="header4.xml"/><Relationship Id="rId45" Type="http://schemas.microsoft.com/office/2011/relationships/people" Target="people.xml"/><Relationship Id="rId5" Type="http://schemas.microsoft.com/office/2007/relationships/stylesWithEffects" Target="stylesWithEffects.xml"/><Relationship Id="rId15" Type="http://schemas.openxmlformats.org/officeDocument/2006/relationships/hyperlink" Target="http://www.bsb.com.cn" TargetMode="External"/><Relationship Id="rId23" Type="http://schemas.openxmlformats.org/officeDocument/2006/relationships/image" Target="media/image2.jpeg"/><Relationship Id="rId28" Type="http://schemas.openxmlformats.org/officeDocument/2006/relationships/hyperlink" Target="http://www.furamc.com.cn/contents/2018/3/29-57355c9b9689423181c1ed57b7afe460.html" TargetMode="External"/><Relationship Id="rId36" Type="http://schemas.openxmlformats.org/officeDocument/2006/relationships/hyperlink" Target="http://www.furamc.com.cn/contents/2018/8/29-98c3059e9663499baf3f105d51814278.html" TargetMode="External"/><Relationship Id="rId10" Type="http://schemas.openxmlformats.org/officeDocument/2006/relationships/header" Target="header1.xml"/><Relationship Id="rId19" Type="http://schemas.openxmlformats.org/officeDocument/2006/relationships/hyperlink" Target="http://www.taichengcaifu.com" TargetMode="External"/><Relationship Id="rId31" Type="http://schemas.openxmlformats.org/officeDocument/2006/relationships/hyperlink" Target="http://www.furamc.com.cn/contents/2018/5/8-fced5e9ed2d345b9aa3bf6c49e18f567.html" TargetMode="External"/><Relationship Id="rId44"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furamc.com.cn" TargetMode="External"/><Relationship Id="rId22" Type="http://schemas.openxmlformats.org/officeDocument/2006/relationships/image" Target="media/image1.jpeg"/><Relationship Id="rId27" Type="http://schemas.openxmlformats.org/officeDocument/2006/relationships/hyperlink" Target="http://www.furamc.com.cn/contents/2018/3/23-270abc6984044930a5cd81f74b94eb15.html" TargetMode="External"/><Relationship Id="rId30" Type="http://schemas.openxmlformats.org/officeDocument/2006/relationships/hyperlink" Target="http://www.furamc.com.cn/contents/2018/4/4-963cc0a6fb314cd2b15f23dcef1d4097.html" TargetMode="External"/><Relationship Id="rId35" Type="http://schemas.openxmlformats.org/officeDocument/2006/relationships/hyperlink" Target="http://www.furamc.com.cn/contents/2018/8/9-05200dd9241f4c6f921a7b9f2e65db63.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2E77D0-AA04-4299-A1E8-972E8267D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673</TotalTime>
  <Pages>122</Pages>
  <Words>12656</Words>
  <Characters>72145</Characters>
  <Application>Microsoft Office Word</Application>
  <DocSecurity>0</DocSecurity>
  <Lines>601</Lines>
  <Paragraphs>169</Paragraphs>
  <ScaleCrop>false</ScaleCrop>
  <Company>Microsoft</Company>
  <LinksUpToDate>false</LinksUpToDate>
  <CharactersWithSpaces>84632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张汉江</dc:creator>
  <cp:lastModifiedBy>余卿嵘</cp:lastModifiedBy>
  <cp:revision>99</cp:revision>
  <cp:lastPrinted>2018-11-13T07:20:00Z</cp:lastPrinted>
  <dcterms:created xsi:type="dcterms:W3CDTF">2017-07-19T06:07:00Z</dcterms:created>
  <dcterms:modified xsi:type="dcterms:W3CDTF">2018-11-13T07:22:00Z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