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C18" w:rsidRDefault="00B85C18">
      <w:pPr>
        <w:tabs>
          <w:tab w:val="left" w:pos="6660"/>
        </w:tabs>
        <w:spacing w:line="360" w:lineRule="auto"/>
        <w:jc w:val="center"/>
        <w:rPr>
          <w:rFonts w:asciiTheme="minorEastAsia" w:hAnsiTheme="minorEastAsia" w:cs="Times New Roman"/>
          <w:bCs/>
          <w:sz w:val="48"/>
          <w:szCs w:val="48"/>
        </w:rPr>
      </w:pPr>
      <w:bookmarkStart w:id="0" w:name="_GoBack"/>
      <w:bookmarkEnd w:id="0"/>
    </w:p>
    <w:p w:rsidR="00B85C18" w:rsidRDefault="00B85C18">
      <w:pPr>
        <w:spacing w:line="360" w:lineRule="auto"/>
        <w:jc w:val="center"/>
        <w:rPr>
          <w:rFonts w:asciiTheme="minorEastAsia" w:hAnsiTheme="minorEastAsia" w:cs="Times New Roman"/>
          <w:b/>
          <w:sz w:val="48"/>
          <w:szCs w:val="48"/>
        </w:rPr>
      </w:pPr>
    </w:p>
    <w:p w:rsidR="00B85C18" w:rsidRDefault="00B85C18">
      <w:pPr>
        <w:adjustRightInd w:val="0"/>
        <w:snapToGrid w:val="0"/>
        <w:spacing w:line="360" w:lineRule="auto"/>
        <w:jc w:val="center"/>
        <w:rPr>
          <w:rFonts w:asciiTheme="minorEastAsia" w:hAnsiTheme="minorEastAsia" w:cs="Arial"/>
          <w:sz w:val="48"/>
          <w:szCs w:val="48"/>
        </w:rPr>
      </w:pPr>
      <w:bookmarkStart w:id="1" w:name="_Toc123701386"/>
      <w:bookmarkStart w:id="2" w:name="_Toc123112227"/>
      <w:bookmarkStart w:id="3" w:name="_Toc139991729"/>
      <w:bookmarkStart w:id="4" w:name="_Toc123112266"/>
    </w:p>
    <w:p w:rsidR="00B85C18" w:rsidRDefault="004E5A0C">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富荣福安灵活配置混合型证券投资基金更新</w:t>
      </w:r>
      <w:r>
        <w:rPr>
          <w:rFonts w:ascii="Arial" w:eastAsia="宋体" w:hAnsi="宋体" w:cs="Arial"/>
          <w:b/>
          <w:sz w:val="48"/>
          <w:szCs w:val="48"/>
        </w:rPr>
        <w:t>的</w:t>
      </w:r>
      <w:r>
        <w:rPr>
          <w:rFonts w:ascii="Arial" w:eastAsia="宋体" w:hAnsi="宋体" w:cs="Arial" w:hint="eastAsia"/>
          <w:b/>
          <w:sz w:val="48"/>
          <w:szCs w:val="48"/>
        </w:rPr>
        <w:t>招募说明书</w:t>
      </w:r>
    </w:p>
    <w:p w:rsidR="00B85C18" w:rsidRDefault="004E5A0C">
      <w:pPr>
        <w:adjustRightInd w:val="0"/>
        <w:snapToGrid w:val="0"/>
        <w:spacing w:line="360" w:lineRule="auto"/>
        <w:jc w:val="center"/>
        <w:rPr>
          <w:rFonts w:asciiTheme="minorEastAsia" w:hAnsiTheme="minorEastAsia" w:cs="Times New Roman"/>
          <w:b/>
          <w:sz w:val="48"/>
          <w:szCs w:val="48"/>
        </w:rPr>
      </w:pPr>
      <w:r>
        <w:rPr>
          <w:rFonts w:asciiTheme="minorEastAsia" w:hAnsiTheme="minorEastAsia" w:cs="Times New Roman" w:hint="eastAsia"/>
          <w:b/>
          <w:sz w:val="48"/>
          <w:szCs w:val="48"/>
        </w:rPr>
        <w:t>（2018年第1号）</w:t>
      </w:r>
    </w:p>
    <w:p w:rsidR="00B85C18" w:rsidRDefault="00B85C18">
      <w:pPr>
        <w:adjustRightInd w:val="0"/>
        <w:snapToGrid w:val="0"/>
        <w:spacing w:line="360" w:lineRule="auto"/>
        <w:jc w:val="center"/>
        <w:rPr>
          <w:rFonts w:asciiTheme="minorEastAsia" w:hAnsiTheme="minorEastAsia" w:cs="Arial"/>
          <w:sz w:val="36"/>
          <w:szCs w:val="36"/>
        </w:rPr>
      </w:pPr>
    </w:p>
    <w:p w:rsidR="00B85C18" w:rsidRDefault="00B85C18">
      <w:pPr>
        <w:adjustRightInd w:val="0"/>
        <w:snapToGrid w:val="0"/>
        <w:spacing w:line="360" w:lineRule="auto"/>
        <w:jc w:val="center"/>
        <w:rPr>
          <w:rFonts w:asciiTheme="minorEastAsia" w:hAnsiTheme="minorEastAsia" w:cs="Arial"/>
          <w:sz w:val="36"/>
          <w:szCs w:val="36"/>
        </w:rPr>
      </w:pPr>
    </w:p>
    <w:p w:rsidR="00B85C18" w:rsidRDefault="00B85C18">
      <w:pPr>
        <w:adjustRightInd w:val="0"/>
        <w:snapToGrid w:val="0"/>
        <w:spacing w:line="360" w:lineRule="auto"/>
        <w:jc w:val="center"/>
        <w:rPr>
          <w:rFonts w:asciiTheme="minorEastAsia" w:hAnsiTheme="minorEastAsia" w:cs="Arial"/>
          <w:sz w:val="36"/>
          <w:szCs w:val="36"/>
        </w:rPr>
      </w:pPr>
    </w:p>
    <w:p w:rsidR="00B85C18" w:rsidRDefault="00B85C18">
      <w:pPr>
        <w:adjustRightInd w:val="0"/>
        <w:snapToGrid w:val="0"/>
        <w:spacing w:line="360" w:lineRule="auto"/>
        <w:jc w:val="center"/>
        <w:rPr>
          <w:rFonts w:asciiTheme="minorEastAsia" w:hAnsiTheme="minorEastAsia" w:cs="Arial"/>
          <w:sz w:val="36"/>
          <w:szCs w:val="36"/>
        </w:rPr>
      </w:pPr>
    </w:p>
    <w:p w:rsidR="00B85C18" w:rsidRDefault="00B85C18">
      <w:pPr>
        <w:adjustRightInd w:val="0"/>
        <w:snapToGrid w:val="0"/>
        <w:spacing w:line="360" w:lineRule="auto"/>
        <w:jc w:val="center"/>
        <w:rPr>
          <w:rFonts w:asciiTheme="minorEastAsia" w:hAnsiTheme="minorEastAsia" w:cs="Arial"/>
          <w:sz w:val="36"/>
          <w:szCs w:val="36"/>
        </w:rPr>
      </w:pPr>
    </w:p>
    <w:p w:rsidR="00B85C18" w:rsidRDefault="00B85C18">
      <w:pPr>
        <w:adjustRightInd w:val="0"/>
        <w:snapToGrid w:val="0"/>
        <w:spacing w:line="360" w:lineRule="auto"/>
        <w:jc w:val="center"/>
        <w:rPr>
          <w:rFonts w:asciiTheme="minorEastAsia" w:hAnsiTheme="minorEastAsia" w:cs="Arial"/>
          <w:sz w:val="36"/>
          <w:szCs w:val="36"/>
        </w:rPr>
      </w:pPr>
    </w:p>
    <w:p w:rsidR="00B85C18" w:rsidRDefault="004E5A0C">
      <w:pPr>
        <w:snapToGrid w:val="0"/>
        <w:spacing w:line="360" w:lineRule="auto"/>
        <w:jc w:val="center"/>
        <w:rPr>
          <w:rFonts w:ascii="Arial" w:eastAsia="宋体" w:hAnsi="Arial" w:cs="Times New Roman"/>
          <w:b/>
          <w:sz w:val="36"/>
          <w:szCs w:val="36"/>
        </w:rPr>
      </w:pPr>
      <w:bookmarkStart w:id="5" w:name="_Toc123112224"/>
      <w:bookmarkStart w:id="6" w:name="_Toc139991726"/>
      <w:bookmarkStart w:id="7" w:name="_Toc123701383"/>
      <w:bookmarkStart w:id="8" w:name="_Toc123112263"/>
      <w:bookmarkStart w:id="9" w:name="_Toc139992301"/>
      <w:r>
        <w:rPr>
          <w:rFonts w:ascii="Arial" w:eastAsia="宋体" w:hAnsi="Arial" w:cs="Times New Roman" w:hint="eastAsia"/>
          <w:b/>
          <w:sz w:val="36"/>
          <w:szCs w:val="36"/>
        </w:rPr>
        <w:t>基金管理人：</w:t>
      </w:r>
      <w:bookmarkEnd w:id="5"/>
      <w:bookmarkEnd w:id="6"/>
      <w:bookmarkEnd w:id="7"/>
      <w:bookmarkEnd w:id="8"/>
      <w:bookmarkEnd w:id="9"/>
      <w:r>
        <w:rPr>
          <w:rFonts w:ascii="Arial" w:eastAsia="宋体" w:hAnsi="Arial" w:cs="Times New Roman" w:hint="eastAsia"/>
          <w:b/>
          <w:sz w:val="36"/>
          <w:szCs w:val="36"/>
        </w:rPr>
        <w:t>富荣基金管理有限公司</w:t>
      </w:r>
    </w:p>
    <w:p w:rsidR="000D01BB" w:rsidRDefault="004E5A0C">
      <w:pPr>
        <w:autoSpaceDE w:val="0"/>
        <w:autoSpaceDN w:val="0"/>
        <w:adjustRightInd w:val="0"/>
        <w:snapToGrid w:val="0"/>
        <w:spacing w:line="360" w:lineRule="auto"/>
        <w:jc w:val="center"/>
        <w:rPr>
          <w:rFonts w:ascii="Arial" w:eastAsia="宋体" w:hAnsi="Arial" w:cs="Times New Roman"/>
          <w:b/>
          <w:sz w:val="36"/>
          <w:szCs w:val="36"/>
        </w:rPr>
        <w:sectPr w:rsidR="000D01BB">
          <w:headerReference w:type="default" r:id="rId10"/>
          <w:footerReference w:type="default" r:id="rId11"/>
          <w:footerReference w:type="first" r:id="rId12"/>
          <w:pgSz w:w="11906" w:h="16838"/>
          <w:pgMar w:top="1440" w:right="1800" w:bottom="1440" w:left="1800" w:header="851" w:footer="992" w:gutter="0"/>
          <w:pgNumType w:start="1" w:chapStyle="1"/>
          <w:cols w:space="720"/>
          <w:titlePg/>
          <w:docGrid w:type="lines" w:linePitch="312"/>
        </w:sectPr>
      </w:pPr>
      <w:bookmarkStart w:id="10" w:name="_Toc123112225"/>
      <w:bookmarkStart w:id="11" w:name="_Toc123112264"/>
      <w:bookmarkStart w:id="12" w:name="_Toc123701384"/>
      <w:bookmarkStart w:id="13" w:name="_Toc139991727"/>
      <w:bookmarkStart w:id="14" w:name="_Toc139992302"/>
      <w:r>
        <w:rPr>
          <w:rFonts w:ascii="Arial" w:eastAsia="宋体" w:hAnsi="Arial" w:cs="Times New Roman" w:hint="eastAsia"/>
          <w:b/>
          <w:sz w:val="36"/>
          <w:szCs w:val="36"/>
        </w:rPr>
        <w:t>基金托管人：</w:t>
      </w:r>
      <w:bookmarkEnd w:id="10"/>
      <w:bookmarkEnd w:id="11"/>
      <w:bookmarkEnd w:id="12"/>
      <w:bookmarkEnd w:id="13"/>
      <w:bookmarkEnd w:id="14"/>
      <w:r>
        <w:rPr>
          <w:rFonts w:ascii="Arial" w:eastAsia="宋体" w:hAnsi="Arial" w:cs="Times New Roman" w:hint="eastAsia"/>
          <w:b/>
          <w:sz w:val="36"/>
          <w:szCs w:val="36"/>
        </w:rPr>
        <w:t>招商银行股份有限公司</w:t>
      </w:r>
    </w:p>
    <w:p w:rsidR="00B85C18" w:rsidRDefault="004E5A0C">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rsidR="00B85C18" w:rsidRDefault="00B85C18">
      <w:pPr>
        <w:autoSpaceDE w:val="0"/>
        <w:autoSpaceDN w:val="0"/>
        <w:adjustRightInd w:val="0"/>
        <w:snapToGrid w:val="0"/>
        <w:spacing w:line="360" w:lineRule="auto"/>
        <w:jc w:val="center"/>
        <w:rPr>
          <w:rFonts w:ascii="Arial" w:eastAsia="宋体" w:hAnsi="Arial" w:cs="Arial"/>
          <w:b/>
          <w:bCs/>
          <w:szCs w:val="21"/>
        </w:rPr>
      </w:pP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本基金经中国证监会2017年5月16日证监许可[2017] 731 号文准予注册。本基金于2018年2月13日正式生效。</w:t>
      </w: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本招募说明书所载内容截止日为2018年8月13日，有关财务数据截止日为</w:t>
      </w:r>
      <w:r>
        <w:rPr>
          <w:rFonts w:asciiTheme="minorEastAsia" w:hAnsiTheme="minorEastAsia" w:cs="Arial"/>
          <w:sz w:val="24"/>
          <w:szCs w:val="24"/>
        </w:rPr>
        <w:t>2018</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30</w:t>
      </w:r>
      <w:r>
        <w:rPr>
          <w:rFonts w:asciiTheme="minorEastAsia" w:hAnsiTheme="minorEastAsia" w:cs="Arial" w:hint="eastAsia"/>
          <w:sz w:val="24"/>
          <w:szCs w:val="24"/>
        </w:rPr>
        <w:t>日，净值表现截止日为2018年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30</w:t>
      </w:r>
      <w:r>
        <w:rPr>
          <w:rFonts w:asciiTheme="minorEastAsia" w:hAnsiTheme="minorEastAsia" w:cs="Arial" w:hint="eastAsia"/>
          <w:sz w:val="24"/>
          <w:szCs w:val="24"/>
        </w:rPr>
        <w:t>日，本报告中所列财务数据未经</w:t>
      </w:r>
      <w:r>
        <w:rPr>
          <w:rFonts w:asciiTheme="minorEastAsia" w:hAnsiTheme="minorEastAsia" w:cs="Arial" w:hint="eastAsia"/>
          <w:sz w:val="24"/>
          <w:szCs w:val="24"/>
        </w:rPr>
        <w:lastRenderedPageBreak/>
        <w:t>审计。</w:t>
      </w: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本基金托管人招商银行股份有限公司已于2018年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21</w:t>
      </w:r>
      <w:r>
        <w:rPr>
          <w:rFonts w:asciiTheme="minorEastAsia" w:hAnsiTheme="minorEastAsia" w:cs="Arial" w:hint="eastAsia"/>
          <w:sz w:val="24"/>
          <w:szCs w:val="24"/>
        </w:rPr>
        <w:t>日复核了本次更新的招募说明书。</w:t>
      </w: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autoSpaceDE w:val="0"/>
        <w:autoSpaceDN w:val="0"/>
        <w:adjustRightInd w:val="0"/>
        <w:snapToGrid w:val="0"/>
        <w:spacing w:line="360" w:lineRule="auto"/>
        <w:rPr>
          <w:rFonts w:asciiTheme="minorEastAsia" w:hAnsiTheme="minorEastAsia" w:cs="Arial"/>
          <w:sz w:val="24"/>
          <w:szCs w:val="24"/>
        </w:rPr>
        <w:sectPr w:rsidR="00B85C18" w:rsidSect="000D01BB">
          <w:footerReference w:type="default" r:id="rId13"/>
          <w:footerReference w:type="first" r:id="rId14"/>
          <w:pgSz w:w="11906" w:h="16838"/>
          <w:pgMar w:top="1440" w:right="1800" w:bottom="1440" w:left="1800" w:header="851" w:footer="992" w:gutter="0"/>
          <w:pgNumType w:start="1" w:chapStyle="1"/>
          <w:cols w:space="720"/>
          <w:titlePg/>
          <w:docGrid w:type="lines" w:linePitch="312"/>
        </w:sectPr>
      </w:pPr>
    </w:p>
    <w:sdt>
      <w:sdtPr>
        <w:rPr>
          <w:rFonts w:asciiTheme="minorHAnsi" w:eastAsiaTheme="minorEastAsia" w:hAnsiTheme="minorHAnsi" w:cstheme="minorBidi"/>
          <w:color w:val="auto"/>
          <w:kern w:val="2"/>
          <w:sz w:val="21"/>
          <w:szCs w:val="22"/>
          <w:lang w:val="zh-CN"/>
        </w:rPr>
        <w:id w:val="-498267108"/>
        <w:docPartObj>
          <w:docPartGallery w:val="Table of Contents"/>
          <w:docPartUnique/>
        </w:docPartObj>
      </w:sdtPr>
      <w:sdtEndPr>
        <w:rPr>
          <w:b/>
          <w:bCs/>
        </w:rPr>
      </w:sdtEndPr>
      <w:sdtContent>
        <w:p w:rsidR="00B85C18" w:rsidRDefault="004E5A0C">
          <w:pPr>
            <w:pStyle w:val="TOC1"/>
            <w:jc w:val="center"/>
            <w:rPr>
              <w:rFonts w:ascii="黑体" w:eastAsia="黑体" w:hAnsi="黑体"/>
              <w:color w:val="auto"/>
            </w:rPr>
          </w:pPr>
          <w:r>
            <w:rPr>
              <w:rFonts w:ascii="黑体" w:eastAsia="黑体" w:hAnsi="黑体"/>
              <w:color w:val="auto"/>
              <w:lang w:val="zh-CN"/>
            </w:rPr>
            <w:t>目录</w:t>
          </w:r>
        </w:p>
        <w:p w:rsidR="00B85C18" w:rsidRDefault="004E5A0C">
          <w:pPr>
            <w:pStyle w:val="10"/>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523229696" w:history="1">
            <w:r>
              <w:rPr>
                <w:rStyle w:val="af"/>
                <w:noProof/>
              </w:rPr>
              <w:t>第一部分</w:t>
            </w:r>
            <w:r>
              <w:rPr>
                <w:rStyle w:val="af"/>
                <w:noProof/>
              </w:rPr>
              <w:t xml:space="preserve">  </w:t>
            </w:r>
            <w:r>
              <w:rPr>
                <w:rStyle w:val="af"/>
                <w:noProof/>
              </w:rPr>
              <w:t>绪言</w:t>
            </w:r>
            <w:r>
              <w:rPr>
                <w:noProof/>
              </w:rPr>
              <w:tab/>
            </w:r>
            <w:r>
              <w:rPr>
                <w:noProof/>
              </w:rPr>
              <w:fldChar w:fldCharType="begin"/>
            </w:r>
            <w:r>
              <w:rPr>
                <w:noProof/>
              </w:rPr>
              <w:instrText xml:space="preserve"> PAGEREF _Toc523229696 \h </w:instrText>
            </w:r>
            <w:r>
              <w:rPr>
                <w:noProof/>
              </w:rPr>
            </w:r>
            <w:r>
              <w:rPr>
                <w:noProof/>
              </w:rPr>
              <w:fldChar w:fldCharType="separate"/>
            </w:r>
            <w:r w:rsidR="00107294">
              <w:rPr>
                <w:noProof/>
              </w:rPr>
              <w:t>4</w:t>
            </w:r>
            <w:r>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697" w:history="1">
            <w:r w:rsidR="004E5A0C">
              <w:rPr>
                <w:rStyle w:val="af"/>
                <w:noProof/>
              </w:rPr>
              <w:t>第二部分</w:t>
            </w:r>
            <w:r w:rsidR="004E5A0C">
              <w:rPr>
                <w:rStyle w:val="af"/>
                <w:noProof/>
              </w:rPr>
              <w:t xml:space="preserve">  </w:t>
            </w:r>
            <w:r w:rsidR="004E5A0C">
              <w:rPr>
                <w:rStyle w:val="af"/>
                <w:noProof/>
              </w:rPr>
              <w:t>释义</w:t>
            </w:r>
            <w:r w:rsidR="004E5A0C">
              <w:rPr>
                <w:noProof/>
              </w:rPr>
              <w:tab/>
            </w:r>
            <w:r w:rsidR="004E5A0C">
              <w:rPr>
                <w:noProof/>
              </w:rPr>
              <w:fldChar w:fldCharType="begin"/>
            </w:r>
            <w:r w:rsidR="004E5A0C">
              <w:rPr>
                <w:noProof/>
              </w:rPr>
              <w:instrText xml:space="preserve"> PAGEREF _Toc523229697 \h </w:instrText>
            </w:r>
            <w:r w:rsidR="004E5A0C">
              <w:rPr>
                <w:noProof/>
              </w:rPr>
            </w:r>
            <w:r w:rsidR="004E5A0C">
              <w:rPr>
                <w:noProof/>
              </w:rPr>
              <w:fldChar w:fldCharType="separate"/>
            </w:r>
            <w:r w:rsidR="00107294">
              <w:rPr>
                <w:noProof/>
              </w:rPr>
              <w:t>5</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698" w:history="1">
            <w:r w:rsidR="004E5A0C">
              <w:rPr>
                <w:rStyle w:val="af"/>
                <w:noProof/>
              </w:rPr>
              <w:t>第三部分</w:t>
            </w:r>
            <w:r w:rsidR="004E5A0C">
              <w:rPr>
                <w:rStyle w:val="af"/>
                <w:noProof/>
              </w:rPr>
              <w:t xml:space="preserve">  </w:t>
            </w:r>
            <w:r w:rsidR="004E5A0C">
              <w:rPr>
                <w:rStyle w:val="af"/>
                <w:noProof/>
              </w:rPr>
              <w:t>基金管理人</w:t>
            </w:r>
            <w:r w:rsidR="004E5A0C">
              <w:rPr>
                <w:noProof/>
              </w:rPr>
              <w:tab/>
            </w:r>
            <w:r w:rsidR="004E5A0C">
              <w:rPr>
                <w:noProof/>
              </w:rPr>
              <w:fldChar w:fldCharType="begin"/>
            </w:r>
            <w:r w:rsidR="004E5A0C">
              <w:rPr>
                <w:noProof/>
              </w:rPr>
              <w:instrText xml:space="preserve"> PAGEREF _Toc523229698 \h </w:instrText>
            </w:r>
            <w:r w:rsidR="004E5A0C">
              <w:rPr>
                <w:noProof/>
              </w:rPr>
            </w:r>
            <w:r w:rsidR="004E5A0C">
              <w:rPr>
                <w:noProof/>
              </w:rPr>
              <w:fldChar w:fldCharType="separate"/>
            </w:r>
            <w:r w:rsidR="00107294">
              <w:rPr>
                <w:noProof/>
              </w:rPr>
              <w:t>10</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699" w:history="1">
            <w:r w:rsidR="004E5A0C">
              <w:rPr>
                <w:rStyle w:val="af"/>
                <w:noProof/>
              </w:rPr>
              <w:t>第四部分</w:t>
            </w:r>
            <w:r w:rsidR="004E5A0C">
              <w:rPr>
                <w:rStyle w:val="af"/>
                <w:noProof/>
              </w:rPr>
              <w:t xml:space="preserve">  </w:t>
            </w:r>
            <w:r w:rsidR="004E5A0C">
              <w:rPr>
                <w:rStyle w:val="af"/>
                <w:noProof/>
              </w:rPr>
              <w:t>基金托管人</w:t>
            </w:r>
            <w:r w:rsidR="004E5A0C">
              <w:rPr>
                <w:noProof/>
              </w:rPr>
              <w:tab/>
            </w:r>
            <w:r w:rsidR="004E5A0C">
              <w:rPr>
                <w:noProof/>
              </w:rPr>
              <w:fldChar w:fldCharType="begin"/>
            </w:r>
            <w:r w:rsidR="004E5A0C">
              <w:rPr>
                <w:noProof/>
              </w:rPr>
              <w:instrText xml:space="preserve"> PAGEREF _Toc523229699 \h </w:instrText>
            </w:r>
            <w:r w:rsidR="004E5A0C">
              <w:rPr>
                <w:noProof/>
              </w:rPr>
            </w:r>
            <w:r w:rsidR="004E5A0C">
              <w:rPr>
                <w:noProof/>
              </w:rPr>
              <w:fldChar w:fldCharType="separate"/>
            </w:r>
            <w:r w:rsidR="00107294">
              <w:rPr>
                <w:noProof/>
              </w:rPr>
              <w:t>20</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00" w:history="1">
            <w:r w:rsidR="004E5A0C">
              <w:rPr>
                <w:rStyle w:val="af"/>
                <w:noProof/>
              </w:rPr>
              <w:t>第五部分</w:t>
            </w:r>
            <w:r w:rsidR="004E5A0C">
              <w:rPr>
                <w:rStyle w:val="af"/>
                <w:noProof/>
              </w:rPr>
              <w:t xml:space="preserve">  </w:t>
            </w:r>
            <w:r w:rsidR="004E5A0C">
              <w:rPr>
                <w:rStyle w:val="af"/>
                <w:noProof/>
              </w:rPr>
              <w:t>相关服务机构</w:t>
            </w:r>
            <w:r w:rsidR="004E5A0C">
              <w:rPr>
                <w:noProof/>
              </w:rPr>
              <w:tab/>
            </w:r>
            <w:r w:rsidR="004E5A0C">
              <w:rPr>
                <w:noProof/>
              </w:rPr>
              <w:fldChar w:fldCharType="begin"/>
            </w:r>
            <w:r w:rsidR="004E5A0C">
              <w:rPr>
                <w:noProof/>
              </w:rPr>
              <w:instrText xml:space="preserve"> PAGEREF _Toc523229700 \h </w:instrText>
            </w:r>
            <w:r w:rsidR="004E5A0C">
              <w:rPr>
                <w:noProof/>
              </w:rPr>
            </w:r>
            <w:r w:rsidR="004E5A0C">
              <w:rPr>
                <w:noProof/>
              </w:rPr>
              <w:fldChar w:fldCharType="separate"/>
            </w:r>
            <w:r w:rsidR="00107294">
              <w:rPr>
                <w:noProof/>
              </w:rPr>
              <w:t>26</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01" w:history="1">
            <w:r w:rsidR="004E5A0C">
              <w:rPr>
                <w:rStyle w:val="af"/>
                <w:noProof/>
              </w:rPr>
              <w:t>第六部分</w:t>
            </w:r>
            <w:r w:rsidR="004E5A0C">
              <w:rPr>
                <w:rStyle w:val="af"/>
                <w:noProof/>
              </w:rPr>
              <w:t xml:space="preserve">  </w:t>
            </w:r>
            <w:r w:rsidR="004E5A0C">
              <w:rPr>
                <w:rStyle w:val="af"/>
                <w:noProof/>
              </w:rPr>
              <w:t>基金的募集</w:t>
            </w:r>
            <w:r w:rsidR="004E5A0C">
              <w:rPr>
                <w:noProof/>
              </w:rPr>
              <w:tab/>
            </w:r>
            <w:r w:rsidR="004E5A0C">
              <w:rPr>
                <w:noProof/>
              </w:rPr>
              <w:fldChar w:fldCharType="begin"/>
            </w:r>
            <w:r w:rsidR="004E5A0C">
              <w:rPr>
                <w:noProof/>
              </w:rPr>
              <w:instrText xml:space="preserve"> PAGEREF _Toc523229701 \h </w:instrText>
            </w:r>
            <w:r w:rsidR="004E5A0C">
              <w:rPr>
                <w:noProof/>
              </w:rPr>
            </w:r>
            <w:r w:rsidR="004E5A0C">
              <w:rPr>
                <w:noProof/>
              </w:rPr>
              <w:fldChar w:fldCharType="separate"/>
            </w:r>
            <w:r w:rsidR="00107294">
              <w:rPr>
                <w:noProof/>
              </w:rPr>
              <w:t>29</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02" w:history="1">
            <w:r w:rsidR="004E5A0C">
              <w:rPr>
                <w:rStyle w:val="af"/>
                <w:noProof/>
              </w:rPr>
              <w:t>第七部分</w:t>
            </w:r>
            <w:r w:rsidR="004E5A0C">
              <w:rPr>
                <w:rStyle w:val="af"/>
                <w:noProof/>
              </w:rPr>
              <w:t xml:space="preserve">  </w:t>
            </w:r>
            <w:r w:rsidR="004E5A0C">
              <w:rPr>
                <w:rStyle w:val="af"/>
                <w:noProof/>
              </w:rPr>
              <w:t>基金合同的生效</w:t>
            </w:r>
            <w:r w:rsidR="004E5A0C">
              <w:rPr>
                <w:noProof/>
              </w:rPr>
              <w:tab/>
            </w:r>
            <w:r w:rsidR="004E5A0C">
              <w:rPr>
                <w:noProof/>
              </w:rPr>
              <w:fldChar w:fldCharType="begin"/>
            </w:r>
            <w:r w:rsidR="004E5A0C">
              <w:rPr>
                <w:noProof/>
              </w:rPr>
              <w:instrText xml:space="preserve"> PAGEREF _Toc523229702 \h </w:instrText>
            </w:r>
            <w:r w:rsidR="004E5A0C">
              <w:rPr>
                <w:noProof/>
              </w:rPr>
            </w:r>
            <w:r w:rsidR="004E5A0C">
              <w:rPr>
                <w:noProof/>
              </w:rPr>
              <w:fldChar w:fldCharType="separate"/>
            </w:r>
            <w:r w:rsidR="00107294">
              <w:rPr>
                <w:noProof/>
              </w:rPr>
              <w:t>30</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03" w:history="1">
            <w:r w:rsidR="004E5A0C">
              <w:rPr>
                <w:rStyle w:val="af"/>
                <w:noProof/>
              </w:rPr>
              <w:t>第八部分</w:t>
            </w:r>
            <w:r w:rsidR="004E5A0C">
              <w:rPr>
                <w:rStyle w:val="af"/>
                <w:noProof/>
              </w:rPr>
              <w:t xml:space="preserve">  </w:t>
            </w:r>
            <w:r w:rsidR="004E5A0C">
              <w:rPr>
                <w:rStyle w:val="af"/>
                <w:noProof/>
              </w:rPr>
              <w:t>基金份额的申购与赎回</w:t>
            </w:r>
            <w:r w:rsidR="004E5A0C">
              <w:rPr>
                <w:noProof/>
              </w:rPr>
              <w:tab/>
            </w:r>
            <w:r w:rsidR="004E5A0C">
              <w:rPr>
                <w:noProof/>
              </w:rPr>
              <w:fldChar w:fldCharType="begin"/>
            </w:r>
            <w:r w:rsidR="004E5A0C">
              <w:rPr>
                <w:noProof/>
              </w:rPr>
              <w:instrText xml:space="preserve"> PAGEREF _Toc523229703 \h </w:instrText>
            </w:r>
            <w:r w:rsidR="004E5A0C">
              <w:rPr>
                <w:noProof/>
              </w:rPr>
            </w:r>
            <w:r w:rsidR="004E5A0C">
              <w:rPr>
                <w:noProof/>
              </w:rPr>
              <w:fldChar w:fldCharType="separate"/>
            </w:r>
            <w:r w:rsidR="00107294">
              <w:rPr>
                <w:noProof/>
              </w:rPr>
              <w:t>31</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04" w:history="1">
            <w:r w:rsidR="004E5A0C">
              <w:rPr>
                <w:rStyle w:val="af"/>
                <w:noProof/>
              </w:rPr>
              <w:t>第九部分</w:t>
            </w:r>
            <w:r w:rsidR="004E5A0C">
              <w:rPr>
                <w:rStyle w:val="af"/>
                <w:noProof/>
              </w:rPr>
              <w:t xml:space="preserve">  </w:t>
            </w:r>
            <w:r w:rsidR="004E5A0C">
              <w:rPr>
                <w:rStyle w:val="af"/>
                <w:noProof/>
              </w:rPr>
              <w:t>基金的投资</w:t>
            </w:r>
            <w:r w:rsidR="004E5A0C">
              <w:rPr>
                <w:noProof/>
              </w:rPr>
              <w:tab/>
            </w:r>
            <w:r w:rsidR="004E5A0C">
              <w:rPr>
                <w:noProof/>
              </w:rPr>
              <w:fldChar w:fldCharType="begin"/>
            </w:r>
            <w:r w:rsidR="004E5A0C">
              <w:rPr>
                <w:noProof/>
              </w:rPr>
              <w:instrText xml:space="preserve"> PAGEREF _Toc523229704 \h </w:instrText>
            </w:r>
            <w:r w:rsidR="004E5A0C">
              <w:rPr>
                <w:noProof/>
              </w:rPr>
            </w:r>
            <w:r w:rsidR="004E5A0C">
              <w:rPr>
                <w:noProof/>
              </w:rPr>
              <w:fldChar w:fldCharType="separate"/>
            </w:r>
            <w:r w:rsidR="00107294">
              <w:rPr>
                <w:noProof/>
              </w:rPr>
              <w:t>42</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05" w:history="1">
            <w:r w:rsidR="004E5A0C">
              <w:rPr>
                <w:rStyle w:val="af"/>
                <w:noProof/>
              </w:rPr>
              <w:t>第十部分</w:t>
            </w:r>
            <w:r w:rsidR="004E5A0C">
              <w:rPr>
                <w:rStyle w:val="af"/>
                <w:noProof/>
              </w:rPr>
              <w:t xml:space="preserve">  </w:t>
            </w:r>
            <w:r w:rsidR="004E5A0C">
              <w:rPr>
                <w:rStyle w:val="af"/>
                <w:noProof/>
              </w:rPr>
              <w:t>基金的财产</w:t>
            </w:r>
            <w:r w:rsidR="004E5A0C">
              <w:rPr>
                <w:noProof/>
              </w:rPr>
              <w:tab/>
            </w:r>
            <w:r w:rsidR="004E5A0C">
              <w:rPr>
                <w:noProof/>
              </w:rPr>
              <w:fldChar w:fldCharType="begin"/>
            </w:r>
            <w:r w:rsidR="004E5A0C">
              <w:rPr>
                <w:noProof/>
              </w:rPr>
              <w:instrText xml:space="preserve"> PAGEREF _Toc523229705 \h </w:instrText>
            </w:r>
            <w:r w:rsidR="004E5A0C">
              <w:rPr>
                <w:noProof/>
              </w:rPr>
            </w:r>
            <w:r w:rsidR="004E5A0C">
              <w:rPr>
                <w:noProof/>
              </w:rPr>
              <w:fldChar w:fldCharType="separate"/>
            </w:r>
            <w:r w:rsidR="00107294">
              <w:rPr>
                <w:noProof/>
              </w:rPr>
              <w:t>57</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06" w:history="1">
            <w:r w:rsidR="004E5A0C">
              <w:rPr>
                <w:rStyle w:val="af"/>
                <w:noProof/>
              </w:rPr>
              <w:t>第十一部分</w:t>
            </w:r>
            <w:r w:rsidR="004E5A0C">
              <w:rPr>
                <w:rStyle w:val="af"/>
                <w:noProof/>
              </w:rPr>
              <w:t xml:space="preserve">  </w:t>
            </w:r>
            <w:r w:rsidR="004E5A0C">
              <w:rPr>
                <w:rStyle w:val="af"/>
                <w:noProof/>
              </w:rPr>
              <w:t>基金资产的估值</w:t>
            </w:r>
            <w:r w:rsidR="004E5A0C">
              <w:rPr>
                <w:noProof/>
              </w:rPr>
              <w:tab/>
            </w:r>
            <w:r w:rsidR="004E5A0C">
              <w:rPr>
                <w:noProof/>
              </w:rPr>
              <w:fldChar w:fldCharType="begin"/>
            </w:r>
            <w:r w:rsidR="004E5A0C">
              <w:rPr>
                <w:noProof/>
              </w:rPr>
              <w:instrText xml:space="preserve"> PAGEREF _Toc523229706 \h </w:instrText>
            </w:r>
            <w:r w:rsidR="004E5A0C">
              <w:rPr>
                <w:noProof/>
              </w:rPr>
            </w:r>
            <w:r w:rsidR="004E5A0C">
              <w:rPr>
                <w:noProof/>
              </w:rPr>
              <w:fldChar w:fldCharType="separate"/>
            </w:r>
            <w:r w:rsidR="00107294">
              <w:rPr>
                <w:noProof/>
              </w:rPr>
              <w:t>58</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07" w:history="1">
            <w:r w:rsidR="004E5A0C">
              <w:rPr>
                <w:rStyle w:val="af"/>
                <w:noProof/>
              </w:rPr>
              <w:t>第十二部分</w:t>
            </w:r>
            <w:r w:rsidR="004E5A0C">
              <w:rPr>
                <w:rStyle w:val="af"/>
                <w:noProof/>
              </w:rPr>
              <w:t xml:space="preserve">  </w:t>
            </w:r>
            <w:r w:rsidR="004E5A0C">
              <w:rPr>
                <w:rStyle w:val="af"/>
                <w:noProof/>
              </w:rPr>
              <w:t>基金的收益分配</w:t>
            </w:r>
            <w:r w:rsidR="004E5A0C">
              <w:rPr>
                <w:noProof/>
              </w:rPr>
              <w:tab/>
            </w:r>
            <w:r w:rsidR="004E5A0C">
              <w:rPr>
                <w:noProof/>
              </w:rPr>
              <w:fldChar w:fldCharType="begin"/>
            </w:r>
            <w:r w:rsidR="004E5A0C">
              <w:rPr>
                <w:noProof/>
              </w:rPr>
              <w:instrText xml:space="preserve"> PAGEREF _Toc523229707 \h </w:instrText>
            </w:r>
            <w:r w:rsidR="004E5A0C">
              <w:rPr>
                <w:noProof/>
              </w:rPr>
            </w:r>
            <w:r w:rsidR="004E5A0C">
              <w:rPr>
                <w:noProof/>
              </w:rPr>
              <w:fldChar w:fldCharType="separate"/>
            </w:r>
            <w:r w:rsidR="00107294">
              <w:rPr>
                <w:noProof/>
              </w:rPr>
              <w:t>64</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08" w:history="1">
            <w:r w:rsidR="004E5A0C">
              <w:rPr>
                <w:rStyle w:val="af"/>
                <w:noProof/>
              </w:rPr>
              <w:t>第十三部分</w:t>
            </w:r>
            <w:r w:rsidR="004E5A0C">
              <w:rPr>
                <w:rStyle w:val="af"/>
                <w:noProof/>
              </w:rPr>
              <w:t xml:space="preserve">  </w:t>
            </w:r>
            <w:r w:rsidR="004E5A0C">
              <w:rPr>
                <w:rStyle w:val="af"/>
                <w:noProof/>
              </w:rPr>
              <w:t>基金费用与税收</w:t>
            </w:r>
            <w:r w:rsidR="004E5A0C">
              <w:rPr>
                <w:noProof/>
              </w:rPr>
              <w:tab/>
            </w:r>
            <w:r w:rsidR="004E5A0C">
              <w:rPr>
                <w:noProof/>
              </w:rPr>
              <w:fldChar w:fldCharType="begin"/>
            </w:r>
            <w:r w:rsidR="004E5A0C">
              <w:rPr>
                <w:noProof/>
              </w:rPr>
              <w:instrText xml:space="preserve"> PAGEREF _Toc523229708 \h </w:instrText>
            </w:r>
            <w:r w:rsidR="004E5A0C">
              <w:rPr>
                <w:noProof/>
              </w:rPr>
            </w:r>
            <w:r w:rsidR="004E5A0C">
              <w:rPr>
                <w:noProof/>
              </w:rPr>
              <w:fldChar w:fldCharType="separate"/>
            </w:r>
            <w:r w:rsidR="00107294">
              <w:rPr>
                <w:noProof/>
              </w:rPr>
              <w:t>66</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09" w:history="1">
            <w:r w:rsidR="004E5A0C">
              <w:rPr>
                <w:rStyle w:val="af"/>
                <w:noProof/>
              </w:rPr>
              <w:t>第十四部分</w:t>
            </w:r>
            <w:r w:rsidR="004E5A0C">
              <w:rPr>
                <w:rStyle w:val="af"/>
                <w:noProof/>
              </w:rPr>
              <w:t xml:space="preserve">  </w:t>
            </w:r>
            <w:r w:rsidR="004E5A0C">
              <w:rPr>
                <w:rStyle w:val="af"/>
                <w:noProof/>
              </w:rPr>
              <w:t>基金的会计与审计</w:t>
            </w:r>
            <w:r w:rsidR="004E5A0C">
              <w:rPr>
                <w:noProof/>
              </w:rPr>
              <w:tab/>
            </w:r>
            <w:r w:rsidR="004E5A0C">
              <w:rPr>
                <w:noProof/>
              </w:rPr>
              <w:fldChar w:fldCharType="begin"/>
            </w:r>
            <w:r w:rsidR="004E5A0C">
              <w:rPr>
                <w:noProof/>
              </w:rPr>
              <w:instrText xml:space="preserve"> PAGEREF _Toc523229709 \h </w:instrText>
            </w:r>
            <w:r w:rsidR="004E5A0C">
              <w:rPr>
                <w:noProof/>
              </w:rPr>
            </w:r>
            <w:r w:rsidR="004E5A0C">
              <w:rPr>
                <w:noProof/>
              </w:rPr>
              <w:fldChar w:fldCharType="separate"/>
            </w:r>
            <w:r w:rsidR="00107294">
              <w:rPr>
                <w:noProof/>
              </w:rPr>
              <w:t>69</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10" w:history="1">
            <w:r w:rsidR="004E5A0C">
              <w:rPr>
                <w:rStyle w:val="af"/>
                <w:noProof/>
              </w:rPr>
              <w:t>第十五部分</w:t>
            </w:r>
            <w:r w:rsidR="004E5A0C">
              <w:rPr>
                <w:rStyle w:val="af"/>
                <w:noProof/>
              </w:rPr>
              <w:t xml:space="preserve">  </w:t>
            </w:r>
            <w:r w:rsidR="004E5A0C">
              <w:rPr>
                <w:rStyle w:val="af"/>
                <w:noProof/>
              </w:rPr>
              <w:t>基金的信息披露</w:t>
            </w:r>
            <w:r w:rsidR="004E5A0C">
              <w:rPr>
                <w:noProof/>
              </w:rPr>
              <w:tab/>
            </w:r>
            <w:r w:rsidR="004E5A0C">
              <w:rPr>
                <w:noProof/>
              </w:rPr>
              <w:fldChar w:fldCharType="begin"/>
            </w:r>
            <w:r w:rsidR="004E5A0C">
              <w:rPr>
                <w:noProof/>
              </w:rPr>
              <w:instrText xml:space="preserve"> PAGEREF _Toc523229710 \h </w:instrText>
            </w:r>
            <w:r w:rsidR="004E5A0C">
              <w:rPr>
                <w:noProof/>
              </w:rPr>
            </w:r>
            <w:r w:rsidR="004E5A0C">
              <w:rPr>
                <w:noProof/>
              </w:rPr>
              <w:fldChar w:fldCharType="separate"/>
            </w:r>
            <w:r w:rsidR="00107294">
              <w:rPr>
                <w:noProof/>
              </w:rPr>
              <w:t>70</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11" w:history="1">
            <w:r w:rsidR="004E5A0C">
              <w:rPr>
                <w:rStyle w:val="af"/>
                <w:noProof/>
              </w:rPr>
              <w:t>第十六部分</w:t>
            </w:r>
            <w:r w:rsidR="004E5A0C">
              <w:rPr>
                <w:rStyle w:val="af"/>
                <w:noProof/>
              </w:rPr>
              <w:t xml:space="preserve">  </w:t>
            </w:r>
            <w:r w:rsidR="004E5A0C">
              <w:rPr>
                <w:rStyle w:val="af"/>
                <w:noProof/>
              </w:rPr>
              <w:t>风险揭示</w:t>
            </w:r>
            <w:r w:rsidR="004E5A0C">
              <w:rPr>
                <w:noProof/>
              </w:rPr>
              <w:tab/>
            </w:r>
            <w:r w:rsidR="004E5A0C">
              <w:rPr>
                <w:noProof/>
              </w:rPr>
              <w:fldChar w:fldCharType="begin"/>
            </w:r>
            <w:r w:rsidR="004E5A0C">
              <w:rPr>
                <w:noProof/>
              </w:rPr>
              <w:instrText xml:space="preserve"> PAGEREF _Toc523229711 \h </w:instrText>
            </w:r>
            <w:r w:rsidR="004E5A0C">
              <w:rPr>
                <w:noProof/>
              </w:rPr>
            </w:r>
            <w:r w:rsidR="004E5A0C">
              <w:rPr>
                <w:noProof/>
              </w:rPr>
              <w:fldChar w:fldCharType="separate"/>
            </w:r>
            <w:r w:rsidR="00107294">
              <w:rPr>
                <w:noProof/>
              </w:rPr>
              <w:t>76</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12" w:history="1">
            <w:r w:rsidR="004E5A0C">
              <w:rPr>
                <w:rStyle w:val="af"/>
                <w:noProof/>
              </w:rPr>
              <w:t>第十七部分</w:t>
            </w:r>
            <w:r w:rsidR="004E5A0C">
              <w:rPr>
                <w:rStyle w:val="af"/>
                <w:noProof/>
              </w:rPr>
              <w:t xml:space="preserve">  </w:t>
            </w:r>
            <w:r w:rsidR="004E5A0C">
              <w:rPr>
                <w:rStyle w:val="af"/>
                <w:noProof/>
              </w:rPr>
              <w:t>基金合同的变更、终止与基金财产的清算</w:t>
            </w:r>
            <w:r w:rsidR="004E5A0C">
              <w:rPr>
                <w:noProof/>
              </w:rPr>
              <w:tab/>
            </w:r>
            <w:r w:rsidR="004E5A0C">
              <w:rPr>
                <w:noProof/>
              </w:rPr>
              <w:fldChar w:fldCharType="begin"/>
            </w:r>
            <w:r w:rsidR="004E5A0C">
              <w:rPr>
                <w:noProof/>
              </w:rPr>
              <w:instrText xml:space="preserve"> PAGEREF _Toc523229712 \h </w:instrText>
            </w:r>
            <w:r w:rsidR="004E5A0C">
              <w:rPr>
                <w:noProof/>
              </w:rPr>
            </w:r>
            <w:r w:rsidR="004E5A0C">
              <w:rPr>
                <w:noProof/>
              </w:rPr>
              <w:fldChar w:fldCharType="separate"/>
            </w:r>
            <w:r w:rsidR="00107294">
              <w:rPr>
                <w:noProof/>
              </w:rPr>
              <w:t>80</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13" w:history="1">
            <w:r w:rsidR="004E5A0C">
              <w:rPr>
                <w:rStyle w:val="af"/>
                <w:noProof/>
              </w:rPr>
              <w:t>第十八部分</w:t>
            </w:r>
            <w:r w:rsidR="004E5A0C">
              <w:rPr>
                <w:rStyle w:val="af"/>
                <w:noProof/>
              </w:rPr>
              <w:t xml:space="preserve">  </w:t>
            </w:r>
            <w:r w:rsidR="004E5A0C">
              <w:rPr>
                <w:rStyle w:val="af"/>
                <w:noProof/>
              </w:rPr>
              <w:t>基金合同的内容摘要</w:t>
            </w:r>
            <w:r w:rsidR="004E5A0C">
              <w:rPr>
                <w:noProof/>
              </w:rPr>
              <w:tab/>
            </w:r>
            <w:r w:rsidR="004E5A0C">
              <w:rPr>
                <w:noProof/>
              </w:rPr>
              <w:fldChar w:fldCharType="begin"/>
            </w:r>
            <w:r w:rsidR="004E5A0C">
              <w:rPr>
                <w:noProof/>
              </w:rPr>
              <w:instrText xml:space="preserve"> PAGEREF _Toc523229713 \h </w:instrText>
            </w:r>
            <w:r w:rsidR="004E5A0C">
              <w:rPr>
                <w:noProof/>
              </w:rPr>
            </w:r>
            <w:r w:rsidR="004E5A0C">
              <w:rPr>
                <w:noProof/>
              </w:rPr>
              <w:fldChar w:fldCharType="separate"/>
            </w:r>
            <w:r w:rsidR="00107294">
              <w:rPr>
                <w:noProof/>
              </w:rPr>
              <w:t>82</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14" w:history="1">
            <w:r w:rsidR="004E5A0C">
              <w:rPr>
                <w:rStyle w:val="af"/>
                <w:noProof/>
              </w:rPr>
              <w:t>第十九部分</w:t>
            </w:r>
            <w:r w:rsidR="004E5A0C">
              <w:rPr>
                <w:rStyle w:val="af"/>
                <w:noProof/>
              </w:rPr>
              <w:t xml:space="preserve">  </w:t>
            </w:r>
            <w:r w:rsidR="004E5A0C">
              <w:rPr>
                <w:rStyle w:val="af"/>
                <w:noProof/>
              </w:rPr>
              <w:t>基金托管协议的内容摘要</w:t>
            </w:r>
            <w:r w:rsidR="004E5A0C">
              <w:rPr>
                <w:noProof/>
              </w:rPr>
              <w:tab/>
            </w:r>
            <w:r w:rsidR="004E5A0C">
              <w:rPr>
                <w:noProof/>
              </w:rPr>
              <w:fldChar w:fldCharType="begin"/>
            </w:r>
            <w:r w:rsidR="004E5A0C">
              <w:rPr>
                <w:noProof/>
              </w:rPr>
              <w:instrText xml:space="preserve"> PAGEREF _Toc523229714 \h </w:instrText>
            </w:r>
            <w:r w:rsidR="004E5A0C">
              <w:rPr>
                <w:noProof/>
              </w:rPr>
            </w:r>
            <w:r w:rsidR="004E5A0C">
              <w:rPr>
                <w:noProof/>
              </w:rPr>
              <w:fldChar w:fldCharType="separate"/>
            </w:r>
            <w:r w:rsidR="00107294">
              <w:rPr>
                <w:noProof/>
              </w:rPr>
              <w:t>98</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15" w:history="1">
            <w:r w:rsidR="004E5A0C">
              <w:rPr>
                <w:rStyle w:val="af"/>
                <w:noProof/>
              </w:rPr>
              <w:t>第二十部分</w:t>
            </w:r>
            <w:r w:rsidR="004E5A0C">
              <w:rPr>
                <w:rStyle w:val="af"/>
                <w:noProof/>
              </w:rPr>
              <w:t xml:space="preserve">  </w:t>
            </w:r>
            <w:r w:rsidR="004E5A0C">
              <w:rPr>
                <w:rStyle w:val="af"/>
                <w:noProof/>
              </w:rPr>
              <w:t>对基金份额持有人的服务</w:t>
            </w:r>
            <w:r w:rsidR="004E5A0C">
              <w:rPr>
                <w:noProof/>
              </w:rPr>
              <w:tab/>
            </w:r>
            <w:r w:rsidR="004E5A0C">
              <w:rPr>
                <w:noProof/>
              </w:rPr>
              <w:fldChar w:fldCharType="begin"/>
            </w:r>
            <w:r w:rsidR="004E5A0C">
              <w:rPr>
                <w:noProof/>
              </w:rPr>
              <w:instrText xml:space="preserve"> PAGEREF _Toc523229715 \h </w:instrText>
            </w:r>
            <w:r w:rsidR="004E5A0C">
              <w:rPr>
                <w:noProof/>
              </w:rPr>
            </w:r>
            <w:r w:rsidR="004E5A0C">
              <w:rPr>
                <w:noProof/>
              </w:rPr>
              <w:fldChar w:fldCharType="separate"/>
            </w:r>
            <w:r w:rsidR="00107294">
              <w:rPr>
                <w:noProof/>
              </w:rPr>
              <w:t>112</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16" w:history="1">
            <w:r w:rsidR="004E5A0C">
              <w:rPr>
                <w:rStyle w:val="af"/>
                <w:noProof/>
              </w:rPr>
              <w:t>第二十一部分</w:t>
            </w:r>
            <w:r w:rsidR="004E5A0C">
              <w:rPr>
                <w:rStyle w:val="af"/>
                <w:noProof/>
              </w:rPr>
              <w:t xml:space="preserve">  </w:t>
            </w:r>
            <w:r w:rsidR="004E5A0C">
              <w:rPr>
                <w:rStyle w:val="af"/>
                <w:noProof/>
              </w:rPr>
              <w:t>其他应披露事项</w:t>
            </w:r>
            <w:r w:rsidR="004E5A0C">
              <w:rPr>
                <w:noProof/>
              </w:rPr>
              <w:tab/>
            </w:r>
            <w:r w:rsidR="004E5A0C">
              <w:rPr>
                <w:noProof/>
              </w:rPr>
              <w:fldChar w:fldCharType="begin"/>
            </w:r>
            <w:r w:rsidR="004E5A0C">
              <w:rPr>
                <w:noProof/>
              </w:rPr>
              <w:instrText xml:space="preserve"> PAGEREF _Toc523229716 \h </w:instrText>
            </w:r>
            <w:r w:rsidR="004E5A0C">
              <w:rPr>
                <w:noProof/>
              </w:rPr>
            </w:r>
            <w:r w:rsidR="004E5A0C">
              <w:rPr>
                <w:noProof/>
              </w:rPr>
              <w:fldChar w:fldCharType="separate"/>
            </w:r>
            <w:r w:rsidR="00107294">
              <w:rPr>
                <w:noProof/>
              </w:rPr>
              <w:t>114</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17" w:history="1">
            <w:r w:rsidR="004E5A0C">
              <w:rPr>
                <w:rStyle w:val="af"/>
                <w:noProof/>
              </w:rPr>
              <w:t>第二十二部分</w:t>
            </w:r>
            <w:r w:rsidR="004E5A0C">
              <w:rPr>
                <w:rStyle w:val="af"/>
                <w:noProof/>
              </w:rPr>
              <w:t xml:space="preserve">  </w:t>
            </w:r>
            <w:r w:rsidR="004E5A0C">
              <w:rPr>
                <w:rStyle w:val="af"/>
                <w:noProof/>
              </w:rPr>
              <w:t>招募说明书存放及查阅方式</w:t>
            </w:r>
            <w:r w:rsidR="004E5A0C">
              <w:rPr>
                <w:noProof/>
              </w:rPr>
              <w:tab/>
            </w:r>
            <w:r w:rsidR="004E5A0C">
              <w:rPr>
                <w:noProof/>
              </w:rPr>
              <w:fldChar w:fldCharType="begin"/>
            </w:r>
            <w:r w:rsidR="004E5A0C">
              <w:rPr>
                <w:noProof/>
              </w:rPr>
              <w:instrText xml:space="preserve"> PAGEREF _Toc523229717 \h </w:instrText>
            </w:r>
            <w:r w:rsidR="004E5A0C">
              <w:rPr>
                <w:noProof/>
              </w:rPr>
            </w:r>
            <w:r w:rsidR="004E5A0C">
              <w:rPr>
                <w:noProof/>
              </w:rPr>
              <w:fldChar w:fldCharType="separate"/>
            </w:r>
            <w:r w:rsidR="00107294">
              <w:rPr>
                <w:noProof/>
              </w:rPr>
              <w:t>116</w:t>
            </w:r>
            <w:r w:rsidR="004E5A0C">
              <w:rPr>
                <w:noProof/>
              </w:rPr>
              <w:fldChar w:fldCharType="end"/>
            </w:r>
          </w:hyperlink>
        </w:p>
        <w:p w:rsidR="00B85C18" w:rsidRDefault="00A84F18">
          <w:pPr>
            <w:pStyle w:val="10"/>
            <w:rPr>
              <w:rFonts w:asciiTheme="minorHAnsi" w:eastAsiaTheme="minorEastAsia" w:hAnsiTheme="minorHAnsi" w:cstheme="minorBidi"/>
              <w:noProof/>
              <w:szCs w:val="22"/>
            </w:rPr>
          </w:pPr>
          <w:hyperlink w:anchor="_Toc523229718" w:history="1">
            <w:r w:rsidR="004E5A0C">
              <w:rPr>
                <w:rStyle w:val="af"/>
                <w:noProof/>
              </w:rPr>
              <w:t>第二十三部分</w:t>
            </w:r>
            <w:r w:rsidR="004E5A0C">
              <w:rPr>
                <w:rStyle w:val="af"/>
                <w:noProof/>
              </w:rPr>
              <w:t xml:space="preserve">  </w:t>
            </w:r>
            <w:r w:rsidR="004E5A0C">
              <w:rPr>
                <w:rStyle w:val="af"/>
                <w:noProof/>
              </w:rPr>
              <w:t>备查文件</w:t>
            </w:r>
            <w:r w:rsidR="004E5A0C">
              <w:rPr>
                <w:noProof/>
              </w:rPr>
              <w:tab/>
            </w:r>
            <w:r w:rsidR="004E5A0C">
              <w:rPr>
                <w:noProof/>
              </w:rPr>
              <w:fldChar w:fldCharType="begin"/>
            </w:r>
            <w:r w:rsidR="004E5A0C">
              <w:rPr>
                <w:noProof/>
              </w:rPr>
              <w:instrText xml:space="preserve"> PAGEREF _Toc523229718 \h </w:instrText>
            </w:r>
            <w:r w:rsidR="004E5A0C">
              <w:rPr>
                <w:noProof/>
              </w:rPr>
            </w:r>
            <w:r w:rsidR="004E5A0C">
              <w:rPr>
                <w:noProof/>
              </w:rPr>
              <w:fldChar w:fldCharType="separate"/>
            </w:r>
            <w:r w:rsidR="00107294">
              <w:rPr>
                <w:noProof/>
              </w:rPr>
              <w:t>117</w:t>
            </w:r>
            <w:r w:rsidR="004E5A0C">
              <w:rPr>
                <w:noProof/>
              </w:rPr>
              <w:fldChar w:fldCharType="end"/>
            </w:r>
          </w:hyperlink>
        </w:p>
        <w:p w:rsidR="00B85C18" w:rsidRDefault="004E5A0C">
          <w:r>
            <w:rPr>
              <w:b/>
              <w:bCs/>
              <w:lang w:val="zh-CN"/>
            </w:rPr>
            <w:fldChar w:fldCharType="end"/>
          </w:r>
        </w:p>
      </w:sdtContent>
    </w:sdt>
    <w:p w:rsidR="00B85C18" w:rsidRDefault="00B85C18">
      <w:pPr>
        <w:autoSpaceDE w:val="0"/>
        <w:autoSpaceDN w:val="0"/>
        <w:adjustRightInd w:val="0"/>
        <w:snapToGrid w:val="0"/>
        <w:spacing w:line="360" w:lineRule="auto"/>
        <w:ind w:firstLineChars="200" w:firstLine="480"/>
        <w:rPr>
          <w:rFonts w:asciiTheme="minorEastAsia" w:hAnsiTheme="minorEastAsia" w:cs="Arial"/>
          <w:sz w:val="24"/>
          <w:szCs w:val="24"/>
        </w:rPr>
      </w:pPr>
    </w:p>
    <w:p w:rsidR="00B85C18" w:rsidRDefault="00B85C18">
      <w:pPr>
        <w:sectPr w:rsidR="00B85C18" w:rsidSect="000D01BB">
          <w:footerReference w:type="default" r:id="rId15"/>
          <w:pgSz w:w="11906" w:h="16838"/>
          <w:pgMar w:top="1440" w:right="1800" w:bottom="1440" w:left="1800" w:header="851" w:footer="992" w:gutter="0"/>
          <w:pgNumType w:chapStyle="1"/>
          <w:cols w:space="720"/>
          <w:docGrid w:type="lines" w:linePitch="312"/>
        </w:sectPr>
      </w:pPr>
      <w:bookmarkStart w:id="15" w:name="_Toc416264537"/>
      <w:bookmarkStart w:id="16" w:name="_Toc263092309"/>
      <w:bookmarkStart w:id="17" w:name="_Toc233456271"/>
      <w:bookmarkStart w:id="18" w:name="_Toc352229747"/>
      <w:bookmarkStart w:id="19" w:name="_Toc31551"/>
      <w:bookmarkStart w:id="20" w:name="_Toc21301"/>
      <w:bookmarkStart w:id="21" w:name="_Toc22864"/>
      <w:bookmarkStart w:id="22" w:name="_Toc24860"/>
      <w:bookmarkStart w:id="23" w:name="_Toc13020"/>
      <w:bookmarkStart w:id="24" w:name="_Toc15067"/>
      <w:bookmarkStart w:id="25" w:name="_Toc2465"/>
      <w:bookmarkStart w:id="26" w:name="_Toc819"/>
      <w:bookmarkStart w:id="27" w:name="_Toc3224"/>
      <w:bookmarkStart w:id="28" w:name="_Toc19592"/>
      <w:bookmarkStart w:id="29" w:name="_Toc258829399"/>
      <w:bookmarkStart w:id="30" w:name="_Toc6617"/>
      <w:bookmarkEnd w:id="1"/>
      <w:bookmarkEnd w:id="2"/>
      <w:bookmarkEnd w:id="3"/>
      <w:bookmarkEnd w:id="4"/>
    </w:p>
    <w:p w:rsidR="00B85C18" w:rsidRDefault="004E5A0C">
      <w:pPr>
        <w:pStyle w:val="1"/>
        <w:jc w:val="center"/>
        <w:rPr>
          <w:sz w:val="30"/>
          <w:szCs w:val="30"/>
        </w:rPr>
      </w:pPr>
      <w:bookmarkStart w:id="31" w:name="_Toc523229696"/>
      <w:bookmarkStart w:id="32" w:name="_Toc523229258"/>
      <w:bookmarkStart w:id="33" w:name="_Toc462063864"/>
      <w:r>
        <w:rPr>
          <w:rFonts w:hint="eastAsia"/>
          <w:sz w:val="30"/>
          <w:szCs w:val="30"/>
        </w:rPr>
        <w:lastRenderedPageBreak/>
        <w:t>第一部分</w:t>
      </w:r>
      <w:r>
        <w:rPr>
          <w:sz w:val="30"/>
          <w:szCs w:val="30"/>
        </w:rPr>
        <w:t xml:space="preserve">  </w:t>
      </w:r>
      <w:r>
        <w:rPr>
          <w:rFonts w:hint="eastAsia"/>
          <w:sz w:val="30"/>
          <w:szCs w:val="30"/>
        </w:rPr>
        <w:t>绪言</w:t>
      </w:r>
      <w:bookmarkEnd w:id="15"/>
      <w:bookmarkEnd w:id="16"/>
      <w:bookmarkEnd w:id="31"/>
      <w:bookmarkEnd w:id="32"/>
      <w:bookmarkEnd w:id="33"/>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公开募集开放式证券投资基金流动性风险管理规定》（以下简称“《管理规定》”）以及《富荣福安灵活配置混合型证券投资基金基金合同》（以下简称“基金合同”）编写。</w:t>
      </w: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安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B85C18" w:rsidRDefault="004E5A0C">
      <w:pPr>
        <w:widowControl/>
        <w:jc w:val="left"/>
        <w:rPr>
          <w:rFonts w:asciiTheme="minorEastAsia" w:hAnsiTheme="minorEastAsia" w:cs="Arial"/>
          <w:sz w:val="24"/>
          <w:szCs w:val="24"/>
        </w:rPr>
      </w:pPr>
      <w:r>
        <w:rPr>
          <w:rFonts w:asciiTheme="minorEastAsia" w:hAnsiTheme="minorEastAsia" w:cs="Arial"/>
          <w:sz w:val="24"/>
          <w:szCs w:val="24"/>
        </w:rPr>
        <w:br w:type="page"/>
      </w:r>
    </w:p>
    <w:p w:rsidR="00B85C18" w:rsidRDefault="004E5A0C">
      <w:pPr>
        <w:pStyle w:val="1"/>
        <w:jc w:val="center"/>
        <w:rPr>
          <w:sz w:val="30"/>
          <w:szCs w:val="30"/>
        </w:rPr>
      </w:pPr>
      <w:bookmarkStart w:id="34" w:name="_Toc523229259"/>
      <w:bookmarkStart w:id="35" w:name="_Toc523229697"/>
      <w:bookmarkStart w:id="36" w:name="_Toc462063865"/>
      <w:bookmarkStart w:id="37" w:name="_Toc352229748"/>
      <w:bookmarkStart w:id="38" w:name="_Toc20318"/>
      <w:bookmarkStart w:id="39" w:name="_Toc733"/>
      <w:bookmarkStart w:id="40" w:name="_Toc18631"/>
      <w:bookmarkStart w:id="41" w:name="_Toc13288"/>
      <w:bookmarkStart w:id="42" w:name="_Toc20627"/>
      <w:bookmarkStart w:id="43" w:name="_Toc6683"/>
      <w:bookmarkStart w:id="44" w:name="_Toc5246"/>
      <w:bookmarkStart w:id="45" w:name="_Toc6149"/>
      <w:bookmarkStart w:id="46" w:name="_Toc22708"/>
      <w:bookmarkStart w:id="47" w:name="_Toc24571"/>
      <w:bookmarkStart w:id="48" w:name="_Toc545"/>
      <w:bookmarkStart w:id="49" w:name="_Toc233456272"/>
      <w:bookmarkStart w:id="50" w:name="_Toc258829400"/>
      <w:bookmarkEnd w:id="17"/>
      <w:bookmarkEnd w:id="18"/>
      <w:bookmarkEnd w:id="19"/>
      <w:bookmarkEnd w:id="20"/>
      <w:bookmarkEnd w:id="21"/>
      <w:bookmarkEnd w:id="22"/>
      <w:bookmarkEnd w:id="23"/>
      <w:bookmarkEnd w:id="24"/>
      <w:bookmarkEnd w:id="25"/>
      <w:bookmarkEnd w:id="26"/>
      <w:bookmarkEnd w:id="27"/>
      <w:bookmarkEnd w:id="28"/>
      <w:bookmarkEnd w:id="29"/>
      <w:bookmarkEnd w:id="30"/>
      <w:r>
        <w:rPr>
          <w:rFonts w:hint="eastAsia"/>
          <w:sz w:val="30"/>
          <w:szCs w:val="30"/>
        </w:rPr>
        <w:lastRenderedPageBreak/>
        <w:t>第二部分</w:t>
      </w:r>
      <w:r>
        <w:rPr>
          <w:sz w:val="30"/>
          <w:szCs w:val="30"/>
        </w:rPr>
        <w:t xml:space="preserve">  </w:t>
      </w:r>
      <w:r>
        <w:rPr>
          <w:rFonts w:hint="eastAsia"/>
          <w:sz w:val="30"/>
          <w:szCs w:val="30"/>
        </w:rPr>
        <w:t>释义</w:t>
      </w:r>
      <w:bookmarkEnd w:id="34"/>
      <w:bookmarkEnd w:id="35"/>
      <w:bookmarkEnd w:id="36"/>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、基金或本基金：指富荣福安灵活配置混合型证券投资基金</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、基金托管人：指招商银行股份有限公司</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、基金合同：指《富荣福安灵活配置混合型证券投资基金基金合同》及对基金合同的任何有效修订和补充</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、托管协议：指基金管理人与基金托管人就本基金签订之《富荣福安灵活配置混合型证券投资基金托管协议》及对该托管协议的任何有效修订和补充</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、招募说明书或本招募说明书：指《富荣福安灵活配置混合型证券投资基金招募说明书》及其定期的更新</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、基金份额发售公告：指《富荣福安灵活配置混合型证券投资基金基金份额发售公告》</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2004</w:t>
      </w:r>
      <w:r>
        <w:rPr>
          <w:rFonts w:asciiTheme="minorEastAsia" w:hAnsiTheme="minorEastAsia" w:cs="Times New Roman" w:hint="eastAsia"/>
          <w:sz w:val="24"/>
          <w:szCs w:val="24"/>
        </w:rPr>
        <w:t>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日颁布、同年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日实施的《证券投资基金信息披露管理办法》及颁布机关对其不时做出的修订</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13、《管理规定》：指中国证监会2017年8月31日颁布、同年10月1日实施的《公开募集开放式证券投资基金流动性风险管理规定》及颁布机关对其不时做出的修订</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4、中国证监会：指中国证券监督管理委员会</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1</w:t>
      </w:r>
      <w:r>
        <w:rPr>
          <w:rFonts w:asciiTheme="minorEastAsia" w:hAnsiTheme="minorEastAsia" w:cs="Times New Roman" w:hint="eastAsia"/>
          <w:sz w:val="24"/>
          <w:szCs w:val="24"/>
        </w:rPr>
        <w:t>5、银行业监督管理机构：指中国人民银行和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或中国银行业监督管理委员会</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6、基金合同当事人：指受基金合同约束，根据基金合同享有权利并承担义务的法律主体，包括基金管理人、基金托管人和基金份额持有人</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7、个人投资者：指依据有关法律法规规定可投资于证券投资基金的自然人</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8、机构投资者：指依法可以投资证券投资基金的、在中华人民共和国境内合法登记并存续或经有关政府部门批准设立并存续的企业法人、事业法人、社会团体或其他组织</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9、合格境外机构投资者：指符合《合格境外机构投资者境内证券投资管理办法》及相关法律法规规定可以投资于在中国境内依法募集的证券投资基金的中国境外的机构投资者</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20、投资人：指个人投资者、机构投资者和合格境外机构投资者以及法律法规或中国证监会允许购买证券投资基金的其他投资人的合称</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1、基金份额持有人：指依基金合同和招募说明书合法取得基金份额的投资人</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2、基金销售业务：指基金管理人或销售机构宣传推介基金，发售基金份额，办理基金份额的申购、赎回、转换、转托管及定期定额投资等业务</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3、销售机构：指富荣基金管理有限公司以及符合《销售办法》和中国证监会规定的其他条件，取得基金销售业务资格并与基金管理人签订了基金销售服务协议，办理基金销售业务的机构</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4、登记业务：指基金登记、存管、过户、清算和结算业务，具体内容包括投资人基金账户的建立和管理、基金份额登记、基金销售业务的确认、清算和结算、代理发放红利、建立并保管基金份额持有人名册和办理非交易过户等</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5、登记机构：指办理登记业务的机构。本基金的登记机构为富荣基金管理有限公司或接受富荣基金管理有限公司委托代为办理登记业务的机构</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6、基金账户：指登记机构为投资人开立的、记录其持有的、基金管理人所管理的基金份额余额及其变动情况的账户</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7、基金交易账户：指销售机构为投资人开立的、记录投资人通过该销售机构办理认购、申购、赎回、转换、转托管及定期定额投资等业务而引起的基金份额变动及结余情况的账户</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w:t>
      </w:r>
      <w:r>
        <w:rPr>
          <w:rFonts w:asciiTheme="minorEastAsia" w:hAnsiTheme="minorEastAsia" w:cs="Times New Roman" w:hint="eastAsia"/>
          <w:sz w:val="24"/>
          <w:szCs w:val="24"/>
        </w:rPr>
        <w:t>8、基金合同生效日：指基金募集达到法律法规规定及基金合同规定的条件，基金管理人向中国证监会办理基金备案手续完毕，并获得中国证监会书面确认的日期</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9、基金合同终止日：指基金合同规定的基金合同终止事由出现后，基金财产清算完毕，清算结果报中国证监会备案并予以公告的日期</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1、存续期：指基金合同生效至终止之间的不定期期限</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2、工作日：指上海证券交易所、深圳证券交易所的正常交易日</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3、</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4、</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5、开放日：指为投资人办理基金份额申购、赎回或其他业务的工作日</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6、开放时间：指开放日基金接受申购、赎回或其他交易的时间段</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7、《业务规则》：指《富荣基金管理有限公司开放式基金业务规则》，是规范基金管理人所管理的开放式证券投资基金登记方面的业务规则，由基金管理人和投资人共同遵守</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8、认购：指在基金募集期内，投资人根据基金合同和招募说明书的规定申请购买基金份额的行为</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9、申购：指基金合同生效后，投资人根据基金合同和招募说明书的规定申请购买基金份额的行为</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40、赎回：指基金合同生效后，基金份额持有人按基金合同和招募说明书规定的条件要求将基金份额兑换为现金的行为</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1、基金转换：指基金份额持有人按照基金合同和基金管理人届时有效公告规定的条件，申请将其持有基金管理人管理的、某一基金的基金份额转换为基金管理人管理的其他基金基金份额的行为</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2、转托管：指基金份额持有人在本基金的不同销售机构之间实施的变更所持基金份额销售机构的操作</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3、定期定额投资计划：指投资人通过有关销售机构提出申请，约定每期申购日、扣款金额及扣款方式，由销售机构于每期约定扣款日在投资人指定银行账</w:t>
      </w:r>
      <w:r>
        <w:rPr>
          <w:rFonts w:asciiTheme="minorEastAsia" w:hAnsiTheme="minorEastAsia" w:cs="Times New Roman" w:hint="eastAsia"/>
          <w:sz w:val="24"/>
          <w:szCs w:val="24"/>
        </w:rPr>
        <w:lastRenderedPageBreak/>
        <w:t>户内自动完成扣款及受理基金申购申请的一种投资方式</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4、巨额赎回：指本基金单个开放日，基金净赎回申请（赎回申请份额总数加上基金转换中转出申请份额总数后扣除申购申请份额总数及基金转换中转入申请份额总数后的余额）超过上一开放日基金总份额的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rsidR="00B85C18" w:rsidRDefault="004E5A0C">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5、元：指人民币元</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6、基金收益：指基金投资所得红利、股息、债券利息、买卖证券价差、银行存款利息、已实现的其他合法收入及因运用基金财产带来的成本和费用的节约</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47、销售服务费：指本基金用于持续销售和服务基金份额持有人的费用，该笔费用从C类份额的基金财产中计提，属于基金的营运费用</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8、基金资产总值：指基金拥有的各类有价证券、银行存款本息、基金应收申购款及其他资产的价值总和</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9、基金资产净值：指基金资产总值减去基金负债后的价值</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50、基金份额净值：指计算日基金资产净值除以计算日基金份额总数</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51、基金资产估值：指计算评估基金资产和负债的价值，以确定基金资产净值和基金份额净值的过程</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52、基金份额的类别：指本基金根据销售服务费收取方式的不同，将基金份额分为不同的类别</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3、</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类基金份额：指在投资者认购、申购时收取前端认购、申购费用而不从本类别基金资产中计提销售服务费的，称为A类基金份额</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4、</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类基金份额：指在投资者认购、申购时不收取前后端认购、申购费用，而从本类别基金资产中计提销售服务费的，称为C类基金份额</w:t>
      </w:r>
    </w:p>
    <w:p w:rsidR="00B85C18" w:rsidRDefault="004E5A0C">
      <w:pPr>
        <w:spacing w:line="360" w:lineRule="auto"/>
        <w:ind w:firstLineChars="200" w:firstLine="480"/>
        <w:rPr>
          <w:bCs/>
          <w:sz w:val="24"/>
          <w:szCs w:val="24"/>
        </w:rPr>
      </w:pPr>
      <w:r>
        <w:rPr>
          <w:rFonts w:hint="eastAsia"/>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rsidR="00B85C18" w:rsidRDefault="004E5A0C">
      <w:pPr>
        <w:spacing w:line="360" w:lineRule="auto"/>
        <w:ind w:firstLineChars="200" w:firstLine="480"/>
        <w:rPr>
          <w:bCs/>
          <w:sz w:val="24"/>
          <w:szCs w:val="24"/>
        </w:rPr>
      </w:pPr>
      <w:r>
        <w:rPr>
          <w:rFonts w:hint="eastAsia"/>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B85C18" w:rsidRDefault="004E5A0C">
      <w:pPr>
        <w:spacing w:line="360" w:lineRule="auto"/>
        <w:ind w:firstLineChars="200" w:firstLine="460"/>
        <w:rPr>
          <w:bCs/>
          <w:sz w:val="24"/>
          <w:szCs w:val="24"/>
        </w:rPr>
      </w:pPr>
      <w:r>
        <w:rPr>
          <w:kern w:val="0"/>
          <w:sz w:val="23"/>
          <w:szCs w:val="23"/>
        </w:rPr>
        <w:lastRenderedPageBreak/>
        <w:t>57</w:t>
      </w:r>
      <w:r>
        <w:rPr>
          <w:rFonts w:hint="eastAsia"/>
          <w:bCs/>
          <w:sz w:val="24"/>
          <w:szCs w:val="24"/>
        </w:rPr>
        <w:t>、</w:t>
      </w:r>
      <w:r>
        <w:rPr>
          <w:bCs/>
          <w:sz w:val="24"/>
          <w:szCs w:val="24"/>
        </w:rPr>
        <w:t>指定媒</w:t>
      </w:r>
      <w:r>
        <w:rPr>
          <w:rFonts w:hint="eastAsia"/>
          <w:bCs/>
          <w:sz w:val="24"/>
          <w:szCs w:val="24"/>
        </w:rPr>
        <w:t>介</w:t>
      </w:r>
      <w:r>
        <w:rPr>
          <w:bCs/>
          <w:sz w:val="24"/>
          <w:szCs w:val="24"/>
        </w:rPr>
        <w:t>：指中国证监会指定的用以进行信息披露的报刊、互联网网站及其他媒</w:t>
      </w:r>
      <w:r>
        <w:rPr>
          <w:rFonts w:hint="eastAsia"/>
          <w:bCs/>
          <w:sz w:val="24"/>
          <w:szCs w:val="24"/>
        </w:rPr>
        <w:t>介</w:t>
      </w:r>
    </w:p>
    <w:p w:rsidR="00B85C18" w:rsidRDefault="004E5A0C">
      <w:pPr>
        <w:spacing w:line="360" w:lineRule="auto"/>
        <w:ind w:firstLineChars="200" w:firstLine="480"/>
        <w:rPr>
          <w:bCs/>
          <w:sz w:val="24"/>
          <w:szCs w:val="24"/>
        </w:rPr>
      </w:pPr>
      <w:r>
        <w:rPr>
          <w:rFonts w:hint="eastAsia"/>
          <w:bCs/>
          <w:sz w:val="24"/>
          <w:szCs w:val="24"/>
        </w:rPr>
        <w:t>5</w:t>
      </w:r>
      <w:r>
        <w:rPr>
          <w:bCs/>
          <w:sz w:val="24"/>
          <w:szCs w:val="24"/>
        </w:rPr>
        <w:t>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rsidR="00B85C18" w:rsidRDefault="004E5A0C">
      <w:pPr>
        <w:widowControl/>
        <w:jc w:val="left"/>
        <w:rPr>
          <w:bCs/>
          <w:sz w:val="24"/>
          <w:szCs w:val="24"/>
        </w:rPr>
      </w:pPr>
      <w:r>
        <w:rPr>
          <w:bCs/>
          <w:sz w:val="24"/>
          <w:szCs w:val="24"/>
        </w:rPr>
        <w:br w:type="page"/>
      </w:r>
    </w:p>
    <w:p w:rsidR="00B85C18" w:rsidRDefault="004E5A0C">
      <w:pPr>
        <w:pStyle w:val="1"/>
        <w:jc w:val="center"/>
        <w:rPr>
          <w:sz w:val="30"/>
          <w:szCs w:val="30"/>
        </w:rPr>
      </w:pPr>
      <w:bookmarkStart w:id="51" w:name="_Toc416264539"/>
      <w:bookmarkStart w:id="52" w:name="_Toc263092311"/>
      <w:bookmarkStart w:id="53" w:name="_Toc462063866"/>
      <w:bookmarkStart w:id="54" w:name="_Toc523229260"/>
      <w:bookmarkStart w:id="55" w:name="_Toc523229698"/>
      <w:bookmarkStart w:id="56" w:name="_Toc410197817"/>
      <w:bookmarkStart w:id="57" w:name="_Toc352229749"/>
      <w:bookmarkStart w:id="58" w:name="_Toc24682"/>
      <w:bookmarkStart w:id="59" w:name="_Toc29784"/>
      <w:bookmarkStart w:id="60" w:name="_Toc90742390"/>
      <w:bookmarkStart w:id="61" w:name="_Toc6714"/>
      <w:bookmarkStart w:id="62" w:name="_Toc3266"/>
      <w:bookmarkStart w:id="63" w:name="_Toc29948"/>
      <w:bookmarkStart w:id="64" w:name="_Toc90742688"/>
      <w:bookmarkStart w:id="65" w:name="_Toc15203"/>
      <w:bookmarkStart w:id="66" w:name="_Toc22074"/>
      <w:bookmarkStart w:id="67" w:name="_Toc27189"/>
      <w:bookmarkStart w:id="68" w:name="_Toc16265"/>
      <w:bookmarkStart w:id="69" w:name="_Toc90742321"/>
      <w:bookmarkStart w:id="70" w:name="_Toc27226"/>
      <w:bookmarkStart w:id="71" w:name="_Toc7151"/>
      <w:bookmarkEnd w:id="37"/>
      <w:bookmarkEnd w:id="38"/>
      <w:bookmarkEnd w:id="39"/>
      <w:bookmarkEnd w:id="40"/>
      <w:bookmarkEnd w:id="41"/>
      <w:bookmarkEnd w:id="42"/>
      <w:bookmarkEnd w:id="43"/>
      <w:bookmarkEnd w:id="44"/>
      <w:bookmarkEnd w:id="45"/>
      <w:bookmarkEnd w:id="46"/>
      <w:bookmarkEnd w:id="47"/>
      <w:bookmarkEnd w:id="48"/>
      <w:r>
        <w:rPr>
          <w:rFonts w:hint="eastAsia"/>
          <w:sz w:val="30"/>
          <w:szCs w:val="30"/>
        </w:rPr>
        <w:lastRenderedPageBreak/>
        <w:t>第三部分</w:t>
      </w:r>
      <w:r>
        <w:rPr>
          <w:sz w:val="30"/>
          <w:szCs w:val="30"/>
        </w:rPr>
        <w:t xml:space="preserve">  </w:t>
      </w:r>
      <w:r>
        <w:rPr>
          <w:rFonts w:hint="eastAsia"/>
          <w:sz w:val="30"/>
          <w:szCs w:val="30"/>
        </w:rPr>
        <w:t>基金管理人</w:t>
      </w:r>
      <w:bookmarkEnd w:id="51"/>
      <w:bookmarkEnd w:id="52"/>
      <w:bookmarkEnd w:id="53"/>
      <w:bookmarkEnd w:id="54"/>
      <w:bookmarkEnd w:id="55"/>
    </w:p>
    <w:p w:rsidR="00B85C18" w:rsidRDefault="004E5A0C">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rsidR="00B85C18" w:rsidRDefault="004E5A0C">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rsidR="00B85C18" w:rsidRDefault="004E5A0C">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rsidR="00B85C18" w:rsidRDefault="004E5A0C">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办公地址：深圳市福田区深南大道2012号深圳证券交易所广场3501室</w:t>
      </w:r>
    </w:p>
    <w:p w:rsidR="00B85C18" w:rsidRDefault="004E5A0C">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法定代表人：刘志军</w:t>
      </w:r>
    </w:p>
    <w:p w:rsidR="00B85C18" w:rsidRDefault="004E5A0C">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rsidR="00B85C18" w:rsidRDefault="004E5A0C">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rsidR="00B85C18" w:rsidRDefault="004E5A0C">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rsidR="00B85C18" w:rsidRDefault="004E5A0C">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联系人：毛志华</w:t>
      </w:r>
    </w:p>
    <w:p w:rsidR="00B85C18" w:rsidRDefault="004E5A0C">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8435 6636</w:t>
      </w:r>
    </w:p>
    <w:p w:rsidR="00B85C18" w:rsidRDefault="004E5A0C">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B85C18">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B85C18" w:rsidRDefault="004E5A0C">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rsidR="00B85C18" w:rsidRDefault="004E5A0C">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B85C18">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B85C18" w:rsidRDefault="004E5A0C">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B85C18" w:rsidRDefault="004E5A0C">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B85C18">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B85C18" w:rsidRDefault="004E5A0C">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B85C18" w:rsidRDefault="004E5A0C">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B85C18">
        <w:trPr>
          <w:jc w:val="center"/>
        </w:trPr>
        <w:tc>
          <w:tcPr>
            <w:tcW w:w="4250" w:type="dxa"/>
            <w:tcBorders>
              <w:top w:val="single" w:sz="4" w:space="0" w:color="auto"/>
              <w:left w:val="single" w:sz="4" w:space="0" w:color="auto"/>
              <w:bottom w:val="single" w:sz="4" w:space="0" w:color="auto"/>
              <w:right w:val="single" w:sz="4" w:space="0" w:color="auto"/>
            </w:tcBorders>
            <w:vAlign w:val="center"/>
          </w:tcPr>
          <w:p w:rsidR="00B85C18" w:rsidRDefault="004E5A0C">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rsidR="00B85C18" w:rsidRDefault="004E5A0C">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rsidR="00B85C18" w:rsidRDefault="00B85C18">
      <w:pPr>
        <w:adjustRightInd w:val="0"/>
        <w:snapToGrid w:val="0"/>
        <w:spacing w:line="360" w:lineRule="auto"/>
        <w:ind w:firstLineChars="200" w:firstLine="480"/>
        <w:rPr>
          <w:rFonts w:asciiTheme="minorEastAsia" w:hAnsiTheme="minorEastAsia" w:cs="Arial"/>
          <w:kern w:val="0"/>
          <w:sz w:val="24"/>
          <w:szCs w:val="24"/>
        </w:rPr>
      </w:pPr>
    </w:p>
    <w:p w:rsidR="00B85C18" w:rsidRDefault="004E5A0C">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刘志军先生，董事长。中国科学院博士，现任广州产业投资基金管理有限公司副总经理、广州科技金融创新投资控股有限公司董事长、富荣基金管理有限公司董事长。</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w:t>
      </w:r>
      <w:r>
        <w:rPr>
          <w:rFonts w:asciiTheme="minorEastAsia" w:hAnsiTheme="minorEastAsia" w:cs="Arial" w:hint="eastAsia"/>
          <w:kern w:val="0"/>
          <w:sz w:val="24"/>
          <w:szCs w:val="24"/>
        </w:rPr>
        <w:lastRenderedPageBreak/>
        <w:t>公司董事。</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卢伟女士，监事，大专。在盈投控股有限公司任职，现任富荣基金管理有限公司监事。</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毛志华先生，职工监事，本科。现任富荣基金管理有限公司监事。</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刘志军先生，董事长。中国科学院博士，现任广州产业投资基金管理有限公司副总经理、广州科技金融创新投资控股有限公司董事长、富荣基金管理有限公司董事长。</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胡长虹先生，副总经理，北京工商大学经济学学士，北大光华管理学院MBA，曾任湖北省粮食局财务副科长、中国远东国际贸易公司财务经理、深圳市飞亚达</w:t>
      </w:r>
      <w:r>
        <w:rPr>
          <w:rFonts w:asciiTheme="minorEastAsia" w:hAnsiTheme="minorEastAsia" w:cs="Arial" w:hint="eastAsia"/>
          <w:kern w:val="0"/>
          <w:sz w:val="24"/>
          <w:szCs w:val="24"/>
        </w:rPr>
        <w:lastRenderedPageBreak/>
        <w:t>（集团）股份有限公司亨吉利公司财务经理、深圳市北大高科技股份有限公司副总经理、太平财产保险有限公司投资管理部总经理，现任富荣基金管理有限公司副总经理。</w:t>
      </w:r>
    </w:p>
    <w:p w:rsidR="00C13DF5" w:rsidRDefault="00C13DF5">
      <w:pPr>
        <w:adjustRightInd w:val="0"/>
        <w:snapToGrid w:val="0"/>
        <w:spacing w:line="360" w:lineRule="auto"/>
        <w:ind w:firstLineChars="200" w:firstLine="480"/>
        <w:rPr>
          <w:rFonts w:asciiTheme="minorEastAsia" w:hAnsiTheme="minorEastAsia" w:cs="Arial"/>
          <w:kern w:val="0"/>
          <w:sz w:val="24"/>
          <w:szCs w:val="24"/>
        </w:rPr>
      </w:pPr>
      <w:r w:rsidRPr="00C13DF5">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滕大江先生，督察长，中南大学工学学士，先后供职于平安证券、平安大华基金管理有限公司、前海开源基金管理有限公司监察稽核部门。现任富荣基金管理有限公司督察长。</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胡长虹先生，副总经理，北京工商大学经济学学士，北大光华管理学院MBA，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邓宇翔先生，权益投资部兼研究部总监</w:t>
      </w:r>
      <w:r>
        <w:rPr>
          <w:rFonts w:asciiTheme="minorEastAsia" w:hAnsiTheme="minorEastAsia" w:cs="Arial"/>
          <w:kern w:val="0"/>
          <w:sz w:val="24"/>
          <w:szCs w:val="24"/>
        </w:rPr>
        <w:t>，</w:t>
      </w:r>
      <w:r>
        <w:rPr>
          <w:rFonts w:asciiTheme="minorEastAsia" w:hAnsiTheme="minorEastAsia" w:cs="Arial" w:hint="eastAsia"/>
          <w:kern w:val="0"/>
          <w:sz w:val="24"/>
          <w:szCs w:val="24"/>
        </w:rPr>
        <w:t>中国科学技术大学理学硕士，曾任西南证券股份有限公司资深投资经理、深圳展博投资有限公司投资经理、深圳东新佳投资有限公司投资经理。现任富荣基金管理有限公司权益投资部兼研究部总监、基金经理。</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苏春华，投资决策委员会主任委员、副总经理、首席投资官 </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胡长虹，投资决策委员会委员、副总经理、基金经理</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吕晓蓉，投资决策委员会委员、基金经理</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邓宇翔，投资决策委员会委员、权益投资部总监、研究部总监、基金经理</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王刚建，投资决策委员会委员、固定收益部总监</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rsidR="00B85C18" w:rsidRDefault="004E5A0C">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w:t>
      </w:r>
      <w:r>
        <w:rPr>
          <w:rFonts w:asciiTheme="minorEastAsia" w:hAnsiTheme="minorEastAsia" w:cs="Times New Roman" w:hint="eastAsia"/>
          <w:sz w:val="24"/>
          <w:szCs w:val="24"/>
        </w:rPr>
        <w:lastRenderedPageBreak/>
        <w:t>金份额的发售、申购、赎回和登记事宜；</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10、编制季度、半年度和年度基金报告；</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rsidR="00B85C18" w:rsidRDefault="004E5A0C">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（2）不公平地对待管理的不同基金财产；</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rsidR="00B85C18" w:rsidRDefault="004E5A0C">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B85C18" w:rsidRDefault="004E5A0C">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rsidR="00B85C18" w:rsidRDefault="004E5A0C">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72" w:name="_Toc410197818"/>
      <w:bookmarkStart w:id="73" w:name="_Toc416264540"/>
      <w:bookmarkStart w:id="74" w:name="_Toc263092312"/>
      <w:bookmarkStart w:id="75" w:name="_Toc352229750"/>
      <w:bookmarkEnd w:id="56"/>
      <w:bookmarkEnd w:id="57"/>
      <w:bookmarkEnd w:id="58"/>
      <w:r>
        <w:rPr>
          <w:rFonts w:asciiTheme="minorEastAsia" w:hAnsiTheme="minorEastAsia" w:cs="Arial" w:hint="eastAsia"/>
          <w:sz w:val="24"/>
          <w:szCs w:val="24"/>
        </w:rPr>
        <w:t>1、风险控制目标</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w:t>
      </w:r>
      <w:r>
        <w:rPr>
          <w:rFonts w:asciiTheme="minorEastAsia" w:hAnsiTheme="minorEastAsia" w:cs="Arial" w:hint="eastAsia"/>
          <w:sz w:val="24"/>
          <w:szCs w:val="24"/>
        </w:rPr>
        <w:lastRenderedPageBreak/>
        <w:t>风险对公司发展战略和经营目标的干扰。</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（2）审慎性原则：内部风险控制的核心是有效防范各种风险，公司组织体系的构成、内部管理制度的建立都要以防范风险、审慎经营为出发点；</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（5）适时性原则：内部风险控制应随着公司经营战略、经营方针、经营理念等内部环境的变化和国家法律、法规、政策制度等外部环境的改变及时进行相应的修改和完善；</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w:t>
      </w:r>
      <w:r>
        <w:rPr>
          <w:rFonts w:asciiTheme="minorEastAsia" w:hAnsiTheme="minorEastAsia" w:cs="Arial" w:hint="eastAsia"/>
          <w:sz w:val="24"/>
          <w:szCs w:val="24"/>
        </w:rPr>
        <w:lastRenderedPageBreak/>
        <w:t>提出整改和处理意见；定期向风险管理委员会提交工作报告；发现公司的违规行为，应立即向董事长和中国证监会报告。</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rsidR="00B85C18" w:rsidRDefault="004E5A0C">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w:t>
      </w:r>
      <w:r>
        <w:rPr>
          <w:rFonts w:asciiTheme="minorEastAsia" w:hAnsiTheme="minorEastAsia" w:cs="Arial" w:hint="eastAsia"/>
          <w:sz w:val="24"/>
          <w:szCs w:val="24"/>
        </w:rPr>
        <w:lastRenderedPageBreak/>
        <w:t>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w:t>
      </w:r>
      <w:r>
        <w:rPr>
          <w:rFonts w:asciiTheme="minorEastAsia" w:hAnsiTheme="minorEastAsia" w:cs="Arial" w:hint="eastAsia"/>
          <w:sz w:val="24"/>
          <w:szCs w:val="24"/>
        </w:rPr>
        <w:lastRenderedPageBreak/>
        <w:t>告权和监督权。</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85C18" w:rsidRDefault="004E5A0C">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rsidR="00B85C18" w:rsidRDefault="004E5A0C" w:rsidP="00986D60">
      <w:pPr>
        <w:widowControl/>
        <w:adjustRightInd w:val="0"/>
        <w:snapToGrid w:val="0"/>
        <w:spacing w:line="360" w:lineRule="auto"/>
        <w:ind w:firstLineChars="200" w:firstLine="480"/>
        <w:rPr>
          <w:rFonts w:ascii="宋体" w:eastAsia="宋体" w:hAnsi="Times New Roman" w:cs="Times New Roman"/>
          <w:b/>
          <w:color w:val="000000"/>
          <w:kern w:val="0"/>
          <w:sz w:val="30"/>
          <w:szCs w:val="30"/>
          <w:lang w:val="zh-CN"/>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76" w:name="_Toc238013745"/>
      <w:bookmarkStart w:id="77" w:name="_Toc238027832"/>
      <w:bookmarkStart w:id="78" w:name="_Toc523229261"/>
      <w:bookmarkStart w:id="79" w:name="_Toc523229699"/>
      <w:bookmarkStart w:id="80" w:name="_Toc462063867"/>
      <w:bookmarkEnd w:id="76"/>
      <w:bookmarkEnd w:id="77"/>
      <w:r>
        <w:rPr>
          <w:sz w:val="30"/>
          <w:szCs w:val="30"/>
        </w:rPr>
        <w:br w:type="page"/>
      </w:r>
    </w:p>
    <w:p w:rsidR="00B85C18" w:rsidRDefault="004E5A0C">
      <w:pPr>
        <w:pStyle w:val="1"/>
        <w:jc w:val="center"/>
        <w:rPr>
          <w:sz w:val="30"/>
          <w:szCs w:val="30"/>
        </w:rPr>
      </w:pPr>
      <w:r>
        <w:rPr>
          <w:rFonts w:hint="eastAsia"/>
          <w:sz w:val="30"/>
          <w:szCs w:val="30"/>
        </w:rPr>
        <w:lastRenderedPageBreak/>
        <w:t>第四部分</w:t>
      </w:r>
      <w:r>
        <w:rPr>
          <w:sz w:val="30"/>
          <w:szCs w:val="30"/>
        </w:rPr>
        <w:t xml:space="preserve">  </w:t>
      </w:r>
      <w:r>
        <w:rPr>
          <w:rFonts w:hint="eastAsia"/>
          <w:sz w:val="30"/>
          <w:szCs w:val="30"/>
        </w:rPr>
        <w:t>基金托管人</w:t>
      </w:r>
      <w:bookmarkEnd w:id="78"/>
      <w:bookmarkEnd w:id="79"/>
      <w:bookmarkEnd w:id="80"/>
    </w:p>
    <w:p w:rsidR="00B85C18" w:rsidRDefault="004E5A0C">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rsidR="00B85C18" w:rsidRDefault="004E5A0C">
      <w:pPr>
        <w:spacing w:line="360" w:lineRule="auto"/>
        <w:ind w:left="480"/>
        <w:rPr>
          <w:rFonts w:asciiTheme="minorEastAsia" w:hAnsiTheme="minorEastAsia" w:cs="Times New Roman"/>
          <w:sz w:val="24"/>
          <w:szCs w:val="24"/>
        </w:rPr>
      </w:pPr>
      <w:r>
        <w:rPr>
          <w:rFonts w:asciiTheme="minorEastAsia" w:hAnsiTheme="minorEastAsia" w:cs="Times New Roman" w:hint="eastAsia"/>
          <w:sz w:val="24"/>
          <w:szCs w:val="24"/>
        </w:rPr>
        <w:t>1、基本情况</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名称：招商银行股份有限公司（以下简称“招商银行”）</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设立日期：1987年4月8日</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注册地址：深圳市深南大道7088号招商银行大厦</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办公地址：深圳市深南大道7088号招商银行大厦</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注册资本：252.20亿元</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法定代表人：李建红</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行长：田惠宇</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资产托管业务批准文号：证监基金字[2002]83号</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电话：0755—83199084</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传真：0755—83195201</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资产托管部信息披露负责人：张燕</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2、</w:t>
      </w:r>
      <w:r>
        <w:rPr>
          <w:rFonts w:asciiTheme="minorEastAsia" w:hAnsiTheme="minorEastAsia" w:cs="Times New Roman"/>
          <w:color w:val="000000"/>
          <w:sz w:val="24"/>
          <w:szCs w:val="24"/>
        </w:rPr>
        <w:t>发展概况</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2018年3月31日，本集团总资产62,522.38亿元人民币，高级法下资本充足率15.51%，权重法下资本充足率12.79%。</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2002年8月，招商银行成立基金托管部；2005年8月，经报中国证监会同意，更名为资产托管部，下设业务管理室、产品管理室、业务营运室、稽核监察室、基金外包业务室5个职能处室，现有员工8</w:t>
      </w:r>
      <w:r>
        <w:rPr>
          <w:rFonts w:asciiTheme="minorEastAsia" w:hAnsiTheme="minorEastAsia" w:cs="Times New Roman"/>
          <w:color w:val="000000"/>
          <w:sz w:val="24"/>
          <w:szCs w:val="24"/>
        </w:rPr>
        <w:t>1</w:t>
      </w:r>
      <w:r>
        <w:rPr>
          <w:rFonts w:asciiTheme="minorEastAsia" w:hAnsiTheme="minorEastAsia" w:cs="Times New Roman" w:hint="eastAsia"/>
          <w:color w:val="000000"/>
          <w:sz w:val="24"/>
          <w:szCs w:val="24"/>
        </w:rPr>
        <w:t>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w:t>
      </w:r>
      <w:r>
        <w:rPr>
          <w:rFonts w:asciiTheme="minorEastAsia" w:hAnsiTheme="minorEastAsia" w:cs="Times New Roman" w:hint="eastAsia"/>
          <w:color w:val="000000"/>
          <w:sz w:val="24"/>
          <w:szCs w:val="24"/>
        </w:rPr>
        <w:lastRenderedPageBreak/>
        <w:t>格境外机构投资者托管（QFII）、合格境内机构投资者托管（QDII）、全国社会保障基金托管、保险资金托管、企业年金基金托管等业务资格。</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招商银行资产托管业务持续稳健发展，社会影响力不断提升,四度蝉联获《财资》“中国最佳托管专业银行”。2016年6月招商银行荣膺《财资》“中国最佳托管银行奖”，成为国内唯一获奖项国内托管银行；“托管通”获得国内《银行家》2016中国金融创新“十佳金融产品创新奖”；7月荣膺2016年中国资产管理【金贝奖】“最佳资产托管银行” ；2017年6月再度荣膺《财资》“中国最佳托管银行奖”, “全功能网上托管银行2.0”荣获《银行家》2017中国金融创新“十佳金融产品创新奖”；8月荣膺国际财经权威媒体《亚洲银行家》“中国年度托管银行奖”，2018年1月获得中央国债登记结算有限责任公司 “2017年度优秀资产托管机构”奖项，同月招商银行“托管大数据平台风险管理系统”荣获2016-2017年度银监会系统“金点子”方案一等奖，以及中央金融团工委、全国金融青联第五届“双提升”金点子方案二等奖；3月招商银行荣获公募基金20年“最佳基金托管银行”奖。</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color w:val="000000"/>
          <w:sz w:val="24"/>
          <w:szCs w:val="24"/>
        </w:rPr>
        <w:t>3</w:t>
      </w:r>
      <w:r>
        <w:rPr>
          <w:rFonts w:asciiTheme="minorEastAsia" w:hAnsiTheme="minorEastAsia" w:cs="Times New Roman" w:hint="eastAsia"/>
          <w:color w:val="000000"/>
          <w:sz w:val="24"/>
          <w:szCs w:val="24"/>
        </w:rPr>
        <w:t>、主要人员情况</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w:t>
      </w:r>
      <w:r>
        <w:rPr>
          <w:rFonts w:asciiTheme="minorEastAsia" w:hAnsiTheme="minorEastAsia" w:cs="Times New Roman" w:hint="eastAsia"/>
          <w:color w:val="000000"/>
          <w:sz w:val="24"/>
          <w:szCs w:val="24"/>
        </w:rPr>
        <w:lastRenderedPageBreak/>
        <w:t>公司董事、总裁。</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王良先生，本行副行长，货币银行学硕士，高级经济师。1991年至1995年，在中国科技国际信托投资公司工作；1995年6月至2001年10月，历任招商银行北京分行展览路支行、东三环支行行长助理、副行长、行长、北京分行风险控制部总经理；2001年10月至2006年3月，历任北京分行行长助理、副行长；2006年3月至2008年6月，任北京分行党委书记、副行长（主持工作）；2008年6月至2012年6月，任北京分行行长、党委书记；2012年6月至2013年11月，任招商银行总行行长助理兼北京分行行长、党委书记；2013年11月至2014年12月，任招商银行总行行长助理；2015年1月起担任本行副行长；2016年11月起兼任本行董事会秘书。</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color w:val="000000"/>
          <w:sz w:val="24"/>
          <w:szCs w:val="24"/>
        </w:rPr>
        <w:t>4</w:t>
      </w:r>
      <w:r>
        <w:rPr>
          <w:rFonts w:asciiTheme="minorEastAsia" w:hAnsiTheme="minorEastAsia" w:cs="Times New Roman" w:hint="eastAsia"/>
          <w:color w:val="000000"/>
          <w:sz w:val="24"/>
          <w:szCs w:val="24"/>
        </w:rPr>
        <w:t>、基金托管业务经营情况</w:t>
      </w:r>
    </w:p>
    <w:p w:rsidR="00B85C18" w:rsidRDefault="004E5A0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截至2018年3月31日，招商银行股份有限公司累计托管364只开放式基金。</w:t>
      </w:r>
    </w:p>
    <w:p w:rsidR="00B85C18" w:rsidRDefault="004E5A0C">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二、基金托管人的内部控制制度</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1、内部控制目标</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确保托管业务严格遵守国家有关法律法规和行业监管制度，自觉形成守法经营、规范运作的经营思想和经营理念；形成科学合理的决策机制、执行机制和监督机制，防范和化解经营风险，确保托管业务的稳健运行和托管资产的安全完整；建立有利于查错防弊、堵塞漏洞、消除隐患，保证业务稳健运行的风险控制制度，确保托管业务信息真实、准确、完整、及时；确保内控机制、体制的不断改进和</w:t>
      </w:r>
      <w:r>
        <w:rPr>
          <w:rFonts w:asciiTheme="minorEastAsia" w:hAnsiTheme="minorEastAsia" w:cs="Times New Roman" w:hint="eastAsia"/>
          <w:color w:val="000000"/>
          <w:sz w:val="24"/>
          <w:szCs w:val="24"/>
        </w:rPr>
        <w:lastRenderedPageBreak/>
        <w:t>各项业务制度、流程的不断完善。</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2、内部控制组织结构</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招商银行资产托管业务建立三级内控风险防范体系：</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一级风险防范是在招商</w:t>
      </w:r>
      <w:r>
        <w:rPr>
          <w:rFonts w:asciiTheme="minorEastAsia" w:hAnsiTheme="minorEastAsia" w:cs="Times New Roman"/>
          <w:color w:val="000000"/>
          <w:sz w:val="24"/>
          <w:szCs w:val="24"/>
        </w:rPr>
        <w:t>银行</w:t>
      </w:r>
      <w:r>
        <w:rPr>
          <w:rFonts w:asciiTheme="minorEastAsia" w:hAnsiTheme="minorEastAsia" w:cs="Times New Roman" w:hint="eastAsia"/>
          <w:color w:val="000000"/>
          <w:sz w:val="24"/>
          <w:szCs w:val="24"/>
        </w:rPr>
        <w:t>总行层面对风险进行预防和控制。</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二级风险防范是招商银行资产托管部设立稽核监察室，负责部门内部风险预防和控制。</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三级风险防范是招商银行资产托管部在设置专业岗位时，必须遵循内控制衡原则，监督制衡的形式和方式视业务的风险程度决定。</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3、内部控制原则</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（1）全面性原则。内部控制覆盖各项业务过程和操作环节、覆盖所有室和岗位，并由全体人员参与。</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（2）审慎性原则。托管组织体系的构成、内部管理制度的建立均以防范风险、审慎经营为出发点，体现“内控优先”的要求，以有效防范各种风险作为内部控制的核心。</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 xml:space="preserve">（3）独立性原则。招商银行资产托管部各室、各岗位职责保持相对独立，不同托管资产之间、托管资产和自有资产之间相互分离。内部控制的检查、评价部门独立于内部控制的建立和执行部门。 </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（4）有效性原则。内部控制具有高度的权威性，任何人不得拥有不受内部控制约束的权利，内部控制存在的问题能够得到及时的反馈和纠正。</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（6）防火墙原则。招商银行资产托管部配备独立的托管技术系统，包括网络系统、应用系统、安全防护系统、数据备份系统。</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（7）重要性原则。内部控制在实现全面控制的基础上，关注重要托管业务事项和高风险领域。</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（8）制衡性原则。内部控制能够</w:t>
      </w:r>
      <w:r>
        <w:rPr>
          <w:rFonts w:asciiTheme="minorEastAsia" w:hAnsiTheme="minorEastAsia" w:cs="Times New Roman"/>
          <w:color w:val="000000"/>
          <w:sz w:val="24"/>
          <w:szCs w:val="24"/>
        </w:rPr>
        <w:t>实现</w:t>
      </w:r>
      <w:r>
        <w:rPr>
          <w:rFonts w:asciiTheme="minorEastAsia" w:hAnsiTheme="minorEastAsia" w:cs="Times New Roman" w:hint="eastAsia"/>
          <w:color w:val="000000"/>
          <w:sz w:val="24"/>
          <w:szCs w:val="24"/>
        </w:rPr>
        <w:t>在托管组织体系、机构设置及权责分配、业务流程等方面形成相互制约、相互监督，同时兼顾运营效率。</w:t>
      </w:r>
    </w:p>
    <w:p w:rsidR="00B85C18" w:rsidRDefault="00B85C18">
      <w:pPr>
        <w:snapToGrid w:val="0"/>
        <w:spacing w:line="360" w:lineRule="auto"/>
        <w:ind w:firstLineChars="200" w:firstLine="480"/>
        <w:rPr>
          <w:rFonts w:asciiTheme="minorEastAsia" w:hAnsiTheme="minorEastAsia" w:cs="Times New Roman"/>
          <w:color w:val="000000"/>
          <w:sz w:val="24"/>
          <w:szCs w:val="24"/>
        </w:rPr>
      </w:pP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4、内部控制措施</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lastRenderedPageBreak/>
        <w:t>（1）完善的制度建设。 招商银行资产托管部从资产托管业务操作流程、会计核算、资金清算、岗位管理、档案管理和信息管理等方面制定一系列规章制度，保证资产托管业务科学化、制度化、规范化运作。</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（2）经营风险控制。招商银行资产托管部制定托管项目审批、资金清算与会计核算双人双岗、大额资金专人跟踪、凭证管理等一系列完整的操作规程，有效地控制业务运作过程中的风险。</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（3）业务信息风险控制。招商银行资产托管部在数据传输和保存方面有严格的加密和备份措施，采用加密、直连方式传输数据，数据执行异地实时备份，所有的业务信息须经过严格的授权方能进行访问。</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（4）客户资料风险控制。招商银行资产托管部对业务办理过程中形成的客户资料，视同会计资料保管。客户资料不得泄露，有关人员如需调用，须经总经理室成员审批，并做好调用登记。</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5）信息技术系统风险控制。招商银行对信息技术系统管理实行双人双岗双责、机房24小时值班并设置门禁管理、电脑密码设置及权限管理、业务网和办公网、托管业务网与全行业务网双分离制度，与外部业务机构实行防火墙保护，对信息技术系统采取两地三中心的应急备份管理措施等，保证信息技术系统的安全。</w:t>
      </w:r>
    </w:p>
    <w:p w:rsidR="00B85C18" w:rsidRDefault="004E5A0C">
      <w:pPr>
        <w:snapToGrid w:val="0"/>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（6）人力资源控制。招商银行资产托管部通过建立良好的企业文化和员工培训、激励机制、加强人力资源管理及建立人才梯级队伍及人才储备机制，有效的进行人力资源管理。</w:t>
      </w:r>
    </w:p>
    <w:p w:rsidR="00B85C18" w:rsidRDefault="004E5A0C">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三、基金托管人对基金管理人运作基金进行监督的方法和程序</w:t>
      </w:r>
    </w:p>
    <w:p w:rsidR="00B85C18" w:rsidRDefault="004E5A0C">
      <w:pPr>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rsidR="00B85C18" w:rsidRDefault="004E5A0C">
      <w:pPr>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rsidR="00B85C18" w:rsidRDefault="004E5A0C">
      <w:pPr>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color w:val="000000"/>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w:t>
      </w:r>
      <w:r>
        <w:rPr>
          <w:rFonts w:asciiTheme="minorEastAsia" w:hAnsiTheme="minorEastAsia" w:cs="Times New Roman" w:hint="eastAsia"/>
          <w:color w:val="000000"/>
          <w:sz w:val="24"/>
          <w:szCs w:val="24"/>
        </w:rPr>
        <w:lastRenderedPageBreak/>
        <w:t>理人收到通知后应及时核对确认并以书面形式向基金托管人发出回函并改正。基金管理人对基金托管人通知的违规事项未能在限期内纠正的，基金托管人应报告中国证监会。</w:t>
      </w:r>
    </w:p>
    <w:p w:rsidR="00B85C18" w:rsidRDefault="004E5A0C">
      <w:pPr>
        <w:widowControl/>
        <w:jc w:val="left"/>
        <w:rPr>
          <w:rFonts w:asciiTheme="minorEastAsia" w:hAnsiTheme="minorEastAsia" w:cs="Times New Roman"/>
          <w:color w:val="000000"/>
          <w:sz w:val="24"/>
          <w:szCs w:val="24"/>
        </w:rPr>
      </w:pPr>
      <w:r>
        <w:rPr>
          <w:rFonts w:asciiTheme="minorEastAsia" w:hAnsiTheme="minorEastAsia" w:cs="Times New Roman"/>
          <w:color w:val="000000"/>
          <w:sz w:val="24"/>
          <w:szCs w:val="24"/>
        </w:rPr>
        <w:br w:type="page"/>
      </w:r>
    </w:p>
    <w:p w:rsidR="00B85C18" w:rsidRDefault="004E5A0C">
      <w:pPr>
        <w:pStyle w:val="1"/>
        <w:jc w:val="center"/>
        <w:rPr>
          <w:sz w:val="30"/>
          <w:szCs w:val="30"/>
        </w:rPr>
      </w:pPr>
      <w:bookmarkStart w:id="81" w:name="_Toc523229262"/>
      <w:bookmarkStart w:id="82" w:name="_Toc416264541"/>
      <w:bookmarkStart w:id="83" w:name="_Toc523229700"/>
      <w:bookmarkStart w:id="84" w:name="_Toc263092313"/>
      <w:bookmarkStart w:id="85" w:name="_Toc214873594"/>
      <w:bookmarkStart w:id="86" w:name="_Toc462063868"/>
      <w:bookmarkStart w:id="87" w:name="_Toc98560352"/>
      <w:bookmarkStart w:id="88" w:name="_Toc10463"/>
      <w:bookmarkStart w:id="89" w:name="_Toc139991736"/>
      <w:bookmarkStart w:id="90" w:name="_Toc48649707"/>
      <w:bookmarkStart w:id="91" w:name="_Toc20733"/>
      <w:bookmarkStart w:id="92" w:name="_Toc141703886"/>
      <w:bookmarkStart w:id="93" w:name="_Toc11081"/>
      <w:bookmarkStart w:id="94" w:name="_Toc123102453"/>
      <w:bookmarkStart w:id="95" w:name="_Toc123051452"/>
      <w:bookmarkStart w:id="96" w:name="_Toc352229751"/>
      <w:bookmarkStart w:id="97" w:name="_Toc23261"/>
      <w:bookmarkStart w:id="98" w:name="_Toc23822"/>
      <w:bookmarkStart w:id="99" w:name="_Toc7920"/>
      <w:bookmarkStart w:id="100" w:name="_Toc123112234"/>
      <w:bookmarkStart w:id="101" w:name="_Toc4003"/>
      <w:bookmarkStart w:id="102" w:name="_Toc1270"/>
      <w:bookmarkStart w:id="103" w:name="_Toc610"/>
      <w:bookmarkStart w:id="104" w:name="_Toc352229752"/>
      <w:bookmarkStart w:id="105" w:name="_Toc1427"/>
      <w:bookmarkStart w:id="106" w:name="_Toc17244"/>
      <w:bookmarkStart w:id="107" w:name="_Toc79392606"/>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r>
        <w:rPr>
          <w:rFonts w:hint="eastAsia"/>
          <w:sz w:val="30"/>
          <w:szCs w:val="30"/>
        </w:rPr>
        <w:lastRenderedPageBreak/>
        <w:t>第五部分</w:t>
      </w:r>
      <w:r>
        <w:rPr>
          <w:sz w:val="30"/>
          <w:szCs w:val="30"/>
        </w:rPr>
        <w:t xml:space="preserve">  </w:t>
      </w:r>
      <w:r>
        <w:rPr>
          <w:rFonts w:hint="eastAsia"/>
          <w:sz w:val="30"/>
          <w:szCs w:val="30"/>
        </w:rPr>
        <w:t>相关服务机构</w:t>
      </w:r>
      <w:bookmarkEnd w:id="81"/>
      <w:bookmarkEnd w:id="82"/>
      <w:bookmarkEnd w:id="83"/>
      <w:bookmarkEnd w:id="84"/>
      <w:bookmarkEnd w:id="85"/>
      <w:bookmarkEnd w:id="86"/>
    </w:p>
    <w:p w:rsidR="00B85C18" w:rsidRDefault="004E5A0C">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rsidR="00B85C18" w:rsidRDefault="004E5A0C">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rsidR="00B85C18" w:rsidRDefault="004E5A0C">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rsidR="00B85C18" w:rsidRDefault="004E5A0C">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办公地址：深圳市福田区深南大道2012号深圳证券交易所广场3501室</w:t>
      </w:r>
    </w:p>
    <w:p w:rsidR="00B85C18" w:rsidRDefault="004E5A0C">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 刘志军</w:t>
      </w:r>
    </w:p>
    <w:p w:rsidR="00B85C18" w:rsidRDefault="004E5A0C">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rsidR="00B85C18" w:rsidRDefault="004E5A0C">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sz w:val="24"/>
          <w:szCs w:val="24"/>
        </w:rPr>
        <w:t>83230902</w:t>
      </w:r>
    </w:p>
    <w:p w:rsidR="00B85C18" w:rsidRDefault="004E5A0C">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rsidR="00B85C18" w:rsidRDefault="004E5A0C">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rsidR="00B85C18" w:rsidRDefault="004E5A0C">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2"/>
        <w:tblW w:w="8296" w:type="dxa"/>
        <w:tblLayout w:type="fixed"/>
        <w:tblLook w:val="04A0" w:firstRow="1" w:lastRow="0" w:firstColumn="1" w:lastColumn="0" w:noHBand="0" w:noVBand="1"/>
      </w:tblPr>
      <w:tblGrid>
        <w:gridCol w:w="846"/>
        <w:gridCol w:w="2410"/>
        <w:gridCol w:w="5040"/>
      </w:tblGrid>
      <w:tr w:rsidR="00B85C18">
        <w:tc>
          <w:tcPr>
            <w:tcW w:w="846" w:type="dxa"/>
          </w:tcPr>
          <w:p w:rsidR="00B85C18" w:rsidRDefault="004E5A0C">
            <w:pPr>
              <w:rPr>
                <w:rFonts w:ascii="宋体" w:eastAsia="宋体" w:hAnsi="宋体"/>
                <w:b/>
                <w:szCs w:val="21"/>
              </w:rPr>
            </w:pPr>
            <w:r>
              <w:rPr>
                <w:rFonts w:ascii="宋体" w:eastAsia="宋体" w:hAnsi="宋体" w:hint="eastAsia"/>
                <w:b/>
                <w:szCs w:val="21"/>
              </w:rPr>
              <w:t>序号</w:t>
            </w:r>
          </w:p>
        </w:tc>
        <w:tc>
          <w:tcPr>
            <w:tcW w:w="2410" w:type="dxa"/>
          </w:tcPr>
          <w:p w:rsidR="00B85C18" w:rsidRDefault="004E5A0C">
            <w:pPr>
              <w:rPr>
                <w:rFonts w:ascii="宋体" w:eastAsia="宋体" w:hAnsi="宋体"/>
                <w:b/>
                <w:szCs w:val="21"/>
              </w:rPr>
            </w:pPr>
            <w:r>
              <w:rPr>
                <w:rFonts w:ascii="宋体" w:eastAsia="宋体" w:hAnsi="宋体" w:hint="eastAsia"/>
                <w:b/>
                <w:szCs w:val="21"/>
              </w:rPr>
              <w:t>代销</w:t>
            </w:r>
            <w:r>
              <w:rPr>
                <w:rFonts w:ascii="宋体" w:eastAsia="宋体" w:hAnsi="宋体"/>
                <w:b/>
                <w:szCs w:val="21"/>
              </w:rPr>
              <w:t>机构名称</w:t>
            </w:r>
          </w:p>
        </w:tc>
        <w:tc>
          <w:tcPr>
            <w:tcW w:w="5040" w:type="dxa"/>
          </w:tcPr>
          <w:p w:rsidR="00B85C18" w:rsidRDefault="004E5A0C">
            <w:pPr>
              <w:rPr>
                <w:rFonts w:ascii="宋体" w:eastAsia="宋体" w:hAnsi="宋体"/>
                <w:b/>
                <w:szCs w:val="21"/>
              </w:rPr>
            </w:pPr>
            <w:r>
              <w:rPr>
                <w:rFonts w:ascii="宋体" w:eastAsia="宋体" w:hAnsi="宋体" w:hint="eastAsia"/>
                <w:b/>
                <w:szCs w:val="21"/>
              </w:rPr>
              <w:t>代销</w:t>
            </w:r>
            <w:r>
              <w:rPr>
                <w:rFonts w:ascii="宋体" w:eastAsia="宋体" w:hAnsi="宋体"/>
                <w:b/>
                <w:szCs w:val="21"/>
              </w:rPr>
              <w:t>机构信息</w:t>
            </w:r>
          </w:p>
        </w:tc>
      </w:tr>
      <w:tr w:rsidR="00B85C18">
        <w:tc>
          <w:tcPr>
            <w:tcW w:w="846" w:type="dxa"/>
          </w:tcPr>
          <w:p w:rsidR="00B85C18" w:rsidRDefault="004E5A0C">
            <w:pPr>
              <w:rPr>
                <w:rFonts w:ascii="宋体" w:eastAsia="宋体" w:hAnsi="宋体"/>
                <w:szCs w:val="21"/>
              </w:rPr>
            </w:pPr>
            <w:r>
              <w:rPr>
                <w:rFonts w:ascii="宋体" w:eastAsia="宋体" w:hAnsi="宋体" w:hint="eastAsia"/>
                <w:szCs w:val="21"/>
              </w:rPr>
              <w:t>1</w:t>
            </w:r>
          </w:p>
        </w:tc>
        <w:tc>
          <w:tcPr>
            <w:tcW w:w="2410" w:type="dxa"/>
          </w:tcPr>
          <w:p w:rsidR="00B85C18" w:rsidRDefault="004E5A0C">
            <w:pPr>
              <w:rPr>
                <w:rFonts w:ascii="宋体" w:eastAsia="宋体" w:hAnsi="宋体"/>
                <w:szCs w:val="21"/>
              </w:rPr>
            </w:pPr>
            <w:r>
              <w:rPr>
                <w:rFonts w:ascii="宋体" w:eastAsia="宋体" w:hAnsi="宋体" w:hint="eastAsia"/>
                <w:szCs w:val="21"/>
              </w:rPr>
              <w:t>包商银行股份有限公司</w:t>
            </w:r>
          </w:p>
        </w:tc>
        <w:tc>
          <w:tcPr>
            <w:tcW w:w="5040" w:type="dxa"/>
          </w:tcPr>
          <w:p w:rsidR="00B85C18" w:rsidRDefault="004E5A0C">
            <w:pPr>
              <w:rPr>
                <w:rFonts w:ascii="宋体" w:eastAsia="宋体" w:hAnsi="宋体"/>
                <w:szCs w:val="21"/>
              </w:rPr>
            </w:pPr>
            <w:r>
              <w:rPr>
                <w:rFonts w:ascii="宋体" w:eastAsia="宋体" w:hAnsi="宋体" w:hint="eastAsia"/>
                <w:szCs w:val="21"/>
              </w:rPr>
              <w:t>办公地址：内蒙古包头市钢铁大街</w:t>
            </w:r>
            <w:r>
              <w:rPr>
                <w:rFonts w:ascii="宋体" w:eastAsia="宋体" w:hAnsi="宋体"/>
                <w:szCs w:val="21"/>
              </w:rPr>
              <w:t>6号</w:t>
            </w:r>
          </w:p>
          <w:p w:rsidR="00B85C18" w:rsidRDefault="004E5A0C">
            <w:pPr>
              <w:rPr>
                <w:rFonts w:ascii="宋体" w:eastAsia="宋体" w:hAnsi="宋体"/>
                <w:szCs w:val="21"/>
              </w:rPr>
            </w:pPr>
            <w:r>
              <w:rPr>
                <w:rFonts w:ascii="宋体" w:eastAsia="宋体" w:hAnsi="宋体" w:hint="eastAsia"/>
                <w:szCs w:val="21"/>
              </w:rPr>
              <w:t>客服电话：</w:t>
            </w:r>
            <w:r>
              <w:rPr>
                <w:rFonts w:ascii="宋体" w:eastAsia="宋体" w:hAnsi="宋体"/>
                <w:szCs w:val="21"/>
              </w:rPr>
              <w:t>95352</w:t>
            </w:r>
          </w:p>
          <w:p w:rsidR="00B85C18" w:rsidRDefault="004E5A0C">
            <w:pPr>
              <w:rPr>
                <w:rFonts w:ascii="宋体" w:eastAsia="宋体" w:hAnsi="宋体"/>
                <w:szCs w:val="21"/>
              </w:rPr>
            </w:pPr>
            <w:r>
              <w:rPr>
                <w:rFonts w:ascii="宋体" w:eastAsia="宋体" w:hAnsi="宋体" w:hint="eastAsia"/>
                <w:szCs w:val="21"/>
              </w:rPr>
              <w:t>网站：</w:t>
            </w:r>
            <w:r>
              <w:rPr>
                <w:rFonts w:ascii="宋体" w:eastAsia="宋体" w:hAnsi="宋体"/>
                <w:szCs w:val="21"/>
              </w:rPr>
              <w:t>www.bsb.com.cn</w:t>
            </w:r>
          </w:p>
        </w:tc>
      </w:tr>
      <w:tr w:rsidR="00B85C18">
        <w:tc>
          <w:tcPr>
            <w:tcW w:w="846" w:type="dxa"/>
          </w:tcPr>
          <w:p w:rsidR="00B85C18" w:rsidRDefault="004E5A0C">
            <w:pPr>
              <w:rPr>
                <w:rFonts w:ascii="宋体" w:eastAsia="宋体" w:hAnsi="宋体"/>
                <w:szCs w:val="21"/>
              </w:rPr>
            </w:pPr>
            <w:r>
              <w:rPr>
                <w:rFonts w:ascii="宋体" w:eastAsia="宋体" w:hAnsi="宋体" w:hint="eastAsia"/>
                <w:szCs w:val="21"/>
              </w:rPr>
              <w:t>2</w:t>
            </w:r>
          </w:p>
        </w:tc>
        <w:tc>
          <w:tcPr>
            <w:tcW w:w="2410" w:type="dxa"/>
          </w:tcPr>
          <w:p w:rsidR="00B85C18" w:rsidRDefault="004E5A0C">
            <w:pPr>
              <w:rPr>
                <w:rFonts w:ascii="宋体" w:eastAsia="宋体" w:hAnsi="宋体"/>
                <w:szCs w:val="21"/>
              </w:rPr>
            </w:pPr>
            <w:r>
              <w:rPr>
                <w:rFonts w:ascii="宋体" w:eastAsia="宋体" w:hAnsi="宋体" w:hint="eastAsia"/>
                <w:szCs w:val="21"/>
              </w:rPr>
              <w:t>平安证券股份有限公司</w:t>
            </w:r>
          </w:p>
        </w:tc>
        <w:tc>
          <w:tcPr>
            <w:tcW w:w="5040" w:type="dxa"/>
          </w:tcPr>
          <w:p w:rsidR="00B85C18" w:rsidRDefault="004E5A0C">
            <w:pPr>
              <w:rPr>
                <w:rFonts w:ascii="宋体" w:eastAsia="宋体" w:hAnsi="宋体"/>
                <w:szCs w:val="21"/>
              </w:rPr>
            </w:pPr>
            <w:r>
              <w:rPr>
                <w:rFonts w:ascii="宋体" w:eastAsia="宋体" w:hAnsi="宋体" w:hint="eastAsia"/>
                <w:szCs w:val="21"/>
              </w:rPr>
              <w:t>注册（办公）地址：深圳市福田中心区金田路</w:t>
            </w:r>
            <w:r>
              <w:rPr>
                <w:rFonts w:ascii="宋体" w:eastAsia="宋体" w:hAnsi="宋体"/>
                <w:szCs w:val="21"/>
              </w:rPr>
              <w:t xml:space="preserve">4036号荣超大厦16-20层 </w:t>
            </w:r>
          </w:p>
          <w:p w:rsidR="00B85C18" w:rsidRDefault="004E5A0C">
            <w:pPr>
              <w:rPr>
                <w:rFonts w:ascii="宋体" w:eastAsia="宋体" w:hAnsi="宋体"/>
                <w:szCs w:val="21"/>
              </w:rPr>
            </w:pPr>
            <w:r>
              <w:rPr>
                <w:rFonts w:ascii="宋体" w:eastAsia="宋体" w:hAnsi="宋体" w:hint="eastAsia"/>
                <w:szCs w:val="21"/>
              </w:rPr>
              <w:t>客户服务电话：</w:t>
            </w:r>
            <w:r>
              <w:rPr>
                <w:rFonts w:ascii="宋体" w:eastAsia="宋体" w:hAnsi="宋体"/>
                <w:szCs w:val="21"/>
              </w:rPr>
              <w:t xml:space="preserve">95511-8 </w:t>
            </w:r>
          </w:p>
          <w:p w:rsidR="00B85C18" w:rsidRDefault="004E5A0C">
            <w:pPr>
              <w:rPr>
                <w:rFonts w:ascii="宋体" w:eastAsia="宋体" w:hAnsi="宋体"/>
                <w:szCs w:val="21"/>
              </w:rPr>
            </w:pPr>
            <w:r>
              <w:rPr>
                <w:rFonts w:ascii="宋体" w:eastAsia="宋体" w:hAnsi="宋体" w:hint="eastAsia"/>
                <w:szCs w:val="21"/>
              </w:rPr>
              <w:t>网址：</w:t>
            </w:r>
            <w:r>
              <w:rPr>
                <w:rFonts w:ascii="宋体" w:eastAsia="宋体" w:hAnsi="宋体"/>
                <w:szCs w:val="21"/>
              </w:rPr>
              <w:t>stock.pingan.com</w:t>
            </w:r>
          </w:p>
        </w:tc>
      </w:tr>
      <w:tr w:rsidR="00B85C18">
        <w:tc>
          <w:tcPr>
            <w:tcW w:w="846" w:type="dxa"/>
          </w:tcPr>
          <w:p w:rsidR="00B85C18" w:rsidRDefault="004E5A0C">
            <w:pPr>
              <w:rPr>
                <w:rFonts w:ascii="宋体" w:eastAsia="宋体" w:hAnsi="宋体"/>
                <w:szCs w:val="21"/>
              </w:rPr>
            </w:pPr>
            <w:r>
              <w:rPr>
                <w:rFonts w:ascii="宋体" w:eastAsia="宋体" w:hAnsi="宋体" w:hint="eastAsia"/>
                <w:szCs w:val="21"/>
              </w:rPr>
              <w:t>3</w:t>
            </w:r>
          </w:p>
        </w:tc>
        <w:tc>
          <w:tcPr>
            <w:tcW w:w="2410" w:type="dxa"/>
          </w:tcPr>
          <w:p w:rsidR="00B85C18" w:rsidRDefault="004E5A0C">
            <w:pPr>
              <w:rPr>
                <w:rFonts w:ascii="宋体" w:eastAsia="宋体" w:hAnsi="宋体"/>
                <w:szCs w:val="21"/>
              </w:rPr>
            </w:pPr>
            <w:r>
              <w:rPr>
                <w:rFonts w:ascii="宋体" w:eastAsia="宋体" w:hAnsi="宋体" w:hint="eastAsia"/>
                <w:szCs w:val="21"/>
              </w:rPr>
              <w:t>世纪证券有限责任公司</w:t>
            </w:r>
          </w:p>
          <w:p w:rsidR="00B85C18" w:rsidRDefault="00B85C18">
            <w:pPr>
              <w:rPr>
                <w:rFonts w:ascii="宋体" w:eastAsia="宋体" w:hAnsi="宋体"/>
                <w:szCs w:val="21"/>
              </w:rPr>
            </w:pPr>
          </w:p>
        </w:tc>
        <w:tc>
          <w:tcPr>
            <w:tcW w:w="5040" w:type="dxa"/>
          </w:tcPr>
          <w:p w:rsidR="00B85C18" w:rsidRDefault="004E5A0C">
            <w:pPr>
              <w:rPr>
                <w:rFonts w:ascii="宋体" w:eastAsia="宋体" w:hAnsi="宋体"/>
                <w:szCs w:val="21"/>
              </w:rPr>
            </w:pPr>
            <w:r>
              <w:rPr>
                <w:rFonts w:ascii="宋体" w:eastAsia="宋体" w:hAnsi="宋体" w:hint="eastAsia"/>
                <w:szCs w:val="21"/>
              </w:rPr>
              <w:t>注册（办公）地址：深圳市福田区深南大道招商银行大厦</w:t>
            </w:r>
            <w:r>
              <w:rPr>
                <w:rFonts w:ascii="宋体" w:eastAsia="宋体" w:hAnsi="宋体"/>
                <w:szCs w:val="21"/>
              </w:rPr>
              <w:t>40-42层</w:t>
            </w:r>
          </w:p>
          <w:p w:rsidR="00B85C18" w:rsidRDefault="004E5A0C">
            <w:pPr>
              <w:rPr>
                <w:rFonts w:ascii="宋体" w:eastAsia="宋体" w:hAnsi="宋体"/>
                <w:szCs w:val="21"/>
              </w:rPr>
            </w:pPr>
            <w:r>
              <w:rPr>
                <w:rFonts w:ascii="宋体" w:eastAsia="宋体" w:hAnsi="宋体" w:hint="eastAsia"/>
                <w:szCs w:val="21"/>
              </w:rPr>
              <w:t>客服电话：</w:t>
            </w:r>
            <w:r>
              <w:rPr>
                <w:rFonts w:ascii="宋体" w:eastAsia="宋体" w:hAnsi="宋体"/>
                <w:szCs w:val="21"/>
              </w:rPr>
              <w:t>4008323000</w:t>
            </w:r>
          </w:p>
          <w:p w:rsidR="00B85C18" w:rsidRDefault="004E5A0C">
            <w:pPr>
              <w:rPr>
                <w:rFonts w:ascii="宋体" w:eastAsia="宋体" w:hAnsi="宋体"/>
                <w:szCs w:val="21"/>
              </w:rPr>
            </w:pPr>
            <w:r>
              <w:rPr>
                <w:rFonts w:ascii="宋体" w:eastAsia="宋体" w:hAnsi="宋体" w:hint="eastAsia"/>
                <w:szCs w:val="21"/>
              </w:rPr>
              <w:t>网站：</w:t>
            </w:r>
            <w:r>
              <w:rPr>
                <w:rFonts w:ascii="宋体" w:eastAsia="宋体" w:hAnsi="宋体"/>
                <w:szCs w:val="21"/>
              </w:rPr>
              <w:t xml:space="preserve"> http://www.csco.com.cn</w:t>
            </w:r>
          </w:p>
        </w:tc>
      </w:tr>
      <w:tr w:rsidR="00B85C18">
        <w:tc>
          <w:tcPr>
            <w:tcW w:w="846" w:type="dxa"/>
          </w:tcPr>
          <w:p w:rsidR="00B85C18" w:rsidRDefault="004E5A0C">
            <w:pPr>
              <w:rPr>
                <w:rFonts w:ascii="宋体" w:eastAsia="宋体" w:hAnsi="宋体"/>
                <w:szCs w:val="21"/>
              </w:rPr>
            </w:pPr>
            <w:r>
              <w:rPr>
                <w:rFonts w:ascii="宋体" w:eastAsia="宋体" w:hAnsi="宋体" w:hint="eastAsia"/>
                <w:szCs w:val="21"/>
              </w:rPr>
              <w:t>4</w:t>
            </w:r>
          </w:p>
        </w:tc>
        <w:tc>
          <w:tcPr>
            <w:tcW w:w="2410" w:type="dxa"/>
          </w:tcPr>
          <w:p w:rsidR="00B85C18" w:rsidRDefault="004E5A0C">
            <w:pPr>
              <w:rPr>
                <w:rFonts w:ascii="宋体" w:eastAsia="宋体" w:hAnsi="宋体"/>
                <w:szCs w:val="21"/>
              </w:rPr>
            </w:pPr>
            <w:r>
              <w:rPr>
                <w:rFonts w:ascii="宋体" w:eastAsia="宋体" w:hAnsi="宋体" w:hint="eastAsia"/>
                <w:szCs w:val="21"/>
              </w:rPr>
              <w:t>大泰金石基金销售有限公司</w:t>
            </w:r>
          </w:p>
          <w:p w:rsidR="00B85C18" w:rsidRDefault="00B85C18">
            <w:pPr>
              <w:rPr>
                <w:rFonts w:ascii="宋体" w:eastAsia="宋体" w:hAnsi="宋体"/>
                <w:szCs w:val="21"/>
              </w:rPr>
            </w:pPr>
          </w:p>
        </w:tc>
        <w:tc>
          <w:tcPr>
            <w:tcW w:w="5040" w:type="dxa"/>
          </w:tcPr>
          <w:p w:rsidR="00B85C18" w:rsidRDefault="004E5A0C">
            <w:pPr>
              <w:rPr>
                <w:rFonts w:ascii="宋体" w:eastAsia="宋体" w:hAnsi="宋体"/>
                <w:szCs w:val="21"/>
              </w:rPr>
            </w:pPr>
            <w:r>
              <w:rPr>
                <w:rFonts w:ascii="宋体" w:eastAsia="宋体" w:hAnsi="宋体" w:hint="eastAsia"/>
                <w:szCs w:val="21"/>
              </w:rPr>
              <w:t>办公地址：上海市长宁区虹桥路</w:t>
            </w:r>
            <w:r>
              <w:rPr>
                <w:rFonts w:ascii="宋体" w:eastAsia="宋体" w:hAnsi="宋体"/>
                <w:szCs w:val="21"/>
              </w:rPr>
              <w:t>1386号文广大厦15楼</w:t>
            </w:r>
          </w:p>
          <w:p w:rsidR="00B85C18" w:rsidRDefault="004E5A0C">
            <w:pPr>
              <w:rPr>
                <w:rFonts w:ascii="宋体" w:eastAsia="宋体" w:hAnsi="宋体"/>
                <w:szCs w:val="21"/>
              </w:rPr>
            </w:pPr>
            <w:r>
              <w:rPr>
                <w:rFonts w:ascii="宋体" w:eastAsia="宋体" w:hAnsi="宋体" w:hint="eastAsia"/>
                <w:szCs w:val="21"/>
              </w:rPr>
              <w:t>客户服务电话：</w:t>
            </w:r>
            <w:r>
              <w:rPr>
                <w:rFonts w:ascii="宋体" w:eastAsia="宋体" w:hAnsi="宋体"/>
                <w:szCs w:val="21"/>
              </w:rPr>
              <w:t>400-928-2266/021-22267995</w:t>
            </w:r>
          </w:p>
          <w:p w:rsidR="00B85C18" w:rsidRDefault="004E5A0C">
            <w:pPr>
              <w:rPr>
                <w:rFonts w:ascii="宋体" w:eastAsia="宋体" w:hAnsi="宋体"/>
                <w:szCs w:val="21"/>
              </w:rPr>
            </w:pPr>
            <w:r>
              <w:rPr>
                <w:rFonts w:ascii="宋体" w:eastAsia="宋体" w:hAnsi="宋体" w:hint="eastAsia"/>
                <w:szCs w:val="21"/>
              </w:rPr>
              <w:t>网址：</w:t>
            </w:r>
            <w:r>
              <w:rPr>
                <w:rFonts w:ascii="宋体" w:eastAsia="宋体" w:hAnsi="宋体"/>
                <w:szCs w:val="21"/>
              </w:rPr>
              <w:t>www.dtfunds.com</w:t>
            </w:r>
          </w:p>
        </w:tc>
      </w:tr>
      <w:tr w:rsidR="00B85C18">
        <w:tc>
          <w:tcPr>
            <w:tcW w:w="846" w:type="dxa"/>
          </w:tcPr>
          <w:p w:rsidR="00B85C18" w:rsidRDefault="004E5A0C">
            <w:pPr>
              <w:rPr>
                <w:rFonts w:ascii="宋体" w:eastAsia="宋体" w:hAnsi="宋体"/>
                <w:szCs w:val="21"/>
              </w:rPr>
            </w:pPr>
            <w:r>
              <w:rPr>
                <w:rFonts w:ascii="宋体" w:eastAsia="宋体" w:hAnsi="宋体" w:hint="eastAsia"/>
                <w:szCs w:val="21"/>
              </w:rPr>
              <w:t>5</w:t>
            </w:r>
          </w:p>
        </w:tc>
        <w:tc>
          <w:tcPr>
            <w:tcW w:w="2410" w:type="dxa"/>
          </w:tcPr>
          <w:p w:rsidR="00B85C18" w:rsidRDefault="004E5A0C">
            <w:pPr>
              <w:rPr>
                <w:rFonts w:ascii="宋体" w:eastAsia="宋体" w:hAnsi="宋体"/>
                <w:szCs w:val="21"/>
              </w:rPr>
            </w:pPr>
            <w:r>
              <w:rPr>
                <w:rFonts w:ascii="宋体" w:eastAsia="宋体" w:hAnsi="宋体" w:hint="eastAsia"/>
                <w:szCs w:val="21"/>
              </w:rPr>
              <w:t>上海天天基金销售有限公司</w:t>
            </w:r>
          </w:p>
          <w:p w:rsidR="00B85C18" w:rsidRDefault="00B85C18">
            <w:pPr>
              <w:rPr>
                <w:rFonts w:ascii="宋体" w:eastAsia="宋体" w:hAnsi="宋体"/>
                <w:szCs w:val="21"/>
              </w:rPr>
            </w:pPr>
          </w:p>
        </w:tc>
        <w:tc>
          <w:tcPr>
            <w:tcW w:w="5040" w:type="dxa"/>
          </w:tcPr>
          <w:p w:rsidR="00B85C18" w:rsidRDefault="004E5A0C">
            <w:pPr>
              <w:rPr>
                <w:rFonts w:ascii="宋体" w:eastAsia="宋体" w:hAnsi="宋体"/>
                <w:szCs w:val="21"/>
              </w:rPr>
            </w:pPr>
            <w:r>
              <w:rPr>
                <w:rFonts w:ascii="宋体" w:eastAsia="宋体" w:hAnsi="宋体" w:hint="eastAsia"/>
                <w:szCs w:val="21"/>
              </w:rPr>
              <w:t>办公地址：</w:t>
            </w:r>
            <w:r>
              <w:rPr>
                <w:rFonts w:ascii="宋体" w:eastAsia="宋体" w:hAnsi="宋体"/>
                <w:szCs w:val="21"/>
              </w:rPr>
              <w:t>上海市徐汇区宛平南路88号金座（北楼）25层</w:t>
            </w:r>
          </w:p>
          <w:p w:rsidR="00B85C18" w:rsidRDefault="004E5A0C">
            <w:pPr>
              <w:rPr>
                <w:rFonts w:ascii="宋体" w:eastAsia="宋体" w:hAnsi="宋体"/>
                <w:szCs w:val="21"/>
              </w:rPr>
            </w:pPr>
            <w:r>
              <w:rPr>
                <w:rFonts w:ascii="宋体" w:eastAsia="宋体" w:hAnsi="宋体" w:hint="eastAsia"/>
                <w:szCs w:val="21"/>
              </w:rPr>
              <w:t>客服电话：</w:t>
            </w:r>
            <w:r>
              <w:rPr>
                <w:rFonts w:ascii="宋体" w:eastAsia="宋体" w:hAnsi="宋体"/>
                <w:szCs w:val="21"/>
              </w:rPr>
              <w:t>400-1818-188</w:t>
            </w:r>
          </w:p>
          <w:p w:rsidR="00B85C18" w:rsidRDefault="004E5A0C">
            <w:pPr>
              <w:rPr>
                <w:rFonts w:ascii="宋体" w:eastAsia="宋体" w:hAnsi="宋体"/>
                <w:szCs w:val="21"/>
              </w:rPr>
            </w:pPr>
            <w:r>
              <w:rPr>
                <w:rFonts w:ascii="宋体" w:eastAsia="宋体" w:hAnsi="宋体" w:hint="eastAsia"/>
                <w:szCs w:val="21"/>
              </w:rPr>
              <w:t>网址：</w:t>
            </w:r>
            <w:r>
              <w:rPr>
                <w:rFonts w:ascii="宋体" w:eastAsia="宋体" w:hAnsi="宋体"/>
                <w:szCs w:val="21"/>
              </w:rPr>
              <w:t>http://www.1234567.com.cn</w:t>
            </w:r>
          </w:p>
        </w:tc>
      </w:tr>
      <w:tr w:rsidR="00B85C18">
        <w:tc>
          <w:tcPr>
            <w:tcW w:w="846" w:type="dxa"/>
          </w:tcPr>
          <w:p w:rsidR="00B85C18" w:rsidRDefault="004E5A0C">
            <w:pPr>
              <w:rPr>
                <w:rFonts w:ascii="宋体" w:eastAsia="宋体" w:hAnsi="宋体"/>
                <w:szCs w:val="21"/>
              </w:rPr>
            </w:pPr>
            <w:r>
              <w:rPr>
                <w:rFonts w:ascii="宋体" w:eastAsia="宋体" w:hAnsi="宋体" w:hint="eastAsia"/>
                <w:szCs w:val="21"/>
              </w:rPr>
              <w:t>6</w:t>
            </w:r>
          </w:p>
        </w:tc>
        <w:tc>
          <w:tcPr>
            <w:tcW w:w="2410" w:type="dxa"/>
          </w:tcPr>
          <w:p w:rsidR="00B85C18" w:rsidRDefault="004E5A0C">
            <w:pPr>
              <w:rPr>
                <w:rFonts w:ascii="宋体" w:eastAsia="宋体" w:hAnsi="宋体"/>
                <w:szCs w:val="21"/>
              </w:rPr>
            </w:pPr>
            <w:r>
              <w:rPr>
                <w:rFonts w:ascii="宋体" w:eastAsia="宋体" w:hAnsi="宋体" w:hint="eastAsia"/>
                <w:szCs w:val="21"/>
              </w:rPr>
              <w:t>珠海盈米财富管理有限公司</w:t>
            </w:r>
          </w:p>
          <w:p w:rsidR="00B85C18" w:rsidRDefault="00B85C18">
            <w:pPr>
              <w:rPr>
                <w:rFonts w:ascii="宋体" w:eastAsia="宋体" w:hAnsi="宋体"/>
                <w:szCs w:val="21"/>
              </w:rPr>
            </w:pPr>
          </w:p>
        </w:tc>
        <w:tc>
          <w:tcPr>
            <w:tcW w:w="5040" w:type="dxa"/>
          </w:tcPr>
          <w:p w:rsidR="00B85C18" w:rsidRDefault="004E5A0C">
            <w:pPr>
              <w:rPr>
                <w:rFonts w:ascii="宋体" w:eastAsia="宋体" w:hAnsi="宋体"/>
                <w:szCs w:val="21"/>
              </w:rPr>
            </w:pPr>
            <w:r>
              <w:rPr>
                <w:rFonts w:ascii="宋体" w:eastAsia="宋体" w:hAnsi="宋体" w:hint="eastAsia"/>
                <w:szCs w:val="21"/>
              </w:rPr>
              <w:t>办公地址：广州市海珠区琶洲大道东</w:t>
            </w:r>
            <w:r>
              <w:rPr>
                <w:rFonts w:ascii="宋体" w:eastAsia="宋体" w:hAnsi="宋体"/>
                <w:szCs w:val="21"/>
              </w:rPr>
              <w:t>1号保利国际广场南塔12楼B1201-1203</w:t>
            </w:r>
          </w:p>
          <w:p w:rsidR="00B85C18" w:rsidRDefault="004E5A0C">
            <w:pPr>
              <w:rPr>
                <w:rFonts w:ascii="宋体" w:eastAsia="宋体" w:hAnsi="宋体"/>
                <w:szCs w:val="21"/>
              </w:rPr>
            </w:pPr>
            <w:r>
              <w:rPr>
                <w:rFonts w:ascii="宋体" w:eastAsia="宋体" w:hAnsi="宋体" w:hint="eastAsia"/>
                <w:szCs w:val="21"/>
              </w:rPr>
              <w:t>客户服务电话：</w:t>
            </w:r>
            <w:r>
              <w:rPr>
                <w:rFonts w:ascii="宋体" w:eastAsia="宋体" w:hAnsi="宋体"/>
                <w:szCs w:val="21"/>
              </w:rPr>
              <w:t>020-89629066</w:t>
            </w:r>
          </w:p>
          <w:p w:rsidR="00B85C18" w:rsidRDefault="004E5A0C">
            <w:pPr>
              <w:rPr>
                <w:rFonts w:ascii="宋体" w:eastAsia="宋体" w:hAnsi="宋体"/>
                <w:szCs w:val="21"/>
              </w:rPr>
            </w:pPr>
            <w:r>
              <w:rPr>
                <w:rFonts w:ascii="宋体" w:eastAsia="宋体" w:hAnsi="宋体" w:hint="eastAsia"/>
                <w:szCs w:val="21"/>
              </w:rPr>
              <w:t>网址：</w:t>
            </w:r>
            <w:r>
              <w:rPr>
                <w:rFonts w:ascii="宋体" w:eastAsia="宋体" w:hAnsi="宋体"/>
                <w:szCs w:val="21"/>
              </w:rPr>
              <w:t>www.yingmi.cn</w:t>
            </w:r>
          </w:p>
        </w:tc>
      </w:tr>
      <w:tr w:rsidR="00B85C18">
        <w:tc>
          <w:tcPr>
            <w:tcW w:w="846" w:type="dxa"/>
          </w:tcPr>
          <w:p w:rsidR="00B85C18" w:rsidRDefault="004E5A0C">
            <w:pPr>
              <w:rPr>
                <w:rFonts w:ascii="宋体" w:eastAsia="宋体" w:hAnsi="宋体"/>
                <w:szCs w:val="21"/>
              </w:rPr>
            </w:pPr>
            <w:r>
              <w:rPr>
                <w:rFonts w:ascii="宋体" w:eastAsia="宋体" w:hAnsi="宋体" w:hint="eastAsia"/>
                <w:szCs w:val="21"/>
              </w:rPr>
              <w:t>7</w:t>
            </w:r>
          </w:p>
        </w:tc>
        <w:tc>
          <w:tcPr>
            <w:tcW w:w="2410" w:type="dxa"/>
          </w:tcPr>
          <w:p w:rsidR="00B85C18" w:rsidRDefault="004E5A0C">
            <w:pPr>
              <w:rPr>
                <w:rFonts w:ascii="宋体" w:eastAsia="宋体" w:hAnsi="宋体"/>
                <w:szCs w:val="21"/>
              </w:rPr>
            </w:pPr>
            <w:r>
              <w:rPr>
                <w:rFonts w:ascii="宋体" w:eastAsia="宋体" w:hAnsi="宋体" w:hint="eastAsia"/>
                <w:szCs w:val="21"/>
              </w:rPr>
              <w:t>上海长量基金销售投资</w:t>
            </w:r>
            <w:r>
              <w:rPr>
                <w:rFonts w:ascii="宋体" w:eastAsia="宋体" w:hAnsi="宋体" w:hint="eastAsia"/>
                <w:szCs w:val="21"/>
              </w:rPr>
              <w:lastRenderedPageBreak/>
              <w:t>顾问有限公司</w:t>
            </w:r>
          </w:p>
          <w:p w:rsidR="00B85C18" w:rsidRDefault="00B85C18">
            <w:pPr>
              <w:rPr>
                <w:rFonts w:ascii="宋体" w:eastAsia="宋体" w:hAnsi="宋体"/>
                <w:szCs w:val="21"/>
              </w:rPr>
            </w:pPr>
          </w:p>
        </w:tc>
        <w:tc>
          <w:tcPr>
            <w:tcW w:w="5040" w:type="dxa"/>
          </w:tcPr>
          <w:p w:rsidR="00B85C18" w:rsidRDefault="004E5A0C">
            <w:pPr>
              <w:rPr>
                <w:rFonts w:ascii="宋体" w:eastAsia="宋体" w:hAnsi="宋体"/>
                <w:szCs w:val="21"/>
              </w:rPr>
            </w:pPr>
            <w:r>
              <w:rPr>
                <w:rFonts w:ascii="宋体" w:eastAsia="宋体" w:hAnsi="宋体" w:hint="eastAsia"/>
                <w:szCs w:val="21"/>
              </w:rPr>
              <w:lastRenderedPageBreak/>
              <w:t>办公地址：上海市浦东新区东方路</w:t>
            </w:r>
            <w:r>
              <w:rPr>
                <w:rFonts w:ascii="宋体" w:eastAsia="宋体" w:hAnsi="宋体"/>
                <w:szCs w:val="21"/>
              </w:rPr>
              <w:t>1267号11层</w:t>
            </w:r>
          </w:p>
          <w:p w:rsidR="00B85C18" w:rsidRDefault="004E5A0C">
            <w:pPr>
              <w:rPr>
                <w:rFonts w:ascii="宋体" w:eastAsia="宋体" w:hAnsi="宋体"/>
                <w:szCs w:val="21"/>
              </w:rPr>
            </w:pPr>
            <w:r>
              <w:rPr>
                <w:rFonts w:ascii="宋体" w:eastAsia="宋体" w:hAnsi="宋体" w:hint="eastAsia"/>
                <w:szCs w:val="21"/>
              </w:rPr>
              <w:lastRenderedPageBreak/>
              <w:t>客服电话：</w:t>
            </w:r>
            <w:r>
              <w:rPr>
                <w:rFonts w:ascii="宋体" w:eastAsia="宋体" w:hAnsi="宋体"/>
                <w:szCs w:val="21"/>
              </w:rPr>
              <w:t>400-820-2899</w:t>
            </w:r>
          </w:p>
          <w:p w:rsidR="00B85C18" w:rsidRDefault="004E5A0C">
            <w:pPr>
              <w:rPr>
                <w:rFonts w:ascii="宋体" w:eastAsia="宋体" w:hAnsi="宋体"/>
                <w:szCs w:val="21"/>
              </w:rPr>
            </w:pPr>
            <w:r>
              <w:rPr>
                <w:rFonts w:ascii="宋体" w:eastAsia="宋体" w:hAnsi="宋体" w:hint="eastAsia"/>
                <w:szCs w:val="21"/>
              </w:rPr>
              <w:t>公司网站：</w:t>
            </w:r>
            <w:r>
              <w:rPr>
                <w:rFonts w:ascii="宋体" w:eastAsia="宋体" w:hAnsi="宋体"/>
                <w:szCs w:val="21"/>
              </w:rPr>
              <w:t xml:space="preserve"> www.erichfund.com</w:t>
            </w:r>
          </w:p>
        </w:tc>
      </w:tr>
      <w:tr w:rsidR="00B85C18">
        <w:tc>
          <w:tcPr>
            <w:tcW w:w="846" w:type="dxa"/>
          </w:tcPr>
          <w:p w:rsidR="00B85C18" w:rsidRDefault="004E5A0C">
            <w:pPr>
              <w:rPr>
                <w:rFonts w:ascii="宋体" w:eastAsia="宋体" w:hAnsi="宋体"/>
                <w:szCs w:val="21"/>
              </w:rPr>
            </w:pPr>
            <w:r>
              <w:rPr>
                <w:rFonts w:ascii="宋体" w:eastAsia="宋体" w:hAnsi="宋体" w:hint="eastAsia"/>
                <w:szCs w:val="21"/>
              </w:rPr>
              <w:lastRenderedPageBreak/>
              <w:t>8</w:t>
            </w:r>
          </w:p>
        </w:tc>
        <w:tc>
          <w:tcPr>
            <w:tcW w:w="2410" w:type="dxa"/>
          </w:tcPr>
          <w:p w:rsidR="00B85C18" w:rsidRDefault="004E5A0C">
            <w:pPr>
              <w:rPr>
                <w:rFonts w:ascii="宋体" w:eastAsia="宋体" w:hAnsi="宋体"/>
                <w:szCs w:val="21"/>
              </w:rPr>
            </w:pPr>
            <w:r>
              <w:rPr>
                <w:rFonts w:ascii="宋体" w:eastAsia="宋体" w:hAnsi="宋体" w:hint="eastAsia"/>
                <w:szCs w:val="21"/>
              </w:rPr>
              <w:t>深圳市新兰德证券投资咨询有限公司</w:t>
            </w:r>
          </w:p>
          <w:p w:rsidR="00B85C18" w:rsidRDefault="00B85C18">
            <w:pPr>
              <w:rPr>
                <w:rFonts w:ascii="宋体" w:eastAsia="宋体" w:hAnsi="宋体"/>
                <w:szCs w:val="21"/>
              </w:rPr>
            </w:pPr>
          </w:p>
        </w:tc>
        <w:tc>
          <w:tcPr>
            <w:tcW w:w="5040" w:type="dxa"/>
          </w:tcPr>
          <w:p w:rsidR="00B85C18" w:rsidRDefault="004E5A0C">
            <w:pPr>
              <w:rPr>
                <w:rFonts w:ascii="宋体" w:eastAsia="宋体" w:hAnsi="宋体"/>
                <w:szCs w:val="21"/>
              </w:rPr>
            </w:pPr>
            <w:r>
              <w:rPr>
                <w:rFonts w:ascii="宋体" w:eastAsia="宋体" w:hAnsi="宋体" w:hint="eastAsia"/>
                <w:szCs w:val="21"/>
              </w:rPr>
              <w:t>办公地址：北京市西城区宣武门外大街</w:t>
            </w:r>
            <w:r>
              <w:rPr>
                <w:rFonts w:ascii="宋体" w:eastAsia="宋体" w:hAnsi="宋体"/>
                <w:szCs w:val="21"/>
              </w:rPr>
              <w:t>10号庄胜广场中央办公楼东翼7层</w:t>
            </w:r>
          </w:p>
          <w:p w:rsidR="00B85C18" w:rsidRDefault="004E5A0C">
            <w:pPr>
              <w:rPr>
                <w:rFonts w:ascii="宋体" w:eastAsia="宋体" w:hAnsi="宋体"/>
                <w:szCs w:val="21"/>
              </w:rPr>
            </w:pPr>
            <w:r>
              <w:rPr>
                <w:rFonts w:ascii="宋体" w:eastAsia="宋体" w:hAnsi="宋体" w:hint="eastAsia"/>
                <w:szCs w:val="21"/>
              </w:rPr>
              <w:t>客户服务电话：</w:t>
            </w:r>
            <w:r>
              <w:rPr>
                <w:rFonts w:ascii="宋体" w:eastAsia="宋体" w:hAnsi="宋体"/>
                <w:szCs w:val="21"/>
              </w:rPr>
              <w:t>400-166-1188</w:t>
            </w:r>
          </w:p>
          <w:p w:rsidR="00B85C18" w:rsidRDefault="004E5A0C">
            <w:pPr>
              <w:rPr>
                <w:rFonts w:ascii="宋体" w:eastAsia="宋体" w:hAnsi="宋体"/>
                <w:szCs w:val="21"/>
              </w:rPr>
            </w:pPr>
            <w:r>
              <w:rPr>
                <w:rFonts w:ascii="宋体" w:eastAsia="宋体" w:hAnsi="宋体" w:hint="eastAsia"/>
                <w:szCs w:val="21"/>
              </w:rPr>
              <w:t>网址：</w:t>
            </w:r>
            <w:r>
              <w:rPr>
                <w:rFonts w:ascii="宋体" w:eastAsia="宋体" w:hAnsi="宋体"/>
                <w:szCs w:val="21"/>
              </w:rPr>
              <w:t>http://8.jrj.com.cn/</w:t>
            </w:r>
          </w:p>
        </w:tc>
      </w:tr>
      <w:tr w:rsidR="00B85C18">
        <w:tc>
          <w:tcPr>
            <w:tcW w:w="846" w:type="dxa"/>
          </w:tcPr>
          <w:p w:rsidR="00B85C18" w:rsidRDefault="004E5A0C">
            <w:pPr>
              <w:rPr>
                <w:rFonts w:ascii="宋体" w:eastAsia="宋体" w:hAnsi="宋体"/>
                <w:szCs w:val="21"/>
              </w:rPr>
            </w:pPr>
            <w:r>
              <w:rPr>
                <w:rFonts w:ascii="宋体" w:eastAsia="宋体" w:hAnsi="宋体" w:hint="eastAsia"/>
                <w:szCs w:val="21"/>
              </w:rPr>
              <w:t>9</w:t>
            </w:r>
          </w:p>
        </w:tc>
        <w:tc>
          <w:tcPr>
            <w:tcW w:w="2410" w:type="dxa"/>
          </w:tcPr>
          <w:p w:rsidR="00B85C18" w:rsidRDefault="004E5A0C">
            <w:pPr>
              <w:rPr>
                <w:rFonts w:ascii="宋体" w:eastAsia="宋体" w:hAnsi="宋体"/>
                <w:szCs w:val="21"/>
              </w:rPr>
            </w:pPr>
            <w:r>
              <w:rPr>
                <w:rFonts w:ascii="宋体" w:eastAsia="宋体" w:hAnsi="宋体" w:hint="eastAsia"/>
                <w:szCs w:val="21"/>
              </w:rPr>
              <w:t>泰诚财富基金销售（大连）有限公司</w:t>
            </w:r>
          </w:p>
          <w:p w:rsidR="00B85C18" w:rsidRDefault="00B85C18">
            <w:pPr>
              <w:rPr>
                <w:rFonts w:ascii="宋体" w:eastAsia="宋体" w:hAnsi="宋体"/>
                <w:szCs w:val="21"/>
              </w:rPr>
            </w:pPr>
          </w:p>
        </w:tc>
        <w:tc>
          <w:tcPr>
            <w:tcW w:w="5040" w:type="dxa"/>
          </w:tcPr>
          <w:p w:rsidR="00B85C18" w:rsidRDefault="004E5A0C">
            <w:pPr>
              <w:rPr>
                <w:rFonts w:ascii="宋体" w:eastAsia="宋体" w:hAnsi="宋体"/>
                <w:szCs w:val="21"/>
              </w:rPr>
            </w:pPr>
            <w:r>
              <w:rPr>
                <w:rFonts w:ascii="宋体" w:eastAsia="宋体" w:hAnsi="宋体" w:hint="eastAsia"/>
                <w:szCs w:val="21"/>
              </w:rPr>
              <w:t>注册（办公）地址：辽宁省大连市沙河口区星海中龙园</w:t>
            </w:r>
            <w:r>
              <w:rPr>
                <w:rFonts w:ascii="宋体" w:eastAsia="宋体" w:hAnsi="宋体"/>
                <w:szCs w:val="21"/>
              </w:rPr>
              <w:t>3号</w:t>
            </w:r>
          </w:p>
          <w:p w:rsidR="00B85C18" w:rsidRDefault="004E5A0C">
            <w:pPr>
              <w:rPr>
                <w:rFonts w:ascii="宋体" w:eastAsia="宋体" w:hAnsi="宋体"/>
                <w:szCs w:val="21"/>
              </w:rPr>
            </w:pPr>
            <w:r>
              <w:rPr>
                <w:rFonts w:ascii="宋体" w:eastAsia="宋体" w:hAnsi="宋体" w:hint="eastAsia"/>
                <w:szCs w:val="21"/>
              </w:rPr>
              <w:t>客户服务电话：</w:t>
            </w:r>
            <w:r>
              <w:rPr>
                <w:rFonts w:ascii="宋体" w:eastAsia="宋体" w:hAnsi="宋体"/>
                <w:szCs w:val="21"/>
              </w:rPr>
              <w:t>4006411999</w:t>
            </w:r>
          </w:p>
          <w:p w:rsidR="00B85C18" w:rsidRDefault="004E5A0C">
            <w:pPr>
              <w:rPr>
                <w:rFonts w:ascii="宋体" w:eastAsia="宋体" w:hAnsi="宋体"/>
                <w:szCs w:val="21"/>
              </w:rPr>
            </w:pPr>
            <w:r>
              <w:rPr>
                <w:rFonts w:ascii="宋体" w:eastAsia="宋体" w:hAnsi="宋体" w:hint="eastAsia"/>
                <w:szCs w:val="21"/>
              </w:rPr>
              <w:t>网址：</w:t>
            </w:r>
            <w:r>
              <w:rPr>
                <w:rFonts w:ascii="宋体" w:eastAsia="宋体" w:hAnsi="宋体"/>
                <w:szCs w:val="21"/>
              </w:rPr>
              <w:t>www.taichengcaifu.com</w:t>
            </w:r>
          </w:p>
        </w:tc>
      </w:tr>
      <w:tr w:rsidR="00B85C18">
        <w:tc>
          <w:tcPr>
            <w:tcW w:w="846" w:type="dxa"/>
          </w:tcPr>
          <w:p w:rsidR="00B85C18" w:rsidRDefault="004E5A0C">
            <w:pPr>
              <w:rPr>
                <w:rFonts w:ascii="宋体" w:eastAsia="宋体" w:hAnsi="宋体"/>
                <w:szCs w:val="21"/>
              </w:rPr>
            </w:pPr>
            <w:r>
              <w:rPr>
                <w:rFonts w:ascii="宋体" w:eastAsia="宋体" w:hAnsi="宋体" w:hint="eastAsia"/>
                <w:szCs w:val="21"/>
              </w:rPr>
              <w:t>10</w:t>
            </w:r>
          </w:p>
        </w:tc>
        <w:tc>
          <w:tcPr>
            <w:tcW w:w="2410" w:type="dxa"/>
            <w:vAlign w:val="center"/>
          </w:tcPr>
          <w:p w:rsidR="00B85C18" w:rsidRDefault="004E5A0C">
            <w:pPr>
              <w:rPr>
                <w:rFonts w:ascii="宋体" w:eastAsia="宋体" w:hAnsi="宋体"/>
                <w:szCs w:val="21"/>
              </w:rPr>
            </w:pPr>
            <w:r>
              <w:rPr>
                <w:rFonts w:ascii="宋体" w:eastAsia="宋体" w:hAnsi="宋体" w:hint="eastAsia"/>
                <w:szCs w:val="21"/>
              </w:rPr>
              <w:t>济安财富（北京）基金销售有限公司</w:t>
            </w:r>
          </w:p>
        </w:tc>
        <w:tc>
          <w:tcPr>
            <w:tcW w:w="5040" w:type="dxa"/>
          </w:tcPr>
          <w:p w:rsidR="00B85C18" w:rsidRDefault="004E5A0C">
            <w:pPr>
              <w:rPr>
                <w:rFonts w:ascii="宋体" w:eastAsia="宋体" w:hAnsi="宋体"/>
                <w:szCs w:val="21"/>
              </w:rPr>
            </w:pPr>
            <w:r>
              <w:rPr>
                <w:rFonts w:ascii="宋体" w:eastAsia="宋体" w:hAnsi="宋体" w:hint="eastAsia"/>
                <w:szCs w:val="21"/>
              </w:rPr>
              <w:t>注册(办公)地址：北京市朝阳区太阳宫中路16号院1号楼3层307</w:t>
            </w:r>
          </w:p>
          <w:p w:rsidR="00B85C18" w:rsidRDefault="004E5A0C">
            <w:pPr>
              <w:rPr>
                <w:rFonts w:ascii="宋体" w:eastAsia="宋体" w:hAnsi="宋体"/>
                <w:szCs w:val="21"/>
              </w:rPr>
            </w:pPr>
            <w:r>
              <w:rPr>
                <w:rFonts w:ascii="宋体" w:eastAsia="宋体" w:hAnsi="宋体" w:hint="eastAsia"/>
                <w:szCs w:val="21"/>
              </w:rPr>
              <w:t>客户服务电话：400-673-7010</w:t>
            </w:r>
          </w:p>
          <w:p w:rsidR="00B85C18" w:rsidRDefault="004E5A0C">
            <w:pPr>
              <w:rPr>
                <w:rFonts w:ascii="宋体" w:eastAsia="宋体" w:hAnsi="宋体"/>
                <w:szCs w:val="21"/>
              </w:rPr>
            </w:pPr>
            <w:r>
              <w:rPr>
                <w:rFonts w:ascii="宋体" w:eastAsia="宋体" w:hAnsi="宋体" w:hint="eastAsia"/>
                <w:szCs w:val="21"/>
              </w:rPr>
              <w:t>网址：</w:t>
            </w:r>
            <w:hyperlink r:id="rId16" w:history="1">
              <w:r>
                <w:rPr>
                  <w:rFonts w:ascii="宋体" w:eastAsia="宋体" w:hAnsi="宋体" w:hint="eastAsia"/>
                  <w:szCs w:val="21"/>
                </w:rPr>
                <w:t>www.jianfortune.com</w:t>
              </w:r>
            </w:hyperlink>
          </w:p>
        </w:tc>
      </w:tr>
      <w:tr w:rsidR="00B02B47">
        <w:tc>
          <w:tcPr>
            <w:tcW w:w="846" w:type="dxa"/>
          </w:tcPr>
          <w:p w:rsidR="00B02B47" w:rsidRDefault="00B02B47">
            <w:pPr>
              <w:rPr>
                <w:rFonts w:ascii="宋体" w:eastAsia="宋体" w:hAnsi="宋体"/>
                <w:szCs w:val="21"/>
              </w:rPr>
            </w:pPr>
            <w:r>
              <w:rPr>
                <w:rFonts w:ascii="宋体" w:eastAsia="宋体" w:hAnsi="宋体" w:hint="eastAsia"/>
                <w:szCs w:val="21"/>
              </w:rPr>
              <w:t>11</w:t>
            </w:r>
          </w:p>
        </w:tc>
        <w:tc>
          <w:tcPr>
            <w:tcW w:w="2410" w:type="dxa"/>
            <w:vAlign w:val="center"/>
          </w:tcPr>
          <w:p w:rsidR="00B02B47" w:rsidRDefault="00B02B47">
            <w:pPr>
              <w:rPr>
                <w:rFonts w:ascii="宋体" w:eastAsia="宋体" w:hAnsi="宋体"/>
                <w:szCs w:val="21"/>
              </w:rPr>
            </w:pPr>
            <w:r w:rsidRPr="00B02B47">
              <w:rPr>
                <w:rFonts w:ascii="宋体" w:eastAsia="宋体" w:hAnsi="宋体" w:hint="eastAsia"/>
                <w:szCs w:val="21"/>
              </w:rPr>
              <w:t>金惠家保险代理有限公司</w:t>
            </w:r>
          </w:p>
        </w:tc>
        <w:tc>
          <w:tcPr>
            <w:tcW w:w="5040" w:type="dxa"/>
          </w:tcPr>
          <w:p w:rsidR="00B02B47" w:rsidRPr="00B02B47" w:rsidRDefault="00B02B47" w:rsidP="00B02B47">
            <w:pPr>
              <w:rPr>
                <w:rFonts w:ascii="宋体" w:eastAsia="宋体" w:hAnsi="宋体"/>
                <w:szCs w:val="21"/>
              </w:rPr>
            </w:pPr>
            <w:r w:rsidRPr="00B02B47">
              <w:rPr>
                <w:rFonts w:ascii="宋体" w:eastAsia="宋体" w:hAnsi="宋体" w:hint="eastAsia"/>
                <w:szCs w:val="21"/>
              </w:rPr>
              <w:t>注册(办公)地址：北京市西城区阜成门外大街2号19层A2017</w:t>
            </w:r>
          </w:p>
          <w:p w:rsidR="00B02B47" w:rsidRPr="00B02B47" w:rsidRDefault="00B02B47" w:rsidP="00B02B47">
            <w:pPr>
              <w:rPr>
                <w:rFonts w:ascii="宋体" w:eastAsia="宋体" w:hAnsi="宋体"/>
                <w:szCs w:val="21"/>
              </w:rPr>
            </w:pPr>
            <w:r w:rsidRPr="00B02B47">
              <w:rPr>
                <w:rFonts w:ascii="宋体" w:eastAsia="宋体" w:hAnsi="宋体" w:hint="eastAsia"/>
                <w:szCs w:val="21"/>
              </w:rPr>
              <w:t>客户服务电话：400-1060101</w:t>
            </w:r>
          </w:p>
          <w:p w:rsidR="00B02B47" w:rsidRDefault="00B02B47" w:rsidP="00B02B47">
            <w:pPr>
              <w:rPr>
                <w:rFonts w:ascii="宋体" w:eastAsia="宋体" w:hAnsi="宋体"/>
                <w:szCs w:val="21"/>
              </w:rPr>
            </w:pPr>
            <w:r w:rsidRPr="00B02B47">
              <w:rPr>
                <w:rFonts w:ascii="宋体" w:eastAsia="宋体" w:hAnsi="宋体" w:hint="eastAsia"/>
                <w:szCs w:val="21"/>
              </w:rPr>
              <w:t>网址：</w:t>
            </w:r>
            <w:r w:rsidRPr="00B02B47">
              <w:rPr>
                <w:rFonts w:ascii="宋体" w:eastAsia="宋体" w:hAnsi="宋体"/>
                <w:szCs w:val="21"/>
              </w:rPr>
              <w:t xml:space="preserve"> </w:t>
            </w:r>
            <w:r w:rsidRPr="00B02B47">
              <w:rPr>
                <w:rFonts w:ascii="宋体" w:eastAsia="宋体" w:hAnsi="宋体" w:hint="eastAsia"/>
                <w:szCs w:val="21"/>
              </w:rPr>
              <w:t>www.jhjfund.com</w:t>
            </w:r>
          </w:p>
        </w:tc>
      </w:tr>
    </w:tbl>
    <w:p w:rsidR="00B85C18" w:rsidRDefault="00B85C18" w:rsidP="00B02B47">
      <w:pPr>
        <w:tabs>
          <w:tab w:val="left" w:pos="540"/>
        </w:tabs>
        <w:adjustRightInd w:val="0"/>
        <w:snapToGrid w:val="0"/>
        <w:spacing w:line="360" w:lineRule="auto"/>
        <w:rPr>
          <w:rFonts w:asciiTheme="minorEastAsia" w:hAnsiTheme="minorEastAsia" w:cs="Arial"/>
          <w:sz w:val="24"/>
          <w:szCs w:val="24"/>
        </w:rPr>
      </w:pPr>
    </w:p>
    <w:p w:rsidR="00B85C18" w:rsidRDefault="004E5A0C">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rsidR="00B85C18" w:rsidRDefault="004E5A0C">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rsidR="00B85C18" w:rsidRDefault="004E5A0C">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rsidR="00B85C18" w:rsidRDefault="004E5A0C">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办公地址：深圳市福田区深南大道2012号深圳证券交易所广场3501室 </w:t>
      </w:r>
    </w:p>
    <w:p w:rsidR="00B85C18" w:rsidRDefault="004E5A0C">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法定代表人：刘志军 </w:t>
      </w:r>
    </w:p>
    <w:p w:rsidR="00B85C18" w:rsidRDefault="004E5A0C">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rsidR="00B85C18" w:rsidRDefault="004E5A0C">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rsidR="00B85C18" w:rsidRDefault="004E5A0C">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rsidR="00B85C18" w:rsidRDefault="004E5A0C">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rsidR="00B85C18" w:rsidRDefault="004E5A0C">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lastRenderedPageBreak/>
        <w:t>四、</w:t>
      </w:r>
      <w:r>
        <w:rPr>
          <w:rFonts w:asciiTheme="minorEastAsia" w:hAnsiTheme="minorEastAsia" w:cs="Times New Roman" w:hint="eastAsia"/>
          <w:b/>
          <w:bCs/>
          <w:color w:val="000000"/>
          <w:sz w:val="24"/>
          <w:szCs w:val="24"/>
        </w:rPr>
        <w:t>审计基金财产的会计师事务所</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名称：普华永道中天会计师事务所（特殊普通合伙）</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住所：上海市浦东新区陆家嘴环路1318号星展银行大厦6楼</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办公地址：上海市黄浦区湖滨路202号普华永道中心11楼</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法定代表人：李丹</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电话：（021）2323 8888</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传真：（021）2323 8800</w:t>
      </w:r>
    </w:p>
    <w:p w:rsidR="00B85C18" w:rsidRDefault="004E5A0C">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签字注册会计师：曹翠丽、边晓红</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联系人：边晓红</w:t>
      </w:r>
    </w:p>
    <w:p w:rsidR="00B85C18" w:rsidRDefault="004E5A0C">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rsidR="00B85C18" w:rsidRDefault="004E5A0C">
      <w:pPr>
        <w:pStyle w:val="1"/>
        <w:jc w:val="center"/>
        <w:rPr>
          <w:sz w:val="30"/>
          <w:szCs w:val="30"/>
        </w:rPr>
      </w:pPr>
      <w:bookmarkStart w:id="108" w:name="_Toc416264542"/>
      <w:bookmarkStart w:id="109" w:name="_Toc263092314"/>
      <w:bookmarkStart w:id="110" w:name="_Toc523229263"/>
      <w:bookmarkStart w:id="111" w:name="_Toc523229701"/>
      <w:bookmarkStart w:id="112" w:name="_Toc462063869"/>
      <w:bookmarkStart w:id="113" w:name="_Toc14835"/>
      <w:bookmarkStart w:id="114" w:name="_Toc6405"/>
      <w:bookmarkStart w:id="115" w:name="_Toc123051453"/>
      <w:bookmarkStart w:id="116" w:name="_Toc139991737"/>
      <w:bookmarkStart w:id="117" w:name="_Toc123102454"/>
      <w:bookmarkStart w:id="118" w:name="_Toc98560353"/>
      <w:bookmarkStart w:id="119" w:name="_Toc26207"/>
      <w:bookmarkStart w:id="120" w:name="_Toc29251"/>
      <w:bookmarkStart w:id="121" w:name="_Toc123112235"/>
      <w:bookmarkStart w:id="122" w:name="_Toc31653"/>
      <w:bookmarkStart w:id="123" w:name="_Toc31644"/>
      <w:bookmarkStart w:id="124" w:name="_Toc141703887"/>
      <w:bookmarkStart w:id="125" w:name="_Toc352229753"/>
      <w:bookmarkStart w:id="126" w:name="_Toc16859"/>
      <w:bookmarkStart w:id="127" w:name="_Toc15143"/>
      <w:bookmarkStart w:id="128" w:name="_Toc12245"/>
      <w:bookmarkStart w:id="129" w:name="_Toc31235"/>
      <w:bookmarkStart w:id="130" w:name="_Toc3601"/>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r>
        <w:rPr>
          <w:rFonts w:hint="eastAsia"/>
          <w:sz w:val="30"/>
          <w:szCs w:val="30"/>
        </w:rPr>
        <w:lastRenderedPageBreak/>
        <w:t>第六部分</w:t>
      </w:r>
      <w:r>
        <w:rPr>
          <w:sz w:val="30"/>
          <w:szCs w:val="30"/>
        </w:rPr>
        <w:t xml:space="preserve">  </w:t>
      </w:r>
      <w:r>
        <w:rPr>
          <w:rFonts w:hint="eastAsia"/>
          <w:sz w:val="30"/>
          <w:szCs w:val="30"/>
        </w:rPr>
        <w:t>基金的募集</w:t>
      </w:r>
      <w:bookmarkEnd w:id="108"/>
      <w:bookmarkEnd w:id="109"/>
      <w:bookmarkEnd w:id="110"/>
      <w:bookmarkEnd w:id="111"/>
      <w:bookmarkEnd w:id="112"/>
    </w:p>
    <w:p w:rsidR="00B85C18" w:rsidRDefault="004E5A0C">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基金管理人按照《基金法》、《运作办法》、《销售办法》、基金合同及其他有关规定募集本基金，并于2017年5月16日经中国证监会证监许可[2017]731       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14</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12</w:t>
      </w:r>
      <w:r>
        <w:rPr>
          <w:rFonts w:asciiTheme="minorEastAsia" w:hAnsiTheme="minorEastAsia" w:cs="Arial" w:hint="eastAsia"/>
          <w:sz w:val="24"/>
          <w:szCs w:val="24"/>
        </w:rPr>
        <w:t>日，基金募集工作已顺利结束。</w:t>
      </w:r>
    </w:p>
    <w:p w:rsidR="00B85C18" w:rsidRDefault="004E5A0C">
      <w:pPr>
        <w:widowControl/>
        <w:jc w:val="left"/>
        <w:rPr>
          <w:rFonts w:asciiTheme="minorEastAsia" w:hAnsiTheme="minorEastAsia" w:cs="Arial"/>
          <w:b/>
          <w:sz w:val="24"/>
          <w:szCs w:val="24"/>
        </w:rPr>
      </w:pPr>
      <w:r>
        <w:rPr>
          <w:rFonts w:asciiTheme="minorEastAsia" w:hAnsiTheme="minorEastAsia" w:cs="Arial"/>
          <w:b/>
          <w:sz w:val="24"/>
          <w:szCs w:val="24"/>
        </w:rPr>
        <w:br w:type="page"/>
      </w:r>
    </w:p>
    <w:p w:rsidR="00B85C18" w:rsidRPr="00547ECB" w:rsidRDefault="004E5A0C">
      <w:pPr>
        <w:pStyle w:val="1"/>
        <w:jc w:val="center"/>
        <w:rPr>
          <w:sz w:val="30"/>
          <w:szCs w:val="30"/>
          <w:lang w:val="en-US"/>
        </w:rPr>
      </w:pPr>
      <w:bookmarkStart w:id="131" w:name="_Toc263092315"/>
      <w:bookmarkStart w:id="132" w:name="_Toc214873596"/>
      <w:bookmarkStart w:id="133" w:name="_Toc523229702"/>
      <w:bookmarkStart w:id="134" w:name="_Toc416264543"/>
      <w:bookmarkStart w:id="135" w:name="_Toc523229264"/>
      <w:bookmarkStart w:id="136" w:name="_Toc462063870"/>
      <w:bookmarkStart w:id="137" w:name="_Toc18567"/>
      <w:bookmarkStart w:id="138" w:name="_Toc20768"/>
      <w:bookmarkStart w:id="139" w:name="_Toc141703888"/>
      <w:bookmarkStart w:id="140" w:name="_Toc79392583"/>
      <w:bookmarkStart w:id="141" w:name="_Toc9706"/>
      <w:bookmarkStart w:id="142" w:name="_Toc10650"/>
      <w:bookmarkStart w:id="143" w:name="_Toc123112236"/>
      <w:bookmarkStart w:id="144" w:name="_Toc3321"/>
      <w:bookmarkStart w:id="145" w:name="_Toc25783"/>
      <w:bookmarkStart w:id="146" w:name="_Toc98560354"/>
      <w:bookmarkStart w:id="147" w:name="_Toc352229754"/>
      <w:bookmarkStart w:id="148" w:name="_Toc6447"/>
      <w:bookmarkStart w:id="149" w:name="_Toc139991738"/>
      <w:bookmarkStart w:id="150" w:name="_Toc123051454"/>
      <w:bookmarkStart w:id="151" w:name="_Toc3771"/>
      <w:bookmarkStart w:id="152" w:name="_Toc7058"/>
      <w:bookmarkStart w:id="153" w:name="_Toc4559"/>
      <w:bookmarkStart w:id="154" w:name="_Toc11030"/>
      <w:bookmarkStart w:id="155" w:name="_Toc123102455"/>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r>
        <w:rPr>
          <w:rFonts w:hint="eastAsia"/>
          <w:sz w:val="30"/>
          <w:szCs w:val="30"/>
        </w:rPr>
        <w:lastRenderedPageBreak/>
        <w:t>第七部分</w:t>
      </w:r>
      <w:r w:rsidRPr="00547ECB">
        <w:rPr>
          <w:sz w:val="30"/>
          <w:szCs w:val="30"/>
          <w:lang w:val="en-US"/>
        </w:rPr>
        <w:t xml:space="preserve">  </w:t>
      </w:r>
      <w:r>
        <w:rPr>
          <w:rFonts w:hint="eastAsia"/>
          <w:sz w:val="30"/>
          <w:szCs w:val="30"/>
        </w:rPr>
        <w:t>基金</w:t>
      </w:r>
      <w:bookmarkEnd w:id="131"/>
      <w:bookmarkEnd w:id="132"/>
      <w:r>
        <w:rPr>
          <w:rFonts w:hint="eastAsia"/>
          <w:sz w:val="30"/>
          <w:szCs w:val="30"/>
        </w:rPr>
        <w:t>合同的生效</w:t>
      </w:r>
      <w:bookmarkEnd w:id="133"/>
      <w:bookmarkEnd w:id="134"/>
      <w:bookmarkEnd w:id="135"/>
      <w:bookmarkEnd w:id="136"/>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rsidR="00B85C18" w:rsidRDefault="004E5A0C">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rsidR="00B85C18" w:rsidRDefault="004E5A0C">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bookmarkStart w:id="156" w:name="_Toc12357171"/>
      <w:bookmarkStart w:id="157" w:name="_Toc147463118"/>
      <w:bookmarkStart w:id="158" w:name="_Toc416264544"/>
      <w:bookmarkStart w:id="159" w:name="_Toc263092316"/>
      <w:bookmarkStart w:id="160" w:name="_Toc21073391"/>
      <w:bookmarkStart w:id="161" w:name="_Toc214873597"/>
      <w:bookmarkStart w:id="162" w:name="_Toc139991739"/>
      <w:bookmarkStart w:id="163" w:name="_Toc98560355"/>
      <w:bookmarkStart w:id="164" w:name="_Toc352229755"/>
      <w:bookmarkStart w:id="165" w:name="_Toc18206"/>
      <w:bookmarkStart w:id="166" w:name="_Toc123051455"/>
      <w:bookmarkStart w:id="167" w:name="_Toc725"/>
      <w:bookmarkStart w:id="168" w:name="_Toc16164"/>
      <w:bookmarkStart w:id="169" w:name="_Toc123102456"/>
      <w:bookmarkStart w:id="170" w:name="_Toc10398"/>
      <w:bookmarkStart w:id="171" w:name="_Toc123112237"/>
      <w:bookmarkStart w:id="172" w:name="_Toc21735"/>
      <w:bookmarkStart w:id="173" w:name="_Toc3080"/>
      <w:bookmarkStart w:id="174" w:name="_Toc3572"/>
      <w:bookmarkStart w:id="175" w:name="_Toc31821"/>
      <w:bookmarkStart w:id="176" w:name="_Toc141703889"/>
      <w:bookmarkStart w:id="177" w:name="_Toc18769"/>
      <w:bookmarkStart w:id="178" w:name="_Toc3963"/>
      <w:bookmarkStart w:id="179" w:name="_Toc1745"/>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p w:rsidR="00B85C18" w:rsidRDefault="004E5A0C">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rsidR="00B85C18" w:rsidRDefault="004E5A0C">
      <w:pPr>
        <w:pStyle w:val="1"/>
        <w:jc w:val="center"/>
        <w:rPr>
          <w:rFonts w:ascii="Arial" w:hAnsi="Arial" w:cs="Arial"/>
          <w:bCs/>
          <w:sz w:val="30"/>
          <w:szCs w:val="30"/>
        </w:rPr>
      </w:pPr>
      <w:bookmarkStart w:id="180" w:name="_Toc462063871"/>
      <w:bookmarkStart w:id="181" w:name="_Toc523229265"/>
      <w:bookmarkStart w:id="182" w:name="_Toc523229703"/>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6"/>
      <w:bookmarkEnd w:id="157"/>
      <w:bookmarkEnd w:id="158"/>
      <w:bookmarkEnd w:id="159"/>
      <w:bookmarkEnd w:id="160"/>
      <w:bookmarkEnd w:id="161"/>
      <w:bookmarkEnd w:id="180"/>
      <w:bookmarkEnd w:id="181"/>
      <w:bookmarkEnd w:id="182"/>
    </w:p>
    <w:p w:rsidR="00B85C18" w:rsidRDefault="004E5A0C">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rsidR="00B85C18" w:rsidRDefault="004E5A0C">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予以公告。基金投资者应当在销售机构办理基金销售业务的营业场所或按销售机构提供的其他方式办理基金份额的申购与赎回。</w:t>
      </w:r>
    </w:p>
    <w:p w:rsidR="00B85C18" w:rsidRDefault="004E5A0C">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rsidR="00B85C18" w:rsidRDefault="004E5A0C">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bookmarkEnd w:id="183"/>
    <w:p w:rsidR="00547ECB" w:rsidRPr="00D73D18" w:rsidRDefault="00547ECB" w:rsidP="00547ECB">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p w:rsidR="00B85C18" w:rsidRDefault="004E5A0C">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B85C18" w:rsidRDefault="004E5A0C">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rsidR="00B85C18" w:rsidRDefault="004E5A0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rsidR="00B85C18" w:rsidRDefault="004E5A0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rsidR="00B85C18" w:rsidRDefault="004E5A0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rsidR="00B85C18" w:rsidRDefault="004E5A0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B85C18" w:rsidRDefault="004E5A0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rsidR="00B85C18" w:rsidRDefault="004E5A0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rsidR="00B85C18" w:rsidRDefault="004E5A0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B85C18" w:rsidRDefault="004E5A0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B85C18" w:rsidRDefault="004E5A0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rsidR="00B85C18" w:rsidRDefault="004E5A0C">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w:t>
      </w:r>
      <w:r>
        <w:rPr>
          <w:rFonts w:asciiTheme="minorEastAsia" w:hAnsiTheme="minorEastAsia" w:cs="Arial" w:hint="eastAsia"/>
          <w:sz w:val="24"/>
          <w:szCs w:val="24"/>
        </w:rPr>
        <w:lastRenderedPageBreak/>
        <w:t xml:space="preserve">笔最低申购金额为人民币 </w:t>
      </w:r>
      <w:r>
        <w:rPr>
          <w:rFonts w:asciiTheme="minorEastAsia" w:hAnsiTheme="minorEastAsia" w:cs="Arial" w:hint="eastAsia"/>
          <w:kern w:val="0"/>
          <w:sz w:val="24"/>
          <w:szCs w:val="24"/>
        </w:rPr>
        <w:t>5,000,000</w:t>
      </w:r>
      <w:r>
        <w:rPr>
          <w:rFonts w:asciiTheme="minorEastAsia" w:hAnsiTheme="minorEastAsia" w:cs="Arial" w:hint="eastAsia"/>
          <w:sz w:val="24"/>
          <w:szCs w:val="24"/>
        </w:rPr>
        <w:t xml:space="preserve">元，追加申购单笔最低金额为人民币 </w:t>
      </w:r>
      <w:r>
        <w:rPr>
          <w:rFonts w:asciiTheme="minorEastAsia" w:hAnsiTheme="minorEastAsia" w:cs="Arial" w:hint="eastAsia"/>
          <w:kern w:val="0"/>
          <w:sz w:val="24"/>
          <w:szCs w:val="24"/>
        </w:rPr>
        <w:t>1,000</w:t>
      </w:r>
      <w:r>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rsidR="00B85C18" w:rsidRDefault="004E5A0C">
      <w:pPr>
        <w:spacing w:line="360" w:lineRule="auto"/>
        <w:ind w:firstLineChars="200" w:firstLine="480"/>
        <w:rPr>
          <w:bCs/>
          <w:sz w:val="24"/>
          <w:szCs w:val="24"/>
        </w:rPr>
      </w:pPr>
      <w:r>
        <w:rPr>
          <w:rFonts w:asciiTheme="minorEastAsia" w:hAnsiTheme="minorEastAsia" w:cs="Arial" w:hint="eastAsia"/>
          <w:sz w:val="24"/>
          <w:szCs w:val="24"/>
        </w:rPr>
        <w:t>3、基金管理人可以规定单个投资者累计持有的某一类别基金份额数量限制，具</w:t>
      </w:r>
    </w:p>
    <w:p w:rsidR="00B85C18" w:rsidRDefault="004E5A0C">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B85C18" w:rsidRDefault="004E5A0C">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B85C18" w:rsidRDefault="004E5A0C">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rsidR="00B85C18" w:rsidRDefault="004E5A0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rsidR="00B85C18" w:rsidRDefault="004E5A0C">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rsidR="00B85C18" w:rsidRDefault="00B85C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B85C18">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rsidR="00B85C18" w:rsidRDefault="004E5A0C">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B85C18">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B85C18">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B85C18">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B85C18">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B85C18">
        <w:trPr>
          <w:trHeight w:val="190"/>
          <w:jc w:val="center"/>
        </w:trPr>
        <w:tc>
          <w:tcPr>
            <w:tcW w:w="4092"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B85C18">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B85C18" w:rsidRDefault="004E5A0C">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B85C18">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B85C18" w:rsidRDefault="004E5A0C">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rsidR="00B85C18" w:rsidRDefault="00B85C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B85C18" w:rsidRDefault="004E5A0C">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本基金的申购费用由申购基金份额的投资人承担，不列入基金资产，用于基金的市场推广、销售、登记等各项费用。</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B85C18">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B85C18" w:rsidRDefault="004E5A0C">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rsidR="00B85C18" w:rsidRDefault="004E5A0C">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rsidR="00B85C18" w:rsidRDefault="004E5A0C">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B85C18">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rsidR="00B85C18" w:rsidRDefault="004E5A0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B85C18">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rsidR="00B85C18" w:rsidRDefault="004E5A0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B85C18">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rsidR="00B85C18" w:rsidRDefault="004E5A0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B85C18">
        <w:trPr>
          <w:trHeight w:val="113"/>
          <w:jc w:val="center"/>
        </w:trPr>
        <w:tc>
          <w:tcPr>
            <w:tcW w:w="4043"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rsidR="00B85C18" w:rsidRDefault="004E5A0C">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rsidR="00B85C18" w:rsidRDefault="004E5A0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rsidR="00B85C18" w:rsidRDefault="004E5A0C">
      <w:pPr>
        <w:adjustRightInd w:val="0"/>
        <w:snapToGrid w:val="0"/>
        <w:spacing w:line="360" w:lineRule="auto"/>
        <w:rPr>
          <w:rFonts w:asciiTheme="minorEastAsia" w:hAnsiTheme="minorEastAsia" w:cs="Arial"/>
          <w:szCs w:val="21"/>
        </w:rPr>
      </w:pPr>
      <w:r>
        <w:rPr>
          <w:rFonts w:asciiTheme="minorEastAsia" w:hAnsiTheme="minorEastAsia" w:cs="Arial" w:hint="eastAsia"/>
          <w:szCs w:val="21"/>
        </w:rPr>
        <w:t>（注：一月为</w:t>
      </w:r>
      <w:r>
        <w:rPr>
          <w:rFonts w:asciiTheme="minorEastAsia" w:hAnsiTheme="minorEastAsia" w:cs="Arial"/>
          <w:szCs w:val="21"/>
        </w:rPr>
        <w:t>3</w:t>
      </w:r>
      <w:r>
        <w:rPr>
          <w:rFonts w:asciiTheme="minorEastAsia" w:hAnsiTheme="minorEastAsia" w:cs="Arial" w:hint="eastAsia"/>
          <w:szCs w:val="21"/>
        </w:rPr>
        <w:t>0日）</w:t>
      </w:r>
    </w:p>
    <w:p w:rsidR="00B85C18" w:rsidRDefault="00B85C18">
      <w:pPr>
        <w:adjustRightInd w:val="0"/>
        <w:snapToGrid w:val="0"/>
        <w:spacing w:line="360" w:lineRule="auto"/>
        <w:rPr>
          <w:rFonts w:asciiTheme="minorEastAsia" w:hAnsiTheme="minorEastAsia" w:cs="Arial"/>
          <w:szCs w:val="21"/>
        </w:rPr>
      </w:pP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B85C18" w:rsidRDefault="004E5A0C">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B85C18" w:rsidRDefault="004E5A0C">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申购费用=申购金额－净申购金额</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上述计算结果均按四舍五入方法，保留到小数点后2位，由此产生的收益或损失由基金财产承担。</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rsidR="00B85C18" w:rsidRDefault="004E5A0C">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w:t>
      </w:r>
      <w:r>
        <w:rPr>
          <w:rFonts w:asciiTheme="minorEastAsia" w:hAnsiTheme="minorEastAsia" w:cs="Times New Roman" w:hint="eastAsia"/>
          <w:sz w:val="24"/>
          <w:szCs w:val="24"/>
        </w:rPr>
        <w:lastRenderedPageBreak/>
        <w:t>者办理扣除权益的登记手续。</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rsidR="00B85C18" w:rsidRDefault="004E5A0C">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rsidR="00B85C18" w:rsidRDefault="004E5A0C">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B85C18" w:rsidRDefault="004E5A0C">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rsidR="00B85C18" w:rsidRDefault="004E5A0C">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B85C18" w:rsidRDefault="004E5A0C">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rsidR="00B85C18" w:rsidRDefault="004E5A0C">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B85C18" w:rsidRDefault="004E5A0C">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w:t>
      </w:r>
      <w:r>
        <w:rPr>
          <w:rFonts w:asciiTheme="minorEastAsia" w:hAnsiTheme="minorEastAsia" w:cs="Arial" w:hint="eastAsia"/>
          <w:sz w:val="24"/>
          <w:szCs w:val="24"/>
        </w:rPr>
        <w:lastRenderedPageBreak/>
        <w:t>款项：</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20976"/>
      <w:bookmarkStart w:id="186" w:name="_Toc98560356"/>
      <w:bookmarkStart w:id="187" w:name="_Toc352229756"/>
      <w:bookmarkStart w:id="188" w:name="_Toc32584"/>
      <w:bookmarkStart w:id="189" w:name="_Toc5170"/>
      <w:bookmarkStart w:id="190" w:name="_Toc8791"/>
      <w:bookmarkStart w:id="191" w:name="_Toc3329"/>
      <w:bookmarkStart w:id="192" w:name="_Toc123112238"/>
      <w:bookmarkStart w:id="193" w:name="_Toc141703890"/>
      <w:bookmarkStart w:id="194" w:name="_Toc17920"/>
      <w:bookmarkStart w:id="195" w:name="_Toc139991740"/>
      <w:bookmarkStart w:id="196" w:name="_Toc123102457"/>
      <w:bookmarkStart w:id="197" w:name="_Toc739"/>
      <w:bookmarkStart w:id="198" w:name="_Toc123051456"/>
      <w:bookmarkStart w:id="199" w:name="_Toc17198"/>
      <w:bookmarkStart w:id="200" w:name="_Toc32092"/>
      <w:bookmarkStart w:id="201" w:name="_Toc29408"/>
      <w:bookmarkStart w:id="202" w:name="_Toc21237"/>
      <w:bookmarkStart w:id="203" w:name="_Toc48649708"/>
      <w:bookmarkStart w:id="204" w:name="_Toc79392622"/>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p>
    <w:p w:rsidR="00B85C18" w:rsidRDefault="004E5A0C">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rsidR="00B85C18" w:rsidRDefault="004E5A0C">
      <w:pPr>
        <w:spacing w:line="360" w:lineRule="auto"/>
        <w:ind w:firstLineChars="200" w:firstLine="480"/>
        <w:rPr>
          <w:bCs/>
          <w:sz w:val="24"/>
          <w:szCs w:val="24"/>
        </w:rPr>
      </w:pPr>
      <w:r>
        <w:rPr>
          <w:bCs/>
          <w:sz w:val="24"/>
          <w:szCs w:val="24"/>
        </w:rPr>
        <w:lastRenderedPageBreak/>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rsidR="00B85C18" w:rsidRDefault="004E5A0C">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1、发生上述暂停申购或赎回情况的，基金管理人当日应立即向中国证监会备案，并在规定期限内在指定媒介上刊登暂停公告。</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rsidR="00B85C18" w:rsidRDefault="004E5A0C">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十三、基金转换</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rsidR="00B85C18" w:rsidRDefault="004E5A0C">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B85C18" w:rsidRDefault="004E5A0C">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B85C18" w:rsidRDefault="004E5A0C">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B85C18" w:rsidRDefault="004E5A0C">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B85C18" w:rsidRDefault="004E5A0C">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十八、基金份额的冻结、解冻与质押</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B85C18" w:rsidRDefault="004E5A0C">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B85C18" w:rsidRDefault="004E5A0C">
      <w:pPr>
        <w:widowControl/>
        <w:jc w:val="left"/>
        <w:rPr>
          <w:rFonts w:asciiTheme="minorEastAsia" w:hAnsiTheme="minorEastAsia" w:cs="Arial"/>
          <w:sz w:val="24"/>
          <w:szCs w:val="24"/>
        </w:rPr>
      </w:pPr>
      <w:r>
        <w:rPr>
          <w:rFonts w:asciiTheme="minorEastAsia" w:hAnsiTheme="minorEastAsia" w:cs="Arial"/>
          <w:sz w:val="24"/>
          <w:szCs w:val="24"/>
        </w:rPr>
        <w:br w:type="page"/>
      </w:r>
    </w:p>
    <w:p w:rsidR="00B85C18" w:rsidRDefault="004E5A0C">
      <w:pPr>
        <w:pStyle w:val="1"/>
        <w:jc w:val="center"/>
        <w:rPr>
          <w:sz w:val="30"/>
          <w:szCs w:val="30"/>
        </w:rPr>
      </w:pPr>
      <w:bookmarkStart w:id="205" w:name="_Toc462063872"/>
      <w:bookmarkStart w:id="206" w:name="_Toc523229704"/>
      <w:bookmarkStart w:id="207" w:name="_Toc523229266"/>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bookmarkEnd w:id="206"/>
      <w:bookmarkEnd w:id="207"/>
    </w:p>
    <w:p w:rsidR="00B85C18" w:rsidRDefault="004E5A0C">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rsidR="00B85C18" w:rsidRDefault="004E5A0C">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B85C18" w:rsidRDefault="004E5A0C">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rsidR="00B85C18" w:rsidRDefault="004E5A0C">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B85C18" w:rsidRDefault="004E5A0C">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rsidR="00B85C18" w:rsidRDefault="004E5A0C">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B85C18" w:rsidRDefault="004E5A0C">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rsidR="00B85C18" w:rsidRDefault="004E5A0C">
      <w:pPr>
        <w:autoSpaceDE w:val="0"/>
        <w:autoSpaceDN w:val="0"/>
        <w:spacing w:line="360" w:lineRule="auto"/>
        <w:ind w:firstLineChars="200" w:firstLine="480"/>
        <w:textAlignment w:val="bottom"/>
        <w:rPr>
          <w:bCs/>
          <w:sz w:val="24"/>
        </w:rPr>
      </w:pPr>
      <w:r>
        <w:rPr>
          <w:rFonts w:hint="eastAsia"/>
          <w:bCs/>
          <w:sz w:val="24"/>
        </w:rPr>
        <w:t>（一）资产配置策略</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本基金将通过跟踪考量通常的宏观经济变量（包括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rsidR="00B85C18" w:rsidRDefault="004E5A0C">
      <w:pPr>
        <w:autoSpaceDE w:val="0"/>
        <w:autoSpaceDN w:val="0"/>
        <w:spacing w:line="360" w:lineRule="auto"/>
        <w:ind w:firstLineChars="200" w:firstLine="480"/>
        <w:textAlignment w:val="bottom"/>
        <w:rPr>
          <w:bCs/>
          <w:sz w:val="24"/>
        </w:rPr>
      </w:pPr>
      <w:r>
        <w:rPr>
          <w:rFonts w:hint="eastAsia"/>
          <w:bCs/>
          <w:sz w:val="24"/>
        </w:rPr>
        <w:t>（二）债券投资策略</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w:t>
      </w:r>
      <w:r>
        <w:rPr>
          <w:rFonts w:hint="eastAsia"/>
          <w:bCs/>
          <w:sz w:val="24"/>
        </w:rPr>
        <w:lastRenderedPageBreak/>
        <w:t>个券选择策略、信用策略、中小企业私募债投资策略、可转债投资策略等积极投资策略，灵活地调整组合的券种搭配，精选个券，力争实现投资组合的保值增值。</w:t>
      </w:r>
    </w:p>
    <w:p w:rsidR="00B85C18" w:rsidRDefault="004E5A0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、久期策略</w:t>
      </w:r>
    </w:p>
    <w:p w:rsidR="00B85C18" w:rsidRDefault="004E5A0C">
      <w:pPr>
        <w:autoSpaceDE w:val="0"/>
        <w:autoSpaceDN w:val="0"/>
        <w:spacing w:line="360" w:lineRule="auto"/>
        <w:ind w:firstLineChars="200" w:firstLine="480"/>
        <w:textAlignment w:val="bottom"/>
        <w:rPr>
          <w:bCs/>
          <w:sz w:val="24"/>
        </w:rPr>
      </w:pPr>
      <w:r>
        <w:rPr>
          <w:rFonts w:hint="eastAsia"/>
          <w:bCs/>
          <w:sz w:val="24"/>
        </w:rPr>
        <w:t>久期管理是债券投资的重要考量因素，本基金将采用以“目标久期”为中心、</w:t>
      </w:r>
      <w:r>
        <w:rPr>
          <w:rFonts w:hint="eastAsia"/>
          <w:bCs/>
          <w:sz w:val="24"/>
        </w:rPr>
        <w:t xml:space="preserve"> </w:t>
      </w:r>
      <w:r>
        <w:rPr>
          <w:rFonts w:hint="eastAsia"/>
          <w:bCs/>
          <w:sz w:val="24"/>
        </w:rPr>
        <w:t>自上而下的组合久期管理策略。</w:t>
      </w:r>
    </w:p>
    <w:p w:rsidR="00B85C18" w:rsidRDefault="004E5A0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rsidR="00B85C18" w:rsidRDefault="004E5A0C">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rsidR="00B85C18" w:rsidRDefault="004E5A0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rsidR="00B85C18" w:rsidRDefault="004E5A0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本基金将采用息差策略，以达到更好地利用杠杆放大债券投资的收益的目的。</w:t>
      </w:r>
    </w:p>
    <w:p w:rsidR="00B85C18" w:rsidRDefault="004E5A0C">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、个券选择策略</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rsidR="00B85C18" w:rsidRDefault="004E5A0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rsidR="00B85C18" w:rsidRDefault="004E5A0C">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rsidR="00B85C18" w:rsidRDefault="004E5A0C">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rsidR="00B85C18" w:rsidRDefault="004E5A0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B85C18" w:rsidRDefault="004E5A0C">
      <w:pPr>
        <w:autoSpaceDE w:val="0"/>
        <w:autoSpaceDN w:val="0"/>
        <w:spacing w:line="360" w:lineRule="auto"/>
        <w:ind w:firstLineChars="200" w:firstLine="480"/>
        <w:textAlignment w:val="bottom"/>
        <w:rPr>
          <w:bCs/>
          <w:sz w:val="24"/>
        </w:rPr>
      </w:pPr>
      <w:r>
        <w:rPr>
          <w:rFonts w:hint="eastAsia"/>
          <w:bCs/>
          <w:sz w:val="24"/>
        </w:rPr>
        <w:lastRenderedPageBreak/>
        <w:t>可转债兼具权益类证券与固定收益类证券的特性，本基金一方面将对发债主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rsidR="00B85C18" w:rsidRDefault="004E5A0C">
      <w:pPr>
        <w:autoSpaceDE w:val="0"/>
        <w:autoSpaceDN w:val="0"/>
        <w:spacing w:line="360" w:lineRule="auto"/>
        <w:ind w:firstLineChars="200" w:firstLine="480"/>
        <w:textAlignment w:val="bottom"/>
        <w:rPr>
          <w:bCs/>
          <w:sz w:val="24"/>
        </w:rPr>
      </w:pPr>
      <w:r>
        <w:rPr>
          <w:rFonts w:hint="eastAsia"/>
          <w:bCs/>
          <w:sz w:val="24"/>
        </w:rPr>
        <w:t>（三）股票投资策略</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rsidR="00B85C18" w:rsidRDefault="004E5A0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rsidR="00B85C18" w:rsidRDefault="004E5A0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rsidR="00B85C18" w:rsidRDefault="004E5A0C">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B85C18" w:rsidRDefault="004E5A0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、综合研判</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w:t>
      </w:r>
      <w:r>
        <w:rPr>
          <w:rFonts w:hint="eastAsia"/>
          <w:bCs/>
          <w:sz w:val="24"/>
        </w:rPr>
        <w:lastRenderedPageBreak/>
        <w:t>值增值。通过对估值方法的选择和估值倍数的比较，选择股价相对低估的股票。就估值方法而言，基于行业的特点确定对股价最有影响力的关键估值方法（包括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rsidR="00B85C18" w:rsidRDefault="004E5A0C">
      <w:pPr>
        <w:autoSpaceDE w:val="0"/>
        <w:autoSpaceDN w:val="0"/>
        <w:spacing w:line="360" w:lineRule="auto"/>
        <w:ind w:firstLineChars="200" w:firstLine="480"/>
        <w:textAlignment w:val="bottom"/>
        <w:rPr>
          <w:bCs/>
          <w:sz w:val="24"/>
        </w:rPr>
      </w:pPr>
      <w:bookmarkStart w:id="208" w:name="_Toc386095938"/>
      <w:r>
        <w:rPr>
          <w:rFonts w:hint="eastAsia"/>
          <w:bCs/>
          <w:sz w:val="24"/>
        </w:rPr>
        <w:t>（四）金融衍生品投资策略</w:t>
      </w:r>
      <w:bookmarkEnd w:id="208"/>
    </w:p>
    <w:p w:rsidR="00B85C18" w:rsidRDefault="004E5A0C">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rsidR="00B85C18" w:rsidRDefault="004E5A0C">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rsidR="00B85C18" w:rsidRDefault="004E5A0C">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rsidR="00B85C18" w:rsidRDefault="004E5A0C">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rsidR="00B85C18" w:rsidRDefault="004E5A0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B85C18" w:rsidRDefault="004E5A0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rsidR="00B85C18" w:rsidRDefault="004E5A0C">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B85C18" w:rsidRDefault="004E5A0C">
      <w:pPr>
        <w:autoSpaceDE w:val="0"/>
        <w:autoSpaceDN w:val="0"/>
        <w:spacing w:line="360" w:lineRule="auto"/>
        <w:ind w:firstLineChars="200" w:firstLine="480"/>
        <w:textAlignment w:val="bottom"/>
        <w:rPr>
          <w:bCs/>
          <w:sz w:val="24"/>
        </w:rPr>
      </w:pPr>
      <w:r>
        <w:rPr>
          <w:rFonts w:hint="eastAsia"/>
          <w:bCs/>
          <w:sz w:val="24"/>
        </w:rPr>
        <w:t>（五）资产支持证券投资策略</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w:t>
      </w:r>
      <w:r>
        <w:rPr>
          <w:rFonts w:hint="eastAsia"/>
          <w:bCs/>
          <w:sz w:val="24"/>
        </w:rPr>
        <w:lastRenderedPageBreak/>
        <w:t>获得稳定收益。</w:t>
      </w:r>
    </w:p>
    <w:p w:rsidR="00B85C18" w:rsidRDefault="004E5A0C">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rsidR="00B85C18" w:rsidRDefault="004E5A0C">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、组合限制</w:t>
      </w:r>
    </w:p>
    <w:p w:rsidR="00B85C18" w:rsidRDefault="004E5A0C">
      <w:pPr>
        <w:autoSpaceDE w:val="0"/>
        <w:autoSpaceDN w:val="0"/>
        <w:spacing w:line="360" w:lineRule="auto"/>
        <w:ind w:firstLineChars="200" w:firstLine="480"/>
        <w:textAlignment w:val="bottom"/>
        <w:rPr>
          <w:bCs/>
          <w:sz w:val="24"/>
        </w:rPr>
      </w:pPr>
      <w:r>
        <w:rPr>
          <w:rFonts w:hint="eastAsia"/>
          <w:bCs/>
          <w:sz w:val="24"/>
        </w:rPr>
        <w:t>基金的投资组合应遵循以下限制：</w:t>
      </w:r>
    </w:p>
    <w:p w:rsidR="00B85C18" w:rsidRDefault="004E5A0C">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0%</w:t>
      </w:r>
      <w:r>
        <w:rPr>
          <w:rFonts w:hint="eastAsia"/>
          <w:bCs/>
          <w:sz w:val="24"/>
        </w:rPr>
        <w:t>–</w:t>
      </w:r>
      <w:r>
        <w:rPr>
          <w:rFonts w:hint="eastAsia"/>
          <w:bCs/>
          <w:sz w:val="24"/>
        </w:rPr>
        <w:t>95%</w:t>
      </w:r>
      <w:r>
        <w:rPr>
          <w:rFonts w:hint="eastAsia"/>
          <w:bCs/>
          <w:sz w:val="24"/>
        </w:rPr>
        <w:t>；</w:t>
      </w:r>
    </w:p>
    <w:p w:rsidR="00B85C18" w:rsidRDefault="004E5A0C">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B85C18" w:rsidRDefault="004E5A0C">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B85C18" w:rsidRDefault="004E5A0C">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B85C18" w:rsidRDefault="004E5A0C">
      <w:pPr>
        <w:spacing w:line="360" w:lineRule="auto"/>
        <w:ind w:firstLineChars="200" w:firstLine="480"/>
        <w:rPr>
          <w:bCs/>
          <w:sz w:val="24"/>
        </w:rPr>
      </w:pPr>
      <w:r>
        <w:rPr>
          <w:bCs/>
          <w:sz w:val="24"/>
        </w:rPr>
        <w:lastRenderedPageBreak/>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B85C18" w:rsidRDefault="004E5A0C">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B85C18" w:rsidRDefault="004E5A0C">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B85C18" w:rsidRDefault="004E5A0C">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rsidR="00B85C18" w:rsidRDefault="004E5A0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B85C18" w:rsidRDefault="004E5A0C">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rsidR="00B85C18" w:rsidRDefault="004E5A0C">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B85C18" w:rsidRDefault="004E5A0C">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B85C18" w:rsidRDefault="004E5A0C">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B85C18" w:rsidRDefault="004E5A0C">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B85C18" w:rsidRDefault="004E5A0C">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B85C18" w:rsidRDefault="004E5A0C">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B85C18" w:rsidRDefault="004E5A0C">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B85C18" w:rsidRDefault="004E5A0C">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B85C18" w:rsidRDefault="004E5A0C">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w:t>
      </w:r>
      <w:r>
        <w:rPr>
          <w:rFonts w:hint="eastAsia"/>
          <w:sz w:val="24"/>
        </w:rPr>
        <w:lastRenderedPageBreak/>
        <w:t>净值的</w:t>
      </w:r>
      <w:r>
        <w:rPr>
          <w:rFonts w:hint="eastAsia"/>
          <w:sz w:val="24"/>
        </w:rPr>
        <w:t>10%</w:t>
      </w:r>
      <w:r>
        <w:rPr>
          <w:rFonts w:hint="eastAsia"/>
          <w:sz w:val="24"/>
        </w:rPr>
        <w:t>；</w:t>
      </w:r>
    </w:p>
    <w:p w:rsidR="00B85C18" w:rsidRDefault="004E5A0C">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rsidR="00B85C18" w:rsidRDefault="004E5A0C">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B85C18" w:rsidRDefault="004E5A0C">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rsidR="00B85C18" w:rsidRDefault="004E5A0C">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rsidR="00B85C18" w:rsidRDefault="004E5A0C">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B85C18" w:rsidRDefault="004E5A0C">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rsidR="00B85C18" w:rsidRDefault="004E5A0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B85C18" w:rsidRDefault="004E5A0C">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B85C18" w:rsidRDefault="004E5A0C">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B85C18" w:rsidRDefault="004E5A0C">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rsidR="00B85C18" w:rsidRDefault="004E5A0C">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、禁止行为</w:t>
      </w:r>
    </w:p>
    <w:p w:rsidR="00B85C18" w:rsidRDefault="004E5A0C">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rsidR="00B85C18" w:rsidRDefault="004E5A0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rsidR="00B85C18" w:rsidRDefault="004E5A0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rsidR="00B85C18" w:rsidRDefault="004E5A0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rsidR="00B85C18" w:rsidRDefault="004E5A0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rsidR="00B85C18" w:rsidRDefault="004E5A0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rsidR="00B85C18" w:rsidRDefault="004E5A0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rsidR="00B85C18" w:rsidRDefault="004E5A0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rsidR="00B85C18" w:rsidRDefault="004E5A0C">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B85C18" w:rsidRDefault="004E5A0C">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rsidR="00B85C18" w:rsidRDefault="004E5A0C">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本基金的业绩比较基准为：中证全债指数收益率×</w:t>
      </w:r>
      <w:r>
        <w:rPr>
          <w:rFonts w:hint="eastAsia"/>
          <w:bCs/>
          <w:sz w:val="24"/>
        </w:rPr>
        <w:t>70%+</w:t>
      </w:r>
      <w:r>
        <w:rPr>
          <w:rFonts w:hint="eastAsia"/>
          <w:bCs/>
          <w:sz w:val="24"/>
        </w:rPr>
        <w:t>沪深</w:t>
      </w:r>
      <w:r>
        <w:rPr>
          <w:rFonts w:hint="eastAsia"/>
          <w:bCs/>
          <w:sz w:val="24"/>
        </w:rPr>
        <w:t>300</w:t>
      </w:r>
      <w:r>
        <w:rPr>
          <w:rFonts w:hint="eastAsia"/>
          <w:bCs/>
          <w:sz w:val="24"/>
        </w:rPr>
        <w:t>指数收益率×</w:t>
      </w:r>
      <w:r>
        <w:rPr>
          <w:rFonts w:hint="eastAsia"/>
          <w:bCs/>
          <w:sz w:val="24"/>
        </w:rPr>
        <w:t>30%</w:t>
      </w:r>
    </w:p>
    <w:p w:rsidR="00B85C18" w:rsidRDefault="004E5A0C">
      <w:pPr>
        <w:autoSpaceDE w:val="0"/>
        <w:autoSpaceDN w:val="0"/>
        <w:spacing w:line="360" w:lineRule="auto"/>
        <w:ind w:firstLineChars="200" w:firstLine="480"/>
        <w:textAlignment w:val="bottom"/>
        <w:rPr>
          <w:bCs/>
          <w:sz w:val="24"/>
        </w:rPr>
      </w:pPr>
      <w:r>
        <w:rPr>
          <w:rFonts w:hint="eastAsia"/>
          <w:bCs/>
          <w:sz w:val="24"/>
        </w:rPr>
        <w:t>中证全债指数的选样债券的信用类别覆盖全面，期限构成宽泛，适于做基金债券资产的业绩比较基准。沪深</w:t>
      </w:r>
      <w:r>
        <w:rPr>
          <w:rFonts w:hint="eastAsia"/>
          <w:bCs/>
          <w:sz w:val="24"/>
        </w:rPr>
        <w:t xml:space="preserve"> 300 </w:t>
      </w:r>
      <w:r>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B85C18" w:rsidRDefault="004E5A0C">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w:t>
      </w:r>
      <w:r>
        <w:rPr>
          <w:rFonts w:hint="eastAsia"/>
          <w:bCs/>
          <w:sz w:val="24"/>
        </w:rPr>
        <w:lastRenderedPageBreak/>
        <w:t>及时公告，而无需召开基金份额持有人大会。</w:t>
      </w:r>
    </w:p>
    <w:p w:rsidR="00B85C18" w:rsidRDefault="004E5A0C">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本基金属于混合型基金，其预期风险和预期收益高于货币市场基金、债券基金，低于股票型基金，属于证券投资基金中中高风险、中高预期收益的品种。</w:t>
      </w:r>
    </w:p>
    <w:p w:rsidR="00B85C18" w:rsidRDefault="004E5A0C">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rsidR="00B85C18" w:rsidRDefault="004E5A0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rsidR="00B85C18" w:rsidRDefault="004E5A0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rsidR="00B85C18" w:rsidRDefault="004E5A0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rsidR="00B85C18" w:rsidRDefault="004E5A0C">
      <w:pPr>
        <w:spacing w:line="360" w:lineRule="auto"/>
        <w:ind w:firstLineChars="200" w:firstLine="480"/>
        <w:rPr>
          <w:bCs/>
          <w:sz w:val="24"/>
        </w:rPr>
      </w:pPr>
      <w:r>
        <w:rPr>
          <w:rFonts w:hint="eastAsia"/>
          <w:bCs/>
          <w:sz w:val="24"/>
        </w:rPr>
        <w:t>4</w:t>
      </w:r>
      <w:r>
        <w:rPr>
          <w:rFonts w:hint="eastAsia"/>
          <w:bCs/>
          <w:sz w:val="24"/>
        </w:rPr>
        <w:t>、不通过关联交易为自身、雇员、授权代理人或任何存在利害关系的第三人牟取任何不当利益。</w:t>
      </w:r>
    </w:p>
    <w:p w:rsidR="00B85C18" w:rsidRDefault="004E5A0C">
      <w:pPr>
        <w:spacing w:line="360" w:lineRule="auto"/>
        <w:ind w:firstLineChars="200" w:firstLine="480"/>
        <w:rPr>
          <w:rFonts w:ascii="宋体" w:eastAsia="宋体" w:hAnsi="宋体" w:cs="Arial"/>
          <w:bCs/>
          <w:sz w:val="24"/>
          <w:szCs w:val="24"/>
        </w:rPr>
      </w:pPr>
      <w:r>
        <w:rPr>
          <w:rFonts w:ascii="宋体" w:eastAsia="宋体" w:hAnsi="宋体" w:cs="Arial" w:hint="eastAsia"/>
          <w:bCs/>
          <w:sz w:val="24"/>
          <w:szCs w:val="24"/>
        </w:rPr>
        <w:t>八、基金投资组合报告</w:t>
      </w:r>
    </w:p>
    <w:p w:rsidR="00B85C18" w:rsidRDefault="004E5A0C">
      <w:pPr>
        <w:pStyle w:val="biaogeleft"/>
        <w:wordWrap w:val="0"/>
        <w:ind w:firstLine="480"/>
      </w:pPr>
      <w:r>
        <w:rPr>
          <w:rFonts w:hint="eastAsia"/>
        </w:rPr>
        <w:t>基金管理人的董事会及董事保证本报告所载资料不存在虚假记载、误导性陈述或重大遗漏，并对其内容的真实性、准确性和完整性承担个别及连带责任。</w:t>
      </w:r>
    </w:p>
    <w:p w:rsidR="00B85C18" w:rsidRDefault="004E5A0C">
      <w:pPr>
        <w:pStyle w:val="biaogeleft"/>
        <w:wordWrap w:val="0"/>
        <w:ind w:firstLine="480"/>
      </w:pPr>
      <w:r>
        <w:rPr>
          <w:rFonts w:hint="eastAsia"/>
        </w:rPr>
        <w:t>基金托管人招商银行股份有限公司根据本基金合同规定，于2018年</w:t>
      </w:r>
      <w:r>
        <w:t>7</w:t>
      </w:r>
      <w:r>
        <w:rPr>
          <w:rFonts w:hint="eastAsia"/>
        </w:rPr>
        <w:t>月</w:t>
      </w:r>
      <w:r>
        <w:t>19</w:t>
      </w:r>
      <w:r>
        <w:rPr>
          <w:rFonts w:hint="eastAsia"/>
        </w:rPr>
        <w:t>日复核了本报告中的财务指标、净值表现和投资组合报告等内容，保证复核内容不存在虚假记载、误导性陈述或者重大遗漏。</w:t>
      </w:r>
    </w:p>
    <w:p w:rsidR="00B85C18" w:rsidRDefault="004E5A0C">
      <w:pPr>
        <w:spacing w:line="360" w:lineRule="auto"/>
        <w:ind w:firstLineChars="200" w:firstLine="480"/>
        <w:rPr>
          <w:rFonts w:ascii="宋体" w:eastAsia="宋体" w:hAnsi="宋体" w:cs="Arial"/>
          <w:bCs/>
          <w:sz w:val="24"/>
          <w:szCs w:val="24"/>
        </w:rPr>
      </w:pPr>
      <w:r>
        <w:rPr>
          <w:rFonts w:ascii="宋体" w:eastAsia="宋体" w:hAnsi="宋体" w:cs="Arial" w:hint="eastAsia"/>
          <w:bCs/>
          <w:sz w:val="24"/>
          <w:szCs w:val="24"/>
        </w:rPr>
        <w:t>本投资组合报告所载数据截至2018年6月30日，本报告中所列财务数据未经审计。</w:t>
      </w:r>
    </w:p>
    <w:p w:rsidR="00B85C18" w:rsidRDefault="004E5A0C">
      <w:pPr>
        <w:spacing w:line="360" w:lineRule="auto"/>
        <w:rPr>
          <w:rFonts w:cs="Arial"/>
          <w:bCs/>
        </w:rPr>
      </w:pPr>
      <w:r>
        <w:rPr>
          <w:rFonts w:ascii="宋体" w:eastAsia="宋体" w:hAnsi="宋体" w:cs="Arial"/>
          <w:bCs/>
          <w:sz w:val="24"/>
          <w:szCs w:val="24"/>
        </w:rPr>
        <w:t xml:space="preserve">1、 </w:t>
      </w:r>
      <w:r>
        <w:rPr>
          <w:rFonts w:ascii="宋体" w:eastAsia="宋体" w:hAnsi="宋体" w:cs="Arial" w:hint="eastAsia"/>
          <w:bCs/>
          <w:sz w:val="24"/>
          <w:szCs w:val="24"/>
        </w:rPr>
        <w:t>报告期末基金资产组合情况</w:t>
      </w:r>
    </w:p>
    <w:tbl>
      <w:tblPr>
        <w:tblW w:w="8414" w:type="dxa"/>
        <w:tblInd w:w="108" w:type="dxa"/>
        <w:tblLayout w:type="fixed"/>
        <w:tblLook w:val="04A0" w:firstRow="1" w:lastRow="0" w:firstColumn="1" w:lastColumn="0" w:noHBand="0" w:noVBand="1"/>
      </w:tblPr>
      <w:tblGrid>
        <w:gridCol w:w="762"/>
        <w:gridCol w:w="2906"/>
        <w:gridCol w:w="2252"/>
        <w:gridCol w:w="2494"/>
      </w:tblGrid>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项目</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占基金总资产的比例（%）</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权益投资</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5,564,943.00</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10.19</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B85C18">
            <w:pPr>
              <w:rPr>
                <w:rFonts w:ascii="宋体" w:eastAsia="宋体" w:hAnsi="宋体" w:cs="宋体"/>
                <w:kern w:val="0"/>
                <w:sz w:val="24"/>
                <w:szCs w:val="24"/>
              </w:rPr>
            </w:pP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其中：股票</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5,564,943.00</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10.19</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2</w:t>
            </w: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基金投资</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3</w:t>
            </w: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固定收益投资</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B85C18">
            <w:pPr>
              <w:rPr>
                <w:rFonts w:ascii="宋体" w:eastAsia="宋体" w:hAnsi="宋体" w:cs="宋体"/>
                <w:kern w:val="0"/>
                <w:sz w:val="24"/>
                <w:szCs w:val="24"/>
              </w:rPr>
            </w:pP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其中：债券</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B85C18">
            <w:pPr>
              <w:rPr>
                <w:rFonts w:ascii="宋体" w:eastAsia="宋体" w:hAnsi="宋体" w:cs="宋体"/>
                <w:kern w:val="0"/>
                <w:sz w:val="24"/>
                <w:szCs w:val="24"/>
              </w:rPr>
            </w:pP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ind w:left="750"/>
            </w:pPr>
            <w:r>
              <w:rPr>
                <w:rFonts w:hint="eastAsia"/>
              </w:rPr>
              <w:t>资产支持证券</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贵金属投资</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金融衍生品投资</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买入返售金融资产</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20,000,000.00</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36.62</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B85C18">
            <w:pPr>
              <w:rPr>
                <w:rFonts w:ascii="宋体" w:eastAsia="宋体" w:hAnsi="宋体" w:cs="宋体"/>
                <w:kern w:val="0"/>
                <w:sz w:val="24"/>
                <w:szCs w:val="24"/>
              </w:rPr>
            </w:pP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其中：买断式回购的买入返售金融资产</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银行存款和结算备付金合计</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28,662,302.66</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52.48</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8</w:t>
            </w: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其他资产</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384,232.44</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0.70</w:t>
            </w:r>
          </w:p>
        </w:tc>
      </w:tr>
      <w:tr w:rsidR="00B85C18">
        <w:tc>
          <w:tcPr>
            <w:tcW w:w="7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合计</w:t>
            </w:r>
          </w:p>
        </w:tc>
        <w:tc>
          <w:tcPr>
            <w:tcW w:w="22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54,611,478.10</w:t>
            </w:r>
          </w:p>
        </w:tc>
        <w:tc>
          <w:tcPr>
            <w:tcW w:w="249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100.00</w:t>
            </w:r>
          </w:p>
        </w:tc>
      </w:tr>
    </w:tbl>
    <w:p w:rsidR="00B85C18" w:rsidRDefault="004E5A0C">
      <w:pPr>
        <w:spacing w:line="360" w:lineRule="auto"/>
        <w:rPr>
          <w:rFonts w:cs="Arial"/>
          <w:bCs/>
        </w:rPr>
      </w:pPr>
      <w:r>
        <w:rPr>
          <w:rFonts w:ascii="宋体" w:eastAsia="宋体" w:hAnsi="宋体" w:cs="Arial"/>
          <w:bCs/>
          <w:sz w:val="24"/>
          <w:szCs w:val="24"/>
        </w:rPr>
        <w:t>2、报告期末按行业分类的股票投资组合</w:t>
      </w:r>
    </w:p>
    <w:p w:rsidR="00B85C18" w:rsidRDefault="004E5A0C">
      <w:pPr>
        <w:pStyle w:val="zhangjiep2"/>
      </w:pPr>
      <w:r>
        <w:rPr>
          <w:rFonts w:hint="eastAsia"/>
          <w:bCs/>
        </w:rPr>
        <w:t>（1） 报告期末按行业分类的境内股票投资组合</w:t>
      </w:r>
    </w:p>
    <w:tbl>
      <w:tblPr>
        <w:tblW w:w="8414" w:type="dxa"/>
        <w:tblInd w:w="108" w:type="dxa"/>
        <w:tblLayout w:type="fixed"/>
        <w:tblLook w:val="04A0" w:firstRow="1" w:lastRow="0" w:firstColumn="1" w:lastColumn="0" w:noHBand="0" w:noVBand="1"/>
      </w:tblPr>
      <w:tblGrid>
        <w:gridCol w:w="780"/>
        <w:gridCol w:w="2519"/>
        <w:gridCol w:w="2519"/>
        <w:gridCol w:w="2596"/>
      </w:tblGrid>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占基金资产净值的比例（%）</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A</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B</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采矿业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C</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制造业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5,320,943.00</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9.77</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电力、热力、燃气及水生产和供应业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E</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建筑业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金融业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244,000.00</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0.45</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P</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教育</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lastRenderedPageBreak/>
              <w:t>R</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综合</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780" w:type="dxa"/>
            <w:tcBorders>
              <w:top w:val="single" w:sz="8" w:space="0" w:color="000000"/>
              <w:left w:val="single" w:sz="8" w:space="0" w:color="000000"/>
              <w:bottom w:val="single" w:sz="6" w:space="0" w:color="000000"/>
              <w:right w:val="single" w:sz="8" w:space="0" w:color="000000"/>
            </w:tcBorders>
            <w:vAlign w:val="center"/>
          </w:tcPr>
          <w:p w:rsidR="00B85C18" w:rsidRDefault="00B85C18">
            <w:pPr>
              <w:rPr>
                <w:rFonts w:ascii="宋体" w:eastAsia="宋体" w:hAnsi="宋体" w:cs="宋体"/>
                <w:kern w:val="0"/>
                <w:sz w:val="24"/>
                <w:szCs w:val="24"/>
              </w:rPr>
            </w:pP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合计</w:t>
            </w:r>
          </w:p>
        </w:tc>
        <w:tc>
          <w:tcPr>
            <w:tcW w:w="251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5,564,943.00</w:t>
            </w:r>
          </w:p>
        </w:tc>
        <w:tc>
          <w:tcPr>
            <w:tcW w:w="25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10.22</w:t>
            </w:r>
          </w:p>
        </w:tc>
      </w:tr>
    </w:tbl>
    <w:p w:rsidR="00B85C18" w:rsidRDefault="004E5A0C">
      <w:pPr>
        <w:pStyle w:val="neirong"/>
        <w:ind w:leftChars="7"/>
      </w:pPr>
      <w:r>
        <w:rPr>
          <w:rFonts w:hint="eastAsia"/>
        </w:rPr>
        <w:t>（2）报告期末按行业分类的港股通投资股票投资组合</w:t>
      </w:r>
    </w:p>
    <w:p w:rsidR="00B85C18" w:rsidRDefault="004E5A0C">
      <w:pPr>
        <w:pStyle w:val="neirong"/>
        <w:ind w:left="0" w:firstLineChars="200" w:firstLine="480"/>
      </w:pPr>
      <w:r>
        <w:rPr>
          <w:rFonts w:hint="eastAsia"/>
        </w:rPr>
        <w:t>本基金报告期末未持有沪港通股票。</w:t>
      </w:r>
    </w:p>
    <w:p w:rsidR="00B85C18" w:rsidRDefault="004E5A0C">
      <w:pPr>
        <w:spacing w:line="360" w:lineRule="auto"/>
        <w:rPr>
          <w:rFonts w:cs="Arial"/>
          <w:bCs/>
        </w:rPr>
      </w:pPr>
      <w:r>
        <w:rPr>
          <w:rFonts w:ascii="宋体" w:eastAsia="宋体" w:hAnsi="宋体" w:cs="Arial"/>
          <w:bCs/>
          <w:sz w:val="24"/>
          <w:szCs w:val="24"/>
        </w:rPr>
        <w:t>3、报告期末按公允价值占基金资产净值比例大小排序的前十名股票投资明细</w:t>
      </w:r>
    </w:p>
    <w:tbl>
      <w:tblPr>
        <w:tblW w:w="8414" w:type="dxa"/>
        <w:tblInd w:w="108" w:type="dxa"/>
        <w:tblLayout w:type="fixed"/>
        <w:tblLook w:val="04A0" w:firstRow="1" w:lastRow="0" w:firstColumn="1" w:lastColumn="0" w:noHBand="0" w:noVBand="1"/>
      </w:tblPr>
      <w:tblGrid>
        <w:gridCol w:w="774"/>
        <w:gridCol w:w="1476"/>
        <w:gridCol w:w="1476"/>
        <w:gridCol w:w="1580"/>
        <w:gridCol w:w="1580"/>
        <w:gridCol w:w="1528"/>
      </w:tblGrid>
      <w:tr w:rsidR="00B85C18">
        <w:tc>
          <w:tcPr>
            <w:tcW w:w="77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序号</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股票代码</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股票名称</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数量(股)</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公允价值(元)</w:t>
            </w:r>
          </w:p>
        </w:tc>
        <w:tc>
          <w:tcPr>
            <w:tcW w:w="152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占基金资产净值比例(%)</w:t>
            </w:r>
          </w:p>
        </w:tc>
      </w:tr>
      <w:tr w:rsidR="00B85C18">
        <w:tc>
          <w:tcPr>
            <w:tcW w:w="77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1</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002217</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合力泰</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130,000</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1,072,500.00</w:t>
            </w:r>
          </w:p>
        </w:tc>
        <w:tc>
          <w:tcPr>
            <w:tcW w:w="152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1.97</w:t>
            </w:r>
          </w:p>
        </w:tc>
      </w:tr>
      <w:tr w:rsidR="00B85C18">
        <w:tc>
          <w:tcPr>
            <w:tcW w:w="77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2</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300568</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星源材质</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24,000</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917,040.00</w:t>
            </w:r>
          </w:p>
        </w:tc>
        <w:tc>
          <w:tcPr>
            <w:tcW w:w="152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1.68</w:t>
            </w:r>
          </w:p>
        </w:tc>
      </w:tr>
      <w:tr w:rsidR="00B85C18">
        <w:tc>
          <w:tcPr>
            <w:tcW w:w="77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3</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300072</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三聚环保</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15,000</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349,200.00</w:t>
            </w:r>
          </w:p>
        </w:tc>
        <w:tc>
          <w:tcPr>
            <w:tcW w:w="152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0.64</w:t>
            </w:r>
          </w:p>
        </w:tc>
      </w:tr>
      <w:tr w:rsidR="00B85C18">
        <w:tc>
          <w:tcPr>
            <w:tcW w:w="77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4</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300357</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我武生物</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8,600</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342,882.00</w:t>
            </w:r>
          </w:p>
        </w:tc>
        <w:tc>
          <w:tcPr>
            <w:tcW w:w="152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0.63</w:t>
            </w:r>
          </w:p>
        </w:tc>
      </w:tr>
      <w:tr w:rsidR="00B85C18">
        <w:tc>
          <w:tcPr>
            <w:tcW w:w="77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5</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600585</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海螺水泥</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10,000</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334,800.00</w:t>
            </w:r>
          </w:p>
        </w:tc>
        <w:tc>
          <w:tcPr>
            <w:tcW w:w="152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0.61</w:t>
            </w:r>
          </w:p>
        </w:tc>
      </w:tr>
      <w:tr w:rsidR="00B85C18">
        <w:tc>
          <w:tcPr>
            <w:tcW w:w="77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6</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002001</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新 和 成</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17,000</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322,320.00</w:t>
            </w:r>
          </w:p>
        </w:tc>
        <w:tc>
          <w:tcPr>
            <w:tcW w:w="152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0.59</w:t>
            </w:r>
          </w:p>
        </w:tc>
      </w:tr>
      <w:tr w:rsidR="00B85C18">
        <w:tc>
          <w:tcPr>
            <w:tcW w:w="77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7</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603801</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志邦股份</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7,000</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318,360.00</w:t>
            </w:r>
          </w:p>
        </w:tc>
        <w:tc>
          <w:tcPr>
            <w:tcW w:w="152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0.58</w:t>
            </w:r>
          </w:p>
        </w:tc>
      </w:tr>
      <w:tr w:rsidR="00B85C18">
        <w:tc>
          <w:tcPr>
            <w:tcW w:w="77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8</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000725</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京东方Ａ</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80,000</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283,200.00</w:t>
            </w:r>
          </w:p>
        </w:tc>
        <w:tc>
          <w:tcPr>
            <w:tcW w:w="152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0.52</w:t>
            </w:r>
          </w:p>
        </w:tc>
      </w:tr>
      <w:tr w:rsidR="00B85C18">
        <w:tc>
          <w:tcPr>
            <w:tcW w:w="77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9</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603688</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石英股份</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20,000</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268,800.00</w:t>
            </w:r>
          </w:p>
        </w:tc>
        <w:tc>
          <w:tcPr>
            <w:tcW w:w="152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0.49</w:t>
            </w:r>
          </w:p>
        </w:tc>
      </w:tr>
      <w:tr w:rsidR="00B85C18">
        <w:tc>
          <w:tcPr>
            <w:tcW w:w="77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10</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600048</w:t>
            </w:r>
          </w:p>
        </w:tc>
        <w:tc>
          <w:tcPr>
            <w:tcW w:w="147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保利地产</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20,000</w:t>
            </w:r>
          </w:p>
        </w:tc>
        <w:tc>
          <w:tcPr>
            <w:tcW w:w="158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244,000.00</w:t>
            </w:r>
          </w:p>
        </w:tc>
        <w:tc>
          <w:tcPr>
            <w:tcW w:w="152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0.45</w:t>
            </w:r>
          </w:p>
        </w:tc>
      </w:tr>
    </w:tbl>
    <w:p w:rsidR="00B85C18" w:rsidRDefault="00B85C18">
      <w:pPr>
        <w:widowControl/>
        <w:jc w:val="left"/>
        <w:rPr>
          <w:rFonts w:ascii="宋体" w:eastAsia="宋体" w:hAnsi="宋体" w:cs="宋体"/>
          <w:kern w:val="0"/>
          <w:sz w:val="24"/>
          <w:szCs w:val="24"/>
        </w:rPr>
      </w:pPr>
    </w:p>
    <w:p w:rsidR="00B85C18" w:rsidRDefault="004E5A0C">
      <w:pPr>
        <w:spacing w:line="360" w:lineRule="auto"/>
        <w:rPr>
          <w:rFonts w:cs="Arial"/>
          <w:bCs/>
        </w:rPr>
      </w:pPr>
      <w:r>
        <w:rPr>
          <w:rFonts w:ascii="宋体" w:eastAsia="宋体" w:hAnsi="宋体" w:cs="Arial"/>
          <w:bCs/>
          <w:sz w:val="24"/>
          <w:szCs w:val="24"/>
        </w:rPr>
        <w:t>4、报告期末按债券品种分类的债券投资组合</w:t>
      </w:r>
    </w:p>
    <w:p w:rsidR="00B85C18" w:rsidRDefault="004E5A0C">
      <w:pPr>
        <w:pStyle w:val="neirong"/>
        <w:ind w:leftChars="7" w:firstLineChars="200" w:firstLine="480"/>
      </w:pPr>
      <w:r>
        <w:rPr>
          <w:rFonts w:hint="eastAsia"/>
        </w:rPr>
        <w:t>本基金本报告期末未持有债券。</w:t>
      </w:r>
    </w:p>
    <w:p w:rsidR="00B85C18" w:rsidRDefault="004E5A0C">
      <w:pPr>
        <w:spacing w:line="360" w:lineRule="auto"/>
        <w:rPr>
          <w:rFonts w:cs="Arial"/>
          <w:bCs/>
        </w:rPr>
      </w:pPr>
      <w:r>
        <w:rPr>
          <w:rFonts w:ascii="宋体" w:eastAsia="宋体" w:hAnsi="宋体" w:cs="Arial"/>
          <w:bCs/>
          <w:sz w:val="24"/>
          <w:szCs w:val="24"/>
        </w:rPr>
        <w:t>5、报告期末按公允价值占基金资产净值比例大小排序的前五名债券投资明细</w:t>
      </w:r>
    </w:p>
    <w:p w:rsidR="00B85C18" w:rsidRDefault="004E5A0C">
      <w:pPr>
        <w:spacing w:line="360" w:lineRule="auto"/>
        <w:ind w:firstLineChars="200" w:firstLine="480"/>
        <w:rPr>
          <w:rFonts w:cs="Arial"/>
          <w:bCs/>
        </w:rPr>
      </w:pPr>
      <w:r>
        <w:rPr>
          <w:rFonts w:ascii="宋体" w:eastAsia="宋体" w:hAnsi="宋体" w:cs="Arial" w:hint="eastAsia"/>
          <w:bCs/>
          <w:sz w:val="24"/>
          <w:szCs w:val="24"/>
        </w:rPr>
        <w:t>本基金本报告期末未持有债券。</w:t>
      </w:r>
    </w:p>
    <w:p w:rsidR="00B85C18" w:rsidRDefault="004E5A0C">
      <w:pPr>
        <w:spacing w:line="360" w:lineRule="auto"/>
        <w:rPr>
          <w:rFonts w:cs="Arial"/>
          <w:bCs/>
        </w:rPr>
      </w:pPr>
      <w:r>
        <w:rPr>
          <w:rFonts w:ascii="宋体" w:eastAsia="宋体" w:hAnsi="宋体" w:cs="Arial"/>
          <w:bCs/>
          <w:sz w:val="24"/>
          <w:szCs w:val="24"/>
        </w:rPr>
        <w:t>6、报告期末按公允价值占基金资产净值比例大小排序的前十名资产支持证券投资明细</w:t>
      </w:r>
    </w:p>
    <w:p w:rsidR="00B85C18" w:rsidRDefault="004E5A0C">
      <w:pPr>
        <w:pStyle w:val="neirong"/>
        <w:ind w:leftChars="7" w:firstLineChars="200" w:firstLine="480"/>
      </w:pPr>
      <w:r>
        <w:rPr>
          <w:rFonts w:hint="eastAsia"/>
        </w:rPr>
        <w:t>本基金本报告期末未持有资产支持证券。</w:t>
      </w:r>
    </w:p>
    <w:p w:rsidR="00B85C18" w:rsidRDefault="004E5A0C">
      <w:pPr>
        <w:spacing w:line="360" w:lineRule="auto"/>
        <w:rPr>
          <w:rFonts w:cs="Arial"/>
          <w:bCs/>
        </w:rPr>
      </w:pPr>
      <w:r>
        <w:rPr>
          <w:rFonts w:ascii="宋体" w:eastAsia="宋体" w:hAnsi="宋体" w:cs="Arial"/>
          <w:bCs/>
          <w:sz w:val="24"/>
          <w:szCs w:val="24"/>
        </w:rPr>
        <w:t>7、报告期末按公允价值占基金资产净值比例大小排序的前五名贵金属投资明细</w:t>
      </w:r>
    </w:p>
    <w:p w:rsidR="00B85C18" w:rsidRDefault="004E5A0C">
      <w:pPr>
        <w:spacing w:line="360" w:lineRule="auto"/>
        <w:ind w:firstLineChars="200" w:firstLine="480"/>
        <w:rPr>
          <w:rFonts w:cs="Arial"/>
          <w:bCs/>
        </w:rPr>
      </w:pPr>
      <w:r>
        <w:rPr>
          <w:rFonts w:ascii="宋体" w:eastAsia="宋体" w:hAnsi="宋体" w:cs="Arial" w:hint="eastAsia"/>
          <w:bCs/>
          <w:sz w:val="24"/>
          <w:szCs w:val="24"/>
        </w:rPr>
        <w:t>本基金本报告期末未持有贵金属。</w:t>
      </w:r>
    </w:p>
    <w:p w:rsidR="00B85C18" w:rsidRDefault="004E5A0C">
      <w:pPr>
        <w:spacing w:line="360" w:lineRule="auto"/>
        <w:rPr>
          <w:rFonts w:cs="Arial"/>
          <w:bCs/>
        </w:rPr>
      </w:pPr>
      <w:r>
        <w:rPr>
          <w:rFonts w:ascii="宋体" w:eastAsia="宋体" w:hAnsi="宋体" w:cs="Arial"/>
          <w:bCs/>
          <w:sz w:val="24"/>
          <w:szCs w:val="24"/>
        </w:rPr>
        <w:t>8、报告期末按公允价值占基金资产净值比例大小排序的前五名权证投资明细</w:t>
      </w:r>
    </w:p>
    <w:p w:rsidR="00B85C18" w:rsidRDefault="004E5A0C">
      <w:pPr>
        <w:spacing w:line="360" w:lineRule="auto"/>
        <w:ind w:firstLineChars="200" w:firstLine="480"/>
        <w:rPr>
          <w:rFonts w:cs="Arial"/>
          <w:bCs/>
        </w:rPr>
      </w:pPr>
      <w:r>
        <w:rPr>
          <w:rFonts w:ascii="宋体" w:eastAsia="宋体" w:hAnsi="宋体" w:cs="Arial" w:hint="eastAsia"/>
          <w:bCs/>
          <w:sz w:val="24"/>
          <w:szCs w:val="24"/>
        </w:rPr>
        <w:t>本基金本报告期末未持有权证。</w:t>
      </w:r>
    </w:p>
    <w:p w:rsidR="00B85C18" w:rsidRDefault="004E5A0C">
      <w:pPr>
        <w:spacing w:line="360" w:lineRule="auto"/>
        <w:rPr>
          <w:rFonts w:cs="Arial"/>
          <w:bCs/>
        </w:rPr>
      </w:pPr>
      <w:r>
        <w:rPr>
          <w:rFonts w:ascii="宋体" w:eastAsia="宋体" w:hAnsi="宋体" w:cs="Arial"/>
          <w:bCs/>
          <w:sz w:val="24"/>
          <w:szCs w:val="24"/>
        </w:rPr>
        <w:lastRenderedPageBreak/>
        <w:t>9、报告期末本基金投资的股指期货交易情况说明</w:t>
      </w:r>
    </w:p>
    <w:p w:rsidR="00B85C18" w:rsidRDefault="004E5A0C">
      <w:pPr>
        <w:pStyle w:val="zhangjiep2"/>
      </w:pPr>
      <w:r>
        <w:rPr>
          <w:rFonts w:hint="eastAsia"/>
          <w:bCs/>
        </w:rPr>
        <w:t>（1）报告期末本基金投资的股指期货持仓和损益明细</w:t>
      </w:r>
    </w:p>
    <w:p w:rsidR="00B85C18" w:rsidRDefault="004E5A0C">
      <w:pPr>
        <w:pStyle w:val="neirong"/>
        <w:ind w:leftChars="7" w:firstLineChars="200" w:firstLine="480"/>
      </w:pPr>
      <w:r>
        <w:rPr>
          <w:rFonts w:hint="eastAsia"/>
        </w:rPr>
        <w:t>本基金本报告期末未投资股指期货。</w:t>
      </w:r>
    </w:p>
    <w:p w:rsidR="00B85C18" w:rsidRDefault="004E5A0C">
      <w:pPr>
        <w:pStyle w:val="zhangjiep2"/>
      </w:pPr>
      <w:r>
        <w:rPr>
          <w:rFonts w:hint="eastAsia"/>
          <w:bCs/>
        </w:rPr>
        <w:t>（2）本基金投资股指期货的投资政策</w:t>
      </w:r>
    </w:p>
    <w:p w:rsidR="00B85C18" w:rsidRDefault="004E5A0C">
      <w:pPr>
        <w:pStyle w:val="biaogeleft"/>
        <w:ind w:firstLine="480"/>
      </w:pPr>
      <w:r>
        <w:rPr>
          <w:rFonts w:hint="eastAsia"/>
        </w:rPr>
        <w:t>本基金本报告期末未投资股指期货。</w:t>
      </w:r>
    </w:p>
    <w:p w:rsidR="00B85C18" w:rsidRDefault="004E5A0C">
      <w:pPr>
        <w:spacing w:line="360" w:lineRule="auto"/>
        <w:rPr>
          <w:rFonts w:cs="Arial"/>
          <w:bCs/>
        </w:rPr>
      </w:pPr>
      <w:r>
        <w:rPr>
          <w:rFonts w:ascii="宋体" w:eastAsia="宋体" w:hAnsi="宋体" w:cs="Arial"/>
          <w:bCs/>
          <w:sz w:val="24"/>
          <w:szCs w:val="24"/>
        </w:rPr>
        <w:t>10、</w:t>
      </w:r>
      <w:r>
        <w:rPr>
          <w:rFonts w:ascii="宋体" w:eastAsia="宋体" w:hAnsi="宋体" w:cs="Arial" w:hint="eastAsia"/>
          <w:bCs/>
          <w:sz w:val="24"/>
          <w:szCs w:val="24"/>
        </w:rPr>
        <w:t>报告期末本基金投资的国债期货交易情况说明</w:t>
      </w:r>
    </w:p>
    <w:p w:rsidR="00B85C18" w:rsidRDefault="004E5A0C">
      <w:pPr>
        <w:pStyle w:val="zhangjiep2"/>
      </w:pPr>
      <w:r>
        <w:rPr>
          <w:rFonts w:hint="eastAsia"/>
          <w:bCs/>
        </w:rPr>
        <w:t>（1）本期国债期货投资政策</w:t>
      </w:r>
    </w:p>
    <w:p w:rsidR="00B85C18" w:rsidRDefault="004E5A0C">
      <w:pPr>
        <w:spacing w:line="360" w:lineRule="auto"/>
        <w:ind w:firstLineChars="200" w:firstLine="420"/>
      </w:pPr>
      <w:r>
        <w:rPr>
          <w:rFonts w:hint="eastAsia"/>
        </w:rPr>
        <w:t>本基金本报告期末未投资国债期货。</w:t>
      </w:r>
    </w:p>
    <w:p w:rsidR="00B85C18" w:rsidRDefault="004E5A0C">
      <w:pPr>
        <w:pStyle w:val="zhangjiep2"/>
      </w:pPr>
      <w:r>
        <w:rPr>
          <w:rFonts w:hint="eastAsia"/>
          <w:bCs/>
        </w:rPr>
        <w:t>（2） 报告期末本基金投资的国债期货持仓和损益明细</w:t>
      </w:r>
    </w:p>
    <w:p w:rsidR="00B85C18" w:rsidRDefault="004E5A0C">
      <w:pPr>
        <w:spacing w:line="360" w:lineRule="auto"/>
        <w:ind w:firstLineChars="200" w:firstLine="420"/>
      </w:pPr>
      <w:r>
        <w:rPr>
          <w:rFonts w:hint="eastAsia"/>
        </w:rPr>
        <w:t>本基金本报告期末未投资国债期货。</w:t>
      </w:r>
    </w:p>
    <w:p w:rsidR="00B85C18" w:rsidRDefault="004E5A0C">
      <w:pPr>
        <w:pStyle w:val="zhangjiep2"/>
      </w:pPr>
      <w:r>
        <w:rPr>
          <w:rFonts w:hint="eastAsia"/>
          <w:bCs/>
        </w:rPr>
        <w:t>（3）本期国债期货投资评价</w:t>
      </w:r>
    </w:p>
    <w:p w:rsidR="00B85C18" w:rsidRDefault="004E5A0C">
      <w:pPr>
        <w:pStyle w:val="biaogeleft"/>
        <w:ind w:firstLine="480"/>
      </w:pPr>
      <w:r>
        <w:rPr>
          <w:rFonts w:hint="eastAsia"/>
        </w:rPr>
        <w:t>本基金本报告期末未投资国债期货。</w:t>
      </w:r>
    </w:p>
    <w:p w:rsidR="00B85C18" w:rsidRDefault="004E5A0C">
      <w:pPr>
        <w:spacing w:line="360" w:lineRule="auto"/>
        <w:rPr>
          <w:rFonts w:cs="Arial"/>
          <w:bCs/>
        </w:rPr>
      </w:pPr>
      <w:r>
        <w:rPr>
          <w:rFonts w:ascii="宋体" w:eastAsia="宋体" w:hAnsi="宋体" w:cs="Arial"/>
          <w:bCs/>
          <w:sz w:val="24"/>
          <w:szCs w:val="24"/>
        </w:rPr>
        <w:t xml:space="preserve">11、投资组合报告附注 </w:t>
      </w:r>
    </w:p>
    <w:p w:rsidR="00B85C18" w:rsidRDefault="004E5A0C">
      <w:pPr>
        <w:pStyle w:val="zhangjiep2"/>
      </w:pPr>
      <w:r>
        <w:rPr>
          <w:rFonts w:hint="eastAsia"/>
          <w:bCs/>
        </w:rPr>
        <w:t>（1）本基金本报告期投资的前十名证券的发行主体，本报告期没有出现被监管部门立案调查的情形，也没有出现在报告编制日前一年内受到公开谴责、处罚的情形。</w:t>
      </w:r>
    </w:p>
    <w:p w:rsidR="00B85C18" w:rsidRDefault="004E5A0C">
      <w:pPr>
        <w:pStyle w:val="zhangjiep2"/>
      </w:pPr>
      <w:r>
        <w:rPr>
          <w:rFonts w:hint="eastAsia"/>
          <w:bCs/>
        </w:rPr>
        <w:t>（2） 本基金投资的前十名股票没有超出基金合同规定的备选股票库。</w:t>
      </w:r>
    </w:p>
    <w:p w:rsidR="00B85C18" w:rsidRDefault="004E5A0C">
      <w:pPr>
        <w:pStyle w:val="zhangjiep2"/>
      </w:pPr>
      <w:r>
        <w:rPr>
          <w:rFonts w:hint="eastAsia"/>
          <w:bCs/>
        </w:rPr>
        <w:t>（3）其他资产构成</w:t>
      </w:r>
    </w:p>
    <w:tbl>
      <w:tblPr>
        <w:tblW w:w="8222" w:type="dxa"/>
        <w:tblInd w:w="108" w:type="dxa"/>
        <w:tblLayout w:type="fixed"/>
        <w:tblLook w:val="04A0" w:firstRow="1" w:lastRow="0" w:firstColumn="1" w:lastColumn="0" w:noHBand="0" w:noVBand="1"/>
      </w:tblPr>
      <w:tblGrid>
        <w:gridCol w:w="1187"/>
        <w:gridCol w:w="3348"/>
        <w:gridCol w:w="3687"/>
      </w:tblGrid>
      <w:tr w:rsidR="00B85C18">
        <w:tc>
          <w:tcPr>
            <w:tcW w:w="11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序号</w:t>
            </w:r>
          </w:p>
        </w:tc>
        <w:tc>
          <w:tcPr>
            <w:tcW w:w="334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名称</w:t>
            </w:r>
          </w:p>
        </w:tc>
        <w:tc>
          <w:tcPr>
            <w:tcW w:w="36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金额(元)</w:t>
            </w:r>
          </w:p>
        </w:tc>
      </w:tr>
      <w:tr w:rsidR="00B85C18">
        <w:tc>
          <w:tcPr>
            <w:tcW w:w="11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1</w:t>
            </w:r>
          </w:p>
        </w:tc>
        <w:tc>
          <w:tcPr>
            <w:tcW w:w="334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存出保证金</w:t>
            </w:r>
          </w:p>
        </w:tc>
        <w:tc>
          <w:tcPr>
            <w:tcW w:w="36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2,996.47</w:t>
            </w:r>
          </w:p>
        </w:tc>
      </w:tr>
      <w:tr w:rsidR="00B85C18">
        <w:tc>
          <w:tcPr>
            <w:tcW w:w="11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2</w:t>
            </w:r>
          </w:p>
        </w:tc>
        <w:tc>
          <w:tcPr>
            <w:tcW w:w="334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应收证券清算款</w:t>
            </w:r>
          </w:p>
        </w:tc>
        <w:tc>
          <w:tcPr>
            <w:tcW w:w="36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380,966.45</w:t>
            </w:r>
          </w:p>
        </w:tc>
      </w:tr>
      <w:tr w:rsidR="00B85C18">
        <w:tc>
          <w:tcPr>
            <w:tcW w:w="11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3</w:t>
            </w:r>
          </w:p>
        </w:tc>
        <w:tc>
          <w:tcPr>
            <w:tcW w:w="334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应收股利</w:t>
            </w:r>
          </w:p>
        </w:tc>
        <w:tc>
          <w:tcPr>
            <w:tcW w:w="36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11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4</w:t>
            </w:r>
          </w:p>
        </w:tc>
        <w:tc>
          <w:tcPr>
            <w:tcW w:w="334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应收利息</w:t>
            </w:r>
          </w:p>
        </w:tc>
        <w:tc>
          <w:tcPr>
            <w:tcW w:w="36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269.52</w:t>
            </w:r>
          </w:p>
        </w:tc>
      </w:tr>
      <w:tr w:rsidR="00B85C18">
        <w:tc>
          <w:tcPr>
            <w:tcW w:w="11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5</w:t>
            </w:r>
          </w:p>
        </w:tc>
        <w:tc>
          <w:tcPr>
            <w:tcW w:w="334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应收申购款</w:t>
            </w:r>
          </w:p>
        </w:tc>
        <w:tc>
          <w:tcPr>
            <w:tcW w:w="36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11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6</w:t>
            </w:r>
          </w:p>
        </w:tc>
        <w:tc>
          <w:tcPr>
            <w:tcW w:w="334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其他应收款</w:t>
            </w:r>
          </w:p>
        </w:tc>
        <w:tc>
          <w:tcPr>
            <w:tcW w:w="36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11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7</w:t>
            </w:r>
          </w:p>
        </w:tc>
        <w:tc>
          <w:tcPr>
            <w:tcW w:w="334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其他</w:t>
            </w:r>
          </w:p>
        </w:tc>
        <w:tc>
          <w:tcPr>
            <w:tcW w:w="36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w:t>
            </w:r>
          </w:p>
        </w:tc>
      </w:tr>
      <w:tr w:rsidR="00B85C18">
        <w:tc>
          <w:tcPr>
            <w:tcW w:w="11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8</w:t>
            </w:r>
          </w:p>
        </w:tc>
        <w:tc>
          <w:tcPr>
            <w:tcW w:w="334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合计</w:t>
            </w:r>
          </w:p>
        </w:tc>
        <w:tc>
          <w:tcPr>
            <w:tcW w:w="368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rPr>
              <w:t>384,232.44</w:t>
            </w:r>
          </w:p>
        </w:tc>
      </w:tr>
    </w:tbl>
    <w:p w:rsidR="00B85C18" w:rsidRDefault="004E5A0C">
      <w:pPr>
        <w:pStyle w:val="zhangjiep2"/>
      </w:pPr>
      <w:r>
        <w:rPr>
          <w:rFonts w:hint="eastAsia"/>
          <w:bCs/>
        </w:rPr>
        <w:t>（4）报告期末持有的处于转股期的可转换债券明细</w:t>
      </w:r>
    </w:p>
    <w:p w:rsidR="00B85C18" w:rsidRDefault="004E5A0C">
      <w:pPr>
        <w:pStyle w:val="neirong"/>
        <w:ind w:leftChars="7" w:firstLineChars="200" w:firstLine="480"/>
      </w:pPr>
      <w:r>
        <w:rPr>
          <w:rFonts w:hint="eastAsia"/>
        </w:rPr>
        <w:t>本基金本报告期末未持有处于转股的可换债券。</w:t>
      </w:r>
    </w:p>
    <w:p w:rsidR="00B85C18" w:rsidRDefault="004E5A0C">
      <w:pPr>
        <w:pStyle w:val="zhangjiep2"/>
      </w:pPr>
      <w:r>
        <w:rPr>
          <w:rFonts w:hint="eastAsia"/>
          <w:bCs/>
        </w:rPr>
        <w:t>（5）报告期末前十名股票中存在流通受限情况的说明</w:t>
      </w:r>
    </w:p>
    <w:tbl>
      <w:tblPr>
        <w:tblW w:w="8222" w:type="dxa"/>
        <w:tblInd w:w="108" w:type="dxa"/>
        <w:tblLayout w:type="fixed"/>
        <w:tblLook w:val="04A0" w:firstRow="1" w:lastRow="0" w:firstColumn="1" w:lastColumn="0" w:noHBand="0" w:noVBand="1"/>
      </w:tblPr>
      <w:tblGrid>
        <w:gridCol w:w="752"/>
        <w:gridCol w:w="1412"/>
        <w:gridCol w:w="1412"/>
        <w:gridCol w:w="1638"/>
        <w:gridCol w:w="1469"/>
        <w:gridCol w:w="1539"/>
      </w:tblGrid>
      <w:tr w:rsidR="00B85C18">
        <w:tc>
          <w:tcPr>
            <w:tcW w:w="7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序号</w:t>
            </w:r>
          </w:p>
        </w:tc>
        <w:tc>
          <w:tcPr>
            <w:tcW w:w="141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股票代码</w:t>
            </w:r>
          </w:p>
        </w:tc>
        <w:tc>
          <w:tcPr>
            <w:tcW w:w="141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股票名称</w:t>
            </w:r>
          </w:p>
        </w:tc>
        <w:tc>
          <w:tcPr>
            <w:tcW w:w="163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流通受限部分的公允价值（元）</w:t>
            </w:r>
          </w:p>
        </w:tc>
        <w:tc>
          <w:tcPr>
            <w:tcW w:w="146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占基金资产净值比例(%)</w:t>
            </w:r>
          </w:p>
        </w:tc>
        <w:tc>
          <w:tcPr>
            <w:tcW w:w="153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流通受限情况说明</w:t>
            </w:r>
          </w:p>
        </w:tc>
      </w:tr>
      <w:tr w:rsidR="00B85C18">
        <w:tc>
          <w:tcPr>
            <w:tcW w:w="75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lastRenderedPageBreak/>
              <w:t>1</w:t>
            </w:r>
          </w:p>
        </w:tc>
        <w:tc>
          <w:tcPr>
            <w:tcW w:w="141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300072</w:t>
            </w:r>
          </w:p>
        </w:tc>
        <w:tc>
          <w:tcPr>
            <w:tcW w:w="141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三聚环保</w:t>
            </w:r>
          </w:p>
        </w:tc>
        <w:tc>
          <w:tcPr>
            <w:tcW w:w="163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349,200.00</w:t>
            </w:r>
          </w:p>
        </w:tc>
        <w:tc>
          <w:tcPr>
            <w:tcW w:w="146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0.64</w:t>
            </w:r>
          </w:p>
        </w:tc>
        <w:tc>
          <w:tcPr>
            <w:tcW w:w="1539"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color w:val="000000"/>
              </w:rPr>
              <w:t>重大事项停牌</w:t>
            </w:r>
          </w:p>
        </w:tc>
      </w:tr>
    </w:tbl>
    <w:p w:rsidR="00B85C18" w:rsidRDefault="004E5A0C">
      <w:pPr>
        <w:pStyle w:val="zhangjiep2"/>
      </w:pPr>
      <w:r>
        <w:rPr>
          <w:rFonts w:hint="eastAsia"/>
          <w:bCs/>
        </w:rPr>
        <w:t>（6）投资组合报告附注的其他文字描述部分</w:t>
      </w:r>
    </w:p>
    <w:p w:rsidR="00B85C18" w:rsidRDefault="004E5A0C">
      <w:pPr>
        <w:pStyle w:val="biaogeleft"/>
        <w:ind w:firstLine="480"/>
      </w:pPr>
      <w:r>
        <w:rPr>
          <w:rFonts w:hint="eastAsia"/>
        </w:rPr>
        <w:t>由于四舍五入原因，分项之和与合计可能存在尾差。</w:t>
      </w:r>
    </w:p>
    <w:p w:rsidR="00B85C18" w:rsidRDefault="004E5A0C">
      <w:pPr>
        <w:spacing w:line="360" w:lineRule="auto"/>
        <w:rPr>
          <w:rFonts w:cs="Arial"/>
          <w:bCs/>
        </w:rPr>
      </w:pPr>
      <w:r>
        <w:rPr>
          <w:rFonts w:ascii="宋体" w:eastAsia="宋体" w:hAnsi="宋体" w:cs="Arial" w:hint="eastAsia"/>
          <w:bCs/>
          <w:sz w:val="24"/>
          <w:szCs w:val="24"/>
        </w:rPr>
        <w:t>九、开放式基金份额变动</w:t>
      </w:r>
    </w:p>
    <w:p w:rsidR="00B85C18" w:rsidRDefault="004E5A0C">
      <w:pPr>
        <w:widowControl/>
        <w:autoSpaceDE w:val="0"/>
        <w:autoSpaceDN w:val="0"/>
        <w:adjustRightInd w:val="0"/>
        <w:spacing w:line="288" w:lineRule="auto"/>
        <w:jc w:val="right"/>
        <w:rPr>
          <w:rFonts w:ascii="宋体" w:eastAsia="宋体" w:hAnsi="宋体" w:cs="宋体"/>
          <w:kern w:val="0"/>
          <w:sz w:val="24"/>
          <w:szCs w:val="24"/>
        </w:rPr>
      </w:pPr>
      <w:r>
        <w:rPr>
          <w:rFonts w:ascii="宋体" w:eastAsia="宋体" w:hAnsi="宋体" w:cs="宋体" w:hint="eastAsia"/>
          <w:color w:val="000000"/>
          <w:kern w:val="0"/>
          <w:sz w:val="24"/>
          <w:szCs w:val="24"/>
        </w:rPr>
        <w:t>单位：份</w:t>
      </w:r>
    </w:p>
    <w:tbl>
      <w:tblPr>
        <w:tblW w:w="8222" w:type="dxa"/>
        <w:tblInd w:w="108" w:type="dxa"/>
        <w:tblLayout w:type="fixed"/>
        <w:tblLook w:val="04A0" w:firstRow="1" w:lastRow="0" w:firstColumn="1" w:lastColumn="0" w:noHBand="0" w:noVBand="1"/>
      </w:tblPr>
      <w:tblGrid>
        <w:gridCol w:w="3288"/>
        <w:gridCol w:w="2467"/>
        <w:gridCol w:w="2467"/>
      </w:tblGrid>
      <w:tr w:rsidR="00B85C18">
        <w:tc>
          <w:tcPr>
            <w:tcW w:w="3288" w:type="dxa"/>
            <w:tcBorders>
              <w:top w:val="single" w:sz="8" w:space="0" w:color="000000"/>
              <w:left w:val="single" w:sz="8" w:space="0" w:color="000000"/>
              <w:bottom w:val="single" w:sz="6" w:space="0" w:color="000000"/>
              <w:right w:val="single" w:sz="8" w:space="0" w:color="000000"/>
            </w:tcBorders>
            <w:vAlign w:val="center"/>
          </w:tcPr>
          <w:p w:rsidR="00B85C18" w:rsidRDefault="00B85C18">
            <w:pPr>
              <w:rPr>
                <w:rFonts w:ascii="宋体" w:eastAsia="宋体" w:hAnsi="宋体" w:cs="宋体"/>
                <w:kern w:val="0"/>
                <w:sz w:val="24"/>
                <w:szCs w:val="24"/>
              </w:rPr>
            </w:pP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富荣福安混合A</w:t>
            </w: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color w:val="000000"/>
              </w:rPr>
              <w:t>富荣福安混合C</w:t>
            </w:r>
          </w:p>
        </w:tc>
      </w:tr>
      <w:tr w:rsidR="00B85C18">
        <w:tc>
          <w:tcPr>
            <w:tcW w:w="328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报告期期初基金份额总额</w:t>
            </w: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203,377.48</w:t>
            </w: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14,000,000.00</w:t>
            </w:r>
          </w:p>
        </w:tc>
      </w:tr>
      <w:tr w:rsidR="00B85C18">
        <w:tc>
          <w:tcPr>
            <w:tcW w:w="328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报告期期间基金总申购份额</w:t>
            </w: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10,507.46</w:t>
            </w: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41,648,071.23</w:t>
            </w:r>
          </w:p>
        </w:tc>
      </w:tr>
      <w:tr w:rsidR="00B85C18">
        <w:tc>
          <w:tcPr>
            <w:tcW w:w="328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减：报告期期间基金总赎回份额</w:t>
            </w: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33,353.51</w:t>
            </w: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0.00</w:t>
            </w:r>
          </w:p>
        </w:tc>
      </w:tr>
      <w:tr w:rsidR="00B85C18">
        <w:tc>
          <w:tcPr>
            <w:tcW w:w="328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报告期期间基金拆分变动份额（份额减少以“-”填列）</w:t>
            </w: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0.00</w:t>
            </w: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0.00</w:t>
            </w:r>
          </w:p>
        </w:tc>
      </w:tr>
      <w:tr w:rsidR="00B85C18">
        <w:tc>
          <w:tcPr>
            <w:tcW w:w="328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报告期期末基金份额总额</w:t>
            </w: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180,531.43</w:t>
            </w:r>
          </w:p>
        </w:tc>
        <w:tc>
          <w:tcPr>
            <w:tcW w:w="246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right"/>
              <w:wordWrap w:val="0"/>
            </w:pPr>
            <w:r>
              <w:rPr>
                <w:rFonts w:hint="eastAsia"/>
                <w:color w:val="000000"/>
              </w:rPr>
              <w:t>55,648,071.23</w:t>
            </w:r>
          </w:p>
        </w:tc>
      </w:tr>
    </w:tbl>
    <w:p w:rsidR="00B85C18" w:rsidRDefault="004E5A0C">
      <w:pPr>
        <w:numPr>
          <w:ilvl w:val="0"/>
          <w:numId w:val="3"/>
        </w:numPr>
        <w:spacing w:line="360" w:lineRule="auto"/>
        <w:rPr>
          <w:rFonts w:ascii="宋体" w:eastAsia="宋体" w:hAnsi="宋体" w:cs="Arial"/>
          <w:bCs/>
          <w:sz w:val="24"/>
          <w:szCs w:val="24"/>
        </w:rPr>
      </w:pPr>
      <w:r>
        <w:rPr>
          <w:rFonts w:ascii="宋体" w:eastAsia="宋体" w:hAnsi="宋体" w:cs="Arial" w:hint="eastAsia"/>
          <w:bCs/>
          <w:sz w:val="24"/>
          <w:szCs w:val="24"/>
        </w:rPr>
        <w:t>基金管理人运用固有资金投资本基金情况</w:t>
      </w:r>
    </w:p>
    <w:p w:rsidR="00B85C18" w:rsidRDefault="004E5A0C">
      <w:pPr>
        <w:pStyle w:val="neirong"/>
        <w:ind w:leftChars="7"/>
        <w:rPr>
          <w:rFonts w:cs="Arial"/>
          <w:bCs/>
        </w:rPr>
      </w:pPr>
      <w:r>
        <w:rPr>
          <w:rFonts w:hint="eastAsia"/>
        </w:rPr>
        <w:t>1、基金管理人运用固有资金投资本基金交易明细</w:t>
      </w:r>
    </w:p>
    <w:p w:rsidR="00B85C18" w:rsidRDefault="004E5A0C">
      <w:pPr>
        <w:pStyle w:val="neirong"/>
        <w:ind w:leftChars="7" w:firstLineChars="200" w:firstLine="480"/>
      </w:pPr>
      <w:r>
        <w:rPr>
          <w:rFonts w:hint="eastAsia"/>
        </w:rPr>
        <w:t>本报告期内基金管理人未运用固有资金投资本基金。</w:t>
      </w:r>
    </w:p>
    <w:p w:rsidR="00B85C18" w:rsidRDefault="004E5A0C">
      <w:pPr>
        <w:spacing w:line="360" w:lineRule="auto"/>
        <w:rPr>
          <w:rFonts w:cs="Arial"/>
          <w:bCs/>
        </w:rPr>
      </w:pPr>
      <w:r>
        <w:rPr>
          <w:rFonts w:ascii="宋体" w:eastAsia="宋体" w:hAnsi="宋体" w:cs="Arial" w:hint="eastAsia"/>
          <w:bCs/>
          <w:sz w:val="24"/>
          <w:szCs w:val="24"/>
        </w:rPr>
        <w:t>十一、影响投资者决策的其他重要信息</w:t>
      </w:r>
    </w:p>
    <w:p w:rsidR="00B85C18" w:rsidRDefault="004E5A0C">
      <w:pPr>
        <w:spacing w:line="360" w:lineRule="auto"/>
        <w:rPr>
          <w:rFonts w:cs="Arial"/>
          <w:bCs/>
        </w:rPr>
      </w:pPr>
      <w:r>
        <w:rPr>
          <w:rFonts w:ascii="宋体" w:eastAsia="宋体" w:hAnsi="宋体" w:cs="Arial"/>
          <w:bCs/>
          <w:sz w:val="24"/>
          <w:szCs w:val="24"/>
        </w:rPr>
        <w:t>1、报告期内单一投资者持有基金份额比例达到或超过20%的情况</w:t>
      </w:r>
    </w:p>
    <w:tbl>
      <w:tblPr>
        <w:tblW w:w="8222" w:type="dxa"/>
        <w:jc w:val="center"/>
        <w:tblLayout w:type="fixed"/>
        <w:tblLook w:val="04A0" w:firstRow="1" w:lastRow="0" w:firstColumn="1" w:lastColumn="0" w:noHBand="0" w:noVBand="1"/>
      </w:tblPr>
      <w:tblGrid>
        <w:gridCol w:w="471"/>
        <w:gridCol w:w="471"/>
        <w:gridCol w:w="1102"/>
        <w:gridCol w:w="797"/>
        <w:gridCol w:w="1479"/>
        <w:gridCol w:w="1249"/>
        <w:gridCol w:w="1479"/>
        <w:gridCol w:w="1174"/>
      </w:tblGrid>
      <w:tr w:rsidR="00B85C18">
        <w:trPr>
          <w:jc w:val="center"/>
        </w:trPr>
        <w:tc>
          <w:tcPr>
            <w:tcW w:w="471" w:type="dxa"/>
            <w:vMerge w:val="restart"/>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color w:val="000000"/>
                <w:kern w:val="0"/>
                <w:sz w:val="24"/>
                <w:szCs w:val="24"/>
              </w:rPr>
              <w:t>投资者类别</w:t>
            </w:r>
          </w:p>
        </w:tc>
        <w:tc>
          <w:tcPr>
            <w:tcW w:w="5098" w:type="dxa"/>
            <w:gridSpan w:val="5"/>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color w:val="000000"/>
                <w:kern w:val="0"/>
                <w:sz w:val="24"/>
                <w:szCs w:val="24"/>
              </w:rPr>
              <w:t>报告期内持有基金份额变化情况</w:t>
            </w:r>
          </w:p>
        </w:tc>
        <w:tc>
          <w:tcPr>
            <w:tcW w:w="2653" w:type="dxa"/>
            <w:gridSpan w:val="2"/>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color w:val="000000"/>
                <w:kern w:val="0"/>
                <w:sz w:val="24"/>
                <w:szCs w:val="24"/>
              </w:rPr>
              <w:t>报告期末持有基金情况</w:t>
            </w:r>
          </w:p>
        </w:tc>
      </w:tr>
      <w:tr w:rsidR="00B85C18">
        <w:trPr>
          <w:jc w:val="center"/>
        </w:trPr>
        <w:tc>
          <w:tcPr>
            <w:tcW w:w="471" w:type="dxa"/>
            <w:vMerge/>
            <w:tcBorders>
              <w:top w:val="single" w:sz="8" w:space="0" w:color="000000"/>
              <w:left w:val="single" w:sz="8" w:space="0" w:color="000000"/>
              <w:bottom w:val="single" w:sz="6" w:space="0" w:color="000000"/>
              <w:right w:val="single" w:sz="8" w:space="0" w:color="000000"/>
            </w:tcBorders>
            <w:vAlign w:val="center"/>
          </w:tcPr>
          <w:p w:rsidR="00B85C18" w:rsidRDefault="00B85C18">
            <w:pPr>
              <w:widowControl/>
              <w:jc w:val="left"/>
              <w:rPr>
                <w:rFonts w:ascii="宋体" w:eastAsia="宋体" w:hAnsi="宋体" w:cs="宋体"/>
                <w:kern w:val="0"/>
                <w:sz w:val="24"/>
                <w:szCs w:val="24"/>
              </w:rPr>
            </w:pPr>
          </w:p>
        </w:tc>
        <w:tc>
          <w:tcPr>
            <w:tcW w:w="471"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kern w:val="0"/>
                <w:sz w:val="24"/>
                <w:szCs w:val="24"/>
              </w:rPr>
              <w:t>序号</w:t>
            </w:r>
          </w:p>
        </w:tc>
        <w:tc>
          <w:tcPr>
            <w:tcW w:w="1102"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kern w:val="0"/>
                <w:sz w:val="24"/>
                <w:szCs w:val="24"/>
              </w:rPr>
              <w:t>持有基金份额比例达到或者超过20%的时间区间</w:t>
            </w:r>
          </w:p>
        </w:tc>
        <w:tc>
          <w:tcPr>
            <w:tcW w:w="797"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kern w:val="0"/>
                <w:sz w:val="24"/>
                <w:szCs w:val="24"/>
              </w:rPr>
              <w:t>期初份额</w:t>
            </w:r>
          </w:p>
        </w:tc>
        <w:tc>
          <w:tcPr>
            <w:tcW w:w="1479"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kern w:val="0"/>
                <w:sz w:val="24"/>
                <w:szCs w:val="24"/>
              </w:rPr>
              <w:t>申购份额</w:t>
            </w:r>
          </w:p>
        </w:tc>
        <w:tc>
          <w:tcPr>
            <w:tcW w:w="1249"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kern w:val="0"/>
                <w:sz w:val="24"/>
                <w:szCs w:val="24"/>
              </w:rPr>
              <w:t>赎回份额</w:t>
            </w:r>
          </w:p>
        </w:tc>
        <w:tc>
          <w:tcPr>
            <w:tcW w:w="1479"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kern w:val="0"/>
                <w:sz w:val="24"/>
                <w:szCs w:val="24"/>
              </w:rPr>
              <w:t>持有份额</w:t>
            </w:r>
          </w:p>
        </w:tc>
        <w:tc>
          <w:tcPr>
            <w:tcW w:w="1174"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kern w:val="0"/>
                <w:sz w:val="24"/>
                <w:szCs w:val="24"/>
              </w:rPr>
              <w:t>份额占比</w:t>
            </w:r>
          </w:p>
        </w:tc>
      </w:tr>
      <w:tr w:rsidR="00B85C18">
        <w:trPr>
          <w:jc w:val="center"/>
        </w:trPr>
        <w:tc>
          <w:tcPr>
            <w:tcW w:w="471" w:type="dxa"/>
            <w:vMerge w:val="restart"/>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left"/>
              <w:rPr>
                <w:rFonts w:ascii="宋体" w:eastAsia="宋体" w:hAnsi="宋体" w:cs="宋体"/>
                <w:kern w:val="0"/>
                <w:sz w:val="24"/>
                <w:szCs w:val="24"/>
              </w:rPr>
            </w:pPr>
            <w:r>
              <w:rPr>
                <w:rFonts w:ascii="宋体" w:eastAsia="宋体" w:hAnsi="宋体" w:cs="宋体" w:hint="eastAsia"/>
                <w:kern w:val="0"/>
                <w:sz w:val="24"/>
                <w:szCs w:val="24"/>
              </w:rPr>
              <w:t>机构</w:t>
            </w:r>
          </w:p>
        </w:tc>
        <w:tc>
          <w:tcPr>
            <w:tcW w:w="471"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color w:val="000000"/>
                <w:kern w:val="0"/>
                <w:sz w:val="24"/>
                <w:szCs w:val="24"/>
              </w:rPr>
              <w:t>1</w:t>
            </w:r>
          </w:p>
        </w:tc>
        <w:tc>
          <w:tcPr>
            <w:tcW w:w="1102"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20180529-20180630</w:t>
            </w:r>
          </w:p>
        </w:tc>
        <w:tc>
          <w:tcPr>
            <w:tcW w:w="797"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w:t>
            </w:r>
          </w:p>
        </w:tc>
        <w:tc>
          <w:tcPr>
            <w:tcW w:w="1479"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14,189,513.31</w:t>
            </w:r>
          </w:p>
        </w:tc>
        <w:tc>
          <w:tcPr>
            <w:tcW w:w="1249"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w:t>
            </w:r>
          </w:p>
        </w:tc>
        <w:tc>
          <w:tcPr>
            <w:tcW w:w="1479"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14,189,513.31</w:t>
            </w:r>
          </w:p>
        </w:tc>
        <w:tc>
          <w:tcPr>
            <w:tcW w:w="1174"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25.42%</w:t>
            </w:r>
          </w:p>
        </w:tc>
      </w:tr>
      <w:tr w:rsidR="00B85C18">
        <w:trPr>
          <w:jc w:val="center"/>
        </w:trPr>
        <w:tc>
          <w:tcPr>
            <w:tcW w:w="471" w:type="dxa"/>
            <w:vMerge/>
            <w:tcBorders>
              <w:top w:val="single" w:sz="8" w:space="0" w:color="000000"/>
              <w:left w:val="single" w:sz="8" w:space="0" w:color="000000"/>
              <w:bottom w:val="single" w:sz="6" w:space="0" w:color="000000"/>
              <w:right w:val="single" w:sz="8" w:space="0" w:color="000000"/>
            </w:tcBorders>
            <w:vAlign w:val="center"/>
          </w:tcPr>
          <w:p w:rsidR="00B85C18" w:rsidRDefault="00B85C18">
            <w:pPr>
              <w:widowControl/>
              <w:jc w:val="left"/>
              <w:rPr>
                <w:rFonts w:ascii="宋体" w:eastAsia="宋体" w:hAnsi="宋体" w:cs="宋体"/>
                <w:kern w:val="0"/>
                <w:sz w:val="24"/>
                <w:szCs w:val="24"/>
              </w:rPr>
            </w:pPr>
          </w:p>
        </w:tc>
        <w:tc>
          <w:tcPr>
            <w:tcW w:w="471"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color w:val="000000"/>
                <w:kern w:val="0"/>
                <w:sz w:val="24"/>
                <w:szCs w:val="24"/>
              </w:rPr>
              <w:t>2</w:t>
            </w:r>
          </w:p>
        </w:tc>
        <w:tc>
          <w:tcPr>
            <w:tcW w:w="1102"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20180606-20180630</w:t>
            </w:r>
          </w:p>
        </w:tc>
        <w:tc>
          <w:tcPr>
            <w:tcW w:w="797"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w:t>
            </w:r>
          </w:p>
        </w:tc>
        <w:tc>
          <w:tcPr>
            <w:tcW w:w="1479"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27,458,557.92</w:t>
            </w:r>
          </w:p>
        </w:tc>
        <w:tc>
          <w:tcPr>
            <w:tcW w:w="1249"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w:t>
            </w:r>
          </w:p>
        </w:tc>
        <w:tc>
          <w:tcPr>
            <w:tcW w:w="1479"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27,458,557.92</w:t>
            </w:r>
          </w:p>
        </w:tc>
        <w:tc>
          <w:tcPr>
            <w:tcW w:w="1174" w:type="dxa"/>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right"/>
              <w:rPr>
                <w:rFonts w:ascii="宋体" w:eastAsia="宋体" w:hAnsi="宋体" w:cs="宋体"/>
                <w:kern w:val="0"/>
                <w:sz w:val="24"/>
                <w:szCs w:val="24"/>
              </w:rPr>
            </w:pPr>
            <w:r>
              <w:rPr>
                <w:rFonts w:ascii="宋体" w:eastAsia="宋体" w:hAnsi="宋体" w:cs="宋体" w:hint="eastAsia"/>
                <w:color w:val="000000"/>
                <w:kern w:val="0"/>
                <w:sz w:val="24"/>
                <w:szCs w:val="24"/>
              </w:rPr>
              <w:t>49.18%</w:t>
            </w:r>
          </w:p>
        </w:tc>
      </w:tr>
      <w:tr w:rsidR="00B85C18">
        <w:trPr>
          <w:jc w:val="center"/>
        </w:trPr>
        <w:tc>
          <w:tcPr>
            <w:tcW w:w="8222" w:type="dxa"/>
            <w:gridSpan w:val="8"/>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jc w:val="center"/>
              <w:rPr>
                <w:rFonts w:ascii="宋体" w:eastAsia="宋体" w:hAnsi="宋体" w:cs="宋体"/>
                <w:kern w:val="0"/>
                <w:sz w:val="24"/>
                <w:szCs w:val="24"/>
              </w:rPr>
            </w:pPr>
            <w:r>
              <w:rPr>
                <w:rFonts w:ascii="宋体" w:eastAsia="宋体" w:hAnsi="宋体" w:cs="宋体" w:hint="eastAsia"/>
                <w:color w:val="000000"/>
                <w:kern w:val="0"/>
                <w:sz w:val="24"/>
                <w:szCs w:val="24"/>
              </w:rPr>
              <w:t>产品特有风险</w:t>
            </w:r>
          </w:p>
        </w:tc>
      </w:tr>
      <w:tr w:rsidR="00B85C18">
        <w:trPr>
          <w:jc w:val="center"/>
        </w:trPr>
        <w:tc>
          <w:tcPr>
            <w:tcW w:w="8222" w:type="dxa"/>
            <w:gridSpan w:val="8"/>
            <w:tcBorders>
              <w:top w:val="single" w:sz="8" w:space="0" w:color="000000"/>
              <w:left w:val="single" w:sz="8" w:space="0" w:color="000000"/>
              <w:bottom w:val="single" w:sz="6" w:space="0" w:color="000000"/>
              <w:right w:val="single" w:sz="8" w:space="0" w:color="000000"/>
            </w:tcBorders>
            <w:vAlign w:val="center"/>
          </w:tcPr>
          <w:p w:rsidR="00B85C18" w:rsidRDefault="004E5A0C">
            <w:pPr>
              <w:widowControl/>
              <w:wordWrap w:val="0"/>
              <w:autoSpaceDE w:val="0"/>
              <w:autoSpaceDN w:val="0"/>
              <w:adjustRightInd w:val="0"/>
              <w:spacing w:before="29" w:line="288" w:lineRule="auto"/>
              <w:ind w:left="15" w:firstLine="480"/>
              <w:jc w:val="left"/>
              <w:rPr>
                <w:rFonts w:ascii="宋体" w:eastAsia="宋体" w:hAnsi="宋体" w:cs="宋体"/>
                <w:kern w:val="0"/>
                <w:sz w:val="24"/>
                <w:szCs w:val="24"/>
              </w:rPr>
            </w:pPr>
            <w:r>
              <w:rPr>
                <w:rFonts w:ascii="宋体" w:eastAsia="宋体" w:hAnsi="宋体" w:cs="宋体" w:hint="eastAsia"/>
                <w:kern w:val="0"/>
                <w:sz w:val="24"/>
                <w:szCs w:val="24"/>
              </w:rPr>
              <w:lastRenderedPageBreak/>
              <w:t>报告期内，本基金存在单一投资者持有份额比例达到或超过20%的情况，由此可能导致的特有风险主要包括：当投资者持有份额占比较为集中时，个别投资者的大额赎回可能会对基金资产运作及净值表现产生较大影响；极端情况下基金管理人可能无法以合理价格及时变现基金资产以应对投资者的赎回申请，可能带来流动性风险；如个别投资者大额赎回引发巨额赎回，基金管理人可能根据基金合同约定决定部分延期赎回或暂停接受基金的赎回申请，可能影响投资者赎回业务办理；若个别投资者大额赎回后本基金出现连续六十个工作日基金资产净值低于5000万元，基金还可能面临转换运作方式、与其他基金合并或者终止基金合同等情形；持有基金份额占比较高的投资者在召开持有人大会并对审议事项进行投票表决时可能拥有较大话语权。</w:t>
            </w:r>
          </w:p>
        </w:tc>
      </w:tr>
    </w:tbl>
    <w:p w:rsidR="00B85C18" w:rsidRDefault="004E5A0C">
      <w:pPr>
        <w:pStyle w:val="biaogeleft"/>
      </w:pPr>
      <w:r>
        <w:rPr>
          <w:rFonts w:hint="eastAsia"/>
        </w:rPr>
        <w:t>2、影响投资者决策的其他重要信息</w:t>
      </w:r>
    </w:p>
    <w:p w:rsidR="00B85C18" w:rsidRDefault="004E5A0C">
      <w:pPr>
        <w:pStyle w:val="biaogeleft"/>
        <w:ind w:firstLine="480"/>
      </w:pPr>
      <w:r>
        <w:rPr>
          <w:rFonts w:hint="eastAsia"/>
        </w:rPr>
        <w:t>本报告期内未出现影响投资者决策的其他重大信息。</w:t>
      </w:r>
    </w:p>
    <w:p w:rsidR="00B85C18" w:rsidRDefault="004E5A0C">
      <w:pPr>
        <w:pStyle w:val="biaogeleft"/>
        <w:spacing w:line="360" w:lineRule="auto"/>
      </w:pPr>
      <w:r>
        <w:rPr>
          <w:rFonts w:cs="Arial" w:hint="eastAsia"/>
          <w:bCs/>
        </w:rPr>
        <w:t>十二、基金净值表现</w:t>
      </w:r>
    </w:p>
    <w:p w:rsidR="00B85C18" w:rsidRDefault="004E5A0C">
      <w:pPr>
        <w:pStyle w:val="zhangjiep2"/>
        <w:spacing w:line="360" w:lineRule="auto"/>
        <w:rPr>
          <w:bCs/>
        </w:rPr>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B85C18" w:rsidRDefault="004E5A0C">
      <w:pPr>
        <w:pStyle w:val="zhangjiep2"/>
        <w:spacing w:line="360" w:lineRule="auto"/>
      </w:pPr>
      <w:r>
        <w:rPr>
          <w:rFonts w:hint="eastAsia"/>
          <w:bCs/>
        </w:rPr>
        <w:t>（1）富荣福安混合A（基金代码：004790）</w:t>
      </w:r>
    </w:p>
    <w:tbl>
      <w:tblPr>
        <w:tblW w:w="8222" w:type="dxa"/>
        <w:jc w:val="center"/>
        <w:tblLayout w:type="fixed"/>
        <w:tblLook w:val="04A0" w:firstRow="1" w:lastRow="0" w:firstColumn="1" w:lastColumn="0" w:noHBand="0" w:noVBand="1"/>
      </w:tblPr>
      <w:tblGrid>
        <w:gridCol w:w="1464"/>
        <w:gridCol w:w="1230"/>
        <w:gridCol w:w="1068"/>
        <w:gridCol w:w="1021"/>
        <w:gridCol w:w="1216"/>
        <w:gridCol w:w="1142"/>
        <w:gridCol w:w="1081"/>
      </w:tblGrid>
      <w:tr w:rsidR="00B85C18">
        <w:trPr>
          <w:jc w:val="center"/>
        </w:trPr>
        <w:tc>
          <w:tcPr>
            <w:tcW w:w="146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阶段</w:t>
            </w:r>
          </w:p>
        </w:tc>
        <w:tc>
          <w:tcPr>
            <w:tcW w:w="123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净值增长率①</w:t>
            </w:r>
          </w:p>
        </w:tc>
        <w:tc>
          <w:tcPr>
            <w:tcW w:w="106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净值增长率标准差②</w:t>
            </w:r>
          </w:p>
        </w:tc>
        <w:tc>
          <w:tcPr>
            <w:tcW w:w="1021"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业绩比较基准收益率③</w:t>
            </w:r>
          </w:p>
        </w:tc>
        <w:tc>
          <w:tcPr>
            <w:tcW w:w="121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业绩比较基准收益率标准差④</w:t>
            </w:r>
          </w:p>
        </w:tc>
        <w:tc>
          <w:tcPr>
            <w:tcW w:w="114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①-③</w:t>
            </w:r>
          </w:p>
        </w:tc>
        <w:tc>
          <w:tcPr>
            <w:tcW w:w="1081"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②-④</w:t>
            </w:r>
          </w:p>
        </w:tc>
      </w:tr>
      <w:tr w:rsidR="00B85C18">
        <w:trPr>
          <w:jc w:val="center"/>
        </w:trPr>
        <w:tc>
          <w:tcPr>
            <w:tcW w:w="1464"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left"/>
              <w:wordWrap w:val="0"/>
            </w:pPr>
            <w:r>
              <w:rPr>
                <w:color w:val="000000"/>
              </w:rPr>
              <w:t>201</w:t>
            </w:r>
            <w:r>
              <w:rPr>
                <w:rFonts w:hint="eastAsia"/>
                <w:color w:val="000000"/>
              </w:rPr>
              <w:t>8</w:t>
            </w:r>
            <w:r>
              <w:rPr>
                <w:color w:val="000000"/>
              </w:rPr>
              <w:t>.</w:t>
            </w:r>
            <w:r>
              <w:rPr>
                <w:rFonts w:hint="eastAsia"/>
                <w:color w:val="000000"/>
              </w:rPr>
              <w:t>4</w:t>
            </w:r>
            <w:r>
              <w:rPr>
                <w:color w:val="000000"/>
              </w:rPr>
              <w:t>.</w:t>
            </w:r>
            <w:r>
              <w:rPr>
                <w:rFonts w:hint="eastAsia"/>
                <w:color w:val="000000"/>
              </w:rPr>
              <w:t>1</w:t>
            </w:r>
            <w:r>
              <w:rPr>
                <w:color w:val="000000"/>
              </w:rPr>
              <w:t>~201</w:t>
            </w:r>
            <w:r>
              <w:rPr>
                <w:rFonts w:hint="eastAsia"/>
                <w:color w:val="000000"/>
              </w:rPr>
              <w:t>8</w:t>
            </w:r>
            <w:r>
              <w:rPr>
                <w:color w:val="000000"/>
              </w:rPr>
              <w:t>.06.30</w:t>
            </w:r>
          </w:p>
        </w:tc>
        <w:tc>
          <w:tcPr>
            <w:tcW w:w="1230"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-2.66%</w:t>
            </w:r>
          </w:p>
        </w:tc>
        <w:tc>
          <w:tcPr>
            <w:tcW w:w="1068"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0.41%</w:t>
            </w:r>
          </w:p>
        </w:tc>
        <w:tc>
          <w:tcPr>
            <w:tcW w:w="1021"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-1.54%</w:t>
            </w:r>
          </w:p>
        </w:tc>
        <w:tc>
          <w:tcPr>
            <w:tcW w:w="1216"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0.34%</w:t>
            </w:r>
          </w:p>
        </w:tc>
        <w:tc>
          <w:tcPr>
            <w:tcW w:w="1142"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-1.12%</w:t>
            </w:r>
          </w:p>
        </w:tc>
        <w:tc>
          <w:tcPr>
            <w:tcW w:w="1081"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0.07%</w:t>
            </w:r>
          </w:p>
        </w:tc>
      </w:tr>
      <w:tr w:rsidR="00B85C18">
        <w:trPr>
          <w:jc w:val="center"/>
        </w:trPr>
        <w:tc>
          <w:tcPr>
            <w:tcW w:w="1464"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rPr>
                <w:color w:val="000000"/>
              </w:rPr>
            </w:pPr>
            <w:r>
              <w:rPr>
                <w:color w:val="000000"/>
              </w:rPr>
              <w:t>201</w:t>
            </w:r>
            <w:r>
              <w:rPr>
                <w:rFonts w:hint="eastAsia"/>
                <w:color w:val="000000"/>
              </w:rPr>
              <w:t>8</w:t>
            </w:r>
            <w:r>
              <w:rPr>
                <w:color w:val="000000"/>
              </w:rPr>
              <w:t>.</w:t>
            </w:r>
            <w:r>
              <w:rPr>
                <w:rFonts w:hint="eastAsia"/>
                <w:color w:val="000000"/>
              </w:rPr>
              <w:t>2.13</w:t>
            </w:r>
            <w:r>
              <w:rPr>
                <w:color w:val="000000"/>
              </w:rPr>
              <w:t>~201</w:t>
            </w:r>
            <w:r>
              <w:rPr>
                <w:rFonts w:hint="eastAsia"/>
                <w:color w:val="000000"/>
              </w:rPr>
              <w:t>8</w:t>
            </w:r>
            <w:r>
              <w:rPr>
                <w:color w:val="000000"/>
              </w:rPr>
              <w:t>.06.30</w:t>
            </w:r>
          </w:p>
        </w:tc>
        <w:tc>
          <w:tcPr>
            <w:tcW w:w="123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-2.44%</w:t>
            </w:r>
          </w:p>
        </w:tc>
        <w:tc>
          <w:tcPr>
            <w:tcW w:w="1068"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0.34%</w:t>
            </w:r>
          </w:p>
        </w:tc>
        <w:tc>
          <w:tcPr>
            <w:tcW w:w="1021"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-0.43%</w:t>
            </w:r>
          </w:p>
        </w:tc>
        <w:tc>
          <w:tcPr>
            <w:tcW w:w="121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0.33%</w:t>
            </w:r>
          </w:p>
        </w:tc>
        <w:tc>
          <w:tcPr>
            <w:tcW w:w="114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-2.01%</w:t>
            </w:r>
          </w:p>
        </w:tc>
        <w:tc>
          <w:tcPr>
            <w:tcW w:w="1081"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0.01%</w:t>
            </w:r>
          </w:p>
        </w:tc>
      </w:tr>
    </w:tbl>
    <w:p w:rsidR="00B85C18" w:rsidRDefault="004E5A0C">
      <w:pPr>
        <w:widowControl/>
        <w:spacing w:before="100" w:beforeAutospacing="1" w:after="100" w:afterAutospacing="1"/>
        <w:jc w:val="left"/>
        <w:rPr>
          <w:rFonts w:ascii="宋体" w:eastAsia="宋体" w:hAnsi="宋体" w:cs="宋体"/>
          <w:bCs/>
          <w:kern w:val="0"/>
          <w:sz w:val="24"/>
          <w:szCs w:val="24"/>
        </w:rPr>
      </w:pPr>
      <w:r>
        <w:rPr>
          <w:rFonts w:ascii="宋体" w:eastAsia="宋体" w:hAnsi="宋体" w:cs="宋体" w:hint="eastAsia"/>
          <w:bCs/>
          <w:kern w:val="0"/>
          <w:sz w:val="24"/>
          <w:szCs w:val="24"/>
        </w:rPr>
        <w:t>（2）富荣福安混合C（基金代码：004791）</w:t>
      </w:r>
    </w:p>
    <w:tbl>
      <w:tblPr>
        <w:tblW w:w="8222" w:type="dxa"/>
        <w:jc w:val="center"/>
        <w:tblLayout w:type="fixed"/>
        <w:tblLook w:val="04A0" w:firstRow="1" w:lastRow="0" w:firstColumn="1" w:lastColumn="0" w:noHBand="0" w:noVBand="1"/>
      </w:tblPr>
      <w:tblGrid>
        <w:gridCol w:w="1465"/>
        <w:gridCol w:w="962"/>
        <w:gridCol w:w="1096"/>
        <w:gridCol w:w="1230"/>
        <w:gridCol w:w="1230"/>
        <w:gridCol w:w="1037"/>
        <w:gridCol w:w="1202"/>
      </w:tblGrid>
      <w:tr w:rsidR="00B85C18">
        <w:trPr>
          <w:jc w:val="center"/>
        </w:trPr>
        <w:tc>
          <w:tcPr>
            <w:tcW w:w="1465"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pPr>
            <w:r>
              <w:rPr>
                <w:rFonts w:hint="eastAsia"/>
              </w:rPr>
              <w:t>阶段</w:t>
            </w:r>
          </w:p>
        </w:tc>
        <w:tc>
          <w:tcPr>
            <w:tcW w:w="9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净值增长率①</w:t>
            </w:r>
          </w:p>
        </w:tc>
        <w:tc>
          <w:tcPr>
            <w:tcW w:w="10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净值增长率标准差②</w:t>
            </w:r>
          </w:p>
        </w:tc>
        <w:tc>
          <w:tcPr>
            <w:tcW w:w="123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业绩比较基准收益率③</w:t>
            </w:r>
          </w:p>
        </w:tc>
        <w:tc>
          <w:tcPr>
            <w:tcW w:w="123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业绩比较基准收益率标准差④</w:t>
            </w:r>
          </w:p>
        </w:tc>
        <w:tc>
          <w:tcPr>
            <w:tcW w:w="103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①-③</w:t>
            </w:r>
          </w:p>
        </w:tc>
        <w:tc>
          <w:tcPr>
            <w:tcW w:w="120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②-④</w:t>
            </w:r>
          </w:p>
        </w:tc>
      </w:tr>
      <w:tr w:rsidR="00B85C18">
        <w:trPr>
          <w:jc w:val="center"/>
        </w:trPr>
        <w:tc>
          <w:tcPr>
            <w:tcW w:w="1465"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left"/>
              <w:wordWrap w:val="0"/>
            </w:pPr>
            <w:r>
              <w:rPr>
                <w:color w:val="000000"/>
              </w:rPr>
              <w:t>201</w:t>
            </w:r>
            <w:r>
              <w:rPr>
                <w:rFonts w:hint="eastAsia"/>
                <w:color w:val="000000"/>
              </w:rPr>
              <w:t>8</w:t>
            </w:r>
            <w:r>
              <w:rPr>
                <w:color w:val="000000"/>
              </w:rPr>
              <w:t>.</w:t>
            </w:r>
            <w:r>
              <w:rPr>
                <w:rFonts w:hint="eastAsia"/>
                <w:color w:val="000000"/>
              </w:rPr>
              <w:t>4</w:t>
            </w:r>
            <w:r>
              <w:rPr>
                <w:color w:val="000000"/>
              </w:rPr>
              <w:t>.</w:t>
            </w:r>
            <w:r>
              <w:rPr>
                <w:rFonts w:hint="eastAsia"/>
                <w:color w:val="000000"/>
              </w:rPr>
              <w:t>1</w:t>
            </w:r>
            <w:r>
              <w:rPr>
                <w:color w:val="000000"/>
              </w:rPr>
              <w:t>~201</w:t>
            </w:r>
            <w:r>
              <w:rPr>
                <w:rFonts w:hint="eastAsia"/>
                <w:color w:val="000000"/>
              </w:rPr>
              <w:t>8</w:t>
            </w:r>
            <w:r>
              <w:rPr>
                <w:color w:val="000000"/>
              </w:rPr>
              <w:t>.06.30</w:t>
            </w:r>
          </w:p>
        </w:tc>
        <w:tc>
          <w:tcPr>
            <w:tcW w:w="962"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-2.69%</w:t>
            </w:r>
          </w:p>
        </w:tc>
        <w:tc>
          <w:tcPr>
            <w:tcW w:w="1096"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0.41%</w:t>
            </w:r>
          </w:p>
        </w:tc>
        <w:tc>
          <w:tcPr>
            <w:tcW w:w="1230"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-1.54%</w:t>
            </w:r>
          </w:p>
        </w:tc>
        <w:tc>
          <w:tcPr>
            <w:tcW w:w="1230"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0.34%</w:t>
            </w:r>
          </w:p>
        </w:tc>
        <w:tc>
          <w:tcPr>
            <w:tcW w:w="1037"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-1.15%</w:t>
            </w:r>
          </w:p>
        </w:tc>
        <w:tc>
          <w:tcPr>
            <w:tcW w:w="1202" w:type="dxa"/>
            <w:tcBorders>
              <w:top w:val="single" w:sz="8" w:space="0" w:color="000000"/>
              <w:left w:val="single" w:sz="8" w:space="0" w:color="000000"/>
              <w:bottom w:val="single" w:sz="8" w:space="0" w:color="000000"/>
              <w:right w:val="single" w:sz="8" w:space="0" w:color="000000"/>
            </w:tcBorders>
            <w:vAlign w:val="center"/>
          </w:tcPr>
          <w:p w:rsidR="00B85C18" w:rsidRDefault="004E5A0C">
            <w:pPr>
              <w:pStyle w:val="biaogecenter"/>
              <w:wordWrap w:val="0"/>
            </w:pPr>
            <w:r>
              <w:rPr>
                <w:rFonts w:hint="eastAsia"/>
              </w:rPr>
              <w:t>0.07%</w:t>
            </w:r>
          </w:p>
        </w:tc>
      </w:tr>
      <w:tr w:rsidR="00B85C18">
        <w:trPr>
          <w:jc w:val="center"/>
        </w:trPr>
        <w:tc>
          <w:tcPr>
            <w:tcW w:w="1465"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left"/>
              <w:wordWrap w:val="0"/>
              <w:rPr>
                <w:color w:val="000000"/>
              </w:rPr>
            </w:pPr>
            <w:r>
              <w:rPr>
                <w:color w:val="000000"/>
              </w:rPr>
              <w:t>201</w:t>
            </w:r>
            <w:r>
              <w:rPr>
                <w:rFonts w:hint="eastAsia"/>
                <w:color w:val="000000"/>
              </w:rPr>
              <w:t>8</w:t>
            </w:r>
            <w:r>
              <w:rPr>
                <w:color w:val="000000"/>
              </w:rPr>
              <w:t>.</w:t>
            </w:r>
            <w:r>
              <w:rPr>
                <w:rFonts w:hint="eastAsia"/>
                <w:color w:val="000000"/>
              </w:rPr>
              <w:t>2.13</w:t>
            </w:r>
            <w:r>
              <w:rPr>
                <w:color w:val="000000"/>
              </w:rPr>
              <w:t>~</w:t>
            </w:r>
            <w:r>
              <w:rPr>
                <w:color w:val="000000"/>
              </w:rPr>
              <w:lastRenderedPageBreak/>
              <w:t>201</w:t>
            </w:r>
            <w:r>
              <w:rPr>
                <w:rFonts w:hint="eastAsia"/>
                <w:color w:val="000000"/>
              </w:rPr>
              <w:t>8</w:t>
            </w:r>
            <w:r>
              <w:rPr>
                <w:color w:val="000000"/>
              </w:rPr>
              <w:t>.06.30</w:t>
            </w:r>
          </w:p>
        </w:tc>
        <w:tc>
          <w:tcPr>
            <w:tcW w:w="96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lastRenderedPageBreak/>
              <w:t>-2.48%</w:t>
            </w:r>
          </w:p>
        </w:tc>
        <w:tc>
          <w:tcPr>
            <w:tcW w:w="1096"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0.34%</w:t>
            </w:r>
          </w:p>
        </w:tc>
        <w:tc>
          <w:tcPr>
            <w:tcW w:w="123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-0.43%</w:t>
            </w:r>
          </w:p>
        </w:tc>
        <w:tc>
          <w:tcPr>
            <w:tcW w:w="1230"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0.33%</w:t>
            </w:r>
          </w:p>
        </w:tc>
        <w:tc>
          <w:tcPr>
            <w:tcW w:w="1037"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-2.05%</w:t>
            </w:r>
          </w:p>
        </w:tc>
        <w:tc>
          <w:tcPr>
            <w:tcW w:w="1202" w:type="dxa"/>
            <w:tcBorders>
              <w:top w:val="single" w:sz="8" w:space="0" w:color="000000"/>
              <w:left w:val="single" w:sz="8" w:space="0" w:color="000000"/>
              <w:bottom w:val="single" w:sz="6" w:space="0" w:color="000000"/>
              <w:right w:val="single" w:sz="8" w:space="0" w:color="000000"/>
            </w:tcBorders>
            <w:vAlign w:val="center"/>
          </w:tcPr>
          <w:p w:rsidR="00B85C18" w:rsidRDefault="004E5A0C">
            <w:pPr>
              <w:pStyle w:val="biaogecenter"/>
              <w:wordWrap w:val="0"/>
            </w:pPr>
            <w:r>
              <w:rPr>
                <w:rFonts w:hint="eastAsia"/>
              </w:rPr>
              <w:t>0.01%</w:t>
            </w:r>
          </w:p>
        </w:tc>
      </w:tr>
    </w:tbl>
    <w:p w:rsidR="00B85C18" w:rsidRDefault="004E5A0C">
      <w:pPr>
        <w:widowControl/>
        <w:jc w:val="left"/>
        <w:rPr>
          <w:rFonts w:ascii="宋体" w:eastAsia="宋体" w:hAnsi="宋体" w:cs="宋体"/>
          <w:kern w:val="0"/>
          <w:szCs w:val="21"/>
        </w:rPr>
      </w:pPr>
      <w:r>
        <w:rPr>
          <w:rFonts w:ascii="宋体" w:eastAsia="宋体" w:hAnsi="宋体" w:cs="宋体" w:hint="eastAsia"/>
          <w:kern w:val="0"/>
          <w:szCs w:val="21"/>
        </w:rPr>
        <w:lastRenderedPageBreak/>
        <w:t>注：本基金的业绩比较基准为：中证全债指数收益率×</w:t>
      </w:r>
      <w:r>
        <w:rPr>
          <w:rFonts w:ascii="宋体" w:eastAsia="宋体" w:hAnsi="宋体" w:cs="宋体"/>
          <w:kern w:val="0"/>
          <w:szCs w:val="21"/>
        </w:rPr>
        <w:t xml:space="preserve">70%+沪深300指数收益率×30%  </w:t>
      </w:r>
    </w:p>
    <w:p w:rsidR="00B85C18" w:rsidRDefault="00B85C18">
      <w:pPr>
        <w:widowControl/>
        <w:jc w:val="left"/>
        <w:rPr>
          <w:rFonts w:ascii="宋体" w:eastAsia="宋体" w:hAnsi="宋体" w:cs="宋体"/>
          <w:kern w:val="0"/>
          <w:sz w:val="24"/>
          <w:szCs w:val="24"/>
        </w:rPr>
      </w:pPr>
    </w:p>
    <w:p w:rsidR="00B85C18" w:rsidRDefault="004E5A0C">
      <w:pPr>
        <w:pStyle w:val="zhangjiep2"/>
        <w:spacing w:line="360" w:lineRule="auto"/>
        <w:rPr>
          <w:bCs/>
        </w:rPr>
      </w:pPr>
      <w:r>
        <w:rPr>
          <w:rFonts w:hint="eastAsia"/>
          <w:bCs/>
        </w:rPr>
        <w:t>2、 自基金合同生效以来基金累计净值增长率变动及其与同期业绩比较基准收益率变动的比较</w:t>
      </w:r>
    </w:p>
    <w:p w:rsidR="00B85C18" w:rsidRDefault="004E5A0C">
      <w:pPr>
        <w:pStyle w:val="biaogeleft"/>
      </w:pPr>
      <w:r>
        <w:rPr>
          <w:noProof/>
          <w:color w:val="000000"/>
        </w:rPr>
        <w:drawing>
          <wp:inline distT="0" distB="0" distL="0" distR="0" wp14:anchorId="51106329" wp14:editId="7CB8FA3A">
            <wp:extent cx="5181600" cy="3190875"/>
            <wp:effectExtent l="0" t="0" r="0" b="9525"/>
            <wp:docPr id="4" name="图片 4" descr="D:\FA_Client\Bin\MOD\TMP\CN_51130000_004790_FB030020_2018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FA_Client\Bin\MOD\TMP\CN_51130000_004790_FB030020_20180001_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181600" cy="3190875"/>
                    </a:xfrm>
                    <a:prstGeom prst="rect">
                      <a:avLst/>
                    </a:prstGeom>
                    <a:noFill/>
                    <a:ln>
                      <a:noFill/>
                    </a:ln>
                  </pic:spPr>
                </pic:pic>
              </a:graphicData>
            </a:graphic>
          </wp:inline>
        </w:drawing>
      </w:r>
    </w:p>
    <w:p w:rsidR="00B85C18" w:rsidRDefault="004E5A0C">
      <w:pPr>
        <w:pStyle w:val="biaogeleft"/>
      </w:pPr>
      <w:r>
        <w:rPr>
          <w:noProof/>
          <w:color w:val="000000"/>
        </w:rPr>
        <w:drawing>
          <wp:inline distT="0" distB="0" distL="0" distR="0" wp14:anchorId="5F647735" wp14:editId="2C3E1B13">
            <wp:extent cx="5086350" cy="3248025"/>
            <wp:effectExtent l="0" t="0" r="0" b="9525"/>
            <wp:docPr id="3" name="图片 3" descr="D:\FA_Client\Bin\MOD\TMP\CN_51130000_004790_FB030020_2018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FA_Client\Bin\MOD\TMP\CN_51130000_004790_FB030020_20180001_3.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086350" cy="3248025"/>
                    </a:xfrm>
                    <a:prstGeom prst="rect">
                      <a:avLst/>
                    </a:prstGeom>
                    <a:noFill/>
                    <a:ln>
                      <a:noFill/>
                    </a:ln>
                  </pic:spPr>
                </pic:pic>
              </a:graphicData>
            </a:graphic>
          </wp:inline>
        </w:drawing>
      </w:r>
    </w:p>
    <w:p w:rsidR="00B85C18" w:rsidRDefault="004E5A0C" w:rsidP="00D85E3F">
      <w:pPr>
        <w:widowControl/>
        <w:ind w:left="630" w:hangingChars="300" w:hanging="630"/>
        <w:jc w:val="left"/>
        <w:rPr>
          <w:rFonts w:ascii="宋体" w:eastAsia="宋体" w:hAnsi="宋体" w:cs="宋体"/>
          <w:kern w:val="0"/>
          <w:szCs w:val="21"/>
        </w:rPr>
      </w:pPr>
      <w:r>
        <w:rPr>
          <w:rFonts w:ascii="宋体" w:eastAsia="宋体" w:hAnsi="宋体" w:cs="宋体" w:hint="eastAsia"/>
          <w:kern w:val="0"/>
          <w:szCs w:val="21"/>
        </w:rPr>
        <w:t>注：①本基金基金合同于</w:t>
      </w:r>
      <w:r>
        <w:rPr>
          <w:rFonts w:ascii="宋体" w:eastAsia="宋体" w:hAnsi="宋体" w:cs="宋体"/>
          <w:kern w:val="0"/>
          <w:szCs w:val="21"/>
        </w:rPr>
        <w:t>2018年2月13日生效，截止2018年6月30日止，本基金成立未满一年；</w:t>
      </w:r>
    </w:p>
    <w:p w:rsidR="00B85C18" w:rsidRDefault="004E5A0C" w:rsidP="00D85E3F">
      <w:pPr>
        <w:ind w:firstLineChars="200" w:firstLine="420"/>
      </w:pPr>
      <w:bookmarkStart w:id="209" w:name="_Toc523229267"/>
      <w:r>
        <w:rPr>
          <w:rFonts w:hint="eastAsia"/>
        </w:rPr>
        <w:t>②本基金建仓期为</w:t>
      </w:r>
      <w:r>
        <w:t>6</w:t>
      </w:r>
      <w:r>
        <w:t>个月，截止</w:t>
      </w:r>
      <w:r>
        <w:t>2018</w:t>
      </w:r>
      <w:r>
        <w:t>年</w:t>
      </w:r>
      <w:r>
        <w:t>6</w:t>
      </w:r>
      <w:r>
        <w:t>月</w:t>
      </w:r>
      <w:r>
        <w:t>30</w:t>
      </w:r>
      <w:r>
        <w:t>日止，本基金建仓期未满</w:t>
      </w:r>
      <w:r>
        <w:t>6</w:t>
      </w:r>
      <w:r>
        <w:t>个月</w:t>
      </w:r>
      <w:bookmarkStart w:id="210" w:name="_Toc416264546"/>
      <w:bookmarkStart w:id="211" w:name="_Toc462063873"/>
      <w:bookmarkStart w:id="212" w:name="_Toc98560357"/>
      <w:bookmarkStart w:id="213" w:name="_Toc22674"/>
      <w:bookmarkStart w:id="214" w:name="_Toc3244"/>
      <w:bookmarkStart w:id="215" w:name="_Toc14725"/>
      <w:bookmarkStart w:id="216" w:name="_Toc16789"/>
      <w:bookmarkStart w:id="217" w:name="_Toc26084"/>
      <w:bookmarkStart w:id="218" w:name="_Toc26152"/>
      <w:bookmarkStart w:id="219" w:name="_Toc141703891"/>
      <w:bookmarkStart w:id="220" w:name="_Toc31469"/>
      <w:bookmarkStart w:id="221" w:name="_Toc21886"/>
      <w:bookmarkStart w:id="222" w:name="_Toc48649710"/>
      <w:bookmarkStart w:id="223" w:name="_Toc123051457"/>
      <w:bookmarkStart w:id="224" w:name="_Toc352229757"/>
      <w:bookmarkStart w:id="225" w:name="_Toc19520"/>
      <w:bookmarkStart w:id="226" w:name="_Toc2255"/>
      <w:bookmarkStart w:id="227" w:name="_Toc123102458"/>
      <w:bookmarkStart w:id="228" w:name="_Toc123112239"/>
      <w:bookmarkStart w:id="229" w:name="_Toc139991741"/>
      <w:bookmarkStart w:id="230" w:name="_Toc26383"/>
      <w:bookmarkStart w:id="231" w:name="_Toc7939262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rPr>
        <w:t>。</w:t>
      </w:r>
    </w:p>
    <w:p w:rsidR="00B85C18" w:rsidRDefault="004E5A0C">
      <w:pPr>
        <w:widowControl/>
        <w:jc w:val="left"/>
      </w:pPr>
      <w:r>
        <w:br w:type="page"/>
      </w:r>
    </w:p>
    <w:p w:rsidR="00B85C18" w:rsidRDefault="004E5A0C">
      <w:pPr>
        <w:pStyle w:val="1"/>
        <w:jc w:val="center"/>
        <w:rPr>
          <w:sz w:val="30"/>
          <w:szCs w:val="30"/>
        </w:rPr>
      </w:pPr>
      <w:bookmarkStart w:id="232" w:name="_Toc523229705"/>
      <w:r>
        <w:rPr>
          <w:rFonts w:hint="eastAsia"/>
          <w:sz w:val="30"/>
          <w:szCs w:val="30"/>
        </w:rPr>
        <w:lastRenderedPageBreak/>
        <w:t>第十部分</w:t>
      </w:r>
      <w:r>
        <w:rPr>
          <w:sz w:val="30"/>
          <w:szCs w:val="30"/>
        </w:rPr>
        <w:t xml:space="preserve">  </w:t>
      </w:r>
      <w:r>
        <w:rPr>
          <w:rFonts w:hint="eastAsia"/>
          <w:sz w:val="30"/>
          <w:szCs w:val="30"/>
        </w:rPr>
        <w:t>基金的财产</w:t>
      </w:r>
      <w:bookmarkEnd w:id="209"/>
      <w:bookmarkEnd w:id="210"/>
      <w:bookmarkEnd w:id="211"/>
      <w:bookmarkEnd w:id="232"/>
    </w:p>
    <w:p w:rsidR="00B85C18" w:rsidRDefault="004E5A0C">
      <w:pPr>
        <w:autoSpaceDE w:val="0"/>
        <w:autoSpaceDN w:val="0"/>
        <w:spacing w:line="360" w:lineRule="auto"/>
        <w:ind w:firstLineChars="200" w:firstLine="480"/>
        <w:textAlignment w:val="bottom"/>
        <w:rPr>
          <w:bCs/>
          <w:sz w:val="24"/>
        </w:rPr>
      </w:pPr>
      <w:bookmarkStart w:id="233" w:name="_Toc416264547"/>
      <w:bookmarkStart w:id="234" w:name="_Toc214873600"/>
      <w:bookmarkStart w:id="235" w:name="_Toc263092319"/>
      <w:bookmarkStart w:id="236" w:name="_Toc11395"/>
      <w:bookmarkStart w:id="237" w:name="_Toc801"/>
      <w:bookmarkStart w:id="238" w:name="_Toc352229758"/>
      <w:bookmarkStart w:id="239" w:name="_Toc578"/>
      <w:bookmarkStart w:id="240" w:name="_Toc16437"/>
      <w:bookmarkStart w:id="241" w:name="_Toc13343"/>
      <w:bookmarkStart w:id="242" w:name="_Toc3872"/>
      <w:bookmarkStart w:id="243" w:name="_Toc22538"/>
      <w:bookmarkStart w:id="244" w:name="_Toc11351"/>
      <w:bookmarkStart w:id="245" w:name="_Toc2981"/>
      <w:bookmarkStart w:id="246" w:name="_Toc21917"/>
      <w:bookmarkStart w:id="247" w:name="_Toc5477"/>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r>
        <w:rPr>
          <w:bCs/>
          <w:sz w:val="24"/>
        </w:rPr>
        <w:t>一、基金资产总值</w:t>
      </w:r>
    </w:p>
    <w:p w:rsidR="00B85C18" w:rsidRDefault="004E5A0C">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rsidR="00B85C18" w:rsidRDefault="004E5A0C">
      <w:pPr>
        <w:autoSpaceDE w:val="0"/>
        <w:autoSpaceDN w:val="0"/>
        <w:spacing w:line="360" w:lineRule="auto"/>
        <w:ind w:firstLineChars="200" w:firstLine="480"/>
        <w:textAlignment w:val="bottom"/>
        <w:rPr>
          <w:bCs/>
          <w:sz w:val="24"/>
        </w:rPr>
      </w:pPr>
      <w:r>
        <w:rPr>
          <w:bCs/>
          <w:sz w:val="24"/>
        </w:rPr>
        <w:t>二、基金资产净值</w:t>
      </w:r>
    </w:p>
    <w:p w:rsidR="00B85C18" w:rsidRDefault="004E5A0C">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rsidR="00B85C18" w:rsidRDefault="004E5A0C">
      <w:pPr>
        <w:autoSpaceDE w:val="0"/>
        <w:autoSpaceDN w:val="0"/>
        <w:spacing w:line="360" w:lineRule="auto"/>
        <w:ind w:firstLineChars="200" w:firstLine="480"/>
        <w:textAlignment w:val="bottom"/>
        <w:rPr>
          <w:bCs/>
          <w:sz w:val="24"/>
        </w:rPr>
      </w:pPr>
      <w:r>
        <w:rPr>
          <w:bCs/>
          <w:sz w:val="24"/>
        </w:rPr>
        <w:t>三、基金财产的账户</w:t>
      </w:r>
    </w:p>
    <w:p w:rsidR="00B85C18" w:rsidRDefault="004E5A0C">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8" w:name="_Hlt88841837"/>
      <w:bookmarkEnd w:id="248"/>
    </w:p>
    <w:p w:rsidR="00B85C18" w:rsidRDefault="004E5A0C">
      <w:pPr>
        <w:autoSpaceDE w:val="0"/>
        <w:autoSpaceDN w:val="0"/>
        <w:spacing w:line="360" w:lineRule="auto"/>
        <w:ind w:firstLineChars="200" w:firstLine="480"/>
        <w:textAlignment w:val="bottom"/>
        <w:rPr>
          <w:bCs/>
          <w:sz w:val="24"/>
        </w:rPr>
      </w:pPr>
      <w:r>
        <w:rPr>
          <w:bCs/>
          <w:sz w:val="24"/>
        </w:rPr>
        <w:t>四、基金财产的保管和处分</w:t>
      </w:r>
      <w:bookmarkStart w:id="249" w:name="_Hlt88900062"/>
      <w:bookmarkEnd w:id="249"/>
    </w:p>
    <w:p w:rsidR="00B85C18" w:rsidRDefault="004E5A0C">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B85C18" w:rsidRDefault="004E5A0C">
      <w:pPr>
        <w:adjustRightInd w:val="0"/>
        <w:snapToGrid w:val="0"/>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rsidR="00B85C18" w:rsidRDefault="004E5A0C">
      <w:pPr>
        <w:widowControl/>
        <w:jc w:val="left"/>
        <w:rPr>
          <w:bCs/>
          <w:sz w:val="24"/>
        </w:rPr>
      </w:pPr>
      <w:r>
        <w:rPr>
          <w:bCs/>
          <w:sz w:val="24"/>
        </w:rPr>
        <w:br w:type="page"/>
      </w:r>
    </w:p>
    <w:p w:rsidR="00B85C18" w:rsidRDefault="004E5A0C">
      <w:pPr>
        <w:pStyle w:val="1"/>
        <w:jc w:val="center"/>
        <w:rPr>
          <w:sz w:val="30"/>
          <w:szCs w:val="30"/>
        </w:rPr>
      </w:pPr>
      <w:bookmarkStart w:id="250" w:name="_Toc462063874"/>
      <w:bookmarkStart w:id="251" w:name="_Toc523229268"/>
      <w:bookmarkStart w:id="252" w:name="_Toc523229706"/>
      <w:r>
        <w:rPr>
          <w:rFonts w:hint="eastAsia"/>
          <w:sz w:val="30"/>
          <w:szCs w:val="30"/>
        </w:rPr>
        <w:lastRenderedPageBreak/>
        <w:t>第十一部分</w:t>
      </w:r>
      <w:r>
        <w:rPr>
          <w:sz w:val="30"/>
          <w:szCs w:val="30"/>
        </w:rPr>
        <w:t xml:space="preserve">  </w:t>
      </w:r>
      <w:r>
        <w:rPr>
          <w:rFonts w:hint="eastAsia"/>
          <w:sz w:val="30"/>
          <w:szCs w:val="30"/>
        </w:rPr>
        <w:t>基金资产的估值</w:t>
      </w:r>
      <w:bookmarkEnd w:id="233"/>
      <w:bookmarkEnd w:id="234"/>
      <w:bookmarkEnd w:id="235"/>
      <w:bookmarkEnd w:id="250"/>
      <w:bookmarkEnd w:id="251"/>
      <w:bookmarkEnd w:id="252"/>
    </w:p>
    <w:p w:rsidR="00B85C18" w:rsidRDefault="004E5A0C">
      <w:pPr>
        <w:autoSpaceDE w:val="0"/>
        <w:autoSpaceDN w:val="0"/>
        <w:spacing w:line="360" w:lineRule="auto"/>
        <w:ind w:firstLineChars="200" w:firstLine="480"/>
        <w:textAlignment w:val="bottom"/>
        <w:rPr>
          <w:bCs/>
          <w:sz w:val="24"/>
        </w:rPr>
      </w:pPr>
      <w:r>
        <w:rPr>
          <w:bCs/>
          <w:sz w:val="24"/>
        </w:rPr>
        <w:t>一、估值日</w:t>
      </w:r>
    </w:p>
    <w:p w:rsidR="00B85C18" w:rsidRDefault="004E5A0C">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rsidR="00B85C18" w:rsidRDefault="004E5A0C">
      <w:pPr>
        <w:autoSpaceDE w:val="0"/>
        <w:autoSpaceDN w:val="0"/>
        <w:spacing w:line="360" w:lineRule="auto"/>
        <w:ind w:firstLineChars="200" w:firstLine="480"/>
        <w:textAlignment w:val="bottom"/>
        <w:rPr>
          <w:bCs/>
          <w:sz w:val="24"/>
        </w:rPr>
      </w:pPr>
      <w:r>
        <w:rPr>
          <w:bCs/>
          <w:sz w:val="24"/>
        </w:rPr>
        <w:t>二、估值对象</w:t>
      </w:r>
    </w:p>
    <w:p w:rsidR="00B85C18" w:rsidRDefault="004E5A0C">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rsidR="00B85C18" w:rsidRDefault="004E5A0C">
      <w:pPr>
        <w:autoSpaceDE w:val="0"/>
        <w:autoSpaceDN w:val="0"/>
        <w:spacing w:line="360" w:lineRule="auto"/>
        <w:ind w:firstLineChars="200" w:firstLine="480"/>
        <w:textAlignment w:val="bottom"/>
        <w:rPr>
          <w:bCs/>
          <w:sz w:val="24"/>
        </w:rPr>
      </w:pPr>
      <w:r>
        <w:rPr>
          <w:bCs/>
          <w:sz w:val="24"/>
        </w:rPr>
        <w:t>三、估值方法</w:t>
      </w:r>
    </w:p>
    <w:p w:rsidR="00B85C18" w:rsidRDefault="004E5A0C">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85C18" w:rsidRDefault="004E5A0C">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rsidR="00B85C18" w:rsidRDefault="004E5A0C">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）对在交易所市场上市交易或挂牌转让的固定收益品种，选取估值日第三方估值机构提供的相应品种对应的估值净价进行估值；</w:t>
      </w:r>
    </w:p>
    <w:p w:rsidR="00B85C18" w:rsidRDefault="004E5A0C">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B85C18" w:rsidRDefault="004E5A0C">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rsidR="00B85C18" w:rsidRDefault="004E5A0C">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rsidR="00B85C18" w:rsidRDefault="004E5A0C">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rsidR="00B85C18" w:rsidRDefault="004E5A0C">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rsidR="00B85C18" w:rsidRDefault="004E5A0C">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rsidR="00B85C18" w:rsidRDefault="004E5A0C">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B85C18" w:rsidRDefault="004E5A0C">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rsidR="00B85C18" w:rsidRDefault="004E5A0C">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rsidR="00B85C18" w:rsidRDefault="004E5A0C">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rsidR="00B85C18" w:rsidRDefault="004E5A0C">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B85C18" w:rsidRDefault="004E5A0C">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rsidR="00B85C18" w:rsidRDefault="004E5A0C">
      <w:pPr>
        <w:autoSpaceDE w:val="0"/>
        <w:autoSpaceDN w:val="0"/>
        <w:spacing w:line="360" w:lineRule="auto"/>
        <w:ind w:firstLineChars="200" w:firstLine="480"/>
        <w:textAlignment w:val="bottom"/>
        <w:rPr>
          <w:bCs/>
          <w:sz w:val="24"/>
        </w:rPr>
      </w:pPr>
      <w:r>
        <w:rPr>
          <w:bCs/>
          <w:sz w:val="24"/>
        </w:rPr>
        <w:t>10</w:t>
      </w:r>
      <w:r>
        <w:rPr>
          <w:bCs/>
          <w:sz w:val="24"/>
        </w:rPr>
        <w:t>、如有确凿证据表明按上述方法进行估值不能客观反映其公允价值的，基金管理人可根据具体情况与基金托管人商定后，按最能反映公允价值的价格估值。</w:t>
      </w:r>
    </w:p>
    <w:p w:rsidR="00B85C18" w:rsidRDefault="004E5A0C">
      <w:pPr>
        <w:autoSpaceDE w:val="0"/>
        <w:autoSpaceDN w:val="0"/>
        <w:spacing w:line="360" w:lineRule="auto"/>
        <w:ind w:firstLineChars="200" w:firstLine="480"/>
        <w:textAlignment w:val="bottom"/>
        <w:rPr>
          <w:bCs/>
          <w:sz w:val="24"/>
        </w:rPr>
      </w:pPr>
      <w:r>
        <w:rPr>
          <w:bCs/>
          <w:sz w:val="24"/>
        </w:rPr>
        <w:t>11</w:t>
      </w:r>
      <w:r>
        <w:rPr>
          <w:bCs/>
          <w:sz w:val="24"/>
        </w:rPr>
        <w:t>、相关法律法规以及监管部门有强制规定的，从其规定。如有新增事项，按国家最新规定估值。</w:t>
      </w:r>
    </w:p>
    <w:p w:rsidR="00B85C18" w:rsidRDefault="004E5A0C">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B85C18" w:rsidRDefault="004E5A0C">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85C18" w:rsidRDefault="004E5A0C">
      <w:pPr>
        <w:autoSpaceDE w:val="0"/>
        <w:autoSpaceDN w:val="0"/>
        <w:spacing w:line="360" w:lineRule="auto"/>
        <w:ind w:firstLineChars="200" w:firstLine="480"/>
        <w:textAlignment w:val="bottom"/>
        <w:rPr>
          <w:bCs/>
          <w:sz w:val="24"/>
        </w:rPr>
      </w:pPr>
      <w:r>
        <w:rPr>
          <w:bCs/>
          <w:sz w:val="24"/>
        </w:rPr>
        <w:t>四、估值程序</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rsidR="00B85C18" w:rsidRDefault="004E5A0C">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rsidR="00B85C18" w:rsidRDefault="004E5A0C">
      <w:pPr>
        <w:autoSpaceDE w:val="0"/>
        <w:autoSpaceDN w:val="0"/>
        <w:spacing w:line="360" w:lineRule="auto"/>
        <w:ind w:firstLineChars="200" w:firstLine="480"/>
        <w:textAlignment w:val="bottom"/>
        <w:rPr>
          <w:bCs/>
          <w:sz w:val="24"/>
        </w:rPr>
      </w:pPr>
      <w:r>
        <w:rPr>
          <w:bCs/>
          <w:sz w:val="24"/>
        </w:rPr>
        <w:t>五、估值错误的处理</w:t>
      </w:r>
    </w:p>
    <w:p w:rsidR="00B85C18" w:rsidRDefault="004E5A0C">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rsidR="00B85C18" w:rsidRDefault="004E5A0C">
      <w:pPr>
        <w:autoSpaceDE w:val="0"/>
        <w:autoSpaceDN w:val="0"/>
        <w:spacing w:line="360" w:lineRule="auto"/>
        <w:ind w:firstLineChars="200" w:firstLine="480"/>
        <w:textAlignment w:val="bottom"/>
        <w:rPr>
          <w:bCs/>
          <w:sz w:val="24"/>
        </w:rPr>
      </w:pPr>
      <w:r>
        <w:rPr>
          <w:bCs/>
          <w:sz w:val="24"/>
        </w:rPr>
        <w:t>本基金合同的当事人应按照以下约定处理：</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、估值错误类型</w:t>
      </w:r>
    </w:p>
    <w:p w:rsidR="00B85C18" w:rsidRDefault="004E5A0C">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rsidR="00B85C18" w:rsidRDefault="004E5A0C">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、估值错误处理原则</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rsidR="00B85C18" w:rsidRDefault="004E5A0C">
      <w:pPr>
        <w:autoSpaceDE w:val="0"/>
        <w:autoSpaceDN w:val="0"/>
        <w:spacing w:line="360" w:lineRule="auto"/>
        <w:ind w:firstLineChars="200" w:firstLine="480"/>
        <w:textAlignment w:val="bottom"/>
        <w:rPr>
          <w:bCs/>
          <w:sz w:val="24"/>
        </w:rPr>
      </w:pPr>
      <w:r>
        <w:rPr>
          <w:bCs/>
          <w:sz w:val="24"/>
        </w:rPr>
        <w:t>3</w:t>
      </w:r>
      <w:r>
        <w:rPr>
          <w:bCs/>
          <w:sz w:val="24"/>
        </w:rPr>
        <w:t>、估值错误处理程序</w:t>
      </w:r>
    </w:p>
    <w:p w:rsidR="00B85C18" w:rsidRDefault="004E5A0C">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rsidR="00B85C18" w:rsidRDefault="004E5A0C">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rsidR="00B85C18" w:rsidRDefault="004E5A0C">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rsidR="00B85C18" w:rsidRDefault="004E5A0C">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rsidR="00B85C18" w:rsidRDefault="004E5A0C">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rsidR="00B85C18" w:rsidRDefault="004E5A0C">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rsidR="00B85C18" w:rsidRDefault="004E5A0C">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rsidR="00B85C18" w:rsidRDefault="004E5A0C">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前述内容如法律法规或监管机关另有规定的，从其规定处理。</w:t>
      </w:r>
      <w:r>
        <w:rPr>
          <w:rFonts w:hint="eastAsia"/>
          <w:bCs/>
          <w:sz w:val="24"/>
        </w:rPr>
        <w:t>如果行业另有通行做法，双方当事人应本着平等和保护基金份额持有人利益的原则进行协商。</w:t>
      </w:r>
    </w:p>
    <w:p w:rsidR="00B85C18" w:rsidRDefault="004E5A0C">
      <w:pPr>
        <w:spacing w:line="360" w:lineRule="auto"/>
        <w:ind w:firstLineChars="200" w:firstLine="480"/>
        <w:rPr>
          <w:bCs/>
          <w:sz w:val="24"/>
        </w:rPr>
      </w:pPr>
      <w:r>
        <w:rPr>
          <w:bCs/>
          <w:sz w:val="24"/>
        </w:rPr>
        <w:t>六、暂停估值的情形</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rsidR="00B85C18" w:rsidRDefault="004E5A0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以上的资产出现无可参考的活跃市场价格且采用估值技术仍导致公允价值存在重大不确定性时，经与基金托管人协商一致的；</w:t>
      </w:r>
    </w:p>
    <w:p w:rsidR="00B85C18" w:rsidRDefault="004E5A0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rsidR="00B85C18" w:rsidRDefault="004E5A0C">
      <w:pPr>
        <w:autoSpaceDE w:val="0"/>
        <w:autoSpaceDN w:val="0"/>
        <w:spacing w:line="360" w:lineRule="auto"/>
        <w:ind w:firstLineChars="200" w:firstLine="480"/>
        <w:textAlignment w:val="bottom"/>
        <w:rPr>
          <w:bCs/>
          <w:sz w:val="24"/>
        </w:rPr>
      </w:pPr>
      <w:r>
        <w:rPr>
          <w:bCs/>
          <w:sz w:val="24"/>
        </w:rPr>
        <w:lastRenderedPageBreak/>
        <w:t>七、基金净值的确认</w:t>
      </w:r>
    </w:p>
    <w:p w:rsidR="00B85C18" w:rsidRDefault="004E5A0C">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rsidR="00B85C18" w:rsidRDefault="004E5A0C">
      <w:pPr>
        <w:autoSpaceDE w:val="0"/>
        <w:autoSpaceDN w:val="0"/>
        <w:spacing w:line="360" w:lineRule="auto"/>
        <w:ind w:firstLineChars="200" w:firstLine="480"/>
        <w:textAlignment w:val="bottom"/>
        <w:rPr>
          <w:bCs/>
          <w:sz w:val="24"/>
        </w:rPr>
      </w:pPr>
      <w:r>
        <w:rPr>
          <w:rFonts w:hint="eastAsia"/>
          <w:bCs/>
          <w:sz w:val="24"/>
        </w:rPr>
        <w:t>八、特殊情况的处理</w:t>
      </w:r>
    </w:p>
    <w:p w:rsidR="00B85C18" w:rsidRDefault="004E5A0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p>
    <w:p w:rsidR="00B85C18" w:rsidRDefault="004E5A0C">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rsidR="00B85C18" w:rsidRPr="00547ECB" w:rsidRDefault="004E5A0C">
      <w:pPr>
        <w:pStyle w:val="1"/>
        <w:jc w:val="center"/>
        <w:rPr>
          <w:sz w:val="30"/>
          <w:szCs w:val="30"/>
          <w:lang w:val="en-US"/>
        </w:rPr>
      </w:pPr>
      <w:bookmarkStart w:id="253" w:name="_Toc263092320"/>
      <w:bookmarkStart w:id="254" w:name="_Toc523229269"/>
      <w:bookmarkStart w:id="255" w:name="_Toc462063875"/>
      <w:bookmarkStart w:id="256" w:name="_Toc523229707"/>
      <w:bookmarkStart w:id="257" w:name="_Toc416264548"/>
      <w:bookmarkEnd w:id="236"/>
      <w:bookmarkEnd w:id="237"/>
      <w:bookmarkEnd w:id="238"/>
      <w:bookmarkEnd w:id="239"/>
      <w:bookmarkEnd w:id="240"/>
      <w:bookmarkEnd w:id="241"/>
      <w:bookmarkEnd w:id="242"/>
      <w:bookmarkEnd w:id="243"/>
      <w:bookmarkEnd w:id="244"/>
      <w:bookmarkEnd w:id="245"/>
      <w:bookmarkEnd w:id="246"/>
      <w:bookmarkEnd w:id="247"/>
      <w:r>
        <w:rPr>
          <w:rFonts w:hint="eastAsia"/>
          <w:sz w:val="30"/>
          <w:szCs w:val="30"/>
        </w:rPr>
        <w:lastRenderedPageBreak/>
        <w:t>第十二部分</w:t>
      </w:r>
      <w:r w:rsidRPr="00547ECB">
        <w:rPr>
          <w:sz w:val="30"/>
          <w:szCs w:val="30"/>
          <w:lang w:val="en-US"/>
        </w:rPr>
        <w:t xml:space="preserve">  </w:t>
      </w:r>
      <w:r>
        <w:rPr>
          <w:rFonts w:hint="eastAsia"/>
          <w:sz w:val="30"/>
          <w:szCs w:val="30"/>
        </w:rPr>
        <w:t>基金的收益分配</w:t>
      </w:r>
      <w:bookmarkEnd w:id="253"/>
      <w:bookmarkEnd w:id="254"/>
      <w:bookmarkEnd w:id="255"/>
      <w:bookmarkEnd w:id="256"/>
      <w:bookmarkEnd w:id="257"/>
    </w:p>
    <w:p w:rsidR="00B85C18" w:rsidRDefault="004E5A0C">
      <w:pPr>
        <w:autoSpaceDE w:val="0"/>
        <w:autoSpaceDN w:val="0"/>
        <w:spacing w:line="360" w:lineRule="auto"/>
        <w:ind w:firstLineChars="200" w:firstLine="480"/>
        <w:textAlignment w:val="bottom"/>
        <w:rPr>
          <w:bCs/>
          <w:sz w:val="24"/>
        </w:rPr>
      </w:pPr>
      <w:bookmarkStart w:id="258" w:name="_Toc214873602"/>
      <w:bookmarkStart w:id="259" w:name="_Toc147463128"/>
      <w:bookmarkStart w:id="260" w:name="_Toc21073401"/>
      <w:bookmarkStart w:id="261" w:name="_Toc12357181"/>
      <w:bookmarkStart w:id="262" w:name="_Toc263092321"/>
      <w:bookmarkStart w:id="263" w:name="_Toc416264549"/>
      <w:bookmarkStart w:id="264" w:name="_Toc17782"/>
      <w:bookmarkStart w:id="265" w:name="_Toc27832"/>
      <w:bookmarkStart w:id="266" w:name="_Toc871"/>
      <w:bookmarkStart w:id="267" w:name="_Toc2623"/>
      <w:bookmarkStart w:id="268" w:name="_Toc139991744"/>
      <w:bookmarkStart w:id="269" w:name="_Toc141703894"/>
      <w:bookmarkStart w:id="270" w:name="_Toc19714"/>
      <w:bookmarkStart w:id="271" w:name="_Toc352229760"/>
      <w:bookmarkStart w:id="272" w:name="_Toc31917"/>
      <w:bookmarkStart w:id="273" w:name="_Toc7802"/>
      <w:r>
        <w:rPr>
          <w:bCs/>
          <w:sz w:val="24"/>
        </w:rPr>
        <w:t>一、基金利润的构成</w:t>
      </w:r>
    </w:p>
    <w:p w:rsidR="00B85C18" w:rsidRDefault="004E5A0C">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rsidR="00B85C18" w:rsidRDefault="004E5A0C">
      <w:pPr>
        <w:autoSpaceDE w:val="0"/>
        <w:autoSpaceDN w:val="0"/>
        <w:spacing w:line="360" w:lineRule="auto"/>
        <w:ind w:firstLineChars="200" w:firstLine="480"/>
        <w:textAlignment w:val="bottom"/>
        <w:rPr>
          <w:bCs/>
          <w:sz w:val="24"/>
        </w:rPr>
      </w:pPr>
      <w:r>
        <w:rPr>
          <w:bCs/>
          <w:sz w:val="24"/>
        </w:rPr>
        <w:t>二、基金可供分配利润</w:t>
      </w:r>
    </w:p>
    <w:p w:rsidR="00B85C18" w:rsidRDefault="004E5A0C">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rsidR="00B85C18" w:rsidRDefault="004E5A0C">
      <w:pPr>
        <w:autoSpaceDE w:val="0"/>
        <w:autoSpaceDN w:val="0"/>
        <w:spacing w:line="360" w:lineRule="auto"/>
        <w:ind w:firstLineChars="200" w:firstLine="480"/>
        <w:textAlignment w:val="bottom"/>
        <w:rPr>
          <w:bCs/>
          <w:sz w:val="24"/>
        </w:rPr>
      </w:pPr>
      <w:r>
        <w:rPr>
          <w:bCs/>
          <w:sz w:val="24"/>
        </w:rPr>
        <w:t>三、基金收益分配原则</w:t>
      </w:r>
    </w:p>
    <w:p w:rsidR="00B85C18" w:rsidRDefault="004E5A0C">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rsidR="00B85C18" w:rsidRDefault="004E5A0C">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B85C18" w:rsidRDefault="004E5A0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rsidR="00B85C18" w:rsidRDefault="004E5A0C">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B85C18" w:rsidRDefault="004E5A0C">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B85C18" w:rsidRDefault="004E5A0C">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在对基金份额持有人利益无实质不利影响的前提下，基金管理人经与基金托管人协商一致后可调整基金收益分配原则和支付方式，不需召开基金份额持有人大会。</w:t>
      </w:r>
    </w:p>
    <w:p w:rsidR="00B85C18" w:rsidRDefault="004E5A0C">
      <w:pPr>
        <w:autoSpaceDE w:val="0"/>
        <w:autoSpaceDN w:val="0"/>
        <w:spacing w:line="360" w:lineRule="auto"/>
        <w:ind w:firstLineChars="200" w:firstLine="480"/>
        <w:textAlignment w:val="bottom"/>
        <w:rPr>
          <w:bCs/>
          <w:sz w:val="24"/>
        </w:rPr>
      </w:pPr>
      <w:r>
        <w:rPr>
          <w:bCs/>
          <w:sz w:val="24"/>
        </w:rPr>
        <w:t>四、收益分配方案</w:t>
      </w:r>
    </w:p>
    <w:p w:rsidR="00B85C18" w:rsidRDefault="004E5A0C">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rsidR="00B85C18" w:rsidRDefault="004E5A0C">
      <w:pPr>
        <w:autoSpaceDE w:val="0"/>
        <w:autoSpaceDN w:val="0"/>
        <w:spacing w:line="360" w:lineRule="auto"/>
        <w:ind w:firstLineChars="200" w:firstLine="480"/>
        <w:textAlignment w:val="bottom"/>
        <w:rPr>
          <w:bCs/>
          <w:sz w:val="24"/>
        </w:rPr>
      </w:pPr>
      <w:r>
        <w:rPr>
          <w:bCs/>
          <w:sz w:val="24"/>
        </w:rPr>
        <w:t>五、收益分配方案的确定、公告与实施</w:t>
      </w:r>
    </w:p>
    <w:p w:rsidR="00B85C18" w:rsidRDefault="004E5A0C">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本基金收益分配方案由基金管理人拟定，并由基金托管人复核，在</w:t>
      </w:r>
      <w:r>
        <w:rPr>
          <w:bCs/>
          <w:sz w:val="24"/>
        </w:rPr>
        <w:t>2</w:t>
      </w:r>
      <w:r>
        <w:rPr>
          <w:rFonts w:hint="eastAsia"/>
          <w:bCs/>
          <w:sz w:val="24"/>
        </w:rPr>
        <w:t>个工作</w:t>
      </w:r>
      <w:r>
        <w:rPr>
          <w:bCs/>
          <w:sz w:val="24"/>
        </w:rPr>
        <w:t>日内在指定媒介公告并报中国证监会备案。</w:t>
      </w:r>
    </w:p>
    <w:p w:rsidR="00B85C18" w:rsidRDefault="004E5A0C">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rsidR="00B85C18" w:rsidRDefault="004E5A0C">
      <w:pPr>
        <w:autoSpaceDE w:val="0"/>
        <w:autoSpaceDN w:val="0"/>
        <w:spacing w:line="360" w:lineRule="auto"/>
        <w:ind w:firstLineChars="200" w:firstLine="480"/>
        <w:textAlignment w:val="bottom"/>
        <w:rPr>
          <w:bCs/>
          <w:sz w:val="24"/>
        </w:rPr>
      </w:pPr>
      <w:r>
        <w:rPr>
          <w:bCs/>
          <w:sz w:val="24"/>
        </w:rPr>
        <w:t>六、基金收益分配中发生的费用</w:t>
      </w:r>
    </w:p>
    <w:p w:rsidR="00B85C18" w:rsidRDefault="004E5A0C">
      <w:pPr>
        <w:adjustRightInd w:val="0"/>
        <w:snapToGrid w:val="0"/>
        <w:spacing w:line="360" w:lineRule="auto"/>
        <w:ind w:firstLineChars="200" w:firstLine="48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rsidR="00B85C18" w:rsidRDefault="004E5A0C">
      <w:pPr>
        <w:widowControl/>
        <w:jc w:val="left"/>
        <w:rPr>
          <w:bCs/>
          <w:sz w:val="24"/>
        </w:rPr>
      </w:pPr>
      <w:r>
        <w:rPr>
          <w:bCs/>
          <w:sz w:val="24"/>
        </w:rPr>
        <w:br w:type="page"/>
      </w:r>
    </w:p>
    <w:p w:rsidR="00B85C18" w:rsidRDefault="004E5A0C">
      <w:pPr>
        <w:pStyle w:val="1"/>
        <w:jc w:val="center"/>
        <w:rPr>
          <w:sz w:val="30"/>
          <w:szCs w:val="30"/>
        </w:rPr>
      </w:pPr>
      <w:bookmarkStart w:id="274" w:name="_Toc523229708"/>
      <w:bookmarkStart w:id="275" w:name="_Toc462063876"/>
      <w:bookmarkStart w:id="276" w:name="_Toc523229270"/>
      <w:r>
        <w:rPr>
          <w:rFonts w:hint="eastAsia"/>
          <w:sz w:val="30"/>
          <w:szCs w:val="30"/>
        </w:rPr>
        <w:lastRenderedPageBreak/>
        <w:t>第十三部分</w:t>
      </w:r>
      <w:r>
        <w:rPr>
          <w:sz w:val="30"/>
          <w:szCs w:val="30"/>
        </w:rPr>
        <w:t xml:space="preserve">  </w:t>
      </w:r>
      <w:r>
        <w:rPr>
          <w:rFonts w:hint="eastAsia"/>
          <w:sz w:val="30"/>
          <w:szCs w:val="30"/>
        </w:rPr>
        <w:t>基金费用与税收</w:t>
      </w:r>
      <w:bookmarkEnd w:id="258"/>
      <w:bookmarkEnd w:id="259"/>
      <w:bookmarkEnd w:id="260"/>
      <w:bookmarkEnd w:id="261"/>
      <w:bookmarkEnd w:id="262"/>
      <w:bookmarkEnd w:id="263"/>
      <w:bookmarkEnd w:id="274"/>
      <w:bookmarkEnd w:id="275"/>
      <w:bookmarkEnd w:id="276"/>
    </w:p>
    <w:p w:rsidR="00B85C18" w:rsidRDefault="004E5A0C">
      <w:pPr>
        <w:autoSpaceDE w:val="0"/>
        <w:autoSpaceDN w:val="0"/>
        <w:spacing w:line="360" w:lineRule="auto"/>
        <w:ind w:firstLineChars="200" w:firstLine="480"/>
        <w:textAlignment w:val="bottom"/>
        <w:rPr>
          <w:bCs/>
          <w:sz w:val="24"/>
        </w:rPr>
      </w:pPr>
      <w:bookmarkStart w:id="277" w:name="_Toc416264550"/>
      <w:bookmarkStart w:id="278" w:name="_Toc263092322"/>
      <w:bookmarkStart w:id="279" w:name="_Toc214873603"/>
      <w:bookmarkStart w:id="280" w:name="_Toc141703895"/>
      <w:bookmarkStart w:id="281" w:name="_Toc32227"/>
      <w:bookmarkStart w:id="282" w:name="_Toc32046"/>
      <w:bookmarkStart w:id="283" w:name="_Toc19706"/>
      <w:bookmarkStart w:id="284" w:name="_Toc13987"/>
      <w:bookmarkStart w:id="285" w:name="_Toc19752"/>
      <w:bookmarkStart w:id="286" w:name="_Toc6493"/>
      <w:bookmarkStart w:id="287" w:name="_Toc12105"/>
      <w:bookmarkStart w:id="288" w:name="_Toc352229761"/>
      <w:bookmarkStart w:id="289" w:name="_Toc3365"/>
      <w:bookmarkStart w:id="290" w:name="_Toc15779"/>
      <w:bookmarkStart w:id="291" w:name="_Toc24601"/>
      <w:bookmarkStart w:id="292" w:name="_Toc139991745"/>
      <w:bookmarkStart w:id="293" w:name="_Toc32041"/>
      <w:bookmarkEnd w:id="264"/>
      <w:bookmarkEnd w:id="265"/>
      <w:bookmarkEnd w:id="266"/>
      <w:bookmarkEnd w:id="267"/>
      <w:bookmarkEnd w:id="268"/>
      <w:bookmarkEnd w:id="269"/>
      <w:bookmarkEnd w:id="270"/>
      <w:bookmarkEnd w:id="271"/>
      <w:bookmarkEnd w:id="272"/>
      <w:bookmarkEnd w:id="273"/>
      <w:r>
        <w:rPr>
          <w:bCs/>
          <w:sz w:val="24"/>
        </w:rPr>
        <w:t>一、基金费用的种类</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B85C18" w:rsidRDefault="004E5A0C">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B85C18" w:rsidRDefault="004E5A0C">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rsidR="00B85C18" w:rsidRDefault="004E5A0C">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rsidR="00B85C18" w:rsidRDefault="004E5A0C">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rsidR="00B85C18" w:rsidRDefault="004E5A0C">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rsidR="00B85C18" w:rsidRDefault="004E5A0C">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rsidR="00B85C18" w:rsidRDefault="004E5A0C">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rsidR="00B85C18" w:rsidRDefault="004E5A0C">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rsidR="00B85C18" w:rsidRDefault="004E5A0C">
      <w:pPr>
        <w:autoSpaceDE w:val="0"/>
        <w:autoSpaceDN w:val="0"/>
        <w:spacing w:line="360" w:lineRule="auto"/>
        <w:ind w:firstLineChars="200" w:firstLine="480"/>
        <w:textAlignment w:val="bottom"/>
        <w:rPr>
          <w:bCs/>
          <w:sz w:val="24"/>
        </w:rPr>
      </w:pPr>
      <w:r>
        <w:rPr>
          <w:bCs/>
          <w:sz w:val="24"/>
        </w:rPr>
        <w:t>二、基金费用计提方法、计提标准和支付方式</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rsidR="00B85C18" w:rsidRDefault="004E5A0C">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rsidR="00B85C18" w:rsidRDefault="004E5A0C">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rsidR="00B85C18" w:rsidRDefault="004E5A0C">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rsidR="00B85C18" w:rsidRDefault="004E5A0C">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B85C18" w:rsidRDefault="004E5A0C">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B85C18" w:rsidRDefault="004E5A0C">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rsidR="00B85C18" w:rsidRDefault="004E5A0C">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rsidR="00B85C18" w:rsidRDefault="004E5A0C">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B85C18" w:rsidRDefault="004E5A0C">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rsidR="00B85C18" w:rsidRDefault="004E5A0C">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rsidR="00B85C18" w:rsidRDefault="004E5A0C">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rsidR="00B85C18" w:rsidRDefault="004E5A0C">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rsidR="00B85C18" w:rsidRDefault="004E5A0C">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rsidR="00B85C18" w:rsidRDefault="004E5A0C">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rsidR="00B85C18" w:rsidRDefault="004E5A0C">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rsidR="00B85C18" w:rsidRDefault="004E5A0C">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rsidR="00B85C18" w:rsidRDefault="004E5A0C">
      <w:pPr>
        <w:autoSpaceDE w:val="0"/>
        <w:autoSpaceDN w:val="0"/>
        <w:spacing w:line="360" w:lineRule="auto"/>
        <w:ind w:firstLineChars="200" w:firstLine="480"/>
        <w:textAlignment w:val="bottom"/>
        <w:rPr>
          <w:bCs/>
          <w:sz w:val="24"/>
        </w:rPr>
      </w:pPr>
      <w:r>
        <w:rPr>
          <w:bCs/>
          <w:sz w:val="24"/>
        </w:rPr>
        <w:t>三、不列入基金费用的项目</w:t>
      </w:r>
    </w:p>
    <w:p w:rsidR="00B85C18" w:rsidRDefault="004E5A0C">
      <w:pPr>
        <w:autoSpaceDE w:val="0"/>
        <w:autoSpaceDN w:val="0"/>
        <w:spacing w:line="360" w:lineRule="auto"/>
        <w:ind w:firstLineChars="200" w:firstLine="480"/>
        <w:textAlignment w:val="bottom"/>
        <w:rPr>
          <w:bCs/>
          <w:sz w:val="24"/>
        </w:rPr>
      </w:pPr>
      <w:r>
        <w:rPr>
          <w:bCs/>
          <w:sz w:val="24"/>
        </w:rPr>
        <w:t>下列费用不列入基金费用：</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rsidR="00B85C18" w:rsidRDefault="004E5A0C">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rsidR="00B85C18" w:rsidRDefault="004E5A0C">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94" w:name="_Hlt88827255"/>
      <w:bookmarkEnd w:id="294"/>
    </w:p>
    <w:p w:rsidR="00B85C18" w:rsidRDefault="004E5A0C">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rsidR="00B85C18" w:rsidRDefault="004E5A0C">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rsidR="00B85C18" w:rsidRDefault="004E5A0C">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rsidR="00B85C18" w:rsidRDefault="004E5A0C">
      <w:pPr>
        <w:widowControl/>
        <w:jc w:val="left"/>
        <w:rPr>
          <w:bCs/>
          <w:sz w:val="24"/>
        </w:rPr>
      </w:pPr>
      <w:r>
        <w:rPr>
          <w:bCs/>
          <w:sz w:val="24"/>
        </w:rPr>
        <w:br w:type="page"/>
      </w:r>
    </w:p>
    <w:p w:rsidR="00B85C18" w:rsidRDefault="004E5A0C">
      <w:pPr>
        <w:pStyle w:val="1"/>
        <w:jc w:val="center"/>
        <w:rPr>
          <w:sz w:val="30"/>
          <w:szCs w:val="30"/>
        </w:rPr>
      </w:pPr>
      <w:bookmarkStart w:id="295" w:name="_Toc462063877"/>
      <w:bookmarkStart w:id="296" w:name="_Toc523229271"/>
      <w:bookmarkStart w:id="297" w:name="_Toc523229709"/>
      <w:r>
        <w:rPr>
          <w:rFonts w:hint="eastAsia"/>
          <w:sz w:val="30"/>
          <w:szCs w:val="30"/>
        </w:rPr>
        <w:lastRenderedPageBreak/>
        <w:t>第十四部分</w:t>
      </w:r>
      <w:r>
        <w:rPr>
          <w:sz w:val="30"/>
          <w:szCs w:val="30"/>
        </w:rPr>
        <w:t xml:space="preserve">  </w:t>
      </w:r>
      <w:r>
        <w:rPr>
          <w:rFonts w:hint="eastAsia"/>
          <w:sz w:val="30"/>
          <w:szCs w:val="30"/>
        </w:rPr>
        <w:t>基金的会计与审计</w:t>
      </w:r>
      <w:bookmarkEnd w:id="277"/>
      <w:bookmarkEnd w:id="278"/>
      <w:bookmarkEnd w:id="279"/>
      <w:bookmarkEnd w:id="295"/>
      <w:bookmarkEnd w:id="296"/>
      <w:bookmarkEnd w:id="297"/>
    </w:p>
    <w:p w:rsidR="00B85C18" w:rsidRDefault="004E5A0C">
      <w:pPr>
        <w:autoSpaceDE w:val="0"/>
        <w:autoSpaceDN w:val="0"/>
        <w:spacing w:line="360" w:lineRule="auto"/>
        <w:ind w:firstLineChars="200" w:firstLine="480"/>
        <w:textAlignment w:val="bottom"/>
        <w:rPr>
          <w:bCs/>
          <w:sz w:val="24"/>
        </w:rPr>
      </w:pPr>
      <w:r>
        <w:rPr>
          <w:bCs/>
          <w:sz w:val="24"/>
        </w:rPr>
        <w:t>一、基金会计政策</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rsidR="00B85C18" w:rsidRDefault="004E5A0C">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rsidR="00B85C18" w:rsidRDefault="004E5A0C">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rsidR="00B85C18" w:rsidRDefault="004E5A0C">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rsidR="00B85C18" w:rsidRDefault="004E5A0C">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rsidR="00B85C18" w:rsidRDefault="004E5A0C">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rsidR="00B85C18" w:rsidRDefault="004E5A0C">
      <w:pPr>
        <w:autoSpaceDE w:val="0"/>
        <w:autoSpaceDN w:val="0"/>
        <w:spacing w:line="360" w:lineRule="auto"/>
        <w:ind w:firstLineChars="200" w:firstLine="480"/>
        <w:textAlignment w:val="bottom"/>
        <w:rPr>
          <w:bCs/>
          <w:sz w:val="24"/>
        </w:rPr>
      </w:pPr>
      <w:r>
        <w:rPr>
          <w:bCs/>
          <w:sz w:val="24"/>
        </w:rPr>
        <w:t>二、基金的年度审计</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、基金管理人聘请与基金管理人、基金托管人相互独立的具有证券从业资格的会计师事务所及其注册会计师对本基金的年度财务报表进行审计。</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rsidR="00B85C18" w:rsidRDefault="004E5A0C">
      <w:pPr>
        <w:adjustRightInd w:val="0"/>
        <w:snapToGrid w:val="0"/>
        <w:spacing w:line="360" w:lineRule="auto"/>
        <w:ind w:firstLineChars="200" w:firstLine="480"/>
        <w:rPr>
          <w:bCs/>
          <w:sz w:val="24"/>
        </w:rPr>
      </w:pPr>
      <w:r>
        <w:rPr>
          <w:bCs/>
          <w:sz w:val="24"/>
        </w:rPr>
        <w:t>3</w:t>
      </w:r>
      <w:r>
        <w:rPr>
          <w:bCs/>
          <w:sz w:val="24"/>
        </w:rPr>
        <w:t>、</w:t>
      </w:r>
      <w:bookmarkStart w:id="298" w:name="_Hlt4221115"/>
      <w:bookmarkEnd w:id="298"/>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公告并报中国证监会备案。</w:t>
      </w:r>
    </w:p>
    <w:p w:rsidR="00B85C18" w:rsidRDefault="004E5A0C">
      <w:pPr>
        <w:widowControl/>
        <w:jc w:val="left"/>
        <w:rPr>
          <w:bCs/>
          <w:sz w:val="24"/>
        </w:rPr>
      </w:pPr>
      <w:r>
        <w:rPr>
          <w:bCs/>
          <w:sz w:val="24"/>
        </w:rPr>
        <w:br w:type="page"/>
      </w:r>
    </w:p>
    <w:p w:rsidR="00B85C18" w:rsidRPr="00547ECB" w:rsidRDefault="004E5A0C">
      <w:pPr>
        <w:pStyle w:val="1"/>
        <w:jc w:val="center"/>
        <w:rPr>
          <w:sz w:val="30"/>
          <w:szCs w:val="30"/>
          <w:lang w:val="en-US"/>
        </w:rPr>
      </w:pPr>
      <w:bookmarkStart w:id="299" w:name="_Toc214873604"/>
      <w:bookmarkStart w:id="300" w:name="_Toc416264551"/>
      <w:bookmarkStart w:id="301" w:name="_Toc263092323"/>
      <w:bookmarkStart w:id="302" w:name="_Toc462063878"/>
      <w:bookmarkStart w:id="303" w:name="_Toc523229272"/>
      <w:bookmarkStart w:id="304" w:name="_Toc523229710"/>
      <w:bookmarkStart w:id="305" w:name="_Toc79978642"/>
      <w:bookmarkStart w:id="306" w:name="_Toc352229762"/>
      <w:bookmarkStart w:id="307" w:name="_Toc178"/>
      <w:bookmarkStart w:id="308" w:name="_Toc22552"/>
      <w:bookmarkStart w:id="309" w:name="_Toc21829"/>
      <w:bookmarkStart w:id="310" w:name="_Toc12761"/>
      <w:bookmarkStart w:id="311" w:name="_Toc20052"/>
      <w:bookmarkStart w:id="312" w:name="_Toc25883"/>
      <w:bookmarkStart w:id="313" w:name="_Toc15351"/>
      <w:bookmarkStart w:id="314" w:name="_Toc15525"/>
      <w:bookmarkStart w:id="315" w:name="_Toc3656"/>
      <w:bookmarkStart w:id="316" w:name="_Toc19558"/>
      <w:bookmarkStart w:id="317" w:name="_Toc1617"/>
      <w:bookmarkStart w:id="318" w:name="_Toc139991746"/>
      <w:bookmarkStart w:id="319" w:name="_Toc93226149"/>
      <w:bookmarkStart w:id="320" w:name="_Toc141703896"/>
      <w:bookmarkStart w:id="321" w:name="_Toc128310499"/>
      <w:bookmarkStart w:id="322" w:name="_Toc92662707"/>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r>
        <w:rPr>
          <w:rFonts w:hint="eastAsia"/>
          <w:sz w:val="30"/>
          <w:szCs w:val="30"/>
        </w:rPr>
        <w:lastRenderedPageBreak/>
        <w:t>第十五部分</w:t>
      </w:r>
      <w:r w:rsidRPr="00547ECB">
        <w:rPr>
          <w:sz w:val="30"/>
          <w:szCs w:val="30"/>
          <w:lang w:val="en-US"/>
        </w:rPr>
        <w:t xml:space="preserve">  </w:t>
      </w:r>
      <w:r>
        <w:rPr>
          <w:rFonts w:hint="eastAsia"/>
          <w:sz w:val="30"/>
          <w:szCs w:val="30"/>
        </w:rPr>
        <w:t>基金的信息披露</w:t>
      </w:r>
      <w:bookmarkEnd w:id="299"/>
      <w:bookmarkEnd w:id="300"/>
      <w:bookmarkEnd w:id="301"/>
      <w:bookmarkEnd w:id="302"/>
      <w:bookmarkEnd w:id="303"/>
      <w:bookmarkEnd w:id="304"/>
      <w:bookmarkEnd w:id="305"/>
    </w:p>
    <w:p w:rsidR="00B85C18" w:rsidRDefault="004E5A0C">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rsidR="00B85C18" w:rsidRDefault="004E5A0C">
      <w:pPr>
        <w:autoSpaceDE w:val="0"/>
        <w:autoSpaceDN w:val="0"/>
        <w:spacing w:line="360" w:lineRule="auto"/>
        <w:ind w:firstLineChars="200" w:firstLine="480"/>
        <w:textAlignment w:val="bottom"/>
        <w:rPr>
          <w:bCs/>
          <w:sz w:val="24"/>
        </w:rPr>
      </w:pPr>
      <w:r>
        <w:rPr>
          <w:bCs/>
          <w:sz w:val="24"/>
        </w:rPr>
        <w:t>二、信息披露义务人</w:t>
      </w:r>
    </w:p>
    <w:p w:rsidR="00B85C18" w:rsidRDefault="004E5A0C">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本基金信息披露义务人包括基金管理人、基金托管人、召集基金份额持有人大会的基金份额持有人等法律法规和中国证监会规定的自然人、法人和其他组织。</w:t>
      </w:r>
    </w:p>
    <w:p w:rsidR="00B85C18" w:rsidRDefault="004E5A0C">
      <w:pPr>
        <w:autoSpaceDE w:val="0"/>
        <w:autoSpaceDN w:val="0"/>
        <w:spacing w:line="360" w:lineRule="auto"/>
        <w:ind w:firstLineChars="200" w:firstLine="480"/>
        <w:textAlignment w:val="bottom"/>
        <w:rPr>
          <w:bCs/>
          <w:sz w:val="24"/>
        </w:rPr>
      </w:pPr>
      <w:r>
        <w:rPr>
          <w:bCs/>
          <w:sz w:val="24"/>
        </w:rPr>
        <w:t>本基金信息披露义务人按照法律法规和中国证监会的规定披露基金信息，并保证所披露信息的真实性、准确性和完整性。</w:t>
      </w:r>
    </w:p>
    <w:p w:rsidR="00B85C18" w:rsidRDefault="004E5A0C">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rsidR="00B85C18" w:rsidRDefault="004E5A0C">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rsidR="00B85C18" w:rsidRDefault="004E5A0C">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rsidR="00B85C18" w:rsidRDefault="004E5A0C">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rsidR="00B85C18" w:rsidRDefault="004E5A0C">
      <w:pPr>
        <w:autoSpaceDE w:val="0"/>
        <w:autoSpaceDN w:val="0"/>
        <w:spacing w:line="360" w:lineRule="auto"/>
        <w:ind w:firstLineChars="200" w:firstLine="480"/>
        <w:textAlignment w:val="bottom"/>
        <w:rPr>
          <w:bCs/>
          <w:sz w:val="24"/>
        </w:rPr>
      </w:pPr>
      <w:r>
        <w:rPr>
          <w:bCs/>
          <w:sz w:val="24"/>
        </w:rPr>
        <w:t>5</w:t>
      </w:r>
      <w:r>
        <w:rPr>
          <w:bCs/>
          <w:sz w:val="24"/>
        </w:rPr>
        <w:t>、登载任何自然人、法人或者其他组织的祝贺性、恭维性或推荐性的文字；</w:t>
      </w:r>
    </w:p>
    <w:p w:rsidR="00B85C18" w:rsidRDefault="004E5A0C">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rsidR="00B85C18" w:rsidRDefault="004E5A0C">
      <w:pPr>
        <w:autoSpaceDE w:val="0"/>
        <w:autoSpaceDN w:val="0"/>
        <w:spacing w:line="360" w:lineRule="auto"/>
        <w:ind w:firstLineChars="200" w:firstLine="480"/>
        <w:textAlignment w:val="bottom"/>
        <w:rPr>
          <w:bCs/>
          <w:sz w:val="24"/>
        </w:rPr>
      </w:pPr>
      <w:r>
        <w:rPr>
          <w:bCs/>
          <w:sz w:val="24"/>
        </w:rPr>
        <w:t>四、本基金公开披露的信息应采用中文文本。如同时采用外文文本的，基金信息披露义务人应保证两种文本的内容一致。两种文本发生歧义的，以中文文本为准。</w:t>
      </w:r>
    </w:p>
    <w:p w:rsidR="00B85C18" w:rsidRDefault="004E5A0C">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rsidR="00B85C18" w:rsidRDefault="004E5A0C">
      <w:pPr>
        <w:autoSpaceDE w:val="0"/>
        <w:autoSpaceDN w:val="0"/>
        <w:spacing w:line="360" w:lineRule="auto"/>
        <w:ind w:firstLineChars="200" w:firstLine="480"/>
        <w:textAlignment w:val="bottom"/>
        <w:rPr>
          <w:bCs/>
          <w:sz w:val="24"/>
        </w:rPr>
      </w:pPr>
      <w:r>
        <w:rPr>
          <w:bCs/>
          <w:sz w:val="24"/>
        </w:rPr>
        <w:t>五、公开披露的基金信息</w:t>
      </w:r>
    </w:p>
    <w:p w:rsidR="00B85C18" w:rsidRDefault="004E5A0C">
      <w:pPr>
        <w:autoSpaceDE w:val="0"/>
        <w:autoSpaceDN w:val="0"/>
        <w:spacing w:line="360" w:lineRule="auto"/>
        <w:ind w:firstLineChars="200" w:firstLine="480"/>
        <w:textAlignment w:val="bottom"/>
        <w:rPr>
          <w:bCs/>
          <w:sz w:val="24"/>
        </w:rPr>
      </w:pPr>
      <w:r>
        <w:rPr>
          <w:bCs/>
          <w:sz w:val="24"/>
        </w:rPr>
        <w:t>公开披露的基金信息包括：</w:t>
      </w:r>
    </w:p>
    <w:p w:rsidR="00B85C18" w:rsidRDefault="004E5A0C">
      <w:pPr>
        <w:autoSpaceDE w:val="0"/>
        <w:autoSpaceDN w:val="0"/>
        <w:spacing w:line="360" w:lineRule="auto"/>
        <w:ind w:firstLineChars="200" w:firstLine="480"/>
        <w:textAlignment w:val="bottom"/>
        <w:rPr>
          <w:bCs/>
          <w:sz w:val="24"/>
        </w:rPr>
      </w:pPr>
      <w:r>
        <w:rPr>
          <w:bCs/>
          <w:sz w:val="24"/>
        </w:rPr>
        <w:t>（一）基金招募说明书、《基金合同》、基金托管协议</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w:t>
      </w:r>
      <w:r>
        <w:rPr>
          <w:bCs/>
          <w:sz w:val="24"/>
        </w:rPr>
        <w:lastRenderedPageBreak/>
        <w:t>基金份额持有人大会召开的规则及具体程序，说明基金产品的特性等涉及基金投资者重大利益的事项的法律文件。</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申购和赎回安排、基金投资、基金产品特性、风险揭示、信息披露及基金份额持有人服务等内容。《基金合同》生效后，基金管理人在每</w:t>
      </w:r>
      <w:r>
        <w:rPr>
          <w:bCs/>
          <w:sz w:val="24"/>
        </w:rPr>
        <w:t>6</w:t>
      </w:r>
      <w:r>
        <w:rPr>
          <w:bCs/>
          <w:sz w:val="24"/>
        </w:rPr>
        <w:t>个月结束之日起</w:t>
      </w:r>
      <w:r>
        <w:rPr>
          <w:bCs/>
          <w:sz w:val="24"/>
        </w:rPr>
        <w:t>45</w:t>
      </w:r>
      <w:r>
        <w:rPr>
          <w:bCs/>
          <w:sz w:val="24"/>
        </w:rPr>
        <w:t>日内，更新招募说明书并登载在网站上，将更新后的招募说明书摘要登载在指定媒介上；基金管理人在公告的</w:t>
      </w:r>
      <w:r>
        <w:rPr>
          <w:bCs/>
          <w:sz w:val="24"/>
        </w:rPr>
        <w:t>15</w:t>
      </w:r>
      <w:r>
        <w:rPr>
          <w:bCs/>
          <w:sz w:val="24"/>
        </w:rPr>
        <w:t>日前向主要办公场所所在地的中国证监会派出机构报送更新的招募说明书，并就有关更新内容提供书面说明。</w:t>
      </w:r>
    </w:p>
    <w:p w:rsidR="00B85C18" w:rsidRDefault="004E5A0C">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rsidR="00B85C18" w:rsidRDefault="004E5A0C">
      <w:pPr>
        <w:autoSpaceDE w:val="0"/>
        <w:autoSpaceDN w:val="0"/>
        <w:spacing w:line="360" w:lineRule="auto"/>
        <w:ind w:firstLineChars="200" w:firstLine="480"/>
        <w:textAlignment w:val="bottom"/>
        <w:rPr>
          <w:bCs/>
          <w:sz w:val="24"/>
        </w:rPr>
      </w:pPr>
      <w:r>
        <w:rPr>
          <w:bCs/>
          <w:sz w:val="24"/>
        </w:rPr>
        <w:t>基金募集申请经中国证监会</w:t>
      </w:r>
      <w:r>
        <w:rPr>
          <w:rFonts w:hint="eastAsia"/>
          <w:bCs/>
          <w:sz w:val="24"/>
        </w:rPr>
        <w:t>注册</w:t>
      </w:r>
      <w:r>
        <w:rPr>
          <w:bCs/>
          <w:sz w:val="24"/>
        </w:rPr>
        <w:t>后，基金管理人在基金份额发售的</w:t>
      </w:r>
      <w:r>
        <w:rPr>
          <w:bCs/>
          <w:sz w:val="24"/>
        </w:rPr>
        <w:t>3</w:t>
      </w:r>
      <w:r>
        <w:rPr>
          <w:bCs/>
          <w:sz w:val="24"/>
        </w:rPr>
        <w:t>日前，将基金招募说明书、《基金合同》摘要登载在指定媒介上；基金管理人、基金托管人应当将《基金合同》、基金托管协议登载在网站上。</w:t>
      </w:r>
    </w:p>
    <w:p w:rsidR="00B85C18" w:rsidRDefault="004E5A0C">
      <w:pPr>
        <w:autoSpaceDE w:val="0"/>
        <w:autoSpaceDN w:val="0"/>
        <w:spacing w:line="360" w:lineRule="auto"/>
        <w:ind w:firstLineChars="200" w:firstLine="480"/>
        <w:textAlignment w:val="bottom"/>
        <w:rPr>
          <w:bCs/>
          <w:sz w:val="24"/>
        </w:rPr>
      </w:pPr>
      <w:r>
        <w:rPr>
          <w:bCs/>
          <w:sz w:val="24"/>
        </w:rPr>
        <w:t>（二）基金份额发售公告</w:t>
      </w:r>
    </w:p>
    <w:p w:rsidR="00B85C18" w:rsidRDefault="004E5A0C">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rsidR="00B85C18" w:rsidRDefault="004E5A0C">
      <w:pPr>
        <w:autoSpaceDE w:val="0"/>
        <w:autoSpaceDN w:val="0"/>
        <w:spacing w:line="360" w:lineRule="auto"/>
        <w:ind w:firstLineChars="200" w:firstLine="480"/>
        <w:textAlignment w:val="bottom"/>
        <w:rPr>
          <w:bCs/>
          <w:sz w:val="24"/>
        </w:rPr>
      </w:pPr>
      <w:r>
        <w:rPr>
          <w:bCs/>
          <w:sz w:val="24"/>
        </w:rPr>
        <w:t>（三）《基金合同》生效公告</w:t>
      </w:r>
    </w:p>
    <w:p w:rsidR="00B85C18" w:rsidRDefault="004E5A0C">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基金管理人应当在收到中国证监会确认文件的次日在指定媒介上登载《基金合同》生效公告。</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）基金资产净值、基金份额净值</w:t>
      </w:r>
    </w:p>
    <w:p w:rsidR="00B85C18" w:rsidRDefault="004E5A0C">
      <w:pPr>
        <w:autoSpaceDE w:val="0"/>
        <w:autoSpaceDN w:val="0"/>
        <w:spacing w:line="360" w:lineRule="auto"/>
        <w:ind w:firstLineChars="200" w:firstLine="480"/>
        <w:textAlignment w:val="bottom"/>
        <w:rPr>
          <w:bCs/>
          <w:sz w:val="24"/>
        </w:rPr>
      </w:pPr>
      <w:r>
        <w:rPr>
          <w:bCs/>
          <w:sz w:val="24"/>
        </w:rPr>
        <w:t>《基金合同》生效后，在开始办理基金份额申购或者赎回前，基金管理人应当至少每周公告一次基金资产净值和</w:t>
      </w:r>
      <w:r>
        <w:rPr>
          <w:rFonts w:hint="eastAsia"/>
          <w:bCs/>
          <w:sz w:val="24"/>
        </w:rPr>
        <w:t>两类</w:t>
      </w:r>
      <w:r>
        <w:rPr>
          <w:bCs/>
          <w:sz w:val="24"/>
        </w:rPr>
        <w:t>基金份额净值。</w:t>
      </w:r>
    </w:p>
    <w:p w:rsidR="00B85C18" w:rsidRDefault="004E5A0C">
      <w:pPr>
        <w:autoSpaceDE w:val="0"/>
        <w:autoSpaceDN w:val="0"/>
        <w:spacing w:line="360" w:lineRule="auto"/>
        <w:ind w:firstLineChars="200" w:firstLine="480"/>
        <w:textAlignment w:val="bottom"/>
        <w:rPr>
          <w:bCs/>
          <w:sz w:val="24"/>
        </w:rPr>
      </w:pPr>
      <w:r>
        <w:rPr>
          <w:bCs/>
          <w:sz w:val="24"/>
        </w:rPr>
        <w:t>在开始办理基金份额申购或者赎回后，基金管理人应当在每个开放日的次日，通过网站、基金份额</w:t>
      </w:r>
      <w:r>
        <w:rPr>
          <w:rFonts w:hint="eastAsia"/>
          <w:bCs/>
          <w:sz w:val="24"/>
        </w:rPr>
        <w:t>发售网</w:t>
      </w:r>
      <w:r>
        <w:rPr>
          <w:bCs/>
          <w:sz w:val="24"/>
        </w:rPr>
        <w:t>点以及其他媒介，披露开放日的</w:t>
      </w:r>
      <w:r>
        <w:rPr>
          <w:rFonts w:hint="eastAsia"/>
          <w:bCs/>
          <w:sz w:val="24"/>
        </w:rPr>
        <w:t>两类</w:t>
      </w:r>
      <w:r>
        <w:rPr>
          <w:bCs/>
          <w:sz w:val="24"/>
        </w:rPr>
        <w:t>基金份额净值和</w:t>
      </w:r>
      <w:r>
        <w:rPr>
          <w:rFonts w:hint="eastAsia"/>
          <w:bCs/>
          <w:sz w:val="24"/>
        </w:rPr>
        <w:t>两类</w:t>
      </w:r>
      <w:r>
        <w:rPr>
          <w:bCs/>
          <w:sz w:val="24"/>
        </w:rPr>
        <w:t>基金份额累计净值。</w:t>
      </w:r>
    </w:p>
    <w:p w:rsidR="00B85C18" w:rsidRDefault="004E5A0C">
      <w:pPr>
        <w:autoSpaceDE w:val="0"/>
        <w:autoSpaceDN w:val="0"/>
        <w:spacing w:line="360" w:lineRule="auto"/>
        <w:ind w:firstLineChars="200" w:firstLine="480"/>
        <w:textAlignment w:val="bottom"/>
        <w:rPr>
          <w:bCs/>
          <w:sz w:val="24"/>
        </w:rPr>
      </w:pPr>
      <w:r>
        <w:rPr>
          <w:bCs/>
          <w:sz w:val="24"/>
        </w:rPr>
        <w:t>基金管理人应当公告半年度和年度最后一个市场交易日基金资产净值和</w:t>
      </w:r>
      <w:r>
        <w:rPr>
          <w:rFonts w:hint="eastAsia"/>
          <w:bCs/>
          <w:sz w:val="24"/>
        </w:rPr>
        <w:t>两类</w:t>
      </w:r>
      <w:r>
        <w:rPr>
          <w:bCs/>
          <w:sz w:val="24"/>
        </w:rPr>
        <w:t>基金份额净值。基金管理人应当在前款规定的市场交易日的次日，将基金资产净值、</w:t>
      </w:r>
      <w:r>
        <w:rPr>
          <w:rFonts w:hint="eastAsia"/>
          <w:bCs/>
          <w:sz w:val="24"/>
        </w:rPr>
        <w:t>两类</w:t>
      </w:r>
      <w:r>
        <w:rPr>
          <w:bCs/>
          <w:sz w:val="24"/>
        </w:rPr>
        <w:t>基金份额净值和</w:t>
      </w:r>
      <w:r>
        <w:rPr>
          <w:rFonts w:hint="eastAsia"/>
          <w:bCs/>
          <w:sz w:val="24"/>
        </w:rPr>
        <w:t>两类</w:t>
      </w:r>
      <w:r>
        <w:rPr>
          <w:bCs/>
          <w:sz w:val="24"/>
        </w:rPr>
        <w:t>基金份额累计净值登载在指定媒介上。</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rsidR="00B85C18" w:rsidRDefault="004E5A0C">
      <w:pPr>
        <w:autoSpaceDE w:val="0"/>
        <w:autoSpaceDN w:val="0"/>
        <w:spacing w:line="360" w:lineRule="auto"/>
        <w:ind w:firstLineChars="200" w:firstLine="480"/>
        <w:textAlignment w:val="bottom"/>
        <w:rPr>
          <w:bCs/>
          <w:sz w:val="24"/>
        </w:rPr>
      </w:pPr>
      <w:r>
        <w:rPr>
          <w:bCs/>
          <w:sz w:val="24"/>
        </w:rPr>
        <w:lastRenderedPageBreak/>
        <w:t>基金管理人应当在《基金合同》、招募说明书等信息披露文件上载明基金份额申购、赎回价格的计算方式及有关申购、赎回费率，并保证投资者能够在基金份额</w:t>
      </w:r>
      <w:r>
        <w:rPr>
          <w:rFonts w:hint="eastAsia"/>
          <w:bCs/>
          <w:sz w:val="24"/>
        </w:rPr>
        <w:t>发售</w:t>
      </w:r>
      <w:r>
        <w:rPr>
          <w:bCs/>
          <w:sz w:val="24"/>
        </w:rPr>
        <w:t>网点查阅或者复制前述信息资料。</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）基金定期报告，包括基金年度报告、基金半年度报告和基金季度报告</w:t>
      </w:r>
    </w:p>
    <w:p w:rsidR="00B85C18" w:rsidRDefault="004E5A0C">
      <w:pPr>
        <w:autoSpaceDE w:val="0"/>
        <w:autoSpaceDN w:val="0"/>
        <w:spacing w:line="360" w:lineRule="auto"/>
        <w:ind w:firstLineChars="200" w:firstLine="480"/>
        <w:textAlignment w:val="bottom"/>
        <w:rPr>
          <w:bCs/>
          <w:sz w:val="24"/>
        </w:rPr>
      </w:pPr>
      <w:r>
        <w:rPr>
          <w:bCs/>
          <w:sz w:val="24"/>
        </w:rPr>
        <w:t>基金管理人应当在每年结束之日起</w:t>
      </w:r>
      <w:r>
        <w:rPr>
          <w:bCs/>
          <w:sz w:val="24"/>
        </w:rPr>
        <w:t>90</w:t>
      </w:r>
      <w:r>
        <w:rPr>
          <w:bCs/>
          <w:sz w:val="24"/>
        </w:rPr>
        <w:t>日内，编制完成基金年度报告，并将年度报告正文登载于网站上，将年度报告摘要登载在指定媒介上。基金年度报告的财务会计报告应当经过审计。</w:t>
      </w:r>
    </w:p>
    <w:p w:rsidR="00B85C18" w:rsidRDefault="004E5A0C">
      <w:pPr>
        <w:autoSpaceDE w:val="0"/>
        <w:autoSpaceDN w:val="0"/>
        <w:spacing w:line="360" w:lineRule="auto"/>
        <w:ind w:firstLineChars="200" w:firstLine="480"/>
        <w:textAlignment w:val="bottom"/>
        <w:rPr>
          <w:bCs/>
          <w:sz w:val="24"/>
        </w:rPr>
      </w:pPr>
      <w:r>
        <w:rPr>
          <w:bCs/>
          <w:sz w:val="24"/>
        </w:rPr>
        <w:t>基金管理人应当在上半年结束之日起</w:t>
      </w:r>
      <w:r>
        <w:rPr>
          <w:bCs/>
          <w:sz w:val="24"/>
        </w:rPr>
        <w:t>60</w:t>
      </w:r>
      <w:r>
        <w:rPr>
          <w:bCs/>
          <w:sz w:val="24"/>
        </w:rPr>
        <w:t>日内，编制完成基金半年度报告，并将半年度报告正文登载在网站上，将半年度报告摘要登载在指定媒介上。</w:t>
      </w:r>
    </w:p>
    <w:p w:rsidR="00B85C18" w:rsidRDefault="004E5A0C">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个工作日内，编制完成基金季度报告，并将季度报告登载在指定媒介上。</w:t>
      </w:r>
    </w:p>
    <w:p w:rsidR="00B85C18" w:rsidRDefault="004E5A0C">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个月的，基金管理人可以不编制当期季度报告、半年度报告或者年度报告。</w:t>
      </w:r>
    </w:p>
    <w:p w:rsidR="00B85C18" w:rsidRDefault="004E5A0C">
      <w:pPr>
        <w:autoSpaceDE w:val="0"/>
        <w:autoSpaceDN w:val="0"/>
        <w:spacing w:line="360" w:lineRule="auto"/>
        <w:ind w:firstLineChars="200" w:firstLine="480"/>
        <w:textAlignment w:val="bottom"/>
        <w:rPr>
          <w:bCs/>
          <w:sz w:val="24"/>
        </w:rPr>
      </w:pPr>
      <w:r>
        <w:rPr>
          <w:bCs/>
          <w:sz w:val="24"/>
        </w:rPr>
        <w:t>基金定期报告在公开披露的第</w:t>
      </w:r>
      <w:r>
        <w:rPr>
          <w:bCs/>
          <w:sz w:val="24"/>
        </w:rPr>
        <w:t>2</w:t>
      </w:r>
      <w:r>
        <w:rPr>
          <w:bCs/>
          <w:sz w:val="24"/>
        </w:rPr>
        <w:t>个工作日，分别报中国证监会和基金管理人主要办公场所所在地中国证监会派出机构备案。报备应当采用电子文本</w:t>
      </w:r>
      <w:r>
        <w:rPr>
          <w:rFonts w:hint="eastAsia"/>
          <w:bCs/>
          <w:sz w:val="24"/>
        </w:rPr>
        <w:t>或</w:t>
      </w:r>
      <w:r>
        <w:rPr>
          <w:bCs/>
          <w:sz w:val="24"/>
        </w:rPr>
        <w:t>书面报告方式。</w:t>
      </w:r>
    </w:p>
    <w:p w:rsidR="00B85C18" w:rsidRDefault="004E5A0C">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本基金持续运作过程中，应当在基金年度报告和半年度报告中披露基金组合资产情况及其流动性风险分析等。</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rsidR="00B85C18" w:rsidRDefault="004E5A0C">
      <w:pPr>
        <w:autoSpaceDE w:val="0"/>
        <w:autoSpaceDN w:val="0"/>
        <w:spacing w:line="360" w:lineRule="auto"/>
        <w:ind w:firstLineChars="200" w:firstLine="480"/>
        <w:textAlignment w:val="bottom"/>
        <w:rPr>
          <w:bCs/>
          <w:sz w:val="24"/>
        </w:rPr>
      </w:pPr>
      <w:r>
        <w:rPr>
          <w:bCs/>
          <w:sz w:val="24"/>
        </w:rPr>
        <w:t>本基金发生重大事件，有关信息披露义务人应当在</w:t>
      </w:r>
      <w:r>
        <w:rPr>
          <w:bCs/>
          <w:sz w:val="24"/>
        </w:rPr>
        <w:t>2</w:t>
      </w:r>
      <w:r>
        <w:rPr>
          <w:rFonts w:hint="eastAsia"/>
          <w:bCs/>
          <w:sz w:val="24"/>
        </w:rPr>
        <w:t>个工作</w:t>
      </w:r>
      <w:r>
        <w:rPr>
          <w:bCs/>
          <w:sz w:val="24"/>
        </w:rPr>
        <w:t>日内编制临时报告书，予以公告，并在公开披露日分别报中国证监会和基金管理人主要办公场所所在地的中国证监会派出机构备案。</w:t>
      </w:r>
    </w:p>
    <w:p w:rsidR="00B85C18" w:rsidRDefault="004E5A0C">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、基金份额持有人大会的召开；</w:t>
      </w:r>
    </w:p>
    <w:p w:rsidR="00B85C18" w:rsidRDefault="004E5A0C">
      <w:pPr>
        <w:autoSpaceDE w:val="0"/>
        <w:autoSpaceDN w:val="0"/>
        <w:spacing w:line="360" w:lineRule="auto"/>
        <w:ind w:firstLineChars="200" w:firstLine="480"/>
        <w:textAlignment w:val="bottom"/>
        <w:rPr>
          <w:bCs/>
          <w:sz w:val="24"/>
        </w:rPr>
      </w:pPr>
      <w:r>
        <w:rPr>
          <w:bCs/>
          <w:sz w:val="24"/>
        </w:rPr>
        <w:lastRenderedPageBreak/>
        <w:t>2</w:t>
      </w:r>
      <w:r>
        <w:rPr>
          <w:bCs/>
          <w:sz w:val="24"/>
        </w:rPr>
        <w:t>、终止《基金合同》；</w:t>
      </w:r>
    </w:p>
    <w:p w:rsidR="00B85C18" w:rsidRDefault="004E5A0C">
      <w:pPr>
        <w:autoSpaceDE w:val="0"/>
        <w:autoSpaceDN w:val="0"/>
        <w:spacing w:line="360" w:lineRule="auto"/>
        <w:ind w:firstLineChars="200" w:firstLine="480"/>
        <w:textAlignment w:val="bottom"/>
        <w:rPr>
          <w:bCs/>
          <w:sz w:val="24"/>
        </w:rPr>
      </w:pPr>
      <w:r>
        <w:rPr>
          <w:bCs/>
          <w:sz w:val="24"/>
        </w:rPr>
        <w:t>3</w:t>
      </w:r>
      <w:r>
        <w:rPr>
          <w:bCs/>
          <w:sz w:val="24"/>
        </w:rPr>
        <w:t>、转换基金运作方式；</w:t>
      </w:r>
    </w:p>
    <w:p w:rsidR="00B85C18" w:rsidRDefault="004E5A0C">
      <w:pPr>
        <w:autoSpaceDE w:val="0"/>
        <w:autoSpaceDN w:val="0"/>
        <w:spacing w:line="360" w:lineRule="auto"/>
        <w:ind w:firstLineChars="200" w:firstLine="480"/>
        <w:textAlignment w:val="bottom"/>
        <w:rPr>
          <w:bCs/>
          <w:sz w:val="24"/>
        </w:rPr>
      </w:pPr>
      <w:r>
        <w:rPr>
          <w:bCs/>
          <w:sz w:val="24"/>
        </w:rPr>
        <w:t>4</w:t>
      </w:r>
      <w:r>
        <w:rPr>
          <w:bCs/>
          <w:sz w:val="24"/>
        </w:rPr>
        <w:t>、更换基金管理人、基金托管人；</w:t>
      </w:r>
    </w:p>
    <w:p w:rsidR="00B85C18" w:rsidRDefault="004E5A0C">
      <w:pPr>
        <w:autoSpaceDE w:val="0"/>
        <w:autoSpaceDN w:val="0"/>
        <w:spacing w:line="360" w:lineRule="auto"/>
        <w:ind w:firstLineChars="200" w:firstLine="480"/>
        <w:textAlignment w:val="bottom"/>
        <w:rPr>
          <w:bCs/>
          <w:sz w:val="24"/>
        </w:rPr>
      </w:pPr>
      <w:r>
        <w:rPr>
          <w:bCs/>
          <w:sz w:val="24"/>
        </w:rPr>
        <w:t>5</w:t>
      </w:r>
      <w:r>
        <w:rPr>
          <w:bCs/>
          <w:sz w:val="24"/>
        </w:rPr>
        <w:t>、基金管理人、基金托管人的法定名称、住所发生变更；</w:t>
      </w:r>
    </w:p>
    <w:p w:rsidR="00B85C18" w:rsidRDefault="004E5A0C">
      <w:pPr>
        <w:autoSpaceDE w:val="0"/>
        <w:autoSpaceDN w:val="0"/>
        <w:spacing w:line="360" w:lineRule="auto"/>
        <w:ind w:firstLineChars="200" w:firstLine="480"/>
        <w:textAlignment w:val="bottom"/>
        <w:rPr>
          <w:bCs/>
          <w:sz w:val="24"/>
        </w:rPr>
      </w:pPr>
      <w:r>
        <w:rPr>
          <w:bCs/>
          <w:sz w:val="24"/>
        </w:rPr>
        <w:t>6</w:t>
      </w:r>
      <w:r>
        <w:rPr>
          <w:bCs/>
          <w:sz w:val="24"/>
        </w:rPr>
        <w:t>、基金管理人股东及其出资比例发生变更；</w:t>
      </w:r>
    </w:p>
    <w:p w:rsidR="00B85C18" w:rsidRDefault="004E5A0C">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、基金募集期延长；</w:t>
      </w:r>
    </w:p>
    <w:p w:rsidR="00B85C18" w:rsidRDefault="004E5A0C">
      <w:pPr>
        <w:autoSpaceDE w:val="0"/>
        <w:autoSpaceDN w:val="0"/>
        <w:spacing w:line="360" w:lineRule="auto"/>
        <w:ind w:firstLineChars="200" w:firstLine="480"/>
        <w:textAlignment w:val="bottom"/>
        <w:rPr>
          <w:bCs/>
          <w:sz w:val="24"/>
        </w:rPr>
      </w:pPr>
      <w:r>
        <w:rPr>
          <w:rFonts w:hint="eastAsia"/>
          <w:bCs/>
          <w:sz w:val="24"/>
        </w:rPr>
        <w:t>8</w:t>
      </w:r>
      <w:r>
        <w:rPr>
          <w:bCs/>
          <w:sz w:val="24"/>
        </w:rPr>
        <w:t>、基金管理人的董事长、总经理及其他高级管理人员、基金经理和基金托管人基金托管部门负责人发生变动；</w:t>
      </w:r>
    </w:p>
    <w:p w:rsidR="00B85C18" w:rsidRDefault="004E5A0C">
      <w:pPr>
        <w:autoSpaceDE w:val="0"/>
        <w:autoSpaceDN w:val="0"/>
        <w:spacing w:line="360" w:lineRule="auto"/>
        <w:ind w:firstLineChars="200" w:firstLine="480"/>
        <w:textAlignment w:val="bottom"/>
        <w:rPr>
          <w:bCs/>
          <w:sz w:val="24"/>
        </w:rPr>
      </w:pPr>
      <w:r>
        <w:rPr>
          <w:rFonts w:hint="eastAsia"/>
          <w:bCs/>
          <w:sz w:val="24"/>
        </w:rPr>
        <w:t>9</w:t>
      </w:r>
      <w:r>
        <w:rPr>
          <w:bCs/>
          <w:sz w:val="24"/>
        </w:rPr>
        <w:t>、基金管理人的董事在一年内变更超过百分之五十；</w:t>
      </w:r>
    </w:p>
    <w:p w:rsidR="00B85C18" w:rsidRDefault="004E5A0C">
      <w:pPr>
        <w:autoSpaceDE w:val="0"/>
        <w:autoSpaceDN w:val="0"/>
        <w:spacing w:line="360" w:lineRule="auto"/>
        <w:ind w:firstLineChars="200" w:firstLine="480"/>
        <w:textAlignment w:val="bottom"/>
        <w:rPr>
          <w:bCs/>
          <w:sz w:val="24"/>
        </w:rPr>
      </w:pPr>
      <w:r>
        <w:rPr>
          <w:rFonts w:hint="eastAsia"/>
          <w:bCs/>
          <w:sz w:val="24"/>
        </w:rPr>
        <w:t>10</w:t>
      </w:r>
      <w:r>
        <w:rPr>
          <w:bCs/>
          <w:sz w:val="24"/>
        </w:rPr>
        <w:t>、基金管理人、基金托管人基金托管部门的主要业务人员在一年内变动超过百分之三十；</w:t>
      </w:r>
    </w:p>
    <w:p w:rsidR="00B85C18" w:rsidRDefault="004E5A0C">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、涉及基金管理</w:t>
      </w:r>
      <w:r>
        <w:rPr>
          <w:rFonts w:hint="eastAsia"/>
          <w:bCs/>
          <w:sz w:val="24"/>
        </w:rPr>
        <w:t>业务</w:t>
      </w:r>
      <w:r>
        <w:rPr>
          <w:bCs/>
          <w:sz w:val="24"/>
        </w:rPr>
        <w:t>、基金财产、基金托管业务的诉讼</w:t>
      </w:r>
      <w:r>
        <w:rPr>
          <w:rFonts w:hint="eastAsia"/>
          <w:bCs/>
          <w:sz w:val="24"/>
        </w:rPr>
        <w:t>或仲裁</w:t>
      </w:r>
      <w:r>
        <w:rPr>
          <w:bCs/>
          <w:sz w:val="24"/>
        </w:rPr>
        <w:t>；</w:t>
      </w:r>
    </w:p>
    <w:p w:rsidR="00B85C18" w:rsidRDefault="004E5A0C">
      <w:pPr>
        <w:autoSpaceDE w:val="0"/>
        <w:autoSpaceDN w:val="0"/>
        <w:spacing w:line="360" w:lineRule="auto"/>
        <w:ind w:firstLineChars="200" w:firstLine="480"/>
        <w:textAlignment w:val="bottom"/>
        <w:rPr>
          <w:bCs/>
          <w:sz w:val="24"/>
        </w:rPr>
      </w:pPr>
      <w:r>
        <w:rPr>
          <w:bCs/>
          <w:sz w:val="24"/>
        </w:rPr>
        <w:t>1</w:t>
      </w:r>
      <w:r>
        <w:rPr>
          <w:rFonts w:hint="eastAsia"/>
          <w:bCs/>
          <w:sz w:val="24"/>
        </w:rPr>
        <w:t>2</w:t>
      </w:r>
      <w:r>
        <w:rPr>
          <w:bCs/>
          <w:sz w:val="24"/>
        </w:rPr>
        <w:t>、基金管理人、基金托管人受到监管部门的调查；</w:t>
      </w:r>
    </w:p>
    <w:p w:rsidR="00B85C18" w:rsidRDefault="004E5A0C">
      <w:pPr>
        <w:autoSpaceDE w:val="0"/>
        <w:autoSpaceDN w:val="0"/>
        <w:spacing w:line="360" w:lineRule="auto"/>
        <w:ind w:firstLineChars="200" w:firstLine="480"/>
        <w:textAlignment w:val="bottom"/>
        <w:rPr>
          <w:bCs/>
          <w:sz w:val="24"/>
        </w:rPr>
      </w:pPr>
      <w:r>
        <w:rPr>
          <w:bCs/>
          <w:sz w:val="24"/>
        </w:rPr>
        <w:t>1</w:t>
      </w:r>
      <w:r>
        <w:rPr>
          <w:rFonts w:hint="eastAsia"/>
          <w:bCs/>
          <w:sz w:val="24"/>
        </w:rPr>
        <w:t>3</w:t>
      </w:r>
      <w:r>
        <w:rPr>
          <w:bCs/>
          <w:sz w:val="24"/>
        </w:rPr>
        <w:t>、基金管理人及其董事、总经理及其他高级管理人员、基金经理受到严重行政处罚，基金托管人及其基金托管部门负责人受到严重行政处罚；</w:t>
      </w:r>
    </w:p>
    <w:p w:rsidR="00B85C18" w:rsidRDefault="004E5A0C">
      <w:pPr>
        <w:autoSpaceDE w:val="0"/>
        <w:autoSpaceDN w:val="0"/>
        <w:spacing w:line="360" w:lineRule="auto"/>
        <w:ind w:firstLineChars="200" w:firstLine="480"/>
        <w:textAlignment w:val="bottom"/>
        <w:rPr>
          <w:bCs/>
          <w:sz w:val="24"/>
        </w:rPr>
      </w:pPr>
      <w:r>
        <w:rPr>
          <w:bCs/>
          <w:sz w:val="24"/>
        </w:rPr>
        <w:t>1</w:t>
      </w:r>
      <w:r>
        <w:rPr>
          <w:rFonts w:hint="eastAsia"/>
          <w:bCs/>
          <w:sz w:val="24"/>
        </w:rPr>
        <w:t>4</w:t>
      </w:r>
      <w:r>
        <w:rPr>
          <w:bCs/>
          <w:sz w:val="24"/>
        </w:rPr>
        <w:t>、重大关联交易事项；</w:t>
      </w:r>
    </w:p>
    <w:p w:rsidR="00B85C18" w:rsidRDefault="004E5A0C">
      <w:pPr>
        <w:autoSpaceDE w:val="0"/>
        <w:autoSpaceDN w:val="0"/>
        <w:spacing w:line="360" w:lineRule="auto"/>
        <w:ind w:firstLineChars="200" w:firstLine="480"/>
        <w:textAlignment w:val="bottom"/>
        <w:rPr>
          <w:bCs/>
          <w:sz w:val="24"/>
        </w:rPr>
      </w:pPr>
      <w:r>
        <w:rPr>
          <w:bCs/>
          <w:sz w:val="24"/>
        </w:rPr>
        <w:t>1</w:t>
      </w:r>
      <w:r>
        <w:rPr>
          <w:rFonts w:hint="eastAsia"/>
          <w:bCs/>
          <w:sz w:val="24"/>
        </w:rPr>
        <w:t>5</w:t>
      </w:r>
      <w:r>
        <w:rPr>
          <w:bCs/>
          <w:sz w:val="24"/>
        </w:rPr>
        <w:t>、基金收益分配事项；</w:t>
      </w:r>
    </w:p>
    <w:p w:rsidR="00B85C18" w:rsidRDefault="004E5A0C">
      <w:pPr>
        <w:autoSpaceDE w:val="0"/>
        <w:autoSpaceDN w:val="0"/>
        <w:spacing w:line="360" w:lineRule="auto"/>
        <w:ind w:firstLineChars="200" w:firstLine="480"/>
        <w:textAlignment w:val="bottom"/>
        <w:rPr>
          <w:bCs/>
          <w:sz w:val="24"/>
        </w:rPr>
      </w:pPr>
      <w:r>
        <w:rPr>
          <w:bCs/>
          <w:sz w:val="24"/>
        </w:rPr>
        <w:t>1</w:t>
      </w:r>
      <w:r>
        <w:rPr>
          <w:rFonts w:hint="eastAsia"/>
          <w:bCs/>
          <w:sz w:val="24"/>
        </w:rPr>
        <w:t>6</w:t>
      </w:r>
      <w:r>
        <w:rPr>
          <w:bCs/>
          <w:sz w:val="24"/>
        </w:rPr>
        <w:t>、管理费、托管费</w:t>
      </w:r>
      <w:r>
        <w:rPr>
          <w:rFonts w:hint="eastAsia"/>
          <w:bCs/>
          <w:sz w:val="24"/>
        </w:rPr>
        <w:t>、销售服务费</w:t>
      </w:r>
      <w:r>
        <w:rPr>
          <w:bCs/>
          <w:sz w:val="24"/>
        </w:rPr>
        <w:t>等费用计提标准、计提方式和费率发生变更；</w:t>
      </w:r>
    </w:p>
    <w:p w:rsidR="00B85C18" w:rsidRDefault="004E5A0C">
      <w:pPr>
        <w:autoSpaceDE w:val="0"/>
        <w:autoSpaceDN w:val="0"/>
        <w:spacing w:line="360" w:lineRule="auto"/>
        <w:ind w:firstLineChars="200" w:firstLine="480"/>
        <w:textAlignment w:val="bottom"/>
        <w:rPr>
          <w:bCs/>
          <w:sz w:val="24"/>
        </w:rPr>
      </w:pPr>
      <w:r>
        <w:rPr>
          <w:bCs/>
          <w:sz w:val="24"/>
        </w:rPr>
        <w:t>1</w:t>
      </w:r>
      <w:r>
        <w:rPr>
          <w:rFonts w:hint="eastAsia"/>
          <w:bCs/>
          <w:sz w:val="24"/>
        </w:rPr>
        <w:t>7</w:t>
      </w:r>
      <w:r>
        <w:rPr>
          <w:bCs/>
          <w:sz w:val="24"/>
        </w:rPr>
        <w:t>、基金份额净值计价错误达基金份额净值百分之零点五；</w:t>
      </w:r>
    </w:p>
    <w:p w:rsidR="00B85C18" w:rsidRDefault="004E5A0C">
      <w:pPr>
        <w:autoSpaceDE w:val="0"/>
        <w:autoSpaceDN w:val="0"/>
        <w:spacing w:line="360" w:lineRule="auto"/>
        <w:ind w:firstLineChars="200" w:firstLine="480"/>
        <w:textAlignment w:val="bottom"/>
        <w:rPr>
          <w:bCs/>
          <w:sz w:val="24"/>
        </w:rPr>
      </w:pPr>
      <w:r>
        <w:rPr>
          <w:bCs/>
          <w:sz w:val="24"/>
        </w:rPr>
        <w:t>1</w:t>
      </w:r>
      <w:r>
        <w:rPr>
          <w:rFonts w:hint="eastAsia"/>
          <w:bCs/>
          <w:sz w:val="24"/>
        </w:rPr>
        <w:t>8</w:t>
      </w:r>
      <w:r>
        <w:rPr>
          <w:bCs/>
          <w:sz w:val="24"/>
        </w:rPr>
        <w:t>、基金改聘会计师事务所；</w:t>
      </w:r>
    </w:p>
    <w:p w:rsidR="00B85C18" w:rsidRDefault="004E5A0C">
      <w:pPr>
        <w:autoSpaceDE w:val="0"/>
        <w:autoSpaceDN w:val="0"/>
        <w:spacing w:line="360" w:lineRule="auto"/>
        <w:ind w:firstLineChars="200" w:firstLine="480"/>
        <w:textAlignment w:val="bottom"/>
        <w:rPr>
          <w:bCs/>
          <w:sz w:val="24"/>
        </w:rPr>
      </w:pPr>
      <w:r>
        <w:rPr>
          <w:bCs/>
          <w:sz w:val="24"/>
        </w:rPr>
        <w:t>1</w:t>
      </w:r>
      <w:r>
        <w:rPr>
          <w:rFonts w:hint="eastAsia"/>
          <w:bCs/>
          <w:sz w:val="24"/>
        </w:rPr>
        <w:t>9</w:t>
      </w:r>
      <w:r>
        <w:rPr>
          <w:bCs/>
          <w:sz w:val="24"/>
        </w:rPr>
        <w:t>、变更基金销售机构；</w:t>
      </w:r>
    </w:p>
    <w:p w:rsidR="00B85C18" w:rsidRDefault="004E5A0C">
      <w:pPr>
        <w:autoSpaceDE w:val="0"/>
        <w:autoSpaceDN w:val="0"/>
        <w:spacing w:line="360" w:lineRule="auto"/>
        <w:ind w:firstLineChars="200" w:firstLine="480"/>
        <w:textAlignment w:val="bottom"/>
        <w:rPr>
          <w:bCs/>
          <w:sz w:val="24"/>
        </w:rPr>
      </w:pPr>
      <w:r>
        <w:rPr>
          <w:rFonts w:hint="eastAsia"/>
          <w:bCs/>
          <w:sz w:val="24"/>
        </w:rPr>
        <w:t>20</w:t>
      </w:r>
      <w:r>
        <w:rPr>
          <w:bCs/>
          <w:sz w:val="24"/>
        </w:rPr>
        <w:t>、更换基金登记机构；</w:t>
      </w:r>
    </w:p>
    <w:p w:rsidR="00B85C18" w:rsidRDefault="004E5A0C">
      <w:pPr>
        <w:autoSpaceDE w:val="0"/>
        <w:autoSpaceDN w:val="0"/>
        <w:spacing w:line="360" w:lineRule="auto"/>
        <w:ind w:firstLineChars="200" w:firstLine="480"/>
        <w:textAlignment w:val="bottom"/>
        <w:rPr>
          <w:bCs/>
          <w:sz w:val="24"/>
        </w:rPr>
      </w:pPr>
      <w:r>
        <w:rPr>
          <w:bCs/>
          <w:sz w:val="24"/>
        </w:rPr>
        <w:t>2</w:t>
      </w:r>
      <w:r>
        <w:rPr>
          <w:rFonts w:hint="eastAsia"/>
          <w:bCs/>
          <w:sz w:val="24"/>
        </w:rPr>
        <w:t>1</w:t>
      </w:r>
      <w:r>
        <w:rPr>
          <w:bCs/>
          <w:sz w:val="24"/>
        </w:rPr>
        <w:t>、本基金开始办理申购、赎回；</w:t>
      </w:r>
    </w:p>
    <w:p w:rsidR="00B85C18" w:rsidRDefault="004E5A0C">
      <w:pPr>
        <w:autoSpaceDE w:val="0"/>
        <w:autoSpaceDN w:val="0"/>
        <w:spacing w:line="360" w:lineRule="auto"/>
        <w:ind w:firstLineChars="200" w:firstLine="480"/>
        <w:textAlignment w:val="bottom"/>
        <w:rPr>
          <w:bCs/>
          <w:sz w:val="24"/>
        </w:rPr>
      </w:pPr>
      <w:r>
        <w:rPr>
          <w:bCs/>
          <w:sz w:val="24"/>
        </w:rPr>
        <w:t>2</w:t>
      </w:r>
      <w:r>
        <w:rPr>
          <w:rFonts w:hint="eastAsia"/>
          <w:bCs/>
          <w:sz w:val="24"/>
        </w:rPr>
        <w:t>2</w:t>
      </w:r>
      <w:r>
        <w:rPr>
          <w:bCs/>
          <w:sz w:val="24"/>
        </w:rPr>
        <w:t>、本基金申购、赎回费率及其收费方式发生变更；</w:t>
      </w:r>
    </w:p>
    <w:p w:rsidR="00B85C18" w:rsidRDefault="004E5A0C">
      <w:pPr>
        <w:autoSpaceDE w:val="0"/>
        <w:autoSpaceDN w:val="0"/>
        <w:spacing w:line="360" w:lineRule="auto"/>
        <w:ind w:firstLineChars="200" w:firstLine="480"/>
        <w:textAlignment w:val="bottom"/>
        <w:rPr>
          <w:bCs/>
          <w:sz w:val="24"/>
        </w:rPr>
      </w:pPr>
      <w:r>
        <w:rPr>
          <w:bCs/>
          <w:sz w:val="24"/>
        </w:rPr>
        <w:t>2</w:t>
      </w:r>
      <w:r>
        <w:rPr>
          <w:rFonts w:hint="eastAsia"/>
          <w:bCs/>
          <w:sz w:val="24"/>
        </w:rPr>
        <w:t>3</w:t>
      </w:r>
      <w:r>
        <w:rPr>
          <w:bCs/>
          <w:sz w:val="24"/>
        </w:rPr>
        <w:t>、本基金发生巨额赎回并延期</w:t>
      </w:r>
      <w:r>
        <w:rPr>
          <w:rFonts w:hint="eastAsia"/>
          <w:bCs/>
          <w:sz w:val="24"/>
        </w:rPr>
        <w:t>办理</w:t>
      </w:r>
      <w:r>
        <w:rPr>
          <w:bCs/>
          <w:sz w:val="24"/>
        </w:rPr>
        <w:t>；</w:t>
      </w:r>
    </w:p>
    <w:p w:rsidR="00B85C18" w:rsidRDefault="004E5A0C">
      <w:pPr>
        <w:autoSpaceDE w:val="0"/>
        <w:autoSpaceDN w:val="0"/>
        <w:spacing w:line="360" w:lineRule="auto"/>
        <w:ind w:firstLineChars="200" w:firstLine="480"/>
        <w:textAlignment w:val="bottom"/>
        <w:rPr>
          <w:bCs/>
          <w:sz w:val="24"/>
        </w:rPr>
      </w:pPr>
      <w:r>
        <w:rPr>
          <w:bCs/>
          <w:sz w:val="24"/>
        </w:rPr>
        <w:t>2</w:t>
      </w:r>
      <w:r>
        <w:rPr>
          <w:rFonts w:hint="eastAsia"/>
          <w:bCs/>
          <w:sz w:val="24"/>
        </w:rPr>
        <w:t>4</w:t>
      </w:r>
      <w:r>
        <w:rPr>
          <w:bCs/>
          <w:sz w:val="24"/>
        </w:rPr>
        <w:t>、本基金连续发生巨额赎回并暂停接受赎回申请；</w:t>
      </w:r>
    </w:p>
    <w:p w:rsidR="00B85C18" w:rsidRDefault="004E5A0C">
      <w:pPr>
        <w:autoSpaceDE w:val="0"/>
        <w:autoSpaceDN w:val="0"/>
        <w:spacing w:line="360" w:lineRule="auto"/>
        <w:ind w:firstLineChars="200" w:firstLine="480"/>
        <w:textAlignment w:val="bottom"/>
        <w:rPr>
          <w:bCs/>
          <w:sz w:val="24"/>
        </w:rPr>
      </w:pPr>
      <w:r>
        <w:rPr>
          <w:bCs/>
          <w:sz w:val="24"/>
        </w:rPr>
        <w:t>2</w:t>
      </w:r>
      <w:r>
        <w:rPr>
          <w:rFonts w:hint="eastAsia"/>
          <w:bCs/>
          <w:sz w:val="24"/>
        </w:rPr>
        <w:t>5</w:t>
      </w:r>
      <w:r>
        <w:rPr>
          <w:bCs/>
          <w:sz w:val="24"/>
        </w:rPr>
        <w:t>、本基金暂停接受申购、赎回申请后重新接受申购、赎回；</w:t>
      </w:r>
    </w:p>
    <w:p w:rsidR="00B85C18" w:rsidRDefault="004E5A0C">
      <w:pPr>
        <w:autoSpaceDE w:val="0"/>
        <w:autoSpaceDN w:val="0"/>
        <w:spacing w:line="360" w:lineRule="auto"/>
        <w:ind w:firstLineChars="200" w:firstLine="480"/>
        <w:textAlignment w:val="bottom"/>
        <w:rPr>
          <w:bCs/>
          <w:sz w:val="24"/>
        </w:rPr>
      </w:pPr>
      <w:r>
        <w:rPr>
          <w:rFonts w:hint="eastAsia"/>
          <w:bCs/>
          <w:sz w:val="24"/>
        </w:rPr>
        <w:t>26</w:t>
      </w:r>
      <w:r>
        <w:rPr>
          <w:rFonts w:hint="eastAsia"/>
          <w:bCs/>
          <w:sz w:val="24"/>
        </w:rPr>
        <w:t>、发生涉及本基金申购、赎回事项调整或潜在影响投资者赎回等重大事项</w:t>
      </w:r>
      <w:r>
        <w:rPr>
          <w:rFonts w:hint="eastAsia"/>
          <w:bCs/>
          <w:sz w:val="24"/>
        </w:rPr>
        <w:lastRenderedPageBreak/>
        <w:t>时；</w:t>
      </w:r>
    </w:p>
    <w:p w:rsidR="00B85C18" w:rsidRDefault="004E5A0C">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、基金管理人采用摆动定价机制进行估值；</w:t>
      </w:r>
    </w:p>
    <w:p w:rsidR="00B85C18" w:rsidRDefault="004E5A0C">
      <w:pPr>
        <w:spacing w:line="360" w:lineRule="auto"/>
        <w:ind w:firstLineChars="200" w:firstLine="480"/>
        <w:rPr>
          <w:bCs/>
          <w:sz w:val="24"/>
        </w:rPr>
      </w:pPr>
      <w:r>
        <w:rPr>
          <w:bCs/>
          <w:sz w:val="24"/>
        </w:rPr>
        <w:t>28</w:t>
      </w:r>
      <w:r>
        <w:rPr>
          <w:bCs/>
          <w:sz w:val="24"/>
        </w:rPr>
        <w:t>、</w:t>
      </w:r>
      <w:r>
        <w:rPr>
          <w:rFonts w:hint="eastAsia"/>
          <w:bCs/>
          <w:sz w:val="24"/>
        </w:rPr>
        <w:t>调整基金份额类别的设置；</w:t>
      </w:r>
    </w:p>
    <w:p w:rsidR="00B85C18" w:rsidRDefault="004E5A0C">
      <w:pPr>
        <w:spacing w:line="360" w:lineRule="auto"/>
        <w:ind w:firstLineChars="200" w:firstLine="480"/>
        <w:rPr>
          <w:bCs/>
          <w:sz w:val="24"/>
        </w:rPr>
      </w:pPr>
      <w:r>
        <w:rPr>
          <w:bCs/>
          <w:sz w:val="24"/>
        </w:rPr>
        <w:t>29</w:t>
      </w:r>
      <w:r>
        <w:rPr>
          <w:rFonts w:hint="eastAsia"/>
          <w:bCs/>
          <w:sz w:val="24"/>
        </w:rPr>
        <w:t>、基金推出新业务或服务；</w:t>
      </w:r>
    </w:p>
    <w:p w:rsidR="00B85C18" w:rsidRDefault="004E5A0C">
      <w:pPr>
        <w:autoSpaceDE w:val="0"/>
        <w:autoSpaceDN w:val="0"/>
        <w:spacing w:line="360" w:lineRule="auto"/>
        <w:ind w:firstLineChars="200" w:firstLine="480"/>
        <w:textAlignment w:val="bottom"/>
        <w:rPr>
          <w:bCs/>
          <w:sz w:val="24"/>
        </w:rPr>
      </w:pPr>
      <w:r>
        <w:rPr>
          <w:bCs/>
          <w:sz w:val="24"/>
        </w:rPr>
        <w:t>30</w:t>
      </w:r>
      <w:r>
        <w:rPr>
          <w:rFonts w:hint="eastAsia"/>
          <w:bCs/>
          <w:sz w:val="24"/>
        </w:rPr>
        <w:t>、</w:t>
      </w:r>
      <w:r>
        <w:rPr>
          <w:bCs/>
          <w:sz w:val="24"/>
        </w:rPr>
        <w:t>中国证监会规定的其他事项。</w:t>
      </w:r>
    </w:p>
    <w:p w:rsidR="00B85C18" w:rsidRDefault="004E5A0C">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rsidR="00B85C18" w:rsidRDefault="004E5A0C">
      <w:pPr>
        <w:autoSpaceDE w:val="0"/>
        <w:autoSpaceDN w:val="0"/>
        <w:spacing w:line="360" w:lineRule="auto"/>
        <w:ind w:firstLineChars="200" w:firstLine="480"/>
        <w:textAlignment w:val="bottom"/>
        <w:rPr>
          <w:bCs/>
          <w:sz w:val="24"/>
        </w:rPr>
      </w:pPr>
      <w:r>
        <w:rPr>
          <w:bCs/>
          <w:sz w:val="24"/>
        </w:rPr>
        <w:t>在《基金合同》存续期限内，任何公共</w:t>
      </w:r>
      <w:r>
        <w:rPr>
          <w:rFonts w:hint="eastAsia"/>
          <w:bCs/>
          <w:sz w:val="24"/>
        </w:rPr>
        <w:t>媒介</w:t>
      </w:r>
      <w:r>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rsidR="00B85C18" w:rsidRDefault="004E5A0C">
      <w:pPr>
        <w:autoSpaceDE w:val="0"/>
        <w:autoSpaceDN w:val="0"/>
        <w:spacing w:line="360" w:lineRule="auto"/>
        <w:ind w:firstLineChars="200" w:firstLine="480"/>
        <w:textAlignment w:val="bottom"/>
        <w:rPr>
          <w:bCs/>
          <w:sz w:val="24"/>
        </w:rPr>
      </w:pPr>
      <w:r>
        <w:rPr>
          <w:bCs/>
          <w:sz w:val="24"/>
        </w:rPr>
        <w:t>（九）基金份额持有人大会决议</w:t>
      </w:r>
    </w:p>
    <w:p w:rsidR="00B85C18" w:rsidRDefault="004E5A0C">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rsidR="00B85C18" w:rsidRDefault="004E5A0C">
      <w:pPr>
        <w:autoSpaceDE w:val="0"/>
        <w:autoSpaceDN w:val="0"/>
        <w:spacing w:line="360" w:lineRule="auto"/>
        <w:ind w:firstLineChars="200" w:firstLine="480"/>
        <w:textAlignment w:val="bottom"/>
        <w:rPr>
          <w:bCs/>
          <w:sz w:val="24"/>
        </w:rPr>
      </w:pPr>
      <w:r>
        <w:rPr>
          <w:rFonts w:hint="eastAsia"/>
          <w:bCs/>
          <w:sz w:val="24"/>
        </w:rPr>
        <w:t>（十）投资股指期货的信息披露</w:t>
      </w:r>
    </w:p>
    <w:p w:rsidR="00B85C18" w:rsidRDefault="004E5A0C">
      <w:pPr>
        <w:autoSpaceDE w:val="0"/>
        <w:autoSpaceDN w:val="0"/>
        <w:spacing w:line="360" w:lineRule="auto"/>
        <w:ind w:firstLineChars="200" w:firstLine="480"/>
        <w:textAlignment w:val="bottom"/>
        <w:rPr>
          <w:bCs/>
          <w:sz w:val="24"/>
        </w:rPr>
      </w:pPr>
      <w:r>
        <w:rPr>
          <w:rFonts w:hint="eastAsia"/>
          <w:bCs/>
          <w:sz w:val="24"/>
        </w:rPr>
        <w:t>基金管理人应当在基金季度报告、基金半年度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B85C18" w:rsidRDefault="004E5A0C">
      <w:pPr>
        <w:spacing w:line="360" w:lineRule="auto"/>
        <w:ind w:firstLineChars="200" w:firstLine="480"/>
        <w:rPr>
          <w:bCs/>
          <w:sz w:val="24"/>
        </w:rPr>
      </w:pPr>
      <w:r>
        <w:rPr>
          <w:rFonts w:hint="eastAsia"/>
          <w:bCs/>
          <w:sz w:val="24"/>
        </w:rPr>
        <w:t>（十一）投资国债期货的信息披露</w:t>
      </w:r>
    </w:p>
    <w:p w:rsidR="00B85C18" w:rsidRDefault="004E5A0C">
      <w:pPr>
        <w:spacing w:line="360" w:lineRule="auto"/>
        <w:ind w:firstLineChars="200" w:firstLine="480"/>
        <w:rPr>
          <w:bCs/>
          <w:sz w:val="24"/>
        </w:rPr>
      </w:pPr>
      <w:r>
        <w:rPr>
          <w:rFonts w:hint="eastAsia"/>
          <w:bCs/>
          <w:sz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B85C18" w:rsidRDefault="004E5A0C">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rsidR="00B85C18" w:rsidRDefault="004E5A0C">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B85C18" w:rsidRDefault="004E5A0C">
      <w:pPr>
        <w:autoSpaceDE w:val="0"/>
        <w:autoSpaceDN w:val="0"/>
        <w:spacing w:line="360" w:lineRule="auto"/>
        <w:ind w:firstLineChars="200" w:firstLine="480"/>
        <w:textAlignment w:val="bottom"/>
        <w:rPr>
          <w:bCs/>
          <w:sz w:val="24"/>
        </w:rPr>
      </w:pPr>
      <w:r>
        <w:rPr>
          <w:rFonts w:hint="eastAsia"/>
          <w:bCs/>
          <w:sz w:val="24"/>
        </w:rPr>
        <w:t>（十三）投资中小企业私募债券的信息披露</w:t>
      </w:r>
    </w:p>
    <w:p w:rsidR="00B85C18" w:rsidRDefault="004E5A0C">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个交易日内，在中国证监会指定媒介披露所投资中小企业私募债券的名称、数量、期限、收益率等信息。基金管理人应当在基金年度报告、基金半年度报告和基金季度报告等定期报告和</w:t>
      </w:r>
      <w:r>
        <w:rPr>
          <w:rFonts w:hint="eastAsia"/>
          <w:bCs/>
          <w:sz w:val="24"/>
        </w:rPr>
        <w:lastRenderedPageBreak/>
        <w:t>招募说明书等文件中披露中小企业私募债券的投资情况。</w:t>
      </w:r>
    </w:p>
    <w:p w:rsidR="00B85C18" w:rsidRDefault="004E5A0C">
      <w:pPr>
        <w:autoSpaceDE w:val="0"/>
        <w:autoSpaceDN w:val="0"/>
        <w:spacing w:line="360" w:lineRule="auto"/>
        <w:ind w:firstLineChars="200" w:firstLine="480"/>
        <w:textAlignment w:val="bottom"/>
        <w:rPr>
          <w:bCs/>
          <w:sz w:val="24"/>
        </w:rPr>
      </w:pPr>
      <w:r>
        <w:rPr>
          <w:rFonts w:hint="eastAsia"/>
          <w:bCs/>
          <w:sz w:val="24"/>
        </w:rPr>
        <w:t>（十四）投资资产支持证券的信息披露</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rsidR="00B85C18" w:rsidRDefault="004E5A0C">
      <w:pPr>
        <w:autoSpaceDE w:val="0"/>
        <w:autoSpaceDN w:val="0"/>
        <w:spacing w:line="360" w:lineRule="auto"/>
        <w:ind w:firstLineChars="200" w:firstLine="480"/>
        <w:textAlignment w:val="bottom"/>
        <w:rPr>
          <w:bCs/>
          <w:sz w:val="24"/>
        </w:rPr>
      </w:pPr>
      <w:r>
        <w:rPr>
          <w:bCs/>
          <w:sz w:val="24"/>
        </w:rPr>
        <w:t>（十</w:t>
      </w:r>
      <w:r>
        <w:rPr>
          <w:rFonts w:hint="eastAsia"/>
          <w:bCs/>
          <w:sz w:val="24"/>
        </w:rPr>
        <w:t>五</w:t>
      </w:r>
      <w:r>
        <w:rPr>
          <w:bCs/>
          <w:sz w:val="24"/>
        </w:rPr>
        <w:t>）中国证监会规定的其他信息。</w:t>
      </w:r>
    </w:p>
    <w:p w:rsidR="00B85C18" w:rsidRDefault="004E5A0C">
      <w:pPr>
        <w:autoSpaceDE w:val="0"/>
        <w:autoSpaceDN w:val="0"/>
        <w:spacing w:line="360" w:lineRule="auto"/>
        <w:ind w:firstLineChars="200" w:firstLine="480"/>
        <w:textAlignment w:val="bottom"/>
        <w:rPr>
          <w:bCs/>
          <w:sz w:val="24"/>
        </w:rPr>
      </w:pPr>
      <w:r>
        <w:rPr>
          <w:bCs/>
          <w:sz w:val="24"/>
        </w:rPr>
        <w:t>六、信息披露事务管理</w:t>
      </w:r>
    </w:p>
    <w:p w:rsidR="00B85C18" w:rsidRDefault="004E5A0C">
      <w:pPr>
        <w:autoSpaceDE w:val="0"/>
        <w:autoSpaceDN w:val="0"/>
        <w:spacing w:line="360" w:lineRule="auto"/>
        <w:ind w:firstLineChars="200" w:firstLine="480"/>
        <w:textAlignment w:val="bottom"/>
        <w:rPr>
          <w:bCs/>
          <w:sz w:val="24"/>
        </w:rPr>
      </w:pPr>
      <w:r>
        <w:rPr>
          <w:bCs/>
          <w:sz w:val="24"/>
        </w:rPr>
        <w:t>基金管理人应当建立健全信息披露管理制度，指定专人负责管理信息披露事务。</w:t>
      </w:r>
    </w:p>
    <w:p w:rsidR="00B85C18" w:rsidRDefault="004E5A0C">
      <w:pPr>
        <w:autoSpaceDE w:val="0"/>
        <w:autoSpaceDN w:val="0"/>
        <w:spacing w:line="360" w:lineRule="auto"/>
        <w:ind w:firstLineChars="200" w:firstLine="480"/>
        <w:textAlignment w:val="bottom"/>
        <w:rPr>
          <w:bCs/>
          <w:sz w:val="24"/>
        </w:rPr>
      </w:pPr>
      <w:r>
        <w:rPr>
          <w:bCs/>
          <w:sz w:val="24"/>
        </w:rPr>
        <w:t>基金信息披露义务人公开披露基金信息，应当符合中国证监会相关基金信息披露内容与格式准则的规定。</w:t>
      </w:r>
    </w:p>
    <w:p w:rsidR="00B85C18" w:rsidRDefault="004E5A0C">
      <w:pPr>
        <w:autoSpaceDE w:val="0"/>
        <w:autoSpaceDN w:val="0"/>
        <w:spacing w:line="360" w:lineRule="auto"/>
        <w:ind w:firstLineChars="200" w:firstLine="480"/>
        <w:textAlignment w:val="bottom"/>
        <w:rPr>
          <w:bCs/>
          <w:sz w:val="24"/>
        </w:rPr>
      </w:pPr>
      <w:r>
        <w:rPr>
          <w:bCs/>
          <w:sz w:val="24"/>
        </w:rPr>
        <w:t>基金托管人应当按照相关法律法规、中国证监会的规定和《基金合同》的约定，对基金管理人编制的基金资产净值、</w:t>
      </w:r>
      <w:r>
        <w:rPr>
          <w:rFonts w:hint="eastAsia"/>
          <w:bCs/>
          <w:sz w:val="24"/>
        </w:rPr>
        <w:t>两类</w:t>
      </w:r>
      <w:r>
        <w:rPr>
          <w:bCs/>
          <w:sz w:val="24"/>
        </w:rPr>
        <w:t>基金份额净值、基金份额申购赎回价格、基金定期报告和定期更新的招募说明书等公开披露的相关基金信息进行复核、审查，并向基金管理人出具书面文件或者盖章确认。</w:t>
      </w:r>
    </w:p>
    <w:p w:rsidR="00B85C18" w:rsidRDefault="004E5A0C">
      <w:pPr>
        <w:autoSpaceDE w:val="0"/>
        <w:autoSpaceDN w:val="0"/>
        <w:spacing w:line="360" w:lineRule="auto"/>
        <w:ind w:firstLineChars="200" w:firstLine="480"/>
        <w:textAlignment w:val="bottom"/>
        <w:rPr>
          <w:bCs/>
          <w:sz w:val="24"/>
        </w:rPr>
      </w:pPr>
      <w:r>
        <w:rPr>
          <w:bCs/>
          <w:sz w:val="24"/>
        </w:rPr>
        <w:t>基金管理人、基金托管人应当在指定媒介中选择披露信息的报刊。</w:t>
      </w:r>
    </w:p>
    <w:p w:rsidR="00B85C18" w:rsidRDefault="004E5A0C">
      <w:pPr>
        <w:autoSpaceDE w:val="0"/>
        <w:autoSpaceDN w:val="0"/>
        <w:spacing w:line="360" w:lineRule="auto"/>
        <w:ind w:firstLineChars="200" w:firstLine="480"/>
        <w:textAlignment w:val="bottom"/>
        <w:rPr>
          <w:bCs/>
          <w:sz w:val="24"/>
        </w:rPr>
      </w:pPr>
      <w:r>
        <w:rPr>
          <w:bCs/>
          <w:sz w:val="24"/>
        </w:rPr>
        <w:t>基金管理人、基金托管人除依法在指定媒介上披露信息外，还可以根据需要在其他公共</w:t>
      </w:r>
      <w:r>
        <w:rPr>
          <w:rFonts w:hint="eastAsia"/>
          <w:bCs/>
          <w:sz w:val="24"/>
        </w:rPr>
        <w:t>媒介</w:t>
      </w:r>
      <w:r>
        <w:rPr>
          <w:bCs/>
          <w:sz w:val="24"/>
        </w:rPr>
        <w:t>披露信息，但是其他公共</w:t>
      </w:r>
      <w:r>
        <w:rPr>
          <w:rFonts w:hint="eastAsia"/>
          <w:bCs/>
          <w:sz w:val="24"/>
        </w:rPr>
        <w:t>媒介</w:t>
      </w:r>
      <w:r>
        <w:rPr>
          <w:bCs/>
          <w:sz w:val="24"/>
        </w:rPr>
        <w:t>不得早于指定媒介披露信息，并且在不同媒介上披露同一信息的内容应当一致。</w:t>
      </w:r>
    </w:p>
    <w:p w:rsidR="00B85C18" w:rsidRDefault="004E5A0C">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rsidR="00B85C18" w:rsidRDefault="004E5A0C">
      <w:pPr>
        <w:autoSpaceDE w:val="0"/>
        <w:autoSpaceDN w:val="0"/>
        <w:spacing w:line="360" w:lineRule="auto"/>
        <w:ind w:firstLineChars="200" w:firstLine="480"/>
        <w:textAlignment w:val="bottom"/>
        <w:rPr>
          <w:bCs/>
          <w:sz w:val="24"/>
        </w:rPr>
      </w:pPr>
      <w:r>
        <w:rPr>
          <w:bCs/>
          <w:sz w:val="24"/>
        </w:rPr>
        <w:t>七、信息披露文件的存放与查阅</w:t>
      </w:r>
    </w:p>
    <w:p w:rsidR="00B85C18" w:rsidRDefault="004E5A0C">
      <w:pPr>
        <w:autoSpaceDE w:val="0"/>
        <w:autoSpaceDN w:val="0"/>
        <w:spacing w:line="360" w:lineRule="auto"/>
        <w:ind w:firstLineChars="200" w:firstLine="480"/>
        <w:textAlignment w:val="bottom"/>
        <w:rPr>
          <w:bCs/>
          <w:sz w:val="24"/>
        </w:rPr>
      </w:pPr>
      <w:r>
        <w:rPr>
          <w:bCs/>
          <w:sz w:val="24"/>
        </w:rPr>
        <w:t>招募说明书公布后，应当分别置备于基金管理人、基金托管人和基金销售机构的住所，供公众查阅、复制。</w:t>
      </w:r>
    </w:p>
    <w:p w:rsidR="00B85C18" w:rsidRDefault="004E5A0C">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基金定期报告公布后，应当分别置备于基金管理人和基金托管人的住所，以供公众查阅、复制</w:t>
      </w:r>
      <w:r>
        <w:rPr>
          <w:rFonts w:asciiTheme="minorEastAsia" w:hAnsiTheme="minorEastAsia" w:cs="Times New Roman" w:hint="eastAsia"/>
          <w:bCs/>
          <w:sz w:val="24"/>
          <w:szCs w:val="24"/>
        </w:rPr>
        <w:t>。</w:t>
      </w:r>
    </w:p>
    <w:p w:rsidR="00B85C18" w:rsidRDefault="004E5A0C">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rsidR="00B85C18" w:rsidRDefault="004E5A0C">
      <w:pPr>
        <w:pStyle w:val="1"/>
        <w:jc w:val="center"/>
        <w:rPr>
          <w:sz w:val="30"/>
          <w:szCs w:val="30"/>
        </w:rPr>
      </w:pPr>
      <w:bookmarkStart w:id="323" w:name="_Toc214873605"/>
      <w:bookmarkStart w:id="324" w:name="_Toc147463125"/>
      <w:bookmarkStart w:id="325" w:name="_Toc21073398"/>
      <w:bookmarkStart w:id="326" w:name="_Toc416264552"/>
      <w:bookmarkStart w:id="327" w:name="_Toc263092324"/>
      <w:bookmarkStart w:id="328" w:name="_Toc462063879"/>
      <w:bookmarkStart w:id="329" w:name="_Toc523229273"/>
      <w:bookmarkStart w:id="330" w:name="_Toc12357178"/>
      <w:bookmarkStart w:id="331" w:name="_Toc523229711"/>
      <w:bookmarkStart w:id="332" w:name="_Toc93226150"/>
      <w:bookmarkStart w:id="333" w:name="_Toc92662708"/>
      <w:bookmarkStart w:id="334" w:name="_Toc21206"/>
      <w:bookmarkStart w:id="335" w:name="_Toc18747"/>
      <w:bookmarkStart w:id="336" w:name="_Toc23859"/>
      <w:bookmarkStart w:id="337" w:name="_Toc352229763"/>
      <w:bookmarkStart w:id="338" w:name="_Toc18007"/>
      <w:bookmarkStart w:id="339" w:name="_Toc1043"/>
      <w:bookmarkStart w:id="340" w:name="_Toc28961"/>
      <w:bookmarkStart w:id="341" w:name="_Toc10894"/>
      <w:bookmarkStart w:id="342" w:name="_Toc13255"/>
      <w:bookmarkStart w:id="343" w:name="_Toc139991747"/>
      <w:bookmarkStart w:id="344" w:name="_Toc17499"/>
      <w:bookmarkStart w:id="345" w:name="_Toc29695"/>
      <w:bookmarkStart w:id="346" w:name="_Toc31736"/>
      <w:bookmarkStart w:id="347" w:name="_Toc141703897"/>
      <w:bookmarkStart w:id="348" w:name="_Toc128310500"/>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r>
        <w:rPr>
          <w:rFonts w:hint="eastAsia"/>
          <w:sz w:val="30"/>
          <w:szCs w:val="30"/>
        </w:rPr>
        <w:lastRenderedPageBreak/>
        <w:t>第十六部分</w:t>
      </w:r>
      <w:r>
        <w:rPr>
          <w:sz w:val="30"/>
          <w:szCs w:val="30"/>
        </w:rPr>
        <w:t xml:space="preserve">  </w:t>
      </w:r>
      <w:r>
        <w:rPr>
          <w:rFonts w:hint="eastAsia"/>
          <w:sz w:val="30"/>
          <w:szCs w:val="30"/>
        </w:rPr>
        <w:t>风险揭示</w:t>
      </w:r>
      <w:bookmarkEnd w:id="323"/>
      <w:bookmarkEnd w:id="324"/>
      <w:bookmarkEnd w:id="325"/>
      <w:bookmarkEnd w:id="326"/>
      <w:bookmarkEnd w:id="327"/>
      <w:bookmarkEnd w:id="328"/>
      <w:bookmarkEnd w:id="329"/>
      <w:bookmarkEnd w:id="330"/>
      <w:bookmarkEnd w:id="331"/>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rsidR="00B85C18" w:rsidRDefault="004E5A0C">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rsidR="00B85C18" w:rsidRDefault="004E5A0C">
      <w:pPr>
        <w:widowControl/>
        <w:jc w:val="left"/>
        <w:rPr>
          <w:rFonts w:asciiTheme="minorEastAsia" w:hAnsiTheme="minorEastAsia" w:cs="Arial"/>
          <w:bCs/>
          <w:sz w:val="24"/>
          <w:szCs w:val="24"/>
        </w:rPr>
      </w:pPr>
      <w:r>
        <w:rPr>
          <w:rFonts w:asciiTheme="minorEastAsia" w:hAnsiTheme="minorEastAsia" w:cs="Arial"/>
          <w:bCs/>
          <w:sz w:val="24"/>
          <w:szCs w:val="24"/>
        </w:rPr>
        <w:br w:type="page"/>
      </w:r>
    </w:p>
    <w:p w:rsidR="00B85C18" w:rsidRDefault="004E5A0C">
      <w:pPr>
        <w:pStyle w:val="1"/>
        <w:jc w:val="center"/>
        <w:rPr>
          <w:sz w:val="30"/>
          <w:szCs w:val="30"/>
        </w:rPr>
      </w:pPr>
      <w:bookmarkStart w:id="349" w:name="_Toc462063880"/>
      <w:bookmarkStart w:id="350" w:name="_Toc523229274"/>
      <w:bookmarkStart w:id="351" w:name="_Toc523229712"/>
      <w:r>
        <w:rPr>
          <w:rFonts w:hint="eastAsia"/>
          <w:sz w:val="30"/>
          <w:szCs w:val="30"/>
        </w:rPr>
        <w:lastRenderedPageBreak/>
        <w:t>第十七部分</w:t>
      </w:r>
      <w:r>
        <w:rPr>
          <w:sz w:val="30"/>
          <w:szCs w:val="30"/>
        </w:rPr>
        <w:t xml:space="preserve">  </w:t>
      </w:r>
      <w:bookmarkEnd w:id="332"/>
      <w:bookmarkEnd w:id="333"/>
      <w:r>
        <w:rPr>
          <w:rFonts w:hint="eastAsia"/>
          <w:sz w:val="30"/>
          <w:szCs w:val="30"/>
        </w:rPr>
        <w:t>基金合同的变更、终止与基金财产的清算</w:t>
      </w:r>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rsidR="00B85C18" w:rsidRDefault="004E5A0C">
      <w:pPr>
        <w:autoSpaceDE w:val="0"/>
        <w:autoSpaceDN w:val="0"/>
        <w:spacing w:line="360" w:lineRule="auto"/>
        <w:ind w:firstLineChars="200" w:firstLine="480"/>
        <w:textAlignment w:val="bottom"/>
        <w:rPr>
          <w:bCs/>
          <w:sz w:val="24"/>
        </w:rPr>
      </w:pPr>
      <w:bookmarkStart w:id="352" w:name="_Toc79392639"/>
      <w:bookmarkStart w:id="353" w:name="_Toc93226151"/>
      <w:bookmarkStart w:id="354" w:name="_Toc92662709"/>
      <w:bookmarkStart w:id="355" w:name="_Toc352229764"/>
      <w:bookmarkStart w:id="356" w:name="_Toc11802"/>
      <w:bookmarkStart w:id="357" w:name="_Toc29289"/>
      <w:bookmarkStart w:id="358" w:name="_Toc21351"/>
      <w:bookmarkStart w:id="359" w:name="_Toc31866"/>
      <w:bookmarkStart w:id="360" w:name="_Toc12028"/>
      <w:bookmarkStart w:id="361" w:name="_Toc139991748"/>
      <w:bookmarkStart w:id="362" w:name="_Toc3056"/>
      <w:bookmarkStart w:id="363" w:name="_Toc193"/>
      <w:bookmarkStart w:id="364" w:name="_Toc128310501"/>
      <w:bookmarkStart w:id="365" w:name="_Toc1173"/>
      <w:bookmarkStart w:id="366" w:name="_Toc11049"/>
      <w:bookmarkStart w:id="367" w:name="_Toc141703898"/>
      <w:bookmarkStart w:id="368" w:name="_Toc1421"/>
      <w:bookmarkStart w:id="369" w:name="_Toc8512"/>
      <w:r>
        <w:rPr>
          <w:bCs/>
          <w:sz w:val="24"/>
        </w:rPr>
        <w:t>一、《基金合同》的变更</w:t>
      </w:r>
      <w:bookmarkEnd w:id="352"/>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B85C18" w:rsidRDefault="004E5A0C">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rsidR="00B85C18" w:rsidRDefault="004E5A0C">
      <w:pPr>
        <w:autoSpaceDE w:val="0"/>
        <w:autoSpaceDN w:val="0"/>
        <w:spacing w:line="360" w:lineRule="auto"/>
        <w:ind w:firstLineChars="200" w:firstLine="480"/>
        <w:textAlignment w:val="bottom"/>
        <w:rPr>
          <w:bCs/>
          <w:sz w:val="24"/>
        </w:rPr>
      </w:pPr>
      <w:r>
        <w:rPr>
          <w:bCs/>
          <w:sz w:val="24"/>
        </w:rPr>
        <w:t>二、《基金合同》的终止事由</w:t>
      </w:r>
    </w:p>
    <w:p w:rsidR="00B85C18" w:rsidRDefault="004E5A0C">
      <w:pPr>
        <w:autoSpaceDE w:val="0"/>
        <w:autoSpaceDN w:val="0"/>
        <w:spacing w:line="360" w:lineRule="auto"/>
        <w:ind w:firstLineChars="200" w:firstLine="480"/>
        <w:textAlignment w:val="bottom"/>
        <w:rPr>
          <w:bCs/>
          <w:sz w:val="24"/>
        </w:rPr>
      </w:pPr>
      <w:r>
        <w:rPr>
          <w:bCs/>
          <w:sz w:val="24"/>
        </w:rPr>
        <w:t>有下列情形之一的，《基金合同》应当终止：</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B85C18" w:rsidRDefault="004E5A0C">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rsidR="00B85C18" w:rsidRDefault="004E5A0C">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rsidR="00B85C18" w:rsidRDefault="004E5A0C">
      <w:pPr>
        <w:autoSpaceDE w:val="0"/>
        <w:autoSpaceDN w:val="0"/>
        <w:spacing w:line="360" w:lineRule="auto"/>
        <w:ind w:firstLineChars="200" w:firstLine="480"/>
        <w:textAlignment w:val="bottom"/>
        <w:rPr>
          <w:bCs/>
          <w:sz w:val="24"/>
        </w:rPr>
      </w:pPr>
      <w:r>
        <w:rPr>
          <w:bCs/>
          <w:sz w:val="24"/>
        </w:rPr>
        <w:t>三、基金财产的清算</w:t>
      </w:r>
    </w:p>
    <w:p w:rsidR="00B85C18" w:rsidRDefault="004E5A0C">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rsidR="00B85C18" w:rsidRDefault="004E5A0C">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B85C18" w:rsidRDefault="004E5A0C">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B85C18" w:rsidRDefault="004E5A0C">
      <w:pPr>
        <w:autoSpaceDE w:val="0"/>
        <w:autoSpaceDN w:val="0"/>
        <w:spacing w:line="360" w:lineRule="auto"/>
        <w:ind w:firstLineChars="200" w:firstLine="480"/>
        <w:textAlignment w:val="bottom"/>
        <w:rPr>
          <w:bCs/>
          <w:sz w:val="24"/>
        </w:rPr>
      </w:pPr>
      <w:r>
        <w:rPr>
          <w:bCs/>
          <w:sz w:val="24"/>
        </w:rPr>
        <w:t>4</w:t>
      </w:r>
      <w:r>
        <w:rPr>
          <w:bCs/>
          <w:sz w:val="24"/>
        </w:rPr>
        <w:t>、基金财产清算程序：</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rsidR="00B85C18" w:rsidRDefault="004E5A0C">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rsidR="00B85C18" w:rsidRDefault="004E5A0C">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B85C18" w:rsidRDefault="004E5A0C">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rsidR="00B85C18" w:rsidRDefault="004E5A0C">
      <w:pPr>
        <w:autoSpaceDE w:val="0"/>
        <w:autoSpaceDN w:val="0"/>
        <w:spacing w:line="360" w:lineRule="auto"/>
        <w:ind w:firstLineChars="200" w:firstLine="480"/>
        <w:textAlignment w:val="bottom"/>
        <w:rPr>
          <w:bCs/>
          <w:sz w:val="24"/>
        </w:rPr>
      </w:pPr>
      <w:r>
        <w:rPr>
          <w:bCs/>
          <w:sz w:val="24"/>
        </w:rPr>
        <w:t>四、清算费用</w:t>
      </w:r>
    </w:p>
    <w:p w:rsidR="00B85C18" w:rsidRDefault="004E5A0C">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rsidR="00B85C18" w:rsidRDefault="004E5A0C">
      <w:pPr>
        <w:autoSpaceDE w:val="0"/>
        <w:autoSpaceDN w:val="0"/>
        <w:spacing w:line="360" w:lineRule="auto"/>
        <w:ind w:firstLineChars="200" w:firstLine="480"/>
        <w:textAlignment w:val="bottom"/>
        <w:rPr>
          <w:bCs/>
          <w:sz w:val="24"/>
        </w:rPr>
      </w:pPr>
      <w:r>
        <w:rPr>
          <w:bCs/>
          <w:sz w:val="24"/>
        </w:rPr>
        <w:t>五、基金财产清算剩余资产的分配</w:t>
      </w:r>
    </w:p>
    <w:p w:rsidR="00B85C18" w:rsidRDefault="004E5A0C">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B85C18" w:rsidRDefault="004E5A0C">
      <w:pPr>
        <w:autoSpaceDE w:val="0"/>
        <w:autoSpaceDN w:val="0"/>
        <w:spacing w:line="360" w:lineRule="auto"/>
        <w:ind w:firstLineChars="200" w:firstLine="480"/>
        <w:textAlignment w:val="bottom"/>
        <w:rPr>
          <w:bCs/>
          <w:sz w:val="24"/>
        </w:rPr>
      </w:pPr>
      <w:r>
        <w:rPr>
          <w:bCs/>
          <w:sz w:val="24"/>
        </w:rPr>
        <w:t>六、基金财产清算的公告</w:t>
      </w:r>
    </w:p>
    <w:p w:rsidR="00B85C18" w:rsidRDefault="004E5A0C">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rsidR="00B85C18" w:rsidRDefault="004E5A0C">
      <w:pPr>
        <w:autoSpaceDE w:val="0"/>
        <w:autoSpaceDN w:val="0"/>
        <w:spacing w:line="360" w:lineRule="auto"/>
        <w:ind w:firstLineChars="200" w:firstLine="480"/>
        <w:textAlignment w:val="bottom"/>
        <w:rPr>
          <w:bCs/>
          <w:sz w:val="24"/>
        </w:rPr>
      </w:pPr>
      <w:r>
        <w:rPr>
          <w:bCs/>
          <w:sz w:val="24"/>
        </w:rPr>
        <w:t>七、基金财产清算账册及文件的保存</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rsidR="00B85C18" w:rsidRDefault="004E5A0C">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rsidR="00B85C18" w:rsidRDefault="004E5A0C">
      <w:pPr>
        <w:pStyle w:val="1"/>
        <w:jc w:val="center"/>
        <w:rPr>
          <w:sz w:val="30"/>
          <w:szCs w:val="30"/>
        </w:rPr>
      </w:pPr>
      <w:bookmarkStart w:id="370" w:name="_Toc523229275"/>
      <w:bookmarkStart w:id="371" w:name="_Toc416264553"/>
      <w:bookmarkStart w:id="372" w:name="_Toc523229713"/>
      <w:bookmarkStart w:id="373" w:name="_Toc462063881"/>
      <w:bookmarkStart w:id="374" w:name="_Toc263092326"/>
      <w:bookmarkStart w:id="375" w:name="_Toc214873607"/>
      <w:bookmarkStart w:id="376" w:name="_Toc139991749"/>
      <w:bookmarkStart w:id="377" w:name="_Toc7170"/>
      <w:bookmarkStart w:id="378" w:name="_Toc352229765"/>
      <w:bookmarkStart w:id="379" w:name="_Toc98560364"/>
      <w:bookmarkStart w:id="380" w:name="_Toc11113"/>
      <w:bookmarkStart w:id="381" w:name="_Toc8059"/>
      <w:bookmarkStart w:id="382" w:name="_Toc123051465"/>
      <w:bookmarkStart w:id="383" w:name="_Toc10006"/>
      <w:bookmarkStart w:id="384" w:name="_Toc25647"/>
      <w:bookmarkStart w:id="385" w:name="_Toc141703899"/>
      <w:bookmarkStart w:id="386" w:name="_Toc29891"/>
      <w:bookmarkStart w:id="387" w:name="_Toc8049"/>
      <w:bookmarkStart w:id="388" w:name="_Toc22978"/>
      <w:bookmarkStart w:id="389" w:name="_Toc123112247"/>
      <w:bookmarkStart w:id="390" w:name="_Toc27464"/>
      <w:bookmarkStart w:id="391" w:name="_Toc123102466"/>
      <w:bookmarkStart w:id="392" w:name="_Toc6237"/>
      <w:bookmarkStart w:id="393" w:name="_Toc9005"/>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70"/>
      <w:bookmarkEnd w:id="371"/>
      <w:bookmarkEnd w:id="372"/>
      <w:bookmarkEnd w:id="373"/>
      <w:bookmarkEnd w:id="374"/>
      <w:bookmarkEnd w:id="375"/>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（10）编制季度、半年度和年度基金报告；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（8）复核、审查基金管理人计算的基金资产净值、基金份额申购、赎回价格；</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（三）基金份额持有人的权利和义务</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（4）因相应的法律法规发生变动而应当对《基金合同》进行修改；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（2）会议拟审议的事项、议事程序和表决方式；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管理人或基金托管人拒不派代表对表决意见的计票进行监督的，不影响表决意见的计票效力。</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2、议事程序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（八）生效与公告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（三）基金财产的清算</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rsidR="00B85C18" w:rsidRDefault="004E5A0C">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rsidR="00B85C18" w:rsidRDefault="004E5A0C">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rsidR="00B85C18" w:rsidRDefault="004E5A0C">
      <w:pPr>
        <w:pStyle w:val="1"/>
        <w:jc w:val="center"/>
        <w:rPr>
          <w:sz w:val="30"/>
          <w:szCs w:val="30"/>
        </w:rPr>
      </w:pPr>
      <w:bookmarkStart w:id="394" w:name="_Toc416264554"/>
      <w:bookmarkStart w:id="395" w:name="_Toc523229714"/>
      <w:bookmarkStart w:id="396" w:name="_Toc523229276"/>
      <w:bookmarkStart w:id="397" w:name="_Toc263092327"/>
      <w:bookmarkStart w:id="398" w:name="_Toc214873614"/>
      <w:bookmarkStart w:id="399" w:name="_Toc462063882"/>
      <w:bookmarkStart w:id="400" w:name="_Toc48649720"/>
      <w:bookmarkStart w:id="401" w:name="_Toc79392641"/>
      <w:bookmarkStart w:id="402" w:name="_Toc352229766"/>
      <w:bookmarkStart w:id="403" w:name="_Toc12191"/>
      <w:bookmarkStart w:id="404" w:name="_Toc23022"/>
      <w:bookmarkStart w:id="405" w:name="_Toc9708"/>
      <w:bookmarkStart w:id="406" w:name="_Toc21240"/>
      <w:bookmarkStart w:id="407" w:name="_Toc141703901"/>
      <w:bookmarkStart w:id="408" w:name="_Toc123051466"/>
      <w:bookmarkStart w:id="409" w:name="_Toc123112248"/>
      <w:bookmarkStart w:id="410" w:name="_Toc8710"/>
      <w:bookmarkStart w:id="411" w:name="_Toc139991750"/>
      <w:bookmarkStart w:id="412" w:name="_Toc23166"/>
      <w:bookmarkStart w:id="413" w:name="_Toc7367"/>
      <w:bookmarkStart w:id="414" w:name="_Toc27058"/>
      <w:bookmarkStart w:id="415" w:name="_Toc13398"/>
      <w:bookmarkStart w:id="416" w:name="_Toc28549"/>
      <w:bookmarkStart w:id="417" w:name="_Toc123102467"/>
      <w:bookmarkStart w:id="418" w:name="_Toc30645"/>
      <w:bookmarkStart w:id="419" w:name="_Toc9856036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94"/>
      <w:bookmarkEnd w:id="395"/>
      <w:bookmarkEnd w:id="396"/>
      <w:bookmarkEnd w:id="397"/>
      <w:bookmarkEnd w:id="398"/>
      <w:bookmarkEnd w:id="399"/>
    </w:p>
    <w:p w:rsidR="00B85C18" w:rsidRDefault="004E5A0C">
      <w:pPr>
        <w:numPr>
          <w:ilvl w:val="0"/>
          <w:numId w:val="4"/>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rsidR="00B85C18" w:rsidRDefault="004E5A0C">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rsidR="00B85C18" w:rsidRDefault="004E5A0C">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rsidR="00B85C18" w:rsidRDefault="004E5A0C">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rsidR="00B85C18" w:rsidRDefault="004E5A0C">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办公地址：深圳市福田区深南大道2012号深圳证券交易所广场3501室</w:t>
      </w:r>
    </w:p>
    <w:p w:rsidR="00B85C18" w:rsidRDefault="004E5A0C">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法定代表人：刘志军</w:t>
      </w:r>
    </w:p>
    <w:p w:rsidR="00B85C18" w:rsidRDefault="004E5A0C">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rsidR="00B85C18" w:rsidRDefault="004E5A0C">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rsidR="00B85C18" w:rsidRDefault="004E5A0C">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rsidR="00B85C18" w:rsidRDefault="004E5A0C">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rsidR="00B85C18" w:rsidRDefault="004E5A0C">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rsidR="00B85C18" w:rsidRDefault="004E5A0C">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rsidR="00B85C18" w:rsidRDefault="004E5A0C">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名称：招商银行股份有限公司(简称：招商银行)</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住所：深圳市深南大道7088号招商银行大厦</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办公地址：深圳市深南大道7088号招商银行大厦</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邮政编码：518040</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法定代表人：李建红</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成立时间：1987年4月8日</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基金托管业务批准文号：证监基金字[2002]83号</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吸收公众存款；发放短期、中期和长期贷款；办理结算；办理票据贴现；发行金融债券；代理发行、代理兑付、承销政府债券；买卖政府债券；同业拆借；提供信用证服务及担保；代理收付款项及代理保险业务；提供保管箱服务。外汇存款；外汇贷款；外汇汇款；外币兑换；国际结算；结汇、售汇；同业外汇拆借；外汇票据的承兑和贴现；外汇借款；外汇担保；发行和代理发行股票以外的外币有价证券；买卖和代理买卖股票以外的外币有价证券；自营和代客外汇买卖；资信调查、咨询、见证业务；离岸金融业务。经中国人民银行批准的其他业务。</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组织形式：股份有限公司</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注册资本：人民币252.20亿元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存续期间：持续经营</w:t>
      </w:r>
    </w:p>
    <w:p w:rsidR="00B85C18" w:rsidRDefault="004E5A0C">
      <w:pPr>
        <w:pStyle w:val="af5"/>
        <w:numPr>
          <w:ilvl w:val="0"/>
          <w:numId w:val="5"/>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B85C18" w:rsidRDefault="004E5A0C">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基金的投资组合比例为：股票资产占基金资产的</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rsidR="00B85C18" w:rsidRDefault="00B85C18">
      <w:pPr>
        <w:adjustRightInd w:val="0"/>
        <w:snapToGrid w:val="0"/>
        <w:spacing w:line="360" w:lineRule="auto"/>
        <w:ind w:firstLineChars="200" w:firstLine="480"/>
        <w:rPr>
          <w:rFonts w:asciiTheme="minorEastAsia" w:hAnsiTheme="minorEastAsia" w:cs="Arial"/>
          <w:color w:val="000000"/>
          <w:sz w:val="24"/>
          <w:szCs w:val="24"/>
        </w:rPr>
      </w:pP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rsidR="00B85C18" w:rsidRDefault="004E5A0C">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0%</w:t>
      </w:r>
      <w:r>
        <w:rPr>
          <w:rFonts w:hint="eastAsia"/>
          <w:bCs/>
          <w:sz w:val="24"/>
        </w:rPr>
        <w:t>–</w:t>
      </w:r>
      <w:r>
        <w:rPr>
          <w:rFonts w:hint="eastAsia"/>
          <w:bCs/>
          <w:sz w:val="24"/>
        </w:rPr>
        <w:t>95%</w:t>
      </w:r>
      <w:r>
        <w:rPr>
          <w:rFonts w:hint="eastAsia"/>
          <w:bCs/>
          <w:sz w:val="24"/>
        </w:rPr>
        <w:t>；</w:t>
      </w:r>
    </w:p>
    <w:p w:rsidR="00B85C18" w:rsidRDefault="004E5A0C">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w:t>
      </w:r>
      <w:r>
        <w:rPr>
          <w:rFonts w:hint="eastAsia"/>
          <w:bCs/>
          <w:sz w:val="24"/>
        </w:rPr>
        <w:lastRenderedPageBreak/>
        <w:t>中现金不包括结算备付金、存出保证金、应收申购款等</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B85C18" w:rsidRDefault="004E5A0C">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B85C18" w:rsidRDefault="004E5A0C">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B85C18" w:rsidRDefault="004E5A0C">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B85C18" w:rsidRDefault="004E5A0C">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B85C18" w:rsidRDefault="004E5A0C">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B85C18" w:rsidRDefault="004E5A0C">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B85C18" w:rsidRDefault="004E5A0C">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rsidR="00B85C18" w:rsidRDefault="004E5A0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B85C18" w:rsidRDefault="004E5A0C">
      <w:pPr>
        <w:spacing w:line="360" w:lineRule="auto"/>
        <w:ind w:firstLineChars="200" w:firstLine="480"/>
        <w:rPr>
          <w:bCs/>
          <w:sz w:val="24"/>
        </w:rPr>
      </w:pPr>
      <w:r>
        <w:rPr>
          <w:rFonts w:hint="eastAsia"/>
          <w:bCs/>
          <w:sz w:val="24"/>
        </w:rPr>
        <w:lastRenderedPageBreak/>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rsidR="00B85C18" w:rsidRDefault="004E5A0C">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B85C18" w:rsidRDefault="004E5A0C">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B85C18" w:rsidRDefault="004E5A0C">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B85C18" w:rsidRDefault="004E5A0C">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B85C18" w:rsidRDefault="004E5A0C">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B85C18" w:rsidRDefault="004E5A0C">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B85C18" w:rsidRDefault="004E5A0C">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B85C18" w:rsidRDefault="004E5A0C">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B85C18" w:rsidRDefault="004E5A0C">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rsidR="00B85C18" w:rsidRDefault="004E5A0C">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rsidR="00B85C18" w:rsidRDefault="004E5A0C">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B85C18" w:rsidRDefault="004E5A0C">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w:t>
      </w:r>
      <w:r>
        <w:rPr>
          <w:rFonts w:hint="eastAsia"/>
          <w:bCs/>
          <w:sz w:val="24"/>
        </w:rPr>
        <w:lastRenderedPageBreak/>
        <w:t>可流通股票，不得超过该上市公司可流通股票的</w:t>
      </w:r>
      <w:r>
        <w:rPr>
          <w:rFonts w:hint="eastAsia"/>
          <w:bCs/>
          <w:sz w:val="24"/>
        </w:rPr>
        <w:t>30%</w:t>
      </w:r>
      <w:r>
        <w:rPr>
          <w:rFonts w:hint="eastAsia"/>
          <w:bCs/>
          <w:sz w:val="24"/>
        </w:rPr>
        <w:t>；</w:t>
      </w:r>
    </w:p>
    <w:p w:rsidR="00B85C18" w:rsidRDefault="004E5A0C">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rsidR="00B85C18" w:rsidRDefault="004E5A0C">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B85C18" w:rsidRDefault="004E5A0C">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）本基金与私募类证券资管产品及中国证监会认定的其他主体为交易对手开展逆回购交易的，可接受质押品的资质要求应当与基金合同约定的投资范围保持一致；</w:t>
      </w:r>
    </w:p>
    <w:p w:rsidR="00B85C18" w:rsidRDefault="004E5A0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B85C18" w:rsidRDefault="004E5A0C">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B85C18" w:rsidRDefault="004E5A0C">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w:t>
      </w:r>
      <w:r>
        <w:rPr>
          <w:rFonts w:asciiTheme="minorEastAsia" w:hAnsiTheme="minorEastAsia" w:cs="Arial" w:hint="eastAsia"/>
          <w:color w:val="000000"/>
          <w:sz w:val="24"/>
          <w:szCs w:val="24"/>
        </w:rPr>
        <w:lastRenderedPageBreak/>
        <w:t>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w:t>
      </w:r>
      <w:r>
        <w:rPr>
          <w:rFonts w:asciiTheme="minorEastAsia" w:hAnsiTheme="minorEastAsia" w:cs="Arial" w:hint="eastAsia"/>
          <w:color w:val="000000"/>
          <w:sz w:val="24"/>
          <w:szCs w:val="24"/>
        </w:rPr>
        <w:lastRenderedPageBreak/>
        <w:t>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若基金管理人拒不执行造成基金财产的损失，基金托管人不承担任何责任。</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5.基金投资流通受限证券，基金管理人应根据本协议的规定与基金托管银行签订风险控制补充协议。协议应包括基金托管人对于基金管理人是否遵守相关制度、流动型风险处置预案以及相关投资额度和比例的情况进行监督等内容。</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rsidR="00B85C18" w:rsidRDefault="004E5A0C">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rsidR="00B85C18" w:rsidRDefault="004E5A0C">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w:t>
      </w:r>
      <w:r>
        <w:rPr>
          <w:rFonts w:asciiTheme="minorEastAsia" w:hAnsiTheme="minorEastAsia" w:cs="Arial" w:hint="eastAsia"/>
          <w:sz w:val="24"/>
          <w:szCs w:val="24"/>
        </w:rPr>
        <w:lastRenderedPageBreak/>
        <w:t>仍不改正的，基金管理人应报告中国证监会。</w:t>
      </w:r>
    </w:p>
    <w:p w:rsidR="00B85C18" w:rsidRDefault="004E5A0C">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3．基金托管人按照规定开设基金财产的资金账户、证券账户和期货账户等投资所需账户；</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3．若基金募集期限届满，未能达到基金合同生效的条件，由基金管理人按规定办理退款等事宜。</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w:t>
      </w:r>
      <w:r>
        <w:rPr>
          <w:rFonts w:asciiTheme="minorEastAsia" w:hAnsiTheme="minorEastAsia" w:cs="Arial" w:hint="eastAsia"/>
          <w:sz w:val="24"/>
          <w:szCs w:val="24"/>
        </w:rPr>
        <w:lastRenderedPageBreak/>
        <w:t>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w:t>
      </w:r>
      <w:r>
        <w:rPr>
          <w:rFonts w:asciiTheme="minorEastAsia" w:hAnsiTheme="minorEastAsia" w:cs="Arial" w:hint="eastAsia"/>
          <w:sz w:val="24"/>
          <w:szCs w:val="24"/>
        </w:rPr>
        <w:lastRenderedPageBreak/>
        <w:t>理人和基金托管人共同代表基金签订全国银行间债券市场债券回购主协议，基金管理人保管协议正本，基金托管人保存协议副本。</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rsidR="00B85C18" w:rsidRDefault="004E5A0C">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2．复核程序</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rsidR="00B85C18" w:rsidRDefault="004E5A0C">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rsidR="00B85C18" w:rsidRDefault="004E5A0C">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w:t>
      </w:r>
      <w:r>
        <w:rPr>
          <w:rFonts w:asciiTheme="minorEastAsia" w:hAnsiTheme="minorEastAsia" w:cs="Arial" w:hint="eastAsia"/>
          <w:sz w:val="24"/>
          <w:szCs w:val="24"/>
        </w:rPr>
        <w:lastRenderedPageBreak/>
        <w:t>时，基金管理人应将有关资料送交基金托管人，不得无故拒绝或延误提供，并保证其真实性、准确性和完整性。基金托管人不得将所保管的基金份额持有人名册用于基金托管业务以外的其他用途，并应遵守保密义务。</w:t>
      </w:r>
    </w:p>
    <w:p w:rsidR="00B85C18" w:rsidRDefault="004E5A0C">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因本协议产生或与之相关的争议，双方当事人应通过协商、调解解决，协商、调解不能解决的，</w:t>
      </w:r>
      <w:r>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Pr>
          <w:rFonts w:asciiTheme="minorEastAsia" w:hAnsiTheme="minorEastAsia" w:cs="Times New Roman" w:hint="eastAsia"/>
          <w:sz w:val="24"/>
          <w:szCs w:val="24"/>
        </w:rPr>
        <w:t>。</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本协议受中华人民共和国法律（不含港澳台立法）管辖。</w:t>
      </w:r>
    </w:p>
    <w:p w:rsidR="00B85C18" w:rsidRDefault="004E5A0C">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rsidR="00B85C18" w:rsidRDefault="004E5A0C">
      <w:pPr>
        <w:spacing w:line="360" w:lineRule="auto"/>
        <w:ind w:firstLineChars="200" w:firstLine="480"/>
        <w:rPr>
          <w:rFonts w:ascii="宋体" w:hAnsi="宋体"/>
          <w:sz w:val="24"/>
          <w:szCs w:val="24"/>
        </w:rPr>
      </w:pPr>
      <w:r>
        <w:rPr>
          <w:rFonts w:ascii="宋体" w:hAnsi="宋体" w:hint="eastAsia"/>
          <w:sz w:val="24"/>
          <w:szCs w:val="24"/>
        </w:rPr>
        <w:t>（一）托管协议的变更程序</w:t>
      </w:r>
    </w:p>
    <w:p w:rsidR="00B85C18" w:rsidRDefault="004E5A0C">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rsidR="00B85C18" w:rsidRDefault="004E5A0C">
      <w:pPr>
        <w:spacing w:line="360" w:lineRule="auto"/>
        <w:ind w:firstLineChars="200" w:firstLine="480"/>
        <w:rPr>
          <w:rFonts w:ascii="宋体" w:hAnsi="宋体"/>
          <w:sz w:val="24"/>
          <w:szCs w:val="24"/>
        </w:rPr>
      </w:pPr>
      <w:r>
        <w:rPr>
          <w:rFonts w:ascii="宋体" w:hAnsi="宋体" w:hint="eastAsia"/>
          <w:sz w:val="24"/>
          <w:szCs w:val="24"/>
        </w:rPr>
        <w:t>（二）基金托管协议终止的情形</w:t>
      </w:r>
    </w:p>
    <w:p w:rsidR="00B85C18" w:rsidRDefault="004E5A0C">
      <w:pPr>
        <w:spacing w:line="360" w:lineRule="auto"/>
        <w:ind w:firstLineChars="200" w:firstLine="480"/>
        <w:rPr>
          <w:rFonts w:ascii="宋体" w:hAnsi="宋体"/>
          <w:sz w:val="24"/>
          <w:szCs w:val="24"/>
        </w:rPr>
      </w:pPr>
      <w:r>
        <w:rPr>
          <w:rFonts w:ascii="宋体" w:hAnsi="宋体" w:hint="eastAsia"/>
          <w:sz w:val="24"/>
          <w:szCs w:val="24"/>
        </w:rPr>
        <w:t>1、《基金合同》终止；</w:t>
      </w:r>
    </w:p>
    <w:p w:rsidR="00B85C18" w:rsidRDefault="004E5A0C">
      <w:pPr>
        <w:spacing w:line="360" w:lineRule="auto"/>
        <w:ind w:firstLineChars="200" w:firstLine="480"/>
        <w:rPr>
          <w:rFonts w:ascii="宋体" w:hAnsi="宋体"/>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rsidR="00B85C18" w:rsidRDefault="004E5A0C">
      <w:pPr>
        <w:spacing w:line="360" w:lineRule="auto"/>
        <w:ind w:firstLineChars="200" w:firstLine="480"/>
        <w:rPr>
          <w:rFonts w:ascii="宋体" w:hAnsi="宋体"/>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rsidR="00B85C18" w:rsidRDefault="004E5A0C">
      <w:pPr>
        <w:spacing w:line="360" w:lineRule="auto"/>
        <w:ind w:firstLineChars="200" w:firstLine="480"/>
        <w:rPr>
          <w:rFonts w:ascii="宋体" w:hAnsi="宋体"/>
          <w:sz w:val="24"/>
          <w:szCs w:val="24"/>
        </w:rPr>
      </w:pPr>
      <w:r>
        <w:rPr>
          <w:rFonts w:ascii="宋体" w:hAnsi="宋体" w:hint="eastAsia"/>
          <w:sz w:val="24"/>
          <w:szCs w:val="24"/>
        </w:rPr>
        <w:t>4、发生法律法规或《基金合同》规定的其他终止事项。</w:t>
      </w:r>
    </w:p>
    <w:p w:rsidR="00B85C18" w:rsidRDefault="004E5A0C">
      <w:pPr>
        <w:spacing w:line="360" w:lineRule="auto"/>
        <w:ind w:firstLineChars="200" w:firstLine="480"/>
        <w:rPr>
          <w:rFonts w:ascii="宋体" w:hAnsi="宋体"/>
          <w:sz w:val="24"/>
          <w:szCs w:val="24"/>
        </w:rPr>
      </w:pPr>
      <w:r>
        <w:rPr>
          <w:rFonts w:ascii="宋体" w:hAnsi="宋体" w:hint="eastAsia"/>
          <w:sz w:val="24"/>
          <w:szCs w:val="24"/>
        </w:rPr>
        <w:t>（三）基金财产的清算</w:t>
      </w:r>
    </w:p>
    <w:p w:rsidR="00B85C18" w:rsidRDefault="004E5A0C">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rsidR="00B85C18" w:rsidRDefault="004E5A0C">
      <w:pPr>
        <w:widowControl/>
        <w:jc w:val="left"/>
        <w:rPr>
          <w:rFonts w:asciiTheme="minorEastAsia" w:hAnsiTheme="minorEastAsia" w:cs="Times New Roman"/>
          <w:b/>
          <w:kern w:val="0"/>
          <w:sz w:val="24"/>
          <w:szCs w:val="24"/>
          <w:lang w:val="zh-CN"/>
        </w:rPr>
      </w:pPr>
      <w:bookmarkStart w:id="420" w:name="_Toc263092328"/>
      <w:bookmarkStart w:id="421" w:name="_Toc214873621"/>
      <w:bookmarkStart w:id="422" w:name="_Toc147463123"/>
      <w:bookmarkStart w:id="423" w:name="_Toc21073396"/>
      <w:bookmarkStart w:id="424" w:name="_Toc12357176"/>
      <w:bookmarkStart w:id="425" w:name="_Toc416264555"/>
      <w:bookmarkStart w:id="426" w:name="_Toc123102468"/>
      <w:bookmarkStart w:id="427" w:name="_Toc1790"/>
      <w:bookmarkStart w:id="428" w:name="_Toc98560366"/>
      <w:bookmarkStart w:id="429" w:name="_Toc123051467"/>
      <w:bookmarkStart w:id="430" w:name="_Toc24923"/>
      <w:bookmarkStart w:id="431" w:name="_Toc30350"/>
      <w:bookmarkStart w:id="432" w:name="_Toc352229767"/>
      <w:bookmarkStart w:id="433" w:name="_Toc21983"/>
      <w:bookmarkStart w:id="434" w:name="_Toc23999"/>
      <w:bookmarkStart w:id="435" w:name="_Toc6110"/>
      <w:bookmarkStart w:id="436" w:name="_Toc3319"/>
      <w:bookmarkStart w:id="437" w:name="_Toc8636"/>
      <w:bookmarkStart w:id="438" w:name="_Toc6202"/>
      <w:bookmarkStart w:id="439" w:name="_Toc25651"/>
      <w:bookmarkStart w:id="440" w:name="_Toc123112249"/>
      <w:bookmarkStart w:id="441" w:name="_Toc139991751"/>
      <w:bookmarkStart w:id="442" w:name="_Toc141703902"/>
      <w:bookmarkStart w:id="443" w:name="_Toc7288"/>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r>
        <w:rPr>
          <w:rFonts w:asciiTheme="minorEastAsia" w:hAnsiTheme="minorEastAsia" w:cs="Times New Roman"/>
          <w:b/>
          <w:kern w:val="0"/>
          <w:sz w:val="24"/>
          <w:szCs w:val="24"/>
          <w:lang w:val="zh-CN"/>
        </w:rPr>
        <w:br w:type="page"/>
      </w:r>
    </w:p>
    <w:p w:rsidR="00B85C18" w:rsidRDefault="004E5A0C">
      <w:pPr>
        <w:pStyle w:val="1"/>
        <w:jc w:val="center"/>
        <w:rPr>
          <w:sz w:val="30"/>
          <w:szCs w:val="30"/>
        </w:rPr>
      </w:pPr>
      <w:bookmarkStart w:id="444" w:name="_Toc523229715"/>
      <w:bookmarkStart w:id="445" w:name="_Toc462063883"/>
      <w:bookmarkStart w:id="446" w:name="_Toc523229277"/>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44"/>
      <w:bookmarkEnd w:id="445"/>
      <w:bookmarkEnd w:id="446"/>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公司网址： www.furamc.com .cn</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客户服务部门地址：深圳市福田区深南大道2012号深圳证券交易所广场3501，富荣基金管理有限公司客户服务部门（收）</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rsidR="00B85C18" w:rsidRDefault="004E5A0C">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rsidR="00B85C18" w:rsidRDefault="004E5A0C">
      <w:pPr>
        <w:widowControl/>
        <w:jc w:val="left"/>
        <w:rPr>
          <w:rFonts w:asciiTheme="minorEastAsia" w:hAnsiTheme="minorEastAsia" w:cs="Arial"/>
          <w:sz w:val="24"/>
          <w:szCs w:val="24"/>
        </w:rPr>
      </w:pPr>
      <w:r>
        <w:rPr>
          <w:rFonts w:asciiTheme="minorEastAsia" w:hAnsiTheme="minorEastAsia" w:cs="Arial"/>
          <w:sz w:val="24"/>
          <w:szCs w:val="24"/>
        </w:rPr>
        <w:br w:type="page"/>
      </w:r>
    </w:p>
    <w:p w:rsidR="00B85C18" w:rsidRDefault="004E5A0C">
      <w:pPr>
        <w:pStyle w:val="1"/>
        <w:jc w:val="center"/>
        <w:rPr>
          <w:sz w:val="30"/>
          <w:szCs w:val="30"/>
        </w:rPr>
      </w:pPr>
      <w:bookmarkStart w:id="447" w:name="_Toc523229716"/>
      <w:bookmarkStart w:id="448" w:name="_Toc523229278"/>
      <w:bookmarkStart w:id="449" w:name="_Toc521572426"/>
      <w:bookmarkStart w:id="450" w:name="_Toc462063884"/>
      <w:bookmarkStart w:id="451" w:name="_Toc214873622"/>
      <w:bookmarkStart w:id="452" w:name="_Toc416264556"/>
      <w:bookmarkStart w:id="453" w:name="_Toc530223198"/>
      <w:bookmarkStart w:id="454" w:name="_Toc263092329"/>
      <w:bookmarkEnd w:id="420"/>
      <w:bookmarkEnd w:id="421"/>
      <w:bookmarkEnd w:id="422"/>
      <w:bookmarkEnd w:id="423"/>
      <w:bookmarkEnd w:id="424"/>
      <w:bookmarkEnd w:id="425"/>
      <w:r>
        <w:rPr>
          <w:rFonts w:hint="eastAsia"/>
          <w:sz w:val="30"/>
          <w:szCs w:val="30"/>
        </w:rPr>
        <w:lastRenderedPageBreak/>
        <w:t>第</w:t>
      </w:r>
      <w:r>
        <w:rPr>
          <w:sz w:val="30"/>
          <w:szCs w:val="30"/>
        </w:rPr>
        <w:t>二十一部分</w:t>
      </w:r>
      <w:r>
        <w:rPr>
          <w:rFonts w:hint="eastAsia"/>
          <w:sz w:val="30"/>
          <w:szCs w:val="30"/>
        </w:rPr>
        <w:t xml:space="preserve"> </w:t>
      </w:r>
      <w:r>
        <w:rPr>
          <w:sz w:val="30"/>
          <w:szCs w:val="30"/>
        </w:rPr>
        <w:t xml:space="preserve"> </w:t>
      </w:r>
      <w:r>
        <w:rPr>
          <w:rFonts w:hint="eastAsia"/>
          <w:sz w:val="30"/>
          <w:szCs w:val="30"/>
        </w:rPr>
        <w:t>其他</w:t>
      </w:r>
      <w:r>
        <w:rPr>
          <w:sz w:val="30"/>
          <w:szCs w:val="30"/>
        </w:rPr>
        <w:t>应披露事项</w:t>
      </w:r>
      <w:bookmarkEnd w:id="447"/>
      <w:bookmarkEnd w:id="448"/>
      <w:bookmarkEnd w:id="449"/>
    </w:p>
    <w:tbl>
      <w:tblPr>
        <w:tblW w:w="8519"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82"/>
        <w:gridCol w:w="6291"/>
        <w:gridCol w:w="1446"/>
      </w:tblGrid>
      <w:tr w:rsidR="00B85C18">
        <w:trPr>
          <w:trHeight w:val="382"/>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hint="eastAsia"/>
                <w:color w:val="000000"/>
                <w:sz w:val="24"/>
                <w:szCs w:val="24"/>
              </w:rPr>
              <w:t>序号</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hint="eastAsia"/>
                <w:color w:val="000000"/>
                <w:sz w:val="24"/>
                <w:szCs w:val="24"/>
              </w:rPr>
              <w:t>公告事项</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hint="eastAsia"/>
                <w:color w:val="000000"/>
                <w:sz w:val="24"/>
                <w:szCs w:val="24"/>
              </w:rPr>
              <w:t>披露日期</w:t>
            </w:r>
          </w:p>
        </w:tc>
      </w:tr>
      <w:tr w:rsidR="00B85C18">
        <w:trPr>
          <w:trHeight w:val="247"/>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1</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bCs/>
                <w:color w:val="000000"/>
                <w:sz w:val="24"/>
                <w:szCs w:val="24"/>
              </w:rPr>
              <w:t>富荣基金管理有限公司关于暂停网上交易、微信交易的公告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bCs/>
                <w:color w:val="000000"/>
                <w:sz w:val="24"/>
                <w:szCs w:val="24"/>
              </w:rPr>
              <w:t>2017-11-23</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2</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bCs/>
                <w:color w:val="000000"/>
                <w:sz w:val="24"/>
                <w:szCs w:val="24"/>
              </w:rPr>
              <w:t>富荣基金管理有限公司关于旗下部分开放式基金增加大泰金石为代销机构的公告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color w:val="000000"/>
                <w:sz w:val="24"/>
                <w:szCs w:val="24"/>
              </w:rPr>
              <w:t>2017-11-28</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3</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关于富荣福安灵活配置混合型证券投资基金延长募集期的公告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color w:val="000000"/>
                <w:sz w:val="24"/>
                <w:szCs w:val="24"/>
              </w:rPr>
              <w:t>2017-12-14</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4</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bCs/>
                <w:color w:val="000000"/>
                <w:sz w:val="24"/>
                <w:szCs w:val="24"/>
              </w:rPr>
              <w:t>富荣基金管理有限公司关于本公司旗下基金缴纳增值税的公告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bCs/>
                <w:color w:val="000000"/>
                <w:sz w:val="24"/>
                <w:szCs w:val="24"/>
              </w:rPr>
              <w:t>2017-12-30</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5</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bCs/>
                <w:color w:val="000000"/>
                <w:sz w:val="24"/>
                <w:szCs w:val="24"/>
              </w:rPr>
              <w:t>富荣基金管理有限公司关于旗下特定资产管理计划缴纳增值税的公告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bCs/>
                <w:color w:val="000000"/>
                <w:sz w:val="24"/>
                <w:szCs w:val="24"/>
              </w:rPr>
              <w:t>2017-12-30</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6</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富荣基金管理有限公司旗下基金2017年年度最后一个交易日基金资产净值、基金份额净值及份额累计净值公告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w:t>
            </w:r>
            <w:r w:rsidR="000D01BB">
              <w:rPr>
                <w:rFonts w:asciiTheme="minorEastAsia" w:hAnsiTheme="minorEastAsia" w:hint="eastAsia"/>
                <w:bCs/>
                <w:color w:val="000000"/>
                <w:sz w:val="24"/>
                <w:szCs w:val="24"/>
              </w:rPr>
              <w:t>0</w:t>
            </w:r>
            <w:r>
              <w:rPr>
                <w:rFonts w:asciiTheme="minorEastAsia" w:hAnsiTheme="minorEastAsia" w:hint="eastAsia"/>
                <w:bCs/>
                <w:color w:val="000000"/>
                <w:sz w:val="24"/>
                <w:szCs w:val="24"/>
              </w:rPr>
              <w:t>1-</w:t>
            </w:r>
            <w:r w:rsidR="000D01BB">
              <w:rPr>
                <w:rFonts w:asciiTheme="minorEastAsia" w:hAnsiTheme="minorEastAsia" w:hint="eastAsia"/>
                <w:bCs/>
                <w:color w:val="000000"/>
                <w:sz w:val="24"/>
                <w:szCs w:val="24"/>
              </w:rPr>
              <w:t>0</w:t>
            </w:r>
            <w:r>
              <w:rPr>
                <w:rFonts w:asciiTheme="minorEastAsia" w:hAnsiTheme="minorEastAsia" w:hint="eastAsia"/>
                <w:bCs/>
                <w:color w:val="000000"/>
                <w:sz w:val="24"/>
                <w:szCs w:val="24"/>
              </w:rPr>
              <w:t>1</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7</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富荣基金管理有限公司关于旗下部分开放式基金参加大泰金石认申购费及定期定额投资费率优惠活动的公告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color w:val="000000"/>
                <w:sz w:val="24"/>
                <w:szCs w:val="24"/>
              </w:rPr>
              <w:t>2018-</w:t>
            </w:r>
            <w:r w:rsidR="000D01BB">
              <w:rPr>
                <w:rFonts w:asciiTheme="minorEastAsia" w:hAnsiTheme="minorEastAsia" w:hint="eastAsia"/>
                <w:color w:val="000000"/>
                <w:sz w:val="24"/>
                <w:szCs w:val="24"/>
              </w:rPr>
              <w:t>0</w:t>
            </w:r>
            <w:r>
              <w:rPr>
                <w:rFonts w:asciiTheme="minorEastAsia" w:hAnsiTheme="minorEastAsia"/>
                <w:color w:val="000000"/>
                <w:sz w:val="24"/>
                <w:szCs w:val="24"/>
              </w:rPr>
              <w:t>2-</w:t>
            </w:r>
            <w:r w:rsidR="000D01BB">
              <w:rPr>
                <w:rFonts w:asciiTheme="minorEastAsia" w:hAnsiTheme="minorEastAsia" w:hint="eastAsia"/>
                <w:color w:val="000000"/>
                <w:sz w:val="24"/>
                <w:szCs w:val="24"/>
              </w:rPr>
              <w:t>0</w:t>
            </w:r>
            <w:r>
              <w:rPr>
                <w:rFonts w:asciiTheme="minorEastAsia" w:hAnsiTheme="minorEastAsia"/>
                <w:color w:val="000000"/>
                <w:sz w:val="24"/>
                <w:szCs w:val="24"/>
              </w:rPr>
              <w:t>2</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8</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富荣基金管理有限公司关于旗下部分开放式基金增加天天基金为代销机构、参加天天基金申购费率优惠活动的公告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color w:val="000000"/>
                <w:sz w:val="24"/>
                <w:szCs w:val="24"/>
              </w:rPr>
              <w:t>2018-</w:t>
            </w:r>
            <w:r w:rsidR="000D01BB">
              <w:rPr>
                <w:rFonts w:asciiTheme="minorEastAsia" w:hAnsiTheme="minorEastAsia" w:hint="eastAsia"/>
                <w:color w:val="000000"/>
                <w:sz w:val="24"/>
                <w:szCs w:val="24"/>
              </w:rPr>
              <w:t>0</w:t>
            </w:r>
            <w:r>
              <w:rPr>
                <w:rFonts w:asciiTheme="minorEastAsia" w:hAnsiTheme="minorEastAsia"/>
                <w:color w:val="000000"/>
                <w:sz w:val="24"/>
                <w:szCs w:val="24"/>
              </w:rPr>
              <w:t>2-</w:t>
            </w:r>
            <w:r w:rsidR="000D01BB">
              <w:rPr>
                <w:rFonts w:asciiTheme="minorEastAsia" w:hAnsiTheme="minorEastAsia" w:hint="eastAsia"/>
                <w:color w:val="000000"/>
                <w:sz w:val="24"/>
                <w:szCs w:val="24"/>
              </w:rPr>
              <w:t>0</w:t>
            </w:r>
            <w:r>
              <w:rPr>
                <w:rFonts w:asciiTheme="minorEastAsia" w:hAnsiTheme="minorEastAsia"/>
                <w:color w:val="000000"/>
                <w:sz w:val="24"/>
                <w:szCs w:val="24"/>
              </w:rPr>
              <w:t>6</w:t>
            </w:r>
          </w:p>
        </w:tc>
      </w:tr>
      <w:tr w:rsidR="00B85C18">
        <w:trPr>
          <w:trHeight w:val="90"/>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9</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关于富荣福安灵活配置混合型证券投资基金提前结束募集的公告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color w:val="000000"/>
                <w:sz w:val="24"/>
                <w:szCs w:val="24"/>
              </w:rPr>
              <w:t>2018-</w:t>
            </w:r>
            <w:r w:rsidR="000D01BB">
              <w:rPr>
                <w:rFonts w:asciiTheme="minorEastAsia" w:hAnsiTheme="minorEastAsia" w:hint="eastAsia"/>
                <w:color w:val="000000"/>
                <w:sz w:val="24"/>
                <w:szCs w:val="24"/>
              </w:rPr>
              <w:t>0</w:t>
            </w:r>
            <w:r>
              <w:rPr>
                <w:rFonts w:asciiTheme="minorEastAsia" w:hAnsiTheme="minorEastAsia"/>
                <w:color w:val="000000"/>
                <w:sz w:val="24"/>
                <w:szCs w:val="24"/>
              </w:rPr>
              <w:t>2-13</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10</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富荣福安灵活配置混合型证券投资基金基金合同生效公告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color w:val="000000"/>
                <w:sz w:val="24"/>
                <w:szCs w:val="24"/>
              </w:rPr>
              <w:t>2018-</w:t>
            </w:r>
            <w:r w:rsidR="000D01BB">
              <w:rPr>
                <w:rFonts w:asciiTheme="minorEastAsia" w:hAnsiTheme="minorEastAsia" w:hint="eastAsia"/>
                <w:color w:val="000000"/>
                <w:sz w:val="24"/>
                <w:szCs w:val="24"/>
              </w:rPr>
              <w:t>0</w:t>
            </w:r>
            <w:r>
              <w:rPr>
                <w:rFonts w:asciiTheme="minorEastAsia" w:hAnsiTheme="minorEastAsia"/>
                <w:color w:val="000000"/>
                <w:sz w:val="24"/>
                <w:szCs w:val="24"/>
              </w:rPr>
              <w:t>2-14</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11</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富荣福安灵活配置混合型证券投资基金开放日常申购、赎回及定投业务的公告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color w:val="000000"/>
                <w:sz w:val="24"/>
                <w:szCs w:val="24"/>
              </w:rPr>
              <w:t>2018-</w:t>
            </w:r>
            <w:r w:rsidR="000D01BB">
              <w:rPr>
                <w:rFonts w:asciiTheme="minorEastAsia" w:hAnsiTheme="minorEastAsia" w:hint="eastAsia"/>
                <w:color w:val="000000"/>
                <w:sz w:val="24"/>
                <w:szCs w:val="24"/>
              </w:rPr>
              <w:t>0</w:t>
            </w:r>
            <w:r>
              <w:rPr>
                <w:rFonts w:asciiTheme="minorEastAsia" w:hAnsiTheme="minorEastAsia"/>
                <w:color w:val="000000"/>
                <w:sz w:val="24"/>
                <w:szCs w:val="24"/>
              </w:rPr>
              <w:t>2-24</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12</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富荣基金管理有限公司关于旗下部分开放式基金在公司直销渠道开展费率优惠活动的公告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color w:val="000000"/>
                <w:sz w:val="24"/>
                <w:szCs w:val="24"/>
              </w:rPr>
              <w:t>2018-</w:t>
            </w:r>
            <w:r w:rsidR="000D01BB">
              <w:rPr>
                <w:rFonts w:asciiTheme="minorEastAsia" w:hAnsiTheme="minorEastAsia" w:hint="eastAsia"/>
                <w:color w:val="000000"/>
                <w:sz w:val="24"/>
                <w:szCs w:val="24"/>
              </w:rPr>
              <w:t>0</w:t>
            </w:r>
            <w:r>
              <w:rPr>
                <w:rFonts w:asciiTheme="minorEastAsia" w:hAnsiTheme="minorEastAsia"/>
                <w:color w:val="000000"/>
                <w:sz w:val="24"/>
                <w:szCs w:val="24"/>
              </w:rPr>
              <w:t>3-22</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13</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富荣基金管理有限公司关于银联通渠道农行暂停申购（认购）以及定投业务的通知</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hint="eastAsia"/>
                <w:bCs/>
                <w:color w:val="000000"/>
                <w:sz w:val="24"/>
                <w:szCs w:val="24"/>
              </w:rPr>
              <w:t>2018-</w:t>
            </w:r>
            <w:r w:rsidR="000D01BB">
              <w:rPr>
                <w:rFonts w:asciiTheme="minorEastAsia" w:hAnsiTheme="minorEastAsia" w:hint="eastAsia"/>
                <w:bCs/>
                <w:color w:val="000000"/>
                <w:sz w:val="24"/>
                <w:szCs w:val="24"/>
              </w:rPr>
              <w:t>0</w:t>
            </w:r>
            <w:r>
              <w:rPr>
                <w:rFonts w:asciiTheme="minorEastAsia" w:hAnsiTheme="minorEastAsia" w:hint="eastAsia"/>
                <w:bCs/>
                <w:color w:val="000000"/>
                <w:sz w:val="24"/>
                <w:szCs w:val="24"/>
              </w:rPr>
              <w:t>3-22</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14</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富荣基金管理有限公司关于增聘基金经理的公告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color w:val="000000"/>
                <w:sz w:val="24"/>
                <w:szCs w:val="24"/>
              </w:rPr>
              <w:t>2018-</w:t>
            </w:r>
            <w:r w:rsidR="000D01BB">
              <w:rPr>
                <w:rFonts w:asciiTheme="minorEastAsia" w:hAnsiTheme="minorEastAsia" w:hint="eastAsia"/>
                <w:color w:val="000000"/>
                <w:sz w:val="24"/>
                <w:szCs w:val="24"/>
              </w:rPr>
              <w:t>0</w:t>
            </w:r>
            <w:r>
              <w:rPr>
                <w:rFonts w:asciiTheme="minorEastAsia" w:hAnsiTheme="minorEastAsia"/>
                <w:color w:val="000000"/>
                <w:sz w:val="24"/>
                <w:szCs w:val="24"/>
              </w:rPr>
              <w:t>3-30</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15</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富荣基金管理有限公司关于旗下部分基金参加上海长量基金销售投资顾问有限公司基金申购及定期定额投资申购费率优惠活动的公告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color w:val="000000"/>
                <w:sz w:val="24"/>
                <w:szCs w:val="24"/>
              </w:rPr>
              <w:t>2018-</w:t>
            </w:r>
            <w:r w:rsidR="000D01BB">
              <w:rPr>
                <w:rFonts w:asciiTheme="minorEastAsia" w:hAnsiTheme="minorEastAsia" w:hint="eastAsia"/>
                <w:color w:val="000000"/>
                <w:sz w:val="24"/>
                <w:szCs w:val="24"/>
              </w:rPr>
              <w:t>0</w:t>
            </w:r>
            <w:r>
              <w:rPr>
                <w:rFonts w:asciiTheme="minorEastAsia" w:hAnsiTheme="minorEastAsia"/>
                <w:color w:val="000000"/>
                <w:sz w:val="24"/>
                <w:szCs w:val="24"/>
              </w:rPr>
              <w:t>5-</w:t>
            </w:r>
            <w:r w:rsidR="000D01BB">
              <w:rPr>
                <w:rFonts w:asciiTheme="minorEastAsia" w:hAnsiTheme="minorEastAsia" w:hint="eastAsia"/>
                <w:color w:val="000000"/>
                <w:sz w:val="24"/>
                <w:szCs w:val="24"/>
              </w:rPr>
              <w:t>0</w:t>
            </w:r>
            <w:r>
              <w:rPr>
                <w:rFonts w:asciiTheme="minorEastAsia" w:hAnsiTheme="minorEastAsia"/>
                <w:color w:val="000000"/>
                <w:sz w:val="24"/>
                <w:szCs w:val="24"/>
              </w:rPr>
              <w:t>5</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16</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富荣基金管理有限公司关于旗下部分基金新增上海长量基金销售投资顾问有限公司为销售机构并开通基金定投业务的公告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color w:val="000000"/>
                <w:sz w:val="24"/>
                <w:szCs w:val="24"/>
              </w:rPr>
              <w:t>2018-</w:t>
            </w:r>
            <w:r w:rsidR="000D01BB">
              <w:rPr>
                <w:rFonts w:asciiTheme="minorEastAsia" w:hAnsiTheme="minorEastAsia" w:hint="eastAsia"/>
                <w:color w:val="000000"/>
                <w:sz w:val="24"/>
                <w:szCs w:val="24"/>
              </w:rPr>
              <w:t>0</w:t>
            </w:r>
            <w:r>
              <w:rPr>
                <w:rFonts w:asciiTheme="minorEastAsia" w:hAnsiTheme="minorEastAsia"/>
                <w:color w:val="000000"/>
                <w:sz w:val="24"/>
                <w:szCs w:val="24"/>
              </w:rPr>
              <w:t>5-</w:t>
            </w:r>
            <w:r w:rsidR="000D01BB">
              <w:rPr>
                <w:rFonts w:asciiTheme="minorEastAsia" w:hAnsiTheme="minorEastAsia" w:hint="eastAsia"/>
                <w:color w:val="000000"/>
                <w:sz w:val="24"/>
                <w:szCs w:val="24"/>
              </w:rPr>
              <w:t>0</w:t>
            </w:r>
            <w:r>
              <w:rPr>
                <w:rFonts w:asciiTheme="minorEastAsia" w:hAnsiTheme="minorEastAsia"/>
                <w:color w:val="000000"/>
                <w:sz w:val="24"/>
                <w:szCs w:val="24"/>
              </w:rPr>
              <w:t>5</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17</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富荣基金管理有限公司关于旗下部分基金参加珠海盈米财富管理有限公司基金申购及定期定额投资申购费率优惠活动的公告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color w:val="000000"/>
                <w:sz w:val="24"/>
                <w:szCs w:val="24"/>
              </w:rPr>
              <w:t>2018-</w:t>
            </w:r>
            <w:r w:rsidR="000D01BB">
              <w:rPr>
                <w:rFonts w:asciiTheme="minorEastAsia" w:hAnsiTheme="minorEastAsia" w:hint="eastAsia"/>
                <w:color w:val="000000"/>
                <w:sz w:val="24"/>
                <w:szCs w:val="24"/>
              </w:rPr>
              <w:t>0</w:t>
            </w:r>
            <w:r>
              <w:rPr>
                <w:rFonts w:asciiTheme="minorEastAsia" w:hAnsiTheme="minorEastAsia"/>
                <w:color w:val="000000"/>
                <w:sz w:val="24"/>
                <w:szCs w:val="24"/>
              </w:rPr>
              <w:t>5-18</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18</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富荣基金管理有限公司关于旗下部分基金新增珠海盈米财富管理有限公司为销售机构并开通基金定投业务的公告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color w:val="000000"/>
                <w:sz w:val="24"/>
                <w:szCs w:val="24"/>
              </w:rPr>
              <w:t>2018-</w:t>
            </w:r>
            <w:r w:rsidR="00F916FD">
              <w:rPr>
                <w:rFonts w:asciiTheme="minorEastAsia" w:hAnsiTheme="minorEastAsia" w:hint="eastAsia"/>
                <w:color w:val="000000"/>
                <w:sz w:val="24"/>
                <w:szCs w:val="24"/>
              </w:rPr>
              <w:t>0</w:t>
            </w:r>
            <w:r>
              <w:rPr>
                <w:rFonts w:asciiTheme="minorEastAsia" w:hAnsiTheme="minorEastAsia"/>
                <w:color w:val="000000"/>
                <w:sz w:val="24"/>
                <w:szCs w:val="24"/>
              </w:rPr>
              <w:t>5-18</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19</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富荣基金管理有限公司关于旗下部分基金参加平安证券基金申购及定期定额投资申购费率优惠活动的公告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color w:val="000000"/>
                <w:sz w:val="24"/>
                <w:szCs w:val="24"/>
              </w:rPr>
            </w:pPr>
            <w:r>
              <w:rPr>
                <w:rFonts w:asciiTheme="minorEastAsia" w:hAnsiTheme="minorEastAsia"/>
                <w:color w:val="000000"/>
                <w:sz w:val="24"/>
                <w:szCs w:val="24"/>
              </w:rPr>
              <w:t>201</w:t>
            </w:r>
            <w:r>
              <w:rPr>
                <w:rFonts w:asciiTheme="minorEastAsia" w:hAnsiTheme="minorEastAsia" w:hint="eastAsia"/>
                <w:color w:val="000000"/>
                <w:sz w:val="24"/>
                <w:szCs w:val="24"/>
              </w:rPr>
              <w:t>8-</w:t>
            </w:r>
            <w:r w:rsidR="00F916FD">
              <w:rPr>
                <w:rFonts w:asciiTheme="minorEastAsia" w:hAnsiTheme="minorEastAsia" w:hint="eastAsia"/>
                <w:color w:val="000000"/>
                <w:sz w:val="24"/>
                <w:szCs w:val="24"/>
              </w:rPr>
              <w:t>0</w:t>
            </w:r>
            <w:r>
              <w:rPr>
                <w:rFonts w:asciiTheme="minorEastAsia" w:hAnsiTheme="minorEastAsia"/>
                <w:color w:val="000000"/>
                <w:sz w:val="24"/>
                <w:szCs w:val="24"/>
              </w:rPr>
              <w:t>5-21</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color w:val="000000"/>
                <w:sz w:val="24"/>
                <w:szCs w:val="24"/>
              </w:rPr>
              <w:t>20</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富荣基金管理有限公司关于旗下部分基金新增包商银行为</w:t>
            </w:r>
            <w:r>
              <w:rPr>
                <w:rFonts w:asciiTheme="minorEastAsia" w:hAnsiTheme="minorEastAsia" w:hint="eastAsia"/>
                <w:bCs/>
                <w:color w:val="000000"/>
                <w:sz w:val="24"/>
                <w:szCs w:val="24"/>
              </w:rPr>
              <w:lastRenderedPageBreak/>
              <w:t>销售机构并开通基金定期定额投资业务的公告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color w:val="000000"/>
                <w:sz w:val="24"/>
                <w:szCs w:val="24"/>
              </w:rPr>
              <w:lastRenderedPageBreak/>
              <w:t>201</w:t>
            </w:r>
            <w:r>
              <w:rPr>
                <w:rFonts w:asciiTheme="minorEastAsia" w:hAnsiTheme="minorEastAsia" w:hint="eastAsia"/>
                <w:color w:val="000000"/>
                <w:sz w:val="24"/>
                <w:szCs w:val="24"/>
              </w:rPr>
              <w:t>8-</w:t>
            </w:r>
            <w:r w:rsidR="00F916FD">
              <w:rPr>
                <w:rFonts w:asciiTheme="minorEastAsia" w:hAnsiTheme="minorEastAsia" w:hint="eastAsia"/>
                <w:color w:val="000000"/>
                <w:sz w:val="24"/>
                <w:szCs w:val="24"/>
              </w:rPr>
              <w:t>0</w:t>
            </w:r>
            <w:r>
              <w:rPr>
                <w:rFonts w:asciiTheme="minorEastAsia" w:hAnsiTheme="minorEastAsia"/>
                <w:color w:val="000000"/>
                <w:sz w:val="24"/>
                <w:szCs w:val="24"/>
              </w:rPr>
              <w:t>5-21</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lastRenderedPageBreak/>
              <w:t>21</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富荣基金管理有限公司关于旗下部分基金新增平安证券为销售机构并开通基金定期定额投资业务的公告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color w:val="000000"/>
                <w:sz w:val="24"/>
                <w:szCs w:val="24"/>
              </w:rPr>
              <w:t>201</w:t>
            </w:r>
            <w:r>
              <w:rPr>
                <w:rFonts w:asciiTheme="minorEastAsia" w:hAnsiTheme="minorEastAsia" w:hint="eastAsia"/>
                <w:color w:val="000000"/>
                <w:sz w:val="24"/>
                <w:szCs w:val="24"/>
              </w:rPr>
              <w:t>8-</w:t>
            </w:r>
            <w:r w:rsidR="00F916FD">
              <w:rPr>
                <w:rFonts w:asciiTheme="minorEastAsia" w:hAnsiTheme="minorEastAsia" w:hint="eastAsia"/>
                <w:color w:val="000000"/>
                <w:sz w:val="24"/>
                <w:szCs w:val="24"/>
              </w:rPr>
              <w:t>0</w:t>
            </w:r>
            <w:r>
              <w:rPr>
                <w:rFonts w:asciiTheme="minorEastAsia" w:hAnsiTheme="minorEastAsia"/>
                <w:color w:val="000000"/>
                <w:sz w:val="24"/>
                <w:szCs w:val="24"/>
              </w:rPr>
              <w:t>5-21</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22</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富荣基金管理有限公司关于旗下部分基金新增世纪证券为销售机构并开通基金定期定额投资业务的公告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color w:val="000000"/>
                <w:sz w:val="24"/>
                <w:szCs w:val="24"/>
              </w:rPr>
              <w:t>201</w:t>
            </w:r>
            <w:r>
              <w:rPr>
                <w:rFonts w:asciiTheme="minorEastAsia" w:hAnsiTheme="minorEastAsia" w:hint="eastAsia"/>
                <w:color w:val="000000"/>
                <w:sz w:val="24"/>
                <w:szCs w:val="24"/>
              </w:rPr>
              <w:t>8-</w:t>
            </w:r>
            <w:r w:rsidR="00F916FD">
              <w:rPr>
                <w:rFonts w:asciiTheme="minorEastAsia" w:hAnsiTheme="minorEastAsia" w:hint="eastAsia"/>
                <w:color w:val="000000"/>
                <w:sz w:val="24"/>
                <w:szCs w:val="24"/>
              </w:rPr>
              <w:t>0</w:t>
            </w:r>
            <w:r>
              <w:rPr>
                <w:rFonts w:asciiTheme="minorEastAsia" w:hAnsiTheme="minorEastAsia"/>
                <w:color w:val="000000"/>
                <w:sz w:val="24"/>
                <w:szCs w:val="24"/>
              </w:rPr>
              <w:t>5-21</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23</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富荣基金管理有限公司关于旗下部分基金参加深圳市新兰德证券投资咨询有限公司基金申购及定期定额投资申购费率优惠活动的公告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color w:val="000000"/>
                <w:sz w:val="24"/>
                <w:szCs w:val="24"/>
              </w:rPr>
              <w:t>201</w:t>
            </w:r>
            <w:r>
              <w:rPr>
                <w:rFonts w:asciiTheme="minorEastAsia" w:hAnsiTheme="minorEastAsia" w:hint="eastAsia"/>
                <w:color w:val="000000"/>
                <w:sz w:val="24"/>
                <w:szCs w:val="24"/>
              </w:rPr>
              <w:t>8-</w:t>
            </w:r>
            <w:r w:rsidR="00F916FD">
              <w:rPr>
                <w:rFonts w:asciiTheme="minorEastAsia" w:hAnsiTheme="minorEastAsia" w:hint="eastAsia"/>
                <w:color w:val="000000"/>
                <w:sz w:val="24"/>
                <w:szCs w:val="24"/>
              </w:rPr>
              <w:t>0</w:t>
            </w:r>
            <w:r>
              <w:rPr>
                <w:rFonts w:asciiTheme="minorEastAsia" w:hAnsiTheme="minorEastAsia"/>
                <w:color w:val="000000"/>
                <w:sz w:val="24"/>
                <w:szCs w:val="24"/>
              </w:rPr>
              <w:t>5-30</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24</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富荣基金管理有限公司关于旗下部分基金新增深圳市新兰德证券投资咨询有限公司为销售机构并开通基金定投业务的公告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color w:val="000000"/>
                <w:sz w:val="24"/>
                <w:szCs w:val="24"/>
              </w:rPr>
              <w:t>2018-</w:t>
            </w:r>
            <w:r w:rsidR="00F916FD">
              <w:rPr>
                <w:rFonts w:asciiTheme="minorEastAsia" w:hAnsiTheme="minorEastAsia" w:hint="eastAsia"/>
                <w:color w:val="000000"/>
                <w:sz w:val="24"/>
                <w:szCs w:val="24"/>
              </w:rPr>
              <w:t>0</w:t>
            </w:r>
            <w:r>
              <w:rPr>
                <w:rFonts w:asciiTheme="minorEastAsia" w:hAnsiTheme="minorEastAsia"/>
                <w:color w:val="000000"/>
                <w:sz w:val="24"/>
                <w:szCs w:val="24"/>
              </w:rPr>
              <w:t>5-30</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25</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富荣基金管理有限公司旗下基金2018年半年度最后一个交易日基金资产净值、基金份额净值及份额累计净值公告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2018-</w:t>
            </w:r>
            <w:r w:rsidR="00F916FD">
              <w:rPr>
                <w:rFonts w:asciiTheme="minorEastAsia" w:hAnsiTheme="minorEastAsia" w:hint="eastAsia"/>
                <w:bCs/>
                <w:color w:val="000000"/>
                <w:sz w:val="24"/>
                <w:szCs w:val="24"/>
              </w:rPr>
              <w:t>0</w:t>
            </w:r>
            <w:r>
              <w:rPr>
                <w:rFonts w:asciiTheme="minorEastAsia" w:hAnsiTheme="minorEastAsia" w:hint="eastAsia"/>
                <w:bCs/>
                <w:color w:val="000000"/>
                <w:sz w:val="24"/>
                <w:szCs w:val="24"/>
              </w:rPr>
              <w:t>6-30</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26</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富荣基金管理有限公司旗下基金2018年半年度最后一个市场自然日基金资产净值、基金份额净值及份额累计净值公告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2018-</w:t>
            </w:r>
            <w:r w:rsidR="00F916FD">
              <w:rPr>
                <w:rFonts w:asciiTheme="minorEastAsia" w:hAnsiTheme="minorEastAsia" w:hint="eastAsia"/>
                <w:bCs/>
                <w:color w:val="000000"/>
                <w:sz w:val="24"/>
                <w:szCs w:val="24"/>
              </w:rPr>
              <w:t>0</w:t>
            </w:r>
            <w:r>
              <w:rPr>
                <w:rFonts w:asciiTheme="minorEastAsia" w:hAnsiTheme="minorEastAsia" w:hint="eastAsia"/>
                <w:bCs/>
                <w:color w:val="000000"/>
                <w:sz w:val="24"/>
                <w:szCs w:val="24"/>
              </w:rPr>
              <w:t>7-</w:t>
            </w:r>
            <w:r w:rsidR="00F916FD">
              <w:rPr>
                <w:rFonts w:asciiTheme="minorEastAsia" w:hAnsiTheme="minorEastAsia" w:hint="eastAsia"/>
                <w:bCs/>
                <w:color w:val="000000"/>
                <w:sz w:val="24"/>
                <w:szCs w:val="24"/>
              </w:rPr>
              <w:t>0</w:t>
            </w:r>
            <w:r>
              <w:rPr>
                <w:rFonts w:asciiTheme="minorEastAsia" w:hAnsiTheme="minorEastAsia" w:hint="eastAsia"/>
                <w:bCs/>
                <w:color w:val="000000"/>
                <w:sz w:val="24"/>
                <w:szCs w:val="24"/>
              </w:rPr>
              <w:t>2</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27</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富荣福安灵活配置混合型证券投资基金2018年第二季度报告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w:t>
            </w:r>
            <w:r w:rsidR="00F916FD">
              <w:rPr>
                <w:rFonts w:asciiTheme="minorEastAsia" w:hAnsiTheme="minorEastAsia" w:hint="eastAsia"/>
                <w:bCs/>
                <w:color w:val="000000"/>
                <w:sz w:val="24"/>
                <w:szCs w:val="24"/>
              </w:rPr>
              <w:t>0</w:t>
            </w:r>
            <w:r>
              <w:rPr>
                <w:rFonts w:asciiTheme="minorEastAsia" w:hAnsiTheme="minorEastAsia" w:hint="eastAsia"/>
                <w:bCs/>
                <w:color w:val="000000"/>
                <w:sz w:val="24"/>
                <w:szCs w:val="24"/>
              </w:rPr>
              <w:t>7-20</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28</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富荣基金关于副总经理变更的公告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w:t>
            </w:r>
            <w:r w:rsidR="00F916FD">
              <w:rPr>
                <w:rFonts w:asciiTheme="minorEastAsia" w:hAnsiTheme="minorEastAsia" w:hint="eastAsia"/>
                <w:bCs/>
                <w:color w:val="000000"/>
                <w:sz w:val="24"/>
                <w:szCs w:val="24"/>
              </w:rPr>
              <w:t>0</w:t>
            </w:r>
            <w:r>
              <w:rPr>
                <w:rFonts w:asciiTheme="minorEastAsia" w:hAnsiTheme="minorEastAsia" w:hint="eastAsia"/>
                <w:bCs/>
                <w:color w:val="000000"/>
                <w:sz w:val="24"/>
                <w:szCs w:val="24"/>
              </w:rPr>
              <w:t>7-28</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29</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富荣基金关于副总经理变更的公告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w:t>
            </w:r>
            <w:r w:rsidR="00F916FD">
              <w:rPr>
                <w:rFonts w:asciiTheme="minorEastAsia" w:hAnsiTheme="minorEastAsia" w:hint="eastAsia"/>
                <w:bCs/>
                <w:color w:val="000000"/>
                <w:sz w:val="24"/>
                <w:szCs w:val="24"/>
              </w:rPr>
              <w:t>0</w:t>
            </w:r>
            <w:r>
              <w:rPr>
                <w:rFonts w:asciiTheme="minorEastAsia" w:hAnsiTheme="minorEastAsia" w:hint="eastAsia"/>
                <w:bCs/>
                <w:color w:val="000000"/>
                <w:sz w:val="24"/>
                <w:szCs w:val="24"/>
              </w:rPr>
              <w:t>8-</w:t>
            </w:r>
            <w:r w:rsidR="00F916FD">
              <w:rPr>
                <w:rFonts w:asciiTheme="minorEastAsia" w:hAnsiTheme="minorEastAsia" w:hint="eastAsia"/>
                <w:bCs/>
                <w:color w:val="000000"/>
                <w:sz w:val="24"/>
                <w:szCs w:val="24"/>
              </w:rPr>
              <w:t>0</w:t>
            </w:r>
            <w:r>
              <w:rPr>
                <w:rFonts w:asciiTheme="minorEastAsia" w:hAnsiTheme="minorEastAsia" w:hint="eastAsia"/>
                <w:bCs/>
                <w:color w:val="000000"/>
                <w:sz w:val="24"/>
                <w:szCs w:val="24"/>
              </w:rPr>
              <w:t>4</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30</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富荣基金管理有限公司关于旗下部分基金新增泰诚财富基金销售（大连）有限公司为销售机构并开通基金定投业务的公告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w:t>
            </w:r>
            <w:r>
              <w:rPr>
                <w:rFonts w:asciiTheme="minorEastAsia" w:hAnsiTheme="minorEastAsia"/>
                <w:bCs/>
                <w:color w:val="000000"/>
                <w:sz w:val="24"/>
                <w:szCs w:val="24"/>
              </w:rPr>
              <w:t>-</w:t>
            </w:r>
            <w:r w:rsidR="00F916FD">
              <w:rPr>
                <w:rFonts w:asciiTheme="minorEastAsia" w:hAnsiTheme="minorEastAsia" w:hint="eastAsia"/>
                <w:bCs/>
                <w:color w:val="000000"/>
                <w:sz w:val="24"/>
                <w:szCs w:val="24"/>
              </w:rPr>
              <w:t>0</w:t>
            </w:r>
            <w:r>
              <w:rPr>
                <w:rFonts w:asciiTheme="minorEastAsia" w:hAnsiTheme="minorEastAsia"/>
                <w:bCs/>
                <w:color w:val="000000"/>
                <w:sz w:val="24"/>
                <w:szCs w:val="24"/>
              </w:rPr>
              <w:t>8-16</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31</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富荣基金管理有限公司关于旗下部分基金参加泰诚财富基金销售（大连）有限公司基金申购及定期定额投资申购费率优惠活动的公告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w:t>
            </w:r>
            <w:r>
              <w:rPr>
                <w:rFonts w:asciiTheme="minorEastAsia" w:hAnsiTheme="minorEastAsia"/>
                <w:bCs/>
                <w:color w:val="000000"/>
                <w:sz w:val="24"/>
                <w:szCs w:val="24"/>
              </w:rPr>
              <w:t>-</w:t>
            </w:r>
            <w:r w:rsidR="00F916FD">
              <w:rPr>
                <w:rFonts w:asciiTheme="minorEastAsia" w:hAnsiTheme="minorEastAsia" w:hint="eastAsia"/>
                <w:bCs/>
                <w:color w:val="000000"/>
                <w:sz w:val="24"/>
                <w:szCs w:val="24"/>
              </w:rPr>
              <w:t>0</w:t>
            </w:r>
            <w:r>
              <w:rPr>
                <w:rFonts w:asciiTheme="minorEastAsia" w:hAnsiTheme="minorEastAsia"/>
                <w:bCs/>
                <w:color w:val="000000"/>
                <w:sz w:val="24"/>
                <w:szCs w:val="24"/>
              </w:rPr>
              <w:t>8-16</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32</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富荣福安灵活配置混合型证券投资基金2018年半年度报告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w:t>
            </w:r>
            <w:r>
              <w:rPr>
                <w:rFonts w:asciiTheme="minorEastAsia" w:hAnsiTheme="minorEastAsia"/>
                <w:bCs/>
                <w:color w:val="000000"/>
                <w:sz w:val="24"/>
                <w:szCs w:val="24"/>
              </w:rPr>
              <w:t>-</w:t>
            </w:r>
            <w:r w:rsidR="00F916FD">
              <w:rPr>
                <w:rFonts w:asciiTheme="minorEastAsia" w:hAnsiTheme="minorEastAsia" w:hint="eastAsia"/>
                <w:bCs/>
                <w:color w:val="000000"/>
                <w:sz w:val="24"/>
                <w:szCs w:val="24"/>
              </w:rPr>
              <w:t>0</w:t>
            </w:r>
            <w:r>
              <w:rPr>
                <w:rFonts w:asciiTheme="minorEastAsia" w:hAnsiTheme="minorEastAsia"/>
                <w:bCs/>
                <w:color w:val="000000"/>
                <w:sz w:val="24"/>
                <w:szCs w:val="24"/>
              </w:rPr>
              <w:t>8-29</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33</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富荣福安灵活配置混合型证券投资基金2018年半年度报告摘要</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w:t>
            </w:r>
            <w:r>
              <w:rPr>
                <w:rFonts w:asciiTheme="minorEastAsia" w:hAnsiTheme="minorEastAsia"/>
                <w:bCs/>
                <w:color w:val="000000"/>
                <w:sz w:val="24"/>
                <w:szCs w:val="24"/>
              </w:rPr>
              <w:t>-</w:t>
            </w:r>
            <w:r w:rsidR="00F916FD">
              <w:rPr>
                <w:rFonts w:asciiTheme="minorEastAsia" w:hAnsiTheme="minorEastAsia" w:hint="eastAsia"/>
                <w:bCs/>
                <w:color w:val="000000"/>
                <w:sz w:val="24"/>
                <w:szCs w:val="24"/>
              </w:rPr>
              <w:t>0</w:t>
            </w:r>
            <w:r>
              <w:rPr>
                <w:rFonts w:asciiTheme="minorEastAsia" w:hAnsiTheme="minorEastAsia"/>
                <w:bCs/>
                <w:color w:val="000000"/>
                <w:sz w:val="24"/>
                <w:szCs w:val="24"/>
              </w:rPr>
              <w:t>8-29</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34</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富荣基金管理有限公司更正公告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w:t>
            </w:r>
            <w:r w:rsidR="00F916FD">
              <w:rPr>
                <w:rFonts w:asciiTheme="minorEastAsia" w:hAnsiTheme="minorEastAsia" w:hint="eastAsia"/>
                <w:bCs/>
                <w:color w:val="000000"/>
                <w:sz w:val="24"/>
                <w:szCs w:val="24"/>
              </w:rPr>
              <w:t>0</w:t>
            </w:r>
            <w:r>
              <w:rPr>
                <w:rFonts w:asciiTheme="minorEastAsia" w:hAnsiTheme="minorEastAsia" w:hint="eastAsia"/>
                <w:bCs/>
                <w:color w:val="000000"/>
                <w:sz w:val="24"/>
                <w:szCs w:val="24"/>
              </w:rPr>
              <w:t>9-</w:t>
            </w:r>
            <w:r w:rsidR="00F916FD">
              <w:rPr>
                <w:rFonts w:asciiTheme="minorEastAsia" w:hAnsiTheme="minorEastAsia" w:hint="eastAsia"/>
                <w:bCs/>
                <w:color w:val="000000"/>
                <w:sz w:val="24"/>
                <w:szCs w:val="24"/>
              </w:rPr>
              <w:t>0</w:t>
            </w:r>
            <w:r>
              <w:rPr>
                <w:rFonts w:asciiTheme="minorEastAsia" w:hAnsiTheme="minorEastAsia" w:hint="eastAsia"/>
                <w:bCs/>
                <w:color w:val="000000"/>
                <w:sz w:val="24"/>
                <w:szCs w:val="24"/>
              </w:rPr>
              <w:t>7</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35</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A84F18">
            <w:pPr>
              <w:jc w:val="left"/>
              <w:rPr>
                <w:rFonts w:asciiTheme="minorEastAsia" w:hAnsiTheme="minorEastAsia"/>
                <w:bCs/>
                <w:color w:val="000000"/>
                <w:sz w:val="24"/>
                <w:szCs w:val="24"/>
              </w:rPr>
            </w:pPr>
            <w:hyperlink r:id="rId19" w:tgtFrame="_blank" w:tooltip="富荣基金关于增聘副总经理的公告" w:history="1">
              <w:r w:rsidR="004E5A0C">
                <w:rPr>
                  <w:rFonts w:asciiTheme="minorEastAsia" w:hAnsiTheme="minorEastAsia" w:hint="eastAsia"/>
                  <w:bCs/>
                  <w:color w:val="000000"/>
                  <w:sz w:val="24"/>
                  <w:szCs w:val="24"/>
                </w:rPr>
                <w:t>富荣基金关于增聘副总经理的公告</w:t>
              </w:r>
            </w:hyperlink>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w:t>
            </w:r>
            <w:r w:rsidR="00F916FD">
              <w:rPr>
                <w:rFonts w:asciiTheme="minorEastAsia" w:hAnsiTheme="minorEastAsia" w:hint="eastAsia"/>
                <w:bCs/>
                <w:color w:val="000000"/>
                <w:sz w:val="24"/>
                <w:szCs w:val="24"/>
              </w:rPr>
              <w:t>0</w:t>
            </w:r>
            <w:r>
              <w:rPr>
                <w:rFonts w:asciiTheme="minorEastAsia" w:hAnsiTheme="minorEastAsia" w:hint="eastAsia"/>
                <w:bCs/>
                <w:color w:val="000000"/>
                <w:sz w:val="24"/>
                <w:szCs w:val="24"/>
              </w:rPr>
              <w:t>9-10</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36</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富荣基金管理有限公司关于旗下部分基金新增济安财富（北京）基金销售有限公司为销售机构并开通基金定投业务的公告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w:t>
            </w:r>
            <w:r w:rsidR="00F916FD">
              <w:rPr>
                <w:rFonts w:asciiTheme="minorEastAsia" w:hAnsiTheme="minorEastAsia" w:hint="eastAsia"/>
                <w:bCs/>
                <w:color w:val="000000"/>
                <w:sz w:val="24"/>
                <w:szCs w:val="24"/>
              </w:rPr>
              <w:t>0</w:t>
            </w:r>
            <w:r>
              <w:rPr>
                <w:rFonts w:asciiTheme="minorEastAsia" w:hAnsiTheme="minorEastAsia" w:hint="eastAsia"/>
                <w:bCs/>
                <w:color w:val="000000"/>
                <w:sz w:val="24"/>
                <w:szCs w:val="24"/>
              </w:rPr>
              <w:t>9-11</w:t>
            </w:r>
          </w:p>
        </w:tc>
      </w:tr>
      <w:tr w:rsidR="00B85C18">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color w:val="000000"/>
                <w:sz w:val="24"/>
                <w:szCs w:val="24"/>
              </w:rPr>
            </w:pPr>
            <w:r>
              <w:rPr>
                <w:rFonts w:asciiTheme="minorEastAsia" w:hAnsiTheme="minorEastAsia" w:hint="eastAsia"/>
                <w:color w:val="000000"/>
                <w:sz w:val="24"/>
                <w:szCs w:val="24"/>
              </w:rPr>
              <w:t>37</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left"/>
              <w:rPr>
                <w:rFonts w:asciiTheme="minorEastAsia" w:hAnsiTheme="minorEastAsia"/>
                <w:bCs/>
                <w:color w:val="000000"/>
                <w:sz w:val="24"/>
                <w:szCs w:val="24"/>
              </w:rPr>
            </w:pPr>
            <w:r>
              <w:rPr>
                <w:rFonts w:asciiTheme="minorEastAsia" w:hAnsiTheme="minorEastAsia" w:hint="eastAsia"/>
                <w:bCs/>
                <w:color w:val="000000"/>
                <w:sz w:val="24"/>
                <w:szCs w:val="24"/>
              </w:rPr>
              <w:t>富荣基金管理有限公司关于旗下部分基金参加济安财富（北京）基金销售有限公司基金申购及定期定额投资申购费率优惠活动的公告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B85C18" w:rsidRDefault="004E5A0C">
            <w:pPr>
              <w:jc w:val="center"/>
              <w:rPr>
                <w:rFonts w:asciiTheme="minorEastAsia" w:hAnsiTheme="minorEastAsia"/>
                <w:bCs/>
                <w:color w:val="000000"/>
                <w:sz w:val="24"/>
                <w:szCs w:val="24"/>
              </w:rPr>
            </w:pPr>
            <w:r>
              <w:rPr>
                <w:rFonts w:asciiTheme="minorEastAsia" w:hAnsiTheme="minorEastAsia" w:hint="eastAsia"/>
                <w:bCs/>
                <w:color w:val="000000"/>
                <w:sz w:val="24"/>
                <w:szCs w:val="24"/>
              </w:rPr>
              <w:t>2018-09-11</w:t>
            </w:r>
          </w:p>
        </w:tc>
      </w:tr>
      <w:tr w:rsidR="00986D60">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986D60" w:rsidRDefault="00986D60">
            <w:pPr>
              <w:jc w:val="left"/>
              <w:rPr>
                <w:rFonts w:asciiTheme="minorEastAsia" w:hAnsiTheme="minorEastAsia"/>
                <w:color w:val="000000"/>
                <w:sz w:val="24"/>
                <w:szCs w:val="24"/>
              </w:rPr>
            </w:pPr>
            <w:r>
              <w:rPr>
                <w:rFonts w:asciiTheme="minorEastAsia" w:hAnsiTheme="minorEastAsia" w:hint="eastAsia"/>
                <w:color w:val="000000"/>
                <w:sz w:val="24"/>
                <w:szCs w:val="24"/>
              </w:rPr>
              <w:t>38</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986D60" w:rsidRDefault="00986D60">
            <w:pPr>
              <w:jc w:val="left"/>
              <w:rPr>
                <w:rFonts w:asciiTheme="minorEastAsia" w:hAnsiTheme="minorEastAsia"/>
                <w:bCs/>
                <w:color w:val="000000"/>
                <w:sz w:val="24"/>
                <w:szCs w:val="24"/>
              </w:rPr>
            </w:pPr>
            <w:r w:rsidRPr="00986D60">
              <w:rPr>
                <w:rFonts w:asciiTheme="minorEastAsia" w:hAnsiTheme="minorEastAsia" w:hint="eastAsia"/>
                <w:bCs/>
                <w:color w:val="000000"/>
                <w:sz w:val="24"/>
                <w:szCs w:val="24"/>
              </w:rPr>
              <w:t>富荣基金管理有限公司关于旗下基金在直销平台开通基金转换业务的公告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986D60" w:rsidRDefault="00986D60">
            <w:pPr>
              <w:jc w:val="center"/>
              <w:rPr>
                <w:rFonts w:asciiTheme="minorEastAsia" w:hAnsiTheme="minorEastAsia"/>
                <w:bCs/>
                <w:color w:val="000000"/>
                <w:sz w:val="24"/>
                <w:szCs w:val="24"/>
              </w:rPr>
            </w:pPr>
            <w:r w:rsidRPr="00986D60">
              <w:rPr>
                <w:rFonts w:asciiTheme="minorEastAsia" w:hAnsiTheme="minorEastAsia" w:hint="eastAsia"/>
                <w:bCs/>
                <w:color w:val="000000"/>
                <w:sz w:val="24"/>
                <w:szCs w:val="24"/>
              </w:rPr>
              <w:t>2018-09-15</w:t>
            </w:r>
          </w:p>
        </w:tc>
      </w:tr>
      <w:tr w:rsidR="00F46486">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F46486" w:rsidRDefault="00F46486">
            <w:pPr>
              <w:jc w:val="left"/>
              <w:rPr>
                <w:rFonts w:asciiTheme="minorEastAsia" w:hAnsiTheme="minorEastAsia"/>
                <w:color w:val="000000"/>
                <w:sz w:val="24"/>
                <w:szCs w:val="24"/>
              </w:rPr>
            </w:pPr>
            <w:r>
              <w:rPr>
                <w:rFonts w:asciiTheme="minorEastAsia" w:hAnsiTheme="minorEastAsia" w:hint="eastAsia"/>
                <w:color w:val="000000"/>
                <w:sz w:val="24"/>
                <w:szCs w:val="24"/>
              </w:rPr>
              <w:t>39</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F46486" w:rsidRPr="00986D60" w:rsidRDefault="00F46486">
            <w:pPr>
              <w:jc w:val="left"/>
              <w:rPr>
                <w:rFonts w:asciiTheme="minorEastAsia" w:hAnsiTheme="minorEastAsia"/>
                <w:bCs/>
                <w:color w:val="000000"/>
                <w:sz w:val="24"/>
                <w:szCs w:val="24"/>
              </w:rPr>
            </w:pPr>
            <w:r w:rsidRPr="00F46486">
              <w:rPr>
                <w:rFonts w:asciiTheme="minorEastAsia" w:hAnsiTheme="minorEastAsia" w:hint="eastAsia"/>
                <w:bCs/>
                <w:color w:val="000000"/>
                <w:sz w:val="24"/>
                <w:szCs w:val="24"/>
              </w:rPr>
              <w:t>富荣基金管理有限公司关于旗下部分基金新增金惠家保险代理有限公司为销售机构并开通基金定投业务的公告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F46486" w:rsidRPr="00986D60" w:rsidRDefault="00F46486">
            <w:pPr>
              <w:jc w:val="center"/>
              <w:rPr>
                <w:rFonts w:asciiTheme="minorEastAsia" w:hAnsiTheme="minorEastAsia"/>
                <w:bCs/>
                <w:color w:val="000000"/>
                <w:sz w:val="24"/>
                <w:szCs w:val="24"/>
              </w:rPr>
            </w:pPr>
            <w:r w:rsidRPr="00F46486">
              <w:rPr>
                <w:rFonts w:asciiTheme="minorEastAsia" w:hAnsiTheme="minorEastAsia" w:hint="eastAsia"/>
                <w:bCs/>
                <w:color w:val="000000"/>
                <w:sz w:val="24"/>
                <w:szCs w:val="24"/>
              </w:rPr>
              <w:t>2018-09-20</w:t>
            </w:r>
          </w:p>
        </w:tc>
      </w:tr>
      <w:tr w:rsidR="00F46486">
        <w:trPr>
          <w:trHeight w:val="261"/>
        </w:trPr>
        <w:tc>
          <w:tcPr>
            <w:tcW w:w="782" w:type="dxa"/>
            <w:tcBorders>
              <w:top w:val="single" w:sz="4" w:space="0" w:color="auto"/>
              <w:left w:val="single" w:sz="4" w:space="0" w:color="auto"/>
              <w:bottom w:val="single" w:sz="4" w:space="0" w:color="auto"/>
              <w:right w:val="single" w:sz="4" w:space="0" w:color="auto"/>
            </w:tcBorders>
            <w:shd w:val="clear" w:color="auto" w:fill="auto"/>
          </w:tcPr>
          <w:p w:rsidR="00F46486" w:rsidRDefault="00F46486">
            <w:pPr>
              <w:jc w:val="left"/>
              <w:rPr>
                <w:rFonts w:asciiTheme="minorEastAsia" w:hAnsiTheme="minorEastAsia"/>
                <w:color w:val="000000"/>
                <w:sz w:val="24"/>
                <w:szCs w:val="24"/>
              </w:rPr>
            </w:pPr>
            <w:r>
              <w:rPr>
                <w:rFonts w:asciiTheme="minorEastAsia" w:hAnsiTheme="minorEastAsia" w:hint="eastAsia"/>
                <w:color w:val="000000"/>
                <w:sz w:val="24"/>
                <w:szCs w:val="24"/>
              </w:rPr>
              <w:t>40</w:t>
            </w:r>
          </w:p>
        </w:tc>
        <w:tc>
          <w:tcPr>
            <w:tcW w:w="6291" w:type="dxa"/>
            <w:tcBorders>
              <w:top w:val="single" w:sz="4" w:space="0" w:color="auto"/>
              <w:left w:val="single" w:sz="4" w:space="0" w:color="auto"/>
              <w:bottom w:val="single" w:sz="4" w:space="0" w:color="auto"/>
              <w:right w:val="single" w:sz="4" w:space="0" w:color="auto"/>
            </w:tcBorders>
            <w:shd w:val="clear" w:color="auto" w:fill="auto"/>
          </w:tcPr>
          <w:p w:rsidR="00F46486" w:rsidRPr="00986D60" w:rsidRDefault="00F46486">
            <w:pPr>
              <w:jc w:val="left"/>
              <w:rPr>
                <w:rFonts w:asciiTheme="minorEastAsia" w:hAnsiTheme="minorEastAsia"/>
                <w:bCs/>
                <w:color w:val="000000"/>
                <w:sz w:val="24"/>
                <w:szCs w:val="24"/>
              </w:rPr>
            </w:pPr>
            <w:r w:rsidRPr="00F46486">
              <w:rPr>
                <w:rFonts w:asciiTheme="minorEastAsia" w:hAnsiTheme="minorEastAsia" w:hint="eastAsia"/>
                <w:bCs/>
                <w:color w:val="000000"/>
                <w:sz w:val="24"/>
                <w:szCs w:val="24"/>
              </w:rPr>
              <w:t>富荣基金管理有限公司关于旗下部分基金参加金惠家保险代理有限公司基金申购及定期定额投资申购费率优惠活动的公告</w:t>
            </w:r>
          </w:p>
        </w:tc>
        <w:tc>
          <w:tcPr>
            <w:tcW w:w="1446" w:type="dxa"/>
            <w:tcBorders>
              <w:top w:val="single" w:sz="4" w:space="0" w:color="auto"/>
              <w:left w:val="single" w:sz="4" w:space="0" w:color="auto"/>
              <w:bottom w:val="single" w:sz="4" w:space="0" w:color="auto"/>
              <w:right w:val="single" w:sz="4" w:space="0" w:color="auto"/>
            </w:tcBorders>
            <w:shd w:val="clear" w:color="auto" w:fill="auto"/>
          </w:tcPr>
          <w:p w:rsidR="00F46486" w:rsidRPr="00986D60" w:rsidRDefault="00F46486">
            <w:pPr>
              <w:jc w:val="center"/>
              <w:rPr>
                <w:rFonts w:asciiTheme="minorEastAsia" w:hAnsiTheme="minorEastAsia"/>
                <w:bCs/>
                <w:color w:val="000000"/>
                <w:sz w:val="24"/>
                <w:szCs w:val="24"/>
              </w:rPr>
            </w:pPr>
            <w:r w:rsidRPr="00F46486">
              <w:rPr>
                <w:rFonts w:asciiTheme="minorEastAsia" w:hAnsiTheme="minorEastAsia" w:hint="eastAsia"/>
                <w:bCs/>
                <w:color w:val="000000"/>
                <w:sz w:val="24"/>
                <w:szCs w:val="24"/>
              </w:rPr>
              <w:t>2018-09-20</w:t>
            </w:r>
          </w:p>
        </w:tc>
      </w:tr>
    </w:tbl>
    <w:p w:rsidR="00B85C18" w:rsidRDefault="004E5A0C" w:rsidP="00F46486">
      <w:pPr>
        <w:pStyle w:val="1"/>
        <w:jc w:val="center"/>
        <w:rPr>
          <w:sz w:val="30"/>
          <w:szCs w:val="30"/>
        </w:rPr>
      </w:pPr>
      <w:bookmarkStart w:id="455" w:name="_Toc523229279"/>
      <w:bookmarkStart w:id="456" w:name="_Toc523229717"/>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50"/>
      <w:bookmarkEnd w:id="451"/>
      <w:bookmarkEnd w:id="452"/>
      <w:bookmarkEnd w:id="453"/>
      <w:bookmarkEnd w:id="454"/>
      <w:bookmarkEnd w:id="455"/>
      <w:bookmarkEnd w:id="456"/>
    </w:p>
    <w:p w:rsidR="00B85C18" w:rsidRDefault="004E5A0C">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rsidR="00B85C18" w:rsidRDefault="004E5A0C">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rsidR="00B85C18" w:rsidRDefault="004E5A0C">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rsidR="00B85C18" w:rsidRDefault="004E5A0C">
      <w:pPr>
        <w:pStyle w:val="1"/>
        <w:jc w:val="center"/>
        <w:rPr>
          <w:sz w:val="30"/>
          <w:szCs w:val="30"/>
        </w:rPr>
      </w:pPr>
      <w:bookmarkStart w:id="457" w:name="_Toc462063885"/>
      <w:bookmarkStart w:id="458" w:name="_Toc523229280"/>
      <w:bookmarkStart w:id="459" w:name="_Toc523229718"/>
      <w:bookmarkEnd w:id="49"/>
      <w:bookmarkEnd w:id="50"/>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r>
        <w:rPr>
          <w:sz w:val="30"/>
          <w:szCs w:val="30"/>
        </w:rPr>
        <w:lastRenderedPageBreak/>
        <w:t>第二十</w:t>
      </w:r>
      <w:r>
        <w:rPr>
          <w:rFonts w:hint="eastAsia"/>
          <w:sz w:val="30"/>
          <w:szCs w:val="30"/>
        </w:rPr>
        <w:t>三</w:t>
      </w:r>
      <w:r>
        <w:rPr>
          <w:sz w:val="30"/>
          <w:szCs w:val="30"/>
        </w:rPr>
        <w:t>部分  备查文件</w:t>
      </w:r>
      <w:bookmarkEnd w:id="457"/>
      <w:bookmarkEnd w:id="458"/>
      <w:bookmarkEnd w:id="459"/>
    </w:p>
    <w:p w:rsidR="00B85C18" w:rsidRDefault="004E5A0C">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rsidR="00B85C18" w:rsidRDefault="004E5A0C">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富荣福安灵活配置混合型证券投资基金募集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rsidR="00B85C18" w:rsidRDefault="004E5A0C">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（二）《富荣福安灵活配置混合型证券投资基金基金合同》 </w:t>
      </w:r>
    </w:p>
    <w:p w:rsidR="00B85C18" w:rsidRDefault="004E5A0C">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（三）《富荣福安灵活配置混合型证券投资基金托管协议》 </w:t>
      </w:r>
    </w:p>
    <w:p w:rsidR="00B85C18" w:rsidRDefault="004E5A0C">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rsidR="00B85C18" w:rsidRDefault="004E5A0C">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rsidR="00B85C18" w:rsidRDefault="004E5A0C">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富荣福安灵活配置混合型证券投资基金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rsidR="00B85C18" w:rsidRDefault="004E5A0C">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rsidR="00B85C18" w:rsidRDefault="004E5A0C">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rsidR="00B85C18" w:rsidRDefault="00B85C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B85C18" w:rsidRDefault="00B85C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B85C18" w:rsidRDefault="00B85C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B85C18" w:rsidRDefault="00B85C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B85C18" w:rsidRDefault="00B85C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B85C18" w:rsidRDefault="004E5A0C" w:rsidP="00F916FD">
      <w:pPr>
        <w:widowControl/>
        <w:adjustRightInd w:val="0"/>
        <w:snapToGrid w:val="0"/>
        <w:spacing w:line="360" w:lineRule="auto"/>
        <w:ind w:rightChars="-85" w:right="-178" w:firstLineChars="2500" w:firstLine="6000"/>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rsidR="00B85C18" w:rsidRDefault="004E5A0C" w:rsidP="00F916FD">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201</w:t>
      </w:r>
      <w:r>
        <w:rPr>
          <w:rFonts w:asciiTheme="minorEastAsia" w:hAnsiTheme="minorEastAsia" w:cs="Arial"/>
          <w:kern w:val="0"/>
          <w:sz w:val="24"/>
          <w:szCs w:val="24"/>
        </w:rPr>
        <w:t>8</w:t>
      </w:r>
      <w:r>
        <w:rPr>
          <w:rFonts w:asciiTheme="minorEastAsia" w:hAnsiTheme="minorEastAsia" w:cs="Arial" w:hint="eastAsia"/>
          <w:kern w:val="0"/>
          <w:sz w:val="24"/>
          <w:szCs w:val="24"/>
        </w:rPr>
        <w:t>年</w:t>
      </w:r>
      <w:r>
        <w:rPr>
          <w:rFonts w:asciiTheme="minorEastAsia" w:hAnsiTheme="minorEastAsia" w:cs="Arial"/>
          <w:kern w:val="0"/>
          <w:sz w:val="24"/>
          <w:szCs w:val="24"/>
        </w:rPr>
        <w:t>9</w:t>
      </w:r>
      <w:r>
        <w:rPr>
          <w:rFonts w:asciiTheme="minorEastAsia" w:hAnsiTheme="minorEastAsia" w:cs="Arial" w:hint="eastAsia"/>
          <w:kern w:val="0"/>
          <w:sz w:val="24"/>
          <w:szCs w:val="24"/>
        </w:rPr>
        <w:t>月</w:t>
      </w:r>
      <w:r>
        <w:rPr>
          <w:rFonts w:asciiTheme="minorEastAsia" w:hAnsiTheme="minorEastAsia" w:cs="Arial"/>
          <w:kern w:val="0"/>
          <w:sz w:val="24"/>
          <w:szCs w:val="24"/>
        </w:rPr>
        <w:t>26</w:t>
      </w:r>
      <w:r>
        <w:rPr>
          <w:rFonts w:asciiTheme="minorEastAsia" w:hAnsiTheme="minorEastAsia" w:cs="Arial" w:hint="eastAsia"/>
          <w:kern w:val="0"/>
          <w:sz w:val="24"/>
          <w:szCs w:val="24"/>
        </w:rPr>
        <w:t>日</w:t>
      </w:r>
    </w:p>
    <w:p w:rsidR="00B85C18" w:rsidRDefault="00B85C18">
      <w:pPr>
        <w:widowControl/>
        <w:adjustRightInd w:val="0"/>
        <w:snapToGrid w:val="0"/>
        <w:spacing w:line="360" w:lineRule="auto"/>
        <w:ind w:rightChars="-85" w:right="-178" w:firstLineChars="3050" w:firstLine="6405"/>
      </w:pPr>
    </w:p>
    <w:sectPr w:rsidR="00B85C18" w:rsidSect="000D01BB">
      <w:footerReference w:type="default" r:id="rId2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4F18" w:rsidRDefault="00A84F18">
      <w:r>
        <w:separator/>
      </w:r>
    </w:p>
  </w:endnote>
  <w:endnote w:type="continuationSeparator" w:id="0">
    <w:p w:rsidR="00A84F18" w:rsidRDefault="00A84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ˎ̥">
    <w:altName w:val="Times New Roman"/>
    <w:charset w:val="00"/>
    <w:family w:val="auto"/>
    <w:pitch w:val="default"/>
    <w:sig w:usb0="00000000" w:usb1="00000000" w:usb2="00000000" w:usb3="00000000" w:csb0="00040001" w:csb1="00000000"/>
  </w:font>
  <w:font w:name="方正仿宋简体">
    <w:altName w:val="宋体"/>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9276833"/>
      <w:docPartObj>
        <w:docPartGallery w:val="Page Numbers (Bottom of Page)"/>
        <w:docPartUnique/>
      </w:docPartObj>
    </w:sdtPr>
    <w:sdtEndPr/>
    <w:sdtContent>
      <w:p w:rsidR="000D01BB" w:rsidRDefault="000D01BB">
        <w:pPr>
          <w:pStyle w:val="aa"/>
          <w:jc w:val="center"/>
        </w:pPr>
        <w:r>
          <w:fldChar w:fldCharType="begin"/>
        </w:r>
        <w:r>
          <w:instrText>PAGE   \* MERGEFORMAT</w:instrText>
        </w:r>
        <w:r>
          <w:fldChar w:fldCharType="separate"/>
        </w:r>
        <w:r w:rsidRPr="000D01BB">
          <w:rPr>
            <w:noProof/>
            <w:lang w:val="zh-CN"/>
          </w:rPr>
          <w:t>2</w:t>
        </w:r>
        <w:r>
          <w:fldChar w:fldCharType="end"/>
        </w:r>
      </w:p>
    </w:sdtContent>
  </w:sdt>
  <w:p w:rsidR="000D01BB" w:rsidRDefault="000D01BB">
    <w:pPr>
      <w:pStyle w:val="aa"/>
      <w:tabs>
        <w:tab w:val="clear" w:pos="4153"/>
        <w:tab w:val="clear" w:pos="8306"/>
        <w:tab w:val="left" w:pos="472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01BB" w:rsidRDefault="000D01BB">
    <w:pPr>
      <w:pStyle w:val="aa"/>
      <w:jc w:val="center"/>
    </w:pPr>
  </w:p>
  <w:p w:rsidR="000D01BB" w:rsidRDefault="000D01BB">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6781367"/>
      <w:docPartObj>
        <w:docPartGallery w:val="Page Numbers (Bottom of Page)"/>
        <w:docPartUnique/>
      </w:docPartObj>
    </w:sdtPr>
    <w:sdtEndPr/>
    <w:sdtContent>
      <w:p w:rsidR="000D01BB" w:rsidRDefault="000D01BB">
        <w:pPr>
          <w:pStyle w:val="aa"/>
          <w:jc w:val="center"/>
        </w:pPr>
        <w:r>
          <w:fldChar w:fldCharType="begin"/>
        </w:r>
        <w:r>
          <w:instrText>PAGE   \* MERGEFORMAT</w:instrText>
        </w:r>
        <w:r>
          <w:fldChar w:fldCharType="separate"/>
        </w:r>
        <w:r w:rsidR="00107294" w:rsidRPr="00107294">
          <w:rPr>
            <w:noProof/>
            <w:lang w:val="zh-CN"/>
          </w:rPr>
          <w:t>2</w:t>
        </w:r>
        <w:r>
          <w:fldChar w:fldCharType="end"/>
        </w:r>
      </w:p>
    </w:sdtContent>
  </w:sdt>
  <w:p w:rsidR="000D01BB" w:rsidRDefault="000D01BB">
    <w:pPr>
      <w:pStyle w:val="aa"/>
      <w:tabs>
        <w:tab w:val="clear" w:pos="4153"/>
        <w:tab w:val="clear" w:pos="8306"/>
        <w:tab w:val="left" w:pos="472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9486932"/>
      <w:docPartObj>
        <w:docPartGallery w:val="Page Numbers (Bottom of Page)"/>
        <w:docPartUnique/>
      </w:docPartObj>
    </w:sdtPr>
    <w:sdtEndPr/>
    <w:sdtContent>
      <w:p w:rsidR="000D01BB" w:rsidRDefault="000D01BB">
        <w:pPr>
          <w:pStyle w:val="aa"/>
          <w:jc w:val="center"/>
        </w:pPr>
        <w:r>
          <w:fldChar w:fldCharType="begin"/>
        </w:r>
        <w:r>
          <w:instrText>PAGE   \* MERGEFORMAT</w:instrText>
        </w:r>
        <w:r>
          <w:fldChar w:fldCharType="separate"/>
        </w:r>
        <w:r w:rsidR="00107294" w:rsidRPr="00107294">
          <w:rPr>
            <w:noProof/>
            <w:lang w:val="zh-CN"/>
          </w:rPr>
          <w:t>1</w:t>
        </w:r>
        <w:r>
          <w:fldChar w:fldCharType="end"/>
        </w:r>
      </w:p>
    </w:sdtContent>
  </w:sdt>
  <w:p w:rsidR="000D01BB" w:rsidRDefault="000D01BB">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8418889"/>
      <w:docPartObj>
        <w:docPartGallery w:val="Page Numbers (Bottom of Page)"/>
        <w:docPartUnique/>
      </w:docPartObj>
    </w:sdtPr>
    <w:sdtEndPr/>
    <w:sdtContent>
      <w:p w:rsidR="000D01BB" w:rsidRDefault="000D01BB">
        <w:pPr>
          <w:pStyle w:val="aa"/>
          <w:jc w:val="center"/>
        </w:pPr>
        <w:r>
          <w:fldChar w:fldCharType="begin"/>
        </w:r>
        <w:r>
          <w:instrText>PAGE   \* MERGEFORMAT</w:instrText>
        </w:r>
        <w:r>
          <w:fldChar w:fldCharType="separate"/>
        </w:r>
        <w:r w:rsidR="00107294" w:rsidRPr="00107294">
          <w:rPr>
            <w:noProof/>
            <w:lang w:val="zh-CN"/>
          </w:rPr>
          <w:t>3</w:t>
        </w:r>
        <w:r>
          <w:fldChar w:fldCharType="end"/>
        </w:r>
      </w:p>
    </w:sdtContent>
  </w:sdt>
  <w:p w:rsidR="000D01BB" w:rsidRDefault="000D01BB">
    <w:pPr>
      <w:pStyle w:val="aa"/>
      <w:tabs>
        <w:tab w:val="clear" w:pos="4153"/>
        <w:tab w:val="clear" w:pos="8306"/>
        <w:tab w:val="left" w:pos="472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7704706"/>
      <w:docPartObj>
        <w:docPartGallery w:val="Page Numbers (Bottom of Page)"/>
        <w:docPartUnique/>
      </w:docPartObj>
    </w:sdtPr>
    <w:sdtEndPr/>
    <w:sdtContent>
      <w:p w:rsidR="000D01BB" w:rsidRDefault="000D01BB">
        <w:pPr>
          <w:pStyle w:val="aa"/>
          <w:jc w:val="center"/>
        </w:pPr>
        <w:r>
          <w:fldChar w:fldCharType="begin"/>
        </w:r>
        <w:r>
          <w:instrText>PAGE   \* MERGEFORMAT</w:instrText>
        </w:r>
        <w:r>
          <w:fldChar w:fldCharType="separate"/>
        </w:r>
        <w:r w:rsidR="00107294" w:rsidRPr="00107294">
          <w:rPr>
            <w:noProof/>
            <w:lang w:val="zh-CN"/>
          </w:rPr>
          <w:t>117</w:t>
        </w:r>
        <w:r>
          <w:fldChar w:fldCharType="end"/>
        </w:r>
      </w:p>
    </w:sdtContent>
  </w:sdt>
  <w:p w:rsidR="000D01BB" w:rsidRDefault="000D01B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4F18" w:rsidRDefault="00A84F18">
      <w:r>
        <w:separator/>
      </w:r>
    </w:p>
  </w:footnote>
  <w:footnote w:type="continuationSeparator" w:id="0">
    <w:p w:rsidR="00A84F18" w:rsidRDefault="00A84F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01BB" w:rsidRDefault="000D01BB">
    <w:pPr>
      <w:pStyle w:val="ab"/>
      <w:jc w:val="left"/>
    </w:pPr>
    <w:r>
      <w:rPr>
        <w:rFonts w:ascii="Arial" w:hAnsi="Arial" w:cs="Arial" w:hint="eastAsia"/>
        <w:szCs w:val="21"/>
      </w:rPr>
      <w:t>富荣福安灵活配置混合型证券投资基金更新</w:t>
    </w:r>
    <w:r>
      <w:rPr>
        <w:rFonts w:ascii="Arial" w:hAnsi="Arial" w:cs="Arial"/>
        <w:szCs w:val="21"/>
      </w:rPr>
      <w:t>的招募说明书</w:t>
    </w:r>
    <w:r>
      <w:rPr>
        <w:rFonts w:ascii="Arial" w:hAnsi="Arial" w:cs="Arial" w:hint="eastAsia"/>
        <w:szCs w:val="21"/>
      </w:rPr>
      <w:t>(</w:t>
    </w:r>
    <w:r>
      <w:rPr>
        <w:rFonts w:ascii="Arial" w:hAnsi="Arial" w:cs="Arial"/>
        <w:szCs w:val="21"/>
      </w:rPr>
      <w:t>2018</w:t>
    </w:r>
    <w:r>
      <w:rPr>
        <w:rFonts w:ascii="Arial" w:hAnsi="Arial" w:cs="Arial" w:hint="eastAsia"/>
        <w:szCs w:val="21"/>
      </w:rPr>
      <w:t>年</w:t>
    </w:r>
    <w:r>
      <w:rPr>
        <w:rFonts w:ascii="Arial" w:hAnsi="Arial" w:cs="Arial"/>
        <w:szCs w:val="21"/>
      </w:rPr>
      <w:t>第</w:t>
    </w:r>
    <w:r>
      <w:rPr>
        <w:rFonts w:ascii="Arial" w:hAnsi="Arial" w:cs="Arial" w:hint="eastAsia"/>
        <w:szCs w:val="21"/>
      </w:rPr>
      <w:t>1</w:t>
    </w:r>
    <w:r>
      <w:rPr>
        <w:rFonts w:ascii="Arial" w:hAnsi="Arial" w:cs="Arial" w:hint="eastAsia"/>
        <w:szCs w:val="21"/>
      </w:rPr>
      <w:t>号</w:t>
    </w:r>
    <w:r>
      <w:rPr>
        <w:rFonts w:ascii="Arial" w:hAnsi="Arial" w:cs="Arial" w:hint="eastAsia"/>
        <w:szCs w:val="21"/>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7D4E6174"/>
    <w:multiLevelType w:val="singleLevel"/>
    <w:tmpl w:val="7D4E6174"/>
    <w:lvl w:ilvl="0">
      <w:start w:val="10"/>
      <w:numFmt w:val="chineseCounting"/>
      <w:suff w:val="nothing"/>
      <w:lvlText w:val="%1、"/>
      <w:lvlJc w:val="left"/>
      <w:rPr>
        <w:rFonts w:hint="eastAsia"/>
      </w:rPr>
    </w:lvl>
  </w:abstractNum>
  <w:num w:numId="1">
    <w:abstractNumId w:val="0"/>
  </w:num>
  <w:num w:numId="2">
    <w:abstractNumId w:val="1"/>
  </w:num>
  <w:num w:numId="3">
    <w:abstractNumId w:val="4"/>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hideSpellingError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2D17"/>
    <w:rsid w:val="000150A1"/>
    <w:rsid w:val="00016B2F"/>
    <w:rsid w:val="00021C6F"/>
    <w:rsid w:val="0002479B"/>
    <w:rsid w:val="00026A47"/>
    <w:rsid w:val="00026C62"/>
    <w:rsid w:val="00032C15"/>
    <w:rsid w:val="000364A9"/>
    <w:rsid w:val="00040C5E"/>
    <w:rsid w:val="00043AE3"/>
    <w:rsid w:val="000455CE"/>
    <w:rsid w:val="000507C1"/>
    <w:rsid w:val="00050E32"/>
    <w:rsid w:val="0005270F"/>
    <w:rsid w:val="00054C15"/>
    <w:rsid w:val="00055889"/>
    <w:rsid w:val="0006090B"/>
    <w:rsid w:val="00061BC3"/>
    <w:rsid w:val="00061EFE"/>
    <w:rsid w:val="00062C1B"/>
    <w:rsid w:val="00066597"/>
    <w:rsid w:val="00072066"/>
    <w:rsid w:val="00076E9C"/>
    <w:rsid w:val="000817BB"/>
    <w:rsid w:val="00084A9D"/>
    <w:rsid w:val="00092FE3"/>
    <w:rsid w:val="00093B11"/>
    <w:rsid w:val="0009505B"/>
    <w:rsid w:val="0009610D"/>
    <w:rsid w:val="00096D0E"/>
    <w:rsid w:val="000A1798"/>
    <w:rsid w:val="000A2809"/>
    <w:rsid w:val="000B0075"/>
    <w:rsid w:val="000B2880"/>
    <w:rsid w:val="000B3703"/>
    <w:rsid w:val="000B4DA0"/>
    <w:rsid w:val="000B6836"/>
    <w:rsid w:val="000B720D"/>
    <w:rsid w:val="000B7428"/>
    <w:rsid w:val="000B7ACE"/>
    <w:rsid w:val="000C2A62"/>
    <w:rsid w:val="000C3020"/>
    <w:rsid w:val="000C36FD"/>
    <w:rsid w:val="000C4C8F"/>
    <w:rsid w:val="000D01BB"/>
    <w:rsid w:val="000D1881"/>
    <w:rsid w:val="000D3337"/>
    <w:rsid w:val="000E1E9B"/>
    <w:rsid w:val="000E3D34"/>
    <w:rsid w:val="000E4187"/>
    <w:rsid w:val="000E7D50"/>
    <w:rsid w:val="000F4000"/>
    <w:rsid w:val="000F5C40"/>
    <w:rsid w:val="000F63F5"/>
    <w:rsid w:val="000F7854"/>
    <w:rsid w:val="00102D5B"/>
    <w:rsid w:val="00107294"/>
    <w:rsid w:val="00112609"/>
    <w:rsid w:val="0012019B"/>
    <w:rsid w:val="00121E9C"/>
    <w:rsid w:val="00127ED5"/>
    <w:rsid w:val="00132839"/>
    <w:rsid w:val="001369D9"/>
    <w:rsid w:val="00145063"/>
    <w:rsid w:val="00147C35"/>
    <w:rsid w:val="0015249A"/>
    <w:rsid w:val="00157D5D"/>
    <w:rsid w:val="001609F9"/>
    <w:rsid w:val="001635EE"/>
    <w:rsid w:val="00166406"/>
    <w:rsid w:val="0016706A"/>
    <w:rsid w:val="001745C9"/>
    <w:rsid w:val="00180F22"/>
    <w:rsid w:val="00181F45"/>
    <w:rsid w:val="00184AAE"/>
    <w:rsid w:val="00184E9F"/>
    <w:rsid w:val="00185938"/>
    <w:rsid w:val="001A0D71"/>
    <w:rsid w:val="001A1315"/>
    <w:rsid w:val="001A1C76"/>
    <w:rsid w:val="001A3539"/>
    <w:rsid w:val="001B101B"/>
    <w:rsid w:val="001B1C13"/>
    <w:rsid w:val="001B598D"/>
    <w:rsid w:val="001B716E"/>
    <w:rsid w:val="001C1861"/>
    <w:rsid w:val="001C404F"/>
    <w:rsid w:val="001D5B10"/>
    <w:rsid w:val="001D7685"/>
    <w:rsid w:val="001E05E8"/>
    <w:rsid w:val="001E3B99"/>
    <w:rsid w:val="001F141D"/>
    <w:rsid w:val="001F2A1F"/>
    <w:rsid w:val="001F32BF"/>
    <w:rsid w:val="001F41A8"/>
    <w:rsid w:val="001F7512"/>
    <w:rsid w:val="00201AB5"/>
    <w:rsid w:val="002078F3"/>
    <w:rsid w:val="00207CD5"/>
    <w:rsid w:val="002171AD"/>
    <w:rsid w:val="00222D53"/>
    <w:rsid w:val="0022461A"/>
    <w:rsid w:val="00224657"/>
    <w:rsid w:val="00224EE1"/>
    <w:rsid w:val="0022597A"/>
    <w:rsid w:val="00227859"/>
    <w:rsid w:val="0023618C"/>
    <w:rsid w:val="00236D4F"/>
    <w:rsid w:val="002409F1"/>
    <w:rsid w:val="00241ACA"/>
    <w:rsid w:val="002430FE"/>
    <w:rsid w:val="0024505F"/>
    <w:rsid w:val="002507FE"/>
    <w:rsid w:val="0025184A"/>
    <w:rsid w:val="00252B12"/>
    <w:rsid w:val="0025398C"/>
    <w:rsid w:val="002601E9"/>
    <w:rsid w:val="00260AE0"/>
    <w:rsid w:val="00260BD8"/>
    <w:rsid w:val="00263BCA"/>
    <w:rsid w:val="00266A12"/>
    <w:rsid w:val="002701CE"/>
    <w:rsid w:val="00272F3A"/>
    <w:rsid w:val="00277A28"/>
    <w:rsid w:val="00283A8E"/>
    <w:rsid w:val="00283F15"/>
    <w:rsid w:val="00286196"/>
    <w:rsid w:val="002863C8"/>
    <w:rsid w:val="0028682C"/>
    <w:rsid w:val="00291943"/>
    <w:rsid w:val="002966EC"/>
    <w:rsid w:val="002A17C6"/>
    <w:rsid w:val="002A1DD0"/>
    <w:rsid w:val="002A6E10"/>
    <w:rsid w:val="002B01D8"/>
    <w:rsid w:val="002B64A8"/>
    <w:rsid w:val="002C438F"/>
    <w:rsid w:val="002D0BC2"/>
    <w:rsid w:val="002D1F60"/>
    <w:rsid w:val="002D32E2"/>
    <w:rsid w:val="002E2B52"/>
    <w:rsid w:val="002E2BD9"/>
    <w:rsid w:val="002E342B"/>
    <w:rsid w:val="002E3582"/>
    <w:rsid w:val="002E3DFC"/>
    <w:rsid w:val="002E7690"/>
    <w:rsid w:val="002F0AEB"/>
    <w:rsid w:val="002F366B"/>
    <w:rsid w:val="00305821"/>
    <w:rsid w:val="003155E3"/>
    <w:rsid w:val="00315D57"/>
    <w:rsid w:val="00326A72"/>
    <w:rsid w:val="00327DF4"/>
    <w:rsid w:val="0033271C"/>
    <w:rsid w:val="0033347C"/>
    <w:rsid w:val="00333E36"/>
    <w:rsid w:val="0033743D"/>
    <w:rsid w:val="00344461"/>
    <w:rsid w:val="00345A79"/>
    <w:rsid w:val="00345D67"/>
    <w:rsid w:val="003464D5"/>
    <w:rsid w:val="00352C16"/>
    <w:rsid w:val="00353591"/>
    <w:rsid w:val="00354A44"/>
    <w:rsid w:val="00365C58"/>
    <w:rsid w:val="0036697D"/>
    <w:rsid w:val="00367E2C"/>
    <w:rsid w:val="00370B4F"/>
    <w:rsid w:val="00371EC6"/>
    <w:rsid w:val="00371ED5"/>
    <w:rsid w:val="00377542"/>
    <w:rsid w:val="00382EDB"/>
    <w:rsid w:val="0038366C"/>
    <w:rsid w:val="00386A86"/>
    <w:rsid w:val="00390085"/>
    <w:rsid w:val="00390719"/>
    <w:rsid w:val="003928DF"/>
    <w:rsid w:val="00392C0F"/>
    <w:rsid w:val="003962D5"/>
    <w:rsid w:val="003A1C92"/>
    <w:rsid w:val="003A3022"/>
    <w:rsid w:val="003A563B"/>
    <w:rsid w:val="003A6148"/>
    <w:rsid w:val="003A6A30"/>
    <w:rsid w:val="003A733C"/>
    <w:rsid w:val="003B2407"/>
    <w:rsid w:val="003B318D"/>
    <w:rsid w:val="003B374D"/>
    <w:rsid w:val="003B5B89"/>
    <w:rsid w:val="003B6674"/>
    <w:rsid w:val="003C0A28"/>
    <w:rsid w:val="003C2CEA"/>
    <w:rsid w:val="003C3BD4"/>
    <w:rsid w:val="003C3D67"/>
    <w:rsid w:val="003C4E68"/>
    <w:rsid w:val="003D32C5"/>
    <w:rsid w:val="003D4F54"/>
    <w:rsid w:val="003F024E"/>
    <w:rsid w:val="003F0D6B"/>
    <w:rsid w:val="003F1645"/>
    <w:rsid w:val="003F2C03"/>
    <w:rsid w:val="003F7179"/>
    <w:rsid w:val="00402349"/>
    <w:rsid w:val="004052E3"/>
    <w:rsid w:val="00411185"/>
    <w:rsid w:val="00412850"/>
    <w:rsid w:val="00413B26"/>
    <w:rsid w:val="00416668"/>
    <w:rsid w:val="0041693E"/>
    <w:rsid w:val="00416A03"/>
    <w:rsid w:val="00417728"/>
    <w:rsid w:val="00420F53"/>
    <w:rsid w:val="004254CB"/>
    <w:rsid w:val="00427D57"/>
    <w:rsid w:val="0043021D"/>
    <w:rsid w:val="00430EC6"/>
    <w:rsid w:val="00432722"/>
    <w:rsid w:val="004334EC"/>
    <w:rsid w:val="004344F1"/>
    <w:rsid w:val="00434ACE"/>
    <w:rsid w:val="00435A9E"/>
    <w:rsid w:val="004419FB"/>
    <w:rsid w:val="004439CB"/>
    <w:rsid w:val="00457659"/>
    <w:rsid w:val="00463AC0"/>
    <w:rsid w:val="00463D15"/>
    <w:rsid w:val="00464C1C"/>
    <w:rsid w:val="004657EA"/>
    <w:rsid w:val="00467F0E"/>
    <w:rsid w:val="00470701"/>
    <w:rsid w:val="00480A35"/>
    <w:rsid w:val="00480BB8"/>
    <w:rsid w:val="004822FB"/>
    <w:rsid w:val="0048715E"/>
    <w:rsid w:val="00487357"/>
    <w:rsid w:val="00493D1D"/>
    <w:rsid w:val="00494FA6"/>
    <w:rsid w:val="004B11F8"/>
    <w:rsid w:val="004B44AF"/>
    <w:rsid w:val="004B54CE"/>
    <w:rsid w:val="004C27F1"/>
    <w:rsid w:val="004C3884"/>
    <w:rsid w:val="004C3F46"/>
    <w:rsid w:val="004C4A0F"/>
    <w:rsid w:val="004D2D86"/>
    <w:rsid w:val="004D3208"/>
    <w:rsid w:val="004D3F5F"/>
    <w:rsid w:val="004D73CA"/>
    <w:rsid w:val="004D7A1C"/>
    <w:rsid w:val="004E08FD"/>
    <w:rsid w:val="004E5A0C"/>
    <w:rsid w:val="004E5DD4"/>
    <w:rsid w:val="004F02E3"/>
    <w:rsid w:val="004F4375"/>
    <w:rsid w:val="004F4E5A"/>
    <w:rsid w:val="004F7007"/>
    <w:rsid w:val="004F733A"/>
    <w:rsid w:val="005019CE"/>
    <w:rsid w:val="00503979"/>
    <w:rsid w:val="005043F9"/>
    <w:rsid w:val="00506A9D"/>
    <w:rsid w:val="00510C92"/>
    <w:rsid w:val="00510D7D"/>
    <w:rsid w:val="00517167"/>
    <w:rsid w:val="00520016"/>
    <w:rsid w:val="00523C64"/>
    <w:rsid w:val="005266D4"/>
    <w:rsid w:val="00526E08"/>
    <w:rsid w:val="00527DC6"/>
    <w:rsid w:val="00540285"/>
    <w:rsid w:val="005435FB"/>
    <w:rsid w:val="005437C0"/>
    <w:rsid w:val="00547ECB"/>
    <w:rsid w:val="00550B96"/>
    <w:rsid w:val="00552750"/>
    <w:rsid w:val="00555BA2"/>
    <w:rsid w:val="00556041"/>
    <w:rsid w:val="0055734F"/>
    <w:rsid w:val="005622B6"/>
    <w:rsid w:val="005677AD"/>
    <w:rsid w:val="00571308"/>
    <w:rsid w:val="00571982"/>
    <w:rsid w:val="005730A9"/>
    <w:rsid w:val="0057652D"/>
    <w:rsid w:val="0057704C"/>
    <w:rsid w:val="005803F4"/>
    <w:rsid w:val="00583928"/>
    <w:rsid w:val="00585A88"/>
    <w:rsid w:val="0059102D"/>
    <w:rsid w:val="005916C4"/>
    <w:rsid w:val="0059486A"/>
    <w:rsid w:val="00597B85"/>
    <w:rsid w:val="005A3605"/>
    <w:rsid w:val="005A4328"/>
    <w:rsid w:val="005A51DC"/>
    <w:rsid w:val="005A7A85"/>
    <w:rsid w:val="005B155F"/>
    <w:rsid w:val="005B36C7"/>
    <w:rsid w:val="005B766D"/>
    <w:rsid w:val="005C2B80"/>
    <w:rsid w:val="005C5145"/>
    <w:rsid w:val="005D55FC"/>
    <w:rsid w:val="005F3AD5"/>
    <w:rsid w:val="005F62D9"/>
    <w:rsid w:val="006012F2"/>
    <w:rsid w:val="00601DA1"/>
    <w:rsid w:val="00602B88"/>
    <w:rsid w:val="006038C3"/>
    <w:rsid w:val="00611CEA"/>
    <w:rsid w:val="006132D5"/>
    <w:rsid w:val="0061376C"/>
    <w:rsid w:val="006140CC"/>
    <w:rsid w:val="0061438B"/>
    <w:rsid w:val="006212EC"/>
    <w:rsid w:val="006259CB"/>
    <w:rsid w:val="00627DBF"/>
    <w:rsid w:val="00632249"/>
    <w:rsid w:val="00635709"/>
    <w:rsid w:val="006367A1"/>
    <w:rsid w:val="00637A2B"/>
    <w:rsid w:val="006424F1"/>
    <w:rsid w:val="00645308"/>
    <w:rsid w:val="0064649E"/>
    <w:rsid w:val="00646DF1"/>
    <w:rsid w:val="00647036"/>
    <w:rsid w:val="00656F9A"/>
    <w:rsid w:val="006620BA"/>
    <w:rsid w:val="00662717"/>
    <w:rsid w:val="006662A1"/>
    <w:rsid w:val="00673746"/>
    <w:rsid w:val="00673BD7"/>
    <w:rsid w:val="00674817"/>
    <w:rsid w:val="006748D6"/>
    <w:rsid w:val="00675885"/>
    <w:rsid w:val="00676954"/>
    <w:rsid w:val="0068156F"/>
    <w:rsid w:val="006827D6"/>
    <w:rsid w:val="006845DD"/>
    <w:rsid w:val="00686945"/>
    <w:rsid w:val="00696381"/>
    <w:rsid w:val="006A172A"/>
    <w:rsid w:val="006A3AEA"/>
    <w:rsid w:val="006A609D"/>
    <w:rsid w:val="006A62A6"/>
    <w:rsid w:val="006B0789"/>
    <w:rsid w:val="006B324A"/>
    <w:rsid w:val="006B5E4E"/>
    <w:rsid w:val="006B788D"/>
    <w:rsid w:val="006C2816"/>
    <w:rsid w:val="006C41CE"/>
    <w:rsid w:val="006C632A"/>
    <w:rsid w:val="006D0194"/>
    <w:rsid w:val="006D11CD"/>
    <w:rsid w:val="006D4512"/>
    <w:rsid w:val="006D6E03"/>
    <w:rsid w:val="006E2B9C"/>
    <w:rsid w:val="006E55E8"/>
    <w:rsid w:val="006E6A9E"/>
    <w:rsid w:val="006E7972"/>
    <w:rsid w:val="006F36D3"/>
    <w:rsid w:val="006F4638"/>
    <w:rsid w:val="00702DD7"/>
    <w:rsid w:val="00703F25"/>
    <w:rsid w:val="00704D7F"/>
    <w:rsid w:val="0070658B"/>
    <w:rsid w:val="007066B5"/>
    <w:rsid w:val="00710D35"/>
    <w:rsid w:val="00713346"/>
    <w:rsid w:val="00716D3B"/>
    <w:rsid w:val="00722704"/>
    <w:rsid w:val="00732DA2"/>
    <w:rsid w:val="00736608"/>
    <w:rsid w:val="00740060"/>
    <w:rsid w:val="00740CBA"/>
    <w:rsid w:val="00742372"/>
    <w:rsid w:val="00743C6B"/>
    <w:rsid w:val="0074454F"/>
    <w:rsid w:val="0074463C"/>
    <w:rsid w:val="0074675A"/>
    <w:rsid w:val="00750314"/>
    <w:rsid w:val="00750772"/>
    <w:rsid w:val="007605E9"/>
    <w:rsid w:val="00761EB0"/>
    <w:rsid w:val="00763B27"/>
    <w:rsid w:val="00766C25"/>
    <w:rsid w:val="00766DBF"/>
    <w:rsid w:val="00767759"/>
    <w:rsid w:val="00767E9E"/>
    <w:rsid w:val="00771C0C"/>
    <w:rsid w:val="00771D0E"/>
    <w:rsid w:val="0077279F"/>
    <w:rsid w:val="00773E87"/>
    <w:rsid w:val="007743FF"/>
    <w:rsid w:val="00780A15"/>
    <w:rsid w:val="00781FCC"/>
    <w:rsid w:val="00783659"/>
    <w:rsid w:val="00784099"/>
    <w:rsid w:val="00785310"/>
    <w:rsid w:val="00790FC7"/>
    <w:rsid w:val="007929DD"/>
    <w:rsid w:val="00795893"/>
    <w:rsid w:val="00795A6A"/>
    <w:rsid w:val="007A559F"/>
    <w:rsid w:val="007A57BE"/>
    <w:rsid w:val="007A659F"/>
    <w:rsid w:val="007A708A"/>
    <w:rsid w:val="007B0530"/>
    <w:rsid w:val="007B11A4"/>
    <w:rsid w:val="007B1A77"/>
    <w:rsid w:val="007C184D"/>
    <w:rsid w:val="007C384C"/>
    <w:rsid w:val="007C5BF3"/>
    <w:rsid w:val="007C7D83"/>
    <w:rsid w:val="007D3B33"/>
    <w:rsid w:val="007E0DDF"/>
    <w:rsid w:val="007E6165"/>
    <w:rsid w:val="007E7483"/>
    <w:rsid w:val="007F0F86"/>
    <w:rsid w:val="007F3452"/>
    <w:rsid w:val="007F610C"/>
    <w:rsid w:val="007F72A0"/>
    <w:rsid w:val="0080785D"/>
    <w:rsid w:val="008101DA"/>
    <w:rsid w:val="0081243C"/>
    <w:rsid w:val="0081381F"/>
    <w:rsid w:val="00815169"/>
    <w:rsid w:val="008170B0"/>
    <w:rsid w:val="008177A3"/>
    <w:rsid w:val="00817FFC"/>
    <w:rsid w:val="0082089D"/>
    <w:rsid w:val="00821726"/>
    <w:rsid w:val="00824FDE"/>
    <w:rsid w:val="008253FA"/>
    <w:rsid w:val="00826E64"/>
    <w:rsid w:val="00827565"/>
    <w:rsid w:val="008276B4"/>
    <w:rsid w:val="00827F46"/>
    <w:rsid w:val="00831A98"/>
    <w:rsid w:val="00834CD0"/>
    <w:rsid w:val="00841990"/>
    <w:rsid w:val="00843B14"/>
    <w:rsid w:val="00847C44"/>
    <w:rsid w:val="00853093"/>
    <w:rsid w:val="00853421"/>
    <w:rsid w:val="00861703"/>
    <w:rsid w:val="00864D27"/>
    <w:rsid w:val="0086578E"/>
    <w:rsid w:val="00865A22"/>
    <w:rsid w:val="00865E09"/>
    <w:rsid w:val="008667D3"/>
    <w:rsid w:val="008743E7"/>
    <w:rsid w:val="00882214"/>
    <w:rsid w:val="00884B6A"/>
    <w:rsid w:val="008864D5"/>
    <w:rsid w:val="00886530"/>
    <w:rsid w:val="0088667C"/>
    <w:rsid w:val="00886EAA"/>
    <w:rsid w:val="00890371"/>
    <w:rsid w:val="008929A7"/>
    <w:rsid w:val="0089384B"/>
    <w:rsid w:val="008A35AA"/>
    <w:rsid w:val="008B2FEF"/>
    <w:rsid w:val="008C72FF"/>
    <w:rsid w:val="008D2EA1"/>
    <w:rsid w:val="008D4429"/>
    <w:rsid w:val="008D682A"/>
    <w:rsid w:val="008D696E"/>
    <w:rsid w:val="008D769B"/>
    <w:rsid w:val="008E35AA"/>
    <w:rsid w:val="008E5059"/>
    <w:rsid w:val="008E51AE"/>
    <w:rsid w:val="008F3AAD"/>
    <w:rsid w:val="008F6E8B"/>
    <w:rsid w:val="00902224"/>
    <w:rsid w:val="00904611"/>
    <w:rsid w:val="009046B4"/>
    <w:rsid w:val="00904EB3"/>
    <w:rsid w:val="0090511D"/>
    <w:rsid w:val="00905381"/>
    <w:rsid w:val="00906588"/>
    <w:rsid w:val="00907E83"/>
    <w:rsid w:val="00913D49"/>
    <w:rsid w:val="00916A1B"/>
    <w:rsid w:val="00917135"/>
    <w:rsid w:val="009202B7"/>
    <w:rsid w:val="009237D9"/>
    <w:rsid w:val="009272C7"/>
    <w:rsid w:val="009277AE"/>
    <w:rsid w:val="00942533"/>
    <w:rsid w:val="00942CE0"/>
    <w:rsid w:val="00943D86"/>
    <w:rsid w:val="00943E94"/>
    <w:rsid w:val="00945B94"/>
    <w:rsid w:val="0095094F"/>
    <w:rsid w:val="00953446"/>
    <w:rsid w:val="00954EAA"/>
    <w:rsid w:val="00961F52"/>
    <w:rsid w:val="00965E53"/>
    <w:rsid w:val="00971061"/>
    <w:rsid w:val="00980EE0"/>
    <w:rsid w:val="00982798"/>
    <w:rsid w:val="00982F8A"/>
    <w:rsid w:val="00986D60"/>
    <w:rsid w:val="00986F18"/>
    <w:rsid w:val="0098753F"/>
    <w:rsid w:val="00990719"/>
    <w:rsid w:val="00992BC7"/>
    <w:rsid w:val="009974C2"/>
    <w:rsid w:val="00997664"/>
    <w:rsid w:val="00997906"/>
    <w:rsid w:val="009A114B"/>
    <w:rsid w:val="009A1160"/>
    <w:rsid w:val="009A5C6A"/>
    <w:rsid w:val="009A7DBC"/>
    <w:rsid w:val="009B2161"/>
    <w:rsid w:val="009B33F0"/>
    <w:rsid w:val="009B5534"/>
    <w:rsid w:val="009C148D"/>
    <w:rsid w:val="009C72D8"/>
    <w:rsid w:val="009D11EF"/>
    <w:rsid w:val="009D2B1D"/>
    <w:rsid w:val="009E0008"/>
    <w:rsid w:val="009E71B1"/>
    <w:rsid w:val="009F05AC"/>
    <w:rsid w:val="009F16F8"/>
    <w:rsid w:val="009F3ECA"/>
    <w:rsid w:val="009F527B"/>
    <w:rsid w:val="00A0497F"/>
    <w:rsid w:val="00A10026"/>
    <w:rsid w:val="00A10B82"/>
    <w:rsid w:val="00A13228"/>
    <w:rsid w:val="00A233EB"/>
    <w:rsid w:val="00A25F53"/>
    <w:rsid w:val="00A268F2"/>
    <w:rsid w:val="00A278D2"/>
    <w:rsid w:val="00A27A58"/>
    <w:rsid w:val="00A30F46"/>
    <w:rsid w:val="00A36D05"/>
    <w:rsid w:val="00A40719"/>
    <w:rsid w:val="00A441D8"/>
    <w:rsid w:val="00A5666E"/>
    <w:rsid w:val="00A617C7"/>
    <w:rsid w:val="00A64091"/>
    <w:rsid w:val="00A66633"/>
    <w:rsid w:val="00A70800"/>
    <w:rsid w:val="00A70CD3"/>
    <w:rsid w:val="00A737CD"/>
    <w:rsid w:val="00A82809"/>
    <w:rsid w:val="00A83A39"/>
    <w:rsid w:val="00A846A3"/>
    <w:rsid w:val="00A84F18"/>
    <w:rsid w:val="00A85BF2"/>
    <w:rsid w:val="00A86555"/>
    <w:rsid w:val="00A90C15"/>
    <w:rsid w:val="00A94EE3"/>
    <w:rsid w:val="00A9733E"/>
    <w:rsid w:val="00AA00C1"/>
    <w:rsid w:val="00AA06B3"/>
    <w:rsid w:val="00AA23F2"/>
    <w:rsid w:val="00AB7A62"/>
    <w:rsid w:val="00AC48B9"/>
    <w:rsid w:val="00AC4C9A"/>
    <w:rsid w:val="00AC6ACB"/>
    <w:rsid w:val="00AC781B"/>
    <w:rsid w:val="00AC7FFA"/>
    <w:rsid w:val="00AD2515"/>
    <w:rsid w:val="00AD352B"/>
    <w:rsid w:val="00AD4A06"/>
    <w:rsid w:val="00AE017D"/>
    <w:rsid w:val="00AE3BBE"/>
    <w:rsid w:val="00AE58E1"/>
    <w:rsid w:val="00AF160F"/>
    <w:rsid w:val="00AF260A"/>
    <w:rsid w:val="00AF2EDB"/>
    <w:rsid w:val="00AF666B"/>
    <w:rsid w:val="00AF7806"/>
    <w:rsid w:val="00B003EC"/>
    <w:rsid w:val="00B00CB2"/>
    <w:rsid w:val="00B01097"/>
    <w:rsid w:val="00B013D2"/>
    <w:rsid w:val="00B02B47"/>
    <w:rsid w:val="00B05F2B"/>
    <w:rsid w:val="00B06B61"/>
    <w:rsid w:val="00B11BD0"/>
    <w:rsid w:val="00B208BE"/>
    <w:rsid w:val="00B230AC"/>
    <w:rsid w:val="00B24714"/>
    <w:rsid w:val="00B257F8"/>
    <w:rsid w:val="00B26126"/>
    <w:rsid w:val="00B3218B"/>
    <w:rsid w:val="00B378E1"/>
    <w:rsid w:val="00B42251"/>
    <w:rsid w:val="00B46858"/>
    <w:rsid w:val="00B53466"/>
    <w:rsid w:val="00B55A84"/>
    <w:rsid w:val="00B57A86"/>
    <w:rsid w:val="00B60CAE"/>
    <w:rsid w:val="00B63254"/>
    <w:rsid w:val="00B6572D"/>
    <w:rsid w:val="00B713F9"/>
    <w:rsid w:val="00B725B9"/>
    <w:rsid w:val="00B7394E"/>
    <w:rsid w:val="00B76A24"/>
    <w:rsid w:val="00B8145F"/>
    <w:rsid w:val="00B841A9"/>
    <w:rsid w:val="00B85C18"/>
    <w:rsid w:val="00B87645"/>
    <w:rsid w:val="00B933F0"/>
    <w:rsid w:val="00B9415D"/>
    <w:rsid w:val="00BA7816"/>
    <w:rsid w:val="00BB0562"/>
    <w:rsid w:val="00BB65E3"/>
    <w:rsid w:val="00BC109C"/>
    <w:rsid w:val="00BD5E22"/>
    <w:rsid w:val="00BD6B34"/>
    <w:rsid w:val="00BE059D"/>
    <w:rsid w:val="00BE31E8"/>
    <w:rsid w:val="00BE52BC"/>
    <w:rsid w:val="00BE5361"/>
    <w:rsid w:val="00BF13F4"/>
    <w:rsid w:val="00BF303E"/>
    <w:rsid w:val="00BF5CAD"/>
    <w:rsid w:val="00BF7B8F"/>
    <w:rsid w:val="00C01DB3"/>
    <w:rsid w:val="00C02B65"/>
    <w:rsid w:val="00C13C8B"/>
    <w:rsid w:val="00C13DF5"/>
    <w:rsid w:val="00C169CD"/>
    <w:rsid w:val="00C16A08"/>
    <w:rsid w:val="00C234FC"/>
    <w:rsid w:val="00C3180D"/>
    <w:rsid w:val="00C325B9"/>
    <w:rsid w:val="00C33390"/>
    <w:rsid w:val="00C33B54"/>
    <w:rsid w:val="00C43018"/>
    <w:rsid w:val="00C4420B"/>
    <w:rsid w:val="00C45E81"/>
    <w:rsid w:val="00C51DFA"/>
    <w:rsid w:val="00C53EA2"/>
    <w:rsid w:val="00C55ACD"/>
    <w:rsid w:val="00C569CB"/>
    <w:rsid w:val="00C61360"/>
    <w:rsid w:val="00C61A87"/>
    <w:rsid w:val="00C62978"/>
    <w:rsid w:val="00C63530"/>
    <w:rsid w:val="00C71655"/>
    <w:rsid w:val="00C716C4"/>
    <w:rsid w:val="00C71CCE"/>
    <w:rsid w:val="00C7780F"/>
    <w:rsid w:val="00C81985"/>
    <w:rsid w:val="00C8745B"/>
    <w:rsid w:val="00C87F34"/>
    <w:rsid w:val="00C936EB"/>
    <w:rsid w:val="00C96C32"/>
    <w:rsid w:val="00CA3D1C"/>
    <w:rsid w:val="00CA4A21"/>
    <w:rsid w:val="00CA5094"/>
    <w:rsid w:val="00CA6AE2"/>
    <w:rsid w:val="00CB3753"/>
    <w:rsid w:val="00CB483E"/>
    <w:rsid w:val="00CB7CC8"/>
    <w:rsid w:val="00CB7FDF"/>
    <w:rsid w:val="00CC016C"/>
    <w:rsid w:val="00CC1524"/>
    <w:rsid w:val="00CC2836"/>
    <w:rsid w:val="00CC38BC"/>
    <w:rsid w:val="00CC3FD6"/>
    <w:rsid w:val="00CC4646"/>
    <w:rsid w:val="00CC4BBF"/>
    <w:rsid w:val="00CC65D6"/>
    <w:rsid w:val="00CC6F62"/>
    <w:rsid w:val="00CD5927"/>
    <w:rsid w:val="00CD5E41"/>
    <w:rsid w:val="00CD6407"/>
    <w:rsid w:val="00CD7167"/>
    <w:rsid w:val="00CF2220"/>
    <w:rsid w:val="00CF48EF"/>
    <w:rsid w:val="00D076A0"/>
    <w:rsid w:val="00D12075"/>
    <w:rsid w:val="00D153A1"/>
    <w:rsid w:val="00D15D01"/>
    <w:rsid w:val="00D201F4"/>
    <w:rsid w:val="00D20D5E"/>
    <w:rsid w:val="00D21C3E"/>
    <w:rsid w:val="00D322CC"/>
    <w:rsid w:val="00D32369"/>
    <w:rsid w:val="00D32E0A"/>
    <w:rsid w:val="00D3314C"/>
    <w:rsid w:val="00D3588A"/>
    <w:rsid w:val="00D3717D"/>
    <w:rsid w:val="00D374B9"/>
    <w:rsid w:val="00D40F56"/>
    <w:rsid w:val="00D42938"/>
    <w:rsid w:val="00D4405B"/>
    <w:rsid w:val="00D51F1D"/>
    <w:rsid w:val="00D54704"/>
    <w:rsid w:val="00D56867"/>
    <w:rsid w:val="00D579D9"/>
    <w:rsid w:val="00D60C57"/>
    <w:rsid w:val="00D62D7A"/>
    <w:rsid w:val="00D646EF"/>
    <w:rsid w:val="00D65943"/>
    <w:rsid w:val="00D678EB"/>
    <w:rsid w:val="00D67B99"/>
    <w:rsid w:val="00D72F9D"/>
    <w:rsid w:val="00D73195"/>
    <w:rsid w:val="00D73D18"/>
    <w:rsid w:val="00D776FA"/>
    <w:rsid w:val="00D85E3F"/>
    <w:rsid w:val="00D90250"/>
    <w:rsid w:val="00D9048A"/>
    <w:rsid w:val="00D9445F"/>
    <w:rsid w:val="00D963EA"/>
    <w:rsid w:val="00D978F0"/>
    <w:rsid w:val="00DA1E7C"/>
    <w:rsid w:val="00DA3702"/>
    <w:rsid w:val="00DA3803"/>
    <w:rsid w:val="00DA53A0"/>
    <w:rsid w:val="00DA5AD9"/>
    <w:rsid w:val="00DA5FBF"/>
    <w:rsid w:val="00DA6765"/>
    <w:rsid w:val="00DA79A0"/>
    <w:rsid w:val="00DB36A1"/>
    <w:rsid w:val="00DB6A8E"/>
    <w:rsid w:val="00DC10C9"/>
    <w:rsid w:val="00DC18B9"/>
    <w:rsid w:val="00DC3F94"/>
    <w:rsid w:val="00DC60F4"/>
    <w:rsid w:val="00DD0A4B"/>
    <w:rsid w:val="00DD27F1"/>
    <w:rsid w:val="00DD4528"/>
    <w:rsid w:val="00DD53A7"/>
    <w:rsid w:val="00DD56A4"/>
    <w:rsid w:val="00DD6105"/>
    <w:rsid w:val="00DE3476"/>
    <w:rsid w:val="00DE58A1"/>
    <w:rsid w:val="00DE633F"/>
    <w:rsid w:val="00DF304F"/>
    <w:rsid w:val="00DF38F8"/>
    <w:rsid w:val="00DF43FA"/>
    <w:rsid w:val="00DF45B1"/>
    <w:rsid w:val="00E00260"/>
    <w:rsid w:val="00E02857"/>
    <w:rsid w:val="00E13D71"/>
    <w:rsid w:val="00E14466"/>
    <w:rsid w:val="00E174CD"/>
    <w:rsid w:val="00E2026E"/>
    <w:rsid w:val="00E22CC5"/>
    <w:rsid w:val="00E240DA"/>
    <w:rsid w:val="00E2460D"/>
    <w:rsid w:val="00E24BAE"/>
    <w:rsid w:val="00E254B5"/>
    <w:rsid w:val="00E30609"/>
    <w:rsid w:val="00E334C6"/>
    <w:rsid w:val="00E33B1F"/>
    <w:rsid w:val="00E355E6"/>
    <w:rsid w:val="00E41248"/>
    <w:rsid w:val="00E5173A"/>
    <w:rsid w:val="00E5381E"/>
    <w:rsid w:val="00E63ED8"/>
    <w:rsid w:val="00E669D9"/>
    <w:rsid w:val="00E70940"/>
    <w:rsid w:val="00E717B9"/>
    <w:rsid w:val="00E74B49"/>
    <w:rsid w:val="00E76519"/>
    <w:rsid w:val="00E80F55"/>
    <w:rsid w:val="00E85501"/>
    <w:rsid w:val="00E9191C"/>
    <w:rsid w:val="00E94FCE"/>
    <w:rsid w:val="00E97C67"/>
    <w:rsid w:val="00EB5A01"/>
    <w:rsid w:val="00EB7500"/>
    <w:rsid w:val="00EC174A"/>
    <w:rsid w:val="00EC2431"/>
    <w:rsid w:val="00EC5257"/>
    <w:rsid w:val="00EC764A"/>
    <w:rsid w:val="00ED00EB"/>
    <w:rsid w:val="00ED161A"/>
    <w:rsid w:val="00ED759A"/>
    <w:rsid w:val="00EE2CAD"/>
    <w:rsid w:val="00EE2DDB"/>
    <w:rsid w:val="00EE361C"/>
    <w:rsid w:val="00EE75CC"/>
    <w:rsid w:val="00EE769B"/>
    <w:rsid w:val="00EF005C"/>
    <w:rsid w:val="00EF0BA8"/>
    <w:rsid w:val="00EF3B67"/>
    <w:rsid w:val="00EF666F"/>
    <w:rsid w:val="00F02367"/>
    <w:rsid w:val="00F0312E"/>
    <w:rsid w:val="00F0501F"/>
    <w:rsid w:val="00F13903"/>
    <w:rsid w:val="00F152EA"/>
    <w:rsid w:val="00F16965"/>
    <w:rsid w:val="00F16B98"/>
    <w:rsid w:val="00F21671"/>
    <w:rsid w:val="00F2579E"/>
    <w:rsid w:val="00F25A7B"/>
    <w:rsid w:val="00F30A28"/>
    <w:rsid w:val="00F320EB"/>
    <w:rsid w:val="00F32B8F"/>
    <w:rsid w:val="00F37574"/>
    <w:rsid w:val="00F46486"/>
    <w:rsid w:val="00F47904"/>
    <w:rsid w:val="00F52598"/>
    <w:rsid w:val="00F53671"/>
    <w:rsid w:val="00F559B1"/>
    <w:rsid w:val="00F562CC"/>
    <w:rsid w:val="00F563FF"/>
    <w:rsid w:val="00F5696E"/>
    <w:rsid w:val="00F57BAE"/>
    <w:rsid w:val="00F61F55"/>
    <w:rsid w:val="00F6497B"/>
    <w:rsid w:val="00F66CF9"/>
    <w:rsid w:val="00F70D39"/>
    <w:rsid w:val="00F720D7"/>
    <w:rsid w:val="00F80437"/>
    <w:rsid w:val="00F8118C"/>
    <w:rsid w:val="00F8348C"/>
    <w:rsid w:val="00F916FD"/>
    <w:rsid w:val="00F919AC"/>
    <w:rsid w:val="00F92CCB"/>
    <w:rsid w:val="00F93929"/>
    <w:rsid w:val="00F974D6"/>
    <w:rsid w:val="00FA6603"/>
    <w:rsid w:val="00FB360B"/>
    <w:rsid w:val="00FB389B"/>
    <w:rsid w:val="00FB5917"/>
    <w:rsid w:val="00FC761C"/>
    <w:rsid w:val="00FD13AE"/>
    <w:rsid w:val="00FD3125"/>
    <w:rsid w:val="00FD3B08"/>
    <w:rsid w:val="00FD40A6"/>
    <w:rsid w:val="00FE09BA"/>
    <w:rsid w:val="00FE14AA"/>
    <w:rsid w:val="00FE6303"/>
    <w:rsid w:val="00FE71D4"/>
    <w:rsid w:val="00FF1352"/>
    <w:rsid w:val="00FF171F"/>
    <w:rsid w:val="00FF1AC9"/>
    <w:rsid w:val="00FF5B67"/>
    <w:rsid w:val="227736D1"/>
    <w:rsid w:val="2AEF6253"/>
    <w:rsid w:val="473E343D"/>
    <w:rsid w:val="6F0243B0"/>
    <w:rsid w:val="76BA09FC"/>
    <w:rsid w:val="7C7D2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semiHidden="0"/>
    <w:lsdException w:name="footer" w:semiHidden="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semiHidden="0"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rPr>
      <w:b/>
    </w:rPr>
  </w:style>
  <w:style w:type="paragraph" w:styleId="a4">
    <w:name w:val="annotation text"/>
    <w:basedOn w:val="a"/>
    <w:link w:val="Char1"/>
    <w:semiHidden/>
    <w:unhideWhenUsed/>
    <w:pPr>
      <w:jc w:val="left"/>
    </w:pPr>
    <w:rPr>
      <w:rFonts w:ascii="Times New Roman" w:eastAsia="宋体" w:hAnsi="Times New Roman" w:cs="Times New Roman"/>
      <w:szCs w:val="20"/>
    </w:rPr>
  </w:style>
  <w:style w:type="paragraph" w:styleId="a5">
    <w:name w:val="Normal Indent"/>
    <w:basedOn w:val="a"/>
    <w:semiHidden/>
    <w:unhideWhenUsed/>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pPr>
      <w:shd w:val="clear" w:color="auto" w:fill="000080"/>
    </w:pPr>
    <w:rPr>
      <w:rFonts w:ascii="Times New Roman" w:eastAsia="宋体" w:hAnsi="Times New Roman" w:cs="Times New Roman"/>
      <w:szCs w:val="20"/>
    </w:rPr>
  </w:style>
  <w:style w:type="paragraph" w:styleId="a7">
    <w:name w:val="Body Text"/>
    <w:basedOn w:val="a"/>
    <w:link w:val="Char2"/>
    <w:semiHidden/>
    <w:unhideWhenUsed/>
    <w:pPr>
      <w:autoSpaceDE w:val="0"/>
      <w:autoSpaceDN w:val="0"/>
      <w:adjustRightInd w:val="0"/>
      <w:spacing w:line="360" w:lineRule="auto"/>
      <w:jc w:val="left"/>
    </w:pPr>
    <w:rPr>
      <w:rFonts w:ascii="宋体" w:eastAsia="宋体" w:hAnsi="Calibri" w:cs="Times New Roman"/>
      <w:kern w:val="0"/>
    </w:rPr>
  </w:style>
  <w:style w:type="paragraph" w:styleId="30">
    <w:name w:val="toc 3"/>
    <w:basedOn w:val="a"/>
    <w:next w:val="a"/>
    <w:semiHidden/>
    <w:unhideWhenUsed/>
    <w:pPr>
      <w:ind w:leftChars="400" w:left="840"/>
    </w:pPr>
    <w:rPr>
      <w:rFonts w:ascii="Times New Roman" w:eastAsia="宋体" w:hAnsi="Times New Roman" w:cs="Times New Roman"/>
      <w:szCs w:val="20"/>
    </w:rPr>
  </w:style>
  <w:style w:type="paragraph" w:styleId="a8">
    <w:name w:val="Plain Text"/>
    <w:basedOn w:val="a"/>
    <w:link w:val="Char3"/>
    <w:semiHidden/>
    <w:unhideWhenUsed/>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pPr>
      <w:spacing w:line="360" w:lineRule="auto"/>
      <w:ind w:firstLine="425"/>
    </w:pPr>
    <w:rPr>
      <w:rFonts w:ascii="仿宋_GB2312" w:eastAsia="仿宋_GB2312" w:hAnsi="Times New Roman" w:cs="Times New Roman"/>
      <w:sz w:val="28"/>
      <w:szCs w:val="20"/>
    </w:rPr>
  </w:style>
  <w:style w:type="paragraph" w:styleId="a9">
    <w:name w:val="Balloon Text"/>
    <w:basedOn w:val="a"/>
    <w:link w:val="Char4"/>
    <w:semiHidden/>
    <w:unhideWhenUsed/>
    <w:rPr>
      <w:rFonts w:ascii="Times New Roman" w:eastAsia="宋体" w:hAnsi="Times New Roman" w:cs="Times New Roman"/>
      <w:sz w:val="18"/>
      <w:szCs w:val="20"/>
    </w:rPr>
  </w:style>
  <w:style w:type="paragraph" w:styleId="aa">
    <w:name w:val="footer"/>
    <w:basedOn w:val="a"/>
    <w:link w:val="Char5"/>
    <w:uiPriority w:val="99"/>
    <w:unhideWhenUsed/>
    <w:pPr>
      <w:tabs>
        <w:tab w:val="center" w:pos="4153"/>
        <w:tab w:val="right" w:pos="8306"/>
      </w:tabs>
      <w:snapToGrid w:val="0"/>
      <w:jc w:val="left"/>
    </w:pPr>
    <w:rPr>
      <w:rFonts w:ascii="Times New Roman" w:eastAsia="宋体" w:hAnsi="Times New Roman" w:cs="Times New Roman"/>
      <w:sz w:val="18"/>
      <w:szCs w:val="18"/>
    </w:rPr>
  </w:style>
  <w:style w:type="paragraph" w:styleId="ab">
    <w:name w:val="header"/>
    <w:basedOn w:val="a"/>
    <w:link w:val="Char6"/>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c">
    <w:name w:val="footnote text"/>
    <w:basedOn w:val="a"/>
    <w:link w:val="Char7"/>
    <w:semiHidden/>
    <w:unhideWhenUsed/>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d">
    <w:name w:val="Title"/>
    <w:basedOn w:val="a"/>
    <w:next w:val="a"/>
    <w:link w:val="Char8"/>
    <w:qFormat/>
    <w:pPr>
      <w:spacing w:before="240" w:after="60"/>
      <w:jc w:val="center"/>
      <w:outlineLvl w:val="0"/>
    </w:pPr>
    <w:rPr>
      <w:rFonts w:ascii="Cambria" w:eastAsia="宋体" w:hAnsi="Cambria" w:cs="Times New Roman"/>
      <w:b/>
      <w:sz w:val="32"/>
    </w:rPr>
  </w:style>
  <w:style w:type="character" w:styleId="ae">
    <w:name w:val="FollowedHyperlink"/>
    <w:basedOn w:val="a0"/>
    <w:uiPriority w:val="99"/>
    <w:semiHidden/>
    <w:unhideWhenUsed/>
    <w:rPr>
      <w:color w:val="800080" w:themeColor="followedHyperlink"/>
      <w:u w:val="single"/>
    </w:rPr>
  </w:style>
  <w:style w:type="character" w:styleId="af">
    <w:name w:val="Hyperlink"/>
    <w:aliases w:val="超级链接"/>
    <w:uiPriority w:val="99"/>
    <w:unhideWhenUsed/>
    <w:qFormat/>
    <w:rPr>
      <w:color w:val="0000FF"/>
      <w:u w:val="single"/>
    </w:rPr>
  </w:style>
  <w:style w:type="character" w:styleId="af0">
    <w:name w:val="annotation reference"/>
    <w:semiHidden/>
    <w:unhideWhenUsed/>
    <w:rPr>
      <w:sz w:val="21"/>
    </w:rPr>
  </w:style>
  <w:style w:type="character" w:styleId="af1">
    <w:name w:val="footnote reference"/>
    <w:semiHidden/>
    <w:unhideWhenUsed/>
    <w:rPr>
      <w:vertAlign w:val="superscript"/>
    </w:rPr>
  </w:style>
  <w:style w:type="table" w:styleId="af2">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Pr>
      <w:rFonts w:ascii="Arial" w:eastAsia="黑体" w:hAnsi="Arial" w:cs="Times New Roman"/>
      <w:b/>
      <w:sz w:val="32"/>
      <w:szCs w:val="20"/>
      <w:lang w:val="zh-CN" w:eastAsia="zh-CN"/>
    </w:rPr>
  </w:style>
  <w:style w:type="character" w:customStyle="1" w:styleId="3Char">
    <w:name w:val="标题 3 Char"/>
    <w:basedOn w:val="a0"/>
    <w:link w:val="3"/>
    <w:semiHidden/>
    <w:qFormat/>
    <w:rPr>
      <w:rFonts w:ascii="Times New Roman" w:eastAsia="宋体" w:hAnsi="Times New Roman" w:cs="Times New Roman"/>
      <w:b/>
      <w:kern w:val="0"/>
      <w:sz w:val="32"/>
      <w:szCs w:val="20"/>
      <w:lang w:val="zh-CN" w:eastAsia="zh-CN"/>
    </w:rPr>
  </w:style>
  <w:style w:type="character" w:customStyle="1" w:styleId="Char7">
    <w:name w:val="脚注文本 Char"/>
    <w:basedOn w:val="a0"/>
    <w:link w:val="ac"/>
    <w:semiHidden/>
    <w:rPr>
      <w:rFonts w:ascii="Times New Roman" w:eastAsia="宋体" w:hAnsi="Times New Roman" w:cs="Times New Roman"/>
      <w:sz w:val="18"/>
      <w:szCs w:val="20"/>
    </w:rPr>
  </w:style>
  <w:style w:type="character" w:customStyle="1" w:styleId="Char9">
    <w:name w:val="批注文字 Char"/>
    <w:basedOn w:val="a0"/>
    <w:semiHidden/>
  </w:style>
  <w:style w:type="character" w:customStyle="1" w:styleId="Char6">
    <w:name w:val="页眉 Char"/>
    <w:basedOn w:val="a0"/>
    <w:link w:val="ab"/>
    <w:uiPriority w:val="99"/>
    <w:rPr>
      <w:rFonts w:ascii="Times New Roman" w:eastAsia="宋体" w:hAnsi="Times New Roman" w:cs="Times New Roman"/>
      <w:sz w:val="18"/>
      <w:szCs w:val="18"/>
    </w:rPr>
  </w:style>
  <w:style w:type="character" w:customStyle="1" w:styleId="Char5">
    <w:name w:val="页脚 Char"/>
    <w:basedOn w:val="a0"/>
    <w:link w:val="aa"/>
    <w:uiPriority w:val="99"/>
    <w:rPr>
      <w:rFonts w:ascii="Times New Roman" w:eastAsia="宋体" w:hAnsi="Times New Roman" w:cs="Times New Roman"/>
      <w:sz w:val="18"/>
      <w:szCs w:val="18"/>
    </w:rPr>
  </w:style>
  <w:style w:type="character" w:customStyle="1" w:styleId="Char8">
    <w:name w:val="标题 Char"/>
    <w:basedOn w:val="a0"/>
    <w:link w:val="ad"/>
    <w:rPr>
      <w:rFonts w:ascii="Cambria" w:eastAsia="宋体" w:hAnsi="Cambria" w:cs="Times New Roman"/>
      <w:b/>
      <w:sz w:val="32"/>
    </w:rPr>
  </w:style>
  <w:style w:type="character" w:customStyle="1" w:styleId="Char2">
    <w:name w:val="正文文本 Char"/>
    <w:basedOn w:val="a0"/>
    <w:link w:val="a7"/>
    <w:semiHidden/>
    <w:rPr>
      <w:rFonts w:ascii="宋体" w:eastAsia="宋体" w:hAnsi="Calibri" w:cs="Times New Roman"/>
      <w:kern w:val="0"/>
    </w:rPr>
  </w:style>
  <w:style w:type="character" w:customStyle="1" w:styleId="2Char0">
    <w:name w:val="正文文本缩进 2 Char"/>
    <w:basedOn w:val="a0"/>
    <w:link w:val="20"/>
    <w:semiHidden/>
    <w:rPr>
      <w:rFonts w:ascii="仿宋_GB2312" w:eastAsia="仿宋_GB2312" w:hAnsi="Times New Roman" w:cs="Times New Roman"/>
      <w:sz w:val="28"/>
      <w:szCs w:val="20"/>
    </w:rPr>
  </w:style>
  <w:style w:type="character" w:customStyle="1" w:styleId="3Char0">
    <w:name w:val="正文文本缩进 3 Char"/>
    <w:basedOn w:val="a0"/>
    <w:link w:val="31"/>
    <w:semiHidden/>
    <w:rPr>
      <w:rFonts w:ascii="Times New Roman" w:eastAsia="宋体" w:hAnsi="Times New Roman" w:cs="Times New Roman"/>
      <w:color w:val="0000FF"/>
      <w:szCs w:val="20"/>
    </w:rPr>
  </w:style>
  <w:style w:type="character" w:customStyle="1" w:styleId="Char0">
    <w:name w:val="文档结构图 Char"/>
    <w:basedOn w:val="a0"/>
    <w:link w:val="a6"/>
    <w:semiHidden/>
    <w:rPr>
      <w:rFonts w:ascii="Times New Roman" w:eastAsia="宋体" w:hAnsi="Times New Roman" w:cs="Times New Roman"/>
      <w:szCs w:val="20"/>
      <w:shd w:val="clear" w:color="auto" w:fill="000080"/>
    </w:rPr>
  </w:style>
  <w:style w:type="character" w:customStyle="1" w:styleId="Char3">
    <w:name w:val="纯文本 Char"/>
    <w:basedOn w:val="a0"/>
    <w:link w:val="a8"/>
    <w:semiHidden/>
    <w:rPr>
      <w:rFonts w:ascii="宋体" w:eastAsia="宋体" w:hAnsi="Courier New" w:cs="Times New Roman"/>
      <w:kern w:val="0"/>
      <w:szCs w:val="20"/>
    </w:rPr>
  </w:style>
  <w:style w:type="character" w:customStyle="1" w:styleId="Char">
    <w:name w:val="批注主题 Char"/>
    <w:basedOn w:val="Char9"/>
    <w:link w:val="a3"/>
    <w:semiHidden/>
    <w:rPr>
      <w:rFonts w:ascii="Times New Roman" w:eastAsia="宋体" w:hAnsi="Times New Roman" w:cs="Times New Roman"/>
      <w:b/>
      <w:szCs w:val="20"/>
    </w:rPr>
  </w:style>
  <w:style w:type="character" w:customStyle="1" w:styleId="Char4">
    <w:name w:val="批注框文本 Char"/>
    <w:basedOn w:val="a0"/>
    <w:link w:val="a9"/>
    <w:semiHidden/>
    <w:rPr>
      <w:rFonts w:ascii="Times New Roman" w:eastAsia="宋体" w:hAnsi="Times New Roman" w:cs="Times New Roman"/>
      <w:sz w:val="18"/>
      <w:szCs w:val="20"/>
    </w:rPr>
  </w:style>
  <w:style w:type="paragraph" w:customStyle="1" w:styleId="11">
    <w:name w:val="修订1"/>
    <w:semiHidden/>
    <w:rPr>
      <w:rFonts w:ascii="Times New Roman" w:eastAsia="宋体" w:hAnsi="Times New Roman" w:cs="Times New Roman"/>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rPr>
      <w:rFonts w:ascii="Times New Roman" w:eastAsia="宋体" w:hAnsi="Times New Roman" w:cs="Times New Roman"/>
      <w:szCs w:val="20"/>
    </w:rPr>
  </w:style>
  <w:style w:type="paragraph" w:customStyle="1" w:styleId="af3">
    <w:name w:val="正文所"/>
    <w:basedOn w:val="a"/>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pPr>
      <w:tabs>
        <w:tab w:val="left" w:pos="360"/>
      </w:tabs>
    </w:pPr>
    <w:rPr>
      <w:rFonts w:ascii="Times New Roman" w:eastAsia="宋体" w:hAnsi="Times New Roman" w:cs="Times New Roman"/>
      <w:szCs w:val="20"/>
    </w:rPr>
  </w:style>
  <w:style w:type="paragraph" w:customStyle="1" w:styleId="Chara">
    <w:name w:val="Char"/>
    <w:basedOn w:val="a"/>
    <w:rPr>
      <w:rFonts w:ascii="Times New Roman" w:eastAsia="宋体" w:hAnsi="Times New Roman" w:cs="Times New Roman"/>
      <w:szCs w:val="20"/>
    </w:rPr>
  </w:style>
  <w:style w:type="paragraph" w:customStyle="1" w:styleId="unnamed1">
    <w:name w:val="unnamed1"/>
    <w:basedOn w:val="a"/>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pPr>
      <w:widowControl w:val="0"/>
      <w:jc w:val="both"/>
    </w:pPr>
    <w:rPr>
      <w:rFonts w:ascii="Times New Roman" w:eastAsia="宋体" w:hAnsi="Times New Roman" w:cs="Times New Roman"/>
      <w:kern w:val="2"/>
      <w:sz w:val="21"/>
    </w:rPr>
  </w:style>
  <w:style w:type="paragraph" w:customStyle="1" w:styleId="CharChar">
    <w:name w:val="Char Char"/>
    <w:basedOn w:val="a"/>
    <w:rPr>
      <w:rFonts w:ascii="Times New Roman" w:eastAsia="宋体" w:hAnsi="Times New Roman" w:cs="Times New Roman"/>
      <w:szCs w:val="20"/>
    </w:rPr>
  </w:style>
  <w:style w:type="paragraph" w:customStyle="1" w:styleId="CharChar1">
    <w:name w:val="Char Char1"/>
    <w:basedOn w:val="a"/>
    <w:rPr>
      <w:rFonts w:ascii="Times New Roman" w:eastAsia="宋体" w:hAnsi="Times New Roman" w:cs="Times New Roman"/>
      <w:szCs w:val="20"/>
    </w:rPr>
  </w:style>
  <w:style w:type="paragraph" w:customStyle="1" w:styleId="af4">
    <w:name w:val="正文正文"/>
    <w:basedOn w:val="a"/>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rPr>
      <w:rFonts w:ascii="Times New Roman" w:eastAsia="宋体" w:hAnsi="Times New Roman" w:cs="Times New Roman" w:hint="default"/>
      <w:sz w:val="18"/>
      <w:szCs w:val="18"/>
    </w:rPr>
  </w:style>
  <w:style w:type="character" w:customStyle="1" w:styleId="unnamed11">
    <w:name w:val="unnamed11"/>
    <w:rPr>
      <w:rFonts w:ascii="宋体" w:eastAsia="宋体" w:hAnsi="宋体" w:hint="eastAsia"/>
      <w:sz w:val="18"/>
    </w:rPr>
  </w:style>
  <w:style w:type="character" w:customStyle="1" w:styleId="read">
    <w:name w:val="read"/>
    <w:basedOn w:val="a0"/>
  </w:style>
  <w:style w:type="character" w:customStyle="1" w:styleId="Char11">
    <w:name w:val="正文文本 Char1"/>
    <w:rPr>
      <w:rFonts w:ascii="Times New Roman" w:eastAsia="宋体" w:hAnsi="Times New Roman" w:cs="Times New Roman" w:hint="default"/>
      <w:szCs w:val="20"/>
    </w:rPr>
  </w:style>
  <w:style w:type="character" w:customStyle="1" w:styleId="Char12">
    <w:name w:val="标题 Char1"/>
    <w:rPr>
      <w:rFonts w:ascii="Cambria" w:eastAsia="宋体" w:hAnsi="Cambria" w:cs="Times New Roman" w:hint="default"/>
      <w:b/>
      <w:bCs/>
      <w:sz w:val="32"/>
      <w:szCs w:val="32"/>
    </w:rPr>
  </w:style>
  <w:style w:type="character" w:customStyle="1" w:styleId="Char20">
    <w:name w:val="正文文本 Char2"/>
    <w:basedOn w:val="a0"/>
    <w:uiPriority w:val="99"/>
    <w:semiHidden/>
    <w:rPr>
      <w:rFonts w:ascii="Times New Roman" w:eastAsia="宋体" w:hAnsi="Times New Roman" w:cs="Times New Roman" w:hint="default"/>
      <w:szCs w:val="20"/>
    </w:rPr>
  </w:style>
  <w:style w:type="character" w:customStyle="1" w:styleId="2Char1">
    <w:name w:val="正文文本缩进 2 Char1"/>
    <w:basedOn w:val="a0"/>
    <w:uiPriority w:val="99"/>
    <w:semiHidden/>
    <w:rPr>
      <w:rFonts w:ascii="Times New Roman" w:eastAsia="宋体" w:hAnsi="Times New Roman" w:cs="Times New Roman" w:hint="default"/>
      <w:szCs w:val="20"/>
    </w:rPr>
  </w:style>
  <w:style w:type="character" w:customStyle="1" w:styleId="Char1">
    <w:name w:val="批注文字 Char1"/>
    <w:basedOn w:val="a0"/>
    <w:link w:val="a4"/>
    <w:semiHidden/>
    <w:locked/>
    <w:rPr>
      <w:rFonts w:ascii="Times New Roman" w:eastAsia="宋体" w:hAnsi="Times New Roman" w:cs="Times New Roman"/>
      <w:szCs w:val="20"/>
    </w:rPr>
  </w:style>
  <w:style w:type="character" w:customStyle="1" w:styleId="Char13">
    <w:name w:val="批注主题 Char1"/>
    <w:basedOn w:val="Char1"/>
    <w:uiPriority w:val="99"/>
    <w:semiHidden/>
    <w:rPr>
      <w:rFonts w:ascii="Times New Roman" w:eastAsia="宋体" w:hAnsi="Times New Roman" w:cs="Times New Roman"/>
      <w:b/>
      <w:bCs/>
      <w:szCs w:val="20"/>
    </w:rPr>
  </w:style>
  <w:style w:type="character" w:customStyle="1" w:styleId="3Char1">
    <w:name w:val="正文文本缩进 3 Char1"/>
    <w:basedOn w:val="a0"/>
    <w:uiPriority w:val="99"/>
    <w:semiHidden/>
    <w:rPr>
      <w:rFonts w:ascii="Times New Roman" w:eastAsia="宋体" w:hAnsi="Times New Roman" w:cs="Times New Roman" w:hint="default"/>
      <w:sz w:val="16"/>
      <w:szCs w:val="16"/>
    </w:rPr>
  </w:style>
  <w:style w:type="character" w:customStyle="1" w:styleId="Char14">
    <w:name w:val="纯文本 Char1"/>
    <w:basedOn w:val="a0"/>
    <w:uiPriority w:val="99"/>
    <w:semiHidden/>
    <w:rPr>
      <w:rFonts w:ascii="宋体" w:eastAsia="宋体" w:hAnsi="Courier New" w:cs="Courier New" w:hint="eastAsia"/>
      <w:szCs w:val="21"/>
    </w:rPr>
  </w:style>
  <w:style w:type="character" w:customStyle="1" w:styleId="Char21">
    <w:name w:val="标题 Char2"/>
    <w:basedOn w:val="a0"/>
    <w:uiPriority w:val="10"/>
    <w:rPr>
      <w:rFonts w:ascii="Cambria" w:eastAsia="宋体" w:hAnsi="Cambria" w:cs="Times New Roman" w:hint="default"/>
      <w:b/>
      <w:bCs/>
      <w:sz w:val="32"/>
      <w:szCs w:val="32"/>
    </w:rPr>
  </w:style>
  <w:style w:type="character" w:customStyle="1" w:styleId="Char15">
    <w:name w:val="文档结构图 Char1"/>
    <w:basedOn w:val="a0"/>
    <w:uiPriority w:val="99"/>
    <w:semiHidden/>
    <w:rPr>
      <w:rFonts w:ascii="宋体" w:eastAsia="宋体" w:hAnsi="Times New Roman" w:cs="Times New Roman" w:hint="eastAsia"/>
      <w:sz w:val="18"/>
      <w:szCs w:val="18"/>
    </w:rPr>
  </w:style>
  <w:style w:type="character" w:customStyle="1" w:styleId="Char16">
    <w:name w:val="批注框文本 Char1"/>
    <w:basedOn w:val="a0"/>
    <w:uiPriority w:val="99"/>
    <w:semiHidden/>
    <w:rPr>
      <w:rFonts w:ascii="Times New Roman" w:eastAsia="宋体" w:hAnsi="Times New Roman" w:cs="Times New Roman" w:hint="default"/>
      <w:sz w:val="18"/>
      <w:szCs w:val="18"/>
    </w:rPr>
  </w:style>
  <w:style w:type="character" w:customStyle="1" w:styleId="Char17">
    <w:name w:val="脚注文本 Char1"/>
    <w:basedOn w:val="a0"/>
    <w:uiPriority w:val="99"/>
    <w:semiHidden/>
    <w:rPr>
      <w:rFonts w:ascii="Times New Roman" w:eastAsia="宋体" w:hAnsi="Times New Roman" w:cs="Times New Roman" w:hint="default"/>
      <w:sz w:val="18"/>
      <w:szCs w:val="18"/>
    </w:rPr>
  </w:style>
  <w:style w:type="character" w:customStyle="1" w:styleId="txtcontent11">
    <w:name w:val="txtcontent11"/>
    <w:rPr>
      <w:rFonts w:ascii="ˎ̥" w:hAnsi="ˎ̥" w:hint="default"/>
      <w:color w:val="000000"/>
      <w:sz w:val="21"/>
      <w:szCs w:val="21"/>
    </w:rPr>
  </w:style>
  <w:style w:type="paragraph" w:styleId="af5">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color w:val="365F91" w:themeColor="accent1" w:themeShade="BF"/>
      <w:sz w:val="32"/>
      <w:szCs w:val="32"/>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semiHidden="0"/>
    <w:lsdException w:name="footer" w:semiHidden="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semiHidden="0"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rPr>
      <w:b/>
    </w:rPr>
  </w:style>
  <w:style w:type="paragraph" w:styleId="a4">
    <w:name w:val="annotation text"/>
    <w:basedOn w:val="a"/>
    <w:link w:val="Char1"/>
    <w:semiHidden/>
    <w:unhideWhenUsed/>
    <w:pPr>
      <w:jc w:val="left"/>
    </w:pPr>
    <w:rPr>
      <w:rFonts w:ascii="Times New Roman" w:eastAsia="宋体" w:hAnsi="Times New Roman" w:cs="Times New Roman"/>
      <w:szCs w:val="20"/>
    </w:rPr>
  </w:style>
  <w:style w:type="paragraph" w:styleId="a5">
    <w:name w:val="Normal Indent"/>
    <w:basedOn w:val="a"/>
    <w:semiHidden/>
    <w:unhideWhenUsed/>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pPr>
      <w:shd w:val="clear" w:color="auto" w:fill="000080"/>
    </w:pPr>
    <w:rPr>
      <w:rFonts w:ascii="Times New Roman" w:eastAsia="宋体" w:hAnsi="Times New Roman" w:cs="Times New Roman"/>
      <w:szCs w:val="20"/>
    </w:rPr>
  </w:style>
  <w:style w:type="paragraph" w:styleId="a7">
    <w:name w:val="Body Text"/>
    <w:basedOn w:val="a"/>
    <w:link w:val="Char2"/>
    <w:semiHidden/>
    <w:unhideWhenUsed/>
    <w:pPr>
      <w:autoSpaceDE w:val="0"/>
      <w:autoSpaceDN w:val="0"/>
      <w:adjustRightInd w:val="0"/>
      <w:spacing w:line="360" w:lineRule="auto"/>
      <w:jc w:val="left"/>
    </w:pPr>
    <w:rPr>
      <w:rFonts w:ascii="宋体" w:eastAsia="宋体" w:hAnsi="Calibri" w:cs="Times New Roman"/>
      <w:kern w:val="0"/>
    </w:rPr>
  </w:style>
  <w:style w:type="paragraph" w:styleId="30">
    <w:name w:val="toc 3"/>
    <w:basedOn w:val="a"/>
    <w:next w:val="a"/>
    <w:semiHidden/>
    <w:unhideWhenUsed/>
    <w:pPr>
      <w:ind w:leftChars="400" w:left="840"/>
    </w:pPr>
    <w:rPr>
      <w:rFonts w:ascii="Times New Roman" w:eastAsia="宋体" w:hAnsi="Times New Roman" w:cs="Times New Roman"/>
      <w:szCs w:val="20"/>
    </w:rPr>
  </w:style>
  <w:style w:type="paragraph" w:styleId="a8">
    <w:name w:val="Plain Text"/>
    <w:basedOn w:val="a"/>
    <w:link w:val="Char3"/>
    <w:semiHidden/>
    <w:unhideWhenUsed/>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pPr>
      <w:spacing w:line="360" w:lineRule="auto"/>
      <w:ind w:firstLine="425"/>
    </w:pPr>
    <w:rPr>
      <w:rFonts w:ascii="仿宋_GB2312" w:eastAsia="仿宋_GB2312" w:hAnsi="Times New Roman" w:cs="Times New Roman"/>
      <w:sz w:val="28"/>
      <w:szCs w:val="20"/>
    </w:rPr>
  </w:style>
  <w:style w:type="paragraph" w:styleId="a9">
    <w:name w:val="Balloon Text"/>
    <w:basedOn w:val="a"/>
    <w:link w:val="Char4"/>
    <w:semiHidden/>
    <w:unhideWhenUsed/>
    <w:rPr>
      <w:rFonts w:ascii="Times New Roman" w:eastAsia="宋体" w:hAnsi="Times New Roman" w:cs="Times New Roman"/>
      <w:sz w:val="18"/>
      <w:szCs w:val="20"/>
    </w:rPr>
  </w:style>
  <w:style w:type="paragraph" w:styleId="aa">
    <w:name w:val="footer"/>
    <w:basedOn w:val="a"/>
    <w:link w:val="Char5"/>
    <w:uiPriority w:val="99"/>
    <w:unhideWhenUsed/>
    <w:pPr>
      <w:tabs>
        <w:tab w:val="center" w:pos="4153"/>
        <w:tab w:val="right" w:pos="8306"/>
      </w:tabs>
      <w:snapToGrid w:val="0"/>
      <w:jc w:val="left"/>
    </w:pPr>
    <w:rPr>
      <w:rFonts w:ascii="Times New Roman" w:eastAsia="宋体" w:hAnsi="Times New Roman" w:cs="Times New Roman"/>
      <w:sz w:val="18"/>
      <w:szCs w:val="18"/>
    </w:rPr>
  </w:style>
  <w:style w:type="paragraph" w:styleId="ab">
    <w:name w:val="header"/>
    <w:basedOn w:val="a"/>
    <w:link w:val="Char6"/>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c">
    <w:name w:val="footnote text"/>
    <w:basedOn w:val="a"/>
    <w:link w:val="Char7"/>
    <w:semiHidden/>
    <w:unhideWhenUsed/>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d">
    <w:name w:val="Title"/>
    <w:basedOn w:val="a"/>
    <w:next w:val="a"/>
    <w:link w:val="Char8"/>
    <w:qFormat/>
    <w:pPr>
      <w:spacing w:before="240" w:after="60"/>
      <w:jc w:val="center"/>
      <w:outlineLvl w:val="0"/>
    </w:pPr>
    <w:rPr>
      <w:rFonts w:ascii="Cambria" w:eastAsia="宋体" w:hAnsi="Cambria" w:cs="Times New Roman"/>
      <w:b/>
      <w:sz w:val="32"/>
    </w:rPr>
  </w:style>
  <w:style w:type="character" w:styleId="ae">
    <w:name w:val="FollowedHyperlink"/>
    <w:basedOn w:val="a0"/>
    <w:uiPriority w:val="99"/>
    <w:semiHidden/>
    <w:unhideWhenUsed/>
    <w:rPr>
      <w:color w:val="800080" w:themeColor="followedHyperlink"/>
      <w:u w:val="single"/>
    </w:rPr>
  </w:style>
  <w:style w:type="character" w:styleId="af">
    <w:name w:val="Hyperlink"/>
    <w:aliases w:val="超级链接"/>
    <w:uiPriority w:val="99"/>
    <w:unhideWhenUsed/>
    <w:qFormat/>
    <w:rPr>
      <w:color w:val="0000FF"/>
      <w:u w:val="single"/>
    </w:rPr>
  </w:style>
  <w:style w:type="character" w:styleId="af0">
    <w:name w:val="annotation reference"/>
    <w:semiHidden/>
    <w:unhideWhenUsed/>
    <w:rPr>
      <w:sz w:val="21"/>
    </w:rPr>
  </w:style>
  <w:style w:type="character" w:styleId="af1">
    <w:name w:val="footnote reference"/>
    <w:semiHidden/>
    <w:unhideWhenUsed/>
    <w:rPr>
      <w:vertAlign w:val="superscript"/>
    </w:rPr>
  </w:style>
  <w:style w:type="table" w:styleId="af2">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Pr>
      <w:rFonts w:ascii="Arial" w:eastAsia="黑体" w:hAnsi="Arial" w:cs="Times New Roman"/>
      <w:b/>
      <w:sz w:val="32"/>
      <w:szCs w:val="20"/>
      <w:lang w:val="zh-CN" w:eastAsia="zh-CN"/>
    </w:rPr>
  </w:style>
  <w:style w:type="character" w:customStyle="1" w:styleId="3Char">
    <w:name w:val="标题 3 Char"/>
    <w:basedOn w:val="a0"/>
    <w:link w:val="3"/>
    <w:semiHidden/>
    <w:qFormat/>
    <w:rPr>
      <w:rFonts w:ascii="Times New Roman" w:eastAsia="宋体" w:hAnsi="Times New Roman" w:cs="Times New Roman"/>
      <w:b/>
      <w:kern w:val="0"/>
      <w:sz w:val="32"/>
      <w:szCs w:val="20"/>
      <w:lang w:val="zh-CN" w:eastAsia="zh-CN"/>
    </w:rPr>
  </w:style>
  <w:style w:type="character" w:customStyle="1" w:styleId="Char7">
    <w:name w:val="脚注文本 Char"/>
    <w:basedOn w:val="a0"/>
    <w:link w:val="ac"/>
    <w:semiHidden/>
    <w:rPr>
      <w:rFonts w:ascii="Times New Roman" w:eastAsia="宋体" w:hAnsi="Times New Roman" w:cs="Times New Roman"/>
      <w:sz w:val="18"/>
      <w:szCs w:val="20"/>
    </w:rPr>
  </w:style>
  <w:style w:type="character" w:customStyle="1" w:styleId="Char9">
    <w:name w:val="批注文字 Char"/>
    <w:basedOn w:val="a0"/>
    <w:semiHidden/>
  </w:style>
  <w:style w:type="character" w:customStyle="1" w:styleId="Char6">
    <w:name w:val="页眉 Char"/>
    <w:basedOn w:val="a0"/>
    <w:link w:val="ab"/>
    <w:uiPriority w:val="99"/>
    <w:rPr>
      <w:rFonts w:ascii="Times New Roman" w:eastAsia="宋体" w:hAnsi="Times New Roman" w:cs="Times New Roman"/>
      <w:sz w:val="18"/>
      <w:szCs w:val="18"/>
    </w:rPr>
  </w:style>
  <w:style w:type="character" w:customStyle="1" w:styleId="Char5">
    <w:name w:val="页脚 Char"/>
    <w:basedOn w:val="a0"/>
    <w:link w:val="aa"/>
    <w:uiPriority w:val="99"/>
    <w:rPr>
      <w:rFonts w:ascii="Times New Roman" w:eastAsia="宋体" w:hAnsi="Times New Roman" w:cs="Times New Roman"/>
      <w:sz w:val="18"/>
      <w:szCs w:val="18"/>
    </w:rPr>
  </w:style>
  <w:style w:type="character" w:customStyle="1" w:styleId="Char8">
    <w:name w:val="标题 Char"/>
    <w:basedOn w:val="a0"/>
    <w:link w:val="ad"/>
    <w:rPr>
      <w:rFonts w:ascii="Cambria" w:eastAsia="宋体" w:hAnsi="Cambria" w:cs="Times New Roman"/>
      <w:b/>
      <w:sz w:val="32"/>
    </w:rPr>
  </w:style>
  <w:style w:type="character" w:customStyle="1" w:styleId="Char2">
    <w:name w:val="正文文本 Char"/>
    <w:basedOn w:val="a0"/>
    <w:link w:val="a7"/>
    <w:semiHidden/>
    <w:rPr>
      <w:rFonts w:ascii="宋体" w:eastAsia="宋体" w:hAnsi="Calibri" w:cs="Times New Roman"/>
      <w:kern w:val="0"/>
    </w:rPr>
  </w:style>
  <w:style w:type="character" w:customStyle="1" w:styleId="2Char0">
    <w:name w:val="正文文本缩进 2 Char"/>
    <w:basedOn w:val="a0"/>
    <w:link w:val="20"/>
    <w:semiHidden/>
    <w:rPr>
      <w:rFonts w:ascii="仿宋_GB2312" w:eastAsia="仿宋_GB2312" w:hAnsi="Times New Roman" w:cs="Times New Roman"/>
      <w:sz w:val="28"/>
      <w:szCs w:val="20"/>
    </w:rPr>
  </w:style>
  <w:style w:type="character" w:customStyle="1" w:styleId="3Char0">
    <w:name w:val="正文文本缩进 3 Char"/>
    <w:basedOn w:val="a0"/>
    <w:link w:val="31"/>
    <w:semiHidden/>
    <w:rPr>
      <w:rFonts w:ascii="Times New Roman" w:eastAsia="宋体" w:hAnsi="Times New Roman" w:cs="Times New Roman"/>
      <w:color w:val="0000FF"/>
      <w:szCs w:val="20"/>
    </w:rPr>
  </w:style>
  <w:style w:type="character" w:customStyle="1" w:styleId="Char0">
    <w:name w:val="文档结构图 Char"/>
    <w:basedOn w:val="a0"/>
    <w:link w:val="a6"/>
    <w:semiHidden/>
    <w:rPr>
      <w:rFonts w:ascii="Times New Roman" w:eastAsia="宋体" w:hAnsi="Times New Roman" w:cs="Times New Roman"/>
      <w:szCs w:val="20"/>
      <w:shd w:val="clear" w:color="auto" w:fill="000080"/>
    </w:rPr>
  </w:style>
  <w:style w:type="character" w:customStyle="1" w:styleId="Char3">
    <w:name w:val="纯文本 Char"/>
    <w:basedOn w:val="a0"/>
    <w:link w:val="a8"/>
    <w:semiHidden/>
    <w:rPr>
      <w:rFonts w:ascii="宋体" w:eastAsia="宋体" w:hAnsi="Courier New" w:cs="Times New Roman"/>
      <w:kern w:val="0"/>
      <w:szCs w:val="20"/>
    </w:rPr>
  </w:style>
  <w:style w:type="character" w:customStyle="1" w:styleId="Char">
    <w:name w:val="批注主题 Char"/>
    <w:basedOn w:val="Char9"/>
    <w:link w:val="a3"/>
    <w:semiHidden/>
    <w:rPr>
      <w:rFonts w:ascii="Times New Roman" w:eastAsia="宋体" w:hAnsi="Times New Roman" w:cs="Times New Roman"/>
      <w:b/>
      <w:szCs w:val="20"/>
    </w:rPr>
  </w:style>
  <w:style w:type="character" w:customStyle="1" w:styleId="Char4">
    <w:name w:val="批注框文本 Char"/>
    <w:basedOn w:val="a0"/>
    <w:link w:val="a9"/>
    <w:semiHidden/>
    <w:rPr>
      <w:rFonts w:ascii="Times New Roman" w:eastAsia="宋体" w:hAnsi="Times New Roman" w:cs="Times New Roman"/>
      <w:sz w:val="18"/>
      <w:szCs w:val="20"/>
    </w:rPr>
  </w:style>
  <w:style w:type="paragraph" w:customStyle="1" w:styleId="11">
    <w:name w:val="修订1"/>
    <w:semiHidden/>
    <w:rPr>
      <w:rFonts w:ascii="Times New Roman" w:eastAsia="宋体" w:hAnsi="Times New Roman" w:cs="Times New Roman"/>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rPr>
      <w:rFonts w:ascii="Times New Roman" w:eastAsia="宋体" w:hAnsi="Times New Roman" w:cs="Times New Roman"/>
      <w:szCs w:val="20"/>
    </w:rPr>
  </w:style>
  <w:style w:type="paragraph" w:customStyle="1" w:styleId="af3">
    <w:name w:val="正文所"/>
    <w:basedOn w:val="a"/>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pPr>
      <w:tabs>
        <w:tab w:val="left" w:pos="360"/>
      </w:tabs>
    </w:pPr>
    <w:rPr>
      <w:rFonts w:ascii="Times New Roman" w:eastAsia="宋体" w:hAnsi="Times New Roman" w:cs="Times New Roman"/>
      <w:szCs w:val="20"/>
    </w:rPr>
  </w:style>
  <w:style w:type="paragraph" w:customStyle="1" w:styleId="Chara">
    <w:name w:val="Char"/>
    <w:basedOn w:val="a"/>
    <w:rPr>
      <w:rFonts w:ascii="Times New Roman" w:eastAsia="宋体" w:hAnsi="Times New Roman" w:cs="Times New Roman"/>
      <w:szCs w:val="20"/>
    </w:rPr>
  </w:style>
  <w:style w:type="paragraph" w:customStyle="1" w:styleId="unnamed1">
    <w:name w:val="unnamed1"/>
    <w:basedOn w:val="a"/>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pPr>
      <w:widowControl w:val="0"/>
      <w:jc w:val="both"/>
    </w:pPr>
    <w:rPr>
      <w:rFonts w:ascii="Times New Roman" w:eastAsia="宋体" w:hAnsi="Times New Roman" w:cs="Times New Roman"/>
      <w:kern w:val="2"/>
      <w:sz w:val="21"/>
    </w:rPr>
  </w:style>
  <w:style w:type="paragraph" w:customStyle="1" w:styleId="CharChar">
    <w:name w:val="Char Char"/>
    <w:basedOn w:val="a"/>
    <w:rPr>
      <w:rFonts w:ascii="Times New Roman" w:eastAsia="宋体" w:hAnsi="Times New Roman" w:cs="Times New Roman"/>
      <w:szCs w:val="20"/>
    </w:rPr>
  </w:style>
  <w:style w:type="paragraph" w:customStyle="1" w:styleId="CharChar1">
    <w:name w:val="Char Char1"/>
    <w:basedOn w:val="a"/>
    <w:rPr>
      <w:rFonts w:ascii="Times New Roman" w:eastAsia="宋体" w:hAnsi="Times New Roman" w:cs="Times New Roman"/>
      <w:szCs w:val="20"/>
    </w:rPr>
  </w:style>
  <w:style w:type="paragraph" w:customStyle="1" w:styleId="af4">
    <w:name w:val="正文正文"/>
    <w:basedOn w:val="a"/>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rPr>
      <w:rFonts w:ascii="Times New Roman" w:eastAsia="宋体" w:hAnsi="Times New Roman" w:cs="Times New Roman" w:hint="default"/>
      <w:sz w:val="18"/>
      <w:szCs w:val="18"/>
    </w:rPr>
  </w:style>
  <w:style w:type="character" w:customStyle="1" w:styleId="unnamed11">
    <w:name w:val="unnamed11"/>
    <w:rPr>
      <w:rFonts w:ascii="宋体" w:eastAsia="宋体" w:hAnsi="宋体" w:hint="eastAsia"/>
      <w:sz w:val="18"/>
    </w:rPr>
  </w:style>
  <w:style w:type="character" w:customStyle="1" w:styleId="read">
    <w:name w:val="read"/>
    <w:basedOn w:val="a0"/>
  </w:style>
  <w:style w:type="character" w:customStyle="1" w:styleId="Char11">
    <w:name w:val="正文文本 Char1"/>
    <w:rPr>
      <w:rFonts w:ascii="Times New Roman" w:eastAsia="宋体" w:hAnsi="Times New Roman" w:cs="Times New Roman" w:hint="default"/>
      <w:szCs w:val="20"/>
    </w:rPr>
  </w:style>
  <w:style w:type="character" w:customStyle="1" w:styleId="Char12">
    <w:name w:val="标题 Char1"/>
    <w:rPr>
      <w:rFonts w:ascii="Cambria" w:eastAsia="宋体" w:hAnsi="Cambria" w:cs="Times New Roman" w:hint="default"/>
      <w:b/>
      <w:bCs/>
      <w:sz w:val="32"/>
      <w:szCs w:val="32"/>
    </w:rPr>
  </w:style>
  <w:style w:type="character" w:customStyle="1" w:styleId="Char20">
    <w:name w:val="正文文本 Char2"/>
    <w:basedOn w:val="a0"/>
    <w:uiPriority w:val="99"/>
    <w:semiHidden/>
    <w:rPr>
      <w:rFonts w:ascii="Times New Roman" w:eastAsia="宋体" w:hAnsi="Times New Roman" w:cs="Times New Roman" w:hint="default"/>
      <w:szCs w:val="20"/>
    </w:rPr>
  </w:style>
  <w:style w:type="character" w:customStyle="1" w:styleId="2Char1">
    <w:name w:val="正文文本缩进 2 Char1"/>
    <w:basedOn w:val="a0"/>
    <w:uiPriority w:val="99"/>
    <w:semiHidden/>
    <w:rPr>
      <w:rFonts w:ascii="Times New Roman" w:eastAsia="宋体" w:hAnsi="Times New Roman" w:cs="Times New Roman" w:hint="default"/>
      <w:szCs w:val="20"/>
    </w:rPr>
  </w:style>
  <w:style w:type="character" w:customStyle="1" w:styleId="Char1">
    <w:name w:val="批注文字 Char1"/>
    <w:basedOn w:val="a0"/>
    <w:link w:val="a4"/>
    <w:semiHidden/>
    <w:locked/>
    <w:rPr>
      <w:rFonts w:ascii="Times New Roman" w:eastAsia="宋体" w:hAnsi="Times New Roman" w:cs="Times New Roman"/>
      <w:szCs w:val="20"/>
    </w:rPr>
  </w:style>
  <w:style w:type="character" w:customStyle="1" w:styleId="Char13">
    <w:name w:val="批注主题 Char1"/>
    <w:basedOn w:val="Char1"/>
    <w:uiPriority w:val="99"/>
    <w:semiHidden/>
    <w:rPr>
      <w:rFonts w:ascii="Times New Roman" w:eastAsia="宋体" w:hAnsi="Times New Roman" w:cs="Times New Roman"/>
      <w:b/>
      <w:bCs/>
      <w:szCs w:val="20"/>
    </w:rPr>
  </w:style>
  <w:style w:type="character" w:customStyle="1" w:styleId="3Char1">
    <w:name w:val="正文文本缩进 3 Char1"/>
    <w:basedOn w:val="a0"/>
    <w:uiPriority w:val="99"/>
    <w:semiHidden/>
    <w:rPr>
      <w:rFonts w:ascii="Times New Roman" w:eastAsia="宋体" w:hAnsi="Times New Roman" w:cs="Times New Roman" w:hint="default"/>
      <w:sz w:val="16"/>
      <w:szCs w:val="16"/>
    </w:rPr>
  </w:style>
  <w:style w:type="character" w:customStyle="1" w:styleId="Char14">
    <w:name w:val="纯文本 Char1"/>
    <w:basedOn w:val="a0"/>
    <w:uiPriority w:val="99"/>
    <w:semiHidden/>
    <w:rPr>
      <w:rFonts w:ascii="宋体" w:eastAsia="宋体" w:hAnsi="Courier New" w:cs="Courier New" w:hint="eastAsia"/>
      <w:szCs w:val="21"/>
    </w:rPr>
  </w:style>
  <w:style w:type="character" w:customStyle="1" w:styleId="Char21">
    <w:name w:val="标题 Char2"/>
    <w:basedOn w:val="a0"/>
    <w:uiPriority w:val="10"/>
    <w:rPr>
      <w:rFonts w:ascii="Cambria" w:eastAsia="宋体" w:hAnsi="Cambria" w:cs="Times New Roman" w:hint="default"/>
      <w:b/>
      <w:bCs/>
      <w:sz w:val="32"/>
      <w:szCs w:val="32"/>
    </w:rPr>
  </w:style>
  <w:style w:type="character" w:customStyle="1" w:styleId="Char15">
    <w:name w:val="文档结构图 Char1"/>
    <w:basedOn w:val="a0"/>
    <w:uiPriority w:val="99"/>
    <w:semiHidden/>
    <w:rPr>
      <w:rFonts w:ascii="宋体" w:eastAsia="宋体" w:hAnsi="Times New Roman" w:cs="Times New Roman" w:hint="eastAsia"/>
      <w:sz w:val="18"/>
      <w:szCs w:val="18"/>
    </w:rPr>
  </w:style>
  <w:style w:type="character" w:customStyle="1" w:styleId="Char16">
    <w:name w:val="批注框文本 Char1"/>
    <w:basedOn w:val="a0"/>
    <w:uiPriority w:val="99"/>
    <w:semiHidden/>
    <w:rPr>
      <w:rFonts w:ascii="Times New Roman" w:eastAsia="宋体" w:hAnsi="Times New Roman" w:cs="Times New Roman" w:hint="default"/>
      <w:sz w:val="18"/>
      <w:szCs w:val="18"/>
    </w:rPr>
  </w:style>
  <w:style w:type="character" w:customStyle="1" w:styleId="Char17">
    <w:name w:val="脚注文本 Char1"/>
    <w:basedOn w:val="a0"/>
    <w:uiPriority w:val="99"/>
    <w:semiHidden/>
    <w:rPr>
      <w:rFonts w:ascii="Times New Roman" w:eastAsia="宋体" w:hAnsi="Times New Roman" w:cs="Times New Roman" w:hint="default"/>
      <w:sz w:val="18"/>
      <w:szCs w:val="18"/>
    </w:rPr>
  </w:style>
  <w:style w:type="character" w:customStyle="1" w:styleId="txtcontent11">
    <w:name w:val="txtcontent11"/>
    <w:rPr>
      <w:rFonts w:ascii="ˎ̥" w:hAnsi="ˎ̥" w:hint="default"/>
      <w:color w:val="000000"/>
      <w:sz w:val="21"/>
      <w:szCs w:val="21"/>
    </w:rPr>
  </w:style>
  <w:style w:type="paragraph" w:styleId="af5">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color w:val="365F91"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image" Target="media/image2.jpe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jianfortune.com" TargetMode="Externa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5.xml"/><Relationship Id="rId10" Type="http://schemas.openxmlformats.org/officeDocument/2006/relationships/header" Target="header1.xml"/><Relationship Id="rId19" Type="http://schemas.openxmlformats.org/officeDocument/2006/relationships/hyperlink" Target="http://www.furamc.com.cn/contents/2018/9/7-6465ccd1c29045f49fba36e0535078a0.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2E535B-AF85-4F30-8968-70F9C4C93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12224</Words>
  <Characters>69679</Characters>
  <Application>Microsoft Office Word</Application>
  <DocSecurity>0</DocSecurity>
  <Lines>580</Lines>
  <Paragraphs>163</Paragraphs>
  <ScaleCrop>false</ScaleCrop>
  <Company/>
  <LinksUpToDate>false</LinksUpToDate>
  <CharactersWithSpaces>81740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余卿嵘</cp:lastModifiedBy>
  <cp:revision>87</cp:revision>
  <cp:lastPrinted>2018-09-25T07:33:00Z</cp:lastPrinted>
  <dcterms:created xsi:type="dcterms:W3CDTF">2018-08-14T09:23:00Z</dcterms:created>
  <dcterms:modified xsi:type="dcterms:W3CDTF">2018-09-25T07:33:00Z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